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494E4E"/>
          <w:sz w:val="32"/>
          <w:szCs w:val="32"/>
          <w:bdr w:val="none" w:color="auto" w:sz="0" w:space="0"/>
        </w:rPr>
      </w:pPr>
      <w:r>
        <w:rPr>
          <w:rFonts w:hint="eastAsia"/>
          <w:color w:val="494E4E"/>
          <w:sz w:val="32"/>
          <w:szCs w:val="32"/>
          <w:bdr w:val="none" w:color="auto" w:sz="0" w:space="0"/>
        </w:rPr>
        <w:t>外部作业对地铁结构影响等级划分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bdr w:val="none" w:color="auto" w:sz="0" w:space="0"/>
        </w:rPr>
        <w:t>外部作业为基坑、矿山法隧道、盾构法隧道、大型顶管等工程时，应根据外部作业与城市轨道交通既有结构的</w:t>
      </w:r>
      <w:r>
        <w:rPr>
          <w:rStyle w:val="5"/>
          <w:rFonts w:hint="eastAsia" w:ascii="微软雅黑" w:hAnsi="微软雅黑" w:eastAsia="微软雅黑" w:cs="微软雅黑"/>
          <w:color w:val="494E4E"/>
          <w:sz w:val="21"/>
          <w:szCs w:val="21"/>
          <w:bdr w:val="none" w:color="auto" w:sz="0" w:space="0"/>
        </w:rPr>
        <w:t>接近程度</w:t>
      </w:r>
      <w:r>
        <w:rPr>
          <w:rFonts w:hint="eastAsia" w:ascii="微软雅黑" w:hAnsi="微软雅黑" w:eastAsia="微软雅黑" w:cs="微软雅黑"/>
          <w:color w:val="494E4E"/>
          <w:sz w:val="21"/>
          <w:szCs w:val="21"/>
          <w:bdr w:val="none" w:color="auto" w:sz="0" w:space="0"/>
        </w:rPr>
        <w:t>及其</w:t>
      </w:r>
      <w:r>
        <w:rPr>
          <w:rStyle w:val="5"/>
          <w:rFonts w:hint="eastAsia" w:ascii="微软雅黑" w:hAnsi="微软雅黑" w:eastAsia="微软雅黑" w:cs="微软雅黑"/>
          <w:color w:val="494E4E"/>
          <w:sz w:val="21"/>
          <w:szCs w:val="21"/>
          <w:bdr w:val="none" w:color="auto" w:sz="0" w:space="0"/>
        </w:rPr>
        <w:t>工程影响分区</w:t>
      </w:r>
      <w:r>
        <w:rPr>
          <w:rFonts w:hint="eastAsia" w:ascii="微软雅黑" w:hAnsi="微软雅黑" w:eastAsia="微软雅黑" w:cs="微软雅黑"/>
          <w:color w:val="494E4E"/>
          <w:sz w:val="21"/>
          <w:szCs w:val="21"/>
          <w:bdr w:val="none" w:color="auto" w:sz="0" w:space="0"/>
        </w:rPr>
        <w:t>，确定其影响等级。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494E4E"/>
          <w:sz w:val="21"/>
          <w:szCs w:val="21"/>
        </w:rPr>
      </w:pPr>
      <w:r>
        <w:rPr>
          <w:rStyle w:val="5"/>
          <w:rFonts w:hint="eastAsia" w:ascii="微软雅黑" w:hAnsi="微软雅黑" w:eastAsia="微软雅黑" w:cs="微软雅黑"/>
          <w:color w:val="494E4E"/>
          <w:sz w:val="21"/>
          <w:szCs w:val="21"/>
          <w:bdr w:val="none" w:color="auto" w:sz="0" w:space="0"/>
        </w:rPr>
        <w:t>一、接近程度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接近程度应根据城市轨道交通既有结构类型及其与外部作业的空间关系确定，接近程度的判定宜按表1和图1</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2</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3确定。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color w:val="494E4E"/>
          <w:sz w:val="21"/>
          <w:szCs w:val="21"/>
        </w:rPr>
      </w:pPr>
      <w:r>
        <w:rPr>
          <w:rFonts w:hint="eastAsia" w:ascii="微软雅黑" w:hAnsi="微软雅黑" w:eastAsia="微软雅黑" w:cs="微软雅黑"/>
          <w:color w:val="494E4E"/>
          <w:sz w:val="21"/>
          <w:szCs w:val="21"/>
        </w:rPr>
        <w:t>表1 接近程度的判定</w:t>
      </w:r>
    </w:p>
    <w:tbl>
      <w:tblPr>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3018"/>
        <w:gridCol w:w="282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城市轨道交通既有结构类型</w:t>
            </w: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相对净距</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接近程度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restart"/>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明挖、盖挖法隧道</w:t>
            </w: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L≤0.5</w:t>
            </w:r>
            <w:r>
              <w:rPr>
                <w:rStyle w:val="6"/>
                <w:i w:val="0"/>
                <w:iCs w:val="0"/>
                <w:color w:val="222222"/>
                <w:sz w:val="21"/>
                <w:szCs w:val="21"/>
                <w:u w:val="none"/>
                <w:bdr w:val="none" w:color="auto" w:sz="0" w:space="0"/>
              </w:rPr>
              <w:t>H</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非常接近（Ⅰ）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0.5</w:t>
            </w:r>
            <w:r>
              <w:rPr>
                <w:rStyle w:val="6"/>
                <w:i w:val="0"/>
                <w:iCs w:val="0"/>
                <w:color w:val="222222"/>
                <w:sz w:val="21"/>
                <w:szCs w:val="21"/>
                <w:u w:val="none"/>
                <w:bdr w:val="none" w:color="auto" w:sz="0" w:space="0"/>
              </w:rPr>
              <w:t>H＜</w:t>
            </w:r>
            <w:r>
              <w:rPr>
                <w:color w:val="222222"/>
                <w:sz w:val="21"/>
                <w:szCs w:val="21"/>
                <w:bdr w:val="none" w:color="auto" w:sz="0" w:space="0"/>
              </w:rPr>
              <w:t>L≤1.0</w:t>
            </w:r>
            <w:r>
              <w:rPr>
                <w:rStyle w:val="6"/>
                <w:i w:val="0"/>
                <w:iCs w:val="0"/>
                <w:color w:val="222222"/>
                <w:sz w:val="21"/>
                <w:szCs w:val="21"/>
                <w:u w:val="none"/>
                <w:bdr w:val="none" w:color="auto" w:sz="0" w:space="0"/>
              </w:rPr>
              <w:t>H</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接近（Ⅱ）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1.0</w:t>
            </w:r>
            <w:r>
              <w:rPr>
                <w:rStyle w:val="6"/>
                <w:i w:val="0"/>
                <w:iCs w:val="0"/>
                <w:color w:val="222222"/>
                <w:sz w:val="21"/>
                <w:szCs w:val="21"/>
                <w:u w:val="none"/>
                <w:bdr w:val="none" w:color="auto" w:sz="0" w:space="0"/>
              </w:rPr>
              <w:t>H＜</w:t>
            </w:r>
            <w:r>
              <w:rPr>
                <w:color w:val="222222"/>
                <w:sz w:val="21"/>
                <w:szCs w:val="21"/>
                <w:bdr w:val="none" w:color="auto" w:sz="0" w:space="0"/>
              </w:rPr>
              <w:t>L≤2.0</w:t>
            </w:r>
            <w:r>
              <w:rPr>
                <w:rStyle w:val="6"/>
                <w:i w:val="0"/>
                <w:iCs w:val="0"/>
                <w:color w:val="222222"/>
                <w:sz w:val="21"/>
                <w:szCs w:val="21"/>
                <w:u w:val="none"/>
                <w:bdr w:val="none" w:color="auto" w:sz="0" w:space="0"/>
              </w:rPr>
              <w:t>H</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较接近（Ⅲ）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L&gt;2.0</w:t>
            </w:r>
            <w:r>
              <w:rPr>
                <w:rStyle w:val="6"/>
                <w:i w:val="0"/>
                <w:iCs w:val="0"/>
                <w:color w:val="222222"/>
                <w:sz w:val="21"/>
                <w:szCs w:val="21"/>
                <w:u w:val="none"/>
                <w:bdr w:val="none" w:color="auto" w:sz="0" w:space="0"/>
              </w:rPr>
              <w:t>H</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不接近（Ⅳ）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restart"/>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矿山法隧道</w:t>
            </w: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L≤1.0</w:t>
            </w:r>
            <w:r>
              <w:rPr>
                <w:rStyle w:val="6"/>
                <w:i w:val="0"/>
                <w:iCs w:val="0"/>
                <w:color w:val="222222"/>
                <w:sz w:val="21"/>
                <w:szCs w:val="21"/>
                <w:u w:val="none"/>
                <w:bdr w:val="none" w:color="auto" w:sz="0" w:space="0"/>
              </w:rPr>
              <w:t>W</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非常接近（Ⅰ）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1.0 </w:t>
            </w:r>
            <w:r>
              <w:rPr>
                <w:rStyle w:val="6"/>
                <w:i w:val="0"/>
                <w:iCs w:val="0"/>
                <w:color w:val="222222"/>
                <w:sz w:val="21"/>
                <w:szCs w:val="21"/>
                <w:u w:val="none"/>
                <w:bdr w:val="none" w:color="auto" w:sz="0" w:space="0"/>
              </w:rPr>
              <w:t>W＜</w:t>
            </w:r>
            <w:r>
              <w:rPr>
                <w:color w:val="222222"/>
                <w:sz w:val="21"/>
                <w:szCs w:val="21"/>
                <w:bdr w:val="none" w:color="auto" w:sz="0" w:space="0"/>
              </w:rPr>
              <w:t>L≤1.5 </w:t>
            </w:r>
            <w:r>
              <w:rPr>
                <w:rStyle w:val="6"/>
                <w:i w:val="0"/>
                <w:iCs w:val="0"/>
                <w:color w:val="222222"/>
                <w:sz w:val="21"/>
                <w:szCs w:val="21"/>
                <w:u w:val="none"/>
                <w:bdr w:val="none" w:color="auto" w:sz="0" w:space="0"/>
              </w:rPr>
              <w:t>W</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接近（Ⅱ）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1.5 </w:t>
            </w:r>
            <w:r>
              <w:rPr>
                <w:rStyle w:val="6"/>
                <w:i w:val="0"/>
                <w:iCs w:val="0"/>
                <w:color w:val="222222"/>
                <w:sz w:val="21"/>
                <w:szCs w:val="21"/>
                <w:u w:val="none"/>
                <w:bdr w:val="none" w:color="auto" w:sz="0" w:space="0"/>
              </w:rPr>
              <w:t>W＜</w:t>
            </w:r>
            <w:r>
              <w:rPr>
                <w:color w:val="222222"/>
                <w:sz w:val="21"/>
                <w:szCs w:val="21"/>
                <w:bdr w:val="none" w:color="auto" w:sz="0" w:space="0"/>
              </w:rPr>
              <w:t>L≤2.5 </w:t>
            </w:r>
            <w:r>
              <w:rPr>
                <w:rStyle w:val="6"/>
                <w:i w:val="0"/>
                <w:iCs w:val="0"/>
                <w:color w:val="222222"/>
                <w:sz w:val="21"/>
                <w:szCs w:val="21"/>
                <w:u w:val="none"/>
                <w:bdr w:val="none" w:color="auto" w:sz="0" w:space="0"/>
              </w:rPr>
              <w:t>W</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较接近（Ⅲ）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L&gt;2.5 </w:t>
            </w:r>
            <w:r>
              <w:rPr>
                <w:rStyle w:val="6"/>
                <w:i w:val="0"/>
                <w:iCs w:val="0"/>
                <w:color w:val="222222"/>
                <w:sz w:val="21"/>
                <w:szCs w:val="21"/>
                <w:u w:val="none"/>
                <w:bdr w:val="none" w:color="auto" w:sz="0" w:space="0"/>
              </w:rPr>
              <w:t>W</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不接近（Ⅳ）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restart"/>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盾构法、顶管法隧道</w:t>
            </w: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L≤1.0</w:t>
            </w:r>
            <w:r>
              <w:rPr>
                <w:rStyle w:val="6"/>
                <w:i w:val="0"/>
                <w:iCs w:val="0"/>
                <w:color w:val="222222"/>
                <w:sz w:val="21"/>
                <w:szCs w:val="21"/>
                <w:u w:val="none"/>
                <w:bdr w:val="none" w:color="auto" w:sz="0" w:space="0"/>
              </w:rPr>
              <w:t>D</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非常接近（Ⅰ）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1.0</w:t>
            </w:r>
            <w:r>
              <w:rPr>
                <w:rStyle w:val="6"/>
                <w:i w:val="0"/>
                <w:iCs w:val="0"/>
                <w:color w:val="222222"/>
                <w:sz w:val="21"/>
                <w:szCs w:val="21"/>
                <w:u w:val="none"/>
                <w:bdr w:val="none" w:color="auto" w:sz="0" w:space="0"/>
              </w:rPr>
              <w:t>＜</w:t>
            </w:r>
            <w:r>
              <w:rPr>
                <w:color w:val="222222"/>
                <w:sz w:val="21"/>
                <w:szCs w:val="21"/>
                <w:bdr w:val="none" w:color="auto" w:sz="0" w:space="0"/>
              </w:rPr>
              <w:t>L≤2.0</w:t>
            </w:r>
            <w:r>
              <w:rPr>
                <w:rStyle w:val="6"/>
                <w:i w:val="0"/>
                <w:iCs w:val="0"/>
                <w:color w:val="222222"/>
                <w:sz w:val="21"/>
                <w:szCs w:val="21"/>
                <w:u w:val="none"/>
                <w:bdr w:val="none" w:color="auto" w:sz="0" w:space="0"/>
              </w:rPr>
              <w:t>D</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接近（Ⅱ）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2"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2.0</w:t>
            </w:r>
            <w:r>
              <w:rPr>
                <w:rStyle w:val="6"/>
                <w:i w:val="0"/>
                <w:iCs w:val="0"/>
                <w:color w:val="222222"/>
                <w:sz w:val="21"/>
                <w:szCs w:val="21"/>
                <w:u w:val="none"/>
                <w:bdr w:val="none" w:color="auto" w:sz="0" w:space="0"/>
              </w:rPr>
              <w:t>＜</w:t>
            </w:r>
            <w:r>
              <w:rPr>
                <w:color w:val="222222"/>
                <w:sz w:val="21"/>
                <w:szCs w:val="21"/>
                <w:bdr w:val="none" w:color="auto" w:sz="0" w:space="0"/>
              </w:rPr>
              <w:t>L≤3.0</w:t>
            </w:r>
            <w:r>
              <w:rPr>
                <w:rStyle w:val="6"/>
                <w:i w:val="0"/>
                <w:iCs w:val="0"/>
                <w:color w:val="222222"/>
                <w:sz w:val="21"/>
                <w:szCs w:val="21"/>
                <w:u w:val="none"/>
                <w:bdr w:val="none" w:color="auto" w:sz="0" w:space="0"/>
              </w:rPr>
              <w:t>D</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较接近（Ⅲ）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9" w:hRule="atLeast"/>
          <w:jc w:val="center"/>
        </w:trPr>
        <w:tc>
          <w:tcPr>
            <w:tcW w:w="3018" w:type="dxa"/>
            <w:vMerge w:val="continue"/>
            <w:shd w:val="cle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eastAsia" w:ascii="宋体"/>
                <w:color w:val="222222"/>
                <w:sz w:val="24"/>
                <w:szCs w:val="24"/>
              </w:rPr>
            </w:pPr>
          </w:p>
        </w:tc>
        <w:tc>
          <w:tcPr>
            <w:tcW w:w="28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L&gt;3.0</w:t>
            </w:r>
            <w:r>
              <w:rPr>
                <w:rStyle w:val="6"/>
                <w:i w:val="0"/>
                <w:iCs w:val="0"/>
                <w:color w:val="222222"/>
                <w:sz w:val="21"/>
                <w:szCs w:val="21"/>
                <w:u w:val="none"/>
                <w:bdr w:val="none" w:color="auto" w:sz="0" w:space="0"/>
              </w:rPr>
              <w:t>D</w:t>
            </w:r>
          </w:p>
        </w:tc>
        <w:tc>
          <w:tcPr>
            <w:tcW w:w="261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不接近（Ⅳ）</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 xml:space="preserve">注：1 </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L为城市轨道交通既有结构类型及其与外部作业的最小相对净距，H为明挖、盖挖法城市轨道交通结构的基坑开挖深度；W为矿山法城市轨道交通结构的隧道毛洞跨度；D为盾构法城市轨道交通结构的隧道外径，圆形顶管结构的外径或矩形顶管结构的长边宽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 xml:space="preserve">2 </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相对净距指外部作业的结构外边线与城市轨道交通结构外边线的最小净距离。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 xml:space="preserve">3 </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城市轨道交通非轨行区结构可按相关经验进行适当调整。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390900" cy="2019300"/>
            <wp:effectExtent l="0" t="0" r="0" b="0"/>
            <wp:docPr id="1" name="图片 1" descr="1583496649200094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3496649200094569.gif"/>
                    <pic:cNvPicPr>
                      <a:picLocks noChangeAspect="1"/>
                    </pic:cNvPicPr>
                  </pic:nvPicPr>
                  <pic:blipFill>
                    <a:blip r:embed="rId4"/>
                    <a:stretch>
                      <a:fillRect/>
                    </a:stretch>
                  </pic:blipFill>
                  <pic:spPr>
                    <a:xfrm>
                      <a:off x="0" y="0"/>
                      <a:ext cx="3390900" cy="2019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494E4E"/>
          <w:sz w:val="21"/>
          <w:szCs w:val="21"/>
        </w:rPr>
      </w:pPr>
      <w:r>
        <w:rPr>
          <w:color w:val="494E4E"/>
          <w:sz w:val="21"/>
          <w:szCs w:val="21"/>
          <w:bdr w:val="none" w:color="auto" w:sz="0" w:space="0"/>
        </w:rPr>
        <w:t>图1 明、盖挖法隧道既有结构的接近程度判定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494E4E"/>
          <w:sz w:val="21"/>
          <w:szCs w:val="21"/>
        </w:rPr>
      </w:pPr>
      <w:r>
        <w:rPr>
          <w:color w:val="494E4E"/>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162300" cy="2390775"/>
            <wp:effectExtent l="0" t="0" r="0" b="9525"/>
            <wp:docPr id="5" name="图片 2" descr="158349667990201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83496679902012002.gif"/>
                    <pic:cNvPicPr>
                      <a:picLocks noChangeAspect="1"/>
                    </pic:cNvPicPr>
                  </pic:nvPicPr>
                  <pic:blipFill>
                    <a:blip r:embed="rId5"/>
                    <a:stretch>
                      <a:fillRect/>
                    </a:stretch>
                  </pic:blipFill>
                  <pic:spPr>
                    <a:xfrm>
                      <a:off x="0" y="0"/>
                      <a:ext cx="3162300" cy="2390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494E4E"/>
          <w:sz w:val="21"/>
          <w:szCs w:val="21"/>
        </w:rPr>
      </w:pPr>
      <w:r>
        <w:rPr>
          <w:color w:val="494E4E"/>
          <w:sz w:val="21"/>
          <w:szCs w:val="21"/>
          <w:bdr w:val="none" w:color="auto" w:sz="0" w:space="0"/>
        </w:rPr>
        <w:t>图2 矿山法隧道既有结构的接近程度判定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494E4E"/>
          <w:sz w:val="21"/>
          <w:szCs w:val="21"/>
        </w:rPr>
      </w:pPr>
      <w:r>
        <w:rPr>
          <w:color w:val="494E4E"/>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114675" cy="2657475"/>
            <wp:effectExtent l="0" t="0" r="9525" b="9525"/>
            <wp:docPr id="2" name="图片 3" descr="1583496699250031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83496699250031738.gif"/>
                    <pic:cNvPicPr>
                      <a:picLocks noChangeAspect="1"/>
                    </pic:cNvPicPr>
                  </pic:nvPicPr>
                  <pic:blipFill>
                    <a:blip r:embed="rId6"/>
                    <a:stretch>
                      <a:fillRect/>
                    </a:stretch>
                  </pic:blipFill>
                  <pic:spPr>
                    <a:xfrm>
                      <a:off x="0" y="0"/>
                      <a:ext cx="3114675" cy="2657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494E4E"/>
          <w:sz w:val="21"/>
          <w:szCs w:val="21"/>
        </w:rPr>
      </w:pPr>
      <w:r>
        <w:rPr>
          <w:color w:val="494E4E"/>
          <w:sz w:val="21"/>
          <w:szCs w:val="21"/>
          <w:bdr w:val="none" w:color="auto" w:sz="0" w:space="0"/>
        </w:rPr>
        <w:t>图3 盾构法或顶管法隧道既有结构的接近程度判定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494E4E"/>
          <w:sz w:val="21"/>
          <w:szCs w:val="21"/>
        </w:rPr>
      </w:pPr>
      <w:r>
        <w:rPr>
          <w:color w:val="494E4E"/>
          <w:sz w:val="21"/>
          <w:szCs w:val="2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二、工程影响分区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外部作业的工程影响分区宜根据外部作业的施工方法确定。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1</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明挖、盖挖法外部作业的工程影响分区宜按表2和图4确定。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表2 明挖、盖挖法外部作业的工程影响分区</w:t>
      </w:r>
    </w:p>
    <w:tbl>
      <w:tblPr>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2925"/>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5" w:hRule="atLeast"/>
          <w:jc w:val="center"/>
        </w:trPr>
        <w:tc>
          <w:tcPr>
            <w:tcW w:w="29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工程影响分区</w:t>
            </w:r>
          </w:p>
        </w:tc>
        <w:tc>
          <w:tcPr>
            <w:tcW w:w="5174"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5" w:hRule="atLeast"/>
          <w:jc w:val="center"/>
        </w:trPr>
        <w:tc>
          <w:tcPr>
            <w:tcW w:w="29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强烈影响区（A）</w:t>
            </w:r>
          </w:p>
        </w:tc>
        <w:tc>
          <w:tcPr>
            <w:tcW w:w="5174"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结构正上方及外侧0.7h</w:t>
            </w:r>
            <w:r>
              <w:rPr>
                <w:color w:val="222222"/>
                <w:sz w:val="21"/>
                <w:szCs w:val="21"/>
                <w:bdr w:val="none" w:color="auto" w:sz="0" w:space="0"/>
                <w:vertAlign w:val="subscript"/>
              </w:rPr>
              <w:t>1</w:t>
            </w:r>
            <w:r>
              <w:rPr>
                <w:color w:val="222222"/>
                <w:sz w:val="21"/>
                <w:szCs w:val="21"/>
                <w:bdr w:val="none" w:color="auto" w:sz="0" w:space="0"/>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5" w:hRule="atLeast"/>
          <w:jc w:val="center"/>
        </w:trPr>
        <w:tc>
          <w:tcPr>
            <w:tcW w:w="29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显著影响区（B）</w:t>
            </w:r>
          </w:p>
        </w:tc>
        <w:tc>
          <w:tcPr>
            <w:tcW w:w="5174"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结构外侧0.7～1.0h</w:t>
            </w:r>
            <w:r>
              <w:rPr>
                <w:color w:val="222222"/>
                <w:sz w:val="21"/>
                <w:szCs w:val="21"/>
                <w:bdr w:val="none" w:color="auto" w:sz="0" w:space="0"/>
                <w:vertAlign w:val="subscript"/>
              </w:rPr>
              <w:t>1</w:t>
            </w:r>
            <w:r>
              <w:rPr>
                <w:color w:val="222222"/>
                <w:sz w:val="21"/>
                <w:szCs w:val="21"/>
                <w:bdr w:val="none" w:color="auto" w:sz="0" w:space="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5" w:hRule="atLeast"/>
          <w:jc w:val="center"/>
        </w:trPr>
        <w:tc>
          <w:tcPr>
            <w:tcW w:w="29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一般影响区（C）</w:t>
            </w:r>
          </w:p>
        </w:tc>
        <w:tc>
          <w:tcPr>
            <w:tcW w:w="5174"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结构外侧1.0～2.0h</w:t>
            </w:r>
            <w:r>
              <w:rPr>
                <w:color w:val="222222"/>
                <w:sz w:val="21"/>
                <w:szCs w:val="21"/>
                <w:bdr w:val="none" w:color="auto" w:sz="0" w:space="0"/>
                <w:vertAlign w:val="subscript"/>
              </w:rPr>
              <w:t>1</w:t>
            </w:r>
            <w:r>
              <w:rPr>
                <w:color w:val="222222"/>
                <w:sz w:val="21"/>
                <w:szCs w:val="21"/>
                <w:bdr w:val="none" w:color="auto" w:sz="0" w:space="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5" w:hRule="atLeast"/>
          <w:jc w:val="center"/>
        </w:trPr>
        <w:tc>
          <w:tcPr>
            <w:tcW w:w="2925"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较小影响区（D）</w:t>
            </w:r>
          </w:p>
        </w:tc>
        <w:tc>
          <w:tcPr>
            <w:tcW w:w="5174"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结构外侧2.0h</w:t>
            </w:r>
            <w:r>
              <w:rPr>
                <w:color w:val="222222"/>
                <w:sz w:val="21"/>
                <w:szCs w:val="21"/>
                <w:bdr w:val="none" w:color="auto" w:sz="0" w:space="0"/>
                <w:vertAlign w:val="subscript"/>
              </w:rPr>
              <w:t>1</w:t>
            </w:r>
            <w:r>
              <w:rPr>
                <w:color w:val="222222"/>
                <w:sz w:val="21"/>
                <w:szCs w:val="21"/>
                <w:bdr w:val="none" w:color="auto" w:sz="0" w:space="0"/>
              </w:rPr>
              <w:t>范围以外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670" w:hRule="atLeast"/>
          <w:jc w:val="center"/>
        </w:trPr>
        <w:tc>
          <w:tcPr>
            <w:tcW w:w="8099" w:type="dxa"/>
            <w:gridSpan w:val="2"/>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注：1  h</w:t>
            </w:r>
            <w:r>
              <w:rPr>
                <w:color w:val="222222"/>
                <w:sz w:val="21"/>
                <w:szCs w:val="21"/>
                <w:bdr w:val="none" w:color="auto" w:sz="0" w:space="0"/>
                <w:vertAlign w:val="subscript"/>
              </w:rPr>
              <w:t>1</w:t>
            </w:r>
            <w:r>
              <w:rPr>
                <w:color w:val="222222"/>
                <w:sz w:val="21"/>
                <w:szCs w:val="21"/>
                <w:bdr w:val="none" w:color="auto" w:sz="0" w:space="0"/>
              </w:rPr>
              <w:t>为明挖、盖挖法外部作业结构底板的深度；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2  当外部作业需施工锚杆、锚索、土钉时，作业边界以锚杆、锚索、土钉末端的水平投影位置为准。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rPr>
          <w:color w:val="484849"/>
          <w:sz w:val="22"/>
          <w:szCs w:val="22"/>
        </w:rPr>
      </w:pPr>
      <w:r>
        <w:rPr>
          <w:color w:val="484849"/>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494E4E"/>
          <w:sz w:val="21"/>
          <w:szCs w:val="21"/>
        </w:rPr>
      </w:pPr>
      <w:r>
        <w:rPr>
          <w:color w:val="494E4E"/>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552825" cy="1981200"/>
            <wp:effectExtent l="0" t="0" r="9525" b="0"/>
            <wp:docPr id="3" name="图片 4" descr="1583496725370064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583496725370064077.gif"/>
                    <pic:cNvPicPr>
                      <a:picLocks noChangeAspect="1"/>
                    </pic:cNvPicPr>
                  </pic:nvPicPr>
                  <pic:blipFill>
                    <a:blip r:embed="rId7"/>
                    <a:stretch>
                      <a:fillRect/>
                    </a:stretch>
                  </pic:blipFill>
                  <pic:spPr>
                    <a:xfrm>
                      <a:off x="0" y="0"/>
                      <a:ext cx="3552825" cy="1981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494E4E"/>
          <w:sz w:val="21"/>
          <w:szCs w:val="21"/>
        </w:rPr>
      </w:pPr>
      <w:r>
        <w:rPr>
          <w:color w:val="494E4E"/>
          <w:sz w:val="21"/>
          <w:szCs w:val="21"/>
          <w:bdr w:val="none" w:color="auto" w:sz="0" w:space="0"/>
        </w:rPr>
        <w:t>图4 明挖、盖挖法外部作业的工程影响分区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2</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浅埋矿山法和盾构法外部作业工程影响分区宜按表3和图5确定。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表3 浅埋矿山法和盾构法外部作业的工程影响分区</w:t>
      </w:r>
    </w:p>
    <w:tbl>
      <w:tblPr>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3149"/>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3149"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工程影响分区</w:t>
            </w:r>
          </w:p>
        </w:tc>
        <w:tc>
          <w:tcPr>
            <w:tcW w:w="5270"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720" w:hRule="atLeast"/>
          <w:jc w:val="center"/>
        </w:trPr>
        <w:tc>
          <w:tcPr>
            <w:tcW w:w="3149"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强烈影响区（A）</w:t>
            </w:r>
          </w:p>
        </w:tc>
        <w:tc>
          <w:tcPr>
            <w:tcW w:w="5270"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隧道正上方及外侧0.7h</w:t>
            </w:r>
            <w:r>
              <w:rPr>
                <w:color w:val="222222"/>
                <w:sz w:val="21"/>
                <w:szCs w:val="21"/>
                <w:bdr w:val="none" w:color="auto" w:sz="0" w:space="0"/>
                <w:vertAlign w:val="subscript"/>
              </w:rPr>
              <w:t>2</w:t>
            </w:r>
            <w:r>
              <w:rPr>
                <w:color w:val="222222"/>
                <w:sz w:val="21"/>
                <w:szCs w:val="21"/>
                <w:bdr w:val="none" w:color="auto" w:sz="0" w:space="0"/>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3149"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显著影响区（B）</w:t>
            </w:r>
          </w:p>
        </w:tc>
        <w:tc>
          <w:tcPr>
            <w:tcW w:w="5270"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隧道外侧0.7～1.0h</w:t>
            </w:r>
            <w:r>
              <w:rPr>
                <w:color w:val="222222"/>
                <w:sz w:val="21"/>
                <w:szCs w:val="21"/>
                <w:bdr w:val="none" w:color="auto" w:sz="0" w:space="0"/>
                <w:vertAlign w:val="subscript"/>
              </w:rPr>
              <w:t>2</w:t>
            </w:r>
            <w:r>
              <w:rPr>
                <w:color w:val="222222"/>
                <w:sz w:val="21"/>
                <w:szCs w:val="21"/>
                <w:bdr w:val="none" w:color="auto" w:sz="0" w:space="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720" w:hRule="atLeast"/>
          <w:jc w:val="center"/>
        </w:trPr>
        <w:tc>
          <w:tcPr>
            <w:tcW w:w="3149"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一般影响区（C）</w:t>
            </w:r>
          </w:p>
        </w:tc>
        <w:tc>
          <w:tcPr>
            <w:tcW w:w="5270"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隧道外侧1.0～2.0h</w:t>
            </w:r>
            <w:r>
              <w:rPr>
                <w:color w:val="222222"/>
                <w:sz w:val="21"/>
                <w:szCs w:val="21"/>
                <w:bdr w:val="none" w:color="auto" w:sz="0" w:space="0"/>
                <w:vertAlign w:val="subscript"/>
              </w:rPr>
              <w:t>2</w:t>
            </w:r>
            <w:r>
              <w:rPr>
                <w:color w:val="222222"/>
                <w:sz w:val="21"/>
                <w:szCs w:val="21"/>
                <w:bdr w:val="none" w:color="auto" w:sz="0" w:space="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3149"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较小影响区（D）</w:t>
            </w:r>
          </w:p>
        </w:tc>
        <w:tc>
          <w:tcPr>
            <w:tcW w:w="5270" w:type="dxa"/>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隧道外侧2.0h</w:t>
            </w:r>
            <w:r>
              <w:rPr>
                <w:color w:val="222222"/>
                <w:sz w:val="21"/>
                <w:szCs w:val="21"/>
                <w:bdr w:val="none" w:color="auto" w:sz="0" w:space="0"/>
                <w:vertAlign w:val="subscript"/>
              </w:rPr>
              <w:t>2</w:t>
            </w:r>
            <w:r>
              <w:rPr>
                <w:color w:val="222222"/>
                <w:sz w:val="21"/>
                <w:szCs w:val="21"/>
                <w:bdr w:val="none" w:color="auto" w:sz="0" w:space="0"/>
              </w:rPr>
              <w:t>范围以外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2" w:hRule="atLeast"/>
          <w:jc w:val="center"/>
        </w:trPr>
        <w:tc>
          <w:tcPr>
            <w:tcW w:w="8419" w:type="dxa"/>
            <w:gridSpan w:val="2"/>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jc w:val="left"/>
              <w:textAlignment w:val="auto"/>
              <w:rPr>
                <w:color w:val="494E4E"/>
                <w:sz w:val="21"/>
                <w:szCs w:val="21"/>
              </w:rPr>
            </w:pPr>
            <w:r>
              <w:rPr>
                <w:color w:val="222222"/>
                <w:sz w:val="21"/>
                <w:szCs w:val="21"/>
                <w:bdr w:val="none" w:color="auto" w:sz="0" w:space="0"/>
              </w:rPr>
              <w:t>注：1  h</w:t>
            </w:r>
            <w:r>
              <w:rPr>
                <w:color w:val="222222"/>
                <w:sz w:val="21"/>
                <w:szCs w:val="21"/>
                <w:bdr w:val="none" w:color="auto" w:sz="0" w:space="0"/>
                <w:vertAlign w:val="subscript"/>
              </w:rPr>
              <w:t>2</w:t>
            </w:r>
            <w:r>
              <w:rPr>
                <w:color w:val="222222"/>
                <w:sz w:val="21"/>
                <w:szCs w:val="21"/>
                <w:bdr w:val="none" w:color="auto" w:sz="0" w:space="0"/>
              </w:rPr>
              <w:t>为矿山法和盾构法外部作业隧道底板的深度；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631" w:right="0"/>
              <w:jc w:val="left"/>
              <w:textAlignment w:val="auto"/>
              <w:rPr>
                <w:color w:val="494E4E"/>
                <w:sz w:val="21"/>
                <w:szCs w:val="21"/>
              </w:rPr>
            </w:pPr>
            <w:r>
              <w:rPr>
                <w:color w:val="222222"/>
                <w:sz w:val="21"/>
                <w:szCs w:val="21"/>
                <w:bdr w:val="none" w:color="auto" w:sz="0" w:space="0"/>
              </w:rPr>
              <w:t>2  当外部作业需施工锚杆、锚索、土钉时，作业边界以锚杆、锚索、土钉末端的水平投影位置为准；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631" w:right="0"/>
              <w:jc w:val="left"/>
              <w:textAlignment w:val="auto"/>
              <w:rPr>
                <w:color w:val="494E4E"/>
                <w:sz w:val="21"/>
                <w:szCs w:val="21"/>
              </w:rPr>
            </w:pPr>
            <w:r>
              <w:rPr>
                <w:color w:val="222222"/>
                <w:sz w:val="21"/>
                <w:szCs w:val="21"/>
                <w:bdr w:val="none" w:color="auto" w:sz="0" w:space="0"/>
              </w:rPr>
              <w:t>3  本表适用于矿山法和盾构法外部作业的浅埋隧道，隧道顶埋深小于3b（b为隧道毛洞跨度）。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rPr>
          <w:color w:val="484849"/>
          <w:sz w:val="22"/>
          <w:szCs w:val="22"/>
        </w:rPr>
      </w:pPr>
      <w:r>
        <w:rPr>
          <w:color w:val="484849"/>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494E4E"/>
          <w:sz w:val="21"/>
          <w:szCs w:val="21"/>
        </w:rPr>
      </w:pPr>
      <w:r>
        <w:rPr>
          <w:color w:val="494E4E"/>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438525" cy="2152650"/>
            <wp:effectExtent l="0" t="0" r="9525" b="0"/>
            <wp:docPr id="4" name="图片 5" descr="1583496744799050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583496744799050478.gif"/>
                    <pic:cNvPicPr>
                      <a:picLocks noChangeAspect="1"/>
                    </pic:cNvPicPr>
                  </pic:nvPicPr>
                  <pic:blipFill>
                    <a:blip r:embed="rId8"/>
                    <a:stretch>
                      <a:fillRect/>
                    </a:stretch>
                  </pic:blipFill>
                  <pic:spPr>
                    <a:xfrm>
                      <a:off x="0" y="0"/>
                      <a:ext cx="3438525" cy="2152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5" w:right="0"/>
        <w:jc w:val="center"/>
        <w:rPr>
          <w:color w:val="494E4E"/>
          <w:sz w:val="21"/>
          <w:szCs w:val="21"/>
        </w:rPr>
      </w:pPr>
      <w:r>
        <w:rPr>
          <w:color w:val="494E4E"/>
          <w:sz w:val="21"/>
          <w:szCs w:val="21"/>
          <w:bdr w:val="none" w:color="auto" w:sz="0" w:space="0"/>
        </w:rPr>
        <w:t>图5 浅埋矿山法和盾构法外部作业的工程影响分区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rPr>
          <w:color w:val="484849"/>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3</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深埋矿山法和盾构法外部作业工程影响分区按表4和图6确定。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表4 深埋矿山法和盾构法外部作业的工程影响分区</w:t>
      </w:r>
    </w:p>
    <w:tbl>
      <w:tblP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3580"/>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1015" w:hRule="atLeast"/>
          <w:jc w:val="center"/>
        </w:trPr>
        <w:tc>
          <w:tcPr>
            <w:tcW w:w="35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工程影响分区</w:t>
            </w:r>
          </w:p>
        </w:tc>
        <w:tc>
          <w:tcPr>
            <w:tcW w:w="54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5" w:hRule="atLeast"/>
          <w:jc w:val="center"/>
        </w:trPr>
        <w:tc>
          <w:tcPr>
            <w:tcW w:w="35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强烈影响区（A）</w:t>
            </w:r>
          </w:p>
        </w:tc>
        <w:tc>
          <w:tcPr>
            <w:tcW w:w="54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隧道正上方及外侧1.0b范围内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015" w:hRule="atLeast"/>
          <w:jc w:val="center"/>
        </w:trPr>
        <w:tc>
          <w:tcPr>
            <w:tcW w:w="35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显著影响区（B）</w:t>
            </w:r>
          </w:p>
        </w:tc>
        <w:tc>
          <w:tcPr>
            <w:tcW w:w="54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隧道外侧1.0b～2.0b范围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5" w:hRule="atLeast"/>
          <w:jc w:val="center"/>
        </w:trPr>
        <w:tc>
          <w:tcPr>
            <w:tcW w:w="35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一般影响区（C）</w:t>
            </w:r>
          </w:p>
        </w:tc>
        <w:tc>
          <w:tcPr>
            <w:tcW w:w="54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隧道外侧2.0b～3.0b范围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024" w:hRule="atLeast"/>
          <w:jc w:val="center"/>
        </w:trPr>
        <w:tc>
          <w:tcPr>
            <w:tcW w:w="35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较小影响区（D）</w:t>
            </w:r>
          </w:p>
        </w:tc>
        <w:tc>
          <w:tcPr>
            <w:tcW w:w="54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left"/>
              <w:rPr>
                <w:color w:val="494E4E"/>
                <w:sz w:val="21"/>
                <w:szCs w:val="21"/>
              </w:rPr>
            </w:pPr>
            <w:r>
              <w:rPr>
                <w:color w:val="222222"/>
                <w:sz w:val="21"/>
                <w:szCs w:val="21"/>
                <w:bdr w:val="none" w:color="auto" w:sz="0" w:space="0"/>
              </w:rPr>
              <w:t>隧道外侧3.0b范围以外</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注：1</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b为矿山法和盾构法隧道的毛洞跨度；2</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当外部作业需施工锚杆、锚索、土钉时，作业边界以锚杆、锚索、土钉末端的水平投影位置为准。；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3</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本表适用于矿山法和盾构法隧道顶埋深大于3b（b为隧道毛洞跨度）的深埋隧道。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jc w:val="center"/>
        <w:rPr>
          <w:color w:val="484849"/>
          <w:sz w:val="22"/>
          <w:szCs w:val="22"/>
        </w:rPr>
      </w:pPr>
      <w:r>
        <w:rPr>
          <w:color w:val="484849"/>
          <w:sz w:val="22"/>
          <w:szCs w:val="22"/>
          <w:bdr w:val="none" w:color="auto" w:sz="0" w:space="0"/>
        </w:rPr>
        <w:drawing>
          <wp:inline distT="0" distB="0" distL="114300" distR="114300">
            <wp:extent cx="3819525" cy="2686050"/>
            <wp:effectExtent l="0" t="0" r="9525" b="0"/>
            <wp:docPr id="6" name="图片 6" descr="1583496766148062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3496766148062474.gif"/>
                    <pic:cNvPicPr>
                      <a:picLocks noChangeAspect="1"/>
                    </pic:cNvPicPr>
                  </pic:nvPicPr>
                  <pic:blipFill>
                    <a:blip r:embed="rId9"/>
                    <a:stretch>
                      <a:fillRect/>
                    </a:stretch>
                  </pic:blipFill>
                  <pic:spPr>
                    <a:xfrm>
                      <a:off x="0" y="0"/>
                      <a:ext cx="3819525" cy="2686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567" w:right="0"/>
        <w:jc w:val="center"/>
        <w:rPr>
          <w:color w:val="484849"/>
          <w:sz w:val="22"/>
          <w:szCs w:val="22"/>
        </w:rPr>
      </w:pPr>
      <w:r>
        <w:rPr>
          <w:color w:val="494E4E"/>
          <w:sz w:val="21"/>
          <w:szCs w:val="21"/>
          <w:bdr w:val="none" w:color="auto" w:sz="0" w:space="0"/>
        </w:rPr>
        <w:t>图6 深埋矿山法和盾构法外部作业的工程影响分区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三、  外部作业影响等级应按表5进行划分。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center"/>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表5 外部作业影响等级的划分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rPr>
          <w:color w:val="484849"/>
          <w:sz w:val="22"/>
          <w:szCs w:val="22"/>
        </w:rPr>
      </w:pPr>
      <w:r>
        <w:rPr>
          <w:color w:val="484849"/>
          <w:sz w:val="22"/>
          <w:szCs w:val="22"/>
          <w:bdr w:val="none" w:color="auto" w:sz="0" w:space="0"/>
        </w:rPr>
        <w:drawing>
          <wp:inline distT="0" distB="0" distL="114300" distR="114300">
            <wp:extent cx="4819650" cy="1781175"/>
            <wp:effectExtent l="0" t="0" r="0" b="9525"/>
            <wp:docPr id="7" name="图片 7" descr="158349704160802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3497041608025214.jpg"/>
                    <pic:cNvPicPr>
                      <a:picLocks noChangeAspect="1"/>
                    </pic:cNvPicPr>
                  </pic:nvPicPr>
                  <pic:blipFill>
                    <a:blip r:embed="rId10"/>
                    <a:stretch>
                      <a:fillRect/>
                    </a:stretch>
                  </pic:blipFill>
                  <pic:spPr>
                    <a:xfrm>
                      <a:off x="0" y="0"/>
                      <a:ext cx="4819650" cy="178117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注：1</w:t>
      </w:r>
      <w:r>
        <w:rPr>
          <w:rFonts w:hint="eastAsia" w:ascii="微软雅黑" w:hAnsi="微软雅黑" w:eastAsia="微软雅黑" w:cs="微软雅黑"/>
          <w:color w:val="494E4E"/>
          <w:sz w:val="21"/>
          <w:szCs w:val="21"/>
          <w:lang w:val="en-US" w:eastAsia="zh-CN"/>
        </w:rPr>
        <w:t>.</w:t>
      </w:r>
      <w:r>
        <w:rPr>
          <w:rFonts w:hint="eastAsia" w:ascii="微软雅黑" w:hAnsi="微软雅黑" w:eastAsia="微软雅黑" w:cs="微软雅黑"/>
          <w:color w:val="494E4E"/>
          <w:sz w:val="21"/>
          <w:szCs w:val="21"/>
        </w:rPr>
        <w:t>本表适用于围岩级别为Ⅳ、Ⅴ的情况；围岩级别为Ⅰ～Ⅲ的情况，表中的影响等级可降低一级；围岩级别为Ⅵ的软土地区，表中的影响等级应提高一级，特级时不再提高。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2</w:t>
      </w:r>
      <w:r>
        <w:rPr>
          <w:rFonts w:hint="eastAsia" w:ascii="微软雅黑" w:hAnsi="微软雅黑" w:eastAsia="微软雅黑" w:cs="微软雅黑"/>
          <w:color w:val="494E4E"/>
          <w:sz w:val="21"/>
          <w:szCs w:val="21"/>
          <w:lang w:val="en-US" w:eastAsia="zh-CN"/>
        </w:rPr>
        <w:t>.</w:t>
      </w:r>
      <w:bookmarkStart w:id="0" w:name="_GoBack"/>
      <w:bookmarkEnd w:id="0"/>
      <w:r>
        <w:rPr>
          <w:rFonts w:hint="eastAsia" w:ascii="微软雅黑" w:hAnsi="微软雅黑" w:eastAsia="微软雅黑" w:cs="微软雅黑"/>
          <w:color w:val="494E4E"/>
          <w:sz w:val="21"/>
          <w:szCs w:val="21"/>
        </w:rPr>
        <w:t>围岩级别应按现行标准《铁路隧道设计规范》TB10003中的有关规定确定。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微软雅黑" w:hAnsi="微软雅黑" w:eastAsia="微软雅黑" w:cs="微软雅黑"/>
          <w:color w:val="494E4E"/>
          <w:sz w:val="21"/>
          <w:szCs w:val="21"/>
        </w:rPr>
      </w:pPr>
      <w:r>
        <w:rPr>
          <w:rFonts w:hint="eastAsia" w:ascii="微软雅黑" w:hAnsi="微软雅黑" w:eastAsia="微软雅黑" w:cs="微软雅黑"/>
          <w:color w:val="494E4E"/>
          <w:sz w:val="21"/>
          <w:szCs w:val="21"/>
        </w:rPr>
        <w:t>城市轨道交通既有结构处于复杂的工程地质条件或存在地质灾害的情况，其外部作业影响等级应结合周边工程经验综合确定，不宜低于一级。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line="450" w:lineRule="atLeast"/>
        <w:ind w:left="0" w:right="0"/>
        <w:rPr>
          <w:color w:val="484849"/>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66981"/>
    <w:rsid w:val="16595B60"/>
    <w:rsid w:val="45737FCA"/>
    <w:rsid w:val="4870694A"/>
    <w:rsid w:val="4AB6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2023-05-12T07:36:00Z</dcterms:created>
  <dc:creator>谢筱颖</dc:creator>
  <cp:lastModifiedBy>谢筱颖</cp:lastModifiedBy>
  <dcterms:modified xsi:type="dcterms:W3CDTF">2023-05-12T07:43:11Z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EF26EF4966F84618841B6675F492F6F8</vt:lpwstr>
  </property>
</Properties>
</file>