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ascii="微软雅黑" w:hAnsi="微软雅黑" w:eastAsia="微软雅黑" w:cs="微软雅黑"/>
          <w:b w:val="0"/>
          <w:bCs w:val="0"/>
          <w:i w:val="0"/>
          <w:iCs w:val="0"/>
          <w:caps w:val="0"/>
          <w:color w:val="484849"/>
          <w:spacing w:val="0"/>
          <w:sz w:val="28"/>
          <w:szCs w:val="28"/>
          <w:shd w:val="clear" w:fill="FFFFFF"/>
          <w:lang w:val="en-US" w:eastAsia="zh-CN"/>
        </w:rPr>
      </w:pPr>
      <w:bookmarkStart w:id="0" w:name="_GoBack"/>
      <w:r>
        <w:rPr>
          <w:rFonts w:hint="eastAsia" w:ascii="微软雅黑" w:hAnsi="微软雅黑" w:eastAsia="微软雅黑" w:cs="微软雅黑"/>
          <w:b w:val="0"/>
          <w:bCs w:val="0"/>
          <w:i w:val="0"/>
          <w:iCs w:val="0"/>
          <w:caps w:val="0"/>
          <w:color w:val="484849"/>
          <w:spacing w:val="0"/>
          <w:sz w:val="28"/>
          <w:szCs w:val="28"/>
          <w:shd w:val="clear" w:fill="FFFFFF"/>
          <w:lang w:val="en-US" w:eastAsia="zh-CN"/>
        </w:rPr>
        <w:t>地铁设施安全控制指标</w:t>
      </w:r>
    </w:p>
    <w:bookmarkEnd w:id="0"/>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一、技术要求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（一）除非深铁集团批准，轨道交通结构外边线周围的 3m 范围内不能进行任何工程建设。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（二）未经许可，不得在轨道交通车站、区间隧道上方及周边实施大面积的加载卸载、注浆和抽水等影响结构安全的作业。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（三）严禁在车站及附属结构上方施钻；严禁在区间隧道上方施钻；地质钻探孔位置与轨道交通设施水平净距离原则上不应小于 3m。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（四）管线、构筑物、其他设施需跨越、横穿或涉及轨道交通设施的，与轨道交通设施的垂直净距离原则上不应小于 3m。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（五）基坑或边坡支护的锚杆、锚索、土钉等支护至轨道交通工程设施的各方向净距离不应小于 3m。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（六）地面建筑距风亭的风口净距不应小于 5m。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（七）工程基础与基坑支护应采用对轨道交通设施影响小的形式，施工时应严格控制基坑外地下水位降幅。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（八）施工时不得影响轨道交通车站出入口的正常运营和轨道交通风亭、冷却塔、变电站等设施的正常运行。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在调查轨道交通设施现状之前完成的设计方案，应在现状调查之后根据轨道交通结构实际健康状况重新进行轨道交通保护方案复核与设计。如经深铁集团审查同意的设计施工方案发生变更，应重新报审。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二、地铁设施安全控制指标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（一）地铁结构安全控制指标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地铁结构的水平位移、竖向位移、径向收敛、变形缝差异变形、隧道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轴线变形曲率半径、隧道变形相对变曲、车站及隧道结构外壁附加荷载、 结构振动速度等指标的控制值按下式确定： </w:t>
      </w:r>
    </w:p>
    <w:p>
      <w:pPr>
        <w:jc w:val="center"/>
        <w:rPr>
          <w:rFonts w:ascii="微软雅黑" w:hAnsi="微软雅黑" w:eastAsia="微软雅黑" w:cs="微软雅黑"/>
          <w:i w:val="0"/>
          <w:iCs w:val="0"/>
          <w:caps w:val="0"/>
          <w:color w:val="484849"/>
          <w:spacing w:val="0"/>
          <w:sz w:val="21"/>
          <w:szCs w:val="21"/>
          <w:shd w:val="clear" w:fill="FFFFFF"/>
        </w:rPr>
      </w:pPr>
      <w:r>
        <w:rPr>
          <w:rFonts w:ascii="微软雅黑" w:hAnsi="微软雅黑" w:eastAsia="微软雅黑" w:cs="微软雅黑"/>
          <w:i w:val="0"/>
          <w:iCs w:val="0"/>
          <w:caps w:val="0"/>
          <w:color w:val="484849"/>
          <w:spacing w:val="0"/>
          <w:sz w:val="21"/>
          <w:szCs w:val="21"/>
          <w:shd w:val="clear" w:fill="FFFFFF"/>
        </w:rPr>
        <w:t>ri= Ki * Ri</w:t>
      </w:r>
    </w:p>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其中： ri —项目允许值； </w:t>
      </w:r>
    </w:p>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Ki —安全控制系数，</w:t>
      </w:r>
      <w:r>
        <w:rPr>
          <w:rFonts w:ascii="微软雅黑" w:hAnsi="微软雅黑" w:eastAsia="微软雅黑" w:cs="微软雅黑"/>
          <w:i w:val="0"/>
          <w:iCs w:val="0"/>
          <w:caps w:val="0"/>
          <w:color w:val="484849"/>
          <w:spacing w:val="0"/>
          <w:sz w:val="21"/>
          <w:szCs w:val="21"/>
          <w:shd w:val="clear" w:fill="FFFFFF"/>
        </w:rPr>
        <w:t>Ki≤1</w:t>
      </w: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，具体值根据结构健康度和评估报告等综合确定；</w:t>
      </w:r>
    </w:p>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Ri —控制值（具体数值参见表1）。 </w:t>
      </w:r>
    </w:p>
    <w:p>
      <w:pPr>
        <w:jc w:val="center"/>
        <w:rPr>
          <w:rFonts w:hint="eastAsia" w:ascii="微软雅黑" w:hAnsi="微软雅黑" w:eastAsia="微软雅黑" w:cs="微软雅黑"/>
          <w:b w:val="0"/>
          <w:bCs w:val="0"/>
          <w:i w:val="0"/>
          <w:iCs w:val="0"/>
          <w:caps w:val="0"/>
          <w:color w:val="484849"/>
          <w:spacing w:val="0"/>
          <w:sz w:val="18"/>
          <w:szCs w:val="18"/>
          <w:shd w:val="clear" w:fill="FFFFFF"/>
          <w:lang w:val="en-US" w:eastAsia="zh-CN"/>
        </w:rPr>
      </w:pPr>
      <w:r>
        <w:rPr>
          <w:rFonts w:hint="eastAsia" w:ascii="微软雅黑" w:hAnsi="微软雅黑" w:eastAsia="微软雅黑" w:cs="微软雅黑"/>
          <w:b w:val="0"/>
          <w:bCs w:val="0"/>
          <w:i w:val="0"/>
          <w:iCs w:val="0"/>
          <w:caps w:val="0"/>
          <w:color w:val="484849"/>
          <w:spacing w:val="0"/>
          <w:sz w:val="18"/>
          <w:szCs w:val="18"/>
          <w:shd w:val="clear" w:fill="FFFFFF"/>
          <w:lang w:val="en-US" w:eastAsia="zh-CN"/>
        </w:rPr>
        <w:t>表 1 车站及隧道结构安全控制指标标准值</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5"/>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bCs/>
                <w:i w:val="0"/>
                <w:iCs w:val="0"/>
                <w:caps w:val="0"/>
                <w:color w:val="484849"/>
                <w:spacing w:val="0"/>
                <w:sz w:val="21"/>
                <w:szCs w:val="21"/>
                <w:shd w:val="clear" w:fill="FFFFFF"/>
              </w:rPr>
            </w:pPr>
            <w:r>
              <w:rPr>
                <w:rFonts w:hint="eastAsia" w:ascii="微软雅黑" w:hAnsi="微软雅黑" w:eastAsia="微软雅黑" w:cs="微软雅黑"/>
                <w:b/>
                <w:bCs/>
                <w:i w:val="0"/>
                <w:iCs w:val="0"/>
                <w:caps w:val="0"/>
                <w:color w:val="484849"/>
                <w:spacing w:val="0"/>
                <w:sz w:val="21"/>
                <w:szCs w:val="21"/>
                <w:shd w:val="clear" w:fill="FFFFFF"/>
                <w:lang w:val="en-US" w:eastAsia="zh-CN"/>
              </w:rPr>
              <w:t xml:space="preserve">安全控制指标 </w:t>
            </w:r>
          </w:p>
        </w:tc>
        <w:tc>
          <w:tcPr>
            <w:tcW w:w="3597" w:type="dxa"/>
          </w:tcPr>
          <w:p>
            <w:pPr>
              <w:rPr>
                <w:rFonts w:hint="eastAsia" w:ascii="微软雅黑" w:hAnsi="微软雅黑" w:eastAsia="微软雅黑" w:cs="微软雅黑"/>
                <w:b/>
                <w:bCs/>
                <w:i w:val="0"/>
                <w:iCs w:val="0"/>
                <w:caps w:val="0"/>
                <w:color w:val="484849"/>
                <w:spacing w:val="0"/>
                <w:sz w:val="21"/>
                <w:szCs w:val="21"/>
                <w:shd w:val="clear" w:fill="FFFFFF"/>
              </w:rPr>
            </w:pPr>
            <w:r>
              <w:rPr>
                <w:rFonts w:hint="eastAsia" w:ascii="微软雅黑" w:hAnsi="微软雅黑" w:eastAsia="微软雅黑" w:cs="微软雅黑"/>
                <w:b/>
                <w:bCs/>
                <w:i w:val="0"/>
                <w:iCs w:val="0"/>
                <w:caps w:val="0"/>
                <w:color w:val="484849"/>
                <w:spacing w:val="0"/>
                <w:sz w:val="21"/>
                <w:szCs w:val="21"/>
                <w:shd w:val="clear" w:fill="FFFFFF"/>
                <w:lang w:val="en-US" w:eastAsia="zh-CN"/>
              </w:rPr>
              <w:t xml:space="preserve">控制值 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地下车站及隧道结构水平位移</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地下车站及隧道结构竖向位移</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地下车站及隧道结构径向收敛</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高架结构水平位移</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高架结构竖向位移</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变形缝差异变形 </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隧道轴线变形曲率半径</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≥15000m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隧道变形相对变曲</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车站及隧道结构外壁附加荷载</w:t>
            </w:r>
            <w:r>
              <w:rPr>
                <w:rFonts w:hint="eastAsia" w:ascii="微软雅黑" w:hAnsi="微软雅黑" w:eastAsia="微软雅黑" w:cs="微软雅黑"/>
                <w:b w:val="0"/>
                <w:bCs w:val="0"/>
                <w:i w:val="0"/>
                <w:iCs w:val="0"/>
                <w:caps w:val="0"/>
                <w:color w:val="484849"/>
                <w:spacing w:val="0"/>
                <w:sz w:val="21"/>
                <w:szCs w:val="21"/>
                <w:shd w:val="clear" w:fill="FFFFFF"/>
                <w:vertAlign w:val="superscript"/>
                <w:lang w:val="en-US" w:eastAsia="zh-CN"/>
              </w:rPr>
              <w:t>①</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车站及隧道振动速度</w:t>
            </w:r>
            <w:r>
              <w:rPr>
                <w:rFonts w:hint="eastAsia" w:ascii="微软雅黑" w:hAnsi="微软雅黑" w:eastAsia="微软雅黑" w:cs="微软雅黑"/>
                <w:b w:val="0"/>
                <w:bCs w:val="0"/>
                <w:i w:val="0"/>
                <w:iCs w:val="0"/>
                <w:caps w:val="0"/>
                <w:color w:val="484849"/>
                <w:spacing w:val="0"/>
                <w:sz w:val="21"/>
                <w:szCs w:val="21"/>
                <w:shd w:val="clear" w:fill="FFFFFF"/>
                <w:vertAlign w:val="superscript"/>
                <w:lang w:val="en-US" w:eastAsia="zh-CN"/>
              </w:rPr>
              <w:t>②</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≤12mm／s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盾构管片接缝张开量</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&lt;2mm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盾构管片裂缝宽度</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&lt;0.2mm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其它混凝土构建裂缝宽度</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&lt;0.3mm</w:t>
            </w:r>
          </w:p>
        </w:tc>
      </w:tr>
    </w:tbl>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 </w:t>
      </w:r>
    </w:p>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注：①为建（构）筑物竖向荷载及降水、注浆等施工因素而引起的车站、隧道外壁附加荷载； </w:t>
      </w:r>
    </w:p>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②为由于打桩、爆破开挖等振动引起的车站、隧道等地铁结构振动峰值速度。③仅适用于健康度为 3 级及以下的地铁结构，健康度为 4 级及以上时，结构安全控制指标需专项论证并经专家评审后报深铁集团审定。</w:t>
      </w:r>
    </w:p>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（二）轨道安全控制指标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（三）运营线路轨道静态尺寸容许变形值：轨道高低、轨向变形&lt;4mm／10m；两轨道横向高差&lt;4mm；三角坑高低差&lt;4mm／18m；扭曲变形&lt;4mm／6.25m；轨距+3mm，-2mm；道床脱空量≤5mm。 完成铺轨后才开始施工的建设规划控制区工程，地铁设施安全控制指标参照运营安全保护区工程的指标执行。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三、城际铁路设施安全控制指标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（一）城际铁路结构安全控制指标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城际铁路结构的水平位移、竖向位移、径向收敛、变形缝差异变形、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隧道轴线变形曲率半径、隧道变形相对变曲、车站及隧道结构外壁附加荷载、结构振动速度等指标的控制值按下式确定： </w:t>
      </w:r>
    </w:p>
    <w:p>
      <w:pPr>
        <w:jc w:val="center"/>
        <w:rPr>
          <w:rFonts w:ascii="微软雅黑" w:hAnsi="微软雅黑" w:eastAsia="微软雅黑" w:cs="微软雅黑"/>
          <w:i w:val="0"/>
          <w:iCs w:val="0"/>
          <w:caps w:val="0"/>
          <w:color w:val="484849"/>
          <w:spacing w:val="0"/>
          <w:sz w:val="21"/>
          <w:szCs w:val="21"/>
          <w:shd w:val="clear" w:fill="FFFFFF"/>
        </w:rPr>
      </w:pPr>
      <w:r>
        <w:rPr>
          <w:rFonts w:ascii="微软雅黑" w:hAnsi="微软雅黑" w:eastAsia="微软雅黑" w:cs="微软雅黑"/>
          <w:i w:val="0"/>
          <w:iCs w:val="0"/>
          <w:caps w:val="0"/>
          <w:color w:val="484849"/>
          <w:spacing w:val="0"/>
          <w:sz w:val="21"/>
          <w:szCs w:val="21"/>
          <w:shd w:val="clear" w:fill="FFFFFF"/>
        </w:rPr>
        <w:t>ri= Ki * Ri</w:t>
      </w:r>
    </w:p>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其中： ri —项目允许值； </w:t>
      </w:r>
    </w:p>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Ki —安全控制系数，</w:t>
      </w:r>
      <w:r>
        <w:rPr>
          <w:rFonts w:ascii="微软雅黑" w:hAnsi="微软雅黑" w:eastAsia="微软雅黑" w:cs="微软雅黑"/>
          <w:i w:val="0"/>
          <w:iCs w:val="0"/>
          <w:caps w:val="0"/>
          <w:color w:val="484849"/>
          <w:spacing w:val="0"/>
          <w:sz w:val="21"/>
          <w:szCs w:val="21"/>
          <w:shd w:val="clear" w:fill="FFFFFF"/>
        </w:rPr>
        <w:t>Ki≤1</w:t>
      </w: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，具体值根据结构健康度和评估报告等综合确定；</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default" w:ascii="微软雅黑" w:hAnsi="微软雅黑" w:eastAsia="微软雅黑" w:cs="微软雅黑"/>
          <w:b w:val="0"/>
          <w:bCs w:val="0"/>
          <w:i w:val="0"/>
          <w:iCs w:val="0"/>
          <w:caps w:val="0"/>
          <w:color w:val="484849"/>
          <w:spacing w:val="0"/>
          <w:sz w:val="21"/>
          <w:szCs w:val="21"/>
          <w:shd w:val="clear" w:fill="FFFFFF"/>
          <w:lang w:val="en-US" w:eastAsia="zh-CN"/>
        </w:rPr>
        <w:t xml:space="preserve">Ri </w:t>
      </w: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—控制值（具体数值参见表 2）</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jc w:val="center"/>
        <w:rPr>
          <w:rFonts w:hint="eastAsia" w:ascii="微软雅黑" w:hAnsi="微软雅黑" w:eastAsia="微软雅黑" w:cs="微软雅黑"/>
          <w:b w:val="0"/>
          <w:bCs w:val="0"/>
          <w:i w:val="0"/>
          <w:iCs w:val="0"/>
          <w:caps w:val="0"/>
          <w:color w:val="484849"/>
          <w:spacing w:val="0"/>
          <w:sz w:val="18"/>
          <w:szCs w:val="18"/>
          <w:shd w:val="clear" w:fill="FFFFFF"/>
          <w:lang w:val="en-US" w:eastAsia="zh-CN"/>
        </w:rPr>
      </w:pPr>
      <w:r>
        <w:rPr>
          <w:rFonts w:hint="eastAsia" w:ascii="微软雅黑" w:hAnsi="微软雅黑" w:eastAsia="微软雅黑" w:cs="微软雅黑"/>
          <w:b w:val="0"/>
          <w:bCs w:val="0"/>
          <w:i w:val="0"/>
          <w:iCs w:val="0"/>
          <w:caps w:val="0"/>
          <w:color w:val="484849"/>
          <w:spacing w:val="0"/>
          <w:sz w:val="18"/>
          <w:szCs w:val="18"/>
          <w:shd w:val="clear" w:fill="FFFFFF"/>
          <w:lang w:val="en-US" w:eastAsia="zh-CN"/>
        </w:rPr>
        <w:t>表 2 城际铁路结构安全控制指标标准值</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5"/>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bCs/>
                <w:i w:val="0"/>
                <w:iCs w:val="0"/>
                <w:caps w:val="0"/>
                <w:color w:val="484849"/>
                <w:spacing w:val="0"/>
                <w:sz w:val="21"/>
                <w:szCs w:val="21"/>
                <w:shd w:val="clear" w:fill="FFFFFF"/>
              </w:rPr>
            </w:pPr>
            <w:r>
              <w:rPr>
                <w:rFonts w:hint="eastAsia" w:ascii="微软雅黑" w:hAnsi="微软雅黑" w:eastAsia="微软雅黑" w:cs="微软雅黑"/>
                <w:b/>
                <w:bCs/>
                <w:i w:val="0"/>
                <w:iCs w:val="0"/>
                <w:caps w:val="0"/>
                <w:color w:val="484849"/>
                <w:spacing w:val="0"/>
                <w:sz w:val="21"/>
                <w:szCs w:val="21"/>
                <w:shd w:val="clear" w:fill="FFFFFF"/>
                <w:lang w:val="en-US" w:eastAsia="zh-CN"/>
              </w:rPr>
              <w:t xml:space="preserve">安全控制指标 </w:t>
            </w:r>
          </w:p>
        </w:tc>
        <w:tc>
          <w:tcPr>
            <w:tcW w:w="3597" w:type="dxa"/>
          </w:tcPr>
          <w:p>
            <w:pPr>
              <w:rPr>
                <w:rFonts w:hint="eastAsia" w:ascii="微软雅黑" w:hAnsi="微软雅黑" w:eastAsia="微软雅黑" w:cs="微软雅黑"/>
                <w:b/>
                <w:bCs/>
                <w:i w:val="0"/>
                <w:iCs w:val="0"/>
                <w:caps w:val="0"/>
                <w:color w:val="484849"/>
                <w:spacing w:val="0"/>
                <w:sz w:val="21"/>
                <w:szCs w:val="21"/>
                <w:shd w:val="clear" w:fill="FFFFFF"/>
              </w:rPr>
            </w:pPr>
            <w:r>
              <w:rPr>
                <w:rFonts w:hint="eastAsia" w:ascii="微软雅黑" w:hAnsi="微软雅黑" w:eastAsia="微软雅黑" w:cs="微软雅黑"/>
                <w:b/>
                <w:bCs/>
                <w:i w:val="0"/>
                <w:iCs w:val="0"/>
                <w:caps w:val="0"/>
                <w:color w:val="484849"/>
                <w:spacing w:val="0"/>
                <w:sz w:val="21"/>
                <w:szCs w:val="21"/>
                <w:shd w:val="clear" w:fill="FFFFFF"/>
                <w:lang w:val="en-US" w:eastAsia="zh-CN"/>
              </w:rPr>
              <w:t xml:space="preserve">控制值 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车站及隧道结构水平位移</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车站及隧道结构竖向位移</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车站及隧道结构径向收敛</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变形缝差异变形 </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隧道轴线变形曲率半径</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≥15000m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隧道变形相对变曲</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车站及隧道结构外壁附加荷载</w:t>
            </w:r>
            <w:r>
              <w:rPr>
                <w:rFonts w:hint="eastAsia" w:ascii="微软雅黑" w:hAnsi="微软雅黑" w:eastAsia="微软雅黑" w:cs="微软雅黑"/>
                <w:b w:val="0"/>
                <w:bCs w:val="0"/>
                <w:i w:val="0"/>
                <w:iCs w:val="0"/>
                <w:caps w:val="0"/>
                <w:color w:val="484849"/>
                <w:spacing w:val="0"/>
                <w:sz w:val="21"/>
                <w:szCs w:val="21"/>
                <w:shd w:val="clear" w:fill="FFFFFF"/>
                <w:vertAlign w:val="superscript"/>
                <w:lang w:val="en-US" w:eastAsia="zh-CN"/>
              </w:rPr>
              <w:t>①</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车站及隧道振动速度</w:t>
            </w:r>
            <w:r>
              <w:rPr>
                <w:rFonts w:hint="eastAsia" w:ascii="微软雅黑" w:hAnsi="微软雅黑" w:eastAsia="微软雅黑" w:cs="微软雅黑"/>
                <w:b w:val="0"/>
                <w:bCs w:val="0"/>
                <w:i w:val="0"/>
                <w:iCs w:val="0"/>
                <w:caps w:val="0"/>
                <w:color w:val="484849"/>
                <w:spacing w:val="0"/>
                <w:sz w:val="21"/>
                <w:szCs w:val="21"/>
                <w:shd w:val="clear" w:fill="FFFFFF"/>
                <w:vertAlign w:val="superscript"/>
                <w:lang w:val="en-US" w:eastAsia="zh-CN"/>
              </w:rPr>
              <w:t>②</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≤12mm／s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盾构管片接缝张开量</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&lt;2mm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盾构管片裂缝宽度</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&lt;0.2mm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其它混凝土构建裂缝宽度</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&lt;0.3mm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轨道轨向和高低偏差</w:t>
            </w:r>
          </w:p>
        </w:tc>
        <w:tc>
          <w:tcPr>
            <w:tcW w:w="3597" w:type="dxa"/>
          </w:tcPr>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default" w:ascii="微软雅黑" w:hAnsi="微软雅黑" w:eastAsia="微软雅黑" w:cs="微软雅黑"/>
                <w:b w:val="0"/>
                <w:bCs w:val="0"/>
                <w:i w:val="0"/>
                <w:iCs w:val="0"/>
                <w:caps w:val="0"/>
                <w:color w:val="484849"/>
                <w:spacing w:val="0"/>
                <w:sz w:val="21"/>
                <w:szCs w:val="21"/>
                <w:shd w:val="clear" w:fill="FFFFFF"/>
                <w:lang w:val="en-US" w:eastAsia="zh-CN"/>
              </w:rPr>
              <w:t>&lt;2mm</w:t>
            </w:r>
          </w:p>
        </w:tc>
      </w:tr>
    </w:tbl>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 </w:t>
      </w:r>
    </w:p>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注：①为建（构）筑物竖向荷载及降水、注浆等施工因素而引起的车站、隧道外壁附加荷载； </w:t>
      </w:r>
    </w:p>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②为由于打桩、爆破开挖等振动引起的车站、隧道等地铁结构振动峰值速度。 </w:t>
      </w:r>
    </w:p>
    <w:p>
      <w:pPr>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③仅适用于健康度为 3 级及以下的地铁结构，健康度为 4 级及以上时，结构安全控制指标需专项论证并经专家评审后报深铁集团审定。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（二）城际铁路运营安全控制指标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 xml:space="preserve">运营线路轨道静态尺寸容许变形值：轨道高低、轨向变形&lt;2mm／10m；两轨道横向高差&lt;2mm；三角坑高低差&lt;4mm／18m；扭曲变形&lt;4mm／6.25m；轨距+3mm，-2mm；道床脱空量≤5mm。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（三）完成铺轨后才开始施工的建设规划控制区工程，城际铁路设施安全控制指标参照运营安全保护区工程的指标执行。</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bCs w:val="0"/>
          <w:i w:val="0"/>
          <w:iCs w:val="0"/>
          <w:caps w:val="0"/>
          <w:color w:val="484849"/>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484849"/>
          <w:spacing w:val="0"/>
          <w:sz w:val="21"/>
          <w:szCs w:val="21"/>
          <w:shd w:val="clear" w:fill="FFFFFF"/>
          <w:lang w:val="en-US" w:eastAsia="zh-CN"/>
        </w:rPr>
        <w:t>第三方监测的实际变形值</w:t>
      </w:r>
      <w:r>
        <w:rPr>
          <w:rFonts w:hint="eastAsia" w:ascii="微软雅黑" w:hAnsi="微软雅黑" w:eastAsia="微软雅黑" w:cs="微软雅黑"/>
          <w:b w:val="0"/>
          <w:bCs w:val="0"/>
          <w:i w:val="0"/>
          <w:iCs w:val="0"/>
          <w:caps w:val="0"/>
          <w:color w:val="484849"/>
          <w:spacing w:val="0"/>
          <w:sz w:val="21"/>
          <w:szCs w:val="21"/>
          <w:shd w:val="clear" w:fill="FFFFFF"/>
        </w:rPr>
        <w:t>达到安全控制指标的60%时，第三方监测单位应向运管办、申请人、施工单位发出预警；当达到安全控制指标的80%时，须发出报警，评估机构应开展工程后续施工安全评估，申请人应立即启动应急预案，并采取有效措施确保地铁设施安全和运营安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F1264"/>
    <w:rsid w:val="02610A88"/>
    <w:rsid w:val="16595B60"/>
    <w:rsid w:val="1AEF1264"/>
    <w:rsid w:val="45737FCA"/>
    <w:rsid w:val="4870694A"/>
    <w:rsid w:val="580326DD"/>
    <w:rsid w:val="58ED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2023-05-10T06:25:00Z</dcterms:created>
  <dc:creator>谢筱颖</dc:creator>
  <cp:lastModifiedBy>谢筱颖</cp:lastModifiedBy>
  <dcterms:modified xsi:type="dcterms:W3CDTF">2023-05-11T09:32:25Z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7AD4757CFAFB441E83A18E0E3EC31CB9</vt:lpwstr>
  </property>
</Properties>
</file>