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8" w:line="227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4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仿宋" w:hAnsi="仿宋" w:eastAsia="仿宋" w:cs="仿宋"/>
          <w:spacing w:val="11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  <w:r>
        <w:rPr>
          <w:rFonts w:ascii="仿宋" w:hAnsi="仿宋" w:eastAsia="仿宋" w:cs="仿宋"/>
          <w:spacing w:val="7"/>
          <w:sz w:val="29"/>
          <w:szCs w:val="29"/>
        </w:rPr>
        <w:t xml:space="preserve"> </w:t>
      </w:r>
      <w:r>
        <w:rPr>
          <w:rFonts w:ascii="Calibri" w:hAnsi="Calibri" w:eastAsia="Calibri" w:cs="Calibri"/>
          <w:b/>
          <w:bCs/>
          <w:spacing w:val="7"/>
          <w:sz w:val="29"/>
          <w:szCs w:val="29"/>
        </w:rPr>
        <w:t>8</w:t>
      </w:r>
      <w:r>
        <w:rPr>
          <w:rFonts w:ascii="Calibri" w:hAnsi="Calibri" w:eastAsia="Calibri" w:cs="Calibri"/>
          <w:spacing w:val="7"/>
          <w:sz w:val="29"/>
          <w:szCs w:val="29"/>
        </w:rPr>
        <w:t xml:space="preserve">    </w:t>
      </w:r>
      <w:r>
        <w:rPr>
          <w:rFonts w:ascii="仿宋" w:hAnsi="仿宋" w:eastAsia="仿宋" w:cs="仿宋"/>
          <w:spacing w:val="7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深圳市地铁集团有限公司轨道交通安保区简易工程审查表</w:t>
      </w:r>
    </w:p>
    <w:p>
      <w:pPr>
        <w:spacing w:before="258" w:line="229" w:lineRule="auto"/>
        <w:jc w:val="right"/>
        <w:rPr>
          <w:rFonts w:ascii="仿宋" w:hAnsi="仿宋" w:eastAsia="仿宋" w:cs="仿宋"/>
          <w:sz w:val="17"/>
          <w:szCs w:val="17"/>
        </w:rPr>
      </w:pPr>
      <w:r>
        <w:rPr>
          <w:rFonts w:ascii="仿宋" w:hAnsi="仿宋" w:eastAsia="仿宋" w:cs="仿宋"/>
          <w:spacing w:val="12"/>
          <w:sz w:val="20"/>
          <w:szCs w:val="20"/>
        </w:rPr>
        <w:t>深</w:t>
      </w:r>
      <w:r>
        <w:rPr>
          <w:rFonts w:ascii="仿宋" w:hAnsi="仿宋" w:eastAsia="仿宋" w:cs="仿宋"/>
          <w:spacing w:val="7"/>
          <w:sz w:val="20"/>
          <w:szCs w:val="20"/>
        </w:rPr>
        <w:t>轨道交通安保</w:t>
      </w:r>
      <w:r>
        <w:rPr>
          <w:rFonts w:ascii="宋体" w:hAnsi="宋体" w:eastAsia="宋体" w:cs="宋体"/>
          <w:spacing w:val="7"/>
          <w:sz w:val="20"/>
          <w:szCs w:val="20"/>
        </w:rPr>
        <w:t>[202</w:t>
      </w:r>
      <w:r>
        <w:rPr>
          <w:rFonts w:hint="eastAsia" w:ascii="宋体" w:hAnsi="宋体" w:eastAsia="宋体" w:cs="宋体"/>
          <w:spacing w:val="7"/>
          <w:sz w:val="20"/>
          <w:szCs w:val="20"/>
          <w:highlight w:val="yellow"/>
          <w:lang w:val="en-US" w:eastAsia="zh-CN"/>
        </w:rPr>
        <w:t>X</w:t>
      </w:r>
      <w:r>
        <w:rPr>
          <w:rFonts w:ascii="宋体" w:hAnsi="宋体" w:eastAsia="宋体" w:cs="宋体"/>
          <w:spacing w:val="7"/>
          <w:sz w:val="20"/>
          <w:szCs w:val="20"/>
        </w:rPr>
        <w:t>]-    -    -</w:t>
      </w:r>
      <w:r>
        <w:rPr>
          <w:rFonts w:ascii="仿宋" w:hAnsi="仿宋" w:eastAsia="仿宋" w:cs="仿宋"/>
          <w:spacing w:val="7"/>
          <w:sz w:val="20"/>
          <w:szCs w:val="20"/>
        </w:rPr>
        <w:t>简易施工</w:t>
      </w:r>
      <w:r>
        <w:rPr>
          <w:rFonts w:ascii="宋体" w:hAnsi="宋体" w:eastAsia="宋体" w:cs="宋体"/>
          <w:spacing w:val="7"/>
          <w:sz w:val="20"/>
          <w:szCs w:val="20"/>
        </w:rPr>
        <w:t xml:space="preserve">-    </w:t>
      </w:r>
      <w:r>
        <w:rPr>
          <w:rFonts w:ascii="仿宋" w:hAnsi="仿宋" w:eastAsia="仿宋" w:cs="仿宋"/>
          <w:spacing w:val="7"/>
          <w:sz w:val="17"/>
          <w:szCs w:val="17"/>
        </w:rPr>
        <w:t>号</w:t>
      </w:r>
    </w:p>
    <w:p>
      <w:pPr>
        <w:spacing w:line="47" w:lineRule="exact"/>
      </w:pPr>
    </w:p>
    <w:tbl>
      <w:tblPr>
        <w:tblStyle w:val="6"/>
        <w:tblW w:w="8570" w:type="dxa"/>
        <w:tblInd w:w="4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4"/>
        <w:gridCol w:w="1275"/>
        <w:gridCol w:w="861"/>
        <w:gridCol w:w="413"/>
        <w:gridCol w:w="1417"/>
        <w:gridCol w:w="1319"/>
        <w:gridCol w:w="15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724" w:type="dxa"/>
            <w:vAlign w:val="top"/>
          </w:tcPr>
          <w:p>
            <w:pPr>
              <w:spacing w:before="121" w:line="229" w:lineRule="auto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项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目名称</w:t>
            </w:r>
          </w:p>
        </w:tc>
        <w:tc>
          <w:tcPr>
            <w:tcW w:w="6846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24" w:type="dxa"/>
            <w:vAlign w:val="top"/>
          </w:tcPr>
          <w:p>
            <w:pPr>
              <w:spacing w:before="117" w:line="229" w:lineRule="auto"/>
              <w:ind w:left="1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设单位名称</w:t>
            </w:r>
          </w:p>
        </w:tc>
        <w:tc>
          <w:tcPr>
            <w:tcW w:w="6846" w:type="dxa"/>
            <w:gridSpan w:val="6"/>
            <w:vAlign w:val="top"/>
          </w:tcPr>
          <w:p>
            <w:pPr>
              <w:spacing w:before="101" w:line="231" w:lineRule="auto"/>
              <w:ind w:right="117"/>
              <w:jc w:val="righ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1"/>
                <w:sz w:val="23"/>
                <w:szCs w:val="23"/>
              </w:rPr>
              <w:t>(盖章)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24" w:type="dxa"/>
            <w:vAlign w:val="top"/>
          </w:tcPr>
          <w:p>
            <w:pPr>
              <w:spacing w:before="116" w:line="229" w:lineRule="auto"/>
              <w:ind w:left="1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建设单位联系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人</w:t>
            </w:r>
          </w:p>
        </w:tc>
        <w:tc>
          <w:tcPr>
            <w:tcW w:w="12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gridSpan w:val="2"/>
            <w:vAlign w:val="top"/>
          </w:tcPr>
          <w:p>
            <w:pPr>
              <w:spacing w:before="101" w:line="231" w:lineRule="auto"/>
              <w:ind w:left="4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电</w:t>
            </w: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话</w:t>
            </w:r>
          </w:p>
        </w:tc>
        <w:tc>
          <w:tcPr>
            <w:tcW w:w="14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spacing w:before="101" w:line="229" w:lineRule="auto"/>
              <w:ind w:left="4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邮箱</w:t>
            </w:r>
          </w:p>
        </w:tc>
        <w:tc>
          <w:tcPr>
            <w:tcW w:w="15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24" w:type="dxa"/>
            <w:vAlign w:val="top"/>
          </w:tcPr>
          <w:p>
            <w:pPr>
              <w:spacing w:before="118" w:line="229" w:lineRule="auto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施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工单位名称</w:t>
            </w:r>
          </w:p>
        </w:tc>
        <w:tc>
          <w:tcPr>
            <w:tcW w:w="6846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24" w:type="dxa"/>
            <w:vAlign w:val="top"/>
          </w:tcPr>
          <w:p>
            <w:pPr>
              <w:spacing w:before="118" w:line="229" w:lineRule="auto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施工单位联系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人</w:t>
            </w:r>
          </w:p>
        </w:tc>
        <w:tc>
          <w:tcPr>
            <w:tcW w:w="12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gridSpan w:val="2"/>
            <w:vAlign w:val="top"/>
          </w:tcPr>
          <w:p>
            <w:pPr>
              <w:spacing w:before="103" w:line="231" w:lineRule="auto"/>
              <w:ind w:left="4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电</w:t>
            </w: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话</w:t>
            </w:r>
          </w:p>
        </w:tc>
        <w:tc>
          <w:tcPr>
            <w:tcW w:w="14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spacing w:before="103" w:line="229" w:lineRule="auto"/>
              <w:ind w:left="45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邮箱</w:t>
            </w:r>
          </w:p>
        </w:tc>
        <w:tc>
          <w:tcPr>
            <w:tcW w:w="15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24" w:type="dxa"/>
            <w:vAlign w:val="top"/>
          </w:tcPr>
          <w:p>
            <w:pPr>
              <w:spacing w:before="117" w:line="230" w:lineRule="auto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项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目位置</w:t>
            </w:r>
          </w:p>
        </w:tc>
        <w:tc>
          <w:tcPr>
            <w:tcW w:w="6846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724" w:type="dxa"/>
            <w:vMerge w:val="restart"/>
            <w:tcBorders>
              <w:bottom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5" w:line="362" w:lineRule="auto"/>
              <w:ind w:left="129" w:righ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4"/>
                <w:sz w:val="20"/>
                <w:szCs w:val="20"/>
              </w:rPr>
              <w:t>与</w:t>
            </w:r>
            <w:r>
              <w:rPr>
                <w:rFonts w:ascii="仿宋" w:hAnsi="仿宋" w:eastAsia="仿宋" w:cs="仿宋"/>
                <w:spacing w:val="11"/>
                <w:sz w:val="20"/>
                <w:szCs w:val="20"/>
              </w:rPr>
              <w:t>轨道交通的关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系</w:t>
            </w:r>
          </w:p>
        </w:tc>
        <w:tc>
          <w:tcPr>
            <w:tcW w:w="6846" w:type="dxa"/>
            <w:gridSpan w:val="6"/>
            <w:vAlign w:val="top"/>
          </w:tcPr>
          <w:p>
            <w:pPr>
              <w:spacing w:before="85" w:line="230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0"/>
                <w:sz w:val="20"/>
                <w:szCs w:val="20"/>
              </w:rPr>
              <w:t xml:space="preserve">地铁  </w:t>
            </w: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 xml:space="preserve"> 号线         站 (      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-      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区间)             (方位)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7" w:hRule="atLeast"/>
        </w:trPr>
        <w:tc>
          <w:tcPr>
            <w:tcW w:w="172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46" w:type="dxa"/>
            <w:gridSpan w:val="6"/>
            <w:vAlign w:val="top"/>
          </w:tcPr>
          <w:p>
            <w:pPr>
              <w:spacing w:before="95" w:line="230" w:lineRule="auto"/>
              <w:ind w:left="1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□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 xml:space="preserve">  与地铁线位不交叉，距地铁结构最近水平距离   </w:t>
            </w:r>
            <w:r>
              <w:rPr>
                <w:rFonts w:ascii="宋体" w:hAnsi="宋体" w:eastAsia="宋体" w:cs="宋体"/>
                <w:sz w:val="20"/>
                <w:szCs w:val="20"/>
              </w:rPr>
              <w:t>m</w:t>
            </w:r>
          </w:p>
          <w:p>
            <w:pPr>
              <w:spacing w:before="132" w:line="230" w:lineRule="auto"/>
              <w:ind w:left="13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□  与地铁线位交叉，与地铁结构不冲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突</w:t>
            </w:r>
          </w:p>
          <w:p>
            <w:pPr>
              <w:spacing w:before="130" w:line="230" w:lineRule="auto"/>
              <w:ind w:left="13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4"/>
                <w:sz w:val="20"/>
                <w:szCs w:val="20"/>
              </w:rPr>
              <w:t xml:space="preserve">□ </w:t>
            </w:r>
            <w:r>
              <w:rPr>
                <w:rFonts w:ascii="仿宋" w:hAnsi="仿宋" w:eastAsia="仿宋" w:cs="仿宋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 xml:space="preserve"> (全部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/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部分) 沿地铁线位正上方，与地铁结构不冲突</w:t>
            </w:r>
          </w:p>
          <w:p>
            <w:pPr>
              <w:spacing w:before="132" w:line="230" w:lineRule="auto"/>
              <w:ind w:left="13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 xml:space="preserve">□  </w:t>
            </w: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其他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724" w:type="dxa"/>
            <w:vAlign w:val="top"/>
          </w:tcPr>
          <w:p>
            <w:pPr>
              <w:spacing w:before="175" w:line="229" w:lineRule="auto"/>
              <w:ind w:left="1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提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交资料</w:t>
            </w:r>
          </w:p>
        </w:tc>
        <w:tc>
          <w:tcPr>
            <w:tcW w:w="6846" w:type="dxa"/>
            <w:gridSpan w:val="6"/>
            <w:vAlign w:val="top"/>
          </w:tcPr>
          <w:p>
            <w:pPr>
              <w:spacing w:before="175" w:line="231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6"/>
                <w:sz w:val="20"/>
                <w:szCs w:val="20"/>
              </w:rPr>
              <w:t>设</w:t>
            </w: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计方案、施工方案电子版资料各一份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724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ind w:left="38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工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程概况</w:t>
            </w:r>
          </w:p>
        </w:tc>
        <w:tc>
          <w:tcPr>
            <w:tcW w:w="2136" w:type="dxa"/>
            <w:gridSpan w:val="2"/>
            <w:vAlign w:val="top"/>
          </w:tcPr>
          <w:p>
            <w:pPr>
              <w:spacing w:before="171" w:line="231" w:lineRule="auto"/>
              <w:ind w:left="66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工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程内容</w:t>
            </w:r>
          </w:p>
        </w:tc>
        <w:tc>
          <w:tcPr>
            <w:tcW w:w="471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72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36" w:type="dxa"/>
            <w:gridSpan w:val="2"/>
            <w:vAlign w:val="top"/>
          </w:tcPr>
          <w:p>
            <w:pPr>
              <w:spacing w:before="175" w:line="234" w:lineRule="auto"/>
              <w:ind w:left="5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挖、填深度</w:t>
            </w:r>
          </w:p>
        </w:tc>
        <w:tc>
          <w:tcPr>
            <w:tcW w:w="471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72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36" w:type="dxa"/>
            <w:gridSpan w:val="2"/>
            <w:vAlign w:val="top"/>
          </w:tcPr>
          <w:p>
            <w:pPr>
              <w:spacing w:before="206" w:line="233" w:lineRule="auto"/>
              <w:ind w:left="65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施工工法</w:t>
            </w:r>
          </w:p>
        </w:tc>
        <w:tc>
          <w:tcPr>
            <w:tcW w:w="471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72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36" w:type="dxa"/>
            <w:gridSpan w:val="2"/>
            <w:vAlign w:val="top"/>
          </w:tcPr>
          <w:p>
            <w:pPr>
              <w:spacing w:before="87" w:line="232" w:lineRule="auto"/>
              <w:ind w:left="87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工期</w:t>
            </w:r>
          </w:p>
        </w:tc>
        <w:tc>
          <w:tcPr>
            <w:tcW w:w="471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72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36" w:type="dxa"/>
            <w:gridSpan w:val="2"/>
            <w:vAlign w:val="top"/>
          </w:tcPr>
          <w:p>
            <w:pPr>
              <w:spacing w:before="97" w:line="254" w:lineRule="auto"/>
              <w:ind w:left="871" w:right="123" w:hanging="73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对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轨道交通结构安全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影</w:t>
            </w:r>
            <w:r>
              <w:rPr>
                <w:rFonts w:ascii="仿宋" w:hAnsi="仿宋" w:eastAsia="仿宋" w:cs="仿宋"/>
                <w:sz w:val="20"/>
                <w:szCs w:val="20"/>
              </w:rPr>
              <w:t>响</w:t>
            </w:r>
          </w:p>
        </w:tc>
        <w:tc>
          <w:tcPr>
            <w:tcW w:w="471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72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36" w:type="dxa"/>
            <w:gridSpan w:val="2"/>
            <w:vAlign w:val="top"/>
          </w:tcPr>
          <w:p>
            <w:pPr>
              <w:spacing w:before="126" w:line="231" w:lineRule="auto"/>
              <w:ind w:left="3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1"/>
                <w:sz w:val="20"/>
                <w:szCs w:val="20"/>
              </w:rPr>
              <w:t>对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轨道交通影响</w:t>
            </w:r>
          </w:p>
        </w:tc>
        <w:tc>
          <w:tcPr>
            <w:tcW w:w="471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72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36" w:type="dxa"/>
            <w:gridSpan w:val="2"/>
            <w:vAlign w:val="top"/>
          </w:tcPr>
          <w:p>
            <w:pPr>
              <w:spacing w:before="66" w:line="243" w:lineRule="auto"/>
              <w:ind w:left="134" w:right="1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对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轨道交通乘客人身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安全、客流流向影响</w:t>
            </w:r>
          </w:p>
        </w:tc>
        <w:tc>
          <w:tcPr>
            <w:tcW w:w="4710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724" w:type="dxa"/>
            <w:vAlign w:val="top"/>
          </w:tcPr>
          <w:p>
            <w:pPr>
              <w:spacing w:before="95" w:line="232" w:lineRule="auto"/>
              <w:ind w:left="38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注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意事项</w:t>
            </w:r>
          </w:p>
        </w:tc>
        <w:tc>
          <w:tcPr>
            <w:tcW w:w="6846" w:type="dxa"/>
            <w:gridSpan w:val="6"/>
            <w:vAlign w:val="top"/>
          </w:tcPr>
          <w:p>
            <w:pPr>
              <w:spacing w:before="95" w:line="229" w:lineRule="auto"/>
              <w:ind w:left="49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0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简易工程严禁开展钻探作业，严禁开展审批范围之外的作业内</w:t>
            </w:r>
            <w:r>
              <w:rPr>
                <w:rFonts w:ascii="仿宋" w:hAnsi="仿宋" w:eastAsia="仿宋" w:cs="仿宋"/>
                <w:spacing w:val="6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6" w:hRule="atLeast"/>
        </w:trPr>
        <w:tc>
          <w:tcPr>
            <w:tcW w:w="1724" w:type="dxa"/>
            <w:vAlign w:val="top"/>
          </w:tcPr>
          <w:p>
            <w:pPr>
              <w:spacing w:before="258" w:line="231" w:lineRule="auto"/>
              <w:ind w:left="38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深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铁建设</w:t>
            </w:r>
          </w:p>
          <w:p>
            <w:pPr>
              <w:spacing w:before="128" w:line="231" w:lineRule="auto"/>
              <w:ind w:left="28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主管工程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师</w:t>
            </w:r>
          </w:p>
          <w:p>
            <w:pPr>
              <w:spacing w:before="131" w:line="233" w:lineRule="auto"/>
              <w:ind w:left="5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意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见</w:t>
            </w:r>
          </w:p>
        </w:tc>
        <w:tc>
          <w:tcPr>
            <w:tcW w:w="6846" w:type="dxa"/>
            <w:gridSpan w:val="6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before="75" w:line="231" w:lineRule="auto"/>
              <w:ind w:right="72"/>
              <w:jc w:val="righ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 xml:space="preserve">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1724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</w:p>
          <w:p>
            <w:pPr>
              <w:spacing w:before="65" w:line="382" w:lineRule="exact"/>
              <w:ind w:left="38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position w:val="13"/>
                <w:sz w:val="20"/>
                <w:szCs w:val="20"/>
              </w:rPr>
              <w:t>深</w:t>
            </w:r>
            <w:r>
              <w:rPr>
                <w:rFonts w:ascii="仿宋" w:hAnsi="仿宋" w:eastAsia="仿宋" w:cs="仿宋"/>
                <w:spacing w:val="5"/>
                <w:position w:val="13"/>
                <w:sz w:val="20"/>
                <w:szCs w:val="20"/>
              </w:rPr>
              <w:t>铁建设</w:t>
            </w:r>
          </w:p>
          <w:p>
            <w:pPr>
              <w:spacing w:line="230" w:lineRule="auto"/>
              <w:ind w:left="6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审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查</w:t>
            </w:r>
          </w:p>
        </w:tc>
        <w:tc>
          <w:tcPr>
            <w:tcW w:w="6846" w:type="dxa"/>
            <w:gridSpan w:val="6"/>
            <w:vAlign w:val="top"/>
          </w:tcPr>
          <w:p>
            <w:pPr>
              <w:spacing w:before="267" w:line="761" w:lineRule="exact"/>
              <w:ind w:right="259"/>
              <w:jc w:val="righ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1"/>
                <w:position w:val="40"/>
                <w:sz w:val="23"/>
                <w:szCs w:val="23"/>
              </w:rPr>
              <w:t>(盖章)</w:t>
            </w:r>
          </w:p>
          <w:p>
            <w:pPr>
              <w:spacing w:line="230" w:lineRule="auto"/>
              <w:ind w:right="72"/>
              <w:jc w:val="righ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 xml:space="preserve">   月   日</w:t>
            </w:r>
          </w:p>
        </w:tc>
      </w:tr>
    </w:tbl>
    <w:p>
      <w:pPr>
        <w:spacing w:before="172" w:line="231" w:lineRule="auto"/>
        <w:ind w:left="497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6"/>
          <w:sz w:val="20"/>
          <w:szCs w:val="20"/>
        </w:rPr>
        <w:t>本表一式三份，地铁集</w:t>
      </w:r>
      <w:r>
        <w:rPr>
          <w:rFonts w:ascii="仿宋" w:hAnsi="仿宋" w:eastAsia="仿宋" w:cs="仿宋"/>
          <w:spacing w:val="4"/>
          <w:sz w:val="20"/>
          <w:szCs w:val="20"/>
        </w:rPr>
        <w:t>团</w:t>
      </w:r>
      <w:r>
        <w:rPr>
          <w:rFonts w:ascii="仿宋" w:hAnsi="仿宋" w:eastAsia="仿宋" w:cs="仿宋"/>
          <w:spacing w:val="3"/>
          <w:sz w:val="20"/>
          <w:szCs w:val="20"/>
        </w:rPr>
        <w:t>深铁建设、运管办、项目建设单位各存一份。    (附表 8 正面)</w:t>
      </w:r>
    </w:p>
    <w:p>
      <w:pPr>
        <w:sectPr>
          <w:footerReference r:id="rId5" w:type="default"/>
          <w:pgSz w:w="11907" w:h="16840"/>
          <w:pgMar w:top="1431" w:right="1296" w:bottom="731" w:left="1347" w:header="0" w:footer="569" w:gutter="0"/>
          <w:cols w:space="720" w:num="1"/>
        </w:sectPr>
      </w:pPr>
    </w:p>
    <w:tbl>
      <w:tblPr>
        <w:tblStyle w:val="6"/>
        <w:tblW w:w="857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9" w:hRule="atLeast"/>
        </w:trPr>
        <w:tc>
          <w:tcPr>
            <w:tcW w:w="8573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一、审查依据：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1、《城市轨道交通运营管理办法》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2、《深圳市城市轨道交通运营管理办法》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3、《深圳市轨道交通项目建设管理规定》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4、《轨道交通运营安全保护区和建设规划控制区工程管理办法》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5、《深圳市前海合作区地铁安保区基坑技术导则》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二、简易工程认定类别：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经确认为对轨道交通无影响或影响较小的项目，主要为条状或点状开挖的管沟、路面、景观等项目，且完工后地面标高保持不变。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A、地下车站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1、临时挖、填深度不超过 1.0m，与轨道交通结构无冲突的项目；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2、与轨道交通结构净距不小于 10m，临时挖、填深度不超过 1.5m 的项目；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3、与轨道交通结构净距不小于 20m，临时挖、填深度不超过 2.0m 的项目；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 xml:space="preserve">4、与轨道交通结构净距不小于 30m，临时挖、填深度不超过 3.0m 的项目。 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B、地下区间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1、临时挖、填深度不超过 1.5m，采用坑内支挡或放坡开挖的项目；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2、与轨道交通结构净距不小于6m，临时挖、填深度不超过 2.0m 的项目；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3、与轨道交通结构净距不小于 15m，临时挖、填深度不超过 3.0m 的项目。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C、高架段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1、临时挖、填深度不超过 1.5m，与轨道交通桩基、桥梁无冲突的项目；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2、与轨道交通结构净距不小于 3m，临时挖、填深度不超过 2.0m 的项目；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3、与轨道交通结构净距不小于 10m，临时挖、填深度不超过 3.0m 的项目。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D、其他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其他认定标准参照《轨道交通安保区简易工程审查表补充解释》（附件）。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本审查表仅适用于简易项目方案审查，不适用于勘察方案和大面积挖、填类项目方案审查。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三、本表完成签字盖章与深铁集团出具的审查意见书同等效力。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四、本表完成审查后，项目建设单位将设计方案、施工方案纸质版和电子版 资料送运管办存档。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40" w:firstLineChars="200"/>
              <w:jc w:val="left"/>
              <w:textAlignment w:val="auto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五、项目建设单位和参建单位对项目的施工内容和工法的真实性负责，应满 足工程质量和环保要求，施工过程中不得影响轨道交通结构、设施和设备安全， 不得影响轨道交通乘客的正常通行和人身安全，并应承担相应的法律和经济责任。</w:t>
            </w:r>
          </w:p>
        </w:tc>
      </w:tr>
    </w:tbl>
    <w:p>
      <w:pPr>
        <w:spacing w:before="162" w:line="222" w:lineRule="auto"/>
        <w:ind w:right="171"/>
        <w:jc w:val="right"/>
        <w:rPr>
          <w:rFonts w:ascii="仿宋" w:hAnsi="仿宋" w:eastAsia="仿宋" w:cs="仿宋"/>
          <w:spacing w:val="-5"/>
          <w:sz w:val="20"/>
          <w:szCs w:val="20"/>
        </w:rPr>
        <w:sectPr>
          <w:footerReference r:id="rId6" w:type="default"/>
          <w:pgSz w:w="11907" w:h="16840"/>
          <w:pgMar w:top="1374" w:right="1274" w:bottom="730" w:left="1511" w:header="0" w:footer="569" w:gutter="0"/>
          <w:cols w:space="720" w:num="1"/>
        </w:sectPr>
      </w:pPr>
      <w:r>
        <w:rPr>
          <w:rFonts w:ascii="仿宋" w:hAnsi="仿宋" w:eastAsia="仿宋" w:cs="仿宋"/>
          <w:spacing w:val="-10"/>
          <w:sz w:val="22"/>
          <w:szCs w:val="22"/>
        </w:rPr>
        <w:t>以上</w:t>
      </w:r>
      <w:r>
        <w:rPr>
          <w:rFonts w:ascii="仿宋" w:hAnsi="仿宋" w:eastAsia="仿宋" w:cs="仿宋"/>
          <w:spacing w:val="-5"/>
          <w:sz w:val="22"/>
          <w:szCs w:val="22"/>
        </w:rPr>
        <w:t xml:space="preserve">内容解释权归深圳地铁建设集团有限公司。        </w:t>
      </w:r>
      <w:r>
        <w:rPr>
          <w:rFonts w:ascii="仿宋" w:hAnsi="仿宋" w:eastAsia="仿宋" w:cs="仿宋"/>
          <w:spacing w:val="-5"/>
          <w:sz w:val="20"/>
          <w:szCs w:val="20"/>
        </w:rPr>
        <w:t>(附表 8 反面)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轨道交通安保区简易工程审查表补充解释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2" w:firstLineChars="200"/>
        <w:textAlignment w:val="baseline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一、简易工程总体说明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本次补充说明未对简易项目范围进行扩大，仅针对适用性做进一步说明。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2" w:firstLineChars="200"/>
        <w:textAlignment w:val="baseline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二、简易工程适用性补充说明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1.所有申报简易程序的项目应满足简易申报的基本要求，详见附表8《深圳市地铁集团有限公司轨道交通安保区简易工程审查表》。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简易工程为施工、使用期间对地铁影响较小的项目，主要为条状或点状开挖的管沟、路面、景观等项目。条状工程主要包括开挖底长大于三倍底宽，且底宽不大于3m的沟槽，点状工程主要包括开挖基底面积不大于25m</w:t>
      </w:r>
      <w:r>
        <w:rPr>
          <w:rFonts w:hint="eastAsia" w:ascii="仿宋" w:hAnsi="仿宋" w:eastAsia="仿宋" w:cs="仿宋"/>
          <w:sz w:val="24"/>
          <w:szCs w:val="24"/>
          <w:vertAlign w:val="superscript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的基坑。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小型建（构）筑物新建、扩建、改造及拆除类工程适用简易程序。如交通设施、通信设施等，如化粪池、储水池等，如围挡、围墙等附属设施拆除，或采用明挖等工法的项目。小型建（构）筑物高度不应超过10m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大型或较大型建（构）筑物拆除类工程，当与地铁地面结构水平净距大于2倍拟拆建筑高度、或与地铁地下结构外缘水平净距大于1倍拟拆建筑高度的项目适用简易程序，但应补充安全防护及环保措施。如房屋、人行天桥、小跨径桥梁、水塔等建（构）筑物拆除。大型建（构）筑物高度不应超过50m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5.临时道路、设施类工程适用简易程序，如用集装箱或板房等搭建的临时办公、住宿等设施，如施工场地铺设的供泥头车等通过的道路、洗车池等，但应补充对地铁结构的附加荷载计算。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.采用定向钻、拖拉管、顶管等工法（上穿或侧穿地铁地下及地面结构，下穿地铁高架结构）施工的市政管线，管径不大于0.5m且与地铁结构外缘各向净距不小于6m、管径不大于1.0m且与地铁结构各向净距不小于12m的项目适用简易程序，如雨水、污水、燃气、电力、通信、照明等管线施工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7、市政设施现有构筑物检测、检修等适用简易程序，如水务检查井维修等。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2" w:firstLineChars="200"/>
        <w:textAlignment w:val="baseline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三、简易工程申报要求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1.申报简易程序仅确保地铁集团允许项目可以在地铁保护区内施工，对于申报政府行政手续的适用性由项目建设单位自行承担。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2.申报简易程序应符合简易工程认定标准，建设单位应对简易工程的符合性负责。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3.地铁车站范围内施工前应通知深铁运营集团（车站）现场确认，确保车站附属设施安全，并做好相应的保护措施。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4.地铁结构外边线20m范围内不宜采用冲孔、挤土、振冲、浅孔爆破等外部作业。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5.地铁车辆基地（含出入场线）、专用变电所（含供电电缆）保护区范围内工程参考执行。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6.建筑物、构筑物、施工荷载及材料堆载传到地铁结构上的附加荷载不得大于10kPa。</w:t>
      </w:r>
    </w:p>
    <w:sectPr>
      <w:pgSz w:w="11907" w:h="16840"/>
      <w:pgMar w:top="1374" w:right="1274" w:bottom="730" w:left="1511" w:header="0" w:footer="5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634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pacing w:val="1"/>
        <w:sz w:val="17"/>
        <w:szCs w:val="17"/>
      </w:rPr>
      <w:t>5</w:t>
    </w:r>
    <w:r>
      <w:rPr>
        <w:rFonts w:ascii="Calibri" w:hAnsi="Calibri" w:eastAsia="Calibri" w:cs="Calibri"/>
        <w:sz w:val="17"/>
        <w:szCs w:val="17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471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pacing w:val="1"/>
        <w:sz w:val="17"/>
        <w:szCs w:val="17"/>
      </w:rPr>
      <w:t>5</w:t>
    </w:r>
    <w:r>
      <w:rPr>
        <w:rFonts w:ascii="Calibri" w:hAnsi="Calibri" w:eastAsia="Calibri" w:cs="Calibri"/>
        <w:sz w:val="17"/>
        <w:szCs w:val="17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DJkYmUxOGNlMTMyZTc4NDdmMTc3Yzc5MmI5NmI2NTUifQ=="/>
  </w:docVars>
  <w:rsids>
    <w:rsidRoot w:val="00000000"/>
    <w:rsid w:val="05AB3800"/>
    <w:rsid w:val="3C5E2913"/>
    <w:rsid w:val="46501B5F"/>
    <w:rsid w:val="46D055E8"/>
    <w:rsid w:val="4BFE2BDB"/>
    <w:rsid w:val="646238E8"/>
    <w:rsid w:val="6A0C30C1"/>
    <w:rsid w:val="75792336"/>
    <w:rsid w:val="7D2D48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TotalTime>9</TotalTime>
  <ScaleCrop>false</ScaleCrop>
  <LinksUpToDate>false</LinksUpToDate>
  <Application>WPS Office_12.1.0.16417_F1E327BC-269C-435d-A152-05C5408002CA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2023-04-03T11:38:00Z</dcterms:created>
  <dc:creator>李围</dc:creator>
  <cp:lastModifiedBy>千百度</cp:lastModifiedBy>
  <dcterms:modified xsi:type="dcterms:W3CDTF">2024-04-10T02:56:28Z</dcterms:modified>
  <dc:title>地铁安全保护区和规划控制区工程管理办法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2023-06-26T13:58:27Z</vt:filetime>
  </property>
  <property fmtid="{D5CDD505-2E9C-101B-9397-08002B2CF9AE}" pid="4" name="KSOProductBuildVer">
    <vt:lpwstr>2052-12.1.0.16417</vt:lpwstr>
  </property>
  <property fmtid="{D5CDD505-2E9C-101B-9397-08002B2CF9AE}" pid="5" name="ICV">
    <vt:lpwstr>A813445A4E5E48E8A8C9B124BB5B2880_13</vt:lpwstr>
  </property>
</Properties>
</file>