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pacing w:val="36"/>
          <w:sz w:val="44"/>
          <w:szCs w:val="44"/>
        </w:rPr>
      </w:pPr>
      <w:bookmarkStart w:id="0" w:name="法定代表人或其委托代理人封面"/>
    </w:p>
    <w:p>
      <w:pPr>
        <w:spacing w:line="360" w:lineRule="auto"/>
        <w:jc w:val="center"/>
        <w:rPr>
          <w:rFonts w:ascii="宋体" w:hAnsi="宋体"/>
          <w:b/>
          <w:spacing w:val="36"/>
          <w:sz w:val="44"/>
          <w:szCs w:val="44"/>
        </w:rPr>
      </w:pPr>
    </w:p>
    <w:p>
      <w:pPr>
        <w:spacing w:line="360" w:lineRule="auto"/>
        <w:jc w:val="center"/>
        <w:rPr>
          <w:rFonts w:ascii="宋体" w:hAnsi="宋体"/>
          <w:b/>
          <w:sz w:val="24"/>
        </w:rPr>
      </w:pPr>
      <w:r>
        <w:rPr>
          <w:rFonts w:hint="eastAsia" w:ascii="宋体" w:hAnsi="宋体" w:cs="宋体"/>
          <w:b/>
          <w:bCs/>
          <w:sz w:val="44"/>
          <w:szCs w:val="44"/>
        </w:rPr>
        <w:t>光明新湖、昂鹅车辆段、东宝河停车场、新大存车场交通接驳研究</w:t>
      </w:r>
    </w:p>
    <w:p>
      <w:pPr>
        <w:spacing w:line="360" w:lineRule="auto"/>
        <w:jc w:val="center"/>
        <w:rPr>
          <w:rFonts w:ascii="宋体" w:hAnsi="宋体"/>
          <w:b/>
          <w:bCs/>
          <w:spacing w:val="36"/>
          <w:kern w:val="10"/>
          <w:sz w:val="84"/>
          <w:szCs w:val="84"/>
        </w:rPr>
      </w:pPr>
      <w:r>
        <w:rPr>
          <w:rFonts w:hint="eastAsia" w:ascii="宋体" w:hAnsi="宋体"/>
          <w:b/>
          <w:bCs/>
          <w:spacing w:val="36"/>
          <w:kern w:val="10"/>
          <w:sz w:val="84"/>
          <w:szCs w:val="84"/>
        </w:rPr>
        <w:t>比选文件</w:t>
      </w:r>
    </w:p>
    <w:p>
      <w:pPr>
        <w:spacing w:line="360" w:lineRule="auto"/>
        <w:jc w:val="center"/>
        <w:rPr>
          <w:rFonts w:ascii="宋体" w:hAnsi="宋体"/>
          <w:b/>
          <w:sz w:val="36"/>
        </w:rPr>
      </w:pPr>
    </w:p>
    <w:p>
      <w:pPr>
        <w:pStyle w:val="24"/>
        <w:spacing w:line="360" w:lineRule="auto"/>
        <w:jc w:val="center"/>
        <w:rPr>
          <w:rFonts w:hAnsi="宋体"/>
          <w:sz w:val="23"/>
          <w:szCs w:val="23"/>
        </w:rPr>
      </w:pPr>
    </w:p>
    <w:p>
      <w:pPr>
        <w:pStyle w:val="24"/>
        <w:spacing w:line="360" w:lineRule="auto"/>
        <w:jc w:val="center"/>
        <w:rPr>
          <w:rFonts w:hAnsi="宋体"/>
          <w:b/>
          <w:sz w:val="32"/>
          <w:szCs w:val="32"/>
        </w:rPr>
      </w:pPr>
    </w:p>
    <w:p>
      <w:pPr>
        <w:pStyle w:val="24"/>
        <w:spacing w:line="360" w:lineRule="auto"/>
        <w:jc w:val="center"/>
        <w:rPr>
          <w:rFonts w:hAnsi="宋体"/>
          <w:b/>
          <w:sz w:val="32"/>
          <w:szCs w:val="32"/>
        </w:rPr>
      </w:pPr>
    </w:p>
    <w:p>
      <w:pPr>
        <w:pStyle w:val="24"/>
        <w:snapToGrid w:val="0"/>
        <w:spacing w:line="360" w:lineRule="auto"/>
        <w:rPr>
          <w:rFonts w:hAnsi="宋体"/>
          <w:b/>
          <w:bCs/>
          <w:spacing w:val="70"/>
          <w:sz w:val="32"/>
          <w:szCs w:val="32"/>
        </w:rPr>
      </w:pPr>
    </w:p>
    <w:p>
      <w:pPr>
        <w:pStyle w:val="24"/>
        <w:snapToGrid w:val="0"/>
        <w:spacing w:line="360" w:lineRule="auto"/>
        <w:ind w:firstLine="849" w:firstLineChars="235"/>
        <w:rPr>
          <w:rFonts w:hAnsi="宋体"/>
          <w:b/>
          <w:bCs/>
          <w:sz w:val="36"/>
          <w:szCs w:val="36"/>
          <w:u w:val="single"/>
        </w:rPr>
      </w:pPr>
      <w:r>
        <w:rPr>
          <w:rFonts w:hint="eastAsia" w:hAnsi="宋体"/>
          <w:b/>
          <w:bCs/>
          <w:sz w:val="36"/>
          <w:szCs w:val="36"/>
        </w:rPr>
        <w:t>比 选 人：</w:t>
      </w:r>
      <w:r>
        <w:rPr>
          <w:rFonts w:hint="eastAsia" w:hAnsi="宋体"/>
          <w:b/>
          <w:bCs/>
          <w:sz w:val="36"/>
          <w:szCs w:val="36"/>
          <w:u w:val="single"/>
          <w:lang w:eastAsia="zh-Hans"/>
        </w:rPr>
        <w:t>深圳地铁</w:t>
      </w:r>
      <w:r>
        <w:rPr>
          <w:rFonts w:hint="eastAsia" w:hAnsi="宋体"/>
          <w:b/>
          <w:bCs/>
          <w:sz w:val="36"/>
          <w:szCs w:val="36"/>
          <w:u w:val="single"/>
        </w:rPr>
        <w:t>置业集团有限公司</w:t>
      </w:r>
    </w:p>
    <w:p>
      <w:pPr>
        <w:pStyle w:val="24"/>
        <w:snapToGrid w:val="0"/>
        <w:spacing w:line="360" w:lineRule="auto"/>
        <w:ind w:firstLine="790" w:firstLineChars="246"/>
        <w:rPr>
          <w:rFonts w:hAnsi="宋体"/>
          <w:b/>
          <w:bCs/>
          <w:sz w:val="32"/>
          <w:szCs w:val="32"/>
          <w:u w:val="single"/>
        </w:rPr>
      </w:pPr>
      <w:r>
        <w:rPr>
          <w:rFonts w:hint="eastAsia" w:hAnsi="宋体"/>
          <w:b/>
          <w:bCs/>
          <w:sz w:val="32"/>
          <w:szCs w:val="32"/>
        </w:rPr>
        <w:t>法定代表人：</w:t>
      </w:r>
      <w:r>
        <w:rPr>
          <w:rFonts w:hint="eastAsia" w:hAnsi="宋体"/>
          <w:b/>
          <w:bCs/>
          <w:sz w:val="32"/>
          <w:szCs w:val="32"/>
          <w:u w:val="single"/>
        </w:rPr>
        <w:t xml:space="preserve">        李武雄          </w:t>
      </w:r>
    </w:p>
    <w:p>
      <w:pPr>
        <w:spacing w:line="360" w:lineRule="auto"/>
        <w:jc w:val="center"/>
        <w:rPr>
          <w:rFonts w:ascii="宋体" w:hAnsi="宋体"/>
          <w:b/>
          <w:bCs/>
          <w:sz w:val="32"/>
          <w:szCs w:val="32"/>
        </w:rPr>
      </w:pPr>
    </w:p>
    <w:p>
      <w:pPr>
        <w:pStyle w:val="48"/>
        <w:ind w:firstLine="643"/>
        <w:rPr>
          <w:rFonts w:ascii="宋体" w:hAnsi="宋体"/>
          <w:b/>
          <w:bCs/>
          <w:sz w:val="32"/>
          <w:szCs w:val="32"/>
        </w:rPr>
      </w:pPr>
    </w:p>
    <w:p>
      <w:pPr>
        <w:pStyle w:val="48"/>
        <w:ind w:firstLine="643"/>
        <w:rPr>
          <w:rFonts w:ascii="宋体" w:hAnsi="宋体"/>
          <w:b/>
          <w:bCs/>
          <w:sz w:val="32"/>
          <w:szCs w:val="32"/>
        </w:rPr>
      </w:pPr>
    </w:p>
    <w:p>
      <w:pPr>
        <w:spacing w:line="360" w:lineRule="auto"/>
        <w:jc w:val="center"/>
        <w:rPr>
          <w:rFonts w:ascii="宋体" w:hAnsi="宋体"/>
          <w:b/>
          <w:sz w:val="36"/>
        </w:rPr>
      </w:pPr>
      <w:r>
        <w:rPr>
          <w:rFonts w:hint="eastAsia" w:ascii="宋体" w:hAnsi="宋体"/>
          <w:b/>
          <w:bCs/>
          <w:sz w:val="32"/>
          <w:szCs w:val="32"/>
        </w:rPr>
        <w:t>二〇二二年十</w:t>
      </w:r>
      <w:r>
        <w:rPr>
          <w:rFonts w:hint="eastAsia" w:ascii="宋体" w:hAnsi="宋体"/>
          <w:b/>
          <w:bCs/>
          <w:sz w:val="32"/>
          <w:szCs w:val="32"/>
          <w:lang w:val="en-US" w:eastAsia="zh-CN"/>
        </w:rPr>
        <w:t>二</w:t>
      </w:r>
      <w:r>
        <w:rPr>
          <w:rFonts w:hint="eastAsia" w:ascii="宋体" w:hAnsi="宋体"/>
          <w:b/>
          <w:bCs/>
          <w:sz w:val="32"/>
          <w:szCs w:val="32"/>
        </w:rPr>
        <w:t>月</w:t>
      </w:r>
      <w:bookmarkStart w:id="1" w:name="_Toc188623169"/>
      <w:bookmarkStart w:id="2" w:name="_Toc497549383"/>
      <w:bookmarkStart w:id="3" w:name="_Toc385992323"/>
      <w:bookmarkStart w:id="4" w:name="_Toc389620163"/>
      <w:r>
        <w:rPr>
          <w:rFonts w:hint="eastAsia" w:ascii="宋体" w:hAnsi="宋体"/>
          <w:b/>
          <w:sz w:val="36"/>
        </w:rPr>
        <w:t xml:space="preserve"> </w:t>
      </w:r>
      <w:bookmarkEnd w:id="0"/>
      <w:bookmarkEnd w:id="1"/>
      <w:bookmarkStart w:id="5" w:name="_Toc188623172"/>
    </w:p>
    <w:p>
      <w:pPr>
        <w:widowControl/>
        <w:spacing w:line="360" w:lineRule="auto"/>
        <w:jc w:val="left"/>
        <w:rPr>
          <w:rFonts w:hAnsi="宋体"/>
          <w:u w:val="single"/>
        </w:rPr>
        <w:sectPr>
          <w:footerReference r:id="rId3" w:type="default"/>
          <w:pgSz w:w="11906" w:h="16838"/>
          <w:pgMar w:top="1440" w:right="1700" w:bottom="1440" w:left="1440" w:header="720" w:footer="890" w:gutter="0"/>
          <w:pgNumType w:start="1"/>
          <w:cols w:space="720" w:num="1"/>
        </w:sectPr>
      </w:pPr>
    </w:p>
    <w:p>
      <w:pPr>
        <w:pStyle w:val="3"/>
        <w:spacing w:before="240" w:line="360" w:lineRule="auto"/>
        <w:rPr>
          <w:rFonts w:ascii="宋体" w:hAnsi="宋体"/>
          <w:b w:val="0"/>
          <w:sz w:val="44"/>
          <w:szCs w:val="44"/>
        </w:rPr>
      </w:pPr>
      <w:bookmarkStart w:id="6" w:name="_Toc372555578"/>
      <w:bookmarkStart w:id="7" w:name="_Toc276575914"/>
      <w:bookmarkStart w:id="8" w:name="_Toc57731942"/>
      <w:bookmarkStart w:id="9" w:name="_Toc518494113"/>
      <w:bookmarkStart w:id="10" w:name="_Toc197404895"/>
      <w:bookmarkStart w:id="11" w:name="_Toc191203192"/>
      <w:bookmarkStart w:id="12" w:name="_Toc29995568"/>
      <w:bookmarkStart w:id="13" w:name="_Toc372555579"/>
      <w:bookmarkStart w:id="14" w:name="_Toc402782153"/>
      <w:bookmarkStart w:id="15" w:name="_Toc39758874"/>
      <w:bookmarkStart w:id="16" w:name="_Toc188439083"/>
      <w:r>
        <w:rPr>
          <w:rFonts w:hint="eastAsia" w:ascii="宋体" w:hAnsi="宋体"/>
          <w:b w:val="0"/>
          <w:sz w:val="44"/>
          <w:szCs w:val="44"/>
        </w:rPr>
        <w:t>致参选人</w:t>
      </w:r>
      <w:bookmarkEnd w:id="6"/>
      <w:bookmarkEnd w:id="7"/>
      <w:bookmarkEnd w:id="8"/>
      <w:bookmarkEnd w:id="9"/>
      <w:bookmarkEnd w:id="10"/>
    </w:p>
    <w:p>
      <w:pPr>
        <w:pStyle w:val="24"/>
        <w:spacing w:before="240" w:beforeLines="100" w:after="120" w:afterLines="50" w:line="360" w:lineRule="auto"/>
        <w:ind w:firstLine="480" w:firstLineChars="200"/>
        <w:rPr>
          <w:rFonts w:hAnsi="宋体"/>
          <w:sz w:val="24"/>
        </w:rPr>
      </w:pPr>
      <w:r>
        <w:rPr>
          <w:rFonts w:hint="eastAsia" w:hAnsi="宋体"/>
          <w:sz w:val="24"/>
        </w:rPr>
        <w:t>本比选文件是依据有关法律、法规、规章和规范性文件的规定，根据本比选项目的特点和需要编制的。</w:t>
      </w:r>
    </w:p>
    <w:p>
      <w:pPr>
        <w:pStyle w:val="24"/>
        <w:spacing w:before="240" w:beforeLines="100" w:after="120" w:afterLines="50" w:line="360" w:lineRule="auto"/>
        <w:ind w:firstLine="480" w:firstLineChars="200"/>
        <w:rPr>
          <w:rFonts w:hAnsi="宋体"/>
          <w:sz w:val="24"/>
        </w:rPr>
      </w:pPr>
      <w:r>
        <w:rPr>
          <w:rFonts w:hint="eastAsia" w:hAnsi="宋体"/>
          <w:sz w:val="24"/>
        </w:rPr>
        <w:t>比选文件的编制遵循公开、公平、公正和诚实信用的原则，比选文件的内容已清楚地反映了</w:t>
      </w:r>
      <w:r>
        <w:rPr>
          <w:rFonts w:hint="eastAsia" w:hAnsi="宋体"/>
          <w:b/>
          <w:bCs/>
          <w:sz w:val="24"/>
          <w:szCs w:val="24"/>
          <w:u w:val="single"/>
        </w:rPr>
        <w:t>光明新湖、昂鹅车辆段、东宝河停车场、</w:t>
      </w:r>
      <w:r>
        <w:rPr>
          <w:rFonts w:hint="eastAsia" w:hAnsi="宋体"/>
          <w:b/>
          <w:bCs/>
          <w:sz w:val="24"/>
          <w:szCs w:val="24"/>
          <w:u w:val="single"/>
          <w:lang w:eastAsia="zh-CN"/>
        </w:rPr>
        <w:t>新大存车场</w:t>
      </w:r>
      <w:r>
        <w:rPr>
          <w:rFonts w:hint="eastAsia" w:hAnsi="宋体"/>
          <w:b/>
          <w:bCs/>
          <w:sz w:val="24"/>
          <w:szCs w:val="24"/>
          <w:u w:val="single"/>
        </w:rPr>
        <w:t>交通接驳研究</w:t>
      </w:r>
      <w:r>
        <w:rPr>
          <w:rFonts w:hint="eastAsia" w:hAnsi="宋体"/>
          <w:sz w:val="24"/>
        </w:rPr>
        <w:t>工作内容和基本要求。我们要求参选人必须完全响应本比选文件的实质性内容。</w:t>
      </w:r>
    </w:p>
    <w:p>
      <w:pPr>
        <w:pStyle w:val="24"/>
        <w:spacing w:before="240" w:beforeLines="100" w:after="120" w:afterLines="50" w:line="360" w:lineRule="auto"/>
        <w:ind w:firstLine="480" w:firstLineChars="200"/>
        <w:rPr>
          <w:rFonts w:hAnsi="宋体"/>
          <w:sz w:val="24"/>
          <w:u w:val="single"/>
        </w:rPr>
      </w:pPr>
      <w:r>
        <w:rPr>
          <w:rFonts w:hint="eastAsia" w:hAnsi="宋体"/>
          <w:sz w:val="24"/>
          <w:u w:val="single"/>
        </w:rPr>
        <w:t>领取了本比选文件的正式参选人，请随时查看“深铁招采网”、“深圳地铁官网”、“国资委阳光采购平台”、“深铁置业微信订阅号”中有关该项目补遗文件的信息。否则，由此导致的不利后果由参选人自负。</w:t>
      </w:r>
    </w:p>
    <w:p>
      <w:pPr>
        <w:pStyle w:val="24"/>
        <w:spacing w:line="360" w:lineRule="auto"/>
        <w:ind w:firstLine="420" w:firstLineChars="175"/>
        <w:rPr>
          <w:rFonts w:hAnsi="宋体"/>
          <w:sz w:val="24"/>
        </w:rPr>
      </w:pPr>
    </w:p>
    <w:p>
      <w:pPr>
        <w:pStyle w:val="24"/>
        <w:spacing w:line="360" w:lineRule="auto"/>
        <w:ind w:firstLine="420" w:firstLineChars="175"/>
        <w:rPr>
          <w:rFonts w:hAnsi="宋体"/>
          <w:sz w:val="24"/>
        </w:rPr>
      </w:pPr>
      <w:r>
        <w:rPr>
          <w:rFonts w:hint="eastAsia" w:hAnsi="宋体"/>
          <w:sz w:val="24"/>
        </w:rPr>
        <w:t>比选人（盖章）：</w:t>
      </w:r>
      <w:r>
        <w:rPr>
          <w:rFonts w:hint="eastAsia" w:hAnsi="宋体"/>
          <w:sz w:val="24"/>
          <w:lang w:eastAsia="zh-Hans"/>
        </w:rPr>
        <w:t>深圳地铁</w:t>
      </w:r>
      <w:r>
        <w:rPr>
          <w:rFonts w:hint="eastAsia" w:hAnsi="宋体"/>
          <w:sz w:val="24"/>
        </w:rPr>
        <w:t>置业集团有限公司</w:t>
      </w:r>
    </w:p>
    <w:p>
      <w:pPr>
        <w:pStyle w:val="24"/>
        <w:spacing w:line="360" w:lineRule="auto"/>
        <w:ind w:firstLine="420" w:firstLineChars="175"/>
        <w:rPr>
          <w:rFonts w:hAnsi="宋体"/>
          <w:sz w:val="24"/>
        </w:rPr>
      </w:pPr>
      <w:r>
        <w:rPr>
          <w:rFonts w:hint="eastAsia" w:hAnsi="宋体"/>
          <w:sz w:val="24"/>
        </w:rPr>
        <w:t>比选人地址：</w:t>
      </w:r>
      <w:r>
        <w:rPr>
          <w:rFonts w:hint="eastAsia" w:hAnsi="宋体"/>
          <w:sz w:val="24"/>
          <w:szCs w:val="24"/>
        </w:rPr>
        <w:t>深圳市福田区深南大道6011-8号深铁置业大厦50楼</w:t>
      </w:r>
    </w:p>
    <w:p>
      <w:pPr>
        <w:pStyle w:val="24"/>
        <w:spacing w:line="360" w:lineRule="auto"/>
        <w:ind w:right="94" w:rightChars="45" w:firstLine="420" w:firstLineChars="175"/>
        <w:rPr>
          <w:rFonts w:hAnsi="宋体"/>
          <w:sz w:val="24"/>
        </w:rPr>
      </w:pPr>
      <w:r>
        <w:rPr>
          <w:rFonts w:hint="eastAsia" w:hAnsi="宋体"/>
          <w:sz w:val="24"/>
        </w:rPr>
        <w:t>邮政编码：</w:t>
      </w:r>
    </w:p>
    <w:p>
      <w:pPr>
        <w:pStyle w:val="24"/>
        <w:spacing w:line="360" w:lineRule="auto"/>
        <w:ind w:firstLine="420" w:firstLineChars="175"/>
        <w:rPr>
          <w:rFonts w:hAnsi="宋体"/>
          <w:sz w:val="24"/>
        </w:rPr>
      </w:pPr>
      <w:r>
        <w:rPr>
          <w:rFonts w:hint="eastAsia" w:hAnsi="宋体"/>
          <w:sz w:val="24"/>
        </w:rPr>
        <w:t>联 系 人：杨工</w:t>
      </w:r>
    </w:p>
    <w:p>
      <w:pPr>
        <w:pStyle w:val="24"/>
        <w:spacing w:line="360" w:lineRule="auto"/>
        <w:ind w:firstLine="420" w:firstLineChars="175"/>
        <w:rPr>
          <w:rFonts w:hAnsi="宋体"/>
          <w:sz w:val="24"/>
        </w:rPr>
      </w:pPr>
      <w:r>
        <w:rPr>
          <w:rFonts w:hint="eastAsia" w:hAnsi="宋体"/>
          <w:sz w:val="24"/>
        </w:rPr>
        <w:t>传真：</w:t>
      </w:r>
    </w:p>
    <w:p>
      <w:pPr>
        <w:pStyle w:val="24"/>
        <w:spacing w:line="360" w:lineRule="auto"/>
        <w:ind w:firstLine="420" w:firstLineChars="175"/>
        <w:rPr>
          <w:rFonts w:hAnsi="宋体"/>
          <w:sz w:val="24"/>
        </w:rPr>
      </w:pPr>
      <w:r>
        <w:rPr>
          <w:rFonts w:hint="eastAsia" w:hAnsi="宋体"/>
          <w:sz w:val="24"/>
        </w:rPr>
        <w:t>联系电话：0755-89986697</w:t>
      </w:r>
    </w:p>
    <w:p>
      <w:pPr>
        <w:pStyle w:val="24"/>
        <w:spacing w:line="360" w:lineRule="auto"/>
        <w:ind w:firstLine="420" w:firstLineChars="175"/>
        <w:rPr>
          <w:rFonts w:hAnsi="宋体"/>
          <w:sz w:val="24"/>
        </w:rPr>
      </w:pPr>
      <w:r>
        <w:rPr>
          <w:rFonts w:hint="eastAsia" w:hAnsi="宋体"/>
          <w:sz w:val="24"/>
        </w:rPr>
        <w:t>电    邮：</w:t>
      </w:r>
    </w:p>
    <w:p>
      <w:pPr>
        <w:pStyle w:val="24"/>
        <w:spacing w:line="360" w:lineRule="auto"/>
        <w:ind w:firstLine="420" w:firstLineChars="175"/>
        <w:rPr>
          <w:rFonts w:hAnsi="宋体"/>
          <w:sz w:val="24"/>
          <w:u w:val="single"/>
        </w:rPr>
      </w:pPr>
      <w:r>
        <w:rPr>
          <w:rFonts w:hint="eastAsia" w:hAnsi="宋体"/>
          <w:sz w:val="24"/>
        </w:rPr>
        <w:t>日    期：2022年1</w:t>
      </w:r>
      <w:r>
        <w:rPr>
          <w:rFonts w:hint="eastAsia" w:hAnsi="宋体"/>
          <w:sz w:val="24"/>
          <w:lang w:val="en-US" w:eastAsia="zh-CN"/>
        </w:rPr>
        <w:t>2</w:t>
      </w:r>
      <w:r>
        <w:rPr>
          <w:rFonts w:hint="eastAsia" w:hAnsi="宋体"/>
          <w:sz w:val="24"/>
        </w:rPr>
        <w:t>月</w:t>
      </w:r>
      <w:r>
        <w:rPr>
          <w:rFonts w:hint="eastAsia" w:hAnsi="宋体"/>
          <w:sz w:val="24"/>
          <w:lang w:val="en-US" w:eastAsia="zh-CN"/>
        </w:rPr>
        <w:t>2</w:t>
      </w:r>
      <w:r>
        <w:rPr>
          <w:rFonts w:hint="eastAsia" w:hAnsi="宋体"/>
          <w:sz w:val="24"/>
        </w:rPr>
        <w:t>日</w:t>
      </w:r>
      <w:bookmarkEnd w:id="11"/>
      <w:bookmarkEnd w:id="12"/>
      <w:bookmarkEnd w:id="13"/>
      <w:bookmarkEnd w:id="14"/>
      <w:bookmarkEnd w:id="15"/>
      <w:bookmarkEnd w:id="16"/>
    </w:p>
    <w:p>
      <w:pPr>
        <w:pStyle w:val="24"/>
        <w:spacing w:line="360" w:lineRule="auto"/>
        <w:ind w:right="480"/>
        <w:rPr>
          <w:rFonts w:hAnsi="宋体"/>
          <w:kern w:val="2"/>
          <w:sz w:val="24"/>
          <w:szCs w:val="24"/>
        </w:rPr>
      </w:pPr>
    </w:p>
    <w:p>
      <w:pPr>
        <w:pStyle w:val="24"/>
        <w:spacing w:line="360" w:lineRule="auto"/>
        <w:ind w:right="480"/>
        <w:rPr>
          <w:rFonts w:hAnsi="宋体"/>
          <w:kern w:val="2"/>
          <w:sz w:val="24"/>
          <w:szCs w:val="24"/>
        </w:rPr>
      </w:pPr>
    </w:p>
    <w:p>
      <w:pPr>
        <w:pStyle w:val="24"/>
        <w:spacing w:line="360" w:lineRule="auto"/>
        <w:ind w:right="480"/>
        <w:rPr>
          <w:rFonts w:hAnsi="宋体"/>
          <w:kern w:val="2"/>
          <w:sz w:val="24"/>
          <w:szCs w:val="24"/>
        </w:rPr>
      </w:pPr>
    </w:p>
    <w:p>
      <w:pPr>
        <w:pStyle w:val="24"/>
        <w:spacing w:line="360" w:lineRule="auto"/>
        <w:ind w:right="480"/>
        <w:rPr>
          <w:rFonts w:hAnsi="宋体"/>
          <w:kern w:val="2"/>
          <w:sz w:val="24"/>
          <w:szCs w:val="24"/>
        </w:rPr>
      </w:pPr>
    </w:p>
    <w:p>
      <w:pPr>
        <w:pStyle w:val="3"/>
        <w:spacing w:before="240" w:line="360" w:lineRule="auto"/>
        <w:rPr>
          <w:rFonts w:ascii="宋体" w:hAnsi="宋体"/>
          <w:b w:val="0"/>
          <w:sz w:val="44"/>
          <w:szCs w:val="44"/>
        </w:rPr>
      </w:pPr>
      <w:bookmarkStart w:id="17" w:name="_Toc57731943"/>
      <w:bookmarkStart w:id="18" w:name="_Toc518494114"/>
    </w:p>
    <w:p>
      <w:pPr>
        <w:pStyle w:val="3"/>
        <w:spacing w:before="240" w:line="360" w:lineRule="auto"/>
        <w:rPr>
          <w:rFonts w:ascii="宋体" w:hAnsi="宋体"/>
          <w:b w:val="0"/>
          <w:sz w:val="44"/>
          <w:szCs w:val="44"/>
        </w:rPr>
      </w:pPr>
      <w:r>
        <w:rPr>
          <w:rFonts w:hint="eastAsia" w:ascii="宋体" w:hAnsi="宋体"/>
          <w:b w:val="0"/>
          <w:sz w:val="44"/>
          <w:szCs w:val="44"/>
        </w:rPr>
        <w:t>参选文件</w:t>
      </w:r>
      <w:bookmarkStart w:id="19" w:name="OLE_LINK1"/>
      <w:r>
        <w:rPr>
          <w:rFonts w:hint="eastAsia" w:ascii="宋体" w:hAnsi="宋体"/>
          <w:b w:val="0"/>
          <w:sz w:val="44"/>
          <w:szCs w:val="44"/>
        </w:rPr>
        <w:t>无效和废标的情形</w:t>
      </w:r>
      <w:bookmarkEnd w:id="19"/>
      <w:r>
        <w:rPr>
          <w:rFonts w:hint="eastAsia" w:ascii="宋体" w:hAnsi="宋体"/>
          <w:b w:val="0"/>
          <w:sz w:val="44"/>
          <w:szCs w:val="44"/>
        </w:rPr>
        <w:t>摘要</w:t>
      </w:r>
      <w:bookmarkEnd w:id="17"/>
      <w:bookmarkEnd w:id="18"/>
    </w:p>
    <w:p>
      <w:pPr>
        <w:pStyle w:val="24"/>
        <w:spacing w:line="360" w:lineRule="auto"/>
        <w:ind w:firstLine="482" w:firstLineChars="200"/>
        <w:rPr>
          <w:rFonts w:hAnsi="宋体"/>
          <w:b/>
          <w:bCs/>
          <w:sz w:val="24"/>
          <w:szCs w:val="36"/>
        </w:rPr>
      </w:pPr>
      <w:r>
        <w:rPr>
          <w:rFonts w:hint="eastAsia" w:hAnsi="宋体"/>
          <w:b/>
          <w:bCs/>
          <w:sz w:val="24"/>
          <w:szCs w:val="36"/>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p>
    <w:p>
      <w:pPr>
        <w:spacing w:line="360" w:lineRule="auto"/>
        <w:ind w:firstLine="472" w:firstLineChars="196"/>
        <w:rPr>
          <w:rFonts w:ascii="宋体" w:hAnsi="宋体"/>
          <w:b/>
          <w:sz w:val="24"/>
          <w:szCs w:val="24"/>
        </w:rPr>
      </w:pPr>
      <w:r>
        <w:rPr>
          <w:rFonts w:hint="eastAsia" w:ascii="宋体" w:hAnsi="宋体"/>
          <w:b/>
          <w:sz w:val="24"/>
          <w:szCs w:val="24"/>
        </w:rPr>
        <w:t>一、参选文件不予受理的情形（由比选人负责判定）:</w:t>
      </w:r>
    </w:p>
    <w:p>
      <w:pPr>
        <w:spacing w:line="360" w:lineRule="auto"/>
        <w:ind w:left="480"/>
        <w:rPr>
          <w:rFonts w:ascii="宋体" w:hAnsi="宋体"/>
          <w:bCs/>
          <w:sz w:val="24"/>
          <w:szCs w:val="32"/>
          <w:u w:val="single"/>
        </w:rPr>
      </w:pPr>
      <w:r>
        <w:rPr>
          <w:rFonts w:hint="eastAsia" w:ascii="宋体" w:hAnsi="宋体"/>
          <w:sz w:val="24"/>
        </w:rPr>
        <w:t>1.</w:t>
      </w:r>
      <w:r>
        <w:rPr>
          <w:rFonts w:hint="eastAsia" w:ascii="宋体" w:hAnsi="宋体"/>
          <w:sz w:val="24"/>
          <w:szCs w:val="24"/>
        </w:rPr>
        <w:t>参选文件在规定的参选截止时间以后送达的或者未送达指定地点的；</w:t>
      </w:r>
    </w:p>
    <w:p>
      <w:pPr>
        <w:spacing w:line="360" w:lineRule="auto"/>
        <w:ind w:left="480"/>
        <w:rPr>
          <w:rFonts w:ascii="宋体" w:hAnsi="宋体"/>
          <w:sz w:val="24"/>
        </w:rPr>
      </w:pPr>
      <w:r>
        <w:rPr>
          <w:rFonts w:hint="eastAsia" w:ascii="宋体" w:hAnsi="宋体"/>
          <w:bCs/>
          <w:sz w:val="24"/>
          <w:szCs w:val="24"/>
        </w:rPr>
        <w:t>2.参选文件未按规定编制并加盖参选人公章的</w:t>
      </w:r>
      <w:r>
        <w:rPr>
          <w:rFonts w:hint="eastAsia" w:ascii="宋体" w:hAnsi="宋体"/>
          <w:sz w:val="24"/>
        </w:rPr>
        <w:t>。</w:t>
      </w:r>
    </w:p>
    <w:p>
      <w:pPr>
        <w:spacing w:line="360" w:lineRule="auto"/>
        <w:ind w:firstLine="480" w:firstLineChars="200"/>
        <w:rPr>
          <w:rFonts w:ascii="宋体" w:hAnsi="宋体"/>
          <w:b/>
          <w:sz w:val="24"/>
        </w:rPr>
      </w:pPr>
      <w:r>
        <w:rPr>
          <w:rFonts w:hint="eastAsia" w:ascii="宋体" w:hAnsi="宋体"/>
          <w:sz w:val="24"/>
          <w:szCs w:val="24"/>
        </w:rPr>
        <w:t>二、</w:t>
      </w:r>
      <w:r>
        <w:rPr>
          <w:rFonts w:hint="eastAsia" w:ascii="宋体" w:hAnsi="宋体"/>
          <w:b/>
          <w:sz w:val="24"/>
        </w:rPr>
        <w:t>参选文件有下列情形之一的，初步评审不合格，应作无效标处理</w:t>
      </w:r>
      <w:r>
        <w:rPr>
          <w:rFonts w:hint="eastAsia" w:ascii="宋体" w:hAnsi="宋体"/>
          <w:b/>
          <w:bCs/>
          <w:sz w:val="24"/>
          <w:szCs w:val="32"/>
        </w:rPr>
        <w:t>（由评标委员会负责判定）</w:t>
      </w:r>
      <w:r>
        <w:rPr>
          <w:rFonts w:hint="eastAsia" w:ascii="宋体" w:hAnsi="宋体"/>
          <w:b/>
          <w:sz w:val="24"/>
        </w:rPr>
        <w:t>:</w:t>
      </w:r>
    </w:p>
    <w:p>
      <w:pPr>
        <w:spacing w:line="360" w:lineRule="auto"/>
        <w:ind w:left="480"/>
        <w:rPr>
          <w:rFonts w:ascii="宋体" w:hAnsi="宋体"/>
          <w:sz w:val="24"/>
        </w:rPr>
      </w:pPr>
      <w:r>
        <w:rPr>
          <w:rFonts w:hint="eastAsia" w:ascii="宋体" w:hAnsi="宋体"/>
          <w:sz w:val="24"/>
        </w:rPr>
        <w:t>1．参选文件未按要求加盖参选人公章的；</w:t>
      </w:r>
    </w:p>
    <w:p>
      <w:pPr>
        <w:spacing w:line="360" w:lineRule="auto"/>
        <w:ind w:left="480"/>
        <w:rPr>
          <w:rFonts w:ascii="宋体" w:hAnsi="宋体"/>
          <w:sz w:val="24"/>
        </w:rPr>
      </w:pPr>
      <w:r>
        <w:rPr>
          <w:rFonts w:hint="eastAsia" w:ascii="宋体" w:hAnsi="宋体"/>
          <w:sz w:val="24"/>
        </w:rPr>
        <w:t>2．参选文件未经法定代表人或其委托代理人签字或盖章的，或由委托代理人签字（</w:t>
      </w:r>
      <w:r>
        <w:rPr>
          <w:rFonts w:ascii="宋体" w:hAnsi="宋体"/>
          <w:sz w:val="24"/>
        </w:rPr>
        <w:t>盖章）</w:t>
      </w:r>
      <w:r>
        <w:rPr>
          <w:rFonts w:hint="eastAsia" w:ascii="宋体" w:hAnsi="宋体"/>
          <w:sz w:val="24"/>
        </w:rPr>
        <w:t>但未随参选文件一起提供“法定代表人授权书”原件的；</w:t>
      </w:r>
    </w:p>
    <w:p>
      <w:pPr>
        <w:spacing w:line="360" w:lineRule="auto"/>
        <w:ind w:left="480"/>
        <w:rPr>
          <w:rFonts w:ascii="宋体" w:hAnsi="宋体"/>
          <w:sz w:val="24"/>
        </w:rPr>
      </w:pPr>
      <w:r>
        <w:rPr>
          <w:rFonts w:hint="eastAsia" w:ascii="宋体" w:hAnsi="宋体"/>
          <w:sz w:val="24"/>
        </w:rPr>
        <w:t>3．对固定的参选格式文件内容进行了实质性修改，或加进额外的条件；</w:t>
      </w:r>
    </w:p>
    <w:p>
      <w:pPr>
        <w:spacing w:line="360" w:lineRule="auto"/>
        <w:ind w:left="480"/>
        <w:rPr>
          <w:rFonts w:ascii="宋体" w:hAnsi="宋体"/>
          <w:sz w:val="24"/>
        </w:rPr>
      </w:pPr>
      <w:r>
        <w:rPr>
          <w:rFonts w:hint="eastAsia" w:ascii="宋体" w:hAnsi="宋体"/>
          <w:sz w:val="24"/>
        </w:rPr>
        <w:t>4．参选函中的内容未按比选文件的要求填写；</w:t>
      </w:r>
    </w:p>
    <w:p>
      <w:pPr>
        <w:spacing w:line="360" w:lineRule="auto"/>
        <w:ind w:left="480"/>
        <w:rPr>
          <w:rFonts w:ascii="宋体" w:hAnsi="宋体"/>
          <w:sz w:val="24"/>
        </w:rPr>
      </w:pPr>
      <w:r>
        <w:rPr>
          <w:rFonts w:hint="eastAsia" w:ascii="宋体" w:hAnsi="宋体"/>
          <w:sz w:val="24"/>
        </w:rPr>
        <w:t>5．参选人的报价超出本项目参选上限总价或</w:t>
      </w:r>
      <w:r>
        <w:rPr>
          <w:rFonts w:ascii="宋体" w:hAnsi="宋体"/>
          <w:sz w:val="24"/>
        </w:rPr>
        <w:t>单个项目上</w:t>
      </w:r>
      <w:r>
        <w:rPr>
          <w:rFonts w:hint="eastAsia" w:ascii="宋体" w:hAnsi="宋体"/>
          <w:sz w:val="24"/>
        </w:rPr>
        <w:t>限</w:t>
      </w:r>
      <w:r>
        <w:rPr>
          <w:rFonts w:ascii="宋体" w:hAnsi="宋体"/>
          <w:sz w:val="24"/>
        </w:rPr>
        <w:t>价</w:t>
      </w:r>
      <w:r>
        <w:rPr>
          <w:rFonts w:hint="eastAsia" w:ascii="宋体" w:hAnsi="宋体"/>
          <w:sz w:val="24"/>
        </w:rPr>
        <w:t>；</w:t>
      </w:r>
    </w:p>
    <w:p>
      <w:pPr>
        <w:spacing w:line="360" w:lineRule="auto"/>
        <w:ind w:left="480"/>
        <w:rPr>
          <w:rFonts w:ascii="宋体" w:hAnsi="宋体"/>
          <w:sz w:val="24"/>
        </w:rPr>
      </w:pPr>
      <w:r>
        <w:rPr>
          <w:rFonts w:hint="eastAsia" w:ascii="宋体" w:hAnsi="宋体"/>
          <w:sz w:val="24"/>
        </w:rPr>
        <w:t>6. 经审查参选人不符合资格要求的。</w:t>
      </w:r>
    </w:p>
    <w:p>
      <w:pPr>
        <w:spacing w:line="360" w:lineRule="auto"/>
        <w:ind w:left="480"/>
        <w:rPr>
          <w:rFonts w:ascii="宋体" w:hAnsi="宋体"/>
          <w:b/>
          <w:sz w:val="24"/>
        </w:rPr>
      </w:pPr>
      <w:r>
        <w:rPr>
          <w:rFonts w:hint="eastAsia" w:ascii="宋体" w:hAnsi="宋体"/>
          <w:b/>
          <w:sz w:val="24"/>
        </w:rPr>
        <w:t>三、参选文件存在下列情形的，应作废标处理（由评标委员会负责判定）：</w:t>
      </w:r>
    </w:p>
    <w:p>
      <w:pPr>
        <w:numPr>
          <w:ilvl w:val="0"/>
          <w:numId w:val="2"/>
        </w:numPr>
        <w:adjustRightInd w:val="0"/>
        <w:snapToGrid w:val="0"/>
        <w:spacing w:line="360" w:lineRule="auto"/>
        <w:ind w:left="0" w:firstLine="480" w:firstLineChars="200"/>
        <w:rPr>
          <w:rFonts w:ascii="宋体" w:hAnsi="宋体"/>
          <w:sz w:val="24"/>
          <w:szCs w:val="24"/>
        </w:rPr>
      </w:pPr>
      <w:bookmarkStart w:id="20" w:name="_Toc57731944"/>
      <w:bookmarkStart w:id="21" w:name="_Toc434234570"/>
      <w:r>
        <w:rPr>
          <w:rFonts w:hint="eastAsia" w:ascii="宋体" w:hAnsi="宋体"/>
          <w:sz w:val="24"/>
          <w:szCs w:val="24"/>
        </w:rPr>
        <w:t>参选人以他人的名义参选或出现串通参选、弄虚作假情形的：</w:t>
      </w:r>
    </w:p>
    <w:p>
      <w:pPr>
        <w:numPr>
          <w:ilvl w:val="0"/>
          <w:numId w:val="2"/>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不同参选人的参选文件内容存在非正常一致的</w:t>
      </w:r>
      <w:r>
        <w:rPr>
          <w:rFonts w:hint="eastAsia" w:ascii="宋体" w:hAnsi="宋体"/>
          <w:sz w:val="24"/>
          <w:szCs w:val="32"/>
        </w:rPr>
        <w:t>（包括但不限于线上递交参选文件的CPU序号、硬盘序列号、MAC地址、IP地址等）</w:t>
      </w:r>
      <w:r>
        <w:rPr>
          <w:rFonts w:hint="eastAsia" w:ascii="宋体" w:hAnsi="宋体"/>
          <w:sz w:val="24"/>
          <w:szCs w:val="24"/>
        </w:rPr>
        <w:t>；</w:t>
      </w:r>
    </w:p>
    <w:p>
      <w:pPr>
        <w:numPr>
          <w:ilvl w:val="0"/>
          <w:numId w:val="2"/>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不同参选人的参选文件错漏之处一致的；</w:t>
      </w:r>
    </w:p>
    <w:p>
      <w:pPr>
        <w:numPr>
          <w:ilvl w:val="0"/>
          <w:numId w:val="2"/>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不同参选人的参选报价或者报价组成异常一致或者呈规律性变化的；</w:t>
      </w:r>
    </w:p>
    <w:p>
      <w:pPr>
        <w:numPr>
          <w:ilvl w:val="0"/>
          <w:numId w:val="2"/>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不同参选人的参选文件由同一单位或者同一个人编制的；</w:t>
      </w:r>
    </w:p>
    <w:p>
      <w:pPr>
        <w:numPr>
          <w:ilvl w:val="0"/>
          <w:numId w:val="2"/>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不同参选人的参选文件载明的项目负责人与主要技术人员出现同一人的；</w:t>
      </w:r>
    </w:p>
    <w:p>
      <w:pPr>
        <w:numPr>
          <w:ilvl w:val="0"/>
          <w:numId w:val="2"/>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不同参选人的参选文件相互混装的；</w:t>
      </w:r>
    </w:p>
    <w:p>
      <w:pPr>
        <w:numPr>
          <w:ilvl w:val="0"/>
          <w:numId w:val="2"/>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不同参选人委托同一人参选的；</w:t>
      </w:r>
    </w:p>
    <w:p>
      <w:pPr>
        <w:numPr>
          <w:ilvl w:val="0"/>
          <w:numId w:val="2"/>
        </w:numPr>
        <w:adjustRightInd w:val="0"/>
        <w:snapToGrid w:val="0"/>
        <w:spacing w:line="360" w:lineRule="auto"/>
        <w:ind w:left="0" w:firstLine="480" w:firstLineChars="200"/>
        <w:rPr>
          <w:rFonts w:ascii="宋体" w:hAnsi="宋体"/>
          <w:sz w:val="24"/>
          <w:szCs w:val="24"/>
        </w:rPr>
      </w:pPr>
      <w:r>
        <w:rPr>
          <w:rFonts w:hint="eastAsia" w:ascii="宋体" w:hAnsi="宋体"/>
          <w:sz w:val="24"/>
          <w:szCs w:val="24"/>
        </w:rPr>
        <w:t>不同参选人聘请同一人为其参选提供技术或者经济咨询服务的，但比选项目本身要求采用专有技术的除外。</w:t>
      </w:r>
    </w:p>
    <w:p>
      <w:pPr>
        <w:numPr>
          <w:ilvl w:val="255"/>
          <w:numId w:val="0"/>
        </w:numPr>
        <w:adjustRightInd w:val="0"/>
        <w:snapToGrid w:val="0"/>
        <w:spacing w:line="360" w:lineRule="auto"/>
        <w:ind w:left="420" w:leftChars="200"/>
        <w:rPr>
          <w:rFonts w:ascii="宋体" w:hAnsi="宋体"/>
          <w:sz w:val="24"/>
          <w:szCs w:val="24"/>
        </w:rPr>
      </w:pPr>
      <w:r>
        <w:rPr>
          <w:rFonts w:hint="eastAsia" w:ascii="宋体" w:hAnsi="宋体"/>
          <w:sz w:val="24"/>
          <w:szCs w:val="24"/>
        </w:rPr>
        <w:t>10. 参选人拒不按照评标委员会要求对参选文件进行澄清、说明、补正的。</w:t>
      </w:r>
    </w:p>
    <w:p>
      <w:pPr>
        <w:adjustRightInd w:val="0"/>
        <w:snapToGrid w:val="0"/>
        <w:spacing w:line="360" w:lineRule="auto"/>
        <w:ind w:firstLine="480" w:firstLineChars="200"/>
        <w:rPr>
          <w:rFonts w:ascii="宋体" w:hAnsi="宋体"/>
          <w:sz w:val="24"/>
          <w:szCs w:val="24"/>
        </w:rPr>
      </w:pPr>
      <w:r>
        <w:rPr>
          <w:rFonts w:hint="eastAsia" w:ascii="宋体" w:hAnsi="宋体"/>
          <w:sz w:val="24"/>
          <w:szCs w:val="24"/>
        </w:rPr>
        <w:t>当参选人出现上述10条的情形时，比选人将该参选人列入比选人不良诚信行为名录，并保留对外公示的权利。</w:t>
      </w:r>
    </w:p>
    <w:p>
      <w:pPr>
        <w:adjustRightInd w:val="0"/>
        <w:snapToGrid w:val="0"/>
        <w:spacing w:line="360" w:lineRule="auto"/>
        <w:ind w:left="480"/>
        <w:rPr>
          <w:rFonts w:ascii="宋体" w:hAnsi="宋体"/>
          <w:b/>
          <w:sz w:val="24"/>
        </w:rPr>
      </w:pPr>
      <w:r>
        <w:rPr>
          <w:rFonts w:hint="eastAsia" w:ascii="宋体" w:hAnsi="宋体"/>
          <w:b/>
          <w:sz w:val="24"/>
        </w:rPr>
        <w:t>四</w:t>
      </w:r>
      <w:r>
        <w:rPr>
          <w:rFonts w:ascii="宋体" w:hAnsi="宋体"/>
          <w:b/>
          <w:sz w:val="24"/>
        </w:rPr>
        <w:t>、本项目不接受有下列情形之一的企业或从业人员参与参选：</w:t>
      </w:r>
    </w:p>
    <w:p>
      <w:pPr>
        <w:adjustRightInd w:val="0"/>
        <w:snapToGrid w:val="0"/>
        <w:spacing w:line="360" w:lineRule="auto"/>
        <w:ind w:firstLine="480" w:firstLineChars="200"/>
        <w:rPr>
          <w:rFonts w:ascii="宋体" w:hAnsi="宋体"/>
          <w:sz w:val="24"/>
        </w:rPr>
      </w:pPr>
      <w:r>
        <w:rPr>
          <w:rFonts w:ascii="宋体" w:hAnsi="宋体"/>
          <w:sz w:val="24"/>
        </w:rPr>
        <w:t>1</w:t>
      </w:r>
      <w:r>
        <w:rPr>
          <w:rFonts w:hint="eastAsia" w:ascii="宋体" w:hAnsi="宋体"/>
          <w:sz w:val="24"/>
        </w:rPr>
        <w:t>、</w:t>
      </w:r>
      <w:r>
        <w:rPr>
          <w:rFonts w:ascii="宋体" w:hAnsi="宋体"/>
          <w:sz w:val="24"/>
        </w:rPr>
        <w:t>201</w:t>
      </w:r>
      <w:r>
        <w:rPr>
          <w:rFonts w:hint="eastAsia" w:ascii="宋体" w:hAnsi="宋体"/>
          <w:sz w:val="24"/>
        </w:rPr>
        <w:t>7年</w:t>
      </w:r>
      <w:r>
        <w:rPr>
          <w:rFonts w:ascii="宋体" w:hAnsi="宋体"/>
          <w:sz w:val="24"/>
        </w:rPr>
        <w:t>1月1日以来，有串通参选不良行为记录或涉嫌串通参选，并正在接受城市主管部门调查的参选申请人；</w:t>
      </w:r>
    </w:p>
    <w:p>
      <w:pPr>
        <w:adjustRightInd w:val="0"/>
        <w:snapToGrid w:val="0"/>
        <w:spacing w:line="360" w:lineRule="auto"/>
        <w:ind w:firstLine="480" w:firstLineChars="200"/>
        <w:rPr>
          <w:rFonts w:ascii="宋体" w:hAnsi="宋体"/>
          <w:sz w:val="24"/>
        </w:rPr>
      </w:pPr>
      <w:r>
        <w:rPr>
          <w:rFonts w:ascii="宋体" w:hAnsi="宋体"/>
          <w:sz w:val="24"/>
        </w:rPr>
        <w:t>2</w:t>
      </w:r>
      <w:r>
        <w:rPr>
          <w:rFonts w:hint="eastAsia" w:ascii="宋体" w:hAnsi="宋体"/>
          <w:sz w:val="24"/>
        </w:rPr>
        <w:t>、</w:t>
      </w:r>
      <w:r>
        <w:rPr>
          <w:rFonts w:ascii="宋体" w:hAnsi="宋体"/>
          <w:sz w:val="24"/>
        </w:rPr>
        <w:t>201</w:t>
      </w:r>
      <w:r>
        <w:rPr>
          <w:rFonts w:hint="eastAsia" w:ascii="宋体" w:hAnsi="宋体"/>
          <w:sz w:val="24"/>
        </w:rPr>
        <w:t>7</w:t>
      </w:r>
      <w:r>
        <w:rPr>
          <w:rFonts w:ascii="宋体" w:hAnsi="宋体"/>
          <w:sz w:val="24"/>
        </w:rPr>
        <w:t>年1月1日以来，在深圳市地铁集团有限公司或下属单位合同履约评价考核等级为D的参选申请人不得参选。</w:t>
      </w:r>
    </w:p>
    <w:p>
      <w:pPr>
        <w:adjustRightInd w:val="0"/>
        <w:snapToGrid w:val="0"/>
        <w:spacing w:line="360" w:lineRule="auto"/>
        <w:ind w:left="482"/>
        <w:rPr>
          <w:rFonts w:ascii="宋体" w:hAnsi="宋体"/>
          <w:sz w:val="24"/>
        </w:rPr>
      </w:pPr>
      <w:r>
        <w:rPr>
          <w:rFonts w:ascii="宋体" w:hAnsi="宋体"/>
          <w:sz w:val="24"/>
        </w:rPr>
        <w:t>3、联合体参选申请人。</w:t>
      </w:r>
    </w:p>
    <w:p>
      <w:pPr>
        <w:pStyle w:val="48"/>
      </w:pPr>
    </w:p>
    <w:p>
      <w:pPr>
        <w:pStyle w:val="4"/>
        <w:spacing w:line="360" w:lineRule="auto"/>
        <w:jc w:val="both"/>
        <w:rPr>
          <w:rFonts w:ascii="宋体" w:hAnsi="宋体" w:eastAsia="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spacing w:line="360" w:lineRule="auto"/>
        <w:rPr>
          <w:rFonts w:ascii="宋体" w:hAnsi="宋体"/>
          <w:b/>
        </w:rPr>
      </w:pPr>
    </w:p>
    <w:p>
      <w:pPr>
        <w:pStyle w:val="48"/>
        <w:spacing w:line="360" w:lineRule="auto"/>
        <w:ind w:left="0" w:leftChars="0" w:firstLine="0" w:firstLineChars="0"/>
      </w:pPr>
    </w:p>
    <w:p>
      <w:pPr>
        <w:pStyle w:val="48"/>
        <w:spacing w:line="360" w:lineRule="auto"/>
        <w:ind w:left="0" w:leftChars="0" w:firstLine="0" w:firstLineChars="0"/>
      </w:pPr>
    </w:p>
    <w:p>
      <w:pPr>
        <w:pStyle w:val="4"/>
        <w:spacing w:line="360" w:lineRule="auto"/>
        <w:rPr>
          <w:rFonts w:ascii="宋体" w:hAnsi="宋体" w:eastAsia="宋体"/>
          <w:b/>
          <w:sz w:val="44"/>
          <w:szCs w:val="44"/>
        </w:rPr>
      </w:pPr>
      <w:r>
        <w:rPr>
          <w:rFonts w:hint="eastAsia" w:ascii="宋体" w:hAnsi="宋体" w:eastAsia="宋体"/>
          <w:b/>
          <w:sz w:val="44"/>
          <w:szCs w:val="44"/>
        </w:rPr>
        <w:t>比选公告</w:t>
      </w:r>
      <w:bookmarkEnd w:id="20"/>
      <w:bookmarkEnd w:id="21"/>
    </w:p>
    <w:p>
      <w:pPr>
        <w:pStyle w:val="24"/>
        <w:spacing w:line="360" w:lineRule="auto"/>
        <w:ind w:firstLine="480" w:firstLineChars="200"/>
        <w:jc w:val="left"/>
        <w:rPr>
          <w:rFonts w:hAnsi="宋体"/>
          <w:kern w:val="2"/>
          <w:sz w:val="24"/>
          <w:szCs w:val="24"/>
        </w:rPr>
      </w:pPr>
      <w:r>
        <w:rPr>
          <w:rFonts w:hint="eastAsia" w:hAnsi="宋体"/>
          <w:sz w:val="24"/>
          <w:szCs w:val="24"/>
        </w:rPr>
        <w:t>深圳市地铁置业集团有限公司拟对</w:t>
      </w:r>
      <w:r>
        <w:rPr>
          <w:rFonts w:hint="eastAsia" w:hAnsi="宋体"/>
          <w:b/>
          <w:bCs/>
          <w:sz w:val="24"/>
          <w:szCs w:val="24"/>
          <w:u w:val="single"/>
        </w:rPr>
        <w:t>光明新湖、昂鹅车辆段、东宝河停车场、</w:t>
      </w:r>
      <w:r>
        <w:rPr>
          <w:rFonts w:hint="eastAsia" w:hAnsi="宋体"/>
          <w:b/>
          <w:bCs/>
          <w:sz w:val="24"/>
          <w:szCs w:val="24"/>
          <w:u w:val="single"/>
          <w:lang w:eastAsia="zh-CN"/>
        </w:rPr>
        <w:t>新大存车场</w:t>
      </w:r>
      <w:r>
        <w:rPr>
          <w:rFonts w:hint="eastAsia" w:hAnsi="宋体"/>
          <w:b/>
          <w:bCs/>
          <w:sz w:val="24"/>
          <w:szCs w:val="24"/>
          <w:u w:val="single"/>
        </w:rPr>
        <w:t>交通接驳研究</w:t>
      </w:r>
      <w:r>
        <w:rPr>
          <w:rFonts w:hint="eastAsia" w:hAnsi="宋体"/>
          <w:b/>
          <w:sz w:val="24"/>
          <w:szCs w:val="24"/>
        </w:rPr>
        <w:t>（以下简称“本项目”）</w:t>
      </w:r>
      <w:r>
        <w:rPr>
          <w:rFonts w:hint="eastAsia" w:hAnsi="宋体"/>
          <w:sz w:val="24"/>
          <w:szCs w:val="24"/>
        </w:rPr>
        <w:t>进行公开比选，欢迎符合本比选公告公布资质要求的公司参加比选。</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22" w:name="_Toc57731945"/>
      <w:r>
        <w:rPr>
          <w:rFonts w:hint="eastAsia" w:ascii="宋体" w:hAnsi="宋体"/>
          <w:b/>
          <w:kern w:val="0"/>
          <w:sz w:val="24"/>
          <w:szCs w:val="24"/>
        </w:rPr>
        <w:t>一、项目名称</w:t>
      </w:r>
      <w:bookmarkEnd w:id="22"/>
    </w:p>
    <w:p>
      <w:pPr>
        <w:spacing w:line="360" w:lineRule="auto"/>
        <w:ind w:firstLine="482" w:firstLineChars="200"/>
        <w:rPr>
          <w:rFonts w:ascii="宋体" w:hAnsi="宋体"/>
          <w:sz w:val="24"/>
          <w:szCs w:val="24"/>
        </w:rPr>
      </w:pPr>
      <w:bookmarkStart w:id="23" w:name="_Toc57731946"/>
      <w:r>
        <w:rPr>
          <w:rFonts w:hint="eastAsia" w:hAnsi="宋体"/>
          <w:b/>
          <w:bCs/>
          <w:sz w:val="24"/>
          <w:szCs w:val="24"/>
          <w:u w:val="single"/>
        </w:rPr>
        <w:t>光明新湖、昂鹅车辆段、东宝河停车场、</w:t>
      </w:r>
      <w:r>
        <w:rPr>
          <w:rFonts w:hint="eastAsia" w:hAnsi="宋体"/>
          <w:b/>
          <w:bCs/>
          <w:sz w:val="24"/>
          <w:szCs w:val="24"/>
          <w:u w:val="single"/>
          <w:lang w:eastAsia="zh-CN"/>
        </w:rPr>
        <w:t>新大存车场</w:t>
      </w:r>
      <w:r>
        <w:rPr>
          <w:rFonts w:hint="eastAsia" w:hAnsi="宋体"/>
          <w:b/>
          <w:bCs/>
          <w:sz w:val="24"/>
          <w:szCs w:val="24"/>
          <w:u w:val="single"/>
        </w:rPr>
        <w:t>交通接驳研究</w:t>
      </w:r>
      <w:r>
        <w:rPr>
          <w:rFonts w:hint="eastAsia" w:hAnsi="宋体"/>
          <w:sz w:val="24"/>
          <w:szCs w:val="24"/>
        </w:rPr>
        <w:t>。</w:t>
      </w:r>
    </w:p>
    <w:p>
      <w:pPr>
        <w:numPr>
          <w:ilvl w:val="0"/>
          <w:numId w:val="3"/>
        </w:numPr>
        <w:spacing w:line="360" w:lineRule="auto"/>
        <w:ind w:left="479" w:leftChars="228"/>
        <w:rPr>
          <w:rFonts w:ascii="宋体" w:hAnsi="宋体"/>
          <w:b/>
          <w:kern w:val="0"/>
          <w:sz w:val="24"/>
          <w:szCs w:val="24"/>
        </w:rPr>
      </w:pPr>
      <w:r>
        <w:rPr>
          <w:rFonts w:hint="eastAsia" w:ascii="宋体" w:hAnsi="宋体"/>
          <w:b/>
          <w:kern w:val="0"/>
          <w:sz w:val="24"/>
          <w:szCs w:val="24"/>
        </w:rPr>
        <w:t>项目概况</w:t>
      </w:r>
    </w:p>
    <w:p>
      <w:pPr>
        <w:adjustRightInd w:val="0"/>
        <w:snapToGrid w:val="0"/>
        <w:spacing w:line="360" w:lineRule="auto"/>
        <w:ind w:firstLine="480" w:firstLineChars="200"/>
        <w:rPr>
          <w:rFonts w:ascii="宋体" w:hAnsi="宋体"/>
          <w:sz w:val="24"/>
        </w:rPr>
      </w:pPr>
      <w:r>
        <w:rPr>
          <w:rFonts w:hint="eastAsia" w:ascii="宋体" w:hAnsi="宋体"/>
          <w:sz w:val="24"/>
        </w:rPr>
        <w:t>为提高项目开发品质，促进项目周边配套设施提升，比</w:t>
      </w:r>
      <w:r>
        <w:rPr>
          <w:rFonts w:ascii="宋体" w:hAnsi="宋体"/>
          <w:sz w:val="24"/>
        </w:rPr>
        <w:t>选人</w:t>
      </w:r>
      <w:r>
        <w:rPr>
          <w:rFonts w:hint="eastAsia" w:ascii="宋体" w:hAnsi="宋体"/>
          <w:sz w:val="24"/>
        </w:rPr>
        <w:t xml:space="preserve">拟对若干项目开展交通接驳研究。相关项目情况如下： </w:t>
      </w:r>
    </w:p>
    <w:p>
      <w:pPr>
        <w:adjustRightInd w:val="0"/>
        <w:snapToGrid w:val="0"/>
        <w:spacing w:line="360" w:lineRule="auto"/>
        <w:ind w:firstLine="480" w:firstLineChars="200"/>
        <w:rPr>
          <w:rFonts w:ascii="宋体" w:hAnsi="宋体"/>
          <w:sz w:val="24"/>
        </w:rPr>
      </w:pPr>
      <w:r>
        <w:rPr>
          <w:rFonts w:hint="eastAsia" w:ascii="宋体" w:hAnsi="宋体"/>
          <w:sz w:val="24"/>
        </w:rPr>
        <w:t>（一）光明新湖项目</w:t>
      </w:r>
    </w:p>
    <w:p>
      <w:pPr>
        <w:adjustRightInd w:val="0"/>
        <w:snapToGrid w:val="0"/>
        <w:spacing w:line="360" w:lineRule="auto"/>
        <w:ind w:firstLine="480" w:firstLineChars="200"/>
        <w:rPr>
          <w:rFonts w:ascii="宋体" w:hAnsi="宋体"/>
          <w:sz w:val="24"/>
        </w:rPr>
      </w:pPr>
      <w:r>
        <w:rPr>
          <w:rFonts w:hint="eastAsia" w:ascii="宋体" w:hAnsi="宋体"/>
          <w:sz w:val="24"/>
        </w:rPr>
        <w:t>该项目位于光明区新湖街道规划光辉大道与华夏路交汇处东南角，北面</w:t>
      </w:r>
      <w:r>
        <w:rPr>
          <w:rFonts w:hint="eastAsia" w:ascii="宋体" w:hAnsi="宋体"/>
          <w:sz w:val="24"/>
          <w:lang w:val="zh-CN"/>
        </w:rPr>
        <w:t>紧邻城市次干道光辉大道（</w:t>
      </w:r>
      <w:r>
        <w:rPr>
          <w:rFonts w:hint="eastAsia" w:ascii="宋体" w:hAnsi="宋体"/>
          <w:sz w:val="24"/>
        </w:rPr>
        <w:t>在建</w:t>
      </w:r>
      <w:r>
        <w:rPr>
          <w:rFonts w:hint="eastAsia" w:ascii="宋体" w:hAnsi="宋体"/>
          <w:sz w:val="24"/>
          <w:lang w:val="zh-CN"/>
        </w:rPr>
        <w:t>），</w:t>
      </w:r>
      <w:r>
        <w:rPr>
          <w:rFonts w:hint="eastAsia" w:ascii="宋体" w:hAnsi="宋体"/>
          <w:sz w:val="24"/>
        </w:rPr>
        <w:t>南面为</w:t>
      </w:r>
      <w:r>
        <w:rPr>
          <w:rFonts w:hint="eastAsia" w:ascii="宋体" w:hAnsi="宋体"/>
          <w:sz w:val="24"/>
          <w:lang w:val="zh-CN"/>
        </w:rPr>
        <w:t>狮明路（</w:t>
      </w:r>
      <w:r>
        <w:rPr>
          <w:rFonts w:hint="eastAsia" w:ascii="宋体" w:hAnsi="宋体"/>
          <w:sz w:val="24"/>
        </w:rPr>
        <w:t>规划</w:t>
      </w:r>
      <w:r>
        <w:rPr>
          <w:rFonts w:hint="eastAsia" w:ascii="宋体" w:hAnsi="宋体"/>
          <w:sz w:val="24"/>
          <w:lang w:val="zh-CN"/>
        </w:rPr>
        <w:t>），</w:t>
      </w:r>
      <w:r>
        <w:rPr>
          <w:rFonts w:hint="eastAsia" w:ascii="宋体" w:hAnsi="宋体"/>
          <w:sz w:val="24"/>
        </w:rPr>
        <w:t>东面为佛子坳路（规划），西面现状为水塘。</w:t>
      </w:r>
    </w:p>
    <w:p>
      <w:pPr>
        <w:adjustRightInd w:val="0"/>
        <w:snapToGrid w:val="0"/>
        <w:spacing w:line="360" w:lineRule="auto"/>
        <w:ind w:firstLine="480" w:firstLineChars="200"/>
        <w:rPr>
          <w:rFonts w:ascii="宋体" w:hAnsi="宋体"/>
          <w:sz w:val="24"/>
        </w:rPr>
      </w:pPr>
      <w:r>
        <w:rPr>
          <w:rFonts w:hint="eastAsia" w:ascii="宋体" w:hAnsi="宋体"/>
          <w:sz w:val="24"/>
        </w:rPr>
        <w:t>项目用地性质为商业用地+二类居住用地，地块面积1.59公顷，计容建筑面积7.18万平方米，容积率4.5，其中商业7500平方米，办公31779平方米，住宅28000平方米，配套设施4560平方米。</w:t>
      </w:r>
    </w:p>
    <w:p>
      <w:pPr>
        <w:adjustRightInd w:val="0"/>
        <w:snapToGrid w:val="0"/>
        <w:spacing w:line="360" w:lineRule="auto"/>
        <w:ind w:firstLine="480" w:firstLineChars="200"/>
        <w:rPr>
          <w:rFonts w:ascii="宋体" w:hAnsi="宋体"/>
          <w:sz w:val="24"/>
        </w:rPr>
      </w:pPr>
      <w:r>
        <w:rPr>
          <w:rFonts w:hint="eastAsia" w:ascii="宋体" w:hAnsi="宋体"/>
          <w:sz w:val="24"/>
        </w:rPr>
        <w:t>项目距离既有6号线光明站约1.2公里。同时根据深圳市轨道交通五期建设规划环评公示方案29号线一期始于红树湾南止于宝安兴东站，29号线在新湖项目段未进入五期建设规划环评公示范围。</w:t>
      </w:r>
    </w:p>
    <w:p>
      <w:pPr>
        <w:pStyle w:val="48"/>
        <w:ind w:left="0" w:leftChars="0" w:firstLine="0" w:firstLineChars="0"/>
        <w:jc w:val="center"/>
      </w:pPr>
      <w:r>
        <w:rPr>
          <w:rFonts w:hint="eastAsia"/>
        </w:rPr>
        <w:drawing>
          <wp:inline distT="0" distB="0" distL="114300" distR="114300">
            <wp:extent cx="3626485" cy="3267710"/>
            <wp:effectExtent l="0" t="0" r="12065" b="8890"/>
            <wp:docPr id="2" name="图片 1" descr="1665473240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1665473240978"/>
                    <pic:cNvPicPr>
                      <a:picLocks noChangeAspect="1"/>
                    </pic:cNvPicPr>
                  </pic:nvPicPr>
                  <pic:blipFill>
                    <a:blip r:embed="rId8"/>
                    <a:stretch>
                      <a:fillRect/>
                    </a:stretch>
                  </pic:blipFill>
                  <pic:spPr>
                    <a:xfrm>
                      <a:off x="0" y="0"/>
                      <a:ext cx="3626485" cy="3267710"/>
                    </a:xfrm>
                    <a:prstGeom prst="rect">
                      <a:avLst/>
                    </a:prstGeom>
                    <a:noFill/>
                    <a:ln>
                      <a:noFill/>
                    </a:ln>
                  </pic:spPr>
                </pic:pic>
              </a:graphicData>
            </a:graphic>
          </wp:inline>
        </w:drawing>
      </w:r>
    </w:p>
    <w:p>
      <w:pPr>
        <w:ind w:firstLine="480" w:firstLineChars="200"/>
        <w:jc w:val="center"/>
        <w:rPr>
          <w:rFonts w:ascii="宋体" w:hAnsi="宋体" w:cs="宋体"/>
          <w:sz w:val="24"/>
          <w:szCs w:val="24"/>
        </w:rPr>
      </w:pPr>
      <w:r>
        <w:rPr>
          <w:rFonts w:hint="eastAsia" w:ascii="宋体" w:hAnsi="宋体" w:cs="宋体"/>
          <w:sz w:val="24"/>
          <w:szCs w:val="24"/>
        </w:rPr>
        <w:t>图1 新湖项目概况</w:t>
      </w:r>
    </w:p>
    <w:p>
      <w:pPr>
        <w:adjustRightInd w:val="0"/>
        <w:snapToGrid w:val="0"/>
        <w:spacing w:line="360" w:lineRule="auto"/>
        <w:ind w:firstLine="480" w:firstLineChars="200"/>
        <w:rPr>
          <w:rFonts w:ascii="宋体" w:hAnsi="宋体"/>
          <w:sz w:val="24"/>
        </w:rPr>
      </w:pPr>
      <w:r>
        <w:rPr>
          <w:rFonts w:hint="eastAsia" w:ascii="宋体" w:hAnsi="宋体"/>
          <w:sz w:val="24"/>
        </w:rPr>
        <w:t>（二）昂鹅车辆段项目</w:t>
      </w:r>
    </w:p>
    <w:p>
      <w:pPr>
        <w:adjustRightInd w:val="0"/>
        <w:snapToGrid w:val="0"/>
        <w:spacing w:line="360" w:lineRule="auto"/>
        <w:ind w:firstLine="480" w:firstLineChars="200"/>
        <w:rPr>
          <w:rFonts w:ascii="宋体" w:hAnsi="宋体"/>
          <w:sz w:val="24"/>
        </w:rPr>
      </w:pPr>
      <w:r>
        <w:rPr>
          <w:rFonts w:hint="eastAsia" w:ascii="宋体" w:hAnsi="宋体"/>
          <w:sz w:val="24"/>
        </w:rPr>
        <w:t>项目位于深圳市坪山区坑梓街道，秀沙路以西，南邻深汕高速，西北面与惠阳隔河相望。项目用地面积约为81.71万㎡，总建筑面积235.93万㎡，计容建筑面积153.82万㎡，其中：规划住宅建筑面积129.2万㎡，规划商业建筑面积7万㎡，公共配套设施17.62万㎡。</w:t>
      </w:r>
    </w:p>
    <w:p>
      <w:pPr>
        <w:adjustRightInd w:val="0"/>
        <w:snapToGrid w:val="0"/>
        <w:spacing w:line="360" w:lineRule="auto"/>
        <w:ind w:firstLine="480" w:firstLineChars="200"/>
        <w:rPr>
          <w:rFonts w:ascii="宋体" w:hAnsi="宋体"/>
          <w:sz w:val="24"/>
        </w:rPr>
      </w:pPr>
      <w:r>
        <w:rPr>
          <w:rFonts w:hint="eastAsia" w:ascii="宋体" w:hAnsi="宋体"/>
          <w:sz w:val="24"/>
        </w:rPr>
        <w:t>项目</w:t>
      </w:r>
      <w:r>
        <w:rPr>
          <w:rFonts w:hint="eastAsia" w:ascii="宋体" w:hAnsi="宋体"/>
          <w:sz w:val="24"/>
          <w:lang w:val="zh-CN"/>
        </w:rPr>
        <w:t>距轨道14号线沙田站约</w:t>
      </w:r>
      <w:r>
        <w:rPr>
          <w:rFonts w:hint="eastAsia" w:ascii="宋体" w:hAnsi="宋体"/>
          <w:sz w:val="24"/>
        </w:rPr>
        <w:t>2.6公里</w:t>
      </w:r>
      <w:r>
        <w:rPr>
          <w:rFonts w:hint="eastAsia" w:ascii="宋体" w:hAnsi="宋体"/>
          <w:sz w:val="24"/>
          <w:lang w:val="zh-CN"/>
        </w:rPr>
        <w:t>，</w:t>
      </w:r>
      <w:r>
        <w:rPr>
          <w:rFonts w:hint="eastAsia" w:ascii="宋体" w:hAnsi="宋体"/>
          <w:sz w:val="24"/>
        </w:rPr>
        <w:t>同时根据深圳市轨道五期建设</w:t>
      </w:r>
      <w:r>
        <w:rPr>
          <w:rFonts w:hint="eastAsia" w:ascii="宋体" w:hAnsi="宋体"/>
          <w:sz w:val="24"/>
          <w:lang w:val="zh-CN"/>
        </w:rPr>
        <w:t>规划</w:t>
      </w:r>
      <w:r>
        <w:rPr>
          <w:rFonts w:hint="eastAsia" w:ascii="宋体" w:hAnsi="宋体"/>
          <w:sz w:val="24"/>
        </w:rPr>
        <w:t>环评公示方案中地铁</w:t>
      </w:r>
      <w:r>
        <w:rPr>
          <w:rFonts w:hint="eastAsia" w:ascii="宋体" w:hAnsi="宋体"/>
          <w:sz w:val="24"/>
          <w:lang w:val="zh-CN"/>
        </w:rPr>
        <w:t>19号线</w:t>
      </w:r>
      <w:r>
        <w:rPr>
          <w:rFonts w:hint="eastAsia" w:ascii="宋体" w:hAnsi="宋体"/>
          <w:sz w:val="24"/>
        </w:rPr>
        <w:t>终止于坪山的聚龙站，19号线聚龙到昂鹅车辆段线位未进入公示范围。</w:t>
      </w:r>
    </w:p>
    <w:p>
      <w:pPr>
        <w:pStyle w:val="48"/>
        <w:ind w:left="0" w:leftChars="0" w:firstLine="0" w:firstLineChars="0"/>
        <w:jc w:val="center"/>
      </w:pPr>
      <w:r>
        <w:rPr>
          <w:rFonts w:hint="eastAsia"/>
        </w:rPr>
        <w:drawing>
          <wp:inline distT="0" distB="0" distL="114300" distR="114300">
            <wp:extent cx="4081780" cy="3515360"/>
            <wp:effectExtent l="0" t="0" r="13970" b="8890"/>
            <wp:docPr id="1" name="图片 2" descr="166547459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665474591583"/>
                    <pic:cNvPicPr>
                      <a:picLocks noChangeAspect="1"/>
                    </pic:cNvPicPr>
                  </pic:nvPicPr>
                  <pic:blipFill>
                    <a:blip r:embed="rId9"/>
                    <a:stretch>
                      <a:fillRect/>
                    </a:stretch>
                  </pic:blipFill>
                  <pic:spPr>
                    <a:xfrm>
                      <a:off x="0" y="0"/>
                      <a:ext cx="4081780" cy="3515360"/>
                    </a:xfrm>
                    <a:prstGeom prst="rect">
                      <a:avLst/>
                    </a:prstGeom>
                    <a:noFill/>
                    <a:ln>
                      <a:noFill/>
                    </a:ln>
                  </pic:spPr>
                </pic:pic>
              </a:graphicData>
            </a:graphic>
          </wp:inline>
        </w:drawing>
      </w:r>
    </w:p>
    <w:p>
      <w:pPr>
        <w:ind w:firstLine="480" w:firstLineChars="200"/>
        <w:jc w:val="center"/>
        <w:rPr>
          <w:rFonts w:ascii="宋体" w:hAnsi="宋体" w:cs="宋体"/>
          <w:sz w:val="24"/>
          <w:szCs w:val="24"/>
        </w:rPr>
      </w:pPr>
      <w:r>
        <w:rPr>
          <w:rFonts w:hint="eastAsia" w:ascii="宋体" w:hAnsi="宋体" w:cs="宋体"/>
          <w:sz w:val="24"/>
          <w:szCs w:val="24"/>
        </w:rPr>
        <w:t>图2 昂鹅项目概况</w:t>
      </w:r>
    </w:p>
    <w:p>
      <w:pPr>
        <w:adjustRightInd w:val="0"/>
        <w:snapToGrid w:val="0"/>
        <w:spacing w:line="360" w:lineRule="auto"/>
        <w:ind w:firstLine="480" w:firstLineChars="200"/>
        <w:rPr>
          <w:rFonts w:ascii="宋体" w:hAnsi="宋体"/>
          <w:sz w:val="24"/>
        </w:rPr>
      </w:pPr>
      <w:r>
        <w:rPr>
          <w:rFonts w:hint="eastAsia" w:ascii="宋体" w:hAnsi="宋体"/>
          <w:sz w:val="24"/>
        </w:rPr>
        <w:t>（三）东宝河停车场项目</w:t>
      </w:r>
    </w:p>
    <w:p>
      <w:pPr>
        <w:adjustRightInd w:val="0"/>
        <w:snapToGrid w:val="0"/>
        <w:spacing w:line="360" w:lineRule="auto"/>
        <w:ind w:firstLine="480" w:firstLineChars="200"/>
        <w:rPr>
          <w:rFonts w:ascii="宋体" w:hAnsi="宋体"/>
          <w:sz w:val="24"/>
        </w:rPr>
      </w:pPr>
      <w:r>
        <w:rPr>
          <w:rFonts w:hint="eastAsia" w:ascii="宋体" w:hAnsi="宋体"/>
          <w:sz w:val="24"/>
        </w:rPr>
        <w:t>轨道12号线二期东宝河停车场位于宝安海上田园片区，东宝河东南岸，西部紧邻长安滨海新区，沿江高速以东，外环高速两侧。用地面积16.4公顷，现状基地大部分为空地，少量临建。</w:t>
      </w:r>
    </w:p>
    <w:p>
      <w:pPr>
        <w:adjustRightInd w:val="0"/>
        <w:snapToGrid w:val="0"/>
        <w:spacing w:line="360" w:lineRule="auto"/>
        <w:ind w:firstLine="480" w:firstLineChars="200"/>
        <w:rPr>
          <w:rFonts w:ascii="宋体" w:hAnsi="宋体"/>
          <w:sz w:val="24"/>
        </w:rPr>
      </w:pPr>
      <w:r>
        <w:rPr>
          <w:rFonts w:hint="eastAsia" w:ascii="宋体" w:hAnsi="宋体"/>
          <w:sz w:val="24"/>
        </w:rPr>
        <w:t>项目拟规划为二类居住用地、教育设施用地，项目总开发量约62.8万㎡，其中住宅57.1万㎡，商业1.5万㎡，配套设施4.2万㎡。东宝河车辆段距离12号线海上田园东站约1.1公里，近期无规划轨道站点经过。</w:t>
      </w:r>
    </w:p>
    <w:p>
      <w:pPr>
        <w:pStyle w:val="48"/>
        <w:ind w:left="0" w:leftChars="0" w:firstLine="0" w:firstLineChars="0"/>
        <w:jc w:val="center"/>
      </w:pPr>
      <w:r>
        <w:rPr>
          <w:rFonts w:hint="eastAsia"/>
        </w:rPr>
        <w:drawing>
          <wp:inline distT="0" distB="0" distL="114300" distR="114300">
            <wp:extent cx="3590925" cy="2886075"/>
            <wp:effectExtent l="0" t="0" r="9525" b="9525"/>
            <wp:docPr id="4" name="图片 4" descr="1665483276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65483276661"/>
                    <pic:cNvPicPr>
                      <a:picLocks noChangeAspect="1"/>
                    </pic:cNvPicPr>
                  </pic:nvPicPr>
                  <pic:blipFill>
                    <a:blip r:embed="rId10"/>
                    <a:stretch>
                      <a:fillRect/>
                    </a:stretch>
                  </pic:blipFill>
                  <pic:spPr>
                    <a:xfrm>
                      <a:off x="0" y="0"/>
                      <a:ext cx="3590925" cy="2886075"/>
                    </a:xfrm>
                    <a:prstGeom prst="rect">
                      <a:avLst/>
                    </a:prstGeom>
                    <a:noFill/>
                    <a:ln>
                      <a:noFill/>
                    </a:ln>
                  </pic:spPr>
                </pic:pic>
              </a:graphicData>
            </a:graphic>
          </wp:inline>
        </w:drawing>
      </w:r>
    </w:p>
    <w:p>
      <w:pPr>
        <w:ind w:firstLine="480" w:firstLineChars="200"/>
        <w:jc w:val="center"/>
        <w:rPr>
          <w:rFonts w:ascii="宋体" w:hAnsi="宋体" w:cs="宋体"/>
          <w:sz w:val="24"/>
          <w:szCs w:val="24"/>
        </w:rPr>
      </w:pPr>
      <w:r>
        <w:rPr>
          <w:rFonts w:hint="eastAsia" w:ascii="宋体" w:hAnsi="宋体" w:cs="宋体"/>
          <w:sz w:val="24"/>
          <w:szCs w:val="24"/>
        </w:rPr>
        <w:t>图3 东宝河车辆段项目概况</w:t>
      </w:r>
    </w:p>
    <w:p>
      <w:pPr>
        <w:adjustRightInd w:val="0"/>
        <w:snapToGrid w:val="0"/>
        <w:spacing w:line="360" w:lineRule="auto"/>
        <w:ind w:firstLine="480" w:firstLineChars="200"/>
        <w:rPr>
          <w:rFonts w:ascii="宋体" w:hAnsi="宋体"/>
          <w:sz w:val="24"/>
        </w:rPr>
      </w:pPr>
      <w:r>
        <w:rPr>
          <w:rFonts w:hint="eastAsia" w:ascii="宋体" w:hAnsi="宋体"/>
          <w:sz w:val="24"/>
        </w:rPr>
        <w:t>（四）新大存车场项目</w:t>
      </w:r>
    </w:p>
    <w:p>
      <w:pPr>
        <w:adjustRightInd w:val="0"/>
        <w:snapToGrid w:val="0"/>
        <w:spacing w:line="360" w:lineRule="auto"/>
        <w:ind w:firstLine="480" w:firstLineChars="200"/>
        <w:rPr>
          <w:rFonts w:ascii="宋体" w:hAnsi="宋体"/>
          <w:sz w:val="24"/>
        </w:rPr>
      </w:pPr>
      <w:r>
        <w:rPr>
          <w:rFonts w:hint="eastAsia" w:ascii="宋体" w:hAnsi="宋体"/>
          <w:sz w:val="24"/>
        </w:rPr>
        <w:t>该项目为深惠城际大鹏支线的存车场，项目位于大鹏新大片区七娘山脚下，新山路东侧，地质博物馆以北，用地面积约13.78公顷，其中车辆段上盖用地7.01公顷，白地6.72公顷。项目规划为二类居住用地+轨道交通混合用地（R2+S3），初步估计上盖开发规模约38万平方米。该存车场距离大鹏支线的新大站约2公里，后期上盖开发走行距离较远，近期无规划轨道站点经过，迫切需要结合上盖开发开展交通接驳研究。</w:t>
      </w:r>
    </w:p>
    <w:p>
      <w:pPr>
        <w:pStyle w:val="48"/>
        <w:ind w:left="0" w:leftChars="0" w:firstLine="0" w:firstLineChars="0"/>
        <w:jc w:val="center"/>
      </w:pPr>
      <w:r>
        <w:rPr>
          <w:rFonts w:hint="eastAsia"/>
        </w:rPr>
        <w:drawing>
          <wp:inline distT="0" distB="0" distL="114300" distR="114300">
            <wp:extent cx="3143250" cy="2971800"/>
            <wp:effectExtent l="0" t="0" r="0" b="0"/>
            <wp:docPr id="3" name="图片 3" descr="1665559038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65559038533"/>
                    <pic:cNvPicPr>
                      <a:picLocks noChangeAspect="1"/>
                    </pic:cNvPicPr>
                  </pic:nvPicPr>
                  <pic:blipFill>
                    <a:blip r:embed="rId11"/>
                    <a:stretch>
                      <a:fillRect/>
                    </a:stretch>
                  </pic:blipFill>
                  <pic:spPr>
                    <a:xfrm>
                      <a:off x="0" y="0"/>
                      <a:ext cx="3143250" cy="2971800"/>
                    </a:xfrm>
                    <a:prstGeom prst="rect">
                      <a:avLst/>
                    </a:prstGeom>
                    <a:noFill/>
                    <a:ln>
                      <a:noFill/>
                    </a:ln>
                  </pic:spPr>
                </pic:pic>
              </a:graphicData>
            </a:graphic>
          </wp:inline>
        </w:drawing>
      </w:r>
    </w:p>
    <w:p>
      <w:pPr>
        <w:ind w:firstLine="480" w:firstLineChars="200"/>
        <w:jc w:val="center"/>
        <w:rPr>
          <w:rFonts w:ascii="宋体" w:hAnsi="宋体" w:cs="宋体"/>
          <w:sz w:val="24"/>
          <w:szCs w:val="24"/>
        </w:rPr>
      </w:pPr>
      <w:r>
        <w:rPr>
          <w:rFonts w:hint="eastAsia" w:ascii="宋体" w:hAnsi="宋体" w:cs="宋体"/>
          <w:sz w:val="24"/>
          <w:szCs w:val="24"/>
        </w:rPr>
        <w:t>图4 新大存车场项目概况</w:t>
      </w:r>
    </w:p>
    <w:p>
      <w:pPr>
        <w:pStyle w:val="42"/>
      </w:pPr>
    </w:p>
    <w:p>
      <w:pPr>
        <w:spacing w:line="360" w:lineRule="auto"/>
        <w:ind w:left="479" w:leftChars="228"/>
        <w:rPr>
          <w:rFonts w:ascii="宋体" w:hAnsi="宋体"/>
          <w:b/>
          <w:kern w:val="0"/>
          <w:sz w:val="24"/>
          <w:szCs w:val="24"/>
        </w:rPr>
      </w:pPr>
      <w:r>
        <w:rPr>
          <w:rFonts w:hint="eastAsia" w:ascii="宋体" w:hAnsi="宋体"/>
          <w:b/>
          <w:kern w:val="0"/>
          <w:sz w:val="24"/>
          <w:szCs w:val="24"/>
        </w:rPr>
        <w:t>三、比选内容</w:t>
      </w:r>
      <w:bookmarkEnd w:id="23"/>
      <w:bookmarkStart w:id="24" w:name="_Toc57731947"/>
    </w:p>
    <w:p>
      <w:pPr>
        <w:pStyle w:val="24"/>
        <w:spacing w:line="360" w:lineRule="auto"/>
        <w:ind w:firstLine="480" w:firstLineChars="200"/>
        <w:rPr>
          <w:rFonts w:hAnsi="宋体"/>
          <w:sz w:val="24"/>
          <w:szCs w:val="24"/>
        </w:rPr>
      </w:pPr>
      <w:r>
        <w:rPr>
          <w:rFonts w:hint="eastAsia" w:hAnsi="宋体"/>
          <w:sz w:val="24"/>
          <w:szCs w:val="24"/>
        </w:rPr>
        <w:t>本次四个项目交通接驳研究的工作内容如下。</w:t>
      </w:r>
    </w:p>
    <w:p>
      <w:pPr>
        <w:pStyle w:val="24"/>
        <w:spacing w:line="360" w:lineRule="auto"/>
        <w:ind w:firstLine="480" w:firstLineChars="200"/>
        <w:rPr>
          <w:rFonts w:hAnsi="宋体"/>
          <w:sz w:val="24"/>
          <w:szCs w:val="24"/>
        </w:rPr>
      </w:pPr>
      <w:r>
        <w:rPr>
          <w:rFonts w:hint="eastAsia" w:hAnsi="宋体"/>
          <w:sz w:val="24"/>
          <w:szCs w:val="24"/>
        </w:rPr>
        <w:t>（一）片区发展现状及规划分析。通过交通调查、资料收集、数据分析等方式，全面掌握片区的土地利用、交通、人口与就业岗位、社会经济以及相关规划等基础资料，对片区城市、交通发展现状和趋势进行系统解读，为规划方案提供基础支撑。</w:t>
      </w:r>
    </w:p>
    <w:p>
      <w:pPr>
        <w:pStyle w:val="24"/>
        <w:spacing w:line="360" w:lineRule="auto"/>
        <w:ind w:firstLine="480" w:firstLineChars="200"/>
        <w:rPr>
          <w:rFonts w:hAnsi="宋体"/>
          <w:sz w:val="24"/>
          <w:szCs w:val="24"/>
        </w:rPr>
      </w:pPr>
      <w:r>
        <w:rPr>
          <w:rFonts w:hint="eastAsia" w:hAnsi="宋体"/>
          <w:sz w:val="24"/>
          <w:szCs w:val="24"/>
        </w:rPr>
        <w:t>（二）必要性及功能定位分析。基于现状及规划发展的解读，对片区轨道接驳进行必要性分析，并总结片区轨道接驳功能定位，指导规划方案制定。</w:t>
      </w:r>
    </w:p>
    <w:p>
      <w:pPr>
        <w:pStyle w:val="24"/>
        <w:spacing w:line="360" w:lineRule="auto"/>
        <w:ind w:firstLine="480" w:firstLineChars="200"/>
        <w:rPr>
          <w:rFonts w:hAnsi="宋体"/>
          <w:sz w:val="24"/>
          <w:szCs w:val="24"/>
        </w:rPr>
      </w:pPr>
      <w:r>
        <w:rPr>
          <w:rFonts w:hint="eastAsia" w:hAnsi="宋体"/>
          <w:sz w:val="24"/>
          <w:szCs w:val="24"/>
        </w:rPr>
        <w:t>（三）片区交通需求预测。分析未来片区机动化交通总体出行需求，预测轨道交通出行需求，为接驳规划方案和投融资研究等提供依据。</w:t>
      </w:r>
    </w:p>
    <w:p>
      <w:pPr>
        <w:pStyle w:val="24"/>
        <w:spacing w:line="360" w:lineRule="auto"/>
        <w:ind w:firstLine="480" w:firstLineChars="200"/>
        <w:rPr>
          <w:rFonts w:hAnsi="宋体"/>
          <w:sz w:val="24"/>
          <w:szCs w:val="24"/>
        </w:rPr>
      </w:pPr>
      <w:r>
        <w:rPr>
          <w:rFonts w:hint="eastAsia" w:hAnsi="宋体"/>
          <w:sz w:val="24"/>
          <w:szCs w:val="24"/>
        </w:rPr>
        <w:t>（四）接驳制式研究。结合片区交通情况，借鉴国内外案例，综合研究各类交通系统制式，分析不同制式优缺点及适用条件，选择最优系统制式。</w:t>
      </w:r>
    </w:p>
    <w:p>
      <w:pPr>
        <w:pStyle w:val="24"/>
        <w:spacing w:line="360" w:lineRule="auto"/>
        <w:ind w:firstLine="480" w:firstLineChars="200"/>
        <w:rPr>
          <w:rFonts w:hAnsi="宋体"/>
          <w:sz w:val="24"/>
          <w:szCs w:val="24"/>
        </w:rPr>
      </w:pPr>
      <w:r>
        <w:rPr>
          <w:rFonts w:hint="eastAsia" w:hAnsi="宋体"/>
          <w:sz w:val="24"/>
          <w:szCs w:val="24"/>
        </w:rPr>
        <w:t>（五）接驳轨道交通规划方案。基于片区发展特征，结合需求分析，研究适宜的接驳轨道交通规划方案，客流需求较大的采用轨道交通接驳，客流需求较小的采用常规公交、慢行等接驳。同步提出主要节点交通设计方案和建议，如关键路线，主要路口等。</w:t>
      </w:r>
    </w:p>
    <w:p>
      <w:pPr>
        <w:pStyle w:val="24"/>
        <w:spacing w:line="360" w:lineRule="auto"/>
        <w:ind w:firstLine="480" w:firstLineChars="200"/>
        <w:rPr>
          <w:rFonts w:hAnsi="宋体"/>
          <w:sz w:val="24"/>
          <w:szCs w:val="24"/>
        </w:rPr>
      </w:pPr>
      <w:r>
        <w:rPr>
          <w:rFonts w:hint="eastAsia" w:hAnsi="宋体"/>
          <w:sz w:val="24"/>
          <w:szCs w:val="24"/>
        </w:rPr>
        <w:t>1.低运量交通接驳方案，包括增设轨道站点、新增接驳线路线站位方案、车站布局、车辆基地等。</w:t>
      </w:r>
    </w:p>
    <w:p>
      <w:pPr>
        <w:pStyle w:val="24"/>
        <w:spacing w:line="360" w:lineRule="auto"/>
        <w:ind w:firstLine="480" w:firstLineChars="200"/>
        <w:rPr>
          <w:rFonts w:hAnsi="宋体"/>
          <w:sz w:val="24"/>
          <w:szCs w:val="24"/>
        </w:rPr>
      </w:pPr>
      <w:r>
        <w:rPr>
          <w:rFonts w:hint="eastAsia" w:hAnsi="宋体"/>
          <w:sz w:val="24"/>
          <w:szCs w:val="24"/>
        </w:rPr>
        <w:t>2.常规公交和慢行接驳方案，包括公交线路、站点和停车场方案，自行车和步行接驳方案等。</w:t>
      </w:r>
    </w:p>
    <w:p>
      <w:pPr>
        <w:pStyle w:val="24"/>
        <w:spacing w:line="360" w:lineRule="auto"/>
        <w:ind w:firstLine="480" w:firstLineChars="200"/>
        <w:rPr>
          <w:rFonts w:hAnsi="宋体"/>
          <w:sz w:val="24"/>
          <w:szCs w:val="24"/>
        </w:rPr>
      </w:pPr>
      <w:r>
        <w:rPr>
          <w:rFonts w:hint="eastAsia" w:hAnsi="宋体"/>
          <w:sz w:val="24"/>
          <w:szCs w:val="24"/>
        </w:rPr>
        <w:t>（六）投融资及运营模式初步研究。解读近年来国内各类投融资相关政策要点，分析各类投融资模式适用情况及优缺点，并对各类模式进行初步测算，选择适合项目的投融模式。</w:t>
      </w:r>
    </w:p>
    <w:p>
      <w:pPr>
        <w:pStyle w:val="24"/>
        <w:spacing w:line="360" w:lineRule="auto"/>
        <w:ind w:firstLine="480" w:firstLineChars="200"/>
        <w:rPr>
          <w:rFonts w:hAnsi="宋体"/>
          <w:sz w:val="24"/>
          <w:szCs w:val="24"/>
        </w:rPr>
      </w:pPr>
      <w:r>
        <w:rPr>
          <w:rFonts w:hint="eastAsia" w:hAnsi="宋体"/>
          <w:sz w:val="24"/>
          <w:szCs w:val="24"/>
        </w:rPr>
        <w:t>1.国内投融资政策解读</w:t>
      </w:r>
    </w:p>
    <w:p>
      <w:pPr>
        <w:pStyle w:val="24"/>
        <w:spacing w:line="360" w:lineRule="auto"/>
        <w:ind w:firstLine="480" w:firstLineChars="200"/>
        <w:rPr>
          <w:rFonts w:hAnsi="宋体"/>
          <w:sz w:val="24"/>
          <w:szCs w:val="24"/>
        </w:rPr>
      </w:pPr>
      <w:r>
        <w:rPr>
          <w:rFonts w:hint="eastAsia" w:hAnsi="宋体"/>
          <w:sz w:val="24"/>
          <w:szCs w:val="24"/>
        </w:rPr>
        <w:t>2.投融资模式分析</w:t>
      </w:r>
    </w:p>
    <w:p>
      <w:pPr>
        <w:pStyle w:val="24"/>
        <w:spacing w:line="360" w:lineRule="auto"/>
        <w:ind w:firstLine="480" w:firstLineChars="200"/>
        <w:rPr>
          <w:rFonts w:hAnsi="宋体"/>
          <w:sz w:val="24"/>
          <w:szCs w:val="24"/>
        </w:rPr>
      </w:pPr>
      <w:r>
        <w:rPr>
          <w:rFonts w:hint="eastAsia" w:hAnsi="宋体"/>
          <w:sz w:val="24"/>
          <w:szCs w:val="24"/>
        </w:rPr>
        <w:t>3.投融资模式建议</w:t>
      </w:r>
    </w:p>
    <w:p>
      <w:pPr>
        <w:pStyle w:val="24"/>
        <w:spacing w:line="360" w:lineRule="auto"/>
        <w:ind w:firstLine="480" w:firstLineChars="200"/>
        <w:rPr>
          <w:rFonts w:hAnsi="宋体"/>
          <w:sz w:val="24"/>
          <w:szCs w:val="24"/>
        </w:rPr>
      </w:pPr>
      <w:r>
        <w:rPr>
          <w:rFonts w:hint="eastAsia" w:hAnsi="宋体"/>
          <w:sz w:val="24"/>
          <w:szCs w:val="24"/>
        </w:rPr>
        <w:t>4.运营模式建议</w:t>
      </w:r>
    </w:p>
    <w:p>
      <w:pPr>
        <w:pStyle w:val="24"/>
        <w:spacing w:line="360" w:lineRule="auto"/>
        <w:ind w:firstLine="480" w:firstLineChars="200"/>
      </w:pPr>
      <w:r>
        <w:rPr>
          <w:rFonts w:hint="eastAsia" w:hAnsi="宋体"/>
          <w:sz w:val="24"/>
          <w:szCs w:val="24"/>
        </w:rPr>
        <w:t>（七）实施方案及建议。将研究适合项目的小运量或者公交等接驳方式推动纳入规划、近期建设计划。具体包括分析交通接驳方案的实施路径，含投资、设计方案建议，建设和运营管理建议。</w:t>
      </w:r>
    </w:p>
    <w:p>
      <w:pPr>
        <w:spacing w:line="360" w:lineRule="auto"/>
        <w:ind w:firstLine="482" w:firstLineChars="200"/>
        <w:rPr>
          <w:rFonts w:ascii="宋体" w:hAnsi="宋体"/>
          <w:b/>
          <w:kern w:val="0"/>
          <w:sz w:val="24"/>
          <w:szCs w:val="24"/>
        </w:rPr>
      </w:pPr>
      <w:r>
        <w:rPr>
          <w:rFonts w:hint="eastAsia" w:ascii="宋体" w:hAnsi="宋体"/>
          <w:b/>
          <w:kern w:val="0"/>
          <w:sz w:val="24"/>
          <w:szCs w:val="24"/>
        </w:rPr>
        <w:t>四、比选控制价格</w:t>
      </w:r>
      <w:bookmarkEnd w:id="24"/>
    </w:p>
    <w:p>
      <w:pPr>
        <w:pStyle w:val="24"/>
        <w:spacing w:line="360" w:lineRule="auto"/>
        <w:ind w:firstLine="480" w:firstLineChars="200"/>
        <w:rPr>
          <w:rFonts w:hAnsi="宋体"/>
          <w:sz w:val="24"/>
          <w:szCs w:val="24"/>
        </w:rPr>
      </w:pPr>
      <w:r>
        <w:rPr>
          <w:rFonts w:hint="eastAsia" w:hAnsi="宋体"/>
          <w:sz w:val="24"/>
          <w:szCs w:val="24"/>
        </w:rPr>
        <w:t>本次参选报价总费用最高限价为人民币648万元（含税）。参选人报价高于总额最高上限价或单个项目上限价将作为无效标处理。其中光明新湖交通接驳研究参选上限价为112.5万元（含税）；昂鹅车辆段交通接驳研究参选上限价为211.5万元（含税）；东宝河停车场交通接驳研究参选上限价为211.5万元（含税）；</w:t>
      </w:r>
      <w:r>
        <w:rPr>
          <w:rFonts w:hint="eastAsia" w:hAnsi="宋体"/>
          <w:sz w:val="24"/>
          <w:szCs w:val="24"/>
          <w:lang w:eastAsia="zh-CN"/>
        </w:rPr>
        <w:t>新大存车场</w:t>
      </w:r>
      <w:r>
        <w:rPr>
          <w:rFonts w:hint="eastAsia" w:hAnsi="宋体"/>
          <w:sz w:val="24"/>
          <w:szCs w:val="24"/>
        </w:rPr>
        <w:t>交通接驳研究参选上限价为112.5万元（含税）。</w:t>
      </w:r>
    </w:p>
    <w:p>
      <w:pPr>
        <w:pStyle w:val="24"/>
        <w:numPr>
          <w:ilvl w:val="0"/>
          <w:numId w:val="4"/>
        </w:numPr>
        <w:spacing w:line="360" w:lineRule="auto"/>
        <w:ind w:firstLine="482" w:firstLineChars="200"/>
        <w:rPr>
          <w:rFonts w:hAnsi="宋体"/>
          <w:b/>
          <w:sz w:val="24"/>
          <w:szCs w:val="22"/>
        </w:rPr>
      </w:pPr>
      <w:bookmarkStart w:id="25" w:name="_Toc57731948"/>
      <w:r>
        <w:rPr>
          <w:rFonts w:hint="eastAsia" w:hAnsi="宋体"/>
          <w:b/>
          <w:sz w:val="24"/>
          <w:szCs w:val="24"/>
        </w:rPr>
        <w:t>参选人资格要求</w:t>
      </w:r>
      <w:bookmarkEnd w:id="25"/>
      <w:bookmarkStart w:id="26" w:name="_Toc57731949"/>
    </w:p>
    <w:p>
      <w:pPr>
        <w:spacing w:line="360" w:lineRule="auto"/>
        <w:ind w:firstLine="480" w:firstLineChars="200"/>
        <w:rPr>
          <w:rFonts w:hAnsi="宋体"/>
          <w:bCs/>
          <w:sz w:val="24"/>
          <w:szCs w:val="22"/>
        </w:rPr>
      </w:pPr>
      <w:r>
        <w:rPr>
          <w:rFonts w:hint="eastAsia" w:hAnsi="宋体"/>
          <w:bCs/>
          <w:sz w:val="24"/>
          <w:szCs w:val="22"/>
        </w:rPr>
        <w:t>（一）参选人资质要求：参选人必须是中华人民共和国境内依法注册的法人或合伙制企业或其他组织，且具有城乡规划编制甲级资质。</w:t>
      </w:r>
    </w:p>
    <w:p>
      <w:pPr>
        <w:spacing w:line="360" w:lineRule="auto"/>
        <w:ind w:firstLine="480" w:firstLineChars="200"/>
        <w:rPr>
          <w:rFonts w:hAnsi="宋体"/>
          <w:bCs/>
          <w:sz w:val="24"/>
          <w:szCs w:val="22"/>
        </w:rPr>
      </w:pPr>
      <w:r>
        <w:rPr>
          <w:rFonts w:hint="eastAsia" w:hAnsi="宋体"/>
          <w:bCs/>
          <w:sz w:val="24"/>
          <w:szCs w:val="22"/>
        </w:rPr>
        <w:t>（二）参选人业绩要求：无。</w:t>
      </w:r>
    </w:p>
    <w:p>
      <w:pPr>
        <w:spacing w:line="360" w:lineRule="auto"/>
        <w:ind w:firstLine="480" w:firstLineChars="200"/>
        <w:rPr>
          <w:rFonts w:hAnsi="宋体"/>
          <w:bCs/>
          <w:sz w:val="24"/>
          <w:szCs w:val="22"/>
        </w:rPr>
      </w:pPr>
      <w:r>
        <w:rPr>
          <w:rFonts w:hint="eastAsia" w:hAnsi="宋体"/>
          <w:bCs/>
          <w:sz w:val="24"/>
          <w:szCs w:val="22"/>
        </w:rPr>
        <w:t>（三）其他要求：（1）不接受联合体参选。</w:t>
      </w:r>
    </w:p>
    <w:p>
      <w:pPr>
        <w:spacing w:line="360" w:lineRule="auto"/>
        <w:ind w:firstLine="480" w:firstLineChars="200"/>
        <w:rPr>
          <w:rFonts w:hAnsi="宋体"/>
          <w:bCs/>
          <w:sz w:val="24"/>
          <w:szCs w:val="22"/>
        </w:rPr>
      </w:pPr>
      <w:r>
        <w:rPr>
          <w:rFonts w:hint="eastAsia" w:hAnsi="宋体"/>
          <w:bCs/>
          <w:sz w:val="24"/>
          <w:szCs w:val="22"/>
        </w:rPr>
        <w:t>（2）不接受联合体投标，母、子公司只允许一家公司参与报价；同一法人代表，只接受一家投标。</w:t>
      </w:r>
    </w:p>
    <w:p>
      <w:pPr>
        <w:spacing w:line="360" w:lineRule="auto"/>
        <w:ind w:firstLine="480" w:firstLineChars="200"/>
        <w:rPr>
          <w:rFonts w:hAnsi="宋体"/>
          <w:bCs/>
          <w:sz w:val="24"/>
          <w:szCs w:val="22"/>
        </w:rPr>
      </w:pPr>
      <w:r>
        <w:rPr>
          <w:rFonts w:hint="eastAsia" w:hAnsi="宋体"/>
          <w:bCs/>
          <w:sz w:val="24"/>
          <w:szCs w:val="22"/>
        </w:rPr>
        <w:t>（3）本项目不接受在深圳市地铁集团有限公司或其下属直管单位存在不良行为记录或违约行为或在合同履约评价考核为D的参选人。</w:t>
      </w:r>
    </w:p>
    <w:p>
      <w:pPr>
        <w:spacing w:line="360" w:lineRule="auto"/>
        <w:ind w:firstLine="482" w:firstLineChars="200"/>
        <w:rPr>
          <w:rFonts w:ascii="宋体" w:hAnsi="宋体"/>
          <w:b/>
          <w:kern w:val="0"/>
          <w:sz w:val="24"/>
          <w:szCs w:val="24"/>
        </w:rPr>
      </w:pPr>
      <w:r>
        <w:rPr>
          <w:rFonts w:hint="eastAsia" w:ascii="宋体" w:hAnsi="宋体"/>
          <w:b/>
          <w:kern w:val="0"/>
          <w:sz w:val="24"/>
          <w:szCs w:val="24"/>
        </w:rPr>
        <w:t>六、参选时间、地点</w:t>
      </w:r>
      <w:bookmarkEnd w:id="26"/>
    </w:p>
    <w:tbl>
      <w:tblPr>
        <w:tblStyle w:val="49"/>
        <w:tblW w:w="498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4"/>
        <w:gridCol w:w="1691"/>
        <w:gridCol w:w="2099"/>
        <w:gridCol w:w="528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83"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sz w:val="24"/>
                <w:szCs w:val="24"/>
              </w:rPr>
            </w:pPr>
            <w:bookmarkStart w:id="27" w:name="_Toc57731950"/>
            <w:r>
              <w:rPr>
                <w:rFonts w:hint="eastAsia" w:ascii="宋体" w:hAnsi="宋体"/>
                <w:sz w:val="24"/>
                <w:szCs w:val="24"/>
              </w:rPr>
              <w:t>序号</w:t>
            </w:r>
          </w:p>
        </w:tc>
        <w:tc>
          <w:tcPr>
            <w:tcW w:w="860"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sz w:val="24"/>
                <w:szCs w:val="24"/>
              </w:rPr>
            </w:pPr>
            <w:r>
              <w:rPr>
                <w:rFonts w:hint="eastAsia" w:ascii="宋体" w:hAnsi="宋体"/>
                <w:sz w:val="24"/>
                <w:szCs w:val="24"/>
              </w:rPr>
              <w:t>内  容</w:t>
            </w:r>
          </w:p>
        </w:tc>
        <w:tc>
          <w:tcPr>
            <w:tcW w:w="1068"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sz w:val="24"/>
                <w:szCs w:val="24"/>
              </w:rPr>
            </w:pPr>
            <w:r>
              <w:rPr>
                <w:rFonts w:hint="eastAsia" w:ascii="宋体" w:hAnsi="宋体"/>
                <w:sz w:val="24"/>
                <w:szCs w:val="24"/>
              </w:rPr>
              <w:t>时间安排</w:t>
            </w:r>
          </w:p>
        </w:tc>
        <w:tc>
          <w:tcPr>
            <w:tcW w:w="2687" w:type="pct"/>
            <w:tcBorders>
              <w:top w:val="single" w:color="auto" w:sz="4" w:space="0"/>
              <w:left w:val="single" w:color="auto" w:sz="4" w:space="0"/>
              <w:bottom w:val="single" w:color="auto" w:sz="4" w:space="0"/>
              <w:right w:val="single" w:color="auto" w:sz="4" w:space="0"/>
            </w:tcBorders>
            <w:vAlign w:val="center"/>
          </w:tcPr>
          <w:p>
            <w:pPr>
              <w:adjustRightInd w:val="0"/>
              <w:spacing w:after="120" w:line="360" w:lineRule="auto"/>
              <w:jc w:val="center"/>
              <w:rPr>
                <w:rFonts w:ascii="宋体" w:hAnsi="宋体"/>
                <w:sz w:val="24"/>
                <w:szCs w:val="24"/>
              </w:rPr>
            </w:pPr>
            <w:r>
              <w:rPr>
                <w:rFonts w:hint="eastAsia" w:ascii="宋体" w:hAnsi="宋体"/>
                <w:sz w:val="24"/>
                <w:szCs w:val="24"/>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83"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rPr>
            </w:pPr>
            <w:r>
              <w:rPr>
                <w:rFonts w:hint="eastAsia" w:ascii="宋体" w:hAnsi="宋体"/>
                <w:kern w:val="0"/>
                <w:sz w:val="24"/>
                <w:szCs w:val="24"/>
              </w:rPr>
              <w:t>1</w:t>
            </w:r>
          </w:p>
        </w:tc>
        <w:tc>
          <w:tcPr>
            <w:tcW w:w="860"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发布比选公告（比选文件）</w:t>
            </w:r>
          </w:p>
        </w:tc>
        <w:tc>
          <w:tcPr>
            <w:tcW w:w="106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kern w:val="0"/>
                <w:sz w:val="24"/>
                <w:szCs w:val="24"/>
                <w:lang w:val="en-US" w:eastAsia="zh-CN"/>
              </w:rPr>
            </w:pPr>
            <w:r>
              <w:rPr>
                <w:rFonts w:hint="eastAsia" w:ascii="宋体" w:hAnsi="宋体"/>
                <w:kern w:val="0"/>
                <w:sz w:val="24"/>
                <w:szCs w:val="24"/>
              </w:rPr>
              <w:t>202</w:t>
            </w:r>
            <w:r>
              <w:rPr>
                <w:rFonts w:ascii="宋体" w:hAnsi="宋体"/>
                <w:kern w:val="0"/>
                <w:sz w:val="24"/>
                <w:szCs w:val="24"/>
              </w:rPr>
              <w:t>2</w:t>
            </w:r>
            <w:r>
              <w:rPr>
                <w:rFonts w:hint="eastAsia" w:ascii="宋体" w:hAnsi="宋体"/>
                <w:kern w:val="0"/>
                <w:sz w:val="24"/>
                <w:szCs w:val="24"/>
                <w:lang w:eastAsia="zh-Hans"/>
              </w:rPr>
              <w:t>年</w:t>
            </w:r>
            <w:r>
              <w:rPr>
                <w:rFonts w:hint="eastAsia" w:ascii="宋体" w:hAnsi="宋体"/>
                <w:kern w:val="0"/>
                <w:sz w:val="24"/>
                <w:szCs w:val="24"/>
              </w:rPr>
              <w:t>1</w:t>
            </w:r>
            <w:r>
              <w:rPr>
                <w:rFonts w:hint="eastAsia" w:ascii="宋体" w:hAnsi="宋体"/>
                <w:kern w:val="0"/>
                <w:sz w:val="24"/>
                <w:szCs w:val="24"/>
                <w:lang w:val="en-US" w:eastAsia="zh-CN"/>
              </w:rPr>
              <w:t>2</w:t>
            </w:r>
            <w:r>
              <w:rPr>
                <w:rFonts w:hint="eastAsia" w:ascii="宋体" w:hAnsi="宋体"/>
                <w:kern w:val="0"/>
                <w:sz w:val="24"/>
                <w:szCs w:val="24"/>
              </w:rPr>
              <w:t>月</w:t>
            </w:r>
            <w:r>
              <w:rPr>
                <w:rFonts w:hint="eastAsia" w:ascii="宋体" w:hAnsi="宋体"/>
                <w:kern w:val="0"/>
                <w:sz w:val="24"/>
                <w:szCs w:val="24"/>
                <w:lang w:val="en-US" w:eastAsia="zh-CN"/>
              </w:rPr>
              <w:t>2</w:t>
            </w:r>
            <w:r>
              <w:rPr>
                <w:rFonts w:hint="eastAsia" w:ascii="宋体" w:hAnsi="宋体"/>
                <w:kern w:val="0"/>
                <w:sz w:val="24"/>
                <w:szCs w:val="24"/>
              </w:rPr>
              <w:t>日</w:t>
            </w:r>
            <w:r>
              <w:rPr>
                <w:rFonts w:hint="eastAsia" w:ascii="宋体" w:hAnsi="宋体"/>
                <w:kern w:val="0"/>
                <w:sz w:val="24"/>
                <w:szCs w:val="24"/>
                <w:lang w:val="en-US" w:eastAsia="zh-CN"/>
              </w:rPr>
              <w:t>9点整</w:t>
            </w:r>
          </w:p>
        </w:tc>
        <w:tc>
          <w:tcPr>
            <w:tcW w:w="2687"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kern w:val="0"/>
                <w:sz w:val="24"/>
                <w:szCs w:val="24"/>
              </w:rPr>
            </w:pPr>
            <w:r>
              <w:rPr>
                <w:rFonts w:hint="eastAsia" w:ascii="宋体" w:hAnsi="宋体"/>
                <w:kern w:val="0"/>
                <w:sz w:val="24"/>
                <w:szCs w:val="24"/>
              </w:rPr>
              <w:t>深铁招采网、深圳地铁官网、国资委阳光采购平台、深铁置业微信订阅号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83"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rPr>
            </w:pPr>
            <w:r>
              <w:rPr>
                <w:rFonts w:hint="eastAsia" w:ascii="宋体" w:hAnsi="宋体"/>
                <w:kern w:val="0"/>
                <w:sz w:val="24"/>
                <w:szCs w:val="24"/>
              </w:rPr>
              <w:t>2</w:t>
            </w:r>
          </w:p>
        </w:tc>
        <w:tc>
          <w:tcPr>
            <w:tcW w:w="860"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截标</w:t>
            </w:r>
          </w:p>
        </w:tc>
        <w:tc>
          <w:tcPr>
            <w:tcW w:w="106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kern w:val="0"/>
                <w:sz w:val="24"/>
                <w:szCs w:val="24"/>
                <w:lang w:val="en-US" w:eastAsia="zh-CN"/>
              </w:rPr>
            </w:pPr>
            <w:r>
              <w:rPr>
                <w:rFonts w:hint="eastAsia" w:ascii="宋体" w:hAnsi="宋体"/>
                <w:kern w:val="0"/>
                <w:sz w:val="24"/>
                <w:szCs w:val="24"/>
              </w:rPr>
              <w:t xml:space="preserve"> 2022年1</w:t>
            </w:r>
            <w:r>
              <w:rPr>
                <w:rFonts w:hint="eastAsia" w:ascii="宋体" w:hAnsi="宋体"/>
                <w:kern w:val="0"/>
                <w:sz w:val="24"/>
                <w:szCs w:val="24"/>
                <w:lang w:val="en-US" w:eastAsia="zh-CN"/>
              </w:rPr>
              <w:t>2</w:t>
            </w:r>
            <w:r>
              <w:rPr>
                <w:rFonts w:hint="eastAsia" w:ascii="宋体" w:hAnsi="宋体"/>
                <w:kern w:val="0"/>
                <w:sz w:val="24"/>
                <w:szCs w:val="24"/>
              </w:rPr>
              <w:t>月</w:t>
            </w:r>
            <w:r>
              <w:rPr>
                <w:rFonts w:hint="eastAsia" w:ascii="宋体" w:hAnsi="宋体"/>
                <w:kern w:val="0"/>
                <w:sz w:val="24"/>
                <w:szCs w:val="24"/>
                <w:lang w:val="en-US" w:eastAsia="zh-CN"/>
              </w:rPr>
              <w:t>12</w:t>
            </w:r>
            <w:r>
              <w:rPr>
                <w:rFonts w:hint="eastAsia" w:ascii="宋体" w:hAnsi="宋体"/>
                <w:kern w:val="0"/>
                <w:sz w:val="24"/>
                <w:szCs w:val="24"/>
              </w:rPr>
              <w:t xml:space="preserve">日 </w:t>
            </w:r>
            <w:r>
              <w:rPr>
                <w:rFonts w:hint="eastAsia" w:ascii="宋体" w:hAnsi="宋体"/>
                <w:kern w:val="0"/>
                <w:sz w:val="24"/>
                <w:szCs w:val="24"/>
                <w:lang w:val="en-US" w:eastAsia="zh-CN"/>
              </w:rPr>
              <w:t>9点30分</w:t>
            </w:r>
          </w:p>
        </w:tc>
        <w:tc>
          <w:tcPr>
            <w:tcW w:w="2687" w:type="pct"/>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snapToGrid w:val="0"/>
                <w:sz w:val="24"/>
                <w:szCs w:val="24"/>
              </w:rPr>
            </w:pPr>
            <w:r>
              <w:rPr>
                <w:rFonts w:ascii="宋体" w:hAnsi="宋体"/>
                <w:snapToGrid w:val="0"/>
                <w:sz w:val="24"/>
                <w:szCs w:val="24"/>
              </w:rPr>
              <w:t>电子版参选文件递交平台：</w:t>
            </w:r>
            <w:r>
              <w:rPr>
                <w:rFonts w:hint="eastAsia" w:ascii="宋体" w:hAnsi="宋体"/>
                <w:snapToGrid w:val="0"/>
                <w:sz w:val="24"/>
                <w:szCs w:val="24"/>
              </w:rPr>
              <w:t>深圳地铁智能招采管理平台（</w:t>
            </w:r>
            <w:r>
              <w:rPr>
                <w:rFonts w:ascii="宋体" w:hAnsi="宋体"/>
                <w:snapToGrid w:val="0"/>
                <w:sz w:val="24"/>
                <w:szCs w:val="24"/>
              </w:rPr>
              <w:t>https://cg.shenzhenmc.com/）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3" w:hRule="atLeast"/>
        </w:trPr>
        <w:tc>
          <w:tcPr>
            <w:tcW w:w="383" w:type="pct"/>
            <w:tcBorders>
              <w:top w:val="single" w:color="auto" w:sz="4" w:space="0"/>
              <w:left w:val="single" w:color="auto" w:sz="4" w:space="0"/>
              <w:bottom w:val="single" w:color="auto" w:sz="4" w:space="0"/>
              <w:right w:val="single" w:color="auto" w:sz="4" w:space="0"/>
            </w:tcBorders>
            <w:vAlign w:val="center"/>
          </w:tcPr>
          <w:p>
            <w:pPr>
              <w:spacing w:line="360" w:lineRule="auto"/>
              <w:ind w:firstLine="240" w:firstLineChars="100"/>
              <w:rPr>
                <w:rFonts w:ascii="宋体" w:hAnsi="宋体"/>
                <w:kern w:val="0"/>
                <w:sz w:val="24"/>
                <w:szCs w:val="24"/>
              </w:rPr>
            </w:pPr>
            <w:r>
              <w:rPr>
                <w:rFonts w:hint="eastAsia" w:ascii="宋体" w:hAnsi="宋体"/>
                <w:kern w:val="0"/>
                <w:sz w:val="24"/>
                <w:szCs w:val="24"/>
              </w:rPr>
              <w:t>3</w:t>
            </w:r>
          </w:p>
        </w:tc>
        <w:tc>
          <w:tcPr>
            <w:tcW w:w="860"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开标、评标</w:t>
            </w:r>
          </w:p>
        </w:tc>
        <w:tc>
          <w:tcPr>
            <w:tcW w:w="1068"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kern w:val="0"/>
                <w:sz w:val="24"/>
                <w:szCs w:val="24"/>
              </w:rPr>
            </w:pPr>
            <w:r>
              <w:rPr>
                <w:rFonts w:hint="eastAsia" w:ascii="宋体" w:hAnsi="宋体"/>
                <w:kern w:val="0"/>
                <w:sz w:val="24"/>
                <w:szCs w:val="24"/>
              </w:rPr>
              <w:t>2022年1</w:t>
            </w:r>
            <w:r>
              <w:rPr>
                <w:rFonts w:hint="eastAsia" w:ascii="宋体" w:hAnsi="宋体"/>
                <w:kern w:val="0"/>
                <w:sz w:val="24"/>
                <w:szCs w:val="24"/>
                <w:lang w:val="en-US" w:eastAsia="zh-CN"/>
              </w:rPr>
              <w:t>2</w:t>
            </w:r>
            <w:r>
              <w:rPr>
                <w:rFonts w:hint="eastAsia" w:ascii="宋体" w:hAnsi="宋体"/>
                <w:kern w:val="0"/>
                <w:sz w:val="24"/>
                <w:szCs w:val="24"/>
              </w:rPr>
              <w:t>月</w:t>
            </w:r>
            <w:r>
              <w:rPr>
                <w:rFonts w:hint="eastAsia" w:ascii="宋体" w:hAnsi="宋体"/>
                <w:kern w:val="0"/>
                <w:sz w:val="24"/>
                <w:szCs w:val="24"/>
                <w:lang w:val="en-US" w:eastAsia="zh-CN"/>
              </w:rPr>
              <w:t>12</w:t>
            </w:r>
            <w:r>
              <w:rPr>
                <w:rFonts w:hint="eastAsia" w:ascii="宋体" w:hAnsi="宋体"/>
                <w:kern w:val="0"/>
                <w:sz w:val="24"/>
                <w:szCs w:val="24"/>
              </w:rPr>
              <w:t xml:space="preserve">日 </w:t>
            </w:r>
            <w:r>
              <w:rPr>
                <w:rFonts w:hint="eastAsia" w:ascii="宋体" w:hAnsi="宋体"/>
                <w:kern w:val="0"/>
                <w:sz w:val="24"/>
                <w:szCs w:val="24"/>
                <w:lang w:val="en-US" w:eastAsia="zh-CN"/>
              </w:rPr>
              <w:t>9点30分</w:t>
            </w:r>
          </w:p>
        </w:tc>
        <w:tc>
          <w:tcPr>
            <w:tcW w:w="2687" w:type="pct"/>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kern w:val="0"/>
                <w:sz w:val="24"/>
                <w:szCs w:val="24"/>
              </w:rPr>
            </w:pPr>
            <w:r>
              <w:rPr>
                <w:rFonts w:ascii="宋体" w:hAnsi="宋体"/>
                <w:snapToGrid w:val="0"/>
                <w:sz w:val="24"/>
                <w:szCs w:val="24"/>
              </w:rPr>
              <w:t>开标地点：深圳市福田区福中一路地铁大厦深圳地铁智能评定标中心进行开评标</w:t>
            </w:r>
          </w:p>
        </w:tc>
      </w:tr>
    </w:tbl>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七、参选所需材料</w:t>
      </w:r>
      <w:bookmarkEnd w:id="27"/>
    </w:p>
    <w:p>
      <w:pPr>
        <w:spacing w:line="360" w:lineRule="auto"/>
        <w:ind w:firstLine="480" w:firstLineChars="200"/>
        <w:rPr>
          <w:rFonts w:hAnsi="宋体"/>
          <w:bCs/>
          <w:sz w:val="24"/>
          <w:szCs w:val="22"/>
        </w:rPr>
      </w:pPr>
      <w:r>
        <w:rPr>
          <w:rFonts w:hint="eastAsia" w:hAnsi="宋体"/>
          <w:bCs/>
          <w:sz w:val="24"/>
          <w:szCs w:val="22"/>
        </w:rPr>
        <w:t>（一）参选人营业执照复印件（加盖公章）</w:t>
      </w:r>
    </w:p>
    <w:p>
      <w:pPr>
        <w:spacing w:line="360" w:lineRule="auto"/>
        <w:ind w:firstLine="480" w:firstLineChars="200"/>
        <w:rPr>
          <w:rFonts w:hAnsi="宋体"/>
          <w:bCs/>
          <w:sz w:val="24"/>
          <w:szCs w:val="22"/>
        </w:rPr>
      </w:pPr>
      <w:r>
        <w:rPr>
          <w:rFonts w:hint="eastAsia" w:hAnsi="宋体"/>
          <w:bCs/>
          <w:sz w:val="24"/>
          <w:szCs w:val="22"/>
        </w:rPr>
        <w:t>（二）法定代表人资格证明书原件（加盖公章）</w:t>
      </w:r>
    </w:p>
    <w:p>
      <w:pPr>
        <w:spacing w:line="360" w:lineRule="auto"/>
        <w:ind w:firstLine="480" w:firstLineChars="200"/>
        <w:rPr>
          <w:rFonts w:hAnsi="宋体"/>
          <w:bCs/>
          <w:sz w:val="24"/>
          <w:szCs w:val="22"/>
        </w:rPr>
      </w:pPr>
      <w:r>
        <w:rPr>
          <w:rFonts w:hint="eastAsia" w:hAnsi="宋体"/>
          <w:bCs/>
          <w:sz w:val="24"/>
          <w:szCs w:val="22"/>
        </w:rPr>
        <w:t>（三）法定代表人身份证复印件（加盖公章）</w:t>
      </w:r>
    </w:p>
    <w:p>
      <w:pPr>
        <w:spacing w:line="360" w:lineRule="auto"/>
        <w:ind w:firstLine="480" w:firstLineChars="200"/>
        <w:rPr>
          <w:rFonts w:hAnsi="宋体"/>
          <w:bCs/>
          <w:sz w:val="24"/>
          <w:szCs w:val="22"/>
        </w:rPr>
      </w:pPr>
      <w:r>
        <w:rPr>
          <w:rFonts w:hint="eastAsia" w:hAnsi="宋体"/>
          <w:bCs/>
          <w:sz w:val="24"/>
          <w:szCs w:val="22"/>
        </w:rPr>
        <w:t>（四）法定代表人授权委托书原件（加盖公章）</w:t>
      </w:r>
    </w:p>
    <w:p>
      <w:pPr>
        <w:spacing w:line="360" w:lineRule="auto"/>
        <w:ind w:firstLine="480" w:firstLineChars="200"/>
        <w:rPr>
          <w:rFonts w:hAnsi="宋体"/>
          <w:bCs/>
          <w:sz w:val="24"/>
          <w:szCs w:val="22"/>
        </w:rPr>
      </w:pPr>
      <w:r>
        <w:rPr>
          <w:rFonts w:hint="eastAsia" w:hAnsi="宋体"/>
          <w:bCs/>
          <w:sz w:val="24"/>
          <w:szCs w:val="22"/>
        </w:rPr>
        <w:t>（五）被授权人身份证复印件（加盖公章）</w:t>
      </w:r>
    </w:p>
    <w:p>
      <w:pPr>
        <w:spacing w:line="360" w:lineRule="auto"/>
        <w:ind w:firstLine="480" w:firstLineChars="200"/>
      </w:pPr>
      <w:r>
        <w:rPr>
          <w:rFonts w:hint="eastAsia" w:hAnsi="宋体"/>
          <w:bCs/>
          <w:sz w:val="24"/>
          <w:szCs w:val="22"/>
        </w:rPr>
        <w:t>(如递交参选文件的为参选人的法定代表人，须携带法定代表人证明书及本人身份证原件和复印件；如递交参选文件的不是参选人的法定代表人，除携带本人身份证复印件外，还需携带法定代表人证明书和法定代表人身份证复印件及授权委托书。)</w:t>
      </w:r>
    </w:p>
    <w:p>
      <w:pPr>
        <w:spacing w:line="360" w:lineRule="auto"/>
        <w:ind w:firstLine="480" w:firstLineChars="200"/>
        <w:rPr>
          <w:rFonts w:hAnsi="宋体"/>
          <w:bCs/>
          <w:sz w:val="24"/>
          <w:szCs w:val="22"/>
        </w:rPr>
      </w:pPr>
      <w:r>
        <w:rPr>
          <w:rFonts w:hint="eastAsia" w:hAnsi="宋体"/>
          <w:bCs/>
          <w:sz w:val="24"/>
          <w:szCs w:val="22"/>
        </w:rPr>
        <w:t>（六）公司资质等资格证明文件（加盖公章）</w:t>
      </w:r>
    </w:p>
    <w:p>
      <w:pPr>
        <w:spacing w:line="360" w:lineRule="auto"/>
        <w:ind w:firstLine="480" w:firstLineChars="200"/>
        <w:rPr>
          <w:rFonts w:hAnsi="宋体"/>
          <w:bCs/>
          <w:sz w:val="24"/>
          <w:szCs w:val="22"/>
        </w:rPr>
      </w:pPr>
      <w:r>
        <w:rPr>
          <w:rFonts w:hint="eastAsia" w:hAnsi="宋体"/>
          <w:bCs/>
          <w:sz w:val="24"/>
          <w:szCs w:val="22"/>
        </w:rPr>
        <w:t>（七）根据比选文件编制的参选文件（比选文件获取：深圳地铁智能招采管理平台（https://cg.shenzhenmc.com）</w:t>
      </w:r>
    </w:p>
    <w:p>
      <w:pPr>
        <w:pStyle w:val="42"/>
      </w:pP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八、参选联系人</w:t>
      </w:r>
    </w:p>
    <w:p>
      <w:pPr>
        <w:pStyle w:val="24"/>
        <w:spacing w:line="360" w:lineRule="auto"/>
        <w:ind w:firstLine="480" w:firstLineChars="200"/>
        <w:rPr>
          <w:rFonts w:hAnsi="宋体"/>
          <w:sz w:val="24"/>
          <w:szCs w:val="24"/>
        </w:rPr>
      </w:pPr>
      <w:r>
        <w:rPr>
          <w:rFonts w:hint="eastAsia" w:hAnsi="宋体"/>
          <w:sz w:val="24"/>
          <w:szCs w:val="24"/>
        </w:rPr>
        <w:t>联系人： 杨工 牟工</w:t>
      </w:r>
    </w:p>
    <w:p>
      <w:pPr>
        <w:pStyle w:val="24"/>
        <w:spacing w:line="360" w:lineRule="auto"/>
        <w:ind w:firstLine="420" w:firstLineChars="175"/>
        <w:rPr>
          <w:rFonts w:hAnsi="宋体"/>
          <w:sz w:val="24"/>
        </w:rPr>
      </w:pPr>
      <w:r>
        <w:rPr>
          <w:rFonts w:hint="eastAsia" w:hAnsi="宋体"/>
          <w:sz w:val="24"/>
          <w:szCs w:val="24"/>
        </w:rPr>
        <w:t>联系电话：</w:t>
      </w:r>
      <w:r>
        <w:rPr>
          <w:rFonts w:hint="eastAsia" w:hAnsi="宋体"/>
          <w:sz w:val="24"/>
        </w:rPr>
        <w:t>89986697 13006666876</w:t>
      </w:r>
    </w:p>
    <w:p>
      <w:pPr>
        <w:pStyle w:val="24"/>
        <w:spacing w:line="360" w:lineRule="auto"/>
        <w:ind w:firstLine="480" w:firstLineChars="200"/>
        <w:rPr>
          <w:rFonts w:hAnsi="宋体"/>
          <w:sz w:val="24"/>
          <w:szCs w:val="24"/>
        </w:rPr>
      </w:pPr>
    </w:p>
    <w:p>
      <w:pPr>
        <w:pStyle w:val="24"/>
        <w:spacing w:line="360" w:lineRule="auto"/>
        <w:ind w:firstLine="480" w:firstLineChars="200"/>
        <w:jc w:val="right"/>
        <w:rPr>
          <w:rFonts w:hAnsi="宋体"/>
          <w:sz w:val="24"/>
          <w:szCs w:val="24"/>
        </w:rPr>
      </w:pPr>
    </w:p>
    <w:p>
      <w:pPr>
        <w:pStyle w:val="24"/>
        <w:spacing w:line="360" w:lineRule="auto"/>
        <w:ind w:firstLine="480" w:firstLineChars="200"/>
        <w:jc w:val="right"/>
        <w:rPr>
          <w:rFonts w:hAnsi="宋体"/>
          <w:sz w:val="24"/>
          <w:szCs w:val="24"/>
        </w:rPr>
      </w:pPr>
      <w:r>
        <w:rPr>
          <w:rFonts w:hint="eastAsia" w:hAnsi="宋体"/>
          <w:sz w:val="24"/>
          <w:szCs w:val="24"/>
          <w:lang w:eastAsia="zh-Hans"/>
        </w:rPr>
        <w:t>深圳地铁置业集团有限公司</w:t>
      </w:r>
    </w:p>
    <w:p>
      <w:pPr>
        <w:pStyle w:val="24"/>
        <w:spacing w:line="360" w:lineRule="auto"/>
        <w:ind w:firstLine="480" w:firstLineChars="200"/>
        <w:jc w:val="right"/>
        <w:rPr>
          <w:rFonts w:hAnsi="宋体"/>
          <w:sz w:val="24"/>
          <w:szCs w:val="24"/>
        </w:rPr>
      </w:pPr>
      <w:r>
        <w:rPr>
          <w:rFonts w:hint="eastAsia" w:hAnsi="宋体"/>
          <w:sz w:val="24"/>
          <w:szCs w:val="24"/>
        </w:rPr>
        <w:t>2022年1</w:t>
      </w:r>
      <w:r>
        <w:rPr>
          <w:rFonts w:hint="eastAsia" w:hAnsi="宋体"/>
          <w:sz w:val="24"/>
          <w:szCs w:val="24"/>
          <w:lang w:val="en-US" w:eastAsia="zh-CN"/>
        </w:rPr>
        <w:t>2</w:t>
      </w:r>
      <w:r>
        <w:rPr>
          <w:rFonts w:hint="eastAsia" w:hAnsi="宋体"/>
          <w:sz w:val="24"/>
          <w:szCs w:val="24"/>
        </w:rPr>
        <w:t>月</w:t>
      </w:r>
      <w:r>
        <w:rPr>
          <w:rFonts w:hint="eastAsia" w:hAnsi="宋体"/>
          <w:sz w:val="24"/>
          <w:szCs w:val="24"/>
          <w:lang w:val="en-US" w:eastAsia="zh-CN"/>
        </w:rPr>
        <w:t>2</w:t>
      </w:r>
      <w:r>
        <w:rPr>
          <w:rFonts w:hint="eastAsia" w:hAnsi="宋体"/>
          <w:sz w:val="24"/>
          <w:szCs w:val="24"/>
        </w:rPr>
        <w:t>日</w:t>
      </w:r>
      <w:r>
        <w:rPr>
          <w:rFonts w:hint="eastAsia" w:hAnsi="宋体"/>
          <w:sz w:val="24"/>
          <w:szCs w:val="24"/>
        </w:rPr>
        <w:br w:type="page"/>
      </w:r>
      <w:bookmarkStart w:id="28" w:name="_Toc57731951"/>
    </w:p>
    <w:p>
      <w:pPr>
        <w:pStyle w:val="24"/>
        <w:spacing w:line="360" w:lineRule="auto"/>
        <w:ind w:firstLine="3092" w:firstLineChars="700"/>
        <w:rPr>
          <w:rFonts w:hAnsi="宋体"/>
          <w:b/>
          <w:sz w:val="44"/>
          <w:szCs w:val="44"/>
        </w:rPr>
      </w:pPr>
      <w:r>
        <w:rPr>
          <w:rFonts w:hint="eastAsia" w:hAnsi="宋体"/>
          <w:b/>
          <w:sz w:val="44"/>
          <w:szCs w:val="44"/>
        </w:rPr>
        <w:t>第一篇  参选须知</w:t>
      </w:r>
      <w:bookmarkEnd w:id="28"/>
    </w:p>
    <w:p>
      <w:pPr>
        <w:pStyle w:val="4"/>
        <w:spacing w:line="360" w:lineRule="auto"/>
        <w:rPr>
          <w:rFonts w:ascii="宋体" w:hAnsi="宋体" w:eastAsia="宋体"/>
          <w:b/>
        </w:rPr>
      </w:pPr>
      <w:bookmarkStart w:id="29" w:name="_Toc57731952"/>
      <w:bookmarkStart w:id="30" w:name="_Toc518494117"/>
      <w:bookmarkStart w:id="31" w:name="_Toc197404897"/>
      <w:r>
        <w:rPr>
          <w:rFonts w:hint="eastAsia" w:ascii="宋体" w:hAnsi="宋体" w:eastAsia="宋体"/>
          <w:b/>
        </w:rPr>
        <w:t>第一章 总则</w:t>
      </w:r>
      <w:bookmarkEnd w:id="29"/>
      <w:bookmarkEnd w:id="30"/>
      <w:bookmarkEnd w:id="31"/>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bookmarkStart w:id="32" w:name="_Toc57731953"/>
      <w:bookmarkStart w:id="33" w:name="_Toc518494118"/>
      <w:r>
        <w:rPr>
          <w:rFonts w:hint="eastAsia" w:ascii="宋体" w:hAnsi="宋体"/>
          <w:b/>
          <w:kern w:val="0"/>
          <w:sz w:val="24"/>
          <w:szCs w:val="24"/>
        </w:rPr>
        <w:t>一、项目概况</w:t>
      </w:r>
      <w:bookmarkEnd w:id="32"/>
      <w:bookmarkEnd w:id="33"/>
    </w:p>
    <w:p>
      <w:pPr>
        <w:adjustRightInd w:val="0"/>
        <w:snapToGrid w:val="0"/>
        <w:spacing w:line="360" w:lineRule="auto"/>
        <w:ind w:firstLine="480" w:firstLineChars="200"/>
        <w:rPr>
          <w:rFonts w:ascii="宋体" w:hAnsi="宋体"/>
          <w:sz w:val="24"/>
        </w:rPr>
      </w:pPr>
      <w:bookmarkStart w:id="34" w:name="_Toc57731955"/>
      <w:bookmarkStart w:id="35" w:name="_Toc518494120"/>
      <w:r>
        <w:rPr>
          <w:rFonts w:hint="eastAsia" w:ascii="宋体" w:hAnsi="宋体"/>
          <w:sz w:val="24"/>
        </w:rPr>
        <w:t xml:space="preserve">为提高项目开发品质，促进项目周边配套设施提升，我司拟对若干项目开展交通接驳研究。相关项目情况如下： </w:t>
      </w:r>
    </w:p>
    <w:p>
      <w:pPr>
        <w:adjustRightInd w:val="0"/>
        <w:snapToGrid w:val="0"/>
        <w:spacing w:line="360" w:lineRule="auto"/>
        <w:ind w:firstLine="480" w:firstLineChars="200"/>
        <w:rPr>
          <w:rFonts w:ascii="宋体" w:hAnsi="宋体"/>
          <w:sz w:val="24"/>
        </w:rPr>
      </w:pPr>
      <w:r>
        <w:rPr>
          <w:rFonts w:hint="eastAsia" w:ascii="宋体" w:hAnsi="宋体"/>
          <w:sz w:val="24"/>
        </w:rPr>
        <w:t>（一）光明新湖项目</w:t>
      </w:r>
    </w:p>
    <w:p>
      <w:pPr>
        <w:adjustRightInd w:val="0"/>
        <w:snapToGrid w:val="0"/>
        <w:spacing w:line="360" w:lineRule="auto"/>
        <w:ind w:firstLine="480" w:firstLineChars="200"/>
        <w:rPr>
          <w:rFonts w:ascii="宋体" w:hAnsi="宋体"/>
          <w:sz w:val="24"/>
        </w:rPr>
      </w:pPr>
      <w:r>
        <w:rPr>
          <w:rFonts w:hint="eastAsia" w:ascii="宋体" w:hAnsi="宋体"/>
          <w:sz w:val="24"/>
        </w:rPr>
        <w:t>该项目位于光明区新湖街道规划光辉大道与华夏路交汇处东南角，北面</w:t>
      </w:r>
      <w:r>
        <w:rPr>
          <w:rFonts w:hint="eastAsia" w:ascii="宋体" w:hAnsi="宋体"/>
          <w:sz w:val="24"/>
          <w:lang w:val="zh-CN"/>
        </w:rPr>
        <w:t>紧邻城市次干道光辉大道（</w:t>
      </w:r>
      <w:r>
        <w:rPr>
          <w:rFonts w:hint="eastAsia" w:ascii="宋体" w:hAnsi="宋体"/>
          <w:sz w:val="24"/>
        </w:rPr>
        <w:t>在建</w:t>
      </w:r>
      <w:r>
        <w:rPr>
          <w:rFonts w:hint="eastAsia" w:ascii="宋体" w:hAnsi="宋体"/>
          <w:sz w:val="24"/>
          <w:lang w:val="zh-CN"/>
        </w:rPr>
        <w:t>），</w:t>
      </w:r>
      <w:r>
        <w:rPr>
          <w:rFonts w:hint="eastAsia" w:ascii="宋体" w:hAnsi="宋体"/>
          <w:sz w:val="24"/>
        </w:rPr>
        <w:t>南面为</w:t>
      </w:r>
      <w:r>
        <w:rPr>
          <w:rFonts w:hint="eastAsia" w:ascii="宋体" w:hAnsi="宋体"/>
          <w:sz w:val="24"/>
          <w:lang w:val="zh-CN"/>
        </w:rPr>
        <w:t>狮明路（</w:t>
      </w:r>
      <w:r>
        <w:rPr>
          <w:rFonts w:hint="eastAsia" w:ascii="宋体" w:hAnsi="宋体"/>
          <w:sz w:val="24"/>
        </w:rPr>
        <w:t>规划</w:t>
      </w:r>
      <w:r>
        <w:rPr>
          <w:rFonts w:hint="eastAsia" w:ascii="宋体" w:hAnsi="宋体"/>
          <w:sz w:val="24"/>
          <w:lang w:val="zh-CN"/>
        </w:rPr>
        <w:t>），</w:t>
      </w:r>
      <w:r>
        <w:rPr>
          <w:rFonts w:hint="eastAsia" w:ascii="宋体" w:hAnsi="宋体"/>
          <w:sz w:val="24"/>
        </w:rPr>
        <w:t>东面为佛子坳路（规划），西面现状为水塘。</w:t>
      </w:r>
    </w:p>
    <w:p>
      <w:pPr>
        <w:adjustRightInd w:val="0"/>
        <w:snapToGrid w:val="0"/>
        <w:spacing w:line="360" w:lineRule="auto"/>
        <w:ind w:firstLine="480" w:firstLineChars="200"/>
        <w:rPr>
          <w:rFonts w:ascii="宋体" w:hAnsi="宋体"/>
          <w:sz w:val="24"/>
        </w:rPr>
      </w:pPr>
      <w:r>
        <w:rPr>
          <w:rFonts w:hint="eastAsia" w:ascii="宋体" w:hAnsi="宋体"/>
          <w:sz w:val="24"/>
        </w:rPr>
        <w:t>项目用地性质为商业用地+二类居住用地，地块面积1.59公顷，计容建筑面积7.18万平方米，容积率4.5，其中商业7500平方米，办公31779平方米，住宅28000平方米，配套设施4560平方米。</w:t>
      </w:r>
    </w:p>
    <w:p>
      <w:pPr>
        <w:adjustRightInd w:val="0"/>
        <w:snapToGrid w:val="0"/>
        <w:spacing w:line="360" w:lineRule="auto"/>
        <w:ind w:firstLine="480" w:firstLineChars="200"/>
        <w:rPr>
          <w:rFonts w:ascii="宋体" w:hAnsi="宋体"/>
          <w:sz w:val="24"/>
        </w:rPr>
      </w:pPr>
      <w:r>
        <w:rPr>
          <w:rFonts w:hint="eastAsia" w:ascii="宋体" w:hAnsi="宋体"/>
          <w:sz w:val="24"/>
        </w:rPr>
        <w:t>项目距离既有6号线光明站约1.2公里。同时根据深圳市轨道交通五期建设规划环评公示方案29号线一期始于红树湾南止于宝安兴东站，29号线在新湖项目段未进入五期建设规划环评公示范围。</w:t>
      </w:r>
    </w:p>
    <w:p>
      <w:pPr>
        <w:pStyle w:val="48"/>
        <w:ind w:left="0" w:leftChars="0" w:firstLine="0" w:firstLineChars="0"/>
        <w:jc w:val="center"/>
      </w:pPr>
      <w:r>
        <w:rPr>
          <w:rFonts w:hint="eastAsia"/>
        </w:rPr>
        <w:drawing>
          <wp:inline distT="0" distB="0" distL="114300" distR="114300">
            <wp:extent cx="3626485" cy="3267710"/>
            <wp:effectExtent l="0" t="0" r="12065" b="8890"/>
            <wp:docPr id="5" name="图片 1" descr="1665473240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665473240978"/>
                    <pic:cNvPicPr>
                      <a:picLocks noChangeAspect="1"/>
                    </pic:cNvPicPr>
                  </pic:nvPicPr>
                  <pic:blipFill>
                    <a:blip r:embed="rId8"/>
                    <a:stretch>
                      <a:fillRect/>
                    </a:stretch>
                  </pic:blipFill>
                  <pic:spPr>
                    <a:xfrm>
                      <a:off x="0" y="0"/>
                      <a:ext cx="3626485" cy="3267710"/>
                    </a:xfrm>
                    <a:prstGeom prst="rect">
                      <a:avLst/>
                    </a:prstGeom>
                    <a:noFill/>
                    <a:ln>
                      <a:noFill/>
                    </a:ln>
                  </pic:spPr>
                </pic:pic>
              </a:graphicData>
            </a:graphic>
          </wp:inline>
        </w:drawing>
      </w:r>
    </w:p>
    <w:p>
      <w:pPr>
        <w:ind w:firstLine="480" w:firstLineChars="200"/>
        <w:jc w:val="center"/>
        <w:rPr>
          <w:rFonts w:ascii="宋体" w:hAnsi="宋体" w:cs="宋体"/>
          <w:sz w:val="24"/>
          <w:szCs w:val="24"/>
        </w:rPr>
      </w:pPr>
      <w:r>
        <w:rPr>
          <w:rFonts w:hint="eastAsia" w:ascii="宋体" w:hAnsi="宋体" w:cs="宋体"/>
          <w:sz w:val="24"/>
          <w:szCs w:val="24"/>
        </w:rPr>
        <w:t>图1 新湖项目概况</w:t>
      </w:r>
    </w:p>
    <w:p>
      <w:pPr>
        <w:adjustRightInd w:val="0"/>
        <w:snapToGrid w:val="0"/>
        <w:spacing w:line="360" w:lineRule="auto"/>
        <w:ind w:firstLine="480" w:firstLineChars="200"/>
        <w:rPr>
          <w:rFonts w:ascii="宋体" w:hAnsi="宋体"/>
          <w:sz w:val="24"/>
        </w:rPr>
      </w:pPr>
      <w:r>
        <w:rPr>
          <w:rFonts w:hint="eastAsia" w:ascii="宋体" w:hAnsi="宋体"/>
          <w:sz w:val="24"/>
        </w:rPr>
        <w:t>（二）昂鹅车辆段项目</w:t>
      </w:r>
    </w:p>
    <w:p>
      <w:pPr>
        <w:adjustRightInd w:val="0"/>
        <w:snapToGrid w:val="0"/>
        <w:spacing w:line="360" w:lineRule="auto"/>
        <w:ind w:firstLine="480" w:firstLineChars="200"/>
        <w:rPr>
          <w:rFonts w:ascii="宋体" w:hAnsi="宋体"/>
          <w:sz w:val="24"/>
        </w:rPr>
      </w:pPr>
      <w:r>
        <w:rPr>
          <w:rFonts w:hint="eastAsia" w:ascii="宋体" w:hAnsi="宋体"/>
          <w:sz w:val="24"/>
        </w:rPr>
        <w:t>项目位于深圳市坪山区坑梓街道，秀沙路以西，南邻深汕高速，西北面与惠阳隔河相望。项目用地面积约为81.71万㎡，总建筑面积235.93万㎡，计容建筑面积153.82万㎡，其中：规划住宅建筑面积129.2万㎡，规划商业建筑面积7万㎡，公共配套设施17.62万㎡。</w:t>
      </w:r>
    </w:p>
    <w:p>
      <w:pPr>
        <w:adjustRightInd w:val="0"/>
        <w:snapToGrid w:val="0"/>
        <w:spacing w:line="360" w:lineRule="auto"/>
        <w:ind w:firstLine="480" w:firstLineChars="200"/>
        <w:rPr>
          <w:rFonts w:ascii="宋体" w:hAnsi="宋体"/>
          <w:sz w:val="24"/>
        </w:rPr>
      </w:pPr>
      <w:r>
        <w:rPr>
          <w:rFonts w:hint="eastAsia" w:ascii="宋体" w:hAnsi="宋体"/>
          <w:sz w:val="24"/>
        </w:rPr>
        <w:t>项目</w:t>
      </w:r>
      <w:r>
        <w:rPr>
          <w:rFonts w:hint="eastAsia" w:ascii="宋体" w:hAnsi="宋体"/>
          <w:sz w:val="24"/>
          <w:lang w:val="zh-CN"/>
        </w:rPr>
        <w:t>距轨道14号线沙田站约</w:t>
      </w:r>
      <w:r>
        <w:rPr>
          <w:rFonts w:hint="eastAsia" w:ascii="宋体" w:hAnsi="宋体"/>
          <w:sz w:val="24"/>
        </w:rPr>
        <w:t>2.6公里</w:t>
      </w:r>
      <w:r>
        <w:rPr>
          <w:rFonts w:hint="eastAsia" w:ascii="宋体" w:hAnsi="宋体"/>
          <w:sz w:val="24"/>
          <w:lang w:val="zh-CN"/>
        </w:rPr>
        <w:t>，</w:t>
      </w:r>
      <w:r>
        <w:rPr>
          <w:rFonts w:hint="eastAsia" w:ascii="宋体" w:hAnsi="宋体"/>
          <w:sz w:val="24"/>
        </w:rPr>
        <w:t>同时根据深圳市轨道五期建设</w:t>
      </w:r>
      <w:r>
        <w:rPr>
          <w:rFonts w:hint="eastAsia" w:ascii="宋体" w:hAnsi="宋体"/>
          <w:sz w:val="24"/>
          <w:lang w:val="zh-CN"/>
        </w:rPr>
        <w:t>规划</w:t>
      </w:r>
      <w:r>
        <w:rPr>
          <w:rFonts w:hint="eastAsia" w:ascii="宋体" w:hAnsi="宋体"/>
          <w:sz w:val="24"/>
        </w:rPr>
        <w:t>环评公示方案中地铁</w:t>
      </w:r>
      <w:r>
        <w:rPr>
          <w:rFonts w:hint="eastAsia" w:ascii="宋体" w:hAnsi="宋体"/>
          <w:sz w:val="24"/>
          <w:lang w:val="zh-CN"/>
        </w:rPr>
        <w:t>19号线</w:t>
      </w:r>
      <w:r>
        <w:rPr>
          <w:rFonts w:hint="eastAsia" w:ascii="宋体" w:hAnsi="宋体"/>
          <w:sz w:val="24"/>
        </w:rPr>
        <w:t>终止于坪山的聚龙站，19号线聚龙到昂鹅车辆段线位未进入公示范围。</w:t>
      </w:r>
    </w:p>
    <w:p>
      <w:pPr>
        <w:pStyle w:val="48"/>
        <w:ind w:left="0" w:leftChars="0" w:firstLine="0" w:firstLineChars="0"/>
        <w:jc w:val="center"/>
      </w:pPr>
      <w:r>
        <w:rPr>
          <w:rFonts w:hint="eastAsia"/>
        </w:rPr>
        <w:drawing>
          <wp:inline distT="0" distB="0" distL="114300" distR="114300">
            <wp:extent cx="4081780" cy="3515360"/>
            <wp:effectExtent l="0" t="0" r="13970" b="8890"/>
            <wp:docPr id="6" name="图片 2" descr="166547459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1665474591583"/>
                    <pic:cNvPicPr>
                      <a:picLocks noChangeAspect="1"/>
                    </pic:cNvPicPr>
                  </pic:nvPicPr>
                  <pic:blipFill>
                    <a:blip r:embed="rId9"/>
                    <a:stretch>
                      <a:fillRect/>
                    </a:stretch>
                  </pic:blipFill>
                  <pic:spPr>
                    <a:xfrm>
                      <a:off x="0" y="0"/>
                      <a:ext cx="4081780" cy="3515360"/>
                    </a:xfrm>
                    <a:prstGeom prst="rect">
                      <a:avLst/>
                    </a:prstGeom>
                    <a:noFill/>
                    <a:ln>
                      <a:noFill/>
                    </a:ln>
                  </pic:spPr>
                </pic:pic>
              </a:graphicData>
            </a:graphic>
          </wp:inline>
        </w:drawing>
      </w:r>
    </w:p>
    <w:p>
      <w:pPr>
        <w:ind w:firstLine="480" w:firstLineChars="200"/>
        <w:jc w:val="center"/>
        <w:rPr>
          <w:rFonts w:ascii="宋体" w:hAnsi="宋体" w:cs="宋体"/>
          <w:sz w:val="24"/>
          <w:szCs w:val="24"/>
        </w:rPr>
      </w:pPr>
      <w:r>
        <w:rPr>
          <w:rFonts w:hint="eastAsia" w:ascii="宋体" w:hAnsi="宋体" w:cs="宋体"/>
          <w:sz w:val="24"/>
          <w:szCs w:val="24"/>
        </w:rPr>
        <w:t>图2 昂鹅项目概况</w:t>
      </w:r>
    </w:p>
    <w:p>
      <w:pPr>
        <w:adjustRightInd w:val="0"/>
        <w:snapToGrid w:val="0"/>
        <w:spacing w:line="360" w:lineRule="auto"/>
        <w:ind w:firstLine="480" w:firstLineChars="200"/>
        <w:rPr>
          <w:rFonts w:ascii="宋体" w:hAnsi="宋体"/>
          <w:sz w:val="24"/>
        </w:rPr>
      </w:pPr>
      <w:r>
        <w:rPr>
          <w:rFonts w:hint="eastAsia" w:ascii="宋体" w:hAnsi="宋体"/>
          <w:sz w:val="24"/>
        </w:rPr>
        <w:t>（三）东宝河停车场项目</w:t>
      </w:r>
    </w:p>
    <w:p>
      <w:pPr>
        <w:adjustRightInd w:val="0"/>
        <w:snapToGrid w:val="0"/>
        <w:spacing w:line="360" w:lineRule="auto"/>
        <w:ind w:firstLine="480" w:firstLineChars="200"/>
        <w:rPr>
          <w:rFonts w:ascii="宋体" w:hAnsi="宋体"/>
          <w:sz w:val="24"/>
        </w:rPr>
      </w:pPr>
      <w:r>
        <w:rPr>
          <w:rFonts w:hint="eastAsia" w:ascii="宋体" w:hAnsi="宋体"/>
          <w:sz w:val="24"/>
        </w:rPr>
        <w:t>轨道12号线二期东宝河停车场位于宝安海上田园片区，东宝河东南岸，西部紧邻长安滨海新区，沿江高速以东，外环高速两侧。用地面积16.4公顷，现状基地大部分为空地，少量临建。</w:t>
      </w:r>
    </w:p>
    <w:p>
      <w:pPr>
        <w:adjustRightInd w:val="0"/>
        <w:snapToGrid w:val="0"/>
        <w:spacing w:line="360" w:lineRule="auto"/>
        <w:ind w:firstLine="480" w:firstLineChars="200"/>
        <w:rPr>
          <w:rFonts w:ascii="宋体" w:hAnsi="宋体"/>
          <w:sz w:val="24"/>
        </w:rPr>
      </w:pPr>
      <w:r>
        <w:rPr>
          <w:rFonts w:hint="eastAsia" w:ascii="宋体" w:hAnsi="宋体"/>
          <w:sz w:val="24"/>
        </w:rPr>
        <w:t>项目拟规划为二类居住用地、教育设施用地，项目总开发量约62.8万㎡，其中住宅57.1万㎡，商业1.5万㎡，配套设施4.2万㎡。东宝河车辆段距离12号线海上田园东站约1.1公里，近期无规划轨道站点经过。</w:t>
      </w:r>
    </w:p>
    <w:p>
      <w:pPr>
        <w:pStyle w:val="48"/>
        <w:ind w:left="0" w:leftChars="0" w:firstLine="0" w:firstLineChars="0"/>
        <w:jc w:val="center"/>
      </w:pPr>
      <w:r>
        <w:rPr>
          <w:rFonts w:hint="eastAsia"/>
        </w:rPr>
        <w:drawing>
          <wp:inline distT="0" distB="0" distL="114300" distR="114300">
            <wp:extent cx="3590925" cy="2886075"/>
            <wp:effectExtent l="0" t="0" r="9525" b="9525"/>
            <wp:docPr id="7" name="图片 7" descr="1665483276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665483276661"/>
                    <pic:cNvPicPr>
                      <a:picLocks noChangeAspect="1"/>
                    </pic:cNvPicPr>
                  </pic:nvPicPr>
                  <pic:blipFill>
                    <a:blip r:embed="rId10"/>
                    <a:stretch>
                      <a:fillRect/>
                    </a:stretch>
                  </pic:blipFill>
                  <pic:spPr>
                    <a:xfrm>
                      <a:off x="0" y="0"/>
                      <a:ext cx="3590925" cy="2886075"/>
                    </a:xfrm>
                    <a:prstGeom prst="rect">
                      <a:avLst/>
                    </a:prstGeom>
                    <a:noFill/>
                    <a:ln>
                      <a:noFill/>
                    </a:ln>
                  </pic:spPr>
                </pic:pic>
              </a:graphicData>
            </a:graphic>
          </wp:inline>
        </w:drawing>
      </w:r>
    </w:p>
    <w:p>
      <w:pPr>
        <w:ind w:firstLine="480" w:firstLineChars="200"/>
        <w:jc w:val="center"/>
        <w:rPr>
          <w:rFonts w:ascii="宋体" w:hAnsi="宋体" w:cs="宋体"/>
          <w:sz w:val="24"/>
          <w:szCs w:val="24"/>
        </w:rPr>
      </w:pPr>
      <w:r>
        <w:rPr>
          <w:rFonts w:hint="eastAsia" w:ascii="宋体" w:hAnsi="宋体" w:cs="宋体"/>
          <w:sz w:val="24"/>
          <w:szCs w:val="24"/>
        </w:rPr>
        <w:t>图3 东宝河车辆段项目概况</w:t>
      </w:r>
    </w:p>
    <w:p>
      <w:pPr>
        <w:adjustRightInd w:val="0"/>
        <w:snapToGrid w:val="0"/>
        <w:spacing w:line="360" w:lineRule="auto"/>
        <w:ind w:firstLine="480" w:firstLineChars="200"/>
        <w:rPr>
          <w:rFonts w:ascii="宋体" w:hAnsi="宋体"/>
          <w:sz w:val="24"/>
        </w:rPr>
      </w:pPr>
      <w:r>
        <w:rPr>
          <w:rFonts w:hint="eastAsia" w:ascii="宋体" w:hAnsi="宋体"/>
          <w:sz w:val="24"/>
        </w:rPr>
        <w:t>（四）新大存车场项目</w:t>
      </w:r>
    </w:p>
    <w:p>
      <w:pPr>
        <w:adjustRightInd w:val="0"/>
        <w:snapToGrid w:val="0"/>
        <w:spacing w:line="360" w:lineRule="auto"/>
        <w:ind w:firstLine="480" w:firstLineChars="200"/>
        <w:rPr>
          <w:rFonts w:ascii="宋体" w:hAnsi="宋体"/>
          <w:sz w:val="24"/>
        </w:rPr>
      </w:pPr>
      <w:r>
        <w:rPr>
          <w:rFonts w:hint="eastAsia" w:ascii="宋体" w:hAnsi="宋体"/>
          <w:sz w:val="24"/>
        </w:rPr>
        <w:t>该项目为深惠城际大鹏支线的存车场，项目位于大鹏新大片区七娘山脚下，新山路东侧，地质博物馆以北，用地面积约13.78公顷，其中车辆段上盖用地7.01公顷，白地6.72公顷。项目规划为二类居住用地+轨道交通混合用地（R2+S3），初步估计上盖开发规模约38万平方米。该存车场距离大鹏支线的新大站约2公里，后期上盖开发走行距离较远，近期无规划轨道站点经过，迫切需要结合上盖开发开展交通接驳研究。</w:t>
      </w:r>
    </w:p>
    <w:p>
      <w:pPr>
        <w:pStyle w:val="48"/>
        <w:ind w:left="0" w:leftChars="0" w:firstLine="0" w:firstLineChars="0"/>
        <w:jc w:val="center"/>
      </w:pPr>
      <w:r>
        <w:rPr>
          <w:rFonts w:hint="eastAsia"/>
        </w:rPr>
        <w:drawing>
          <wp:inline distT="0" distB="0" distL="114300" distR="114300">
            <wp:extent cx="3143250" cy="2971800"/>
            <wp:effectExtent l="0" t="0" r="0" b="0"/>
            <wp:docPr id="8" name="图片 8" descr="1665559038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665559038533"/>
                    <pic:cNvPicPr>
                      <a:picLocks noChangeAspect="1"/>
                    </pic:cNvPicPr>
                  </pic:nvPicPr>
                  <pic:blipFill>
                    <a:blip r:embed="rId11"/>
                    <a:stretch>
                      <a:fillRect/>
                    </a:stretch>
                  </pic:blipFill>
                  <pic:spPr>
                    <a:xfrm>
                      <a:off x="0" y="0"/>
                      <a:ext cx="3143250" cy="2971800"/>
                    </a:xfrm>
                    <a:prstGeom prst="rect">
                      <a:avLst/>
                    </a:prstGeom>
                    <a:noFill/>
                    <a:ln>
                      <a:noFill/>
                    </a:ln>
                  </pic:spPr>
                </pic:pic>
              </a:graphicData>
            </a:graphic>
          </wp:inline>
        </w:drawing>
      </w:r>
    </w:p>
    <w:p>
      <w:pPr>
        <w:ind w:firstLine="480" w:firstLineChars="200"/>
        <w:jc w:val="center"/>
        <w:rPr>
          <w:rFonts w:ascii="宋体" w:hAnsi="宋体" w:cs="宋体"/>
          <w:sz w:val="24"/>
          <w:szCs w:val="24"/>
        </w:rPr>
      </w:pPr>
      <w:r>
        <w:rPr>
          <w:rFonts w:hint="eastAsia" w:ascii="宋体" w:hAnsi="宋体" w:cs="宋体"/>
          <w:sz w:val="24"/>
          <w:szCs w:val="24"/>
        </w:rPr>
        <w:t>图4 新大存车场项目概况</w:t>
      </w:r>
    </w:p>
    <w:p>
      <w:pPr>
        <w:pStyle w:val="42"/>
      </w:pPr>
    </w:p>
    <w:p>
      <w:pPr>
        <w:spacing w:line="360" w:lineRule="auto"/>
        <w:ind w:left="479" w:leftChars="228"/>
        <w:rPr>
          <w:rFonts w:ascii="宋体" w:hAnsi="宋体"/>
          <w:b/>
          <w:kern w:val="0"/>
          <w:sz w:val="24"/>
          <w:szCs w:val="24"/>
        </w:rPr>
      </w:pPr>
      <w:r>
        <w:rPr>
          <w:rFonts w:hint="eastAsia" w:ascii="宋体" w:hAnsi="宋体"/>
          <w:b/>
          <w:kern w:val="0"/>
          <w:sz w:val="24"/>
          <w:szCs w:val="24"/>
        </w:rPr>
        <w:t>二 、比选内容</w:t>
      </w:r>
    </w:p>
    <w:p>
      <w:pPr>
        <w:pStyle w:val="24"/>
        <w:spacing w:line="360" w:lineRule="auto"/>
        <w:ind w:firstLine="480" w:firstLineChars="200"/>
        <w:rPr>
          <w:rFonts w:hAnsi="宋体"/>
          <w:sz w:val="24"/>
          <w:szCs w:val="24"/>
        </w:rPr>
      </w:pPr>
      <w:r>
        <w:rPr>
          <w:rFonts w:hint="eastAsia" w:hAnsi="宋体"/>
          <w:sz w:val="24"/>
          <w:szCs w:val="24"/>
        </w:rPr>
        <w:t>本次四个项目交通接驳研究的工作内容如下。</w:t>
      </w:r>
    </w:p>
    <w:p>
      <w:pPr>
        <w:pStyle w:val="24"/>
        <w:spacing w:line="360" w:lineRule="auto"/>
        <w:ind w:firstLine="480" w:firstLineChars="200"/>
        <w:rPr>
          <w:rFonts w:hAnsi="宋体"/>
          <w:sz w:val="24"/>
          <w:szCs w:val="24"/>
        </w:rPr>
      </w:pPr>
      <w:r>
        <w:rPr>
          <w:rFonts w:hint="eastAsia" w:hAnsi="宋体"/>
          <w:sz w:val="24"/>
          <w:szCs w:val="24"/>
        </w:rPr>
        <w:t>（一）片区发展现状及规划分析。通过交通调查、资料收集、数据分析等方式，全面掌握片区的土地利用、交通、人口与就业岗位、社会经济以及相关规划等基础资料，对片区城市、交通发展现状和趋势进行系统解读，为规划方案提供基础支撑。</w:t>
      </w:r>
    </w:p>
    <w:p>
      <w:pPr>
        <w:pStyle w:val="24"/>
        <w:spacing w:line="360" w:lineRule="auto"/>
        <w:ind w:firstLine="480" w:firstLineChars="200"/>
        <w:rPr>
          <w:rFonts w:hAnsi="宋体"/>
          <w:sz w:val="24"/>
          <w:szCs w:val="24"/>
        </w:rPr>
      </w:pPr>
      <w:r>
        <w:rPr>
          <w:rFonts w:hint="eastAsia" w:hAnsi="宋体"/>
          <w:sz w:val="24"/>
          <w:szCs w:val="24"/>
        </w:rPr>
        <w:t>（二）必要性及功能定位分析。基于现状及规划发展的解读，对片区轨道接驳进行必要性分析，并总结片区轨道接驳功能定位，指导规划方案制定。</w:t>
      </w:r>
    </w:p>
    <w:p>
      <w:pPr>
        <w:pStyle w:val="24"/>
        <w:spacing w:line="360" w:lineRule="auto"/>
        <w:ind w:firstLine="480" w:firstLineChars="200"/>
        <w:rPr>
          <w:rFonts w:hAnsi="宋体"/>
          <w:sz w:val="24"/>
          <w:szCs w:val="24"/>
        </w:rPr>
      </w:pPr>
      <w:r>
        <w:rPr>
          <w:rFonts w:hint="eastAsia" w:hAnsi="宋体"/>
          <w:sz w:val="24"/>
          <w:szCs w:val="24"/>
        </w:rPr>
        <w:t>（三）片区交通需求预测。分析未来片区机动化交通总体出行需求，预测轨道交通出行需求，为接驳规划方案和投融资研究等提供依据。</w:t>
      </w:r>
    </w:p>
    <w:p>
      <w:pPr>
        <w:pStyle w:val="24"/>
        <w:spacing w:line="360" w:lineRule="auto"/>
        <w:ind w:firstLine="480" w:firstLineChars="200"/>
        <w:rPr>
          <w:rFonts w:hAnsi="宋体"/>
          <w:sz w:val="24"/>
          <w:szCs w:val="24"/>
        </w:rPr>
      </w:pPr>
      <w:r>
        <w:rPr>
          <w:rFonts w:hint="eastAsia" w:hAnsi="宋体"/>
          <w:sz w:val="24"/>
          <w:szCs w:val="24"/>
        </w:rPr>
        <w:t>（四）接驳制式研究。结合片区交通情况，借鉴国内外案例，综合研究各类交通系统制式，分析不同制式优缺点及适用条件，选择最优系统制式。</w:t>
      </w:r>
    </w:p>
    <w:p>
      <w:pPr>
        <w:pStyle w:val="24"/>
        <w:spacing w:line="360" w:lineRule="auto"/>
        <w:ind w:firstLine="480" w:firstLineChars="200"/>
        <w:rPr>
          <w:rFonts w:hAnsi="宋体"/>
          <w:sz w:val="24"/>
          <w:szCs w:val="24"/>
        </w:rPr>
      </w:pPr>
      <w:r>
        <w:rPr>
          <w:rFonts w:hint="eastAsia" w:hAnsi="宋体"/>
          <w:sz w:val="24"/>
          <w:szCs w:val="24"/>
        </w:rPr>
        <w:t>（五）接驳轨道交通规划方案。基于片区发展特征，结合需求分析，研究适宜的接驳轨道交通规划方案，客流需求较大的采用轨道交通接驳，客流需求较小的采用常规公交、慢行等接驳。同步提出主要节点交通设计方案和建议，如关键路线，主要路口等。</w:t>
      </w:r>
    </w:p>
    <w:p>
      <w:pPr>
        <w:pStyle w:val="24"/>
        <w:spacing w:line="360" w:lineRule="auto"/>
        <w:ind w:firstLine="480" w:firstLineChars="200"/>
        <w:rPr>
          <w:rFonts w:hAnsi="宋体"/>
          <w:sz w:val="24"/>
          <w:szCs w:val="24"/>
        </w:rPr>
      </w:pPr>
      <w:r>
        <w:rPr>
          <w:rFonts w:hint="eastAsia" w:hAnsi="宋体"/>
          <w:sz w:val="24"/>
          <w:szCs w:val="24"/>
        </w:rPr>
        <w:t>1.低运量交通接驳方案，包括增设轨道站点、新增接驳线路线站位方案、车站布局、车辆基地等</w:t>
      </w:r>
    </w:p>
    <w:p>
      <w:pPr>
        <w:pStyle w:val="24"/>
        <w:spacing w:line="360" w:lineRule="auto"/>
        <w:ind w:firstLine="480" w:firstLineChars="200"/>
        <w:rPr>
          <w:rFonts w:hAnsi="宋体"/>
          <w:sz w:val="24"/>
          <w:szCs w:val="24"/>
        </w:rPr>
      </w:pPr>
      <w:r>
        <w:rPr>
          <w:rFonts w:hint="eastAsia" w:hAnsi="宋体"/>
          <w:sz w:val="24"/>
          <w:szCs w:val="24"/>
        </w:rPr>
        <w:t>2.常规公交和慢行接驳方案，包括公交线路、站点和停车场方案，自行车和步行接驳方案等。</w:t>
      </w:r>
    </w:p>
    <w:p>
      <w:pPr>
        <w:pStyle w:val="24"/>
        <w:spacing w:line="360" w:lineRule="auto"/>
        <w:ind w:firstLine="480" w:firstLineChars="200"/>
        <w:rPr>
          <w:rFonts w:hAnsi="宋体"/>
          <w:sz w:val="24"/>
          <w:szCs w:val="24"/>
        </w:rPr>
      </w:pPr>
      <w:r>
        <w:rPr>
          <w:rFonts w:hint="eastAsia" w:hAnsi="宋体"/>
          <w:sz w:val="24"/>
          <w:szCs w:val="24"/>
        </w:rPr>
        <w:t>（六）投融资及运营模式初步研究。解读近年来国内各类投融资相关政策要点，分析各类投融资模式适用情况及优缺点，并对各类模式进行初步测算，选择适合项目的投融模式。</w:t>
      </w:r>
    </w:p>
    <w:p>
      <w:pPr>
        <w:pStyle w:val="24"/>
        <w:spacing w:line="360" w:lineRule="auto"/>
        <w:ind w:firstLine="480" w:firstLineChars="200"/>
        <w:rPr>
          <w:rFonts w:hAnsi="宋体"/>
          <w:sz w:val="24"/>
          <w:szCs w:val="24"/>
        </w:rPr>
      </w:pPr>
      <w:r>
        <w:rPr>
          <w:rFonts w:hint="eastAsia" w:hAnsi="宋体"/>
          <w:sz w:val="24"/>
          <w:szCs w:val="24"/>
        </w:rPr>
        <w:t>1.国内投融资政策解读</w:t>
      </w:r>
    </w:p>
    <w:p>
      <w:pPr>
        <w:pStyle w:val="24"/>
        <w:spacing w:line="360" w:lineRule="auto"/>
        <w:ind w:firstLine="480" w:firstLineChars="200"/>
        <w:rPr>
          <w:rFonts w:hAnsi="宋体"/>
          <w:sz w:val="24"/>
          <w:szCs w:val="24"/>
        </w:rPr>
      </w:pPr>
      <w:r>
        <w:rPr>
          <w:rFonts w:hint="eastAsia" w:hAnsi="宋体"/>
          <w:sz w:val="24"/>
          <w:szCs w:val="24"/>
        </w:rPr>
        <w:t>2.投融资模式分析</w:t>
      </w:r>
    </w:p>
    <w:p>
      <w:pPr>
        <w:pStyle w:val="24"/>
        <w:spacing w:line="360" w:lineRule="auto"/>
        <w:ind w:firstLine="480" w:firstLineChars="200"/>
        <w:rPr>
          <w:rFonts w:hAnsi="宋体"/>
          <w:sz w:val="24"/>
          <w:szCs w:val="24"/>
        </w:rPr>
      </w:pPr>
      <w:r>
        <w:rPr>
          <w:rFonts w:hint="eastAsia" w:hAnsi="宋体"/>
          <w:sz w:val="24"/>
          <w:szCs w:val="24"/>
        </w:rPr>
        <w:t>3.投融资模式建议</w:t>
      </w:r>
    </w:p>
    <w:p>
      <w:pPr>
        <w:pStyle w:val="24"/>
        <w:spacing w:line="360" w:lineRule="auto"/>
        <w:ind w:firstLine="480" w:firstLineChars="200"/>
        <w:rPr>
          <w:rFonts w:hAnsi="宋体"/>
          <w:sz w:val="24"/>
          <w:szCs w:val="24"/>
        </w:rPr>
      </w:pPr>
      <w:r>
        <w:rPr>
          <w:rFonts w:hint="eastAsia" w:hAnsi="宋体"/>
          <w:sz w:val="24"/>
          <w:szCs w:val="24"/>
        </w:rPr>
        <w:t>4.运营模式建议</w:t>
      </w:r>
    </w:p>
    <w:p>
      <w:pPr>
        <w:pStyle w:val="24"/>
        <w:spacing w:line="360" w:lineRule="auto"/>
        <w:ind w:firstLine="480" w:firstLineChars="200"/>
      </w:pPr>
      <w:r>
        <w:rPr>
          <w:rFonts w:hint="eastAsia" w:hAnsi="宋体"/>
          <w:sz w:val="24"/>
          <w:szCs w:val="24"/>
        </w:rPr>
        <w:t>（七）实施方案及建议。将研究适合项目的小运量或者公交等接驳方式推动纳入规划、近期建设计划。具体包括分析交通接驳方案的实施路径，含投资、设计方案建议，建设和运营管理建议。</w:t>
      </w:r>
    </w:p>
    <w:p>
      <w:pPr>
        <w:keepNext/>
        <w:keepLines/>
        <w:tabs>
          <w:tab w:val="left" w:pos="1260"/>
        </w:tabs>
        <w:adjustRightInd w:val="0"/>
        <w:spacing w:before="260"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三、工作方式及时间要求</w:t>
      </w:r>
      <w:bookmarkEnd w:id="34"/>
      <w:bookmarkEnd w:id="35"/>
    </w:p>
    <w:p>
      <w:pPr>
        <w:spacing w:line="360" w:lineRule="auto"/>
        <w:ind w:firstLine="480" w:firstLineChars="200"/>
        <w:rPr>
          <w:rFonts w:ascii="宋体" w:hAnsi="宋体"/>
          <w:sz w:val="24"/>
          <w:szCs w:val="24"/>
        </w:rPr>
      </w:pPr>
      <w:bookmarkStart w:id="36" w:name="_Toc518494121"/>
      <w:bookmarkStart w:id="37" w:name="_Toc57731956"/>
      <w:r>
        <w:rPr>
          <w:rFonts w:hint="eastAsia" w:ascii="宋体" w:hAnsi="宋体" w:cs="宋体"/>
          <w:sz w:val="24"/>
          <w:szCs w:val="24"/>
        </w:rPr>
        <w:t>（一）签约主体：本项目中选人后续与各项目开发主体深圳市地铁集团有限公司/深圳地铁前海国际发展有限公司等签订合同</w:t>
      </w:r>
    </w:p>
    <w:p>
      <w:pPr>
        <w:spacing w:line="360" w:lineRule="auto"/>
        <w:ind w:firstLine="480" w:firstLineChars="200"/>
        <w:rPr>
          <w:rFonts w:ascii="宋体" w:hAnsi="宋体" w:cs="宋体"/>
          <w:sz w:val="24"/>
          <w:szCs w:val="24"/>
        </w:rPr>
      </w:pPr>
      <w:r>
        <w:rPr>
          <w:rFonts w:hint="eastAsia" w:ascii="宋体" w:hAnsi="宋体" w:cs="宋体"/>
          <w:sz w:val="24"/>
          <w:szCs w:val="24"/>
        </w:rPr>
        <w:t>（二）服务期限：本合同签订之日起至本合同全部工作完成为止。</w:t>
      </w:r>
    </w:p>
    <w:p>
      <w:pPr>
        <w:spacing w:line="360" w:lineRule="auto"/>
        <w:ind w:firstLine="482" w:firstLineChars="200"/>
        <w:rPr>
          <w:rFonts w:ascii="宋体" w:hAnsi="宋体"/>
          <w:sz w:val="24"/>
          <w:szCs w:val="24"/>
        </w:rPr>
      </w:pPr>
      <w:r>
        <w:rPr>
          <w:rFonts w:hint="eastAsia" w:ascii="宋体" w:hAnsi="宋体"/>
          <w:b/>
          <w:kern w:val="0"/>
          <w:sz w:val="24"/>
          <w:szCs w:val="24"/>
        </w:rPr>
        <w:t>四、参选人资格条件</w:t>
      </w:r>
      <w:bookmarkEnd w:id="36"/>
      <w:bookmarkEnd w:id="37"/>
      <w:bookmarkStart w:id="38" w:name="_Toc197404900"/>
      <w:bookmarkStart w:id="39" w:name="_Toc518494122"/>
      <w:bookmarkStart w:id="40" w:name="_Toc57731957"/>
    </w:p>
    <w:p>
      <w:pPr>
        <w:spacing w:line="360" w:lineRule="auto"/>
        <w:ind w:firstLine="480" w:firstLineChars="200"/>
        <w:rPr>
          <w:rFonts w:hAnsi="宋体"/>
          <w:bCs/>
          <w:sz w:val="24"/>
          <w:szCs w:val="22"/>
        </w:rPr>
      </w:pPr>
      <w:r>
        <w:rPr>
          <w:rFonts w:hint="eastAsia" w:hAnsi="宋体"/>
          <w:bCs/>
          <w:sz w:val="24"/>
          <w:szCs w:val="22"/>
        </w:rPr>
        <w:t>（一）参选人资质要求：参选人必须是中华人民共和国境内依法注册的法人或合伙制企业或其他组织，且具有城乡规划编制甲级资质。</w:t>
      </w:r>
    </w:p>
    <w:p>
      <w:pPr>
        <w:spacing w:line="360" w:lineRule="auto"/>
        <w:ind w:firstLine="480" w:firstLineChars="200"/>
        <w:rPr>
          <w:rFonts w:hAnsi="宋体"/>
          <w:bCs/>
          <w:sz w:val="24"/>
          <w:szCs w:val="22"/>
        </w:rPr>
      </w:pPr>
      <w:r>
        <w:rPr>
          <w:rFonts w:hint="eastAsia" w:hAnsi="宋体"/>
          <w:bCs/>
          <w:sz w:val="24"/>
          <w:szCs w:val="22"/>
        </w:rPr>
        <w:t>（二）参选人业绩要求：无</w:t>
      </w:r>
    </w:p>
    <w:p>
      <w:pPr>
        <w:spacing w:line="360" w:lineRule="auto"/>
        <w:ind w:firstLine="480" w:firstLineChars="200"/>
        <w:rPr>
          <w:rFonts w:hAnsi="宋体"/>
          <w:bCs/>
          <w:sz w:val="24"/>
          <w:szCs w:val="22"/>
        </w:rPr>
      </w:pPr>
      <w:r>
        <w:rPr>
          <w:rFonts w:hint="eastAsia" w:hAnsi="宋体"/>
          <w:bCs/>
          <w:sz w:val="24"/>
          <w:szCs w:val="22"/>
        </w:rPr>
        <w:t>（</w:t>
      </w:r>
      <w:r>
        <w:rPr>
          <w:rFonts w:hint="eastAsia" w:hAnsi="宋体"/>
          <w:bCs/>
          <w:sz w:val="24"/>
          <w:szCs w:val="22"/>
          <w:lang w:eastAsia="zh-Hans"/>
        </w:rPr>
        <w:t>三</w:t>
      </w:r>
      <w:r>
        <w:rPr>
          <w:rFonts w:hint="eastAsia" w:hAnsi="宋体"/>
          <w:bCs/>
          <w:sz w:val="24"/>
          <w:szCs w:val="22"/>
        </w:rPr>
        <w:t>）其它要求：（1）不接受联合体参选。</w:t>
      </w:r>
    </w:p>
    <w:p>
      <w:pPr>
        <w:spacing w:line="360" w:lineRule="auto"/>
        <w:ind w:firstLine="480" w:firstLineChars="200"/>
        <w:rPr>
          <w:rFonts w:hAnsi="宋体"/>
          <w:bCs/>
          <w:sz w:val="24"/>
          <w:szCs w:val="22"/>
        </w:rPr>
      </w:pPr>
      <w:r>
        <w:rPr>
          <w:rFonts w:hint="eastAsia" w:hAnsi="宋体"/>
          <w:bCs/>
          <w:sz w:val="24"/>
          <w:szCs w:val="22"/>
        </w:rPr>
        <w:t>（2）不接受联合体投标，母、子公司只允许一家公司参与报价；同一法人代表，只接受一家投标。</w:t>
      </w:r>
    </w:p>
    <w:p>
      <w:pPr>
        <w:spacing w:line="360" w:lineRule="auto"/>
        <w:ind w:firstLine="480" w:firstLineChars="200"/>
        <w:rPr>
          <w:rFonts w:hAnsi="宋体"/>
          <w:bCs/>
          <w:sz w:val="24"/>
          <w:szCs w:val="22"/>
        </w:rPr>
      </w:pPr>
      <w:r>
        <w:rPr>
          <w:rFonts w:hint="eastAsia" w:hAnsi="宋体"/>
          <w:bCs/>
          <w:sz w:val="24"/>
          <w:szCs w:val="22"/>
        </w:rPr>
        <w:t>（3）本项目不接受在深圳市地铁集团有限公司或其下属直管单位存在不良行为记录或违约行为或在合同履约评价考核为D的参选人。</w:t>
      </w:r>
    </w:p>
    <w:p>
      <w:pPr>
        <w:keepNext/>
        <w:keepLines/>
        <w:tabs>
          <w:tab w:val="left" w:pos="1260"/>
        </w:tabs>
        <w:adjustRightInd w:val="0"/>
        <w:spacing w:after="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五、比选、参选的</w:t>
      </w:r>
      <w:bookmarkEnd w:id="38"/>
      <w:r>
        <w:rPr>
          <w:rFonts w:hint="eastAsia" w:ascii="宋体" w:hAnsi="宋体"/>
          <w:b/>
          <w:kern w:val="0"/>
          <w:sz w:val="24"/>
          <w:szCs w:val="24"/>
        </w:rPr>
        <w:t>时间安排</w:t>
      </w:r>
      <w:bookmarkEnd w:id="39"/>
      <w:bookmarkEnd w:id="40"/>
    </w:p>
    <w:tbl>
      <w:tblPr>
        <w:tblStyle w:val="4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Change w:id="0" w:author="Little v" w:date="2022-12-01T18:39:40Z">
          <w:tblPr>
            <w:tblStyle w:val="4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PrChange>
      </w:tblPr>
      <w:tblGrid>
        <w:gridCol w:w="602"/>
        <w:gridCol w:w="1453"/>
        <w:gridCol w:w="1814"/>
        <w:gridCol w:w="5985"/>
        <w:tblGridChange w:id="1">
          <w:tblGrid>
            <w:gridCol w:w="609"/>
            <w:gridCol w:w="1699"/>
            <w:gridCol w:w="1323"/>
            <w:gridCol w:w="6223"/>
          </w:tblGrid>
        </w:tblGridChange>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Change w:id="2" w:author="Little v" w:date="2022-12-01T18:39:40Z">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blPrExChange>
        </w:tblPrEx>
        <w:trPr>
          <w:trHeight w:val="1053" w:hRule="atLeast"/>
          <w:trPrChange w:id="2" w:author="Little v" w:date="2022-12-01T18:39:40Z">
            <w:trPr>
              <w:trHeight w:val="1053" w:hRule="atLeast"/>
            </w:trPr>
          </w:trPrChange>
        </w:trPr>
        <w:tc>
          <w:tcPr>
            <w:tcW w:w="0" w:type="auto"/>
            <w:tcBorders>
              <w:top w:val="single" w:color="auto" w:sz="4" w:space="0"/>
              <w:left w:val="single" w:color="auto" w:sz="4" w:space="0"/>
              <w:bottom w:val="single" w:color="auto" w:sz="4" w:space="0"/>
              <w:right w:val="single" w:color="auto" w:sz="4" w:space="0"/>
            </w:tcBorders>
            <w:vAlign w:val="center"/>
            <w:tcPrChange w:id="3" w:author="Little v" w:date="2022-12-01T18:39:40Z">
              <w:tcPr>
                <w:tcW w:w="0" w:type="auto"/>
                <w:tcBorders>
                  <w:top w:val="single" w:color="auto" w:sz="4" w:space="0"/>
                  <w:left w:val="single" w:color="auto" w:sz="4" w:space="0"/>
                  <w:bottom w:val="single" w:color="auto" w:sz="4" w:space="0"/>
                  <w:right w:val="single" w:color="auto" w:sz="4" w:space="0"/>
                </w:tcBorders>
                <w:vAlign w:val="center"/>
              </w:tcPr>
            </w:tcPrChange>
          </w:tcPr>
          <w:p>
            <w:pPr>
              <w:adjustRightInd w:val="0"/>
              <w:spacing w:after="120" w:line="360" w:lineRule="auto"/>
              <w:jc w:val="center"/>
              <w:rPr>
                <w:rFonts w:ascii="宋体" w:hAnsi="宋体"/>
                <w:sz w:val="24"/>
                <w:szCs w:val="24"/>
              </w:rPr>
            </w:pPr>
            <w:r>
              <w:rPr>
                <w:rFonts w:hint="eastAsia" w:ascii="宋体" w:hAnsi="宋体"/>
                <w:sz w:val="24"/>
                <w:szCs w:val="24"/>
              </w:rPr>
              <w:t>序号</w:t>
            </w:r>
          </w:p>
        </w:tc>
        <w:tc>
          <w:tcPr>
            <w:tcW w:w="1453" w:type="dxa"/>
            <w:tcBorders>
              <w:top w:val="single" w:color="auto" w:sz="4" w:space="0"/>
              <w:left w:val="single" w:color="auto" w:sz="4" w:space="0"/>
              <w:bottom w:val="single" w:color="auto" w:sz="4" w:space="0"/>
              <w:right w:val="single" w:color="auto" w:sz="4" w:space="0"/>
            </w:tcBorders>
            <w:vAlign w:val="center"/>
            <w:tcPrChange w:id="4" w:author="Little v" w:date="2022-12-01T18:39:40Z">
              <w:tcPr>
                <w:tcW w:w="1600" w:type="dxa"/>
                <w:tcBorders>
                  <w:top w:val="single" w:color="auto" w:sz="4" w:space="0"/>
                  <w:left w:val="single" w:color="auto" w:sz="4" w:space="0"/>
                  <w:bottom w:val="single" w:color="auto" w:sz="4" w:space="0"/>
                  <w:right w:val="single" w:color="auto" w:sz="4" w:space="0"/>
                </w:tcBorders>
                <w:vAlign w:val="center"/>
              </w:tcPr>
            </w:tcPrChange>
          </w:tcPr>
          <w:p>
            <w:pPr>
              <w:adjustRightInd w:val="0"/>
              <w:spacing w:after="120" w:line="360" w:lineRule="auto"/>
              <w:jc w:val="center"/>
              <w:rPr>
                <w:rFonts w:ascii="宋体" w:hAnsi="宋体"/>
                <w:sz w:val="24"/>
                <w:szCs w:val="24"/>
              </w:rPr>
            </w:pPr>
            <w:r>
              <w:rPr>
                <w:rFonts w:hint="eastAsia" w:ascii="宋体" w:hAnsi="宋体"/>
                <w:sz w:val="24"/>
                <w:szCs w:val="24"/>
              </w:rPr>
              <w:t>内  容</w:t>
            </w:r>
          </w:p>
        </w:tc>
        <w:tc>
          <w:tcPr>
            <w:tcW w:w="1814" w:type="dxa"/>
            <w:tcBorders>
              <w:top w:val="single" w:color="auto" w:sz="4" w:space="0"/>
              <w:left w:val="single" w:color="auto" w:sz="4" w:space="0"/>
              <w:bottom w:val="single" w:color="auto" w:sz="4" w:space="0"/>
              <w:right w:val="single" w:color="auto" w:sz="4" w:space="0"/>
            </w:tcBorders>
            <w:vAlign w:val="center"/>
            <w:tcPrChange w:id="5" w:author="Little v" w:date="2022-12-01T18:39:40Z">
              <w:tcPr>
                <w:tcW w:w="1667" w:type="dxa"/>
                <w:tcBorders>
                  <w:top w:val="single" w:color="auto" w:sz="4" w:space="0"/>
                  <w:left w:val="single" w:color="auto" w:sz="4" w:space="0"/>
                  <w:bottom w:val="single" w:color="auto" w:sz="4" w:space="0"/>
                  <w:right w:val="single" w:color="auto" w:sz="4" w:space="0"/>
                </w:tcBorders>
                <w:vAlign w:val="center"/>
              </w:tcPr>
            </w:tcPrChange>
          </w:tcPr>
          <w:p>
            <w:pPr>
              <w:adjustRightInd w:val="0"/>
              <w:spacing w:after="120" w:line="360" w:lineRule="auto"/>
              <w:jc w:val="center"/>
              <w:rPr>
                <w:rFonts w:ascii="宋体" w:hAnsi="宋体"/>
                <w:sz w:val="24"/>
                <w:szCs w:val="24"/>
              </w:rPr>
            </w:pPr>
            <w:r>
              <w:rPr>
                <w:rFonts w:hint="eastAsia" w:ascii="宋体" w:hAnsi="宋体"/>
                <w:sz w:val="24"/>
                <w:szCs w:val="24"/>
              </w:rPr>
              <w:t>时间安排</w:t>
            </w:r>
          </w:p>
        </w:tc>
        <w:tc>
          <w:tcPr>
            <w:tcW w:w="0" w:type="auto"/>
            <w:tcBorders>
              <w:top w:val="single" w:color="auto" w:sz="4" w:space="0"/>
              <w:left w:val="single" w:color="auto" w:sz="4" w:space="0"/>
              <w:bottom w:val="single" w:color="auto" w:sz="4" w:space="0"/>
              <w:right w:val="single" w:color="auto" w:sz="4" w:space="0"/>
            </w:tcBorders>
            <w:vAlign w:val="center"/>
            <w:tcPrChange w:id="6" w:author="Little v" w:date="2022-12-01T18:39:40Z">
              <w:tcPr>
                <w:tcW w:w="0" w:type="auto"/>
                <w:tcBorders>
                  <w:top w:val="single" w:color="auto" w:sz="4" w:space="0"/>
                  <w:left w:val="single" w:color="auto" w:sz="4" w:space="0"/>
                  <w:bottom w:val="single" w:color="auto" w:sz="4" w:space="0"/>
                  <w:right w:val="single" w:color="auto" w:sz="4" w:space="0"/>
                </w:tcBorders>
                <w:vAlign w:val="center"/>
              </w:tcPr>
            </w:tcPrChange>
          </w:tcPr>
          <w:p>
            <w:pPr>
              <w:adjustRightInd w:val="0"/>
              <w:spacing w:after="120" w:line="360" w:lineRule="auto"/>
              <w:jc w:val="center"/>
              <w:rPr>
                <w:rFonts w:ascii="宋体" w:hAnsi="宋体"/>
                <w:sz w:val="24"/>
                <w:szCs w:val="24"/>
              </w:rPr>
            </w:pPr>
            <w:r>
              <w:rPr>
                <w:rFonts w:hint="eastAsia" w:ascii="宋体" w:hAnsi="宋体"/>
                <w:sz w:val="24"/>
                <w:szCs w:val="24"/>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Change w:id="7" w:author="Little v" w:date="2022-12-01T18:39:40Z">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blPrExChange>
        </w:tblPrEx>
        <w:trPr>
          <w:trHeight w:val="1053" w:hRule="atLeast"/>
          <w:trPrChange w:id="7" w:author="Little v" w:date="2022-12-01T18:39:40Z">
            <w:trPr>
              <w:trHeight w:val="1053" w:hRule="atLeast"/>
            </w:trPr>
          </w:trPrChange>
        </w:trPr>
        <w:tc>
          <w:tcPr>
            <w:tcW w:w="0" w:type="auto"/>
            <w:tcBorders>
              <w:top w:val="single" w:color="auto" w:sz="4" w:space="0"/>
              <w:left w:val="single" w:color="auto" w:sz="4" w:space="0"/>
              <w:bottom w:val="single" w:color="auto" w:sz="4" w:space="0"/>
              <w:right w:val="single" w:color="auto" w:sz="4" w:space="0"/>
            </w:tcBorders>
            <w:vAlign w:val="center"/>
            <w:tcPrChange w:id="8" w:author="Little v" w:date="2022-12-01T18:39:40Z">
              <w:tcPr>
                <w:tcW w:w="0" w:type="auto"/>
                <w:tcBorders>
                  <w:top w:val="single" w:color="auto" w:sz="4" w:space="0"/>
                  <w:left w:val="single" w:color="auto" w:sz="4" w:space="0"/>
                  <w:bottom w:val="single" w:color="auto" w:sz="4" w:space="0"/>
                  <w:right w:val="single" w:color="auto" w:sz="4" w:space="0"/>
                </w:tcBorders>
                <w:vAlign w:val="center"/>
              </w:tcPr>
            </w:tcPrChange>
          </w:tcPr>
          <w:p>
            <w:pPr>
              <w:spacing w:line="360" w:lineRule="auto"/>
              <w:ind w:firstLine="240" w:firstLineChars="100"/>
              <w:rPr>
                <w:rFonts w:ascii="宋体" w:hAnsi="宋体"/>
                <w:kern w:val="0"/>
                <w:sz w:val="24"/>
                <w:szCs w:val="24"/>
              </w:rPr>
            </w:pPr>
            <w:r>
              <w:rPr>
                <w:rFonts w:hint="eastAsia" w:ascii="宋体" w:hAnsi="宋体"/>
                <w:kern w:val="0"/>
                <w:sz w:val="24"/>
                <w:szCs w:val="24"/>
              </w:rPr>
              <w:t>1</w:t>
            </w:r>
          </w:p>
        </w:tc>
        <w:tc>
          <w:tcPr>
            <w:tcW w:w="1453" w:type="dxa"/>
            <w:tcBorders>
              <w:top w:val="single" w:color="auto" w:sz="4" w:space="0"/>
              <w:left w:val="single" w:color="auto" w:sz="4" w:space="0"/>
              <w:bottom w:val="single" w:color="auto" w:sz="4" w:space="0"/>
              <w:right w:val="single" w:color="auto" w:sz="4" w:space="0"/>
            </w:tcBorders>
            <w:vAlign w:val="center"/>
            <w:tcPrChange w:id="9" w:author="Little v" w:date="2022-12-01T18:39:40Z">
              <w:tcPr>
                <w:tcW w:w="1600" w:type="dxa"/>
                <w:tcBorders>
                  <w:top w:val="single" w:color="auto" w:sz="4" w:space="0"/>
                  <w:left w:val="single" w:color="auto" w:sz="4" w:space="0"/>
                  <w:bottom w:val="single" w:color="auto" w:sz="4" w:space="0"/>
                  <w:right w:val="single" w:color="auto" w:sz="4" w:space="0"/>
                </w:tcBorders>
                <w:vAlign w:val="center"/>
              </w:tcPr>
            </w:tcPrChange>
          </w:tcPr>
          <w:p>
            <w:pPr>
              <w:spacing w:line="360" w:lineRule="auto"/>
              <w:jc w:val="center"/>
              <w:rPr>
                <w:rFonts w:ascii="宋体" w:hAnsi="宋体"/>
                <w:kern w:val="0"/>
                <w:sz w:val="24"/>
                <w:szCs w:val="24"/>
              </w:rPr>
            </w:pPr>
            <w:r>
              <w:rPr>
                <w:rFonts w:hint="eastAsia" w:ascii="宋体" w:hAnsi="宋体"/>
                <w:kern w:val="0"/>
                <w:sz w:val="24"/>
                <w:szCs w:val="24"/>
              </w:rPr>
              <w:t>发布比选公告（比选文件）</w:t>
            </w:r>
          </w:p>
        </w:tc>
        <w:tc>
          <w:tcPr>
            <w:tcW w:w="1814" w:type="dxa"/>
            <w:tcBorders>
              <w:top w:val="single" w:color="auto" w:sz="4" w:space="0"/>
              <w:left w:val="single" w:color="auto" w:sz="4" w:space="0"/>
              <w:bottom w:val="single" w:color="auto" w:sz="4" w:space="0"/>
              <w:right w:val="single" w:color="auto" w:sz="4" w:space="0"/>
            </w:tcBorders>
            <w:vAlign w:val="center"/>
            <w:tcPrChange w:id="10" w:author="Little v" w:date="2022-12-01T18:39:40Z">
              <w:tcPr>
                <w:tcW w:w="1667" w:type="dxa"/>
                <w:tcBorders>
                  <w:top w:val="single" w:color="auto" w:sz="4" w:space="0"/>
                  <w:left w:val="single" w:color="auto" w:sz="4" w:space="0"/>
                  <w:bottom w:val="single" w:color="auto" w:sz="4" w:space="0"/>
                  <w:right w:val="single" w:color="auto" w:sz="4" w:space="0"/>
                </w:tcBorders>
                <w:vAlign w:val="center"/>
              </w:tcPr>
            </w:tcPrChange>
          </w:tcPr>
          <w:p>
            <w:pPr>
              <w:spacing w:line="360" w:lineRule="auto"/>
              <w:jc w:val="center"/>
              <w:rPr>
                <w:rFonts w:hint="default" w:ascii="宋体" w:hAnsi="宋体" w:eastAsia="宋体"/>
                <w:kern w:val="0"/>
                <w:sz w:val="24"/>
                <w:szCs w:val="24"/>
                <w:lang w:val="en-US" w:eastAsia="zh-CN"/>
              </w:rPr>
            </w:pPr>
            <w:r>
              <w:rPr>
                <w:rFonts w:hint="eastAsia" w:ascii="宋体" w:hAnsi="宋体"/>
                <w:kern w:val="0"/>
                <w:sz w:val="24"/>
                <w:szCs w:val="24"/>
              </w:rPr>
              <w:t>2022年 1</w:t>
            </w:r>
            <w:r>
              <w:rPr>
                <w:rFonts w:hint="eastAsia" w:ascii="宋体" w:hAnsi="宋体"/>
                <w:kern w:val="0"/>
                <w:sz w:val="24"/>
                <w:szCs w:val="24"/>
                <w:lang w:val="en-US" w:eastAsia="zh-CN"/>
              </w:rPr>
              <w:t>2</w:t>
            </w:r>
            <w:r>
              <w:rPr>
                <w:rFonts w:hint="eastAsia" w:ascii="宋体" w:hAnsi="宋体"/>
                <w:kern w:val="0"/>
                <w:sz w:val="24"/>
                <w:szCs w:val="24"/>
              </w:rPr>
              <w:t>月</w:t>
            </w:r>
            <w:r>
              <w:rPr>
                <w:rFonts w:hint="eastAsia" w:ascii="宋体" w:hAnsi="宋体"/>
                <w:kern w:val="0"/>
                <w:sz w:val="24"/>
                <w:szCs w:val="24"/>
                <w:lang w:val="en-US" w:eastAsia="zh-CN"/>
              </w:rPr>
              <w:t>2</w:t>
            </w:r>
            <w:r>
              <w:rPr>
                <w:rFonts w:hint="eastAsia" w:ascii="宋体" w:hAnsi="宋体"/>
                <w:kern w:val="0"/>
                <w:sz w:val="24"/>
                <w:szCs w:val="24"/>
              </w:rPr>
              <w:t>日</w:t>
            </w:r>
            <w:ins w:id="11" w:author="Little v" w:date="2022-12-01T18:39:31Z">
              <w:r>
                <w:rPr>
                  <w:rFonts w:hint="eastAsia" w:ascii="宋体" w:hAnsi="宋体"/>
                  <w:kern w:val="0"/>
                  <w:sz w:val="24"/>
                  <w:szCs w:val="24"/>
                  <w:lang w:val="en-US" w:eastAsia="zh-CN"/>
                </w:rPr>
                <w:t>9点</w:t>
              </w:r>
            </w:ins>
          </w:p>
        </w:tc>
        <w:tc>
          <w:tcPr>
            <w:tcW w:w="0" w:type="auto"/>
            <w:tcBorders>
              <w:top w:val="single" w:color="auto" w:sz="4" w:space="0"/>
              <w:left w:val="single" w:color="auto" w:sz="4" w:space="0"/>
              <w:bottom w:val="single" w:color="auto" w:sz="4" w:space="0"/>
              <w:right w:val="single" w:color="auto" w:sz="4" w:space="0"/>
            </w:tcBorders>
            <w:vAlign w:val="center"/>
            <w:tcPrChange w:id="12" w:author="Little v" w:date="2022-12-01T18:39:40Z">
              <w:tcPr>
                <w:tcW w:w="0" w:type="auto"/>
                <w:tcBorders>
                  <w:top w:val="single" w:color="auto" w:sz="4" w:space="0"/>
                  <w:left w:val="single" w:color="auto" w:sz="4" w:space="0"/>
                  <w:bottom w:val="single" w:color="auto" w:sz="4" w:space="0"/>
                  <w:right w:val="single" w:color="auto" w:sz="4" w:space="0"/>
                </w:tcBorders>
                <w:vAlign w:val="center"/>
              </w:tcPr>
            </w:tcPrChange>
          </w:tcPr>
          <w:p>
            <w:pPr>
              <w:spacing w:line="360" w:lineRule="auto"/>
              <w:rPr>
                <w:rFonts w:ascii="宋体" w:hAnsi="宋体"/>
                <w:kern w:val="0"/>
                <w:sz w:val="24"/>
                <w:szCs w:val="24"/>
              </w:rPr>
            </w:pPr>
            <w:r>
              <w:rPr>
                <w:rFonts w:hint="eastAsia" w:ascii="宋体" w:hAnsi="宋体"/>
                <w:kern w:val="0"/>
                <w:sz w:val="24"/>
                <w:szCs w:val="24"/>
              </w:rPr>
              <w:t>深铁招采网、深圳地铁官网、国资委阳光采购平台、深铁置业微信订阅号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Change w:id="13" w:author="Little v" w:date="2022-12-01T18:39:40Z">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blPrExChange>
        </w:tblPrEx>
        <w:trPr>
          <w:trHeight w:val="1053" w:hRule="atLeast"/>
          <w:trPrChange w:id="13" w:author="Little v" w:date="2022-12-01T18:39:40Z">
            <w:trPr>
              <w:trHeight w:val="1053" w:hRule="atLeast"/>
            </w:trPr>
          </w:trPrChange>
        </w:trPr>
        <w:tc>
          <w:tcPr>
            <w:tcW w:w="0" w:type="auto"/>
            <w:tcBorders>
              <w:top w:val="single" w:color="auto" w:sz="4" w:space="0"/>
              <w:left w:val="single" w:color="auto" w:sz="4" w:space="0"/>
              <w:bottom w:val="single" w:color="auto" w:sz="4" w:space="0"/>
              <w:right w:val="single" w:color="auto" w:sz="4" w:space="0"/>
            </w:tcBorders>
            <w:vAlign w:val="center"/>
            <w:tcPrChange w:id="14" w:author="Little v" w:date="2022-12-01T18:39:40Z">
              <w:tcPr>
                <w:tcW w:w="0" w:type="auto"/>
                <w:tcBorders>
                  <w:top w:val="single" w:color="auto" w:sz="4" w:space="0"/>
                  <w:left w:val="single" w:color="auto" w:sz="4" w:space="0"/>
                  <w:bottom w:val="single" w:color="auto" w:sz="4" w:space="0"/>
                  <w:right w:val="single" w:color="auto" w:sz="4" w:space="0"/>
                </w:tcBorders>
                <w:vAlign w:val="center"/>
              </w:tcPr>
            </w:tcPrChange>
          </w:tcPr>
          <w:p>
            <w:pPr>
              <w:spacing w:line="360" w:lineRule="auto"/>
              <w:ind w:firstLine="240" w:firstLineChars="100"/>
              <w:rPr>
                <w:rFonts w:ascii="宋体" w:hAnsi="宋体"/>
                <w:kern w:val="0"/>
                <w:sz w:val="24"/>
                <w:szCs w:val="24"/>
              </w:rPr>
            </w:pPr>
            <w:r>
              <w:rPr>
                <w:rFonts w:hint="eastAsia" w:ascii="宋体" w:hAnsi="宋体"/>
                <w:kern w:val="0"/>
                <w:sz w:val="24"/>
                <w:szCs w:val="24"/>
              </w:rPr>
              <w:t>2</w:t>
            </w:r>
          </w:p>
        </w:tc>
        <w:tc>
          <w:tcPr>
            <w:tcW w:w="1453" w:type="dxa"/>
            <w:tcBorders>
              <w:top w:val="single" w:color="auto" w:sz="4" w:space="0"/>
              <w:left w:val="single" w:color="auto" w:sz="4" w:space="0"/>
              <w:bottom w:val="single" w:color="auto" w:sz="4" w:space="0"/>
              <w:right w:val="single" w:color="auto" w:sz="4" w:space="0"/>
            </w:tcBorders>
            <w:vAlign w:val="center"/>
            <w:tcPrChange w:id="15" w:author="Little v" w:date="2022-12-01T18:39:40Z">
              <w:tcPr>
                <w:tcW w:w="1600" w:type="dxa"/>
                <w:tcBorders>
                  <w:top w:val="single" w:color="auto" w:sz="4" w:space="0"/>
                  <w:left w:val="single" w:color="auto" w:sz="4" w:space="0"/>
                  <w:bottom w:val="single" w:color="auto" w:sz="4" w:space="0"/>
                  <w:right w:val="single" w:color="auto" w:sz="4" w:space="0"/>
                </w:tcBorders>
                <w:vAlign w:val="center"/>
              </w:tcPr>
            </w:tcPrChange>
          </w:tcPr>
          <w:p>
            <w:pPr>
              <w:spacing w:line="360" w:lineRule="auto"/>
              <w:jc w:val="center"/>
              <w:rPr>
                <w:rFonts w:ascii="宋体" w:hAnsi="宋体"/>
                <w:kern w:val="0"/>
                <w:sz w:val="24"/>
                <w:szCs w:val="24"/>
              </w:rPr>
            </w:pPr>
            <w:r>
              <w:rPr>
                <w:rFonts w:hint="eastAsia" w:ascii="宋体" w:hAnsi="宋体"/>
                <w:kern w:val="0"/>
                <w:sz w:val="24"/>
                <w:szCs w:val="24"/>
              </w:rPr>
              <w:t>截标</w:t>
            </w:r>
          </w:p>
        </w:tc>
        <w:tc>
          <w:tcPr>
            <w:tcW w:w="1814" w:type="dxa"/>
            <w:tcBorders>
              <w:top w:val="single" w:color="auto" w:sz="4" w:space="0"/>
              <w:left w:val="single" w:color="auto" w:sz="4" w:space="0"/>
              <w:bottom w:val="single" w:color="auto" w:sz="4" w:space="0"/>
              <w:right w:val="single" w:color="auto" w:sz="4" w:space="0"/>
            </w:tcBorders>
            <w:vAlign w:val="center"/>
            <w:tcPrChange w:id="16" w:author="Little v" w:date="2022-12-01T18:39:40Z">
              <w:tcPr>
                <w:tcW w:w="1667" w:type="dxa"/>
                <w:tcBorders>
                  <w:top w:val="single" w:color="auto" w:sz="4" w:space="0"/>
                  <w:left w:val="single" w:color="auto" w:sz="4" w:space="0"/>
                  <w:bottom w:val="single" w:color="auto" w:sz="4" w:space="0"/>
                  <w:right w:val="single" w:color="auto" w:sz="4" w:space="0"/>
                </w:tcBorders>
                <w:vAlign w:val="center"/>
              </w:tcPr>
            </w:tcPrChange>
          </w:tcPr>
          <w:p>
            <w:pPr>
              <w:spacing w:line="360" w:lineRule="auto"/>
              <w:jc w:val="center"/>
              <w:rPr>
                <w:rFonts w:ascii="宋体" w:hAnsi="宋体"/>
                <w:kern w:val="0"/>
                <w:sz w:val="24"/>
                <w:szCs w:val="24"/>
              </w:rPr>
            </w:pPr>
            <w:r>
              <w:rPr>
                <w:rFonts w:hint="eastAsia" w:ascii="宋体" w:hAnsi="宋体"/>
                <w:kern w:val="0"/>
                <w:sz w:val="24"/>
                <w:szCs w:val="24"/>
              </w:rPr>
              <w:t>2022年1</w:t>
            </w:r>
            <w:r>
              <w:rPr>
                <w:rFonts w:hint="eastAsia" w:ascii="宋体" w:hAnsi="宋体"/>
                <w:kern w:val="0"/>
                <w:sz w:val="24"/>
                <w:szCs w:val="24"/>
                <w:lang w:val="en-US" w:eastAsia="zh-CN"/>
              </w:rPr>
              <w:t>2</w:t>
            </w:r>
            <w:r>
              <w:rPr>
                <w:rFonts w:hint="eastAsia" w:ascii="宋体" w:hAnsi="宋体"/>
                <w:kern w:val="0"/>
                <w:sz w:val="24"/>
                <w:szCs w:val="24"/>
              </w:rPr>
              <w:t>月</w:t>
            </w:r>
            <w:r>
              <w:rPr>
                <w:rFonts w:hint="eastAsia" w:ascii="宋体" w:hAnsi="宋体"/>
                <w:kern w:val="0"/>
                <w:sz w:val="24"/>
                <w:szCs w:val="24"/>
                <w:lang w:val="en-US" w:eastAsia="zh-CN"/>
              </w:rPr>
              <w:t>12</w:t>
            </w:r>
            <w:r>
              <w:rPr>
                <w:rFonts w:hint="eastAsia" w:ascii="宋体" w:hAnsi="宋体"/>
                <w:kern w:val="0"/>
                <w:sz w:val="24"/>
                <w:szCs w:val="24"/>
              </w:rPr>
              <w:t>日</w:t>
            </w:r>
            <w:ins w:id="17" w:author="Little v" w:date="2022-12-01T18:39:34Z">
              <w:r>
                <w:rPr>
                  <w:rFonts w:hint="eastAsia" w:ascii="宋体" w:hAnsi="宋体"/>
                  <w:kern w:val="0"/>
                  <w:sz w:val="24"/>
                  <w:szCs w:val="24"/>
                  <w:lang w:val="en-US" w:eastAsia="zh-CN"/>
                </w:rPr>
                <w:t>9</w:t>
              </w:r>
            </w:ins>
            <w:ins w:id="18" w:author="Little v" w:date="2022-12-01T18:39:35Z">
              <w:r>
                <w:rPr>
                  <w:rFonts w:hint="eastAsia" w:ascii="宋体" w:hAnsi="宋体"/>
                  <w:kern w:val="0"/>
                  <w:sz w:val="24"/>
                  <w:szCs w:val="24"/>
                  <w:lang w:val="en-US" w:eastAsia="zh-CN"/>
                </w:rPr>
                <w:t>点</w:t>
              </w:r>
            </w:ins>
            <w:ins w:id="19" w:author="Little v" w:date="2022-12-01T18:39:36Z">
              <w:r>
                <w:rPr>
                  <w:rFonts w:hint="eastAsia" w:ascii="宋体" w:hAnsi="宋体"/>
                  <w:kern w:val="0"/>
                  <w:sz w:val="24"/>
                  <w:szCs w:val="24"/>
                  <w:lang w:val="en-US" w:eastAsia="zh-CN"/>
                </w:rPr>
                <w:t>30</w:t>
              </w:r>
            </w:ins>
            <w:ins w:id="20" w:author="Little v" w:date="2022-12-01T18:39:37Z">
              <w:r>
                <w:rPr>
                  <w:rFonts w:hint="eastAsia" w:ascii="宋体" w:hAnsi="宋体"/>
                  <w:kern w:val="0"/>
                  <w:sz w:val="24"/>
                  <w:szCs w:val="24"/>
                  <w:lang w:val="en-US" w:eastAsia="zh-CN"/>
                </w:rPr>
                <w:t>分</w:t>
              </w:r>
            </w:ins>
            <w:r>
              <w:rPr>
                <w:rFonts w:hint="eastAsia" w:ascii="宋体" w:hAnsi="宋体"/>
                <w:kern w:val="0"/>
                <w:sz w:val="24"/>
                <w:szCs w:val="24"/>
              </w:rPr>
              <w:t xml:space="preserve"> </w:t>
            </w:r>
          </w:p>
        </w:tc>
        <w:tc>
          <w:tcPr>
            <w:tcW w:w="0" w:type="auto"/>
            <w:tcBorders>
              <w:top w:val="single" w:color="auto" w:sz="4" w:space="0"/>
              <w:left w:val="single" w:color="auto" w:sz="4" w:space="0"/>
              <w:bottom w:val="single" w:color="auto" w:sz="4" w:space="0"/>
              <w:right w:val="single" w:color="auto" w:sz="4" w:space="0"/>
            </w:tcBorders>
            <w:vAlign w:val="center"/>
            <w:tcPrChange w:id="21" w:author="Little v" w:date="2022-12-01T18:39:40Z">
              <w:tcPr>
                <w:tcW w:w="0" w:type="auto"/>
                <w:tcBorders>
                  <w:top w:val="single" w:color="auto" w:sz="4" w:space="0"/>
                  <w:left w:val="single" w:color="auto" w:sz="4" w:space="0"/>
                  <w:bottom w:val="single" w:color="auto" w:sz="4" w:space="0"/>
                  <w:right w:val="single" w:color="auto" w:sz="4" w:space="0"/>
                </w:tcBorders>
                <w:vAlign w:val="center"/>
              </w:tcPr>
            </w:tcPrChange>
          </w:tcPr>
          <w:p>
            <w:pPr>
              <w:spacing w:line="360" w:lineRule="auto"/>
              <w:rPr>
                <w:rFonts w:ascii="宋体" w:hAnsi="宋体"/>
                <w:snapToGrid w:val="0"/>
                <w:sz w:val="24"/>
                <w:szCs w:val="24"/>
              </w:rPr>
            </w:pPr>
            <w:r>
              <w:rPr>
                <w:rFonts w:ascii="宋体" w:hAnsi="宋体"/>
                <w:snapToGrid w:val="0"/>
                <w:sz w:val="24"/>
                <w:szCs w:val="24"/>
              </w:rPr>
              <w:t>电子版参选文件递交平台：</w:t>
            </w:r>
            <w:r>
              <w:rPr>
                <w:rFonts w:hint="eastAsia" w:ascii="宋体" w:hAnsi="宋体"/>
                <w:snapToGrid w:val="0"/>
                <w:sz w:val="24"/>
                <w:szCs w:val="24"/>
              </w:rPr>
              <w:t>深圳地铁智能招采管理平台（</w:t>
            </w:r>
            <w:r>
              <w:rPr>
                <w:rFonts w:ascii="宋体" w:hAnsi="宋体"/>
                <w:snapToGrid w:val="0"/>
                <w:sz w:val="24"/>
                <w:szCs w:val="24"/>
              </w:rPr>
              <w:t>https://cg.shenzhenmc.com/）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Change w:id="22" w:author="Little v" w:date="2022-12-01T18:39:40Z">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blPrExChange>
        </w:tblPrEx>
        <w:trPr>
          <w:trHeight w:val="1053" w:hRule="atLeast"/>
          <w:trPrChange w:id="22" w:author="Little v" w:date="2022-12-01T18:39:40Z">
            <w:trPr>
              <w:trHeight w:val="1053" w:hRule="atLeast"/>
            </w:trPr>
          </w:trPrChange>
        </w:trPr>
        <w:tc>
          <w:tcPr>
            <w:tcW w:w="0" w:type="auto"/>
            <w:tcBorders>
              <w:top w:val="single" w:color="auto" w:sz="4" w:space="0"/>
              <w:left w:val="single" w:color="auto" w:sz="4" w:space="0"/>
              <w:bottom w:val="single" w:color="auto" w:sz="4" w:space="0"/>
              <w:right w:val="single" w:color="auto" w:sz="4" w:space="0"/>
            </w:tcBorders>
            <w:vAlign w:val="center"/>
            <w:tcPrChange w:id="23" w:author="Little v" w:date="2022-12-01T18:39:40Z">
              <w:tcPr>
                <w:tcW w:w="0" w:type="auto"/>
                <w:tcBorders>
                  <w:top w:val="single" w:color="auto" w:sz="4" w:space="0"/>
                  <w:left w:val="single" w:color="auto" w:sz="4" w:space="0"/>
                  <w:bottom w:val="single" w:color="auto" w:sz="4" w:space="0"/>
                  <w:right w:val="single" w:color="auto" w:sz="4" w:space="0"/>
                </w:tcBorders>
                <w:vAlign w:val="center"/>
              </w:tcPr>
            </w:tcPrChange>
          </w:tcPr>
          <w:p>
            <w:pPr>
              <w:spacing w:line="360" w:lineRule="auto"/>
              <w:ind w:firstLine="240" w:firstLineChars="100"/>
              <w:rPr>
                <w:rFonts w:ascii="宋体" w:hAnsi="宋体"/>
                <w:kern w:val="0"/>
                <w:sz w:val="24"/>
                <w:szCs w:val="24"/>
              </w:rPr>
            </w:pPr>
            <w:r>
              <w:rPr>
                <w:rFonts w:hint="eastAsia" w:ascii="宋体" w:hAnsi="宋体"/>
                <w:kern w:val="0"/>
                <w:sz w:val="24"/>
                <w:szCs w:val="24"/>
              </w:rPr>
              <w:t>3</w:t>
            </w:r>
          </w:p>
        </w:tc>
        <w:tc>
          <w:tcPr>
            <w:tcW w:w="1453" w:type="dxa"/>
            <w:tcBorders>
              <w:top w:val="single" w:color="auto" w:sz="4" w:space="0"/>
              <w:left w:val="single" w:color="auto" w:sz="4" w:space="0"/>
              <w:bottom w:val="single" w:color="auto" w:sz="4" w:space="0"/>
              <w:right w:val="single" w:color="auto" w:sz="4" w:space="0"/>
            </w:tcBorders>
            <w:vAlign w:val="center"/>
            <w:tcPrChange w:id="24" w:author="Little v" w:date="2022-12-01T18:39:40Z">
              <w:tcPr>
                <w:tcW w:w="1600" w:type="dxa"/>
                <w:tcBorders>
                  <w:top w:val="single" w:color="auto" w:sz="4" w:space="0"/>
                  <w:left w:val="single" w:color="auto" w:sz="4" w:space="0"/>
                  <w:bottom w:val="single" w:color="auto" w:sz="4" w:space="0"/>
                  <w:right w:val="single" w:color="auto" w:sz="4" w:space="0"/>
                </w:tcBorders>
                <w:vAlign w:val="center"/>
              </w:tcPr>
            </w:tcPrChange>
          </w:tcPr>
          <w:p>
            <w:pPr>
              <w:spacing w:line="360" w:lineRule="auto"/>
              <w:jc w:val="center"/>
              <w:rPr>
                <w:rFonts w:ascii="宋体" w:hAnsi="宋体"/>
                <w:kern w:val="0"/>
                <w:sz w:val="24"/>
                <w:szCs w:val="24"/>
              </w:rPr>
            </w:pPr>
            <w:r>
              <w:rPr>
                <w:rFonts w:hint="eastAsia" w:ascii="宋体" w:hAnsi="宋体"/>
                <w:kern w:val="0"/>
                <w:sz w:val="24"/>
                <w:szCs w:val="24"/>
              </w:rPr>
              <w:t>开标、评标</w:t>
            </w:r>
          </w:p>
        </w:tc>
        <w:tc>
          <w:tcPr>
            <w:tcW w:w="1814" w:type="dxa"/>
            <w:tcBorders>
              <w:top w:val="single" w:color="auto" w:sz="4" w:space="0"/>
              <w:left w:val="single" w:color="auto" w:sz="4" w:space="0"/>
              <w:bottom w:val="single" w:color="auto" w:sz="4" w:space="0"/>
              <w:right w:val="single" w:color="auto" w:sz="4" w:space="0"/>
            </w:tcBorders>
            <w:vAlign w:val="center"/>
            <w:tcPrChange w:id="25" w:author="Little v" w:date="2022-12-01T18:39:40Z">
              <w:tcPr>
                <w:tcW w:w="1667" w:type="dxa"/>
                <w:tcBorders>
                  <w:top w:val="single" w:color="auto" w:sz="4" w:space="0"/>
                  <w:left w:val="single" w:color="auto" w:sz="4" w:space="0"/>
                  <w:bottom w:val="single" w:color="auto" w:sz="4" w:space="0"/>
                  <w:right w:val="single" w:color="auto" w:sz="4" w:space="0"/>
                </w:tcBorders>
                <w:vAlign w:val="center"/>
              </w:tcPr>
            </w:tcPrChange>
          </w:tcPr>
          <w:p>
            <w:pPr>
              <w:spacing w:line="360" w:lineRule="auto"/>
              <w:jc w:val="center"/>
              <w:rPr>
                <w:rFonts w:ascii="宋体" w:hAnsi="宋体"/>
                <w:kern w:val="0"/>
                <w:sz w:val="24"/>
                <w:szCs w:val="24"/>
              </w:rPr>
            </w:pPr>
            <w:r>
              <w:rPr>
                <w:rFonts w:hint="eastAsia" w:ascii="宋体" w:hAnsi="宋体"/>
                <w:kern w:val="0"/>
                <w:sz w:val="24"/>
                <w:szCs w:val="24"/>
              </w:rPr>
              <w:t>2022年1</w:t>
            </w:r>
            <w:r>
              <w:rPr>
                <w:rFonts w:hint="eastAsia" w:ascii="宋体" w:hAnsi="宋体"/>
                <w:kern w:val="0"/>
                <w:sz w:val="24"/>
                <w:szCs w:val="24"/>
                <w:lang w:val="en-US" w:eastAsia="zh-CN"/>
              </w:rPr>
              <w:t>2</w:t>
            </w:r>
            <w:r>
              <w:rPr>
                <w:rFonts w:hint="eastAsia" w:ascii="宋体" w:hAnsi="宋体"/>
                <w:kern w:val="0"/>
                <w:sz w:val="24"/>
                <w:szCs w:val="24"/>
              </w:rPr>
              <w:t>月</w:t>
            </w:r>
            <w:r>
              <w:rPr>
                <w:rFonts w:hint="eastAsia" w:ascii="宋体" w:hAnsi="宋体"/>
                <w:kern w:val="0"/>
                <w:sz w:val="24"/>
                <w:szCs w:val="24"/>
                <w:lang w:val="en-US" w:eastAsia="zh-CN"/>
              </w:rPr>
              <w:t>12</w:t>
            </w:r>
            <w:r>
              <w:rPr>
                <w:rFonts w:hint="eastAsia" w:ascii="宋体" w:hAnsi="宋体"/>
                <w:kern w:val="0"/>
                <w:sz w:val="24"/>
                <w:szCs w:val="24"/>
              </w:rPr>
              <w:t xml:space="preserve">日 </w:t>
            </w:r>
            <w:ins w:id="26" w:author="Little v" w:date="2022-12-01T18:39:43Z">
              <w:r>
                <w:rPr>
                  <w:rFonts w:hint="eastAsia" w:ascii="宋体" w:hAnsi="宋体"/>
                  <w:kern w:val="0"/>
                  <w:sz w:val="24"/>
                  <w:szCs w:val="24"/>
                  <w:lang w:val="en-US" w:eastAsia="zh-CN"/>
                </w:rPr>
                <w:t>9点30分</w:t>
              </w:r>
            </w:ins>
            <w:bookmarkStart w:id="136" w:name="_GoBack"/>
            <w:bookmarkEnd w:id="136"/>
          </w:p>
        </w:tc>
        <w:tc>
          <w:tcPr>
            <w:tcW w:w="0" w:type="auto"/>
            <w:tcBorders>
              <w:top w:val="single" w:color="auto" w:sz="4" w:space="0"/>
              <w:left w:val="single" w:color="auto" w:sz="4" w:space="0"/>
              <w:bottom w:val="single" w:color="auto" w:sz="4" w:space="0"/>
              <w:right w:val="single" w:color="auto" w:sz="4" w:space="0"/>
            </w:tcBorders>
            <w:vAlign w:val="center"/>
            <w:tcPrChange w:id="27" w:author="Little v" w:date="2022-12-01T18:39:40Z">
              <w:tcPr>
                <w:tcW w:w="0" w:type="auto"/>
                <w:tcBorders>
                  <w:top w:val="single" w:color="auto" w:sz="4" w:space="0"/>
                  <w:left w:val="single" w:color="auto" w:sz="4" w:space="0"/>
                  <w:bottom w:val="single" w:color="auto" w:sz="4" w:space="0"/>
                  <w:right w:val="single" w:color="auto" w:sz="4" w:space="0"/>
                </w:tcBorders>
                <w:vAlign w:val="center"/>
              </w:tcPr>
            </w:tcPrChange>
          </w:tcPr>
          <w:p>
            <w:r>
              <w:rPr>
                <w:rFonts w:ascii="宋体" w:hAnsi="宋体"/>
                <w:snapToGrid w:val="0"/>
                <w:sz w:val="24"/>
                <w:szCs w:val="24"/>
              </w:rPr>
              <w:t>开标地点：深圳市福田区福中一路地铁大厦深圳地铁智能评定标中心进行开评标</w:t>
            </w:r>
          </w:p>
          <w:p>
            <w:pPr>
              <w:spacing w:line="360" w:lineRule="auto"/>
              <w:jc w:val="left"/>
              <w:rPr>
                <w:rFonts w:ascii="宋体" w:hAnsi="宋体"/>
                <w:kern w:val="0"/>
                <w:sz w:val="24"/>
                <w:szCs w:val="24"/>
              </w:rPr>
            </w:pPr>
          </w:p>
        </w:tc>
      </w:tr>
    </w:tbl>
    <w:p>
      <w:pPr>
        <w:pStyle w:val="19"/>
        <w:spacing w:line="360" w:lineRule="auto"/>
        <w:ind w:left="0" w:leftChars="0"/>
        <w:rPr>
          <w:rFonts w:ascii="宋体" w:hAnsi="宋体"/>
          <w:sz w:val="24"/>
          <w:szCs w:val="24"/>
        </w:rPr>
      </w:pPr>
      <w:r>
        <w:rPr>
          <w:rFonts w:hint="eastAsia" w:ascii="宋体" w:hAnsi="宋体"/>
          <w:sz w:val="24"/>
          <w:szCs w:val="24"/>
        </w:rPr>
        <w:t>注：以上地点有可能变动。如有变动，以比选人的最新通知为准。</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41" w:name="_Toc57731958"/>
      <w:bookmarkStart w:id="42" w:name="_Toc518494123"/>
      <w:r>
        <w:rPr>
          <w:rFonts w:hint="eastAsia" w:ascii="宋体" w:hAnsi="宋体"/>
          <w:b/>
          <w:kern w:val="0"/>
          <w:sz w:val="24"/>
          <w:szCs w:val="24"/>
        </w:rPr>
        <w:t>六、参选费用</w:t>
      </w:r>
      <w:bookmarkEnd w:id="41"/>
      <w:bookmarkEnd w:id="42"/>
    </w:p>
    <w:p>
      <w:pPr>
        <w:pStyle w:val="19"/>
        <w:spacing w:line="360" w:lineRule="auto"/>
        <w:ind w:left="0" w:leftChars="0" w:firstLine="480" w:firstLineChars="200"/>
        <w:rPr>
          <w:rFonts w:ascii="宋体" w:hAnsi="宋体"/>
          <w:sz w:val="24"/>
          <w:szCs w:val="24"/>
        </w:rPr>
      </w:pPr>
      <w:r>
        <w:rPr>
          <w:rFonts w:hint="eastAsia" w:ascii="宋体" w:hAnsi="宋体"/>
          <w:sz w:val="24"/>
          <w:szCs w:val="24"/>
        </w:rPr>
        <w:t>参选人应承担所有与准备和参加参选有关的费用。无论参选的结果如何，参选人均自行承担因参加参选而发生的一切费用。</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43" w:name="_Toc57731959"/>
      <w:bookmarkStart w:id="44" w:name="_Toc518494124"/>
      <w:r>
        <w:rPr>
          <w:rFonts w:hint="eastAsia" w:ascii="宋体" w:hAnsi="宋体"/>
          <w:b/>
          <w:kern w:val="0"/>
          <w:sz w:val="24"/>
          <w:szCs w:val="24"/>
        </w:rPr>
        <w:t>七、参选报价限价</w:t>
      </w:r>
      <w:bookmarkEnd w:id="43"/>
      <w:bookmarkEnd w:id="44"/>
    </w:p>
    <w:p>
      <w:pPr>
        <w:pStyle w:val="24"/>
        <w:spacing w:line="360" w:lineRule="auto"/>
        <w:ind w:firstLine="480" w:firstLineChars="200"/>
        <w:rPr>
          <w:rFonts w:hAnsi="宋体"/>
          <w:sz w:val="24"/>
          <w:szCs w:val="24"/>
        </w:rPr>
      </w:pPr>
      <w:r>
        <w:rPr>
          <w:rFonts w:hint="eastAsia" w:hAnsi="宋体"/>
          <w:sz w:val="24"/>
          <w:szCs w:val="24"/>
        </w:rPr>
        <w:t>本次参选报价总费用最高限价为人民币648万元（含税）。参选人报价高于总额最高上限价或单个项目上限价将作为无效标处理。其中光明新湖交通接驳研究参选上限价为112.5万元（</w:t>
      </w:r>
      <w:r>
        <w:rPr>
          <w:rFonts w:hAnsi="宋体"/>
          <w:sz w:val="24"/>
          <w:szCs w:val="24"/>
        </w:rPr>
        <w:t>含税）</w:t>
      </w:r>
      <w:r>
        <w:rPr>
          <w:rFonts w:hint="eastAsia" w:hAnsi="宋体"/>
          <w:sz w:val="24"/>
          <w:szCs w:val="24"/>
        </w:rPr>
        <w:t>；昂鹅车辆段交通接驳研究参选上限价为211.5万元（</w:t>
      </w:r>
      <w:r>
        <w:rPr>
          <w:rFonts w:hAnsi="宋体"/>
          <w:sz w:val="24"/>
          <w:szCs w:val="24"/>
        </w:rPr>
        <w:t>含税）</w:t>
      </w:r>
      <w:r>
        <w:rPr>
          <w:rFonts w:hint="eastAsia" w:hAnsi="宋体"/>
          <w:sz w:val="24"/>
          <w:szCs w:val="24"/>
        </w:rPr>
        <w:t>；东宝河停车场交通接驳研究参选上限价为211.5万元（</w:t>
      </w:r>
      <w:r>
        <w:rPr>
          <w:rFonts w:hAnsi="宋体"/>
          <w:sz w:val="24"/>
          <w:szCs w:val="24"/>
        </w:rPr>
        <w:t>含税）</w:t>
      </w:r>
      <w:r>
        <w:rPr>
          <w:rFonts w:hint="eastAsia" w:hAnsi="宋体"/>
          <w:sz w:val="24"/>
          <w:szCs w:val="24"/>
        </w:rPr>
        <w:t>；</w:t>
      </w:r>
      <w:r>
        <w:rPr>
          <w:rFonts w:hint="eastAsia" w:hAnsi="宋体"/>
          <w:sz w:val="24"/>
          <w:szCs w:val="24"/>
          <w:lang w:eastAsia="zh-CN"/>
        </w:rPr>
        <w:t>新大存车场</w:t>
      </w:r>
      <w:r>
        <w:rPr>
          <w:rFonts w:hint="eastAsia" w:hAnsi="宋体"/>
          <w:sz w:val="24"/>
          <w:szCs w:val="24"/>
        </w:rPr>
        <w:t>交通接驳研究参选上限价为112.5万元（</w:t>
      </w:r>
      <w:r>
        <w:rPr>
          <w:rFonts w:hAnsi="宋体"/>
          <w:sz w:val="24"/>
          <w:szCs w:val="24"/>
        </w:rPr>
        <w:t>含税）</w:t>
      </w:r>
      <w:r>
        <w:rPr>
          <w:rFonts w:hint="eastAsia" w:hAnsi="宋体"/>
          <w:sz w:val="24"/>
          <w:szCs w:val="24"/>
        </w:rPr>
        <w:t>。</w:t>
      </w:r>
    </w:p>
    <w:p>
      <w:pPr>
        <w:pStyle w:val="4"/>
        <w:spacing w:after="0" w:line="360" w:lineRule="auto"/>
        <w:rPr>
          <w:szCs w:val="28"/>
        </w:rPr>
      </w:pPr>
      <w:r>
        <w:rPr>
          <w:rFonts w:hint="eastAsia"/>
        </w:rPr>
        <w:br w:type="page"/>
      </w:r>
      <w:bookmarkStart w:id="45" w:name="_Toc57731960"/>
      <w:r>
        <w:rPr>
          <w:rFonts w:hint="eastAsia" w:ascii="宋体" w:hAnsi="宋体" w:eastAsia="宋体"/>
          <w:b/>
          <w:szCs w:val="28"/>
        </w:rPr>
        <w:t>第二章  比选文件</w:t>
      </w:r>
      <w:bookmarkEnd w:id="45"/>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46" w:name="_Toc57731961"/>
      <w:bookmarkStart w:id="47" w:name="_Toc518494126"/>
      <w:r>
        <w:rPr>
          <w:rFonts w:hint="eastAsia" w:ascii="宋体" w:hAnsi="宋体"/>
          <w:b/>
          <w:kern w:val="0"/>
          <w:sz w:val="24"/>
          <w:szCs w:val="24"/>
        </w:rPr>
        <w:t>一、比选文件的构成</w:t>
      </w:r>
      <w:bookmarkEnd w:id="46"/>
      <w:bookmarkEnd w:id="47"/>
    </w:p>
    <w:p>
      <w:pPr>
        <w:pStyle w:val="19"/>
        <w:tabs>
          <w:tab w:val="left" w:pos="1050"/>
        </w:tabs>
        <w:spacing w:line="360" w:lineRule="auto"/>
        <w:ind w:left="0" w:leftChars="0" w:firstLine="480" w:firstLineChars="200"/>
        <w:rPr>
          <w:rFonts w:ascii="宋体" w:hAnsi="宋体"/>
          <w:sz w:val="24"/>
        </w:rPr>
      </w:pPr>
      <w:r>
        <w:rPr>
          <w:rFonts w:hint="eastAsia" w:ascii="宋体" w:hAnsi="宋体"/>
          <w:sz w:val="24"/>
        </w:rPr>
        <w:t>比选文件用以阐明所需参选须知、评定标程序、</w:t>
      </w:r>
      <w:r>
        <w:rPr>
          <w:rFonts w:hint="eastAsia" w:hAnsi="宋体"/>
          <w:b/>
          <w:bCs/>
          <w:sz w:val="24"/>
          <w:szCs w:val="24"/>
          <w:u w:val="single"/>
        </w:rPr>
        <w:t>光明新湖、昂鹅车辆段、东宝河停车场、</w:t>
      </w:r>
      <w:r>
        <w:rPr>
          <w:rFonts w:hint="eastAsia" w:hAnsi="宋体"/>
          <w:b/>
          <w:bCs/>
          <w:sz w:val="24"/>
          <w:szCs w:val="24"/>
          <w:u w:val="single"/>
          <w:lang w:eastAsia="zh-CN"/>
        </w:rPr>
        <w:t>新大存车场</w:t>
      </w:r>
      <w:r>
        <w:rPr>
          <w:rFonts w:hint="eastAsia" w:hAnsi="宋体"/>
          <w:b/>
          <w:bCs/>
          <w:sz w:val="24"/>
          <w:szCs w:val="24"/>
          <w:u w:val="single"/>
        </w:rPr>
        <w:t>交通接驳研究</w:t>
      </w:r>
      <w:r>
        <w:rPr>
          <w:rFonts w:hint="eastAsia" w:ascii="宋体" w:hAnsi="宋体"/>
          <w:sz w:val="24"/>
        </w:rPr>
        <w:t>工作任务及要求、合同条款等，比选文件由下述部分组成：</w:t>
      </w:r>
    </w:p>
    <w:p>
      <w:pPr>
        <w:adjustRightInd w:val="0"/>
        <w:snapToGrid w:val="0"/>
        <w:spacing w:line="360" w:lineRule="auto"/>
        <w:ind w:left="479"/>
        <w:rPr>
          <w:rFonts w:eastAsia="Times New Roman"/>
          <w:sz w:val="24"/>
          <w:szCs w:val="32"/>
        </w:rPr>
      </w:pPr>
      <w:bookmarkStart w:id="48" w:name="_Toc197404903"/>
      <w:bookmarkStart w:id="49" w:name="_Toc57731962"/>
      <w:bookmarkStart w:id="50" w:name="_Toc518494127"/>
      <w:r>
        <w:rPr>
          <w:rFonts w:hint="eastAsia" w:ascii="宋体" w:hAnsi="宋体" w:cs="宋体"/>
          <w:sz w:val="24"/>
          <w:szCs w:val="32"/>
        </w:rPr>
        <w:t>致参选人</w:t>
      </w:r>
    </w:p>
    <w:p>
      <w:pPr>
        <w:adjustRightInd w:val="0"/>
        <w:snapToGrid w:val="0"/>
        <w:spacing w:line="360" w:lineRule="auto"/>
        <w:ind w:left="479"/>
        <w:rPr>
          <w:rFonts w:eastAsia="Times New Roman"/>
          <w:sz w:val="24"/>
          <w:szCs w:val="32"/>
        </w:rPr>
      </w:pPr>
      <w:r>
        <w:rPr>
          <w:rFonts w:hint="eastAsia" w:ascii="宋体" w:hAnsi="宋体" w:cs="宋体"/>
          <w:sz w:val="24"/>
          <w:szCs w:val="32"/>
        </w:rPr>
        <w:t>参选文件无效和废标的情形摘要</w:t>
      </w:r>
    </w:p>
    <w:p>
      <w:pPr>
        <w:adjustRightInd w:val="0"/>
        <w:snapToGrid w:val="0"/>
        <w:spacing w:line="360" w:lineRule="auto"/>
        <w:ind w:left="479"/>
        <w:rPr>
          <w:rFonts w:eastAsia="Times New Roman"/>
          <w:sz w:val="24"/>
          <w:szCs w:val="32"/>
        </w:rPr>
      </w:pPr>
      <w:r>
        <w:rPr>
          <w:rFonts w:hint="eastAsia" w:ascii="宋体" w:hAnsi="宋体" w:cs="宋体"/>
          <w:sz w:val="24"/>
          <w:szCs w:val="32"/>
        </w:rPr>
        <w:t>第一篇</w:t>
      </w:r>
      <w:r>
        <w:rPr>
          <w:rFonts w:hint="eastAsia" w:eastAsia="Times New Roman"/>
          <w:sz w:val="24"/>
          <w:szCs w:val="32"/>
        </w:rPr>
        <w:t xml:space="preserve"> </w:t>
      </w:r>
      <w:r>
        <w:rPr>
          <w:rFonts w:hint="eastAsia" w:ascii="宋体" w:hAnsi="宋体" w:cs="宋体"/>
          <w:sz w:val="24"/>
          <w:szCs w:val="32"/>
        </w:rPr>
        <w:t>参选须知</w:t>
      </w:r>
    </w:p>
    <w:p>
      <w:pPr>
        <w:adjustRightInd w:val="0"/>
        <w:snapToGrid w:val="0"/>
        <w:spacing w:line="360" w:lineRule="auto"/>
        <w:ind w:left="479"/>
        <w:rPr>
          <w:rFonts w:eastAsia="Times New Roman"/>
          <w:sz w:val="24"/>
          <w:szCs w:val="32"/>
        </w:rPr>
      </w:pPr>
      <w:r>
        <w:rPr>
          <w:rFonts w:hint="eastAsia" w:ascii="宋体" w:hAnsi="宋体" w:cs="宋体"/>
          <w:sz w:val="24"/>
          <w:szCs w:val="32"/>
        </w:rPr>
        <w:t>第二篇</w:t>
      </w:r>
      <w:r>
        <w:rPr>
          <w:rFonts w:hint="eastAsia" w:eastAsia="Times New Roman"/>
          <w:sz w:val="24"/>
          <w:szCs w:val="32"/>
        </w:rPr>
        <w:t xml:space="preserve"> </w:t>
      </w:r>
      <w:r>
        <w:rPr>
          <w:rFonts w:hint="eastAsia" w:ascii="宋体" w:hAnsi="宋体" w:cs="宋体"/>
          <w:sz w:val="24"/>
          <w:szCs w:val="32"/>
        </w:rPr>
        <w:t>参选文件格式</w:t>
      </w:r>
    </w:p>
    <w:p>
      <w:pPr>
        <w:adjustRightInd w:val="0"/>
        <w:snapToGrid w:val="0"/>
        <w:spacing w:line="360" w:lineRule="auto"/>
        <w:ind w:left="479"/>
        <w:rPr>
          <w:rFonts w:eastAsia="Times New Roman"/>
          <w:sz w:val="24"/>
          <w:szCs w:val="32"/>
        </w:rPr>
      </w:pPr>
      <w:r>
        <w:rPr>
          <w:rFonts w:hint="eastAsia" w:ascii="宋体" w:hAnsi="宋体" w:cs="宋体"/>
          <w:sz w:val="24"/>
          <w:szCs w:val="32"/>
        </w:rPr>
        <w:t>第三篇</w:t>
      </w:r>
      <w:r>
        <w:rPr>
          <w:rFonts w:hint="eastAsia" w:eastAsia="Times New Roman"/>
          <w:sz w:val="24"/>
          <w:szCs w:val="32"/>
        </w:rPr>
        <w:t xml:space="preserve"> </w:t>
      </w:r>
      <w:r>
        <w:rPr>
          <w:rFonts w:hint="eastAsia" w:ascii="宋体" w:hAnsi="宋体" w:cs="宋体"/>
          <w:sz w:val="24"/>
          <w:szCs w:val="32"/>
        </w:rPr>
        <w:t>合同条款</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二、比选文件的补遗、澄清、修改</w:t>
      </w:r>
      <w:bookmarkEnd w:id="48"/>
      <w:bookmarkEnd w:id="49"/>
      <w:bookmarkEnd w:id="50"/>
    </w:p>
    <w:p>
      <w:pPr>
        <w:spacing w:line="360" w:lineRule="auto"/>
        <w:ind w:firstLine="480" w:firstLineChars="200"/>
        <w:rPr>
          <w:rFonts w:ascii="宋体" w:hAnsi="宋体"/>
          <w:sz w:val="24"/>
          <w:szCs w:val="24"/>
        </w:rPr>
      </w:pPr>
      <w:r>
        <w:rPr>
          <w:rFonts w:hint="eastAsia" w:ascii="宋体" w:hAnsi="宋体"/>
          <w:sz w:val="24"/>
          <w:szCs w:val="24"/>
        </w:rPr>
        <w:t>1、参选人若对比选文件有疑问，需要比选人予以澄清，</w:t>
      </w:r>
      <w:r>
        <w:rPr>
          <w:rFonts w:hint="eastAsia" w:ascii="宋体" w:hAnsi="宋体"/>
          <w:kern w:val="0"/>
          <w:sz w:val="24"/>
          <w:szCs w:val="24"/>
        </w:rPr>
        <w:t>应于</w:t>
      </w:r>
      <w:r>
        <w:rPr>
          <w:rFonts w:hint="eastAsia" w:ascii="宋体" w:hAnsi="宋体"/>
          <w:b/>
          <w:kern w:val="0"/>
          <w:sz w:val="24"/>
          <w:szCs w:val="24"/>
          <w:u w:val="single"/>
        </w:rPr>
        <w:t>参选截止日</w:t>
      </w:r>
      <w:r>
        <w:rPr>
          <w:rFonts w:hint="eastAsia" w:ascii="宋体" w:hAnsi="宋体"/>
          <w:b/>
          <w:sz w:val="24"/>
          <w:szCs w:val="24"/>
          <w:u w:val="single"/>
        </w:rPr>
        <w:t>5日前</w:t>
      </w:r>
      <w:r>
        <w:rPr>
          <w:rFonts w:hint="eastAsia" w:ascii="宋体" w:hAnsi="宋体"/>
          <w:sz w:val="24"/>
          <w:szCs w:val="24"/>
        </w:rPr>
        <w:t>以书面形式向比选人提出，送至比选文件“致参选人”中写明的比选人地址。不论是比选人根据需要主动对比选文件进行必要的澄清或是根据参选人的要求对比选文件做出澄清，比选人的补遗文件都将在</w:t>
      </w:r>
      <w:r>
        <w:rPr>
          <w:rFonts w:hint="eastAsia" w:ascii="宋体" w:hAnsi="宋体"/>
          <w:b/>
          <w:kern w:val="0"/>
          <w:sz w:val="24"/>
          <w:szCs w:val="24"/>
          <w:u w:val="single"/>
        </w:rPr>
        <w:t>参选截止日3日前在“</w:t>
      </w:r>
      <w:r>
        <w:rPr>
          <w:rFonts w:hint="eastAsia" w:ascii="宋体" w:hAnsi="宋体"/>
          <w:kern w:val="0"/>
          <w:sz w:val="24"/>
          <w:szCs w:val="24"/>
        </w:rPr>
        <w:t>深铁招采网、深圳地铁官网、国资委阳光采购平台</w:t>
      </w:r>
      <w:r>
        <w:rPr>
          <w:rFonts w:hint="eastAsia" w:ascii="宋体" w:hAnsi="宋体"/>
          <w:sz w:val="24"/>
          <w:szCs w:val="24"/>
        </w:rPr>
        <w:t>”向所有参选人公示。比选文件的补遗作为比选文件的组成部分，具有约束力。参选人应随时查看</w:t>
      </w:r>
      <w:r>
        <w:rPr>
          <w:rFonts w:hint="eastAsia" w:ascii="宋体" w:hAnsi="宋体"/>
          <w:b/>
          <w:kern w:val="0"/>
          <w:sz w:val="24"/>
          <w:szCs w:val="24"/>
        </w:rPr>
        <w:t>“</w:t>
      </w:r>
      <w:r>
        <w:rPr>
          <w:rFonts w:hint="eastAsia" w:ascii="宋体" w:hAnsi="宋体"/>
          <w:kern w:val="0"/>
          <w:sz w:val="24"/>
          <w:szCs w:val="24"/>
        </w:rPr>
        <w:t>深铁招采网、深圳地铁官网、国资委阳光采购平台</w:t>
      </w:r>
      <w:r>
        <w:rPr>
          <w:rFonts w:hint="eastAsia" w:ascii="宋体" w:hAnsi="宋体"/>
          <w:sz w:val="24"/>
          <w:szCs w:val="24"/>
        </w:rPr>
        <w:t>”中有关该项目补遗文件的信息。否则，由此导致的不利后果由参选人自负。比选文件的补遗作为比选文件的组成部分，具有约束力。</w:t>
      </w:r>
    </w:p>
    <w:p>
      <w:pPr>
        <w:spacing w:line="360" w:lineRule="auto"/>
        <w:ind w:firstLine="480" w:firstLineChars="200"/>
        <w:rPr>
          <w:rFonts w:ascii="宋体" w:hAnsi="宋体"/>
          <w:sz w:val="24"/>
        </w:rPr>
      </w:pPr>
      <w:r>
        <w:rPr>
          <w:rFonts w:hint="eastAsia" w:ascii="宋体" w:hAnsi="宋体"/>
          <w:sz w:val="24"/>
          <w:szCs w:val="24"/>
        </w:rPr>
        <w:t>2、</w:t>
      </w:r>
      <w:r>
        <w:rPr>
          <w:rFonts w:hint="eastAsia" w:ascii="宋体" w:hAnsi="宋体"/>
          <w:sz w:val="24"/>
        </w:rPr>
        <w:t>比选人对在</w:t>
      </w:r>
      <w:r>
        <w:rPr>
          <w:rFonts w:hint="eastAsia" w:ascii="宋体" w:hAnsi="宋体"/>
          <w:b/>
          <w:kern w:val="0"/>
          <w:sz w:val="24"/>
          <w:szCs w:val="24"/>
          <w:u w:val="single"/>
        </w:rPr>
        <w:t>参选截止日</w:t>
      </w:r>
      <w:r>
        <w:rPr>
          <w:rFonts w:hint="eastAsia" w:ascii="宋体" w:hAnsi="宋体"/>
          <w:b/>
          <w:sz w:val="24"/>
          <w:szCs w:val="24"/>
          <w:u w:val="single"/>
        </w:rPr>
        <w:t>5日</w:t>
      </w:r>
      <w:r>
        <w:rPr>
          <w:rFonts w:hint="eastAsia" w:ascii="宋体" w:hAnsi="宋体"/>
          <w:b/>
          <w:kern w:val="0"/>
          <w:sz w:val="24"/>
          <w:szCs w:val="24"/>
          <w:u w:val="single"/>
        </w:rPr>
        <w:t>前</w:t>
      </w:r>
      <w:r>
        <w:rPr>
          <w:rFonts w:hint="eastAsia" w:ascii="宋体" w:hAnsi="宋体"/>
          <w:sz w:val="24"/>
        </w:rPr>
        <w:t>收到的以书面函件的方式要求澄清的问题，将视具体情况进行澄清，比选人的澄清将</w:t>
      </w:r>
      <w:r>
        <w:rPr>
          <w:rFonts w:hint="eastAsia" w:ascii="宋体" w:hAnsi="宋体"/>
          <w:kern w:val="0"/>
          <w:sz w:val="24"/>
          <w:szCs w:val="24"/>
          <w:u w:val="single"/>
        </w:rPr>
        <w:t>通</w:t>
      </w:r>
      <w:r>
        <w:rPr>
          <w:rFonts w:hint="eastAsia" w:ascii="宋体" w:hAnsi="宋体"/>
          <w:sz w:val="24"/>
          <w:szCs w:val="24"/>
        </w:rPr>
        <w:t>过</w:t>
      </w:r>
      <w:r>
        <w:rPr>
          <w:rFonts w:hint="eastAsia" w:ascii="宋体" w:hAnsi="宋体"/>
          <w:b/>
          <w:kern w:val="0"/>
          <w:sz w:val="24"/>
          <w:szCs w:val="24"/>
        </w:rPr>
        <w:t>“</w:t>
      </w:r>
      <w:r>
        <w:rPr>
          <w:rFonts w:hint="eastAsia" w:ascii="宋体" w:hAnsi="宋体"/>
          <w:kern w:val="0"/>
          <w:sz w:val="24"/>
          <w:szCs w:val="24"/>
        </w:rPr>
        <w:t>深铁招采网、深圳地铁官网、国资委阳光采购平台、深铁置业微信订阅号</w:t>
      </w:r>
      <w:r>
        <w:rPr>
          <w:rFonts w:hint="eastAsia" w:ascii="宋体" w:hAnsi="宋体"/>
          <w:sz w:val="24"/>
          <w:szCs w:val="24"/>
        </w:rPr>
        <w:t>”向所有参选人公示。</w:t>
      </w:r>
      <w:r>
        <w:rPr>
          <w:rFonts w:hint="eastAsia" w:ascii="宋体" w:hAnsi="宋体"/>
          <w:sz w:val="24"/>
        </w:rPr>
        <w:t>如比选人认为参选人所提出的问题已在比选文件中明确说明，或可以根据比选文件做出明确的推断，比选人将不再予以澄清。</w:t>
      </w:r>
    </w:p>
    <w:p>
      <w:pPr>
        <w:spacing w:line="360" w:lineRule="auto"/>
        <w:rPr>
          <w:rFonts w:ascii="宋体" w:hAnsi="宋体"/>
          <w:sz w:val="24"/>
          <w:szCs w:val="24"/>
        </w:rPr>
      </w:pPr>
      <w:r>
        <w:rPr>
          <w:rFonts w:hint="eastAsia" w:ascii="宋体" w:hAnsi="宋体"/>
          <w:sz w:val="24"/>
        </w:rPr>
        <w:t xml:space="preserve">    3、</w:t>
      </w:r>
      <w:r>
        <w:rPr>
          <w:rFonts w:hint="eastAsia" w:ascii="宋体" w:hAnsi="宋体"/>
          <w:sz w:val="24"/>
          <w:szCs w:val="24"/>
        </w:rPr>
        <w:t>比选文件发出后，在</w:t>
      </w:r>
      <w:r>
        <w:rPr>
          <w:rFonts w:hint="eastAsia" w:ascii="宋体" w:hAnsi="宋体"/>
          <w:b/>
          <w:kern w:val="0"/>
          <w:sz w:val="24"/>
          <w:szCs w:val="24"/>
          <w:u w:val="single"/>
        </w:rPr>
        <w:t>参选截止日3日前</w:t>
      </w:r>
      <w:r>
        <w:rPr>
          <w:rFonts w:hint="eastAsia" w:ascii="宋体" w:hAnsi="宋体"/>
          <w:sz w:val="24"/>
          <w:szCs w:val="24"/>
        </w:rPr>
        <w:t>的任何时候，确需要变更比选文件内容的，比选人可主动或在解答参选人提出的澄清问题时对比选文件进行修改。</w:t>
      </w:r>
    </w:p>
    <w:p>
      <w:pPr>
        <w:spacing w:line="360" w:lineRule="auto"/>
        <w:rPr>
          <w:rFonts w:ascii="宋体" w:hAnsi="宋体"/>
          <w:sz w:val="28"/>
        </w:rPr>
      </w:pPr>
      <w:r>
        <w:rPr>
          <w:rFonts w:hint="eastAsia" w:ascii="宋体" w:hAnsi="宋体"/>
          <w:sz w:val="24"/>
          <w:szCs w:val="24"/>
        </w:rPr>
        <w:t xml:space="preserve">    4、比选文件、比选文件补遗、澄清(答疑)、澄清(答疑)会议纪要、修改(补充)函件内容均以书面明确的内容为准。当比选文件、补遗、澄清(答疑)、纪要、修改(补充)函件内容相互矛盾时，以最后发出的为准。</w:t>
      </w:r>
    </w:p>
    <w:p>
      <w:pPr>
        <w:spacing w:line="360" w:lineRule="auto"/>
        <w:ind w:firstLine="480"/>
        <w:rPr>
          <w:rFonts w:ascii="宋体" w:hAnsi="宋体"/>
          <w:sz w:val="24"/>
          <w:szCs w:val="24"/>
        </w:rPr>
      </w:pPr>
      <w:r>
        <w:rPr>
          <w:rFonts w:hint="eastAsia" w:ascii="宋体" w:hAnsi="宋体"/>
          <w:sz w:val="24"/>
          <w:szCs w:val="24"/>
        </w:rPr>
        <w:t>5、为使参选人在编写参选文件时有充分时间对比选文件的补遗、修改（补充）部分进行研究，比选人有权适当延长递交参选文件的截止日期。</w:t>
      </w:r>
    </w:p>
    <w:p>
      <w:pPr>
        <w:pStyle w:val="4"/>
        <w:spacing w:after="0" w:line="360" w:lineRule="auto"/>
        <w:rPr>
          <w:rFonts w:ascii="宋体" w:hAnsi="宋体" w:eastAsia="宋体"/>
          <w:b/>
          <w:szCs w:val="28"/>
        </w:rPr>
      </w:pPr>
      <w:bookmarkStart w:id="51" w:name="_Toc57731963"/>
      <w:bookmarkStart w:id="52" w:name="_Toc518494128"/>
      <w:r>
        <w:rPr>
          <w:rFonts w:hint="eastAsia" w:ascii="宋体" w:hAnsi="宋体" w:eastAsia="宋体"/>
          <w:b/>
          <w:szCs w:val="28"/>
        </w:rPr>
        <w:t>第三章  参选文件的编写</w:t>
      </w:r>
      <w:bookmarkEnd w:id="51"/>
      <w:bookmarkEnd w:id="52"/>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53" w:name="_Toc518494129"/>
      <w:bookmarkStart w:id="54" w:name="_Toc57731964"/>
      <w:bookmarkStart w:id="55" w:name="_Toc197404905"/>
      <w:r>
        <w:rPr>
          <w:rFonts w:hint="eastAsia" w:ascii="宋体" w:hAnsi="宋体"/>
          <w:b/>
          <w:kern w:val="0"/>
          <w:sz w:val="24"/>
          <w:szCs w:val="24"/>
        </w:rPr>
        <w:t>一、参选文件的组成及要求</w:t>
      </w:r>
      <w:bookmarkEnd w:id="53"/>
      <w:bookmarkEnd w:id="54"/>
      <w:bookmarkEnd w:id="55"/>
    </w:p>
    <w:p>
      <w:pPr>
        <w:pStyle w:val="19"/>
        <w:tabs>
          <w:tab w:val="left" w:pos="945"/>
          <w:tab w:val="left" w:pos="1275"/>
        </w:tabs>
        <w:snapToGrid w:val="0"/>
        <w:spacing w:line="360" w:lineRule="auto"/>
        <w:ind w:left="0" w:leftChars="0" w:firstLine="480" w:firstLineChars="200"/>
        <w:jc w:val="left"/>
        <w:rPr>
          <w:rFonts w:ascii="宋体" w:hAnsi="宋体"/>
          <w:sz w:val="24"/>
          <w:szCs w:val="21"/>
        </w:rPr>
      </w:pPr>
      <w:r>
        <w:rPr>
          <w:rFonts w:hint="eastAsia" w:ascii="宋体" w:hAnsi="宋体"/>
          <w:sz w:val="24"/>
          <w:szCs w:val="21"/>
        </w:rPr>
        <w:t>参选人应仔细阅读比选文件的所有内容，按要求提供参选文件，并保证所提供的全部资料的真实性。</w:t>
      </w:r>
    </w:p>
    <w:p>
      <w:pPr>
        <w:pStyle w:val="19"/>
        <w:tabs>
          <w:tab w:val="left" w:pos="945"/>
          <w:tab w:val="left" w:pos="1275"/>
        </w:tabs>
        <w:snapToGrid w:val="0"/>
        <w:spacing w:line="360" w:lineRule="auto"/>
        <w:ind w:left="0" w:leftChars="0" w:firstLine="480" w:firstLineChars="200"/>
        <w:jc w:val="left"/>
        <w:rPr>
          <w:rFonts w:ascii="宋体" w:hAnsi="宋体"/>
          <w:sz w:val="24"/>
          <w:szCs w:val="21"/>
        </w:rPr>
      </w:pPr>
      <w:r>
        <w:rPr>
          <w:rFonts w:hint="eastAsia" w:ascii="宋体" w:hAnsi="宋体"/>
          <w:sz w:val="24"/>
          <w:szCs w:val="21"/>
        </w:rPr>
        <w:t>参选文件格式要求：参选文件采用中文编写。</w:t>
      </w:r>
    </w:p>
    <w:p>
      <w:pPr>
        <w:pStyle w:val="19"/>
        <w:tabs>
          <w:tab w:val="left" w:pos="945"/>
          <w:tab w:val="left" w:pos="1275"/>
        </w:tabs>
        <w:snapToGrid w:val="0"/>
        <w:spacing w:line="360" w:lineRule="auto"/>
        <w:ind w:left="0" w:leftChars="0" w:firstLine="482" w:firstLineChars="200"/>
        <w:jc w:val="left"/>
        <w:rPr>
          <w:rFonts w:ascii="宋体" w:hAnsi="宋体"/>
          <w:b/>
          <w:bCs/>
          <w:sz w:val="24"/>
          <w:u w:val="single"/>
        </w:rPr>
      </w:pPr>
      <w:r>
        <w:rPr>
          <w:rFonts w:hint="eastAsia" w:ascii="宋体" w:hAnsi="宋体"/>
          <w:b/>
          <w:bCs/>
          <w:sz w:val="24"/>
          <w:szCs w:val="21"/>
          <w:u w:val="single"/>
        </w:rPr>
        <w:t>参</w:t>
      </w:r>
      <w:r>
        <w:rPr>
          <w:rFonts w:ascii="宋体" w:hAnsi="宋体"/>
          <w:b/>
          <w:bCs/>
          <w:sz w:val="24"/>
          <w:szCs w:val="21"/>
          <w:u w:val="single"/>
        </w:rPr>
        <w:t>选</w:t>
      </w:r>
      <w:r>
        <w:rPr>
          <w:rFonts w:hint="eastAsia" w:ascii="宋体" w:hAnsi="宋体"/>
          <w:b/>
          <w:bCs/>
          <w:sz w:val="24"/>
          <w:szCs w:val="21"/>
          <w:u w:val="single"/>
        </w:rPr>
        <w:t>文件按照“技术标书”、“商务标书”分成两册后，按要求分别上传深圳地铁智能招采管理平台（</w:t>
      </w:r>
      <w:r>
        <w:rPr>
          <w:rFonts w:ascii="宋体" w:hAnsi="宋体"/>
          <w:b/>
          <w:bCs/>
          <w:sz w:val="24"/>
          <w:szCs w:val="21"/>
          <w:u w:val="single"/>
        </w:rPr>
        <w:t>https://cg.shenzhenmc.com/）</w:t>
      </w:r>
      <w:r>
        <w:rPr>
          <w:rFonts w:hint="eastAsia" w:ascii="宋体" w:hAnsi="宋体"/>
          <w:b/>
          <w:bCs/>
          <w:sz w:val="24"/>
          <w:szCs w:val="21"/>
          <w:u w:val="single"/>
        </w:rPr>
        <w:t>。</w:t>
      </w:r>
    </w:p>
    <w:p>
      <w:pPr>
        <w:keepNext/>
        <w:keepLines/>
        <w:tabs>
          <w:tab w:val="left" w:pos="1260"/>
        </w:tabs>
        <w:adjustRightInd w:val="0"/>
        <w:spacing w:line="360" w:lineRule="auto"/>
        <w:ind w:left="420" w:leftChars="200"/>
        <w:textAlignment w:val="baseline"/>
        <w:outlineLvl w:val="2"/>
        <w:rPr>
          <w:rFonts w:ascii="宋体" w:hAnsi="宋体"/>
          <w:b/>
          <w:kern w:val="0"/>
          <w:sz w:val="24"/>
          <w:szCs w:val="24"/>
        </w:rPr>
      </w:pPr>
      <w:bookmarkStart w:id="56" w:name="_Toc57731965"/>
      <w:bookmarkStart w:id="57" w:name="_Toc518494130"/>
      <w:bookmarkStart w:id="58" w:name="_Toc197404906"/>
      <w:r>
        <w:rPr>
          <w:rFonts w:hint="eastAsia" w:ascii="宋体" w:hAnsi="宋体"/>
          <w:b/>
          <w:kern w:val="0"/>
          <w:sz w:val="24"/>
          <w:szCs w:val="24"/>
        </w:rPr>
        <w:t>二、参选文件内容编写要求</w:t>
      </w:r>
      <w:bookmarkEnd w:id="5"/>
      <w:bookmarkEnd w:id="56"/>
      <w:bookmarkEnd w:id="57"/>
      <w:bookmarkEnd w:id="58"/>
    </w:p>
    <w:p>
      <w:pPr>
        <w:keepNext/>
        <w:keepLines/>
        <w:tabs>
          <w:tab w:val="left" w:pos="1260"/>
        </w:tabs>
        <w:adjustRightInd w:val="0"/>
        <w:spacing w:line="360" w:lineRule="auto"/>
        <w:ind w:firstLine="482" w:firstLineChars="200"/>
        <w:textAlignment w:val="baseline"/>
        <w:outlineLvl w:val="2"/>
        <w:rPr>
          <w:rFonts w:ascii="宋体" w:hAnsi="宋体"/>
          <w:b/>
          <w:bCs/>
          <w:sz w:val="24"/>
          <w:szCs w:val="24"/>
        </w:rPr>
      </w:pPr>
      <w:r>
        <w:rPr>
          <w:rFonts w:hint="eastAsia" w:ascii="宋体" w:hAnsi="宋体"/>
          <w:b/>
          <w:bCs/>
          <w:sz w:val="24"/>
          <w:szCs w:val="24"/>
        </w:rPr>
        <w:t>（一）</w:t>
      </w:r>
      <w:r>
        <w:rPr>
          <w:rFonts w:hint="eastAsia" w:ascii="宋体" w:hAnsi="宋体"/>
          <w:b/>
          <w:bCs/>
          <w:sz w:val="24"/>
          <w:szCs w:val="24"/>
          <w:u w:val="single"/>
        </w:rPr>
        <w:t>“技术标书”</w:t>
      </w:r>
      <w:r>
        <w:rPr>
          <w:rFonts w:hint="eastAsia" w:ascii="宋体" w:hAnsi="宋体"/>
          <w:b/>
          <w:bCs/>
          <w:sz w:val="24"/>
          <w:szCs w:val="24"/>
        </w:rPr>
        <w:t>的编写</w:t>
      </w:r>
    </w:p>
    <w:p>
      <w:pPr>
        <w:pStyle w:val="24"/>
        <w:spacing w:line="360" w:lineRule="auto"/>
        <w:ind w:left="425"/>
        <w:rPr>
          <w:rFonts w:hAnsi="宋体"/>
          <w:sz w:val="24"/>
          <w:szCs w:val="24"/>
        </w:rPr>
      </w:pPr>
      <w:r>
        <w:rPr>
          <w:rFonts w:hint="eastAsia" w:hAnsi="宋体"/>
          <w:sz w:val="24"/>
          <w:szCs w:val="24"/>
        </w:rPr>
        <w:t>参选人应按照比选文件第二篇“参选文件格式”中技术标书部分的要求编写技术标书，</w:t>
      </w:r>
      <w:r>
        <w:rPr>
          <w:rFonts w:hint="eastAsia" w:hAnsi="宋体"/>
          <w:b/>
          <w:bCs/>
          <w:sz w:val="24"/>
          <w:szCs w:val="24"/>
        </w:rPr>
        <w:t>“技术标书”</w:t>
      </w:r>
      <w:r>
        <w:rPr>
          <w:rFonts w:hint="eastAsia" w:hAnsi="宋体"/>
          <w:sz w:val="24"/>
          <w:szCs w:val="24"/>
        </w:rPr>
        <w:t>根据参选文件要求应包括以下几个主要内容：</w:t>
      </w:r>
    </w:p>
    <w:p>
      <w:pPr>
        <w:pStyle w:val="24"/>
        <w:numPr>
          <w:ilvl w:val="0"/>
          <w:numId w:val="5"/>
        </w:numPr>
        <w:spacing w:line="360" w:lineRule="auto"/>
        <w:ind w:left="420"/>
        <w:rPr>
          <w:rFonts w:hAnsi="宋体"/>
          <w:sz w:val="24"/>
          <w:szCs w:val="24"/>
        </w:rPr>
      </w:pPr>
      <w:r>
        <w:rPr>
          <w:rFonts w:hint="eastAsia" w:hAnsi="宋体"/>
          <w:sz w:val="24"/>
          <w:szCs w:val="24"/>
        </w:rPr>
        <w:t>参选人营业执照复印件（加盖公章）</w:t>
      </w:r>
    </w:p>
    <w:p>
      <w:pPr>
        <w:pStyle w:val="24"/>
        <w:numPr>
          <w:ilvl w:val="0"/>
          <w:numId w:val="5"/>
        </w:numPr>
        <w:spacing w:line="360" w:lineRule="auto"/>
        <w:ind w:left="420"/>
        <w:rPr>
          <w:rFonts w:hAnsi="宋体"/>
          <w:sz w:val="24"/>
          <w:szCs w:val="24"/>
        </w:rPr>
      </w:pPr>
      <w:r>
        <w:rPr>
          <w:rFonts w:hint="eastAsia" w:hAnsi="宋体"/>
          <w:sz w:val="24"/>
          <w:szCs w:val="24"/>
        </w:rPr>
        <w:t>法定代表人资格证明书（加盖公章）</w:t>
      </w:r>
    </w:p>
    <w:p>
      <w:pPr>
        <w:pStyle w:val="24"/>
        <w:numPr>
          <w:ilvl w:val="0"/>
          <w:numId w:val="5"/>
        </w:numPr>
        <w:spacing w:line="360" w:lineRule="auto"/>
        <w:ind w:left="420"/>
        <w:rPr>
          <w:rFonts w:hAnsi="宋体"/>
          <w:sz w:val="24"/>
          <w:szCs w:val="24"/>
        </w:rPr>
      </w:pPr>
      <w:r>
        <w:rPr>
          <w:rFonts w:hint="eastAsia" w:hAnsi="宋体"/>
          <w:sz w:val="24"/>
          <w:szCs w:val="24"/>
        </w:rPr>
        <w:t>法定代表人身份证复印件（加盖公章）</w:t>
      </w:r>
    </w:p>
    <w:p>
      <w:pPr>
        <w:pStyle w:val="24"/>
        <w:numPr>
          <w:ilvl w:val="0"/>
          <w:numId w:val="5"/>
        </w:numPr>
        <w:spacing w:line="360" w:lineRule="auto"/>
        <w:ind w:left="420"/>
        <w:rPr>
          <w:rFonts w:hAnsi="宋体"/>
          <w:sz w:val="24"/>
          <w:szCs w:val="24"/>
        </w:rPr>
      </w:pPr>
      <w:r>
        <w:rPr>
          <w:rFonts w:hint="eastAsia" w:hAnsi="宋体"/>
          <w:sz w:val="24"/>
          <w:szCs w:val="24"/>
        </w:rPr>
        <w:t>法定代表人授权委托书（如有，加盖公章）</w:t>
      </w:r>
    </w:p>
    <w:p>
      <w:pPr>
        <w:pStyle w:val="24"/>
        <w:numPr>
          <w:ilvl w:val="0"/>
          <w:numId w:val="5"/>
        </w:numPr>
        <w:spacing w:line="360" w:lineRule="auto"/>
        <w:ind w:left="420"/>
        <w:rPr>
          <w:rFonts w:hAnsi="宋体"/>
          <w:sz w:val="24"/>
          <w:szCs w:val="24"/>
        </w:rPr>
      </w:pPr>
      <w:r>
        <w:rPr>
          <w:rFonts w:hint="eastAsia" w:hAnsi="宋体"/>
          <w:sz w:val="24"/>
          <w:szCs w:val="24"/>
        </w:rPr>
        <w:t>被授权人身份证复印件（如有，加盖公章）</w:t>
      </w:r>
    </w:p>
    <w:p>
      <w:pPr>
        <w:pStyle w:val="24"/>
        <w:numPr>
          <w:ilvl w:val="0"/>
          <w:numId w:val="5"/>
        </w:numPr>
        <w:spacing w:line="360" w:lineRule="auto"/>
        <w:ind w:left="420"/>
        <w:rPr>
          <w:rFonts w:hAnsi="宋体"/>
          <w:sz w:val="24"/>
          <w:szCs w:val="24"/>
        </w:rPr>
      </w:pPr>
      <w:r>
        <w:rPr>
          <w:rFonts w:hint="eastAsia" w:hAnsi="宋体"/>
          <w:sz w:val="24"/>
          <w:szCs w:val="24"/>
        </w:rPr>
        <w:t>参选人资格条件（加盖公章）</w:t>
      </w:r>
    </w:p>
    <w:p>
      <w:pPr>
        <w:spacing w:line="360" w:lineRule="auto"/>
        <w:ind w:firstLine="480" w:firstLineChars="200"/>
        <w:rPr>
          <w:rFonts w:hAnsi="宋体"/>
          <w:bCs/>
          <w:sz w:val="24"/>
          <w:szCs w:val="22"/>
        </w:rPr>
      </w:pPr>
      <w:r>
        <w:rPr>
          <w:rFonts w:hint="eastAsia" w:hAnsi="宋体"/>
          <w:bCs/>
          <w:sz w:val="24"/>
          <w:szCs w:val="22"/>
        </w:rPr>
        <w:t>参选人资质要求：参选人必须是中华人民共和国境内依法注册的法人或合伙制企业或其他组织，且具有城乡规划编制甲级资质。</w:t>
      </w:r>
    </w:p>
    <w:p>
      <w:pPr>
        <w:pStyle w:val="24"/>
        <w:numPr>
          <w:ilvl w:val="0"/>
          <w:numId w:val="5"/>
        </w:numPr>
        <w:spacing w:line="360" w:lineRule="auto"/>
        <w:ind w:left="420"/>
        <w:rPr>
          <w:rFonts w:hAnsi="宋体"/>
          <w:sz w:val="24"/>
          <w:szCs w:val="24"/>
        </w:rPr>
      </w:pPr>
      <w:r>
        <w:rPr>
          <w:rFonts w:hint="eastAsia" w:hAnsi="宋体"/>
          <w:sz w:val="24"/>
          <w:szCs w:val="24"/>
        </w:rPr>
        <w:t>投标人业绩、获奖情况、项目负责人情况、知识产权情况，拟派项目团队及项目认知和重难点分析</w:t>
      </w:r>
    </w:p>
    <w:p>
      <w:pPr>
        <w:pStyle w:val="19"/>
        <w:snapToGrid w:val="0"/>
        <w:spacing w:after="0" w:line="360" w:lineRule="auto"/>
        <w:ind w:left="0" w:leftChars="0" w:firstLine="480" w:firstLineChars="200"/>
        <w:rPr>
          <w:rFonts w:ascii="宋体" w:hAnsi="宋体"/>
          <w:sz w:val="24"/>
          <w:szCs w:val="24"/>
        </w:rPr>
      </w:pPr>
      <w:r>
        <w:rPr>
          <w:rFonts w:hint="eastAsia" w:ascii="宋体" w:hAnsi="宋体"/>
          <w:sz w:val="24"/>
          <w:szCs w:val="24"/>
        </w:rPr>
        <w:t>项目资料真实性及业绩由参选人负责核实，以上提供的证书（证件等）、证明材料必须在有效期内，并加盖公章。若比选人查实上述信息不真实，参选人将负全责。</w:t>
      </w:r>
    </w:p>
    <w:p>
      <w:pPr>
        <w:pStyle w:val="19"/>
        <w:snapToGrid w:val="0"/>
        <w:spacing w:after="0" w:line="360" w:lineRule="auto"/>
        <w:ind w:leftChars="0"/>
        <w:rPr>
          <w:rFonts w:ascii="宋体" w:hAnsi="宋体"/>
          <w:b/>
          <w:bCs/>
          <w:sz w:val="24"/>
          <w:szCs w:val="24"/>
        </w:rPr>
      </w:pPr>
      <w:r>
        <w:rPr>
          <w:rFonts w:hint="eastAsia" w:ascii="宋体" w:hAnsi="宋体"/>
          <w:b/>
          <w:bCs/>
          <w:sz w:val="24"/>
          <w:szCs w:val="24"/>
        </w:rPr>
        <w:t>（二）</w:t>
      </w:r>
      <w:r>
        <w:rPr>
          <w:rFonts w:hint="eastAsia" w:ascii="宋体" w:hAnsi="宋体"/>
          <w:b/>
          <w:bCs/>
          <w:sz w:val="24"/>
          <w:szCs w:val="24"/>
          <w:u w:val="single"/>
        </w:rPr>
        <w:t>“商务标书”</w:t>
      </w:r>
      <w:r>
        <w:rPr>
          <w:rFonts w:hint="eastAsia" w:ascii="宋体" w:hAnsi="宋体"/>
          <w:b/>
          <w:bCs/>
          <w:sz w:val="24"/>
          <w:szCs w:val="24"/>
        </w:rPr>
        <w:t>的编写</w:t>
      </w:r>
    </w:p>
    <w:p>
      <w:pPr>
        <w:pStyle w:val="24"/>
        <w:spacing w:line="360" w:lineRule="auto"/>
        <w:ind w:left="425"/>
        <w:rPr>
          <w:rFonts w:hAnsi="宋体"/>
          <w:sz w:val="24"/>
          <w:szCs w:val="24"/>
        </w:rPr>
      </w:pPr>
      <w:r>
        <w:rPr>
          <w:rFonts w:hint="eastAsia" w:hAnsi="宋体"/>
          <w:sz w:val="24"/>
          <w:szCs w:val="24"/>
        </w:rPr>
        <w:t>1.商务标书应包括以下几个主要内容：</w:t>
      </w:r>
    </w:p>
    <w:p>
      <w:pPr>
        <w:pStyle w:val="24"/>
        <w:tabs>
          <w:tab w:val="left" w:pos="6300"/>
        </w:tabs>
        <w:spacing w:line="360" w:lineRule="auto"/>
        <w:ind w:left="425" w:firstLine="480" w:firstLineChars="200"/>
        <w:rPr>
          <w:rFonts w:hAnsi="宋体"/>
          <w:sz w:val="24"/>
          <w:szCs w:val="24"/>
        </w:rPr>
      </w:pPr>
      <w:r>
        <w:rPr>
          <w:rFonts w:hint="eastAsia" w:hAnsi="宋体"/>
          <w:sz w:val="24"/>
          <w:szCs w:val="24"/>
        </w:rPr>
        <w:t>光明新湖、昂鹅车辆段、东宝河停车场、</w:t>
      </w:r>
      <w:r>
        <w:rPr>
          <w:rFonts w:hint="eastAsia" w:hAnsi="宋体"/>
          <w:sz w:val="24"/>
          <w:szCs w:val="24"/>
          <w:lang w:eastAsia="zh-CN"/>
        </w:rPr>
        <w:t>新大存车场</w:t>
      </w:r>
      <w:r>
        <w:rPr>
          <w:rFonts w:hint="eastAsia" w:hAnsi="宋体"/>
          <w:sz w:val="24"/>
          <w:szCs w:val="24"/>
        </w:rPr>
        <w:t>交通接驳研究商务标书</w:t>
      </w:r>
    </w:p>
    <w:p>
      <w:pPr>
        <w:widowControl/>
        <w:overflowPunct w:val="0"/>
        <w:autoSpaceDE w:val="0"/>
        <w:autoSpaceDN w:val="0"/>
        <w:adjustRightInd w:val="0"/>
        <w:spacing w:line="360" w:lineRule="auto"/>
        <w:ind w:left="480"/>
        <w:jc w:val="left"/>
        <w:textAlignment w:val="baseline"/>
        <w:rPr>
          <w:rFonts w:ascii="宋体" w:hAnsi="宋体"/>
          <w:sz w:val="24"/>
          <w:szCs w:val="24"/>
        </w:rPr>
      </w:pPr>
      <w:r>
        <w:rPr>
          <w:rFonts w:hint="eastAsia" w:ascii="宋体" w:hAnsi="宋体"/>
          <w:sz w:val="24"/>
          <w:szCs w:val="24"/>
        </w:rPr>
        <w:t>（1）参选函；</w:t>
      </w:r>
      <w:r>
        <w:rPr>
          <w:rFonts w:hint="eastAsia" w:ascii="宋体" w:hAnsi="宋体"/>
          <w:sz w:val="24"/>
        </w:rPr>
        <w:t>（2）报价表。</w:t>
      </w:r>
    </w:p>
    <w:p>
      <w:pPr>
        <w:pStyle w:val="19"/>
        <w:snapToGrid w:val="0"/>
        <w:spacing w:line="360" w:lineRule="auto"/>
        <w:ind w:left="0" w:leftChars="0" w:firstLine="480" w:firstLineChars="200"/>
        <w:rPr>
          <w:rFonts w:ascii="宋体" w:hAnsi="宋体"/>
          <w:sz w:val="24"/>
          <w:szCs w:val="24"/>
        </w:rPr>
      </w:pPr>
      <w:r>
        <w:rPr>
          <w:rFonts w:hint="eastAsia" w:ascii="宋体" w:hAnsi="宋体"/>
          <w:sz w:val="24"/>
          <w:szCs w:val="24"/>
        </w:rPr>
        <w:t>2.参选报价货币为</w:t>
      </w:r>
      <w:r>
        <w:rPr>
          <w:rFonts w:hint="eastAsia" w:ascii="宋体" w:hAnsi="宋体"/>
          <w:b/>
          <w:bCs/>
          <w:sz w:val="24"/>
          <w:szCs w:val="24"/>
          <w:u w:val="single"/>
        </w:rPr>
        <w:t>人民币</w:t>
      </w:r>
      <w:r>
        <w:rPr>
          <w:rFonts w:hint="eastAsia" w:ascii="宋体" w:hAnsi="宋体"/>
          <w:sz w:val="24"/>
          <w:szCs w:val="24"/>
        </w:rPr>
        <w:t>。</w:t>
      </w:r>
    </w:p>
    <w:p>
      <w:pPr>
        <w:pStyle w:val="19"/>
        <w:snapToGrid w:val="0"/>
        <w:spacing w:line="360" w:lineRule="auto"/>
        <w:ind w:left="0" w:leftChars="0" w:firstLine="480" w:firstLineChars="200"/>
        <w:rPr>
          <w:rFonts w:ascii="宋体" w:hAnsi="宋体"/>
          <w:sz w:val="24"/>
          <w:szCs w:val="24"/>
        </w:rPr>
      </w:pPr>
      <w:bookmarkStart w:id="59" w:name="_Toc197404910"/>
      <w:bookmarkStart w:id="60" w:name="_Toc402782173"/>
      <w:r>
        <w:rPr>
          <w:rFonts w:hint="eastAsia" w:ascii="宋体" w:hAnsi="宋体"/>
          <w:sz w:val="24"/>
          <w:szCs w:val="24"/>
        </w:rPr>
        <w:t>3．比选人认为参选人自备设施、工作人员的保险及劳动保护等费用已包含在参选人的参选报价中。</w:t>
      </w:r>
    </w:p>
    <w:p>
      <w:pPr>
        <w:pStyle w:val="19"/>
        <w:snapToGrid w:val="0"/>
        <w:spacing w:line="360" w:lineRule="auto"/>
        <w:ind w:left="0" w:leftChars="0" w:firstLine="480" w:firstLineChars="200"/>
        <w:rPr>
          <w:rFonts w:ascii="宋体" w:hAnsi="宋体"/>
          <w:sz w:val="24"/>
          <w:szCs w:val="24"/>
        </w:rPr>
      </w:pPr>
      <w:r>
        <w:rPr>
          <w:rFonts w:hint="eastAsia" w:ascii="宋体" w:hAnsi="宋体"/>
          <w:sz w:val="24"/>
          <w:szCs w:val="24"/>
        </w:rPr>
        <w:t>4．比选人认为参选人为履行本合同而提供的产品和相关服务的知识产权、版权费等第三者费用、根据法律由乙方支付的税费、保险费、合同文本、研究成果等资料的印刷费等已包含在参选人的参选报价中。</w:t>
      </w:r>
    </w:p>
    <w:p>
      <w:pPr>
        <w:pStyle w:val="24"/>
        <w:spacing w:line="360" w:lineRule="auto"/>
        <w:ind w:firstLine="480" w:firstLineChars="200"/>
        <w:rPr>
          <w:rFonts w:hAnsi="宋体"/>
          <w:sz w:val="24"/>
          <w:szCs w:val="24"/>
        </w:rPr>
      </w:pPr>
      <w:r>
        <w:rPr>
          <w:rFonts w:hint="eastAsia" w:hAnsi="宋体"/>
          <w:sz w:val="24"/>
          <w:szCs w:val="24"/>
        </w:rPr>
        <w:t>5．本次参选报价总费用最高限价为人民币648万元（含税）。参选人报价高于总额最高上限价或单个项目上限价将作为无效标处理。其中光明新湖交通接驳研究参选上限价为112.5万元（</w:t>
      </w:r>
      <w:r>
        <w:rPr>
          <w:rFonts w:hAnsi="宋体"/>
          <w:sz w:val="24"/>
          <w:szCs w:val="24"/>
        </w:rPr>
        <w:t>含税）</w:t>
      </w:r>
      <w:r>
        <w:rPr>
          <w:rFonts w:hint="eastAsia" w:hAnsi="宋体"/>
          <w:sz w:val="24"/>
          <w:szCs w:val="24"/>
        </w:rPr>
        <w:t>；昂鹅车辆段交通接驳研究参选上限价为211.5万元（</w:t>
      </w:r>
      <w:r>
        <w:rPr>
          <w:rFonts w:hAnsi="宋体"/>
          <w:sz w:val="24"/>
          <w:szCs w:val="24"/>
        </w:rPr>
        <w:t>含税）</w:t>
      </w:r>
      <w:r>
        <w:rPr>
          <w:rFonts w:hint="eastAsia" w:hAnsi="宋体"/>
          <w:sz w:val="24"/>
          <w:szCs w:val="24"/>
        </w:rPr>
        <w:t>；东宝河停车场交通接驳研究参选上限价为211.5万元（</w:t>
      </w:r>
      <w:r>
        <w:rPr>
          <w:rFonts w:hAnsi="宋体"/>
          <w:sz w:val="24"/>
          <w:szCs w:val="24"/>
        </w:rPr>
        <w:t>含税）</w:t>
      </w:r>
      <w:r>
        <w:rPr>
          <w:rFonts w:hint="eastAsia" w:hAnsi="宋体"/>
          <w:sz w:val="24"/>
          <w:szCs w:val="24"/>
        </w:rPr>
        <w:t>；</w:t>
      </w:r>
      <w:r>
        <w:rPr>
          <w:rFonts w:hint="eastAsia" w:hAnsi="宋体"/>
          <w:sz w:val="24"/>
          <w:szCs w:val="24"/>
          <w:lang w:eastAsia="zh-CN"/>
        </w:rPr>
        <w:t>新大存车场</w:t>
      </w:r>
      <w:r>
        <w:rPr>
          <w:rFonts w:hint="eastAsia" w:hAnsi="宋体"/>
          <w:sz w:val="24"/>
          <w:szCs w:val="24"/>
        </w:rPr>
        <w:t>交通接驳研究参选上限价为112.5万元（</w:t>
      </w:r>
      <w:r>
        <w:rPr>
          <w:rFonts w:hAnsi="宋体"/>
          <w:sz w:val="24"/>
          <w:szCs w:val="24"/>
        </w:rPr>
        <w:t>含税）</w:t>
      </w:r>
      <w:r>
        <w:rPr>
          <w:rFonts w:hint="eastAsia" w:hAnsi="宋体"/>
          <w:sz w:val="24"/>
          <w:szCs w:val="24"/>
        </w:rPr>
        <w:t>。</w:t>
      </w:r>
    </w:p>
    <w:p>
      <w:pPr>
        <w:pStyle w:val="19"/>
        <w:snapToGrid w:val="0"/>
        <w:spacing w:line="360" w:lineRule="auto"/>
        <w:ind w:left="0" w:leftChars="0" w:firstLine="480" w:firstLineChars="200"/>
        <w:rPr>
          <w:rFonts w:ascii="宋体" w:hAnsi="宋体"/>
          <w:sz w:val="24"/>
          <w:szCs w:val="24"/>
        </w:rPr>
      </w:pP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61" w:name="_Toc57731966"/>
      <w:r>
        <w:rPr>
          <w:rFonts w:hint="eastAsia" w:ascii="宋体" w:hAnsi="宋体"/>
          <w:b/>
          <w:kern w:val="0"/>
          <w:sz w:val="24"/>
          <w:szCs w:val="24"/>
        </w:rPr>
        <w:t>三、参选人的承诺</w:t>
      </w:r>
      <w:bookmarkEnd w:id="61"/>
      <w:r>
        <w:rPr>
          <w:rFonts w:hint="eastAsia" w:ascii="宋体" w:hAnsi="宋体"/>
          <w:b/>
          <w:kern w:val="0"/>
          <w:sz w:val="24"/>
          <w:szCs w:val="24"/>
        </w:rPr>
        <w:t xml:space="preserve"> </w:t>
      </w:r>
    </w:p>
    <w:p>
      <w:pPr>
        <w:pStyle w:val="19"/>
        <w:spacing w:line="360" w:lineRule="auto"/>
        <w:ind w:left="0" w:leftChars="0" w:firstLine="480" w:firstLineChars="200"/>
        <w:rPr>
          <w:rFonts w:ascii="宋体" w:hAnsi="宋体"/>
          <w:sz w:val="24"/>
        </w:rPr>
      </w:pPr>
      <w:r>
        <w:rPr>
          <w:rFonts w:hint="eastAsia" w:ascii="宋体" w:hAnsi="宋体"/>
          <w:sz w:val="24"/>
        </w:rPr>
        <w:t>参选人必须对下列各项做出承诺：</w:t>
      </w:r>
    </w:p>
    <w:p>
      <w:pPr>
        <w:pStyle w:val="19"/>
        <w:spacing w:line="360" w:lineRule="auto"/>
        <w:ind w:left="0" w:leftChars="0" w:firstLine="480" w:firstLineChars="200"/>
        <w:rPr>
          <w:rFonts w:ascii="宋体" w:hAnsi="宋体"/>
          <w:sz w:val="24"/>
        </w:rPr>
      </w:pPr>
      <w:r>
        <w:rPr>
          <w:rFonts w:hint="eastAsia" w:ascii="宋体" w:hAnsi="宋体"/>
          <w:sz w:val="24"/>
        </w:rPr>
        <w:t>1.参选人</w:t>
      </w:r>
      <w:r>
        <w:rPr>
          <w:rFonts w:hint="eastAsia"/>
          <w:sz w:val="24"/>
          <w:szCs w:val="32"/>
        </w:rPr>
        <w:t>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19"/>
        <w:spacing w:line="360" w:lineRule="auto"/>
        <w:ind w:left="0" w:leftChars="0" w:firstLine="480" w:firstLineChars="200"/>
        <w:rPr>
          <w:rFonts w:ascii="宋体" w:hAnsi="宋体"/>
          <w:sz w:val="24"/>
        </w:rPr>
      </w:pPr>
      <w:r>
        <w:rPr>
          <w:rFonts w:hint="eastAsia" w:ascii="宋体" w:hAnsi="宋体"/>
          <w:sz w:val="24"/>
        </w:rPr>
        <w:t>2.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pStyle w:val="19"/>
        <w:spacing w:line="360" w:lineRule="auto"/>
        <w:ind w:left="0" w:leftChars="0" w:firstLine="480" w:firstLineChars="200"/>
        <w:rPr>
          <w:rFonts w:ascii="宋体" w:hAnsi="宋体"/>
          <w:sz w:val="24"/>
        </w:rPr>
      </w:pPr>
      <w:r>
        <w:rPr>
          <w:rFonts w:hint="eastAsia" w:ascii="宋体" w:hAnsi="宋体"/>
          <w:sz w:val="24"/>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19"/>
        <w:numPr>
          <w:ilvl w:val="255"/>
          <w:numId w:val="0"/>
        </w:numPr>
        <w:spacing w:after="0" w:line="360" w:lineRule="auto"/>
        <w:ind w:left="96" w:firstLine="324" w:firstLineChars="135"/>
        <w:rPr>
          <w:rFonts w:ascii="宋体" w:hAnsi="宋体"/>
          <w:sz w:val="24"/>
        </w:rPr>
      </w:pPr>
      <w:r>
        <w:rPr>
          <w:rFonts w:hint="eastAsia" w:ascii="宋体" w:hAnsi="宋体"/>
          <w:sz w:val="24"/>
        </w:rPr>
        <w:t>4.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p>
    <w:p>
      <w:pPr>
        <w:pStyle w:val="4"/>
        <w:spacing w:line="360" w:lineRule="auto"/>
        <w:rPr>
          <w:rFonts w:ascii="宋体" w:hAnsi="宋体" w:eastAsia="宋体"/>
          <w:b/>
          <w:szCs w:val="28"/>
        </w:rPr>
      </w:pPr>
      <w:bookmarkStart w:id="62" w:name="_Toc57731967"/>
      <w:bookmarkStart w:id="63" w:name="_Toc518494132"/>
      <w:bookmarkStart w:id="64" w:name="_Toc197404908"/>
      <w:r>
        <w:rPr>
          <w:rFonts w:hint="eastAsia" w:ascii="宋体" w:hAnsi="宋体" w:eastAsia="宋体"/>
          <w:b/>
          <w:szCs w:val="28"/>
        </w:rPr>
        <w:t>第四章 参选文件的签章要求</w:t>
      </w:r>
      <w:bookmarkEnd w:id="62"/>
      <w:bookmarkEnd w:id="63"/>
      <w:bookmarkEnd w:id="64"/>
    </w:p>
    <w:p>
      <w:pPr>
        <w:pStyle w:val="19"/>
        <w:snapToGrid w:val="0"/>
        <w:spacing w:line="360" w:lineRule="auto"/>
        <w:ind w:left="0" w:leftChars="0" w:firstLine="482" w:firstLineChars="200"/>
        <w:rPr>
          <w:rFonts w:ascii="宋体" w:hAnsi="宋体"/>
          <w:b/>
          <w:sz w:val="24"/>
        </w:rPr>
      </w:pPr>
      <w:bookmarkStart w:id="65" w:name="_Toc36527859"/>
      <w:bookmarkStart w:id="66" w:name="_Toc518494133"/>
      <w:bookmarkStart w:id="67" w:name="_Toc57731971"/>
      <w:bookmarkStart w:id="68" w:name="_Toc197404909"/>
      <w:r>
        <w:rPr>
          <w:rFonts w:hint="eastAsia" w:ascii="宋体" w:hAnsi="宋体"/>
          <w:b/>
          <w:sz w:val="24"/>
        </w:rPr>
        <w:t>一、参选文件的份数</w:t>
      </w:r>
    </w:p>
    <w:p>
      <w:pPr>
        <w:pStyle w:val="19"/>
        <w:spacing w:line="360" w:lineRule="auto"/>
        <w:ind w:left="0" w:leftChars="0" w:firstLine="480" w:firstLineChars="200"/>
        <w:rPr>
          <w:rFonts w:ascii="宋体" w:hAnsi="宋体"/>
          <w:b/>
          <w:sz w:val="24"/>
          <w:szCs w:val="21"/>
          <w:u w:val="single"/>
        </w:rPr>
      </w:pPr>
      <w:r>
        <w:rPr>
          <w:rFonts w:hint="eastAsia" w:ascii="宋体" w:hAnsi="宋体"/>
          <w:sz w:val="24"/>
        </w:rPr>
        <w:t>参选人提交的</w:t>
      </w:r>
      <w:r>
        <w:rPr>
          <w:rFonts w:hint="eastAsia" w:ascii="宋体" w:hAnsi="宋体"/>
          <w:b/>
          <w:sz w:val="24"/>
        </w:rPr>
        <w:t>参选文件应包含</w:t>
      </w:r>
      <w:r>
        <w:rPr>
          <w:rFonts w:hint="eastAsia" w:ascii="宋体" w:hAnsi="宋体"/>
          <w:b/>
          <w:sz w:val="24"/>
          <w:u w:val="single"/>
        </w:rPr>
        <w:t>1套</w:t>
      </w:r>
      <w:r>
        <w:rPr>
          <w:rFonts w:hint="eastAsia" w:ascii="宋体" w:hAnsi="宋体"/>
          <w:b/>
          <w:sz w:val="24"/>
          <w:szCs w:val="21"/>
          <w:u w:val="single"/>
        </w:rPr>
        <w:t>“技术标书”；1套“商务标书”</w:t>
      </w:r>
      <w:r>
        <w:rPr>
          <w:rFonts w:hint="eastAsia" w:ascii="宋体" w:hAnsi="宋体"/>
          <w:sz w:val="24"/>
        </w:rPr>
        <w:t>。</w:t>
      </w:r>
    </w:p>
    <w:p>
      <w:pPr>
        <w:pStyle w:val="19"/>
        <w:snapToGrid w:val="0"/>
        <w:spacing w:line="360" w:lineRule="auto"/>
        <w:ind w:left="0" w:leftChars="0" w:firstLine="482" w:firstLineChars="200"/>
        <w:rPr>
          <w:rFonts w:ascii="宋体" w:hAnsi="宋体"/>
          <w:b/>
          <w:sz w:val="24"/>
        </w:rPr>
      </w:pPr>
      <w:r>
        <w:rPr>
          <w:rFonts w:hint="eastAsia" w:ascii="宋体" w:hAnsi="宋体"/>
          <w:b/>
          <w:sz w:val="24"/>
        </w:rPr>
        <w:t>二、参选文件的签章</w:t>
      </w:r>
    </w:p>
    <w:p>
      <w:pPr>
        <w:pStyle w:val="19"/>
        <w:spacing w:line="360" w:lineRule="auto"/>
        <w:ind w:left="0" w:leftChars="0" w:firstLine="480" w:firstLineChars="200"/>
        <w:rPr>
          <w:rFonts w:ascii="宋体" w:hAnsi="宋体"/>
          <w:sz w:val="24"/>
        </w:rPr>
      </w:pPr>
      <w:r>
        <w:rPr>
          <w:rFonts w:hint="eastAsia" w:ascii="宋体" w:hAnsi="宋体"/>
          <w:sz w:val="24"/>
        </w:rPr>
        <w:t>（一）所有参选文件（正、副本）均须加按要求盖公章。</w:t>
      </w:r>
    </w:p>
    <w:p>
      <w:pPr>
        <w:pStyle w:val="19"/>
        <w:spacing w:line="360" w:lineRule="auto"/>
        <w:ind w:left="0" w:leftChars="0" w:firstLine="480" w:firstLineChars="200"/>
        <w:rPr>
          <w:rFonts w:ascii="宋体" w:hAnsi="宋体"/>
          <w:sz w:val="24"/>
        </w:rPr>
      </w:pPr>
      <w:r>
        <w:rPr>
          <w:rFonts w:hint="eastAsia" w:ascii="宋体" w:hAnsi="宋体"/>
          <w:sz w:val="24"/>
        </w:rPr>
        <w:t>（二）参选文件均应使用不能擦去的墨水打印或书写，并由参选人正式授权人签署。有增加或修正的各项，都应由参选文件签字人签字证明。</w:t>
      </w:r>
    </w:p>
    <w:p>
      <w:pPr>
        <w:pStyle w:val="19"/>
        <w:spacing w:line="360" w:lineRule="auto"/>
        <w:ind w:left="0" w:leftChars="0" w:firstLine="480" w:firstLineChars="200"/>
        <w:rPr>
          <w:rFonts w:ascii="宋体" w:hAnsi="宋体"/>
          <w:sz w:val="24"/>
        </w:rPr>
      </w:pPr>
      <w:r>
        <w:rPr>
          <w:rFonts w:hint="eastAsia" w:ascii="宋体" w:hAnsi="宋体"/>
          <w:sz w:val="24"/>
        </w:rPr>
        <w:t>（三）参选文件应无涂改和行间插字，除非这些删改是根据比选人指示进行，或是参选人造成的必须修改的错误。在后一种情况下，修改处应由参选文件签字人签字证明。</w:t>
      </w:r>
    </w:p>
    <w:p>
      <w:pPr>
        <w:pStyle w:val="19"/>
        <w:snapToGrid w:val="0"/>
        <w:spacing w:line="360" w:lineRule="auto"/>
        <w:ind w:left="0" w:leftChars="0" w:firstLine="482" w:firstLineChars="200"/>
        <w:rPr>
          <w:rFonts w:ascii="宋体" w:hAnsi="宋体"/>
          <w:b/>
          <w:sz w:val="24"/>
        </w:rPr>
      </w:pPr>
      <w:bookmarkStart w:id="69" w:name="_Toc36527858"/>
      <w:r>
        <w:rPr>
          <w:rFonts w:hint="eastAsia" w:ascii="宋体" w:hAnsi="宋体"/>
          <w:b/>
          <w:sz w:val="24"/>
        </w:rPr>
        <w:t>三、参选文件的</w:t>
      </w:r>
      <w:bookmarkEnd w:id="69"/>
      <w:r>
        <w:rPr>
          <w:rFonts w:hint="eastAsia" w:ascii="宋体" w:hAnsi="宋体"/>
          <w:b/>
          <w:sz w:val="24"/>
        </w:rPr>
        <w:t>标识</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szCs w:val="24"/>
        </w:rPr>
      </w:pPr>
      <w:r>
        <w:rPr>
          <w:rFonts w:hint="eastAsia" w:ascii="宋体" w:hAnsi="宋体"/>
          <w:b/>
          <w:sz w:val="24"/>
        </w:rPr>
        <w:t>将参选文件的所有技术标书</w:t>
      </w:r>
      <w:r>
        <w:rPr>
          <w:rFonts w:ascii="宋体" w:hAnsi="宋体"/>
          <w:b/>
          <w:sz w:val="24"/>
        </w:rPr>
        <w:t>、</w:t>
      </w:r>
      <w:r>
        <w:rPr>
          <w:rFonts w:hint="eastAsia" w:ascii="宋体" w:hAnsi="宋体"/>
          <w:b/>
          <w:sz w:val="24"/>
        </w:rPr>
        <w:t>商务标书分别按要求编写分册，按如下要求加写标识：</w:t>
      </w:r>
    </w:p>
    <w:p>
      <w:pPr>
        <w:adjustRightInd w:val="0"/>
        <w:snapToGrid w:val="0"/>
        <w:spacing w:line="360" w:lineRule="auto"/>
        <w:ind w:firstLine="482" w:firstLineChars="200"/>
        <w:rPr>
          <w:rFonts w:ascii="宋体" w:hAnsi="宋体"/>
          <w:b/>
          <w:sz w:val="24"/>
          <w:szCs w:val="24"/>
          <w:u w:val="single"/>
        </w:rPr>
      </w:pPr>
      <w:r>
        <w:rPr>
          <w:rFonts w:hint="eastAsia" w:ascii="宋体" w:hAnsi="宋体"/>
          <w:b/>
          <w:sz w:val="24"/>
          <w:szCs w:val="24"/>
        </w:rPr>
        <w:t>项目名称：</w:t>
      </w:r>
      <w:r>
        <w:rPr>
          <w:rFonts w:hint="eastAsia" w:ascii="宋体" w:hAnsi="宋体"/>
          <w:b/>
          <w:sz w:val="24"/>
          <w:szCs w:val="24"/>
          <w:u w:val="single"/>
        </w:rPr>
        <w:t>光明新湖、昂鹅车辆段、东宝河停车场、</w:t>
      </w:r>
      <w:r>
        <w:rPr>
          <w:rFonts w:hint="eastAsia" w:ascii="宋体" w:hAnsi="宋体"/>
          <w:b/>
          <w:sz w:val="24"/>
          <w:szCs w:val="24"/>
          <w:u w:val="single"/>
          <w:lang w:eastAsia="zh-CN"/>
        </w:rPr>
        <w:t>新大存车场</w:t>
      </w:r>
      <w:r>
        <w:rPr>
          <w:rFonts w:hint="eastAsia" w:ascii="宋体" w:hAnsi="宋体"/>
          <w:b/>
          <w:sz w:val="24"/>
          <w:szCs w:val="24"/>
          <w:u w:val="single"/>
        </w:rPr>
        <w:t>交通接驳研究参选文件</w:t>
      </w:r>
    </w:p>
    <w:p>
      <w:pPr>
        <w:adjustRightInd w:val="0"/>
        <w:snapToGrid w:val="0"/>
        <w:spacing w:line="360" w:lineRule="auto"/>
        <w:ind w:firstLine="482" w:firstLineChars="200"/>
        <w:rPr>
          <w:rFonts w:ascii="宋体" w:hAnsi="宋体"/>
          <w:kern w:val="10"/>
          <w:sz w:val="24"/>
          <w:szCs w:val="24"/>
          <w:u w:val="single"/>
        </w:rPr>
      </w:pPr>
      <w:r>
        <w:rPr>
          <w:rFonts w:ascii="宋体" w:hAnsi="宋体"/>
          <w:b/>
          <w:bCs/>
          <w:kern w:val="10"/>
          <w:sz w:val="24"/>
          <w:szCs w:val="24"/>
        </w:rPr>
        <w:t>参选人（盖章）</w:t>
      </w:r>
      <w:r>
        <w:rPr>
          <w:rFonts w:ascii="宋体" w:hAnsi="宋体"/>
          <w:kern w:val="10"/>
          <w:sz w:val="24"/>
          <w:szCs w:val="24"/>
        </w:rPr>
        <w:t>：</w:t>
      </w:r>
      <w:r>
        <w:rPr>
          <w:rFonts w:ascii="宋体" w:hAnsi="宋体"/>
          <w:kern w:val="10"/>
          <w:sz w:val="24"/>
          <w:szCs w:val="24"/>
          <w:u w:val="single"/>
        </w:rPr>
        <w:t xml:space="preserve">           [参选人名称]              </w:t>
      </w:r>
    </w:p>
    <w:p>
      <w:pPr>
        <w:adjustRightInd w:val="0"/>
        <w:snapToGrid w:val="0"/>
        <w:spacing w:line="360" w:lineRule="auto"/>
        <w:ind w:firstLine="482" w:firstLineChars="200"/>
        <w:rPr>
          <w:rFonts w:ascii="宋体" w:hAnsi="宋体"/>
          <w:bCs/>
          <w:sz w:val="24"/>
          <w:szCs w:val="24"/>
        </w:rPr>
      </w:pPr>
      <w:r>
        <w:rPr>
          <w:rFonts w:hAnsi="宋体"/>
          <w:b/>
          <w:bCs/>
          <w:sz w:val="24"/>
          <w:szCs w:val="24"/>
        </w:rPr>
        <w:t>法定代表人</w:t>
      </w:r>
      <w:r>
        <w:rPr>
          <w:rFonts w:hint="eastAsia" w:hAnsi="宋体"/>
          <w:b/>
          <w:bCs/>
          <w:sz w:val="24"/>
          <w:szCs w:val="24"/>
        </w:rPr>
        <w:t>或</w:t>
      </w:r>
      <w:r>
        <w:rPr>
          <w:rFonts w:hAnsi="宋体"/>
          <w:b/>
          <w:bCs/>
          <w:sz w:val="24"/>
          <w:szCs w:val="24"/>
        </w:rPr>
        <w:t>授权代表（签字或盖章）</w:t>
      </w:r>
      <w:r>
        <w:rPr>
          <w:rFonts w:hAnsi="宋体"/>
          <w:sz w:val="24"/>
          <w:szCs w:val="24"/>
        </w:rPr>
        <w:t>：</w:t>
      </w:r>
      <w:r>
        <w:rPr>
          <w:rFonts w:hAnsi="宋体"/>
          <w:sz w:val="24"/>
          <w:szCs w:val="24"/>
          <w:u w:val="single"/>
        </w:rPr>
        <w:t xml:space="preserve">                           </w:t>
      </w:r>
    </w:p>
    <w:p>
      <w:pPr>
        <w:adjustRightInd w:val="0"/>
        <w:snapToGrid w:val="0"/>
        <w:spacing w:line="360" w:lineRule="auto"/>
        <w:ind w:firstLine="482" w:firstLineChars="200"/>
        <w:rPr>
          <w:rFonts w:ascii="宋体" w:hAnsi="宋体"/>
          <w:b/>
        </w:rPr>
      </w:pPr>
      <w:r>
        <w:rPr>
          <w:rFonts w:hint="eastAsia" w:ascii="宋体" w:hAnsi="宋体"/>
          <w:b/>
          <w:sz w:val="24"/>
          <w:szCs w:val="24"/>
        </w:rPr>
        <w:t>日    期</w:t>
      </w:r>
      <w:r>
        <w:rPr>
          <w:rFonts w:hint="eastAsia" w:ascii="宋体" w:hAnsi="宋体"/>
          <w:bCs/>
          <w:sz w:val="24"/>
          <w:szCs w:val="24"/>
        </w:rPr>
        <w:t>：</w:t>
      </w:r>
      <w:r>
        <w:rPr>
          <w:rFonts w:hint="eastAsia" w:ascii="宋体" w:hAnsi="宋体"/>
          <w:sz w:val="24"/>
          <w:szCs w:val="24"/>
          <w:u w:val="single"/>
        </w:rPr>
        <w:t xml:space="preserve"> 2022 </w:t>
      </w:r>
      <w:r>
        <w:rPr>
          <w:rFonts w:ascii="宋体" w:hAnsi="宋体"/>
          <w:sz w:val="24"/>
          <w:szCs w:val="24"/>
        </w:rPr>
        <w:t>年</w:t>
      </w:r>
      <w:r>
        <w:rPr>
          <w:rFonts w:hint="eastAsia" w:ascii="宋体" w:hAnsi="宋体"/>
          <w:sz w:val="24"/>
          <w:szCs w:val="24"/>
          <w:u w:val="single"/>
        </w:rPr>
        <w:t xml:space="preserve">    </w:t>
      </w:r>
      <w:r>
        <w:rPr>
          <w:rFonts w:ascii="宋体" w:hAnsi="宋体"/>
          <w:sz w:val="24"/>
          <w:szCs w:val="24"/>
        </w:rPr>
        <w:t>月</w:t>
      </w:r>
      <w:r>
        <w:rPr>
          <w:rFonts w:hint="eastAsia" w:ascii="宋体" w:hAnsi="宋体"/>
          <w:sz w:val="24"/>
          <w:szCs w:val="24"/>
          <w:u w:val="single"/>
        </w:rPr>
        <w:t xml:space="preserve">    </w:t>
      </w:r>
      <w:r>
        <w:rPr>
          <w:rFonts w:ascii="宋体" w:hAnsi="宋体"/>
          <w:sz w:val="24"/>
          <w:szCs w:val="24"/>
        </w:rPr>
        <w:t>日</w:t>
      </w:r>
      <w:r>
        <w:rPr>
          <w:rFonts w:ascii="宋体" w:hAnsi="宋体" w:cs="宋体"/>
          <w:snapToGrid w:val="0"/>
          <w:szCs w:val="21"/>
        </w:rPr>
        <w:br w:type="page"/>
      </w:r>
    </w:p>
    <w:p>
      <w:pPr>
        <w:pStyle w:val="4"/>
        <w:spacing w:before="140" w:after="0" w:line="360" w:lineRule="auto"/>
        <w:rPr>
          <w:rFonts w:ascii="宋体" w:hAnsi="宋体" w:eastAsia="宋体"/>
          <w:b/>
        </w:rPr>
      </w:pPr>
      <w:r>
        <w:rPr>
          <w:rFonts w:hint="eastAsia" w:ascii="宋体" w:hAnsi="宋体" w:eastAsia="宋体"/>
          <w:b/>
        </w:rPr>
        <w:t xml:space="preserve">第五章 </w:t>
      </w:r>
      <w:bookmarkEnd w:id="65"/>
      <w:r>
        <w:rPr>
          <w:rFonts w:hint="eastAsia" w:ascii="宋体" w:hAnsi="宋体" w:eastAsia="宋体"/>
          <w:b/>
        </w:rPr>
        <w:t>参选文件递交</w:t>
      </w:r>
      <w:bookmarkEnd w:id="66"/>
      <w:bookmarkEnd w:id="67"/>
      <w:bookmarkEnd w:id="68"/>
    </w:p>
    <w:p>
      <w:pPr>
        <w:spacing w:line="360" w:lineRule="auto"/>
        <w:ind w:firstLine="482" w:firstLineChars="200"/>
        <w:rPr>
          <w:rFonts w:ascii="宋体" w:hAnsi="宋体"/>
          <w:b/>
          <w:bCs/>
          <w:sz w:val="24"/>
        </w:rPr>
      </w:pPr>
      <w:r>
        <w:rPr>
          <w:rFonts w:hint="eastAsia" w:ascii="宋体" w:hAnsi="宋体"/>
          <w:b/>
          <w:bCs/>
          <w:sz w:val="24"/>
        </w:rPr>
        <w:t>一、参选人应按本参选须知规定的平台地点、日期和时间递交参选文件。</w:t>
      </w:r>
    </w:p>
    <w:p>
      <w:pPr>
        <w:numPr>
          <w:ilvl w:val="255"/>
          <w:numId w:val="0"/>
        </w:numPr>
        <w:adjustRightInd w:val="0"/>
        <w:snapToGrid w:val="0"/>
        <w:spacing w:line="360" w:lineRule="auto"/>
        <w:ind w:left="420" w:leftChars="200"/>
        <w:rPr>
          <w:rFonts w:ascii="宋体" w:hAnsi="宋体"/>
          <w:bCs/>
          <w:sz w:val="24"/>
          <w:szCs w:val="24"/>
        </w:rPr>
      </w:pPr>
      <w:bookmarkStart w:id="70" w:name="_Toc36527860"/>
      <w:r>
        <w:rPr>
          <w:rFonts w:ascii="宋体" w:hAnsi="宋体"/>
          <w:bCs/>
          <w:sz w:val="24"/>
          <w:szCs w:val="24"/>
        </w:rPr>
        <w:t>电子版参选文件递交平台：</w:t>
      </w:r>
      <w:r>
        <w:rPr>
          <w:rFonts w:hint="eastAsia" w:ascii="宋体" w:hAnsi="宋体"/>
          <w:bCs/>
          <w:sz w:val="24"/>
          <w:szCs w:val="24"/>
        </w:rPr>
        <w:t>深圳地铁智能招采管理平台（</w:t>
      </w:r>
      <w:r>
        <w:rPr>
          <w:rFonts w:ascii="宋体" w:hAnsi="宋体"/>
          <w:bCs/>
          <w:sz w:val="24"/>
          <w:szCs w:val="24"/>
        </w:rPr>
        <w:t>https://cg.shenzhenmc.com/）</w:t>
      </w:r>
      <w:r>
        <w:rPr>
          <w:rFonts w:hint="eastAsia" w:ascii="宋体" w:hAnsi="宋体"/>
          <w:bCs/>
          <w:sz w:val="24"/>
          <w:szCs w:val="24"/>
        </w:rPr>
        <w:t>。</w:t>
      </w:r>
    </w:p>
    <w:p>
      <w:pPr>
        <w:adjustRightInd w:val="0"/>
        <w:snapToGrid w:val="0"/>
        <w:spacing w:line="360" w:lineRule="auto"/>
        <w:rPr>
          <w:rFonts w:ascii="宋体" w:hAnsi="宋体"/>
          <w:bCs/>
          <w:sz w:val="24"/>
          <w:szCs w:val="24"/>
        </w:rPr>
      </w:pPr>
      <w:r>
        <w:rPr>
          <w:rFonts w:hint="eastAsia" w:ascii="宋体" w:hAnsi="宋体"/>
          <w:bCs/>
          <w:sz w:val="24"/>
          <w:szCs w:val="24"/>
        </w:rPr>
        <w:t>参选文件的签署人须是法定代表人或法定代表人授权委托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本比选文件所述法定代表人即法定代表人或法定负责人。</w:t>
      </w:r>
    </w:p>
    <w:p>
      <w:pPr>
        <w:spacing w:line="360" w:lineRule="auto"/>
        <w:ind w:firstLine="482" w:firstLineChars="200"/>
        <w:rPr>
          <w:rFonts w:ascii="宋体" w:hAnsi="宋体"/>
          <w:sz w:val="24"/>
        </w:rPr>
      </w:pPr>
      <w:r>
        <w:rPr>
          <w:rFonts w:hint="eastAsia" w:ascii="宋体" w:hAnsi="宋体"/>
          <w:b/>
          <w:bCs/>
          <w:sz w:val="24"/>
        </w:rPr>
        <w:t>二、迟到的参选文件</w:t>
      </w:r>
      <w:bookmarkEnd w:id="70"/>
    </w:p>
    <w:p>
      <w:pPr>
        <w:spacing w:line="360" w:lineRule="auto"/>
        <w:ind w:firstLine="480" w:firstLineChars="200"/>
        <w:rPr>
          <w:rFonts w:ascii="宋体" w:hAnsi="宋体"/>
          <w:b/>
          <w:sz w:val="24"/>
        </w:rPr>
      </w:pPr>
      <w:r>
        <w:rPr>
          <w:rFonts w:hint="eastAsia" w:ascii="宋体" w:hAnsi="宋体"/>
          <w:sz w:val="24"/>
        </w:rPr>
        <w:t>在本参选须知第一章第四条规定的参选截止期以后上传至</w:t>
      </w:r>
      <w:r>
        <w:rPr>
          <w:rFonts w:hint="eastAsia" w:ascii="宋体" w:hAnsi="宋体"/>
          <w:bCs/>
          <w:sz w:val="24"/>
          <w:szCs w:val="24"/>
        </w:rPr>
        <w:t>深圳地铁智能招采管理平台</w:t>
      </w:r>
      <w:r>
        <w:rPr>
          <w:rFonts w:hint="eastAsia" w:ascii="宋体" w:hAnsi="宋体"/>
          <w:sz w:val="24"/>
        </w:rPr>
        <w:t>的参选文件将不予受理。参选人在递交参选文件时应遵照工作人员的安排有秩序地进行。</w:t>
      </w:r>
    </w:p>
    <w:p>
      <w:pPr>
        <w:pStyle w:val="4"/>
        <w:spacing w:after="0" w:line="360" w:lineRule="auto"/>
        <w:rPr>
          <w:rFonts w:ascii="宋体" w:hAnsi="宋体" w:eastAsia="宋体"/>
          <w:b/>
        </w:rPr>
      </w:pPr>
      <w:bookmarkStart w:id="71" w:name="_Toc57731972"/>
      <w:r>
        <w:rPr>
          <w:rFonts w:hint="eastAsia" w:ascii="宋体" w:hAnsi="宋体" w:eastAsia="宋体"/>
          <w:b/>
        </w:rPr>
        <w:t>第六章  参选有效期</w:t>
      </w:r>
      <w:bookmarkEnd w:id="71"/>
    </w:p>
    <w:p>
      <w:pPr>
        <w:spacing w:line="360" w:lineRule="auto"/>
        <w:ind w:firstLine="480" w:firstLineChars="200"/>
        <w:rPr>
          <w:rFonts w:ascii="宋体" w:hAnsi="宋体"/>
          <w:sz w:val="24"/>
          <w:szCs w:val="24"/>
        </w:rPr>
      </w:pPr>
      <w:r>
        <w:rPr>
          <w:rFonts w:hint="eastAsia" w:ascii="宋体" w:hAnsi="宋体"/>
          <w:sz w:val="24"/>
          <w:szCs w:val="24"/>
        </w:rPr>
        <w:t>一、自规定的参选书递交截止期限起180天内，参选书均保持有效。</w:t>
      </w:r>
    </w:p>
    <w:p>
      <w:pPr>
        <w:spacing w:line="360" w:lineRule="auto"/>
        <w:ind w:firstLine="480" w:firstLineChars="200"/>
        <w:rPr>
          <w:rFonts w:ascii="宋体" w:hAnsi="宋体"/>
          <w:sz w:val="24"/>
          <w:szCs w:val="24"/>
        </w:rPr>
      </w:pPr>
      <w:r>
        <w:rPr>
          <w:rFonts w:hint="eastAsia" w:ascii="宋体" w:hAnsi="宋体"/>
          <w:sz w:val="24"/>
          <w:szCs w:val="24"/>
        </w:rPr>
        <w:t>二、在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p>
    <w:p>
      <w:pPr>
        <w:pStyle w:val="4"/>
        <w:spacing w:after="0" w:line="360" w:lineRule="auto"/>
        <w:rPr>
          <w:rFonts w:ascii="宋体" w:hAnsi="宋体" w:eastAsia="宋体"/>
          <w:b/>
        </w:rPr>
      </w:pPr>
      <w:bookmarkStart w:id="72" w:name="_Toc518494135"/>
      <w:bookmarkStart w:id="73" w:name="_Toc57731973"/>
      <w:r>
        <w:rPr>
          <w:rFonts w:hint="eastAsia" w:ascii="宋体" w:hAnsi="宋体" w:eastAsia="宋体"/>
          <w:b/>
        </w:rPr>
        <w:t>第七章  开标</w:t>
      </w:r>
      <w:bookmarkEnd w:id="72"/>
      <w:bookmarkEnd w:id="73"/>
    </w:p>
    <w:p>
      <w:pPr>
        <w:spacing w:line="360" w:lineRule="auto"/>
        <w:ind w:firstLine="480" w:firstLineChars="200"/>
        <w:rPr>
          <w:rFonts w:ascii="宋体" w:hAnsi="宋体"/>
          <w:sz w:val="24"/>
          <w:szCs w:val="24"/>
        </w:rPr>
      </w:pPr>
      <w:r>
        <w:rPr>
          <w:rFonts w:hint="eastAsia" w:ascii="宋体" w:hAnsi="宋体"/>
          <w:sz w:val="24"/>
          <w:szCs w:val="24"/>
        </w:rPr>
        <w:t>一、截标后首先进入开标环节，比选人将于参选须知所规定的时间和地点公开举行开标会议，所有参选人代表均可参加。</w:t>
      </w:r>
    </w:p>
    <w:p>
      <w:pPr>
        <w:spacing w:line="360" w:lineRule="auto"/>
        <w:ind w:firstLine="480" w:firstLineChars="200"/>
        <w:rPr>
          <w:rFonts w:ascii="宋体" w:hAnsi="宋体"/>
          <w:sz w:val="24"/>
          <w:szCs w:val="24"/>
        </w:rPr>
      </w:pPr>
      <w:r>
        <w:rPr>
          <w:rFonts w:hint="eastAsia" w:ascii="宋体" w:hAnsi="宋体"/>
          <w:sz w:val="24"/>
          <w:szCs w:val="24"/>
        </w:rPr>
        <w:t>二、若参选人参加开标现场会议，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sz w:val="24"/>
          <w:szCs w:val="24"/>
        </w:rPr>
      </w:pPr>
      <w:r>
        <w:rPr>
          <w:rFonts w:hint="eastAsia" w:ascii="宋体" w:hAnsi="宋体"/>
          <w:sz w:val="24"/>
          <w:szCs w:val="24"/>
        </w:rPr>
        <w:t>三、开标会议由比选人主持。</w:t>
      </w:r>
    </w:p>
    <w:p>
      <w:pPr>
        <w:spacing w:line="360" w:lineRule="auto"/>
        <w:ind w:firstLine="480" w:firstLineChars="200"/>
        <w:rPr>
          <w:rFonts w:ascii="宋体" w:hAnsi="宋体"/>
          <w:sz w:val="24"/>
          <w:szCs w:val="24"/>
        </w:rPr>
      </w:pPr>
      <w:r>
        <w:rPr>
          <w:rFonts w:hint="eastAsia" w:ascii="宋体" w:hAnsi="宋体"/>
          <w:sz w:val="24"/>
          <w:szCs w:val="24"/>
        </w:rPr>
        <w:t>四、由比选人监审人员及参选人监督检查所有参选文件的上传情况，也可以由比选人委托的公证机构进行检查并公证。</w:t>
      </w:r>
    </w:p>
    <w:p>
      <w:pPr>
        <w:spacing w:line="360" w:lineRule="auto"/>
        <w:ind w:firstLine="480" w:firstLineChars="200"/>
        <w:rPr>
          <w:rFonts w:ascii="宋体" w:hAnsi="宋体"/>
          <w:sz w:val="24"/>
          <w:szCs w:val="24"/>
        </w:rPr>
      </w:pPr>
      <w:r>
        <w:rPr>
          <w:rFonts w:hint="eastAsia" w:ascii="宋体" w:hAnsi="宋体"/>
          <w:sz w:val="24"/>
          <w:szCs w:val="24"/>
        </w:rPr>
        <w:t>五、</w:t>
      </w:r>
      <w:bookmarkStart w:id="74" w:name="_Hlk77375959"/>
      <w:r>
        <w:rPr>
          <w:rFonts w:hint="eastAsia" w:ascii="宋体" w:hAnsi="宋体"/>
          <w:sz w:val="24"/>
          <w:szCs w:val="24"/>
        </w:rPr>
        <w:t>经确认无误后，</w:t>
      </w:r>
      <w:bookmarkStart w:id="75" w:name="_Hlk77373092"/>
      <w:r>
        <w:rPr>
          <w:rFonts w:hint="eastAsia" w:ascii="宋体" w:hAnsi="宋体"/>
          <w:sz w:val="24"/>
          <w:szCs w:val="24"/>
        </w:rPr>
        <w:t>由比选人当众在线开启所有参选文件，先开技术标，再开商务标。比选人工作人员宣读参选人名称、参选报价等</w:t>
      </w:r>
      <w:bookmarkEnd w:id="74"/>
      <w:bookmarkEnd w:id="75"/>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hAnsi="宋体"/>
          <w:sz w:val="24"/>
          <w:szCs w:val="24"/>
        </w:rPr>
        <w:t>六、比选人将作开标记录，以存档备查。</w:t>
      </w:r>
    </w:p>
    <w:p>
      <w:pPr>
        <w:spacing w:line="360" w:lineRule="auto"/>
        <w:ind w:firstLine="480" w:firstLineChars="200"/>
        <w:rPr>
          <w:rFonts w:ascii="宋体" w:hAnsi="宋体"/>
          <w:sz w:val="24"/>
          <w:szCs w:val="24"/>
        </w:rPr>
      </w:pPr>
      <w:r>
        <w:rPr>
          <w:rFonts w:hint="eastAsia" w:ascii="宋体" w:hAnsi="宋体"/>
          <w:sz w:val="24"/>
          <w:szCs w:val="24"/>
        </w:rPr>
        <w:t>七、按本须知规定宣布为不予受理情形的参选文件，不予送交评标委员会评审。</w:t>
      </w:r>
    </w:p>
    <w:p>
      <w:pPr>
        <w:spacing w:line="360" w:lineRule="auto"/>
        <w:ind w:firstLine="480" w:firstLineChars="200"/>
        <w:rPr>
          <w:rFonts w:ascii="宋体" w:hAnsi="宋体"/>
          <w:sz w:val="24"/>
          <w:szCs w:val="24"/>
        </w:rPr>
      </w:pPr>
      <w:r>
        <w:rPr>
          <w:rFonts w:hint="eastAsia" w:ascii="宋体" w:hAnsi="宋体"/>
          <w:sz w:val="24"/>
          <w:szCs w:val="24"/>
        </w:rPr>
        <w:t>八、开标结束后，进入评标环节。根据评标“先评技术标，再评商务标”的原则，比选人先仅将技术标书移交评标委员会,待技术标书评审完成后再移交商务标书。</w:t>
      </w:r>
    </w:p>
    <w:p>
      <w:pPr>
        <w:spacing w:line="360" w:lineRule="auto"/>
        <w:ind w:firstLine="482" w:firstLineChars="200"/>
        <w:rPr>
          <w:rFonts w:ascii="宋体" w:hAnsi="宋体"/>
          <w:b/>
          <w:sz w:val="24"/>
          <w:szCs w:val="24"/>
        </w:rPr>
      </w:pPr>
      <w:r>
        <w:rPr>
          <w:rFonts w:hint="eastAsia" w:ascii="宋体" w:hAnsi="宋体"/>
          <w:b/>
          <w:sz w:val="24"/>
          <w:szCs w:val="24"/>
        </w:rPr>
        <w:t>九、参选文件有下列情形之一的，比选人将不予受理：</w:t>
      </w:r>
    </w:p>
    <w:p>
      <w:pPr>
        <w:spacing w:line="360" w:lineRule="auto"/>
        <w:ind w:firstLine="480" w:firstLineChars="200"/>
        <w:rPr>
          <w:rFonts w:ascii="宋体" w:hAnsi="宋体"/>
          <w:b/>
          <w:sz w:val="24"/>
          <w:szCs w:val="24"/>
        </w:rPr>
      </w:pPr>
      <w:r>
        <w:rPr>
          <w:rFonts w:hint="eastAsia" w:ascii="宋体" w:hAnsi="宋体"/>
          <w:sz w:val="24"/>
          <w:szCs w:val="24"/>
        </w:rPr>
        <w:t>（1）参选文件在规定的参选截止时间以后送达的或者未送达指定地点的；</w:t>
      </w:r>
    </w:p>
    <w:p>
      <w:pPr>
        <w:spacing w:line="360" w:lineRule="auto"/>
        <w:ind w:firstLine="480" w:firstLineChars="200"/>
        <w:rPr>
          <w:rFonts w:ascii="宋体" w:hAnsi="宋体"/>
          <w:sz w:val="24"/>
          <w:szCs w:val="24"/>
        </w:rPr>
      </w:pPr>
      <w:r>
        <w:rPr>
          <w:rFonts w:hint="eastAsia" w:ascii="宋体" w:hAnsi="宋体"/>
          <w:sz w:val="24"/>
          <w:szCs w:val="24"/>
        </w:rPr>
        <w:t>（2）参选文件未按规定编制并加盖参选人公章的；</w:t>
      </w:r>
    </w:p>
    <w:p>
      <w:pPr>
        <w:widowControl/>
        <w:overflowPunct w:val="0"/>
        <w:autoSpaceDE w:val="0"/>
        <w:autoSpaceDN w:val="0"/>
        <w:adjustRightInd w:val="0"/>
        <w:snapToGrid w:val="0"/>
        <w:spacing w:line="360" w:lineRule="auto"/>
        <w:ind w:firstLine="482" w:firstLineChars="200"/>
        <w:textAlignment w:val="baseline"/>
        <w:rPr>
          <w:rFonts w:ascii="宋体" w:hAnsi="宋体"/>
          <w:b/>
          <w:sz w:val="24"/>
        </w:rPr>
      </w:pPr>
      <w:r>
        <w:rPr>
          <w:rFonts w:hint="eastAsia" w:ascii="宋体" w:hAnsi="宋体"/>
          <w:b/>
          <w:sz w:val="24"/>
        </w:rPr>
        <w:t>参选人如对比选文件及参选文件的编制有疑问，请主动及时地联系比选人。</w:t>
      </w:r>
    </w:p>
    <w:p>
      <w:pPr>
        <w:pStyle w:val="4"/>
        <w:spacing w:after="0" w:line="360" w:lineRule="auto"/>
        <w:rPr>
          <w:rFonts w:ascii="宋体" w:hAnsi="宋体" w:eastAsia="宋体"/>
          <w:b/>
        </w:rPr>
      </w:pPr>
      <w:bookmarkStart w:id="76" w:name="_Toc518494136"/>
      <w:bookmarkStart w:id="77" w:name="_Toc57731974"/>
      <w:r>
        <w:rPr>
          <w:rFonts w:hint="eastAsia" w:ascii="宋体" w:hAnsi="宋体" w:eastAsia="宋体"/>
          <w:b/>
        </w:rPr>
        <w:t>第八章 评标</w:t>
      </w:r>
      <w:bookmarkEnd w:id="76"/>
      <w:bookmarkEnd w:id="77"/>
    </w:p>
    <w:p>
      <w:pPr>
        <w:pStyle w:val="237"/>
        <w:spacing w:line="360" w:lineRule="auto"/>
        <w:ind w:firstLine="480" w:firstLineChars="200"/>
        <w:rPr>
          <w:rFonts w:ascii="宋体" w:hAnsi="宋体"/>
          <w:bCs/>
          <w:sz w:val="24"/>
          <w:szCs w:val="24"/>
        </w:rPr>
      </w:pPr>
      <w:bookmarkStart w:id="78" w:name="_Hlk77373757"/>
      <w:r>
        <w:rPr>
          <w:rFonts w:hint="eastAsia" w:ascii="宋体" w:hAnsi="宋体"/>
          <w:bCs/>
          <w:sz w:val="24"/>
          <w:szCs w:val="24"/>
        </w:rPr>
        <w:t xml:space="preserve">一、开标完成结束后，进入评标环节。评标委员会由比选人组建，采用“综合评估法”，先评技术标，再评商务标，满分为100分，其中：技术标50分，商务标50分。评标方法及评分标准详见附件《评标办法》。 </w:t>
      </w:r>
    </w:p>
    <w:p>
      <w:pPr>
        <w:spacing w:line="360" w:lineRule="auto"/>
        <w:ind w:firstLine="480" w:firstLineChars="200"/>
        <w:rPr>
          <w:rFonts w:ascii="宋体" w:hAnsi="宋体"/>
          <w:bCs/>
          <w:sz w:val="24"/>
          <w:szCs w:val="24"/>
        </w:rPr>
      </w:pPr>
      <w:r>
        <w:rPr>
          <w:rFonts w:hint="eastAsia" w:ascii="宋体" w:hAnsi="宋体"/>
          <w:bCs/>
          <w:sz w:val="24"/>
          <w:szCs w:val="24"/>
        </w:rPr>
        <w:t>二、评标</w:t>
      </w:r>
      <w:bookmarkEnd w:id="78"/>
    </w:p>
    <w:p>
      <w:pPr>
        <w:spacing w:line="360" w:lineRule="auto"/>
        <w:ind w:firstLine="480" w:firstLineChars="200"/>
        <w:rPr>
          <w:rFonts w:ascii="宋体" w:hAnsi="宋体"/>
          <w:bCs/>
          <w:sz w:val="24"/>
          <w:szCs w:val="24"/>
        </w:rPr>
      </w:pPr>
      <w:r>
        <w:rPr>
          <w:rFonts w:hint="eastAsia" w:ascii="宋体" w:hAnsi="宋体"/>
          <w:bCs/>
          <w:sz w:val="24"/>
          <w:szCs w:val="24"/>
        </w:rPr>
        <w:t>1.评标分2个阶段进行，先评技术标，再评商务标。</w:t>
      </w:r>
    </w:p>
    <w:p>
      <w:pPr>
        <w:ind w:firstLine="482"/>
        <w:rPr>
          <w:rFonts w:ascii="宋体" w:hAnsi="宋体"/>
          <w:bCs/>
          <w:sz w:val="24"/>
          <w:szCs w:val="24"/>
        </w:rPr>
      </w:pPr>
      <w:r>
        <w:rPr>
          <w:rFonts w:hint="eastAsia" w:ascii="宋体" w:hAnsi="宋体"/>
          <w:b/>
          <w:sz w:val="24"/>
          <w:szCs w:val="24"/>
        </w:rPr>
        <w:t>技术标评审</w:t>
      </w:r>
      <w:r>
        <w:rPr>
          <w:rFonts w:hint="eastAsia" w:ascii="宋体" w:hAnsi="宋体"/>
          <w:bCs/>
          <w:sz w:val="24"/>
          <w:szCs w:val="24"/>
        </w:rPr>
        <w:t>：</w:t>
      </w:r>
    </w:p>
    <w:p>
      <w:pPr>
        <w:spacing w:line="360" w:lineRule="auto"/>
        <w:ind w:left="420" w:leftChars="200"/>
        <w:rPr>
          <w:rFonts w:ascii="宋体" w:hAnsi="宋体"/>
          <w:bCs/>
          <w:sz w:val="24"/>
          <w:szCs w:val="24"/>
        </w:rPr>
      </w:pPr>
      <w:r>
        <w:rPr>
          <w:rFonts w:hint="eastAsia" w:ascii="宋体" w:hAnsi="宋体"/>
          <w:bCs/>
          <w:sz w:val="24"/>
          <w:szCs w:val="24"/>
        </w:rPr>
        <w:t>（1）第一阶段，先将所有合格参选文件的技术标书移交至评标委员会，评标委员会对参选文件的技术标书进行初步评审（有效性审查），只有通过初步评审的技术标书才有资格进入下一步的详细评审。</w:t>
      </w:r>
    </w:p>
    <w:p>
      <w:pPr>
        <w:spacing w:line="360" w:lineRule="auto"/>
        <w:ind w:firstLine="480" w:firstLineChars="200"/>
        <w:rPr>
          <w:rFonts w:ascii="宋体" w:hAnsi="宋体"/>
          <w:bCs/>
          <w:sz w:val="24"/>
          <w:szCs w:val="24"/>
        </w:rPr>
      </w:pPr>
      <w:r>
        <w:rPr>
          <w:rFonts w:hint="eastAsia" w:ascii="宋体" w:hAnsi="宋体"/>
          <w:bCs/>
          <w:sz w:val="24"/>
          <w:szCs w:val="24"/>
        </w:rPr>
        <w:t>（2）评标委员会否决无效标或者界定为废标后，有效参选人不足3家的，比选人宣布本次比选失败，重新组织比选。（3）评标委员会按照评审标准对合格参选文件的技术标进行详细评审（详见评审附表），评审完成后，评审分数不得再更改。经评审后，技术标得分前4名的有效参选人方可进入下一阶段商务标的评审（若出现得分并列导致大于4家的情况，则并列的有效参选人共同进入下一阶段商务标的评审）</w:t>
      </w:r>
    </w:p>
    <w:p>
      <w:pPr>
        <w:spacing w:line="360" w:lineRule="auto"/>
        <w:ind w:firstLine="482"/>
        <w:rPr>
          <w:rFonts w:ascii="宋体" w:hAnsi="宋体"/>
          <w:b/>
          <w:sz w:val="24"/>
          <w:szCs w:val="24"/>
        </w:rPr>
      </w:pPr>
      <w:r>
        <w:rPr>
          <w:rFonts w:hint="eastAsia" w:ascii="宋体" w:hAnsi="宋体"/>
          <w:b/>
          <w:sz w:val="24"/>
          <w:szCs w:val="24"/>
        </w:rPr>
        <w:t>商务标评审：</w:t>
      </w:r>
    </w:p>
    <w:p>
      <w:pPr>
        <w:spacing w:line="360" w:lineRule="auto"/>
        <w:ind w:left="420" w:leftChars="200"/>
        <w:rPr>
          <w:rFonts w:ascii="宋体" w:hAnsi="宋体"/>
          <w:bCs/>
          <w:sz w:val="24"/>
          <w:szCs w:val="24"/>
        </w:rPr>
      </w:pPr>
      <w:r>
        <w:rPr>
          <w:rFonts w:hint="eastAsia" w:ascii="宋体" w:hAnsi="宋体"/>
          <w:bCs/>
          <w:sz w:val="24"/>
          <w:szCs w:val="24"/>
        </w:rPr>
        <w:t>1.技术标评审结束后，将技术标前4名（包括并列前4名）参选人的商务标移交至评标委员会。当出现以下情况，评标委员会将对参选报价进行调整：</w:t>
      </w:r>
    </w:p>
    <w:p>
      <w:pPr>
        <w:spacing w:line="360" w:lineRule="auto"/>
        <w:ind w:left="420" w:leftChars="200"/>
        <w:rPr>
          <w:rFonts w:ascii="宋体" w:hAnsi="宋体"/>
          <w:bCs/>
          <w:sz w:val="24"/>
          <w:szCs w:val="24"/>
        </w:rPr>
      </w:pPr>
      <w:r>
        <w:rPr>
          <w:rFonts w:hint="eastAsia" w:ascii="宋体" w:hAnsi="宋体"/>
          <w:bCs/>
          <w:sz w:val="24"/>
          <w:szCs w:val="24"/>
        </w:rPr>
        <w:t>①参选文件中大写金额与小写金额不一致的，以价低的为准；</w:t>
      </w:r>
    </w:p>
    <w:p>
      <w:pPr>
        <w:spacing w:line="360" w:lineRule="auto"/>
        <w:ind w:left="420" w:leftChars="200"/>
        <w:rPr>
          <w:rFonts w:ascii="宋体" w:hAnsi="宋体"/>
          <w:bCs/>
          <w:sz w:val="24"/>
          <w:szCs w:val="24"/>
        </w:rPr>
      </w:pPr>
      <w:r>
        <w:rPr>
          <w:rFonts w:hint="eastAsia" w:ascii="宋体" w:hAnsi="宋体"/>
          <w:bCs/>
          <w:sz w:val="24"/>
          <w:szCs w:val="24"/>
        </w:rPr>
        <w:t>②比选人认为参选人为履行本合同而提供的产品和相关服务的知识产权、版权费等第三者费用、根据法律由乙方支付的税费、保险费、合同文本、研究成果等资料的印刷费等已包含在参选人的参选报价中。</w:t>
      </w:r>
    </w:p>
    <w:p>
      <w:pPr>
        <w:spacing w:line="360" w:lineRule="auto"/>
        <w:ind w:left="420" w:leftChars="200"/>
        <w:rPr>
          <w:rFonts w:ascii="宋体" w:hAnsi="宋体"/>
          <w:bCs/>
          <w:sz w:val="24"/>
          <w:szCs w:val="24"/>
        </w:rPr>
      </w:pPr>
      <w:r>
        <w:rPr>
          <w:rFonts w:hint="eastAsia" w:ascii="宋体" w:hAnsi="宋体"/>
          <w:bCs/>
          <w:sz w:val="24"/>
          <w:szCs w:val="24"/>
        </w:rPr>
        <w:t>③其他情况均按照价格审核计算后，以不利于参选人的原则予以调整。</w:t>
      </w:r>
    </w:p>
    <w:p>
      <w:pPr>
        <w:spacing w:line="360" w:lineRule="auto"/>
        <w:ind w:left="420" w:leftChars="200"/>
        <w:rPr>
          <w:rFonts w:ascii="宋体" w:hAnsi="宋体"/>
          <w:bCs/>
          <w:sz w:val="24"/>
          <w:szCs w:val="24"/>
        </w:rPr>
      </w:pPr>
      <w:r>
        <w:rPr>
          <w:rFonts w:hint="eastAsia" w:ascii="宋体" w:hAnsi="宋体"/>
          <w:bCs/>
          <w:sz w:val="24"/>
          <w:szCs w:val="24"/>
        </w:rPr>
        <w:t>评标委员会对参选报价进行调整后，按照商务标计算公式，完成商务标分数计算。</w:t>
      </w:r>
    </w:p>
    <w:p>
      <w:pPr>
        <w:pStyle w:val="141"/>
        <w:tabs>
          <w:tab w:val="left" w:pos="993"/>
        </w:tabs>
        <w:spacing w:line="360" w:lineRule="auto"/>
        <w:ind w:firstLine="480"/>
        <w:rPr>
          <w:rFonts w:ascii="宋体" w:hAnsi="宋体"/>
          <w:bCs/>
          <w:sz w:val="24"/>
          <w:szCs w:val="24"/>
        </w:rPr>
      </w:pPr>
      <w:r>
        <w:rPr>
          <w:rFonts w:hint="eastAsia" w:ascii="宋体" w:hAnsi="宋体"/>
          <w:bCs/>
          <w:sz w:val="24"/>
          <w:szCs w:val="24"/>
        </w:rPr>
        <w:t>2.汇总技术标得分和商务标得分后，评标委员会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标委员会推荐一名中选候选人，并形成评标报告。</w:t>
      </w:r>
    </w:p>
    <w:p>
      <w:pPr>
        <w:pStyle w:val="4"/>
        <w:spacing w:after="0" w:line="360" w:lineRule="auto"/>
        <w:rPr>
          <w:rFonts w:ascii="宋体" w:hAnsi="宋体" w:eastAsia="宋体"/>
          <w:b/>
        </w:rPr>
      </w:pPr>
      <w:bookmarkStart w:id="79" w:name="_Toc434234592"/>
      <w:bookmarkStart w:id="80" w:name="_Toc290560899"/>
      <w:bookmarkStart w:id="81" w:name="_Toc197404913"/>
      <w:bookmarkStart w:id="82" w:name="_Toc518494137"/>
      <w:bookmarkStart w:id="83" w:name="_Toc388259588"/>
      <w:bookmarkStart w:id="84" w:name="_Toc57731975"/>
      <w:r>
        <w:rPr>
          <w:rFonts w:hint="eastAsia" w:ascii="宋体" w:hAnsi="宋体" w:eastAsia="宋体"/>
          <w:b/>
        </w:rPr>
        <w:t>第九章  确定中选人</w:t>
      </w:r>
      <w:bookmarkEnd w:id="79"/>
      <w:bookmarkEnd w:id="80"/>
      <w:bookmarkEnd w:id="81"/>
      <w:bookmarkEnd w:id="82"/>
      <w:bookmarkEnd w:id="83"/>
      <w:bookmarkEnd w:id="84"/>
    </w:p>
    <w:p>
      <w:pPr>
        <w:pStyle w:val="24"/>
        <w:adjustRightInd/>
        <w:snapToGrid w:val="0"/>
        <w:spacing w:line="360" w:lineRule="auto"/>
        <w:ind w:firstLine="480" w:firstLineChars="200"/>
        <w:rPr>
          <w:rFonts w:hAnsi="宋体"/>
          <w:bCs/>
          <w:sz w:val="24"/>
          <w:szCs w:val="22"/>
        </w:rPr>
      </w:pPr>
      <w:r>
        <w:rPr>
          <w:rFonts w:hint="eastAsia" w:hAnsi="宋体"/>
          <w:bCs/>
          <w:sz w:val="24"/>
        </w:rPr>
        <w:t>一、比选人根据评标委员会提出的书面评标报告，在对推荐的中选候选人的参选文件进行审核后，确定中选人。</w:t>
      </w:r>
    </w:p>
    <w:p>
      <w:pPr>
        <w:pStyle w:val="24"/>
        <w:adjustRightInd/>
        <w:snapToGrid w:val="0"/>
        <w:spacing w:line="360" w:lineRule="auto"/>
        <w:ind w:firstLine="480" w:firstLineChars="200"/>
        <w:rPr>
          <w:rFonts w:hAnsi="宋体"/>
          <w:bCs/>
          <w:sz w:val="24"/>
        </w:rPr>
      </w:pPr>
      <w:r>
        <w:rPr>
          <w:rFonts w:hint="eastAsia" w:hAnsi="宋体"/>
          <w:bCs/>
          <w:sz w:val="24"/>
        </w:rPr>
        <w:t>二、比选人在发出中选通知书前的任何时候，有权依据评标委员会的评标报告接受或拒绝任何参选，而且比选人不承担因此产生的任何责任，也无须将这样做的理由通知参选人。</w:t>
      </w:r>
    </w:p>
    <w:p>
      <w:pPr>
        <w:pStyle w:val="24"/>
        <w:adjustRightInd/>
        <w:snapToGrid w:val="0"/>
        <w:spacing w:line="360" w:lineRule="auto"/>
        <w:ind w:firstLine="480" w:firstLineChars="200"/>
        <w:rPr>
          <w:rFonts w:hAnsi="宋体"/>
          <w:bCs/>
          <w:sz w:val="24"/>
        </w:rPr>
      </w:pPr>
      <w:r>
        <w:rPr>
          <w:rFonts w:hint="eastAsia" w:hAnsi="宋体"/>
          <w:bCs/>
          <w:sz w:val="24"/>
        </w:rPr>
        <w:t>三、在参选有效期内，比选人将中选结果在“深圳地铁官网”、“国资委阳光采购平台”、“深铁招采网”公示，公示</w:t>
      </w:r>
      <w:r>
        <w:rPr>
          <w:rFonts w:hint="eastAsia" w:hAnsi="宋体"/>
          <w:b/>
          <w:bCs/>
          <w:sz w:val="24"/>
          <w:u w:val="single"/>
        </w:rPr>
        <w:t>3个工作日</w:t>
      </w:r>
      <w:r>
        <w:rPr>
          <w:rFonts w:hint="eastAsia" w:hAnsi="宋体"/>
          <w:bCs/>
          <w:sz w:val="24"/>
        </w:rPr>
        <w:t>无异议的，比选人将向中选候选人发出中选通知书。</w:t>
      </w:r>
    </w:p>
    <w:p>
      <w:pPr>
        <w:pStyle w:val="4"/>
        <w:spacing w:after="0" w:line="360" w:lineRule="auto"/>
        <w:rPr>
          <w:rFonts w:ascii="宋体" w:hAnsi="宋体" w:eastAsia="宋体"/>
          <w:b/>
        </w:rPr>
      </w:pPr>
      <w:bookmarkStart w:id="85" w:name="_Toc57731976"/>
      <w:bookmarkStart w:id="86" w:name="_Toc518494138"/>
      <w:r>
        <w:rPr>
          <w:rFonts w:hint="eastAsia" w:ascii="宋体" w:hAnsi="宋体" w:eastAsia="宋体"/>
          <w:b/>
        </w:rPr>
        <w:t>第十章  合同的授予</w:t>
      </w:r>
      <w:bookmarkEnd w:id="85"/>
      <w:bookmarkEnd w:id="86"/>
    </w:p>
    <w:p>
      <w:pPr>
        <w:pStyle w:val="19"/>
        <w:tabs>
          <w:tab w:val="left" w:pos="1050"/>
        </w:tabs>
        <w:spacing w:line="360" w:lineRule="auto"/>
        <w:ind w:left="0" w:leftChars="0" w:firstLine="480" w:firstLineChars="200"/>
        <w:rPr>
          <w:rFonts w:ascii="宋体" w:hAnsi="宋体"/>
          <w:sz w:val="24"/>
        </w:rPr>
      </w:pPr>
      <w:r>
        <w:rPr>
          <w:rFonts w:hint="eastAsia" w:ascii="宋体" w:hAnsi="宋体"/>
          <w:sz w:val="24"/>
        </w:rPr>
        <w:t>一、比选人与中选人将于中选通知书发出之日起3</w:t>
      </w:r>
      <w:r>
        <w:rPr>
          <w:rFonts w:hint="eastAsia" w:ascii="宋体" w:hAnsi="宋体"/>
          <w:b/>
          <w:bCs/>
          <w:sz w:val="24"/>
        </w:rPr>
        <w:t>0日</w:t>
      </w:r>
      <w:r>
        <w:rPr>
          <w:rFonts w:hint="eastAsia" w:ascii="宋体" w:hAnsi="宋体"/>
          <w:sz w:val="24"/>
        </w:rPr>
        <w:t>内，根据比选文件和中选人的参选文件签订合同。</w:t>
      </w:r>
    </w:p>
    <w:p>
      <w:pPr>
        <w:pStyle w:val="19"/>
        <w:tabs>
          <w:tab w:val="left" w:pos="1050"/>
        </w:tabs>
        <w:spacing w:line="360" w:lineRule="auto"/>
        <w:ind w:left="0" w:leftChars="0" w:firstLine="480" w:firstLineChars="200"/>
        <w:rPr>
          <w:rFonts w:ascii="宋体" w:hAnsi="宋体"/>
          <w:sz w:val="24"/>
        </w:rPr>
      </w:pPr>
      <w:r>
        <w:rPr>
          <w:rFonts w:hint="eastAsia" w:ascii="宋体" w:hAnsi="宋体"/>
          <w:sz w:val="24"/>
        </w:rPr>
        <w:t>二、比选人与中选人签订的合同必须遵守本比选文件的合同条件，并且对合同条款不做实质性更改。</w:t>
      </w:r>
    </w:p>
    <w:p>
      <w:pPr>
        <w:pStyle w:val="19"/>
        <w:tabs>
          <w:tab w:val="left" w:pos="1050"/>
        </w:tabs>
        <w:spacing w:line="360" w:lineRule="auto"/>
        <w:ind w:left="0" w:leftChars="0" w:firstLine="480" w:firstLineChars="200"/>
        <w:rPr>
          <w:rFonts w:ascii="宋体" w:hAnsi="宋体"/>
          <w:sz w:val="24"/>
        </w:rPr>
      </w:pPr>
      <w:r>
        <w:rPr>
          <w:rFonts w:hint="eastAsia" w:ascii="宋体" w:hAnsi="宋体"/>
          <w:sz w:val="24"/>
        </w:rPr>
        <w:t>三、中选人如不按规定与比选人签订合同，则比选人将有充分的理由废除中选，保留要求乙方赔偿损失、承担相应法律责任的权力。比选人可以按比选工作小组提出的中选候选人名单排名，依次重新确定中选人候选人。依次确定其他中选候选人与比选人的预期差距较大的，或者对比选人明显不利的，比选人可以重新比选。</w:t>
      </w:r>
    </w:p>
    <w:p>
      <w:pPr>
        <w:spacing w:line="360" w:lineRule="auto"/>
        <w:ind w:firstLine="480" w:firstLineChars="200"/>
        <w:rPr>
          <w:rFonts w:ascii="宋体" w:hAnsi="宋体"/>
          <w:sz w:val="24"/>
          <w:szCs w:val="24"/>
        </w:rPr>
      </w:pPr>
      <w:r>
        <w:rPr>
          <w:rFonts w:hint="eastAsia" w:ascii="宋体" w:hAnsi="宋体"/>
          <w:sz w:val="24"/>
        </w:rPr>
        <w:t>四</w:t>
      </w:r>
      <w:r>
        <w:rPr>
          <w:rFonts w:ascii="宋体" w:hAnsi="宋体"/>
          <w:sz w:val="24"/>
        </w:rPr>
        <w:t>、</w:t>
      </w:r>
      <w:bookmarkEnd w:id="59"/>
      <w:bookmarkEnd w:id="60"/>
      <w:bookmarkStart w:id="87" w:name="_Toc399494429"/>
      <w:bookmarkStart w:id="88" w:name="_Toc57731977"/>
      <w:bookmarkStart w:id="89" w:name="_Toc518494139"/>
      <w:bookmarkStart w:id="90" w:name="_Toc197404912"/>
      <w:r>
        <w:rPr>
          <w:rFonts w:hint="eastAsia" w:ascii="宋体" w:hAnsi="宋体" w:cs="宋体"/>
          <w:sz w:val="24"/>
          <w:szCs w:val="24"/>
          <w:lang w:eastAsia="zh-Hans"/>
        </w:rPr>
        <w:t>签约主体</w:t>
      </w:r>
      <w:r>
        <w:rPr>
          <w:rFonts w:hint="eastAsia" w:ascii="宋体" w:hAnsi="宋体"/>
          <w:sz w:val="24"/>
          <w:szCs w:val="24"/>
        </w:rPr>
        <w:t>：中选人后续与各项目实际开发主体深圳市地铁集团有限公司/深圳地铁前海国际发展有限公司签订合同。</w:t>
      </w:r>
    </w:p>
    <w:p>
      <w:pPr>
        <w:pStyle w:val="4"/>
        <w:spacing w:after="0" w:line="360" w:lineRule="auto"/>
        <w:jc w:val="both"/>
      </w:pPr>
    </w:p>
    <w:p>
      <w:pPr>
        <w:pStyle w:val="4"/>
        <w:spacing w:after="0" w:line="360" w:lineRule="auto"/>
      </w:pPr>
      <w:r>
        <w:rPr>
          <w:rFonts w:hint="eastAsia"/>
        </w:rPr>
        <w:t>附件：评标</w:t>
      </w:r>
      <w:bookmarkEnd w:id="87"/>
      <w:r>
        <w:rPr>
          <w:rFonts w:hint="eastAsia"/>
        </w:rPr>
        <w:t>办法</w:t>
      </w:r>
      <w:bookmarkEnd w:id="88"/>
      <w:bookmarkEnd w:id="89"/>
    </w:p>
    <w:p>
      <w:pPr>
        <w:keepNext/>
        <w:keepLines/>
        <w:tabs>
          <w:tab w:val="left" w:pos="1260"/>
        </w:tabs>
        <w:adjustRightInd w:val="0"/>
        <w:spacing w:after="260" w:line="360" w:lineRule="auto"/>
        <w:ind w:firstLine="482" w:firstLineChars="200"/>
        <w:textAlignment w:val="baseline"/>
        <w:outlineLvl w:val="2"/>
        <w:rPr>
          <w:rFonts w:ascii="宋体" w:hAnsi="宋体"/>
          <w:b/>
          <w:kern w:val="0"/>
          <w:sz w:val="24"/>
          <w:szCs w:val="24"/>
        </w:rPr>
      </w:pPr>
      <w:bookmarkStart w:id="91" w:name="_Toc276575939"/>
      <w:bookmarkStart w:id="92" w:name="_Toc518494140"/>
      <w:bookmarkStart w:id="93" w:name="_Toc57731978"/>
      <w:r>
        <w:rPr>
          <w:rFonts w:hint="eastAsia" w:ascii="宋体" w:hAnsi="宋体"/>
          <w:b/>
          <w:kern w:val="0"/>
          <w:sz w:val="24"/>
          <w:szCs w:val="24"/>
        </w:rPr>
        <w:t>一、总</w:t>
      </w:r>
      <w:bookmarkEnd w:id="91"/>
      <w:bookmarkEnd w:id="92"/>
      <w:r>
        <w:rPr>
          <w:rFonts w:hint="eastAsia" w:ascii="宋体" w:hAnsi="宋体"/>
          <w:b/>
          <w:kern w:val="0"/>
          <w:sz w:val="24"/>
          <w:szCs w:val="24"/>
        </w:rPr>
        <w:t>则</w:t>
      </w:r>
      <w:bookmarkEnd w:id="93"/>
    </w:p>
    <w:p>
      <w:pPr>
        <w:spacing w:line="360" w:lineRule="auto"/>
        <w:ind w:firstLine="480" w:firstLineChars="200"/>
        <w:rPr>
          <w:rFonts w:ascii="宋体" w:hAnsi="宋体"/>
          <w:sz w:val="24"/>
          <w:szCs w:val="24"/>
        </w:rPr>
      </w:pPr>
      <w:r>
        <w:rPr>
          <w:rFonts w:hint="eastAsia" w:ascii="宋体" w:hAnsi="宋体"/>
          <w:sz w:val="24"/>
          <w:szCs w:val="24"/>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94" w:name="_Toc518494141"/>
      <w:bookmarkStart w:id="95" w:name="_Toc57731979"/>
      <w:r>
        <w:rPr>
          <w:rFonts w:hint="eastAsia" w:ascii="宋体" w:hAnsi="宋体"/>
          <w:b/>
          <w:kern w:val="0"/>
          <w:sz w:val="24"/>
          <w:szCs w:val="24"/>
        </w:rPr>
        <w:t>二、评定标组织</w:t>
      </w:r>
      <w:bookmarkEnd w:id="94"/>
      <w:bookmarkEnd w:id="95"/>
    </w:p>
    <w:p>
      <w:pPr>
        <w:tabs>
          <w:tab w:val="left" w:pos="420"/>
        </w:tabs>
        <w:spacing w:line="360" w:lineRule="auto"/>
        <w:ind w:firstLine="480" w:firstLineChars="200"/>
        <w:rPr>
          <w:rFonts w:ascii="宋体" w:hAnsi="宋体"/>
          <w:sz w:val="24"/>
          <w:szCs w:val="24"/>
        </w:rPr>
      </w:pPr>
      <w:r>
        <w:rPr>
          <w:rFonts w:hint="eastAsia" w:ascii="宋体" w:hAnsi="宋体"/>
          <w:sz w:val="24"/>
          <w:szCs w:val="24"/>
        </w:rPr>
        <w:t>（一）评标委员会组成</w:t>
      </w:r>
    </w:p>
    <w:p>
      <w:pPr>
        <w:spacing w:line="360" w:lineRule="auto"/>
        <w:ind w:firstLine="480" w:firstLineChars="200"/>
        <w:rPr>
          <w:rFonts w:ascii="宋体" w:hAnsi="宋体"/>
          <w:sz w:val="24"/>
          <w:szCs w:val="24"/>
        </w:rPr>
      </w:pPr>
      <w:r>
        <w:rPr>
          <w:rFonts w:hint="eastAsia" w:ascii="宋体" w:hAnsi="宋体"/>
          <w:sz w:val="24"/>
          <w:szCs w:val="24"/>
        </w:rPr>
        <w:t>评标委员会由比选人组建，评标委员会由7名成员组成。（二）评标委员会职责</w:t>
      </w:r>
    </w:p>
    <w:p>
      <w:pPr>
        <w:spacing w:line="360" w:lineRule="auto"/>
        <w:ind w:firstLine="480" w:firstLineChars="200"/>
        <w:rPr>
          <w:rFonts w:ascii="宋体" w:hAnsi="宋体"/>
          <w:sz w:val="24"/>
          <w:szCs w:val="24"/>
        </w:rPr>
      </w:pPr>
      <w:r>
        <w:rPr>
          <w:rFonts w:hint="eastAsia" w:ascii="宋体" w:hAnsi="宋体"/>
          <w:sz w:val="24"/>
          <w:szCs w:val="24"/>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sz w:val="24"/>
          <w:szCs w:val="24"/>
        </w:rPr>
      </w:pPr>
      <w:r>
        <w:rPr>
          <w:rFonts w:hint="eastAsia" w:ascii="宋体" w:hAnsi="宋体"/>
          <w:sz w:val="24"/>
          <w:szCs w:val="24"/>
        </w:rPr>
        <w:t>（三）评标过程由比选人派出监督专员负责监督比选、评标全过程。</w:t>
      </w:r>
    </w:p>
    <w:p>
      <w:pPr>
        <w:spacing w:line="360" w:lineRule="auto"/>
        <w:ind w:firstLine="480" w:firstLineChars="200"/>
        <w:rPr>
          <w:rFonts w:ascii="宋体" w:hAnsi="宋体"/>
          <w:sz w:val="24"/>
          <w:szCs w:val="24"/>
        </w:rPr>
      </w:pPr>
      <w:r>
        <w:rPr>
          <w:rFonts w:hint="eastAsia" w:ascii="宋体" w:hAnsi="宋体"/>
          <w:sz w:val="24"/>
          <w:szCs w:val="24"/>
        </w:rPr>
        <w:t>（四）评标过程的会务工作由本次比选工作小组成员负责。</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96" w:name="_Toc518494142"/>
      <w:bookmarkStart w:id="97" w:name="_Toc57731980"/>
      <w:r>
        <w:rPr>
          <w:rFonts w:hint="eastAsia" w:ascii="宋体" w:hAnsi="宋体"/>
          <w:b/>
          <w:kern w:val="0"/>
          <w:sz w:val="24"/>
          <w:szCs w:val="24"/>
        </w:rPr>
        <w:t>三、评标方法与程序</w:t>
      </w:r>
      <w:bookmarkEnd w:id="96"/>
      <w:bookmarkEnd w:id="97"/>
    </w:p>
    <w:p>
      <w:pPr>
        <w:numPr>
          <w:ilvl w:val="0"/>
          <w:numId w:val="6"/>
        </w:numPr>
        <w:spacing w:line="360" w:lineRule="auto"/>
        <w:ind w:left="0" w:firstLine="480" w:firstLineChars="200"/>
        <w:rPr>
          <w:rFonts w:ascii="宋体" w:hAnsi="宋体"/>
          <w:bCs/>
          <w:sz w:val="24"/>
          <w:szCs w:val="24"/>
        </w:rPr>
      </w:pPr>
      <w:r>
        <w:rPr>
          <w:rFonts w:hint="eastAsia" w:ascii="宋体" w:hAnsi="宋体"/>
          <w:bCs/>
          <w:sz w:val="24"/>
          <w:szCs w:val="24"/>
        </w:rPr>
        <w:t>本次评标采用“综合评分法”，先评技术标，再评商务标，满分为100分，其中：技术标50分，商务标50分。评标委员会先按照技术标评分标准对各参选人技术文件进行打分，各评委评分的算术平均值为该参选人技术标得分。然后评标委员会再按照商务标计算公式对各参选人商务报价进行评分，最后汇总参选人技术及商务标得分，并按照参选人的最终得分值由高到低排列名次，推荐排名第一的参选人为中选候选人。若最终得分相同的，以技术标得分高者排在先；若技术标得分相同的（以保留小数点后两位且四舍五入为准），以商务标报价低者排在先；若报价相同的，以抽签的形式确定中选候选人。最终，评标委员会推荐一名中选候选人，并形成评标报告。</w:t>
      </w:r>
    </w:p>
    <w:p>
      <w:pPr>
        <w:spacing w:line="360" w:lineRule="auto"/>
        <w:ind w:firstLine="480" w:firstLineChars="200"/>
        <w:rPr>
          <w:rFonts w:ascii="宋体" w:hAnsi="宋体"/>
          <w:sz w:val="24"/>
          <w:szCs w:val="24"/>
        </w:rPr>
      </w:pPr>
      <w:r>
        <w:rPr>
          <w:rFonts w:hint="eastAsia" w:ascii="宋体" w:hAnsi="宋体"/>
          <w:sz w:val="24"/>
          <w:szCs w:val="24"/>
        </w:rPr>
        <w:t>（二）评标程序</w:t>
      </w:r>
    </w:p>
    <w:p>
      <w:pPr>
        <w:spacing w:line="360" w:lineRule="auto"/>
        <w:ind w:firstLine="480" w:firstLineChars="200"/>
        <w:rPr>
          <w:rFonts w:hAnsi="宋体"/>
          <w:sz w:val="24"/>
          <w:szCs w:val="24"/>
        </w:rPr>
      </w:pPr>
      <w:bookmarkStart w:id="98" w:name="_Toc518494143"/>
      <w:r>
        <w:rPr>
          <w:rFonts w:hint="eastAsia" w:hAnsi="宋体"/>
          <w:sz w:val="24"/>
          <w:szCs w:val="24"/>
        </w:rPr>
        <w:t>1、评标分2个阶段进行，先评技术标，再评商务标。</w:t>
      </w:r>
    </w:p>
    <w:p>
      <w:pPr>
        <w:ind w:firstLine="482"/>
        <w:rPr>
          <w:rFonts w:ascii="宋体" w:hAnsi="宋体"/>
          <w:bCs/>
          <w:sz w:val="24"/>
          <w:szCs w:val="24"/>
        </w:rPr>
      </w:pPr>
      <w:r>
        <w:rPr>
          <w:rFonts w:hint="eastAsia" w:ascii="宋体" w:hAnsi="宋体"/>
          <w:b/>
          <w:sz w:val="24"/>
          <w:szCs w:val="24"/>
        </w:rPr>
        <w:t>技术标评审</w:t>
      </w:r>
      <w:r>
        <w:rPr>
          <w:rFonts w:hint="eastAsia" w:ascii="宋体" w:hAnsi="宋体"/>
          <w:bCs/>
          <w:sz w:val="24"/>
          <w:szCs w:val="24"/>
        </w:rPr>
        <w:t>：</w:t>
      </w:r>
    </w:p>
    <w:p>
      <w:pPr>
        <w:numPr>
          <w:ilvl w:val="255"/>
          <w:numId w:val="0"/>
        </w:numPr>
        <w:spacing w:line="360" w:lineRule="auto"/>
        <w:ind w:firstLine="480" w:firstLineChars="200"/>
        <w:rPr>
          <w:rFonts w:ascii="宋体" w:hAnsi="宋体"/>
          <w:bCs/>
          <w:sz w:val="24"/>
          <w:szCs w:val="24"/>
        </w:rPr>
      </w:pPr>
      <w:r>
        <w:rPr>
          <w:rFonts w:hint="eastAsia" w:ascii="宋体" w:hAnsi="宋体"/>
          <w:bCs/>
          <w:sz w:val="24"/>
          <w:szCs w:val="24"/>
        </w:rPr>
        <w:t>（1）第一阶段，先将所有合格参选文件的技术标书移交至评标委员会，评标委员会对参选文件的技术标书进行初步评审（有效性审查），只有通过初步评审的技术标书才有资格进入下一步的详细评审。</w:t>
      </w:r>
    </w:p>
    <w:p>
      <w:pPr>
        <w:spacing w:line="360" w:lineRule="auto"/>
        <w:ind w:firstLine="480" w:firstLineChars="200"/>
        <w:rPr>
          <w:rFonts w:ascii="宋体" w:hAnsi="宋体"/>
          <w:bCs/>
          <w:sz w:val="24"/>
          <w:szCs w:val="24"/>
        </w:rPr>
      </w:pPr>
      <w:r>
        <w:rPr>
          <w:rFonts w:hint="eastAsia" w:ascii="宋体" w:hAnsi="宋体"/>
          <w:bCs/>
          <w:sz w:val="24"/>
          <w:szCs w:val="24"/>
        </w:rPr>
        <w:t>（2）评标委员会否决无效标或者界定为废标后，有效参选人不足3家的，比选人宣布本次比选失败，重新组织比选。（3）评标委员会按照评审标准对合格参选文件的技术标进行详细评审（详见评审附表），评审完成后，评审分数不得再更改。经评审后，技术标得分前4名的有效参选人方可进入下一阶段商务标的评审（若出现得分并列导致大于4家的情况，则并列的有效参选人共同进入下一阶段商务标的评审）</w:t>
      </w:r>
    </w:p>
    <w:p>
      <w:pPr>
        <w:spacing w:line="360" w:lineRule="auto"/>
        <w:ind w:firstLine="482"/>
        <w:rPr>
          <w:rFonts w:ascii="宋体" w:hAnsi="宋体"/>
          <w:b/>
          <w:sz w:val="24"/>
          <w:szCs w:val="24"/>
        </w:rPr>
      </w:pPr>
      <w:r>
        <w:rPr>
          <w:rFonts w:hint="eastAsia" w:ascii="宋体" w:hAnsi="宋体"/>
          <w:b/>
          <w:sz w:val="24"/>
          <w:szCs w:val="24"/>
        </w:rPr>
        <w:t>商务标评审：</w:t>
      </w:r>
    </w:p>
    <w:p>
      <w:pPr>
        <w:pStyle w:val="141"/>
        <w:tabs>
          <w:tab w:val="left" w:pos="993"/>
        </w:tabs>
        <w:spacing w:line="360" w:lineRule="auto"/>
        <w:ind w:firstLine="480"/>
        <w:rPr>
          <w:rFonts w:ascii="宋体" w:hAnsi="宋体"/>
          <w:bCs/>
          <w:sz w:val="24"/>
          <w:szCs w:val="24"/>
        </w:rPr>
      </w:pPr>
      <w:r>
        <w:rPr>
          <w:rFonts w:hint="eastAsia" w:ascii="宋体" w:hAnsi="宋体"/>
          <w:bCs/>
          <w:sz w:val="24"/>
          <w:szCs w:val="24"/>
        </w:rPr>
        <w:t>1.技术标评审结束后，将技术标前4名（包括并列前4名）参选人的商务标移交至评标委员会。当出现以下情况，评标委员会将对参选报价进行调整：</w:t>
      </w:r>
    </w:p>
    <w:p>
      <w:pPr>
        <w:pStyle w:val="141"/>
        <w:tabs>
          <w:tab w:val="left" w:pos="993"/>
        </w:tabs>
        <w:spacing w:line="360" w:lineRule="auto"/>
        <w:ind w:firstLine="480"/>
        <w:rPr>
          <w:rFonts w:ascii="宋体" w:hAnsi="宋体"/>
          <w:bCs/>
          <w:sz w:val="24"/>
          <w:szCs w:val="24"/>
        </w:rPr>
      </w:pPr>
      <w:r>
        <w:rPr>
          <w:rFonts w:hint="eastAsia" w:ascii="宋体" w:hAnsi="宋体"/>
          <w:bCs/>
          <w:sz w:val="24"/>
          <w:szCs w:val="24"/>
        </w:rPr>
        <w:t>①参选文件中大写金额与小写金额不一致的，以价低的为准；</w:t>
      </w:r>
    </w:p>
    <w:p>
      <w:pPr>
        <w:pStyle w:val="141"/>
        <w:tabs>
          <w:tab w:val="left" w:pos="993"/>
        </w:tabs>
        <w:spacing w:line="360" w:lineRule="auto"/>
        <w:ind w:firstLine="480"/>
        <w:rPr>
          <w:rFonts w:ascii="宋体" w:hAnsi="宋体"/>
          <w:bCs/>
          <w:sz w:val="24"/>
          <w:szCs w:val="24"/>
        </w:rPr>
      </w:pPr>
      <w:r>
        <w:rPr>
          <w:rFonts w:hint="eastAsia" w:ascii="宋体" w:hAnsi="宋体"/>
          <w:bCs/>
          <w:sz w:val="24"/>
          <w:szCs w:val="24"/>
        </w:rPr>
        <w:t>②比选人认为参选人为履行本合同而提供的产品和相关服务的知识产权、版权费等第三者费用、根据法律由乙方支付的税费、保险费、合同文本、研究成果等资料的印刷费等已包含在参选人的参选报价中。</w:t>
      </w:r>
    </w:p>
    <w:p>
      <w:pPr>
        <w:pStyle w:val="141"/>
        <w:tabs>
          <w:tab w:val="left" w:pos="993"/>
        </w:tabs>
        <w:spacing w:line="360" w:lineRule="auto"/>
        <w:ind w:firstLine="480"/>
        <w:rPr>
          <w:rFonts w:ascii="宋体" w:hAnsi="宋体"/>
          <w:bCs/>
          <w:sz w:val="24"/>
          <w:szCs w:val="24"/>
        </w:rPr>
      </w:pPr>
      <w:r>
        <w:rPr>
          <w:rFonts w:hint="eastAsia" w:ascii="宋体" w:hAnsi="宋体"/>
          <w:bCs/>
          <w:sz w:val="24"/>
          <w:szCs w:val="24"/>
        </w:rPr>
        <w:t>③其他情况均按照价格审核计算后，以不利于参选人的原则予以调整。</w:t>
      </w:r>
    </w:p>
    <w:p>
      <w:pPr>
        <w:pStyle w:val="141"/>
        <w:tabs>
          <w:tab w:val="left" w:pos="993"/>
        </w:tabs>
        <w:spacing w:line="360" w:lineRule="auto"/>
        <w:ind w:firstLine="480"/>
        <w:rPr>
          <w:rFonts w:ascii="宋体" w:hAnsi="宋体"/>
          <w:bCs/>
          <w:sz w:val="24"/>
          <w:szCs w:val="24"/>
        </w:rPr>
      </w:pPr>
      <w:r>
        <w:rPr>
          <w:rFonts w:hint="eastAsia" w:ascii="宋体" w:hAnsi="宋体"/>
          <w:bCs/>
          <w:sz w:val="24"/>
          <w:szCs w:val="24"/>
        </w:rPr>
        <w:t>评标委员会对参选报价进行调整后，按照商务标计算公式，完成商务标分数计算。</w:t>
      </w:r>
    </w:p>
    <w:p>
      <w:pPr>
        <w:pStyle w:val="141"/>
        <w:tabs>
          <w:tab w:val="left" w:pos="993"/>
        </w:tabs>
        <w:spacing w:line="360" w:lineRule="auto"/>
        <w:ind w:firstLine="480"/>
        <w:rPr>
          <w:rFonts w:ascii="宋体" w:hAnsi="宋体"/>
          <w:bCs/>
          <w:sz w:val="24"/>
          <w:szCs w:val="24"/>
        </w:rPr>
      </w:pPr>
      <w:r>
        <w:rPr>
          <w:rFonts w:hint="eastAsia" w:ascii="宋体" w:hAnsi="宋体"/>
          <w:bCs/>
          <w:sz w:val="24"/>
          <w:szCs w:val="24"/>
        </w:rPr>
        <w:t>2.汇总技术标得分和商务标得分后，评标委员会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标委员会推荐一名中选候选人，并形成评标报告。</w:t>
      </w:r>
    </w:p>
    <w:p>
      <w:pPr>
        <w:keepNext/>
        <w:keepLines/>
        <w:tabs>
          <w:tab w:val="left" w:pos="1260"/>
        </w:tabs>
        <w:adjustRightInd w:val="0"/>
        <w:spacing w:line="360" w:lineRule="auto"/>
        <w:ind w:firstLine="482" w:firstLineChars="200"/>
        <w:textAlignment w:val="baseline"/>
        <w:outlineLvl w:val="2"/>
        <w:rPr>
          <w:rFonts w:ascii="宋体" w:hAnsi="宋体"/>
          <w:b/>
          <w:kern w:val="0"/>
          <w:sz w:val="24"/>
          <w:szCs w:val="24"/>
        </w:rPr>
      </w:pPr>
      <w:bookmarkStart w:id="99" w:name="_Toc57731981"/>
      <w:r>
        <w:rPr>
          <w:rFonts w:hint="eastAsia" w:ascii="宋体" w:hAnsi="宋体"/>
          <w:b/>
          <w:kern w:val="0"/>
          <w:sz w:val="24"/>
          <w:szCs w:val="24"/>
        </w:rPr>
        <w:t>四、评审标准</w:t>
      </w:r>
      <w:bookmarkEnd w:id="98"/>
      <w:bookmarkEnd w:id="99"/>
    </w:p>
    <w:p>
      <w:pPr>
        <w:spacing w:line="360" w:lineRule="auto"/>
        <w:ind w:firstLine="480" w:firstLineChars="200"/>
        <w:rPr>
          <w:rFonts w:ascii="宋体" w:hAnsi="宋体"/>
          <w:sz w:val="24"/>
          <w:szCs w:val="24"/>
        </w:rPr>
      </w:pPr>
      <w:bookmarkStart w:id="100" w:name="_Toc518494144"/>
      <w:bookmarkStart w:id="101" w:name="_Toc57731982"/>
      <w:r>
        <w:rPr>
          <w:rFonts w:hint="eastAsia" w:ascii="宋体" w:hAnsi="宋体"/>
          <w:sz w:val="24"/>
          <w:szCs w:val="24"/>
        </w:rPr>
        <w:t>技术标及商务标初步评审及详细标准详见附件。</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r>
        <w:rPr>
          <w:rFonts w:hint="eastAsia" w:ascii="宋体" w:hAnsi="宋体"/>
          <w:b/>
          <w:kern w:val="0"/>
          <w:sz w:val="24"/>
          <w:szCs w:val="24"/>
        </w:rPr>
        <w:t>五、中选价确定原则</w:t>
      </w:r>
      <w:bookmarkEnd w:id="100"/>
      <w:bookmarkEnd w:id="101"/>
    </w:p>
    <w:p>
      <w:pPr>
        <w:tabs>
          <w:tab w:val="left" w:pos="851"/>
        </w:tabs>
        <w:spacing w:line="360" w:lineRule="auto"/>
        <w:ind w:firstLine="480" w:firstLineChars="200"/>
        <w:rPr>
          <w:rFonts w:ascii="宋体" w:hAnsi="宋体"/>
          <w:sz w:val="24"/>
          <w:szCs w:val="24"/>
        </w:rPr>
      </w:pPr>
      <w:bookmarkStart w:id="102" w:name="_Toc518494145"/>
      <w:r>
        <w:rPr>
          <w:rFonts w:hint="eastAsia"/>
          <w:sz w:val="24"/>
          <w:szCs w:val="24"/>
        </w:rPr>
        <w:t>中选人的总报价即为中选价。</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103" w:name="_Toc57731983"/>
      <w:r>
        <w:rPr>
          <w:rFonts w:hint="eastAsia" w:ascii="宋体" w:hAnsi="宋体"/>
          <w:b/>
          <w:kern w:val="0"/>
          <w:sz w:val="24"/>
          <w:szCs w:val="24"/>
        </w:rPr>
        <w:t>六、定标</w:t>
      </w:r>
      <w:bookmarkEnd w:id="102"/>
      <w:bookmarkEnd w:id="103"/>
    </w:p>
    <w:p>
      <w:pPr>
        <w:spacing w:line="360" w:lineRule="auto"/>
        <w:ind w:firstLine="480" w:firstLineChars="200"/>
        <w:rPr>
          <w:rFonts w:ascii="宋体" w:hAnsi="宋体"/>
          <w:sz w:val="24"/>
          <w:szCs w:val="24"/>
        </w:rPr>
      </w:pPr>
      <w:bookmarkStart w:id="104" w:name="_Toc518494146"/>
      <w:r>
        <w:rPr>
          <w:rFonts w:hint="eastAsia" w:ascii="宋体" w:hAnsi="宋体"/>
          <w:sz w:val="24"/>
          <w:szCs w:val="24"/>
        </w:rPr>
        <w:t>比选人在评标工作结束后，将根据评标委员会提交的评标报告，对推荐的中选候选人进行参选文件审核，确定中选人。</w:t>
      </w:r>
    </w:p>
    <w:p>
      <w:pPr>
        <w:keepNext/>
        <w:keepLines/>
        <w:tabs>
          <w:tab w:val="left" w:pos="1260"/>
        </w:tabs>
        <w:adjustRightInd w:val="0"/>
        <w:spacing w:before="260" w:line="360" w:lineRule="auto"/>
        <w:ind w:firstLine="482" w:firstLineChars="200"/>
        <w:textAlignment w:val="baseline"/>
        <w:outlineLvl w:val="2"/>
        <w:rPr>
          <w:rFonts w:ascii="宋体" w:hAnsi="宋体"/>
          <w:b/>
          <w:kern w:val="0"/>
          <w:sz w:val="24"/>
          <w:szCs w:val="24"/>
        </w:rPr>
      </w:pPr>
      <w:bookmarkStart w:id="105" w:name="_Toc57731984"/>
      <w:r>
        <w:rPr>
          <w:rFonts w:hint="eastAsia" w:ascii="宋体" w:hAnsi="宋体"/>
          <w:b/>
          <w:kern w:val="0"/>
          <w:sz w:val="24"/>
          <w:szCs w:val="24"/>
        </w:rPr>
        <w:t>七、评标守则</w:t>
      </w:r>
      <w:bookmarkEnd w:id="104"/>
      <w:bookmarkEnd w:id="105"/>
    </w:p>
    <w:p>
      <w:pPr>
        <w:spacing w:line="360" w:lineRule="auto"/>
        <w:ind w:firstLine="480" w:firstLineChars="200"/>
        <w:rPr>
          <w:rFonts w:ascii="宋体" w:hAnsi="宋体"/>
          <w:sz w:val="24"/>
          <w:szCs w:val="24"/>
        </w:rPr>
      </w:pPr>
      <w:r>
        <w:rPr>
          <w:rFonts w:hint="eastAsia" w:ascii="宋体" w:hAnsi="宋体"/>
          <w:sz w:val="24"/>
          <w:szCs w:val="24"/>
        </w:rPr>
        <w:t>（一）必须遵守评定标纪律，不得泄密；</w:t>
      </w:r>
    </w:p>
    <w:p>
      <w:pPr>
        <w:spacing w:line="360" w:lineRule="auto"/>
        <w:ind w:firstLine="480" w:firstLineChars="200"/>
        <w:rPr>
          <w:rFonts w:ascii="宋体" w:hAnsi="宋体"/>
          <w:sz w:val="24"/>
          <w:szCs w:val="24"/>
        </w:rPr>
      </w:pPr>
      <w:r>
        <w:rPr>
          <w:rFonts w:hint="eastAsia" w:ascii="宋体" w:hAnsi="宋体"/>
          <w:sz w:val="24"/>
          <w:szCs w:val="24"/>
        </w:rPr>
        <w:t>（二）必须公正、公平，不得徇私；</w:t>
      </w:r>
    </w:p>
    <w:p>
      <w:pPr>
        <w:spacing w:line="360" w:lineRule="auto"/>
        <w:ind w:firstLine="480" w:firstLineChars="200"/>
        <w:rPr>
          <w:rFonts w:ascii="宋体" w:hAnsi="宋体"/>
          <w:sz w:val="24"/>
          <w:szCs w:val="24"/>
        </w:rPr>
      </w:pPr>
      <w:r>
        <w:rPr>
          <w:rFonts w:hint="eastAsia" w:ascii="宋体" w:hAnsi="宋体"/>
          <w:sz w:val="24"/>
          <w:szCs w:val="24"/>
        </w:rPr>
        <w:t>（三）必须科学严谨，不得草率马虎；</w:t>
      </w:r>
    </w:p>
    <w:p>
      <w:pPr>
        <w:spacing w:line="360" w:lineRule="auto"/>
        <w:ind w:firstLine="480" w:firstLineChars="200"/>
        <w:rPr>
          <w:rFonts w:ascii="宋体" w:hAnsi="宋体"/>
          <w:sz w:val="24"/>
          <w:szCs w:val="24"/>
        </w:rPr>
      </w:pPr>
      <w:r>
        <w:rPr>
          <w:rFonts w:hint="eastAsia" w:ascii="宋体" w:hAnsi="宋体"/>
          <w:sz w:val="24"/>
          <w:szCs w:val="24"/>
        </w:rPr>
        <w:t>（四）必须客观，不得带有成见；</w:t>
      </w:r>
    </w:p>
    <w:p>
      <w:pPr>
        <w:spacing w:line="360" w:lineRule="auto"/>
        <w:ind w:firstLine="480" w:firstLineChars="200"/>
        <w:rPr>
          <w:rFonts w:ascii="宋体" w:hAnsi="宋体"/>
          <w:sz w:val="24"/>
          <w:szCs w:val="24"/>
        </w:rPr>
      </w:pPr>
      <w:r>
        <w:rPr>
          <w:rFonts w:hint="eastAsia" w:ascii="宋体" w:hAnsi="宋体"/>
          <w:sz w:val="24"/>
          <w:szCs w:val="24"/>
        </w:rPr>
        <w:t>（五）必须平等，不得强加于人。</w:t>
      </w:r>
    </w:p>
    <w:p>
      <w:pPr>
        <w:pStyle w:val="19"/>
        <w:tabs>
          <w:tab w:val="left" w:pos="1050"/>
        </w:tabs>
        <w:spacing w:line="360" w:lineRule="auto"/>
        <w:ind w:left="0" w:leftChars="0" w:firstLine="482" w:firstLineChars="200"/>
        <w:rPr>
          <w:rFonts w:ascii="宋体" w:hAnsi="宋体"/>
          <w:b/>
          <w:bCs/>
          <w:sz w:val="24"/>
          <w:szCs w:val="24"/>
        </w:rPr>
      </w:pPr>
      <w:r>
        <w:rPr>
          <w:rFonts w:hint="eastAsia" w:ascii="宋体" w:hAnsi="宋体"/>
          <w:b/>
          <w:bCs/>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pPr>
        <w:spacing w:line="360" w:lineRule="auto"/>
        <w:rPr>
          <w:rFonts w:ascii="宋体" w:hAnsi="宋体" w:cs="Arial"/>
          <w:sz w:val="24"/>
          <w:szCs w:val="24"/>
        </w:rPr>
      </w:pPr>
    </w:p>
    <w:p>
      <w:pPr>
        <w:spacing w:line="360" w:lineRule="auto"/>
        <w:rPr>
          <w:rFonts w:ascii="宋体" w:hAnsi="宋体"/>
          <w:b/>
          <w:bCs/>
          <w:sz w:val="24"/>
          <w:szCs w:val="24"/>
        </w:rPr>
      </w:pPr>
      <w:r>
        <w:rPr>
          <w:rFonts w:hint="eastAsia" w:ascii="宋体" w:hAnsi="宋体"/>
          <w:b/>
          <w:sz w:val="24"/>
          <w:szCs w:val="24"/>
        </w:rPr>
        <w:br w:type="page"/>
      </w:r>
      <w:r>
        <w:rPr>
          <w:rFonts w:hint="eastAsia" w:ascii="宋体" w:hAnsi="宋体"/>
          <w:b/>
          <w:sz w:val="24"/>
          <w:szCs w:val="24"/>
        </w:rPr>
        <w:t>附表1：参选人签到表</w:t>
      </w:r>
    </w:p>
    <w:p>
      <w:pPr>
        <w:spacing w:line="360" w:lineRule="auto"/>
        <w:ind w:firstLine="597" w:firstLineChars="249"/>
        <w:rPr>
          <w:rFonts w:ascii="宋体" w:hAnsi="宋体"/>
          <w:sz w:val="24"/>
        </w:rPr>
      </w:pPr>
    </w:p>
    <w:p>
      <w:pPr>
        <w:spacing w:line="360" w:lineRule="auto"/>
        <w:jc w:val="center"/>
        <w:rPr>
          <w:rFonts w:ascii="宋体" w:hAnsi="宋体" w:cs="宋体"/>
          <w:b/>
          <w:bCs/>
          <w:kern w:val="0"/>
          <w:sz w:val="32"/>
          <w:szCs w:val="32"/>
        </w:rPr>
      </w:pPr>
      <w:r>
        <w:rPr>
          <w:rFonts w:hint="eastAsia" w:ascii="宋体" w:hAnsi="宋体" w:cs="宋体"/>
          <w:b/>
          <w:bCs/>
          <w:kern w:val="0"/>
          <w:sz w:val="32"/>
          <w:szCs w:val="32"/>
        </w:rPr>
        <w:t>参选人签到表</w:t>
      </w:r>
    </w:p>
    <w:p>
      <w:pPr>
        <w:spacing w:line="360" w:lineRule="auto"/>
        <w:jc w:val="center"/>
        <w:rPr>
          <w:rFonts w:ascii="宋体" w:hAnsi="宋体" w:cs="宋体"/>
          <w:b/>
          <w:bCs/>
          <w:kern w:val="0"/>
          <w:sz w:val="32"/>
          <w:szCs w:val="32"/>
        </w:rPr>
      </w:pPr>
    </w:p>
    <w:p>
      <w:pPr>
        <w:spacing w:after="120" w:afterLines="50" w:line="360" w:lineRule="auto"/>
        <w:jc w:val="right"/>
        <w:rPr>
          <w:rFonts w:ascii="宋体" w:hAnsi="宋体"/>
          <w:sz w:val="24"/>
          <w:szCs w:val="24"/>
        </w:rPr>
      </w:pPr>
      <w:r>
        <w:rPr>
          <w:rFonts w:hint="eastAsia" w:ascii="宋体" w:hAnsi="宋体"/>
          <w:sz w:val="24"/>
          <w:szCs w:val="24"/>
        </w:rPr>
        <w:t>日期：       年      月     日</w:t>
      </w:r>
    </w:p>
    <w:tbl>
      <w:tblPr>
        <w:tblStyle w:val="49"/>
        <w:tblW w:w="9135" w:type="dxa"/>
        <w:jc w:val="center"/>
        <w:tblLayout w:type="fixed"/>
        <w:tblCellMar>
          <w:top w:w="0" w:type="dxa"/>
          <w:left w:w="0" w:type="dxa"/>
          <w:bottom w:w="0" w:type="dxa"/>
          <w:right w:w="0" w:type="dxa"/>
        </w:tblCellMar>
      </w:tblPr>
      <w:tblGrid>
        <w:gridCol w:w="721"/>
        <w:gridCol w:w="3060"/>
        <w:gridCol w:w="1725"/>
        <w:gridCol w:w="1951"/>
        <w:gridCol w:w="1678"/>
      </w:tblGrid>
      <w:tr>
        <w:tblPrEx>
          <w:tblCellMar>
            <w:top w:w="0" w:type="dxa"/>
            <w:left w:w="0" w:type="dxa"/>
            <w:bottom w:w="0" w:type="dxa"/>
            <w:right w:w="0" w:type="dxa"/>
          </w:tblCellMar>
        </w:tblPrEx>
        <w:trPr>
          <w:trHeight w:val="676"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序号</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参选人全称</w:t>
            </w: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参选人简称</w:t>
            </w: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参选人签字</w:t>
            </w:r>
          </w:p>
        </w:tc>
        <w:tc>
          <w:tcPr>
            <w:tcW w:w="1678"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b/>
                <w:bCs/>
                <w:kern w:val="0"/>
                <w:sz w:val="24"/>
                <w:szCs w:val="24"/>
              </w:rPr>
            </w:pPr>
            <w:r>
              <w:rPr>
                <w:rFonts w:hint="eastAsia" w:ascii="宋体" w:hAnsi="宋体" w:cs="Arial"/>
                <w:b/>
                <w:bCs/>
                <w:kern w:val="0"/>
                <w:sz w:val="24"/>
                <w:szCs w:val="24"/>
              </w:rPr>
              <w:t>备注</w:t>
            </w:r>
          </w:p>
        </w:tc>
      </w:tr>
      <w:tr>
        <w:tblPrEx>
          <w:tblCellMar>
            <w:top w:w="0" w:type="dxa"/>
            <w:left w:w="0" w:type="dxa"/>
            <w:bottom w:w="0" w:type="dxa"/>
            <w:right w:w="0" w:type="dxa"/>
          </w:tblCellMar>
        </w:tblPrEx>
        <w:trPr>
          <w:trHeight w:val="79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1</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693"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2</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3"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3</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699"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4</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69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5</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6</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7</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8</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9</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704"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r>
              <w:rPr>
                <w:rFonts w:hint="eastAsia" w:ascii="宋体" w:hAnsi="宋体" w:cs="Arial"/>
                <w:kern w:val="0"/>
                <w:sz w:val="24"/>
                <w:szCs w:val="24"/>
              </w:rPr>
              <w:t>10</w:t>
            </w:r>
          </w:p>
        </w:tc>
        <w:tc>
          <w:tcPr>
            <w:tcW w:w="3060"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72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951"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Arial"/>
                <w:kern w:val="0"/>
                <w:sz w:val="24"/>
                <w:szCs w:val="24"/>
              </w:rPr>
            </w:pPr>
          </w:p>
        </w:tc>
        <w:tc>
          <w:tcPr>
            <w:tcW w:w="1678" w:type="dxa"/>
            <w:tcBorders>
              <w:top w:val="single" w:color="auto" w:sz="4" w:space="0"/>
              <w:left w:val="nil"/>
              <w:bottom w:val="single" w:color="auto" w:sz="4" w:space="0"/>
              <w:right w:val="single" w:color="auto" w:sz="4" w:space="0"/>
            </w:tcBorders>
          </w:tcPr>
          <w:p>
            <w:pPr>
              <w:widowControl/>
              <w:spacing w:line="360" w:lineRule="auto"/>
              <w:jc w:val="center"/>
              <w:rPr>
                <w:rFonts w:ascii="宋体" w:hAnsi="宋体" w:cs="Arial"/>
                <w:kern w:val="0"/>
                <w:sz w:val="24"/>
                <w:szCs w:val="24"/>
              </w:rPr>
            </w:pPr>
          </w:p>
        </w:tc>
      </w:tr>
      <w:tr>
        <w:tblPrEx>
          <w:tblCellMar>
            <w:top w:w="0" w:type="dxa"/>
            <w:left w:w="0" w:type="dxa"/>
            <w:bottom w:w="0" w:type="dxa"/>
            <w:right w:w="0" w:type="dxa"/>
          </w:tblCellMar>
        </w:tblPrEx>
        <w:trPr>
          <w:trHeight w:val="2510" w:hRule="atLeast"/>
          <w:jc w:val="center"/>
        </w:trPr>
        <w:tc>
          <w:tcPr>
            <w:tcW w:w="9135" w:type="dxa"/>
            <w:gridSpan w:val="5"/>
            <w:tcBorders>
              <w:top w:val="single" w:color="auto" w:sz="4" w:space="0"/>
              <w:left w:val="single" w:color="auto" w:sz="4" w:space="0"/>
              <w:bottom w:val="single" w:color="auto" w:sz="6" w:space="0"/>
              <w:right w:val="single" w:color="auto" w:sz="4" w:space="0"/>
            </w:tcBorders>
          </w:tcPr>
          <w:p>
            <w:pPr>
              <w:widowControl/>
              <w:spacing w:line="360" w:lineRule="auto"/>
              <w:rPr>
                <w:rFonts w:ascii="宋体" w:hAnsi="宋体"/>
                <w:sz w:val="24"/>
                <w:szCs w:val="24"/>
              </w:rPr>
            </w:pPr>
            <w:r>
              <w:rPr>
                <w:rFonts w:hint="eastAsia" w:ascii="宋体" w:hAnsi="宋体"/>
                <w:sz w:val="24"/>
                <w:szCs w:val="24"/>
              </w:rPr>
              <w:t>工作人员(签名)：</w:t>
            </w:r>
          </w:p>
          <w:p>
            <w:pPr>
              <w:widowControl/>
              <w:spacing w:line="360" w:lineRule="auto"/>
              <w:rPr>
                <w:rFonts w:ascii="宋体" w:hAnsi="宋体"/>
                <w:sz w:val="24"/>
                <w:szCs w:val="24"/>
              </w:rPr>
            </w:pPr>
          </w:p>
          <w:p>
            <w:pPr>
              <w:widowControl/>
              <w:spacing w:line="360" w:lineRule="auto"/>
              <w:rPr>
                <w:rFonts w:ascii="宋体" w:hAnsi="宋体"/>
                <w:sz w:val="24"/>
                <w:szCs w:val="24"/>
              </w:rPr>
            </w:pPr>
          </w:p>
          <w:p>
            <w:pPr>
              <w:widowControl/>
              <w:spacing w:line="360" w:lineRule="auto"/>
              <w:rPr>
                <w:rFonts w:ascii="宋体" w:hAnsi="宋体"/>
                <w:sz w:val="24"/>
                <w:szCs w:val="24"/>
              </w:rPr>
            </w:pPr>
            <w:r>
              <w:rPr>
                <w:rFonts w:hint="eastAsia" w:ascii="宋体" w:hAnsi="宋体"/>
                <w:sz w:val="24"/>
                <w:szCs w:val="24"/>
              </w:rPr>
              <w:t>监督(签名)：</w:t>
            </w:r>
          </w:p>
        </w:tc>
      </w:tr>
      <w:bookmarkEnd w:id="2"/>
      <w:bookmarkEnd w:id="3"/>
      <w:bookmarkEnd w:id="4"/>
      <w:bookmarkEnd w:id="90"/>
    </w:tbl>
    <w:p>
      <w:pPr>
        <w:widowControl/>
        <w:spacing w:line="360" w:lineRule="auto"/>
        <w:jc w:val="left"/>
        <w:rPr>
          <w:rFonts w:ascii="宋体" w:hAnsi="宋体" w:cs="Arial"/>
          <w:sz w:val="24"/>
          <w:szCs w:val="24"/>
        </w:rPr>
        <w:sectPr>
          <w:pgSz w:w="11906" w:h="16838"/>
          <w:pgMar w:top="1134" w:right="1134" w:bottom="1134" w:left="1134" w:header="1247" w:footer="737" w:gutter="0"/>
          <w:cols w:space="720" w:num="1"/>
        </w:sectPr>
      </w:pPr>
    </w:p>
    <w:p>
      <w:pPr>
        <w:spacing w:line="360" w:lineRule="auto"/>
        <w:ind w:firstLine="482" w:firstLineChars="200"/>
        <w:jc w:val="left"/>
        <w:rPr>
          <w:rFonts w:ascii="宋体" w:hAnsi="宋体" w:cs="宋体"/>
          <w:b/>
          <w:bCs/>
          <w:kern w:val="0"/>
          <w:sz w:val="24"/>
          <w:szCs w:val="24"/>
        </w:rPr>
      </w:pPr>
      <w:r>
        <w:rPr>
          <w:rFonts w:hint="eastAsia" w:ascii="宋体" w:hAnsi="宋体"/>
          <w:b/>
          <w:sz w:val="24"/>
          <w:szCs w:val="24"/>
        </w:rPr>
        <w:t>附表2</w:t>
      </w:r>
      <w:r>
        <w:rPr>
          <w:rFonts w:hint="eastAsia" w:ascii="宋体" w:hAnsi="宋体" w:cs="宋体"/>
          <w:b/>
          <w:bCs/>
          <w:kern w:val="0"/>
          <w:sz w:val="24"/>
          <w:szCs w:val="24"/>
        </w:rPr>
        <w:t>：  开标记录表</w:t>
      </w:r>
    </w:p>
    <w:p>
      <w:pPr>
        <w:snapToGrid w:val="0"/>
        <w:spacing w:line="360" w:lineRule="auto"/>
        <w:jc w:val="center"/>
        <w:outlineLvl w:val="4"/>
        <w:rPr>
          <w:rFonts w:ascii="宋体" w:hAnsi="宋体" w:cs="宋体"/>
          <w:b/>
          <w:kern w:val="0"/>
          <w:sz w:val="32"/>
          <w:szCs w:val="28"/>
        </w:rPr>
      </w:pPr>
      <w:r>
        <w:rPr>
          <w:rFonts w:hint="eastAsia" w:ascii="宋体" w:hAnsi="宋体" w:cs="宋体"/>
          <w:b/>
          <w:kern w:val="0"/>
          <w:sz w:val="32"/>
          <w:szCs w:val="28"/>
        </w:rPr>
        <w:t>开标记录表</w:t>
      </w:r>
    </w:p>
    <w:p>
      <w:pPr>
        <w:spacing w:line="360" w:lineRule="auto"/>
        <w:ind w:left="10842" w:hanging="10842" w:hangingChars="4500"/>
        <w:jc w:val="left"/>
        <w:rPr>
          <w:rFonts w:ascii="宋体" w:hAnsi="宋体"/>
          <w:sz w:val="24"/>
          <w:szCs w:val="24"/>
        </w:rPr>
      </w:pPr>
      <w:r>
        <w:rPr>
          <w:rFonts w:hint="eastAsia" w:ascii="宋体" w:hAnsi="宋体" w:cs="宋体"/>
          <w:b/>
          <w:kern w:val="0"/>
          <w:sz w:val="24"/>
          <w:szCs w:val="24"/>
        </w:rPr>
        <w:t>项目名称：</w:t>
      </w:r>
      <w:r>
        <w:rPr>
          <w:rFonts w:hint="eastAsia" w:hAnsi="宋体"/>
          <w:b/>
          <w:bCs/>
          <w:sz w:val="24"/>
          <w:szCs w:val="24"/>
          <w:u w:val="single"/>
        </w:rPr>
        <w:t>光明新湖、昂鹅车辆段、东宝河停车场、</w:t>
      </w:r>
      <w:r>
        <w:rPr>
          <w:rFonts w:hint="eastAsia" w:hAnsi="宋体"/>
          <w:b/>
          <w:bCs/>
          <w:sz w:val="24"/>
          <w:szCs w:val="24"/>
          <w:u w:val="single"/>
          <w:lang w:eastAsia="zh-CN"/>
        </w:rPr>
        <w:t>新大存车场</w:t>
      </w:r>
      <w:r>
        <w:rPr>
          <w:rFonts w:hint="eastAsia" w:hAnsi="宋体"/>
          <w:b/>
          <w:bCs/>
          <w:sz w:val="24"/>
          <w:szCs w:val="24"/>
          <w:u w:val="single"/>
        </w:rPr>
        <w:t>交通接驳研究</w:t>
      </w:r>
      <w:r>
        <w:rPr>
          <w:rFonts w:hint="eastAsia" w:ascii="宋体" w:hAnsi="宋体" w:cs="宋体"/>
          <w:b/>
          <w:kern w:val="0"/>
          <w:sz w:val="24"/>
          <w:szCs w:val="24"/>
        </w:rPr>
        <w:t xml:space="preserve">                                                     </w:t>
      </w:r>
      <w:r>
        <w:rPr>
          <w:rFonts w:hint="eastAsia" w:ascii="宋体" w:hAnsi="宋体"/>
          <w:sz w:val="24"/>
          <w:szCs w:val="24"/>
        </w:rPr>
        <w:t>日期： 2022年   月   日</w:t>
      </w:r>
    </w:p>
    <w:tbl>
      <w:tblPr>
        <w:tblStyle w:val="49"/>
        <w:tblW w:w="5147" w:type="pct"/>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2"/>
        <w:gridCol w:w="1661"/>
        <w:gridCol w:w="1556"/>
        <w:gridCol w:w="1556"/>
        <w:gridCol w:w="1556"/>
        <w:gridCol w:w="1556"/>
        <w:gridCol w:w="1556"/>
        <w:gridCol w:w="1556"/>
        <w:gridCol w:w="1556"/>
        <w:gridCol w:w="1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4" w:hRule="atLeast"/>
        </w:trPr>
        <w:tc>
          <w:tcPr>
            <w:tcW w:w="162"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序号</w:t>
            </w:r>
          </w:p>
        </w:tc>
        <w:tc>
          <w:tcPr>
            <w:tcW w:w="569"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项目</w:t>
            </w:r>
          </w:p>
        </w:tc>
        <w:tc>
          <w:tcPr>
            <w:tcW w:w="4268" w:type="pct"/>
            <w:gridSpan w:val="8"/>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r>
              <w:rPr>
                <w:rFonts w:hint="eastAsia" w:ascii="宋体" w:hAnsi="宋体" w:cs="宋体"/>
                <w:b/>
                <w:kern w:val="0"/>
                <w:szCs w:val="21"/>
              </w:rPr>
              <w:t>参选人</w:t>
            </w:r>
            <w:r>
              <w:rPr>
                <w:rFonts w:hint="eastAsia" w:ascii="宋体" w:hAnsi="宋体"/>
                <w:b/>
                <w:bCs/>
                <w:szCs w:val="21"/>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62"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kern w:val="0"/>
                <w:szCs w:val="21"/>
              </w:rPr>
            </w:pPr>
          </w:p>
        </w:tc>
        <w:tc>
          <w:tcPr>
            <w:tcW w:w="569"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p>
        </w:tc>
        <w:tc>
          <w:tcPr>
            <w:tcW w:w="536"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62"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1</w:t>
            </w:r>
          </w:p>
        </w:tc>
        <w:tc>
          <w:tcPr>
            <w:tcW w:w="569"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kern w:val="0"/>
                <w:szCs w:val="21"/>
              </w:rPr>
            </w:pPr>
            <w:r>
              <w:rPr>
                <w:rFonts w:hint="eastAsia" w:ascii="宋体" w:hAnsi="宋体"/>
                <w:sz w:val="18"/>
                <w:szCs w:val="18"/>
              </w:rPr>
              <w:t>参选文件在截止时间前递交（电子版）</w:t>
            </w:r>
          </w:p>
        </w:tc>
        <w:tc>
          <w:tcPr>
            <w:tcW w:w="53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rPr>
            </w:pPr>
          </w:p>
        </w:tc>
        <w:tc>
          <w:tcPr>
            <w:tcW w:w="536"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62" w:type="pct"/>
            <w:tcBorders>
              <w:top w:val="single" w:color="auto" w:sz="4" w:space="0"/>
              <w:left w:val="single" w:color="auto" w:sz="4" w:space="0"/>
              <w:right w:val="single" w:color="auto" w:sz="4" w:space="0"/>
            </w:tcBorders>
            <w:vAlign w:val="center"/>
          </w:tcPr>
          <w:p>
            <w:pPr>
              <w:widowControl/>
              <w:spacing w:line="360" w:lineRule="auto"/>
              <w:jc w:val="center"/>
              <w:rPr>
                <w:rFonts w:ascii="宋体" w:hAnsi="宋体" w:cs="宋体"/>
                <w:b/>
                <w:kern w:val="0"/>
                <w:szCs w:val="21"/>
              </w:rPr>
            </w:pPr>
            <w:r>
              <w:rPr>
                <w:rFonts w:hint="eastAsia" w:ascii="宋体" w:hAnsi="宋体" w:cs="宋体"/>
                <w:b/>
                <w:kern w:val="0"/>
                <w:szCs w:val="21"/>
              </w:rPr>
              <w:t>2</w:t>
            </w:r>
          </w:p>
        </w:tc>
        <w:tc>
          <w:tcPr>
            <w:tcW w:w="569"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bCs/>
                <w:szCs w:val="21"/>
              </w:rPr>
            </w:pPr>
            <w:r>
              <w:rPr>
                <w:rFonts w:hint="eastAsia" w:ascii="宋体" w:hAnsi="宋体"/>
                <w:bCs/>
                <w:szCs w:val="21"/>
              </w:rPr>
              <w:t>总报价（元）</w:t>
            </w:r>
          </w:p>
        </w:tc>
        <w:tc>
          <w:tcPr>
            <w:tcW w:w="53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c>
          <w:tcPr>
            <w:tcW w:w="533"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c>
          <w:tcPr>
            <w:tcW w:w="536"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kern w:val="0"/>
                <w:szCs w:val="21"/>
              </w:rPr>
            </w:pPr>
          </w:p>
        </w:tc>
      </w:tr>
    </w:tbl>
    <w:p>
      <w:pPr>
        <w:pStyle w:val="19"/>
        <w:spacing w:line="360" w:lineRule="auto"/>
        <w:ind w:left="118" w:leftChars="56"/>
        <w:rPr>
          <w:rFonts w:ascii="宋体" w:hAnsi="宋体"/>
          <w:b/>
          <w:sz w:val="24"/>
          <w:szCs w:val="24"/>
        </w:rPr>
      </w:pPr>
    </w:p>
    <w:p>
      <w:pPr>
        <w:pStyle w:val="19"/>
        <w:spacing w:line="360" w:lineRule="auto"/>
        <w:ind w:left="118" w:leftChars="56"/>
        <w:rPr>
          <w:rFonts w:ascii="宋体" w:hAnsi="宋体"/>
          <w:b/>
          <w:sz w:val="24"/>
          <w:szCs w:val="24"/>
        </w:rPr>
      </w:pPr>
      <w:r>
        <w:rPr>
          <w:rFonts w:hint="eastAsia" w:ascii="宋体" w:hAnsi="宋体"/>
          <w:b/>
          <w:sz w:val="24"/>
          <w:szCs w:val="24"/>
        </w:rPr>
        <w:t>记录人签名：</w:t>
      </w:r>
    </w:p>
    <w:p>
      <w:pPr>
        <w:pStyle w:val="19"/>
        <w:spacing w:line="360" w:lineRule="auto"/>
        <w:ind w:left="118" w:leftChars="56"/>
        <w:rPr>
          <w:rFonts w:ascii="宋体" w:hAnsi="宋体"/>
          <w:b/>
          <w:sz w:val="24"/>
          <w:szCs w:val="24"/>
        </w:rPr>
      </w:pPr>
      <w:r>
        <w:rPr>
          <w:rFonts w:hint="eastAsia" w:ascii="宋体" w:hAnsi="宋体"/>
          <w:b/>
          <w:sz w:val="24"/>
          <w:szCs w:val="24"/>
        </w:rPr>
        <w:t>复核人签名：</w:t>
      </w:r>
    </w:p>
    <w:p>
      <w:pPr>
        <w:pStyle w:val="19"/>
        <w:spacing w:line="360" w:lineRule="auto"/>
        <w:ind w:left="118" w:leftChars="56"/>
        <w:rPr>
          <w:rFonts w:ascii="宋体" w:hAnsi="宋体"/>
          <w:sz w:val="24"/>
          <w:szCs w:val="24"/>
        </w:rPr>
      </w:pPr>
      <w:r>
        <w:rPr>
          <w:rFonts w:hint="eastAsia" w:ascii="宋体" w:hAnsi="宋体"/>
          <w:b/>
          <w:sz w:val="24"/>
          <w:szCs w:val="24"/>
        </w:rPr>
        <w:t>监督人签名：                                                                              日期：</w:t>
      </w:r>
      <w:r>
        <w:rPr>
          <w:rFonts w:hint="eastAsia" w:ascii="宋体" w:hAnsi="宋体"/>
          <w:sz w:val="24"/>
          <w:szCs w:val="24"/>
        </w:rPr>
        <w:t xml:space="preserve">     年    月    日</w:t>
      </w:r>
    </w:p>
    <w:p>
      <w:pPr>
        <w:pStyle w:val="42"/>
        <w:rPr>
          <w:rFonts w:ascii="宋体" w:hAnsi="宋体" w:cs="宋体"/>
          <w:b/>
          <w:bCs/>
          <w:kern w:val="0"/>
          <w:sz w:val="24"/>
          <w:szCs w:val="24"/>
        </w:rPr>
      </w:pPr>
    </w:p>
    <w:p>
      <w:pPr>
        <w:pStyle w:val="42"/>
        <w:rPr>
          <w:rFonts w:ascii="宋体" w:hAnsi="宋体" w:cs="宋体"/>
          <w:b/>
          <w:bCs/>
          <w:kern w:val="0"/>
          <w:sz w:val="24"/>
          <w:szCs w:val="24"/>
        </w:rPr>
      </w:pPr>
    </w:p>
    <w:p>
      <w:pPr>
        <w:pStyle w:val="42"/>
        <w:rPr>
          <w:rFonts w:ascii="宋体" w:hAnsi="宋体" w:cs="宋体"/>
          <w:b/>
          <w:bCs/>
          <w:kern w:val="0"/>
          <w:sz w:val="24"/>
          <w:szCs w:val="24"/>
        </w:rPr>
      </w:pPr>
    </w:p>
    <w:p>
      <w:pPr>
        <w:pStyle w:val="42"/>
        <w:rPr>
          <w:rFonts w:ascii="宋体" w:hAnsi="宋体" w:cs="宋体"/>
          <w:b/>
          <w:bCs/>
          <w:kern w:val="0"/>
          <w:sz w:val="24"/>
          <w:szCs w:val="24"/>
        </w:rPr>
      </w:pPr>
    </w:p>
    <w:p>
      <w:pPr>
        <w:spacing w:line="360" w:lineRule="auto"/>
        <w:jc w:val="left"/>
        <w:rPr>
          <w:rFonts w:ascii="宋体" w:hAnsi="宋体" w:cs="宋体"/>
          <w:b/>
          <w:bCs/>
          <w:kern w:val="0"/>
          <w:sz w:val="24"/>
          <w:szCs w:val="24"/>
        </w:rPr>
      </w:pPr>
      <w:r>
        <w:rPr>
          <w:rFonts w:hint="eastAsia" w:ascii="宋体" w:hAnsi="宋体" w:cs="宋体"/>
          <w:b/>
          <w:bCs/>
          <w:kern w:val="0"/>
          <w:sz w:val="24"/>
          <w:szCs w:val="24"/>
        </w:rPr>
        <w:t>附表3</w:t>
      </w:r>
      <w:r>
        <w:rPr>
          <w:rFonts w:ascii="宋体" w:hAnsi="宋体" w:cs="宋体"/>
          <w:b/>
          <w:bCs/>
          <w:kern w:val="0"/>
          <w:sz w:val="24"/>
          <w:szCs w:val="24"/>
        </w:rPr>
        <w:t xml:space="preserve">:   </w:t>
      </w:r>
      <w:r>
        <w:rPr>
          <w:rFonts w:hint="eastAsia" w:ascii="宋体" w:hAnsi="宋体" w:cs="宋体"/>
          <w:b/>
          <w:bCs/>
          <w:kern w:val="0"/>
          <w:sz w:val="24"/>
          <w:szCs w:val="24"/>
        </w:rPr>
        <w:t>技术标初步评审表</w:t>
      </w:r>
    </w:p>
    <w:p>
      <w:pPr>
        <w:spacing w:after="120" w:afterLines="50" w:line="360" w:lineRule="auto"/>
        <w:ind w:right="350"/>
        <w:jc w:val="center"/>
        <w:rPr>
          <w:rFonts w:ascii="宋体" w:hAnsi="宋体"/>
          <w:b/>
          <w:bCs/>
          <w:snapToGrid w:val="0"/>
          <w:sz w:val="28"/>
          <w:szCs w:val="24"/>
        </w:rPr>
      </w:pPr>
      <w:r>
        <w:rPr>
          <w:rFonts w:hint="eastAsia" w:ascii="宋体" w:hAnsi="宋体"/>
          <w:b/>
          <w:sz w:val="28"/>
          <w:szCs w:val="24"/>
        </w:rPr>
        <w:t>技术标初步评审</w:t>
      </w:r>
      <w:r>
        <w:rPr>
          <w:rFonts w:hint="eastAsia" w:ascii="宋体" w:hAnsi="宋体"/>
          <w:b/>
          <w:bCs/>
          <w:snapToGrid w:val="0"/>
          <w:sz w:val="28"/>
          <w:szCs w:val="24"/>
        </w:rPr>
        <w:t>表</w:t>
      </w:r>
    </w:p>
    <w:p>
      <w:pPr>
        <w:pStyle w:val="48"/>
        <w:ind w:left="0" w:leftChars="0" w:firstLine="0" w:firstLineChars="0"/>
        <w:rPr>
          <w:u w:val="single"/>
        </w:rPr>
      </w:pPr>
      <w:r>
        <w:rPr>
          <w:rFonts w:hint="eastAsia" w:ascii="宋体" w:hAnsi="宋体" w:cs="宋体"/>
          <w:b/>
          <w:kern w:val="0"/>
          <w:sz w:val="24"/>
          <w:szCs w:val="28"/>
        </w:rPr>
        <w:t>项目名称：</w:t>
      </w:r>
      <w:r>
        <w:rPr>
          <w:rFonts w:hint="eastAsia" w:ascii="宋体" w:hAnsi="宋体" w:cs="宋体"/>
          <w:b/>
          <w:kern w:val="0"/>
          <w:sz w:val="24"/>
          <w:szCs w:val="28"/>
          <w:u w:val="single"/>
        </w:rPr>
        <w:t>光明新湖、昂鹅车辆段、东宝河停车场、</w:t>
      </w:r>
      <w:r>
        <w:rPr>
          <w:rFonts w:hint="eastAsia" w:ascii="宋体" w:hAnsi="宋体" w:cs="宋体"/>
          <w:b/>
          <w:kern w:val="0"/>
          <w:sz w:val="24"/>
          <w:szCs w:val="28"/>
          <w:u w:val="single"/>
          <w:lang w:eastAsia="zh-CN"/>
        </w:rPr>
        <w:t>新大存车场</w:t>
      </w:r>
      <w:r>
        <w:rPr>
          <w:rFonts w:hint="eastAsia" w:ascii="宋体" w:hAnsi="宋体" w:cs="宋体"/>
          <w:b/>
          <w:kern w:val="0"/>
          <w:sz w:val="24"/>
          <w:szCs w:val="28"/>
          <w:u w:val="single"/>
        </w:rPr>
        <w:t>交通接驳研究</w:t>
      </w:r>
    </w:p>
    <w:tbl>
      <w:tblPr>
        <w:tblStyle w:val="49"/>
        <w:tblpPr w:leftFromText="180" w:rightFromText="180" w:vertAnchor="text" w:horzAnchor="page" w:tblpX="923" w:tblpY="466"/>
        <w:tblOverlap w:val="never"/>
        <w:tblW w:w="147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8350"/>
        <w:gridCol w:w="996"/>
        <w:gridCol w:w="1187"/>
        <w:gridCol w:w="1184"/>
        <w:gridCol w:w="1187"/>
        <w:gridCol w:w="1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7" w:type="dxa"/>
            <w:vMerge w:val="restart"/>
            <w:vAlign w:val="center"/>
          </w:tcPr>
          <w:p>
            <w:pPr>
              <w:jc w:val="center"/>
              <w:rPr>
                <w:rFonts w:ascii="宋体" w:hAnsi="宋体"/>
                <w:b/>
                <w:bCs/>
                <w:snapToGrid w:val="0"/>
                <w:szCs w:val="21"/>
              </w:rPr>
            </w:pPr>
            <w:r>
              <w:rPr>
                <w:rFonts w:hint="eastAsia" w:ascii="宋体" w:hAnsi="宋体"/>
                <w:b/>
                <w:bCs/>
                <w:snapToGrid w:val="0"/>
                <w:szCs w:val="21"/>
              </w:rPr>
              <w:t>序号</w:t>
            </w:r>
          </w:p>
        </w:tc>
        <w:tc>
          <w:tcPr>
            <w:tcW w:w="8350" w:type="dxa"/>
            <w:vMerge w:val="restart"/>
            <w:vAlign w:val="center"/>
          </w:tcPr>
          <w:p>
            <w:pPr>
              <w:jc w:val="center"/>
              <w:rPr>
                <w:rFonts w:ascii="宋体" w:hAnsi="宋体"/>
                <w:b/>
                <w:bCs/>
                <w:snapToGrid w:val="0"/>
                <w:szCs w:val="21"/>
              </w:rPr>
            </w:pPr>
            <w:r>
              <w:rPr>
                <w:rFonts w:hint="eastAsia" w:ascii="宋体" w:hAnsi="宋体"/>
                <w:b/>
                <w:bCs/>
                <w:snapToGrid w:val="0"/>
                <w:szCs w:val="21"/>
              </w:rPr>
              <w:t>审查</w:t>
            </w:r>
            <w:r>
              <w:rPr>
                <w:rFonts w:ascii="宋体" w:hAnsi="宋体"/>
                <w:b/>
                <w:bCs/>
                <w:snapToGrid w:val="0"/>
                <w:szCs w:val="21"/>
              </w:rPr>
              <w:t>内容</w:t>
            </w:r>
          </w:p>
        </w:tc>
        <w:tc>
          <w:tcPr>
            <w:tcW w:w="5847" w:type="dxa"/>
            <w:gridSpan w:val="5"/>
            <w:vAlign w:val="center"/>
          </w:tcPr>
          <w:p>
            <w:pPr>
              <w:jc w:val="center"/>
              <w:rPr>
                <w:rFonts w:ascii="宋体" w:hAnsi="宋体"/>
                <w:b/>
                <w:bCs/>
                <w:snapToGrid w:val="0"/>
                <w:szCs w:val="21"/>
              </w:rPr>
            </w:pPr>
            <w:r>
              <w:rPr>
                <w:rFonts w:hint="eastAsia" w:ascii="宋体" w:hAnsi="宋体"/>
                <w:b/>
                <w:bCs/>
                <w:snapToGrid w:val="0"/>
                <w:szCs w:val="21"/>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7" w:type="dxa"/>
            <w:vMerge w:val="continue"/>
            <w:vAlign w:val="center"/>
          </w:tcPr>
          <w:p>
            <w:pPr>
              <w:jc w:val="center"/>
              <w:rPr>
                <w:rFonts w:ascii="宋体" w:hAnsi="宋体"/>
                <w:b/>
                <w:bCs/>
                <w:snapToGrid w:val="0"/>
                <w:szCs w:val="21"/>
              </w:rPr>
            </w:pPr>
          </w:p>
        </w:tc>
        <w:tc>
          <w:tcPr>
            <w:tcW w:w="8350" w:type="dxa"/>
            <w:vMerge w:val="continue"/>
            <w:vAlign w:val="center"/>
          </w:tcPr>
          <w:p>
            <w:pPr>
              <w:jc w:val="right"/>
              <w:rPr>
                <w:rFonts w:ascii="宋体" w:hAnsi="宋体"/>
                <w:b/>
                <w:bCs/>
                <w:snapToGrid w:val="0"/>
                <w:szCs w:val="21"/>
              </w:rPr>
            </w:pPr>
          </w:p>
        </w:tc>
        <w:tc>
          <w:tcPr>
            <w:tcW w:w="996" w:type="dxa"/>
            <w:vAlign w:val="center"/>
          </w:tcPr>
          <w:p>
            <w:pPr>
              <w:rPr>
                <w:rFonts w:ascii="宋体" w:hAnsi="宋体"/>
                <w:b/>
                <w:bCs/>
                <w:snapToGrid w:val="0"/>
                <w:szCs w:val="21"/>
              </w:rPr>
            </w:pPr>
            <w:r>
              <w:rPr>
                <w:rFonts w:hint="eastAsia" w:ascii="宋体" w:hAnsi="宋体"/>
                <w:b/>
                <w:bCs/>
                <w:snapToGrid w:val="0"/>
                <w:szCs w:val="21"/>
              </w:rPr>
              <w:t>参选人1</w:t>
            </w:r>
          </w:p>
        </w:tc>
        <w:tc>
          <w:tcPr>
            <w:tcW w:w="1187" w:type="dxa"/>
            <w:vAlign w:val="center"/>
          </w:tcPr>
          <w:p>
            <w:pPr>
              <w:rPr>
                <w:rFonts w:ascii="宋体" w:hAnsi="宋体"/>
                <w:b/>
                <w:bCs/>
                <w:snapToGrid w:val="0"/>
                <w:szCs w:val="21"/>
              </w:rPr>
            </w:pPr>
            <w:r>
              <w:rPr>
                <w:rFonts w:hint="eastAsia" w:ascii="宋体" w:hAnsi="宋体"/>
                <w:b/>
                <w:bCs/>
                <w:snapToGrid w:val="0"/>
                <w:szCs w:val="21"/>
              </w:rPr>
              <w:t>参选人2</w:t>
            </w:r>
          </w:p>
        </w:tc>
        <w:tc>
          <w:tcPr>
            <w:tcW w:w="1184" w:type="dxa"/>
            <w:vAlign w:val="center"/>
          </w:tcPr>
          <w:p>
            <w:pPr>
              <w:rPr>
                <w:rFonts w:ascii="宋体" w:hAnsi="宋体"/>
                <w:b/>
                <w:bCs/>
                <w:snapToGrid w:val="0"/>
                <w:szCs w:val="21"/>
              </w:rPr>
            </w:pPr>
            <w:r>
              <w:rPr>
                <w:rFonts w:hint="eastAsia" w:ascii="宋体" w:hAnsi="宋体"/>
                <w:b/>
                <w:bCs/>
                <w:snapToGrid w:val="0"/>
                <w:szCs w:val="21"/>
              </w:rPr>
              <w:t>参选人3</w:t>
            </w:r>
          </w:p>
        </w:tc>
        <w:tc>
          <w:tcPr>
            <w:tcW w:w="1187" w:type="dxa"/>
            <w:vAlign w:val="center"/>
          </w:tcPr>
          <w:p>
            <w:pPr>
              <w:rPr>
                <w:rFonts w:ascii="宋体" w:hAnsi="宋体"/>
                <w:b/>
                <w:bCs/>
                <w:snapToGrid w:val="0"/>
                <w:szCs w:val="21"/>
              </w:rPr>
            </w:pPr>
            <w:r>
              <w:rPr>
                <w:rFonts w:hint="eastAsia" w:ascii="宋体" w:hAnsi="宋体"/>
                <w:b/>
                <w:bCs/>
                <w:snapToGrid w:val="0"/>
                <w:szCs w:val="21"/>
              </w:rPr>
              <w:t>参选人4</w:t>
            </w:r>
          </w:p>
        </w:tc>
        <w:tc>
          <w:tcPr>
            <w:tcW w:w="1293" w:type="dxa"/>
            <w:vAlign w:val="center"/>
          </w:tcPr>
          <w:p>
            <w:pPr>
              <w:rPr>
                <w:rFonts w:ascii="宋体" w:hAnsi="宋体"/>
                <w:b/>
                <w:bCs/>
                <w:snapToGrid w:val="0"/>
                <w:szCs w:val="21"/>
              </w:rPr>
            </w:pPr>
            <w:r>
              <w:rPr>
                <w:rFonts w:hint="eastAsia" w:ascii="宋体" w:hAnsi="宋体"/>
                <w:b/>
                <w:bCs/>
                <w:snapToGrid w:val="0"/>
                <w:szCs w:val="21"/>
              </w:rPr>
              <w:t>参选人</w:t>
            </w:r>
            <w:r>
              <w:rPr>
                <w:rFonts w:ascii="宋体" w:hAnsi="宋体"/>
                <w:b/>
                <w:bCs/>
                <w:snapToGrid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7" w:type="dxa"/>
            <w:vAlign w:val="center"/>
          </w:tcPr>
          <w:p>
            <w:pPr>
              <w:jc w:val="center"/>
              <w:rPr>
                <w:rFonts w:ascii="宋体" w:hAnsi="宋体"/>
                <w:bCs/>
                <w:snapToGrid w:val="0"/>
                <w:szCs w:val="21"/>
              </w:rPr>
            </w:pPr>
            <w:r>
              <w:rPr>
                <w:rFonts w:hint="eastAsia" w:ascii="宋体" w:hAnsi="宋体"/>
                <w:bCs/>
                <w:snapToGrid w:val="0"/>
                <w:szCs w:val="21"/>
              </w:rPr>
              <w:t>1</w:t>
            </w:r>
          </w:p>
        </w:tc>
        <w:tc>
          <w:tcPr>
            <w:tcW w:w="8350" w:type="dxa"/>
            <w:vAlign w:val="center"/>
          </w:tcPr>
          <w:p>
            <w:pPr>
              <w:rPr>
                <w:rFonts w:ascii="宋体" w:hAnsi="宋体"/>
                <w:kern w:val="0"/>
                <w:szCs w:val="21"/>
              </w:rPr>
            </w:pPr>
            <w:r>
              <w:rPr>
                <w:rFonts w:hint="eastAsia" w:ascii="宋体" w:hAnsi="宋体"/>
                <w:szCs w:val="21"/>
              </w:rPr>
              <w:t>参选文件按要求加盖参选人公章。</w:t>
            </w:r>
          </w:p>
        </w:tc>
        <w:tc>
          <w:tcPr>
            <w:tcW w:w="996" w:type="dxa"/>
            <w:vAlign w:val="center"/>
          </w:tcPr>
          <w:p>
            <w:pPr>
              <w:jc w:val="center"/>
              <w:rPr>
                <w:rFonts w:ascii="宋体" w:hAnsi="宋体"/>
                <w:bCs/>
                <w:snapToGrid w:val="0"/>
                <w:szCs w:val="21"/>
              </w:rPr>
            </w:pPr>
          </w:p>
        </w:tc>
        <w:tc>
          <w:tcPr>
            <w:tcW w:w="1187" w:type="dxa"/>
            <w:vAlign w:val="center"/>
          </w:tcPr>
          <w:p>
            <w:pPr>
              <w:jc w:val="center"/>
              <w:rPr>
                <w:rFonts w:ascii="宋体" w:hAnsi="宋体"/>
                <w:bCs/>
                <w:snapToGrid w:val="0"/>
                <w:szCs w:val="21"/>
              </w:rPr>
            </w:pPr>
          </w:p>
        </w:tc>
        <w:tc>
          <w:tcPr>
            <w:tcW w:w="1184" w:type="dxa"/>
            <w:vAlign w:val="center"/>
          </w:tcPr>
          <w:p>
            <w:pPr>
              <w:jc w:val="center"/>
              <w:rPr>
                <w:rFonts w:ascii="宋体" w:hAnsi="宋体"/>
                <w:bCs/>
                <w:snapToGrid w:val="0"/>
                <w:szCs w:val="21"/>
              </w:rPr>
            </w:pPr>
          </w:p>
        </w:tc>
        <w:tc>
          <w:tcPr>
            <w:tcW w:w="1187" w:type="dxa"/>
            <w:vAlign w:val="center"/>
          </w:tcPr>
          <w:p>
            <w:pPr>
              <w:jc w:val="center"/>
              <w:rPr>
                <w:rFonts w:ascii="宋体" w:hAnsi="宋体"/>
                <w:bCs/>
                <w:snapToGrid w:val="0"/>
                <w:szCs w:val="21"/>
              </w:rPr>
            </w:pPr>
          </w:p>
        </w:tc>
        <w:tc>
          <w:tcPr>
            <w:tcW w:w="1293" w:type="dxa"/>
            <w:vAlign w:val="center"/>
          </w:tcPr>
          <w:p>
            <w:pPr>
              <w:jc w:val="center"/>
              <w:rPr>
                <w:rFonts w:ascii="宋体" w:hAnsi="宋体"/>
                <w:bCs/>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7" w:type="dxa"/>
            <w:vAlign w:val="center"/>
          </w:tcPr>
          <w:p>
            <w:pPr>
              <w:jc w:val="center"/>
              <w:rPr>
                <w:rFonts w:ascii="宋体" w:hAnsi="宋体"/>
                <w:bCs/>
                <w:snapToGrid w:val="0"/>
                <w:szCs w:val="21"/>
              </w:rPr>
            </w:pPr>
            <w:r>
              <w:rPr>
                <w:rFonts w:hint="eastAsia" w:ascii="宋体" w:hAnsi="宋体"/>
                <w:bCs/>
                <w:snapToGrid w:val="0"/>
                <w:szCs w:val="21"/>
              </w:rPr>
              <w:t>2</w:t>
            </w:r>
          </w:p>
        </w:tc>
        <w:tc>
          <w:tcPr>
            <w:tcW w:w="8350" w:type="dxa"/>
            <w:vAlign w:val="center"/>
          </w:tcPr>
          <w:p>
            <w:pPr>
              <w:rPr>
                <w:rFonts w:ascii="宋体" w:hAnsi="宋体"/>
                <w:kern w:val="0"/>
                <w:szCs w:val="21"/>
              </w:rPr>
            </w:pPr>
            <w:r>
              <w:rPr>
                <w:rFonts w:hint="eastAsia" w:ascii="宋体" w:hAnsi="宋体"/>
                <w:szCs w:val="21"/>
              </w:rPr>
              <w:t>参选文件经法定代表人或其委托代理人签字或盖章，或由委托代理人签字（</w:t>
            </w:r>
            <w:r>
              <w:rPr>
                <w:rFonts w:ascii="宋体" w:hAnsi="宋体"/>
                <w:szCs w:val="21"/>
              </w:rPr>
              <w:t>盖章）</w:t>
            </w:r>
            <w:r>
              <w:rPr>
                <w:rFonts w:hint="eastAsia" w:ascii="宋体" w:hAnsi="宋体"/>
                <w:szCs w:val="21"/>
              </w:rPr>
              <w:t>并随参选文件一起提供“法定代表人授权书”原件。</w:t>
            </w:r>
          </w:p>
        </w:tc>
        <w:tc>
          <w:tcPr>
            <w:tcW w:w="996" w:type="dxa"/>
            <w:vAlign w:val="center"/>
          </w:tcPr>
          <w:p>
            <w:pPr>
              <w:jc w:val="center"/>
              <w:rPr>
                <w:rFonts w:ascii="宋体" w:hAnsi="宋体"/>
                <w:bCs/>
                <w:snapToGrid w:val="0"/>
                <w:szCs w:val="21"/>
              </w:rPr>
            </w:pPr>
          </w:p>
        </w:tc>
        <w:tc>
          <w:tcPr>
            <w:tcW w:w="1187" w:type="dxa"/>
            <w:vAlign w:val="center"/>
          </w:tcPr>
          <w:p>
            <w:pPr>
              <w:jc w:val="center"/>
              <w:rPr>
                <w:rFonts w:ascii="宋体" w:hAnsi="宋体"/>
                <w:bCs/>
                <w:snapToGrid w:val="0"/>
                <w:szCs w:val="21"/>
              </w:rPr>
            </w:pPr>
          </w:p>
        </w:tc>
        <w:tc>
          <w:tcPr>
            <w:tcW w:w="1184" w:type="dxa"/>
            <w:vAlign w:val="center"/>
          </w:tcPr>
          <w:p>
            <w:pPr>
              <w:jc w:val="center"/>
              <w:rPr>
                <w:rFonts w:ascii="宋体" w:hAnsi="宋体"/>
                <w:bCs/>
                <w:snapToGrid w:val="0"/>
                <w:szCs w:val="21"/>
              </w:rPr>
            </w:pPr>
          </w:p>
        </w:tc>
        <w:tc>
          <w:tcPr>
            <w:tcW w:w="1187" w:type="dxa"/>
            <w:vAlign w:val="center"/>
          </w:tcPr>
          <w:p>
            <w:pPr>
              <w:jc w:val="center"/>
              <w:rPr>
                <w:rFonts w:ascii="宋体" w:hAnsi="宋体"/>
                <w:bCs/>
                <w:snapToGrid w:val="0"/>
                <w:szCs w:val="21"/>
              </w:rPr>
            </w:pPr>
          </w:p>
        </w:tc>
        <w:tc>
          <w:tcPr>
            <w:tcW w:w="1293" w:type="dxa"/>
            <w:vAlign w:val="center"/>
          </w:tcPr>
          <w:p>
            <w:pPr>
              <w:jc w:val="center"/>
              <w:rPr>
                <w:rFonts w:ascii="宋体" w:hAnsi="宋体"/>
                <w:bCs/>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7" w:type="dxa"/>
            <w:vAlign w:val="center"/>
          </w:tcPr>
          <w:p>
            <w:pPr>
              <w:jc w:val="center"/>
              <w:rPr>
                <w:rFonts w:ascii="宋体" w:hAnsi="宋体"/>
                <w:bCs/>
                <w:snapToGrid w:val="0"/>
                <w:szCs w:val="21"/>
              </w:rPr>
            </w:pPr>
            <w:r>
              <w:rPr>
                <w:rFonts w:hint="eastAsia" w:ascii="宋体" w:hAnsi="宋体"/>
                <w:bCs/>
                <w:snapToGrid w:val="0"/>
                <w:szCs w:val="21"/>
              </w:rPr>
              <w:t>3</w:t>
            </w:r>
          </w:p>
        </w:tc>
        <w:tc>
          <w:tcPr>
            <w:tcW w:w="8350" w:type="dxa"/>
            <w:vAlign w:val="center"/>
          </w:tcPr>
          <w:p>
            <w:pPr>
              <w:rPr>
                <w:rFonts w:ascii="宋体" w:hAnsi="宋体"/>
                <w:kern w:val="0"/>
                <w:szCs w:val="21"/>
              </w:rPr>
            </w:pPr>
            <w:r>
              <w:rPr>
                <w:rFonts w:hint="eastAsia" w:ascii="宋体" w:hAnsi="宋体"/>
                <w:szCs w:val="21"/>
              </w:rPr>
              <w:t>参选人须是中华人民共和国境内依法注册的法人或合伙制企业或其他组织，且具有城乡规划编制甲级资质。</w:t>
            </w:r>
          </w:p>
        </w:tc>
        <w:tc>
          <w:tcPr>
            <w:tcW w:w="996" w:type="dxa"/>
            <w:vAlign w:val="center"/>
          </w:tcPr>
          <w:p>
            <w:pPr>
              <w:jc w:val="center"/>
              <w:rPr>
                <w:rFonts w:ascii="宋体" w:hAnsi="宋体"/>
                <w:bCs/>
                <w:snapToGrid w:val="0"/>
                <w:szCs w:val="21"/>
              </w:rPr>
            </w:pPr>
          </w:p>
        </w:tc>
        <w:tc>
          <w:tcPr>
            <w:tcW w:w="1187" w:type="dxa"/>
            <w:vAlign w:val="center"/>
          </w:tcPr>
          <w:p>
            <w:pPr>
              <w:jc w:val="center"/>
              <w:rPr>
                <w:rFonts w:ascii="宋体" w:hAnsi="宋体"/>
                <w:bCs/>
                <w:snapToGrid w:val="0"/>
                <w:szCs w:val="21"/>
              </w:rPr>
            </w:pPr>
          </w:p>
        </w:tc>
        <w:tc>
          <w:tcPr>
            <w:tcW w:w="1184" w:type="dxa"/>
            <w:vAlign w:val="center"/>
          </w:tcPr>
          <w:p>
            <w:pPr>
              <w:jc w:val="center"/>
              <w:rPr>
                <w:rFonts w:ascii="宋体" w:hAnsi="宋体"/>
                <w:bCs/>
                <w:snapToGrid w:val="0"/>
                <w:szCs w:val="21"/>
              </w:rPr>
            </w:pPr>
          </w:p>
        </w:tc>
        <w:tc>
          <w:tcPr>
            <w:tcW w:w="1187" w:type="dxa"/>
            <w:vAlign w:val="center"/>
          </w:tcPr>
          <w:p>
            <w:pPr>
              <w:jc w:val="center"/>
              <w:rPr>
                <w:rFonts w:ascii="宋体" w:hAnsi="宋体"/>
                <w:bCs/>
                <w:snapToGrid w:val="0"/>
                <w:szCs w:val="21"/>
              </w:rPr>
            </w:pPr>
          </w:p>
        </w:tc>
        <w:tc>
          <w:tcPr>
            <w:tcW w:w="1293" w:type="dxa"/>
            <w:vAlign w:val="center"/>
          </w:tcPr>
          <w:p>
            <w:pPr>
              <w:jc w:val="center"/>
              <w:rPr>
                <w:rFonts w:ascii="宋体" w:hAnsi="宋体"/>
                <w:bCs/>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77" w:type="dxa"/>
            <w:gridSpan w:val="2"/>
            <w:vAlign w:val="center"/>
          </w:tcPr>
          <w:p>
            <w:pPr>
              <w:jc w:val="center"/>
              <w:rPr>
                <w:rFonts w:ascii="宋体" w:hAnsi="宋体"/>
                <w:b/>
                <w:bCs/>
                <w:snapToGrid w:val="0"/>
                <w:szCs w:val="21"/>
              </w:rPr>
            </w:pPr>
            <w:r>
              <w:rPr>
                <w:rFonts w:hint="eastAsia" w:ascii="宋体" w:hAnsi="宋体"/>
                <w:b/>
                <w:bCs/>
                <w:snapToGrid w:val="0"/>
                <w:szCs w:val="21"/>
              </w:rPr>
              <w:t>评审结论</w:t>
            </w:r>
          </w:p>
        </w:tc>
        <w:tc>
          <w:tcPr>
            <w:tcW w:w="996" w:type="dxa"/>
            <w:vAlign w:val="center"/>
          </w:tcPr>
          <w:p>
            <w:pPr>
              <w:jc w:val="center"/>
              <w:rPr>
                <w:rFonts w:ascii="宋体" w:hAnsi="宋体"/>
                <w:b/>
                <w:bCs/>
                <w:snapToGrid w:val="0"/>
                <w:szCs w:val="21"/>
              </w:rPr>
            </w:pPr>
          </w:p>
        </w:tc>
        <w:tc>
          <w:tcPr>
            <w:tcW w:w="1187" w:type="dxa"/>
            <w:vAlign w:val="center"/>
          </w:tcPr>
          <w:p>
            <w:pPr>
              <w:jc w:val="center"/>
              <w:rPr>
                <w:rFonts w:ascii="宋体" w:hAnsi="宋体"/>
                <w:b/>
                <w:bCs/>
                <w:snapToGrid w:val="0"/>
                <w:szCs w:val="21"/>
              </w:rPr>
            </w:pPr>
          </w:p>
        </w:tc>
        <w:tc>
          <w:tcPr>
            <w:tcW w:w="1184" w:type="dxa"/>
            <w:vAlign w:val="center"/>
          </w:tcPr>
          <w:p>
            <w:pPr>
              <w:jc w:val="center"/>
              <w:rPr>
                <w:rFonts w:ascii="宋体" w:hAnsi="宋体"/>
                <w:b/>
                <w:bCs/>
                <w:snapToGrid w:val="0"/>
                <w:szCs w:val="21"/>
              </w:rPr>
            </w:pPr>
          </w:p>
        </w:tc>
        <w:tc>
          <w:tcPr>
            <w:tcW w:w="1187" w:type="dxa"/>
            <w:vAlign w:val="center"/>
          </w:tcPr>
          <w:p>
            <w:pPr>
              <w:jc w:val="center"/>
              <w:rPr>
                <w:rFonts w:ascii="宋体" w:hAnsi="宋体"/>
                <w:b/>
                <w:bCs/>
                <w:snapToGrid w:val="0"/>
                <w:szCs w:val="21"/>
              </w:rPr>
            </w:pPr>
          </w:p>
        </w:tc>
        <w:tc>
          <w:tcPr>
            <w:tcW w:w="1293" w:type="dxa"/>
            <w:vAlign w:val="center"/>
          </w:tcPr>
          <w:p>
            <w:pPr>
              <w:jc w:val="center"/>
              <w:rPr>
                <w:rFonts w:ascii="宋体" w:hAnsi="宋体"/>
                <w:b/>
                <w:bCs/>
                <w:snapToGrid w:val="0"/>
                <w:szCs w:val="21"/>
              </w:rPr>
            </w:pPr>
          </w:p>
        </w:tc>
      </w:tr>
    </w:tbl>
    <w:p>
      <w:pPr>
        <w:tabs>
          <w:tab w:val="left" w:pos="0"/>
        </w:tabs>
        <w:snapToGrid w:val="0"/>
        <w:spacing w:line="360" w:lineRule="auto"/>
        <w:rPr>
          <w:rFonts w:ascii="宋体" w:hAnsi="宋体"/>
          <w:szCs w:val="21"/>
        </w:rPr>
      </w:pPr>
      <w:r>
        <w:rPr>
          <w:rFonts w:hint="eastAsia" w:ascii="宋体" w:hAnsi="宋体"/>
          <w:b/>
          <w:szCs w:val="21"/>
        </w:rPr>
        <w:t>说明：</w:t>
      </w:r>
      <w:r>
        <w:rPr>
          <w:rFonts w:hint="eastAsia" w:ascii="宋体" w:hAnsi="宋体"/>
          <w:szCs w:val="21"/>
        </w:rPr>
        <w:t>1、评审通过的用“√”表示，未通过的用“×”表示。结论用“合格”或“不合格”表示。</w:t>
      </w:r>
    </w:p>
    <w:p>
      <w:pPr>
        <w:tabs>
          <w:tab w:val="left" w:pos="0"/>
        </w:tabs>
        <w:snapToGrid w:val="0"/>
        <w:spacing w:line="360" w:lineRule="auto"/>
        <w:ind w:firstLine="630" w:firstLineChars="300"/>
        <w:rPr>
          <w:rFonts w:ascii="宋体" w:hAnsi="宋体"/>
          <w:szCs w:val="21"/>
        </w:rPr>
      </w:pPr>
      <w:r>
        <w:rPr>
          <w:rFonts w:hint="eastAsia" w:ascii="宋体" w:hAnsi="宋体"/>
          <w:szCs w:val="21"/>
        </w:rPr>
        <w:t>2、只有以上项目全部通过，评审结论为“合格”，否则结论为“不合格”。</w:t>
      </w:r>
    </w:p>
    <w:p>
      <w:pPr>
        <w:tabs>
          <w:tab w:val="left" w:pos="0"/>
        </w:tabs>
        <w:snapToGrid w:val="0"/>
        <w:spacing w:line="360" w:lineRule="auto"/>
        <w:rPr>
          <w:rFonts w:ascii="宋体" w:hAnsi="宋体"/>
          <w:b/>
          <w:szCs w:val="21"/>
        </w:rPr>
      </w:pPr>
      <w:r>
        <w:rPr>
          <w:rFonts w:hint="eastAsia" w:ascii="宋体" w:hAnsi="宋体"/>
          <w:b/>
          <w:szCs w:val="21"/>
        </w:rPr>
        <w:t xml:space="preserve">评标委员会（签名）：                                                           监督（签名）： </w:t>
      </w:r>
      <w:r>
        <w:rPr>
          <w:rFonts w:ascii="宋体" w:hAnsi="宋体"/>
          <w:b/>
          <w:szCs w:val="21"/>
        </w:rPr>
        <w:t xml:space="preserve">    </w:t>
      </w:r>
      <w:r>
        <w:rPr>
          <w:rFonts w:hint="eastAsia" w:ascii="宋体" w:hAnsi="宋体"/>
          <w:b/>
          <w:szCs w:val="21"/>
        </w:rPr>
        <w:t xml:space="preserve">  </w:t>
      </w:r>
      <w:r>
        <w:rPr>
          <w:rFonts w:ascii="宋体" w:hAnsi="宋体"/>
          <w:b/>
          <w:szCs w:val="21"/>
        </w:rPr>
        <w:t xml:space="preserve">           </w:t>
      </w:r>
      <w:r>
        <w:rPr>
          <w:rFonts w:hint="eastAsia" w:ascii="宋体" w:hAnsi="宋体"/>
          <w:b/>
          <w:szCs w:val="21"/>
        </w:rPr>
        <w:t>日期：2022年  月   日</w:t>
      </w:r>
      <w:r>
        <w:rPr>
          <w:rFonts w:ascii="宋体" w:hAnsi="宋体"/>
          <w:b/>
          <w:szCs w:val="21"/>
        </w:rPr>
        <w:t xml:space="preserve"> </w:t>
      </w:r>
    </w:p>
    <w:p>
      <w:pPr>
        <w:widowControl/>
        <w:jc w:val="left"/>
        <w:rPr>
          <w:rFonts w:ascii="宋体" w:hAnsi="宋体"/>
        </w:rPr>
      </w:pPr>
      <w:r>
        <w:rPr>
          <w:rFonts w:ascii="宋体" w:hAnsi="宋体"/>
        </w:rPr>
        <w:br w:type="page"/>
      </w:r>
    </w:p>
    <w:p>
      <w:pPr>
        <w:pStyle w:val="48"/>
        <w:sectPr>
          <w:pgSz w:w="16840" w:h="11907" w:orient="landscape"/>
          <w:pgMar w:top="1440" w:right="1440" w:bottom="1134" w:left="1440" w:header="720" w:footer="890" w:gutter="0"/>
          <w:cols w:space="720" w:num="1"/>
        </w:sectPr>
      </w:pPr>
    </w:p>
    <w:p>
      <w:pPr>
        <w:tabs>
          <w:tab w:val="left" w:pos="0"/>
        </w:tabs>
        <w:snapToGrid w:val="0"/>
        <w:spacing w:line="360" w:lineRule="auto"/>
        <w:rPr>
          <w:rFonts w:ascii="宋体" w:hAnsi="宋体"/>
          <w:b/>
          <w:sz w:val="24"/>
          <w:szCs w:val="24"/>
        </w:rPr>
      </w:pPr>
      <w:r>
        <w:rPr>
          <w:rFonts w:hint="eastAsia" w:ascii="宋体" w:hAnsi="宋体" w:cs="宋体"/>
          <w:b/>
          <w:bCs/>
          <w:kern w:val="0"/>
          <w:sz w:val="24"/>
          <w:szCs w:val="24"/>
        </w:rPr>
        <w:t xml:space="preserve">  附件</w:t>
      </w:r>
      <w:r>
        <w:rPr>
          <w:rFonts w:ascii="宋体" w:hAnsi="宋体" w:cs="宋体"/>
          <w:b/>
          <w:bCs/>
          <w:kern w:val="0"/>
          <w:sz w:val="24"/>
          <w:szCs w:val="24"/>
        </w:rPr>
        <w:t>4</w:t>
      </w:r>
      <w:r>
        <w:rPr>
          <w:rFonts w:hint="eastAsia" w:ascii="宋体" w:hAnsi="宋体" w:cs="宋体"/>
          <w:b/>
          <w:bCs/>
          <w:kern w:val="0"/>
          <w:sz w:val="24"/>
          <w:szCs w:val="24"/>
        </w:rPr>
        <w:t>：技术标详细评分表</w:t>
      </w:r>
    </w:p>
    <w:p>
      <w:pPr>
        <w:spacing w:line="276" w:lineRule="auto"/>
        <w:jc w:val="center"/>
        <w:rPr>
          <w:rFonts w:ascii="宋体" w:hAnsi="宋体"/>
          <w:b/>
          <w:bCs/>
          <w:snapToGrid w:val="0"/>
          <w:sz w:val="28"/>
          <w:szCs w:val="24"/>
        </w:rPr>
      </w:pPr>
      <w:r>
        <w:rPr>
          <w:rFonts w:hint="eastAsia"/>
          <w:b/>
          <w:sz w:val="28"/>
          <w:szCs w:val="24"/>
        </w:rPr>
        <w:t>技术</w:t>
      </w:r>
      <w:r>
        <w:rPr>
          <w:b/>
          <w:sz w:val="28"/>
          <w:szCs w:val="24"/>
        </w:rPr>
        <w:t>标</w:t>
      </w:r>
      <w:r>
        <w:rPr>
          <w:rFonts w:hint="eastAsia"/>
          <w:b/>
          <w:sz w:val="28"/>
          <w:szCs w:val="24"/>
        </w:rPr>
        <w:t>详细评分</w:t>
      </w:r>
      <w:r>
        <w:rPr>
          <w:rFonts w:hint="eastAsia" w:ascii="宋体" w:hAnsi="宋体"/>
          <w:b/>
          <w:bCs/>
          <w:snapToGrid w:val="0"/>
          <w:sz w:val="28"/>
          <w:szCs w:val="24"/>
        </w:rPr>
        <w:t>表</w:t>
      </w:r>
    </w:p>
    <w:p>
      <w:pPr>
        <w:spacing w:after="120" w:afterLines="50" w:line="360" w:lineRule="auto"/>
        <w:ind w:right="630"/>
      </w:pPr>
      <w:r>
        <w:rPr>
          <w:rFonts w:hint="eastAsia" w:ascii="宋体" w:hAnsi="宋体" w:cs="宋体"/>
          <w:b/>
          <w:kern w:val="0"/>
          <w:sz w:val="24"/>
          <w:szCs w:val="28"/>
        </w:rPr>
        <w:t>项目名称：</w:t>
      </w:r>
      <w:r>
        <w:rPr>
          <w:rFonts w:hint="eastAsia" w:ascii="宋体" w:hAnsi="宋体" w:cs="宋体"/>
          <w:b/>
          <w:kern w:val="0"/>
          <w:sz w:val="24"/>
          <w:szCs w:val="28"/>
          <w:u w:val="single"/>
        </w:rPr>
        <w:t>光明新湖、昂鹅车辆段、东宝河停车场、</w:t>
      </w:r>
      <w:r>
        <w:rPr>
          <w:rFonts w:hint="eastAsia" w:ascii="宋体" w:hAnsi="宋体" w:cs="宋体"/>
          <w:b/>
          <w:kern w:val="0"/>
          <w:sz w:val="24"/>
          <w:szCs w:val="28"/>
          <w:u w:val="single"/>
          <w:lang w:eastAsia="zh-CN"/>
        </w:rPr>
        <w:t>新大存车场</w:t>
      </w:r>
      <w:r>
        <w:rPr>
          <w:rFonts w:hint="eastAsia" w:ascii="宋体" w:hAnsi="宋体" w:cs="宋体"/>
          <w:b/>
          <w:kern w:val="0"/>
          <w:sz w:val="24"/>
          <w:szCs w:val="28"/>
          <w:u w:val="single"/>
        </w:rPr>
        <w:t>交通接驳研究</w:t>
      </w:r>
    </w:p>
    <w:tbl>
      <w:tblPr>
        <w:tblStyle w:val="49"/>
        <w:tblpPr w:leftFromText="180" w:rightFromText="180" w:vertAnchor="text" w:horzAnchor="page" w:tblpX="1131" w:tblpY="752"/>
        <w:tblOverlap w:val="never"/>
        <w:tblW w:w="138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954"/>
        <w:gridCol w:w="7090"/>
        <w:gridCol w:w="1687"/>
        <w:gridCol w:w="574"/>
        <w:gridCol w:w="574"/>
        <w:gridCol w:w="574"/>
        <w:gridCol w:w="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849" w:type="dxa"/>
            <w:vMerge w:val="restart"/>
            <w:noWrap/>
            <w:vAlign w:val="center"/>
          </w:tcPr>
          <w:p>
            <w:pPr>
              <w:adjustRightInd w:val="0"/>
              <w:snapToGrid w:val="0"/>
              <w:spacing w:line="560" w:lineRule="exact"/>
              <w:rPr>
                <w:rFonts w:ascii="宋体" w:hAnsi="宋体"/>
                <w:szCs w:val="21"/>
              </w:rPr>
            </w:pPr>
            <w:r>
              <w:rPr>
                <w:rFonts w:hint="eastAsia" w:ascii="宋体" w:hAnsi="宋体"/>
                <w:szCs w:val="21"/>
              </w:rPr>
              <w:t>序号</w:t>
            </w:r>
          </w:p>
        </w:tc>
        <w:tc>
          <w:tcPr>
            <w:tcW w:w="1954" w:type="dxa"/>
            <w:vMerge w:val="restart"/>
            <w:vAlign w:val="center"/>
          </w:tcPr>
          <w:p>
            <w:pPr>
              <w:widowControl/>
              <w:autoSpaceDE w:val="0"/>
              <w:autoSpaceDN w:val="0"/>
              <w:adjustRightInd w:val="0"/>
              <w:spacing w:line="560" w:lineRule="exact"/>
              <w:rPr>
                <w:rFonts w:ascii="宋体" w:hAnsi="宋体"/>
                <w:szCs w:val="21"/>
              </w:rPr>
            </w:pPr>
            <w:r>
              <w:rPr>
                <w:rFonts w:hint="eastAsia" w:ascii="宋体" w:hAnsi="宋体"/>
                <w:szCs w:val="21"/>
              </w:rPr>
              <w:t>评审项目</w:t>
            </w:r>
          </w:p>
        </w:tc>
        <w:tc>
          <w:tcPr>
            <w:tcW w:w="7090" w:type="dxa"/>
            <w:vMerge w:val="restart"/>
            <w:vAlign w:val="center"/>
          </w:tcPr>
          <w:p>
            <w:pPr>
              <w:widowControl/>
              <w:autoSpaceDE w:val="0"/>
              <w:autoSpaceDN w:val="0"/>
              <w:adjustRightInd w:val="0"/>
              <w:spacing w:line="560" w:lineRule="exact"/>
              <w:ind w:firstLine="420" w:firstLineChars="200"/>
              <w:jc w:val="center"/>
              <w:rPr>
                <w:rFonts w:ascii="宋体" w:hAnsi="宋体"/>
                <w:szCs w:val="21"/>
              </w:rPr>
            </w:pPr>
            <w:r>
              <w:rPr>
                <w:rFonts w:hint="eastAsia" w:ascii="宋体" w:hAnsi="宋体"/>
                <w:szCs w:val="21"/>
              </w:rPr>
              <w:t>评审细项</w:t>
            </w:r>
          </w:p>
        </w:tc>
        <w:tc>
          <w:tcPr>
            <w:tcW w:w="1687" w:type="dxa"/>
            <w:vMerge w:val="restart"/>
            <w:vAlign w:val="center"/>
          </w:tcPr>
          <w:p>
            <w:pPr>
              <w:adjustRightInd w:val="0"/>
              <w:snapToGrid w:val="0"/>
              <w:spacing w:line="560" w:lineRule="exact"/>
              <w:rPr>
                <w:rFonts w:ascii="宋体" w:hAnsi="宋体"/>
                <w:szCs w:val="21"/>
              </w:rPr>
            </w:pPr>
            <w:r>
              <w:rPr>
                <w:rFonts w:hint="eastAsia" w:ascii="宋体" w:hAnsi="宋体"/>
                <w:szCs w:val="21"/>
              </w:rPr>
              <w:t>满分值</w:t>
            </w:r>
          </w:p>
        </w:tc>
        <w:tc>
          <w:tcPr>
            <w:tcW w:w="2296" w:type="dxa"/>
            <w:gridSpan w:val="4"/>
            <w:vAlign w:val="center"/>
          </w:tcPr>
          <w:p>
            <w:pPr>
              <w:adjustRightInd w:val="0"/>
              <w:snapToGrid w:val="0"/>
              <w:spacing w:line="560" w:lineRule="exact"/>
              <w:rPr>
                <w:rFonts w:ascii="宋体" w:hAnsi="宋体"/>
                <w:szCs w:val="21"/>
              </w:rPr>
            </w:pPr>
            <w:r>
              <w:rPr>
                <w:rFonts w:hint="eastAsia" w:ascii="宋体" w:hAnsi="宋体"/>
                <w:szCs w:val="21"/>
              </w:rPr>
              <w:t>参选人得分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849" w:type="dxa"/>
            <w:vMerge w:val="continue"/>
            <w:noWrap/>
            <w:vAlign w:val="center"/>
          </w:tcPr>
          <w:p>
            <w:pPr>
              <w:adjustRightInd w:val="0"/>
              <w:snapToGrid w:val="0"/>
              <w:spacing w:line="560" w:lineRule="exact"/>
            </w:pPr>
          </w:p>
        </w:tc>
        <w:tc>
          <w:tcPr>
            <w:tcW w:w="1954" w:type="dxa"/>
            <w:vMerge w:val="continue"/>
            <w:vAlign w:val="center"/>
          </w:tcPr>
          <w:p>
            <w:pPr>
              <w:adjustRightInd w:val="0"/>
              <w:snapToGrid w:val="0"/>
              <w:spacing w:line="560" w:lineRule="exact"/>
            </w:pPr>
          </w:p>
        </w:tc>
        <w:tc>
          <w:tcPr>
            <w:tcW w:w="7090" w:type="dxa"/>
            <w:vMerge w:val="continue"/>
            <w:vAlign w:val="center"/>
          </w:tcPr>
          <w:p>
            <w:pPr>
              <w:adjustRightInd w:val="0"/>
              <w:snapToGrid w:val="0"/>
              <w:spacing w:line="560" w:lineRule="exact"/>
            </w:pPr>
          </w:p>
        </w:tc>
        <w:tc>
          <w:tcPr>
            <w:tcW w:w="1687" w:type="dxa"/>
            <w:vMerge w:val="continue"/>
            <w:vAlign w:val="center"/>
          </w:tcPr>
          <w:p>
            <w:pPr>
              <w:adjustRightInd w:val="0"/>
              <w:snapToGrid w:val="0"/>
              <w:spacing w:line="560" w:lineRule="exact"/>
            </w:pPr>
          </w:p>
        </w:tc>
        <w:tc>
          <w:tcPr>
            <w:tcW w:w="574" w:type="dxa"/>
            <w:vAlign w:val="center"/>
          </w:tcPr>
          <w:p>
            <w:pPr>
              <w:adjustRightInd w:val="0"/>
              <w:snapToGrid w:val="0"/>
              <w:spacing w:line="560" w:lineRule="exact"/>
              <w:rPr>
                <w:rFonts w:ascii="宋体" w:hAnsi="宋体"/>
                <w:szCs w:val="21"/>
              </w:rPr>
            </w:pPr>
          </w:p>
        </w:tc>
        <w:tc>
          <w:tcPr>
            <w:tcW w:w="574" w:type="dxa"/>
            <w:vAlign w:val="center"/>
          </w:tcPr>
          <w:p>
            <w:pPr>
              <w:adjustRightInd w:val="0"/>
              <w:snapToGrid w:val="0"/>
              <w:spacing w:line="560" w:lineRule="exact"/>
              <w:rPr>
                <w:rFonts w:ascii="宋体" w:hAnsi="宋体"/>
                <w:szCs w:val="21"/>
              </w:rPr>
            </w:pPr>
          </w:p>
        </w:tc>
        <w:tc>
          <w:tcPr>
            <w:tcW w:w="574" w:type="dxa"/>
            <w:vAlign w:val="center"/>
          </w:tcPr>
          <w:p>
            <w:pPr>
              <w:adjustRightInd w:val="0"/>
              <w:snapToGrid w:val="0"/>
              <w:spacing w:line="560" w:lineRule="exact"/>
              <w:rPr>
                <w:rFonts w:ascii="宋体" w:hAnsi="宋体"/>
                <w:szCs w:val="21"/>
              </w:rPr>
            </w:pPr>
          </w:p>
        </w:tc>
        <w:tc>
          <w:tcPr>
            <w:tcW w:w="574" w:type="dxa"/>
            <w:vAlign w:val="center"/>
          </w:tcPr>
          <w:p>
            <w:pPr>
              <w:adjustRightInd w:val="0"/>
              <w:snapToGrid w:val="0"/>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5" w:hRule="atLeast"/>
        </w:trPr>
        <w:tc>
          <w:tcPr>
            <w:tcW w:w="849" w:type="dxa"/>
            <w:noWrap/>
            <w:vAlign w:val="center"/>
          </w:tcPr>
          <w:p>
            <w:pPr>
              <w:widowControl/>
              <w:adjustRightInd w:val="0"/>
              <w:snapToGrid w:val="0"/>
              <w:spacing w:line="560" w:lineRule="exact"/>
              <w:jc w:val="left"/>
              <w:rPr>
                <w:rFonts w:ascii="宋体" w:hAnsi="宋体"/>
                <w:szCs w:val="21"/>
              </w:rPr>
            </w:pPr>
            <w:r>
              <w:rPr>
                <w:rFonts w:hint="eastAsia" w:ascii="宋体" w:hAnsi="宋体"/>
                <w:szCs w:val="21"/>
              </w:rPr>
              <w:t>1</w:t>
            </w:r>
          </w:p>
        </w:tc>
        <w:tc>
          <w:tcPr>
            <w:tcW w:w="1954" w:type="dxa"/>
            <w:vAlign w:val="center"/>
          </w:tcPr>
          <w:p>
            <w:pPr>
              <w:widowControl/>
              <w:adjustRightInd w:val="0"/>
              <w:snapToGrid w:val="0"/>
              <w:spacing w:line="560" w:lineRule="exact"/>
              <w:rPr>
                <w:rFonts w:ascii="宋体" w:hAnsi="宋体"/>
                <w:b/>
                <w:bCs/>
                <w:szCs w:val="21"/>
              </w:rPr>
            </w:pPr>
            <w:r>
              <w:rPr>
                <w:rFonts w:hint="eastAsia" w:ascii="宋体" w:hAnsi="宋体" w:cs="宋体"/>
                <w:b/>
                <w:bCs/>
                <w:szCs w:val="21"/>
              </w:rPr>
              <w:t>公司业绩</w:t>
            </w:r>
          </w:p>
        </w:tc>
        <w:tc>
          <w:tcPr>
            <w:tcW w:w="7090" w:type="dxa"/>
            <w:vAlign w:val="center"/>
          </w:tcPr>
          <w:p>
            <w:pPr>
              <w:widowControl/>
              <w:adjustRightInd w:val="0"/>
              <w:snapToGrid w:val="0"/>
              <w:jc w:val="left"/>
              <w:rPr>
                <w:rFonts w:ascii="宋体" w:hAnsi="宋体" w:cs="宋体"/>
                <w:szCs w:val="22"/>
              </w:rPr>
            </w:pPr>
            <w:r>
              <w:rPr>
                <w:rFonts w:hint="eastAsia" w:ascii="宋体" w:hAnsi="宋体" w:cs="宋体"/>
                <w:szCs w:val="22"/>
              </w:rPr>
              <w:t>投标人从201</w:t>
            </w:r>
            <w:r>
              <w:rPr>
                <w:rFonts w:ascii="宋体" w:hAnsi="宋体" w:cs="宋体"/>
                <w:szCs w:val="22"/>
              </w:rPr>
              <w:t>7</w:t>
            </w:r>
            <w:r>
              <w:rPr>
                <w:rFonts w:hint="eastAsia" w:ascii="宋体" w:hAnsi="宋体" w:cs="宋体"/>
                <w:szCs w:val="22"/>
              </w:rPr>
              <w:t>年1月1日至2022年10月31日期间（以合同签订时间为准）的业绩：</w:t>
            </w:r>
          </w:p>
          <w:p>
            <w:pPr>
              <w:widowControl/>
              <w:spacing w:line="360" w:lineRule="auto"/>
              <w:rPr>
                <w:rFonts w:ascii="宋体" w:hAnsi="宋体" w:cs="宋体"/>
                <w:szCs w:val="22"/>
              </w:rPr>
            </w:pPr>
            <w:r>
              <w:rPr>
                <w:rFonts w:hint="eastAsia" w:ascii="宋体" w:hAnsi="宋体" w:cs="宋体"/>
                <w:szCs w:val="22"/>
              </w:rPr>
              <w:t>1、承担过副省级及以上级别城市的全市性城市轨道交通中小运量线网规划项目，得</w:t>
            </w:r>
            <w:r>
              <w:rPr>
                <w:rFonts w:ascii="宋体" w:hAnsi="宋体" w:cs="宋体"/>
                <w:szCs w:val="22"/>
              </w:rPr>
              <w:t>3</w:t>
            </w:r>
            <w:r>
              <w:rPr>
                <w:rFonts w:hint="eastAsia" w:ascii="宋体" w:hAnsi="宋体" w:cs="宋体"/>
                <w:szCs w:val="22"/>
              </w:rPr>
              <w:t>分。</w:t>
            </w:r>
          </w:p>
          <w:p>
            <w:pPr>
              <w:widowControl/>
              <w:spacing w:line="360" w:lineRule="auto"/>
              <w:rPr>
                <w:rFonts w:ascii="宋体" w:hAnsi="宋体" w:cs="宋体"/>
                <w:szCs w:val="22"/>
              </w:rPr>
            </w:pPr>
            <w:r>
              <w:rPr>
                <w:rFonts w:hint="eastAsia" w:ascii="宋体" w:hAnsi="宋体" w:cs="宋体"/>
                <w:szCs w:val="22"/>
              </w:rPr>
              <w:t>2、承担过副省级及以上级别城市的全市性城市轨道交通建设规划项目，每项得2分，此项最高得4分。</w:t>
            </w:r>
          </w:p>
          <w:p>
            <w:pPr>
              <w:widowControl/>
              <w:spacing w:line="360" w:lineRule="auto"/>
              <w:rPr>
                <w:rFonts w:ascii="宋体" w:hAnsi="宋体" w:cs="宋体"/>
                <w:szCs w:val="22"/>
              </w:rPr>
            </w:pPr>
            <w:r>
              <w:rPr>
                <w:rFonts w:hint="eastAsia"/>
              </w:rPr>
              <w:t>3、</w:t>
            </w:r>
            <w:r>
              <w:rPr>
                <w:rFonts w:hint="eastAsia" w:ascii="宋体" w:hAnsi="宋体" w:cs="宋体"/>
                <w:szCs w:val="22"/>
              </w:rPr>
              <w:t>承担过副省级及以上级别城市的轨道交通</w:t>
            </w:r>
            <w:r>
              <w:rPr>
                <w:rFonts w:ascii="宋体" w:hAnsi="宋体" w:cs="宋体"/>
                <w:szCs w:val="22"/>
              </w:rPr>
              <w:t>接驳</w:t>
            </w:r>
            <w:r>
              <w:rPr>
                <w:rFonts w:hint="eastAsia" w:ascii="宋体" w:hAnsi="宋体" w:cs="宋体"/>
                <w:szCs w:val="22"/>
              </w:rPr>
              <w:t>规划研究</w:t>
            </w:r>
            <w:r>
              <w:rPr>
                <w:rFonts w:ascii="宋体" w:hAnsi="宋体" w:cs="宋体"/>
                <w:szCs w:val="22"/>
              </w:rPr>
              <w:t>项目，5</w:t>
            </w:r>
            <w:r>
              <w:rPr>
                <w:rFonts w:hint="eastAsia" w:ascii="宋体" w:hAnsi="宋体" w:cs="宋体"/>
                <w:szCs w:val="22"/>
              </w:rPr>
              <w:t>个得1分，往后每增加1个得0.2分，此项最高得2分。</w:t>
            </w:r>
          </w:p>
          <w:p>
            <w:pPr>
              <w:widowControl/>
              <w:spacing w:line="360" w:lineRule="auto"/>
              <w:rPr>
                <w:rFonts w:ascii="宋体" w:hAnsi="宋体" w:cs="宋体"/>
                <w:szCs w:val="22"/>
              </w:rPr>
            </w:pPr>
            <w:r>
              <w:rPr>
                <w:rFonts w:hint="eastAsia" w:ascii="宋体" w:hAnsi="宋体" w:cs="宋体"/>
                <w:szCs w:val="22"/>
              </w:rPr>
              <w:t>4、以上三项累计加分，最高累计不超过9分。</w:t>
            </w:r>
          </w:p>
          <w:p>
            <w:pPr>
              <w:widowControl/>
              <w:spacing w:line="360" w:lineRule="auto"/>
              <w:rPr>
                <w:rFonts w:ascii="宋体" w:hAnsi="宋体" w:cs="宋体"/>
                <w:szCs w:val="22"/>
              </w:rPr>
            </w:pPr>
            <w:r>
              <w:rPr>
                <w:rFonts w:hint="eastAsia" w:ascii="宋体" w:hAnsi="宋体" w:cs="宋体"/>
                <w:szCs w:val="22"/>
              </w:rPr>
              <w:t>评分说明：</w:t>
            </w:r>
          </w:p>
          <w:p>
            <w:pPr>
              <w:widowControl/>
              <w:spacing w:line="360" w:lineRule="auto"/>
              <w:rPr>
                <w:rFonts w:ascii="宋体" w:hAnsi="宋体" w:cs="宋体"/>
                <w:szCs w:val="22"/>
              </w:rPr>
            </w:pPr>
            <w:r>
              <w:rPr>
                <w:rFonts w:hint="eastAsia" w:ascii="宋体" w:hAnsi="宋体" w:cs="宋体"/>
                <w:szCs w:val="22"/>
              </w:rPr>
              <w:t>1、要求提供合同关键信息作为得分依据，也可以提供能证明得分的其它证明资料，如项目报告或合同甲方出具的证明文件等。</w:t>
            </w:r>
          </w:p>
          <w:p>
            <w:pPr>
              <w:widowControl/>
              <w:adjustRightInd w:val="0"/>
              <w:snapToGrid w:val="0"/>
              <w:jc w:val="left"/>
              <w:rPr>
                <w:rFonts w:ascii="宋体" w:hAnsi="宋体" w:cs="宋体"/>
                <w:szCs w:val="22"/>
              </w:rPr>
            </w:pPr>
          </w:p>
        </w:tc>
        <w:tc>
          <w:tcPr>
            <w:tcW w:w="1687" w:type="dxa"/>
            <w:vAlign w:val="center"/>
          </w:tcPr>
          <w:p>
            <w:pPr>
              <w:widowControl/>
              <w:adjustRightInd w:val="0"/>
              <w:snapToGrid w:val="0"/>
              <w:spacing w:line="560" w:lineRule="exact"/>
              <w:rPr>
                <w:rFonts w:ascii="宋体" w:hAnsi="宋体"/>
                <w:szCs w:val="21"/>
              </w:rPr>
            </w:pPr>
            <w:r>
              <w:rPr>
                <w:rFonts w:hint="eastAsia" w:ascii="宋体" w:hAnsi="宋体"/>
                <w:szCs w:val="21"/>
              </w:rPr>
              <w:t>9</w:t>
            </w:r>
          </w:p>
        </w:tc>
        <w:tc>
          <w:tcPr>
            <w:tcW w:w="574" w:type="dxa"/>
            <w:vAlign w:val="center"/>
          </w:tcPr>
          <w:p>
            <w:pPr>
              <w:widowControl/>
              <w:adjustRightInd w:val="0"/>
              <w:snapToGrid w:val="0"/>
              <w:spacing w:line="560" w:lineRule="exact"/>
              <w:rPr>
                <w:rFonts w:ascii="宋体" w:hAnsi="宋体"/>
                <w:szCs w:val="21"/>
              </w:rPr>
            </w:pPr>
          </w:p>
        </w:tc>
        <w:tc>
          <w:tcPr>
            <w:tcW w:w="574" w:type="dxa"/>
            <w:vAlign w:val="center"/>
          </w:tcPr>
          <w:p>
            <w:pPr>
              <w:widowControl/>
              <w:adjustRightInd w:val="0"/>
              <w:snapToGrid w:val="0"/>
              <w:spacing w:line="560" w:lineRule="exact"/>
              <w:rPr>
                <w:rFonts w:ascii="宋体" w:hAnsi="宋体"/>
                <w:szCs w:val="21"/>
              </w:rPr>
            </w:pPr>
          </w:p>
        </w:tc>
        <w:tc>
          <w:tcPr>
            <w:tcW w:w="574" w:type="dxa"/>
            <w:vAlign w:val="center"/>
          </w:tcPr>
          <w:p>
            <w:pPr>
              <w:widowControl/>
              <w:adjustRightInd w:val="0"/>
              <w:snapToGrid w:val="0"/>
              <w:spacing w:line="560" w:lineRule="exact"/>
              <w:rPr>
                <w:rFonts w:ascii="宋体" w:hAnsi="宋体"/>
                <w:szCs w:val="21"/>
              </w:rPr>
            </w:pPr>
          </w:p>
        </w:tc>
        <w:tc>
          <w:tcPr>
            <w:tcW w:w="574" w:type="dxa"/>
            <w:vAlign w:val="center"/>
          </w:tcPr>
          <w:p>
            <w:pPr>
              <w:widowControl/>
              <w:adjustRightInd w:val="0"/>
              <w:snapToGrid w:val="0"/>
              <w:spacing w:line="5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4" w:hRule="atLeast"/>
        </w:trPr>
        <w:tc>
          <w:tcPr>
            <w:tcW w:w="849" w:type="dxa"/>
            <w:noWrap/>
            <w:vAlign w:val="center"/>
          </w:tcPr>
          <w:p>
            <w:pPr>
              <w:widowControl/>
              <w:adjustRightInd w:val="0"/>
              <w:snapToGrid w:val="0"/>
              <w:spacing w:line="560" w:lineRule="exact"/>
              <w:jc w:val="left"/>
              <w:rPr>
                <w:rFonts w:ascii="宋体" w:hAnsi="宋体"/>
                <w:szCs w:val="21"/>
              </w:rPr>
            </w:pPr>
            <w:r>
              <w:rPr>
                <w:rFonts w:hint="eastAsia" w:ascii="宋体" w:hAnsi="宋体"/>
                <w:szCs w:val="21"/>
              </w:rPr>
              <w:t>2</w:t>
            </w:r>
          </w:p>
        </w:tc>
        <w:tc>
          <w:tcPr>
            <w:tcW w:w="1954" w:type="dxa"/>
            <w:vAlign w:val="center"/>
          </w:tcPr>
          <w:p>
            <w:pPr>
              <w:widowControl/>
              <w:adjustRightInd w:val="0"/>
              <w:snapToGrid w:val="0"/>
              <w:spacing w:line="560" w:lineRule="exact"/>
              <w:rPr>
                <w:rFonts w:ascii="宋体" w:hAnsi="宋体"/>
                <w:szCs w:val="21"/>
              </w:rPr>
            </w:pPr>
            <w:r>
              <w:rPr>
                <w:rFonts w:hint="eastAsia" w:ascii="宋体" w:hAnsi="宋体" w:cs="宋体"/>
                <w:b/>
                <w:bCs/>
                <w:szCs w:val="21"/>
              </w:rPr>
              <w:t>公司获奖情况</w:t>
            </w:r>
          </w:p>
        </w:tc>
        <w:tc>
          <w:tcPr>
            <w:tcW w:w="7090" w:type="dxa"/>
            <w:vAlign w:val="center"/>
          </w:tcPr>
          <w:p>
            <w:pPr>
              <w:widowControl/>
              <w:adjustRightInd w:val="0"/>
              <w:snapToGrid w:val="0"/>
              <w:spacing w:line="360" w:lineRule="auto"/>
              <w:jc w:val="left"/>
              <w:rPr>
                <w:rFonts w:ascii="宋体" w:hAnsi="宋体" w:cs="宋体"/>
                <w:szCs w:val="22"/>
              </w:rPr>
            </w:pPr>
            <w:r>
              <w:rPr>
                <w:rFonts w:hint="eastAsia" w:ascii="宋体" w:hAnsi="宋体" w:cs="宋体"/>
                <w:szCs w:val="22"/>
              </w:rPr>
              <w:t>从2017年1月1日至2022年10月31日期间获得区域及城市交通规划研究项目相关奖励情况：</w:t>
            </w:r>
          </w:p>
          <w:p>
            <w:pPr>
              <w:widowControl/>
              <w:adjustRightInd w:val="0"/>
              <w:snapToGrid w:val="0"/>
              <w:spacing w:line="360" w:lineRule="auto"/>
              <w:jc w:val="left"/>
              <w:rPr>
                <w:rFonts w:ascii="宋体" w:hAnsi="宋体" w:cs="宋体"/>
                <w:szCs w:val="22"/>
              </w:rPr>
            </w:pPr>
            <w:r>
              <w:rPr>
                <w:rFonts w:hint="eastAsia" w:ascii="宋体" w:hAnsi="宋体" w:cs="宋体"/>
                <w:szCs w:val="22"/>
              </w:rPr>
              <w:t>1、承担过副省级及以上城际轨道、城市轨道交通规划类项目，获得国家级奖项，得</w:t>
            </w:r>
            <w:r>
              <w:rPr>
                <w:rFonts w:ascii="宋体" w:hAnsi="宋体" w:cs="宋体"/>
                <w:szCs w:val="22"/>
              </w:rPr>
              <w:t>2</w:t>
            </w:r>
            <w:r>
              <w:rPr>
                <w:rFonts w:hint="eastAsia" w:ascii="宋体" w:hAnsi="宋体" w:cs="宋体"/>
                <w:szCs w:val="22"/>
              </w:rPr>
              <w:t>分；</w:t>
            </w:r>
          </w:p>
          <w:p>
            <w:pPr>
              <w:widowControl/>
              <w:adjustRightInd w:val="0"/>
              <w:snapToGrid w:val="0"/>
              <w:spacing w:line="360" w:lineRule="auto"/>
              <w:jc w:val="left"/>
              <w:rPr>
                <w:rFonts w:ascii="宋体" w:hAnsi="宋体" w:cs="宋体"/>
                <w:szCs w:val="22"/>
              </w:rPr>
            </w:pPr>
            <w:r>
              <w:rPr>
                <w:rFonts w:hint="eastAsia" w:ascii="宋体" w:hAnsi="宋体" w:cs="宋体"/>
                <w:szCs w:val="22"/>
              </w:rPr>
              <w:t>2、承担的副省级及以上城际轨道、城市轨道交通规划类项目获得省级奖项每项得</w:t>
            </w:r>
            <w:r>
              <w:rPr>
                <w:rFonts w:ascii="宋体" w:hAnsi="宋体" w:cs="宋体"/>
                <w:szCs w:val="22"/>
              </w:rPr>
              <w:t>1</w:t>
            </w:r>
            <w:r>
              <w:rPr>
                <w:rFonts w:hint="eastAsia" w:ascii="宋体" w:hAnsi="宋体" w:cs="宋体"/>
                <w:szCs w:val="22"/>
              </w:rPr>
              <w:t>分，最高得</w:t>
            </w:r>
            <w:r>
              <w:rPr>
                <w:rFonts w:ascii="宋体" w:hAnsi="宋体" w:cs="宋体"/>
                <w:szCs w:val="22"/>
              </w:rPr>
              <w:t>3</w:t>
            </w:r>
            <w:r>
              <w:rPr>
                <w:rFonts w:hint="eastAsia" w:ascii="宋体" w:hAnsi="宋体" w:cs="宋体"/>
                <w:szCs w:val="22"/>
              </w:rPr>
              <w:t>分。</w:t>
            </w:r>
          </w:p>
          <w:p>
            <w:pPr>
              <w:widowControl/>
              <w:adjustRightInd w:val="0"/>
              <w:snapToGrid w:val="0"/>
              <w:spacing w:line="360" w:lineRule="auto"/>
              <w:jc w:val="left"/>
              <w:rPr>
                <w:rFonts w:ascii="宋体" w:hAnsi="宋体" w:cs="宋体"/>
                <w:szCs w:val="22"/>
              </w:rPr>
            </w:pPr>
            <w:r>
              <w:rPr>
                <w:rFonts w:hint="eastAsia" w:ascii="宋体" w:hAnsi="宋体" w:cs="宋体"/>
                <w:szCs w:val="22"/>
              </w:rPr>
              <w:t xml:space="preserve">评分依据： </w:t>
            </w:r>
          </w:p>
          <w:p>
            <w:pPr>
              <w:widowControl/>
              <w:adjustRightInd w:val="0"/>
              <w:snapToGrid w:val="0"/>
              <w:spacing w:line="360" w:lineRule="auto"/>
              <w:jc w:val="left"/>
              <w:rPr>
                <w:rFonts w:ascii="宋体" w:hAnsi="宋体" w:cs="宋体"/>
                <w:szCs w:val="22"/>
              </w:rPr>
            </w:pPr>
            <w:r>
              <w:rPr>
                <w:rFonts w:hint="eastAsia" w:ascii="宋体" w:hAnsi="宋体" w:cs="宋体"/>
                <w:szCs w:val="22"/>
              </w:rPr>
              <w:t>1、国家级奖项要求奖项颁发单位为国务院、国家部委或相关的全国性行业协会（学会）；省级奖项要求奖项颁发单位为省（自治区、直辖市）人民政府（或行业主管行政机关）或相应区域的行业协会（学会）。</w:t>
            </w:r>
          </w:p>
          <w:p>
            <w:pPr>
              <w:widowControl/>
              <w:adjustRightInd w:val="0"/>
              <w:snapToGrid w:val="0"/>
              <w:spacing w:line="360" w:lineRule="auto"/>
              <w:jc w:val="left"/>
              <w:rPr>
                <w:rFonts w:ascii="宋体" w:hAnsi="宋体" w:cs="宋体"/>
                <w:szCs w:val="22"/>
              </w:rPr>
            </w:pPr>
            <w:r>
              <w:rPr>
                <w:rFonts w:hint="eastAsia" w:ascii="宋体" w:hAnsi="宋体" w:cs="宋体"/>
                <w:szCs w:val="22"/>
              </w:rPr>
              <w:t>2、同一个项目只计获得的最高奖励（荣誉、表彰），不可重复计分。</w:t>
            </w:r>
          </w:p>
          <w:p>
            <w:pPr>
              <w:widowControl/>
              <w:adjustRightInd w:val="0"/>
              <w:snapToGrid w:val="0"/>
              <w:spacing w:line="360" w:lineRule="auto"/>
              <w:jc w:val="left"/>
              <w:rPr>
                <w:rFonts w:ascii="宋体" w:hAnsi="宋体" w:cs="宋体"/>
                <w:szCs w:val="22"/>
              </w:rPr>
            </w:pPr>
            <w:r>
              <w:rPr>
                <w:rFonts w:hint="eastAsia" w:ascii="宋体" w:hAnsi="宋体" w:cs="宋体"/>
                <w:szCs w:val="22"/>
              </w:rPr>
              <w:t>3、要求提供奖项照片或获奖（荣誉）证书或公示文件等证明材料作为得分依据，时间以荣誉证书落款日期或公示文件日期为准。</w:t>
            </w:r>
          </w:p>
          <w:p>
            <w:pPr>
              <w:tabs>
                <w:tab w:val="left" w:pos="487"/>
              </w:tabs>
              <w:spacing w:line="300" w:lineRule="exact"/>
              <w:jc w:val="left"/>
              <w:rPr>
                <w:rFonts w:ascii="宋体" w:hAnsi="宋体"/>
                <w:szCs w:val="21"/>
              </w:rPr>
            </w:pPr>
            <w:r>
              <w:rPr>
                <w:rFonts w:hint="eastAsia" w:ascii="宋体" w:hAnsi="宋体" w:cs="宋体"/>
                <w:szCs w:val="22"/>
              </w:rPr>
              <w:t>4、以上资料均要求提供扫描件并盖章，原件备查。</w:t>
            </w:r>
          </w:p>
        </w:tc>
        <w:tc>
          <w:tcPr>
            <w:tcW w:w="1687" w:type="dxa"/>
            <w:vAlign w:val="center"/>
          </w:tcPr>
          <w:p>
            <w:pPr>
              <w:widowControl/>
              <w:adjustRightInd w:val="0"/>
              <w:snapToGrid w:val="0"/>
              <w:spacing w:line="560" w:lineRule="exact"/>
              <w:rPr>
                <w:rFonts w:ascii="宋体" w:hAnsi="宋体"/>
                <w:sz w:val="22"/>
                <w:szCs w:val="22"/>
              </w:rPr>
            </w:pPr>
            <w:r>
              <w:rPr>
                <w:rFonts w:hint="eastAsia" w:ascii="宋体" w:hAnsi="宋体" w:cs="宋体"/>
                <w:b/>
                <w:bCs/>
                <w:sz w:val="22"/>
                <w:szCs w:val="22"/>
              </w:rPr>
              <w:t>5</w:t>
            </w:r>
          </w:p>
        </w:tc>
        <w:tc>
          <w:tcPr>
            <w:tcW w:w="574" w:type="dxa"/>
            <w:vAlign w:val="center"/>
          </w:tcPr>
          <w:p>
            <w:pPr>
              <w:widowControl/>
              <w:adjustRightInd w:val="0"/>
              <w:snapToGrid w:val="0"/>
              <w:spacing w:line="560" w:lineRule="exact"/>
              <w:rPr>
                <w:rFonts w:ascii="宋体" w:hAnsi="宋体" w:cs="宋体"/>
                <w:b/>
                <w:bCs/>
                <w:sz w:val="22"/>
                <w:szCs w:val="22"/>
              </w:rPr>
            </w:pPr>
          </w:p>
        </w:tc>
        <w:tc>
          <w:tcPr>
            <w:tcW w:w="574" w:type="dxa"/>
            <w:vAlign w:val="center"/>
          </w:tcPr>
          <w:p>
            <w:pPr>
              <w:widowControl/>
              <w:adjustRightInd w:val="0"/>
              <w:snapToGrid w:val="0"/>
              <w:spacing w:line="560" w:lineRule="exact"/>
              <w:rPr>
                <w:rFonts w:ascii="宋体" w:hAnsi="宋体" w:cs="宋体"/>
                <w:b/>
                <w:bCs/>
                <w:sz w:val="22"/>
                <w:szCs w:val="22"/>
              </w:rPr>
            </w:pPr>
          </w:p>
        </w:tc>
        <w:tc>
          <w:tcPr>
            <w:tcW w:w="574" w:type="dxa"/>
            <w:vAlign w:val="center"/>
          </w:tcPr>
          <w:p>
            <w:pPr>
              <w:widowControl/>
              <w:adjustRightInd w:val="0"/>
              <w:snapToGrid w:val="0"/>
              <w:spacing w:line="560" w:lineRule="exact"/>
              <w:rPr>
                <w:rFonts w:ascii="宋体" w:hAnsi="宋体" w:cs="宋体"/>
                <w:b/>
                <w:bCs/>
                <w:sz w:val="22"/>
                <w:szCs w:val="22"/>
              </w:rPr>
            </w:pPr>
          </w:p>
        </w:tc>
        <w:tc>
          <w:tcPr>
            <w:tcW w:w="574" w:type="dxa"/>
            <w:vAlign w:val="center"/>
          </w:tcPr>
          <w:p>
            <w:pPr>
              <w:widowControl/>
              <w:adjustRightInd w:val="0"/>
              <w:snapToGrid w:val="0"/>
              <w:spacing w:line="560" w:lineRule="exact"/>
              <w:rPr>
                <w:rFonts w:ascii="宋体" w:hAnsi="宋体" w:cs="宋体"/>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9" w:hRule="atLeast"/>
        </w:trPr>
        <w:tc>
          <w:tcPr>
            <w:tcW w:w="849" w:type="dxa"/>
            <w:noWrap/>
            <w:vAlign w:val="center"/>
          </w:tcPr>
          <w:p>
            <w:pPr>
              <w:widowControl/>
              <w:adjustRightInd w:val="0"/>
              <w:snapToGrid w:val="0"/>
              <w:spacing w:line="560" w:lineRule="exact"/>
              <w:jc w:val="left"/>
              <w:rPr>
                <w:rFonts w:ascii="宋体" w:hAnsi="宋体"/>
                <w:szCs w:val="21"/>
              </w:rPr>
            </w:pPr>
            <w:r>
              <w:rPr>
                <w:rFonts w:hint="eastAsia" w:ascii="宋体" w:hAnsi="宋体"/>
                <w:szCs w:val="21"/>
              </w:rPr>
              <w:t>3</w:t>
            </w:r>
          </w:p>
        </w:tc>
        <w:tc>
          <w:tcPr>
            <w:tcW w:w="1954" w:type="dxa"/>
            <w:vAlign w:val="center"/>
          </w:tcPr>
          <w:p>
            <w:pPr>
              <w:widowControl/>
              <w:adjustRightInd w:val="0"/>
              <w:snapToGrid w:val="0"/>
              <w:spacing w:line="560" w:lineRule="exact"/>
              <w:rPr>
                <w:rFonts w:ascii="仿宋_GB2312" w:hAnsi="宋体" w:eastAsia="仿宋_GB2312"/>
                <w:sz w:val="32"/>
                <w:szCs w:val="32"/>
              </w:rPr>
            </w:pPr>
            <w:r>
              <w:rPr>
                <w:rFonts w:hint="eastAsia" w:ascii="宋体" w:hAnsi="宋体" w:cs="宋体"/>
                <w:b/>
                <w:bCs/>
                <w:szCs w:val="21"/>
              </w:rPr>
              <w:t>项目负责人</w:t>
            </w:r>
          </w:p>
        </w:tc>
        <w:tc>
          <w:tcPr>
            <w:tcW w:w="7090" w:type="dxa"/>
            <w:vAlign w:val="center"/>
          </w:tcPr>
          <w:p>
            <w:pPr>
              <w:widowControl/>
              <w:adjustRightInd w:val="0"/>
              <w:snapToGrid w:val="0"/>
              <w:spacing w:line="360" w:lineRule="auto"/>
              <w:jc w:val="left"/>
              <w:rPr>
                <w:rFonts w:ascii="宋体" w:hAnsi="宋体" w:cs="宋体"/>
                <w:szCs w:val="22"/>
              </w:rPr>
            </w:pPr>
            <w:r>
              <w:rPr>
                <w:rFonts w:hint="eastAsia" w:ascii="宋体" w:hAnsi="宋体" w:cs="宋体"/>
                <w:szCs w:val="22"/>
              </w:rPr>
              <w:t>拟派项目负责人具有以下项目经验：</w:t>
            </w:r>
          </w:p>
          <w:p>
            <w:pPr>
              <w:widowControl/>
              <w:adjustRightInd w:val="0"/>
              <w:snapToGrid w:val="0"/>
              <w:spacing w:line="360" w:lineRule="auto"/>
              <w:jc w:val="left"/>
              <w:rPr>
                <w:rFonts w:ascii="宋体" w:hAnsi="宋体" w:cs="宋体"/>
                <w:szCs w:val="22"/>
              </w:rPr>
            </w:pPr>
            <w:r>
              <w:rPr>
                <w:rFonts w:hint="eastAsia" w:ascii="宋体" w:hAnsi="宋体" w:cs="宋体"/>
                <w:szCs w:val="22"/>
              </w:rPr>
              <w:t>1、担任过副省级及以上城市的轨道交通建设规划项目负责人（或项目主管）得3分。</w:t>
            </w:r>
          </w:p>
          <w:p>
            <w:pPr>
              <w:widowControl/>
              <w:adjustRightInd w:val="0"/>
              <w:snapToGrid w:val="0"/>
              <w:spacing w:line="360" w:lineRule="auto"/>
              <w:jc w:val="left"/>
              <w:rPr>
                <w:rFonts w:ascii="宋体" w:hAnsi="宋体" w:cs="宋体"/>
                <w:szCs w:val="22"/>
              </w:rPr>
            </w:pPr>
            <w:r>
              <w:rPr>
                <w:rFonts w:hint="eastAsia" w:ascii="宋体" w:hAnsi="宋体" w:cs="宋体"/>
                <w:szCs w:val="22"/>
              </w:rPr>
              <w:t>2、主持或参与过轨道交通规划（研究）项目获得国家级及以上城乡规划设计奖且排名前三得</w:t>
            </w:r>
            <w:r>
              <w:rPr>
                <w:rFonts w:ascii="宋体" w:hAnsi="宋体" w:cs="宋体"/>
                <w:szCs w:val="22"/>
              </w:rPr>
              <w:t>3</w:t>
            </w:r>
            <w:r>
              <w:rPr>
                <w:rFonts w:hint="eastAsia" w:ascii="宋体" w:hAnsi="宋体" w:cs="宋体"/>
                <w:szCs w:val="22"/>
              </w:rPr>
              <w:t>分。</w:t>
            </w:r>
          </w:p>
          <w:p>
            <w:pPr>
              <w:widowControl/>
              <w:adjustRightInd w:val="0"/>
              <w:snapToGrid w:val="0"/>
              <w:spacing w:line="360" w:lineRule="auto"/>
              <w:jc w:val="left"/>
              <w:rPr>
                <w:rFonts w:ascii="宋体" w:hAnsi="宋体" w:cs="宋体"/>
                <w:szCs w:val="22"/>
              </w:rPr>
            </w:pPr>
            <w:r>
              <w:rPr>
                <w:rFonts w:hint="eastAsia" w:ascii="宋体" w:hAnsi="宋体" w:cs="宋体"/>
                <w:szCs w:val="22"/>
              </w:rPr>
              <w:t>评分依据：</w:t>
            </w:r>
          </w:p>
          <w:p>
            <w:pPr>
              <w:widowControl/>
              <w:adjustRightInd w:val="0"/>
              <w:snapToGrid w:val="0"/>
              <w:spacing w:line="360" w:lineRule="auto"/>
              <w:jc w:val="left"/>
              <w:rPr>
                <w:rFonts w:ascii="宋体" w:hAnsi="宋体" w:cs="宋体"/>
                <w:szCs w:val="22"/>
              </w:rPr>
            </w:pPr>
            <w:r>
              <w:rPr>
                <w:rFonts w:hint="eastAsia" w:ascii="宋体" w:hAnsi="宋体" w:cs="宋体"/>
                <w:szCs w:val="22"/>
              </w:rPr>
              <w:t>1、提供近1年社保证明资料证明资料可为社保收缴部门盖章证明资料、社保窗口打印资料或社保官网截图。</w:t>
            </w:r>
          </w:p>
          <w:p>
            <w:pPr>
              <w:widowControl/>
              <w:adjustRightInd w:val="0"/>
              <w:snapToGrid w:val="0"/>
              <w:spacing w:line="360" w:lineRule="auto"/>
              <w:jc w:val="left"/>
              <w:rPr>
                <w:rFonts w:ascii="仿宋_GB2312" w:hAnsi="宋体" w:eastAsia="仿宋_GB2312"/>
                <w:szCs w:val="21"/>
              </w:rPr>
            </w:pPr>
            <w:r>
              <w:rPr>
                <w:rFonts w:hint="eastAsia" w:ascii="宋体" w:hAnsi="宋体" w:cs="宋体"/>
                <w:szCs w:val="22"/>
              </w:rPr>
              <w:t>2、项目经验证明需提供合同关键信息，通过合同关键信息无法判断是否得分的，可提供合同甲方出具的证明文件。</w:t>
            </w:r>
          </w:p>
        </w:tc>
        <w:tc>
          <w:tcPr>
            <w:tcW w:w="1687" w:type="dxa"/>
            <w:vAlign w:val="center"/>
          </w:tcPr>
          <w:p>
            <w:pPr>
              <w:widowControl/>
              <w:adjustRightInd w:val="0"/>
              <w:snapToGrid w:val="0"/>
              <w:spacing w:line="560" w:lineRule="exact"/>
              <w:rPr>
                <w:rFonts w:ascii="仿宋_GB2312" w:hAnsi="宋体"/>
                <w:sz w:val="36"/>
                <w:szCs w:val="36"/>
              </w:rPr>
            </w:pPr>
            <w:r>
              <w:rPr>
                <w:rFonts w:hint="eastAsia" w:ascii="宋体" w:hAnsi="宋体" w:cs="宋体"/>
                <w:b/>
                <w:bCs/>
                <w:sz w:val="22"/>
                <w:szCs w:val="22"/>
              </w:rPr>
              <w:t>6</w:t>
            </w:r>
          </w:p>
        </w:tc>
        <w:tc>
          <w:tcPr>
            <w:tcW w:w="574" w:type="dxa"/>
            <w:vAlign w:val="center"/>
          </w:tcPr>
          <w:p>
            <w:pPr>
              <w:widowControl/>
              <w:adjustRightInd w:val="0"/>
              <w:snapToGrid w:val="0"/>
              <w:spacing w:line="560" w:lineRule="exact"/>
              <w:rPr>
                <w:rFonts w:ascii="宋体" w:hAnsi="宋体" w:cs="宋体"/>
                <w:b/>
                <w:bCs/>
                <w:sz w:val="22"/>
                <w:szCs w:val="22"/>
              </w:rPr>
            </w:pPr>
          </w:p>
        </w:tc>
        <w:tc>
          <w:tcPr>
            <w:tcW w:w="574" w:type="dxa"/>
            <w:vAlign w:val="center"/>
          </w:tcPr>
          <w:p>
            <w:pPr>
              <w:widowControl/>
              <w:adjustRightInd w:val="0"/>
              <w:snapToGrid w:val="0"/>
              <w:spacing w:line="560" w:lineRule="exact"/>
              <w:rPr>
                <w:rFonts w:ascii="宋体" w:hAnsi="宋体" w:cs="宋体"/>
                <w:b/>
                <w:bCs/>
                <w:sz w:val="22"/>
                <w:szCs w:val="22"/>
              </w:rPr>
            </w:pPr>
          </w:p>
        </w:tc>
        <w:tc>
          <w:tcPr>
            <w:tcW w:w="574" w:type="dxa"/>
            <w:vAlign w:val="center"/>
          </w:tcPr>
          <w:p>
            <w:pPr>
              <w:widowControl/>
              <w:adjustRightInd w:val="0"/>
              <w:snapToGrid w:val="0"/>
              <w:spacing w:line="560" w:lineRule="exact"/>
              <w:rPr>
                <w:rFonts w:ascii="宋体" w:hAnsi="宋体" w:cs="宋体"/>
                <w:b/>
                <w:bCs/>
                <w:sz w:val="22"/>
                <w:szCs w:val="22"/>
              </w:rPr>
            </w:pPr>
          </w:p>
        </w:tc>
        <w:tc>
          <w:tcPr>
            <w:tcW w:w="574" w:type="dxa"/>
            <w:vAlign w:val="center"/>
          </w:tcPr>
          <w:p>
            <w:pPr>
              <w:widowControl/>
              <w:adjustRightInd w:val="0"/>
              <w:snapToGrid w:val="0"/>
              <w:spacing w:line="560" w:lineRule="exact"/>
              <w:rPr>
                <w:rFonts w:ascii="宋体" w:hAnsi="宋体" w:cs="宋体"/>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trPr>
        <w:tc>
          <w:tcPr>
            <w:tcW w:w="849" w:type="dxa"/>
            <w:noWrap/>
            <w:vAlign w:val="center"/>
          </w:tcPr>
          <w:p>
            <w:pPr>
              <w:widowControl/>
              <w:adjustRightInd w:val="0"/>
              <w:snapToGrid w:val="0"/>
              <w:spacing w:line="560" w:lineRule="exact"/>
              <w:jc w:val="left"/>
              <w:rPr>
                <w:rFonts w:ascii="宋体" w:hAnsi="宋体"/>
                <w:szCs w:val="21"/>
              </w:rPr>
            </w:pPr>
            <w:r>
              <w:rPr>
                <w:rFonts w:hint="eastAsia" w:ascii="宋体" w:hAnsi="宋体"/>
                <w:szCs w:val="21"/>
              </w:rPr>
              <w:t>4</w:t>
            </w:r>
          </w:p>
        </w:tc>
        <w:tc>
          <w:tcPr>
            <w:tcW w:w="1954" w:type="dxa"/>
            <w:vAlign w:val="center"/>
          </w:tcPr>
          <w:p>
            <w:pPr>
              <w:widowControl/>
              <w:adjustRightInd w:val="0"/>
              <w:snapToGrid w:val="0"/>
              <w:spacing w:line="560" w:lineRule="exact"/>
              <w:rPr>
                <w:rFonts w:ascii="宋体" w:hAnsi="宋体" w:cs="宋体"/>
                <w:b/>
                <w:bCs/>
                <w:szCs w:val="21"/>
              </w:rPr>
            </w:pPr>
            <w:r>
              <w:rPr>
                <w:rFonts w:hint="eastAsia" w:ascii="宋体" w:hAnsi="宋体" w:cs="宋体"/>
                <w:b/>
                <w:bCs/>
                <w:szCs w:val="21"/>
              </w:rPr>
              <w:t>投标人自主知识产权情况（创新、设计）</w:t>
            </w:r>
          </w:p>
        </w:tc>
        <w:tc>
          <w:tcPr>
            <w:tcW w:w="7090" w:type="dxa"/>
            <w:vAlign w:val="center"/>
          </w:tcPr>
          <w:p>
            <w:pPr>
              <w:widowControl/>
              <w:adjustRightInd w:val="0"/>
              <w:snapToGrid w:val="0"/>
              <w:spacing w:line="360" w:lineRule="auto"/>
              <w:jc w:val="left"/>
              <w:rPr>
                <w:rFonts w:ascii="宋体" w:hAnsi="宋体" w:cs="宋体"/>
                <w:szCs w:val="22"/>
              </w:rPr>
            </w:pPr>
            <w:r>
              <w:rPr>
                <w:rFonts w:hint="eastAsia" w:ascii="宋体" w:hAnsi="宋体" w:cs="宋体"/>
                <w:szCs w:val="22"/>
              </w:rPr>
              <w:t xml:space="preserve">从2020年1月1日至本项目开标之日期间（以证书签发日期为准）取得的国家部委或国家版权局颁发的交通领域的自主知识产权产品（创新或设计产品、专利权、著作权、科技成果专有技术登记）数量情况：起始5个得2分，往后每增加1个得0.5分，最高得5分。 </w:t>
            </w:r>
          </w:p>
          <w:p>
            <w:pPr>
              <w:widowControl/>
              <w:adjustRightInd w:val="0"/>
              <w:snapToGrid w:val="0"/>
              <w:spacing w:line="360" w:lineRule="auto"/>
              <w:jc w:val="left"/>
              <w:rPr>
                <w:rFonts w:ascii="宋体" w:hAnsi="宋体" w:cs="宋体"/>
                <w:szCs w:val="22"/>
              </w:rPr>
            </w:pPr>
            <w:r>
              <w:rPr>
                <w:rFonts w:hint="eastAsia" w:ascii="宋体" w:hAnsi="宋体" w:cs="宋体"/>
                <w:szCs w:val="22"/>
              </w:rPr>
              <w:t xml:space="preserve">评分依据： </w:t>
            </w:r>
          </w:p>
          <w:p>
            <w:pPr>
              <w:widowControl/>
              <w:adjustRightInd w:val="0"/>
              <w:snapToGrid w:val="0"/>
              <w:spacing w:line="360" w:lineRule="auto"/>
              <w:jc w:val="left"/>
              <w:rPr>
                <w:rFonts w:ascii="宋体" w:hAnsi="宋体" w:cs="宋体"/>
                <w:szCs w:val="22"/>
              </w:rPr>
            </w:pPr>
            <w:r>
              <w:rPr>
                <w:rFonts w:hint="eastAsia" w:ascii="宋体" w:hAnsi="宋体" w:cs="宋体"/>
                <w:szCs w:val="22"/>
              </w:rPr>
              <w:t xml:space="preserve">1.要求提供有效的产权（专利）证书、著作权登记书等证明材料作为得分依据。 </w:t>
            </w:r>
          </w:p>
          <w:p>
            <w:pPr>
              <w:widowControl/>
              <w:adjustRightInd w:val="0"/>
              <w:snapToGrid w:val="0"/>
              <w:spacing w:line="360" w:lineRule="auto"/>
              <w:jc w:val="left"/>
              <w:rPr>
                <w:rFonts w:ascii="宋体" w:hAnsi="宋体" w:cs="宋体"/>
                <w:szCs w:val="22"/>
              </w:rPr>
            </w:pPr>
            <w:r>
              <w:rPr>
                <w:rFonts w:hint="eastAsia" w:ascii="宋体" w:hAnsi="宋体" w:cs="宋体"/>
                <w:szCs w:val="22"/>
              </w:rPr>
              <w:t>2.以上资料均要求提供复印件，原件备查。</w:t>
            </w:r>
          </w:p>
        </w:tc>
        <w:tc>
          <w:tcPr>
            <w:tcW w:w="1687" w:type="dxa"/>
            <w:vAlign w:val="center"/>
          </w:tcPr>
          <w:p>
            <w:pPr>
              <w:widowControl/>
              <w:adjustRightInd w:val="0"/>
              <w:snapToGrid w:val="0"/>
              <w:spacing w:line="560" w:lineRule="exact"/>
              <w:rPr>
                <w:rFonts w:ascii="宋体" w:hAnsi="宋体" w:cs="宋体"/>
                <w:b/>
                <w:bCs/>
                <w:sz w:val="22"/>
                <w:szCs w:val="22"/>
              </w:rPr>
            </w:pPr>
            <w:r>
              <w:rPr>
                <w:rFonts w:hint="eastAsia" w:ascii="宋体" w:hAnsi="宋体" w:cs="宋体"/>
                <w:b/>
                <w:bCs/>
                <w:sz w:val="22"/>
                <w:szCs w:val="22"/>
              </w:rPr>
              <w:t>5</w:t>
            </w:r>
          </w:p>
        </w:tc>
        <w:tc>
          <w:tcPr>
            <w:tcW w:w="574" w:type="dxa"/>
            <w:vAlign w:val="center"/>
          </w:tcPr>
          <w:p>
            <w:pPr>
              <w:widowControl/>
              <w:adjustRightInd w:val="0"/>
              <w:snapToGrid w:val="0"/>
              <w:spacing w:line="560" w:lineRule="exact"/>
              <w:rPr>
                <w:rFonts w:ascii="宋体" w:hAnsi="宋体" w:cs="宋体"/>
                <w:b/>
                <w:bCs/>
                <w:sz w:val="22"/>
                <w:szCs w:val="22"/>
              </w:rPr>
            </w:pPr>
          </w:p>
        </w:tc>
        <w:tc>
          <w:tcPr>
            <w:tcW w:w="574" w:type="dxa"/>
            <w:vAlign w:val="center"/>
          </w:tcPr>
          <w:p>
            <w:pPr>
              <w:widowControl/>
              <w:adjustRightInd w:val="0"/>
              <w:snapToGrid w:val="0"/>
              <w:spacing w:line="560" w:lineRule="exact"/>
              <w:rPr>
                <w:rFonts w:ascii="宋体" w:hAnsi="宋体" w:cs="宋体"/>
                <w:b/>
                <w:bCs/>
                <w:sz w:val="22"/>
                <w:szCs w:val="22"/>
              </w:rPr>
            </w:pPr>
          </w:p>
        </w:tc>
        <w:tc>
          <w:tcPr>
            <w:tcW w:w="574" w:type="dxa"/>
            <w:vAlign w:val="center"/>
          </w:tcPr>
          <w:p>
            <w:pPr>
              <w:widowControl/>
              <w:adjustRightInd w:val="0"/>
              <w:snapToGrid w:val="0"/>
              <w:spacing w:line="560" w:lineRule="exact"/>
              <w:rPr>
                <w:rFonts w:ascii="宋体" w:hAnsi="宋体" w:cs="宋体"/>
                <w:b/>
                <w:bCs/>
                <w:sz w:val="22"/>
                <w:szCs w:val="22"/>
              </w:rPr>
            </w:pPr>
          </w:p>
        </w:tc>
        <w:tc>
          <w:tcPr>
            <w:tcW w:w="574" w:type="dxa"/>
            <w:vAlign w:val="center"/>
          </w:tcPr>
          <w:p>
            <w:pPr>
              <w:widowControl/>
              <w:adjustRightInd w:val="0"/>
              <w:snapToGrid w:val="0"/>
              <w:spacing w:line="560" w:lineRule="exact"/>
              <w:rPr>
                <w:rFonts w:ascii="宋体" w:hAnsi="宋体" w:cs="宋体"/>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trPr>
        <w:tc>
          <w:tcPr>
            <w:tcW w:w="849" w:type="dxa"/>
            <w:noWrap/>
            <w:vAlign w:val="center"/>
          </w:tcPr>
          <w:p>
            <w:pPr>
              <w:widowControl/>
              <w:adjustRightInd w:val="0"/>
              <w:snapToGrid w:val="0"/>
              <w:spacing w:line="560" w:lineRule="exact"/>
              <w:jc w:val="left"/>
              <w:rPr>
                <w:rFonts w:ascii="宋体" w:hAnsi="宋体"/>
                <w:szCs w:val="21"/>
              </w:rPr>
            </w:pPr>
            <w:r>
              <w:rPr>
                <w:rFonts w:hint="eastAsia" w:ascii="宋体" w:hAnsi="宋体"/>
                <w:szCs w:val="21"/>
              </w:rPr>
              <w:t>5</w:t>
            </w:r>
          </w:p>
        </w:tc>
        <w:tc>
          <w:tcPr>
            <w:tcW w:w="1954" w:type="dxa"/>
            <w:vAlign w:val="center"/>
          </w:tcPr>
          <w:p>
            <w:pPr>
              <w:widowControl/>
              <w:adjustRightInd w:val="0"/>
              <w:snapToGrid w:val="0"/>
              <w:spacing w:line="560" w:lineRule="exact"/>
              <w:rPr>
                <w:rFonts w:ascii="宋体" w:hAnsi="宋体" w:cs="宋体"/>
                <w:b/>
                <w:bCs/>
                <w:szCs w:val="21"/>
              </w:rPr>
            </w:pPr>
            <w:r>
              <w:rPr>
                <w:rFonts w:hint="eastAsia" w:ascii="宋体" w:hAnsi="宋体" w:cs="宋体"/>
                <w:b/>
                <w:bCs/>
                <w:szCs w:val="21"/>
              </w:rPr>
              <w:t>项目团队（不含项目负责人）</w:t>
            </w:r>
          </w:p>
        </w:tc>
        <w:tc>
          <w:tcPr>
            <w:tcW w:w="7090" w:type="dxa"/>
            <w:vAlign w:val="center"/>
          </w:tcPr>
          <w:p>
            <w:pPr>
              <w:widowControl/>
              <w:numPr>
                <w:ilvl w:val="0"/>
                <w:numId w:val="7"/>
              </w:numPr>
              <w:adjustRightInd w:val="0"/>
              <w:snapToGrid w:val="0"/>
              <w:spacing w:line="360" w:lineRule="auto"/>
              <w:jc w:val="left"/>
              <w:rPr>
                <w:rFonts w:ascii="宋体" w:hAnsi="宋体" w:cs="宋体"/>
                <w:szCs w:val="22"/>
              </w:rPr>
            </w:pPr>
            <w:r>
              <w:rPr>
                <w:rFonts w:hint="eastAsia" w:ascii="宋体" w:hAnsi="宋体" w:cs="宋体"/>
                <w:szCs w:val="22"/>
              </w:rPr>
              <w:t>投标人从2017年1月1日至2022年10月31日期间（以项目合同签订日期为准）项目团队成员中不少于10人具有副省级及以上城市全市性轨道交通建设规划项目经验，得</w:t>
            </w:r>
            <w:r>
              <w:rPr>
                <w:rFonts w:ascii="宋体" w:hAnsi="宋体" w:cs="宋体"/>
                <w:szCs w:val="22"/>
              </w:rPr>
              <w:t>5</w:t>
            </w:r>
            <w:r>
              <w:rPr>
                <w:rFonts w:hint="eastAsia" w:ascii="宋体" w:hAnsi="宋体" w:cs="宋体"/>
                <w:szCs w:val="22"/>
              </w:rPr>
              <w:t>分。</w:t>
            </w:r>
          </w:p>
          <w:p>
            <w:pPr>
              <w:widowControl/>
              <w:numPr>
                <w:ilvl w:val="0"/>
                <w:numId w:val="7"/>
              </w:numPr>
              <w:adjustRightInd w:val="0"/>
              <w:snapToGrid w:val="0"/>
              <w:spacing w:line="360" w:lineRule="auto"/>
              <w:jc w:val="left"/>
              <w:rPr>
                <w:rFonts w:ascii="宋体" w:hAnsi="宋体" w:cs="宋体"/>
                <w:szCs w:val="22"/>
              </w:rPr>
            </w:pPr>
            <w:r>
              <w:rPr>
                <w:rFonts w:hint="eastAsia" w:ascii="宋体" w:hAnsi="宋体" w:cs="宋体"/>
                <w:szCs w:val="22"/>
              </w:rPr>
              <w:t>项目团队具有副高级职称的，每位得1分，最高得5分。</w:t>
            </w:r>
          </w:p>
          <w:p>
            <w:pPr>
              <w:widowControl/>
              <w:adjustRightInd w:val="0"/>
              <w:snapToGrid w:val="0"/>
              <w:spacing w:line="360" w:lineRule="auto"/>
              <w:jc w:val="left"/>
              <w:rPr>
                <w:rFonts w:ascii="宋体" w:hAnsi="宋体" w:cs="宋体"/>
                <w:szCs w:val="22"/>
              </w:rPr>
            </w:pPr>
            <w:r>
              <w:rPr>
                <w:rFonts w:hint="eastAsia" w:ascii="宋体" w:hAnsi="宋体" w:cs="宋体"/>
                <w:szCs w:val="22"/>
              </w:rPr>
              <w:t>评分依据：</w:t>
            </w:r>
          </w:p>
          <w:p>
            <w:pPr>
              <w:widowControl/>
              <w:adjustRightInd w:val="0"/>
              <w:snapToGrid w:val="0"/>
              <w:spacing w:line="360" w:lineRule="auto"/>
              <w:jc w:val="left"/>
              <w:rPr>
                <w:rFonts w:ascii="宋体" w:hAnsi="宋体" w:cs="宋体"/>
                <w:szCs w:val="22"/>
              </w:rPr>
            </w:pPr>
            <w:r>
              <w:rPr>
                <w:rFonts w:hint="eastAsia" w:ascii="宋体" w:hAnsi="宋体" w:cs="宋体"/>
                <w:szCs w:val="22"/>
              </w:rPr>
              <w:t>1、全市性轨道建设规划要求规划范围为全市域，提供合同关键页证明团队成员的项目经验。</w:t>
            </w:r>
          </w:p>
          <w:p>
            <w:pPr>
              <w:widowControl/>
              <w:adjustRightInd w:val="0"/>
              <w:snapToGrid w:val="0"/>
              <w:spacing w:line="360" w:lineRule="auto"/>
              <w:jc w:val="left"/>
              <w:rPr>
                <w:rFonts w:ascii="宋体" w:hAnsi="宋体" w:cs="宋体"/>
                <w:szCs w:val="22"/>
              </w:rPr>
            </w:pPr>
            <w:r>
              <w:rPr>
                <w:rFonts w:hint="eastAsia" w:ascii="宋体" w:hAnsi="宋体" w:cs="宋体"/>
                <w:szCs w:val="22"/>
              </w:rPr>
              <w:t>2、提供项目团队近1年的社保证明，以及毕业证、职称证及注册证书等证明材料，不提供不得分。</w:t>
            </w:r>
          </w:p>
          <w:p>
            <w:pPr>
              <w:widowControl/>
              <w:jc w:val="left"/>
              <w:rPr>
                <w:rFonts w:ascii="宋体" w:hAnsi="宋体" w:cs="宋体"/>
                <w:szCs w:val="22"/>
              </w:rPr>
            </w:pPr>
          </w:p>
        </w:tc>
        <w:tc>
          <w:tcPr>
            <w:tcW w:w="1687" w:type="dxa"/>
            <w:vAlign w:val="center"/>
          </w:tcPr>
          <w:p>
            <w:pPr>
              <w:widowControl/>
              <w:adjustRightInd w:val="0"/>
              <w:snapToGrid w:val="0"/>
              <w:spacing w:line="560" w:lineRule="exact"/>
              <w:rPr>
                <w:rFonts w:ascii="宋体" w:hAnsi="宋体" w:cs="宋体"/>
                <w:b/>
                <w:bCs/>
                <w:sz w:val="22"/>
                <w:szCs w:val="22"/>
              </w:rPr>
            </w:pPr>
            <w:r>
              <w:rPr>
                <w:rFonts w:hint="eastAsia" w:ascii="宋体" w:hAnsi="宋体" w:cs="宋体"/>
                <w:b/>
                <w:bCs/>
                <w:sz w:val="22"/>
                <w:szCs w:val="22"/>
              </w:rPr>
              <w:t>10</w:t>
            </w:r>
          </w:p>
        </w:tc>
        <w:tc>
          <w:tcPr>
            <w:tcW w:w="574" w:type="dxa"/>
            <w:vAlign w:val="center"/>
          </w:tcPr>
          <w:p>
            <w:pPr>
              <w:widowControl/>
              <w:adjustRightInd w:val="0"/>
              <w:snapToGrid w:val="0"/>
              <w:spacing w:line="560" w:lineRule="exact"/>
              <w:rPr>
                <w:rFonts w:ascii="宋体" w:hAnsi="宋体" w:cs="宋体"/>
                <w:b/>
                <w:bCs/>
                <w:sz w:val="22"/>
                <w:szCs w:val="22"/>
              </w:rPr>
            </w:pPr>
          </w:p>
        </w:tc>
        <w:tc>
          <w:tcPr>
            <w:tcW w:w="574" w:type="dxa"/>
            <w:vAlign w:val="center"/>
          </w:tcPr>
          <w:p>
            <w:pPr>
              <w:widowControl/>
              <w:adjustRightInd w:val="0"/>
              <w:snapToGrid w:val="0"/>
              <w:spacing w:line="560" w:lineRule="exact"/>
              <w:rPr>
                <w:rFonts w:ascii="宋体" w:hAnsi="宋体" w:cs="宋体"/>
                <w:b/>
                <w:bCs/>
                <w:sz w:val="22"/>
                <w:szCs w:val="22"/>
              </w:rPr>
            </w:pPr>
          </w:p>
        </w:tc>
        <w:tc>
          <w:tcPr>
            <w:tcW w:w="574" w:type="dxa"/>
            <w:vAlign w:val="center"/>
          </w:tcPr>
          <w:p>
            <w:pPr>
              <w:widowControl/>
              <w:adjustRightInd w:val="0"/>
              <w:snapToGrid w:val="0"/>
              <w:spacing w:line="560" w:lineRule="exact"/>
              <w:rPr>
                <w:rFonts w:ascii="宋体" w:hAnsi="宋体" w:cs="宋体"/>
                <w:b/>
                <w:bCs/>
                <w:sz w:val="22"/>
                <w:szCs w:val="22"/>
              </w:rPr>
            </w:pPr>
          </w:p>
        </w:tc>
        <w:tc>
          <w:tcPr>
            <w:tcW w:w="574" w:type="dxa"/>
            <w:vAlign w:val="center"/>
          </w:tcPr>
          <w:p>
            <w:pPr>
              <w:widowControl/>
              <w:adjustRightInd w:val="0"/>
              <w:snapToGrid w:val="0"/>
              <w:spacing w:line="560" w:lineRule="exact"/>
              <w:rPr>
                <w:rFonts w:ascii="宋体" w:hAnsi="宋体" w:cs="宋体"/>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trPr>
        <w:tc>
          <w:tcPr>
            <w:tcW w:w="849" w:type="dxa"/>
            <w:noWrap/>
            <w:vAlign w:val="center"/>
          </w:tcPr>
          <w:p>
            <w:pPr>
              <w:widowControl/>
              <w:adjustRightInd w:val="0"/>
              <w:snapToGrid w:val="0"/>
              <w:spacing w:line="560" w:lineRule="exact"/>
              <w:jc w:val="left"/>
              <w:rPr>
                <w:rFonts w:ascii="宋体" w:hAnsi="宋体"/>
                <w:szCs w:val="21"/>
              </w:rPr>
            </w:pPr>
            <w:r>
              <w:rPr>
                <w:rFonts w:hint="eastAsia" w:ascii="宋体" w:hAnsi="宋体"/>
                <w:szCs w:val="21"/>
              </w:rPr>
              <w:t>6</w:t>
            </w:r>
          </w:p>
        </w:tc>
        <w:tc>
          <w:tcPr>
            <w:tcW w:w="1954" w:type="dxa"/>
            <w:vAlign w:val="center"/>
          </w:tcPr>
          <w:p>
            <w:pPr>
              <w:widowControl/>
              <w:adjustRightInd w:val="0"/>
              <w:snapToGrid w:val="0"/>
              <w:spacing w:line="560" w:lineRule="exact"/>
              <w:rPr>
                <w:rFonts w:ascii="宋体" w:hAnsi="宋体" w:cs="宋体"/>
                <w:b/>
                <w:bCs/>
                <w:szCs w:val="21"/>
              </w:rPr>
            </w:pPr>
            <w:r>
              <w:rPr>
                <w:rFonts w:hint="eastAsia" w:ascii="宋体" w:hAnsi="宋体" w:cs="宋体"/>
                <w:b/>
                <w:bCs/>
                <w:szCs w:val="21"/>
              </w:rPr>
              <w:t>项目认知</w:t>
            </w:r>
          </w:p>
        </w:tc>
        <w:tc>
          <w:tcPr>
            <w:tcW w:w="7090" w:type="dxa"/>
            <w:vAlign w:val="center"/>
          </w:tcPr>
          <w:p>
            <w:pPr>
              <w:widowControl/>
              <w:adjustRightInd w:val="0"/>
              <w:snapToGrid w:val="0"/>
              <w:spacing w:line="360" w:lineRule="auto"/>
              <w:jc w:val="left"/>
              <w:rPr>
                <w:rFonts w:ascii="宋体" w:hAnsi="宋体" w:cs="宋体"/>
                <w:szCs w:val="22"/>
              </w:rPr>
            </w:pPr>
            <w:r>
              <w:rPr>
                <w:rFonts w:hint="eastAsia" w:ascii="宋体" w:hAnsi="宋体" w:cs="宋体"/>
                <w:szCs w:val="22"/>
              </w:rPr>
              <w:t>根据项目自身的特点，进行项目运行整体设想和策划。包括但不限于以下内容（须单独列明）：</w:t>
            </w:r>
          </w:p>
          <w:p>
            <w:pPr>
              <w:widowControl/>
              <w:adjustRightInd w:val="0"/>
              <w:snapToGrid w:val="0"/>
              <w:spacing w:line="360" w:lineRule="auto"/>
              <w:jc w:val="left"/>
              <w:rPr>
                <w:rFonts w:ascii="宋体" w:hAnsi="宋体" w:cs="宋体"/>
                <w:szCs w:val="22"/>
              </w:rPr>
            </w:pPr>
            <w:r>
              <w:rPr>
                <w:rFonts w:hint="eastAsia" w:ascii="宋体" w:hAnsi="宋体" w:cs="宋体"/>
                <w:szCs w:val="22"/>
              </w:rPr>
              <w:t>1、项目背景</w:t>
            </w:r>
          </w:p>
          <w:p>
            <w:pPr>
              <w:widowControl/>
              <w:adjustRightInd w:val="0"/>
              <w:snapToGrid w:val="0"/>
              <w:spacing w:line="360" w:lineRule="auto"/>
              <w:jc w:val="left"/>
              <w:rPr>
                <w:rFonts w:ascii="宋体" w:hAnsi="宋体" w:cs="宋体"/>
                <w:szCs w:val="22"/>
              </w:rPr>
            </w:pPr>
            <w:r>
              <w:rPr>
                <w:rFonts w:hint="eastAsia" w:ascii="宋体" w:hAnsi="宋体" w:cs="宋体"/>
                <w:szCs w:val="22"/>
              </w:rPr>
              <w:t>2、研究目标与内容</w:t>
            </w:r>
          </w:p>
          <w:p>
            <w:pPr>
              <w:widowControl/>
              <w:adjustRightInd w:val="0"/>
              <w:snapToGrid w:val="0"/>
              <w:spacing w:line="360" w:lineRule="auto"/>
              <w:jc w:val="left"/>
              <w:rPr>
                <w:rFonts w:ascii="宋体" w:hAnsi="宋体" w:cs="宋体"/>
                <w:szCs w:val="22"/>
              </w:rPr>
            </w:pPr>
            <w:r>
              <w:rPr>
                <w:rFonts w:hint="eastAsia" w:ascii="宋体" w:hAnsi="宋体" w:cs="宋体"/>
                <w:szCs w:val="22"/>
              </w:rPr>
              <w:t>3、技术路线</w:t>
            </w:r>
          </w:p>
          <w:p>
            <w:pPr>
              <w:jc w:val="left"/>
              <w:rPr>
                <w:rFonts w:ascii="宋体" w:hAnsi="宋体" w:cs="宋体"/>
                <w:szCs w:val="21"/>
              </w:rPr>
            </w:pPr>
            <w:r>
              <w:rPr>
                <w:rFonts w:hint="eastAsia" w:ascii="宋体" w:hAnsi="宋体" w:cs="宋体"/>
                <w:szCs w:val="22"/>
              </w:rPr>
              <w:t>评标专家根据投标人提供的《实施方案》的合理性进行</w:t>
            </w:r>
            <w:r>
              <w:rPr>
                <w:rFonts w:hint="eastAsia" w:ascii="宋体" w:hAnsi="宋体" w:cs="宋体"/>
                <w:bCs/>
                <w:kern w:val="0"/>
                <w:szCs w:val="21"/>
              </w:rPr>
              <w:t>横向比较,优秀4-5分，一般2-3分，较差0-1分。</w:t>
            </w:r>
          </w:p>
        </w:tc>
        <w:tc>
          <w:tcPr>
            <w:tcW w:w="1687" w:type="dxa"/>
            <w:vAlign w:val="center"/>
          </w:tcPr>
          <w:p>
            <w:pPr>
              <w:widowControl/>
              <w:adjustRightInd w:val="0"/>
              <w:snapToGrid w:val="0"/>
              <w:spacing w:line="560" w:lineRule="exact"/>
              <w:rPr>
                <w:rFonts w:ascii="宋体" w:hAnsi="宋体" w:cs="宋体"/>
                <w:b/>
                <w:bCs/>
                <w:sz w:val="22"/>
                <w:szCs w:val="22"/>
              </w:rPr>
            </w:pPr>
            <w:r>
              <w:rPr>
                <w:rFonts w:hint="eastAsia" w:ascii="宋体" w:hAnsi="宋体" w:cs="宋体"/>
                <w:b/>
                <w:bCs/>
                <w:sz w:val="22"/>
                <w:szCs w:val="22"/>
              </w:rPr>
              <w:t>5</w:t>
            </w:r>
          </w:p>
        </w:tc>
        <w:tc>
          <w:tcPr>
            <w:tcW w:w="574" w:type="dxa"/>
            <w:vAlign w:val="center"/>
          </w:tcPr>
          <w:p>
            <w:pPr>
              <w:widowControl/>
              <w:adjustRightInd w:val="0"/>
              <w:snapToGrid w:val="0"/>
              <w:spacing w:line="560" w:lineRule="exact"/>
              <w:rPr>
                <w:rFonts w:ascii="宋体" w:hAnsi="宋体" w:cs="宋体"/>
                <w:b/>
                <w:bCs/>
                <w:sz w:val="22"/>
                <w:szCs w:val="22"/>
              </w:rPr>
            </w:pPr>
          </w:p>
        </w:tc>
        <w:tc>
          <w:tcPr>
            <w:tcW w:w="574" w:type="dxa"/>
            <w:vAlign w:val="center"/>
          </w:tcPr>
          <w:p>
            <w:pPr>
              <w:widowControl/>
              <w:adjustRightInd w:val="0"/>
              <w:snapToGrid w:val="0"/>
              <w:spacing w:line="560" w:lineRule="exact"/>
              <w:rPr>
                <w:rFonts w:ascii="宋体" w:hAnsi="宋体" w:cs="宋体"/>
                <w:b/>
                <w:bCs/>
                <w:sz w:val="22"/>
                <w:szCs w:val="22"/>
              </w:rPr>
            </w:pPr>
          </w:p>
        </w:tc>
        <w:tc>
          <w:tcPr>
            <w:tcW w:w="574" w:type="dxa"/>
            <w:vAlign w:val="center"/>
          </w:tcPr>
          <w:p>
            <w:pPr>
              <w:widowControl/>
              <w:adjustRightInd w:val="0"/>
              <w:snapToGrid w:val="0"/>
              <w:spacing w:line="560" w:lineRule="exact"/>
              <w:rPr>
                <w:rFonts w:ascii="宋体" w:hAnsi="宋体" w:cs="宋体"/>
                <w:b/>
                <w:bCs/>
                <w:sz w:val="22"/>
                <w:szCs w:val="22"/>
              </w:rPr>
            </w:pPr>
          </w:p>
        </w:tc>
        <w:tc>
          <w:tcPr>
            <w:tcW w:w="574" w:type="dxa"/>
            <w:vAlign w:val="center"/>
          </w:tcPr>
          <w:p>
            <w:pPr>
              <w:widowControl/>
              <w:adjustRightInd w:val="0"/>
              <w:snapToGrid w:val="0"/>
              <w:spacing w:line="560" w:lineRule="exact"/>
              <w:rPr>
                <w:rFonts w:ascii="宋体" w:hAnsi="宋体" w:cs="宋体"/>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trPr>
        <w:tc>
          <w:tcPr>
            <w:tcW w:w="849" w:type="dxa"/>
            <w:noWrap/>
            <w:vAlign w:val="center"/>
          </w:tcPr>
          <w:p>
            <w:pPr>
              <w:widowControl/>
              <w:adjustRightInd w:val="0"/>
              <w:snapToGrid w:val="0"/>
              <w:spacing w:line="560" w:lineRule="exact"/>
              <w:jc w:val="left"/>
              <w:rPr>
                <w:rFonts w:ascii="宋体" w:hAnsi="宋体"/>
                <w:szCs w:val="21"/>
              </w:rPr>
            </w:pPr>
            <w:r>
              <w:rPr>
                <w:rFonts w:hint="eastAsia" w:ascii="宋体" w:hAnsi="宋体"/>
                <w:szCs w:val="21"/>
              </w:rPr>
              <w:t>7</w:t>
            </w:r>
          </w:p>
        </w:tc>
        <w:tc>
          <w:tcPr>
            <w:tcW w:w="1954" w:type="dxa"/>
            <w:vAlign w:val="center"/>
          </w:tcPr>
          <w:p>
            <w:pPr>
              <w:widowControl/>
              <w:adjustRightInd w:val="0"/>
              <w:snapToGrid w:val="0"/>
              <w:spacing w:line="560" w:lineRule="exact"/>
              <w:rPr>
                <w:rFonts w:ascii="宋体" w:hAnsi="宋体" w:cs="宋体"/>
                <w:b/>
                <w:bCs/>
                <w:szCs w:val="21"/>
              </w:rPr>
            </w:pPr>
            <w:r>
              <w:rPr>
                <w:rFonts w:hint="eastAsia" w:ascii="宋体" w:hAnsi="宋体" w:cs="宋体"/>
                <w:b/>
                <w:bCs/>
                <w:szCs w:val="21"/>
              </w:rPr>
              <w:t>项目重点难点分析、应对措施及相关的合理化建议</w:t>
            </w:r>
          </w:p>
        </w:tc>
        <w:tc>
          <w:tcPr>
            <w:tcW w:w="7090" w:type="dxa"/>
            <w:vAlign w:val="center"/>
          </w:tcPr>
          <w:p>
            <w:pPr>
              <w:widowControl/>
              <w:adjustRightInd w:val="0"/>
              <w:snapToGrid w:val="0"/>
              <w:spacing w:line="360" w:lineRule="auto"/>
              <w:jc w:val="left"/>
              <w:rPr>
                <w:rFonts w:ascii="宋体" w:hAnsi="宋体" w:cs="宋体"/>
                <w:szCs w:val="22"/>
              </w:rPr>
            </w:pPr>
            <w:r>
              <w:rPr>
                <w:rFonts w:hint="eastAsia" w:ascii="宋体" w:hAnsi="宋体" w:cs="宋体"/>
                <w:szCs w:val="22"/>
              </w:rPr>
              <w:t>根据项目理解及自身项目实践经验，针对本项目提出项目重点难点分析、应对措施方案及相关的合理化建议。根据投标人的分析合理性进行</w:t>
            </w:r>
            <w:r>
              <w:rPr>
                <w:rFonts w:hint="eastAsia" w:ascii="宋体" w:hAnsi="宋体" w:cs="宋体"/>
                <w:bCs/>
                <w:kern w:val="0"/>
                <w:szCs w:val="21"/>
              </w:rPr>
              <w:t>横向比较,优秀8-10分，良好6-7分，一般4-5分，较差0-3分。</w:t>
            </w:r>
          </w:p>
        </w:tc>
        <w:tc>
          <w:tcPr>
            <w:tcW w:w="1687" w:type="dxa"/>
            <w:vAlign w:val="center"/>
          </w:tcPr>
          <w:p>
            <w:pPr>
              <w:widowControl/>
              <w:adjustRightInd w:val="0"/>
              <w:snapToGrid w:val="0"/>
              <w:spacing w:line="560" w:lineRule="exact"/>
              <w:rPr>
                <w:rFonts w:ascii="宋体" w:hAnsi="宋体" w:cs="宋体"/>
                <w:b/>
                <w:bCs/>
                <w:sz w:val="22"/>
                <w:szCs w:val="22"/>
              </w:rPr>
            </w:pPr>
            <w:r>
              <w:rPr>
                <w:rFonts w:hint="eastAsia" w:ascii="宋体" w:hAnsi="宋体" w:cs="宋体"/>
                <w:b/>
                <w:bCs/>
                <w:sz w:val="22"/>
                <w:szCs w:val="22"/>
              </w:rPr>
              <w:t>10</w:t>
            </w:r>
          </w:p>
        </w:tc>
        <w:tc>
          <w:tcPr>
            <w:tcW w:w="574" w:type="dxa"/>
            <w:vAlign w:val="center"/>
          </w:tcPr>
          <w:p>
            <w:pPr>
              <w:widowControl/>
              <w:adjustRightInd w:val="0"/>
              <w:snapToGrid w:val="0"/>
              <w:spacing w:line="560" w:lineRule="exact"/>
              <w:rPr>
                <w:rFonts w:ascii="宋体" w:hAnsi="宋体" w:cs="宋体"/>
                <w:b/>
                <w:bCs/>
                <w:sz w:val="22"/>
                <w:szCs w:val="22"/>
              </w:rPr>
            </w:pPr>
          </w:p>
        </w:tc>
        <w:tc>
          <w:tcPr>
            <w:tcW w:w="574" w:type="dxa"/>
            <w:vAlign w:val="center"/>
          </w:tcPr>
          <w:p>
            <w:pPr>
              <w:widowControl/>
              <w:adjustRightInd w:val="0"/>
              <w:snapToGrid w:val="0"/>
              <w:spacing w:line="560" w:lineRule="exact"/>
              <w:rPr>
                <w:rFonts w:ascii="宋体" w:hAnsi="宋体" w:cs="宋体"/>
                <w:b/>
                <w:bCs/>
                <w:sz w:val="22"/>
                <w:szCs w:val="22"/>
              </w:rPr>
            </w:pPr>
          </w:p>
        </w:tc>
        <w:tc>
          <w:tcPr>
            <w:tcW w:w="574" w:type="dxa"/>
            <w:vAlign w:val="center"/>
          </w:tcPr>
          <w:p>
            <w:pPr>
              <w:widowControl/>
              <w:adjustRightInd w:val="0"/>
              <w:snapToGrid w:val="0"/>
              <w:spacing w:line="560" w:lineRule="exact"/>
              <w:rPr>
                <w:rFonts w:ascii="宋体" w:hAnsi="宋体" w:cs="宋体"/>
                <w:b/>
                <w:bCs/>
                <w:sz w:val="22"/>
                <w:szCs w:val="22"/>
              </w:rPr>
            </w:pPr>
          </w:p>
        </w:tc>
        <w:tc>
          <w:tcPr>
            <w:tcW w:w="574" w:type="dxa"/>
            <w:vAlign w:val="center"/>
          </w:tcPr>
          <w:p>
            <w:pPr>
              <w:widowControl/>
              <w:adjustRightInd w:val="0"/>
              <w:snapToGrid w:val="0"/>
              <w:spacing w:line="560" w:lineRule="exact"/>
              <w:rPr>
                <w:rFonts w:ascii="宋体" w:hAnsi="宋体" w:cs="宋体"/>
                <w:b/>
                <w:bCs/>
                <w:sz w:val="22"/>
                <w:szCs w:val="22"/>
              </w:rPr>
            </w:pPr>
          </w:p>
        </w:tc>
      </w:tr>
    </w:tbl>
    <w:p>
      <w:pPr>
        <w:pStyle w:val="48"/>
        <w:ind w:left="0" w:leftChars="0" w:firstLine="0" w:firstLineChars="0"/>
        <w:rPr>
          <w:rFonts w:ascii="宋体" w:hAnsi="宋体"/>
          <w:b/>
          <w:sz w:val="24"/>
          <w:szCs w:val="24"/>
        </w:rPr>
      </w:pPr>
    </w:p>
    <w:p>
      <w:pPr>
        <w:pStyle w:val="48"/>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p>
    <w:p>
      <w:pPr>
        <w:rPr>
          <w:rFonts w:ascii="宋体" w:hAnsi="宋体" w:cs="宋体"/>
          <w:szCs w:val="21"/>
        </w:rPr>
      </w:pPr>
      <w:r>
        <w:rPr>
          <w:rFonts w:ascii="宋体" w:hAnsi="宋体" w:cs="宋体"/>
          <w:szCs w:val="21"/>
        </w:rPr>
        <w:br w:type="page"/>
      </w:r>
    </w:p>
    <w:p>
      <w:pPr>
        <w:pStyle w:val="48"/>
        <w:spacing w:line="360" w:lineRule="auto"/>
        <w:ind w:left="0" w:leftChars="0" w:firstLine="0" w:firstLineChars="0"/>
        <w:rPr>
          <w:rFonts w:ascii="宋体" w:hAnsi="宋体" w:cs="宋体"/>
          <w:szCs w:val="21"/>
        </w:rPr>
        <w:sectPr>
          <w:pgSz w:w="16840" w:h="11907" w:orient="landscape"/>
          <w:pgMar w:top="1440" w:right="1134" w:bottom="1021" w:left="1134" w:header="567" w:footer="868" w:gutter="0"/>
          <w:cols w:space="720" w:num="1"/>
        </w:sectPr>
      </w:pPr>
    </w:p>
    <w:p>
      <w:pPr>
        <w:pStyle w:val="48"/>
        <w:spacing w:line="360" w:lineRule="auto"/>
        <w:ind w:left="0" w:leftChars="0" w:firstLine="0" w:firstLineChars="0"/>
        <w:rPr>
          <w:rFonts w:hint="eastAsia" w:ascii="宋体" w:hAnsi="宋体" w:cs="宋体"/>
          <w:b/>
          <w:sz w:val="24"/>
          <w:szCs w:val="24"/>
        </w:rPr>
      </w:pPr>
      <w:r>
        <w:rPr>
          <w:rFonts w:hint="eastAsia" w:ascii="宋体" w:hAnsi="宋体" w:cs="宋体"/>
          <w:b/>
          <w:sz w:val="24"/>
          <w:szCs w:val="24"/>
        </w:rPr>
        <w:t>附表5</w:t>
      </w:r>
    </w:p>
    <w:p>
      <w:pPr>
        <w:pStyle w:val="48"/>
        <w:spacing w:line="360" w:lineRule="auto"/>
        <w:ind w:left="0" w:leftChars="0" w:firstLine="0" w:firstLineChars="0"/>
        <w:jc w:val="center"/>
        <w:rPr>
          <w:rFonts w:ascii="宋体" w:hAnsi="宋体"/>
          <w:b/>
          <w:bCs/>
          <w:snapToGrid w:val="0"/>
          <w:sz w:val="28"/>
          <w:szCs w:val="24"/>
        </w:rPr>
      </w:pPr>
      <w:r>
        <w:rPr>
          <w:rFonts w:hint="eastAsia" w:ascii="宋体" w:hAnsi="宋体"/>
          <w:b/>
          <w:bCs/>
          <w:snapToGrid w:val="0"/>
          <w:sz w:val="28"/>
          <w:szCs w:val="24"/>
        </w:rPr>
        <w:t>技术标详细评审结果汇总表</w:t>
      </w:r>
    </w:p>
    <w:p>
      <w:pPr>
        <w:jc w:val="left"/>
        <w:rPr>
          <w:rFonts w:ascii="宋体" w:hAnsi="宋体"/>
          <w:b/>
          <w:bCs/>
          <w:snapToGrid w:val="0"/>
          <w:szCs w:val="24"/>
        </w:rPr>
      </w:pPr>
      <w:r>
        <w:rPr>
          <w:rFonts w:hint="eastAsia" w:ascii="宋体" w:hAnsi="宋体"/>
          <w:b/>
          <w:bCs/>
          <w:snapToGrid w:val="0"/>
          <w:szCs w:val="24"/>
        </w:rPr>
        <w:t>比选项目名称：</w:t>
      </w:r>
      <w:r>
        <w:rPr>
          <w:rFonts w:hint="eastAsia" w:ascii="宋体" w:hAnsi="宋体"/>
          <w:b/>
          <w:bCs/>
          <w:snapToGrid w:val="0"/>
          <w:szCs w:val="24"/>
          <w:u w:val="single"/>
        </w:rPr>
        <w:t>光明新湖、昂鹅车辆段、东宝河停车场、</w:t>
      </w:r>
      <w:r>
        <w:rPr>
          <w:rFonts w:hint="eastAsia" w:ascii="宋体" w:hAnsi="宋体"/>
          <w:b/>
          <w:bCs/>
          <w:snapToGrid w:val="0"/>
          <w:szCs w:val="24"/>
          <w:u w:val="single"/>
          <w:lang w:eastAsia="zh-CN"/>
        </w:rPr>
        <w:t>新大存车场</w:t>
      </w:r>
      <w:r>
        <w:rPr>
          <w:rFonts w:hint="eastAsia" w:ascii="宋体" w:hAnsi="宋体"/>
          <w:b/>
          <w:bCs/>
          <w:snapToGrid w:val="0"/>
          <w:szCs w:val="24"/>
          <w:u w:val="single"/>
        </w:rPr>
        <w:t>交通接驳研究</w:t>
      </w:r>
    </w:p>
    <w:tbl>
      <w:tblPr>
        <w:tblStyle w:val="49"/>
        <w:tblW w:w="46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3"/>
        <w:gridCol w:w="3882"/>
        <w:gridCol w:w="1008"/>
        <w:gridCol w:w="1008"/>
        <w:gridCol w:w="1008"/>
        <w:gridCol w:w="1008"/>
        <w:gridCol w:w="1008"/>
        <w:gridCol w:w="1008"/>
        <w:gridCol w:w="1017"/>
        <w:gridCol w:w="1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vMerge w:val="restart"/>
            <w:vAlign w:val="center"/>
          </w:tcPr>
          <w:p>
            <w:pPr>
              <w:jc w:val="center"/>
              <w:rPr>
                <w:rFonts w:ascii="宋体" w:hAnsi="宋体"/>
                <w:b/>
                <w:bCs/>
                <w:snapToGrid w:val="0"/>
                <w:szCs w:val="24"/>
              </w:rPr>
            </w:pPr>
            <w:r>
              <w:rPr>
                <w:rFonts w:hint="eastAsia" w:ascii="宋体" w:hAnsi="宋体"/>
                <w:b/>
                <w:bCs/>
                <w:snapToGrid w:val="0"/>
                <w:szCs w:val="24"/>
              </w:rPr>
              <w:t>序号</w:t>
            </w:r>
          </w:p>
        </w:tc>
        <w:tc>
          <w:tcPr>
            <w:tcW w:w="1475" w:type="pct"/>
            <w:vMerge w:val="restart"/>
            <w:vAlign w:val="center"/>
          </w:tcPr>
          <w:p>
            <w:pPr>
              <w:jc w:val="center"/>
              <w:rPr>
                <w:rFonts w:ascii="宋体" w:hAnsi="宋体"/>
                <w:b/>
                <w:bCs/>
                <w:snapToGrid w:val="0"/>
                <w:szCs w:val="24"/>
              </w:rPr>
            </w:pPr>
            <w:r>
              <w:rPr>
                <w:rFonts w:hint="eastAsia" w:ascii="宋体" w:hAnsi="宋体"/>
                <w:b/>
                <w:bCs/>
                <w:snapToGrid w:val="0"/>
                <w:szCs w:val="24"/>
              </w:rPr>
              <w:t>参选人名称</w:t>
            </w:r>
          </w:p>
        </w:tc>
        <w:tc>
          <w:tcPr>
            <w:tcW w:w="2684" w:type="pct"/>
            <w:gridSpan w:val="7"/>
            <w:vAlign w:val="center"/>
          </w:tcPr>
          <w:p>
            <w:pPr>
              <w:jc w:val="center"/>
              <w:rPr>
                <w:rFonts w:ascii="宋体" w:hAnsi="宋体" w:cs="宋体"/>
                <w:b/>
                <w:szCs w:val="24"/>
              </w:rPr>
            </w:pPr>
            <w:r>
              <w:rPr>
                <w:rFonts w:hint="eastAsia" w:ascii="宋体" w:hAnsi="宋体"/>
                <w:b/>
                <w:bCs/>
                <w:snapToGrid w:val="0"/>
                <w:szCs w:val="24"/>
              </w:rPr>
              <w:t>评标</w:t>
            </w:r>
            <w:r>
              <w:rPr>
                <w:rFonts w:ascii="宋体" w:hAnsi="宋体"/>
                <w:b/>
                <w:bCs/>
                <w:snapToGrid w:val="0"/>
                <w:szCs w:val="24"/>
              </w:rPr>
              <w:t>委员会</w:t>
            </w:r>
          </w:p>
        </w:tc>
        <w:tc>
          <w:tcPr>
            <w:tcW w:w="570" w:type="pct"/>
            <w:vMerge w:val="restart"/>
            <w:vAlign w:val="center"/>
          </w:tcPr>
          <w:p>
            <w:pPr>
              <w:jc w:val="center"/>
              <w:rPr>
                <w:rFonts w:ascii="宋体" w:hAnsi="宋体"/>
                <w:b/>
                <w:bCs/>
                <w:snapToGrid w:val="0"/>
                <w:szCs w:val="24"/>
              </w:rPr>
            </w:pPr>
            <w:r>
              <w:rPr>
                <w:rFonts w:hint="eastAsia" w:ascii="宋体" w:hAnsi="宋体" w:cs="宋体"/>
                <w:b/>
                <w:szCs w:val="24"/>
              </w:rPr>
              <w:t>技术标得分</w:t>
            </w:r>
            <w:r>
              <w:rPr>
                <w:rFonts w:ascii="宋体" w:hAnsi="宋体" w:cs="宋体"/>
                <w:b/>
                <w:szCs w:val="24"/>
              </w:rPr>
              <w: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vMerge w:val="continue"/>
            <w:vAlign w:val="center"/>
          </w:tcPr>
          <w:p>
            <w:pPr>
              <w:jc w:val="center"/>
              <w:rPr>
                <w:rFonts w:ascii="宋体" w:hAnsi="宋体"/>
                <w:b/>
                <w:bCs/>
                <w:snapToGrid w:val="0"/>
                <w:szCs w:val="24"/>
              </w:rPr>
            </w:pPr>
          </w:p>
        </w:tc>
        <w:tc>
          <w:tcPr>
            <w:tcW w:w="1475" w:type="pct"/>
            <w:vMerge w:val="continue"/>
            <w:vAlign w:val="center"/>
          </w:tcPr>
          <w:p>
            <w:pPr>
              <w:jc w:val="center"/>
              <w:rPr>
                <w:rFonts w:ascii="宋体" w:hAnsi="宋体"/>
                <w:b/>
                <w:bCs/>
                <w:snapToGrid w:val="0"/>
                <w:szCs w:val="24"/>
              </w:rPr>
            </w:pPr>
          </w:p>
        </w:tc>
        <w:tc>
          <w:tcPr>
            <w:tcW w:w="383" w:type="pct"/>
            <w:vAlign w:val="center"/>
          </w:tcPr>
          <w:p>
            <w:pPr>
              <w:jc w:val="center"/>
              <w:rPr>
                <w:rFonts w:ascii="宋体" w:hAnsi="宋体"/>
                <w:b/>
                <w:bCs/>
                <w:snapToGrid w:val="0"/>
                <w:szCs w:val="24"/>
              </w:rPr>
            </w:pPr>
            <w:r>
              <w:rPr>
                <w:rFonts w:hint="eastAsia" w:ascii="宋体" w:hAnsi="宋体"/>
                <w:b/>
                <w:bCs/>
                <w:snapToGrid w:val="0"/>
                <w:szCs w:val="24"/>
              </w:rPr>
              <w:t>评委1</w:t>
            </w:r>
          </w:p>
        </w:tc>
        <w:tc>
          <w:tcPr>
            <w:tcW w:w="383" w:type="pct"/>
            <w:vAlign w:val="center"/>
          </w:tcPr>
          <w:p>
            <w:pPr>
              <w:jc w:val="center"/>
              <w:rPr>
                <w:rFonts w:ascii="宋体" w:hAnsi="宋体"/>
                <w:b/>
                <w:bCs/>
                <w:snapToGrid w:val="0"/>
                <w:szCs w:val="24"/>
              </w:rPr>
            </w:pPr>
            <w:r>
              <w:rPr>
                <w:rFonts w:hint="eastAsia" w:ascii="宋体" w:hAnsi="宋体"/>
                <w:b/>
                <w:bCs/>
                <w:snapToGrid w:val="0"/>
                <w:szCs w:val="24"/>
              </w:rPr>
              <w:t>评委</w:t>
            </w:r>
            <w:r>
              <w:rPr>
                <w:rFonts w:ascii="宋体" w:hAnsi="宋体"/>
                <w:b/>
                <w:bCs/>
                <w:snapToGrid w:val="0"/>
                <w:szCs w:val="24"/>
              </w:rPr>
              <w:t>2</w:t>
            </w:r>
          </w:p>
        </w:tc>
        <w:tc>
          <w:tcPr>
            <w:tcW w:w="383" w:type="pct"/>
            <w:vAlign w:val="center"/>
          </w:tcPr>
          <w:p>
            <w:pPr>
              <w:jc w:val="center"/>
              <w:rPr>
                <w:rFonts w:ascii="宋体" w:hAnsi="宋体"/>
                <w:b/>
                <w:bCs/>
                <w:snapToGrid w:val="0"/>
                <w:szCs w:val="24"/>
              </w:rPr>
            </w:pPr>
            <w:r>
              <w:rPr>
                <w:rFonts w:hint="eastAsia" w:ascii="宋体" w:hAnsi="宋体"/>
                <w:b/>
                <w:bCs/>
                <w:snapToGrid w:val="0"/>
                <w:szCs w:val="24"/>
              </w:rPr>
              <w:t>评委</w:t>
            </w:r>
            <w:r>
              <w:rPr>
                <w:rFonts w:ascii="宋体" w:hAnsi="宋体"/>
                <w:b/>
                <w:bCs/>
                <w:snapToGrid w:val="0"/>
                <w:szCs w:val="24"/>
              </w:rPr>
              <w:t>3</w:t>
            </w:r>
          </w:p>
        </w:tc>
        <w:tc>
          <w:tcPr>
            <w:tcW w:w="383" w:type="pct"/>
            <w:vAlign w:val="center"/>
          </w:tcPr>
          <w:p>
            <w:pPr>
              <w:jc w:val="center"/>
              <w:rPr>
                <w:rFonts w:ascii="宋体" w:hAnsi="宋体"/>
                <w:b/>
                <w:bCs/>
                <w:snapToGrid w:val="0"/>
                <w:szCs w:val="24"/>
              </w:rPr>
            </w:pPr>
            <w:r>
              <w:rPr>
                <w:rFonts w:hint="eastAsia" w:ascii="宋体" w:hAnsi="宋体"/>
                <w:b/>
                <w:bCs/>
                <w:snapToGrid w:val="0"/>
                <w:szCs w:val="24"/>
              </w:rPr>
              <w:t>评委</w:t>
            </w:r>
            <w:r>
              <w:rPr>
                <w:rFonts w:ascii="宋体" w:hAnsi="宋体"/>
                <w:b/>
                <w:bCs/>
                <w:snapToGrid w:val="0"/>
                <w:szCs w:val="24"/>
              </w:rPr>
              <w:t>4</w:t>
            </w:r>
          </w:p>
        </w:tc>
        <w:tc>
          <w:tcPr>
            <w:tcW w:w="383" w:type="pct"/>
            <w:vAlign w:val="center"/>
          </w:tcPr>
          <w:p>
            <w:pPr>
              <w:jc w:val="center"/>
              <w:rPr>
                <w:rFonts w:ascii="宋体" w:hAnsi="宋体"/>
                <w:b/>
                <w:bCs/>
                <w:snapToGrid w:val="0"/>
                <w:szCs w:val="24"/>
              </w:rPr>
            </w:pPr>
            <w:r>
              <w:rPr>
                <w:rFonts w:hint="eastAsia" w:ascii="宋体" w:hAnsi="宋体"/>
                <w:b/>
                <w:bCs/>
                <w:snapToGrid w:val="0"/>
                <w:szCs w:val="24"/>
              </w:rPr>
              <w:t>评委</w:t>
            </w:r>
            <w:r>
              <w:rPr>
                <w:rFonts w:ascii="宋体" w:hAnsi="宋体"/>
                <w:b/>
                <w:bCs/>
                <w:snapToGrid w:val="0"/>
                <w:szCs w:val="24"/>
              </w:rPr>
              <w:t>5</w:t>
            </w:r>
          </w:p>
        </w:tc>
        <w:tc>
          <w:tcPr>
            <w:tcW w:w="383" w:type="pct"/>
            <w:vAlign w:val="center"/>
          </w:tcPr>
          <w:p>
            <w:pPr>
              <w:jc w:val="center"/>
              <w:rPr>
                <w:rFonts w:ascii="宋体" w:hAnsi="宋体" w:cs="宋体"/>
                <w:b/>
                <w:szCs w:val="24"/>
              </w:rPr>
            </w:pPr>
            <w:r>
              <w:rPr>
                <w:rFonts w:hint="eastAsia" w:ascii="宋体" w:hAnsi="宋体"/>
                <w:b/>
                <w:bCs/>
                <w:snapToGrid w:val="0"/>
                <w:szCs w:val="24"/>
              </w:rPr>
              <w:t>评委</w:t>
            </w:r>
            <w:r>
              <w:rPr>
                <w:rFonts w:ascii="宋体" w:hAnsi="宋体"/>
                <w:b/>
                <w:bCs/>
                <w:snapToGrid w:val="0"/>
                <w:szCs w:val="24"/>
              </w:rPr>
              <w:t>6</w:t>
            </w:r>
          </w:p>
        </w:tc>
        <w:tc>
          <w:tcPr>
            <w:tcW w:w="383" w:type="pct"/>
            <w:vAlign w:val="center"/>
          </w:tcPr>
          <w:p>
            <w:pPr>
              <w:jc w:val="center"/>
              <w:rPr>
                <w:rFonts w:ascii="宋体" w:hAnsi="宋体" w:cs="宋体"/>
                <w:b/>
                <w:szCs w:val="24"/>
              </w:rPr>
            </w:pPr>
            <w:r>
              <w:rPr>
                <w:rFonts w:hint="eastAsia" w:ascii="宋体" w:hAnsi="宋体"/>
                <w:b/>
                <w:bCs/>
                <w:snapToGrid w:val="0"/>
                <w:szCs w:val="24"/>
              </w:rPr>
              <w:t>评委</w:t>
            </w:r>
            <w:r>
              <w:rPr>
                <w:rFonts w:ascii="宋体" w:hAnsi="宋体"/>
                <w:b/>
                <w:bCs/>
                <w:snapToGrid w:val="0"/>
                <w:szCs w:val="24"/>
              </w:rPr>
              <w:t>7</w:t>
            </w:r>
          </w:p>
        </w:tc>
        <w:tc>
          <w:tcPr>
            <w:tcW w:w="570" w:type="pct"/>
            <w:vMerge w:val="continue"/>
            <w:vAlign w:val="center"/>
          </w:tcPr>
          <w:p>
            <w:pPr>
              <w:jc w:val="center"/>
              <w:rPr>
                <w:rFonts w:ascii="宋体" w:hAnsi="宋体" w:cs="宋体"/>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vAlign w:val="center"/>
          </w:tcPr>
          <w:p>
            <w:pPr>
              <w:jc w:val="center"/>
              <w:rPr>
                <w:rFonts w:ascii="宋体" w:hAnsi="宋体"/>
                <w:bCs/>
                <w:snapToGrid w:val="0"/>
                <w:szCs w:val="21"/>
              </w:rPr>
            </w:pPr>
            <w:r>
              <w:rPr>
                <w:rFonts w:hint="eastAsia" w:ascii="宋体" w:hAnsi="宋体"/>
                <w:bCs/>
                <w:snapToGrid w:val="0"/>
                <w:szCs w:val="21"/>
              </w:rPr>
              <w:t>1</w:t>
            </w:r>
          </w:p>
        </w:tc>
        <w:tc>
          <w:tcPr>
            <w:tcW w:w="1475" w:type="pct"/>
            <w:vAlign w:val="center"/>
          </w:tcPr>
          <w:p>
            <w:pPr>
              <w:jc w:val="center"/>
              <w:rPr>
                <w:rFonts w:ascii="宋体" w:hAnsi="宋体"/>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tcPr>
          <w:p>
            <w:pPr>
              <w:jc w:val="center"/>
              <w:rPr>
                <w:rFonts w:ascii="宋体" w:hAnsi="宋体"/>
                <w:bCs/>
                <w:snapToGrid w:val="0"/>
                <w:szCs w:val="21"/>
              </w:rPr>
            </w:pPr>
          </w:p>
        </w:tc>
        <w:tc>
          <w:tcPr>
            <w:tcW w:w="383" w:type="pct"/>
          </w:tcPr>
          <w:p>
            <w:pPr>
              <w:jc w:val="center"/>
              <w:rPr>
                <w:rFonts w:ascii="宋体" w:hAnsi="宋体"/>
                <w:bCs/>
                <w:snapToGrid w:val="0"/>
                <w:szCs w:val="21"/>
              </w:rPr>
            </w:pPr>
          </w:p>
        </w:tc>
        <w:tc>
          <w:tcPr>
            <w:tcW w:w="570" w:type="pct"/>
            <w:vAlign w:val="center"/>
          </w:tcPr>
          <w:p>
            <w:pPr>
              <w:jc w:val="center"/>
              <w:rPr>
                <w:rFonts w:ascii="宋体" w:hAnsi="宋体"/>
                <w:bCs/>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vAlign w:val="center"/>
          </w:tcPr>
          <w:p>
            <w:pPr>
              <w:jc w:val="center"/>
              <w:rPr>
                <w:rFonts w:ascii="宋体" w:hAnsi="宋体"/>
                <w:bCs/>
                <w:snapToGrid w:val="0"/>
                <w:szCs w:val="21"/>
              </w:rPr>
            </w:pPr>
            <w:r>
              <w:rPr>
                <w:rFonts w:hint="eastAsia" w:ascii="宋体" w:hAnsi="宋体"/>
                <w:bCs/>
                <w:snapToGrid w:val="0"/>
                <w:szCs w:val="21"/>
              </w:rPr>
              <w:t>2</w:t>
            </w:r>
          </w:p>
        </w:tc>
        <w:tc>
          <w:tcPr>
            <w:tcW w:w="1475" w:type="pct"/>
            <w:vAlign w:val="center"/>
          </w:tcPr>
          <w:p>
            <w:pPr>
              <w:jc w:val="center"/>
              <w:rPr>
                <w:rFonts w:ascii="宋体" w:hAnsi="宋体"/>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tcPr>
          <w:p>
            <w:pPr>
              <w:jc w:val="center"/>
              <w:rPr>
                <w:rFonts w:ascii="宋体" w:hAnsi="宋体"/>
                <w:bCs/>
                <w:snapToGrid w:val="0"/>
                <w:szCs w:val="21"/>
              </w:rPr>
            </w:pPr>
          </w:p>
        </w:tc>
        <w:tc>
          <w:tcPr>
            <w:tcW w:w="383" w:type="pct"/>
          </w:tcPr>
          <w:p>
            <w:pPr>
              <w:jc w:val="center"/>
              <w:rPr>
                <w:rFonts w:ascii="宋体" w:hAnsi="宋体"/>
                <w:bCs/>
                <w:snapToGrid w:val="0"/>
                <w:szCs w:val="21"/>
              </w:rPr>
            </w:pPr>
          </w:p>
        </w:tc>
        <w:tc>
          <w:tcPr>
            <w:tcW w:w="570" w:type="pct"/>
            <w:vAlign w:val="center"/>
          </w:tcPr>
          <w:p>
            <w:pPr>
              <w:jc w:val="center"/>
              <w:rPr>
                <w:rFonts w:ascii="宋体" w:hAnsi="宋体"/>
                <w:bCs/>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vAlign w:val="center"/>
          </w:tcPr>
          <w:p>
            <w:pPr>
              <w:jc w:val="center"/>
              <w:rPr>
                <w:rFonts w:ascii="宋体" w:hAnsi="宋体"/>
                <w:bCs/>
                <w:snapToGrid w:val="0"/>
                <w:szCs w:val="21"/>
              </w:rPr>
            </w:pPr>
            <w:r>
              <w:rPr>
                <w:rFonts w:hint="eastAsia" w:ascii="宋体" w:hAnsi="宋体"/>
                <w:bCs/>
                <w:snapToGrid w:val="0"/>
                <w:szCs w:val="21"/>
              </w:rPr>
              <w:t>3</w:t>
            </w:r>
          </w:p>
        </w:tc>
        <w:tc>
          <w:tcPr>
            <w:tcW w:w="1475"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tcPr>
          <w:p>
            <w:pPr>
              <w:jc w:val="center"/>
              <w:rPr>
                <w:rFonts w:ascii="宋体" w:hAnsi="宋体"/>
                <w:bCs/>
                <w:snapToGrid w:val="0"/>
                <w:szCs w:val="21"/>
              </w:rPr>
            </w:pPr>
          </w:p>
        </w:tc>
        <w:tc>
          <w:tcPr>
            <w:tcW w:w="383" w:type="pct"/>
          </w:tcPr>
          <w:p>
            <w:pPr>
              <w:jc w:val="center"/>
              <w:rPr>
                <w:rFonts w:ascii="宋体" w:hAnsi="宋体"/>
                <w:bCs/>
                <w:snapToGrid w:val="0"/>
                <w:szCs w:val="21"/>
              </w:rPr>
            </w:pPr>
          </w:p>
        </w:tc>
        <w:tc>
          <w:tcPr>
            <w:tcW w:w="570" w:type="pct"/>
            <w:vAlign w:val="center"/>
          </w:tcPr>
          <w:p>
            <w:pPr>
              <w:jc w:val="center"/>
              <w:rPr>
                <w:rFonts w:ascii="宋体" w:hAnsi="宋体"/>
                <w:bCs/>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vAlign w:val="center"/>
          </w:tcPr>
          <w:p>
            <w:pPr>
              <w:jc w:val="center"/>
              <w:rPr>
                <w:rFonts w:ascii="宋体" w:hAnsi="宋体"/>
                <w:bCs/>
                <w:snapToGrid w:val="0"/>
                <w:szCs w:val="21"/>
              </w:rPr>
            </w:pPr>
            <w:r>
              <w:rPr>
                <w:rFonts w:hint="eastAsia" w:ascii="宋体" w:hAnsi="宋体"/>
                <w:bCs/>
                <w:snapToGrid w:val="0"/>
                <w:szCs w:val="21"/>
              </w:rPr>
              <w:t>4</w:t>
            </w:r>
          </w:p>
        </w:tc>
        <w:tc>
          <w:tcPr>
            <w:tcW w:w="1475" w:type="pct"/>
            <w:vAlign w:val="center"/>
          </w:tcPr>
          <w:p>
            <w:pPr>
              <w:jc w:val="center"/>
              <w:rPr>
                <w:rFonts w:ascii="宋体" w:hAnsi="宋体"/>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tcPr>
          <w:p>
            <w:pPr>
              <w:jc w:val="center"/>
              <w:rPr>
                <w:rFonts w:ascii="宋体" w:hAnsi="宋体"/>
                <w:bCs/>
                <w:snapToGrid w:val="0"/>
                <w:szCs w:val="21"/>
              </w:rPr>
            </w:pPr>
          </w:p>
        </w:tc>
        <w:tc>
          <w:tcPr>
            <w:tcW w:w="383" w:type="pct"/>
          </w:tcPr>
          <w:p>
            <w:pPr>
              <w:jc w:val="center"/>
              <w:rPr>
                <w:rFonts w:ascii="宋体" w:hAnsi="宋体"/>
                <w:bCs/>
                <w:snapToGrid w:val="0"/>
                <w:szCs w:val="21"/>
              </w:rPr>
            </w:pPr>
          </w:p>
        </w:tc>
        <w:tc>
          <w:tcPr>
            <w:tcW w:w="570" w:type="pct"/>
            <w:vAlign w:val="center"/>
          </w:tcPr>
          <w:p>
            <w:pPr>
              <w:jc w:val="center"/>
              <w:rPr>
                <w:rFonts w:ascii="宋体" w:hAnsi="宋体"/>
                <w:bCs/>
                <w:snapToGrid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1" w:type="pct"/>
            <w:vAlign w:val="center"/>
          </w:tcPr>
          <w:p>
            <w:pPr>
              <w:jc w:val="center"/>
              <w:rPr>
                <w:rFonts w:ascii="宋体" w:hAnsi="宋体"/>
                <w:bCs/>
                <w:snapToGrid w:val="0"/>
                <w:szCs w:val="21"/>
              </w:rPr>
            </w:pPr>
            <w:r>
              <w:rPr>
                <w:rFonts w:hint="eastAsia" w:ascii="宋体" w:hAnsi="宋体"/>
                <w:bCs/>
                <w:snapToGrid w:val="0"/>
                <w:szCs w:val="21"/>
              </w:rPr>
              <w:t>…</w:t>
            </w:r>
          </w:p>
        </w:tc>
        <w:tc>
          <w:tcPr>
            <w:tcW w:w="1475" w:type="pct"/>
            <w:vAlign w:val="center"/>
          </w:tcPr>
          <w:p>
            <w:pPr>
              <w:jc w:val="center"/>
              <w:rPr>
                <w:rFonts w:ascii="宋体" w:hAnsi="宋体"/>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vAlign w:val="center"/>
          </w:tcPr>
          <w:p>
            <w:pPr>
              <w:jc w:val="center"/>
              <w:rPr>
                <w:rFonts w:ascii="宋体" w:hAnsi="宋体"/>
                <w:bCs/>
                <w:snapToGrid w:val="0"/>
                <w:szCs w:val="21"/>
              </w:rPr>
            </w:pPr>
          </w:p>
        </w:tc>
        <w:tc>
          <w:tcPr>
            <w:tcW w:w="383" w:type="pct"/>
          </w:tcPr>
          <w:p>
            <w:pPr>
              <w:jc w:val="center"/>
              <w:rPr>
                <w:rFonts w:ascii="宋体" w:hAnsi="宋体"/>
                <w:bCs/>
                <w:snapToGrid w:val="0"/>
                <w:szCs w:val="21"/>
              </w:rPr>
            </w:pPr>
          </w:p>
        </w:tc>
        <w:tc>
          <w:tcPr>
            <w:tcW w:w="383" w:type="pct"/>
          </w:tcPr>
          <w:p>
            <w:pPr>
              <w:jc w:val="center"/>
              <w:rPr>
                <w:rFonts w:ascii="宋体" w:hAnsi="宋体"/>
                <w:bCs/>
                <w:snapToGrid w:val="0"/>
                <w:szCs w:val="21"/>
              </w:rPr>
            </w:pPr>
          </w:p>
        </w:tc>
        <w:tc>
          <w:tcPr>
            <w:tcW w:w="570" w:type="pct"/>
            <w:vAlign w:val="center"/>
          </w:tcPr>
          <w:p>
            <w:pPr>
              <w:jc w:val="center"/>
              <w:rPr>
                <w:rFonts w:ascii="宋体" w:hAnsi="宋体"/>
                <w:bCs/>
                <w:snapToGrid w:val="0"/>
                <w:szCs w:val="21"/>
              </w:rPr>
            </w:pPr>
          </w:p>
        </w:tc>
      </w:tr>
    </w:tbl>
    <w:p>
      <w:pPr>
        <w:rPr>
          <w:rFonts w:ascii="宋体" w:hAnsi="宋体"/>
          <w:szCs w:val="24"/>
        </w:rPr>
      </w:pPr>
      <w:r>
        <w:rPr>
          <w:rFonts w:hint="eastAsia" w:ascii="宋体" w:hAnsi="宋体"/>
          <w:snapToGrid w:val="0"/>
          <w:szCs w:val="24"/>
        </w:rPr>
        <w:t>说明：</w:t>
      </w:r>
      <w:r>
        <w:rPr>
          <w:rFonts w:hint="eastAsia" w:ascii="宋体" w:hAnsi="宋体"/>
          <w:szCs w:val="24"/>
        </w:rPr>
        <w:t>1</w:t>
      </w:r>
      <w:r>
        <w:rPr>
          <w:rFonts w:ascii="宋体" w:hAnsi="宋体"/>
          <w:szCs w:val="24"/>
        </w:rPr>
        <w:t>.</w:t>
      </w:r>
      <w:r>
        <w:rPr>
          <w:rFonts w:hint="eastAsia" w:ascii="宋体" w:hAnsi="宋体"/>
          <w:szCs w:val="24"/>
        </w:rPr>
        <w:t>参选人技术标得分的计算办法：取各评委对每一个参选人的技术标评审得分值的算术平均值，即为该参选人技术标得分</w:t>
      </w:r>
      <w:r>
        <w:rPr>
          <w:rFonts w:ascii="宋体" w:hAnsi="宋体"/>
          <w:szCs w:val="24"/>
        </w:rPr>
        <w:t>。</w:t>
      </w:r>
    </w:p>
    <w:p>
      <w:pPr>
        <w:ind w:firstLine="630" w:firstLineChars="300"/>
        <w:rPr>
          <w:rFonts w:ascii="宋体" w:hAnsi="宋体"/>
          <w:bCs/>
          <w:szCs w:val="24"/>
        </w:rPr>
      </w:pPr>
      <w:r>
        <w:rPr>
          <w:rFonts w:hint="eastAsia" w:ascii="宋体" w:hAnsi="宋体"/>
          <w:szCs w:val="24"/>
        </w:rPr>
        <w:t>2</w:t>
      </w:r>
      <w:r>
        <w:rPr>
          <w:rFonts w:ascii="宋体" w:hAnsi="宋体"/>
          <w:szCs w:val="24"/>
        </w:rPr>
        <w:t>.</w:t>
      </w:r>
      <w:r>
        <w:rPr>
          <w:rFonts w:hint="eastAsia" w:ascii="宋体" w:hAnsi="宋体"/>
          <w:szCs w:val="24"/>
        </w:rPr>
        <w:t>技术标</w:t>
      </w:r>
      <w:r>
        <w:rPr>
          <w:rFonts w:hint="eastAsia" w:ascii="宋体" w:hAnsi="宋体"/>
          <w:bCs/>
          <w:szCs w:val="24"/>
        </w:rPr>
        <w:t>得分的算术平均值保留小数点后两位数字，且四舍五入。</w:t>
      </w:r>
    </w:p>
    <w:tbl>
      <w:tblPr>
        <w:tblStyle w:val="49"/>
        <w:tblW w:w="5000" w:type="pct"/>
        <w:tblInd w:w="0" w:type="dxa"/>
        <w:tblLayout w:type="autofit"/>
        <w:tblCellMar>
          <w:top w:w="0" w:type="dxa"/>
          <w:left w:w="108" w:type="dxa"/>
          <w:bottom w:w="0" w:type="dxa"/>
          <w:right w:w="108" w:type="dxa"/>
        </w:tblCellMar>
      </w:tblPr>
      <w:tblGrid>
        <w:gridCol w:w="7088"/>
        <w:gridCol w:w="7088"/>
      </w:tblGrid>
      <w:tr>
        <w:tblPrEx>
          <w:tblCellMar>
            <w:top w:w="0" w:type="dxa"/>
            <w:left w:w="108" w:type="dxa"/>
            <w:bottom w:w="0" w:type="dxa"/>
            <w:right w:w="108" w:type="dxa"/>
          </w:tblCellMar>
        </w:tblPrEx>
        <w:tc>
          <w:tcPr>
            <w:tcW w:w="2500" w:type="pct"/>
            <w:vAlign w:val="center"/>
          </w:tcPr>
          <w:p>
            <w:pPr>
              <w:rPr>
                <w:rFonts w:ascii="宋体" w:hAnsi="宋体"/>
                <w:b/>
                <w:bCs/>
                <w:snapToGrid w:val="0"/>
                <w:szCs w:val="24"/>
              </w:rPr>
            </w:pPr>
            <w:r>
              <w:rPr>
                <w:rFonts w:hint="eastAsia" w:ascii="宋体" w:hAnsi="宋体"/>
                <w:b/>
                <w:bCs/>
                <w:snapToGrid w:val="0"/>
                <w:szCs w:val="24"/>
              </w:rPr>
              <w:t>评标委员会（签名）</w:t>
            </w:r>
            <w:r>
              <w:rPr>
                <w:rFonts w:ascii="宋体" w:hAnsi="宋体"/>
                <w:b/>
                <w:bCs/>
                <w:snapToGrid w:val="0"/>
                <w:szCs w:val="24"/>
              </w:rPr>
              <w:t>：</w:t>
            </w:r>
          </w:p>
        </w:tc>
        <w:tc>
          <w:tcPr>
            <w:tcW w:w="2500" w:type="pct"/>
            <w:vAlign w:val="center"/>
          </w:tcPr>
          <w:p>
            <w:pPr>
              <w:jc w:val="right"/>
              <w:rPr>
                <w:rFonts w:ascii="宋体" w:hAnsi="宋体"/>
                <w:b/>
                <w:bCs/>
                <w:snapToGrid w:val="0"/>
                <w:szCs w:val="24"/>
              </w:rPr>
            </w:pPr>
          </w:p>
        </w:tc>
      </w:tr>
      <w:tr>
        <w:tblPrEx>
          <w:tblCellMar>
            <w:top w:w="0" w:type="dxa"/>
            <w:left w:w="108" w:type="dxa"/>
            <w:bottom w:w="0" w:type="dxa"/>
            <w:right w:w="108" w:type="dxa"/>
          </w:tblCellMar>
        </w:tblPrEx>
        <w:tc>
          <w:tcPr>
            <w:tcW w:w="2500" w:type="pct"/>
            <w:vAlign w:val="center"/>
          </w:tcPr>
          <w:p>
            <w:pPr>
              <w:rPr>
                <w:rFonts w:ascii="宋体" w:hAnsi="宋体"/>
                <w:b/>
                <w:bCs/>
                <w:snapToGrid w:val="0"/>
                <w:szCs w:val="24"/>
              </w:rPr>
            </w:pPr>
            <w:r>
              <w:rPr>
                <w:rFonts w:hint="eastAsia" w:ascii="宋体" w:hAnsi="宋体"/>
                <w:b/>
                <w:bCs/>
                <w:snapToGrid w:val="0"/>
                <w:szCs w:val="24"/>
              </w:rPr>
              <w:t>监督（签名）：</w:t>
            </w:r>
          </w:p>
        </w:tc>
        <w:tc>
          <w:tcPr>
            <w:tcW w:w="2500" w:type="pct"/>
            <w:vAlign w:val="center"/>
          </w:tcPr>
          <w:p>
            <w:pPr>
              <w:jc w:val="right"/>
              <w:rPr>
                <w:rFonts w:ascii="宋体" w:hAnsi="宋体"/>
                <w:b/>
                <w:snapToGrid w:val="0"/>
                <w:szCs w:val="24"/>
              </w:rPr>
            </w:pPr>
            <w:r>
              <w:rPr>
                <w:rFonts w:hint="eastAsia" w:ascii="宋体" w:hAnsi="宋体"/>
                <w:snapToGrid w:val="0"/>
                <w:szCs w:val="24"/>
              </w:rPr>
              <w:t xml:space="preserve">日期：     年     月     </w:t>
            </w:r>
            <w:r>
              <w:rPr>
                <w:rFonts w:hint="eastAsia" w:ascii="宋体" w:hAnsi="宋体"/>
                <w:bCs/>
                <w:snapToGrid w:val="0"/>
                <w:szCs w:val="24"/>
              </w:rPr>
              <w:t>日</w:t>
            </w:r>
          </w:p>
        </w:tc>
      </w:tr>
    </w:tbl>
    <w:p>
      <w:r>
        <w:br w:type="page"/>
      </w:r>
    </w:p>
    <w:p>
      <w:pPr>
        <w:widowControl/>
        <w:spacing w:line="360" w:lineRule="auto"/>
        <w:jc w:val="left"/>
        <w:rPr>
          <w:rFonts w:hint="eastAsia" w:ascii="宋体" w:hAnsi="宋体" w:cs="宋体"/>
          <w:b/>
          <w:snapToGrid/>
          <w:sz w:val="24"/>
          <w:szCs w:val="24"/>
        </w:rPr>
      </w:pPr>
      <w:r>
        <w:rPr>
          <w:rFonts w:hint="eastAsia" w:ascii="宋体" w:hAnsi="宋体" w:cs="宋体"/>
          <w:b/>
          <w:snapToGrid/>
          <w:sz w:val="24"/>
          <w:szCs w:val="24"/>
        </w:rPr>
        <w:t>附表6</w:t>
      </w:r>
    </w:p>
    <w:p>
      <w:pPr>
        <w:jc w:val="center"/>
        <w:rPr>
          <w:rFonts w:ascii="宋体" w:hAnsi="宋体"/>
          <w:b/>
          <w:bCs/>
          <w:snapToGrid w:val="0"/>
          <w:sz w:val="28"/>
          <w:szCs w:val="24"/>
        </w:rPr>
      </w:pPr>
      <w:r>
        <w:rPr>
          <w:rFonts w:hint="eastAsia" w:ascii="宋体" w:hAnsi="宋体"/>
          <w:b/>
          <w:sz w:val="28"/>
          <w:szCs w:val="24"/>
        </w:rPr>
        <w:t>商务</w:t>
      </w:r>
      <w:r>
        <w:rPr>
          <w:rFonts w:ascii="宋体" w:hAnsi="宋体"/>
          <w:b/>
          <w:sz w:val="28"/>
          <w:szCs w:val="24"/>
        </w:rPr>
        <w:t>标初步评审</w:t>
      </w:r>
      <w:r>
        <w:rPr>
          <w:rFonts w:hint="eastAsia" w:ascii="宋体" w:hAnsi="宋体"/>
          <w:b/>
          <w:bCs/>
          <w:snapToGrid w:val="0"/>
          <w:sz w:val="28"/>
          <w:szCs w:val="24"/>
        </w:rPr>
        <w:t>表</w:t>
      </w:r>
    </w:p>
    <w:p>
      <w:pPr>
        <w:jc w:val="left"/>
        <w:rPr>
          <w:rFonts w:ascii="宋体" w:hAnsi="宋体"/>
          <w:b/>
          <w:bCs/>
          <w:snapToGrid w:val="0"/>
          <w:szCs w:val="24"/>
        </w:rPr>
      </w:pPr>
      <w:r>
        <w:rPr>
          <w:rFonts w:hint="eastAsia" w:ascii="宋体" w:hAnsi="宋体"/>
          <w:b/>
          <w:bCs/>
          <w:snapToGrid w:val="0"/>
          <w:szCs w:val="24"/>
        </w:rPr>
        <w:t>比选项目名称：</w:t>
      </w:r>
      <w:r>
        <w:rPr>
          <w:rFonts w:hint="eastAsia" w:ascii="宋体" w:hAnsi="宋体"/>
          <w:b/>
          <w:bCs/>
          <w:snapToGrid w:val="0"/>
          <w:szCs w:val="24"/>
          <w:u w:val="single"/>
        </w:rPr>
        <w:t>光明新湖、昂鹅车辆段、东宝河停车场、</w:t>
      </w:r>
      <w:r>
        <w:rPr>
          <w:rFonts w:hint="eastAsia" w:ascii="宋体" w:hAnsi="宋体"/>
          <w:b/>
          <w:bCs/>
          <w:snapToGrid w:val="0"/>
          <w:szCs w:val="24"/>
          <w:u w:val="single"/>
          <w:lang w:eastAsia="zh-CN"/>
        </w:rPr>
        <w:t>新大存车场</w:t>
      </w:r>
      <w:r>
        <w:rPr>
          <w:rFonts w:hint="eastAsia" w:ascii="宋体" w:hAnsi="宋体"/>
          <w:b/>
          <w:bCs/>
          <w:snapToGrid w:val="0"/>
          <w:szCs w:val="24"/>
          <w:u w:val="single"/>
        </w:rPr>
        <w:t>交通接驳研究</w:t>
      </w:r>
    </w:p>
    <w:tbl>
      <w:tblPr>
        <w:tblStyle w:val="49"/>
        <w:tblW w:w="49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7365"/>
        <w:gridCol w:w="1188"/>
        <w:gridCol w:w="1191"/>
        <w:gridCol w:w="1188"/>
        <w:gridCol w:w="1191"/>
        <w:gridCol w:w="1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3" w:type="pct"/>
            <w:vMerge w:val="restart"/>
            <w:vAlign w:val="center"/>
          </w:tcPr>
          <w:p>
            <w:pPr>
              <w:jc w:val="center"/>
              <w:rPr>
                <w:rFonts w:ascii="宋体" w:hAnsi="宋体"/>
                <w:b/>
                <w:bCs/>
                <w:snapToGrid w:val="0"/>
                <w:szCs w:val="24"/>
              </w:rPr>
            </w:pPr>
            <w:r>
              <w:rPr>
                <w:rFonts w:hint="eastAsia" w:ascii="宋体" w:hAnsi="宋体"/>
                <w:b/>
                <w:bCs/>
                <w:snapToGrid w:val="0"/>
                <w:szCs w:val="24"/>
              </w:rPr>
              <w:t>序号</w:t>
            </w:r>
          </w:p>
        </w:tc>
        <w:tc>
          <w:tcPr>
            <w:tcW w:w="2609" w:type="pct"/>
            <w:vMerge w:val="restart"/>
            <w:vAlign w:val="center"/>
          </w:tcPr>
          <w:p>
            <w:pPr>
              <w:jc w:val="center"/>
              <w:rPr>
                <w:rFonts w:ascii="宋体" w:hAnsi="宋体"/>
                <w:b/>
                <w:bCs/>
                <w:snapToGrid w:val="0"/>
                <w:szCs w:val="24"/>
              </w:rPr>
            </w:pPr>
            <w:r>
              <w:rPr>
                <w:rFonts w:hint="eastAsia" w:ascii="宋体" w:hAnsi="宋体"/>
                <w:b/>
                <w:bCs/>
                <w:snapToGrid w:val="0"/>
                <w:szCs w:val="24"/>
              </w:rPr>
              <w:t>审查</w:t>
            </w:r>
            <w:r>
              <w:rPr>
                <w:rFonts w:ascii="宋体" w:hAnsi="宋体"/>
                <w:b/>
                <w:bCs/>
                <w:snapToGrid w:val="0"/>
                <w:szCs w:val="24"/>
              </w:rPr>
              <w:t>内容</w:t>
            </w:r>
          </w:p>
        </w:tc>
        <w:tc>
          <w:tcPr>
            <w:tcW w:w="2138" w:type="pct"/>
            <w:gridSpan w:val="5"/>
            <w:vAlign w:val="center"/>
          </w:tcPr>
          <w:p>
            <w:pPr>
              <w:jc w:val="center"/>
              <w:rPr>
                <w:rFonts w:ascii="宋体" w:hAnsi="宋体"/>
                <w:b/>
                <w:bCs/>
                <w:snapToGrid w:val="0"/>
                <w:szCs w:val="24"/>
              </w:rPr>
            </w:pPr>
            <w:r>
              <w:rPr>
                <w:rFonts w:hint="eastAsia" w:ascii="宋体" w:hAnsi="宋体"/>
                <w:b/>
                <w:bCs/>
                <w:snapToGrid w:val="0"/>
                <w:szCs w:val="24"/>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3" w:type="pct"/>
            <w:vMerge w:val="continue"/>
            <w:vAlign w:val="center"/>
          </w:tcPr>
          <w:p>
            <w:pPr>
              <w:jc w:val="center"/>
              <w:rPr>
                <w:rFonts w:ascii="宋体" w:hAnsi="宋体"/>
                <w:b/>
                <w:bCs/>
                <w:snapToGrid w:val="0"/>
                <w:szCs w:val="24"/>
              </w:rPr>
            </w:pPr>
          </w:p>
        </w:tc>
        <w:tc>
          <w:tcPr>
            <w:tcW w:w="2609" w:type="pct"/>
            <w:vMerge w:val="continue"/>
            <w:vAlign w:val="center"/>
          </w:tcPr>
          <w:p>
            <w:pPr>
              <w:jc w:val="right"/>
              <w:rPr>
                <w:rFonts w:ascii="宋体" w:hAnsi="宋体"/>
                <w:b/>
                <w:bCs/>
                <w:snapToGrid w:val="0"/>
                <w:szCs w:val="24"/>
              </w:rPr>
            </w:pPr>
          </w:p>
        </w:tc>
        <w:tc>
          <w:tcPr>
            <w:tcW w:w="421" w:type="pct"/>
            <w:vAlign w:val="center"/>
          </w:tcPr>
          <w:p>
            <w:pPr>
              <w:rPr>
                <w:rFonts w:ascii="宋体" w:hAnsi="宋体"/>
                <w:b/>
                <w:bCs/>
                <w:snapToGrid w:val="0"/>
                <w:szCs w:val="24"/>
              </w:rPr>
            </w:pPr>
            <w:r>
              <w:rPr>
                <w:rFonts w:hint="eastAsia" w:ascii="宋体" w:hAnsi="宋体"/>
                <w:b/>
                <w:bCs/>
                <w:snapToGrid w:val="0"/>
                <w:szCs w:val="24"/>
              </w:rPr>
              <w:t>参选人1</w:t>
            </w:r>
          </w:p>
        </w:tc>
        <w:tc>
          <w:tcPr>
            <w:tcW w:w="422" w:type="pct"/>
            <w:vAlign w:val="center"/>
          </w:tcPr>
          <w:p>
            <w:pPr>
              <w:rPr>
                <w:rFonts w:ascii="宋体" w:hAnsi="宋体"/>
                <w:b/>
                <w:bCs/>
                <w:snapToGrid w:val="0"/>
                <w:szCs w:val="24"/>
              </w:rPr>
            </w:pPr>
            <w:r>
              <w:rPr>
                <w:rFonts w:hint="eastAsia" w:ascii="宋体" w:hAnsi="宋体"/>
                <w:b/>
                <w:bCs/>
                <w:snapToGrid w:val="0"/>
                <w:szCs w:val="24"/>
              </w:rPr>
              <w:t>参选人2</w:t>
            </w:r>
          </w:p>
        </w:tc>
        <w:tc>
          <w:tcPr>
            <w:tcW w:w="421" w:type="pct"/>
            <w:vAlign w:val="center"/>
          </w:tcPr>
          <w:p>
            <w:pPr>
              <w:rPr>
                <w:rFonts w:ascii="宋体" w:hAnsi="宋体"/>
                <w:b/>
                <w:bCs/>
                <w:snapToGrid w:val="0"/>
                <w:szCs w:val="24"/>
              </w:rPr>
            </w:pPr>
            <w:r>
              <w:rPr>
                <w:rFonts w:hint="eastAsia" w:ascii="宋体" w:hAnsi="宋体"/>
                <w:b/>
                <w:bCs/>
                <w:snapToGrid w:val="0"/>
                <w:szCs w:val="24"/>
              </w:rPr>
              <w:t>参选人3</w:t>
            </w:r>
          </w:p>
        </w:tc>
        <w:tc>
          <w:tcPr>
            <w:tcW w:w="422" w:type="pct"/>
            <w:vAlign w:val="center"/>
          </w:tcPr>
          <w:p>
            <w:pPr>
              <w:rPr>
                <w:rFonts w:ascii="宋体" w:hAnsi="宋体"/>
                <w:b/>
                <w:bCs/>
                <w:snapToGrid w:val="0"/>
                <w:szCs w:val="24"/>
              </w:rPr>
            </w:pPr>
            <w:r>
              <w:rPr>
                <w:rFonts w:hint="eastAsia" w:ascii="宋体" w:hAnsi="宋体"/>
                <w:b/>
                <w:bCs/>
                <w:snapToGrid w:val="0"/>
                <w:szCs w:val="24"/>
              </w:rPr>
              <w:t>参选人4</w:t>
            </w:r>
          </w:p>
        </w:tc>
        <w:tc>
          <w:tcPr>
            <w:tcW w:w="452" w:type="pct"/>
            <w:vAlign w:val="center"/>
          </w:tcPr>
          <w:p>
            <w:pPr>
              <w:rPr>
                <w:rFonts w:ascii="宋体" w:hAnsi="宋体"/>
                <w:b/>
                <w:bCs/>
                <w:snapToGrid w:val="0"/>
                <w:szCs w:val="24"/>
              </w:rPr>
            </w:pPr>
            <w:r>
              <w:rPr>
                <w:rFonts w:hint="eastAsia" w:ascii="宋体" w:hAnsi="宋体"/>
                <w:b/>
                <w:bCs/>
                <w:snapToGrid w:val="0"/>
                <w:szCs w:val="24"/>
              </w:rPr>
              <w:t>参选人</w:t>
            </w:r>
            <w:r>
              <w:rPr>
                <w:rFonts w:ascii="宋体" w:hAnsi="宋体"/>
                <w:b/>
                <w:bCs/>
                <w:snapToGrid w:val="0"/>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3" w:type="pct"/>
            <w:vAlign w:val="center"/>
          </w:tcPr>
          <w:p>
            <w:pPr>
              <w:jc w:val="center"/>
              <w:rPr>
                <w:rFonts w:ascii="宋体" w:hAnsi="宋体"/>
                <w:bCs/>
                <w:snapToGrid w:val="0"/>
                <w:szCs w:val="24"/>
              </w:rPr>
            </w:pPr>
            <w:r>
              <w:rPr>
                <w:rFonts w:hint="eastAsia" w:ascii="宋体" w:hAnsi="宋体"/>
                <w:bCs/>
                <w:snapToGrid w:val="0"/>
                <w:szCs w:val="24"/>
              </w:rPr>
              <w:t>1</w:t>
            </w:r>
          </w:p>
        </w:tc>
        <w:tc>
          <w:tcPr>
            <w:tcW w:w="2609" w:type="pct"/>
            <w:vAlign w:val="center"/>
          </w:tcPr>
          <w:p>
            <w:pPr>
              <w:rPr>
                <w:rFonts w:ascii="宋体" w:hAnsi="宋体"/>
                <w:kern w:val="0"/>
                <w:szCs w:val="24"/>
              </w:rPr>
            </w:pPr>
            <w:r>
              <w:rPr>
                <w:rFonts w:hint="eastAsia" w:ascii="宋体" w:hAnsi="宋体" w:cs="宋体"/>
                <w:szCs w:val="21"/>
              </w:rPr>
              <w:t>商务标文件按要求加盖参选人公章。</w:t>
            </w:r>
          </w:p>
        </w:tc>
        <w:tc>
          <w:tcPr>
            <w:tcW w:w="421" w:type="pct"/>
            <w:vAlign w:val="center"/>
          </w:tcPr>
          <w:p>
            <w:pPr>
              <w:jc w:val="center"/>
              <w:rPr>
                <w:rFonts w:ascii="宋体" w:hAnsi="宋体"/>
                <w:bCs/>
                <w:snapToGrid w:val="0"/>
                <w:szCs w:val="24"/>
              </w:rPr>
            </w:pPr>
          </w:p>
        </w:tc>
        <w:tc>
          <w:tcPr>
            <w:tcW w:w="422" w:type="pct"/>
            <w:vAlign w:val="center"/>
          </w:tcPr>
          <w:p>
            <w:pPr>
              <w:jc w:val="center"/>
              <w:rPr>
                <w:rFonts w:ascii="宋体" w:hAnsi="宋体"/>
                <w:bCs/>
                <w:snapToGrid w:val="0"/>
                <w:szCs w:val="24"/>
              </w:rPr>
            </w:pPr>
          </w:p>
        </w:tc>
        <w:tc>
          <w:tcPr>
            <w:tcW w:w="421" w:type="pct"/>
            <w:vAlign w:val="center"/>
          </w:tcPr>
          <w:p>
            <w:pPr>
              <w:jc w:val="center"/>
              <w:rPr>
                <w:rFonts w:ascii="宋体" w:hAnsi="宋体"/>
                <w:bCs/>
                <w:snapToGrid w:val="0"/>
                <w:szCs w:val="24"/>
              </w:rPr>
            </w:pPr>
          </w:p>
        </w:tc>
        <w:tc>
          <w:tcPr>
            <w:tcW w:w="422" w:type="pct"/>
            <w:vAlign w:val="center"/>
          </w:tcPr>
          <w:p>
            <w:pPr>
              <w:jc w:val="center"/>
              <w:rPr>
                <w:rFonts w:ascii="宋体" w:hAnsi="宋体"/>
                <w:bCs/>
                <w:snapToGrid w:val="0"/>
                <w:szCs w:val="24"/>
              </w:rPr>
            </w:pPr>
          </w:p>
        </w:tc>
        <w:tc>
          <w:tcPr>
            <w:tcW w:w="452" w:type="pct"/>
            <w:vAlign w:val="center"/>
          </w:tcPr>
          <w:p>
            <w:pPr>
              <w:jc w:val="center"/>
              <w:rPr>
                <w:rFonts w:ascii="宋体" w:hAnsi="宋体"/>
                <w:bCs/>
                <w:snapToGrid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3" w:type="pct"/>
            <w:vAlign w:val="center"/>
          </w:tcPr>
          <w:p>
            <w:pPr>
              <w:jc w:val="center"/>
              <w:rPr>
                <w:rFonts w:ascii="宋体" w:hAnsi="宋体"/>
                <w:bCs/>
                <w:snapToGrid w:val="0"/>
                <w:szCs w:val="24"/>
              </w:rPr>
            </w:pPr>
            <w:r>
              <w:rPr>
                <w:rFonts w:hint="eastAsia" w:ascii="宋体" w:hAnsi="宋体"/>
                <w:bCs/>
                <w:snapToGrid w:val="0"/>
                <w:szCs w:val="24"/>
              </w:rPr>
              <w:t>2</w:t>
            </w:r>
          </w:p>
        </w:tc>
        <w:tc>
          <w:tcPr>
            <w:tcW w:w="2609" w:type="pct"/>
            <w:vAlign w:val="center"/>
          </w:tcPr>
          <w:p>
            <w:pPr>
              <w:rPr>
                <w:rFonts w:ascii="宋体" w:hAnsi="宋体"/>
                <w:kern w:val="0"/>
                <w:szCs w:val="24"/>
              </w:rPr>
            </w:pPr>
            <w:r>
              <w:rPr>
                <w:rFonts w:hint="eastAsia" w:ascii="宋体" w:hAnsi="宋体" w:cs="宋体"/>
                <w:szCs w:val="21"/>
              </w:rPr>
              <w:t>《参选函》中的内容按比选文件的要求填写并签字盖章。</w:t>
            </w:r>
          </w:p>
        </w:tc>
        <w:tc>
          <w:tcPr>
            <w:tcW w:w="421" w:type="pct"/>
            <w:vAlign w:val="center"/>
          </w:tcPr>
          <w:p>
            <w:pPr>
              <w:jc w:val="center"/>
              <w:rPr>
                <w:rFonts w:ascii="宋体" w:hAnsi="宋体"/>
                <w:bCs/>
                <w:snapToGrid w:val="0"/>
                <w:szCs w:val="24"/>
              </w:rPr>
            </w:pPr>
          </w:p>
        </w:tc>
        <w:tc>
          <w:tcPr>
            <w:tcW w:w="422" w:type="pct"/>
            <w:vAlign w:val="center"/>
          </w:tcPr>
          <w:p>
            <w:pPr>
              <w:jc w:val="center"/>
              <w:rPr>
                <w:rFonts w:ascii="宋体" w:hAnsi="宋体"/>
                <w:bCs/>
                <w:snapToGrid w:val="0"/>
                <w:szCs w:val="24"/>
              </w:rPr>
            </w:pPr>
          </w:p>
        </w:tc>
        <w:tc>
          <w:tcPr>
            <w:tcW w:w="421" w:type="pct"/>
            <w:vAlign w:val="center"/>
          </w:tcPr>
          <w:p>
            <w:pPr>
              <w:jc w:val="center"/>
              <w:rPr>
                <w:rFonts w:ascii="宋体" w:hAnsi="宋体"/>
                <w:bCs/>
                <w:snapToGrid w:val="0"/>
                <w:szCs w:val="24"/>
              </w:rPr>
            </w:pPr>
          </w:p>
        </w:tc>
        <w:tc>
          <w:tcPr>
            <w:tcW w:w="422" w:type="pct"/>
            <w:vAlign w:val="center"/>
          </w:tcPr>
          <w:p>
            <w:pPr>
              <w:jc w:val="center"/>
              <w:rPr>
                <w:rFonts w:ascii="宋体" w:hAnsi="宋体"/>
                <w:bCs/>
                <w:snapToGrid w:val="0"/>
                <w:szCs w:val="24"/>
              </w:rPr>
            </w:pPr>
          </w:p>
        </w:tc>
        <w:tc>
          <w:tcPr>
            <w:tcW w:w="452" w:type="pct"/>
            <w:vAlign w:val="center"/>
          </w:tcPr>
          <w:p>
            <w:pPr>
              <w:jc w:val="center"/>
              <w:rPr>
                <w:rFonts w:ascii="宋体" w:hAnsi="宋体"/>
                <w:bCs/>
                <w:snapToGrid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3" w:type="pct"/>
            <w:vAlign w:val="center"/>
          </w:tcPr>
          <w:p>
            <w:pPr>
              <w:jc w:val="center"/>
              <w:rPr>
                <w:rFonts w:ascii="宋体" w:hAnsi="宋体"/>
                <w:bCs/>
                <w:snapToGrid w:val="0"/>
                <w:szCs w:val="24"/>
              </w:rPr>
            </w:pPr>
            <w:r>
              <w:rPr>
                <w:rFonts w:hint="eastAsia" w:ascii="宋体" w:hAnsi="宋体"/>
                <w:bCs/>
                <w:snapToGrid w:val="0"/>
                <w:szCs w:val="24"/>
              </w:rPr>
              <w:t>3</w:t>
            </w:r>
          </w:p>
        </w:tc>
        <w:tc>
          <w:tcPr>
            <w:tcW w:w="2609" w:type="pct"/>
            <w:vAlign w:val="center"/>
          </w:tcPr>
          <w:p>
            <w:pPr>
              <w:rPr>
                <w:rFonts w:ascii="宋体" w:hAnsi="宋体"/>
                <w:kern w:val="0"/>
                <w:szCs w:val="24"/>
              </w:rPr>
            </w:pPr>
            <w:r>
              <w:rPr>
                <w:rFonts w:hint="eastAsia" w:ascii="宋体" w:hAnsi="宋体" w:cs="宋体"/>
                <w:szCs w:val="21"/>
              </w:rPr>
              <w:t>参选人的报价不高于控制价。</w:t>
            </w:r>
          </w:p>
        </w:tc>
        <w:tc>
          <w:tcPr>
            <w:tcW w:w="421" w:type="pct"/>
            <w:vAlign w:val="center"/>
          </w:tcPr>
          <w:p>
            <w:pPr>
              <w:jc w:val="center"/>
              <w:rPr>
                <w:rFonts w:ascii="宋体" w:hAnsi="宋体"/>
                <w:bCs/>
                <w:snapToGrid w:val="0"/>
                <w:szCs w:val="24"/>
              </w:rPr>
            </w:pPr>
          </w:p>
        </w:tc>
        <w:tc>
          <w:tcPr>
            <w:tcW w:w="422" w:type="pct"/>
            <w:vAlign w:val="center"/>
          </w:tcPr>
          <w:p>
            <w:pPr>
              <w:jc w:val="center"/>
              <w:rPr>
                <w:rFonts w:ascii="宋体" w:hAnsi="宋体"/>
                <w:bCs/>
                <w:snapToGrid w:val="0"/>
                <w:szCs w:val="24"/>
              </w:rPr>
            </w:pPr>
          </w:p>
        </w:tc>
        <w:tc>
          <w:tcPr>
            <w:tcW w:w="421" w:type="pct"/>
            <w:vAlign w:val="center"/>
          </w:tcPr>
          <w:p>
            <w:pPr>
              <w:jc w:val="center"/>
              <w:rPr>
                <w:rFonts w:ascii="宋体" w:hAnsi="宋体"/>
                <w:bCs/>
                <w:snapToGrid w:val="0"/>
                <w:szCs w:val="24"/>
              </w:rPr>
            </w:pPr>
          </w:p>
        </w:tc>
        <w:tc>
          <w:tcPr>
            <w:tcW w:w="422" w:type="pct"/>
            <w:vAlign w:val="center"/>
          </w:tcPr>
          <w:p>
            <w:pPr>
              <w:jc w:val="center"/>
              <w:rPr>
                <w:rFonts w:ascii="宋体" w:hAnsi="宋体"/>
                <w:bCs/>
                <w:snapToGrid w:val="0"/>
                <w:szCs w:val="24"/>
              </w:rPr>
            </w:pPr>
          </w:p>
        </w:tc>
        <w:tc>
          <w:tcPr>
            <w:tcW w:w="452" w:type="pct"/>
            <w:vAlign w:val="center"/>
          </w:tcPr>
          <w:p>
            <w:pPr>
              <w:jc w:val="center"/>
              <w:rPr>
                <w:rFonts w:ascii="宋体" w:hAnsi="宋体"/>
                <w:bCs/>
                <w:snapToGrid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3" w:type="pct"/>
            <w:vAlign w:val="center"/>
          </w:tcPr>
          <w:p>
            <w:pPr>
              <w:jc w:val="center"/>
              <w:rPr>
                <w:rFonts w:ascii="宋体" w:hAnsi="宋体"/>
                <w:bCs/>
                <w:snapToGrid w:val="0"/>
                <w:szCs w:val="24"/>
              </w:rPr>
            </w:pPr>
            <w:r>
              <w:rPr>
                <w:rFonts w:ascii="宋体" w:hAnsi="宋体"/>
                <w:bCs/>
                <w:snapToGrid w:val="0"/>
                <w:szCs w:val="24"/>
              </w:rPr>
              <w:t>4</w:t>
            </w:r>
          </w:p>
        </w:tc>
        <w:tc>
          <w:tcPr>
            <w:tcW w:w="2609" w:type="pct"/>
            <w:vAlign w:val="center"/>
          </w:tcPr>
          <w:p>
            <w:pPr>
              <w:rPr>
                <w:rFonts w:ascii="宋体" w:hAnsi="宋体"/>
                <w:kern w:val="0"/>
                <w:szCs w:val="24"/>
              </w:rPr>
            </w:pPr>
            <w:r>
              <w:rPr>
                <w:rFonts w:hint="eastAsia" w:ascii="宋体" w:hAnsi="宋体" w:cs="宋体"/>
                <w:szCs w:val="21"/>
              </w:rPr>
              <w:t>参选人的报价清单与比选文件报价清单项目内容一致。</w:t>
            </w:r>
          </w:p>
        </w:tc>
        <w:tc>
          <w:tcPr>
            <w:tcW w:w="421" w:type="pct"/>
            <w:vAlign w:val="center"/>
          </w:tcPr>
          <w:p>
            <w:pPr>
              <w:jc w:val="center"/>
              <w:rPr>
                <w:rFonts w:ascii="宋体" w:hAnsi="宋体"/>
                <w:bCs/>
                <w:snapToGrid w:val="0"/>
                <w:szCs w:val="24"/>
              </w:rPr>
            </w:pPr>
          </w:p>
        </w:tc>
        <w:tc>
          <w:tcPr>
            <w:tcW w:w="422" w:type="pct"/>
            <w:vAlign w:val="center"/>
          </w:tcPr>
          <w:p>
            <w:pPr>
              <w:jc w:val="center"/>
              <w:rPr>
                <w:rFonts w:ascii="宋体" w:hAnsi="宋体"/>
                <w:bCs/>
                <w:snapToGrid w:val="0"/>
                <w:szCs w:val="24"/>
              </w:rPr>
            </w:pPr>
          </w:p>
        </w:tc>
        <w:tc>
          <w:tcPr>
            <w:tcW w:w="421" w:type="pct"/>
            <w:vAlign w:val="center"/>
          </w:tcPr>
          <w:p>
            <w:pPr>
              <w:jc w:val="center"/>
              <w:rPr>
                <w:rFonts w:ascii="宋体" w:hAnsi="宋体"/>
                <w:bCs/>
                <w:snapToGrid w:val="0"/>
                <w:szCs w:val="24"/>
              </w:rPr>
            </w:pPr>
          </w:p>
        </w:tc>
        <w:tc>
          <w:tcPr>
            <w:tcW w:w="422" w:type="pct"/>
            <w:vAlign w:val="center"/>
          </w:tcPr>
          <w:p>
            <w:pPr>
              <w:jc w:val="center"/>
              <w:rPr>
                <w:rFonts w:ascii="宋体" w:hAnsi="宋体"/>
                <w:bCs/>
                <w:snapToGrid w:val="0"/>
                <w:szCs w:val="24"/>
              </w:rPr>
            </w:pPr>
          </w:p>
        </w:tc>
        <w:tc>
          <w:tcPr>
            <w:tcW w:w="452" w:type="pct"/>
            <w:vAlign w:val="center"/>
          </w:tcPr>
          <w:p>
            <w:pPr>
              <w:jc w:val="center"/>
              <w:rPr>
                <w:rFonts w:ascii="宋体" w:hAnsi="宋体"/>
                <w:bCs/>
                <w:snapToGrid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62" w:type="pct"/>
            <w:gridSpan w:val="2"/>
            <w:vAlign w:val="center"/>
          </w:tcPr>
          <w:p>
            <w:pPr>
              <w:jc w:val="center"/>
              <w:rPr>
                <w:rFonts w:ascii="宋体" w:hAnsi="宋体"/>
                <w:b/>
                <w:bCs/>
                <w:snapToGrid w:val="0"/>
                <w:szCs w:val="24"/>
              </w:rPr>
            </w:pPr>
            <w:r>
              <w:rPr>
                <w:rFonts w:hint="eastAsia" w:ascii="宋体" w:hAnsi="宋体"/>
                <w:b/>
                <w:bCs/>
                <w:snapToGrid w:val="0"/>
                <w:szCs w:val="24"/>
              </w:rPr>
              <w:t>评审结论</w:t>
            </w:r>
          </w:p>
        </w:tc>
        <w:tc>
          <w:tcPr>
            <w:tcW w:w="421" w:type="pct"/>
            <w:vAlign w:val="center"/>
          </w:tcPr>
          <w:p>
            <w:pPr>
              <w:jc w:val="center"/>
              <w:rPr>
                <w:rFonts w:ascii="宋体" w:hAnsi="宋体"/>
                <w:b/>
                <w:bCs/>
                <w:snapToGrid w:val="0"/>
                <w:szCs w:val="24"/>
              </w:rPr>
            </w:pPr>
          </w:p>
        </w:tc>
        <w:tc>
          <w:tcPr>
            <w:tcW w:w="422" w:type="pct"/>
            <w:vAlign w:val="center"/>
          </w:tcPr>
          <w:p>
            <w:pPr>
              <w:jc w:val="center"/>
              <w:rPr>
                <w:rFonts w:ascii="宋体" w:hAnsi="宋体"/>
                <w:b/>
                <w:bCs/>
                <w:snapToGrid w:val="0"/>
                <w:szCs w:val="24"/>
              </w:rPr>
            </w:pPr>
          </w:p>
        </w:tc>
        <w:tc>
          <w:tcPr>
            <w:tcW w:w="421" w:type="pct"/>
            <w:vAlign w:val="center"/>
          </w:tcPr>
          <w:p>
            <w:pPr>
              <w:jc w:val="center"/>
              <w:rPr>
                <w:rFonts w:ascii="宋体" w:hAnsi="宋体"/>
                <w:b/>
                <w:bCs/>
                <w:snapToGrid w:val="0"/>
                <w:szCs w:val="24"/>
              </w:rPr>
            </w:pPr>
          </w:p>
        </w:tc>
        <w:tc>
          <w:tcPr>
            <w:tcW w:w="422" w:type="pct"/>
            <w:vAlign w:val="center"/>
          </w:tcPr>
          <w:p>
            <w:pPr>
              <w:jc w:val="center"/>
              <w:rPr>
                <w:rFonts w:ascii="宋体" w:hAnsi="宋体"/>
                <w:b/>
                <w:bCs/>
                <w:snapToGrid w:val="0"/>
                <w:szCs w:val="24"/>
              </w:rPr>
            </w:pPr>
          </w:p>
        </w:tc>
        <w:tc>
          <w:tcPr>
            <w:tcW w:w="452" w:type="pct"/>
            <w:vAlign w:val="center"/>
          </w:tcPr>
          <w:p>
            <w:pPr>
              <w:jc w:val="center"/>
              <w:rPr>
                <w:rFonts w:ascii="宋体" w:hAnsi="宋体"/>
                <w:b/>
                <w:bCs/>
                <w:snapToGrid w:val="0"/>
                <w:szCs w:val="24"/>
              </w:rPr>
            </w:pPr>
          </w:p>
        </w:tc>
      </w:tr>
    </w:tbl>
    <w:p>
      <w:pPr>
        <w:rPr>
          <w:rFonts w:ascii="宋体" w:hAnsi="宋体"/>
          <w:bCs/>
          <w:szCs w:val="24"/>
        </w:rPr>
      </w:pPr>
      <w:r>
        <w:rPr>
          <w:rFonts w:hint="eastAsia" w:ascii="宋体" w:hAnsi="宋体"/>
          <w:bCs/>
          <w:snapToGrid w:val="0"/>
          <w:szCs w:val="24"/>
        </w:rPr>
        <w:t>说明：1</w:t>
      </w:r>
      <w:r>
        <w:rPr>
          <w:rFonts w:ascii="宋体" w:hAnsi="宋体"/>
          <w:bCs/>
          <w:snapToGrid w:val="0"/>
          <w:szCs w:val="24"/>
        </w:rPr>
        <w:t>.</w:t>
      </w:r>
      <w:r>
        <w:rPr>
          <w:rFonts w:hint="eastAsia" w:ascii="宋体" w:hAnsi="宋体"/>
          <w:bCs/>
          <w:szCs w:val="24"/>
        </w:rPr>
        <w:t>评审通过的用“√”表示，未通过的用“×”表示。结论用“合格”或“不合格”表示。</w:t>
      </w:r>
    </w:p>
    <w:p>
      <w:pPr>
        <w:ind w:firstLine="630" w:firstLineChars="300"/>
        <w:rPr>
          <w:rFonts w:ascii="宋体" w:hAnsi="宋体"/>
          <w:bCs/>
          <w:snapToGrid w:val="0"/>
          <w:szCs w:val="24"/>
        </w:rPr>
      </w:pPr>
      <w:r>
        <w:rPr>
          <w:rFonts w:hint="eastAsia" w:ascii="宋体" w:hAnsi="宋体"/>
          <w:bCs/>
          <w:szCs w:val="24"/>
        </w:rPr>
        <w:t>2</w:t>
      </w:r>
      <w:r>
        <w:rPr>
          <w:rFonts w:ascii="宋体" w:hAnsi="宋体"/>
          <w:bCs/>
          <w:szCs w:val="24"/>
        </w:rPr>
        <w:t>.</w:t>
      </w:r>
      <w:r>
        <w:rPr>
          <w:rFonts w:hint="eastAsia" w:ascii="宋体" w:hAnsi="宋体"/>
          <w:bCs/>
          <w:szCs w:val="24"/>
        </w:rPr>
        <w:t>只有以上项目全部通过，评审结论为“合格”，否则结论为“不合格”。</w:t>
      </w:r>
    </w:p>
    <w:tbl>
      <w:tblPr>
        <w:tblStyle w:val="49"/>
        <w:tblW w:w="5000" w:type="pct"/>
        <w:tblInd w:w="0" w:type="dxa"/>
        <w:tblLayout w:type="autofit"/>
        <w:tblCellMar>
          <w:top w:w="0" w:type="dxa"/>
          <w:left w:w="108" w:type="dxa"/>
          <w:bottom w:w="0" w:type="dxa"/>
          <w:right w:w="108" w:type="dxa"/>
        </w:tblCellMar>
      </w:tblPr>
      <w:tblGrid>
        <w:gridCol w:w="7088"/>
        <w:gridCol w:w="7088"/>
      </w:tblGrid>
      <w:tr>
        <w:tblPrEx>
          <w:tblCellMar>
            <w:top w:w="0" w:type="dxa"/>
            <w:left w:w="108" w:type="dxa"/>
            <w:bottom w:w="0" w:type="dxa"/>
            <w:right w:w="108" w:type="dxa"/>
          </w:tblCellMar>
        </w:tblPrEx>
        <w:tc>
          <w:tcPr>
            <w:tcW w:w="2500" w:type="pct"/>
            <w:vAlign w:val="center"/>
          </w:tcPr>
          <w:p>
            <w:pPr>
              <w:rPr>
                <w:rFonts w:ascii="宋体" w:hAnsi="宋体"/>
                <w:b/>
                <w:bCs/>
                <w:snapToGrid w:val="0"/>
                <w:szCs w:val="24"/>
              </w:rPr>
            </w:pPr>
            <w:r>
              <w:rPr>
                <w:rFonts w:hint="eastAsia" w:ascii="宋体" w:hAnsi="宋体"/>
                <w:b/>
                <w:bCs/>
                <w:snapToGrid w:val="0"/>
                <w:szCs w:val="24"/>
              </w:rPr>
              <w:t>评标委员会（签名）：</w:t>
            </w:r>
          </w:p>
          <w:p>
            <w:pPr>
              <w:rPr>
                <w:rFonts w:ascii="宋体" w:hAnsi="宋体"/>
                <w:b/>
                <w:snapToGrid w:val="0"/>
                <w:szCs w:val="24"/>
              </w:rPr>
            </w:pPr>
            <w:r>
              <w:rPr>
                <w:rFonts w:hint="eastAsia" w:ascii="宋体" w:hAnsi="宋体"/>
                <w:b/>
                <w:bCs/>
                <w:snapToGrid w:val="0"/>
                <w:szCs w:val="24"/>
              </w:rPr>
              <w:t>监督（签名）：</w:t>
            </w:r>
          </w:p>
        </w:tc>
        <w:tc>
          <w:tcPr>
            <w:tcW w:w="2500" w:type="pct"/>
            <w:vAlign w:val="bottom"/>
          </w:tcPr>
          <w:p>
            <w:pPr>
              <w:jc w:val="right"/>
              <w:rPr>
                <w:rFonts w:ascii="宋体" w:hAnsi="宋体"/>
                <w:b/>
                <w:snapToGrid w:val="0"/>
                <w:szCs w:val="24"/>
              </w:rPr>
            </w:pPr>
            <w:r>
              <w:rPr>
                <w:rFonts w:hint="eastAsia" w:ascii="宋体" w:hAnsi="宋体"/>
                <w:snapToGrid w:val="0"/>
                <w:szCs w:val="24"/>
              </w:rPr>
              <w:t xml:space="preserve">日期：    </w:t>
            </w:r>
            <w:r>
              <w:rPr>
                <w:rFonts w:hint="eastAsia" w:ascii="宋体" w:hAnsi="宋体"/>
                <w:bCs/>
                <w:snapToGrid w:val="0"/>
                <w:szCs w:val="24"/>
              </w:rPr>
              <w:t xml:space="preserve"> 年     月     日</w:t>
            </w:r>
          </w:p>
        </w:tc>
      </w:tr>
    </w:tbl>
    <w:p>
      <w:pPr>
        <w:spacing w:line="276" w:lineRule="auto"/>
        <w:rPr>
          <w:rFonts w:ascii="宋体" w:hAnsi="宋体"/>
          <w:snapToGrid w:val="0"/>
          <w:szCs w:val="24"/>
        </w:rPr>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widowControl/>
        <w:spacing w:line="360" w:lineRule="auto"/>
        <w:jc w:val="left"/>
        <w:rPr>
          <w:rFonts w:hint="eastAsia" w:ascii="宋体" w:hAnsi="宋体" w:cs="宋体"/>
          <w:b/>
          <w:snapToGrid/>
          <w:sz w:val="24"/>
          <w:szCs w:val="24"/>
        </w:rPr>
      </w:pPr>
      <w:r>
        <w:rPr>
          <w:rFonts w:hint="eastAsia" w:ascii="宋体" w:hAnsi="宋体" w:cs="宋体"/>
          <w:b/>
          <w:snapToGrid/>
          <w:sz w:val="24"/>
          <w:szCs w:val="24"/>
        </w:rPr>
        <w:t>附表7</w:t>
      </w:r>
    </w:p>
    <w:p>
      <w:pPr>
        <w:spacing w:line="276" w:lineRule="auto"/>
        <w:jc w:val="center"/>
        <w:rPr>
          <w:rFonts w:ascii="宋体" w:hAnsi="宋体"/>
          <w:b/>
          <w:bCs/>
          <w:snapToGrid w:val="0"/>
          <w:sz w:val="28"/>
          <w:szCs w:val="24"/>
        </w:rPr>
      </w:pPr>
      <w:r>
        <w:rPr>
          <w:rFonts w:hint="eastAsia"/>
          <w:b/>
          <w:sz w:val="28"/>
          <w:szCs w:val="24"/>
        </w:rPr>
        <w:t>商务</w:t>
      </w:r>
      <w:r>
        <w:rPr>
          <w:b/>
          <w:sz w:val="28"/>
          <w:szCs w:val="24"/>
        </w:rPr>
        <w:t>标</w:t>
      </w:r>
      <w:r>
        <w:rPr>
          <w:rFonts w:hint="eastAsia"/>
          <w:b/>
          <w:sz w:val="28"/>
          <w:szCs w:val="24"/>
        </w:rPr>
        <w:t>详细评分</w:t>
      </w:r>
      <w:r>
        <w:rPr>
          <w:rFonts w:hint="eastAsia" w:ascii="宋体" w:hAnsi="宋体"/>
          <w:b/>
          <w:bCs/>
          <w:snapToGrid w:val="0"/>
          <w:sz w:val="28"/>
          <w:szCs w:val="24"/>
        </w:rPr>
        <w:t>表</w:t>
      </w:r>
    </w:p>
    <w:p>
      <w:pPr>
        <w:jc w:val="left"/>
        <w:rPr>
          <w:rFonts w:ascii="宋体" w:hAnsi="宋体"/>
          <w:b/>
          <w:bCs/>
          <w:snapToGrid w:val="0"/>
          <w:szCs w:val="24"/>
        </w:rPr>
      </w:pPr>
      <w:r>
        <w:rPr>
          <w:rFonts w:hint="eastAsia" w:ascii="宋体" w:hAnsi="宋体"/>
          <w:b/>
          <w:bCs/>
          <w:snapToGrid w:val="0"/>
          <w:szCs w:val="24"/>
        </w:rPr>
        <w:t>比选项目名称：</w:t>
      </w:r>
      <w:r>
        <w:rPr>
          <w:rFonts w:hint="eastAsia" w:ascii="宋体" w:hAnsi="宋体"/>
          <w:b/>
          <w:bCs/>
          <w:snapToGrid w:val="0"/>
          <w:szCs w:val="24"/>
          <w:u w:val="single"/>
        </w:rPr>
        <w:t>光明新湖、昂鹅车辆段、东宝河停车场、</w:t>
      </w:r>
      <w:r>
        <w:rPr>
          <w:rFonts w:hint="eastAsia" w:ascii="宋体" w:hAnsi="宋体"/>
          <w:b/>
          <w:bCs/>
          <w:snapToGrid w:val="0"/>
          <w:szCs w:val="24"/>
          <w:u w:val="single"/>
          <w:lang w:eastAsia="zh-CN"/>
        </w:rPr>
        <w:t>新大存车场</w:t>
      </w:r>
      <w:r>
        <w:rPr>
          <w:rFonts w:hint="eastAsia" w:ascii="宋体" w:hAnsi="宋体"/>
          <w:b/>
          <w:bCs/>
          <w:snapToGrid w:val="0"/>
          <w:szCs w:val="24"/>
          <w:u w:val="single"/>
        </w:rPr>
        <w:t>交通接驳研究</w:t>
      </w:r>
    </w:p>
    <w:tbl>
      <w:tblPr>
        <w:tblStyle w:val="49"/>
        <w:tblpPr w:leftFromText="180" w:rightFromText="180" w:vertAnchor="text" w:horzAnchor="page" w:tblpX="1541" w:tblpY="434"/>
        <w:tblOverlap w:val="never"/>
        <w:tblW w:w="491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9"/>
        <w:gridCol w:w="11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725" w:type="pct"/>
          </w:tcPr>
          <w:p>
            <w:pPr>
              <w:widowControl/>
              <w:spacing w:line="360" w:lineRule="auto"/>
              <w:jc w:val="center"/>
              <w:rPr>
                <w:rFonts w:ascii="宋体" w:hAnsi="宋体" w:cs="宋体"/>
                <w:b/>
                <w:bCs/>
                <w:kern w:val="0"/>
                <w:szCs w:val="21"/>
              </w:rPr>
            </w:pPr>
            <w:r>
              <w:rPr>
                <w:rFonts w:hint="eastAsia" w:ascii="宋体" w:hAnsi="宋体" w:cs="宋体"/>
                <w:b/>
                <w:bCs/>
                <w:kern w:val="0"/>
                <w:szCs w:val="21"/>
              </w:rPr>
              <w:t>评审内容</w:t>
            </w:r>
          </w:p>
        </w:tc>
        <w:tc>
          <w:tcPr>
            <w:tcW w:w="4274" w:type="pct"/>
          </w:tcPr>
          <w:p>
            <w:pPr>
              <w:widowControl/>
              <w:spacing w:line="360" w:lineRule="auto"/>
              <w:jc w:val="center"/>
              <w:rPr>
                <w:rFonts w:ascii="宋体" w:hAnsi="宋体" w:cs="宋体"/>
                <w:b/>
                <w:bCs/>
                <w:kern w:val="0"/>
                <w:szCs w:val="21"/>
              </w:rPr>
            </w:pPr>
            <w:r>
              <w:rPr>
                <w:rFonts w:hint="eastAsia" w:ascii="宋体" w:hAnsi="宋体" w:cs="宋体"/>
                <w:b/>
                <w:bCs/>
                <w:kern w:val="0"/>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5" w:type="pct"/>
          </w:tcPr>
          <w:p>
            <w:pPr>
              <w:adjustRightInd w:val="0"/>
              <w:snapToGrid w:val="0"/>
              <w:spacing w:line="360" w:lineRule="auto"/>
              <w:jc w:val="center"/>
              <w:rPr>
                <w:rFonts w:ascii="宋体" w:hAnsi="宋体" w:cs="宋体"/>
                <w:kern w:val="0"/>
                <w:sz w:val="24"/>
                <w:szCs w:val="24"/>
              </w:rPr>
            </w:pPr>
          </w:p>
          <w:p>
            <w:pPr>
              <w:adjustRightInd w:val="0"/>
              <w:snapToGrid w:val="0"/>
              <w:spacing w:line="360" w:lineRule="auto"/>
              <w:jc w:val="center"/>
              <w:rPr>
                <w:rFonts w:ascii="宋体" w:hAnsi="宋体" w:cs="宋体"/>
                <w:kern w:val="0"/>
                <w:sz w:val="24"/>
                <w:szCs w:val="24"/>
              </w:rPr>
            </w:pPr>
          </w:p>
          <w:p>
            <w:pPr>
              <w:adjustRightInd w:val="0"/>
              <w:snapToGrid w:val="0"/>
              <w:spacing w:line="360" w:lineRule="auto"/>
              <w:jc w:val="center"/>
              <w:rPr>
                <w:rFonts w:ascii="宋体" w:hAnsi="宋体" w:cs="宋体"/>
                <w:kern w:val="0"/>
                <w:sz w:val="24"/>
                <w:szCs w:val="24"/>
              </w:rPr>
            </w:pPr>
          </w:p>
          <w:p>
            <w:pPr>
              <w:adjustRightInd w:val="0"/>
              <w:snapToGrid w:val="0"/>
              <w:spacing w:line="360" w:lineRule="auto"/>
              <w:jc w:val="center"/>
              <w:rPr>
                <w:rFonts w:ascii="宋体" w:hAnsi="宋体" w:cs="宋体"/>
                <w:kern w:val="0"/>
                <w:sz w:val="24"/>
                <w:szCs w:val="24"/>
              </w:rPr>
            </w:pPr>
          </w:p>
          <w:p>
            <w:pPr>
              <w:adjustRightInd w:val="0"/>
              <w:snapToGrid w:val="0"/>
              <w:spacing w:line="360" w:lineRule="auto"/>
              <w:jc w:val="center"/>
              <w:rPr>
                <w:rFonts w:ascii="宋体" w:hAnsi="宋体" w:cs="宋体"/>
                <w:kern w:val="0"/>
                <w:sz w:val="24"/>
                <w:szCs w:val="24"/>
              </w:rPr>
            </w:pPr>
          </w:p>
          <w:p>
            <w:pPr>
              <w:adjustRightInd w:val="0"/>
              <w:snapToGrid w:val="0"/>
              <w:spacing w:line="360" w:lineRule="auto"/>
              <w:jc w:val="center"/>
              <w:rPr>
                <w:rFonts w:ascii="宋体" w:hAnsi="宋体" w:cs="宋体"/>
                <w:kern w:val="0"/>
                <w:sz w:val="24"/>
                <w:szCs w:val="24"/>
              </w:rPr>
            </w:pPr>
          </w:p>
          <w:p>
            <w:pPr>
              <w:adjustRightInd w:val="0"/>
              <w:snapToGrid w:val="0"/>
              <w:spacing w:line="360" w:lineRule="auto"/>
              <w:jc w:val="center"/>
              <w:rPr>
                <w:rFonts w:ascii="宋体" w:hAnsi="宋体" w:cs="宋体"/>
                <w:kern w:val="0"/>
                <w:sz w:val="24"/>
                <w:szCs w:val="24"/>
              </w:rPr>
            </w:pPr>
          </w:p>
          <w:p>
            <w:pPr>
              <w:snapToGrid w:val="0"/>
              <w:spacing w:line="288" w:lineRule="auto"/>
              <w:jc w:val="center"/>
              <w:rPr>
                <w:rFonts w:ascii="宋体" w:hAnsi="宋体"/>
                <w:szCs w:val="24"/>
              </w:rPr>
            </w:pPr>
            <w:r>
              <w:rPr>
                <w:rFonts w:hint="eastAsia" w:ascii="宋体" w:hAnsi="宋体"/>
                <w:szCs w:val="24"/>
              </w:rPr>
              <w:t>报 价</w:t>
            </w:r>
          </w:p>
          <w:p>
            <w:pPr>
              <w:snapToGrid w:val="0"/>
              <w:spacing w:line="288" w:lineRule="auto"/>
              <w:jc w:val="center"/>
              <w:rPr>
                <w:rFonts w:ascii="宋体" w:hAnsi="宋体"/>
                <w:szCs w:val="21"/>
              </w:rPr>
            </w:pPr>
            <w:r>
              <w:rPr>
                <w:rFonts w:hint="eastAsia" w:ascii="宋体" w:hAnsi="宋体"/>
                <w:szCs w:val="24"/>
              </w:rPr>
              <w:t>（万元）</w:t>
            </w:r>
          </w:p>
        </w:tc>
        <w:tc>
          <w:tcPr>
            <w:tcW w:w="4274" w:type="pct"/>
            <w:vAlign w:val="center"/>
          </w:tcPr>
          <w:p>
            <w:pPr>
              <w:spacing w:line="560" w:lineRule="exact"/>
              <w:ind w:left="166" w:right="132" w:rightChars="63" w:hanging="165" w:hangingChars="79"/>
              <w:jc w:val="left"/>
              <w:rPr>
                <w:rFonts w:ascii="宋体" w:hAnsi="宋体"/>
                <w:szCs w:val="24"/>
              </w:rPr>
            </w:pPr>
            <w:r>
              <w:rPr>
                <w:rFonts w:hint="eastAsia" w:ascii="宋体" w:hAnsi="宋体"/>
                <w:szCs w:val="24"/>
              </w:rPr>
              <w:t>（1）商务标根据参选人所报的报价评分。</w:t>
            </w:r>
          </w:p>
          <w:p>
            <w:pPr>
              <w:spacing w:line="560" w:lineRule="exact"/>
              <w:ind w:left="166" w:right="132" w:rightChars="63" w:hanging="165" w:hangingChars="79"/>
              <w:jc w:val="left"/>
              <w:rPr>
                <w:rFonts w:ascii="仿宋_GB2312" w:hAnsi="仿宋_GB2312" w:eastAsia="仿宋_GB2312" w:cs="仿宋_GB2312"/>
                <w:szCs w:val="21"/>
              </w:rPr>
            </w:pPr>
            <w:r>
              <w:rPr>
                <w:rFonts w:hint="eastAsia" w:ascii="宋体" w:hAnsi="宋体"/>
                <w:szCs w:val="24"/>
              </w:rPr>
              <w:t>（2）商务分的确定：以进入商务标环节的所有参选人所报的服务费次低价为基准价且为满分</w:t>
            </w:r>
            <w:r>
              <w:rPr>
                <w:rFonts w:hint="eastAsia" w:ascii="宋体" w:hAnsi="宋体" w:cs="宋体"/>
                <w:szCs w:val="21"/>
                <w:u w:val="single"/>
              </w:rPr>
              <w:t>50</w:t>
            </w:r>
            <w:r>
              <w:rPr>
                <w:rFonts w:hint="eastAsia" w:ascii="宋体" w:hAnsi="宋体"/>
                <w:szCs w:val="24"/>
              </w:rPr>
              <w:t>分。若次低价同时为次高价或最高价，则以最低价为基准价且为满分。按下列公式计算：</w:t>
            </w:r>
            <w:r>
              <w:rPr>
                <w:rFonts w:hint="eastAsia" w:ascii="宋体" w:hAnsi="宋体"/>
                <w:szCs w:val="24"/>
              </w:rPr>
              <w:br w:type="textWrapping"/>
            </w:r>
            <w:r>
              <w:rPr>
                <w:rFonts w:hAnsi="宋体" w:cs="宋体"/>
                <w:sz w:val="24"/>
              </w:rPr>
              <w:t>Fn=（</w:t>
            </w:r>
            <w:r>
              <w:rPr>
                <w:rFonts w:hint="eastAsia" w:ascii="仿宋_GB2312" w:hAnsi="仿宋_GB2312" w:eastAsia="仿宋_GB2312" w:cs="仿宋_GB2312"/>
                <w:sz w:val="24"/>
                <w:szCs w:val="24"/>
                <w:u w:val="single"/>
              </w:rPr>
              <w:t>50</w:t>
            </w:r>
            <w:r>
              <w:rPr>
                <w:rFonts w:hAnsi="宋体" w:cs="宋体"/>
                <w:sz w:val="24"/>
                <w:szCs w:val="24"/>
              </w:rPr>
              <w:t xml:space="preserve"> </w:t>
            </w:r>
            <w:r>
              <w:rPr>
                <w:rFonts w:hint="eastAsia" w:hAnsi="宋体" w:cs="宋体"/>
                <w:sz w:val="24"/>
                <w:szCs w:val="24"/>
              </w:rPr>
              <w:t>—</w:t>
            </w:r>
            <w:r>
              <w:rPr>
                <w:rFonts w:hint="eastAsia" w:ascii="仿宋_GB2312" w:hAnsi="仿宋_GB2312" w:eastAsia="仿宋_GB2312" w:cs="仿宋_GB2312"/>
                <w:sz w:val="24"/>
                <w:szCs w:val="24"/>
                <w:u w:val="single"/>
              </w:rPr>
              <w:t>50</w:t>
            </w:r>
            <w:r>
              <w:rPr>
                <w:rFonts w:hAnsi="宋体" w:cs="宋体"/>
                <w:sz w:val="24"/>
              </w:rPr>
              <w:t>×│Sn-Sj│/Sj） </w:t>
            </w:r>
            <w:r>
              <w:rPr>
                <w:rFonts w:hint="eastAsia" w:ascii="宋体" w:hAnsi="宋体"/>
                <w:szCs w:val="24"/>
              </w:rPr>
              <w:br w:type="textWrapping"/>
            </w:r>
            <w:r>
              <w:rPr>
                <w:rFonts w:hint="eastAsia" w:ascii="宋体" w:hAnsi="宋体"/>
                <w:szCs w:val="24"/>
              </w:rPr>
              <w:t>其中：Fn—第n参选人的商务得分（当Fn小于零分时，该参选人的商务得分按零分计）。</w:t>
            </w:r>
            <w:r>
              <w:rPr>
                <w:rFonts w:hint="eastAsia" w:ascii="宋体" w:hAnsi="宋体"/>
                <w:szCs w:val="24"/>
              </w:rPr>
              <w:br w:type="textWrapping"/>
            </w:r>
            <w:r>
              <w:rPr>
                <w:rFonts w:hint="eastAsia" w:ascii="宋体" w:hAnsi="宋体"/>
                <w:szCs w:val="24"/>
              </w:rPr>
              <w:t>Sn—第n参选人的服务费</w:t>
            </w:r>
            <w:r>
              <w:rPr>
                <w:rFonts w:hint="eastAsia" w:ascii="宋体" w:hAnsi="宋体"/>
                <w:szCs w:val="24"/>
              </w:rPr>
              <w:br w:type="textWrapping"/>
            </w:r>
            <w:r>
              <w:rPr>
                <w:rFonts w:hint="eastAsia" w:ascii="宋体" w:hAnsi="宋体"/>
                <w:szCs w:val="24"/>
              </w:rPr>
              <w:t>Sj—以进入商务标的所有参选人所报的服务费基准价</w:t>
            </w:r>
            <w:r>
              <w:rPr>
                <w:rFonts w:hint="eastAsia" w:ascii="宋体" w:hAnsi="宋体"/>
                <w:szCs w:val="24"/>
              </w:rPr>
              <w:br w:type="textWrapping"/>
            </w:r>
            <w:r>
              <w:rPr>
                <w:rFonts w:hint="eastAsia" w:ascii="宋体" w:hAnsi="宋体"/>
                <w:szCs w:val="24"/>
              </w:rPr>
              <w:t>备注：</w:t>
            </w:r>
            <w:r>
              <w:rPr>
                <w:rFonts w:hint="eastAsia" w:ascii="宋体" w:hAnsi="宋体"/>
                <w:szCs w:val="24"/>
              </w:rPr>
              <w:br w:type="textWrapping"/>
            </w:r>
            <w:r>
              <w:rPr>
                <w:rFonts w:hint="eastAsia" w:ascii="宋体" w:hAnsi="宋体"/>
                <w:szCs w:val="24"/>
              </w:rPr>
              <w:t>若各参选人的报价，如出现税率不一致的情况，则以不含税总价作为参选人的报价进行商务标分数计算；若税率一致，则以含税总价作为参选人的报价进行商务标分数计算。</w:t>
            </w:r>
          </w:p>
        </w:tc>
      </w:tr>
    </w:tbl>
    <w:p>
      <w:pPr>
        <w:pStyle w:val="48"/>
        <w:spacing w:line="360" w:lineRule="auto"/>
        <w:ind w:left="0" w:leftChars="0" w:firstLine="0" w:firstLineChars="0"/>
      </w:pPr>
    </w:p>
    <w:p>
      <w:pPr>
        <w:rPr>
          <w:rFonts w:ascii="宋体" w:hAnsi="宋体"/>
          <w:b/>
          <w:bCs/>
          <w:snapToGrid w:val="0"/>
          <w:szCs w:val="21"/>
        </w:rPr>
      </w:pPr>
      <w:r>
        <w:rPr>
          <w:rFonts w:hint="eastAsia" w:ascii="宋体" w:hAnsi="宋体"/>
          <w:bCs/>
          <w:snapToGrid w:val="0"/>
          <w:szCs w:val="21"/>
        </w:rPr>
        <w:t>说明：商务标得分的算术平均值保留小数点后两位数字，且四舍五入。</w:t>
      </w:r>
    </w:p>
    <w:p>
      <w:pPr>
        <w:rPr>
          <w:rFonts w:ascii="宋体" w:hAnsi="宋体"/>
          <w:b/>
          <w:bCs/>
          <w:snapToGrid w:val="0"/>
          <w:szCs w:val="24"/>
        </w:rPr>
      </w:pPr>
      <w:r>
        <w:rPr>
          <w:rFonts w:hint="eastAsia" w:ascii="宋体" w:hAnsi="宋体"/>
          <w:b/>
          <w:bCs/>
          <w:snapToGrid w:val="0"/>
          <w:szCs w:val="24"/>
        </w:rPr>
        <w:t>评标委员会（签名）：</w:t>
      </w:r>
    </w:p>
    <w:p>
      <w:pPr>
        <w:pStyle w:val="48"/>
        <w:spacing w:line="360" w:lineRule="auto"/>
        <w:ind w:left="0" w:leftChars="0" w:firstLine="0" w:firstLineChars="0"/>
      </w:pPr>
      <w:r>
        <w:rPr>
          <w:rFonts w:hint="eastAsia" w:ascii="宋体" w:hAnsi="宋体"/>
          <w:b/>
          <w:bCs/>
          <w:snapToGrid w:val="0"/>
          <w:szCs w:val="24"/>
        </w:rPr>
        <w:t>监督（签名）：</w:t>
      </w:r>
    </w:p>
    <w:p>
      <w:pPr>
        <w:widowControl/>
        <w:spacing w:line="360" w:lineRule="auto"/>
        <w:jc w:val="left"/>
        <w:rPr>
          <w:rFonts w:hint="eastAsia" w:ascii="宋体" w:hAnsi="宋体" w:cs="宋体"/>
          <w:b/>
          <w:snapToGrid/>
          <w:sz w:val="24"/>
          <w:szCs w:val="24"/>
        </w:rPr>
      </w:pPr>
      <w:r>
        <w:rPr>
          <w:rFonts w:hint="eastAsia" w:ascii="宋体" w:hAnsi="宋体" w:cs="宋体"/>
          <w:b/>
          <w:snapToGrid/>
          <w:sz w:val="24"/>
          <w:szCs w:val="24"/>
        </w:rPr>
        <w:t>附表8</w:t>
      </w:r>
    </w:p>
    <w:p>
      <w:pPr>
        <w:jc w:val="center"/>
        <w:rPr>
          <w:rFonts w:ascii="宋体" w:hAnsi="宋体"/>
          <w:b/>
          <w:bCs/>
          <w:snapToGrid w:val="0"/>
          <w:sz w:val="28"/>
          <w:szCs w:val="28"/>
        </w:rPr>
      </w:pPr>
      <w:r>
        <w:rPr>
          <w:rFonts w:hint="eastAsia" w:ascii="宋体" w:hAnsi="宋体"/>
          <w:b/>
          <w:bCs/>
          <w:snapToGrid w:val="0"/>
          <w:sz w:val="28"/>
          <w:szCs w:val="28"/>
        </w:rPr>
        <w:t>最终得分结果汇总表</w:t>
      </w:r>
    </w:p>
    <w:p>
      <w:pPr>
        <w:jc w:val="left"/>
        <w:rPr>
          <w:rFonts w:ascii="宋体" w:hAnsi="宋体"/>
          <w:b/>
          <w:bCs/>
          <w:snapToGrid w:val="0"/>
          <w:szCs w:val="24"/>
        </w:rPr>
      </w:pPr>
      <w:r>
        <w:rPr>
          <w:rFonts w:hint="eastAsia" w:ascii="宋体" w:hAnsi="宋体"/>
          <w:b/>
          <w:bCs/>
          <w:snapToGrid w:val="0"/>
          <w:szCs w:val="24"/>
        </w:rPr>
        <w:t>比选项目名称：</w:t>
      </w:r>
      <w:r>
        <w:rPr>
          <w:rFonts w:hint="eastAsia" w:ascii="宋体" w:hAnsi="宋体"/>
          <w:b/>
          <w:bCs/>
          <w:snapToGrid w:val="0"/>
          <w:szCs w:val="24"/>
          <w:u w:val="single"/>
        </w:rPr>
        <w:t>光明新湖、昂鹅车辆段、东宝河停车场、</w:t>
      </w:r>
      <w:r>
        <w:rPr>
          <w:rFonts w:hint="eastAsia" w:ascii="宋体" w:hAnsi="宋体"/>
          <w:b/>
          <w:bCs/>
          <w:snapToGrid w:val="0"/>
          <w:szCs w:val="24"/>
          <w:u w:val="single"/>
          <w:lang w:eastAsia="zh-CN"/>
        </w:rPr>
        <w:t>新大存车场</w:t>
      </w:r>
      <w:r>
        <w:rPr>
          <w:rFonts w:hint="eastAsia" w:ascii="宋体" w:hAnsi="宋体"/>
          <w:b/>
          <w:bCs/>
          <w:snapToGrid w:val="0"/>
          <w:szCs w:val="24"/>
          <w:u w:val="single"/>
        </w:rPr>
        <w:t>交通接驳研究</w:t>
      </w:r>
    </w:p>
    <w:tbl>
      <w:tblPr>
        <w:tblStyle w:val="4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3"/>
        <w:gridCol w:w="4472"/>
        <w:gridCol w:w="2209"/>
        <w:gridCol w:w="2212"/>
        <w:gridCol w:w="2121"/>
        <w:gridCol w:w="2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82" w:type="pct"/>
            <w:vAlign w:val="center"/>
          </w:tcPr>
          <w:p>
            <w:pPr>
              <w:jc w:val="center"/>
              <w:rPr>
                <w:rFonts w:ascii="宋体" w:hAnsi="宋体"/>
                <w:b/>
                <w:bCs/>
                <w:snapToGrid w:val="0"/>
                <w:szCs w:val="24"/>
              </w:rPr>
            </w:pPr>
            <w:r>
              <w:rPr>
                <w:rFonts w:hint="eastAsia" w:ascii="宋体" w:hAnsi="宋体" w:cs="宋体"/>
                <w:b/>
                <w:bCs/>
                <w:szCs w:val="21"/>
              </w:rPr>
              <w:t>序号</w:t>
            </w:r>
          </w:p>
        </w:tc>
        <w:tc>
          <w:tcPr>
            <w:tcW w:w="1577" w:type="pct"/>
            <w:vAlign w:val="center"/>
          </w:tcPr>
          <w:p>
            <w:pPr>
              <w:jc w:val="center"/>
              <w:rPr>
                <w:rFonts w:ascii="宋体" w:hAnsi="宋体"/>
                <w:b/>
                <w:bCs/>
                <w:snapToGrid w:val="0"/>
                <w:szCs w:val="24"/>
              </w:rPr>
            </w:pPr>
            <w:r>
              <w:rPr>
                <w:rFonts w:hint="eastAsia" w:ascii="宋体" w:hAnsi="宋体" w:cs="宋体"/>
                <w:b/>
                <w:bCs/>
                <w:szCs w:val="21"/>
              </w:rPr>
              <w:t>参选人</w:t>
            </w:r>
          </w:p>
        </w:tc>
        <w:tc>
          <w:tcPr>
            <w:tcW w:w="779" w:type="pct"/>
            <w:vAlign w:val="center"/>
          </w:tcPr>
          <w:p>
            <w:pPr>
              <w:jc w:val="center"/>
              <w:rPr>
                <w:rFonts w:ascii="宋体" w:hAnsi="宋体" w:cs="宋体"/>
                <w:b/>
                <w:bCs/>
                <w:szCs w:val="21"/>
              </w:rPr>
            </w:pPr>
            <w:r>
              <w:rPr>
                <w:rFonts w:hint="eastAsia" w:ascii="宋体" w:hAnsi="宋体" w:cs="宋体"/>
                <w:b/>
                <w:bCs/>
                <w:szCs w:val="21"/>
              </w:rPr>
              <w:t>En</w:t>
            </w:r>
          </w:p>
          <w:p>
            <w:pPr>
              <w:jc w:val="center"/>
              <w:rPr>
                <w:rFonts w:ascii="宋体" w:hAnsi="宋体"/>
                <w:b/>
                <w:bCs/>
                <w:snapToGrid w:val="0"/>
                <w:szCs w:val="24"/>
              </w:rPr>
            </w:pPr>
            <w:r>
              <w:rPr>
                <w:rFonts w:hint="eastAsia" w:ascii="宋体" w:hAnsi="宋体" w:cs="宋体"/>
                <w:b/>
                <w:bCs/>
                <w:szCs w:val="21"/>
              </w:rPr>
              <w:t>（技术标得分）</w:t>
            </w:r>
          </w:p>
        </w:tc>
        <w:tc>
          <w:tcPr>
            <w:tcW w:w="780" w:type="pct"/>
            <w:vAlign w:val="center"/>
          </w:tcPr>
          <w:p>
            <w:pPr>
              <w:jc w:val="center"/>
              <w:rPr>
                <w:rFonts w:ascii="宋体" w:hAnsi="宋体" w:cs="宋体"/>
                <w:b/>
                <w:bCs/>
                <w:szCs w:val="21"/>
              </w:rPr>
            </w:pPr>
            <w:r>
              <w:rPr>
                <w:rFonts w:hint="eastAsia" w:ascii="宋体" w:hAnsi="宋体" w:cs="宋体"/>
                <w:b/>
                <w:bCs/>
                <w:szCs w:val="21"/>
              </w:rPr>
              <w:t>Fn</w:t>
            </w:r>
          </w:p>
          <w:p>
            <w:pPr>
              <w:jc w:val="center"/>
              <w:rPr>
                <w:rFonts w:ascii="宋体" w:hAnsi="宋体"/>
                <w:b/>
                <w:bCs/>
                <w:snapToGrid w:val="0"/>
                <w:szCs w:val="24"/>
              </w:rPr>
            </w:pPr>
            <w:r>
              <w:rPr>
                <w:rFonts w:hint="eastAsia" w:ascii="宋体" w:hAnsi="宋体" w:cs="宋体"/>
                <w:b/>
                <w:bCs/>
                <w:szCs w:val="21"/>
              </w:rPr>
              <w:t>（商务标得分）</w:t>
            </w:r>
          </w:p>
        </w:tc>
        <w:tc>
          <w:tcPr>
            <w:tcW w:w="748" w:type="pct"/>
            <w:vAlign w:val="center"/>
          </w:tcPr>
          <w:p>
            <w:pPr>
              <w:jc w:val="center"/>
              <w:rPr>
                <w:rFonts w:ascii="宋体" w:hAnsi="宋体" w:cs="宋体"/>
                <w:b/>
                <w:bCs/>
                <w:szCs w:val="21"/>
              </w:rPr>
            </w:pPr>
            <w:r>
              <w:rPr>
                <w:rFonts w:hint="eastAsia" w:ascii="宋体" w:hAnsi="宋体" w:cs="宋体"/>
                <w:b/>
                <w:bCs/>
                <w:szCs w:val="21"/>
              </w:rPr>
              <w:t>An</w:t>
            </w:r>
          </w:p>
          <w:p>
            <w:pPr>
              <w:jc w:val="center"/>
              <w:rPr>
                <w:rFonts w:ascii="宋体" w:hAnsi="宋体"/>
                <w:b/>
                <w:bCs/>
                <w:snapToGrid w:val="0"/>
                <w:szCs w:val="24"/>
              </w:rPr>
            </w:pPr>
            <w:r>
              <w:rPr>
                <w:rFonts w:hint="eastAsia" w:ascii="宋体" w:hAnsi="宋体" w:cs="宋体"/>
                <w:b/>
                <w:bCs/>
                <w:szCs w:val="21"/>
              </w:rPr>
              <w:t>（最终得分）</w:t>
            </w:r>
          </w:p>
        </w:tc>
        <w:tc>
          <w:tcPr>
            <w:tcW w:w="733" w:type="pct"/>
            <w:vAlign w:val="center"/>
          </w:tcPr>
          <w:p>
            <w:pPr>
              <w:jc w:val="center"/>
              <w:rPr>
                <w:rFonts w:ascii="宋体" w:hAnsi="宋体"/>
                <w:b/>
                <w:bCs/>
                <w:snapToGrid w:val="0"/>
                <w:szCs w:val="24"/>
              </w:rPr>
            </w:pPr>
            <w:r>
              <w:rPr>
                <w:rFonts w:hint="eastAsia" w:ascii="宋体" w:hAnsi="宋体"/>
                <w:b/>
                <w:bCs/>
                <w:snapToGrid w:val="0"/>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382" w:type="pct"/>
            <w:vAlign w:val="center"/>
          </w:tcPr>
          <w:p>
            <w:pPr>
              <w:jc w:val="center"/>
              <w:rPr>
                <w:rFonts w:ascii="宋体" w:hAnsi="宋体"/>
                <w:bCs/>
                <w:snapToGrid w:val="0"/>
                <w:szCs w:val="24"/>
              </w:rPr>
            </w:pPr>
            <w:r>
              <w:rPr>
                <w:rFonts w:hint="eastAsia" w:ascii="宋体" w:hAnsi="宋体" w:cs="宋体"/>
                <w:szCs w:val="21"/>
              </w:rPr>
              <w:t>1</w:t>
            </w:r>
          </w:p>
        </w:tc>
        <w:tc>
          <w:tcPr>
            <w:tcW w:w="1577" w:type="pct"/>
            <w:vAlign w:val="center"/>
          </w:tcPr>
          <w:p>
            <w:pPr>
              <w:jc w:val="center"/>
              <w:rPr>
                <w:rFonts w:ascii="宋体" w:hAnsi="宋体"/>
                <w:bCs/>
                <w:snapToGrid w:val="0"/>
                <w:szCs w:val="24"/>
              </w:rPr>
            </w:pPr>
          </w:p>
        </w:tc>
        <w:tc>
          <w:tcPr>
            <w:tcW w:w="779" w:type="pct"/>
            <w:vAlign w:val="center"/>
          </w:tcPr>
          <w:p>
            <w:pPr>
              <w:jc w:val="center"/>
              <w:rPr>
                <w:rFonts w:ascii="宋体" w:hAnsi="宋体"/>
                <w:bCs/>
                <w:snapToGrid w:val="0"/>
                <w:szCs w:val="24"/>
              </w:rPr>
            </w:pPr>
          </w:p>
        </w:tc>
        <w:tc>
          <w:tcPr>
            <w:tcW w:w="780" w:type="pct"/>
            <w:vAlign w:val="center"/>
          </w:tcPr>
          <w:p>
            <w:pPr>
              <w:jc w:val="center"/>
              <w:rPr>
                <w:rFonts w:ascii="宋体" w:hAnsi="宋体"/>
                <w:bCs/>
                <w:snapToGrid w:val="0"/>
                <w:szCs w:val="24"/>
              </w:rPr>
            </w:pPr>
          </w:p>
        </w:tc>
        <w:tc>
          <w:tcPr>
            <w:tcW w:w="748" w:type="pct"/>
            <w:vAlign w:val="center"/>
          </w:tcPr>
          <w:p>
            <w:pPr>
              <w:jc w:val="center"/>
              <w:rPr>
                <w:rFonts w:ascii="宋体" w:hAnsi="宋体"/>
                <w:bCs/>
                <w:snapToGrid w:val="0"/>
                <w:szCs w:val="24"/>
              </w:rPr>
            </w:pPr>
          </w:p>
        </w:tc>
        <w:tc>
          <w:tcPr>
            <w:tcW w:w="733" w:type="pct"/>
            <w:vMerge w:val="restart"/>
            <w:vAlign w:val="center"/>
          </w:tcPr>
          <w:p>
            <w:pPr>
              <w:jc w:val="center"/>
              <w:rPr>
                <w:rFonts w:ascii="宋体" w:hAnsi="宋体"/>
                <w:bCs/>
                <w:snapToGrid w:val="0"/>
                <w:szCs w:val="24"/>
              </w:rPr>
            </w:pPr>
            <w:r>
              <w:rPr>
                <w:rFonts w:hint="eastAsia" w:ascii="宋体" w:hAnsi="宋体" w:cs="宋体"/>
                <w:szCs w:val="21"/>
              </w:rPr>
              <w:t>An=En+F</w:t>
            </w:r>
            <w:r>
              <w:rPr>
                <w:rFonts w:ascii="宋体" w:hAnsi="宋体" w:cs="宋体"/>
                <w:szCs w:val="21"/>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382" w:type="pct"/>
            <w:vAlign w:val="center"/>
          </w:tcPr>
          <w:p>
            <w:pPr>
              <w:jc w:val="center"/>
              <w:rPr>
                <w:rFonts w:ascii="宋体" w:hAnsi="宋体"/>
                <w:bCs/>
                <w:snapToGrid w:val="0"/>
                <w:szCs w:val="24"/>
              </w:rPr>
            </w:pPr>
            <w:r>
              <w:rPr>
                <w:rFonts w:hint="eastAsia" w:ascii="宋体" w:hAnsi="宋体" w:cs="宋体"/>
                <w:szCs w:val="21"/>
              </w:rPr>
              <w:t>2</w:t>
            </w:r>
          </w:p>
        </w:tc>
        <w:tc>
          <w:tcPr>
            <w:tcW w:w="1577" w:type="pct"/>
            <w:vAlign w:val="center"/>
          </w:tcPr>
          <w:p>
            <w:pPr>
              <w:jc w:val="center"/>
              <w:rPr>
                <w:rFonts w:ascii="宋体" w:hAnsi="宋体"/>
                <w:bCs/>
                <w:snapToGrid w:val="0"/>
                <w:szCs w:val="24"/>
              </w:rPr>
            </w:pPr>
          </w:p>
        </w:tc>
        <w:tc>
          <w:tcPr>
            <w:tcW w:w="779" w:type="pct"/>
            <w:vAlign w:val="center"/>
          </w:tcPr>
          <w:p>
            <w:pPr>
              <w:jc w:val="center"/>
              <w:rPr>
                <w:rFonts w:ascii="宋体" w:hAnsi="宋体"/>
                <w:bCs/>
                <w:snapToGrid w:val="0"/>
                <w:szCs w:val="24"/>
              </w:rPr>
            </w:pPr>
          </w:p>
        </w:tc>
        <w:tc>
          <w:tcPr>
            <w:tcW w:w="780" w:type="pct"/>
            <w:vAlign w:val="center"/>
          </w:tcPr>
          <w:p>
            <w:pPr>
              <w:jc w:val="center"/>
              <w:rPr>
                <w:rFonts w:ascii="宋体" w:hAnsi="宋体"/>
                <w:bCs/>
                <w:snapToGrid w:val="0"/>
                <w:szCs w:val="24"/>
              </w:rPr>
            </w:pPr>
          </w:p>
        </w:tc>
        <w:tc>
          <w:tcPr>
            <w:tcW w:w="748" w:type="pct"/>
            <w:vAlign w:val="center"/>
          </w:tcPr>
          <w:p>
            <w:pPr>
              <w:jc w:val="center"/>
              <w:rPr>
                <w:rFonts w:ascii="宋体" w:hAnsi="宋体"/>
                <w:bCs/>
                <w:snapToGrid w:val="0"/>
                <w:szCs w:val="24"/>
              </w:rPr>
            </w:pPr>
          </w:p>
        </w:tc>
        <w:tc>
          <w:tcPr>
            <w:tcW w:w="733" w:type="pct"/>
            <w:vMerge w:val="continue"/>
            <w:vAlign w:val="center"/>
          </w:tcPr>
          <w:p>
            <w:pPr>
              <w:jc w:val="center"/>
              <w:rPr>
                <w:rFonts w:ascii="宋体" w:hAnsi="宋体"/>
                <w:bCs/>
                <w:snapToGrid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382" w:type="pct"/>
            <w:vAlign w:val="center"/>
          </w:tcPr>
          <w:p>
            <w:pPr>
              <w:jc w:val="center"/>
              <w:rPr>
                <w:rFonts w:ascii="宋体" w:hAnsi="宋体"/>
                <w:bCs/>
                <w:snapToGrid w:val="0"/>
                <w:szCs w:val="24"/>
              </w:rPr>
            </w:pPr>
            <w:r>
              <w:rPr>
                <w:rFonts w:hint="eastAsia" w:ascii="宋体" w:hAnsi="宋体" w:cs="宋体"/>
                <w:szCs w:val="21"/>
              </w:rPr>
              <w:t>3</w:t>
            </w:r>
          </w:p>
        </w:tc>
        <w:tc>
          <w:tcPr>
            <w:tcW w:w="1577" w:type="pct"/>
            <w:vAlign w:val="center"/>
          </w:tcPr>
          <w:p>
            <w:pPr>
              <w:jc w:val="center"/>
              <w:rPr>
                <w:rFonts w:ascii="宋体" w:hAnsi="宋体"/>
                <w:bCs/>
                <w:snapToGrid w:val="0"/>
                <w:szCs w:val="24"/>
              </w:rPr>
            </w:pPr>
          </w:p>
        </w:tc>
        <w:tc>
          <w:tcPr>
            <w:tcW w:w="779" w:type="pct"/>
            <w:vAlign w:val="center"/>
          </w:tcPr>
          <w:p>
            <w:pPr>
              <w:jc w:val="center"/>
              <w:rPr>
                <w:rFonts w:ascii="宋体" w:hAnsi="宋体"/>
                <w:bCs/>
                <w:snapToGrid w:val="0"/>
                <w:szCs w:val="24"/>
              </w:rPr>
            </w:pPr>
          </w:p>
        </w:tc>
        <w:tc>
          <w:tcPr>
            <w:tcW w:w="780" w:type="pct"/>
            <w:vAlign w:val="center"/>
          </w:tcPr>
          <w:p>
            <w:pPr>
              <w:jc w:val="center"/>
              <w:rPr>
                <w:rFonts w:ascii="宋体" w:hAnsi="宋体"/>
                <w:bCs/>
                <w:snapToGrid w:val="0"/>
                <w:szCs w:val="24"/>
              </w:rPr>
            </w:pPr>
          </w:p>
        </w:tc>
        <w:tc>
          <w:tcPr>
            <w:tcW w:w="748" w:type="pct"/>
            <w:vAlign w:val="center"/>
          </w:tcPr>
          <w:p>
            <w:pPr>
              <w:jc w:val="center"/>
              <w:rPr>
                <w:rFonts w:ascii="宋体" w:hAnsi="宋体"/>
                <w:bCs/>
                <w:snapToGrid w:val="0"/>
                <w:szCs w:val="24"/>
              </w:rPr>
            </w:pPr>
          </w:p>
        </w:tc>
        <w:tc>
          <w:tcPr>
            <w:tcW w:w="733" w:type="pct"/>
            <w:vMerge w:val="continue"/>
            <w:vAlign w:val="center"/>
          </w:tcPr>
          <w:p>
            <w:pPr>
              <w:jc w:val="center"/>
              <w:rPr>
                <w:rFonts w:ascii="宋体" w:hAnsi="宋体"/>
                <w:bCs/>
                <w:snapToGrid w:val="0"/>
                <w:szCs w:val="24"/>
              </w:rPr>
            </w:pPr>
          </w:p>
        </w:tc>
      </w:tr>
    </w:tbl>
    <w:p>
      <w:pPr>
        <w:jc w:val="left"/>
        <w:rPr>
          <w:rFonts w:ascii="宋体" w:hAnsi="宋体"/>
          <w:snapToGrid w:val="0"/>
          <w:szCs w:val="24"/>
        </w:rPr>
      </w:pPr>
      <w:r>
        <w:rPr>
          <w:rFonts w:ascii="宋体" w:hAnsi="宋体"/>
          <w:szCs w:val="24"/>
        </w:rPr>
        <w:tab/>
      </w:r>
      <w:r>
        <w:rPr>
          <w:rFonts w:hint="eastAsia" w:ascii="宋体" w:hAnsi="宋体"/>
          <w:snapToGrid w:val="0"/>
          <w:szCs w:val="24"/>
        </w:rPr>
        <w:t>说明：</w:t>
      </w:r>
      <w:r>
        <w:rPr>
          <w:rFonts w:hint="eastAsia" w:ascii="宋体" w:hAnsi="宋体"/>
          <w:szCs w:val="24"/>
        </w:rPr>
        <w:t>最终得分保留小数点后两位数字，且四舍五入。</w:t>
      </w:r>
    </w:p>
    <w:tbl>
      <w:tblPr>
        <w:tblStyle w:val="49"/>
        <w:tblW w:w="5000" w:type="pct"/>
        <w:tblInd w:w="0" w:type="dxa"/>
        <w:tblLayout w:type="autofit"/>
        <w:tblCellMar>
          <w:top w:w="0" w:type="dxa"/>
          <w:left w:w="108" w:type="dxa"/>
          <w:bottom w:w="0" w:type="dxa"/>
          <w:right w:w="108" w:type="dxa"/>
        </w:tblCellMar>
      </w:tblPr>
      <w:tblGrid>
        <w:gridCol w:w="7088"/>
        <w:gridCol w:w="7088"/>
      </w:tblGrid>
      <w:tr>
        <w:tblPrEx>
          <w:tblCellMar>
            <w:top w:w="0" w:type="dxa"/>
            <w:left w:w="108" w:type="dxa"/>
            <w:bottom w:w="0" w:type="dxa"/>
            <w:right w:w="108" w:type="dxa"/>
          </w:tblCellMar>
        </w:tblPrEx>
        <w:tc>
          <w:tcPr>
            <w:tcW w:w="2500" w:type="pct"/>
          </w:tcPr>
          <w:p>
            <w:pPr>
              <w:rPr>
                <w:rFonts w:ascii="宋体" w:hAnsi="宋体"/>
                <w:b/>
                <w:bCs/>
                <w:snapToGrid w:val="0"/>
                <w:szCs w:val="24"/>
              </w:rPr>
            </w:pPr>
            <w:r>
              <w:rPr>
                <w:rFonts w:hint="eastAsia" w:ascii="宋体" w:hAnsi="宋体"/>
                <w:b/>
                <w:bCs/>
                <w:snapToGrid w:val="0"/>
                <w:szCs w:val="24"/>
              </w:rPr>
              <w:t>评标委员会（签名）：</w:t>
            </w:r>
          </w:p>
        </w:tc>
        <w:tc>
          <w:tcPr>
            <w:tcW w:w="2500" w:type="pct"/>
            <w:vAlign w:val="center"/>
          </w:tcPr>
          <w:p>
            <w:pPr>
              <w:jc w:val="right"/>
              <w:rPr>
                <w:rFonts w:ascii="宋体" w:hAnsi="宋体"/>
                <w:b/>
                <w:bCs/>
                <w:snapToGrid w:val="0"/>
                <w:szCs w:val="24"/>
              </w:rPr>
            </w:pPr>
          </w:p>
        </w:tc>
      </w:tr>
      <w:tr>
        <w:tblPrEx>
          <w:tblCellMar>
            <w:top w:w="0" w:type="dxa"/>
            <w:left w:w="108" w:type="dxa"/>
            <w:bottom w:w="0" w:type="dxa"/>
            <w:right w:w="108" w:type="dxa"/>
          </w:tblCellMar>
        </w:tblPrEx>
        <w:tc>
          <w:tcPr>
            <w:tcW w:w="2500" w:type="pct"/>
          </w:tcPr>
          <w:p>
            <w:pPr>
              <w:rPr>
                <w:rFonts w:ascii="宋体" w:hAnsi="宋体"/>
                <w:b/>
                <w:bCs/>
                <w:snapToGrid w:val="0"/>
                <w:szCs w:val="24"/>
              </w:rPr>
            </w:pPr>
            <w:r>
              <w:rPr>
                <w:rFonts w:hint="eastAsia" w:ascii="宋体" w:hAnsi="宋体"/>
                <w:b/>
                <w:bCs/>
                <w:snapToGrid w:val="0"/>
                <w:szCs w:val="24"/>
              </w:rPr>
              <w:t>监督（签名）：</w:t>
            </w:r>
          </w:p>
        </w:tc>
        <w:tc>
          <w:tcPr>
            <w:tcW w:w="2500" w:type="pct"/>
            <w:vAlign w:val="bottom"/>
          </w:tcPr>
          <w:p>
            <w:pPr>
              <w:jc w:val="right"/>
              <w:rPr>
                <w:rFonts w:ascii="宋体" w:hAnsi="宋体"/>
                <w:b/>
                <w:snapToGrid w:val="0"/>
                <w:szCs w:val="24"/>
              </w:rPr>
            </w:pPr>
            <w:r>
              <w:rPr>
                <w:rFonts w:hint="eastAsia" w:ascii="宋体" w:hAnsi="宋体"/>
                <w:snapToGrid w:val="0"/>
                <w:szCs w:val="24"/>
              </w:rPr>
              <w:t>日期：     年     月     日</w:t>
            </w:r>
          </w:p>
        </w:tc>
      </w:tr>
    </w:tbl>
    <w:p>
      <w:pPr>
        <w:pStyle w:val="48"/>
        <w:spacing w:line="360" w:lineRule="auto"/>
        <w:ind w:left="0" w:leftChars="0" w:firstLine="0" w:firstLineChars="0"/>
      </w:pPr>
    </w:p>
    <w:p>
      <w:pPr>
        <w:pStyle w:val="48"/>
        <w:spacing w:line="360" w:lineRule="auto"/>
        <w:ind w:left="0" w:leftChars="0" w:firstLine="0" w:firstLineChars="0"/>
        <w:sectPr>
          <w:headerReference r:id="rId4" w:type="default"/>
          <w:pgSz w:w="16840" w:h="11907" w:orient="landscape"/>
          <w:pgMar w:top="1440" w:right="1440" w:bottom="1440" w:left="1440" w:header="720" w:footer="992" w:gutter="0"/>
          <w:cols w:space="720" w:num="1"/>
        </w:sectPr>
      </w:pPr>
    </w:p>
    <w:p>
      <w:pPr>
        <w:widowControl/>
        <w:spacing w:line="360" w:lineRule="auto"/>
        <w:jc w:val="left"/>
        <w:rPr>
          <w:rFonts w:hint="eastAsia" w:ascii="宋体" w:hAnsi="宋体" w:cs="宋体"/>
          <w:b/>
          <w:snapToGrid/>
          <w:sz w:val="24"/>
          <w:szCs w:val="24"/>
        </w:rPr>
      </w:pPr>
      <w:r>
        <w:rPr>
          <w:rFonts w:hint="eastAsia" w:ascii="宋体" w:hAnsi="宋体" w:cs="宋体"/>
          <w:b/>
          <w:snapToGrid/>
          <w:sz w:val="24"/>
          <w:szCs w:val="24"/>
        </w:rPr>
        <w:t>附表9</w:t>
      </w:r>
    </w:p>
    <w:p>
      <w:pPr>
        <w:jc w:val="center"/>
        <w:rPr>
          <w:b/>
          <w:sz w:val="28"/>
        </w:rPr>
      </w:pPr>
      <w:r>
        <w:rPr>
          <w:rFonts w:hint="eastAsia" w:ascii="宋体" w:hAnsi="宋体"/>
          <w:b/>
          <w:snapToGrid w:val="0"/>
          <w:sz w:val="28"/>
          <w:szCs w:val="24"/>
        </w:rPr>
        <w:t>参选人最终得分排序表</w:t>
      </w:r>
    </w:p>
    <w:p>
      <w:pPr>
        <w:jc w:val="left"/>
        <w:rPr>
          <w:rFonts w:ascii="宋体" w:hAnsi="宋体"/>
          <w:b/>
          <w:bCs/>
          <w:snapToGrid w:val="0"/>
          <w:szCs w:val="24"/>
          <w:u w:val="single"/>
        </w:rPr>
      </w:pPr>
      <w:r>
        <w:rPr>
          <w:rFonts w:hint="eastAsia" w:ascii="宋体" w:hAnsi="宋体"/>
          <w:b/>
          <w:bCs/>
          <w:snapToGrid w:val="0"/>
          <w:szCs w:val="24"/>
        </w:rPr>
        <w:t>比选项目名称：</w:t>
      </w:r>
      <w:r>
        <w:rPr>
          <w:rFonts w:hint="eastAsia" w:ascii="宋体" w:hAnsi="宋体"/>
          <w:b/>
          <w:bCs/>
          <w:snapToGrid w:val="0"/>
          <w:szCs w:val="24"/>
          <w:u w:val="single"/>
        </w:rPr>
        <w:t>光明新湖、昂鹅车辆段、东宝河停车场、</w:t>
      </w:r>
      <w:r>
        <w:rPr>
          <w:rFonts w:hint="eastAsia" w:ascii="宋体" w:hAnsi="宋体"/>
          <w:b/>
          <w:bCs/>
          <w:snapToGrid w:val="0"/>
          <w:szCs w:val="24"/>
          <w:u w:val="single"/>
          <w:lang w:eastAsia="zh-CN"/>
        </w:rPr>
        <w:t>新大存车场</w:t>
      </w:r>
      <w:r>
        <w:rPr>
          <w:rFonts w:hint="eastAsia" w:ascii="宋体" w:hAnsi="宋体"/>
          <w:b/>
          <w:bCs/>
          <w:snapToGrid w:val="0"/>
          <w:szCs w:val="24"/>
          <w:u w:val="single"/>
        </w:rPr>
        <w:t>交通接驳研究</w:t>
      </w:r>
    </w:p>
    <w:tbl>
      <w:tblPr>
        <w:tblStyle w:val="4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3228"/>
        <w:gridCol w:w="1076"/>
        <w:gridCol w:w="1076"/>
        <w:gridCol w:w="31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61" w:type="pct"/>
            <w:vAlign w:val="center"/>
          </w:tcPr>
          <w:p>
            <w:pPr>
              <w:jc w:val="center"/>
              <w:rPr>
                <w:rFonts w:ascii="宋体" w:hAnsi="宋体"/>
                <w:b/>
                <w:szCs w:val="24"/>
              </w:rPr>
            </w:pPr>
            <w:r>
              <w:rPr>
                <w:rFonts w:hint="eastAsia" w:ascii="宋体" w:hAnsi="宋体"/>
                <w:b/>
                <w:szCs w:val="24"/>
              </w:rPr>
              <w:t>序号</w:t>
            </w:r>
          </w:p>
        </w:tc>
        <w:tc>
          <w:tcPr>
            <w:tcW w:w="1746" w:type="pct"/>
            <w:vAlign w:val="center"/>
          </w:tcPr>
          <w:p>
            <w:pPr>
              <w:jc w:val="center"/>
              <w:rPr>
                <w:rFonts w:ascii="宋体" w:hAnsi="宋体"/>
                <w:b/>
                <w:szCs w:val="24"/>
              </w:rPr>
            </w:pPr>
            <w:r>
              <w:rPr>
                <w:rFonts w:hint="eastAsia" w:ascii="宋体" w:hAnsi="宋体"/>
                <w:b/>
                <w:szCs w:val="24"/>
              </w:rPr>
              <w:t>参选人</w:t>
            </w:r>
          </w:p>
        </w:tc>
        <w:tc>
          <w:tcPr>
            <w:tcW w:w="582" w:type="pct"/>
            <w:vAlign w:val="center"/>
          </w:tcPr>
          <w:p>
            <w:pPr>
              <w:jc w:val="center"/>
              <w:rPr>
                <w:rFonts w:ascii="宋体" w:hAnsi="宋体"/>
                <w:b/>
                <w:szCs w:val="24"/>
              </w:rPr>
            </w:pPr>
            <w:r>
              <w:rPr>
                <w:rFonts w:hint="eastAsia" w:ascii="宋体" w:hAnsi="宋体"/>
                <w:b/>
                <w:szCs w:val="24"/>
              </w:rPr>
              <w:t>排名</w:t>
            </w:r>
          </w:p>
        </w:tc>
        <w:tc>
          <w:tcPr>
            <w:tcW w:w="582" w:type="pct"/>
            <w:vAlign w:val="center"/>
          </w:tcPr>
          <w:p>
            <w:pPr>
              <w:jc w:val="center"/>
              <w:rPr>
                <w:rFonts w:ascii="宋体" w:hAnsi="宋体"/>
                <w:b/>
                <w:szCs w:val="24"/>
              </w:rPr>
            </w:pPr>
            <w:r>
              <w:rPr>
                <w:rFonts w:hint="eastAsia" w:ascii="宋体" w:hAnsi="宋体" w:cs="宋体"/>
                <w:b/>
                <w:bCs/>
                <w:szCs w:val="21"/>
              </w:rPr>
              <w:t>An得分</w:t>
            </w:r>
          </w:p>
        </w:tc>
        <w:tc>
          <w:tcPr>
            <w:tcW w:w="1729" w:type="pct"/>
            <w:vAlign w:val="center"/>
          </w:tcPr>
          <w:p>
            <w:pPr>
              <w:jc w:val="center"/>
              <w:rPr>
                <w:rFonts w:ascii="宋体" w:hAnsi="宋体"/>
                <w:b/>
                <w:szCs w:val="24"/>
              </w:rPr>
            </w:pPr>
            <w:r>
              <w:rPr>
                <w:rFonts w:hint="eastAsia" w:ascii="宋体" w:hAnsi="宋体" w:cs="宋体"/>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361" w:type="pct"/>
            <w:vAlign w:val="center"/>
          </w:tcPr>
          <w:p>
            <w:pPr>
              <w:jc w:val="center"/>
              <w:rPr>
                <w:rFonts w:ascii="宋体" w:hAnsi="宋体"/>
                <w:szCs w:val="24"/>
              </w:rPr>
            </w:pPr>
            <w:r>
              <w:rPr>
                <w:rFonts w:hint="eastAsia" w:ascii="宋体" w:hAnsi="宋体"/>
                <w:szCs w:val="24"/>
              </w:rPr>
              <w:t>1</w:t>
            </w:r>
          </w:p>
        </w:tc>
        <w:tc>
          <w:tcPr>
            <w:tcW w:w="1746" w:type="pct"/>
            <w:vAlign w:val="center"/>
          </w:tcPr>
          <w:p>
            <w:pPr>
              <w:jc w:val="center"/>
              <w:rPr>
                <w:rFonts w:ascii="宋体" w:hAnsi="宋体"/>
                <w:szCs w:val="24"/>
              </w:rPr>
            </w:pPr>
          </w:p>
        </w:tc>
        <w:tc>
          <w:tcPr>
            <w:tcW w:w="582" w:type="pct"/>
            <w:vAlign w:val="center"/>
          </w:tcPr>
          <w:p>
            <w:pPr>
              <w:jc w:val="center"/>
              <w:rPr>
                <w:rFonts w:ascii="宋体" w:hAnsi="宋体"/>
                <w:szCs w:val="24"/>
              </w:rPr>
            </w:pPr>
          </w:p>
        </w:tc>
        <w:tc>
          <w:tcPr>
            <w:tcW w:w="582" w:type="pct"/>
            <w:vAlign w:val="center"/>
          </w:tcPr>
          <w:p>
            <w:pPr>
              <w:jc w:val="center"/>
              <w:rPr>
                <w:rFonts w:ascii="宋体" w:hAnsi="宋体"/>
                <w:szCs w:val="24"/>
              </w:rPr>
            </w:pPr>
          </w:p>
        </w:tc>
        <w:tc>
          <w:tcPr>
            <w:tcW w:w="1729" w:type="pct"/>
            <w:vMerge w:val="restart"/>
            <w:vAlign w:val="center"/>
          </w:tcPr>
          <w:p>
            <w:pPr>
              <w:spacing w:line="276" w:lineRule="auto"/>
              <w:rPr>
                <w:rFonts w:ascii="宋体" w:hAnsi="宋体"/>
                <w:szCs w:val="21"/>
              </w:rPr>
            </w:pPr>
            <w:r>
              <w:rPr>
                <w:rFonts w:hint="eastAsia" w:ascii="宋体" w:hAnsi="宋体"/>
                <w:szCs w:val="21"/>
              </w:rPr>
              <w:t>按照参选人的最终得分值由高到低排列名次，推荐排名第一的参选人为中选候选人。若出现综合得分相同的情形，以技术标得分高者排在先；若技术标得分相同的（以保留小数点后两位且四舍五入为准），以商务标报价低者排在先；若报价相同的，以抽签的形式确定中选候选人。最终，评标委员会推荐一名中选候选人，并形成评标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361" w:type="pct"/>
            <w:vAlign w:val="center"/>
          </w:tcPr>
          <w:p>
            <w:pPr>
              <w:jc w:val="center"/>
              <w:rPr>
                <w:rFonts w:ascii="宋体" w:hAnsi="宋体"/>
                <w:szCs w:val="24"/>
              </w:rPr>
            </w:pPr>
            <w:r>
              <w:rPr>
                <w:rFonts w:hint="eastAsia" w:ascii="宋体" w:hAnsi="宋体"/>
                <w:szCs w:val="24"/>
              </w:rPr>
              <w:t>2</w:t>
            </w:r>
          </w:p>
        </w:tc>
        <w:tc>
          <w:tcPr>
            <w:tcW w:w="1746" w:type="pct"/>
            <w:vAlign w:val="center"/>
          </w:tcPr>
          <w:p>
            <w:pPr>
              <w:jc w:val="center"/>
              <w:rPr>
                <w:rFonts w:ascii="宋体" w:hAnsi="宋体"/>
                <w:szCs w:val="24"/>
              </w:rPr>
            </w:pPr>
          </w:p>
        </w:tc>
        <w:tc>
          <w:tcPr>
            <w:tcW w:w="582" w:type="pct"/>
            <w:vAlign w:val="center"/>
          </w:tcPr>
          <w:p>
            <w:pPr>
              <w:jc w:val="center"/>
              <w:rPr>
                <w:rFonts w:ascii="宋体" w:hAnsi="宋体"/>
                <w:szCs w:val="24"/>
              </w:rPr>
            </w:pPr>
          </w:p>
        </w:tc>
        <w:tc>
          <w:tcPr>
            <w:tcW w:w="582" w:type="pct"/>
            <w:vAlign w:val="center"/>
          </w:tcPr>
          <w:p>
            <w:pPr>
              <w:jc w:val="center"/>
              <w:rPr>
                <w:rFonts w:ascii="宋体" w:hAnsi="宋体"/>
                <w:szCs w:val="24"/>
              </w:rPr>
            </w:pPr>
          </w:p>
        </w:tc>
        <w:tc>
          <w:tcPr>
            <w:tcW w:w="1729" w:type="pct"/>
            <w:vMerge w:val="continue"/>
            <w:vAlign w:val="center"/>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361" w:type="pct"/>
            <w:vAlign w:val="center"/>
          </w:tcPr>
          <w:p>
            <w:pPr>
              <w:jc w:val="center"/>
              <w:rPr>
                <w:rFonts w:ascii="宋体" w:hAnsi="宋体"/>
                <w:szCs w:val="24"/>
              </w:rPr>
            </w:pPr>
            <w:r>
              <w:rPr>
                <w:rFonts w:hint="eastAsia" w:ascii="宋体" w:hAnsi="宋体"/>
                <w:szCs w:val="24"/>
              </w:rPr>
              <w:t>3</w:t>
            </w:r>
          </w:p>
        </w:tc>
        <w:tc>
          <w:tcPr>
            <w:tcW w:w="1746" w:type="pct"/>
            <w:vAlign w:val="center"/>
          </w:tcPr>
          <w:p>
            <w:pPr>
              <w:jc w:val="center"/>
              <w:rPr>
                <w:rFonts w:ascii="宋体" w:hAnsi="宋体"/>
                <w:szCs w:val="24"/>
              </w:rPr>
            </w:pPr>
          </w:p>
        </w:tc>
        <w:tc>
          <w:tcPr>
            <w:tcW w:w="582" w:type="pct"/>
            <w:vAlign w:val="center"/>
          </w:tcPr>
          <w:p>
            <w:pPr>
              <w:jc w:val="center"/>
              <w:rPr>
                <w:rFonts w:ascii="宋体" w:hAnsi="宋体"/>
                <w:szCs w:val="24"/>
              </w:rPr>
            </w:pPr>
          </w:p>
        </w:tc>
        <w:tc>
          <w:tcPr>
            <w:tcW w:w="582" w:type="pct"/>
            <w:vAlign w:val="center"/>
          </w:tcPr>
          <w:p>
            <w:pPr>
              <w:jc w:val="center"/>
              <w:rPr>
                <w:rFonts w:ascii="宋体" w:hAnsi="宋体"/>
                <w:szCs w:val="24"/>
              </w:rPr>
            </w:pPr>
          </w:p>
        </w:tc>
        <w:tc>
          <w:tcPr>
            <w:tcW w:w="1729" w:type="pct"/>
            <w:vMerge w:val="continue"/>
            <w:vAlign w:val="center"/>
          </w:tcPr>
          <w:p>
            <w:pPr>
              <w:jc w:val="center"/>
              <w:rPr>
                <w:rFonts w:ascii="宋体" w:hAnsi="宋体"/>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689" w:type="pct"/>
            <w:gridSpan w:val="3"/>
            <w:tcBorders>
              <w:top w:val="single" w:color="auto" w:sz="4" w:space="0"/>
              <w:left w:val="nil"/>
              <w:bottom w:val="nil"/>
              <w:right w:val="nil"/>
            </w:tcBorders>
            <w:vAlign w:val="center"/>
          </w:tcPr>
          <w:p>
            <w:pPr>
              <w:rPr>
                <w:rFonts w:ascii="宋体" w:hAnsi="宋体"/>
                <w:b/>
                <w:bCs/>
                <w:snapToGrid w:val="0"/>
                <w:szCs w:val="24"/>
              </w:rPr>
            </w:pPr>
            <w:r>
              <w:rPr>
                <w:rFonts w:hint="eastAsia" w:ascii="宋体" w:hAnsi="宋体"/>
                <w:b/>
                <w:bCs/>
                <w:snapToGrid w:val="0"/>
                <w:szCs w:val="24"/>
              </w:rPr>
              <w:t>评标委员会（签名）：</w:t>
            </w:r>
          </w:p>
          <w:p>
            <w:pPr>
              <w:rPr>
                <w:rFonts w:ascii="宋体" w:hAnsi="宋体"/>
                <w:szCs w:val="24"/>
              </w:rPr>
            </w:pPr>
            <w:r>
              <w:rPr>
                <w:rFonts w:hint="eastAsia" w:ascii="宋体" w:hAnsi="宋体"/>
                <w:b/>
                <w:bCs/>
                <w:snapToGrid w:val="0"/>
                <w:szCs w:val="24"/>
              </w:rPr>
              <w:t>监督（签名）：</w:t>
            </w:r>
          </w:p>
        </w:tc>
        <w:tc>
          <w:tcPr>
            <w:tcW w:w="2311" w:type="pct"/>
            <w:gridSpan w:val="2"/>
            <w:tcBorders>
              <w:top w:val="single" w:color="auto" w:sz="4" w:space="0"/>
              <w:left w:val="nil"/>
              <w:bottom w:val="nil"/>
              <w:right w:val="nil"/>
            </w:tcBorders>
            <w:vAlign w:val="bottom"/>
          </w:tcPr>
          <w:p>
            <w:pPr>
              <w:jc w:val="right"/>
              <w:rPr>
                <w:rFonts w:ascii="宋体" w:hAnsi="宋体"/>
                <w:szCs w:val="24"/>
              </w:rPr>
            </w:pPr>
            <w:r>
              <w:rPr>
                <w:rFonts w:hint="eastAsia" w:ascii="宋体" w:hAnsi="宋体"/>
                <w:snapToGrid w:val="0"/>
                <w:szCs w:val="24"/>
              </w:rPr>
              <w:t>日期：     年     月     日</w:t>
            </w:r>
          </w:p>
        </w:tc>
      </w:tr>
    </w:tbl>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pStyle w:val="48"/>
        <w:spacing w:line="360" w:lineRule="auto"/>
        <w:ind w:left="0" w:leftChars="0" w:firstLine="0" w:firstLineChars="0"/>
      </w:pPr>
    </w:p>
    <w:p>
      <w:pPr>
        <w:widowControl/>
        <w:spacing w:line="360" w:lineRule="auto"/>
        <w:jc w:val="left"/>
      </w:pPr>
      <w:bookmarkStart w:id="106" w:name="_Toc57731985"/>
      <w:bookmarkStart w:id="107" w:name="_Toc518494147"/>
    </w:p>
    <w:p>
      <w:pPr>
        <w:pStyle w:val="42"/>
      </w:pPr>
    </w:p>
    <w:p>
      <w:pPr>
        <w:widowControl/>
        <w:spacing w:line="360" w:lineRule="auto"/>
        <w:jc w:val="left"/>
        <w:rPr>
          <w:rFonts w:ascii="宋体" w:hAnsi="宋体" w:cs="宋体"/>
          <w:b/>
          <w:sz w:val="24"/>
          <w:szCs w:val="24"/>
        </w:rPr>
      </w:pPr>
      <w:r>
        <w:rPr>
          <w:rFonts w:hint="eastAsia" w:ascii="宋体" w:hAnsi="宋体" w:cs="宋体"/>
          <w:b/>
          <w:sz w:val="24"/>
          <w:szCs w:val="24"/>
        </w:rPr>
        <w:t>附件10（此表由评委或参选人填写）</w:t>
      </w:r>
    </w:p>
    <w:p>
      <w:pPr>
        <w:spacing w:line="360" w:lineRule="auto"/>
        <w:jc w:val="center"/>
        <w:rPr>
          <w:rFonts w:ascii="宋体" w:hAnsi="宋体"/>
          <w:b/>
          <w:bCs/>
          <w:snapToGrid w:val="0"/>
          <w:sz w:val="24"/>
          <w:szCs w:val="24"/>
        </w:rPr>
      </w:pPr>
    </w:p>
    <w:p>
      <w:pPr>
        <w:spacing w:line="360" w:lineRule="auto"/>
        <w:jc w:val="center"/>
        <w:rPr>
          <w:rFonts w:ascii="宋体" w:hAnsi="宋体"/>
          <w:b/>
          <w:bCs/>
          <w:snapToGrid w:val="0"/>
          <w:sz w:val="24"/>
          <w:szCs w:val="24"/>
        </w:rPr>
      </w:pPr>
      <w:r>
        <w:rPr>
          <w:rFonts w:hint="eastAsia" w:ascii="宋体" w:hAnsi="宋体"/>
          <w:b/>
          <w:bCs/>
          <w:snapToGrid w:val="0"/>
          <w:sz w:val="24"/>
          <w:szCs w:val="24"/>
        </w:rPr>
        <w:t>投标文件无效/作废情况说明表</w:t>
      </w:r>
    </w:p>
    <w:p>
      <w:pPr>
        <w:spacing w:line="360" w:lineRule="auto"/>
        <w:rPr>
          <w:rFonts w:ascii="宋体" w:hAnsi="宋体"/>
          <w:b/>
          <w:bCs/>
          <w:snapToGrid w:val="0"/>
          <w:sz w:val="24"/>
          <w:szCs w:val="24"/>
        </w:rPr>
      </w:pPr>
    </w:p>
    <w:p>
      <w:pPr>
        <w:widowControl/>
        <w:spacing w:line="360" w:lineRule="auto"/>
        <w:jc w:val="left"/>
        <w:rPr>
          <w:rFonts w:hAnsi="宋体"/>
          <w:b/>
          <w:bCs/>
          <w:sz w:val="24"/>
          <w:szCs w:val="24"/>
          <w:u w:val="single"/>
        </w:rPr>
      </w:pPr>
      <w:r>
        <w:rPr>
          <w:rFonts w:hint="eastAsia" w:ascii="宋体" w:hAnsi="宋体"/>
          <w:sz w:val="24"/>
          <w:szCs w:val="24"/>
        </w:rPr>
        <w:t>项目名称：</w:t>
      </w:r>
      <w:r>
        <w:rPr>
          <w:rFonts w:hint="eastAsia" w:hAnsi="宋体"/>
          <w:b/>
          <w:bCs/>
          <w:sz w:val="24"/>
          <w:szCs w:val="24"/>
          <w:u w:val="single"/>
        </w:rPr>
        <w:t>光明新湖、昂鹅车辆段、东宝河停车场、</w:t>
      </w:r>
      <w:r>
        <w:rPr>
          <w:rFonts w:hint="eastAsia" w:hAnsi="宋体"/>
          <w:b/>
          <w:bCs/>
          <w:sz w:val="24"/>
          <w:szCs w:val="24"/>
          <w:u w:val="single"/>
          <w:lang w:eastAsia="zh-CN"/>
        </w:rPr>
        <w:t>新大存车场</w:t>
      </w:r>
      <w:r>
        <w:rPr>
          <w:rFonts w:hint="eastAsia" w:hAnsi="宋体"/>
          <w:b/>
          <w:bCs/>
          <w:sz w:val="24"/>
          <w:szCs w:val="24"/>
          <w:u w:val="single"/>
        </w:rPr>
        <w:t>交通接驳研究</w:t>
      </w:r>
    </w:p>
    <w:p>
      <w:pPr>
        <w:spacing w:line="360" w:lineRule="auto"/>
        <w:jc w:val="left"/>
        <w:rPr>
          <w:rFonts w:ascii="宋体" w:hAnsi="宋体"/>
          <w:sz w:val="24"/>
          <w:szCs w:val="24"/>
        </w:rPr>
      </w:pPr>
      <w:r>
        <w:rPr>
          <w:rFonts w:hint="eastAsia" w:ascii="宋体" w:hAnsi="宋体"/>
          <w:sz w:val="24"/>
          <w:szCs w:val="24"/>
        </w:rPr>
        <w:t>日期：2022年  月  日</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r>
              <w:rPr>
                <w:rFonts w:hint="eastAsia" w:ascii="宋体" w:hAnsi="宋体"/>
                <w:sz w:val="24"/>
                <w:szCs w:val="24"/>
              </w:rPr>
              <w:t>参选人名称</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trPr>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无效情况说明</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参选人受理记录</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评标委员会意见</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需要说明的</w:t>
            </w:r>
          </w:p>
          <w:p>
            <w:pPr>
              <w:spacing w:line="360" w:lineRule="auto"/>
              <w:jc w:val="center"/>
              <w:rPr>
                <w:rFonts w:ascii="宋体" w:hAnsi="宋体"/>
                <w:sz w:val="24"/>
                <w:szCs w:val="24"/>
              </w:rPr>
            </w:pPr>
            <w:r>
              <w:rPr>
                <w:rFonts w:hint="eastAsia" w:ascii="宋体" w:hAnsi="宋体"/>
                <w:sz w:val="24"/>
                <w:szCs w:val="24"/>
              </w:rPr>
              <w:t>其他情况</w:t>
            </w: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sz w:val="24"/>
                <w:szCs w:val="24"/>
              </w:rPr>
            </w:pPr>
          </w:p>
          <w:p>
            <w:pPr>
              <w:spacing w:line="360" w:lineRule="auto"/>
              <w:jc w:val="center"/>
              <w:rPr>
                <w:rFonts w:ascii="宋体" w:hAnsi="宋体"/>
                <w:sz w:val="24"/>
                <w:szCs w:val="24"/>
              </w:rPr>
            </w:pPr>
            <w:r>
              <w:rPr>
                <w:rFonts w:hint="eastAsia" w:ascii="宋体" w:hAnsi="宋体"/>
                <w:sz w:val="24"/>
                <w:szCs w:val="24"/>
              </w:rPr>
              <w:t>评委签字</w:t>
            </w:r>
          </w:p>
          <w:p>
            <w:pPr>
              <w:spacing w:line="360" w:lineRule="auto"/>
              <w:jc w:val="center"/>
              <w:rPr>
                <w:rFonts w:ascii="宋体" w:hAnsi="宋体"/>
                <w:sz w:val="24"/>
                <w:szCs w:val="24"/>
              </w:rPr>
            </w:pPr>
          </w:p>
        </w:tc>
        <w:tc>
          <w:tcPr>
            <w:tcW w:w="7477" w:type="dxa"/>
            <w:tcBorders>
              <w:top w:val="single" w:color="auto" w:sz="4" w:space="0"/>
              <w:left w:val="single" w:color="auto" w:sz="4" w:space="0"/>
              <w:bottom w:val="single" w:color="auto" w:sz="4" w:space="0"/>
              <w:right w:val="single" w:color="auto" w:sz="4" w:space="0"/>
            </w:tcBorders>
          </w:tcPr>
          <w:p>
            <w:pPr>
              <w:spacing w:line="360" w:lineRule="auto"/>
              <w:rPr>
                <w:rFonts w:ascii="宋体" w:hAnsi="宋体"/>
                <w:sz w:val="24"/>
                <w:szCs w:val="24"/>
              </w:rPr>
            </w:pPr>
          </w:p>
        </w:tc>
      </w:tr>
    </w:tbl>
    <w:p>
      <w:pPr>
        <w:spacing w:line="360" w:lineRule="auto"/>
        <w:rPr>
          <w:rFonts w:ascii="宋体" w:hAnsi="宋体"/>
          <w:sz w:val="24"/>
          <w:szCs w:val="24"/>
        </w:rPr>
      </w:pPr>
    </w:p>
    <w:p>
      <w:pPr>
        <w:pStyle w:val="3"/>
        <w:spacing w:line="360" w:lineRule="auto"/>
        <w:rPr>
          <w:rFonts w:ascii="宋体" w:hAnsi="宋体"/>
          <w:b w:val="0"/>
          <w:sz w:val="44"/>
          <w:szCs w:val="44"/>
        </w:rPr>
      </w:pPr>
      <w:r>
        <w:rPr>
          <w:rFonts w:hint="eastAsia" w:ascii="宋体" w:hAnsi="宋体"/>
          <w:b w:val="0"/>
          <w:sz w:val="44"/>
          <w:szCs w:val="44"/>
        </w:rPr>
        <w:t>第二篇  参选文件格式</w:t>
      </w:r>
      <w:bookmarkEnd w:id="106"/>
      <w:bookmarkEnd w:id="107"/>
    </w:p>
    <w:p>
      <w:pPr>
        <w:spacing w:before="60" w:beforeLines="25" w:after="60" w:afterLines="25" w:line="360" w:lineRule="auto"/>
        <w:ind w:firstLine="547" w:firstLineChars="228"/>
        <w:rPr>
          <w:rFonts w:ascii="宋体" w:hAnsi="宋体"/>
          <w:sz w:val="24"/>
        </w:rPr>
      </w:pPr>
      <w:r>
        <w:rPr>
          <w:rFonts w:hint="eastAsia" w:ascii="宋体" w:hAnsi="宋体"/>
          <w:sz w:val="24"/>
        </w:rPr>
        <w:t>每一对“[ ]”及其中间的内容，均应由参选人在编制参选时根据情况以适当的内容代替。每一对“{ }”及其中间的内容，参选人在编制参选书时应予以删除。在留有的空白或下划线上或…均应由参选人填入适当内容。</w:t>
      </w:r>
    </w:p>
    <w:p>
      <w:pPr>
        <w:spacing w:before="60" w:beforeLines="25" w:after="60" w:afterLines="25" w:line="360" w:lineRule="auto"/>
        <w:ind w:firstLine="547" w:firstLineChars="228"/>
        <w:rPr>
          <w:rFonts w:ascii="宋体" w:hAnsi="宋体"/>
          <w:sz w:val="24"/>
        </w:rPr>
      </w:pPr>
      <w:r>
        <w:rPr>
          <w:rFonts w:hint="eastAsia" w:ascii="宋体" w:hAnsi="宋体"/>
          <w:sz w:val="24"/>
        </w:rPr>
        <w:br w:type="page"/>
      </w:r>
    </w:p>
    <w:p>
      <w:pPr>
        <w:spacing w:line="360" w:lineRule="auto"/>
        <w:jc w:val="center"/>
        <w:rPr>
          <w:rFonts w:ascii="宋体" w:hAnsi="宋体"/>
          <w:b/>
          <w:spacing w:val="36"/>
          <w:sz w:val="44"/>
          <w:szCs w:val="44"/>
        </w:rPr>
      </w:pPr>
      <w:r>
        <w:rPr>
          <w:rFonts w:hint="eastAsia" w:ascii="宋体" w:hAnsi="宋体"/>
          <w:b/>
          <w:spacing w:val="36"/>
          <w:sz w:val="44"/>
          <w:szCs w:val="44"/>
        </w:rPr>
        <w:t>第一章</w:t>
      </w:r>
    </w:p>
    <w:p>
      <w:pPr>
        <w:pStyle w:val="24"/>
        <w:spacing w:before="1440" w:beforeLines="600" w:line="360" w:lineRule="auto"/>
        <w:jc w:val="center"/>
        <w:rPr>
          <w:rFonts w:hAnsi="宋体"/>
          <w:b/>
          <w:sz w:val="44"/>
          <w:szCs w:val="44"/>
        </w:rPr>
      </w:pPr>
      <w:r>
        <w:rPr>
          <w:rFonts w:hint="eastAsia" w:hAnsi="宋体"/>
          <w:b/>
          <w:sz w:val="44"/>
          <w:szCs w:val="44"/>
        </w:rPr>
        <w:t>光明新湖、昂鹅车辆段、东宝河停车场、</w:t>
      </w:r>
      <w:r>
        <w:rPr>
          <w:rFonts w:hint="eastAsia" w:hAnsi="宋体"/>
          <w:b/>
          <w:sz w:val="44"/>
          <w:szCs w:val="44"/>
          <w:lang w:eastAsia="zh-CN"/>
        </w:rPr>
        <w:t>新大存车场</w:t>
      </w:r>
      <w:r>
        <w:rPr>
          <w:rFonts w:hint="eastAsia" w:hAnsi="宋体"/>
          <w:b/>
          <w:sz w:val="44"/>
          <w:szCs w:val="44"/>
        </w:rPr>
        <w:t>交通接驳研究</w:t>
      </w:r>
    </w:p>
    <w:p>
      <w:pPr>
        <w:pStyle w:val="24"/>
        <w:spacing w:before="1440" w:beforeLines="600" w:line="360" w:lineRule="auto"/>
        <w:jc w:val="center"/>
        <w:rPr>
          <w:rFonts w:hAnsi="宋体"/>
          <w:bCs/>
          <w:kern w:val="10"/>
          <w:sz w:val="84"/>
          <w:szCs w:val="84"/>
        </w:rPr>
      </w:pPr>
      <w:r>
        <w:rPr>
          <w:rFonts w:hint="eastAsia" w:hAnsi="宋体"/>
          <w:bCs/>
          <w:spacing w:val="36"/>
          <w:kern w:val="10"/>
          <w:sz w:val="84"/>
          <w:szCs w:val="84"/>
        </w:rPr>
        <w:t>参选文件</w:t>
      </w:r>
    </w:p>
    <w:p>
      <w:pPr>
        <w:pStyle w:val="24"/>
        <w:spacing w:line="360" w:lineRule="auto"/>
        <w:jc w:val="center"/>
        <w:rPr>
          <w:rFonts w:hAnsi="宋体"/>
          <w:b/>
          <w:sz w:val="44"/>
          <w:szCs w:val="44"/>
        </w:rPr>
      </w:pPr>
      <w:r>
        <w:rPr>
          <w:rFonts w:hint="eastAsia" w:hAnsi="宋体"/>
          <w:b/>
          <w:sz w:val="44"/>
          <w:szCs w:val="44"/>
        </w:rPr>
        <w:t>（</w:t>
      </w:r>
      <w:bookmarkStart w:id="108" w:name="_Toc92971375"/>
      <w:r>
        <w:rPr>
          <w:rFonts w:hint="eastAsia" w:hAnsi="宋体"/>
          <w:b/>
          <w:sz w:val="44"/>
          <w:szCs w:val="44"/>
        </w:rPr>
        <w:t>技术标书</w:t>
      </w:r>
      <w:bookmarkEnd w:id="108"/>
      <w:r>
        <w:rPr>
          <w:rFonts w:hAnsi="宋体"/>
          <w:b/>
          <w:sz w:val="44"/>
          <w:szCs w:val="44"/>
        </w:rPr>
        <w:t>）</w:t>
      </w:r>
    </w:p>
    <w:p>
      <w:pPr>
        <w:pStyle w:val="24"/>
        <w:spacing w:line="360" w:lineRule="auto"/>
        <w:rPr>
          <w:rFonts w:hAnsi="宋体"/>
          <w:sz w:val="23"/>
          <w:szCs w:val="23"/>
        </w:rPr>
      </w:pPr>
    </w:p>
    <w:p>
      <w:pPr>
        <w:jc w:val="center"/>
        <w:rPr>
          <w:rFonts w:ascii="黑体" w:hAnsi="黑体" w:eastAsia="黑体"/>
          <w:sz w:val="84"/>
          <w:szCs w:val="84"/>
        </w:rPr>
      </w:pPr>
    </w:p>
    <w:p>
      <w:pPr>
        <w:ind w:left="420" w:leftChars="200" w:firstLine="482"/>
        <w:rPr>
          <w:bCs/>
          <w:sz w:val="24"/>
          <w:szCs w:val="24"/>
        </w:rPr>
      </w:pPr>
      <w:r>
        <w:rPr>
          <w:rFonts w:hint="eastAsia"/>
          <w:bCs/>
          <w:sz w:val="24"/>
          <w:szCs w:val="24"/>
        </w:rPr>
        <w:t>参选</w:t>
      </w:r>
      <w:r>
        <w:rPr>
          <w:bCs/>
          <w:sz w:val="24"/>
          <w:szCs w:val="24"/>
        </w:rPr>
        <w:t>人声明：</w:t>
      </w:r>
    </w:p>
    <w:p>
      <w:pPr>
        <w:ind w:left="420" w:leftChars="200" w:firstLine="482"/>
        <w:rPr>
          <w:bCs/>
          <w:sz w:val="24"/>
          <w:szCs w:val="24"/>
        </w:rPr>
      </w:pPr>
      <w:r>
        <w:rPr>
          <w:bCs/>
          <w:sz w:val="24"/>
          <w:szCs w:val="24"/>
        </w:rPr>
        <w:t>我司（单位）对本标书所提供文件的真实性、准确性、有效性负全部责任。</w:t>
      </w:r>
    </w:p>
    <w:p>
      <w:pPr>
        <w:pStyle w:val="24"/>
        <w:spacing w:before="360" w:beforeLines="150" w:after="360" w:afterLines="150" w:line="360" w:lineRule="auto"/>
        <w:rPr>
          <w:rFonts w:hAnsi="宋体"/>
          <w:b/>
          <w:bCs/>
          <w:sz w:val="28"/>
          <w:szCs w:val="28"/>
        </w:rPr>
      </w:pPr>
    </w:p>
    <w:p>
      <w:pPr>
        <w:pStyle w:val="24"/>
        <w:spacing w:before="360" w:beforeLines="150" w:after="360" w:afterLines="150" w:line="360" w:lineRule="auto"/>
        <w:ind w:firstLine="540" w:firstLineChars="19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24"/>
        <w:spacing w:before="360" w:beforeLines="150" w:after="360" w:afterLines="150" w:line="360" w:lineRule="auto"/>
        <w:ind w:firstLine="540" w:firstLineChars="192"/>
        <w:rPr>
          <w:rFonts w:hAnsi="宋体"/>
          <w:b/>
          <w:bCs/>
          <w:sz w:val="28"/>
          <w:szCs w:val="28"/>
          <w:u w:val="single"/>
        </w:rPr>
      </w:pPr>
      <w:r>
        <w:rPr>
          <w:rFonts w:hint="eastAsia" w:hAnsi="宋体"/>
          <w:b/>
          <w:bCs/>
          <w:sz w:val="28"/>
          <w:szCs w:val="28"/>
        </w:rPr>
        <w:t>法定代表人或其委托代理人(签字或盖章)：</w:t>
      </w:r>
    </w:p>
    <w:p>
      <w:pPr>
        <w:spacing w:line="360" w:lineRule="auto"/>
        <w:jc w:val="center"/>
        <w:rPr>
          <w:rFonts w:ascii="宋体" w:hAnsi="宋体"/>
          <w:b/>
          <w:bCs/>
          <w:sz w:val="28"/>
          <w:szCs w:val="28"/>
        </w:rPr>
      </w:pPr>
      <w:r>
        <w:rPr>
          <w:rFonts w:hint="eastAsia" w:ascii="宋体" w:hAnsi="宋体"/>
          <w:b/>
          <w:bCs/>
          <w:sz w:val="28"/>
          <w:szCs w:val="28"/>
        </w:rPr>
        <w:t>日   期：     年    月     日</w:t>
      </w:r>
    </w:p>
    <w:p>
      <w:pPr>
        <w:spacing w:line="360" w:lineRule="auto"/>
        <w:jc w:val="right"/>
        <w:rPr>
          <w:sz w:val="28"/>
          <w:szCs w:val="28"/>
        </w:rPr>
      </w:pPr>
      <w:r>
        <w:rPr>
          <w:sz w:val="28"/>
          <w:szCs w:val="28"/>
        </w:rPr>
        <w:t>（本页须独立成页）</w:t>
      </w:r>
    </w:p>
    <w:p>
      <w:pPr>
        <w:jc w:val="left"/>
        <w:rPr>
          <w:sz w:val="28"/>
          <w:szCs w:val="28"/>
        </w:rPr>
      </w:pPr>
      <w:r>
        <w:rPr>
          <w:sz w:val="28"/>
          <w:szCs w:val="28"/>
        </w:rPr>
        <w:br w:type="page"/>
      </w:r>
    </w:p>
    <w:p>
      <w:pPr>
        <w:spacing w:line="360" w:lineRule="auto"/>
        <w:jc w:val="center"/>
        <w:rPr>
          <w:sz w:val="28"/>
          <w:szCs w:val="28"/>
        </w:rPr>
      </w:pPr>
    </w:p>
    <w:p>
      <w:pPr>
        <w:spacing w:line="360" w:lineRule="auto"/>
        <w:jc w:val="center"/>
        <w:rPr>
          <w:rFonts w:ascii="宋体" w:hAnsi="宋体"/>
          <w:b/>
          <w:bCs/>
          <w:sz w:val="28"/>
          <w:szCs w:val="28"/>
        </w:rPr>
      </w:pPr>
    </w:p>
    <w:p>
      <w:pPr>
        <w:spacing w:line="360" w:lineRule="auto"/>
        <w:jc w:val="center"/>
        <w:rPr>
          <w:rFonts w:ascii="宋体" w:hAnsi="宋体"/>
        </w:rPr>
      </w:pPr>
      <w:bookmarkStart w:id="109" w:name="_Toc19191474"/>
      <w:r>
        <w:rPr>
          <w:rFonts w:hint="eastAsia" w:ascii="宋体" w:hAnsi="宋体"/>
          <w:sz w:val="52"/>
          <w:szCs w:val="52"/>
          <w:u w:val="single"/>
        </w:rPr>
        <w:t>技术标书目录</w:t>
      </w:r>
      <w:bookmarkEnd w:id="109"/>
    </w:p>
    <w:p>
      <w:pPr>
        <w:pStyle w:val="119"/>
        <w:numPr>
          <w:ilvl w:val="0"/>
          <w:numId w:val="8"/>
        </w:numPr>
        <w:spacing w:before="50" w:line="360" w:lineRule="auto"/>
        <w:ind w:hanging="652"/>
        <w:rPr>
          <w:rFonts w:ascii="Times New Roman" w:cs="Times New Roman"/>
          <w:b/>
          <w:color w:val="auto"/>
          <w:szCs w:val="28"/>
        </w:rPr>
      </w:pPr>
      <w:r>
        <w:rPr>
          <w:rFonts w:hint="eastAsia" w:ascii="Times New Roman" w:cs="Times New Roman"/>
          <w:b/>
          <w:color w:val="auto"/>
          <w:szCs w:val="28"/>
        </w:rPr>
        <w:t>参选人营业执照复印件（加盖公章）</w:t>
      </w:r>
    </w:p>
    <w:p>
      <w:pPr>
        <w:pStyle w:val="119"/>
        <w:numPr>
          <w:ilvl w:val="0"/>
          <w:numId w:val="8"/>
        </w:numPr>
        <w:spacing w:before="50" w:line="360" w:lineRule="auto"/>
        <w:ind w:hanging="652"/>
        <w:rPr>
          <w:rFonts w:ascii="Times New Roman" w:cs="Times New Roman"/>
          <w:b/>
          <w:color w:val="auto"/>
          <w:szCs w:val="28"/>
        </w:rPr>
      </w:pPr>
      <w:r>
        <w:rPr>
          <w:rFonts w:hint="eastAsia" w:ascii="Times New Roman" w:cs="Times New Roman"/>
          <w:b/>
          <w:color w:val="auto"/>
          <w:szCs w:val="28"/>
        </w:rPr>
        <w:t>法定代表人资格证明书原件（加盖公章）</w:t>
      </w:r>
    </w:p>
    <w:p>
      <w:pPr>
        <w:pStyle w:val="119"/>
        <w:numPr>
          <w:ilvl w:val="0"/>
          <w:numId w:val="8"/>
        </w:numPr>
        <w:spacing w:before="50" w:line="360" w:lineRule="auto"/>
        <w:ind w:hanging="652"/>
        <w:rPr>
          <w:rFonts w:ascii="Times New Roman" w:cs="Times New Roman"/>
          <w:b/>
          <w:color w:val="auto"/>
          <w:szCs w:val="28"/>
        </w:rPr>
      </w:pPr>
      <w:r>
        <w:rPr>
          <w:rFonts w:hint="eastAsia" w:ascii="Times New Roman" w:cs="Times New Roman"/>
          <w:b/>
          <w:color w:val="auto"/>
          <w:szCs w:val="28"/>
        </w:rPr>
        <w:t>法定代表人身份证复印件（加盖公章）</w:t>
      </w:r>
    </w:p>
    <w:p>
      <w:pPr>
        <w:pStyle w:val="119"/>
        <w:numPr>
          <w:ilvl w:val="0"/>
          <w:numId w:val="8"/>
        </w:numPr>
        <w:spacing w:before="50" w:line="360" w:lineRule="auto"/>
        <w:ind w:hanging="652"/>
        <w:rPr>
          <w:rFonts w:ascii="Times New Roman" w:cs="Times New Roman"/>
          <w:b/>
          <w:color w:val="auto"/>
          <w:szCs w:val="28"/>
        </w:rPr>
      </w:pPr>
      <w:r>
        <w:rPr>
          <w:rFonts w:hint="eastAsia" w:ascii="Times New Roman" w:cs="Times New Roman"/>
          <w:b/>
          <w:color w:val="auto"/>
          <w:szCs w:val="28"/>
        </w:rPr>
        <w:t>法定代表人授权委托书原件（加盖公章）</w:t>
      </w:r>
    </w:p>
    <w:p>
      <w:pPr>
        <w:pStyle w:val="119"/>
        <w:numPr>
          <w:ilvl w:val="0"/>
          <w:numId w:val="8"/>
        </w:numPr>
        <w:spacing w:before="50" w:line="360" w:lineRule="auto"/>
        <w:ind w:hanging="652"/>
        <w:rPr>
          <w:rFonts w:ascii="Times New Roman" w:cs="Times New Roman"/>
          <w:b/>
          <w:color w:val="auto"/>
          <w:szCs w:val="28"/>
        </w:rPr>
      </w:pPr>
      <w:r>
        <w:rPr>
          <w:rFonts w:hint="eastAsia" w:ascii="Times New Roman" w:cs="Times New Roman"/>
          <w:b/>
          <w:color w:val="auto"/>
          <w:szCs w:val="28"/>
        </w:rPr>
        <w:t>被授权人身份证复印件（加盖公章）</w:t>
      </w:r>
    </w:p>
    <w:p>
      <w:pPr>
        <w:pStyle w:val="119"/>
        <w:numPr>
          <w:ilvl w:val="0"/>
          <w:numId w:val="8"/>
        </w:numPr>
        <w:spacing w:before="50" w:line="360" w:lineRule="auto"/>
        <w:ind w:hanging="652"/>
        <w:rPr>
          <w:rFonts w:ascii="Times New Roman" w:cs="Times New Roman"/>
          <w:b/>
          <w:color w:val="auto"/>
          <w:szCs w:val="28"/>
        </w:rPr>
      </w:pPr>
      <w:r>
        <w:rPr>
          <w:rFonts w:hint="eastAsia" w:ascii="Times New Roman" w:cs="Times New Roman"/>
          <w:b/>
          <w:color w:val="auto"/>
          <w:szCs w:val="28"/>
        </w:rPr>
        <w:t>资格审查所需证明材料：（清晰的复印件，加盖公章）</w:t>
      </w:r>
    </w:p>
    <w:p>
      <w:pPr>
        <w:adjustRightInd w:val="0"/>
        <w:snapToGrid w:val="0"/>
        <w:spacing w:line="360" w:lineRule="auto"/>
        <w:ind w:firstLine="420" w:firstLineChars="200"/>
        <w:rPr>
          <w:rFonts w:ascii="宋体" w:hAnsi="宋体"/>
          <w:bCs/>
          <w:szCs w:val="24"/>
        </w:rPr>
      </w:pPr>
      <w:r>
        <w:rPr>
          <w:rFonts w:hint="eastAsia" w:ascii="宋体" w:hAnsi="宋体"/>
          <w:bCs/>
          <w:szCs w:val="24"/>
        </w:rPr>
        <w:t>参选人必须是中华人民共和国境内依法注册的法人或合伙制企业或其他组织，且具有城乡规划编制甲级资质。</w:t>
      </w:r>
    </w:p>
    <w:p>
      <w:pPr>
        <w:pStyle w:val="119"/>
        <w:spacing w:before="50" w:line="360" w:lineRule="auto"/>
        <w:ind w:firstLine="471" w:firstLineChars="196"/>
        <w:rPr>
          <w:rFonts w:ascii="Times New Roman" w:cs="Times New Roman"/>
          <w:b/>
          <w:color w:val="auto"/>
          <w:szCs w:val="28"/>
        </w:rPr>
      </w:pPr>
      <w:r>
        <w:rPr>
          <w:rFonts w:hint="eastAsia" w:ascii="Times New Roman" w:cs="Times New Roman"/>
          <w:b/>
          <w:color w:val="auto"/>
          <w:szCs w:val="28"/>
        </w:rPr>
        <w:t>七、投标人业绩、获奖情况、项目负责人情况、知识产权情况，拟派项目团队及项目认知和重难点分析</w:t>
      </w:r>
    </w:p>
    <w:p>
      <w:pPr>
        <w:adjustRightInd w:val="0"/>
        <w:snapToGrid w:val="0"/>
        <w:spacing w:line="360" w:lineRule="auto"/>
        <w:rPr>
          <w:bCs/>
          <w:szCs w:val="32"/>
        </w:rPr>
      </w:pPr>
    </w:p>
    <w:p>
      <w:pPr>
        <w:adjustRightInd w:val="0"/>
        <w:snapToGrid w:val="0"/>
        <w:spacing w:line="360" w:lineRule="auto"/>
        <w:rPr>
          <w:bCs/>
          <w:szCs w:val="32"/>
        </w:rPr>
      </w:pPr>
      <w:r>
        <w:rPr>
          <w:bCs/>
          <w:szCs w:val="32"/>
        </w:rPr>
        <w:t>特别说明：</w:t>
      </w:r>
    </w:p>
    <w:p>
      <w:pPr>
        <w:adjustRightInd w:val="0"/>
        <w:snapToGrid w:val="0"/>
        <w:spacing w:line="360" w:lineRule="auto"/>
        <w:ind w:firstLine="420" w:firstLineChars="200"/>
        <w:rPr>
          <w:rFonts w:ascii="宋体" w:hAnsi="宋体" w:cs="宋体"/>
          <w:bCs/>
          <w:szCs w:val="32"/>
        </w:rPr>
      </w:pPr>
      <w:r>
        <w:rPr>
          <w:rFonts w:hint="eastAsia" w:ascii="宋体" w:hAnsi="宋体" w:cs="宋体"/>
          <w:bCs/>
          <w:szCs w:val="32"/>
        </w:rPr>
        <w:t>项目资料真实性及业绩由参选人负责核实，以上提供的证书（证件等）必须在有效期内，证明材料必须真实有效，所有证书和证明材料加盖公章。若比选人查实上述信息不真实，参选人将负全责，比选人有权按照</w:t>
      </w:r>
      <w:r>
        <w:rPr>
          <w:rFonts w:eastAsia="Times New Roman"/>
          <w:bCs/>
          <w:szCs w:val="32"/>
        </w:rPr>
        <w:t>“</w:t>
      </w:r>
      <w:r>
        <w:rPr>
          <w:rFonts w:hint="eastAsia" w:ascii="宋体" w:hAnsi="宋体" w:cs="宋体"/>
          <w:bCs/>
          <w:szCs w:val="32"/>
        </w:rPr>
        <w:t>不利于参选人</w:t>
      </w:r>
      <w:r>
        <w:rPr>
          <w:rFonts w:eastAsia="Times New Roman"/>
          <w:bCs/>
          <w:szCs w:val="32"/>
        </w:rPr>
        <w:t>”</w:t>
      </w:r>
      <w:r>
        <w:rPr>
          <w:rFonts w:hint="eastAsia" w:ascii="宋体" w:hAnsi="宋体" w:cs="宋体"/>
          <w:bCs/>
          <w:szCs w:val="32"/>
        </w:rPr>
        <w:t>的原则处理。</w:t>
      </w:r>
    </w:p>
    <w:p>
      <w:pPr>
        <w:pStyle w:val="119"/>
        <w:spacing w:before="50" w:line="360" w:lineRule="auto"/>
        <w:rPr>
          <w:rFonts w:ascii="Times New Roman" w:cs="Times New Roman"/>
          <w:b/>
          <w:color w:val="auto"/>
          <w:szCs w:val="28"/>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pStyle w:val="42"/>
      </w:pPr>
    </w:p>
    <w:p>
      <w:pPr>
        <w:widowControl/>
        <w:overflowPunct w:val="0"/>
        <w:autoSpaceDE w:val="0"/>
        <w:autoSpaceDN w:val="0"/>
        <w:adjustRightInd w:val="0"/>
        <w:spacing w:before="50" w:line="360" w:lineRule="auto"/>
        <w:jc w:val="left"/>
        <w:textAlignment w:val="baseline"/>
        <w:rPr>
          <w:rFonts w:ascii="宋体" w:hAnsi="宋体"/>
          <w:sz w:val="24"/>
          <w:szCs w:val="24"/>
        </w:rPr>
      </w:pPr>
    </w:p>
    <w:p>
      <w:pPr>
        <w:pStyle w:val="42"/>
      </w:pPr>
    </w:p>
    <w:p>
      <w:pPr>
        <w:pStyle w:val="5"/>
        <w:spacing w:line="360" w:lineRule="auto"/>
        <w:ind w:left="0" w:firstLine="0"/>
        <w:rPr>
          <w:rFonts w:ascii="宋体" w:hAnsi="宋体"/>
          <w:sz w:val="24"/>
        </w:rPr>
      </w:pPr>
      <w:bookmarkStart w:id="110" w:name="_Toc53991862"/>
      <w:r>
        <w:rPr>
          <w:rFonts w:hint="eastAsia" w:ascii="宋体" w:hAnsi="宋体"/>
          <w:sz w:val="24"/>
        </w:rPr>
        <w:t>一、参选人营业执照复印件（加盖公章）</w:t>
      </w:r>
      <w:bookmarkEnd w:id="110"/>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pStyle w:val="5"/>
        <w:numPr>
          <w:ilvl w:val="2"/>
          <w:numId w:val="0"/>
        </w:numPr>
        <w:spacing w:line="360" w:lineRule="auto"/>
        <w:rPr>
          <w:rFonts w:ascii="宋体" w:hAnsi="宋体"/>
          <w:sz w:val="24"/>
        </w:rPr>
      </w:pPr>
      <w:bookmarkStart w:id="111" w:name="_Toc53991863"/>
      <w:bookmarkStart w:id="112" w:name="_Toc510187106"/>
      <w:r>
        <w:rPr>
          <w:rFonts w:hint="eastAsia" w:ascii="宋体" w:hAnsi="宋体"/>
          <w:sz w:val="24"/>
        </w:rPr>
        <w:t>二</w:t>
      </w:r>
      <w:r>
        <w:rPr>
          <w:rFonts w:ascii="宋体" w:hAnsi="宋体"/>
          <w:sz w:val="24"/>
        </w:rPr>
        <w:t>、法定代表人资格证明书</w:t>
      </w:r>
      <w:bookmarkEnd w:id="111"/>
      <w:bookmarkEnd w:id="112"/>
      <w:r>
        <w:rPr>
          <w:rFonts w:ascii="宋体" w:hAnsi="宋体"/>
          <w:sz w:val="24"/>
        </w:rPr>
        <w:t>（加盖公章）</w:t>
      </w:r>
    </w:p>
    <w:p>
      <w:pPr>
        <w:spacing w:line="360" w:lineRule="auto"/>
        <w:ind w:firstLine="5651"/>
        <w:rPr>
          <w:rFonts w:eastAsia="华文中宋"/>
          <w:sz w:val="24"/>
        </w:rPr>
      </w:pPr>
    </w:p>
    <w:p>
      <w:pPr>
        <w:pStyle w:val="24"/>
        <w:spacing w:after="120" w:afterLines="50" w:line="360" w:lineRule="auto"/>
        <w:jc w:val="center"/>
        <w:rPr>
          <w:rFonts w:ascii="Times New Roman" w:hAnsi="Times New Roman" w:eastAsia="华文细黑"/>
          <w:sz w:val="44"/>
        </w:rPr>
      </w:pPr>
    </w:p>
    <w:p>
      <w:pPr>
        <w:pStyle w:val="24"/>
        <w:spacing w:after="120" w:afterLines="50" w:line="360" w:lineRule="auto"/>
        <w:jc w:val="center"/>
        <w:rPr>
          <w:rFonts w:ascii="Times New Roman" w:hAnsi="Times New Roman"/>
          <w:sz w:val="44"/>
        </w:rPr>
      </w:pPr>
      <w:r>
        <w:rPr>
          <w:rFonts w:ascii="Times New Roman" w:hAnsi="Times New Roman"/>
          <w:sz w:val="44"/>
        </w:rPr>
        <w:t>法定代表人资格证明书</w:t>
      </w:r>
    </w:p>
    <w:p>
      <w:pPr>
        <w:pStyle w:val="24"/>
        <w:spacing w:line="360" w:lineRule="auto"/>
        <w:ind w:firstLine="480" w:firstLineChars="200"/>
        <w:rPr>
          <w:rFonts w:ascii="Times New Roman" w:hAnsi="Times New Roman"/>
          <w:sz w:val="24"/>
          <w:szCs w:val="24"/>
        </w:rPr>
      </w:pPr>
    </w:p>
    <w:p>
      <w:pPr>
        <w:pStyle w:val="24"/>
        <w:spacing w:line="360" w:lineRule="auto"/>
        <w:ind w:left="279" w:leftChars="133"/>
        <w:rPr>
          <w:rFonts w:ascii="Times New Roman" w:hAnsi="Times New Roman"/>
          <w:sz w:val="24"/>
          <w:szCs w:val="24"/>
        </w:rPr>
      </w:pPr>
    </w:p>
    <w:p>
      <w:pPr>
        <w:pStyle w:val="24"/>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单位名称：</w:t>
      </w:r>
      <w:r>
        <w:rPr>
          <w:rFonts w:hint="eastAsia" w:ascii="Times New Roman" w:hAnsi="Times New Roman"/>
          <w:sz w:val="24"/>
          <w:szCs w:val="24"/>
          <w:u w:val="single"/>
        </w:rPr>
        <w:t xml:space="preserve">                                                          </w:t>
      </w:r>
    </w:p>
    <w:p>
      <w:pPr>
        <w:pStyle w:val="24"/>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地</w:t>
      </w:r>
      <w:r>
        <w:rPr>
          <w:rFonts w:hint="eastAsia" w:ascii="Times New Roman" w:hAnsi="Times New Roman"/>
          <w:sz w:val="24"/>
          <w:szCs w:val="24"/>
        </w:rPr>
        <w:t xml:space="preserve">    </w:t>
      </w:r>
      <w:r>
        <w:rPr>
          <w:rFonts w:ascii="Times New Roman" w:hAnsi="Times New Roman"/>
          <w:sz w:val="24"/>
          <w:szCs w:val="24"/>
        </w:rPr>
        <w:t>址：</w:t>
      </w:r>
      <w:r>
        <w:rPr>
          <w:rFonts w:hint="eastAsia" w:ascii="Times New Roman" w:hAnsi="Times New Roman"/>
          <w:sz w:val="24"/>
          <w:szCs w:val="24"/>
          <w:u w:val="single"/>
        </w:rPr>
        <w:t xml:space="preserve">                                                          </w:t>
      </w:r>
    </w:p>
    <w:p>
      <w:pPr>
        <w:pStyle w:val="24"/>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姓</w:t>
      </w:r>
      <w:r>
        <w:rPr>
          <w:rFonts w:hint="eastAsia" w:ascii="Times New Roman" w:hAnsi="Times New Roman"/>
          <w:sz w:val="24"/>
          <w:szCs w:val="24"/>
        </w:rPr>
        <w:t xml:space="preserve">    </w:t>
      </w:r>
      <w:r>
        <w:rPr>
          <w:rFonts w:ascii="Times New Roman" w:hAnsi="Times New Roman"/>
          <w:sz w:val="24"/>
          <w:szCs w:val="24"/>
        </w:rPr>
        <w:t>名：</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性</w:t>
      </w:r>
      <w:r>
        <w:rPr>
          <w:rFonts w:hint="eastAsia" w:ascii="Times New Roman" w:hAnsi="Times New Roman"/>
          <w:sz w:val="24"/>
          <w:szCs w:val="24"/>
        </w:rPr>
        <w:t xml:space="preserve">    </w:t>
      </w:r>
      <w:r>
        <w:rPr>
          <w:rFonts w:ascii="Times New Roman" w:hAnsi="Times New Roman"/>
          <w:sz w:val="24"/>
          <w:szCs w:val="24"/>
        </w:rPr>
        <w:t>别：</w:t>
      </w:r>
      <w:r>
        <w:rPr>
          <w:rFonts w:hint="eastAsia" w:ascii="Times New Roman" w:hAnsi="Times New Roman"/>
          <w:sz w:val="24"/>
          <w:szCs w:val="24"/>
          <w:u w:val="single"/>
        </w:rPr>
        <w:t xml:space="preserve">                       </w:t>
      </w:r>
    </w:p>
    <w:p>
      <w:pPr>
        <w:pStyle w:val="24"/>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龄：</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职</w:t>
      </w:r>
      <w:r>
        <w:rPr>
          <w:rFonts w:hint="eastAsia" w:ascii="Times New Roman" w:hAnsi="Times New Roman"/>
          <w:sz w:val="24"/>
          <w:szCs w:val="24"/>
        </w:rPr>
        <w:t xml:space="preserve">    </w:t>
      </w:r>
      <w:r>
        <w:rPr>
          <w:rFonts w:ascii="Times New Roman" w:hAnsi="Times New Roman"/>
          <w:sz w:val="24"/>
          <w:szCs w:val="24"/>
        </w:rPr>
        <w:t>务：</w:t>
      </w:r>
      <w:r>
        <w:rPr>
          <w:rFonts w:hint="eastAsia" w:ascii="Times New Roman" w:hAnsi="Times New Roman"/>
          <w:sz w:val="24"/>
          <w:szCs w:val="24"/>
          <w:u w:val="single"/>
        </w:rPr>
        <w:t xml:space="preserve">                       </w:t>
      </w:r>
    </w:p>
    <w:p>
      <w:pPr>
        <w:pStyle w:val="24"/>
        <w:spacing w:line="360" w:lineRule="auto"/>
        <w:ind w:left="279" w:leftChars="133" w:firstLine="120" w:firstLineChars="50"/>
        <w:rPr>
          <w:rFonts w:ascii="Times New Roman" w:hAnsi="Times New Roman"/>
          <w:sz w:val="24"/>
          <w:szCs w:val="24"/>
        </w:rPr>
      </w:pPr>
      <w:r>
        <w:rPr>
          <w:rFonts w:ascii="Times New Roman" w:hAnsi="Times New Roman"/>
          <w:sz w:val="24"/>
          <w:szCs w:val="24"/>
        </w:rPr>
        <w:t>系</w:t>
      </w:r>
      <w:r>
        <w:rPr>
          <w:rFonts w:hint="eastAsia" w:ascii="Times New Roman" w:hAnsi="Times New Roman"/>
          <w:sz w:val="24"/>
          <w:szCs w:val="24"/>
          <w:u w:val="single"/>
        </w:rPr>
        <w:t xml:space="preserve">                                                     </w:t>
      </w:r>
      <w:r>
        <w:rPr>
          <w:rFonts w:ascii="Times New Roman" w:hAnsi="Times New Roman"/>
          <w:sz w:val="24"/>
          <w:szCs w:val="24"/>
        </w:rPr>
        <w:t>的法定代表人。</w:t>
      </w:r>
    </w:p>
    <w:p>
      <w:pPr>
        <w:pStyle w:val="24"/>
        <w:spacing w:line="360" w:lineRule="auto"/>
        <w:ind w:left="359" w:leftChars="171"/>
        <w:rPr>
          <w:rFonts w:ascii="Times New Roman" w:hAnsi="Times New Roman"/>
          <w:sz w:val="24"/>
          <w:szCs w:val="24"/>
        </w:rPr>
      </w:pPr>
    </w:p>
    <w:p>
      <w:pPr>
        <w:pStyle w:val="24"/>
        <w:spacing w:line="360" w:lineRule="auto"/>
        <w:ind w:left="359" w:leftChars="171" w:firstLine="120" w:firstLineChars="50"/>
        <w:rPr>
          <w:rFonts w:ascii="Times New Roman" w:hAnsi="Times New Roman"/>
          <w:sz w:val="24"/>
          <w:szCs w:val="24"/>
        </w:rPr>
      </w:pPr>
      <w:r>
        <w:rPr>
          <w:rFonts w:ascii="Times New Roman" w:hAnsi="Times New Roman"/>
          <w:sz w:val="24"/>
          <w:szCs w:val="24"/>
        </w:rPr>
        <w:t>特此证明。</w:t>
      </w:r>
    </w:p>
    <w:p>
      <w:pPr>
        <w:pStyle w:val="24"/>
        <w:spacing w:line="360" w:lineRule="auto"/>
        <w:ind w:left="133" w:firstLine="1260" w:firstLineChars="525"/>
        <w:rPr>
          <w:rFonts w:ascii="Times New Roman" w:hAnsi="Times New Roman"/>
          <w:sz w:val="24"/>
          <w:szCs w:val="24"/>
        </w:rPr>
      </w:pPr>
    </w:p>
    <w:p>
      <w:pPr>
        <w:pStyle w:val="24"/>
        <w:spacing w:line="360" w:lineRule="auto"/>
        <w:ind w:left="133" w:firstLine="1260" w:firstLineChars="525"/>
        <w:rPr>
          <w:rFonts w:ascii="Times New Roman" w:hAnsi="Times New Roman"/>
          <w:sz w:val="24"/>
          <w:szCs w:val="24"/>
        </w:rPr>
      </w:pPr>
    </w:p>
    <w:p>
      <w:pPr>
        <w:pStyle w:val="24"/>
        <w:spacing w:line="360" w:lineRule="auto"/>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24"/>
        <w:spacing w:line="360" w:lineRule="auto"/>
        <w:ind w:left="133" w:firstLine="1260" w:firstLineChars="525"/>
        <w:rPr>
          <w:rFonts w:ascii="Times New Roman" w:hAnsi="Times New Roman"/>
          <w:sz w:val="24"/>
          <w:szCs w:val="24"/>
          <w:u w:val="single"/>
        </w:rPr>
      </w:pPr>
    </w:p>
    <w:p>
      <w:pPr>
        <w:spacing w:line="360" w:lineRule="auto"/>
        <w:ind w:firstLine="480" w:firstLineChars="200"/>
        <w:rPr>
          <w:sz w:val="24"/>
          <w:szCs w:val="24"/>
        </w:rPr>
      </w:pPr>
      <w:r>
        <w:rPr>
          <w:sz w:val="24"/>
          <w:szCs w:val="24"/>
        </w:rPr>
        <w:t>日期：</w:t>
      </w:r>
      <w:r>
        <w:rPr>
          <w:rFonts w:hint="eastAsia"/>
          <w:sz w:val="24"/>
          <w:szCs w:val="24"/>
          <w:u w:val="single"/>
        </w:rPr>
        <w:t xml:space="preserve">        </w:t>
      </w:r>
      <w:r>
        <w:rPr>
          <w:sz w:val="24"/>
          <w:szCs w:val="24"/>
        </w:rPr>
        <w:t>年</w:t>
      </w:r>
      <w:r>
        <w:rPr>
          <w:rFonts w:hint="eastAsia"/>
          <w:sz w:val="24"/>
          <w:szCs w:val="24"/>
          <w:u w:val="single"/>
        </w:rPr>
        <w:t xml:space="preserve">    </w:t>
      </w:r>
      <w:r>
        <w:rPr>
          <w:sz w:val="24"/>
          <w:szCs w:val="24"/>
        </w:rPr>
        <w:t>月</w:t>
      </w:r>
      <w:r>
        <w:rPr>
          <w:rFonts w:hint="eastAsia"/>
          <w:sz w:val="24"/>
          <w:szCs w:val="24"/>
          <w:u w:val="single"/>
        </w:rPr>
        <w:t xml:space="preserve">    </w:t>
      </w:r>
      <w:r>
        <w:rPr>
          <w:sz w:val="24"/>
          <w:szCs w:val="24"/>
        </w:rPr>
        <w:t>日</w:t>
      </w:r>
    </w:p>
    <w:p>
      <w:pPr>
        <w:widowControl/>
        <w:spacing w:line="360" w:lineRule="auto"/>
        <w:jc w:val="left"/>
        <w:rPr>
          <w:sz w:val="24"/>
          <w:szCs w:val="24"/>
        </w:rPr>
      </w:pPr>
      <w:r>
        <w:rPr>
          <w:sz w:val="24"/>
          <w:szCs w:val="24"/>
        </w:rPr>
        <w:br w:type="page"/>
      </w:r>
    </w:p>
    <w:p>
      <w:pPr>
        <w:pStyle w:val="5"/>
        <w:tabs>
          <w:tab w:val="left" w:pos="0"/>
          <w:tab w:val="clear" w:pos="1260"/>
        </w:tabs>
        <w:spacing w:line="360" w:lineRule="auto"/>
        <w:ind w:left="0" w:firstLine="0"/>
        <w:rPr>
          <w:rFonts w:ascii="宋体" w:hAnsi="宋体"/>
          <w:sz w:val="24"/>
        </w:rPr>
      </w:pPr>
      <w:bookmarkStart w:id="113" w:name="_Toc53991864"/>
      <w:bookmarkStart w:id="114" w:name="_Toc510187107"/>
      <w:r>
        <w:rPr>
          <w:rFonts w:hint="eastAsia" w:ascii="宋体" w:hAnsi="宋体"/>
          <w:sz w:val="24"/>
        </w:rPr>
        <w:t>三、法定代表人身份证复印件</w:t>
      </w:r>
      <w:bookmarkEnd w:id="113"/>
      <w:bookmarkEnd w:id="114"/>
      <w:r>
        <w:rPr>
          <w:rFonts w:hint="eastAsia" w:ascii="宋体" w:hAnsi="宋体"/>
          <w:sz w:val="24"/>
        </w:rPr>
        <w:t>（盖章）</w:t>
      </w:r>
    </w:p>
    <w:p>
      <w:pPr>
        <w:widowControl/>
        <w:spacing w:line="360" w:lineRule="auto"/>
        <w:jc w:val="left"/>
        <w:rPr>
          <w:rFonts w:ascii="宋体" w:hAnsi="宋体"/>
          <w:bCs/>
          <w:sz w:val="24"/>
          <w:szCs w:val="24"/>
        </w:rPr>
      </w:pPr>
    </w:p>
    <w:p>
      <w:pPr>
        <w:widowControl/>
        <w:spacing w:line="360" w:lineRule="auto"/>
        <w:jc w:val="left"/>
        <w:rPr>
          <w:rFonts w:ascii="宋体" w:hAnsi="宋体"/>
          <w:bCs/>
          <w:sz w:val="24"/>
          <w:szCs w:val="24"/>
        </w:rPr>
      </w:pPr>
      <w:r>
        <w:rPr>
          <w:rFonts w:ascii="宋体" w:hAnsi="宋体"/>
          <w:bCs/>
          <w:sz w:val="24"/>
          <w:szCs w:val="24"/>
        </w:rPr>
        <w:br w:type="page"/>
      </w:r>
    </w:p>
    <w:p>
      <w:pPr>
        <w:pStyle w:val="5"/>
        <w:tabs>
          <w:tab w:val="left" w:pos="0"/>
          <w:tab w:val="clear" w:pos="1260"/>
        </w:tabs>
        <w:spacing w:line="360" w:lineRule="auto"/>
        <w:ind w:left="0" w:firstLine="0"/>
        <w:rPr>
          <w:rFonts w:ascii="宋体" w:hAnsi="宋体"/>
          <w:sz w:val="24"/>
        </w:rPr>
      </w:pPr>
      <w:bookmarkStart w:id="115" w:name="_Toc53991865"/>
      <w:bookmarkStart w:id="116" w:name="_Toc510187108"/>
      <w:r>
        <w:rPr>
          <w:rFonts w:hint="eastAsia" w:ascii="宋体" w:hAnsi="宋体"/>
          <w:sz w:val="24"/>
        </w:rPr>
        <w:t>四、</w:t>
      </w:r>
      <w:r>
        <w:rPr>
          <w:rFonts w:ascii="宋体" w:hAnsi="宋体"/>
          <w:sz w:val="24"/>
        </w:rPr>
        <w:t>法定代表人授权委托书</w:t>
      </w:r>
      <w:r>
        <w:rPr>
          <w:rFonts w:hint="eastAsia" w:ascii="宋体" w:hAnsi="宋体"/>
          <w:sz w:val="24"/>
        </w:rPr>
        <w:t>（如有）</w:t>
      </w:r>
      <w:bookmarkEnd w:id="115"/>
      <w:bookmarkEnd w:id="116"/>
    </w:p>
    <w:p>
      <w:pPr>
        <w:spacing w:line="360" w:lineRule="auto"/>
        <w:jc w:val="center"/>
        <w:rPr>
          <w:b/>
          <w:sz w:val="24"/>
          <w:szCs w:val="24"/>
        </w:rPr>
      </w:pPr>
    </w:p>
    <w:p>
      <w:pPr>
        <w:spacing w:line="360" w:lineRule="auto"/>
        <w:jc w:val="center"/>
        <w:rPr>
          <w:b/>
          <w:sz w:val="24"/>
          <w:szCs w:val="24"/>
        </w:rPr>
      </w:pPr>
    </w:p>
    <w:p>
      <w:pPr>
        <w:pStyle w:val="2"/>
        <w:spacing w:line="360" w:lineRule="auto"/>
      </w:pPr>
    </w:p>
    <w:p>
      <w:pPr>
        <w:pStyle w:val="24"/>
        <w:spacing w:after="120" w:afterLines="50" w:line="360" w:lineRule="auto"/>
        <w:jc w:val="center"/>
        <w:rPr>
          <w:rFonts w:ascii="Times New Roman" w:hAnsi="Times New Roman"/>
          <w:sz w:val="44"/>
        </w:rPr>
      </w:pPr>
      <w:r>
        <w:rPr>
          <w:rFonts w:ascii="Times New Roman" w:hAnsi="Times New Roman"/>
          <w:sz w:val="44"/>
        </w:rPr>
        <w:t>法定代表人授</w:t>
      </w:r>
      <w:r>
        <w:rPr>
          <w:rFonts w:ascii="Times New Roman" w:hAnsi="Times New Roman"/>
          <w:sz w:val="44"/>
          <w:szCs w:val="52"/>
        </w:rPr>
        <w:t>权</w:t>
      </w:r>
      <w:r>
        <w:rPr>
          <w:rFonts w:ascii="Times New Roman" w:hAnsi="Times New Roman"/>
          <w:sz w:val="44"/>
        </w:rPr>
        <w:t>委托</w:t>
      </w:r>
      <w:r>
        <w:rPr>
          <w:rFonts w:ascii="Times New Roman" w:hAnsi="Times New Roman"/>
          <w:sz w:val="44"/>
          <w:szCs w:val="52"/>
        </w:rPr>
        <w:t>书</w:t>
      </w:r>
    </w:p>
    <w:p>
      <w:pPr>
        <w:pStyle w:val="24"/>
        <w:spacing w:after="120" w:afterLines="50" w:line="360" w:lineRule="auto"/>
        <w:jc w:val="center"/>
        <w:rPr>
          <w:rFonts w:ascii="Times New Roman" w:hAnsi="Times New Roman" w:eastAsia="华文细黑"/>
          <w:sz w:val="44"/>
        </w:rPr>
      </w:pPr>
    </w:p>
    <w:p>
      <w:pPr>
        <w:pStyle w:val="24"/>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本授权委托书声明：我</w:t>
      </w:r>
      <w:r>
        <w:rPr>
          <w:rFonts w:ascii="Times New Roman" w:hAnsi="Times New Roman"/>
          <w:sz w:val="24"/>
          <w:szCs w:val="24"/>
          <w:u w:val="single"/>
        </w:rPr>
        <w:t xml:space="preserve">       [姓名]     </w:t>
      </w:r>
      <w:r>
        <w:rPr>
          <w:rFonts w:ascii="Times New Roman" w:hAnsi="Times New Roman"/>
          <w:sz w:val="24"/>
          <w:szCs w:val="24"/>
        </w:rPr>
        <w:t>系</w:t>
      </w:r>
      <w:r>
        <w:rPr>
          <w:rFonts w:ascii="Times New Roman" w:hAnsi="Times New Roman"/>
          <w:sz w:val="24"/>
          <w:szCs w:val="24"/>
          <w:u w:val="single"/>
        </w:rPr>
        <w:t xml:space="preserve">          [参选人名称]           </w:t>
      </w:r>
      <w:r>
        <w:rPr>
          <w:rFonts w:ascii="Times New Roman" w:hAnsi="Times New Roman"/>
          <w:sz w:val="24"/>
          <w:szCs w:val="24"/>
        </w:rPr>
        <w:t>的法定代表人，现授权委托</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[单位名称]              </w:t>
      </w:r>
      <w:r>
        <w:rPr>
          <w:rFonts w:ascii="Times New Roman" w:hAnsi="Times New Roman"/>
          <w:sz w:val="24"/>
          <w:szCs w:val="24"/>
        </w:rPr>
        <w:t>的</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[姓名]       </w:t>
      </w:r>
      <w:r>
        <w:rPr>
          <w:rFonts w:ascii="Times New Roman" w:hAnsi="Times New Roman"/>
          <w:sz w:val="24"/>
          <w:szCs w:val="24"/>
        </w:rPr>
        <w:t>全权代表我公司参选项目、代表我公司签署参选文件的法定代表人的授权委托代理人，我承认代理人全权代表我所签署的参选文件的内容、我承认代理人全权代表我司的参选任何行为。</w:t>
      </w:r>
    </w:p>
    <w:p>
      <w:pPr>
        <w:pStyle w:val="24"/>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授权有效期由</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至</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w:t>
      </w:r>
    </w:p>
    <w:p>
      <w:pPr>
        <w:pStyle w:val="24"/>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代理人无转委托权，特此委托。</w:t>
      </w:r>
    </w:p>
    <w:p>
      <w:pPr>
        <w:pStyle w:val="24"/>
        <w:spacing w:line="360" w:lineRule="auto"/>
        <w:ind w:left="178" w:leftChars="85" w:firstLine="480" w:firstLineChars="200"/>
        <w:rPr>
          <w:rFonts w:ascii="Times New Roman" w:hAnsi="Times New Roman"/>
          <w:sz w:val="24"/>
          <w:szCs w:val="24"/>
        </w:rPr>
      </w:pPr>
    </w:p>
    <w:p>
      <w:pPr>
        <w:pStyle w:val="24"/>
        <w:spacing w:line="360" w:lineRule="auto"/>
        <w:ind w:left="178" w:leftChars="85" w:firstLine="480" w:firstLineChars="200"/>
        <w:rPr>
          <w:rFonts w:ascii="Times New Roman" w:hAnsi="Times New Roman"/>
          <w:sz w:val="24"/>
          <w:szCs w:val="24"/>
        </w:rPr>
      </w:pPr>
    </w:p>
    <w:p>
      <w:pPr>
        <w:pStyle w:val="24"/>
        <w:spacing w:line="360" w:lineRule="auto"/>
        <w:ind w:left="178" w:leftChars="85" w:firstLine="480" w:firstLineChars="200"/>
        <w:rPr>
          <w:rFonts w:ascii="Times New Roman" w:hAnsi="Times New Roman"/>
          <w:sz w:val="24"/>
          <w:szCs w:val="24"/>
        </w:rPr>
      </w:pPr>
    </w:p>
    <w:p>
      <w:pPr>
        <w:pStyle w:val="24"/>
        <w:spacing w:line="360" w:lineRule="auto"/>
        <w:ind w:firstLine="480" w:firstLineChars="200"/>
        <w:rPr>
          <w:rFonts w:ascii="Times New Roman" w:hAnsi="Times New Roman"/>
          <w:sz w:val="24"/>
          <w:szCs w:val="24"/>
          <w:u w:val="single"/>
        </w:rPr>
      </w:pPr>
      <w:r>
        <w:rPr>
          <w:rFonts w:ascii="Times New Roman" w:hAnsi="Times New Roman"/>
          <w:sz w:val="24"/>
          <w:szCs w:val="24"/>
        </w:rPr>
        <w:t>代理人：</w:t>
      </w:r>
      <w:r>
        <w:rPr>
          <w:rFonts w:hint="eastAsia" w:ascii="Times New Roman" w:hAnsi="Times New Roman"/>
          <w:sz w:val="24"/>
          <w:szCs w:val="24"/>
          <w:u w:val="single"/>
        </w:rPr>
        <w:t xml:space="preserve">                </w:t>
      </w:r>
      <w:r>
        <w:rPr>
          <w:rFonts w:ascii="Times New Roman" w:hAnsi="Times New Roman"/>
          <w:sz w:val="24"/>
          <w:szCs w:val="24"/>
        </w:rPr>
        <w:t>性别：</w:t>
      </w:r>
      <w:r>
        <w:rPr>
          <w:rFonts w:hint="eastAsia" w:ascii="Times New Roman" w:hAnsi="Times New Roman"/>
          <w:sz w:val="24"/>
          <w:szCs w:val="24"/>
          <w:u w:val="single"/>
        </w:rPr>
        <w:t xml:space="preserve">        </w:t>
      </w:r>
      <w:r>
        <w:rPr>
          <w:rFonts w:ascii="Times New Roman" w:hAnsi="Times New Roman"/>
          <w:sz w:val="24"/>
          <w:szCs w:val="24"/>
        </w:rPr>
        <w:t>年龄：</w:t>
      </w:r>
      <w:r>
        <w:rPr>
          <w:rFonts w:hint="eastAsia" w:ascii="Times New Roman" w:hAnsi="Times New Roman"/>
          <w:sz w:val="24"/>
          <w:szCs w:val="24"/>
          <w:u w:val="single"/>
        </w:rPr>
        <w:t xml:space="preserve">        </w:t>
      </w:r>
    </w:p>
    <w:p>
      <w:pPr>
        <w:pStyle w:val="24"/>
        <w:spacing w:line="360" w:lineRule="auto"/>
        <w:ind w:firstLine="480" w:firstLineChars="200"/>
        <w:rPr>
          <w:rFonts w:ascii="Times New Roman" w:hAnsi="Times New Roman"/>
          <w:sz w:val="24"/>
          <w:szCs w:val="24"/>
          <w:u w:val="single"/>
        </w:rPr>
      </w:pPr>
      <w:r>
        <w:rPr>
          <w:rFonts w:ascii="Times New Roman" w:hAnsi="Times New Roman"/>
          <w:sz w:val="24"/>
          <w:szCs w:val="24"/>
        </w:rPr>
        <w:t>身份证号码：</w:t>
      </w:r>
      <w:r>
        <w:rPr>
          <w:rFonts w:hint="eastAsia" w:ascii="Times New Roman" w:hAnsi="Times New Roman"/>
          <w:sz w:val="24"/>
          <w:szCs w:val="24"/>
          <w:u w:val="single"/>
        </w:rPr>
        <w:t xml:space="preserve">                          </w:t>
      </w:r>
      <w:r>
        <w:rPr>
          <w:rFonts w:ascii="Times New Roman" w:hAnsi="Times New Roman"/>
          <w:sz w:val="24"/>
          <w:szCs w:val="24"/>
        </w:rPr>
        <w:t>职务：</w:t>
      </w:r>
      <w:r>
        <w:rPr>
          <w:rFonts w:hint="eastAsia" w:ascii="Times New Roman" w:hAnsi="Times New Roman"/>
          <w:sz w:val="24"/>
          <w:szCs w:val="24"/>
          <w:u w:val="single"/>
        </w:rPr>
        <w:t xml:space="preserve">        </w:t>
      </w:r>
    </w:p>
    <w:p>
      <w:pPr>
        <w:pStyle w:val="24"/>
        <w:spacing w:line="360" w:lineRule="auto"/>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24"/>
        <w:spacing w:line="360" w:lineRule="auto"/>
        <w:ind w:firstLine="480" w:firstLineChars="200"/>
        <w:rPr>
          <w:rFonts w:ascii="Times New Roman" w:hAnsi="Times New Roman"/>
          <w:sz w:val="24"/>
          <w:szCs w:val="24"/>
        </w:rPr>
      </w:pPr>
      <w:r>
        <w:rPr>
          <w:rFonts w:ascii="Times New Roman" w:hAnsi="Times New Roman"/>
          <w:sz w:val="24"/>
          <w:szCs w:val="24"/>
        </w:rPr>
        <w:t>法定代表人（签字或盖章）：</w:t>
      </w:r>
    </w:p>
    <w:p>
      <w:pPr>
        <w:widowControl/>
        <w:spacing w:line="360" w:lineRule="auto"/>
        <w:ind w:firstLine="480" w:firstLineChars="200"/>
        <w:jc w:val="left"/>
        <w:rPr>
          <w:rFonts w:ascii="宋体" w:hAnsi="宋体"/>
          <w:bCs/>
          <w:sz w:val="24"/>
          <w:szCs w:val="24"/>
        </w:rPr>
      </w:pPr>
      <w:r>
        <w:rPr>
          <w:sz w:val="24"/>
          <w:szCs w:val="24"/>
        </w:rPr>
        <w:t>授权委托日期：</w:t>
      </w:r>
      <w:r>
        <w:rPr>
          <w:rFonts w:hint="eastAsia"/>
          <w:sz w:val="24"/>
          <w:szCs w:val="24"/>
          <w:u w:val="single"/>
        </w:rPr>
        <w:t xml:space="preserve">        </w:t>
      </w:r>
      <w:r>
        <w:rPr>
          <w:sz w:val="24"/>
          <w:szCs w:val="24"/>
          <w:u w:val="single"/>
        </w:rPr>
        <w:t>年</w:t>
      </w:r>
      <w:r>
        <w:rPr>
          <w:rFonts w:hint="eastAsia"/>
          <w:sz w:val="24"/>
          <w:szCs w:val="24"/>
          <w:u w:val="single"/>
        </w:rPr>
        <w:t xml:space="preserve">    </w:t>
      </w:r>
      <w:r>
        <w:rPr>
          <w:sz w:val="24"/>
          <w:szCs w:val="24"/>
          <w:u w:val="single"/>
        </w:rPr>
        <w:t>月</w:t>
      </w:r>
      <w:r>
        <w:rPr>
          <w:rFonts w:hint="eastAsia"/>
          <w:sz w:val="24"/>
          <w:szCs w:val="24"/>
          <w:u w:val="single"/>
        </w:rPr>
        <w:t xml:space="preserve">    </w:t>
      </w:r>
      <w:r>
        <w:rPr>
          <w:sz w:val="24"/>
          <w:szCs w:val="24"/>
          <w:u w:val="single"/>
        </w:rPr>
        <w:t>日</w:t>
      </w:r>
    </w:p>
    <w:p>
      <w:pPr>
        <w:widowControl/>
        <w:spacing w:line="360" w:lineRule="auto"/>
        <w:jc w:val="left"/>
        <w:rPr>
          <w:rFonts w:ascii="宋体" w:hAnsi="宋体"/>
          <w:bCs/>
          <w:sz w:val="24"/>
          <w:szCs w:val="24"/>
        </w:rPr>
      </w:pPr>
    </w:p>
    <w:p>
      <w:pPr>
        <w:widowControl/>
        <w:spacing w:line="360" w:lineRule="auto"/>
        <w:jc w:val="left"/>
        <w:rPr>
          <w:rFonts w:ascii="宋体" w:hAnsi="宋体"/>
          <w:bCs/>
          <w:sz w:val="24"/>
          <w:szCs w:val="24"/>
        </w:rPr>
      </w:pPr>
      <w:r>
        <w:rPr>
          <w:rFonts w:ascii="宋体" w:hAnsi="宋体"/>
          <w:bCs/>
          <w:sz w:val="24"/>
          <w:szCs w:val="24"/>
        </w:rPr>
        <w:br w:type="page"/>
      </w:r>
    </w:p>
    <w:p>
      <w:pPr>
        <w:pStyle w:val="5"/>
        <w:tabs>
          <w:tab w:val="left" w:pos="0"/>
          <w:tab w:val="clear" w:pos="1260"/>
        </w:tabs>
        <w:spacing w:line="360" w:lineRule="auto"/>
        <w:ind w:left="0" w:firstLine="0"/>
        <w:rPr>
          <w:rFonts w:ascii="宋体" w:hAnsi="宋体"/>
          <w:bCs/>
          <w:sz w:val="24"/>
          <w:szCs w:val="24"/>
        </w:rPr>
      </w:pPr>
      <w:bookmarkStart w:id="117" w:name="_Toc510187109"/>
      <w:bookmarkStart w:id="118" w:name="_Toc53991866"/>
      <w:r>
        <w:rPr>
          <w:rFonts w:hint="eastAsia" w:ascii="宋体" w:hAnsi="宋体"/>
          <w:sz w:val="24"/>
        </w:rPr>
        <w:t>五、被授权人身份证复印件（如有）</w:t>
      </w:r>
      <w:bookmarkEnd w:id="117"/>
      <w:bookmarkEnd w:id="118"/>
    </w:p>
    <w:p>
      <w:pPr>
        <w:pStyle w:val="119"/>
        <w:spacing w:before="50" w:line="360" w:lineRule="auto"/>
        <w:ind w:firstLine="471" w:firstLineChars="196"/>
        <w:rPr>
          <w:rFonts w:ascii="Times New Roman" w:cs="Times New Roman"/>
          <w:b/>
          <w:color w:val="auto"/>
          <w:szCs w:val="28"/>
        </w:rPr>
      </w:pPr>
    </w:p>
    <w:p>
      <w:pPr>
        <w:pStyle w:val="119"/>
        <w:spacing w:before="50" w:line="360" w:lineRule="auto"/>
        <w:ind w:firstLine="471" w:firstLineChars="196"/>
        <w:rPr>
          <w:rFonts w:ascii="Times New Roman" w:cs="Times New Roman"/>
          <w:b/>
          <w:color w:val="auto"/>
          <w:szCs w:val="28"/>
        </w:rPr>
      </w:pPr>
    </w:p>
    <w:p>
      <w:pPr>
        <w:pStyle w:val="119"/>
        <w:spacing w:before="50" w:line="360" w:lineRule="auto"/>
        <w:ind w:firstLine="471" w:firstLineChars="196"/>
        <w:rPr>
          <w:rFonts w:ascii="Times New Roman" w:cs="Times New Roman"/>
          <w:b/>
          <w:color w:val="auto"/>
          <w:szCs w:val="28"/>
        </w:rPr>
      </w:pPr>
    </w:p>
    <w:p>
      <w:pPr>
        <w:pStyle w:val="119"/>
        <w:spacing w:before="50" w:line="360" w:lineRule="auto"/>
        <w:ind w:firstLine="471" w:firstLineChars="196"/>
        <w:rPr>
          <w:rFonts w:ascii="Times New Roman" w:cs="Times New Roman"/>
          <w:b/>
          <w:color w:val="auto"/>
          <w:szCs w:val="28"/>
        </w:rPr>
      </w:pPr>
    </w:p>
    <w:p>
      <w:pPr>
        <w:pStyle w:val="119"/>
        <w:spacing w:before="50" w:line="360" w:lineRule="auto"/>
        <w:ind w:firstLine="471" w:firstLineChars="196"/>
        <w:rPr>
          <w:rFonts w:ascii="Times New Roman" w:cs="Times New Roman"/>
          <w:b/>
          <w:color w:val="auto"/>
          <w:szCs w:val="28"/>
        </w:rPr>
      </w:pPr>
    </w:p>
    <w:p>
      <w:pPr>
        <w:pStyle w:val="119"/>
        <w:spacing w:before="50" w:line="360" w:lineRule="auto"/>
        <w:ind w:firstLine="471" w:firstLineChars="196"/>
        <w:rPr>
          <w:rFonts w:ascii="Times New Roman" w:cs="Times New Roman"/>
          <w:b/>
          <w:color w:val="auto"/>
          <w:szCs w:val="28"/>
        </w:rPr>
      </w:pPr>
    </w:p>
    <w:p>
      <w:pPr>
        <w:pStyle w:val="119"/>
        <w:spacing w:before="50" w:line="360" w:lineRule="auto"/>
        <w:ind w:firstLine="471" w:firstLineChars="196"/>
        <w:rPr>
          <w:rFonts w:ascii="Times New Roman" w:cs="Times New Roman"/>
          <w:b/>
          <w:color w:val="auto"/>
          <w:szCs w:val="28"/>
        </w:rPr>
      </w:pPr>
    </w:p>
    <w:p>
      <w:pPr>
        <w:pStyle w:val="119"/>
        <w:spacing w:before="50" w:line="360" w:lineRule="auto"/>
        <w:ind w:firstLine="471" w:firstLineChars="196"/>
        <w:rPr>
          <w:rFonts w:ascii="Times New Roman" w:cs="Times New Roman"/>
          <w:b/>
          <w:color w:val="auto"/>
          <w:szCs w:val="28"/>
        </w:rPr>
      </w:pPr>
    </w:p>
    <w:p>
      <w:pPr>
        <w:pStyle w:val="119"/>
        <w:spacing w:before="50" w:line="360" w:lineRule="auto"/>
        <w:ind w:firstLine="471" w:firstLineChars="196"/>
        <w:rPr>
          <w:rFonts w:ascii="Times New Roman" w:cs="Times New Roman"/>
          <w:b/>
          <w:color w:val="auto"/>
          <w:szCs w:val="28"/>
        </w:rPr>
      </w:pPr>
    </w:p>
    <w:p>
      <w:pPr>
        <w:pStyle w:val="119"/>
        <w:spacing w:before="50" w:line="360" w:lineRule="auto"/>
        <w:ind w:firstLine="471" w:firstLineChars="196"/>
        <w:rPr>
          <w:rFonts w:ascii="Times New Roman" w:cs="Times New Roman"/>
          <w:b/>
          <w:color w:val="auto"/>
          <w:szCs w:val="28"/>
        </w:rPr>
      </w:pPr>
    </w:p>
    <w:p>
      <w:pPr>
        <w:pStyle w:val="119"/>
        <w:spacing w:before="50" w:line="360" w:lineRule="auto"/>
        <w:ind w:firstLine="471" w:firstLineChars="196"/>
        <w:rPr>
          <w:rFonts w:ascii="Times New Roman" w:cs="Times New Roman"/>
          <w:b/>
          <w:color w:val="auto"/>
          <w:szCs w:val="28"/>
        </w:rPr>
      </w:pPr>
    </w:p>
    <w:p>
      <w:pPr>
        <w:pStyle w:val="119"/>
        <w:spacing w:before="50" w:line="360" w:lineRule="auto"/>
        <w:ind w:firstLine="471" w:firstLineChars="196"/>
        <w:rPr>
          <w:rFonts w:ascii="Times New Roman" w:cs="Times New Roman"/>
          <w:b/>
          <w:color w:val="auto"/>
          <w:szCs w:val="28"/>
        </w:rPr>
      </w:pPr>
    </w:p>
    <w:p>
      <w:pPr>
        <w:pStyle w:val="119"/>
        <w:spacing w:before="50" w:line="360" w:lineRule="auto"/>
        <w:ind w:firstLine="471" w:firstLineChars="196"/>
        <w:rPr>
          <w:rFonts w:ascii="Times New Roman" w:cs="Times New Roman"/>
          <w:b/>
          <w:color w:val="auto"/>
          <w:szCs w:val="28"/>
        </w:rPr>
      </w:pPr>
    </w:p>
    <w:p>
      <w:pPr>
        <w:pStyle w:val="119"/>
        <w:spacing w:before="50" w:line="360" w:lineRule="auto"/>
        <w:ind w:firstLine="471" w:firstLineChars="196"/>
        <w:rPr>
          <w:rFonts w:ascii="Times New Roman" w:cs="Times New Roman"/>
          <w:b/>
          <w:color w:val="auto"/>
          <w:szCs w:val="28"/>
        </w:rPr>
      </w:pPr>
    </w:p>
    <w:p>
      <w:pPr>
        <w:pStyle w:val="119"/>
        <w:spacing w:before="50" w:line="360" w:lineRule="auto"/>
        <w:ind w:firstLine="471" w:firstLineChars="196"/>
        <w:rPr>
          <w:rFonts w:ascii="Times New Roman" w:cs="Times New Roman"/>
          <w:b/>
          <w:color w:val="auto"/>
          <w:szCs w:val="28"/>
        </w:rPr>
      </w:pPr>
    </w:p>
    <w:p>
      <w:pPr>
        <w:pStyle w:val="119"/>
        <w:spacing w:before="50" w:line="360" w:lineRule="auto"/>
        <w:ind w:firstLine="471" w:firstLineChars="196"/>
        <w:rPr>
          <w:rFonts w:ascii="Times New Roman" w:cs="Times New Roman"/>
          <w:b/>
          <w:color w:val="auto"/>
          <w:szCs w:val="28"/>
        </w:rPr>
      </w:pPr>
    </w:p>
    <w:p>
      <w:pPr>
        <w:pStyle w:val="119"/>
        <w:spacing w:before="50" w:line="360" w:lineRule="auto"/>
        <w:ind w:firstLine="471" w:firstLineChars="196"/>
        <w:rPr>
          <w:rFonts w:ascii="Times New Roman" w:cs="Times New Roman"/>
          <w:b/>
          <w:color w:val="auto"/>
          <w:szCs w:val="28"/>
        </w:rPr>
      </w:pPr>
    </w:p>
    <w:p>
      <w:pPr>
        <w:pStyle w:val="119"/>
        <w:spacing w:before="50" w:line="360" w:lineRule="auto"/>
        <w:ind w:firstLine="471" w:firstLineChars="196"/>
        <w:rPr>
          <w:rFonts w:ascii="Times New Roman" w:cs="Times New Roman"/>
          <w:b/>
          <w:color w:val="auto"/>
          <w:szCs w:val="28"/>
        </w:rPr>
      </w:pPr>
    </w:p>
    <w:p>
      <w:pPr>
        <w:pStyle w:val="119"/>
        <w:spacing w:before="50" w:line="360" w:lineRule="auto"/>
        <w:ind w:firstLine="471" w:firstLineChars="196"/>
        <w:rPr>
          <w:rFonts w:ascii="Times New Roman" w:cs="Times New Roman"/>
          <w:b/>
          <w:color w:val="auto"/>
          <w:szCs w:val="28"/>
        </w:rPr>
      </w:pPr>
    </w:p>
    <w:p>
      <w:pPr>
        <w:pStyle w:val="119"/>
        <w:spacing w:before="50" w:line="360" w:lineRule="auto"/>
        <w:ind w:firstLine="471" w:firstLineChars="196"/>
        <w:rPr>
          <w:rFonts w:ascii="Times New Roman" w:cs="Times New Roman"/>
          <w:b/>
          <w:color w:val="auto"/>
          <w:szCs w:val="28"/>
        </w:rPr>
      </w:pPr>
    </w:p>
    <w:p>
      <w:pPr>
        <w:pStyle w:val="119"/>
        <w:spacing w:before="50" w:line="360" w:lineRule="auto"/>
        <w:rPr>
          <w:rFonts w:ascii="Times New Roman" w:cs="Times New Roman"/>
          <w:b/>
          <w:color w:val="auto"/>
          <w:szCs w:val="28"/>
        </w:rPr>
      </w:pPr>
    </w:p>
    <w:p>
      <w:pPr>
        <w:pStyle w:val="119"/>
        <w:spacing w:before="50" w:line="360" w:lineRule="auto"/>
        <w:rPr>
          <w:rFonts w:ascii="Times New Roman" w:cs="Times New Roman"/>
          <w:b/>
          <w:color w:val="auto"/>
          <w:szCs w:val="28"/>
        </w:rPr>
      </w:pPr>
    </w:p>
    <w:p>
      <w:pPr>
        <w:pStyle w:val="119"/>
        <w:spacing w:before="50" w:line="360" w:lineRule="auto"/>
        <w:rPr>
          <w:rFonts w:ascii="Times New Roman" w:cs="Times New Roman"/>
          <w:b/>
          <w:color w:val="auto"/>
          <w:szCs w:val="28"/>
        </w:rPr>
      </w:pPr>
    </w:p>
    <w:p>
      <w:pPr>
        <w:pStyle w:val="119"/>
        <w:spacing w:before="50" w:line="360" w:lineRule="auto"/>
        <w:rPr>
          <w:rFonts w:ascii="Times New Roman" w:cs="Times New Roman"/>
          <w:b/>
          <w:color w:val="auto"/>
          <w:szCs w:val="28"/>
        </w:rPr>
      </w:pPr>
    </w:p>
    <w:p>
      <w:pPr>
        <w:pStyle w:val="119"/>
        <w:spacing w:before="50" w:line="360" w:lineRule="auto"/>
        <w:rPr>
          <w:rFonts w:ascii="Times New Roman" w:cs="Times New Roman"/>
          <w:b/>
          <w:color w:val="auto"/>
          <w:szCs w:val="28"/>
        </w:rPr>
      </w:pPr>
    </w:p>
    <w:p>
      <w:pPr>
        <w:pStyle w:val="119"/>
        <w:spacing w:before="50" w:line="360" w:lineRule="auto"/>
        <w:rPr>
          <w:rFonts w:ascii="Times New Roman" w:cs="Times New Roman"/>
          <w:b/>
          <w:color w:val="auto"/>
          <w:szCs w:val="28"/>
        </w:rPr>
      </w:pPr>
    </w:p>
    <w:p>
      <w:pPr>
        <w:pStyle w:val="119"/>
        <w:spacing w:before="50" w:line="360" w:lineRule="auto"/>
        <w:rPr>
          <w:rFonts w:ascii="Times New Roman" w:cs="Times New Roman"/>
          <w:b/>
          <w:color w:val="auto"/>
          <w:szCs w:val="28"/>
        </w:rPr>
      </w:pPr>
    </w:p>
    <w:p>
      <w:pPr>
        <w:pStyle w:val="119"/>
        <w:spacing w:before="50" w:line="360" w:lineRule="auto"/>
        <w:rPr>
          <w:rFonts w:ascii="Times New Roman" w:cs="Times New Roman"/>
          <w:b/>
          <w:color w:val="auto"/>
          <w:szCs w:val="28"/>
        </w:rPr>
      </w:pPr>
    </w:p>
    <w:p>
      <w:pPr>
        <w:pStyle w:val="5"/>
        <w:tabs>
          <w:tab w:val="left" w:pos="0"/>
          <w:tab w:val="clear" w:pos="1260"/>
        </w:tabs>
        <w:spacing w:line="360" w:lineRule="auto"/>
        <w:ind w:left="0" w:firstLine="0"/>
        <w:rPr>
          <w:rFonts w:ascii="宋体" w:hAnsi="宋体"/>
          <w:sz w:val="24"/>
        </w:rPr>
      </w:pPr>
      <w:r>
        <w:rPr>
          <w:rFonts w:hint="eastAsia" w:ascii="宋体" w:hAnsi="宋体"/>
          <w:sz w:val="24"/>
        </w:rPr>
        <w:t>六、资格审查所需证明材料</w:t>
      </w:r>
    </w:p>
    <w:p>
      <w:pPr>
        <w:adjustRightInd w:val="0"/>
        <w:snapToGrid w:val="0"/>
        <w:spacing w:line="360" w:lineRule="auto"/>
        <w:ind w:firstLine="420" w:firstLineChars="200"/>
        <w:rPr>
          <w:rFonts w:ascii="宋体" w:hAnsi="宋体"/>
          <w:bCs/>
          <w:szCs w:val="24"/>
        </w:rPr>
      </w:pPr>
      <w:r>
        <w:rPr>
          <w:rFonts w:hint="eastAsia" w:ascii="宋体" w:hAnsi="宋体"/>
          <w:bCs/>
          <w:szCs w:val="24"/>
        </w:rPr>
        <w:t>参选人必须是中华人民共和国境内依法注册的法人或合伙制企业或其他组织，且具有城乡规划编制甲级资质。</w:t>
      </w:r>
    </w:p>
    <w:p>
      <w:pPr>
        <w:pStyle w:val="42"/>
      </w:pPr>
    </w:p>
    <w:p>
      <w:pPr>
        <w:adjustRightInd w:val="0"/>
        <w:snapToGrid w:val="0"/>
        <w:spacing w:line="360" w:lineRule="auto"/>
        <w:ind w:firstLine="420" w:firstLineChars="200"/>
        <w:rPr>
          <w:rFonts w:ascii="宋体" w:hAnsi="宋体"/>
          <w:bCs/>
          <w:szCs w:val="24"/>
        </w:rPr>
      </w:pPr>
    </w:p>
    <w:p>
      <w:pPr>
        <w:rPr>
          <w:rFonts w:ascii="宋体" w:hAnsi="宋体"/>
          <w:sz w:val="24"/>
        </w:rPr>
      </w:pPr>
      <w:r>
        <w:rPr>
          <w:rFonts w:hint="eastAsia" w:ascii="宋体" w:hAnsi="宋体"/>
          <w:sz w:val="24"/>
        </w:rPr>
        <w:br w:type="page"/>
      </w:r>
    </w:p>
    <w:p>
      <w:pPr>
        <w:pStyle w:val="5"/>
        <w:tabs>
          <w:tab w:val="left" w:pos="0"/>
          <w:tab w:val="clear" w:pos="1260"/>
        </w:tabs>
        <w:spacing w:line="360" w:lineRule="auto"/>
        <w:ind w:left="0" w:firstLine="0"/>
        <w:rPr>
          <w:rFonts w:ascii="宋体" w:hAnsi="宋体"/>
          <w:sz w:val="24"/>
        </w:rPr>
      </w:pPr>
      <w:r>
        <w:rPr>
          <w:rFonts w:hint="eastAsia" w:ascii="宋体" w:hAnsi="宋体"/>
          <w:sz w:val="24"/>
        </w:rPr>
        <w:t>七、投标人业绩、获奖情况、项目负责人情况、知识产权情况，拟派项目团队及项目认知和重难点分析</w:t>
      </w:r>
    </w:p>
    <w:p>
      <w:pPr>
        <w:numPr>
          <w:ilvl w:val="0"/>
          <w:numId w:val="4"/>
        </w:numPr>
        <w:snapToGrid w:val="0"/>
        <w:spacing w:line="360" w:lineRule="auto"/>
        <w:ind w:firstLine="480" w:firstLineChars="200"/>
        <w:rPr>
          <w:rFonts w:ascii="宋体" w:hAnsi="宋体"/>
          <w:bCs/>
          <w:sz w:val="24"/>
        </w:rPr>
      </w:pPr>
      <w:r>
        <w:rPr>
          <w:rFonts w:ascii="宋体" w:hAnsi="宋体"/>
          <w:bCs/>
          <w:sz w:val="24"/>
        </w:rPr>
        <w:br w:type="page"/>
      </w:r>
    </w:p>
    <w:p>
      <w:pPr>
        <w:spacing w:line="360" w:lineRule="auto"/>
        <w:rPr>
          <w:rFonts w:ascii="宋体" w:hAnsi="宋体"/>
          <w:spacing w:val="36"/>
          <w:sz w:val="44"/>
          <w:szCs w:val="44"/>
        </w:rPr>
      </w:pPr>
    </w:p>
    <w:p>
      <w:pPr>
        <w:tabs>
          <w:tab w:val="left" w:pos="1410"/>
        </w:tabs>
        <w:spacing w:line="360" w:lineRule="auto"/>
        <w:jc w:val="center"/>
        <w:rPr>
          <w:rFonts w:ascii="宋体" w:hAnsi="宋体"/>
          <w:b/>
          <w:spacing w:val="36"/>
          <w:sz w:val="44"/>
          <w:szCs w:val="44"/>
        </w:rPr>
      </w:pPr>
      <w:r>
        <w:rPr>
          <w:rFonts w:hint="eastAsia" w:ascii="宋体" w:hAnsi="宋体"/>
          <w:b/>
          <w:spacing w:val="36"/>
          <w:sz w:val="44"/>
          <w:szCs w:val="44"/>
        </w:rPr>
        <w:t>第二章</w:t>
      </w:r>
    </w:p>
    <w:p>
      <w:pPr>
        <w:spacing w:line="360" w:lineRule="auto"/>
        <w:jc w:val="center"/>
        <w:rPr>
          <w:rFonts w:ascii="宋体" w:hAnsi="宋体"/>
          <w:spacing w:val="36"/>
          <w:sz w:val="44"/>
          <w:szCs w:val="44"/>
        </w:rPr>
      </w:pPr>
    </w:p>
    <w:p>
      <w:pPr>
        <w:spacing w:line="360" w:lineRule="auto"/>
        <w:jc w:val="center"/>
        <w:rPr>
          <w:rFonts w:ascii="宋体" w:hAnsi="宋体" w:cs="宋体"/>
          <w:b/>
          <w:sz w:val="44"/>
          <w:szCs w:val="44"/>
        </w:rPr>
      </w:pPr>
      <w:r>
        <w:rPr>
          <w:rFonts w:hint="eastAsia" w:ascii="宋体" w:hAnsi="宋体"/>
          <w:b/>
          <w:spacing w:val="36"/>
          <w:sz w:val="44"/>
          <w:szCs w:val="44"/>
        </w:rPr>
        <w:t>光明新湖、昂鹅车辆段、东宝河停车场、</w:t>
      </w:r>
      <w:r>
        <w:rPr>
          <w:rFonts w:hint="eastAsia" w:ascii="宋体" w:hAnsi="宋体"/>
          <w:b/>
          <w:spacing w:val="36"/>
          <w:sz w:val="44"/>
          <w:szCs w:val="44"/>
          <w:lang w:eastAsia="zh-CN"/>
        </w:rPr>
        <w:t>新大存车场</w:t>
      </w:r>
      <w:r>
        <w:rPr>
          <w:rFonts w:hint="eastAsia" w:ascii="宋体" w:hAnsi="宋体"/>
          <w:b/>
          <w:spacing w:val="36"/>
          <w:sz w:val="44"/>
          <w:szCs w:val="44"/>
        </w:rPr>
        <w:t>交通接驳研究</w:t>
      </w:r>
    </w:p>
    <w:p>
      <w:pPr>
        <w:spacing w:line="360" w:lineRule="auto"/>
        <w:jc w:val="center"/>
        <w:rPr>
          <w:rFonts w:ascii="宋体" w:hAnsi="宋体" w:cs="宋体"/>
          <w:b/>
          <w:sz w:val="44"/>
          <w:szCs w:val="44"/>
        </w:rPr>
      </w:pPr>
    </w:p>
    <w:p>
      <w:pPr>
        <w:spacing w:line="360" w:lineRule="auto"/>
        <w:ind w:firstLine="1824" w:firstLineChars="200"/>
        <w:rPr>
          <w:rFonts w:hAnsi="宋体"/>
          <w:bCs/>
          <w:kern w:val="10"/>
          <w:sz w:val="84"/>
          <w:szCs w:val="84"/>
        </w:rPr>
      </w:pPr>
      <w:r>
        <w:rPr>
          <w:rFonts w:hint="eastAsia" w:hAnsi="宋体"/>
          <w:bCs/>
          <w:spacing w:val="36"/>
          <w:kern w:val="10"/>
          <w:sz w:val="84"/>
          <w:szCs w:val="84"/>
        </w:rPr>
        <w:t>参 选 文 件</w:t>
      </w:r>
    </w:p>
    <w:p>
      <w:pPr>
        <w:pStyle w:val="24"/>
        <w:spacing w:line="360" w:lineRule="auto"/>
        <w:jc w:val="center"/>
        <w:rPr>
          <w:rFonts w:hAnsi="宋体"/>
          <w:bCs/>
          <w:sz w:val="17"/>
          <w:szCs w:val="17"/>
        </w:rPr>
      </w:pPr>
    </w:p>
    <w:p>
      <w:pPr>
        <w:pStyle w:val="24"/>
        <w:spacing w:line="360" w:lineRule="auto"/>
        <w:jc w:val="center"/>
        <w:rPr>
          <w:rFonts w:hAnsi="宋体"/>
          <w:b/>
          <w:bCs/>
          <w:sz w:val="52"/>
          <w:szCs w:val="52"/>
        </w:rPr>
      </w:pPr>
      <w:r>
        <w:rPr>
          <w:rFonts w:hint="eastAsia" w:hAnsi="宋体"/>
          <w:b/>
          <w:bCs/>
          <w:sz w:val="52"/>
          <w:szCs w:val="52"/>
        </w:rPr>
        <w:t>商务标书</w:t>
      </w:r>
    </w:p>
    <w:p>
      <w:pPr>
        <w:pStyle w:val="24"/>
        <w:spacing w:line="360" w:lineRule="auto"/>
        <w:jc w:val="center"/>
        <w:rPr>
          <w:rFonts w:hAnsi="宋体"/>
          <w:b/>
          <w:bCs/>
          <w:sz w:val="52"/>
          <w:szCs w:val="52"/>
        </w:rPr>
      </w:pPr>
    </w:p>
    <w:p>
      <w:pPr>
        <w:spacing w:line="520" w:lineRule="exact"/>
        <w:ind w:left="420" w:leftChars="200" w:firstLine="482"/>
        <w:rPr>
          <w:b/>
        </w:rPr>
      </w:pPr>
      <w:r>
        <w:rPr>
          <w:rFonts w:hint="eastAsia"/>
          <w:b/>
        </w:rPr>
        <w:t>参选</w:t>
      </w:r>
      <w:r>
        <w:rPr>
          <w:b/>
        </w:rPr>
        <w:t>人声明：</w:t>
      </w:r>
    </w:p>
    <w:p>
      <w:pPr>
        <w:spacing w:line="520" w:lineRule="exact"/>
        <w:ind w:left="420" w:leftChars="200" w:firstLine="482"/>
        <w:rPr>
          <w:b/>
        </w:rPr>
      </w:pPr>
      <w:r>
        <w:rPr>
          <w:b/>
        </w:rPr>
        <w:t>我司（单位）对本标书所提供文件的真实性、准确性、有效性负全部责任。</w:t>
      </w:r>
    </w:p>
    <w:p>
      <w:pPr>
        <w:pStyle w:val="24"/>
        <w:spacing w:line="360" w:lineRule="auto"/>
        <w:rPr>
          <w:rFonts w:hAnsi="宋体"/>
          <w:b/>
          <w:bCs/>
          <w:sz w:val="52"/>
          <w:szCs w:val="52"/>
        </w:rPr>
      </w:pPr>
    </w:p>
    <w:p>
      <w:pPr>
        <w:pStyle w:val="24"/>
        <w:spacing w:before="360" w:beforeLines="150" w:after="360" w:afterLines="150" w:line="360" w:lineRule="auto"/>
        <w:ind w:firstLine="540" w:firstLineChars="192"/>
        <w:rPr>
          <w:rFonts w:hAnsi="宋体"/>
          <w:b/>
          <w:bCs/>
          <w:sz w:val="28"/>
          <w:szCs w:val="28"/>
        </w:rPr>
      </w:pPr>
      <w:r>
        <w:rPr>
          <w:rFonts w:hint="eastAsia" w:hAnsi="宋体"/>
          <w:b/>
          <w:bCs/>
          <w:sz w:val="28"/>
          <w:szCs w:val="28"/>
        </w:rPr>
        <w:t xml:space="preserve">参选人(盖章)：  </w:t>
      </w:r>
      <w:r>
        <w:rPr>
          <w:rFonts w:hint="eastAsia" w:hAnsi="宋体"/>
          <w:b/>
          <w:bCs/>
          <w:sz w:val="28"/>
          <w:szCs w:val="28"/>
          <w:u w:val="single"/>
        </w:rPr>
        <w:t xml:space="preserve">        [参选人名称]                 </w:t>
      </w:r>
    </w:p>
    <w:p>
      <w:pPr>
        <w:pStyle w:val="24"/>
        <w:spacing w:before="360" w:beforeLines="150" w:after="360" w:afterLines="150" w:line="360" w:lineRule="auto"/>
        <w:ind w:firstLine="540" w:firstLineChars="192"/>
        <w:rPr>
          <w:rFonts w:hAnsi="宋体"/>
          <w:b/>
          <w:bCs/>
          <w:sz w:val="28"/>
          <w:szCs w:val="28"/>
        </w:rPr>
      </w:pPr>
      <w:r>
        <w:rPr>
          <w:rFonts w:hint="eastAsia" w:hAnsi="宋体"/>
          <w:b/>
          <w:bCs/>
          <w:sz w:val="28"/>
          <w:szCs w:val="28"/>
        </w:rPr>
        <w:t>法定代表人或其委托代理人(签字或盖章)：</w:t>
      </w:r>
    </w:p>
    <w:p>
      <w:pPr>
        <w:spacing w:line="360" w:lineRule="auto"/>
        <w:jc w:val="center"/>
        <w:rPr>
          <w:rFonts w:ascii="宋体" w:hAnsi="宋体"/>
          <w:b/>
          <w:bCs/>
          <w:sz w:val="28"/>
          <w:szCs w:val="28"/>
        </w:rPr>
      </w:pPr>
      <w:r>
        <w:rPr>
          <w:rFonts w:hint="eastAsia" w:ascii="宋体" w:hAnsi="宋体"/>
          <w:b/>
          <w:bCs/>
          <w:sz w:val="28"/>
          <w:szCs w:val="28"/>
        </w:rPr>
        <w:t>日   期：2022年   月   日</w:t>
      </w:r>
    </w:p>
    <w:p>
      <w:pPr>
        <w:adjustRightInd w:val="0"/>
        <w:snapToGrid w:val="0"/>
        <w:spacing w:line="360" w:lineRule="auto"/>
        <w:jc w:val="center"/>
        <w:rPr>
          <w:rFonts w:ascii="黑体" w:hAnsi="黑体" w:eastAsia="黑体"/>
          <w:sz w:val="28"/>
          <w:szCs w:val="28"/>
        </w:rPr>
      </w:pPr>
      <w:r>
        <w:rPr>
          <w:rFonts w:hint="eastAsia" w:ascii="宋体" w:hAnsi="宋体"/>
          <w:b/>
          <w:bCs/>
          <w:sz w:val="28"/>
          <w:szCs w:val="28"/>
        </w:rPr>
        <w:br w:type="column"/>
      </w:r>
      <w:r>
        <w:rPr>
          <w:rFonts w:hint="eastAsia" w:ascii="宋体" w:hAnsi="宋体"/>
          <w:b/>
          <w:bCs/>
          <w:sz w:val="28"/>
          <w:szCs w:val="28"/>
        </w:rPr>
        <w:t xml:space="preserve"> </w:t>
      </w:r>
      <w:r>
        <w:rPr>
          <w:rFonts w:hint="eastAsia" w:ascii="宋体" w:hAnsi="宋体"/>
          <w:sz w:val="52"/>
          <w:szCs w:val="52"/>
          <w:u w:val="single"/>
        </w:rPr>
        <w:t>商务标书目录</w:t>
      </w:r>
    </w:p>
    <w:p>
      <w:pPr>
        <w:numPr>
          <w:ilvl w:val="0"/>
          <w:numId w:val="9"/>
        </w:numPr>
        <w:adjustRightInd w:val="0"/>
        <w:snapToGrid w:val="0"/>
        <w:spacing w:before="240" w:line="360" w:lineRule="auto"/>
        <w:rPr>
          <w:rFonts w:ascii="微软雅黑" w:hAnsi="微软雅黑" w:eastAsia="微软雅黑" w:cs="微软雅黑"/>
          <w:b/>
          <w:sz w:val="24"/>
          <w:szCs w:val="24"/>
        </w:rPr>
      </w:pPr>
      <w:r>
        <w:rPr>
          <w:rFonts w:hint="eastAsia" w:ascii="微软雅黑" w:hAnsi="微软雅黑" w:eastAsia="微软雅黑" w:cs="微软雅黑"/>
          <w:b/>
          <w:sz w:val="24"/>
          <w:szCs w:val="24"/>
        </w:rPr>
        <w:t>参选函（加盖公章）</w:t>
      </w:r>
    </w:p>
    <w:p>
      <w:pPr>
        <w:numPr>
          <w:ilvl w:val="0"/>
          <w:numId w:val="9"/>
        </w:numPr>
        <w:adjustRightInd w:val="0"/>
        <w:snapToGrid w:val="0"/>
        <w:spacing w:line="360" w:lineRule="auto"/>
        <w:ind w:left="0" w:firstLine="480" w:firstLineChars="200"/>
        <w:rPr>
          <w:rFonts w:ascii="微软雅黑" w:hAnsi="微软雅黑" w:eastAsia="微软雅黑" w:cs="微软雅黑"/>
          <w:b/>
          <w:sz w:val="24"/>
          <w:szCs w:val="24"/>
        </w:rPr>
      </w:pPr>
      <w:r>
        <w:rPr>
          <w:rFonts w:hint="eastAsia" w:ascii="微软雅黑" w:hAnsi="微软雅黑" w:eastAsia="微软雅黑" w:cs="微软雅黑"/>
          <w:b/>
          <w:sz w:val="24"/>
          <w:szCs w:val="24"/>
        </w:rPr>
        <w:t>报价表（加盖公章）</w:t>
      </w:r>
    </w:p>
    <w:p>
      <w:pPr>
        <w:spacing w:line="360" w:lineRule="auto"/>
        <w:jc w:val="center"/>
        <w:rPr>
          <w:rFonts w:ascii="宋体" w:hAnsi="宋体"/>
          <w:b/>
          <w:bCs/>
          <w:sz w:val="28"/>
          <w:szCs w:val="28"/>
        </w:rPr>
      </w:pPr>
    </w:p>
    <w:p>
      <w:pPr>
        <w:pStyle w:val="24"/>
        <w:spacing w:line="360" w:lineRule="auto"/>
        <w:rPr>
          <w:rFonts w:hAnsi="宋体"/>
          <w:b/>
          <w:sz w:val="24"/>
          <w:szCs w:val="24"/>
        </w:rPr>
      </w:pPr>
      <w:r>
        <w:rPr>
          <w:rFonts w:hint="eastAsia" w:hAnsi="宋体"/>
          <w:sz w:val="24"/>
        </w:rPr>
        <w:br w:type="page"/>
      </w:r>
      <w:r>
        <w:rPr>
          <w:rFonts w:hint="eastAsia" w:hAnsi="宋体"/>
          <w:b/>
          <w:sz w:val="24"/>
          <w:szCs w:val="24"/>
        </w:rPr>
        <w:t>一、参选函格式</w:t>
      </w:r>
    </w:p>
    <w:p>
      <w:pPr>
        <w:pStyle w:val="24"/>
        <w:spacing w:before="120" w:beforeLines="50" w:line="360" w:lineRule="auto"/>
        <w:jc w:val="center"/>
        <w:rPr>
          <w:rFonts w:hAnsi="宋体"/>
          <w:b/>
          <w:sz w:val="44"/>
          <w:szCs w:val="44"/>
        </w:rPr>
      </w:pPr>
      <w:r>
        <w:rPr>
          <w:rFonts w:hint="eastAsia" w:hAnsi="宋体"/>
          <w:b/>
          <w:sz w:val="44"/>
          <w:szCs w:val="44"/>
        </w:rPr>
        <w:t>参选函</w:t>
      </w:r>
    </w:p>
    <w:p>
      <w:pPr>
        <w:spacing w:line="360" w:lineRule="auto"/>
        <w:ind w:firstLine="480" w:firstLineChars="200"/>
        <w:rPr>
          <w:rFonts w:ascii="宋体" w:hAnsi="宋体" w:cs="宋体"/>
          <w:sz w:val="24"/>
          <w:szCs w:val="24"/>
          <w:lang w:val="zh-CN"/>
        </w:rPr>
      </w:pPr>
    </w:p>
    <w:p>
      <w:pPr>
        <w:spacing w:line="360" w:lineRule="auto"/>
        <w:ind w:firstLine="480" w:firstLineChars="200"/>
        <w:rPr>
          <w:rFonts w:ascii="宋体" w:hAnsi="宋体" w:cs="宋体"/>
          <w:sz w:val="24"/>
          <w:szCs w:val="24"/>
          <w:lang w:val="zh-CN"/>
        </w:rPr>
      </w:pPr>
      <w:r>
        <w:rPr>
          <w:rFonts w:hint="eastAsia" w:ascii="宋体" w:hAnsi="宋体" w:cs="宋体"/>
          <w:sz w:val="24"/>
          <w:szCs w:val="24"/>
          <w:lang w:val="zh-CN"/>
        </w:rPr>
        <w:t>致：</w:t>
      </w:r>
      <w:r>
        <w:rPr>
          <w:rFonts w:hint="eastAsia" w:ascii="宋体" w:hAnsi="宋体" w:cs="宋体"/>
          <w:sz w:val="24"/>
          <w:szCs w:val="24"/>
          <w:lang w:eastAsia="zh-Hans"/>
        </w:rPr>
        <w:t>深圳地铁置业集团有限公司</w:t>
      </w:r>
    </w:p>
    <w:p>
      <w:pPr>
        <w:spacing w:line="360" w:lineRule="auto"/>
        <w:ind w:firstLine="480" w:firstLineChars="200"/>
        <w:rPr>
          <w:rFonts w:ascii="宋体" w:hAnsi="宋体" w:cs="宋体"/>
          <w:sz w:val="24"/>
          <w:szCs w:val="24"/>
        </w:rPr>
      </w:pPr>
      <w:r>
        <w:rPr>
          <w:rFonts w:hint="eastAsia" w:ascii="宋体" w:hAnsi="宋体" w:cs="宋体"/>
          <w:sz w:val="24"/>
          <w:szCs w:val="24"/>
        </w:rPr>
        <w:t>1.经分析研究了贵司提供的比选文件，经研究后，我方愿以报价____万元（含税）（大写:_________）作为</w:t>
      </w:r>
      <w:r>
        <w:rPr>
          <w:rFonts w:hint="eastAsia" w:ascii="宋体" w:hAnsi="宋体" w:cs="宋体"/>
          <w:b/>
          <w:bCs/>
          <w:sz w:val="24"/>
          <w:szCs w:val="24"/>
          <w:u w:val="single"/>
        </w:rPr>
        <w:t>光明新湖、昂鹅车辆段、东宝河停车场、</w:t>
      </w:r>
      <w:r>
        <w:rPr>
          <w:rFonts w:hint="eastAsia" w:ascii="宋体" w:hAnsi="宋体" w:cs="宋体"/>
          <w:b/>
          <w:bCs/>
          <w:sz w:val="24"/>
          <w:szCs w:val="24"/>
          <w:u w:val="single"/>
          <w:lang w:eastAsia="zh-CN"/>
        </w:rPr>
        <w:t>新大存车场</w:t>
      </w:r>
      <w:r>
        <w:rPr>
          <w:rFonts w:hint="eastAsia" w:ascii="宋体" w:hAnsi="宋体" w:cs="宋体"/>
          <w:b/>
          <w:bCs/>
          <w:sz w:val="24"/>
          <w:szCs w:val="24"/>
          <w:u w:val="single"/>
        </w:rPr>
        <w:t>交通接驳研究</w:t>
      </w:r>
      <w:r>
        <w:rPr>
          <w:rFonts w:hint="eastAsia" w:ascii="宋体" w:hAnsi="宋体" w:cs="宋体"/>
          <w:sz w:val="24"/>
          <w:szCs w:val="24"/>
        </w:rPr>
        <w:t>项目报价，并按合同条件、比选文件、参选文件以及国家和地方有关规定的要求，承担并完成本项目的任务。</w:t>
      </w:r>
    </w:p>
    <w:p>
      <w:pPr>
        <w:spacing w:line="360" w:lineRule="auto"/>
        <w:ind w:firstLine="480" w:firstLineChars="200"/>
        <w:rPr>
          <w:rFonts w:ascii="宋体" w:hAnsi="宋体" w:cs="宋体"/>
          <w:sz w:val="24"/>
          <w:szCs w:val="24"/>
        </w:rPr>
      </w:pPr>
      <w:r>
        <w:rPr>
          <w:rFonts w:hint="eastAsia" w:ascii="宋体" w:hAnsi="宋体" w:cs="宋体"/>
          <w:sz w:val="24"/>
          <w:szCs w:val="24"/>
        </w:rPr>
        <w:t>2.我方对贵司比选文件中的合同条件无保留、无条件同意，特此声明及承诺。</w:t>
      </w:r>
    </w:p>
    <w:p>
      <w:pPr>
        <w:spacing w:line="360" w:lineRule="auto"/>
        <w:ind w:firstLine="480" w:firstLineChars="200"/>
        <w:rPr>
          <w:rFonts w:ascii="宋体" w:hAnsi="宋体" w:cs="宋体"/>
          <w:sz w:val="24"/>
          <w:szCs w:val="24"/>
        </w:rPr>
      </w:pPr>
      <w:r>
        <w:rPr>
          <w:rFonts w:hint="eastAsia" w:ascii="宋体" w:hAnsi="宋体" w:cs="宋体"/>
          <w:sz w:val="24"/>
          <w:szCs w:val="24"/>
        </w:rPr>
        <w:t>3.如果贵公司接受我方的参选，我方保证按合同规定的期限完成</w:t>
      </w:r>
      <w:r>
        <w:rPr>
          <w:rFonts w:hint="eastAsia" w:ascii="宋体" w:hAnsi="宋体" w:cs="宋体"/>
          <w:b/>
          <w:bCs/>
          <w:sz w:val="24"/>
          <w:szCs w:val="24"/>
          <w:u w:val="single"/>
        </w:rPr>
        <w:t>光明新湖、昂鹅车辆段、东宝河停车场、</w:t>
      </w:r>
      <w:r>
        <w:rPr>
          <w:rFonts w:hint="eastAsia" w:ascii="宋体" w:hAnsi="宋体" w:cs="宋体"/>
          <w:b/>
          <w:bCs/>
          <w:sz w:val="24"/>
          <w:szCs w:val="24"/>
          <w:u w:val="single"/>
          <w:lang w:eastAsia="zh-CN"/>
        </w:rPr>
        <w:t>新大存车场</w:t>
      </w:r>
      <w:r>
        <w:rPr>
          <w:rFonts w:hint="eastAsia" w:ascii="宋体" w:hAnsi="宋体" w:cs="宋体"/>
          <w:b/>
          <w:bCs/>
          <w:sz w:val="24"/>
          <w:szCs w:val="24"/>
          <w:u w:val="single"/>
        </w:rPr>
        <w:t>交通接驳研究</w:t>
      </w:r>
      <w:r>
        <w:rPr>
          <w:rFonts w:hint="eastAsia" w:ascii="宋体" w:hAnsi="宋体" w:cs="宋体"/>
          <w:sz w:val="24"/>
          <w:szCs w:val="24"/>
        </w:rPr>
        <w:t>等相关工作。</w:t>
      </w:r>
    </w:p>
    <w:p>
      <w:pPr>
        <w:spacing w:line="360" w:lineRule="auto"/>
        <w:ind w:firstLine="480" w:firstLineChars="200"/>
        <w:rPr>
          <w:rFonts w:ascii="宋体" w:hAnsi="宋体" w:cs="宋体"/>
          <w:sz w:val="24"/>
          <w:szCs w:val="24"/>
        </w:rPr>
      </w:pPr>
      <w:r>
        <w:rPr>
          <w:rFonts w:hint="eastAsia" w:ascii="宋体" w:hAnsi="宋体" w:cs="宋体"/>
          <w:sz w:val="24"/>
          <w:szCs w:val="24"/>
        </w:rPr>
        <w:t>4.我方同意在规定的递交参选书截止之日起180天内遵守本参选。在该期限期满之前，本报价对我方始终有约束力，并可随时被接受。</w:t>
      </w:r>
    </w:p>
    <w:p>
      <w:pPr>
        <w:spacing w:line="360" w:lineRule="auto"/>
        <w:ind w:firstLine="480" w:firstLineChars="200"/>
        <w:rPr>
          <w:rFonts w:ascii="宋体" w:hAnsi="宋体" w:cs="宋体"/>
          <w:sz w:val="24"/>
          <w:szCs w:val="24"/>
        </w:rPr>
      </w:pPr>
      <w:r>
        <w:rPr>
          <w:rFonts w:hint="eastAsia" w:ascii="宋体" w:hAnsi="宋体" w:cs="宋体"/>
          <w:sz w:val="24"/>
          <w:szCs w:val="24"/>
        </w:rPr>
        <w:t>5.如果我方中选，我方保证在接到比选人通知中规定的日期内开始</w:t>
      </w:r>
      <w:r>
        <w:rPr>
          <w:rFonts w:hint="eastAsia" w:ascii="宋体" w:hAnsi="宋体" w:cs="宋体"/>
          <w:b/>
          <w:bCs/>
          <w:sz w:val="24"/>
          <w:szCs w:val="24"/>
          <w:u w:val="single"/>
        </w:rPr>
        <w:t>光明新湖、昂鹅车辆段、东宝河停车场、</w:t>
      </w:r>
      <w:r>
        <w:rPr>
          <w:rFonts w:hint="eastAsia" w:ascii="宋体" w:hAnsi="宋体" w:cs="宋体"/>
          <w:b/>
          <w:bCs/>
          <w:sz w:val="24"/>
          <w:szCs w:val="24"/>
          <w:u w:val="single"/>
          <w:lang w:eastAsia="zh-CN"/>
        </w:rPr>
        <w:t>新大存车场</w:t>
      </w:r>
      <w:r>
        <w:rPr>
          <w:rFonts w:hint="eastAsia" w:ascii="宋体" w:hAnsi="宋体" w:cs="宋体"/>
          <w:b/>
          <w:bCs/>
          <w:sz w:val="24"/>
          <w:szCs w:val="24"/>
          <w:u w:val="single"/>
        </w:rPr>
        <w:t>交通接驳研究</w:t>
      </w:r>
      <w:r>
        <w:rPr>
          <w:rFonts w:hint="eastAsia" w:ascii="宋体" w:hAnsi="宋体" w:cs="宋体"/>
          <w:sz w:val="24"/>
          <w:szCs w:val="24"/>
          <w:u w:val="single"/>
        </w:rPr>
        <w:t>相关</w:t>
      </w:r>
      <w:r>
        <w:rPr>
          <w:rFonts w:hint="eastAsia" w:ascii="宋体" w:hAnsi="宋体" w:cs="宋体"/>
          <w:sz w:val="24"/>
          <w:szCs w:val="24"/>
        </w:rPr>
        <w:t>工作，并在规定的期限内提供相应的服务。</w:t>
      </w:r>
    </w:p>
    <w:p>
      <w:pPr>
        <w:spacing w:line="360" w:lineRule="auto"/>
        <w:ind w:firstLine="480" w:firstLineChars="200"/>
        <w:rPr>
          <w:rFonts w:ascii="宋体" w:hAnsi="宋体" w:cs="宋体"/>
          <w:sz w:val="24"/>
          <w:szCs w:val="24"/>
        </w:rPr>
      </w:pPr>
      <w:r>
        <w:rPr>
          <w:rFonts w:hint="eastAsia" w:ascii="宋体" w:hAnsi="宋体" w:cs="宋体"/>
          <w:sz w:val="24"/>
          <w:szCs w:val="24"/>
        </w:rPr>
        <w:t>6.我方承诺：参选人所委派的项目组主要人员在中标后不得任意更改，如确需变更，需经比选人认可同意，如未经比选人同意，我方自行变更参选文件中委派的主要人员（项目负责人、项目组主要人员），自愿接受相应处罚。</w:t>
      </w:r>
    </w:p>
    <w:p>
      <w:pPr>
        <w:spacing w:line="360" w:lineRule="auto"/>
        <w:ind w:firstLine="480" w:firstLineChars="200"/>
        <w:rPr>
          <w:rFonts w:ascii="宋体" w:hAnsi="宋体" w:cs="宋体"/>
          <w:sz w:val="24"/>
          <w:szCs w:val="24"/>
        </w:rPr>
      </w:pPr>
      <w:r>
        <w:rPr>
          <w:rFonts w:hint="eastAsia" w:ascii="宋体" w:hAnsi="宋体" w:cs="宋体"/>
          <w:sz w:val="24"/>
          <w:szCs w:val="24"/>
        </w:rPr>
        <w:t>7.若我方中选本项目，我方承诺本项目可开具增值税专用发票，按合同约定于申请付款前向比选人提供正式的增值税专用发票，否则比选人有权拒绝付款，且并不因此承担任何违约责任。</w:t>
      </w:r>
    </w:p>
    <w:p>
      <w:pPr>
        <w:spacing w:line="360" w:lineRule="auto"/>
        <w:ind w:firstLine="480" w:firstLineChars="200"/>
        <w:rPr>
          <w:rFonts w:ascii="宋体" w:hAnsi="宋体" w:cs="宋体"/>
          <w:sz w:val="24"/>
          <w:szCs w:val="24"/>
        </w:rPr>
      </w:pPr>
      <w:r>
        <w:rPr>
          <w:rFonts w:hint="eastAsia" w:ascii="宋体" w:hAnsi="宋体" w:cs="宋体"/>
          <w:sz w:val="24"/>
          <w:szCs w:val="24"/>
        </w:rPr>
        <w:t>8.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line="360" w:lineRule="auto"/>
        <w:ind w:firstLine="464" w:firstLineChars="200"/>
        <w:rPr>
          <w:rFonts w:ascii="宋体" w:hAnsi="宋体" w:cs="宋体"/>
          <w:sz w:val="24"/>
          <w:szCs w:val="24"/>
        </w:rPr>
      </w:pPr>
      <w:r>
        <w:rPr>
          <w:rFonts w:hint="eastAsia" w:ascii="宋体" w:hAnsi="宋体" w:cs="宋体"/>
          <w:spacing w:val="-4"/>
          <w:kern w:val="0"/>
          <w:sz w:val="24"/>
          <w:szCs w:val="24"/>
        </w:rPr>
        <w:t>9.我方</w:t>
      </w:r>
      <w:r>
        <w:rPr>
          <w:rFonts w:hint="eastAsia" w:ascii="宋体" w:hAnsi="宋体" w:cs="宋体"/>
          <w:sz w:val="24"/>
          <w:szCs w:val="24"/>
        </w:rPr>
        <w:t>同意：比选人可以在参选有效期截止前，要求延长参选有效期并取得参选人或中标候选人同意。</w:t>
      </w:r>
    </w:p>
    <w:p>
      <w:pPr>
        <w:pStyle w:val="85"/>
        <w:widowControl/>
        <w:spacing w:line="360" w:lineRule="auto"/>
        <w:ind w:firstLine="480"/>
        <w:jc w:val="left"/>
        <w:rPr>
          <w:rFonts w:ascii="宋体" w:hAnsi="宋体" w:eastAsia="宋体" w:cs="宋体"/>
          <w:kern w:val="0"/>
          <w:sz w:val="24"/>
          <w:szCs w:val="24"/>
        </w:rPr>
      </w:pPr>
      <w:r>
        <w:rPr>
          <w:rFonts w:hint="eastAsia" w:ascii="宋体" w:hAnsi="宋体" w:eastAsia="宋体" w:cs="宋体"/>
          <w:sz w:val="24"/>
          <w:szCs w:val="24"/>
        </w:rPr>
        <w:t>10.我方同意：</w:t>
      </w:r>
      <w:r>
        <w:rPr>
          <w:rFonts w:hint="eastAsia" w:ascii="宋体" w:hAnsi="宋体" w:eastAsia="宋体" w:cs="宋体"/>
          <w:snapToGrid w:val="0"/>
          <w:sz w:val="24"/>
          <w:szCs w:val="24"/>
        </w:rPr>
        <w:t>在比选人授标前任何时候，不论任何原因，比选人有权接受或拒绝任何参选，宣布比选程序无效，或拒绝所有参选，并对由此引起的对参选人的影响不承担任何责任，也无须将这样做的理由通知受影响的参选人。</w:t>
      </w:r>
    </w:p>
    <w:p>
      <w:pPr>
        <w:spacing w:line="360" w:lineRule="auto"/>
        <w:ind w:firstLine="480" w:firstLineChars="200"/>
        <w:rPr>
          <w:rFonts w:ascii="宋体" w:hAnsi="宋体" w:cs="宋体"/>
          <w:sz w:val="24"/>
          <w:szCs w:val="24"/>
        </w:rPr>
      </w:pP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参选人：（盖章）         [参选人名称]                                     </w:t>
      </w: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法定代表人或授权委托代理人（签字或盖章）：                 联 系 人：                  </w:t>
      </w:r>
    </w:p>
    <w:p>
      <w:pPr>
        <w:spacing w:line="360" w:lineRule="auto"/>
        <w:ind w:firstLine="480" w:firstLineChars="200"/>
        <w:rPr>
          <w:rFonts w:ascii="宋体" w:hAnsi="宋体" w:cs="宋体"/>
          <w:sz w:val="24"/>
          <w:szCs w:val="24"/>
        </w:rPr>
      </w:pPr>
      <w:r>
        <w:rPr>
          <w:rFonts w:hint="eastAsia" w:ascii="宋体" w:hAnsi="宋体" w:cs="宋体"/>
          <w:sz w:val="24"/>
          <w:szCs w:val="24"/>
        </w:rPr>
        <w:t xml:space="preserve">电    话：                                   传    真：                  </w:t>
      </w:r>
    </w:p>
    <w:p>
      <w:pPr>
        <w:spacing w:line="360" w:lineRule="auto"/>
        <w:ind w:firstLine="480" w:firstLineChars="200"/>
        <w:rPr>
          <w:rFonts w:ascii="宋体" w:hAnsi="宋体" w:cs="宋体"/>
          <w:sz w:val="24"/>
          <w:szCs w:val="24"/>
        </w:rPr>
      </w:pPr>
      <w:r>
        <w:rPr>
          <w:rFonts w:hint="eastAsia" w:ascii="宋体" w:hAnsi="宋体" w:cs="宋体"/>
          <w:sz w:val="24"/>
          <w:szCs w:val="24"/>
        </w:rPr>
        <w:t>日    期：      年      月      日</w:t>
      </w:r>
    </w:p>
    <w:p>
      <w:pPr>
        <w:widowControl/>
        <w:spacing w:line="360" w:lineRule="auto"/>
        <w:jc w:val="left"/>
        <w:rPr>
          <w:rFonts w:ascii="宋体" w:hAnsi="宋体" w:cs="宋体"/>
          <w:sz w:val="24"/>
          <w:szCs w:val="24"/>
        </w:rPr>
        <w:sectPr>
          <w:pgSz w:w="11907" w:h="16840"/>
          <w:pgMar w:top="1440" w:right="1440" w:bottom="1440" w:left="1440" w:header="720" w:footer="992" w:gutter="0"/>
          <w:cols w:space="720" w:num="1"/>
        </w:sectPr>
      </w:pPr>
    </w:p>
    <w:p>
      <w:pPr>
        <w:pStyle w:val="24"/>
        <w:numPr>
          <w:ilvl w:val="0"/>
          <w:numId w:val="8"/>
        </w:numPr>
        <w:spacing w:line="360" w:lineRule="auto"/>
        <w:ind w:hanging="652"/>
        <w:rPr>
          <w:rFonts w:hAnsi="宋体"/>
          <w:b/>
          <w:sz w:val="24"/>
          <w:szCs w:val="24"/>
        </w:rPr>
      </w:pPr>
      <w:r>
        <w:rPr>
          <w:rFonts w:hint="eastAsia" w:hAnsi="宋体"/>
          <w:b/>
          <w:sz w:val="24"/>
          <w:szCs w:val="24"/>
        </w:rPr>
        <w:t>报价单</w:t>
      </w:r>
      <w:bookmarkStart w:id="119" w:name="_Toc57731988"/>
      <w:r>
        <w:rPr>
          <w:rFonts w:hint="eastAsia" w:hAnsi="宋体"/>
          <w:b/>
          <w:sz w:val="24"/>
          <w:szCs w:val="24"/>
        </w:rPr>
        <w:t>（加盖公章）</w:t>
      </w:r>
    </w:p>
    <w:p>
      <w:pPr>
        <w:spacing w:after="120" w:line="360" w:lineRule="auto"/>
        <w:jc w:val="center"/>
        <w:rPr>
          <w:rFonts w:ascii="宋体" w:hAnsi="宋体"/>
          <w:b/>
          <w:sz w:val="32"/>
          <w:szCs w:val="32"/>
        </w:rPr>
      </w:pPr>
      <w:r>
        <w:rPr>
          <w:rFonts w:hint="eastAsia" w:ascii="宋体" w:hAnsi="宋体"/>
          <w:b/>
          <w:sz w:val="32"/>
          <w:szCs w:val="32"/>
        </w:rPr>
        <w:t>光明新湖、昂鹅车辆段、东宝河停车场、</w:t>
      </w:r>
      <w:r>
        <w:rPr>
          <w:rFonts w:hint="eastAsia" w:ascii="宋体" w:hAnsi="宋体"/>
          <w:b/>
          <w:sz w:val="32"/>
          <w:szCs w:val="32"/>
          <w:lang w:eastAsia="zh-CN"/>
        </w:rPr>
        <w:t>新大存车场</w:t>
      </w:r>
      <w:r>
        <w:rPr>
          <w:rFonts w:hint="eastAsia" w:ascii="宋体" w:hAnsi="宋体"/>
          <w:b/>
          <w:sz w:val="32"/>
          <w:szCs w:val="32"/>
        </w:rPr>
        <w:t>交通接驳研究</w:t>
      </w:r>
    </w:p>
    <w:p>
      <w:pPr>
        <w:spacing w:after="120" w:line="360" w:lineRule="auto"/>
        <w:jc w:val="center"/>
        <w:rPr>
          <w:rFonts w:ascii="宋体" w:hAnsi="宋体"/>
          <w:b/>
          <w:kern w:val="10"/>
          <w:sz w:val="24"/>
          <w:szCs w:val="24"/>
        </w:rPr>
      </w:pPr>
      <w:r>
        <w:rPr>
          <w:rFonts w:hint="eastAsia" w:ascii="宋体" w:hAnsi="宋体"/>
          <w:b/>
          <w:sz w:val="32"/>
          <w:szCs w:val="32"/>
        </w:rPr>
        <w:t>报价一览表</w:t>
      </w:r>
    </w:p>
    <w:p>
      <w:pPr>
        <w:adjustRightInd w:val="0"/>
        <w:snapToGrid w:val="0"/>
        <w:spacing w:line="360" w:lineRule="auto"/>
        <w:ind w:left="479" w:right="240"/>
        <w:jc w:val="right"/>
        <w:rPr>
          <w:rFonts w:ascii="宋体" w:hAnsi="宋体"/>
          <w:szCs w:val="21"/>
        </w:rPr>
      </w:pPr>
      <w:r>
        <w:rPr>
          <w:rFonts w:hint="eastAsia" w:ascii="宋体" w:hAnsi="宋体"/>
          <w:szCs w:val="21"/>
        </w:rPr>
        <w:t>货币单位：人民币（万元）</w:t>
      </w:r>
    </w:p>
    <w:tbl>
      <w:tblPr>
        <w:tblStyle w:val="49"/>
        <w:tblpPr w:leftFromText="180" w:rightFromText="180" w:vertAnchor="text" w:horzAnchor="page" w:tblpX="1837" w:tblpY="484"/>
        <w:tblOverlap w:val="never"/>
        <w:tblW w:w="8934" w:type="dxa"/>
        <w:tblInd w:w="0" w:type="dxa"/>
        <w:tblLayout w:type="autofit"/>
        <w:tblCellMar>
          <w:top w:w="0" w:type="dxa"/>
          <w:left w:w="108" w:type="dxa"/>
          <w:bottom w:w="0" w:type="dxa"/>
          <w:right w:w="108" w:type="dxa"/>
        </w:tblCellMar>
      </w:tblPr>
      <w:tblGrid>
        <w:gridCol w:w="867"/>
        <w:gridCol w:w="2824"/>
        <w:gridCol w:w="2476"/>
        <w:gridCol w:w="2767"/>
      </w:tblGrid>
      <w:tr>
        <w:tblPrEx>
          <w:tblCellMar>
            <w:top w:w="0" w:type="dxa"/>
            <w:left w:w="108" w:type="dxa"/>
            <w:bottom w:w="0" w:type="dxa"/>
            <w:right w:w="108" w:type="dxa"/>
          </w:tblCellMar>
        </w:tblPrEx>
        <w:trPr>
          <w:trHeight w:val="900" w:hRule="atLeast"/>
        </w:trPr>
        <w:tc>
          <w:tcPr>
            <w:tcW w:w="867"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s="宋体"/>
                <w:b/>
                <w:bCs/>
                <w:kern w:val="0"/>
                <w:szCs w:val="21"/>
              </w:rPr>
            </w:pPr>
            <w:r>
              <w:rPr>
                <w:rFonts w:hint="eastAsia" w:ascii="宋体" w:hAnsi="宋体" w:cs="宋体"/>
                <w:b/>
                <w:bCs/>
                <w:kern w:val="0"/>
                <w:szCs w:val="21"/>
              </w:rPr>
              <w:t>序号</w:t>
            </w:r>
          </w:p>
        </w:tc>
        <w:tc>
          <w:tcPr>
            <w:tcW w:w="2824"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s="宋体"/>
                <w:b/>
                <w:bCs/>
                <w:kern w:val="0"/>
                <w:szCs w:val="21"/>
              </w:rPr>
            </w:pPr>
            <w:r>
              <w:rPr>
                <w:rFonts w:hint="eastAsia" w:ascii="宋体" w:hAnsi="宋体" w:cs="宋体"/>
                <w:b/>
                <w:bCs/>
                <w:kern w:val="0"/>
                <w:szCs w:val="21"/>
              </w:rPr>
              <w:t>项目名称</w:t>
            </w:r>
          </w:p>
        </w:tc>
        <w:tc>
          <w:tcPr>
            <w:tcW w:w="247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s="宋体"/>
                <w:b/>
                <w:bCs/>
                <w:kern w:val="0"/>
                <w:sz w:val="22"/>
                <w:szCs w:val="22"/>
              </w:rPr>
            </w:pPr>
            <w:r>
              <w:rPr>
                <w:rFonts w:hint="eastAsia" w:ascii="宋体" w:hAnsi="宋体" w:cs="宋体"/>
                <w:b/>
                <w:bCs/>
                <w:kern w:val="0"/>
                <w:sz w:val="22"/>
                <w:szCs w:val="22"/>
              </w:rPr>
              <w:t>交通接驳研究服务费</w:t>
            </w:r>
          </w:p>
          <w:p>
            <w:pPr>
              <w:jc w:val="center"/>
              <w:rPr>
                <w:rFonts w:ascii="宋体" w:hAnsi="宋体" w:cs="宋体"/>
                <w:b/>
                <w:bCs/>
                <w:kern w:val="0"/>
                <w:sz w:val="22"/>
                <w:szCs w:val="22"/>
              </w:rPr>
            </w:pPr>
            <w:r>
              <w:rPr>
                <w:rFonts w:hint="eastAsia" w:ascii="宋体" w:hAnsi="宋体" w:cs="宋体"/>
                <w:b/>
                <w:bCs/>
                <w:kern w:val="0"/>
                <w:sz w:val="22"/>
                <w:szCs w:val="22"/>
              </w:rPr>
              <w:t>（含税价，单位为万元）</w:t>
            </w:r>
          </w:p>
        </w:tc>
        <w:tc>
          <w:tcPr>
            <w:tcW w:w="2767"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s="宋体"/>
                <w:b/>
                <w:bCs/>
                <w:kern w:val="0"/>
                <w:szCs w:val="21"/>
              </w:rPr>
            </w:pPr>
            <w:r>
              <w:rPr>
                <w:rFonts w:hint="eastAsia" w:ascii="宋体" w:hAnsi="宋体" w:cs="宋体"/>
                <w:b/>
                <w:bCs/>
                <w:kern w:val="0"/>
                <w:szCs w:val="21"/>
              </w:rPr>
              <w:t>备注</w:t>
            </w:r>
          </w:p>
        </w:tc>
      </w:tr>
      <w:tr>
        <w:tblPrEx>
          <w:tblCellMar>
            <w:top w:w="0" w:type="dxa"/>
            <w:left w:w="108" w:type="dxa"/>
            <w:bottom w:w="0" w:type="dxa"/>
            <w:right w:w="108" w:type="dxa"/>
          </w:tblCellMar>
        </w:tblPrEx>
        <w:trPr>
          <w:trHeight w:val="529" w:hRule="atLeast"/>
        </w:trPr>
        <w:tc>
          <w:tcPr>
            <w:tcW w:w="867" w:type="dxa"/>
            <w:tcBorders>
              <w:top w:val="nil"/>
              <w:left w:val="single" w:color="auto" w:sz="4" w:space="0"/>
              <w:bottom w:val="single" w:color="auto" w:sz="4" w:space="0"/>
              <w:right w:val="single" w:color="auto" w:sz="4" w:space="0"/>
            </w:tcBorders>
            <w:shd w:val="clear" w:color="000000" w:fill="FFFFFF"/>
            <w:vAlign w:val="center"/>
          </w:tcPr>
          <w:p>
            <w:pPr>
              <w:jc w:val="center"/>
              <w:rPr>
                <w:rFonts w:ascii="宋体" w:hAnsi="宋体" w:cs="宋体"/>
                <w:kern w:val="0"/>
                <w:szCs w:val="21"/>
              </w:rPr>
            </w:pPr>
            <w:r>
              <w:rPr>
                <w:rFonts w:hint="eastAsia" w:ascii="宋体" w:hAnsi="宋体" w:cs="宋体"/>
                <w:kern w:val="0"/>
                <w:szCs w:val="21"/>
              </w:rPr>
              <w:t>1</w:t>
            </w:r>
          </w:p>
        </w:tc>
        <w:tc>
          <w:tcPr>
            <w:tcW w:w="2824" w:type="dxa"/>
            <w:tcBorders>
              <w:top w:val="nil"/>
              <w:left w:val="nil"/>
              <w:bottom w:val="single" w:color="auto" w:sz="4" w:space="0"/>
              <w:right w:val="single" w:color="auto" w:sz="4" w:space="0"/>
            </w:tcBorders>
            <w:shd w:val="clear" w:color="000000" w:fill="FFFFFF"/>
            <w:vAlign w:val="center"/>
          </w:tcPr>
          <w:p>
            <w:pPr>
              <w:jc w:val="center"/>
              <w:rPr>
                <w:rFonts w:ascii="宋体" w:hAnsi="宋体" w:cs="宋体"/>
                <w:kern w:val="0"/>
                <w:szCs w:val="21"/>
              </w:rPr>
            </w:pPr>
            <w:r>
              <w:rPr>
                <w:rFonts w:hint="eastAsia" w:ascii="宋体" w:hAnsi="宋体"/>
                <w:szCs w:val="22"/>
              </w:rPr>
              <w:t>光明新湖交通接驳研究</w:t>
            </w:r>
          </w:p>
        </w:tc>
        <w:tc>
          <w:tcPr>
            <w:tcW w:w="2476" w:type="dxa"/>
            <w:tcBorders>
              <w:top w:val="nil"/>
              <w:left w:val="nil"/>
              <w:bottom w:val="single" w:color="auto" w:sz="4" w:space="0"/>
              <w:right w:val="single" w:color="auto" w:sz="4" w:space="0"/>
            </w:tcBorders>
            <w:shd w:val="clear" w:color="000000" w:fill="FFFFFF"/>
          </w:tcPr>
          <w:p>
            <w:pPr>
              <w:jc w:val="center"/>
              <w:rPr>
                <w:rFonts w:ascii="宋体" w:hAnsi="宋体" w:cs="宋体"/>
                <w:kern w:val="0"/>
                <w:szCs w:val="21"/>
              </w:rPr>
            </w:pPr>
          </w:p>
        </w:tc>
        <w:tc>
          <w:tcPr>
            <w:tcW w:w="2767" w:type="dxa"/>
            <w:vMerge w:val="restart"/>
            <w:tcBorders>
              <w:top w:val="single" w:color="auto" w:sz="4" w:space="0"/>
              <w:left w:val="nil"/>
              <w:right w:val="single" w:color="auto" w:sz="4" w:space="0"/>
            </w:tcBorders>
            <w:shd w:val="clear" w:color="000000" w:fill="FFFFFF"/>
            <w:vAlign w:val="center"/>
          </w:tcPr>
          <w:p>
            <w:pPr>
              <w:jc w:val="left"/>
              <w:rPr>
                <w:rFonts w:ascii="宋体" w:hAnsi="宋体" w:cs="宋体"/>
                <w:b/>
                <w:bCs/>
                <w:kern w:val="0"/>
                <w:szCs w:val="21"/>
              </w:rPr>
            </w:pPr>
            <w:r>
              <w:rPr>
                <w:rFonts w:hint="eastAsia" w:ascii="宋体" w:hAnsi="宋体" w:cs="宋体"/>
                <w:b/>
                <w:bCs/>
                <w:kern w:val="0"/>
                <w:szCs w:val="21"/>
              </w:rPr>
              <w:t>各项目参选报价不得超过以下金额：</w:t>
            </w:r>
          </w:p>
          <w:p>
            <w:pPr>
              <w:jc w:val="left"/>
              <w:rPr>
                <w:rFonts w:ascii="宋体" w:hAnsi="宋体" w:cs="宋体"/>
                <w:b/>
                <w:bCs/>
                <w:kern w:val="0"/>
                <w:szCs w:val="21"/>
              </w:rPr>
            </w:pPr>
            <w:r>
              <w:rPr>
                <w:rFonts w:hint="eastAsia" w:ascii="宋体" w:hAnsi="宋体" w:cs="宋体"/>
                <w:b/>
                <w:bCs/>
                <w:kern w:val="0"/>
                <w:szCs w:val="21"/>
              </w:rPr>
              <w:t>光明新湖交通接驳研究参</w:t>
            </w:r>
            <w:r>
              <w:rPr>
                <w:rFonts w:ascii="宋体" w:hAnsi="宋体" w:cs="宋体"/>
                <w:b/>
                <w:bCs/>
                <w:kern w:val="0"/>
                <w:szCs w:val="21"/>
              </w:rPr>
              <w:t>选上限</w:t>
            </w:r>
            <w:r>
              <w:rPr>
                <w:rFonts w:hint="eastAsia" w:ascii="宋体" w:hAnsi="宋体" w:cs="宋体"/>
                <w:b/>
                <w:bCs/>
                <w:kern w:val="0"/>
                <w:szCs w:val="21"/>
              </w:rPr>
              <w:t>价</w:t>
            </w:r>
            <w:r>
              <w:rPr>
                <w:rFonts w:ascii="宋体" w:hAnsi="宋体" w:cs="宋体"/>
                <w:b/>
                <w:bCs/>
                <w:kern w:val="0"/>
                <w:szCs w:val="21"/>
              </w:rPr>
              <w:t>为</w:t>
            </w:r>
            <w:r>
              <w:rPr>
                <w:rFonts w:hint="eastAsia" w:ascii="宋体" w:hAnsi="宋体" w:cs="宋体"/>
                <w:b/>
                <w:bCs/>
                <w:kern w:val="0"/>
                <w:szCs w:val="21"/>
              </w:rPr>
              <w:t>112.5万元；</w:t>
            </w:r>
          </w:p>
          <w:p>
            <w:pPr>
              <w:jc w:val="left"/>
              <w:rPr>
                <w:rFonts w:ascii="宋体" w:hAnsi="宋体" w:cs="宋体"/>
                <w:b/>
                <w:bCs/>
                <w:kern w:val="0"/>
                <w:szCs w:val="21"/>
              </w:rPr>
            </w:pPr>
            <w:r>
              <w:rPr>
                <w:rFonts w:hint="eastAsia" w:ascii="宋体" w:hAnsi="宋体" w:cs="宋体"/>
                <w:b/>
                <w:bCs/>
                <w:kern w:val="0"/>
                <w:szCs w:val="21"/>
              </w:rPr>
              <w:t>昂鹅车辆段交通接驳研究参选上限价为211.5万元；</w:t>
            </w:r>
          </w:p>
          <w:p>
            <w:pPr>
              <w:jc w:val="left"/>
              <w:rPr>
                <w:rFonts w:ascii="宋体" w:hAnsi="宋体" w:cs="宋体"/>
                <w:b/>
                <w:bCs/>
                <w:kern w:val="0"/>
                <w:szCs w:val="21"/>
              </w:rPr>
            </w:pPr>
            <w:r>
              <w:rPr>
                <w:rFonts w:hint="eastAsia" w:ascii="宋体" w:hAnsi="宋体" w:cs="宋体"/>
                <w:b/>
                <w:bCs/>
                <w:kern w:val="0"/>
                <w:szCs w:val="21"/>
              </w:rPr>
              <w:t>东宝河停车场交通接驳研究参选上限价为211.5万元；</w:t>
            </w:r>
            <w:r>
              <w:rPr>
                <w:rFonts w:hint="eastAsia" w:ascii="宋体" w:hAnsi="宋体" w:cs="宋体"/>
                <w:b/>
                <w:bCs/>
                <w:kern w:val="0"/>
                <w:szCs w:val="21"/>
                <w:lang w:eastAsia="zh-CN"/>
              </w:rPr>
              <w:t>新大存车场</w:t>
            </w:r>
            <w:r>
              <w:rPr>
                <w:rFonts w:hint="eastAsia" w:ascii="宋体" w:hAnsi="宋体" w:cs="宋体"/>
                <w:b/>
                <w:bCs/>
                <w:kern w:val="0"/>
                <w:szCs w:val="21"/>
              </w:rPr>
              <w:t>交通接驳研究参选上限价为112.5万元；</w:t>
            </w:r>
          </w:p>
          <w:p>
            <w:pPr>
              <w:jc w:val="left"/>
              <w:rPr>
                <w:rFonts w:ascii="宋体" w:hAnsi="宋体" w:cs="宋体"/>
                <w:b/>
                <w:bCs/>
                <w:kern w:val="0"/>
                <w:szCs w:val="21"/>
              </w:rPr>
            </w:pPr>
            <w:r>
              <w:rPr>
                <w:rFonts w:hint="eastAsia" w:ascii="宋体" w:hAnsi="宋体" w:cs="宋体"/>
                <w:b/>
                <w:bCs/>
                <w:kern w:val="0"/>
                <w:szCs w:val="21"/>
              </w:rPr>
              <w:t>总参选报价上限价为648万元。</w:t>
            </w:r>
          </w:p>
        </w:tc>
      </w:tr>
      <w:tr>
        <w:tblPrEx>
          <w:tblCellMar>
            <w:top w:w="0" w:type="dxa"/>
            <w:left w:w="108" w:type="dxa"/>
            <w:bottom w:w="0" w:type="dxa"/>
            <w:right w:w="108" w:type="dxa"/>
          </w:tblCellMar>
        </w:tblPrEx>
        <w:trPr>
          <w:trHeight w:val="588" w:hRule="atLeast"/>
        </w:trPr>
        <w:tc>
          <w:tcPr>
            <w:tcW w:w="867" w:type="dxa"/>
            <w:tcBorders>
              <w:top w:val="nil"/>
              <w:left w:val="single" w:color="auto" w:sz="4" w:space="0"/>
              <w:bottom w:val="single" w:color="auto" w:sz="4" w:space="0"/>
              <w:right w:val="single" w:color="auto" w:sz="4" w:space="0"/>
            </w:tcBorders>
            <w:shd w:val="clear" w:color="000000" w:fill="FFFFFF"/>
            <w:vAlign w:val="center"/>
          </w:tcPr>
          <w:p>
            <w:pPr>
              <w:jc w:val="center"/>
              <w:rPr>
                <w:rFonts w:ascii="宋体" w:hAnsi="宋体" w:cs="宋体"/>
                <w:kern w:val="0"/>
                <w:szCs w:val="21"/>
              </w:rPr>
            </w:pPr>
            <w:r>
              <w:rPr>
                <w:rFonts w:hint="eastAsia" w:ascii="宋体" w:hAnsi="宋体" w:cs="宋体"/>
                <w:kern w:val="0"/>
                <w:szCs w:val="21"/>
              </w:rPr>
              <w:t>2</w:t>
            </w:r>
          </w:p>
        </w:tc>
        <w:tc>
          <w:tcPr>
            <w:tcW w:w="2824" w:type="dxa"/>
            <w:tcBorders>
              <w:top w:val="nil"/>
              <w:left w:val="nil"/>
              <w:bottom w:val="single" w:color="auto" w:sz="4" w:space="0"/>
              <w:right w:val="single" w:color="auto" w:sz="4" w:space="0"/>
            </w:tcBorders>
            <w:shd w:val="clear" w:color="000000" w:fill="FFFFFF"/>
            <w:vAlign w:val="center"/>
          </w:tcPr>
          <w:p>
            <w:pPr>
              <w:jc w:val="center"/>
              <w:rPr>
                <w:rFonts w:ascii="宋体" w:hAnsi="宋体"/>
                <w:szCs w:val="22"/>
              </w:rPr>
            </w:pPr>
            <w:r>
              <w:rPr>
                <w:rFonts w:hint="eastAsia" w:ascii="宋体" w:hAnsi="宋体"/>
                <w:szCs w:val="22"/>
              </w:rPr>
              <w:t>昂鹅车辆段交通接驳研究</w:t>
            </w:r>
          </w:p>
        </w:tc>
        <w:tc>
          <w:tcPr>
            <w:tcW w:w="2476" w:type="dxa"/>
            <w:tcBorders>
              <w:top w:val="nil"/>
              <w:left w:val="nil"/>
              <w:bottom w:val="single" w:color="auto" w:sz="4" w:space="0"/>
              <w:right w:val="single" w:color="auto" w:sz="4" w:space="0"/>
            </w:tcBorders>
            <w:shd w:val="clear" w:color="000000" w:fill="FFFFFF"/>
          </w:tcPr>
          <w:p>
            <w:pPr>
              <w:jc w:val="center"/>
              <w:rPr>
                <w:rFonts w:ascii="宋体" w:hAnsi="宋体" w:cs="宋体"/>
                <w:kern w:val="0"/>
                <w:szCs w:val="21"/>
              </w:rPr>
            </w:pPr>
          </w:p>
        </w:tc>
        <w:tc>
          <w:tcPr>
            <w:tcW w:w="2767" w:type="dxa"/>
            <w:vMerge w:val="continue"/>
            <w:tcBorders>
              <w:left w:val="nil"/>
              <w:right w:val="single" w:color="auto" w:sz="4" w:space="0"/>
            </w:tcBorders>
            <w:shd w:val="clear" w:color="000000" w:fill="FFFFFF"/>
            <w:vAlign w:val="center"/>
          </w:tcPr>
          <w:p>
            <w:pPr>
              <w:jc w:val="center"/>
              <w:rPr>
                <w:rFonts w:ascii="宋体" w:hAnsi="宋体" w:cs="宋体"/>
                <w:b/>
                <w:bCs/>
                <w:kern w:val="0"/>
                <w:szCs w:val="21"/>
              </w:rPr>
            </w:pPr>
          </w:p>
        </w:tc>
      </w:tr>
      <w:tr>
        <w:tblPrEx>
          <w:tblCellMar>
            <w:top w:w="0" w:type="dxa"/>
            <w:left w:w="108" w:type="dxa"/>
            <w:bottom w:w="0" w:type="dxa"/>
            <w:right w:w="108" w:type="dxa"/>
          </w:tblCellMar>
        </w:tblPrEx>
        <w:trPr>
          <w:trHeight w:val="489" w:hRule="atLeast"/>
        </w:trPr>
        <w:tc>
          <w:tcPr>
            <w:tcW w:w="867" w:type="dxa"/>
            <w:tcBorders>
              <w:top w:val="nil"/>
              <w:left w:val="single" w:color="auto" w:sz="4" w:space="0"/>
              <w:bottom w:val="single" w:color="auto" w:sz="4" w:space="0"/>
              <w:right w:val="single" w:color="auto" w:sz="4" w:space="0"/>
            </w:tcBorders>
            <w:shd w:val="clear" w:color="000000" w:fill="FFFFFF"/>
            <w:vAlign w:val="center"/>
          </w:tcPr>
          <w:p>
            <w:pPr>
              <w:jc w:val="center"/>
              <w:rPr>
                <w:rFonts w:ascii="宋体" w:hAnsi="宋体" w:cs="宋体"/>
                <w:kern w:val="0"/>
                <w:szCs w:val="21"/>
              </w:rPr>
            </w:pPr>
            <w:r>
              <w:rPr>
                <w:rFonts w:hint="eastAsia" w:ascii="宋体" w:hAnsi="宋体" w:cs="宋体"/>
                <w:kern w:val="0"/>
                <w:szCs w:val="21"/>
              </w:rPr>
              <w:t>3</w:t>
            </w:r>
          </w:p>
        </w:tc>
        <w:tc>
          <w:tcPr>
            <w:tcW w:w="2824" w:type="dxa"/>
            <w:tcBorders>
              <w:top w:val="nil"/>
              <w:left w:val="nil"/>
              <w:bottom w:val="single" w:color="auto" w:sz="4" w:space="0"/>
              <w:right w:val="single" w:color="auto" w:sz="4" w:space="0"/>
            </w:tcBorders>
            <w:shd w:val="clear" w:color="000000" w:fill="FFFFFF"/>
            <w:vAlign w:val="center"/>
          </w:tcPr>
          <w:p>
            <w:pPr>
              <w:jc w:val="center"/>
              <w:rPr>
                <w:rFonts w:ascii="宋体" w:hAnsi="宋体"/>
                <w:szCs w:val="22"/>
              </w:rPr>
            </w:pPr>
            <w:r>
              <w:rPr>
                <w:rFonts w:hint="eastAsia" w:ascii="宋体" w:hAnsi="宋体"/>
                <w:szCs w:val="22"/>
              </w:rPr>
              <w:t>东宝河停车场交通接驳研究</w:t>
            </w:r>
          </w:p>
        </w:tc>
        <w:tc>
          <w:tcPr>
            <w:tcW w:w="2476" w:type="dxa"/>
            <w:tcBorders>
              <w:top w:val="nil"/>
              <w:left w:val="nil"/>
              <w:bottom w:val="single" w:color="auto" w:sz="4" w:space="0"/>
              <w:right w:val="single" w:color="auto" w:sz="4" w:space="0"/>
            </w:tcBorders>
            <w:shd w:val="clear" w:color="000000" w:fill="FFFFFF"/>
          </w:tcPr>
          <w:p>
            <w:pPr>
              <w:jc w:val="center"/>
              <w:rPr>
                <w:rFonts w:ascii="宋体" w:hAnsi="宋体" w:cs="宋体"/>
                <w:kern w:val="0"/>
                <w:szCs w:val="21"/>
              </w:rPr>
            </w:pPr>
          </w:p>
        </w:tc>
        <w:tc>
          <w:tcPr>
            <w:tcW w:w="2767" w:type="dxa"/>
            <w:vMerge w:val="continue"/>
            <w:tcBorders>
              <w:left w:val="nil"/>
              <w:right w:val="single" w:color="auto" w:sz="4" w:space="0"/>
            </w:tcBorders>
            <w:shd w:val="clear" w:color="000000" w:fill="FFFFFF"/>
            <w:vAlign w:val="center"/>
          </w:tcPr>
          <w:p>
            <w:pPr>
              <w:jc w:val="center"/>
              <w:rPr>
                <w:rFonts w:ascii="宋体" w:hAnsi="宋体" w:cs="宋体"/>
                <w:b/>
                <w:bCs/>
                <w:kern w:val="0"/>
                <w:szCs w:val="21"/>
              </w:rPr>
            </w:pPr>
          </w:p>
        </w:tc>
      </w:tr>
      <w:tr>
        <w:tblPrEx>
          <w:tblCellMar>
            <w:top w:w="0" w:type="dxa"/>
            <w:left w:w="108" w:type="dxa"/>
            <w:bottom w:w="0" w:type="dxa"/>
            <w:right w:w="108" w:type="dxa"/>
          </w:tblCellMar>
        </w:tblPrEx>
        <w:trPr>
          <w:trHeight w:val="559" w:hRule="atLeast"/>
        </w:trPr>
        <w:tc>
          <w:tcPr>
            <w:tcW w:w="867" w:type="dxa"/>
            <w:tcBorders>
              <w:top w:val="nil"/>
              <w:left w:val="single" w:color="auto" w:sz="4" w:space="0"/>
              <w:bottom w:val="single" w:color="auto" w:sz="4" w:space="0"/>
              <w:right w:val="single" w:color="auto" w:sz="4" w:space="0"/>
            </w:tcBorders>
            <w:shd w:val="clear" w:color="000000" w:fill="FFFFFF"/>
            <w:vAlign w:val="center"/>
          </w:tcPr>
          <w:p>
            <w:pPr>
              <w:jc w:val="center"/>
              <w:rPr>
                <w:rFonts w:ascii="宋体" w:hAnsi="宋体" w:cs="宋体"/>
                <w:kern w:val="0"/>
                <w:szCs w:val="21"/>
              </w:rPr>
            </w:pPr>
            <w:r>
              <w:rPr>
                <w:rFonts w:hint="eastAsia" w:ascii="宋体" w:hAnsi="宋体" w:cs="宋体"/>
                <w:kern w:val="0"/>
                <w:szCs w:val="21"/>
              </w:rPr>
              <w:t>4</w:t>
            </w:r>
          </w:p>
        </w:tc>
        <w:tc>
          <w:tcPr>
            <w:tcW w:w="2824" w:type="dxa"/>
            <w:tcBorders>
              <w:top w:val="nil"/>
              <w:left w:val="nil"/>
              <w:bottom w:val="single" w:color="auto" w:sz="4" w:space="0"/>
              <w:right w:val="single" w:color="auto" w:sz="4" w:space="0"/>
            </w:tcBorders>
            <w:shd w:val="clear" w:color="000000" w:fill="FFFFFF"/>
            <w:vAlign w:val="center"/>
          </w:tcPr>
          <w:p>
            <w:pPr>
              <w:jc w:val="center"/>
              <w:rPr>
                <w:rFonts w:ascii="宋体" w:hAnsi="宋体"/>
                <w:szCs w:val="22"/>
              </w:rPr>
            </w:pPr>
            <w:r>
              <w:rPr>
                <w:rFonts w:hint="eastAsia" w:ascii="宋体" w:hAnsi="宋体"/>
                <w:szCs w:val="22"/>
                <w:lang w:eastAsia="zh-CN"/>
              </w:rPr>
              <w:t>新大存车场</w:t>
            </w:r>
            <w:r>
              <w:rPr>
                <w:rFonts w:hint="eastAsia" w:ascii="宋体" w:hAnsi="宋体"/>
                <w:szCs w:val="22"/>
              </w:rPr>
              <w:t>交通接驳研究</w:t>
            </w:r>
          </w:p>
        </w:tc>
        <w:tc>
          <w:tcPr>
            <w:tcW w:w="2476" w:type="dxa"/>
            <w:tcBorders>
              <w:top w:val="nil"/>
              <w:left w:val="nil"/>
              <w:bottom w:val="single" w:color="auto" w:sz="4" w:space="0"/>
              <w:right w:val="single" w:color="auto" w:sz="4" w:space="0"/>
            </w:tcBorders>
            <w:shd w:val="clear" w:color="000000" w:fill="FFFFFF"/>
          </w:tcPr>
          <w:p>
            <w:pPr>
              <w:jc w:val="center"/>
              <w:rPr>
                <w:rFonts w:ascii="宋体" w:hAnsi="宋体" w:cs="宋体"/>
                <w:kern w:val="0"/>
                <w:szCs w:val="21"/>
              </w:rPr>
            </w:pPr>
          </w:p>
        </w:tc>
        <w:tc>
          <w:tcPr>
            <w:tcW w:w="2767" w:type="dxa"/>
            <w:vMerge w:val="continue"/>
            <w:tcBorders>
              <w:left w:val="nil"/>
              <w:right w:val="single" w:color="auto" w:sz="4" w:space="0"/>
            </w:tcBorders>
            <w:shd w:val="clear" w:color="000000" w:fill="FFFFFF"/>
            <w:vAlign w:val="center"/>
          </w:tcPr>
          <w:p>
            <w:pPr>
              <w:jc w:val="center"/>
              <w:rPr>
                <w:rFonts w:ascii="宋体" w:hAnsi="宋体" w:cs="宋体"/>
                <w:b/>
                <w:bCs/>
                <w:kern w:val="0"/>
                <w:szCs w:val="21"/>
              </w:rPr>
            </w:pPr>
          </w:p>
        </w:tc>
      </w:tr>
      <w:tr>
        <w:tblPrEx>
          <w:tblCellMar>
            <w:top w:w="0" w:type="dxa"/>
            <w:left w:w="108" w:type="dxa"/>
            <w:bottom w:w="0" w:type="dxa"/>
            <w:right w:w="108" w:type="dxa"/>
          </w:tblCellMar>
        </w:tblPrEx>
        <w:trPr>
          <w:trHeight w:val="1875" w:hRule="atLeast"/>
        </w:trPr>
        <w:tc>
          <w:tcPr>
            <w:tcW w:w="867"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s="宋体"/>
                <w:kern w:val="0"/>
                <w:szCs w:val="21"/>
              </w:rPr>
            </w:pPr>
            <w:r>
              <w:rPr>
                <w:rFonts w:hint="eastAsia" w:ascii="宋体" w:hAnsi="宋体" w:cs="宋体"/>
                <w:kern w:val="0"/>
                <w:szCs w:val="21"/>
              </w:rPr>
              <w:t>2</w:t>
            </w:r>
          </w:p>
        </w:tc>
        <w:tc>
          <w:tcPr>
            <w:tcW w:w="2824"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cs="宋体"/>
                <w:kern w:val="0"/>
                <w:szCs w:val="21"/>
              </w:rPr>
            </w:pPr>
            <w:r>
              <w:rPr>
                <w:rFonts w:hint="eastAsia" w:ascii="宋体" w:hAnsi="宋体" w:cs="宋体"/>
                <w:kern w:val="0"/>
                <w:szCs w:val="21"/>
              </w:rPr>
              <w:t>总费用合计</w:t>
            </w:r>
          </w:p>
        </w:tc>
        <w:tc>
          <w:tcPr>
            <w:tcW w:w="2476" w:type="dxa"/>
            <w:tcBorders>
              <w:top w:val="single" w:color="auto" w:sz="4" w:space="0"/>
              <w:left w:val="nil"/>
              <w:bottom w:val="single" w:color="auto" w:sz="4" w:space="0"/>
              <w:right w:val="single" w:color="auto" w:sz="4" w:space="0"/>
            </w:tcBorders>
            <w:shd w:val="clear" w:color="000000" w:fill="FFFFFF"/>
          </w:tcPr>
          <w:p>
            <w:pPr>
              <w:jc w:val="center"/>
              <w:rPr>
                <w:rFonts w:ascii="宋体" w:hAnsi="宋体" w:cs="宋体"/>
                <w:kern w:val="0"/>
                <w:szCs w:val="21"/>
              </w:rPr>
            </w:pPr>
          </w:p>
        </w:tc>
        <w:tc>
          <w:tcPr>
            <w:tcW w:w="2767" w:type="dxa"/>
            <w:vMerge w:val="continue"/>
            <w:tcBorders>
              <w:left w:val="nil"/>
              <w:bottom w:val="single" w:color="auto" w:sz="4" w:space="0"/>
              <w:right w:val="single" w:color="auto" w:sz="4" w:space="0"/>
            </w:tcBorders>
            <w:shd w:val="clear" w:color="000000" w:fill="FFFFFF"/>
            <w:vAlign w:val="center"/>
          </w:tcPr>
          <w:p>
            <w:pPr>
              <w:jc w:val="center"/>
              <w:rPr>
                <w:rFonts w:ascii="宋体" w:hAnsi="宋体" w:cs="宋体"/>
                <w:b/>
                <w:bCs/>
                <w:kern w:val="0"/>
                <w:szCs w:val="21"/>
              </w:rPr>
            </w:pPr>
          </w:p>
        </w:tc>
      </w:tr>
    </w:tbl>
    <w:p>
      <w:pPr>
        <w:pStyle w:val="48"/>
      </w:pPr>
    </w:p>
    <w:p>
      <w:pPr>
        <w:adjustRightInd w:val="0"/>
        <w:snapToGrid w:val="0"/>
        <w:spacing w:before="240" w:line="360" w:lineRule="auto"/>
        <w:ind w:firstLine="420" w:firstLineChars="200"/>
        <w:rPr>
          <w:rFonts w:ascii="宋体" w:hAnsi="宋体" w:cs="宋体"/>
          <w:snapToGrid w:val="0"/>
          <w:szCs w:val="21"/>
        </w:rPr>
      </w:pPr>
    </w:p>
    <w:p>
      <w:pPr>
        <w:adjustRightInd w:val="0"/>
        <w:snapToGrid w:val="0"/>
        <w:spacing w:before="240" w:line="360" w:lineRule="auto"/>
        <w:ind w:firstLine="420" w:firstLineChars="200"/>
        <w:rPr>
          <w:rFonts w:ascii="宋体" w:hAnsi="宋体" w:cs="宋体"/>
          <w:snapToGrid w:val="0"/>
          <w:szCs w:val="21"/>
        </w:rPr>
      </w:pPr>
    </w:p>
    <w:p>
      <w:pPr>
        <w:adjustRightInd w:val="0"/>
        <w:snapToGrid w:val="0"/>
        <w:spacing w:before="240" w:line="360" w:lineRule="auto"/>
        <w:ind w:firstLine="420" w:firstLineChars="200"/>
        <w:rPr>
          <w:rFonts w:ascii="宋体" w:hAnsi="宋体" w:cs="宋体"/>
          <w:snapToGrid w:val="0"/>
          <w:szCs w:val="21"/>
        </w:rPr>
      </w:pPr>
    </w:p>
    <w:p>
      <w:pPr>
        <w:adjustRightInd w:val="0"/>
        <w:snapToGrid w:val="0"/>
        <w:spacing w:before="240" w:line="360" w:lineRule="auto"/>
        <w:ind w:firstLine="420" w:firstLineChars="200"/>
        <w:rPr>
          <w:rFonts w:ascii="宋体" w:hAnsi="宋体" w:cs="宋体"/>
          <w:snapToGrid w:val="0"/>
          <w:szCs w:val="21"/>
        </w:rPr>
      </w:pPr>
    </w:p>
    <w:p>
      <w:pPr>
        <w:adjustRightInd w:val="0"/>
        <w:snapToGrid w:val="0"/>
        <w:spacing w:before="240" w:line="360" w:lineRule="auto"/>
        <w:ind w:firstLine="420" w:firstLineChars="200"/>
        <w:rPr>
          <w:rFonts w:ascii="宋体" w:hAnsi="宋体" w:cs="宋体"/>
          <w:snapToGrid w:val="0"/>
          <w:szCs w:val="21"/>
        </w:rPr>
      </w:pPr>
    </w:p>
    <w:p>
      <w:pPr>
        <w:adjustRightInd w:val="0"/>
        <w:snapToGrid w:val="0"/>
        <w:spacing w:before="240" w:line="360" w:lineRule="auto"/>
        <w:ind w:firstLine="420" w:firstLineChars="200"/>
        <w:rPr>
          <w:rFonts w:ascii="宋体" w:hAnsi="宋体" w:cs="宋体"/>
          <w:snapToGrid w:val="0"/>
          <w:szCs w:val="21"/>
        </w:rPr>
      </w:pPr>
    </w:p>
    <w:p>
      <w:pPr>
        <w:adjustRightInd w:val="0"/>
        <w:snapToGrid w:val="0"/>
        <w:spacing w:before="240" w:line="360" w:lineRule="auto"/>
        <w:ind w:firstLine="420" w:firstLineChars="200"/>
        <w:rPr>
          <w:rFonts w:ascii="宋体" w:hAnsi="宋体" w:cs="宋体"/>
          <w:snapToGrid w:val="0"/>
          <w:szCs w:val="21"/>
        </w:rPr>
      </w:pPr>
    </w:p>
    <w:p>
      <w:pPr>
        <w:adjustRightInd w:val="0"/>
        <w:snapToGrid w:val="0"/>
        <w:spacing w:before="240" w:line="360" w:lineRule="auto"/>
        <w:ind w:firstLine="420" w:firstLineChars="200"/>
        <w:rPr>
          <w:rFonts w:ascii="宋体" w:hAnsi="宋体" w:cs="宋体"/>
          <w:snapToGrid w:val="0"/>
          <w:szCs w:val="21"/>
        </w:rPr>
      </w:pPr>
    </w:p>
    <w:p>
      <w:pPr>
        <w:adjustRightInd w:val="0"/>
        <w:snapToGrid w:val="0"/>
        <w:spacing w:before="240" w:line="360" w:lineRule="auto"/>
        <w:rPr>
          <w:rFonts w:ascii="宋体" w:hAnsi="宋体" w:cs="宋体"/>
          <w:snapToGrid w:val="0"/>
          <w:szCs w:val="21"/>
        </w:rPr>
      </w:pPr>
    </w:p>
    <w:p>
      <w:pPr>
        <w:adjustRightInd w:val="0"/>
        <w:snapToGrid w:val="0"/>
        <w:spacing w:before="240" w:line="360" w:lineRule="auto"/>
        <w:ind w:firstLine="420" w:firstLineChars="200"/>
        <w:rPr>
          <w:rFonts w:eastAsia="Times New Roman"/>
          <w:snapToGrid w:val="0"/>
          <w:szCs w:val="21"/>
        </w:rPr>
      </w:pPr>
      <w:r>
        <w:rPr>
          <w:rFonts w:hint="eastAsia" w:ascii="宋体" w:hAnsi="宋体" w:cs="宋体"/>
          <w:snapToGrid w:val="0"/>
          <w:szCs w:val="21"/>
        </w:rPr>
        <w:t>注：</w:t>
      </w:r>
    </w:p>
    <w:p>
      <w:pPr>
        <w:numPr>
          <w:ilvl w:val="0"/>
          <w:numId w:val="10"/>
        </w:numPr>
        <w:adjustRightInd w:val="0"/>
        <w:snapToGrid w:val="0"/>
        <w:spacing w:line="360" w:lineRule="auto"/>
        <w:ind w:left="0" w:firstLine="420" w:firstLineChars="200"/>
        <w:rPr>
          <w:rFonts w:eastAsia="Times New Roman"/>
          <w:snapToGrid w:val="0"/>
          <w:szCs w:val="21"/>
        </w:rPr>
      </w:pPr>
      <w:r>
        <w:rPr>
          <w:rFonts w:hint="eastAsia" w:ascii="宋体" w:hAnsi="宋体" w:cs="宋体"/>
          <w:snapToGrid w:val="0"/>
          <w:szCs w:val="21"/>
        </w:rPr>
        <w:t>报价采用人民币报价。</w:t>
      </w:r>
    </w:p>
    <w:p>
      <w:pPr>
        <w:numPr>
          <w:ilvl w:val="0"/>
          <w:numId w:val="10"/>
        </w:numPr>
        <w:adjustRightInd w:val="0"/>
        <w:snapToGrid w:val="0"/>
        <w:spacing w:line="360" w:lineRule="auto"/>
        <w:ind w:left="0" w:firstLine="420" w:firstLineChars="200"/>
        <w:rPr>
          <w:rFonts w:eastAsia="Times New Roman"/>
          <w:snapToGrid w:val="0"/>
          <w:szCs w:val="21"/>
        </w:rPr>
      </w:pPr>
      <w:r>
        <w:rPr>
          <w:rFonts w:hint="eastAsia" w:ascii="宋体" w:hAnsi="宋体" w:cs="宋体"/>
          <w:snapToGrid w:val="0"/>
          <w:szCs w:val="21"/>
        </w:rPr>
        <w:t>报价包含了乙方因履行本合同要求的所有工作任务而投入的一切费用，且不随通货膨胀的影响而变化。包括但不限于人工费用（含管理费用）、交通餐饮住宿费用，报告编制文印费用、考察调研及技术交流费用、利润、乙方在提供本咨询服务时应交缴的各种税费及调研费等。所有供应商必须按采购文件要求逐项报价。如出现缺项、漏项、少报、错报时，相应的费用视为包含在报价的其他项目价格中，合同总价不予增加。增值税税率按6%计取。</w:t>
      </w:r>
    </w:p>
    <w:p>
      <w:pPr>
        <w:adjustRightInd w:val="0"/>
        <w:snapToGrid w:val="0"/>
        <w:spacing w:line="360" w:lineRule="auto"/>
        <w:rPr>
          <w:rFonts w:ascii="宋体" w:hAnsi="宋体"/>
          <w:sz w:val="24"/>
          <w:szCs w:val="24"/>
        </w:rPr>
      </w:pPr>
    </w:p>
    <w:p>
      <w:pPr>
        <w:adjustRightInd w:val="0"/>
        <w:snapToGrid w:val="0"/>
        <w:spacing w:line="360" w:lineRule="auto"/>
        <w:ind w:firstLine="480" w:firstLineChars="200"/>
        <w:rPr>
          <w:rFonts w:ascii="宋体" w:hAnsi="宋体"/>
          <w:kern w:val="10"/>
          <w:sz w:val="24"/>
          <w:szCs w:val="24"/>
          <w:u w:val="single"/>
        </w:rPr>
      </w:pPr>
      <w:r>
        <w:rPr>
          <w:rFonts w:ascii="宋体" w:hAnsi="宋体"/>
          <w:kern w:val="10"/>
          <w:sz w:val="24"/>
          <w:szCs w:val="24"/>
        </w:rPr>
        <w:t>参选人（盖章）：</w:t>
      </w:r>
      <w:r>
        <w:rPr>
          <w:rFonts w:ascii="宋体" w:hAnsi="宋体"/>
          <w:kern w:val="10"/>
          <w:sz w:val="24"/>
          <w:szCs w:val="24"/>
          <w:u w:val="single"/>
        </w:rPr>
        <w:t xml:space="preserve">           [参选人名称]              </w:t>
      </w:r>
    </w:p>
    <w:p>
      <w:pPr>
        <w:adjustRightInd w:val="0"/>
        <w:snapToGrid w:val="0"/>
        <w:spacing w:line="360" w:lineRule="auto"/>
        <w:ind w:firstLine="480" w:firstLineChars="200"/>
        <w:rPr>
          <w:rFonts w:ascii="宋体" w:hAnsi="宋体"/>
          <w:bCs/>
          <w:sz w:val="24"/>
          <w:szCs w:val="24"/>
        </w:rPr>
      </w:pPr>
      <w:r>
        <w:rPr>
          <w:rFonts w:hAnsi="宋体"/>
          <w:sz w:val="24"/>
          <w:szCs w:val="24"/>
        </w:rPr>
        <w:t>法定代表人</w:t>
      </w:r>
      <w:r>
        <w:rPr>
          <w:rFonts w:hint="eastAsia" w:hAnsi="宋体"/>
          <w:sz w:val="24"/>
          <w:szCs w:val="24"/>
        </w:rPr>
        <w:t>或</w:t>
      </w:r>
      <w:r>
        <w:rPr>
          <w:rFonts w:hAnsi="宋体"/>
          <w:sz w:val="24"/>
          <w:szCs w:val="24"/>
        </w:rPr>
        <w:t>授权代表（签字或盖章）：</w:t>
      </w:r>
      <w:r>
        <w:rPr>
          <w:rFonts w:hAnsi="宋体"/>
          <w:sz w:val="24"/>
          <w:szCs w:val="24"/>
          <w:u w:val="single"/>
        </w:rPr>
        <w:t xml:space="preserve">                           </w:t>
      </w:r>
    </w:p>
    <w:p>
      <w:pPr>
        <w:adjustRightInd w:val="0"/>
        <w:snapToGrid w:val="0"/>
        <w:spacing w:line="360" w:lineRule="auto"/>
        <w:ind w:firstLine="480" w:firstLineChars="200"/>
        <w:rPr>
          <w:rFonts w:ascii="宋体" w:hAnsi="宋体" w:cs="宋体"/>
          <w:snapToGrid w:val="0"/>
          <w:szCs w:val="21"/>
        </w:rPr>
        <w:sectPr>
          <w:pgSz w:w="11906" w:h="16838"/>
          <w:pgMar w:top="1440" w:right="1077" w:bottom="1440" w:left="1077" w:header="720" w:footer="992" w:gutter="0"/>
          <w:cols w:space="720" w:num="1"/>
          <w:docGrid w:linePitch="312" w:charSpace="0"/>
        </w:sectPr>
      </w:pPr>
      <w:r>
        <w:rPr>
          <w:rFonts w:hint="eastAsia" w:ascii="宋体" w:hAnsi="宋体"/>
          <w:bCs/>
          <w:sz w:val="24"/>
          <w:szCs w:val="24"/>
        </w:rPr>
        <w:t>日    期：</w:t>
      </w:r>
      <w:r>
        <w:rPr>
          <w:rFonts w:hint="eastAsia" w:ascii="宋体" w:hAnsi="宋体"/>
          <w:sz w:val="24"/>
          <w:szCs w:val="24"/>
          <w:u w:val="single"/>
        </w:rPr>
        <w:t xml:space="preserve"> 2022 </w:t>
      </w:r>
      <w:r>
        <w:rPr>
          <w:rFonts w:ascii="宋体" w:hAnsi="宋体"/>
          <w:sz w:val="24"/>
          <w:szCs w:val="24"/>
        </w:rPr>
        <w:t>年</w:t>
      </w:r>
      <w:r>
        <w:rPr>
          <w:rFonts w:hint="eastAsia" w:ascii="宋体" w:hAnsi="宋体"/>
          <w:sz w:val="24"/>
          <w:szCs w:val="24"/>
          <w:u w:val="single"/>
        </w:rPr>
        <w:t xml:space="preserve">    </w:t>
      </w:r>
      <w:r>
        <w:rPr>
          <w:rFonts w:ascii="宋体" w:hAnsi="宋体"/>
          <w:sz w:val="24"/>
          <w:szCs w:val="24"/>
        </w:rPr>
        <w:t>月</w:t>
      </w:r>
      <w:r>
        <w:rPr>
          <w:rFonts w:hint="eastAsia" w:ascii="宋体" w:hAnsi="宋体"/>
          <w:sz w:val="24"/>
          <w:szCs w:val="24"/>
          <w:u w:val="single"/>
        </w:rPr>
        <w:t xml:space="preserve">    </w:t>
      </w:r>
      <w:r>
        <w:rPr>
          <w:rFonts w:ascii="宋体" w:hAnsi="宋体"/>
          <w:sz w:val="24"/>
          <w:szCs w:val="24"/>
        </w:rPr>
        <w:t>日</w:t>
      </w:r>
    </w:p>
    <w:bookmarkEnd w:id="119"/>
    <w:p>
      <w:pPr>
        <w:pStyle w:val="85"/>
        <w:widowControl/>
        <w:spacing w:line="360" w:lineRule="auto"/>
        <w:ind w:firstLine="0" w:firstLineChars="0"/>
        <w:jc w:val="left"/>
        <w:rPr>
          <w:rFonts w:ascii="宋体" w:hAnsi="宋体" w:eastAsia="宋体" w:cs="宋体"/>
          <w:sz w:val="24"/>
          <w:szCs w:val="24"/>
        </w:rPr>
      </w:pPr>
    </w:p>
    <w:p/>
    <w:p>
      <w:pPr>
        <w:jc w:val="center"/>
        <w:rPr>
          <w:rFonts w:ascii="黑体" w:hAnsi="黑体" w:eastAsia="黑体"/>
          <w:sz w:val="28"/>
        </w:rPr>
      </w:pPr>
    </w:p>
    <w:p>
      <w:pPr>
        <w:jc w:val="center"/>
        <w:rPr>
          <w:rFonts w:ascii="黑体" w:hAnsi="黑体" w:eastAsia="黑体"/>
          <w:sz w:val="52"/>
          <w:szCs w:val="36"/>
        </w:rPr>
      </w:pPr>
      <w:r>
        <w:rPr>
          <w:rFonts w:hint="eastAsia" w:ascii="黑体" w:hAnsi="黑体" w:eastAsia="黑体"/>
          <w:sz w:val="52"/>
          <w:szCs w:val="36"/>
        </w:rPr>
        <w:t>光明新湖、昂鹅车辆段、东宝河停车场、</w:t>
      </w:r>
    </w:p>
    <w:p>
      <w:pPr>
        <w:jc w:val="center"/>
        <w:rPr>
          <w:rFonts w:ascii="黑体" w:hAnsi="黑体" w:eastAsia="黑体"/>
          <w:sz w:val="28"/>
        </w:rPr>
      </w:pPr>
      <w:r>
        <w:rPr>
          <w:rFonts w:hint="eastAsia" w:ascii="黑体" w:hAnsi="黑体" w:eastAsia="黑体"/>
          <w:sz w:val="52"/>
          <w:szCs w:val="36"/>
          <w:lang w:eastAsia="zh-CN"/>
        </w:rPr>
        <w:t>新大存车场</w:t>
      </w:r>
      <w:r>
        <w:rPr>
          <w:rFonts w:hint="eastAsia" w:ascii="黑体" w:hAnsi="黑体" w:eastAsia="黑体"/>
          <w:sz w:val="52"/>
          <w:szCs w:val="36"/>
        </w:rPr>
        <w:t>交通接驳研究合同</w:t>
      </w:r>
    </w:p>
    <w:p>
      <w:pPr>
        <w:jc w:val="center"/>
        <w:rPr>
          <w:rFonts w:ascii="黑体" w:hAnsi="黑体" w:eastAsia="黑体"/>
          <w:sz w:val="28"/>
        </w:rPr>
      </w:pPr>
    </w:p>
    <w:p>
      <w:pPr>
        <w:pStyle w:val="48"/>
      </w:pPr>
    </w:p>
    <w:p>
      <w:pPr>
        <w:pStyle w:val="48"/>
        <w:ind w:firstLine="2100" w:firstLineChars="1000"/>
        <w:rPr>
          <w:rFonts w:hint="eastAsia"/>
        </w:rPr>
      </w:pPr>
      <w:r>
        <w:rPr>
          <w:rFonts w:hint="eastAsia"/>
        </w:rPr>
        <w:t>（注</w:t>
      </w:r>
      <w:r>
        <w:t>：分项目</w:t>
      </w:r>
      <w:r>
        <w:rPr>
          <w:rFonts w:hint="eastAsia"/>
        </w:rPr>
        <w:t>按</w:t>
      </w:r>
      <w:r>
        <w:t>开发主体签订合同）</w:t>
      </w:r>
    </w:p>
    <w:p>
      <w:pPr>
        <w:pStyle w:val="48"/>
      </w:pPr>
    </w:p>
    <w:p>
      <w:pPr>
        <w:pStyle w:val="48"/>
      </w:pPr>
    </w:p>
    <w:p>
      <w:pPr>
        <w:pStyle w:val="48"/>
      </w:pPr>
    </w:p>
    <w:p>
      <w:pPr>
        <w:pStyle w:val="48"/>
      </w:pPr>
    </w:p>
    <w:p>
      <w:pPr>
        <w:jc w:val="center"/>
        <w:rPr>
          <w:rFonts w:ascii="黑体" w:hAnsi="黑体" w:eastAsia="黑体"/>
          <w:sz w:val="28"/>
        </w:rPr>
      </w:pPr>
    </w:p>
    <w:p>
      <w:pPr>
        <w:jc w:val="center"/>
        <w:rPr>
          <w:rFonts w:ascii="黑体" w:hAnsi="黑体" w:eastAsia="黑体"/>
          <w:sz w:val="28"/>
        </w:rPr>
      </w:pPr>
      <w:r>
        <w:rPr>
          <w:rFonts w:hint="eastAsia" w:ascii="黑体" w:hAnsi="黑体" w:eastAsia="黑体"/>
          <w:sz w:val="28"/>
        </w:rPr>
        <w:t>合同</w:t>
      </w:r>
      <w:r>
        <w:rPr>
          <w:rFonts w:ascii="黑体" w:hAnsi="黑体" w:eastAsia="黑体"/>
          <w:sz w:val="28"/>
        </w:rPr>
        <w:t>编号：</w:t>
      </w:r>
    </w:p>
    <w:p>
      <w:pPr>
        <w:jc w:val="center"/>
        <w:rPr>
          <w:rFonts w:ascii="黑体" w:hAnsi="黑体" w:eastAsia="黑体"/>
          <w:sz w:val="84"/>
          <w:szCs w:val="84"/>
        </w:rPr>
      </w:pPr>
    </w:p>
    <w:p>
      <w:pPr>
        <w:pStyle w:val="48"/>
        <w:ind w:firstLine="1680"/>
        <w:rPr>
          <w:rFonts w:ascii="黑体" w:hAnsi="黑体" w:eastAsia="黑体"/>
          <w:sz w:val="84"/>
          <w:szCs w:val="84"/>
        </w:rPr>
      </w:pPr>
    </w:p>
    <w:p>
      <w:pPr>
        <w:pStyle w:val="48"/>
        <w:ind w:left="0" w:leftChars="0" w:firstLine="0" w:firstLineChars="0"/>
        <w:rPr>
          <w:rFonts w:ascii="黑体" w:hAnsi="黑体" w:eastAsia="黑体"/>
          <w:sz w:val="84"/>
          <w:szCs w:val="84"/>
        </w:rPr>
      </w:pPr>
    </w:p>
    <w:p>
      <w:pPr>
        <w:ind w:left="2157" w:leftChars="1027"/>
        <w:jc w:val="left"/>
        <w:rPr>
          <w:rFonts w:ascii="黑体" w:hAnsi="黑体" w:eastAsia="黑体"/>
          <w:sz w:val="32"/>
          <w:u w:val="single"/>
        </w:rPr>
      </w:pPr>
      <w:r>
        <w:rPr>
          <w:rFonts w:hint="eastAsia" w:ascii="黑体" w:hAnsi="黑体" w:eastAsia="黑体"/>
          <w:sz w:val="32"/>
        </w:rPr>
        <w:t>甲   方</w:t>
      </w:r>
      <w:r>
        <w:rPr>
          <w:rFonts w:ascii="黑体" w:hAnsi="黑体" w:eastAsia="黑体"/>
          <w:sz w:val="32"/>
        </w:rPr>
        <w:t>：</w:t>
      </w:r>
      <w:r>
        <w:rPr>
          <w:rFonts w:hint="eastAsia" w:ascii="黑体" w:hAnsi="黑体" w:eastAsia="黑体"/>
          <w:sz w:val="32"/>
          <w:u w:val="single"/>
        </w:rPr>
        <w:t xml:space="preserve"> </w:t>
      </w:r>
      <w:r>
        <w:rPr>
          <w:rFonts w:ascii="黑体" w:hAnsi="黑体" w:eastAsia="黑体"/>
          <w:sz w:val="32"/>
          <w:u w:val="single"/>
        </w:rPr>
        <w:t xml:space="preserve">                     </w:t>
      </w:r>
    </w:p>
    <w:p>
      <w:pPr>
        <w:ind w:left="2157" w:leftChars="1027"/>
        <w:jc w:val="left"/>
        <w:rPr>
          <w:rFonts w:ascii="黑体" w:hAnsi="黑体" w:eastAsia="黑体"/>
          <w:sz w:val="32"/>
        </w:rPr>
      </w:pPr>
    </w:p>
    <w:p>
      <w:pPr>
        <w:ind w:left="2157" w:leftChars="1027"/>
        <w:jc w:val="left"/>
        <w:rPr>
          <w:rFonts w:ascii="黑体" w:hAnsi="黑体" w:eastAsia="黑体"/>
          <w:sz w:val="32"/>
          <w:u w:val="single"/>
        </w:rPr>
      </w:pPr>
      <w:r>
        <w:rPr>
          <w:rFonts w:hint="eastAsia" w:ascii="黑体" w:hAnsi="黑体" w:eastAsia="黑体"/>
          <w:sz w:val="32"/>
        </w:rPr>
        <w:t>乙   方</w:t>
      </w:r>
      <w:r>
        <w:rPr>
          <w:rFonts w:ascii="黑体" w:hAnsi="黑体" w:eastAsia="黑体"/>
          <w:sz w:val="32"/>
        </w:rPr>
        <w:t>：</w:t>
      </w:r>
      <w:r>
        <w:rPr>
          <w:rFonts w:hint="eastAsia" w:ascii="黑体" w:hAnsi="黑体" w:eastAsia="黑体"/>
          <w:sz w:val="32"/>
          <w:u w:val="single"/>
        </w:rPr>
        <w:t xml:space="preserve"> </w:t>
      </w:r>
      <w:r>
        <w:rPr>
          <w:rFonts w:ascii="黑体" w:hAnsi="黑体" w:eastAsia="黑体"/>
          <w:sz w:val="32"/>
          <w:u w:val="single"/>
        </w:rPr>
        <w:t xml:space="preserve">                     </w:t>
      </w:r>
    </w:p>
    <w:p>
      <w:pPr>
        <w:jc w:val="center"/>
        <w:rPr>
          <w:rFonts w:ascii="黑体" w:hAnsi="黑体" w:eastAsia="黑体"/>
          <w:sz w:val="32"/>
        </w:rPr>
      </w:pPr>
    </w:p>
    <w:p>
      <w:pPr>
        <w:jc w:val="center"/>
        <w:rPr>
          <w:rFonts w:ascii="黑体" w:hAnsi="黑体" w:eastAsia="黑体"/>
          <w:sz w:val="32"/>
        </w:rPr>
      </w:pPr>
    </w:p>
    <w:p>
      <w:pPr>
        <w:jc w:val="center"/>
        <w:rPr>
          <w:rFonts w:ascii="黑体" w:hAnsi="黑体" w:eastAsia="黑体"/>
          <w:sz w:val="32"/>
        </w:rPr>
      </w:pPr>
    </w:p>
    <w:p>
      <w:pPr>
        <w:jc w:val="center"/>
        <w:rPr>
          <w:rFonts w:ascii="黑体" w:hAnsi="黑体" w:eastAsia="黑体"/>
          <w:sz w:val="32"/>
        </w:rPr>
      </w:pPr>
      <w:bookmarkStart w:id="120" w:name="_Toc28532556"/>
      <w:r>
        <w:rPr>
          <w:rFonts w:hint="eastAsia" w:ascii="黑体" w:hAnsi="黑体" w:eastAsia="黑体"/>
          <w:sz w:val="32"/>
        </w:rPr>
        <w:t>二</w:t>
      </w:r>
      <w:r>
        <w:rPr>
          <w:rFonts w:ascii="黑体" w:hAnsi="黑体" w:eastAsia="黑体"/>
          <w:sz w:val="32"/>
        </w:rPr>
        <w:t>○</w:t>
      </w:r>
      <w:r>
        <w:rPr>
          <w:rFonts w:hint="eastAsia" w:ascii="黑体" w:hAnsi="黑体" w:eastAsia="黑体"/>
          <w:sz w:val="32"/>
        </w:rPr>
        <w:t>二二</w:t>
      </w:r>
      <w:r>
        <w:rPr>
          <w:rFonts w:ascii="黑体" w:hAnsi="黑体" w:eastAsia="黑体"/>
          <w:sz w:val="32"/>
        </w:rPr>
        <w:t>年</w:t>
      </w:r>
      <w:r>
        <w:rPr>
          <w:rFonts w:hint="eastAsia" w:ascii="黑体" w:hAnsi="黑体" w:eastAsia="黑体"/>
          <w:sz w:val="32"/>
        </w:rPr>
        <w:t xml:space="preserve">   </w:t>
      </w:r>
      <w:r>
        <w:rPr>
          <w:rFonts w:ascii="黑体" w:hAnsi="黑体" w:eastAsia="黑体"/>
          <w:sz w:val="32"/>
        </w:rPr>
        <w:t>月</w:t>
      </w:r>
      <w:bookmarkEnd w:id="120"/>
    </w:p>
    <w:p>
      <w:pPr>
        <w:spacing w:line="276" w:lineRule="auto"/>
        <w:rPr>
          <w:rFonts w:asciiTheme="minorEastAsia" w:hAnsiTheme="minorEastAsia" w:eastAsiaTheme="minorEastAsia"/>
        </w:rPr>
        <w:sectPr>
          <w:headerReference r:id="rId6" w:type="first"/>
          <w:headerReference r:id="rId5" w:type="default"/>
          <w:pgSz w:w="11906" w:h="16838"/>
          <w:pgMar w:top="1440" w:right="1077" w:bottom="1440" w:left="1077" w:header="720" w:footer="851" w:gutter="0"/>
          <w:cols w:space="720" w:num="1"/>
          <w:titlePg/>
          <w:docGrid w:linePitch="326" w:charSpace="0"/>
        </w:sectPr>
      </w:pPr>
    </w:p>
    <w:p>
      <w:pPr>
        <w:autoSpaceDE w:val="0"/>
        <w:autoSpaceDN w:val="0"/>
        <w:spacing w:line="360" w:lineRule="auto"/>
        <w:ind w:firstLine="466" w:firstLineChars="200"/>
        <w:rPr>
          <w:rFonts w:ascii="宋体" w:hAnsi="宋体"/>
          <w:b/>
          <w:spacing w:val="-4"/>
          <w:sz w:val="24"/>
          <w:szCs w:val="24"/>
        </w:rPr>
      </w:pPr>
      <w:r>
        <w:rPr>
          <w:rFonts w:hint="eastAsia" w:ascii="宋体" w:hAnsi="宋体"/>
          <w:b/>
          <w:spacing w:val="-4"/>
          <w:sz w:val="24"/>
          <w:szCs w:val="24"/>
        </w:rPr>
        <w:t>委托方（甲方）：</w:t>
      </w:r>
    </w:p>
    <w:p>
      <w:pPr>
        <w:autoSpaceDE w:val="0"/>
        <w:autoSpaceDN w:val="0"/>
        <w:spacing w:line="360" w:lineRule="auto"/>
        <w:ind w:firstLine="466" w:firstLineChars="200"/>
        <w:rPr>
          <w:rFonts w:ascii="宋体" w:hAnsi="宋体"/>
          <w:b/>
          <w:spacing w:val="-4"/>
          <w:sz w:val="24"/>
          <w:szCs w:val="24"/>
        </w:rPr>
      </w:pPr>
      <w:r>
        <w:rPr>
          <w:rFonts w:hint="eastAsia" w:ascii="宋体" w:hAnsi="宋体"/>
          <w:b/>
          <w:spacing w:val="-4"/>
          <w:sz w:val="24"/>
          <w:szCs w:val="24"/>
        </w:rPr>
        <w:t>受托方（乙方）：</w:t>
      </w:r>
      <w:r>
        <w:rPr>
          <w:rFonts w:ascii="宋体" w:hAnsi="宋体"/>
          <w:b/>
          <w:spacing w:val="-4"/>
          <w:sz w:val="24"/>
          <w:szCs w:val="24"/>
        </w:rPr>
        <w:t xml:space="preserve"> </w:t>
      </w:r>
    </w:p>
    <w:p>
      <w:pPr>
        <w:spacing w:line="360" w:lineRule="auto"/>
        <w:ind w:firstLine="480" w:firstLineChars="200"/>
        <w:rPr>
          <w:sz w:val="24"/>
          <w:szCs w:val="24"/>
        </w:rPr>
      </w:pPr>
      <w:r>
        <w:rPr>
          <w:rFonts w:hint="eastAsia"/>
          <w:sz w:val="24"/>
          <w:szCs w:val="24"/>
        </w:rPr>
        <w:t>经比选，甲方确定乙方为光明新湖、昂鹅车辆段、东宝河停车场、</w:t>
      </w:r>
      <w:r>
        <w:rPr>
          <w:rFonts w:hint="eastAsia"/>
          <w:sz w:val="24"/>
          <w:szCs w:val="24"/>
          <w:lang w:eastAsia="zh-CN"/>
        </w:rPr>
        <w:t>新大存车场</w:t>
      </w:r>
      <w:r>
        <w:rPr>
          <w:rFonts w:hint="eastAsia"/>
          <w:sz w:val="24"/>
          <w:szCs w:val="24"/>
        </w:rPr>
        <w:t>交通接驳研究的服务单位，并已接受乙方就此提出的报价文件。根据《</w:t>
      </w:r>
      <w:r>
        <w:rPr>
          <w:sz w:val="24"/>
          <w:szCs w:val="24"/>
        </w:rPr>
        <w:t>中华人民共和国民法典</w:t>
      </w:r>
      <w:r>
        <w:rPr>
          <w:rFonts w:hint="eastAsia"/>
          <w:sz w:val="24"/>
          <w:szCs w:val="24"/>
        </w:rPr>
        <w:t>》及有关法律、法规的规定，双方本着合法、自愿、诚实信用和友好合作的原则，就甲方委托乙方提供光明新湖/昂鹅车辆段/东宝河停车场/</w:t>
      </w:r>
      <w:r>
        <w:rPr>
          <w:rFonts w:hint="eastAsia"/>
          <w:sz w:val="24"/>
          <w:szCs w:val="24"/>
          <w:lang w:eastAsia="zh-CN"/>
        </w:rPr>
        <w:t>新大存车场</w:t>
      </w:r>
      <w:r>
        <w:rPr>
          <w:rFonts w:hint="eastAsia"/>
          <w:sz w:val="24"/>
          <w:szCs w:val="24"/>
        </w:rPr>
        <w:t>交通接驳研究，达成本合同，双方恪守信用，共同执行本合同所有条款。</w:t>
      </w:r>
    </w:p>
    <w:p>
      <w:pPr>
        <w:spacing w:line="360" w:lineRule="auto"/>
        <w:ind w:firstLine="482" w:firstLineChars="200"/>
        <w:rPr>
          <w:b/>
          <w:bCs/>
          <w:sz w:val="24"/>
          <w:szCs w:val="24"/>
        </w:rPr>
      </w:pPr>
      <w:r>
        <w:rPr>
          <w:rFonts w:hint="eastAsia"/>
          <w:b/>
          <w:bCs/>
          <w:sz w:val="24"/>
          <w:szCs w:val="24"/>
        </w:rPr>
        <w:t>一、服务内容</w:t>
      </w:r>
    </w:p>
    <w:p>
      <w:pPr>
        <w:spacing w:line="360" w:lineRule="auto"/>
        <w:ind w:firstLine="480" w:firstLineChars="200"/>
        <w:rPr>
          <w:sz w:val="24"/>
          <w:szCs w:val="24"/>
        </w:rPr>
      </w:pPr>
      <w:r>
        <w:rPr>
          <w:rFonts w:hint="eastAsia"/>
          <w:sz w:val="24"/>
          <w:szCs w:val="24"/>
        </w:rPr>
        <w:t>甲方委托乙方承接光明新湖/昂鹅车辆段/东宝河停车场/</w:t>
      </w:r>
      <w:r>
        <w:rPr>
          <w:rFonts w:hint="eastAsia"/>
          <w:sz w:val="24"/>
          <w:szCs w:val="24"/>
          <w:lang w:eastAsia="zh-CN"/>
        </w:rPr>
        <w:t>新大存车场</w:t>
      </w:r>
      <w:r>
        <w:rPr>
          <w:rFonts w:hint="eastAsia"/>
          <w:sz w:val="24"/>
          <w:szCs w:val="24"/>
        </w:rPr>
        <w:t>交通接驳研究，乙方需配合甲方完成上述项目的以下事项：</w:t>
      </w:r>
    </w:p>
    <w:p>
      <w:pPr>
        <w:pStyle w:val="24"/>
        <w:spacing w:line="360" w:lineRule="auto"/>
        <w:ind w:firstLine="480" w:firstLineChars="200"/>
        <w:rPr>
          <w:rFonts w:hAnsi="宋体"/>
          <w:sz w:val="24"/>
          <w:szCs w:val="24"/>
        </w:rPr>
      </w:pPr>
      <w:r>
        <w:rPr>
          <w:rFonts w:hint="eastAsia" w:hAnsi="宋体"/>
          <w:sz w:val="24"/>
          <w:szCs w:val="24"/>
        </w:rPr>
        <w:t>（一）片区发展现状及规划分析。通过交通调查、资料收集、数据分析等方式，全面掌握片区的土地利用、交通、人口与就业岗位、社会经济以及相关规划等基础资料，对片区城市、交通发展现状和趋势进行系统解读，为规划方案提供基础支撑。</w:t>
      </w:r>
    </w:p>
    <w:p>
      <w:pPr>
        <w:pStyle w:val="24"/>
        <w:spacing w:line="360" w:lineRule="auto"/>
        <w:ind w:firstLine="480" w:firstLineChars="200"/>
        <w:rPr>
          <w:rFonts w:hAnsi="宋体"/>
          <w:sz w:val="24"/>
          <w:szCs w:val="24"/>
        </w:rPr>
      </w:pPr>
      <w:r>
        <w:rPr>
          <w:rFonts w:hint="eastAsia" w:hAnsi="宋体"/>
          <w:sz w:val="24"/>
          <w:szCs w:val="24"/>
        </w:rPr>
        <w:t>（二）必要性及功能定位分析。基于现状及规划发展的解读，对片区轨道接驳进行必要性分析，并总结片区轨道接驳功能定位，指导规划方案制定。</w:t>
      </w:r>
    </w:p>
    <w:p>
      <w:pPr>
        <w:pStyle w:val="24"/>
        <w:spacing w:line="360" w:lineRule="auto"/>
        <w:ind w:firstLine="480" w:firstLineChars="200"/>
        <w:rPr>
          <w:rFonts w:hAnsi="宋体"/>
          <w:sz w:val="24"/>
          <w:szCs w:val="24"/>
        </w:rPr>
      </w:pPr>
      <w:r>
        <w:rPr>
          <w:rFonts w:hint="eastAsia" w:hAnsi="宋体"/>
          <w:sz w:val="24"/>
          <w:szCs w:val="24"/>
        </w:rPr>
        <w:t>（三）片区交通需求预测。分析未来片区机动化交通总体出行需求，预测轨道交通出行需求，为接驳规划方案和投融资研究等提供依据。</w:t>
      </w:r>
    </w:p>
    <w:p>
      <w:pPr>
        <w:pStyle w:val="24"/>
        <w:spacing w:line="360" w:lineRule="auto"/>
        <w:ind w:firstLine="480" w:firstLineChars="200"/>
        <w:rPr>
          <w:rFonts w:hAnsi="宋体"/>
          <w:sz w:val="24"/>
          <w:szCs w:val="24"/>
        </w:rPr>
      </w:pPr>
      <w:r>
        <w:rPr>
          <w:rFonts w:hint="eastAsia" w:hAnsi="宋体"/>
          <w:sz w:val="24"/>
          <w:szCs w:val="24"/>
        </w:rPr>
        <w:t>（四）接驳制式研究。结合片区交通情况，借鉴国内外案例，综合研究各类交通系统制式，分析不同制式优缺点及适用条件，选择最优系统制式。</w:t>
      </w:r>
    </w:p>
    <w:p>
      <w:pPr>
        <w:pStyle w:val="24"/>
        <w:spacing w:line="360" w:lineRule="auto"/>
        <w:ind w:firstLine="480" w:firstLineChars="200"/>
        <w:rPr>
          <w:rFonts w:hAnsi="宋体"/>
          <w:sz w:val="24"/>
          <w:szCs w:val="24"/>
        </w:rPr>
      </w:pPr>
      <w:r>
        <w:rPr>
          <w:rFonts w:hint="eastAsia" w:hAnsi="宋体"/>
          <w:sz w:val="24"/>
          <w:szCs w:val="24"/>
        </w:rPr>
        <w:t>（五）交通接驳规划方案。基于片区发展特征，结合需求分析，研究适宜的接驳规划方案，客流需求较大的采用轨道交通接驳，客流需求较小的采用常规公交、慢行等接驳。同步提出主要节点交通设计方案和建议，如关键路线，主要路口等。</w:t>
      </w:r>
    </w:p>
    <w:p>
      <w:pPr>
        <w:pStyle w:val="24"/>
        <w:spacing w:line="360" w:lineRule="auto"/>
        <w:ind w:firstLine="480" w:firstLineChars="200"/>
        <w:rPr>
          <w:rFonts w:hAnsi="宋体"/>
          <w:sz w:val="24"/>
          <w:szCs w:val="24"/>
        </w:rPr>
      </w:pPr>
      <w:r>
        <w:rPr>
          <w:rFonts w:hint="eastAsia" w:hAnsi="宋体"/>
          <w:sz w:val="24"/>
          <w:szCs w:val="24"/>
        </w:rPr>
        <w:t>1.低运量交通接驳方案，包括增设轨道站点、新增接驳线路线站位方案、车站布局、车辆基地等。</w:t>
      </w:r>
    </w:p>
    <w:p>
      <w:pPr>
        <w:pStyle w:val="24"/>
        <w:spacing w:line="360" w:lineRule="auto"/>
        <w:ind w:firstLine="480" w:firstLineChars="200"/>
        <w:rPr>
          <w:rFonts w:hAnsi="宋体"/>
          <w:sz w:val="24"/>
          <w:szCs w:val="24"/>
        </w:rPr>
      </w:pPr>
      <w:r>
        <w:rPr>
          <w:rFonts w:hint="eastAsia" w:hAnsi="宋体"/>
          <w:sz w:val="24"/>
          <w:szCs w:val="24"/>
        </w:rPr>
        <w:t>2.常规公交和慢行接驳方案，包括公交线路、站点和停车场方案，自行车和步行接驳方案等。</w:t>
      </w:r>
    </w:p>
    <w:p>
      <w:pPr>
        <w:pStyle w:val="24"/>
        <w:spacing w:line="360" w:lineRule="auto"/>
        <w:ind w:firstLine="480" w:firstLineChars="200"/>
        <w:rPr>
          <w:rFonts w:hAnsi="宋体"/>
          <w:sz w:val="24"/>
          <w:szCs w:val="24"/>
        </w:rPr>
      </w:pPr>
      <w:r>
        <w:rPr>
          <w:rFonts w:hint="eastAsia" w:hAnsi="宋体"/>
          <w:sz w:val="24"/>
          <w:szCs w:val="24"/>
        </w:rPr>
        <w:t>（六）投融资及运营模式初步研究。解读近年来国内各类投融资相关政策要点，分析各类投融资模式适用情况及优缺点，并对各类模式进行初步测算，选择适合项目的投融模式。</w:t>
      </w:r>
    </w:p>
    <w:p>
      <w:pPr>
        <w:pStyle w:val="24"/>
        <w:spacing w:line="360" w:lineRule="auto"/>
        <w:ind w:firstLine="480" w:firstLineChars="200"/>
        <w:rPr>
          <w:rFonts w:hAnsi="宋体"/>
          <w:sz w:val="24"/>
          <w:szCs w:val="24"/>
        </w:rPr>
      </w:pPr>
      <w:r>
        <w:rPr>
          <w:rFonts w:hint="eastAsia" w:hAnsi="宋体"/>
          <w:sz w:val="24"/>
          <w:szCs w:val="24"/>
        </w:rPr>
        <w:t>1.国内投融资政策解读</w:t>
      </w:r>
    </w:p>
    <w:p>
      <w:pPr>
        <w:pStyle w:val="24"/>
        <w:spacing w:line="360" w:lineRule="auto"/>
        <w:ind w:firstLine="480" w:firstLineChars="200"/>
        <w:rPr>
          <w:rFonts w:hAnsi="宋体"/>
          <w:sz w:val="24"/>
          <w:szCs w:val="24"/>
        </w:rPr>
      </w:pPr>
      <w:r>
        <w:rPr>
          <w:rFonts w:hint="eastAsia" w:hAnsi="宋体"/>
          <w:sz w:val="24"/>
          <w:szCs w:val="24"/>
        </w:rPr>
        <w:t>2.投融资模式分析</w:t>
      </w:r>
    </w:p>
    <w:p>
      <w:pPr>
        <w:pStyle w:val="24"/>
        <w:spacing w:line="360" w:lineRule="auto"/>
        <w:ind w:firstLine="480" w:firstLineChars="200"/>
        <w:rPr>
          <w:rFonts w:hAnsi="宋体"/>
          <w:sz w:val="24"/>
          <w:szCs w:val="24"/>
        </w:rPr>
      </w:pPr>
      <w:r>
        <w:rPr>
          <w:rFonts w:hint="eastAsia" w:hAnsi="宋体"/>
          <w:sz w:val="24"/>
          <w:szCs w:val="24"/>
        </w:rPr>
        <w:t>3.投融资模式建议</w:t>
      </w:r>
    </w:p>
    <w:p>
      <w:pPr>
        <w:pStyle w:val="24"/>
        <w:spacing w:line="360" w:lineRule="auto"/>
        <w:ind w:firstLine="480" w:firstLineChars="200"/>
        <w:rPr>
          <w:rFonts w:hAnsi="宋体"/>
          <w:sz w:val="24"/>
          <w:szCs w:val="24"/>
        </w:rPr>
      </w:pPr>
      <w:r>
        <w:rPr>
          <w:rFonts w:hint="eastAsia" w:hAnsi="宋体"/>
          <w:sz w:val="24"/>
          <w:szCs w:val="24"/>
        </w:rPr>
        <w:t>4.运营模式建议</w:t>
      </w:r>
    </w:p>
    <w:p>
      <w:pPr>
        <w:pStyle w:val="24"/>
        <w:spacing w:line="360" w:lineRule="auto"/>
        <w:ind w:firstLine="480" w:firstLineChars="200"/>
      </w:pPr>
      <w:r>
        <w:rPr>
          <w:rFonts w:hint="eastAsia" w:hAnsi="宋体"/>
          <w:sz w:val="24"/>
          <w:szCs w:val="24"/>
        </w:rPr>
        <w:t>（七）实施方案及建议。将研究适合项目的小运量或者公交等接驳方式推动纳入规划、近期建设计划。具体包括分析交通接驳方案的实施路径，含投资、设计方案建议，建设和运营管理建议。</w:t>
      </w:r>
    </w:p>
    <w:p>
      <w:pPr>
        <w:spacing w:line="360" w:lineRule="auto"/>
        <w:ind w:firstLine="482" w:firstLineChars="200"/>
        <w:rPr>
          <w:b/>
          <w:bCs/>
          <w:sz w:val="24"/>
          <w:szCs w:val="24"/>
        </w:rPr>
      </w:pPr>
      <w:r>
        <w:rPr>
          <w:rFonts w:hint="eastAsia"/>
          <w:b/>
          <w:bCs/>
          <w:sz w:val="24"/>
          <w:szCs w:val="24"/>
        </w:rPr>
        <w:t>二、服务期限</w:t>
      </w:r>
    </w:p>
    <w:p>
      <w:pPr>
        <w:spacing w:line="360" w:lineRule="auto"/>
        <w:ind w:firstLine="480" w:firstLineChars="200"/>
        <w:rPr>
          <w:sz w:val="24"/>
          <w:szCs w:val="24"/>
        </w:rPr>
      </w:pPr>
      <w:r>
        <w:rPr>
          <w:rFonts w:hint="eastAsia"/>
          <w:sz w:val="24"/>
          <w:szCs w:val="24"/>
        </w:rPr>
        <w:t>本合同签订之日起至本合同全部工作完成为止。甲方有权提前终止合同，双方据实结算，除此外，甲方不承担其他任何责任。</w:t>
      </w:r>
    </w:p>
    <w:p>
      <w:pPr>
        <w:spacing w:line="360" w:lineRule="auto"/>
        <w:ind w:firstLine="482" w:firstLineChars="200"/>
        <w:rPr>
          <w:b/>
          <w:bCs/>
          <w:sz w:val="24"/>
          <w:szCs w:val="24"/>
        </w:rPr>
      </w:pPr>
      <w:bookmarkStart w:id="121" w:name="_Toc389833586"/>
      <w:bookmarkStart w:id="122" w:name="_Toc99810793"/>
      <w:bookmarkStart w:id="123" w:name="_Toc78373943"/>
      <w:bookmarkStart w:id="124" w:name="_Toc78374401"/>
      <w:bookmarkStart w:id="125" w:name="_Toc79654224"/>
      <w:r>
        <w:rPr>
          <w:rFonts w:hint="eastAsia"/>
          <w:b/>
          <w:bCs/>
          <w:sz w:val="24"/>
          <w:szCs w:val="24"/>
        </w:rPr>
        <w:t>三、成果要求与及进度计划</w:t>
      </w:r>
      <w:bookmarkEnd w:id="121"/>
      <w:bookmarkEnd w:id="122"/>
      <w:bookmarkEnd w:id="123"/>
      <w:bookmarkEnd w:id="124"/>
      <w:bookmarkEnd w:id="125"/>
    </w:p>
    <w:p>
      <w:pPr>
        <w:spacing w:line="360" w:lineRule="auto"/>
        <w:ind w:firstLine="480" w:firstLineChars="200"/>
        <w:rPr>
          <w:sz w:val="24"/>
          <w:szCs w:val="24"/>
        </w:rPr>
      </w:pPr>
      <w:r>
        <w:rPr>
          <w:rFonts w:hint="eastAsia"/>
          <w:sz w:val="24"/>
          <w:szCs w:val="24"/>
        </w:rPr>
        <w:t>（一）成果要求</w:t>
      </w:r>
    </w:p>
    <w:p>
      <w:pPr>
        <w:spacing w:line="360" w:lineRule="auto"/>
        <w:ind w:firstLine="480" w:firstLineChars="200"/>
        <w:rPr>
          <w:sz w:val="24"/>
          <w:szCs w:val="24"/>
        </w:rPr>
      </w:pPr>
      <w:r>
        <w:rPr>
          <w:rFonts w:hint="eastAsia"/>
          <w:sz w:val="24"/>
          <w:szCs w:val="24"/>
        </w:rPr>
        <w:t xml:space="preserve">本次服务成果文件为：最终提供的研究成果文件共8套，将所有研究内容统一编排装订，部分重点图纸须按甲方要求制作，最终成果均须同时提交不加密的U盘共4份，每次向甲方汇报时均须按甲方要求打印汇报材料及提供不加密的汇报电子文件。 </w:t>
      </w:r>
    </w:p>
    <w:p>
      <w:pPr>
        <w:spacing w:line="360" w:lineRule="auto"/>
        <w:ind w:firstLine="480" w:firstLineChars="200"/>
        <w:rPr>
          <w:sz w:val="24"/>
          <w:szCs w:val="24"/>
        </w:rPr>
      </w:pPr>
      <w:r>
        <w:rPr>
          <w:rFonts w:hint="eastAsia"/>
          <w:sz w:val="24"/>
          <w:szCs w:val="24"/>
        </w:rPr>
        <w:t>具体成果文件包括：</w:t>
      </w:r>
    </w:p>
    <w:p>
      <w:pPr>
        <w:spacing w:line="360" w:lineRule="auto"/>
        <w:ind w:firstLine="480" w:firstLineChars="200"/>
        <w:rPr>
          <w:sz w:val="24"/>
          <w:szCs w:val="24"/>
        </w:rPr>
      </w:pPr>
      <w:r>
        <w:rPr>
          <w:rFonts w:hint="eastAsia"/>
          <w:sz w:val="24"/>
          <w:szCs w:val="24"/>
        </w:rPr>
        <w:t>（1）交通接驳研究报告，包括纸质和电子版：文本，图纸和相关说明文件。</w:t>
      </w:r>
    </w:p>
    <w:p>
      <w:pPr>
        <w:spacing w:line="360" w:lineRule="auto"/>
        <w:ind w:firstLine="480" w:firstLineChars="200"/>
        <w:rPr>
          <w:sz w:val="24"/>
          <w:szCs w:val="24"/>
        </w:rPr>
      </w:pPr>
      <w:r>
        <w:rPr>
          <w:rFonts w:hint="eastAsia"/>
          <w:sz w:val="24"/>
          <w:szCs w:val="24"/>
        </w:rPr>
        <w:t>（2）结合项目交通接驳方案，完成主要节点或片区交通设计图，包括但不限于交叉口设计图，接驳线路交通组织图，以及接驳线路的平面或纵断面设计图（深圳坐标CAD文件）。</w:t>
      </w:r>
    </w:p>
    <w:p>
      <w:pPr>
        <w:spacing w:line="360" w:lineRule="auto"/>
        <w:ind w:firstLine="480" w:firstLineChars="200"/>
        <w:rPr>
          <w:sz w:val="24"/>
          <w:szCs w:val="24"/>
        </w:rPr>
      </w:pPr>
      <w:r>
        <w:rPr>
          <w:rFonts w:hint="eastAsia"/>
          <w:sz w:val="24"/>
          <w:szCs w:val="24"/>
        </w:rPr>
        <w:t>（二）进度计划</w:t>
      </w:r>
    </w:p>
    <w:p>
      <w:pPr>
        <w:spacing w:line="360" w:lineRule="auto"/>
        <w:ind w:firstLine="480" w:firstLineChars="200"/>
        <w:rPr>
          <w:sz w:val="24"/>
          <w:szCs w:val="24"/>
        </w:rPr>
      </w:pPr>
      <w:r>
        <w:rPr>
          <w:rFonts w:hint="eastAsia"/>
          <w:sz w:val="24"/>
          <w:szCs w:val="24"/>
        </w:rPr>
        <w:t>各项目工作启动根据甲方需要并发出启动工作函后，乙方启动研究工作。</w:t>
      </w:r>
    </w:p>
    <w:p>
      <w:pPr>
        <w:spacing w:line="360" w:lineRule="auto"/>
        <w:ind w:firstLine="480" w:firstLineChars="200"/>
        <w:rPr>
          <w:sz w:val="24"/>
          <w:szCs w:val="24"/>
        </w:rPr>
      </w:pPr>
      <w:r>
        <w:rPr>
          <w:rFonts w:hint="eastAsia"/>
          <w:sz w:val="24"/>
          <w:szCs w:val="24"/>
        </w:rPr>
        <w:t>乙方研究服务主要工作时间（工作日）如下：</w:t>
      </w:r>
    </w:p>
    <w:p>
      <w:pPr>
        <w:spacing w:line="360" w:lineRule="auto"/>
        <w:ind w:firstLine="480" w:firstLineChars="200"/>
        <w:rPr>
          <w:sz w:val="24"/>
          <w:szCs w:val="24"/>
        </w:rPr>
      </w:pPr>
      <w:r>
        <w:rPr>
          <w:rFonts w:hint="eastAsia"/>
          <w:sz w:val="24"/>
          <w:szCs w:val="24"/>
        </w:rPr>
        <w:t>（1）</w:t>
      </w:r>
      <w:r>
        <w:rPr>
          <w:rFonts w:hint="eastAsia"/>
          <w:sz w:val="24"/>
          <w:szCs w:val="24"/>
          <w:lang w:val="en-US" w:eastAsia="zh-CN"/>
        </w:rPr>
        <w:t>收到甲方发出的工作启动函</w:t>
      </w:r>
      <w:r>
        <w:rPr>
          <w:rFonts w:hint="eastAsia"/>
          <w:sz w:val="24"/>
          <w:szCs w:val="24"/>
        </w:rPr>
        <w:t>后，30天内完成资料收集及现状分析工作；</w:t>
      </w:r>
    </w:p>
    <w:p>
      <w:pPr>
        <w:spacing w:line="360" w:lineRule="auto"/>
        <w:ind w:firstLine="480" w:firstLineChars="200"/>
        <w:rPr>
          <w:sz w:val="24"/>
          <w:szCs w:val="24"/>
        </w:rPr>
      </w:pPr>
      <w:r>
        <w:rPr>
          <w:rFonts w:hint="eastAsia"/>
          <w:sz w:val="24"/>
          <w:szCs w:val="24"/>
        </w:rPr>
        <w:t>（2）完成资料收集及现状分析工作后的60天内应完成交通接驳研究初步方案 ；</w:t>
      </w:r>
    </w:p>
    <w:p>
      <w:pPr>
        <w:spacing w:line="360" w:lineRule="auto"/>
        <w:ind w:firstLine="480" w:firstLineChars="200"/>
        <w:rPr>
          <w:sz w:val="24"/>
          <w:szCs w:val="24"/>
        </w:rPr>
      </w:pPr>
      <w:r>
        <w:rPr>
          <w:rFonts w:hint="eastAsia"/>
          <w:sz w:val="24"/>
          <w:szCs w:val="24"/>
        </w:rPr>
        <w:t>（3）初步方案提交给甲方并收到甲方的修改意见后的20天内应完成交通接驳研究中期成果 ；</w:t>
      </w:r>
    </w:p>
    <w:p>
      <w:pPr>
        <w:spacing w:line="360" w:lineRule="auto"/>
        <w:ind w:firstLine="480" w:firstLineChars="200"/>
        <w:rPr>
          <w:sz w:val="24"/>
          <w:szCs w:val="24"/>
        </w:rPr>
      </w:pPr>
      <w:r>
        <w:rPr>
          <w:rFonts w:hint="eastAsia"/>
          <w:sz w:val="24"/>
          <w:szCs w:val="24"/>
        </w:rPr>
        <w:t>（4）中期成果提交给甲方并收到甲方的修改意见后20天内，应完成交通接驳研究最终成果并经甲方审查通过。</w:t>
      </w:r>
    </w:p>
    <w:p>
      <w:pPr>
        <w:spacing w:line="360" w:lineRule="auto"/>
        <w:ind w:firstLine="482" w:firstLineChars="200"/>
        <w:rPr>
          <w:b/>
          <w:bCs/>
          <w:sz w:val="24"/>
          <w:szCs w:val="24"/>
        </w:rPr>
      </w:pPr>
      <w:r>
        <w:rPr>
          <w:rFonts w:hint="eastAsia"/>
          <w:b/>
          <w:bCs/>
          <w:sz w:val="24"/>
          <w:szCs w:val="24"/>
        </w:rPr>
        <w:t>四、双方的权利义务</w:t>
      </w:r>
    </w:p>
    <w:p>
      <w:pPr>
        <w:spacing w:line="360" w:lineRule="auto"/>
        <w:ind w:firstLine="480" w:firstLineChars="200"/>
        <w:rPr>
          <w:sz w:val="24"/>
          <w:szCs w:val="24"/>
        </w:rPr>
      </w:pPr>
      <w:r>
        <w:rPr>
          <w:rFonts w:hint="eastAsia"/>
          <w:sz w:val="24"/>
          <w:szCs w:val="24"/>
        </w:rPr>
        <w:t>（一）甲方的权利义务</w:t>
      </w:r>
    </w:p>
    <w:p>
      <w:pPr>
        <w:spacing w:line="300" w:lineRule="auto"/>
        <w:ind w:firstLine="480" w:firstLineChars="200"/>
        <w:rPr>
          <w:rFonts w:ascii="宋体" w:hAnsi="宋体" w:cs="宋体"/>
          <w:sz w:val="24"/>
          <w:szCs w:val="24"/>
        </w:rPr>
      </w:pPr>
      <w:r>
        <w:rPr>
          <w:rFonts w:hint="eastAsia" w:ascii="宋体" w:hAnsi="宋体" w:cs="宋体"/>
          <w:sz w:val="24"/>
          <w:szCs w:val="24"/>
        </w:rPr>
        <w:t>1.甲方有权对乙方关于项目的市场调研行业研究等工作进行认为必要的检查和监督，根据需要听取工作汇报，如发现乙方执行不力，甲方有权要求乙方立即进行整改，直至满足工作要求。</w:t>
      </w:r>
    </w:p>
    <w:p>
      <w:pPr>
        <w:spacing w:line="300" w:lineRule="auto"/>
        <w:ind w:firstLine="480" w:firstLineChars="200"/>
        <w:rPr>
          <w:rFonts w:ascii="宋体" w:hAnsi="宋体" w:cs="宋体"/>
          <w:sz w:val="24"/>
          <w:szCs w:val="24"/>
        </w:rPr>
      </w:pPr>
      <w:r>
        <w:rPr>
          <w:rFonts w:hint="eastAsia" w:ascii="宋体" w:hAnsi="宋体" w:cs="宋体"/>
          <w:sz w:val="24"/>
          <w:szCs w:val="24"/>
        </w:rPr>
        <w:t>2.甲方有权检查乙方项目组人员到位情况、人员稳定情况；考核项目负责人、主要研究人员及项目组成员的工作能力，如发现因人力或团队成员能力不足可能使本合同规定的任务不能按计划完成时，可要求乙方增加相应的工作人员，乙方不得拒绝；或甲方认为乙方的人员不称职，乙方必须无条件更换人员。</w:t>
      </w:r>
    </w:p>
    <w:p>
      <w:pPr>
        <w:spacing w:line="300" w:lineRule="auto"/>
        <w:ind w:firstLine="480" w:firstLineChars="200"/>
        <w:rPr>
          <w:rFonts w:ascii="宋体" w:hAnsi="宋体" w:cs="宋体"/>
          <w:sz w:val="24"/>
          <w:szCs w:val="24"/>
        </w:rPr>
      </w:pPr>
      <w:r>
        <w:rPr>
          <w:rFonts w:hint="eastAsia" w:ascii="宋体" w:hAnsi="宋体" w:cs="宋体"/>
          <w:sz w:val="24"/>
          <w:szCs w:val="24"/>
        </w:rPr>
        <w:t>3.在项目方案原则性问题上甲方具有决定权，并有权要求乙方将这些原则贯彻落实到所编制的成果中。</w:t>
      </w:r>
    </w:p>
    <w:p>
      <w:pPr>
        <w:spacing w:line="300" w:lineRule="auto"/>
        <w:ind w:firstLine="480" w:firstLineChars="200"/>
        <w:rPr>
          <w:rFonts w:ascii="宋体" w:hAnsi="宋体" w:cs="宋体"/>
          <w:sz w:val="24"/>
          <w:szCs w:val="24"/>
        </w:rPr>
      </w:pPr>
      <w:r>
        <w:rPr>
          <w:rFonts w:hint="eastAsia" w:ascii="宋体" w:hAnsi="宋体" w:cs="宋体"/>
          <w:sz w:val="24"/>
          <w:szCs w:val="24"/>
        </w:rPr>
        <w:t>4.甲方有权对乙方提交的研究报告（项目成果）等进行审查或组织专家评审确认。</w:t>
      </w:r>
    </w:p>
    <w:p>
      <w:pPr>
        <w:spacing w:line="300" w:lineRule="auto"/>
        <w:ind w:firstLine="480" w:firstLineChars="200"/>
        <w:rPr>
          <w:rFonts w:ascii="宋体" w:hAnsi="宋体" w:cs="宋体"/>
          <w:sz w:val="24"/>
          <w:szCs w:val="24"/>
        </w:rPr>
      </w:pPr>
      <w:bookmarkStart w:id="126" w:name="_Toc78373946"/>
      <w:bookmarkStart w:id="127" w:name="_Toc99810796"/>
      <w:bookmarkStart w:id="128" w:name="_Toc78374404"/>
      <w:bookmarkStart w:id="129" w:name="_Toc389833589"/>
      <w:bookmarkStart w:id="130" w:name="_Toc79654227"/>
      <w:r>
        <w:rPr>
          <w:rFonts w:hint="eastAsia" w:ascii="宋体" w:hAnsi="宋体" w:cs="宋体"/>
          <w:sz w:val="24"/>
          <w:szCs w:val="24"/>
        </w:rPr>
        <w:t>5.在本项目实施期间，甲方应积极配合乙方开展工作，提供本项目所需要的图纸、资料、文件等。</w:t>
      </w:r>
    </w:p>
    <w:p>
      <w:pPr>
        <w:spacing w:line="300" w:lineRule="auto"/>
        <w:ind w:firstLine="480" w:firstLineChars="200"/>
        <w:rPr>
          <w:rFonts w:ascii="宋体" w:hAnsi="宋体" w:cs="宋体"/>
          <w:sz w:val="24"/>
          <w:szCs w:val="24"/>
        </w:rPr>
      </w:pPr>
      <w:r>
        <w:rPr>
          <w:rFonts w:hint="eastAsia" w:ascii="宋体" w:hAnsi="宋体" w:cs="宋体"/>
          <w:sz w:val="24"/>
          <w:szCs w:val="24"/>
        </w:rPr>
        <w:t>6.在做出重大事宜调整决定后，甲方应及时通知乙方，并及时调整相应工作。</w:t>
      </w:r>
    </w:p>
    <w:p>
      <w:pPr>
        <w:spacing w:line="300" w:lineRule="auto"/>
        <w:ind w:firstLine="480" w:firstLineChars="200"/>
        <w:rPr>
          <w:rFonts w:ascii="宋体" w:hAnsi="宋体" w:cs="宋体"/>
          <w:sz w:val="24"/>
          <w:szCs w:val="24"/>
        </w:rPr>
      </w:pPr>
      <w:r>
        <w:rPr>
          <w:rFonts w:hint="eastAsia" w:ascii="宋体" w:hAnsi="宋体" w:cs="宋体"/>
          <w:sz w:val="24"/>
          <w:szCs w:val="24"/>
        </w:rPr>
        <w:t>7.甲方应按照合同约定的付款进度支付研究报告服务费。</w:t>
      </w:r>
    </w:p>
    <w:bookmarkEnd w:id="126"/>
    <w:bookmarkEnd w:id="127"/>
    <w:bookmarkEnd w:id="128"/>
    <w:bookmarkEnd w:id="129"/>
    <w:bookmarkEnd w:id="130"/>
    <w:p>
      <w:pPr>
        <w:spacing w:line="360" w:lineRule="auto"/>
        <w:ind w:firstLine="480" w:firstLineChars="200"/>
        <w:rPr>
          <w:sz w:val="24"/>
          <w:szCs w:val="24"/>
        </w:rPr>
      </w:pPr>
      <w:r>
        <w:rPr>
          <w:rFonts w:hint="eastAsia"/>
          <w:sz w:val="24"/>
          <w:szCs w:val="24"/>
        </w:rPr>
        <w:t>（二）乙方的权利义务</w:t>
      </w:r>
    </w:p>
    <w:p>
      <w:pPr>
        <w:tabs>
          <w:tab w:val="left" w:pos="425"/>
        </w:tabs>
        <w:spacing w:line="300" w:lineRule="auto"/>
        <w:ind w:firstLine="480" w:firstLineChars="200"/>
        <w:rPr>
          <w:rFonts w:ascii="宋体" w:hAnsi="宋体" w:cs="宋体"/>
          <w:sz w:val="24"/>
          <w:szCs w:val="24"/>
        </w:rPr>
      </w:pPr>
      <w:r>
        <w:rPr>
          <w:rFonts w:hint="eastAsia" w:ascii="宋体" w:hAnsi="宋体" w:cs="宋体"/>
          <w:sz w:val="24"/>
          <w:szCs w:val="24"/>
        </w:rPr>
        <w:t>1.乙方有权要求甲方按合同约定提供必要的支持。</w:t>
      </w:r>
    </w:p>
    <w:p>
      <w:pPr>
        <w:spacing w:line="300" w:lineRule="auto"/>
        <w:ind w:firstLine="480" w:firstLineChars="200"/>
        <w:rPr>
          <w:rFonts w:ascii="宋体" w:hAnsi="宋体" w:cs="宋体"/>
          <w:sz w:val="24"/>
          <w:szCs w:val="24"/>
        </w:rPr>
      </w:pPr>
      <w:r>
        <w:rPr>
          <w:rFonts w:hint="eastAsia" w:ascii="宋体" w:hAnsi="宋体" w:cs="宋体"/>
          <w:sz w:val="24"/>
          <w:szCs w:val="24"/>
        </w:rPr>
        <w:t>2.按照合同要求，乙方有权在完成阶段性工作并获得甲方确认后，收取研究服务费。</w:t>
      </w:r>
    </w:p>
    <w:p>
      <w:pPr>
        <w:tabs>
          <w:tab w:val="left" w:pos="425"/>
        </w:tabs>
        <w:spacing w:line="300" w:lineRule="auto"/>
        <w:ind w:firstLine="480" w:firstLineChars="200"/>
        <w:rPr>
          <w:rFonts w:ascii="宋体" w:hAnsi="宋体" w:cs="宋体"/>
          <w:sz w:val="24"/>
          <w:szCs w:val="24"/>
        </w:rPr>
      </w:pPr>
      <w:r>
        <w:rPr>
          <w:rFonts w:hint="eastAsia" w:ascii="宋体" w:hAnsi="宋体" w:cs="宋体"/>
          <w:sz w:val="24"/>
          <w:szCs w:val="24"/>
        </w:rPr>
        <w:t>3.乙方应按照甲方要求组建项目服务团队，配备项目经理、主要工作，积极主动地推进各项工作。如甲方认为乙方的项目服务团队人员不足或不称职，可能影响服务质量和工作进度而要求乙方增加人员或更换不称职人员的，乙方必须无条件接受。项目人员组成情况见合同附件1.</w:t>
      </w:r>
    </w:p>
    <w:p>
      <w:pPr>
        <w:tabs>
          <w:tab w:val="left" w:pos="425"/>
        </w:tabs>
        <w:spacing w:line="300" w:lineRule="auto"/>
        <w:ind w:firstLine="480" w:firstLineChars="200"/>
        <w:rPr>
          <w:rFonts w:ascii="宋体" w:hAnsi="宋体" w:cs="宋体"/>
          <w:sz w:val="24"/>
          <w:szCs w:val="24"/>
        </w:rPr>
      </w:pPr>
      <w:r>
        <w:rPr>
          <w:rFonts w:hint="eastAsia" w:ascii="宋体" w:hAnsi="宋体" w:cs="宋体"/>
          <w:sz w:val="24"/>
          <w:szCs w:val="24"/>
        </w:rPr>
        <w:t>4.在服务期内，乙方应保证进行深入、详细、科学、及时的市场调研及项目分析研究，按照合同规定，推动进度计划，提交具有真实性、实用性、科学性及针对性的研究报告，保质保量地完成服务工作。</w:t>
      </w:r>
    </w:p>
    <w:p>
      <w:pPr>
        <w:tabs>
          <w:tab w:val="left" w:pos="425"/>
        </w:tabs>
        <w:spacing w:line="300" w:lineRule="auto"/>
        <w:ind w:firstLine="480" w:firstLineChars="200"/>
        <w:rPr>
          <w:rFonts w:ascii="宋体" w:hAnsi="宋体" w:cs="宋体"/>
          <w:sz w:val="24"/>
          <w:szCs w:val="24"/>
        </w:rPr>
      </w:pPr>
      <w:r>
        <w:rPr>
          <w:rFonts w:hint="eastAsia" w:ascii="宋体" w:hAnsi="宋体" w:cs="宋体"/>
          <w:sz w:val="24"/>
          <w:szCs w:val="24"/>
        </w:rPr>
        <w:t>5.乙方应安排专人与甲方对接，负责本项目相关事宜的联系工作。</w:t>
      </w:r>
    </w:p>
    <w:p>
      <w:pPr>
        <w:spacing w:line="300" w:lineRule="auto"/>
        <w:ind w:firstLine="480" w:firstLineChars="200"/>
        <w:rPr>
          <w:rFonts w:ascii="宋体" w:hAnsi="宋体" w:cs="宋体"/>
          <w:sz w:val="24"/>
          <w:szCs w:val="24"/>
        </w:rPr>
      </w:pPr>
      <w:r>
        <w:rPr>
          <w:rFonts w:hint="eastAsia" w:ascii="宋体" w:hAnsi="宋体" w:cs="宋体"/>
          <w:sz w:val="24"/>
          <w:szCs w:val="24"/>
        </w:rPr>
        <w:t>6.乙方应</w:t>
      </w:r>
      <w:r>
        <w:rPr>
          <w:rFonts w:hint="eastAsia" w:ascii="宋体" w:hAnsi="宋体" w:cs="宋体"/>
          <w:sz w:val="24"/>
          <w:szCs w:val="24"/>
          <w:lang w:val="en-US" w:eastAsia="zh-CN"/>
        </w:rPr>
        <w:t>按甲方要求</w:t>
      </w:r>
      <w:r>
        <w:rPr>
          <w:rFonts w:hint="eastAsia" w:ascii="宋体" w:hAnsi="宋体" w:cs="宋体"/>
          <w:sz w:val="24"/>
          <w:szCs w:val="24"/>
        </w:rPr>
        <w:t>参加项目例会，向甲方提交阶段性工作成果报告。</w:t>
      </w:r>
    </w:p>
    <w:p>
      <w:pPr>
        <w:spacing w:line="300" w:lineRule="auto"/>
        <w:ind w:firstLine="480" w:firstLineChars="200"/>
        <w:rPr>
          <w:rFonts w:ascii="宋体" w:hAnsi="宋体" w:cs="宋体"/>
          <w:sz w:val="24"/>
          <w:szCs w:val="24"/>
        </w:rPr>
      </w:pPr>
      <w:r>
        <w:rPr>
          <w:rFonts w:hint="eastAsia" w:ascii="宋体" w:hAnsi="宋体" w:cs="宋体"/>
          <w:sz w:val="24"/>
          <w:szCs w:val="24"/>
        </w:rPr>
        <w:t>7.合同履行过程中，如乙方开展的本项目的工作成果的知识产权侵犯了第三方利益，一切责任应由乙方承担。</w:t>
      </w:r>
    </w:p>
    <w:p>
      <w:pPr>
        <w:spacing w:line="300" w:lineRule="auto"/>
        <w:ind w:firstLine="480" w:firstLineChars="200"/>
        <w:rPr>
          <w:rFonts w:ascii="宋体" w:hAnsi="宋体" w:cs="宋体"/>
          <w:sz w:val="24"/>
          <w:szCs w:val="24"/>
        </w:rPr>
      </w:pPr>
      <w:r>
        <w:rPr>
          <w:rFonts w:hint="eastAsia" w:ascii="宋体" w:hAnsi="宋体" w:cs="宋体"/>
          <w:sz w:val="24"/>
          <w:szCs w:val="24"/>
        </w:rPr>
        <w:t>8.乙方不得将本合同约定的服务内容转包或分包。</w:t>
      </w:r>
    </w:p>
    <w:p>
      <w:pPr>
        <w:spacing w:line="300" w:lineRule="auto"/>
        <w:ind w:firstLine="480" w:firstLineChars="200"/>
        <w:rPr>
          <w:rFonts w:ascii="宋体" w:hAnsi="宋体" w:cs="宋体"/>
          <w:sz w:val="24"/>
          <w:szCs w:val="24"/>
        </w:rPr>
      </w:pPr>
      <w:r>
        <w:rPr>
          <w:rFonts w:hint="eastAsia" w:ascii="宋体" w:hAnsi="宋体" w:cs="宋体"/>
          <w:sz w:val="24"/>
          <w:szCs w:val="24"/>
        </w:rPr>
        <w:t>9.合同期限截止，乙方应归还甲方提供的项目基础资料。</w:t>
      </w:r>
    </w:p>
    <w:p>
      <w:pPr>
        <w:spacing w:line="360" w:lineRule="auto"/>
        <w:ind w:firstLine="482" w:firstLineChars="200"/>
        <w:rPr>
          <w:b/>
          <w:bCs/>
          <w:sz w:val="24"/>
          <w:szCs w:val="24"/>
        </w:rPr>
      </w:pPr>
      <w:r>
        <w:rPr>
          <w:rFonts w:hint="eastAsia"/>
          <w:b/>
          <w:bCs/>
          <w:sz w:val="24"/>
          <w:szCs w:val="24"/>
        </w:rPr>
        <w:t>五、合同价款及付款条款</w:t>
      </w:r>
    </w:p>
    <w:p>
      <w:pPr>
        <w:spacing w:line="360" w:lineRule="auto"/>
        <w:ind w:firstLine="480" w:firstLineChars="200"/>
        <w:rPr>
          <w:sz w:val="24"/>
          <w:szCs w:val="24"/>
        </w:rPr>
      </w:pPr>
      <w:r>
        <w:rPr>
          <w:rFonts w:hint="eastAsia"/>
          <w:sz w:val="24"/>
          <w:szCs w:val="24"/>
        </w:rPr>
        <w:t>（一）计价方法</w:t>
      </w:r>
    </w:p>
    <w:p>
      <w:pPr>
        <w:spacing w:line="360" w:lineRule="auto"/>
        <w:ind w:firstLine="480" w:firstLineChars="200"/>
        <w:rPr>
          <w:sz w:val="24"/>
          <w:szCs w:val="24"/>
        </w:rPr>
      </w:pPr>
      <w:r>
        <w:rPr>
          <w:rFonts w:hint="eastAsia"/>
          <w:sz w:val="24"/>
          <w:szCs w:val="24"/>
        </w:rPr>
        <w:t>总价包干合同。</w:t>
      </w:r>
    </w:p>
    <w:p>
      <w:pPr>
        <w:numPr>
          <w:ilvl w:val="0"/>
          <w:numId w:val="11"/>
        </w:numPr>
        <w:spacing w:line="360" w:lineRule="auto"/>
        <w:ind w:firstLine="480" w:firstLineChars="200"/>
        <w:rPr>
          <w:sz w:val="24"/>
          <w:szCs w:val="24"/>
        </w:rPr>
      </w:pPr>
      <w:r>
        <w:rPr>
          <w:rFonts w:hint="eastAsia"/>
          <w:sz w:val="24"/>
          <w:szCs w:val="24"/>
        </w:rPr>
        <w:t>合同价款</w:t>
      </w:r>
    </w:p>
    <w:p>
      <w:pPr>
        <w:spacing w:line="360" w:lineRule="auto"/>
        <w:ind w:firstLine="480" w:firstLineChars="200"/>
        <w:rPr>
          <w:sz w:val="24"/>
          <w:szCs w:val="24"/>
        </w:rPr>
      </w:pPr>
      <w:r>
        <w:rPr>
          <w:rFonts w:hint="eastAsia"/>
          <w:sz w:val="24"/>
          <w:szCs w:val="24"/>
        </w:rPr>
        <w:t>合同款价：本合同含税总价为XX元，其中不含税价XX元，增值税税额 XX  元，税率XX %。合同的增值税率根据国家税收法规政策变动而调整，不含税价不随增值税率的变化进行调整。</w:t>
      </w:r>
    </w:p>
    <w:p>
      <w:pPr>
        <w:pStyle w:val="2"/>
      </w:pPr>
    </w:p>
    <w:p>
      <w:pPr>
        <w:numPr>
          <w:ilvl w:val="0"/>
          <w:numId w:val="11"/>
        </w:numPr>
        <w:spacing w:line="360" w:lineRule="auto"/>
        <w:ind w:firstLine="480" w:firstLineChars="200"/>
        <w:rPr>
          <w:sz w:val="24"/>
          <w:szCs w:val="24"/>
        </w:rPr>
      </w:pPr>
      <w:r>
        <w:rPr>
          <w:rFonts w:hint="eastAsia"/>
          <w:sz w:val="24"/>
          <w:szCs w:val="24"/>
        </w:rPr>
        <w:t>支付条款</w:t>
      </w:r>
    </w:p>
    <w:p>
      <w:pPr>
        <w:numPr>
          <w:ilvl w:val="255"/>
          <w:numId w:val="0"/>
        </w:numPr>
        <w:spacing w:line="360" w:lineRule="auto"/>
        <w:rPr>
          <w:sz w:val="24"/>
          <w:szCs w:val="24"/>
        </w:rPr>
      </w:pPr>
      <w:r>
        <w:rPr>
          <w:rFonts w:hint="eastAsia"/>
          <w:sz w:val="24"/>
          <w:szCs w:val="24"/>
        </w:rPr>
        <w:t>（1）合同费用原则上根据各项目的研究总价，按照项目的实际开展情况分阶段按以下比例进行支付，每个项目分开单独支付，支付比例情况按照下表执行。</w:t>
      </w:r>
    </w:p>
    <w:tbl>
      <w:tblPr>
        <w:tblStyle w:val="49"/>
        <w:tblW w:w="8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2"/>
        <w:gridCol w:w="3236"/>
        <w:gridCol w:w="33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12" w:type="dxa"/>
            <w:vAlign w:val="center"/>
          </w:tcPr>
          <w:p>
            <w:pPr>
              <w:jc w:val="center"/>
              <w:rPr>
                <w:rFonts w:ascii="宋体" w:hAnsi="宋体" w:cs="宋体"/>
                <w:spacing w:val="18"/>
                <w:sz w:val="24"/>
                <w:szCs w:val="24"/>
              </w:rPr>
            </w:pPr>
            <w:r>
              <w:rPr>
                <w:rFonts w:hint="eastAsia" w:ascii="宋体" w:hAnsi="宋体" w:cs="宋体"/>
                <w:spacing w:val="18"/>
                <w:sz w:val="24"/>
                <w:szCs w:val="24"/>
              </w:rPr>
              <w:t>付款期次</w:t>
            </w:r>
            <w:r>
              <w:rPr>
                <w:rFonts w:hint="eastAsia" w:ascii="宋体" w:hAnsi="宋体" w:cs="宋体"/>
                <w:sz w:val="24"/>
                <w:szCs w:val="24"/>
              </w:rPr>
              <w:t>：</w:t>
            </w:r>
          </w:p>
        </w:tc>
        <w:tc>
          <w:tcPr>
            <w:tcW w:w="3236" w:type="dxa"/>
            <w:vAlign w:val="center"/>
          </w:tcPr>
          <w:p>
            <w:pPr>
              <w:jc w:val="center"/>
              <w:rPr>
                <w:rFonts w:ascii="宋体" w:hAnsi="宋体" w:cs="宋体"/>
                <w:spacing w:val="18"/>
                <w:kern w:val="0"/>
                <w:sz w:val="24"/>
                <w:szCs w:val="24"/>
              </w:rPr>
            </w:pPr>
            <w:r>
              <w:rPr>
                <w:rFonts w:hint="eastAsia" w:ascii="宋体" w:hAnsi="宋体" w:cs="宋体"/>
                <w:spacing w:val="18"/>
                <w:kern w:val="0"/>
                <w:sz w:val="24"/>
                <w:szCs w:val="24"/>
              </w:rPr>
              <w:t>付款节点</w:t>
            </w:r>
          </w:p>
        </w:tc>
        <w:tc>
          <w:tcPr>
            <w:tcW w:w="3349" w:type="dxa"/>
            <w:vAlign w:val="center"/>
          </w:tcPr>
          <w:p>
            <w:pPr>
              <w:jc w:val="center"/>
              <w:rPr>
                <w:rFonts w:ascii="宋体" w:hAnsi="宋体" w:cs="宋体"/>
                <w:spacing w:val="18"/>
                <w:kern w:val="0"/>
                <w:sz w:val="24"/>
                <w:szCs w:val="24"/>
              </w:rPr>
            </w:pPr>
            <w:r>
              <w:rPr>
                <w:rFonts w:hint="eastAsia" w:ascii="宋体" w:hAnsi="宋体" w:cs="宋体"/>
                <w:spacing w:val="18"/>
                <w:kern w:val="0"/>
                <w:sz w:val="24"/>
                <w:szCs w:val="24"/>
              </w:rPr>
              <w:t>支付比例控制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1912" w:type="dxa"/>
            <w:vAlign w:val="center"/>
          </w:tcPr>
          <w:p>
            <w:pPr>
              <w:adjustRightInd w:val="0"/>
              <w:snapToGrid w:val="0"/>
              <w:jc w:val="left"/>
              <w:rPr>
                <w:rFonts w:ascii="宋体" w:hAnsi="宋体" w:cs="宋体"/>
                <w:spacing w:val="18"/>
                <w:sz w:val="24"/>
                <w:szCs w:val="24"/>
              </w:rPr>
            </w:pPr>
            <w:r>
              <w:rPr>
                <w:rFonts w:hint="eastAsia" w:ascii="宋体" w:hAnsi="宋体" w:cs="宋体"/>
                <w:spacing w:val="18"/>
                <w:sz w:val="24"/>
                <w:szCs w:val="24"/>
              </w:rPr>
              <w:t>第一次付款</w:t>
            </w:r>
          </w:p>
        </w:tc>
        <w:tc>
          <w:tcPr>
            <w:tcW w:w="3236" w:type="dxa"/>
            <w:vAlign w:val="center"/>
          </w:tcPr>
          <w:p>
            <w:pPr>
              <w:adjustRightInd w:val="0"/>
              <w:snapToGrid w:val="0"/>
              <w:jc w:val="left"/>
              <w:rPr>
                <w:rFonts w:ascii="宋体" w:hAnsi="宋体" w:cs="宋体"/>
                <w:sz w:val="24"/>
                <w:szCs w:val="24"/>
              </w:rPr>
            </w:pPr>
            <w:r>
              <w:rPr>
                <w:rFonts w:hint="eastAsia" w:ascii="宋体" w:hAnsi="宋体" w:cs="宋体"/>
                <w:sz w:val="24"/>
                <w:szCs w:val="24"/>
              </w:rPr>
              <w:t>合同签订后接到甲方工作指令</w:t>
            </w:r>
          </w:p>
        </w:tc>
        <w:tc>
          <w:tcPr>
            <w:tcW w:w="3349" w:type="dxa"/>
            <w:vAlign w:val="center"/>
          </w:tcPr>
          <w:p>
            <w:pPr>
              <w:adjustRightInd w:val="0"/>
              <w:snapToGrid w:val="0"/>
              <w:jc w:val="left"/>
              <w:rPr>
                <w:rFonts w:ascii="宋体" w:hAnsi="宋体" w:cs="宋体"/>
                <w:sz w:val="24"/>
                <w:szCs w:val="24"/>
              </w:rPr>
            </w:pPr>
            <w:r>
              <w:rPr>
                <w:rFonts w:hint="eastAsia" w:ascii="宋体" w:hAnsi="宋体" w:cs="宋体"/>
                <w:sz w:val="24"/>
                <w:szCs w:val="24"/>
              </w:rPr>
              <w:t>支付单个项目服务费的10%，即人民币</w:t>
            </w:r>
            <w:r>
              <w:rPr>
                <w:rFonts w:hint="eastAsia" w:ascii="宋体" w:hAnsi="宋体" w:cs="宋体"/>
                <w:sz w:val="24"/>
                <w:szCs w:val="24"/>
                <w:u w:val="single"/>
              </w:rPr>
              <w:t xml:space="preserve">    </w:t>
            </w:r>
            <w:r>
              <w:rPr>
                <w:rFonts w:hint="eastAsia" w:ascii="宋体" w:hAnsi="宋体" w:cs="宋体"/>
                <w:sz w:val="24"/>
                <w:szCs w:val="24"/>
              </w:rPr>
              <w:t>元（大写</w:t>
            </w:r>
            <w:r>
              <w:rPr>
                <w:rFonts w:hint="eastAsia" w:ascii="宋体" w:hAnsi="宋体" w:cs="宋体"/>
                <w:sz w:val="24"/>
                <w:szCs w:val="24"/>
                <w:u w:val="single"/>
              </w:rPr>
              <w:t xml:space="preserve">    </w:t>
            </w:r>
            <w:r>
              <w:rPr>
                <w:rFonts w:hint="eastAsia" w:ascii="宋体" w:hAnsi="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1912" w:type="dxa"/>
            <w:vAlign w:val="center"/>
          </w:tcPr>
          <w:p>
            <w:pPr>
              <w:adjustRightInd w:val="0"/>
              <w:snapToGrid w:val="0"/>
              <w:jc w:val="left"/>
              <w:rPr>
                <w:rFonts w:ascii="宋体" w:hAnsi="宋体" w:cs="宋体"/>
                <w:spacing w:val="18"/>
                <w:sz w:val="24"/>
                <w:szCs w:val="24"/>
              </w:rPr>
            </w:pPr>
            <w:r>
              <w:rPr>
                <w:rFonts w:hint="eastAsia" w:ascii="宋体" w:hAnsi="宋体" w:cs="宋体"/>
                <w:spacing w:val="18"/>
                <w:sz w:val="24"/>
                <w:szCs w:val="24"/>
              </w:rPr>
              <w:t>第二次付款</w:t>
            </w:r>
          </w:p>
        </w:tc>
        <w:tc>
          <w:tcPr>
            <w:tcW w:w="3236" w:type="dxa"/>
            <w:vAlign w:val="center"/>
          </w:tcPr>
          <w:p>
            <w:pPr>
              <w:adjustRightInd w:val="0"/>
              <w:snapToGrid w:val="0"/>
              <w:jc w:val="left"/>
              <w:rPr>
                <w:rFonts w:ascii="宋体" w:hAnsi="宋体" w:cs="宋体"/>
                <w:sz w:val="24"/>
                <w:szCs w:val="24"/>
              </w:rPr>
            </w:pPr>
            <w:r>
              <w:rPr>
                <w:rFonts w:hint="eastAsia" w:ascii="宋体" w:hAnsi="宋体" w:cs="宋体"/>
                <w:sz w:val="24"/>
                <w:szCs w:val="24"/>
              </w:rPr>
              <w:t>乙方按照合同要求完成交通接驳方案研究并得到甲方认可后</w:t>
            </w:r>
          </w:p>
        </w:tc>
        <w:tc>
          <w:tcPr>
            <w:tcW w:w="3349" w:type="dxa"/>
            <w:vAlign w:val="center"/>
          </w:tcPr>
          <w:p>
            <w:pPr>
              <w:adjustRightInd w:val="0"/>
              <w:snapToGrid w:val="0"/>
              <w:jc w:val="left"/>
              <w:rPr>
                <w:rFonts w:ascii="宋体" w:hAnsi="宋体" w:cs="宋体"/>
                <w:sz w:val="24"/>
                <w:szCs w:val="24"/>
              </w:rPr>
            </w:pPr>
            <w:r>
              <w:rPr>
                <w:rFonts w:hint="eastAsia" w:ascii="宋体" w:hAnsi="宋体" w:cs="宋体"/>
                <w:sz w:val="24"/>
                <w:szCs w:val="24"/>
              </w:rPr>
              <w:t>支付单个项目服务费的25%，即人民币</w:t>
            </w:r>
            <w:r>
              <w:rPr>
                <w:rFonts w:hint="eastAsia" w:ascii="宋体" w:hAnsi="宋体" w:cs="宋体"/>
                <w:sz w:val="24"/>
                <w:szCs w:val="24"/>
                <w:u w:val="single"/>
              </w:rPr>
              <w:t xml:space="preserve">    </w:t>
            </w:r>
            <w:r>
              <w:rPr>
                <w:rFonts w:hint="eastAsia" w:ascii="宋体" w:hAnsi="宋体" w:cs="宋体"/>
                <w:sz w:val="24"/>
                <w:szCs w:val="24"/>
              </w:rPr>
              <w:t>元（大写</w:t>
            </w:r>
            <w:r>
              <w:rPr>
                <w:rFonts w:hint="eastAsia" w:ascii="宋体" w:hAnsi="宋体" w:cs="宋体"/>
                <w:sz w:val="24"/>
                <w:szCs w:val="24"/>
                <w:u w:val="single"/>
              </w:rPr>
              <w:t xml:space="preserve">    </w:t>
            </w:r>
            <w:r>
              <w:rPr>
                <w:rFonts w:hint="eastAsia" w:ascii="宋体" w:hAnsi="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912" w:type="dxa"/>
            <w:vAlign w:val="center"/>
          </w:tcPr>
          <w:p>
            <w:pPr>
              <w:adjustRightInd w:val="0"/>
              <w:snapToGrid w:val="0"/>
              <w:jc w:val="left"/>
              <w:rPr>
                <w:rFonts w:ascii="宋体" w:hAnsi="宋体" w:cs="宋体"/>
                <w:spacing w:val="18"/>
                <w:sz w:val="24"/>
                <w:szCs w:val="24"/>
              </w:rPr>
            </w:pPr>
            <w:r>
              <w:rPr>
                <w:rFonts w:hint="eastAsia" w:ascii="宋体" w:hAnsi="宋体" w:cs="宋体"/>
                <w:spacing w:val="18"/>
                <w:sz w:val="24"/>
                <w:szCs w:val="24"/>
              </w:rPr>
              <w:t>第三次付款</w:t>
            </w:r>
          </w:p>
        </w:tc>
        <w:tc>
          <w:tcPr>
            <w:tcW w:w="3236" w:type="dxa"/>
            <w:vAlign w:val="center"/>
          </w:tcPr>
          <w:p>
            <w:pPr>
              <w:adjustRightInd w:val="0"/>
              <w:snapToGrid w:val="0"/>
              <w:jc w:val="left"/>
              <w:rPr>
                <w:rFonts w:ascii="宋体" w:hAnsi="宋体" w:cs="宋体"/>
                <w:sz w:val="24"/>
                <w:szCs w:val="24"/>
              </w:rPr>
            </w:pPr>
            <w:r>
              <w:rPr>
                <w:rFonts w:hint="eastAsia" w:ascii="宋体" w:hAnsi="宋体" w:cs="宋体"/>
                <w:sz w:val="24"/>
                <w:szCs w:val="24"/>
              </w:rPr>
              <w:t>乙方按照合同要求完成投融资及运营模式研究、实施方案建议并得到甲</w:t>
            </w:r>
            <w:r>
              <w:rPr>
                <w:rFonts w:ascii="宋体" w:hAnsi="宋体" w:cs="宋体"/>
                <w:sz w:val="24"/>
                <w:szCs w:val="24"/>
              </w:rPr>
              <w:t>方</w:t>
            </w:r>
            <w:r>
              <w:rPr>
                <w:rFonts w:hint="eastAsia" w:ascii="宋体" w:hAnsi="宋体" w:cs="宋体"/>
                <w:sz w:val="24"/>
                <w:szCs w:val="24"/>
              </w:rPr>
              <w:t>认可或相关政府部门认可后</w:t>
            </w:r>
          </w:p>
        </w:tc>
        <w:tc>
          <w:tcPr>
            <w:tcW w:w="3349" w:type="dxa"/>
            <w:vAlign w:val="center"/>
          </w:tcPr>
          <w:p>
            <w:pPr>
              <w:adjustRightInd w:val="0"/>
              <w:snapToGrid w:val="0"/>
              <w:jc w:val="left"/>
              <w:rPr>
                <w:rFonts w:ascii="宋体" w:hAnsi="宋体" w:cs="宋体"/>
                <w:sz w:val="24"/>
                <w:szCs w:val="24"/>
              </w:rPr>
            </w:pPr>
            <w:r>
              <w:rPr>
                <w:rFonts w:hint="eastAsia" w:ascii="宋体" w:hAnsi="宋体" w:cs="宋体"/>
                <w:sz w:val="24"/>
                <w:szCs w:val="24"/>
              </w:rPr>
              <w:t>支付单个项目服务费的35%，即人民币</w:t>
            </w:r>
            <w:r>
              <w:rPr>
                <w:rFonts w:hint="eastAsia" w:ascii="宋体" w:hAnsi="宋体" w:cs="宋体"/>
                <w:sz w:val="24"/>
                <w:szCs w:val="24"/>
                <w:u w:val="single"/>
              </w:rPr>
              <w:t xml:space="preserve">    </w:t>
            </w:r>
            <w:r>
              <w:rPr>
                <w:rFonts w:hint="eastAsia" w:ascii="宋体" w:hAnsi="宋体" w:cs="宋体"/>
                <w:sz w:val="24"/>
                <w:szCs w:val="24"/>
              </w:rPr>
              <w:t>元（大写</w:t>
            </w:r>
            <w:r>
              <w:rPr>
                <w:rFonts w:hint="eastAsia" w:ascii="宋体" w:hAnsi="宋体" w:cs="宋体"/>
                <w:sz w:val="24"/>
                <w:szCs w:val="24"/>
                <w:u w:val="single"/>
              </w:rPr>
              <w:t xml:space="preserve">    </w:t>
            </w:r>
            <w:r>
              <w:rPr>
                <w:rFonts w:hint="eastAsia" w:ascii="宋体" w:hAnsi="宋体" w:cs="宋体"/>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912" w:type="dxa"/>
            <w:vAlign w:val="center"/>
          </w:tcPr>
          <w:p>
            <w:pPr>
              <w:adjustRightInd w:val="0"/>
              <w:snapToGrid w:val="0"/>
              <w:jc w:val="left"/>
              <w:rPr>
                <w:rFonts w:ascii="宋体" w:hAnsi="宋体" w:cs="宋体"/>
                <w:spacing w:val="18"/>
                <w:sz w:val="24"/>
                <w:szCs w:val="24"/>
              </w:rPr>
            </w:pPr>
            <w:r>
              <w:rPr>
                <w:rFonts w:hint="eastAsia" w:ascii="宋体" w:hAnsi="宋体" w:cs="宋体"/>
                <w:spacing w:val="18"/>
                <w:sz w:val="24"/>
                <w:szCs w:val="24"/>
              </w:rPr>
              <w:t>第四次付款</w:t>
            </w:r>
          </w:p>
        </w:tc>
        <w:tc>
          <w:tcPr>
            <w:tcW w:w="3236" w:type="dxa"/>
            <w:vAlign w:val="center"/>
          </w:tcPr>
          <w:p>
            <w:pPr>
              <w:adjustRightInd w:val="0"/>
              <w:snapToGrid w:val="0"/>
              <w:jc w:val="left"/>
              <w:rPr>
                <w:rFonts w:hint="default" w:ascii="宋体" w:hAnsi="宋体" w:eastAsia="宋体" w:cs="宋体"/>
                <w:sz w:val="24"/>
                <w:szCs w:val="24"/>
                <w:lang w:val="en-US" w:eastAsia="zh-CN"/>
              </w:rPr>
            </w:pPr>
            <w:r>
              <w:rPr>
                <w:rFonts w:hint="eastAsia" w:ascii="宋体" w:hAnsi="宋体" w:cs="宋体"/>
                <w:sz w:val="24"/>
                <w:szCs w:val="24"/>
              </w:rPr>
              <w:t>乙方按照合同要求完成的实施方案研究经与政府部门沟通，由深铁置业或深铁集团审议同意实施</w:t>
            </w:r>
            <w:r>
              <w:rPr>
                <w:rFonts w:hint="eastAsia" w:ascii="宋体" w:hAnsi="宋体" w:cs="宋体"/>
                <w:sz w:val="24"/>
                <w:szCs w:val="24"/>
                <w:lang w:eastAsia="zh-CN"/>
              </w:rPr>
              <w:t>，</w:t>
            </w:r>
            <w:r>
              <w:rPr>
                <w:rFonts w:hint="eastAsia" w:ascii="宋体" w:hAnsi="宋体" w:cs="宋体"/>
                <w:sz w:val="24"/>
                <w:szCs w:val="24"/>
                <w:lang w:val="en-US" w:eastAsia="zh-CN"/>
              </w:rPr>
              <w:t>则支付该笔费用</w:t>
            </w:r>
            <w:r>
              <w:rPr>
                <w:rFonts w:hint="eastAsia" w:ascii="宋体" w:hAnsi="宋体" w:cs="宋体"/>
                <w:sz w:val="24"/>
                <w:szCs w:val="24"/>
              </w:rPr>
              <w:t>。</w:t>
            </w:r>
            <w:r>
              <w:rPr>
                <w:rFonts w:hint="eastAsia" w:ascii="宋体" w:hAnsi="宋体" w:cs="宋体"/>
                <w:sz w:val="24"/>
                <w:szCs w:val="24"/>
                <w:lang w:val="en-US" w:eastAsia="zh-CN"/>
              </w:rPr>
              <w:t>若该方案不实施则不支付该笔费用，直接进入合同结算</w:t>
            </w:r>
          </w:p>
        </w:tc>
        <w:tc>
          <w:tcPr>
            <w:tcW w:w="3349" w:type="dxa"/>
            <w:vAlign w:val="center"/>
          </w:tcPr>
          <w:p>
            <w:pPr>
              <w:adjustRightInd w:val="0"/>
              <w:snapToGrid w:val="0"/>
              <w:jc w:val="left"/>
              <w:rPr>
                <w:rFonts w:ascii="宋体" w:hAnsi="宋体" w:cs="宋体"/>
                <w:sz w:val="24"/>
                <w:szCs w:val="24"/>
              </w:rPr>
            </w:pPr>
            <w:r>
              <w:rPr>
                <w:rFonts w:hint="eastAsia" w:ascii="宋体" w:hAnsi="宋体" w:cs="宋体"/>
                <w:sz w:val="24"/>
                <w:szCs w:val="24"/>
              </w:rPr>
              <w:t>支付单个项目服务费的15%，即人民币    元（大写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912" w:type="dxa"/>
            <w:vAlign w:val="center"/>
          </w:tcPr>
          <w:p>
            <w:pPr>
              <w:adjustRightInd w:val="0"/>
              <w:snapToGrid w:val="0"/>
              <w:jc w:val="left"/>
              <w:rPr>
                <w:rFonts w:ascii="宋体" w:hAnsi="宋体" w:cs="宋体"/>
                <w:spacing w:val="18"/>
                <w:sz w:val="24"/>
                <w:szCs w:val="24"/>
              </w:rPr>
            </w:pPr>
            <w:r>
              <w:rPr>
                <w:rFonts w:hint="eastAsia" w:ascii="宋体" w:hAnsi="宋体" w:cs="宋体"/>
                <w:spacing w:val="18"/>
                <w:sz w:val="24"/>
                <w:szCs w:val="24"/>
              </w:rPr>
              <w:t>第五次付款</w:t>
            </w:r>
          </w:p>
        </w:tc>
        <w:tc>
          <w:tcPr>
            <w:tcW w:w="3236" w:type="dxa"/>
            <w:vAlign w:val="center"/>
          </w:tcPr>
          <w:p>
            <w:pPr>
              <w:adjustRightInd w:val="0"/>
              <w:snapToGrid w:val="0"/>
              <w:jc w:val="left"/>
              <w:rPr>
                <w:rFonts w:ascii="宋体" w:hAnsi="宋体" w:cs="宋体"/>
                <w:sz w:val="24"/>
                <w:szCs w:val="24"/>
              </w:rPr>
            </w:pPr>
            <w:r>
              <w:rPr>
                <w:rFonts w:hint="eastAsia" w:ascii="宋体" w:hAnsi="宋体" w:cs="宋体"/>
                <w:sz w:val="24"/>
                <w:szCs w:val="24"/>
              </w:rPr>
              <w:t>办理完合同结算手续后</w:t>
            </w:r>
          </w:p>
        </w:tc>
        <w:tc>
          <w:tcPr>
            <w:tcW w:w="3349" w:type="dxa"/>
            <w:vAlign w:val="center"/>
          </w:tcPr>
          <w:p>
            <w:pPr>
              <w:adjustRightInd w:val="0"/>
              <w:snapToGrid w:val="0"/>
              <w:jc w:val="left"/>
              <w:rPr>
                <w:rFonts w:ascii="宋体" w:hAnsi="宋体" w:cs="宋体"/>
                <w:sz w:val="24"/>
                <w:szCs w:val="24"/>
              </w:rPr>
            </w:pPr>
            <w:r>
              <w:rPr>
                <w:rFonts w:hint="eastAsia" w:ascii="宋体" w:hAnsi="宋体" w:cs="宋体"/>
                <w:sz w:val="24"/>
                <w:szCs w:val="24"/>
              </w:rPr>
              <w:t>支付单个项目服务费的合同余款</w:t>
            </w:r>
          </w:p>
        </w:tc>
      </w:tr>
    </w:tbl>
    <w:p>
      <w:pPr>
        <w:spacing w:line="360" w:lineRule="auto"/>
        <w:ind w:firstLine="480" w:firstLineChars="200"/>
        <w:rPr>
          <w:sz w:val="24"/>
          <w:szCs w:val="24"/>
        </w:rPr>
      </w:pPr>
    </w:p>
    <w:p>
      <w:pPr>
        <w:spacing w:line="360" w:lineRule="auto"/>
        <w:ind w:firstLine="480" w:firstLineChars="200"/>
        <w:rPr>
          <w:rFonts w:ascii="宋体" w:hAnsi="宋体" w:cs="宋体"/>
        </w:rPr>
      </w:pPr>
      <w:r>
        <w:rPr>
          <w:rFonts w:hint="eastAsia"/>
          <w:sz w:val="24"/>
          <w:szCs w:val="24"/>
        </w:rPr>
        <w:t>每次付款应由乙方根据合同规定提出付款申请、工作成果及证明文件等验收材料，并提供合法有效的增值税专用发票，经甲方审核通过后21个工作日内支付。</w:t>
      </w:r>
    </w:p>
    <w:p>
      <w:pPr>
        <w:pStyle w:val="42"/>
        <w:numPr>
          <w:ilvl w:val="0"/>
          <w:numId w:val="12"/>
        </w:numPr>
        <w:ind w:firstLine="232" w:firstLineChars="100"/>
        <w:rPr>
          <w:rFonts w:ascii="宋体" w:hAnsi="宋体" w:cs="宋体"/>
        </w:rPr>
      </w:pPr>
      <w:r>
        <w:rPr>
          <w:rFonts w:hint="eastAsia" w:ascii="宋体" w:hAnsi="宋体" w:cs="宋体"/>
          <w:spacing w:val="-4"/>
          <w:sz w:val="24"/>
          <w:szCs w:val="24"/>
        </w:rPr>
        <w:t>乙方应在甲方付款前，向甲方提供正式的增值税专用发票，否则甲方有权拒绝付款，且并不因此承担任何违约责任，乙方仍应按本合同约定履行义务。</w:t>
      </w:r>
    </w:p>
    <w:p>
      <w:pPr>
        <w:pStyle w:val="42"/>
        <w:numPr>
          <w:ilvl w:val="0"/>
          <w:numId w:val="12"/>
        </w:numPr>
        <w:ind w:firstLine="240" w:firstLineChars="100"/>
        <w:rPr>
          <w:rFonts w:ascii="宋体" w:hAnsi="宋体" w:cs="宋体"/>
          <w:sz w:val="24"/>
          <w:szCs w:val="24"/>
        </w:rPr>
      </w:pPr>
      <w:r>
        <w:rPr>
          <w:rFonts w:hint="eastAsia" w:ascii="宋体" w:hAnsi="宋体" w:cs="宋体"/>
          <w:sz w:val="24"/>
          <w:szCs w:val="24"/>
        </w:rPr>
        <w:t>合同价款含设计费、制作费、人工费、交通费、政府报批收费、税金等一切乙方为了履行本项目委托事项所产生的费用。本合同价款不因任何事由上浮，包括但不限于不可抗力、价格上涨等因素。乙方不得以任何理由要求调整费用总金额，甲方也无需就本合同项下的服务另行支付其他任何费用。</w:t>
      </w:r>
    </w:p>
    <w:p>
      <w:pPr>
        <w:spacing w:line="360" w:lineRule="auto"/>
        <w:ind w:firstLine="482" w:firstLineChars="200"/>
        <w:rPr>
          <w:b/>
          <w:bCs/>
          <w:sz w:val="24"/>
          <w:szCs w:val="24"/>
        </w:rPr>
      </w:pPr>
      <w:r>
        <w:rPr>
          <w:rFonts w:hint="eastAsia"/>
          <w:b/>
          <w:bCs/>
          <w:sz w:val="24"/>
          <w:szCs w:val="24"/>
        </w:rPr>
        <w:t>六、违约责任</w:t>
      </w:r>
    </w:p>
    <w:p>
      <w:pPr>
        <w:spacing w:line="360" w:lineRule="auto"/>
        <w:ind w:firstLine="480" w:firstLineChars="200"/>
        <w:rPr>
          <w:sz w:val="24"/>
          <w:szCs w:val="24"/>
        </w:rPr>
      </w:pPr>
      <w:r>
        <w:rPr>
          <w:rFonts w:hint="eastAsia"/>
          <w:sz w:val="24"/>
          <w:szCs w:val="24"/>
        </w:rPr>
        <w:t>1.合同双方应全面履行合同，不履行或不完全履行合同的一方应负违约责任，按照本合同规定有关条款处理，本合同中没规定的，应按《中华人民共和国民法典》有关条款处理。</w:t>
      </w:r>
    </w:p>
    <w:p>
      <w:pPr>
        <w:spacing w:line="360" w:lineRule="auto"/>
        <w:ind w:firstLine="480" w:firstLineChars="200"/>
        <w:rPr>
          <w:sz w:val="24"/>
          <w:szCs w:val="24"/>
        </w:rPr>
      </w:pPr>
      <w:r>
        <w:rPr>
          <w:rFonts w:hint="eastAsia"/>
          <w:sz w:val="24"/>
          <w:szCs w:val="24"/>
        </w:rPr>
        <w:t>2.乙方未按合同约定组建项目服务团队或未经甲方同意进行人员调整时，视为违约（员工辞职除外），乙方须向甲方支付5000元违约金，并赔偿由此给甲方带来的损失。因乙方原因调整主要工作人员的需提交书面申请，经过甲方认可备案。</w:t>
      </w:r>
    </w:p>
    <w:p>
      <w:pPr>
        <w:spacing w:line="360" w:lineRule="auto"/>
        <w:ind w:firstLine="480" w:firstLineChars="200"/>
        <w:rPr>
          <w:sz w:val="24"/>
          <w:szCs w:val="24"/>
        </w:rPr>
      </w:pPr>
      <w:r>
        <w:rPr>
          <w:rFonts w:hint="eastAsia"/>
          <w:sz w:val="24"/>
          <w:szCs w:val="24"/>
        </w:rPr>
        <w:t>3.因乙方原因，不能按时提交经过甲方认可的研究服务成果，按延迟一天按对应项目合同总价千分之二的比例向甲方支付违约金。经甲方催促，延迟时间达到10个自然日以上时，甲方有权单方解除合同，并要求乙方赔偿由此给甲方带来的损失。</w:t>
      </w:r>
    </w:p>
    <w:p>
      <w:pPr>
        <w:spacing w:line="360" w:lineRule="auto"/>
        <w:ind w:firstLine="480" w:firstLineChars="200"/>
        <w:rPr>
          <w:sz w:val="24"/>
          <w:szCs w:val="24"/>
        </w:rPr>
      </w:pPr>
      <w:r>
        <w:rPr>
          <w:rFonts w:hint="eastAsia"/>
          <w:sz w:val="24"/>
          <w:szCs w:val="24"/>
        </w:rPr>
        <w:t>4.甲方因自身原因未按合同约定按时向乙方支付服务费用，乙方应催告，如甲方在催告后20天内支付，超过20天的，每逾期一天，乙方有权要求甲方按逾期付款金额每日万分之二的标准支付违约金。</w:t>
      </w:r>
    </w:p>
    <w:p>
      <w:pPr>
        <w:spacing w:line="360" w:lineRule="auto"/>
        <w:ind w:firstLine="480" w:firstLineChars="200"/>
        <w:rPr>
          <w:sz w:val="24"/>
          <w:szCs w:val="24"/>
        </w:rPr>
      </w:pPr>
      <w:r>
        <w:rPr>
          <w:rFonts w:hint="eastAsia"/>
          <w:sz w:val="24"/>
          <w:szCs w:val="24"/>
        </w:rPr>
        <w:t>5.乙方提交的成果文件须确保通过甲方或政府相关部门审核（如政府相关部门不审核，以甲方审核为准），凡未审核通过的，乙方须在接到审核未通过的通知后立即进行免费修改，并在甲方确定时间内提交，如未在规定时间内提交，按照延迟提交设计成果承担违约责任。否则每延误一天，乙方向甲方支付5000元的违约金。因乙方原因造成审核未通过，超过三次(不含三次)修改仍不符合甲方或政府相关部门要求的，甲方有权解除合同，并要求乙方赔偿甲方因此造成的损失。</w:t>
      </w:r>
    </w:p>
    <w:p>
      <w:pPr>
        <w:spacing w:line="360" w:lineRule="auto"/>
        <w:ind w:firstLine="480" w:firstLineChars="200"/>
        <w:rPr>
          <w:sz w:val="24"/>
          <w:szCs w:val="24"/>
        </w:rPr>
      </w:pPr>
      <w:r>
        <w:rPr>
          <w:rFonts w:hint="eastAsia"/>
          <w:sz w:val="24"/>
          <w:szCs w:val="24"/>
        </w:rPr>
        <w:t>6.甲方发现相关设计人员不能满足甲方要求时，有权要求更换设计人员，乙方须在接到甲方通知之日起2天内提供合格的设计人员给甲方筛选、确认。否则每逾期一天，乙方向甲方支付合同总价1‰的违约金。</w:t>
      </w:r>
    </w:p>
    <w:p>
      <w:pPr>
        <w:spacing w:line="360" w:lineRule="auto"/>
        <w:ind w:firstLine="480" w:firstLineChars="200"/>
        <w:rPr>
          <w:sz w:val="24"/>
          <w:szCs w:val="24"/>
        </w:rPr>
      </w:pPr>
      <w:r>
        <w:rPr>
          <w:rFonts w:hint="eastAsia"/>
          <w:sz w:val="24"/>
          <w:szCs w:val="24"/>
        </w:rPr>
        <w:t>7.乙方未按甲方要求修改成果文件，否则每延误一天，乙方向甲方支付5000元违约金。因乙方原因造成审核未通过，超过三次(不含三次)，甲方有权解除合同，并要求乙方赔偿甲方因此造成的损失。</w:t>
      </w:r>
    </w:p>
    <w:p>
      <w:pPr>
        <w:spacing w:line="360" w:lineRule="auto"/>
        <w:ind w:firstLine="480" w:firstLineChars="200"/>
        <w:rPr>
          <w:sz w:val="24"/>
          <w:szCs w:val="24"/>
        </w:rPr>
      </w:pPr>
      <w:r>
        <w:rPr>
          <w:rFonts w:hint="eastAsia"/>
          <w:sz w:val="24"/>
          <w:szCs w:val="24"/>
        </w:rPr>
        <w:t>8.本合同不得转包和转让。未经甲方书面同意，乙方不得分包。否则，乙方应向甲方支付合同价款20%的违约金。</w:t>
      </w:r>
    </w:p>
    <w:p>
      <w:pPr>
        <w:spacing w:line="360" w:lineRule="auto"/>
        <w:ind w:firstLine="480" w:firstLineChars="200"/>
        <w:rPr>
          <w:sz w:val="24"/>
          <w:szCs w:val="24"/>
        </w:rPr>
      </w:pPr>
      <w:r>
        <w:rPr>
          <w:rFonts w:hint="eastAsia"/>
          <w:sz w:val="24"/>
          <w:szCs w:val="24"/>
        </w:rPr>
        <w:t>9.甲方向乙方提交的一切文件、资料以及咨询人为委托人完成的成果及文件，咨询人有保密的义务，未经委托人同意，不得泄露或转让给第三方，否则，咨询人应向委托人支付合同价款20%的违约金。如发生以上情况，咨询人应根据损失情况承担经济赔偿的责任，并承担由此引起的法律责任。</w:t>
      </w:r>
    </w:p>
    <w:p>
      <w:pPr>
        <w:spacing w:line="360" w:lineRule="auto"/>
        <w:ind w:firstLine="480" w:firstLineChars="200"/>
        <w:rPr>
          <w:sz w:val="24"/>
          <w:szCs w:val="24"/>
        </w:rPr>
      </w:pPr>
      <w:r>
        <w:rPr>
          <w:rFonts w:hint="eastAsia"/>
          <w:sz w:val="24"/>
          <w:szCs w:val="24"/>
        </w:rPr>
        <w:t>10.因乙方原因导致甲方解除合同的，乙方应向甲方支付合同价款10%的违约金。</w:t>
      </w:r>
    </w:p>
    <w:p>
      <w:pPr>
        <w:spacing w:line="360" w:lineRule="auto"/>
        <w:ind w:firstLine="480" w:firstLineChars="200"/>
        <w:rPr>
          <w:sz w:val="24"/>
          <w:szCs w:val="24"/>
        </w:rPr>
      </w:pPr>
      <w:r>
        <w:rPr>
          <w:rFonts w:hint="eastAsia"/>
          <w:sz w:val="24"/>
          <w:szCs w:val="24"/>
        </w:rPr>
        <w:t>11.乙方的所有违约金、赔偿金由甲方在应支付的研究服务费中扣除。本合同违约金不足以弥补甲方损失的，乙方还须赔偿甲方全部损失。</w:t>
      </w:r>
    </w:p>
    <w:p>
      <w:pPr>
        <w:spacing w:line="360" w:lineRule="auto"/>
        <w:ind w:firstLine="482" w:firstLineChars="200"/>
        <w:rPr>
          <w:b/>
          <w:sz w:val="24"/>
          <w:szCs w:val="24"/>
        </w:rPr>
      </w:pPr>
      <w:r>
        <w:rPr>
          <w:rFonts w:hint="eastAsia"/>
          <w:b/>
          <w:sz w:val="24"/>
          <w:szCs w:val="24"/>
        </w:rPr>
        <w:t>七、知识产权</w:t>
      </w:r>
    </w:p>
    <w:p>
      <w:pPr>
        <w:spacing w:line="360" w:lineRule="auto"/>
        <w:ind w:firstLine="480" w:firstLineChars="200"/>
        <w:rPr>
          <w:sz w:val="24"/>
          <w:szCs w:val="24"/>
        </w:rPr>
      </w:pPr>
      <w:r>
        <w:rPr>
          <w:rFonts w:hint="eastAsia"/>
          <w:sz w:val="24"/>
          <w:szCs w:val="24"/>
        </w:rPr>
        <w:t>1.本合同期限内及合同期满后，在甲方按本合同约定支付服务费的情况下，该阶段的全部工作成果所有权和知识产权均归甲方所有，未经甲方同意许可，乙方不得再次在其他项目中使用。</w:t>
      </w:r>
    </w:p>
    <w:p>
      <w:pPr>
        <w:spacing w:line="360" w:lineRule="auto"/>
        <w:ind w:firstLine="480" w:firstLineChars="200"/>
        <w:rPr>
          <w:sz w:val="24"/>
          <w:szCs w:val="24"/>
        </w:rPr>
      </w:pPr>
      <w:r>
        <w:rPr>
          <w:rFonts w:hint="eastAsia"/>
          <w:sz w:val="24"/>
          <w:szCs w:val="24"/>
        </w:rPr>
        <w:t>2.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spacing w:line="360" w:lineRule="auto"/>
        <w:ind w:firstLine="480" w:firstLineChars="200"/>
        <w:rPr>
          <w:sz w:val="24"/>
          <w:szCs w:val="24"/>
        </w:rPr>
      </w:pPr>
      <w:r>
        <w:rPr>
          <w:rFonts w:hint="eastAsia"/>
          <w:sz w:val="24"/>
          <w:szCs w:val="24"/>
        </w:rPr>
        <w:t>3.乙方提供的成果或服务，如使用第三人专利、专有技术、技术秘密、商业秘密、著作权、商标权等知识产权的，应当在提交初步成果时向甲方提交权利人同意使用其知识产权的《使用许可》（书面形式），相关知识产权使用费由乙方承担。</w:t>
      </w:r>
    </w:p>
    <w:p>
      <w:pPr>
        <w:spacing w:line="360" w:lineRule="auto"/>
        <w:ind w:firstLine="480" w:firstLineChars="200"/>
        <w:rPr>
          <w:sz w:val="24"/>
          <w:szCs w:val="24"/>
        </w:rPr>
      </w:pPr>
      <w:r>
        <w:rPr>
          <w:rFonts w:hint="eastAsia"/>
          <w:sz w:val="24"/>
          <w:szCs w:val="24"/>
        </w:rPr>
        <w:t>4.甲方因使用乙方提交的成果或服务被第三人指控侵权、提出异议或权利主张的，乙方应当积极协助解决，并承担由此给甲方造成的所有利益损失（包括但不限于甲方实际损失、赔偿、诉讼费用及律师费等）。此种情况下，甲方有权解除合同。</w:t>
      </w:r>
    </w:p>
    <w:p>
      <w:pPr>
        <w:spacing w:line="360" w:lineRule="auto"/>
        <w:ind w:firstLine="480" w:firstLineChars="200"/>
        <w:rPr>
          <w:sz w:val="24"/>
          <w:szCs w:val="24"/>
        </w:rPr>
      </w:pPr>
      <w:r>
        <w:rPr>
          <w:rFonts w:hint="eastAsia"/>
          <w:sz w:val="24"/>
          <w:szCs w:val="24"/>
        </w:rPr>
        <w:t>5.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pPr>
        <w:spacing w:line="360" w:lineRule="auto"/>
        <w:ind w:firstLine="480" w:firstLineChars="200"/>
        <w:rPr>
          <w:sz w:val="24"/>
          <w:szCs w:val="24"/>
        </w:rPr>
      </w:pPr>
      <w:r>
        <w:rPr>
          <w:rFonts w:hint="eastAsia"/>
          <w:sz w:val="24"/>
          <w:szCs w:val="24"/>
        </w:rPr>
        <w:t>6.乙方违反上述条款有关约定的，单次违约应当向甲方支付合同价款</w:t>
      </w:r>
      <w:r>
        <w:rPr>
          <w:sz w:val="24"/>
          <w:szCs w:val="24"/>
        </w:rPr>
        <w:t>金额</w:t>
      </w:r>
      <w:r>
        <w:rPr>
          <w:rFonts w:hint="eastAsia"/>
          <w:sz w:val="24"/>
          <w:szCs w:val="24"/>
        </w:rPr>
        <w:t>20%的违约金。</w:t>
      </w:r>
    </w:p>
    <w:p>
      <w:pPr>
        <w:spacing w:line="360" w:lineRule="auto"/>
        <w:ind w:firstLine="482" w:firstLineChars="200"/>
        <w:rPr>
          <w:b/>
          <w:bCs/>
          <w:sz w:val="24"/>
          <w:szCs w:val="24"/>
        </w:rPr>
      </w:pPr>
      <w:r>
        <w:rPr>
          <w:rFonts w:hint="eastAsia"/>
          <w:b/>
          <w:bCs/>
          <w:sz w:val="24"/>
          <w:szCs w:val="24"/>
        </w:rPr>
        <w:t>八、保密</w:t>
      </w:r>
    </w:p>
    <w:p>
      <w:pPr>
        <w:spacing w:line="360" w:lineRule="auto"/>
        <w:ind w:firstLine="480" w:firstLineChars="200"/>
        <w:rPr>
          <w:sz w:val="24"/>
          <w:szCs w:val="24"/>
        </w:rPr>
      </w:pPr>
      <w:r>
        <w:rPr>
          <w:rFonts w:hint="eastAsia"/>
          <w:sz w:val="24"/>
          <w:szCs w:val="24"/>
        </w:rPr>
        <w:t>甲方提供给乙方所有的资料、文件、证书等，均视为保密，未经甲方书面许可，乙方不得泄漏给除甲方相关人员之外的任何个人或其他单位，不管本合同因何种原因终止，本条款一直有效，如乙方违反此条款，一经发现，甲方随时有权就此要求乙方支付不低于总合同款项</w:t>
      </w:r>
      <w:r>
        <w:rPr>
          <w:sz w:val="24"/>
          <w:szCs w:val="24"/>
        </w:rPr>
        <w:t>20</w:t>
      </w:r>
      <w:r>
        <w:rPr>
          <w:rFonts w:hint="eastAsia"/>
          <w:sz w:val="24"/>
          <w:szCs w:val="24"/>
        </w:rPr>
        <w:t>%的违约金。</w:t>
      </w:r>
    </w:p>
    <w:p>
      <w:pPr>
        <w:spacing w:line="360" w:lineRule="auto"/>
        <w:ind w:firstLine="482" w:firstLineChars="200"/>
        <w:rPr>
          <w:b/>
          <w:bCs/>
          <w:sz w:val="24"/>
          <w:szCs w:val="24"/>
        </w:rPr>
      </w:pPr>
      <w:r>
        <w:rPr>
          <w:rFonts w:hint="eastAsia"/>
          <w:b/>
          <w:bCs/>
          <w:sz w:val="24"/>
          <w:szCs w:val="24"/>
        </w:rPr>
        <w:t>九、合同的变更与解除</w:t>
      </w:r>
    </w:p>
    <w:p>
      <w:pPr>
        <w:spacing w:line="360" w:lineRule="auto"/>
        <w:ind w:firstLine="480" w:firstLineChars="200"/>
      </w:pPr>
      <w:r>
        <w:rPr>
          <w:rFonts w:hint="eastAsia"/>
          <w:sz w:val="24"/>
          <w:szCs w:val="24"/>
        </w:rPr>
        <w:t>1.合同生效后，即具有法律约束力，任何一方不得随意变更或解除合同。</w:t>
      </w:r>
    </w:p>
    <w:p>
      <w:pPr>
        <w:spacing w:line="360" w:lineRule="auto"/>
        <w:ind w:firstLine="480" w:firstLineChars="200"/>
        <w:rPr>
          <w:sz w:val="24"/>
          <w:szCs w:val="24"/>
        </w:rPr>
      </w:pPr>
      <w:r>
        <w:rPr>
          <w:rFonts w:hint="eastAsia"/>
          <w:sz w:val="24"/>
          <w:szCs w:val="24"/>
        </w:rPr>
        <w:t>2.当事人一方依据合同约定要求变更或解除合同时，则应当提前30日书面通知对方，因单方擅自变更或解除合同使另一方遭受损失的，应由责任方赔偿损失。</w:t>
      </w:r>
    </w:p>
    <w:p>
      <w:pPr>
        <w:spacing w:line="360" w:lineRule="auto"/>
        <w:ind w:firstLine="480" w:firstLineChars="200"/>
        <w:rPr>
          <w:sz w:val="24"/>
          <w:szCs w:val="24"/>
        </w:rPr>
      </w:pPr>
      <w:r>
        <w:rPr>
          <w:rFonts w:hint="eastAsia"/>
          <w:sz w:val="24"/>
          <w:szCs w:val="24"/>
        </w:rPr>
        <w:t>3.合同履行期间，根据实际工作的需要，经甲乙方双协商一致，在合理范围内，甲方可对项目范围、工作内容、任务要求、项目进度、人员安排等具体事项进行正常的安排或适当调整，乙方应理解上述安排和调整，并根据这些安排和调整提供相应的服务，合同费用也不因此进行调增。</w:t>
      </w:r>
    </w:p>
    <w:p>
      <w:pPr>
        <w:spacing w:line="360" w:lineRule="auto"/>
        <w:ind w:firstLine="480" w:firstLineChars="200"/>
        <w:rPr>
          <w:sz w:val="24"/>
          <w:szCs w:val="24"/>
        </w:rPr>
      </w:pPr>
      <w:r>
        <w:rPr>
          <w:rFonts w:hint="eastAsia"/>
          <w:sz w:val="24"/>
          <w:szCs w:val="24"/>
        </w:rPr>
        <w:t>4.如甲方安排乙方从事本项目工作范围以外的项目或其他额外项目，双方应另行协商，签订补充协议。</w:t>
      </w:r>
    </w:p>
    <w:p>
      <w:pPr>
        <w:spacing w:line="360" w:lineRule="auto"/>
        <w:ind w:firstLine="480" w:firstLineChars="200"/>
        <w:rPr>
          <w:sz w:val="24"/>
          <w:szCs w:val="24"/>
        </w:rPr>
      </w:pPr>
      <w:r>
        <w:rPr>
          <w:rFonts w:hint="eastAsia"/>
          <w:sz w:val="24"/>
          <w:szCs w:val="24"/>
        </w:rPr>
        <w:t>5.合同有效期内，如双方在合作上有严重分歧，甲乙双方可于两个月前以书面通知对方中止合约。甲方应根据工作阶段和乙方实际完成的工作量支付相应费用；如政府部门延时批复，甲方应书面通知乙方暂停工作，待批复后再完成相应的阶段工作；如因乙方原因提前终止或暂停，乙方应退回甲方所有已付阶段款项，甲方还有权根据因此造成的损失情况向乙方提出索赔，索赔总额不超过合同总价</w:t>
      </w:r>
      <w:r>
        <w:rPr>
          <w:rFonts w:hint="eastAsia" w:asciiTheme="minorEastAsia" w:hAnsiTheme="minorEastAsia" w:eastAsiaTheme="minorEastAsia"/>
          <w:sz w:val="24"/>
          <w:szCs w:val="24"/>
        </w:rPr>
        <w:t>格</w:t>
      </w:r>
      <w:r>
        <w:rPr>
          <w:rFonts w:hint="eastAsia"/>
          <w:sz w:val="24"/>
          <w:szCs w:val="24"/>
        </w:rPr>
        <w:t>。</w:t>
      </w:r>
    </w:p>
    <w:p>
      <w:pPr>
        <w:spacing w:line="360" w:lineRule="auto"/>
        <w:ind w:firstLine="480" w:firstLineChars="200"/>
        <w:rPr>
          <w:sz w:val="24"/>
          <w:szCs w:val="24"/>
        </w:rPr>
      </w:pPr>
      <w:r>
        <w:rPr>
          <w:rFonts w:hint="eastAsia"/>
          <w:sz w:val="24"/>
          <w:szCs w:val="24"/>
        </w:rPr>
        <w:t>6、本合同由于不可抗力，使合同无法履行时，经双方协商，可变更或终止合同。</w:t>
      </w:r>
    </w:p>
    <w:p>
      <w:pPr>
        <w:pStyle w:val="2"/>
      </w:pPr>
      <w:r>
        <w:rPr>
          <w:rFonts w:hint="eastAsia"/>
          <w:sz w:val="24"/>
          <w:szCs w:val="24"/>
        </w:rPr>
        <w:t>7、</w:t>
      </w:r>
      <w:r>
        <w:rPr>
          <w:rFonts w:ascii="宋体" w:hAnsi="宋体" w:cs="宋体"/>
          <w:sz w:val="24"/>
          <w:szCs w:val="24"/>
        </w:rPr>
        <w:t>甲方有权</w:t>
      </w:r>
      <w:r>
        <w:rPr>
          <w:rFonts w:hint="eastAsia" w:ascii="宋体" w:hAnsi="宋体" w:cs="宋体"/>
          <w:sz w:val="24"/>
          <w:szCs w:val="24"/>
        </w:rPr>
        <w:t>提</w:t>
      </w:r>
      <w:r>
        <w:rPr>
          <w:rFonts w:ascii="宋体" w:hAnsi="宋体" w:cs="宋体"/>
          <w:sz w:val="24"/>
          <w:szCs w:val="24"/>
        </w:rPr>
        <w:t>前解除或终止合同，并根据经甲方认可的乙方实际完成工作量据实结算，甲方不承担其他任何责任。</w:t>
      </w:r>
    </w:p>
    <w:p>
      <w:pPr>
        <w:spacing w:line="360" w:lineRule="auto"/>
        <w:ind w:firstLine="482" w:firstLineChars="200"/>
        <w:rPr>
          <w:b/>
          <w:bCs/>
          <w:sz w:val="24"/>
          <w:szCs w:val="24"/>
        </w:rPr>
      </w:pPr>
      <w:r>
        <w:rPr>
          <w:rFonts w:hint="eastAsia"/>
          <w:b/>
          <w:bCs/>
          <w:sz w:val="24"/>
          <w:szCs w:val="24"/>
        </w:rPr>
        <w:t>十、争议解决</w:t>
      </w:r>
    </w:p>
    <w:p>
      <w:pPr>
        <w:spacing w:line="360" w:lineRule="auto"/>
        <w:ind w:firstLine="480" w:firstLineChars="200"/>
        <w:rPr>
          <w:sz w:val="24"/>
          <w:szCs w:val="24"/>
        </w:rPr>
      </w:pPr>
      <w:r>
        <w:rPr>
          <w:rFonts w:hint="eastAsia"/>
          <w:sz w:val="24"/>
          <w:szCs w:val="24"/>
        </w:rPr>
        <w:t xml:space="preserve">在合同履行过程中发生争议，甲乙双方应当协商解决。如协商不成，任何一方均有权将争议提交甲方所在地法院诉讼解决。 </w:t>
      </w:r>
    </w:p>
    <w:p>
      <w:pPr>
        <w:pStyle w:val="42"/>
      </w:pPr>
      <w:r>
        <w:rPr>
          <w:rFonts w:hint="eastAsia"/>
        </w:rPr>
        <w:t xml:space="preserve"> </w:t>
      </w:r>
      <w:r>
        <w:t xml:space="preserve">   </w:t>
      </w:r>
      <w:r>
        <w:rPr>
          <w:b/>
          <w:bCs/>
        </w:rPr>
        <w:t xml:space="preserve"> </w:t>
      </w:r>
      <w:r>
        <w:rPr>
          <w:rFonts w:hint="eastAsia"/>
          <w:b/>
          <w:bCs/>
          <w:sz w:val="24"/>
          <w:szCs w:val="24"/>
        </w:rPr>
        <w:t>十一、通知和送达</w:t>
      </w:r>
    </w:p>
    <w:p>
      <w:pPr>
        <w:pStyle w:val="42"/>
        <w:ind w:firstLine="480" w:firstLineChars="200"/>
        <w:rPr>
          <w:sz w:val="24"/>
          <w:szCs w:val="24"/>
        </w:rPr>
      </w:pPr>
      <w:r>
        <w:rPr>
          <w:rFonts w:hint="eastAsia"/>
          <w:sz w:val="24"/>
          <w:szCs w:val="24"/>
        </w:rPr>
        <w:t>双方送达地址和联系人、联系电话。</w:t>
      </w:r>
    </w:p>
    <w:p>
      <w:pPr>
        <w:pStyle w:val="42"/>
        <w:ind w:firstLine="480" w:firstLineChars="200"/>
        <w:rPr>
          <w:sz w:val="24"/>
          <w:szCs w:val="24"/>
        </w:rPr>
      </w:pPr>
      <w:r>
        <w:rPr>
          <w:rFonts w:hint="eastAsia"/>
          <w:sz w:val="24"/>
          <w:szCs w:val="24"/>
        </w:rPr>
        <w:t>甲</w:t>
      </w:r>
      <w:r>
        <w:rPr>
          <w:sz w:val="24"/>
          <w:szCs w:val="24"/>
        </w:rPr>
        <w:t>方地址：</w:t>
      </w:r>
    </w:p>
    <w:p>
      <w:pPr>
        <w:pStyle w:val="42"/>
        <w:ind w:firstLine="480" w:firstLineChars="200"/>
        <w:rPr>
          <w:sz w:val="24"/>
          <w:szCs w:val="24"/>
        </w:rPr>
      </w:pPr>
      <w:r>
        <w:rPr>
          <w:rFonts w:hint="eastAsia"/>
          <w:sz w:val="24"/>
          <w:szCs w:val="24"/>
        </w:rPr>
        <w:t>联系</w:t>
      </w:r>
      <w:r>
        <w:rPr>
          <w:sz w:val="24"/>
          <w:szCs w:val="24"/>
        </w:rPr>
        <w:t>人：</w:t>
      </w:r>
    </w:p>
    <w:p>
      <w:pPr>
        <w:pStyle w:val="42"/>
        <w:ind w:firstLine="480" w:firstLineChars="200"/>
        <w:rPr>
          <w:sz w:val="24"/>
          <w:szCs w:val="24"/>
        </w:rPr>
      </w:pPr>
      <w:r>
        <w:rPr>
          <w:rFonts w:hint="eastAsia"/>
          <w:sz w:val="24"/>
          <w:szCs w:val="24"/>
        </w:rPr>
        <w:t>联系</w:t>
      </w:r>
      <w:r>
        <w:rPr>
          <w:sz w:val="24"/>
          <w:szCs w:val="24"/>
        </w:rPr>
        <w:t>电话：</w:t>
      </w:r>
    </w:p>
    <w:p>
      <w:pPr>
        <w:pStyle w:val="42"/>
        <w:ind w:firstLine="480" w:firstLineChars="200"/>
        <w:rPr>
          <w:sz w:val="24"/>
          <w:szCs w:val="24"/>
        </w:rPr>
      </w:pPr>
      <w:r>
        <w:rPr>
          <w:rFonts w:hint="eastAsia"/>
          <w:sz w:val="24"/>
          <w:szCs w:val="24"/>
        </w:rPr>
        <w:t>乙</w:t>
      </w:r>
      <w:r>
        <w:rPr>
          <w:sz w:val="24"/>
          <w:szCs w:val="24"/>
        </w:rPr>
        <w:t>方地址：</w:t>
      </w:r>
    </w:p>
    <w:p>
      <w:pPr>
        <w:pStyle w:val="42"/>
        <w:ind w:firstLine="480" w:firstLineChars="200"/>
        <w:rPr>
          <w:sz w:val="24"/>
          <w:szCs w:val="24"/>
        </w:rPr>
      </w:pPr>
      <w:r>
        <w:rPr>
          <w:rFonts w:hint="eastAsia"/>
          <w:sz w:val="24"/>
          <w:szCs w:val="24"/>
        </w:rPr>
        <w:t>联系</w:t>
      </w:r>
      <w:r>
        <w:rPr>
          <w:sz w:val="24"/>
          <w:szCs w:val="24"/>
        </w:rPr>
        <w:t>人：</w:t>
      </w:r>
    </w:p>
    <w:p>
      <w:pPr>
        <w:pStyle w:val="42"/>
        <w:ind w:firstLine="480" w:firstLineChars="200"/>
        <w:rPr>
          <w:rFonts w:hint="eastAsia"/>
          <w:sz w:val="24"/>
          <w:szCs w:val="24"/>
        </w:rPr>
      </w:pPr>
      <w:r>
        <w:rPr>
          <w:rFonts w:hint="eastAsia"/>
          <w:sz w:val="24"/>
          <w:szCs w:val="24"/>
        </w:rPr>
        <w:t>联系</w:t>
      </w:r>
      <w:r>
        <w:rPr>
          <w:sz w:val="24"/>
          <w:szCs w:val="24"/>
        </w:rPr>
        <w:t>电话：</w:t>
      </w:r>
    </w:p>
    <w:p>
      <w:pPr>
        <w:pStyle w:val="42"/>
        <w:ind w:firstLine="480" w:firstLineChars="200"/>
        <w:rPr>
          <w:rFonts w:hint="eastAsia"/>
          <w:sz w:val="24"/>
          <w:szCs w:val="24"/>
        </w:rPr>
      </w:pPr>
    </w:p>
    <w:p>
      <w:pPr>
        <w:spacing w:line="360" w:lineRule="auto"/>
        <w:ind w:firstLine="482" w:firstLineChars="200"/>
        <w:rPr>
          <w:b/>
          <w:bCs/>
          <w:sz w:val="24"/>
          <w:szCs w:val="24"/>
        </w:rPr>
      </w:pPr>
      <w:r>
        <w:rPr>
          <w:rFonts w:hint="eastAsia"/>
          <w:b/>
          <w:bCs/>
          <w:sz w:val="24"/>
          <w:szCs w:val="24"/>
        </w:rPr>
        <w:t>十二、其他</w:t>
      </w:r>
    </w:p>
    <w:p>
      <w:pPr>
        <w:spacing w:line="360" w:lineRule="auto"/>
        <w:ind w:firstLine="480" w:firstLineChars="200"/>
        <w:rPr>
          <w:sz w:val="24"/>
          <w:szCs w:val="24"/>
        </w:rPr>
      </w:pPr>
      <w:r>
        <w:rPr>
          <w:rFonts w:hint="eastAsia"/>
          <w:sz w:val="24"/>
          <w:szCs w:val="24"/>
        </w:rPr>
        <w:t>1.本合同经双方法定代表人或授权代表签字，并加盖公章或合同章后即为生效。</w:t>
      </w:r>
    </w:p>
    <w:p>
      <w:pPr>
        <w:spacing w:line="360" w:lineRule="auto"/>
        <w:ind w:firstLine="480" w:firstLineChars="200"/>
        <w:rPr>
          <w:sz w:val="24"/>
          <w:szCs w:val="24"/>
        </w:rPr>
      </w:pPr>
      <w:r>
        <w:rPr>
          <w:rFonts w:hint="eastAsia"/>
          <w:sz w:val="24"/>
          <w:szCs w:val="24"/>
        </w:rPr>
        <w:t>2.本合同的任何修改，由双方协商同意并另行签订补充合同。</w:t>
      </w:r>
    </w:p>
    <w:p>
      <w:pPr>
        <w:pStyle w:val="48"/>
        <w:ind w:firstLine="480"/>
        <w:rPr>
          <w:sz w:val="24"/>
          <w:szCs w:val="24"/>
        </w:rPr>
      </w:pPr>
    </w:p>
    <w:p>
      <w:pPr>
        <w:spacing w:line="360" w:lineRule="auto"/>
        <w:ind w:firstLine="482" w:firstLineChars="200"/>
        <w:rPr>
          <w:b/>
          <w:bCs/>
          <w:sz w:val="24"/>
          <w:szCs w:val="24"/>
        </w:rPr>
      </w:pPr>
      <w:bookmarkStart w:id="131" w:name="_Toc78373955"/>
      <w:bookmarkStart w:id="132" w:name="_Toc79654236"/>
      <w:bookmarkStart w:id="133" w:name="_Toc99810805"/>
      <w:bookmarkStart w:id="134" w:name="_Toc78374413"/>
      <w:bookmarkStart w:id="135" w:name="_Toc389833598"/>
      <w:r>
        <w:rPr>
          <w:rFonts w:hint="eastAsia"/>
          <w:b/>
          <w:bCs/>
          <w:sz w:val="24"/>
          <w:szCs w:val="24"/>
        </w:rPr>
        <w:t>十三、合同附件</w:t>
      </w:r>
      <w:bookmarkEnd w:id="131"/>
      <w:bookmarkEnd w:id="132"/>
      <w:bookmarkEnd w:id="133"/>
      <w:bookmarkEnd w:id="134"/>
      <w:bookmarkEnd w:id="135"/>
    </w:p>
    <w:p>
      <w:pPr>
        <w:spacing w:line="360" w:lineRule="auto"/>
        <w:ind w:firstLine="480" w:firstLineChars="200"/>
        <w:rPr>
          <w:sz w:val="24"/>
          <w:szCs w:val="24"/>
        </w:rPr>
      </w:pPr>
      <w:r>
        <w:rPr>
          <w:rFonts w:hint="eastAsia"/>
          <w:sz w:val="24"/>
          <w:szCs w:val="24"/>
        </w:rPr>
        <w:t>合同附件1：项目服务团队架构及人员组成</w:t>
      </w:r>
    </w:p>
    <w:p>
      <w:pPr>
        <w:pStyle w:val="48"/>
        <w:ind w:left="0" w:leftChars="0" w:firstLine="0" w:firstLineChars="0"/>
        <w:rPr>
          <w:sz w:val="24"/>
          <w:szCs w:val="24"/>
        </w:rPr>
      </w:pPr>
    </w:p>
    <w:p>
      <w:pPr>
        <w:pStyle w:val="48"/>
        <w:ind w:firstLine="480"/>
        <w:rPr>
          <w:sz w:val="24"/>
          <w:szCs w:val="24"/>
        </w:rPr>
      </w:pPr>
    </w:p>
    <w:p>
      <w:pPr>
        <w:pStyle w:val="48"/>
        <w:ind w:firstLine="480"/>
        <w:rPr>
          <w:sz w:val="24"/>
          <w:szCs w:val="24"/>
        </w:rPr>
      </w:pPr>
    </w:p>
    <w:p>
      <w:pPr>
        <w:pStyle w:val="48"/>
        <w:ind w:firstLine="480"/>
        <w:rPr>
          <w:sz w:val="24"/>
          <w:szCs w:val="24"/>
        </w:rPr>
      </w:pPr>
    </w:p>
    <w:p>
      <w:pPr>
        <w:spacing w:line="360" w:lineRule="auto"/>
        <w:ind w:firstLine="482" w:firstLineChars="200"/>
        <w:rPr>
          <w:b/>
          <w:bCs/>
          <w:sz w:val="24"/>
          <w:szCs w:val="24"/>
        </w:rPr>
      </w:pPr>
    </w:p>
    <w:p>
      <w:pPr>
        <w:spacing w:line="360" w:lineRule="auto"/>
        <w:ind w:firstLine="482" w:firstLineChars="200"/>
        <w:rPr>
          <w:b/>
          <w:bCs/>
          <w:sz w:val="24"/>
          <w:szCs w:val="24"/>
        </w:rPr>
      </w:pPr>
    </w:p>
    <w:p>
      <w:pPr>
        <w:spacing w:line="360" w:lineRule="auto"/>
        <w:ind w:firstLine="482" w:firstLineChars="200"/>
        <w:rPr>
          <w:b/>
          <w:bCs/>
          <w:sz w:val="24"/>
          <w:szCs w:val="24"/>
        </w:rPr>
      </w:pPr>
    </w:p>
    <w:p>
      <w:pPr>
        <w:spacing w:line="360" w:lineRule="auto"/>
        <w:ind w:firstLine="482" w:firstLineChars="200"/>
        <w:rPr>
          <w:b/>
          <w:bCs/>
          <w:sz w:val="24"/>
          <w:szCs w:val="24"/>
        </w:rPr>
      </w:pPr>
    </w:p>
    <w:p>
      <w:pPr>
        <w:spacing w:line="360" w:lineRule="auto"/>
        <w:rPr>
          <w:b/>
          <w:bCs/>
          <w:sz w:val="24"/>
          <w:szCs w:val="24"/>
        </w:rPr>
      </w:pPr>
      <w:r>
        <w:rPr>
          <w:rFonts w:hint="eastAsia"/>
          <w:b/>
          <w:bCs/>
          <w:sz w:val="24"/>
          <w:szCs w:val="24"/>
        </w:rPr>
        <w:t>（此页无正文）</w:t>
      </w:r>
    </w:p>
    <w:tbl>
      <w:tblPr>
        <w:tblStyle w:val="49"/>
        <w:tblW w:w="9615" w:type="dxa"/>
        <w:tblInd w:w="-318" w:type="dxa"/>
        <w:tblLayout w:type="fixed"/>
        <w:tblCellMar>
          <w:top w:w="0" w:type="dxa"/>
          <w:left w:w="108" w:type="dxa"/>
          <w:bottom w:w="0" w:type="dxa"/>
          <w:right w:w="108" w:type="dxa"/>
        </w:tblCellMar>
      </w:tblPr>
      <w:tblGrid>
        <w:gridCol w:w="2379"/>
        <w:gridCol w:w="2587"/>
        <w:gridCol w:w="2106"/>
        <w:gridCol w:w="2543"/>
      </w:tblGrid>
      <w:tr>
        <w:tblPrEx>
          <w:tblCellMar>
            <w:top w:w="0" w:type="dxa"/>
            <w:left w:w="108" w:type="dxa"/>
            <w:bottom w:w="0" w:type="dxa"/>
            <w:right w:w="108" w:type="dxa"/>
          </w:tblCellMar>
        </w:tblPrEx>
        <w:trPr>
          <w:trHeight w:val="1157" w:hRule="exact"/>
        </w:trPr>
        <w:tc>
          <w:tcPr>
            <w:tcW w:w="2379" w:type="dxa"/>
          </w:tcPr>
          <w:p>
            <w:pPr>
              <w:spacing w:line="360" w:lineRule="auto"/>
              <w:rPr>
                <w:rFonts w:ascii="宋体" w:hAnsi="宋体"/>
                <w:b/>
                <w:sz w:val="24"/>
                <w:szCs w:val="24"/>
              </w:rPr>
            </w:pPr>
            <w:r>
              <w:rPr>
                <w:rFonts w:hint="eastAsia" w:ascii="宋体" w:hAnsi="宋体"/>
                <w:b/>
                <w:sz w:val="24"/>
                <w:szCs w:val="24"/>
              </w:rPr>
              <w:t>甲方(盖章)：</w:t>
            </w:r>
          </w:p>
        </w:tc>
        <w:tc>
          <w:tcPr>
            <w:tcW w:w="2588" w:type="dxa"/>
          </w:tcPr>
          <w:p>
            <w:pPr>
              <w:spacing w:before="25" w:line="360" w:lineRule="auto"/>
              <w:rPr>
                <w:rFonts w:ascii="宋体" w:hAnsi="宋体"/>
                <w:b/>
                <w:sz w:val="24"/>
                <w:szCs w:val="24"/>
              </w:rPr>
            </w:pPr>
          </w:p>
        </w:tc>
        <w:tc>
          <w:tcPr>
            <w:tcW w:w="2107" w:type="dxa"/>
          </w:tcPr>
          <w:p>
            <w:pPr>
              <w:spacing w:line="360" w:lineRule="auto"/>
              <w:jc w:val="right"/>
              <w:rPr>
                <w:rFonts w:ascii="宋体" w:hAnsi="宋体"/>
                <w:b/>
                <w:sz w:val="24"/>
                <w:szCs w:val="24"/>
              </w:rPr>
            </w:pPr>
            <w:r>
              <w:rPr>
                <w:rFonts w:hint="eastAsia" w:ascii="宋体" w:hAnsi="宋体"/>
                <w:b/>
                <w:sz w:val="24"/>
                <w:szCs w:val="24"/>
              </w:rPr>
              <w:t>法定代表人或授权代表：</w:t>
            </w:r>
          </w:p>
        </w:tc>
        <w:tc>
          <w:tcPr>
            <w:tcW w:w="2544" w:type="dxa"/>
          </w:tcPr>
          <w:p>
            <w:pPr>
              <w:spacing w:line="360" w:lineRule="auto"/>
              <w:rPr>
                <w:rFonts w:ascii="宋体" w:hAnsi="宋体"/>
                <w:sz w:val="24"/>
                <w:szCs w:val="24"/>
              </w:rPr>
            </w:pPr>
          </w:p>
        </w:tc>
      </w:tr>
      <w:tr>
        <w:tblPrEx>
          <w:tblCellMar>
            <w:top w:w="0" w:type="dxa"/>
            <w:left w:w="108" w:type="dxa"/>
            <w:bottom w:w="0" w:type="dxa"/>
            <w:right w:w="108" w:type="dxa"/>
          </w:tblCellMar>
        </w:tblPrEx>
        <w:trPr>
          <w:trHeight w:val="989" w:hRule="exact"/>
        </w:trPr>
        <w:tc>
          <w:tcPr>
            <w:tcW w:w="2379" w:type="dxa"/>
          </w:tcPr>
          <w:p>
            <w:pPr>
              <w:spacing w:line="360" w:lineRule="auto"/>
              <w:rPr>
                <w:rFonts w:ascii="宋体" w:hAnsi="宋体"/>
                <w:sz w:val="24"/>
                <w:szCs w:val="24"/>
              </w:rPr>
            </w:pPr>
            <w:r>
              <w:rPr>
                <w:rFonts w:hint="eastAsia" w:ascii="宋体" w:hAnsi="宋体"/>
                <w:sz w:val="24"/>
                <w:szCs w:val="24"/>
              </w:rPr>
              <w:t>住    所：</w:t>
            </w:r>
          </w:p>
        </w:tc>
        <w:tc>
          <w:tcPr>
            <w:tcW w:w="2588" w:type="dxa"/>
          </w:tcPr>
          <w:p>
            <w:pPr>
              <w:spacing w:line="360" w:lineRule="auto"/>
              <w:rPr>
                <w:rFonts w:ascii="宋体" w:hAnsi="宋体"/>
                <w:sz w:val="24"/>
                <w:szCs w:val="24"/>
              </w:rPr>
            </w:pPr>
          </w:p>
        </w:tc>
        <w:tc>
          <w:tcPr>
            <w:tcW w:w="2107" w:type="dxa"/>
          </w:tcPr>
          <w:p>
            <w:pPr>
              <w:spacing w:line="360" w:lineRule="auto"/>
              <w:rPr>
                <w:rFonts w:ascii="宋体" w:hAnsi="宋体"/>
                <w:sz w:val="24"/>
                <w:szCs w:val="24"/>
              </w:rPr>
            </w:pPr>
          </w:p>
        </w:tc>
        <w:tc>
          <w:tcPr>
            <w:tcW w:w="2544" w:type="dxa"/>
          </w:tcPr>
          <w:p>
            <w:pPr>
              <w:spacing w:line="360" w:lineRule="auto"/>
              <w:rPr>
                <w:rFonts w:ascii="宋体" w:hAnsi="宋体"/>
                <w:sz w:val="24"/>
                <w:szCs w:val="24"/>
              </w:rPr>
            </w:pPr>
          </w:p>
        </w:tc>
      </w:tr>
      <w:tr>
        <w:tblPrEx>
          <w:tblCellMar>
            <w:top w:w="0" w:type="dxa"/>
            <w:left w:w="108" w:type="dxa"/>
            <w:bottom w:w="0" w:type="dxa"/>
            <w:right w:w="108" w:type="dxa"/>
          </w:tblCellMar>
        </w:tblPrEx>
        <w:trPr>
          <w:trHeight w:val="460" w:hRule="exact"/>
        </w:trPr>
        <w:tc>
          <w:tcPr>
            <w:tcW w:w="2379" w:type="dxa"/>
          </w:tcPr>
          <w:p>
            <w:pPr>
              <w:spacing w:line="360" w:lineRule="auto"/>
              <w:rPr>
                <w:rFonts w:ascii="宋体" w:hAnsi="宋体"/>
                <w:sz w:val="24"/>
                <w:szCs w:val="24"/>
              </w:rPr>
            </w:pPr>
            <w:r>
              <w:rPr>
                <w:rFonts w:hint="eastAsia" w:ascii="宋体" w:hAnsi="宋体"/>
                <w:sz w:val="24"/>
                <w:szCs w:val="24"/>
              </w:rPr>
              <w:t>电    话：</w:t>
            </w:r>
          </w:p>
        </w:tc>
        <w:tc>
          <w:tcPr>
            <w:tcW w:w="2588" w:type="dxa"/>
          </w:tcPr>
          <w:p>
            <w:pPr>
              <w:spacing w:line="360" w:lineRule="auto"/>
              <w:rPr>
                <w:rFonts w:ascii="宋体" w:hAnsi="宋体"/>
                <w:sz w:val="24"/>
                <w:szCs w:val="24"/>
              </w:rPr>
            </w:pPr>
          </w:p>
        </w:tc>
        <w:tc>
          <w:tcPr>
            <w:tcW w:w="2107" w:type="dxa"/>
          </w:tcPr>
          <w:p>
            <w:pPr>
              <w:spacing w:line="360" w:lineRule="auto"/>
              <w:rPr>
                <w:rFonts w:ascii="宋体" w:hAnsi="宋体"/>
                <w:sz w:val="24"/>
                <w:szCs w:val="24"/>
              </w:rPr>
            </w:pPr>
            <w:r>
              <w:rPr>
                <w:rFonts w:hint="eastAsia" w:ascii="宋体" w:hAnsi="宋体"/>
                <w:sz w:val="24"/>
                <w:szCs w:val="24"/>
              </w:rPr>
              <w:t>传    真：</w:t>
            </w:r>
          </w:p>
        </w:tc>
        <w:tc>
          <w:tcPr>
            <w:tcW w:w="2544" w:type="dxa"/>
          </w:tcPr>
          <w:p>
            <w:pPr>
              <w:spacing w:line="360" w:lineRule="auto"/>
              <w:rPr>
                <w:rFonts w:ascii="宋体" w:hAnsi="宋体"/>
                <w:sz w:val="24"/>
                <w:szCs w:val="24"/>
              </w:rPr>
            </w:pPr>
          </w:p>
        </w:tc>
      </w:tr>
      <w:tr>
        <w:tblPrEx>
          <w:tblCellMar>
            <w:top w:w="0" w:type="dxa"/>
            <w:left w:w="108" w:type="dxa"/>
            <w:bottom w:w="0" w:type="dxa"/>
            <w:right w:w="108" w:type="dxa"/>
          </w:tblCellMar>
        </w:tblPrEx>
        <w:trPr>
          <w:trHeight w:val="871" w:hRule="exact"/>
        </w:trPr>
        <w:tc>
          <w:tcPr>
            <w:tcW w:w="2379" w:type="dxa"/>
          </w:tcPr>
          <w:p>
            <w:pPr>
              <w:spacing w:line="360" w:lineRule="auto"/>
              <w:rPr>
                <w:rFonts w:ascii="宋体" w:hAnsi="宋体"/>
                <w:sz w:val="24"/>
                <w:szCs w:val="24"/>
              </w:rPr>
            </w:pPr>
            <w:r>
              <w:rPr>
                <w:rFonts w:hint="eastAsia" w:ascii="宋体" w:hAnsi="宋体"/>
                <w:sz w:val="24"/>
                <w:szCs w:val="24"/>
              </w:rPr>
              <w:t>开户银行：</w:t>
            </w:r>
          </w:p>
        </w:tc>
        <w:tc>
          <w:tcPr>
            <w:tcW w:w="2588" w:type="dxa"/>
          </w:tcPr>
          <w:p>
            <w:pPr>
              <w:spacing w:line="360" w:lineRule="auto"/>
              <w:rPr>
                <w:rFonts w:ascii="宋体" w:hAnsi="宋体"/>
                <w:sz w:val="24"/>
                <w:szCs w:val="24"/>
              </w:rPr>
            </w:pPr>
          </w:p>
        </w:tc>
        <w:tc>
          <w:tcPr>
            <w:tcW w:w="2107" w:type="dxa"/>
          </w:tcPr>
          <w:p>
            <w:pPr>
              <w:spacing w:line="360" w:lineRule="auto"/>
              <w:rPr>
                <w:rFonts w:ascii="宋体" w:hAnsi="宋体"/>
                <w:sz w:val="24"/>
                <w:szCs w:val="24"/>
              </w:rPr>
            </w:pPr>
            <w:r>
              <w:rPr>
                <w:rFonts w:hint="eastAsia" w:ascii="宋体" w:hAnsi="宋体"/>
                <w:sz w:val="24"/>
                <w:szCs w:val="24"/>
              </w:rPr>
              <w:t>开户全名：</w:t>
            </w:r>
          </w:p>
        </w:tc>
        <w:tc>
          <w:tcPr>
            <w:tcW w:w="2544" w:type="dxa"/>
          </w:tcPr>
          <w:p>
            <w:pPr>
              <w:spacing w:line="360" w:lineRule="auto"/>
              <w:rPr>
                <w:rFonts w:ascii="宋体" w:hAnsi="宋体"/>
                <w:sz w:val="24"/>
                <w:szCs w:val="24"/>
              </w:rPr>
            </w:pPr>
          </w:p>
        </w:tc>
      </w:tr>
      <w:tr>
        <w:tblPrEx>
          <w:tblCellMar>
            <w:top w:w="0" w:type="dxa"/>
            <w:left w:w="108" w:type="dxa"/>
            <w:bottom w:w="0" w:type="dxa"/>
            <w:right w:w="108" w:type="dxa"/>
          </w:tblCellMar>
        </w:tblPrEx>
        <w:trPr>
          <w:trHeight w:val="474" w:hRule="exact"/>
        </w:trPr>
        <w:tc>
          <w:tcPr>
            <w:tcW w:w="2379" w:type="dxa"/>
          </w:tcPr>
          <w:p>
            <w:pPr>
              <w:spacing w:line="360" w:lineRule="auto"/>
              <w:jc w:val="left"/>
              <w:rPr>
                <w:rFonts w:ascii="宋体" w:hAnsi="宋体"/>
                <w:sz w:val="24"/>
                <w:szCs w:val="24"/>
              </w:rPr>
            </w:pPr>
            <w:r>
              <w:rPr>
                <w:rFonts w:hint="eastAsia" w:ascii="宋体" w:hAnsi="宋体"/>
                <w:sz w:val="24"/>
                <w:szCs w:val="24"/>
              </w:rPr>
              <w:t>账    号：</w:t>
            </w:r>
          </w:p>
        </w:tc>
        <w:tc>
          <w:tcPr>
            <w:tcW w:w="2588" w:type="dxa"/>
          </w:tcPr>
          <w:p>
            <w:pPr>
              <w:spacing w:line="360" w:lineRule="auto"/>
              <w:rPr>
                <w:rFonts w:ascii="宋体" w:hAnsi="宋体"/>
                <w:sz w:val="24"/>
                <w:szCs w:val="24"/>
              </w:rPr>
            </w:pPr>
          </w:p>
        </w:tc>
        <w:tc>
          <w:tcPr>
            <w:tcW w:w="2107" w:type="dxa"/>
          </w:tcPr>
          <w:p>
            <w:pPr>
              <w:spacing w:line="360" w:lineRule="auto"/>
              <w:rPr>
                <w:rFonts w:ascii="宋体" w:hAnsi="宋体"/>
                <w:sz w:val="24"/>
                <w:szCs w:val="24"/>
              </w:rPr>
            </w:pPr>
            <w:r>
              <w:rPr>
                <w:rFonts w:hint="eastAsia" w:ascii="宋体" w:hAnsi="宋体"/>
                <w:sz w:val="24"/>
                <w:szCs w:val="24"/>
              </w:rPr>
              <w:t>邮政编码：</w:t>
            </w:r>
          </w:p>
        </w:tc>
        <w:tc>
          <w:tcPr>
            <w:tcW w:w="2544" w:type="dxa"/>
          </w:tcPr>
          <w:p>
            <w:pPr>
              <w:spacing w:line="360" w:lineRule="auto"/>
              <w:rPr>
                <w:rFonts w:ascii="宋体" w:hAnsi="宋体"/>
                <w:sz w:val="24"/>
                <w:szCs w:val="24"/>
              </w:rPr>
            </w:pPr>
          </w:p>
        </w:tc>
      </w:tr>
      <w:tr>
        <w:tblPrEx>
          <w:tblCellMar>
            <w:top w:w="0" w:type="dxa"/>
            <w:left w:w="108" w:type="dxa"/>
            <w:bottom w:w="0" w:type="dxa"/>
            <w:right w:w="108" w:type="dxa"/>
          </w:tblCellMar>
        </w:tblPrEx>
        <w:trPr>
          <w:trHeight w:val="962" w:hRule="exact"/>
        </w:trPr>
        <w:tc>
          <w:tcPr>
            <w:tcW w:w="2379" w:type="dxa"/>
          </w:tcPr>
          <w:p>
            <w:pPr>
              <w:spacing w:line="360" w:lineRule="auto"/>
              <w:rPr>
                <w:rFonts w:ascii="宋体" w:hAnsi="宋体"/>
                <w:sz w:val="24"/>
                <w:szCs w:val="24"/>
              </w:rPr>
            </w:pPr>
            <w:r>
              <w:rPr>
                <w:rFonts w:hint="eastAsia" w:ascii="宋体" w:hAnsi="宋体"/>
                <w:sz w:val="24"/>
                <w:szCs w:val="24"/>
              </w:rPr>
              <w:t>项目主管部门经办人及电话：</w:t>
            </w:r>
          </w:p>
        </w:tc>
        <w:tc>
          <w:tcPr>
            <w:tcW w:w="2588" w:type="dxa"/>
          </w:tcPr>
          <w:p>
            <w:pPr>
              <w:spacing w:line="360" w:lineRule="auto"/>
              <w:rPr>
                <w:rFonts w:ascii="宋体" w:hAnsi="宋体"/>
                <w:sz w:val="24"/>
                <w:szCs w:val="24"/>
              </w:rPr>
            </w:pPr>
          </w:p>
        </w:tc>
        <w:tc>
          <w:tcPr>
            <w:tcW w:w="2107" w:type="dxa"/>
          </w:tcPr>
          <w:p>
            <w:pPr>
              <w:spacing w:line="360" w:lineRule="auto"/>
              <w:rPr>
                <w:rFonts w:ascii="宋体" w:hAnsi="宋体"/>
                <w:sz w:val="24"/>
                <w:szCs w:val="24"/>
              </w:rPr>
            </w:pPr>
            <w:r>
              <w:rPr>
                <w:rFonts w:hint="eastAsia" w:ascii="宋体" w:hAnsi="宋体"/>
                <w:sz w:val="24"/>
                <w:szCs w:val="24"/>
              </w:rPr>
              <w:t>项目主管部门审核人：</w:t>
            </w:r>
          </w:p>
        </w:tc>
        <w:tc>
          <w:tcPr>
            <w:tcW w:w="2544" w:type="dxa"/>
          </w:tcPr>
          <w:p>
            <w:pPr>
              <w:spacing w:line="360" w:lineRule="auto"/>
              <w:rPr>
                <w:rFonts w:ascii="宋体" w:hAnsi="宋体"/>
                <w:sz w:val="24"/>
                <w:szCs w:val="24"/>
              </w:rPr>
            </w:pPr>
          </w:p>
        </w:tc>
      </w:tr>
      <w:tr>
        <w:tblPrEx>
          <w:tblCellMar>
            <w:top w:w="0" w:type="dxa"/>
            <w:left w:w="108" w:type="dxa"/>
            <w:bottom w:w="0" w:type="dxa"/>
            <w:right w:w="108" w:type="dxa"/>
          </w:tblCellMar>
        </w:tblPrEx>
        <w:trPr>
          <w:trHeight w:val="1136" w:hRule="exact"/>
        </w:trPr>
        <w:tc>
          <w:tcPr>
            <w:tcW w:w="2379" w:type="dxa"/>
          </w:tcPr>
          <w:p>
            <w:pPr>
              <w:spacing w:line="360" w:lineRule="auto"/>
              <w:rPr>
                <w:rFonts w:ascii="宋体" w:hAnsi="宋体"/>
                <w:sz w:val="24"/>
                <w:szCs w:val="24"/>
              </w:rPr>
            </w:pPr>
            <w:r>
              <w:rPr>
                <w:rFonts w:hint="eastAsia" w:ascii="宋体" w:hAnsi="宋体"/>
                <w:sz w:val="24"/>
                <w:szCs w:val="24"/>
              </w:rPr>
              <w:t>合约部门经办人及电话:</w:t>
            </w:r>
          </w:p>
          <w:p>
            <w:pPr>
              <w:spacing w:line="360" w:lineRule="auto"/>
              <w:rPr>
                <w:rFonts w:ascii="宋体" w:hAnsi="宋体"/>
                <w:sz w:val="24"/>
                <w:szCs w:val="24"/>
              </w:rPr>
            </w:pPr>
          </w:p>
          <w:p>
            <w:pPr>
              <w:spacing w:line="360" w:lineRule="auto"/>
              <w:rPr>
                <w:rFonts w:ascii="宋体" w:hAnsi="宋体"/>
                <w:sz w:val="24"/>
                <w:szCs w:val="24"/>
              </w:rPr>
            </w:pPr>
          </w:p>
        </w:tc>
        <w:tc>
          <w:tcPr>
            <w:tcW w:w="2588" w:type="dxa"/>
          </w:tcPr>
          <w:p>
            <w:pPr>
              <w:spacing w:line="360" w:lineRule="auto"/>
              <w:rPr>
                <w:rFonts w:ascii="宋体" w:hAnsi="宋体"/>
                <w:sz w:val="24"/>
                <w:szCs w:val="24"/>
              </w:rPr>
            </w:pPr>
          </w:p>
        </w:tc>
        <w:tc>
          <w:tcPr>
            <w:tcW w:w="2107" w:type="dxa"/>
          </w:tcPr>
          <w:p>
            <w:pPr>
              <w:spacing w:line="360" w:lineRule="auto"/>
              <w:rPr>
                <w:rFonts w:ascii="宋体" w:hAnsi="宋体"/>
                <w:sz w:val="24"/>
                <w:szCs w:val="24"/>
              </w:rPr>
            </w:pPr>
            <w:r>
              <w:rPr>
                <w:rFonts w:hint="eastAsia" w:ascii="宋体" w:hAnsi="宋体"/>
                <w:sz w:val="24"/>
                <w:szCs w:val="24"/>
              </w:rPr>
              <w:t>合约部门审核人：</w:t>
            </w:r>
          </w:p>
        </w:tc>
        <w:tc>
          <w:tcPr>
            <w:tcW w:w="2544" w:type="dxa"/>
          </w:tcPr>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tc>
      </w:tr>
      <w:tr>
        <w:tblPrEx>
          <w:tblCellMar>
            <w:top w:w="0" w:type="dxa"/>
            <w:left w:w="108" w:type="dxa"/>
            <w:bottom w:w="0" w:type="dxa"/>
            <w:right w:w="108" w:type="dxa"/>
          </w:tblCellMar>
        </w:tblPrEx>
        <w:trPr>
          <w:gridAfter w:val="1"/>
          <w:wAfter w:w="2544" w:type="dxa"/>
          <w:trHeight w:val="353" w:hRule="exact"/>
        </w:trPr>
        <w:tc>
          <w:tcPr>
            <w:tcW w:w="2379" w:type="dxa"/>
          </w:tcPr>
          <w:p>
            <w:pPr>
              <w:spacing w:line="360" w:lineRule="auto"/>
              <w:rPr>
                <w:rFonts w:ascii="宋体" w:hAnsi="宋体"/>
                <w:sz w:val="24"/>
                <w:szCs w:val="24"/>
              </w:rPr>
            </w:pPr>
          </w:p>
        </w:tc>
        <w:tc>
          <w:tcPr>
            <w:tcW w:w="2588" w:type="dxa"/>
          </w:tcPr>
          <w:p>
            <w:pPr>
              <w:spacing w:line="360" w:lineRule="auto"/>
              <w:rPr>
                <w:rFonts w:ascii="宋体" w:hAnsi="宋体"/>
                <w:sz w:val="24"/>
                <w:szCs w:val="24"/>
              </w:rPr>
            </w:pPr>
          </w:p>
        </w:tc>
        <w:tc>
          <w:tcPr>
            <w:tcW w:w="2107" w:type="dxa"/>
          </w:tcPr>
          <w:p>
            <w:pPr>
              <w:spacing w:line="360" w:lineRule="auto"/>
              <w:rPr>
                <w:rFonts w:ascii="宋体" w:hAnsi="宋体"/>
                <w:sz w:val="24"/>
                <w:szCs w:val="24"/>
              </w:rPr>
            </w:pPr>
          </w:p>
        </w:tc>
      </w:tr>
      <w:tr>
        <w:tblPrEx>
          <w:tblCellMar>
            <w:top w:w="0" w:type="dxa"/>
            <w:left w:w="108" w:type="dxa"/>
            <w:bottom w:w="0" w:type="dxa"/>
            <w:right w:w="108" w:type="dxa"/>
          </w:tblCellMar>
        </w:tblPrEx>
        <w:trPr>
          <w:trHeight w:val="1072" w:hRule="exact"/>
        </w:trPr>
        <w:tc>
          <w:tcPr>
            <w:tcW w:w="2379" w:type="dxa"/>
          </w:tcPr>
          <w:p>
            <w:pPr>
              <w:spacing w:line="360" w:lineRule="auto"/>
              <w:rPr>
                <w:rFonts w:ascii="宋体" w:hAnsi="宋体"/>
                <w:b/>
                <w:sz w:val="24"/>
                <w:szCs w:val="24"/>
              </w:rPr>
            </w:pPr>
            <w:r>
              <w:rPr>
                <w:rFonts w:hint="eastAsia" w:ascii="宋体" w:hAnsi="宋体"/>
                <w:b/>
                <w:sz w:val="24"/>
                <w:szCs w:val="24"/>
              </w:rPr>
              <w:t>乙方(盖章)：</w:t>
            </w:r>
          </w:p>
        </w:tc>
        <w:tc>
          <w:tcPr>
            <w:tcW w:w="2588" w:type="dxa"/>
          </w:tcPr>
          <w:p>
            <w:pPr>
              <w:spacing w:line="360" w:lineRule="auto"/>
              <w:rPr>
                <w:rFonts w:ascii="宋体" w:hAnsi="宋体"/>
                <w:b/>
                <w:sz w:val="24"/>
                <w:szCs w:val="24"/>
              </w:rPr>
            </w:pPr>
          </w:p>
        </w:tc>
        <w:tc>
          <w:tcPr>
            <w:tcW w:w="2107" w:type="dxa"/>
          </w:tcPr>
          <w:p>
            <w:pPr>
              <w:spacing w:line="360" w:lineRule="auto"/>
              <w:ind w:left="239" w:leftChars="114"/>
              <w:rPr>
                <w:rFonts w:ascii="宋体" w:hAnsi="宋体"/>
                <w:b/>
                <w:sz w:val="24"/>
                <w:szCs w:val="24"/>
              </w:rPr>
            </w:pPr>
            <w:r>
              <w:rPr>
                <w:rFonts w:hint="eastAsia" w:ascii="宋体" w:hAnsi="宋体"/>
                <w:b/>
                <w:sz w:val="24"/>
                <w:szCs w:val="24"/>
              </w:rPr>
              <w:t>法定代表人或授权代表：</w:t>
            </w:r>
          </w:p>
        </w:tc>
        <w:tc>
          <w:tcPr>
            <w:tcW w:w="2544" w:type="dxa"/>
          </w:tcPr>
          <w:p>
            <w:pPr>
              <w:spacing w:line="360" w:lineRule="auto"/>
              <w:rPr>
                <w:rFonts w:ascii="宋体" w:hAnsi="宋体"/>
                <w:sz w:val="24"/>
                <w:szCs w:val="24"/>
              </w:rPr>
            </w:pPr>
          </w:p>
        </w:tc>
      </w:tr>
      <w:tr>
        <w:tblPrEx>
          <w:tblCellMar>
            <w:top w:w="0" w:type="dxa"/>
            <w:left w:w="108" w:type="dxa"/>
            <w:bottom w:w="0" w:type="dxa"/>
            <w:right w:w="108" w:type="dxa"/>
          </w:tblCellMar>
        </w:tblPrEx>
        <w:trPr>
          <w:trHeight w:val="1549" w:hRule="exact"/>
        </w:trPr>
        <w:tc>
          <w:tcPr>
            <w:tcW w:w="2379" w:type="dxa"/>
          </w:tcPr>
          <w:p>
            <w:pPr>
              <w:spacing w:line="360" w:lineRule="auto"/>
              <w:rPr>
                <w:rFonts w:ascii="宋体" w:hAnsi="宋体"/>
                <w:sz w:val="24"/>
                <w:szCs w:val="24"/>
              </w:rPr>
            </w:pPr>
            <w:r>
              <w:rPr>
                <w:rFonts w:hint="eastAsia" w:ascii="宋体" w:hAnsi="宋体"/>
                <w:sz w:val="24"/>
                <w:szCs w:val="24"/>
              </w:rPr>
              <w:t>住    所：</w:t>
            </w:r>
          </w:p>
        </w:tc>
        <w:tc>
          <w:tcPr>
            <w:tcW w:w="2588" w:type="dxa"/>
          </w:tcPr>
          <w:p>
            <w:pPr>
              <w:spacing w:line="360" w:lineRule="auto"/>
              <w:rPr>
                <w:rFonts w:ascii="宋体" w:hAnsi="宋体"/>
                <w:sz w:val="24"/>
                <w:szCs w:val="24"/>
              </w:rPr>
            </w:pPr>
          </w:p>
          <w:p>
            <w:pPr>
              <w:spacing w:line="360" w:lineRule="auto"/>
              <w:rPr>
                <w:rFonts w:ascii="宋体" w:hAnsi="宋体"/>
                <w:sz w:val="24"/>
                <w:szCs w:val="24"/>
              </w:rPr>
            </w:pPr>
          </w:p>
          <w:p>
            <w:pPr>
              <w:spacing w:line="360" w:lineRule="auto"/>
              <w:rPr>
                <w:rFonts w:ascii="宋体" w:hAnsi="宋体"/>
                <w:sz w:val="24"/>
                <w:szCs w:val="24"/>
              </w:rPr>
            </w:pPr>
          </w:p>
        </w:tc>
        <w:tc>
          <w:tcPr>
            <w:tcW w:w="2107" w:type="dxa"/>
          </w:tcPr>
          <w:p>
            <w:pPr>
              <w:spacing w:line="360" w:lineRule="auto"/>
              <w:rPr>
                <w:rFonts w:ascii="宋体" w:hAnsi="宋体"/>
                <w:sz w:val="24"/>
                <w:szCs w:val="24"/>
              </w:rPr>
            </w:pPr>
          </w:p>
        </w:tc>
        <w:tc>
          <w:tcPr>
            <w:tcW w:w="2544" w:type="dxa"/>
          </w:tcPr>
          <w:p>
            <w:pPr>
              <w:spacing w:line="360" w:lineRule="auto"/>
              <w:rPr>
                <w:rFonts w:ascii="宋体" w:hAnsi="宋体"/>
                <w:sz w:val="24"/>
                <w:szCs w:val="24"/>
              </w:rPr>
            </w:pPr>
          </w:p>
        </w:tc>
      </w:tr>
      <w:tr>
        <w:tblPrEx>
          <w:tblCellMar>
            <w:top w:w="0" w:type="dxa"/>
            <w:left w:w="108" w:type="dxa"/>
            <w:bottom w:w="0" w:type="dxa"/>
            <w:right w:w="108" w:type="dxa"/>
          </w:tblCellMar>
        </w:tblPrEx>
        <w:trPr>
          <w:trHeight w:val="474" w:hRule="exact"/>
        </w:trPr>
        <w:tc>
          <w:tcPr>
            <w:tcW w:w="2379" w:type="dxa"/>
          </w:tcPr>
          <w:p>
            <w:pPr>
              <w:spacing w:line="360" w:lineRule="auto"/>
              <w:rPr>
                <w:rFonts w:ascii="宋体" w:hAnsi="宋体"/>
                <w:sz w:val="24"/>
                <w:szCs w:val="24"/>
              </w:rPr>
            </w:pPr>
            <w:r>
              <w:rPr>
                <w:rFonts w:hint="eastAsia" w:ascii="宋体" w:hAnsi="宋体"/>
                <w:sz w:val="24"/>
                <w:szCs w:val="24"/>
              </w:rPr>
              <w:t>电    话：</w:t>
            </w:r>
          </w:p>
        </w:tc>
        <w:tc>
          <w:tcPr>
            <w:tcW w:w="2588" w:type="dxa"/>
          </w:tcPr>
          <w:p>
            <w:pPr>
              <w:spacing w:line="360" w:lineRule="auto"/>
              <w:rPr>
                <w:rFonts w:ascii="宋体" w:hAnsi="宋体"/>
                <w:sz w:val="24"/>
                <w:szCs w:val="24"/>
              </w:rPr>
            </w:pPr>
          </w:p>
        </w:tc>
        <w:tc>
          <w:tcPr>
            <w:tcW w:w="2107" w:type="dxa"/>
          </w:tcPr>
          <w:p>
            <w:pPr>
              <w:spacing w:line="360" w:lineRule="auto"/>
              <w:rPr>
                <w:rFonts w:ascii="宋体" w:hAnsi="宋体"/>
                <w:sz w:val="24"/>
                <w:szCs w:val="24"/>
              </w:rPr>
            </w:pPr>
            <w:r>
              <w:rPr>
                <w:rFonts w:hint="eastAsia" w:ascii="宋体" w:hAnsi="宋体"/>
                <w:sz w:val="24"/>
                <w:szCs w:val="24"/>
              </w:rPr>
              <w:t>传    真：</w:t>
            </w:r>
          </w:p>
        </w:tc>
        <w:tc>
          <w:tcPr>
            <w:tcW w:w="2544" w:type="dxa"/>
          </w:tcPr>
          <w:p>
            <w:pPr>
              <w:spacing w:line="360" w:lineRule="auto"/>
              <w:rPr>
                <w:rFonts w:ascii="宋体" w:hAnsi="宋体"/>
                <w:sz w:val="24"/>
                <w:szCs w:val="24"/>
              </w:rPr>
            </w:pPr>
          </w:p>
        </w:tc>
      </w:tr>
      <w:tr>
        <w:tblPrEx>
          <w:tblCellMar>
            <w:top w:w="0" w:type="dxa"/>
            <w:left w:w="108" w:type="dxa"/>
            <w:bottom w:w="0" w:type="dxa"/>
            <w:right w:w="108" w:type="dxa"/>
          </w:tblCellMar>
        </w:tblPrEx>
        <w:trPr>
          <w:trHeight w:val="1194" w:hRule="exact"/>
        </w:trPr>
        <w:tc>
          <w:tcPr>
            <w:tcW w:w="2379" w:type="dxa"/>
          </w:tcPr>
          <w:p>
            <w:pPr>
              <w:spacing w:line="360" w:lineRule="auto"/>
              <w:rPr>
                <w:rFonts w:ascii="宋体" w:hAnsi="宋体"/>
                <w:sz w:val="24"/>
                <w:szCs w:val="24"/>
              </w:rPr>
            </w:pPr>
            <w:r>
              <w:rPr>
                <w:rFonts w:hint="eastAsia" w:ascii="宋体" w:hAnsi="宋体"/>
                <w:sz w:val="24"/>
                <w:szCs w:val="24"/>
              </w:rPr>
              <w:t>开户银行：</w:t>
            </w:r>
          </w:p>
        </w:tc>
        <w:tc>
          <w:tcPr>
            <w:tcW w:w="2588" w:type="dxa"/>
          </w:tcPr>
          <w:p>
            <w:pPr>
              <w:spacing w:line="360" w:lineRule="auto"/>
              <w:rPr>
                <w:rFonts w:ascii="宋体" w:hAnsi="宋体"/>
                <w:sz w:val="24"/>
                <w:szCs w:val="24"/>
              </w:rPr>
            </w:pPr>
          </w:p>
        </w:tc>
        <w:tc>
          <w:tcPr>
            <w:tcW w:w="2107" w:type="dxa"/>
          </w:tcPr>
          <w:p>
            <w:pPr>
              <w:spacing w:line="360" w:lineRule="auto"/>
              <w:rPr>
                <w:rFonts w:ascii="宋体" w:hAnsi="宋体"/>
                <w:sz w:val="24"/>
                <w:szCs w:val="24"/>
              </w:rPr>
            </w:pPr>
            <w:r>
              <w:rPr>
                <w:rFonts w:hint="eastAsia" w:ascii="宋体" w:hAnsi="宋体"/>
                <w:sz w:val="24"/>
                <w:szCs w:val="24"/>
              </w:rPr>
              <w:t>开户全名：</w:t>
            </w:r>
          </w:p>
        </w:tc>
        <w:tc>
          <w:tcPr>
            <w:tcW w:w="2544" w:type="dxa"/>
          </w:tcPr>
          <w:p>
            <w:pPr>
              <w:spacing w:line="360" w:lineRule="auto"/>
              <w:rPr>
                <w:rFonts w:ascii="宋体" w:hAnsi="宋体"/>
                <w:sz w:val="24"/>
                <w:szCs w:val="24"/>
              </w:rPr>
            </w:pPr>
          </w:p>
        </w:tc>
      </w:tr>
      <w:tr>
        <w:tblPrEx>
          <w:tblCellMar>
            <w:top w:w="0" w:type="dxa"/>
            <w:left w:w="108" w:type="dxa"/>
            <w:bottom w:w="0" w:type="dxa"/>
            <w:right w:w="108" w:type="dxa"/>
          </w:tblCellMar>
        </w:tblPrEx>
        <w:trPr>
          <w:trHeight w:val="510" w:hRule="exact"/>
        </w:trPr>
        <w:tc>
          <w:tcPr>
            <w:tcW w:w="2379" w:type="dxa"/>
          </w:tcPr>
          <w:p>
            <w:pPr>
              <w:spacing w:line="360" w:lineRule="auto"/>
              <w:rPr>
                <w:rFonts w:ascii="宋体" w:hAnsi="宋体"/>
                <w:sz w:val="24"/>
                <w:szCs w:val="24"/>
              </w:rPr>
            </w:pPr>
            <w:r>
              <w:rPr>
                <w:rFonts w:hint="eastAsia" w:ascii="宋体" w:hAnsi="宋体"/>
                <w:sz w:val="24"/>
                <w:szCs w:val="24"/>
              </w:rPr>
              <w:t>账    号：</w:t>
            </w:r>
          </w:p>
        </w:tc>
        <w:tc>
          <w:tcPr>
            <w:tcW w:w="2588" w:type="dxa"/>
          </w:tcPr>
          <w:p>
            <w:pPr>
              <w:spacing w:line="360" w:lineRule="auto"/>
              <w:rPr>
                <w:rFonts w:ascii="宋体" w:hAnsi="宋体"/>
                <w:sz w:val="24"/>
                <w:szCs w:val="24"/>
              </w:rPr>
            </w:pPr>
          </w:p>
        </w:tc>
        <w:tc>
          <w:tcPr>
            <w:tcW w:w="2107" w:type="dxa"/>
          </w:tcPr>
          <w:p>
            <w:pPr>
              <w:spacing w:line="360" w:lineRule="auto"/>
              <w:rPr>
                <w:rFonts w:ascii="宋体" w:hAnsi="宋体"/>
                <w:sz w:val="24"/>
                <w:szCs w:val="24"/>
              </w:rPr>
            </w:pPr>
            <w:r>
              <w:rPr>
                <w:rFonts w:hint="eastAsia" w:ascii="宋体" w:hAnsi="宋体"/>
                <w:sz w:val="24"/>
                <w:szCs w:val="24"/>
              </w:rPr>
              <w:t>邮政编码：</w:t>
            </w:r>
          </w:p>
        </w:tc>
        <w:tc>
          <w:tcPr>
            <w:tcW w:w="2544" w:type="dxa"/>
          </w:tcPr>
          <w:p>
            <w:pPr>
              <w:spacing w:line="360" w:lineRule="auto"/>
              <w:rPr>
                <w:rFonts w:ascii="宋体" w:hAnsi="宋体"/>
                <w:sz w:val="24"/>
                <w:szCs w:val="24"/>
              </w:rPr>
            </w:pPr>
          </w:p>
        </w:tc>
      </w:tr>
      <w:tr>
        <w:tblPrEx>
          <w:tblCellMar>
            <w:top w:w="0" w:type="dxa"/>
            <w:left w:w="108" w:type="dxa"/>
            <w:bottom w:w="0" w:type="dxa"/>
            <w:right w:w="108" w:type="dxa"/>
          </w:tblCellMar>
        </w:tblPrEx>
        <w:trPr>
          <w:trHeight w:val="579" w:hRule="exact"/>
        </w:trPr>
        <w:tc>
          <w:tcPr>
            <w:tcW w:w="2379" w:type="dxa"/>
          </w:tcPr>
          <w:p>
            <w:pPr>
              <w:spacing w:line="360" w:lineRule="auto"/>
              <w:rPr>
                <w:rFonts w:ascii="宋体" w:hAnsi="宋体"/>
                <w:sz w:val="24"/>
                <w:szCs w:val="24"/>
              </w:rPr>
            </w:pPr>
            <w:r>
              <w:rPr>
                <w:rFonts w:hint="eastAsia" w:ascii="宋体" w:hAnsi="宋体"/>
                <w:sz w:val="24"/>
                <w:szCs w:val="24"/>
              </w:rPr>
              <w:t>乙方经办人：</w:t>
            </w:r>
          </w:p>
        </w:tc>
        <w:tc>
          <w:tcPr>
            <w:tcW w:w="2588" w:type="dxa"/>
          </w:tcPr>
          <w:p>
            <w:pPr>
              <w:spacing w:line="360" w:lineRule="auto"/>
              <w:rPr>
                <w:rFonts w:ascii="宋体" w:hAnsi="宋体"/>
                <w:sz w:val="24"/>
                <w:szCs w:val="24"/>
              </w:rPr>
            </w:pPr>
          </w:p>
        </w:tc>
        <w:tc>
          <w:tcPr>
            <w:tcW w:w="2107" w:type="dxa"/>
          </w:tcPr>
          <w:p>
            <w:pPr>
              <w:spacing w:line="360" w:lineRule="auto"/>
              <w:rPr>
                <w:rFonts w:ascii="宋体" w:hAnsi="宋体"/>
                <w:sz w:val="24"/>
                <w:szCs w:val="24"/>
              </w:rPr>
            </w:pPr>
            <w:r>
              <w:rPr>
                <w:rFonts w:hint="eastAsia" w:ascii="宋体" w:hAnsi="宋体"/>
                <w:sz w:val="24"/>
                <w:szCs w:val="24"/>
              </w:rPr>
              <w:t>乙方经办人电话：</w:t>
            </w:r>
          </w:p>
        </w:tc>
        <w:tc>
          <w:tcPr>
            <w:tcW w:w="2544" w:type="dxa"/>
          </w:tcPr>
          <w:p>
            <w:pPr>
              <w:spacing w:line="360" w:lineRule="auto"/>
              <w:rPr>
                <w:rFonts w:ascii="宋体" w:hAnsi="宋体"/>
                <w:sz w:val="24"/>
                <w:szCs w:val="24"/>
              </w:rPr>
            </w:pPr>
          </w:p>
        </w:tc>
      </w:tr>
      <w:tr>
        <w:tblPrEx>
          <w:tblCellMar>
            <w:top w:w="0" w:type="dxa"/>
            <w:left w:w="108" w:type="dxa"/>
            <w:bottom w:w="0" w:type="dxa"/>
            <w:right w:w="108" w:type="dxa"/>
          </w:tblCellMar>
        </w:tblPrEx>
        <w:trPr>
          <w:trHeight w:val="391" w:hRule="exact"/>
        </w:trPr>
        <w:tc>
          <w:tcPr>
            <w:tcW w:w="2379" w:type="dxa"/>
          </w:tcPr>
          <w:p>
            <w:pPr>
              <w:spacing w:line="360" w:lineRule="auto"/>
              <w:rPr>
                <w:rFonts w:ascii="宋体" w:hAnsi="宋体"/>
                <w:b/>
                <w:sz w:val="24"/>
                <w:szCs w:val="24"/>
              </w:rPr>
            </w:pPr>
            <w:r>
              <w:rPr>
                <w:rFonts w:hint="eastAsia" w:ascii="宋体" w:hAnsi="宋体"/>
                <w:b/>
                <w:sz w:val="24"/>
                <w:szCs w:val="24"/>
              </w:rPr>
              <w:t>合同签署地点：</w:t>
            </w:r>
          </w:p>
        </w:tc>
        <w:tc>
          <w:tcPr>
            <w:tcW w:w="2588" w:type="dxa"/>
          </w:tcPr>
          <w:p>
            <w:pPr>
              <w:spacing w:line="360" w:lineRule="auto"/>
              <w:rPr>
                <w:rFonts w:ascii="宋体" w:hAnsi="宋体"/>
                <w:b/>
                <w:sz w:val="24"/>
                <w:szCs w:val="24"/>
              </w:rPr>
            </w:pPr>
            <w:r>
              <w:rPr>
                <w:rFonts w:hint="eastAsia" w:ascii="宋体" w:hAnsi="宋体"/>
                <w:b/>
                <w:sz w:val="24"/>
                <w:szCs w:val="24"/>
              </w:rPr>
              <w:t>深  圳</w:t>
            </w:r>
          </w:p>
        </w:tc>
        <w:tc>
          <w:tcPr>
            <w:tcW w:w="2107" w:type="dxa"/>
          </w:tcPr>
          <w:p>
            <w:pPr>
              <w:spacing w:line="360" w:lineRule="auto"/>
              <w:rPr>
                <w:rFonts w:ascii="宋体" w:hAnsi="宋体"/>
                <w:sz w:val="24"/>
                <w:szCs w:val="24"/>
              </w:rPr>
            </w:pPr>
          </w:p>
        </w:tc>
        <w:tc>
          <w:tcPr>
            <w:tcW w:w="2544" w:type="dxa"/>
          </w:tcPr>
          <w:p>
            <w:pPr>
              <w:spacing w:line="360" w:lineRule="auto"/>
              <w:rPr>
                <w:rFonts w:ascii="宋体" w:hAnsi="宋体"/>
                <w:sz w:val="24"/>
                <w:szCs w:val="24"/>
              </w:rPr>
            </w:pPr>
          </w:p>
        </w:tc>
      </w:tr>
      <w:tr>
        <w:tblPrEx>
          <w:tblCellMar>
            <w:top w:w="0" w:type="dxa"/>
            <w:left w:w="108" w:type="dxa"/>
            <w:bottom w:w="0" w:type="dxa"/>
            <w:right w:w="108" w:type="dxa"/>
          </w:tblCellMar>
        </w:tblPrEx>
        <w:trPr>
          <w:trHeight w:val="387" w:hRule="exact"/>
        </w:trPr>
        <w:tc>
          <w:tcPr>
            <w:tcW w:w="2379" w:type="dxa"/>
          </w:tcPr>
          <w:p>
            <w:pPr>
              <w:spacing w:line="360" w:lineRule="auto"/>
              <w:rPr>
                <w:rFonts w:ascii="宋体" w:hAnsi="宋体"/>
                <w:b/>
                <w:sz w:val="24"/>
                <w:szCs w:val="24"/>
              </w:rPr>
            </w:pPr>
            <w:r>
              <w:rPr>
                <w:rFonts w:hint="eastAsia" w:ascii="宋体" w:hAnsi="宋体"/>
                <w:b/>
                <w:sz w:val="24"/>
                <w:szCs w:val="24"/>
              </w:rPr>
              <w:t>时      间：</w:t>
            </w:r>
          </w:p>
        </w:tc>
        <w:tc>
          <w:tcPr>
            <w:tcW w:w="2588" w:type="dxa"/>
          </w:tcPr>
          <w:p>
            <w:pPr>
              <w:spacing w:line="360" w:lineRule="auto"/>
              <w:rPr>
                <w:rFonts w:ascii="宋体" w:hAnsi="宋体"/>
                <w:b/>
                <w:sz w:val="24"/>
                <w:szCs w:val="24"/>
              </w:rPr>
            </w:pPr>
            <w:r>
              <w:rPr>
                <w:rFonts w:hint="eastAsia" w:ascii="宋体" w:hAnsi="宋体"/>
                <w:b/>
                <w:sz w:val="24"/>
                <w:szCs w:val="24"/>
              </w:rPr>
              <w:t>202</w:t>
            </w:r>
            <w:r>
              <w:rPr>
                <w:rFonts w:ascii="宋体" w:hAnsi="宋体"/>
                <w:b/>
                <w:sz w:val="24"/>
                <w:szCs w:val="24"/>
              </w:rPr>
              <w:t>2</w:t>
            </w:r>
            <w:r>
              <w:rPr>
                <w:rFonts w:hint="eastAsia" w:ascii="宋体" w:hAnsi="宋体"/>
                <w:b/>
                <w:sz w:val="24"/>
                <w:szCs w:val="24"/>
              </w:rPr>
              <w:t>年</w:t>
            </w:r>
            <w:r>
              <w:rPr>
                <w:rFonts w:ascii="宋体" w:hAnsi="宋体"/>
                <w:b/>
                <w:sz w:val="24"/>
                <w:szCs w:val="24"/>
              </w:rPr>
              <w:t xml:space="preserve"> </w:t>
            </w:r>
            <w:r>
              <w:rPr>
                <w:rFonts w:hint="eastAsia" w:ascii="宋体" w:hAnsi="宋体"/>
                <w:b/>
                <w:sz w:val="24"/>
                <w:szCs w:val="24"/>
              </w:rPr>
              <w:t>月    日</w:t>
            </w:r>
          </w:p>
        </w:tc>
        <w:tc>
          <w:tcPr>
            <w:tcW w:w="2107" w:type="dxa"/>
          </w:tcPr>
          <w:p>
            <w:pPr>
              <w:spacing w:line="360" w:lineRule="auto"/>
              <w:rPr>
                <w:rFonts w:ascii="宋体" w:hAnsi="宋体"/>
                <w:sz w:val="24"/>
                <w:szCs w:val="24"/>
              </w:rPr>
            </w:pPr>
          </w:p>
        </w:tc>
        <w:tc>
          <w:tcPr>
            <w:tcW w:w="2544" w:type="dxa"/>
          </w:tcPr>
          <w:p>
            <w:pPr>
              <w:spacing w:line="360" w:lineRule="auto"/>
              <w:rPr>
                <w:rFonts w:ascii="宋体" w:hAnsi="宋体"/>
                <w:sz w:val="24"/>
                <w:szCs w:val="24"/>
              </w:rPr>
            </w:pPr>
          </w:p>
        </w:tc>
      </w:tr>
    </w:tbl>
    <w:p>
      <w:pPr>
        <w:autoSpaceDE w:val="0"/>
        <w:autoSpaceDN w:val="0"/>
        <w:spacing w:line="360" w:lineRule="auto"/>
        <w:rPr>
          <w:rFonts w:ascii="宋体" w:hAnsi="宋体"/>
          <w:spacing w:val="-4"/>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Heiti SC Light">
    <w:altName w:val="Microsoft YaHei UI Light"/>
    <w:panose1 w:val="00000000000000000000"/>
    <w:charset w:val="50"/>
    <w:family w:val="auto"/>
    <w:pitch w:val="default"/>
    <w:sig w:usb0="00000000" w:usb1="00000000" w:usb2="00000000" w:usb3="00000000" w:csb0="203E0000" w:csb1="00000000"/>
  </w:font>
  <w:font w:name="Microsoft YaHei UI Light">
    <w:panose1 w:val="020B0502040204020203"/>
    <w:charset w:val="86"/>
    <w:family w:val="auto"/>
    <w:pitch w:val="default"/>
    <w:sig w:usb0="80000287" w:usb1="2ACF0010" w:usb2="00000016" w:usb3="00000000" w:csb0="0004001F" w:csb1="00000000"/>
  </w:font>
  <w:font w:name="Courier">
    <w:altName w:val="Courier New"/>
    <w:panose1 w:val="02070409020205020404"/>
    <w:charset w:val="00"/>
    <w:family w:val="modern"/>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4097127"/>
    </w:sdtPr>
    <w:sdtContent>
      <w:sdt>
        <w:sdtPr>
          <w:id w:val="2"/>
        </w:sdtPr>
        <w:sdtContent>
          <w:p>
            <w:pPr>
              <w:pStyle w:val="3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firstLine="36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471458"/>
    <w:multiLevelType w:val="singleLevel"/>
    <w:tmpl w:val="9F471458"/>
    <w:lvl w:ilvl="0" w:tentative="0">
      <w:start w:val="5"/>
      <w:numFmt w:val="chineseCounting"/>
      <w:suff w:val="nothing"/>
      <w:lvlText w:val="%1、"/>
      <w:lvlJc w:val="left"/>
      <w:rPr>
        <w:rFonts w:hint="eastAsia"/>
      </w:rPr>
    </w:lvl>
  </w:abstractNum>
  <w:abstractNum w:abstractNumId="1">
    <w:nsid w:val="A07FAAEC"/>
    <w:multiLevelType w:val="singleLevel"/>
    <w:tmpl w:val="A07FAAEC"/>
    <w:lvl w:ilvl="0" w:tentative="0">
      <w:start w:val="1"/>
      <w:numFmt w:val="decimal"/>
      <w:suff w:val="nothing"/>
      <w:lvlText w:val="%1、"/>
      <w:lvlJc w:val="left"/>
    </w:lvl>
  </w:abstractNum>
  <w:abstractNum w:abstractNumId="2">
    <w:nsid w:val="A80E7A47"/>
    <w:multiLevelType w:val="singleLevel"/>
    <w:tmpl w:val="A80E7A47"/>
    <w:lvl w:ilvl="0" w:tentative="0">
      <w:start w:val="1"/>
      <w:numFmt w:val="decimal"/>
      <w:suff w:val="nothing"/>
      <w:lvlText w:val="%1、"/>
      <w:lvlJc w:val="left"/>
    </w:lvl>
  </w:abstractNum>
  <w:abstractNum w:abstractNumId="3">
    <w:nsid w:val="E5376821"/>
    <w:multiLevelType w:val="singleLevel"/>
    <w:tmpl w:val="E5376821"/>
    <w:lvl w:ilvl="0" w:tentative="0">
      <w:start w:val="2"/>
      <w:numFmt w:val="decimal"/>
      <w:suff w:val="nothing"/>
      <w:lvlText w:val="（%1）"/>
      <w:lvlJc w:val="left"/>
    </w:lvl>
  </w:abstractNum>
  <w:abstractNum w:abstractNumId="4">
    <w:nsid w:val="0ABA1C75"/>
    <w:multiLevelType w:val="singleLevel"/>
    <w:tmpl w:val="0ABA1C75"/>
    <w:lvl w:ilvl="0" w:tentative="0">
      <w:start w:val="2"/>
      <w:numFmt w:val="chineseCounting"/>
      <w:suff w:val="nothing"/>
      <w:lvlText w:val="（%1）"/>
      <w:lvlJc w:val="left"/>
      <w:rPr>
        <w:rFonts w:hint="eastAsia"/>
      </w:rPr>
    </w:lvl>
  </w:abstractNum>
  <w:abstractNum w:abstractNumId="5">
    <w:nsid w:val="11F1775D"/>
    <w:multiLevelType w:val="multilevel"/>
    <w:tmpl w:val="11F1775D"/>
    <w:lvl w:ilvl="0" w:tentative="0">
      <w:start w:val="1"/>
      <w:numFmt w:val="japaneseCounting"/>
      <w:lvlText w:val="%1、"/>
      <w:lvlJc w:val="left"/>
      <w:pPr>
        <w:ind w:left="1078" w:hanging="51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abstractNum w:abstractNumId="6">
    <w:nsid w:val="35024449"/>
    <w:multiLevelType w:val="multilevel"/>
    <w:tmpl w:val="3502444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0F907BD"/>
    <w:multiLevelType w:val="singleLevel"/>
    <w:tmpl w:val="40F907BD"/>
    <w:lvl w:ilvl="0" w:tentative="0">
      <w:start w:val="2"/>
      <w:numFmt w:val="chineseCounting"/>
      <w:suff w:val="nothing"/>
      <w:lvlText w:val="%1、"/>
      <w:lvlJc w:val="left"/>
      <w:rPr>
        <w:rFonts w:hint="eastAsia"/>
      </w:rPr>
    </w:lvl>
  </w:abstractNum>
  <w:abstractNum w:abstractNumId="8">
    <w:nsid w:val="43C650FB"/>
    <w:multiLevelType w:val="multilevel"/>
    <w:tmpl w:val="43C650FB"/>
    <w:lvl w:ilvl="0" w:tentative="0">
      <w:start w:val="1"/>
      <w:numFmt w:val="chineseCountingThousand"/>
      <w:lvlText w:val="第%1条"/>
      <w:lvlJc w:val="left"/>
      <w:pPr>
        <w:tabs>
          <w:tab w:val="left" w:pos="851"/>
        </w:tabs>
        <w:ind w:left="851" w:hanging="851"/>
      </w:pPr>
      <w:rPr>
        <w:rFonts w:hint="eastAsia"/>
        <w:lang w:val="en-US"/>
      </w:rPr>
    </w:lvl>
    <w:lvl w:ilvl="1" w:tentative="0">
      <w:start w:val="1"/>
      <w:numFmt w:val="decimal"/>
      <w:pStyle w:val="236"/>
      <w:isLgl/>
      <w:lvlText w:val="%1.%2"/>
      <w:lvlJc w:val="left"/>
      <w:pPr>
        <w:tabs>
          <w:tab w:val="left" w:pos="851"/>
        </w:tabs>
        <w:ind w:left="851" w:hanging="851"/>
      </w:pPr>
      <w:rPr>
        <w:rFonts w:hint="eastAsia"/>
      </w:rPr>
    </w:lvl>
    <w:lvl w:ilvl="2" w:tentative="0">
      <w:start w:val="1"/>
      <w:numFmt w:val="decimal"/>
      <w:isLgl/>
      <w:lvlText w:val="%1.%2.%3"/>
      <w:lvlJc w:val="left"/>
      <w:pPr>
        <w:tabs>
          <w:tab w:val="left" w:pos="2268"/>
        </w:tabs>
        <w:ind w:left="2268" w:hanging="1134"/>
      </w:pPr>
      <w:rPr>
        <w:rFonts w:hint="eastAsia"/>
      </w:rPr>
    </w:lvl>
    <w:lvl w:ilvl="3" w:tentative="0">
      <w:start w:val="1"/>
      <w:numFmt w:val="decimal"/>
      <w:lvlText w:val="(%4)"/>
      <w:lvlJc w:val="left"/>
      <w:pPr>
        <w:tabs>
          <w:tab w:val="left" w:pos="2552"/>
        </w:tabs>
        <w:ind w:left="2552" w:hanging="567"/>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
    <w:nsid w:val="47FC4869"/>
    <w:multiLevelType w:val="multilevel"/>
    <w:tmpl w:val="47FC4869"/>
    <w:lvl w:ilvl="0" w:tentative="0">
      <w:start w:val="1"/>
      <w:numFmt w:val="decimal"/>
      <w:lvlText w:val="%1."/>
      <w:lvlJc w:val="left"/>
      <w:pPr>
        <w:ind w:left="899" w:hanging="420"/>
      </w:pPr>
    </w:lvl>
    <w:lvl w:ilvl="1" w:tentative="0">
      <w:start w:val="1"/>
      <w:numFmt w:val="lowerLetter"/>
      <w:lvlText w:val="%2)"/>
      <w:lvlJc w:val="left"/>
      <w:pPr>
        <w:ind w:left="1319" w:hanging="420"/>
      </w:pPr>
    </w:lvl>
    <w:lvl w:ilvl="2" w:tentative="0">
      <w:start w:val="1"/>
      <w:numFmt w:val="lowerRoman"/>
      <w:lvlText w:val="%3."/>
      <w:lvlJc w:val="right"/>
      <w:pPr>
        <w:ind w:left="1739" w:hanging="420"/>
      </w:pPr>
    </w:lvl>
    <w:lvl w:ilvl="3" w:tentative="0">
      <w:start w:val="1"/>
      <w:numFmt w:val="decimal"/>
      <w:lvlText w:val="%4."/>
      <w:lvlJc w:val="left"/>
      <w:pPr>
        <w:ind w:left="2159" w:hanging="420"/>
      </w:pPr>
    </w:lvl>
    <w:lvl w:ilvl="4" w:tentative="0">
      <w:start w:val="1"/>
      <w:numFmt w:val="lowerLetter"/>
      <w:lvlText w:val="%5)"/>
      <w:lvlJc w:val="left"/>
      <w:pPr>
        <w:ind w:left="2579" w:hanging="420"/>
      </w:pPr>
    </w:lvl>
    <w:lvl w:ilvl="5" w:tentative="0">
      <w:start w:val="1"/>
      <w:numFmt w:val="lowerRoman"/>
      <w:lvlText w:val="%6."/>
      <w:lvlJc w:val="right"/>
      <w:pPr>
        <w:ind w:left="2999" w:hanging="420"/>
      </w:pPr>
    </w:lvl>
    <w:lvl w:ilvl="6" w:tentative="0">
      <w:start w:val="1"/>
      <w:numFmt w:val="decimal"/>
      <w:lvlText w:val="%7."/>
      <w:lvlJc w:val="left"/>
      <w:pPr>
        <w:ind w:left="3419" w:hanging="420"/>
      </w:pPr>
    </w:lvl>
    <w:lvl w:ilvl="7" w:tentative="0">
      <w:start w:val="1"/>
      <w:numFmt w:val="lowerLetter"/>
      <w:lvlText w:val="%8)"/>
      <w:lvlJc w:val="left"/>
      <w:pPr>
        <w:ind w:left="3839" w:hanging="420"/>
      </w:pPr>
    </w:lvl>
    <w:lvl w:ilvl="8" w:tentative="0">
      <w:start w:val="1"/>
      <w:numFmt w:val="lowerRoman"/>
      <w:lvlText w:val="%9."/>
      <w:lvlJc w:val="right"/>
      <w:pPr>
        <w:ind w:left="4259" w:hanging="420"/>
      </w:pPr>
    </w:lvl>
  </w:abstractNum>
  <w:abstractNum w:abstractNumId="10">
    <w:nsid w:val="5AD97318"/>
    <w:multiLevelType w:val="multilevel"/>
    <w:tmpl w:val="5AD97318"/>
    <w:lvl w:ilvl="0" w:tentative="0">
      <w:start w:val="1"/>
      <w:numFmt w:val="chineseCountingThousand"/>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5B4F332D"/>
    <w:multiLevelType w:val="multilevel"/>
    <w:tmpl w:val="5B4F332D"/>
    <w:lvl w:ilvl="0" w:tentative="0">
      <w:start w:val="1"/>
      <w:numFmt w:val="chineseCountingThousand"/>
      <w:lvlText w:val="%1、"/>
      <w:lvlJc w:val="left"/>
      <w:pPr>
        <w:ind w:left="900" w:hanging="420"/>
      </w:pPr>
      <w:rPr>
        <w:rFonts w:hint="eastAsia"/>
      </w:rPr>
    </w:lvl>
    <w:lvl w:ilvl="1" w:tentative="0">
      <w:start w:val="7"/>
      <w:numFmt w:val="japaneseCounting"/>
      <w:lvlText w:val="%2、"/>
      <w:lvlJc w:val="left"/>
      <w:pPr>
        <w:ind w:left="1380" w:hanging="48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8"/>
  </w:num>
  <w:num w:numId="2">
    <w:abstractNumId w:val="6"/>
  </w:num>
  <w:num w:numId="3">
    <w:abstractNumId w:val="7"/>
  </w:num>
  <w:num w:numId="4">
    <w:abstractNumId w:val="0"/>
  </w:num>
  <w:num w:numId="5">
    <w:abstractNumId w:val="1"/>
  </w:num>
  <w:num w:numId="6">
    <w:abstractNumId w:val="10"/>
  </w:num>
  <w:num w:numId="7">
    <w:abstractNumId w:val="2"/>
  </w:num>
  <w:num w:numId="8">
    <w:abstractNumId w:val="5"/>
  </w:num>
  <w:num w:numId="9">
    <w:abstractNumId w:val="11"/>
  </w:num>
  <w:num w:numId="10">
    <w:abstractNumId w:val="9"/>
  </w:num>
  <w:num w:numId="11">
    <w:abstractNumId w:val="4"/>
  </w:num>
  <w:num w:numId="12">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ittle v">
    <w15:presenceInfo w15:providerId="WPS Office" w15:userId="6170712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3033"/>
    <w:rsid w:val="000216E2"/>
    <w:rsid w:val="00034BAB"/>
    <w:rsid w:val="00043044"/>
    <w:rsid w:val="00053EDD"/>
    <w:rsid w:val="000A357A"/>
    <w:rsid w:val="000B0F6B"/>
    <w:rsid w:val="000C5AD8"/>
    <w:rsid w:val="000D136E"/>
    <w:rsid w:val="000E0D88"/>
    <w:rsid w:val="000F043F"/>
    <w:rsid w:val="000F6F66"/>
    <w:rsid w:val="001669D4"/>
    <w:rsid w:val="00172A27"/>
    <w:rsid w:val="0017576E"/>
    <w:rsid w:val="001A5692"/>
    <w:rsid w:val="001A5C24"/>
    <w:rsid w:val="001B5007"/>
    <w:rsid w:val="001B66FA"/>
    <w:rsid w:val="001F08B4"/>
    <w:rsid w:val="001F2DD1"/>
    <w:rsid w:val="00200523"/>
    <w:rsid w:val="00205320"/>
    <w:rsid w:val="00227BD1"/>
    <w:rsid w:val="00241DDB"/>
    <w:rsid w:val="00243419"/>
    <w:rsid w:val="00245448"/>
    <w:rsid w:val="00260BA7"/>
    <w:rsid w:val="0027705F"/>
    <w:rsid w:val="002A18B6"/>
    <w:rsid w:val="002D695C"/>
    <w:rsid w:val="002F43AE"/>
    <w:rsid w:val="002F4E2A"/>
    <w:rsid w:val="00314208"/>
    <w:rsid w:val="0031446C"/>
    <w:rsid w:val="0032322D"/>
    <w:rsid w:val="00355952"/>
    <w:rsid w:val="003611EC"/>
    <w:rsid w:val="00364EBD"/>
    <w:rsid w:val="00395243"/>
    <w:rsid w:val="003A2EA1"/>
    <w:rsid w:val="003B0D8F"/>
    <w:rsid w:val="003C7FA6"/>
    <w:rsid w:val="003D311D"/>
    <w:rsid w:val="003D3273"/>
    <w:rsid w:val="003D3838"/>
    <w:rsid w:val="003D5D5E"/>
    <w:rsid w:val="003E413C"/>
    <w:rsid w:val="003F3AD7"/>
    <w:rsid w:val="003F5107"/>
    <w:rsid w:val="004346F0"/>
    <w:rsid w:val="004428BD"/>
    <w:rsid w:val="004749C9"/>
    <w:rsid w:val="00477C8C"/>
    <w:rsid w:val="00485A5D"/>
    <w:rsid w:val="004A6675"/>
    <w:rsid w:val="004D4ED9"/>
    <w:rsid w:val="004F33C7"/>
    <w:rsid w:val="004F5608"/>
    <w:rsid w:val="00515C27"/>
    <w:rsid w:val="0052618B"/>
    <w:rsid w:val="00540211"/>
    <w:rsid w:val="0054080E"/>
    <w:rsid w:val="00561D56"/>
    <w:rsid w:val="005A4927"/>
    <w:rsid w:val="005C2DE9"/>
    <w:rsid w:val="005C52DC"/>
    <w:rsid w:val="005D2633"/>
    <w:rsid w:val="005D581F"/>
    <w:rsid w:val="00600660"/>
    <w:rsid w:val="00604F1C"/>
    <w:rsid w:val="006102A3"/>
    <w:rsid w:val="006157E7"/>
    <w:rsid w:val="006165F0"/>
    <w:rsid w:val="006216E2"/>
    <w:rsid w:val="00635539"/>
    <w:rsid w:val="00650E5B"/>
    <w:rsid w:val="0066284B"/>
    <w:rsid w:val="00665CBF"/>
    <w:rsid w:val="0068462A"/>
    <w:rsid w:val="006A3098"/>
    <w:rsid w:val="006A6D8A"/>
    <w:rsid w:val="006B4F07"/>
    <w:rsid w:val="006C22D0"/>
    <w:rsid w:val="006D57DA"/>
    <w:rsid w:val="006D799B"/>
    <w:rsid w:val="006E4C9B"/>
    <w:rsid w:val="007121E7"/>
    <w:rsid w:val="00713687"/>
    <w:rsid w:val="00723527"/>
    <w:rsid w:val="00780646"/>
    <w:rsid w:val="0078269A"/>
    <w:rsid w:val="007A0D0F"/>
    <w:rsid w:val="007B6BCD"/>
    <w:rsid w:val="007C21A6"/>
    <w:rsid w:val="007F7BEA"/>
    <w:rsid w:val="008102F1"/>
    <w:rsid w:val="00835DDE"/>
    <w:rsid w:val="008379CB"/>
    <w:rsid w:val="00840F8F"/>
    <w:rsid w:val="00847462"/>
    <w:rsid w:val="00860E60"/>
    <w:rsid w:val="0086448D"/>
    <w:rsid w:val="00867D2C"/>
    <w:rsid w:val="00872158"/>
    <w:rsid w:val="0088729E"/>
    <w:rsid w:val="00893B3C"/>
    <w:rsid w:val="008A0C92"/>
    <w:rsid w:val="008A3461"/>
    <w:rsid w:val="008E0588"/>
    <w:rsid w:val="008E3A3C"/>
    <w:rsid w:val="008F016E"/>
    <w:rsid w:val="00901D63"/>
    <w:rsid w:val="00921B52"/>
    <w:rsid w:val="00944AA2"/>
    <w:rsid w:val="00945032"/>
    <w:rsid w:val="009526AD"/>
    <w:rsid w:val="00970C9B"/>
    <w:rsid w:val="009757D9"/>
    <w:rsid w:val="00980999"/>
    <w:rsid w:val="00983D59"/>
    <w:rsid w:val="00984021"/>
    <w:rsid w:val="00991392"/>
    <w:rsid w:val="00993A89"/>
    <w:rsid w:val="009A150C"/>
    <w:rsid w:val="009A4BE6"/>
    <w:rsid w:val="009A4F58"/>
    <w:rsid w:val="009B1971"/>
    <w:rsid w:val="009E041F"/>
    <w:rsid w:val="009F3DE7"/>
    <w:rsid w:val="009F7903"/>
    <w:rsid w:val="00A00743"/>
    <w:rsid w:val="00A1458E"/>
    <w:rsid w:val="00A17B34"/>
    <w:rsid w:val="00A35D18"/>
    <w:rsid w:val="00A36907"/>
    <w:rsid w:val="00A62657"/>
    <w:rsid w:val="00A71890"/>
    <w:rsid w:val="00A90CFD"/>
    <w:rsid w:val="00AA1058"/>
    <w:rsid w:val="00AB1BF6"/>
    <w:rsid w:val="00AB53FB"/>
    <w:rsid w:val="00AC38F6"/>
    <w:rsid w:val="00AF4CFC"/>
    <w:rsid w:val="00B05A60"/>
    <w:rsid w:val="00B1744C"/>
    <w:rsid w:val="00B25685"/>
    <w:rsid w:val="00B25C1C"/>
    <w:rsid w:val="00B366AF"/>
    <w:rsid w:val="00B56D51"/>
    <w:rsid w:val="00B6529A"/>
    <w:rsid w:val="00B66207"/>
    <w:rsid w:val="00B66C82"/>
    <w:rsid w:val="00B95F6B"/>
    <w:rsid w:val="00BA0345"/>
    <w:rsid w:val="00BA0FEA"/>
    <w:rsid w:val="00BA1A6F"/>
    <w:rsid w:val="00BA4E13"/>
    <w:rsid w:val="00BD1A23"/>
    <w:rsid w:val="00BD2D63"/>
    <w:rsid w:val="00BD2DFE"/>
    <w:rsid w:val="00BD5470"/>
    <w:rsid w:val="00BE0C22"/>
    <w:rsid w:val="00BF5ABA"/>
    <w:rsid w:val="00C022F9"/>
    <w:rsid w:val="00C10B9B"/>
    <w:rsid w:val="00C11B43"/>
    <w:rsid w:val="00C12F62"/>
    <w:rsid w:val="00C15994"/>
    <w:rsid w:val="00C45219"/>
    <w:rsid w:val="00C608DC"/>
    <w:rsid w:val="00C60A99"/>
    <w:rsid w:val="00C657F9"/>
    <w:rsid w:val="00C65A28"/>
    <w:rsid w:val="00C95A82"/>
    <w:rsid w:val="00CA2076"/>
    <w:rsid w:val="00CA3563"/>
    <w:rsid w:val="00CC5AFA"/>
    <w:rsid w:val="00CD7EA4"/>
    <w:rsid w:val="00CE513F"/>
    <w:rsid w:val="00CF3C35"/>
    <w:rsid w:val="00CF71EF"/>
    <w:rsid w:val="00D02321"/>
    <w:rsid w:val="00D27EE5"/>
    <w:rsid w:val="00D3303F"/>
    <w:rsid w:val="00D3660E"/>
    <w:rsid w:val="00D41585"/>
    <w:rsid w:val="00D8111B"/>
    <w:rsid w:val="00D811F5"/>
    <w:rsid w:val="00D858B4"/>
    <w:rsid w:val="00DA2D34"/>
    <w:rsid w:val="00DB27BA"/>
    <w:rsid w:val="00DF6E97"/>
    <w:rsid w:val="00E05C75"/>
    <w:rsid w:val="00E245C9"/>
    <w:rsid w:val="00E30384"/>
    <w:rsid w:val="00E35DED"/>
    <w:rsid w:val="00E54055"/>
    <w:rsid w:val="00E5414C"/>
    <w:rsid w:val="00E673FC"/>
    <w:rsid w:val="00E70ADB"/>
    <w:rsid w:val="00E87D3A"/>
    <w:rsid w:val="00EA1E93"/>
    <w:rsid w:val="00EB6311"/>
    <w:rsid w:val="00ED41DE"/>
    <w:rsid w:val="00EE39CE"/>
    <w:rsid w:val="00EE5554"/>
    <w:rsid w:val="00EE7BA2"/>
    <w:rsid w:val="00F2777F"/>
    <w:rsid w:val="00F537D3"/>
    <w:rsid w:val="00F724D2"/>
    <w:rsid w:val="00F81AFB"/>
    <w:rsid w:val="00F94D03"/>
    <w:rsid w:val="00FC7DAF"/>
    <w:rsid w:val="00FD4D8F"/>
    <w:rsid w:val="00FD4E62"/>
    <w:rsid w:val="011F53DC"/>
    <w:rsid w:val="0160576D"/>
    <w:rsid w:val="016729E7"/>
    <w:rsid w:val="01B851DF"/>
    <w:rsid w:val="01CF22B0"/>
    <w:rsid w:val="01D92217"/>
    <w:rsid w:val="02287A18"/>
    <w:rsid w:val="02B73E03"/>
    <w:rsid w:val="032E4D47"/>
    <w:rsid w:val="03895E19"/>
    <w:rsid w:val="0406204A"/>
    <w:rsid w:val="04064163"/>
    <w:rsid w:val="0543291C"/>
    <w:rsid w:val="05590B54"/>
    <w:rsid w:val="057F05BD"/>
    <w:rsid w:val="065A3F7A"/>
    <w:rsid w:val="068421C8"/>
    <w:rsid w:val="06DD7D89"/>
    <w:rsid w:val="073A38EF"/>
    <w:rsid w:val="07731F5F"/>
    <w:rsid w:val="07811B90"/>
    <w:rsid w:val="07841B34"/>
    <w:rsid w:val="082B5628"/>
    <w:rsid w:val="08616165"/>
    <w:rsid w:val="0889420E"/>
    <w:rsid w:val="08A80FE4"/>
    <w:rsid w:val="08F33B1E"/>
    <w:rsid w:val="09302C8E"/>
    <w:rsid w:val="0A083F26"/>
    <w:rsid w:val="0A2C15E1"/>
    <w:rsid w:val="0A5F1A8C"/>
    <w:rsid w:val="0B7B6401"/>
    <w:rsid w:val="0C224DD1"/>
    <w:rsid w:val="0C335623"/>
    <w:rsid w:val="0C4607A0"/>
    <w:rsid w:val="0D841421"/>
    <w:rsid w:val="0D84767A"/>
    <w:rsid w:val="0E53500F"/>
    <w:rsid w:val="0E6A0F40"/>
    <w:rsid w:val="0EB425E7"/>
    <w:rsid w:val="0EB672B2"/>
    <w:rsid w:val="0F00642C"/>
    <w:rsid w:val="0F1F177E"/>
    <w:rsid w:val="0F503C2D"/>
    <w:rsid w:val="10354394"/>
    <w:rsid w:val="113B7241"/>
    <w:rsid w:val="11524677"/>
    <w:rsid w:val="116154F9"/>
    <w:rsid w:val="11977352"/>
    <w:rsid w:val="11AB3E0C"/>
    <w:rsid w:val="11D1575A"/>
    <w:rsid w:val="11EA4B82"/>
    <w:rsid w:val="123350D7"/>
    <w:rsid w:val="12CA1F6A"/>
    <w:rsid w:val="134E0C3A"/>
    <w:rsid w:val="138575A9"/>
    <w:rsid w:val="13B15654"/>
    <w:rsid w:val="142775FE"/>
    <w:rsid w:val="14857B45"/>
    <w:rsid w:val="153D3EA6"/>
    <w:rsid w:val="154148ED"/>
    <w:rsid w:val="15663B2B"/>
    <w:rsid w:val="16443415"/>
    <w:rsid w:val="167378DE"/>
    <w:rsid w:val="168226EA"/>
    <w:rsid w:val="16C624EA"/>
    <w:rsid w:val="17992D80"/>
    <w:rsid w:val="17C80E13"/>
    <w:rsid w:val="180F4423"/>
    <w:rsid w:val="18336B09"/>
    <w:rsid w:val="187377D0"/>
    <w:rsid w:val="187D53EA"/>
    <w:rsid w:val="1892E405"/>
    <w:rsid w:val="19391719"/>
    <w:rsid w:val="19492209"/>
    <w:rsid w:val="19846B6B"/>
    <w:rsid w:val="198C19F9"/>
    <w:rsid w:val="19AC22AE"/>
    <w:rsid w:val="19B0563A"/>
    <w:rsid w:val="19C31ED3"/>
    <w:rsid w:val="19C9185E"/>
    <w:rsid w:val="1A834809"/>
    <w:rsid w:val="1AE74234"/>
    <w:rsid w:val="1B80312D"/>
    <w:rsid w:val="1B890579"/>
    <w:rsid w:val="1C105D34"/>
    <w:rsid w:val="1C4A27F6"/>
    <w:rsid w:val="1C7170B7"/>
    <w:rsid w:val="1C8F595E"/>
    <w:rsid w:val="1CE4068B"/>
    <w:rsid w:val="1CE94904"/>
    <w:rsid w:val="1CF72515"/>
    <w:rsid w:val="1D057D11"/>
    <w:rsid w:val="1D1F2F14"/>
    <w:rsid w:val="1D4D111F"/>
    <w:rsid w:val="1D8A4831"/>
    <w:rsid w:val="1D9B2613"/>
    <w:rsid w:val="1DC47E64"/>
    <w:rsid w:val="1DE56E33"/>
    <w:rsid w:val="1E814254"/>
    <w:rsid w:val="1E9062B3"/>
    <w:rsid w:val="1EBB4B79"/>
    <w:rsid w:val="1EFE2D8D"/>
    <w:rsid w:val="1F040F29"/>
    <w:rsid w:val="1F5F5687"/>
    <w:rsid w:val="20994E4B"/>
    <w:rsid w:val="209C728D"/>
    <w:rsid w:val="20AC1A4B"/>
    <w:rsid w:val="20B93720"/>
    <w:rsid w:val="20DB35A2"/>
    <w:rsid w:val="21194658"/>
    <w:rsid w:val="218A1494"/>
    <w:rsid w:val="219B416B"/>
    <w:rsid w:val="21A627A6"/>
    <w:rsid w:val="21D8405F"/>
    <w:rsid w:val="223236E9"/>
    <w:rsid w:val="22AF6AE8"/>
    <w:rsid w:val="23212A2B"/>
    <w:rsid w:val="23BE3486"/>
    <w:rsid w:val="243B61F5"/>
    <w:rsid w:val="247578DE"/>
    <w:rsid w:val="24A84414"/>
    <w:rsid w:val="24F7388C"/>
    <w:rsid w:val="254909EB"/>
    <w:rsid w:val="25592D3B"/>
    <w:rsid w:val="25654EF0"/>
    <w:rsid w:val="256C6A29"/>
    <w:rsid w:val="263E1331"/>
    <w:rsid w:val="2672343A"/>
    <w:rsid w:val="26B91CE3"/>
    <w:rsid w:val="26DF6A52"/>
    <w:rsid w:val="26E125E4"/>
    <w:rsid w:val="27094626"/>
    <w:rsid w:val="270F1532"/>
    <w:rsid w:val="27D441DE"/>
    <w:rsid w:val="282A0500"/>
    <w:rsid w:val="284F23DA"/>
    <w:rsid w:val="28511B1E"/>
    <w:rsid w:val="2897327F"/>
    <w:rsid w:val="28AA6B98"/>
    <w:rsid w:val="28C508E0"/>
    <w:rsid w:val="28FF7D52"/>
    <w:rsid w:val="292B28EB"/>
    <w:rsid w:val="293B7259"/>
    <w:rsid w:val="294670FF"/>
    <w:rsid w:val="299212DE"/>
    <w:rsid w:val="29B96FF4"/>
    <w:rsid w:val="29C03D90"/>
    <w:rsid w:val="29D63FFC"/>
    <w:rsid w:val="2A81244C"/>
    <w:rsid w:val="2A86581E"/>
    <w:rsid w:val="2AC737E4"/>
    <w:rsid w:val="2AE17281"/>
    <w:rsid w:val="2B2D41DB"/>
    <w:rsid w:val="2B7842EA"/>
    <w:rsid w:val="2BB76757"/>
    <w:rsid w:val="2BC6617C"/>
    <w:rsid w:val="2C1E78EF"/>
    <w:rsid w:val="2CBF3847"/>
    <w:rsid w:val="2CE1B07E"/>
    <w:rsid w:val="2D5269E7"/>
    <w:rsid w:val="2D5D0F3D"/>
    <w:rsid w:val="2D7A5530"/>
    <w:rsid w:val="2E8F0FD2"/>
    <w:rsid w:val="2EA30AC8"/>
    <w:rsid w:val="2EEE484B"/>
    <w:rsid w:val="2EF733E4"/>
    <w:rsid w:val="2F1165C0"/>
    <w:rsid w:val="30063319"/>
    <w:rsid w:val="3052778A"/>
    <w:rsid w:val="306E0644"/>
    <w:rsid w:val="31694F6D"/>
    <w:rsid w:val="323D2BEE"/>
    <w:rsid w:val="33A01BF2"/>
    <w:rsid w:val="33A167CB"/>
    <w:rsid w:val="33B643A0"/>
    <w:rsid w:val="341B1908"/>
    <w:rsid w:val="348376D6"/>
    <w:rsid w:val="34D269F4"/>
    <w:rsid w:val="35291AC6"/>
    <w:rsid w:val="352D3822"/>
    <w:rsid w:val="353664A9"/>
    <w:rsid w:val="35945E98"/>
    <w:rsid w:val="35B20725"/>
    <w:rsid w:val="3638050E"/>
    <w:rsid w:val="366D1437"/>
    <w:rsid w:val="368051C0"/>
    <w:rsid w:val="36A9323B"/>
    <w:rsid w:val="36D2307F"/>
    <w:rsid w:val="371049C3"/>
    <w:rsid w:val="371C0405"/>
    <w:rsid w:val="381F574B"/>
    <w:rsid w:val="3862000E"/>
    <w:rsid w:val="38635A90"/>
    <w:rsid w:val="38B63592"/>
    <w:rsid w:val="394C5A0D"/>
    <w:rsid w:val="39535E3F"/>
    <w:rsid w:val="398029E4"/>
    <w:rsid w:val="39A86127"/>
    <w:rsid w:val="3A1E03A8"/>
    <w:rsid w:val="3A3E446C"/>
    <w:rsid w:val="3ADF6AA3"/>
    <w:rsid w:val="3AF06934"/>
    <w:rsid w:val="3BAA0D70"/>
    <w:rsid w:val="3C125DD4"/>
    <w:rsid w:val="3C99647A"/>
    <w:rsid w:val="3CA01523"/>
    <w:rsid w:val="3CF06E89"/>
    <w:rsid w:val="3CF63DDE"/>
    <w:rsid w:val="3D6C412C"/>
    <w:rsid w:val="3D851650"/>
    <w:rsid w:val="3DB977AE"/>
    <w:rsid w:val="3DE33BDC"/>
    <w:rsid w:val="3E374C21"/>
    <w:rsid w:val="3EAF7DE0"/>
    <w:rsid w:val="3EB62226"/>
    <w:rsid w:val="3FBB7192"/>
    <w:rsid w:val="3FFB2624"/>
    <w:rsid w:val="3FFF7D64"/>
    <w:rsid w:val="41016908"/>
    <w:rsid w:val="41224BA2"/>
    <w:rsid w:val="413D1A37"/>
    <w:rsid w:val="41995854"/>
    <w:rsid w:val="41B822C3"/>
    <w:rsid w:val="429A778F"/>
    <w:rsid w:val="434268E8"/>
    <w:rsid w:val="44316F05"/>
    <w:rsid w:val="449255AF"/>
    <w:rsid w:val="44C42895"/>
    <w:rsid w:val="45392BCE"/>
    <w:rsid w:val="454F3145"/>
    <w:rsid w:val="45505F8C"/>
    <w:rsid w:val="45901792"/>
    <w:rsid w:val="45AF3EB4"/>
    <w:rsid w:val="45B52AE9"/>
    <w:rsid w:val="45D27B72"/>
    <w:rsid w:val="462D2C14"/>
    <w:rsid w:val="468C2B4D"/>
    <w:rsid w:val="4706715A"/>
    <w:rsid w:val="47141BE2"/>
    <w:rsid w:val="47926311"/>
    <w:rsid w:val="47DB39F7"/>
    <w:rsid w:val="47F17E95"/>
    <w:rsid w:val="482C1C3C"/>
    <w:rsid w:val="482E7CFA"/>
    <w:rsid w:val="483025F1"/>
    <w:rsid w:val="48A74206"/>
    <w:rsid w:val="493E00E4"/>
    <w:rsid w:val="49A14359"/>
    <w:rsid w:val="49DB6B60"/>
    <w:rsid w:val="4A4059B5"/>
    <w:rsid w:val="4B2705A4"/>
    <w:rsid w:val="4CB919EE"/>
    <w:rsid w:val="4CC93A0F"/>
    <w:rsid w:val="4D35482C"/>
    <w:rsid w:val="4D383F40"/>
    <w:rsid w:val="4D41569F"/>
    <w:rsid w:val="4D41759F"/>
    <w:rsid w:val="4DA57729"/>
    <w:rsid w:val="4DCF7B29"/>
    <w:rsid w:val="4E036E8C"/>
    <w:rsid w:val="4E2B3DA5"/>
    <w:rsid w:val="4E4B4F9B"/>
    <w:rsid w:val="4E4D5C5F"/>
    <w:rsid w:val="4E4F1509"/>
    <w:rsid w:val="4E5D4B95"/>
    <w:rsid w:val="4E8B461E"/>
    <w:rsid w:val="4E8B5AEB"/>
    <w:rsid w:val="4ECC6A24"/>
    <w:rsid w:val="4EEC6E09"/>
    <w:rsid w:val="4F9F5383"/>
    <w:rsid w:val="4FE21920"/>
    <w:rsid w:val="4FF62C75"/>
    <w:rsid w:val="50246C51"/>
    <w:rsid w:val="50B64B03"/>
    <w:rsid w:val="51394DBE"/>
    <w:rsid w:val="513E53EB"/>
    <w:rsid w:val="51916A14"/>
    <w:rsid w:val="51FF0996"/>
    <w:rsid w:val="5202754E"/>
    <w:rsid w:val="52CD6993"/>
    <w:rsid w:val="53046F36"/>
    <w:rsid w:val="53C848CE"/>
    <w:rsid w:val="54B05D00"/>
    <w:rsid w:val="551240F7"/>
    <w:rsid w:val="552C2ED2"/>
    <w:rsid w:val="55307107"/>
    <w:rsid w:val="5565188F"/>
    <w:rsid w:val="55F96668"/>
    <w:rsid w:val="564A221E"/>
    <w:rsid w:val="568B1FD0"/>
    <w:rsid w:val="56B91027"/>
    <w:rsid w:val="56FF3BC2"/>
    <w:rsid w:val="572D6B03"/>
    <w:rsid w:val="57480577"/>
    <w:rsid w:val="576C2ED7"/>
    <w:rsid w:val="57791BEB"/>
    <w:rsid w:val="579447BF"/>
    <w:rsid w:val="57BD2100"/>
    <w:rsid w:val="57E802A9"/>
    <w:rsid w:val="58350237"/>
    <w:rsid w:val="58771D8E"/>
    <w:rsid w:val="59232722"/>
    <w:rsid w:val="595D5C47"/>
    <w:rsid w:val="5A591AAE"/>
    <w:rsid w:val="5A6A5B04"/>
    <w:rsid w:val="5A8B15BD"/>
    <w:rsid w:val="5AB47BDF"/>
    <w:rsid w:val="5AF6727A"/>
    <w:rsid w:val="5B147DF5"/>
    <w:rsid w:val="5B813AB0"/>
    <w:rsid w:val="5B817E1A"/>
    <w:rsid w:val="5B9E076B"/>
    <w:rsid w:val="5BAA01D6"/>
    <w:rsid w:val="5BDC0D8A"/>
    <w:rsid w:val="5C4E7981"/>
    <w:rsid w:val="5D25603C"/>
    <w:rsid w:val="5D2E11ED"/>
    <w:rsid w:val="5D335675"/>
    <w:rsid w:val="5D801A07"/>
    <w:rsid w:val="5E1143D8"/>
    <w:rsid w:val="5E42472B"/>
    <w:rsid w:val="5E5D76E0"/>
    <w:rsid w:val="5EDD1D0C"/>
    <w:rsid w:val="5F113D49"/>
    <w:rsid w:val="5F3A7F20"/>
    <w:rsid w:val="5F7D2E3A"/>
    <w:rsid w:val="5F7F7B41"/>
    <w:rsid w:val="5FBED4DA"/>
    <w:rsid w:val="5FE845C0"/>
    <w:rsid w:val="5FFE7D6C"/>
    <w:rsid w:val="61E35D28"/>
    <w:rsid w:val="62253C96"/>
    <w:rsid w:val="62A62707"/>
    <w:rsid w:val="62B17737"/>
    <w:rsid w:val="62C45016"/>
    <w:rsid w:val="63436BE9"/>
    <w:rsid w:val="63676BA3"/>
    <w:rsid w:val="63895D01"/>
    <w:rsid w:val="63BA3414"/>
    <w:rsid w:val="63BC515B"/>
    <w:rsid w:val="63EA4EE5"/>
    <w:rsid w:val="64053424"/>
    <w:rsid w:val="645D3FE6"/>
    <w:rsid w:val="64867B56"/>
    <w:rsid w:val="64A43FD3"/>
    <w:rsid w:val="665011EC"/>
    <w:rsid w:val="665E12BC"/>
    <w:rsid w:val="66AB23FE"/>
    <w:rsid w:val="67BF1BD1"/>
    <w:rsid w:val="68400296"/>
    <w:rsid w:val="68567630"/>
    <w:rsid w:val="68A529B7"/>
    <w:rsid w:val="68B17459"/>
    <w:rsid w:val="68B46056"/>
    <w:rsid w:val="69017681"/>
    <w:rsid w:val="693C24B3"/>
    <w:rsid w:val="6A04144C"/>
    <w:rsid w:val="6A1A02B8"/>
    <w:rsid w:val="6A541EFF"/>
    <w:rsid w:val="6ACB3BF9"/>
    <w:rsid w:val="6B1D6E7E"/>
    <w:rsid w:val="6BD35BF3"/>
    <w:rsid w:val="6BEE3769"/>
    <w:rsid w:val="6C955CB1"/>
    <w:rsid w:val="6D6628EE"/>
    <w:rsid w:val="6DA97D78"/>
    <w:rsid w:val="6DEFA775"/>
    <w:rsid w:val="6DFE5FFB"/>
    <w:rsid w:val="6E085B93"/>
    <w:rsid w:val="6E1F2086"/>
    <w:rsid w:val="6F35384A"/>
    <w:rsid w:val="6FBD7C19"/>
    <w:rsid w:val="6FF420B8"/>
    <w:rsid w:val="70165BBC"/>
    <w:rsid w:val="70553D01"/>
    <w:rsid w:val="70B07113"/>
    <w:rsid w:val="70D34129"/>
    <w:rsid w:val="71FF3C8D"/>
    <w:rsid w:val="72F861A3"/>
    <w:rsid w:val="737E50D1"/>
    <w:rsid w:val="739F31D8"/>
    <w:rsid w:val="73AA230D"/>
    <w:rsid w:val="73E379C8"/>
    <w:rsid w:val="74B23A90"/>
    <w:rsid w:val="74CE55B2"/>
    <w:rsid w:val="74F3CBC9"/>
    <w:rsid w:val="7509538E"/>
    <w:rsid w:val="75202E8F"/>
    <w:rsid w:val="75377DCD"/>
    <w:rsid w:val="753B598B"/>
    <w:rsid w:val="75844465"/>
    <w:rsid w:val="758B595C"/>
    <w:rsid w:val="75DF705D"/>
    <w:rsid w:val="75E64D79"/>
    <w:rsid w:val="76655F20"/>
    <w:rsid w:val="76984C2E"/>
    <w:rsid w:val="76CE4E95"/>
    <w:rsid w:val="76FFBD27"/>
    <w:rsid w:val="7710314A"/>
    <w:rsid w:val="77FEF074"/>
    <w:rsid w:val="784D39C8"/>
    <w:rsid w:val="78A22CFE"/>
    <w:rsid w:val="78F41CD4"/>
    <w:rsid w:val="791C0615"/>
    <w:rsid w:val="793741EC"/>
    <w:rsid w:val="7A3D2585"/>
    <w:rsid w:val="7A953F53"/>
    <w:rsid w:val="7A9579B3"/>
    <w:rsid w:val="7A9A1C23"/>
    <w:rsid w:val="7BA03361"/>
    <w:rsid w:val="7BBF7F35"/>
    <w:rsid w:val="7BCD4926"/>
    <w:rsid w:val="7BFE8FAA"/>
    <w:rsid w:val="7C1F350C"/>
    <w:rsid w:val="7CA7082C"/>
    <w:rsid w:val="7CAB7003"/>
    <w:rsid w:val="7CFFD089"/>
    <w:rsid w:val="7D066A1B"/>
    <w:rsid w:val="7D694362"/>
    <w:rsid w:val="7D6E0A21"/>
    <w:rsid w:val="7D7B66C4"/>
    <w:rsid w:val="7D812F83"/>
    <w:rsid w:val="7DB92857"/>
    <w:rsid w:val="7DE86CAD"/>
    <w:rsid w:val="7DF30921"/>
    <w:rsid w:val="7E9FE2BE"/>
    <w:rsid w:val="7EDFB2AF"/>
    <w:rsid w:val="7EFA1665"/>
    <w:rsid w:val="7F6DFFAE"/>
    <w:rsid w:val="7FBF4E91"/>
    <w:rsid w:val="7FBFE0DA"/>
    <w:rsid w:val="7FE37B5A"/>
    <w:rsid w:val="7FEF083D"/>
    <w:rsid w:val="7FF19B46"/>
    <w:rsid w:val="7FF7B9E9"/>
    <w:rsid w:val="A7DB4FFA"/>
    <w:rsid w:val="B5BE1BBF"/>
    <w:rsid w:val="B6FD58E3"/>
    <w:rsid w:val="BE57CEDF"/>
    <w:rsid w:val="DBF5CFAA"/>
    <w:rsid w:val="DFEB3FF7"/>
    <w:rsid w:val="DFFCB07F"/>
    <w:rsid w:val="E4330BC4"/>
    <w:rsid w:val="EB5C33A4"/>
    <w:rsid w:val="EBF6CE66"/>
    <w:rsid w:val="EBF749E2"/>
    <w:rsid w:val="F6F5C200"/>
    <w:rsid w:val="F73F19AC"/>
    <w:rsid w:val="F7A73012"/>
    <w:rsid w:val="F7CF9D3C"/>
    <w:rsid w:val="F7DF61A9"/>
    <w:rsid w:val="F7FB644C"/>
    <w:rsid w:val="FBF613C0"/>
    <w:rsid w:val="FE7FAD23"/>
    <w:rsid w:val="FEAF8AB6"/>
    <w:rsid w:val="FED776A3"/>
    <w:rsid w:val="FF7FC629"/>
    <w:rsid w:val="FFABF1C9"/>
    <w:rsid w:val="FFDDD25C"/>
    <w:rsid w:val="FFFDCCF8"/>
    <w:rsid w:val="FFFF9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99" w:semiHidden="0" w:name="heading 7"/>
    <w:lsdException w:qFormat="1" w:uiPriority="99" w:semiHidden="0" w:name="heading 8"/>
    <w:lsdException w:qFormat="1" w:uiPriority="99" w:semiHidden="0" w:name="heading 9"/>
    <w:lsdException w:qFormat="1" w:uiPriority="99" w:semiHidden="0" w:name="index 1"/>
    <w:lsdException w:qFormat="1" w:uiPriority="99" w:semiHidden="0" w:name="index 2"/>
    <w:lsdException w:qFormat="1" w:uiPriority="99" w:semiHidden="0" w:name="index 3"/>
    <w:lsdException w:qFormat="1" w:uiPriority="99" w:semiHidden="0" w:name="index 4"/>
    <w:lsdException w:qFormat="1" w:uiPriority="99" w:semiHidden="0" w:name="index 5"/>
    <w:lsdException w:qFormat="1" w:uiPriority="99" w:semiHidden="0" w:name="index 6"/>
    <w:lsdException w:qFormat="1" w:uiPriority="99" w:semiHidden="0" w:name="index 7"/>
    <w:lsdException w:qFormat="1" w:uiPriority="99" w:semiHidden="0" w:name="index 8"/>
    <w:lsdException w:qFormat="1" w:uiPriority="99" w:semiHidden="0" w:name="index 9"/>
    <w:lsdException w:qFormat="1" w:uiPriority="39" w:semiHidden="0" w:name="toc 1"/>
    <w:lsdException w:qFormat="1" w:uiPriority="39" w:semiHidden="0" w:name="toc 2"/>
    <w:lsdException w:qFormat="1" w:uiPriority="39" w:semiHidden="0" w:name="toc 3"/>
    <w:lsdException w:qFormat="1" w:uiPriority="99" w:semiHidden="0" w:name="toc 4"/>
    <w:lsdException w:qFormat="1" w:uiPriority="99" w:semiHidden="0" w:name="toc 5"/>
    <w:lsdException w:qFormat="1" w:uiPriority="99" w:semiHidden="0" w:name="toc 6"/>
    <w:lsdException w:qFormat="1" w:uiPriority="99" w:semiHidden="0" w:name="toc 7"/>
    <w:lsdException w:qFormat="1" w:uiPriority="99" w:semiHidden="0" w:name="toc 8"/>
    <w:lsdException w:qFormat="1" w:uiPriority="99" w:semiHidden="0"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iPriority="99" w:semiHidden="0"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99"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iPriority="99" w:semiHidden="0" w:name="Body Text Indent 2"/>
    <w:lsdException w:qFormat="1" w:uiPriority="99"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qFormat="1" w:uiPriority="0" w:semiHidden="0"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59"/>
    <w:qFormat/>
    <w:uiPriority w:val="0"/>
    <w:pPr>
      <w:keepNext/>
      <w:keepLines/>
      <w:adjustRightInd w:val="0"/>
      <w:spacing w:before="340" w:after="330" w:line="578" w:lineRule="atLeast"/>
      <w:jc w:val="center"/>
      <w:outlineLvl w:val="0"/>
    </w:pPr>
    <w:rPr>
      <w:b/>
      <w:kern w:val="44"/>
      <w:sz w:val="20"/>
    </w:rPr>
  </w:style>
  <w:style w:type="paragraph" w:styleId="4">
    <w:name w:val="heading 2"/>
    <w:basedOn w:val="1"/>
    <w:next w:val="1"/>
    <w:link w:val="60"/>
    <w:unhideWhenUsed/>
    <w:qFormat/>
    <w:uiPriority w:val="0"/>
    <w:pPr>
      <w:keepNext/>
      <w:keepLines/>
      <w:adjustRightInd w:val="0"/>
      <w:spacing w:before="260" w:after="260" w:line="416" w:lineRule="atLeast"/>
      <w:jc w:val="center"/>
      <w:outlineLvl w:val="1"/>
    </w:pPr>
    <w:rPr>
      <w:rFonts w:ascii="黑体" w:hAnsi="Arial" w:eastAsia="黑体" w:cs="宋体"/>
      <w:kern w:val="0"/>
      <w:sz w:val="28"/>
    </w:rPr>
  </w:style>
  <w:style w:type="paragraph" w:styleId="5">
    <w:name w:val="heading 3"/>
    <w:basedOn w:val="1"/>
    <w:next w:val="1"/>
    <w:link w:val="61"/>
    <w:unhideWhenUsed/>
    <w:qFormat/>
    <w:uiPriority w:val="0"/>
    <w:pPr>
      <w:keepNext/>
      <w:keepLines/>
      <w:tabs>
        <w:tab w:val="left" w:pos="1260"/>
      </w:tabs>
      <w:adjustRightInd w:val="0"/>
      <w:spacing w:before="260" w:after="260" w:line="416" w:lineRule="atLeast"/>
      <w:ind w:left="1260" w:hanging="420"/>
      <w:outlineLvl w:val="2"/>
    </w:pPr>
    <w:rPr>
      <w:b/>
      <w:kern w:val="0"/>
      <w:sz w:val="32"/>
    </w:rPr>
  </w:style>
  <w:style w:type="paragraph" w:styleId="6">
    <w:name w:val="heading 4"/>
    <w:basedOn w:val="1"/>
    <w:next w:val="1"/>
    <w:link w:val="62"/>
    <w:unhideWhenUsed/>
    <w:qFormat/>
    <w:uiPriority w:val="0"/>
    <w:pPr>
      <w:keepNext/>
      <w:keepLines/>
      <w:tabs>
        <w:tab w:val="left" w:pos="1680"/>
      </w:tabs>
      <w:adjustRightInd w:val="0"/>
      <w:spacing w:before="280" w:after="290" w:line="376" w:lineRule="atLeast"/>
      <w:ind w:left="1680" w:hanging="420"/>
      <w:outlineLvl w:val="3"/>
    </w:pPr>
    <w:rPr>
      <w:rFonts w:ascii="Arial" w:hAnsi="Arial" w:eastAsia="黑体"/>
      <w:b/>
      <w:kern w:val="0"/>
      <w:sz w:val="28"/>
    </w:rPr>
  </w:style>
  <w:style w:type="paragraph" w:styleId="7">
    <w:name w:val="heading 5"/>
    <w:basedOn w:val="1"/>
    <w:next w:val="1"/>
    <w:link w:val="63"/>
    <w:unhideWhenUsed/>
    <w:qFormat/>
    <w:uiPriority w:val="0"/>
    <w:pPr>
      <w:keepNext/>
      <w:keepLines/>
      <w:tabs>
        <w:tab w:val="left" w:pos="2100"/>
      </w:tabs>
      <w:adjustRightInd w:val="0"/>
      <w:spacing w:before="280" w:after="290" w:line="376" w:lineRule="atLeast"/>
      <w:ind w:left="2100" w:hanging="420"/>
      <w:outlineLvl w:val="4"/>
    </w:pPr>
    <w:rPr>
      <w:b/>
      <w:kern w:val="0"/>
      <w:sz w:val="28"/>
    </w:rPr>
  </w:style>
  <w:style w:type="paragraph" w:styleId="8">
    <w:name w:val="heading 6"/>
    <w:basedOn w:val="1"/>
    <w:next w:val="1"/>
    <w:link w:val="64"/>
    <w:unhideWhenUsed/>
    <w:qFormat/>
    <w:uiPriority w:val="0"/>
    <w:pPr>
      <w:keepNext/>
      <w:keepLines/>
      <w:tabs>
        <w:tab w:val="left" w:pos="2520"/>
      </w:tabs>
      <w:adjustRightInd w:val="0"/>
      <w:spacing w:before="240" w:after="64" w:line="320" w:lineRule="atLeast"/>
      <w:ind w:left="2520" w:hanging="420"/>
      <w:outlineLvl w:val="5"/>
    </w:pPr>
    <w:rPr>
      <w:rFonts w:ascii="Arial" w:hAnsi="Arial" w:eastAsia="黑体"/>
      <w:b/>
      <w:kern w:val="0"/>
      <w:sz w:val="20"/>
    </w:rPr>
  </w:style>
  <w:style w:type="paragraph" w:styleId="9">
    <w:name w:val="heading 7"/>
    <w:basedOn w:val="1"/>
    <w:next w:val="1"/>
    <w:link w:val="65"/>
    <w:unhideWhenUsed/>
    <w:qFormat/>
    <w:uiPriority w:val="99"/>
    <w:pPr>
      <w:keepNext/>
      <w:keepLines/>
      <w:tabs>
        <w:tab w:val="left" w:pos="2940"/>
      </w:tabs>
      <w:adjustRightInd w:val="0"/>
      <w:spacing w:before="240" w:after="64" w:line="320" w:lineRule="atLeast"/>
      <w:ind w:left="2940" w:hanging="420"/>
      <w:outlineLvl w:val="6"/>
    </w:pPr>
    <w:rPr>
      <w:b/>
      <w:kern w:val="0"/>
      <w:sz w:val="20"/>
    </w:rPr>
  </w:style>
  <w:style w:type="paragraph" w:styleId="10">
    <w:name w:val="heading 8"/>
    <w:basedOn w:val="1"/>
    <w:next w:val="1"/>
    <w:link w:val="66"/>
    <w:unhideWhenUsed/>
    <w:qFormat/>
    <w:uiPriority w:val="99"/>
    <w:pPr>
      <w:keepNext/>
      <w:keepLines/>
      <w:tabs>
        <w:tab w:val="left" w:pos="3360"/>
      </w:tabs>
      <w:adjustRightInd w:val="0"/>
      <w:spacing w:before="240" w:after="64" w:line="320" w:lineRule="atLeast"/>
      <w:ind w:left="3360" w:hanging="420"/>
      <w:outlineLvl w:val="7"/>
    </w:pPr>
    <w:rPr>
      <w:rFonts w:ascii="Arial" w:hAnsi="Arial" w:eastAsia="黑体"/>
      <w:kern w:val="0"/>
      <w:sz w:val="20"/>
    </w:rPr>
  </w:style>
  <w:style w:type="paragraph" w:styleId="11">
    <w:name w:val="heading 9"/>
    <w:basedOn w:val="1"/>
    <w:next w:val="1"/>
    <w:link w:val="67"/>
    <w:unhideWhenUsed/>
    <w:qFormat/>
    <w:uiPriority w:val="99"/>
    <w:pPr>
      <w:keepNext/>
      <w:keepLines/>
      <w:tabs>
        <w:tab w:val="left" w:pos="3780"/>
      </w:tabs>
      <w:adjustRightInd w:val="0"/>
      <w:spacing w:before="240" w:after="64" w:line="320" w:lineRule="atLeast"/>
      <w:ind w:left="3780" w:hanging="420"/>
      <w:outlineLvl w:val="8"/>
    </w:pPr>
    <w:rPr>
      <w:rFonts w:ascii="Arial" w:hAnsi="Arial" w:eastAsia="黑体"/>
      <w:kern w:val="0"/>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pPr>
  </w:style>
  <w:style w:type="paragraph" w:styleId="12">
    <w:name w:val="toc 7"/>
    <w:basedOn w:val="1"/>
    <w:next w:val="1"/>
    <w:unhideWhenUsed/>
    <w:qFormat/>
    <w:uiPriority w:val="99"/>
    <w:pPr>
      <w:ind w:left="2520"/>
    </w:pPr>
  </w:style>
  <w:style w:type="paragraph" w:styleId="13">
    <w:name w:val="index 8"/>
    <w:basedOn w:val="1"/>
    <w:next w:val="1"/>
    <w:unhideWhenUsed/>
    <w:qFormat/>
    <w:uiPriority w:val="99"/>
    <w:pPr>
      <w:ind w:left="2940"/>
    </w:pPr>
  </w:style>
  <w:style w:type="paragraph" w:styleId="14">
    <w:name w:val="index 5"/>
    <w:basedOn w:val="1"/>
    <w:next w:val="1"/>
    <w:unhideWhenUsed/>
    <w:qFormat/>
    <w:uiPriority w:val="99"/>
    <w:pPr>
      <w:ind w:left="1680"/>
    </w:pPr>
  </w:style>
  <w:style w:type="paragraph" w:styleId="15">
    <w:name w:val="Document Map"/>
    <w:basedOn w:val="1"/>
    <w:link w:val="78"/>
    <w:unhideWhenUsed/>
    <w:qFormat/>
    <w:uiPriority w:val="99"/>
    <w:pPr>
      <w:shd w:val="clear" w:color="auto" w:fill="000080"/>
    </w:pPr>
    <w:rPr>
      <w:kern w:val="0"/>
      <w:sz w:val="20"/>
    </w:rPr>
  </w:style>
  <w:style w:type="paragraph" w:styleId="16">
    <w:name w:val="annotation text"/>
    <w:basedOn w:val="1"/>
    <w:link w:val="183"/>
    <w:unhideWhenUsed/>
    <w:qFormat/>
    <w:uiPriority w:val="99"/>
    <w:pPr>
      <w:jc w:val="left"/>
    </w:pPr>
  </w:style>
  <w:style w:type="paragraph" w:styleId="17">
    <w:name w:val="index 6"/>
    <w:basedOn w:val="1"/>
    <w:next w:val="1"/>
    <w:unhideWhenUsed/>
    <w:qFormat/>
    <w:uiPriority w:val="99"/>
    <w:pPr>
      <w:ind w:left="2100"/>
    </w:pPr>
  </w:style>
  <w:style w:type="paragraph" w:styleId="18">
    <w:name w:val="Body Text"/>
    <w:basedOn w:val="1"/>
    <w:link w:val="74"/>
    <w:unhideWhenUsed/>
    <w:qFormat/>
    <w:uiPriority w:val="99"/>
    <w:pPr>
      <w:spacing w:line="360" w:lineRule="auto"/>
    </w:pPr>
    <w:rPr>
      <w:kern w:val="0"/>
      <w:sz w:val="20"/>
    </w:rPr>
  </w:style>
  <w:style w:type="paragraph" w:styleId="19">
    <w:name w:val="Body Text Indent"/>
    <w:basedOn w:val="1"/>
    <w:next w:val="20"/>
    <w:link w:val="68"/>
    <w:unhideWhenUsed/>
    <w:qFormat/>
    <w:uiPriority w:val="99"/>
    <w:pPr>
      <w:spacing w:after="120"/>
      <w:ind w:left="420" w:leftChars="200"/>
    </w:pPr>
  </w:style>
  <w:style w:type="paragraph" w:styleId="20">
    <w:name w:val="envelope return"/>
    <w:basedOn w:val="1"/>
    <w:unhideWhenUsed/>
    <w:qFormat/>
    <w:uiPriority w:val="99"/>
    <w:pPr>
      <w:snapToGrid w:val="0"/>
    </w:pPr>
    <w:rPr>
      <w:rFonts w:ascii="Arial" w:hAnsi="Arial"/>
    </w:rPr>
  </w:style>
  <w:style w:type="paragraph" w:styleId="21">
    <w:name w:val="index 4"/>
    <w:basedOn w:val="1"/>
    <w:next w:val="1"/>
    <w:unhideWhenUsed/>
    <w:qFormat/>
    <w:uiPriority w:val="99"/>
    <w:pPr>
      <w:ind w:left="1260"/>
    </w:pPr>
  </w:style>
  <w:style w:type="paragraph" w:styleId="22">
    <w:name w:val="toc 5"/>
    <w:basedOn w:val="1"/>
    <w:next w:val="1"/>
    <w:unhideWhenUsed/>
    <w:qFormat/>
    <w:uiPriority w:val="99"/>
    <w:pPr>
      <w:ind w:left="1680"/>
    </w:pPr>
  </w:style>
  <w:style w:type="paragraph" w:styleId="23">
    <w:name w:val="toc 3"/>
    <w:basedOn w:val="1"/>
    <w:next w:val="1"/>
    <w:unhideWhenUsed/>
    <w:qFormat/>
    <w:uiPriority w:val="39"/>
    <w:pPr>
      <w:tabs>
        <w:tab w:val="left" w:pos="1680"/>
        <w:tab w:val="right" w:leader="dot" w:pos="9755"/>
      </w:tabs>
      <w:adjustRightInd w:val="0"/>
      <w:snapToGrid w:val="0"/>
      <w:spacing w:line="560" w:lineRule="exact"/>
      <w:ind w:firstLine="960" w:firstLineChars="400"/>
    </w:pPr>
    <w:rPr>
      <w:sz w:val="24"/>
      <w:szCs w:val="24"/>
    </w:rPr>
  </w:style>
  <w:style w:type="paragraph" w:styleId="24">
    <w:name w:val="Plain Text"/>
    <w:basedOn w:val="1"/>
    <w:link w:val="79"/>
    <w:unhideWhenUsed/>
    <w:qFormat/>
    <w:uiPriority w:val="0"/>
    <w:pPr>
      <w:adjustRightInd w:val="0"/>
      <w:spacing w:line="312" w:lineRule="atLeast"/>
    </w:pPr>
    <w:rPr>
      <w:rFonts w:ascii="宋体" w:hAnsi="Courier New"/>
      <w:kern w:val="0"/>
      <w:sz w:val="20"/>
    </w:rPr>
  </w:style>
  <w:style w:type="paragraph" w:styleId="25">
    <w:name w:val="toc 8"/>
    <w:basedOn w:val="1"/>
    <w:next w:val="1"/>
    <w:unhideWhenUsed/>
    <w:qFormat/>
    <w:uiPriority w:val="99"/>
    <w:pPr>
      <w:ind w:left="2940"/>
    </w:pPr>
  </w:style>
  <w:style w:type="paragraph" w:styleId="26">
    <w:name w:val="index 3"/>
    <w:basedOn w:val="1"/>
    <w:next w:val="1"/>
    <w:unhideWhenUsed/>
    <w:qFormat/>
    <w:uiPriority w:val="99"/>
    <w:pPr>
      <w:ind w:left="840"/>
    </w:pPr>
  </w:style>
  <w:style w:type="paragraph" w:styleId="27">
    <w:name w:val="Date"/>
    <w:basedOn w:val="1"/>
    <w:next w:val="1"/>
    <w:link w:val="75"/>
    <w:unhideWhenUsed/>
    <w:qFormat/>
    <w:uiPriority w:val="99"/>
    <w:rPr>
      <w:kern w:val="0"/>
      <w:sz w:val="28"/>
    </w:rPr>
  </w:style>
  <w:style w:type="paragraph" w:styleId="28">
    <w:name w:val="Body Text Indent 2"/>
    <w:basedOn w:val="1"/>
    <w:link w:val="76"/>
    <w:unhideWhenUsed/>
    <w:qFormat/>
    <w:uiPriority w:val="99"/>
    <w:pPr>
      <w:ind w:left="840"/>
    </w:pPr>
    <w:rPr>
      <w:kern w:val="0"/>
      <w:sz w:val="20"/>
    </w:rPr>
  </w:style>
  <w:style w:type="paragraph" w:styleId="29">
    <w:name w:val="Balloon Text"/>
    <w:basedOn w:val="1"/>
    <w:link w:val="81"/>
    <w:unhideWhenUsed/>
    <w:qFormat/>
    <w:uiPriority w:val="99"/>
    <w:rPr>
      <w:kern w:val="0"/>
      <w:sz w:val="18"/>
      <w:szCs w:val="18"/>
    </w:rPr>
  </w:style>
  <w:style w:type="paragraph" w:styleId="30">
    <w:name w:val="footer"/>
    <w:basedOn w:val="1"/>
    <w:link w:val="58"/>
    <w:unhideWhenUsed/>
    <w:qFormat/>
    <w:uiPriority w:val="99"/>
    <w:pPr>
      <w:tabs>
        <w:tab w:val="center" w:pos="4153"/>
        <w:tab w:val="right" w:pos="8306"/>
      </w:tabs>
      <w:snapToGrid w:val="0"/>
      <w:jc w:val="left"/>
    </w:pPr>
    <w:rPr>
      <w:sz w:val="18"/>
      <w:szCs w:val="18"/>
    </w:rPr>
  </w:style>
  <w:style w:type="paragraph" w:styleId="31">
    <w:name w:val="header"/>
    <w:basedOn w:val="1"/>
    <w:link w:val="57"/>
    <w:unhideWhenUsed/>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unhideWhenUsed/>
    <w:qFormat/>
    <w:uiPriority w:val="39"/>
    <w:pPr>
      <w:snapToGrid w:val="0"/>
      <w:spacing w:line="520" w:lineRule="exact"/>
      <w:ind w:firstLine="200" w:firstLineChars="200"/>
    </w:pPr>
    <w:rPr>
      <w:rFonts w:eastAsia="黑体"/>
      <w:color w:val="000000"/>
      <w:sz w:val="24"/>
      <w:szCs w:val="24"/>
    </w:rPr>
  </w:style>
  <w:style w:type="paragraph" w:styleId="33">
    <w:name w:val="toc 4"/>
    <w:basedOn w:val="1"/>
    <w:next w:val="1"/>
    <w:unhideWhenUsed/>
    <w:qFormat/>
    <w:uiPriority w:val="99"/>
    <w:pPr>
      <w:ind w:left="1260"/>
    </w:pPr>
  </w:style>
  <w:style w:type="paragraph" w:styleId="34">
    <w:name w:val="index heading"/>
    <w:basedOn w:val="1"/>
    <w:next w:val="35"/>
    <w:unhideWhenUsed/>
    <w:qFormat/>
    <w:uiPriority w:val="99"/>
  </w:style>
  <w:style w:type="paragraph" w:styleId="35">
    <w:name w:val="index 1"/>
    <w:basedOn w:val="1"/>
    <w:next w:val="1"/>
    <w:unhideWhenUsed/>
    <w:qFormat/>
    <w:uiPriority w:val="99"/>
  </w:style>
  <w:style w:type="paragraph" w:styleId="36">
    <w:name w:val="toc 6"/>
    <w:basedOn w:val="1"/>
    <w:next w:val="1"/>
    <w:unhideWhenUsed/>
    <w:qFormat/>
    <w:uiPriority w:val="99"/>
    <w:pPr>
      <w:ind w:left="2100"/>
    </w:pPr>
  </w:style>
  <w:style w:type="paragraph" w:styleId="37">
    <w:name w:val="Body Text Indent 3"/>
    <w:basedOn w:val="1"/>
    <w:link w:val="77"/>
    <w:unhideWhenUsed/>
    <w:qFormat/>
    <w:uiPriority w:val="99"/>
    <w:pPr>
      <w:spacing w:line="400" w:lineRule="atLeast"/>
      <w:ind w:left="360" w:firstLine="410" w:firstLineChars="171"/>
    </w:pPr>
    <w:rPr>
      <w:kern w:val="0"/>
      <w:sz w:val="20"/>
    </w:rPr>
  </w:style>
  <w:style w:type="paragraph" w:styleId="38">
    <w:name w:val="index 7"/>
    <w:basedOn w:val="1"/>
    <w:next w:val="1"/>
    <w:unhideWhenUsed/>
    <w:qFormat/>
    <w:uiPriority w:val="99"/>
    <w:pPr>
      <w:ind w:left="2520"/>
    </w:pPr>
  </w:style>
  <w:style w:type="paragraph" w:styleId="39">
    <w:name w:val="index 9"/>
    <w:basedOn w:val="1"/>
    <w:next w:val="1"/>
    <w:unhideWhenUsed/>
    <w:qFormat/>
    <w:uiPriority w:val="99"/>
    <w:pPr>
      <w:ind w:left="3360"/>
    </w:pPr>
  </w:style>
  <w:style w:type="paragraph" w:styleId="40">
    <w:name w:val="toc 2"/>
    <w:basedOn w:val="1"/>
    <w:next w:val="1"/>
    <w:unhideWhenUsed/>
    <w:qFormat/>
    <w:uiPriority w:val="39"/>
    <w:pPr>
      <w:snapToGrid w:val="0"/>
      <w:spacing w:line="480" w:lineRule="exact"/>
      <w:ind w:firstLine="300" w:firstLineChars="300"/>
    </w:pPr>
    <w:rPr>
      <w:sz w:val="24"/>
      <w:szCs w:val="24"/>
    </w:rPr>
  </w:style>
  <w:style w:type="paragraph" w:styleId="41">
    <w:name w:val="toc 9"/>
    <w:basedOn w:val="1"/>
    <w:next w:val="1"/>
    <w:unhideWhenUsed/>
    <w:qFormat/>
    <w:uiPriority w:val="99"/>
    <w:pPr>
      <w:ind w:left="3360"/>
    </w:pPr>
  </w:style>
  <w:style w:type="paragraph" w:styleId="42">
    <w:name w:val="Body Text 2"/>
    <w:basedOn w:val="1"/>
    <w:qFormat/>
    <w:uiPriority w:val="0"/>
    <w:pPr>
      <w:spacing w:line="480" w:lineRule="auto"/>
    </w:pPr>
  </w:style>
  <w:style w:type="paragraph" w:styleId="43">
    <w:name w:val="HTML Preformatted"/>
    <w:basedOn w:val="1"/>
    <w:link w:val="70"/>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0"/>
    </w:rPr>
  </w:style>
  <w:style w:type="paragraph" w:styleId="44">
    <w:name w:val="Normal (Web)"/>
    <w:basedOn w:val="1"/>
    <w:unhideWhenUsed/>
    <w:qFormat/>
    <w:uiPriority w:val="99"/>
    <w:rPr>
      <w:sz w:val="24"/>
      <w:szCs w:val="24"/>
    </w:rPr>
  </w:style>
  <w:style w:type="paragraph" w:styleId="45">
    <w:name w:val="index 2"/>
    <w:basedOn w:val="1"/>
    <w:next w:val="1"/>
    <w:unhideWhenUsed/>
    <w:qFormat/>
    <w:uiPriority w:val="99"/>
    <w:pPr>
      <w:ind w:left="420"/>
    </w:pPr>
  </w:style>
  <w:style w:type="paragraph" w:styleId="46">
    <w:name w:val="Title"/>
    <w:link w:val="73"/>
    <w:qFormat/>
    <w:uiPriority w:val="99"/>
    <w:pPr>
      <w:spacing w:before="240" w:after="60" w:line="540" w:lineRule="exact"/>
      <w:outlineLvl w:val="0"/>
    </w:pPr>
    <w:rPr>
      <w:rFonts w:ascii="Times New Roman" w:hAnsi="Times New Roman" w:eastAsia="仿宋_GB2312" w:cs="Cambria"/>
      <w:b/>
      <w:bCs/>
      <w:sz w:val="32"/>
      <w:szCs w:val="32"/>
      <w:lang w:val="en-US" w:eastAsia="zh-CN" w:bidi="ar-SA"/>
    </w:rPr>
  </w:style>
  <w:style w:type="paragraph" w:styleId="47">
    <w:name w:val="annotation subject"/>
    <w:basedOn w:val="16"/>
    <w:next w:val="16"/>
    <w:link w:val="80"/>
    <w:unhideWhenUsed/>
    <w:qFormat/>
    <w:uiPriority w:val="99"/>
    <w:rPr>
      <w:b/>
      <w:bCs/>
      <w:kern w:val="0"/>
      <w:sz w:val="20"/>
    </w:rPr>
  </w:style>
  <w:style w:type="paragraph" w:styleId="48">
    <w:name w:val="Body Text First Indent 2"/>
    <w:basedOn w:val="19"/>
    <w:link w:val="69"/>
    <w:unhideWhenUsed/>
    <w:qFormat/>
    <w:uiPriority w:val="99"/>
    <w:pPr>
      <w:ind w:firstLine="420" w:firstLineChars="200"/>
    </w:pPr>
  </w:style>
  <w:style w:type="table" w:styleId="50">
    <w:name w:val="Table Grid"/>
    <w:basedOn w:val="49"/>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2">
    <w:name w:val="page number"/>
    <w:unhideWhenUsed/>
    <w:qFormat/>
    <w:uiPriority w:val="0"/>
    <w:rPr>
      <w:rFonts w:hint="default" w:ascii="Times New Roman" w:hAnsi="Times New Roman" w:eastAsia="宋体" w:cs="Times New Roman"/>
      <w:lang w:val="en-US" w:eastAsia="zh-CN" w:bidi="ar-SA"/>
    </w:rPr>
  </w:style>
  <w:style w:type="character" w:styleId="53">
    <w:name w:val="FollowedHyperlink"/>
    <w:unhideWhenUsed/>
    <w:qFormat/>
    <w:uiPriority w:val="99"/>
    <w:rPr>
      <w:rFonts w:hint="default" w:ascii="Times New Roman" w:hAnsi="Times New Roman" w:eastAsia="宋体" w:cs="Times New Roman"/>
      <w:color w:val="800080"/>
      <w:u w:val="single"/>
      <w:lang w:val="en-US" w:eastAsia="zh-CN" w:bidi="ar-SA"/>
    </w:rPr>
  </w:style>
  <w:style w:type="character" w:styleId="54">
    <w:name w:val="HTML Typewriter"/>
    <w:unhideWhenUsed/>
    <w:qFormat/>
    <w:uiPriority w:val="0"/>
    <w:rPr>
      <w:rFonts w:hint="default" w:ascii="Courier New" w:hAnsi="Courier New" w:eastAsia="宋体" w:cs="Courier New"/>
      <w:sz w:val="24"/>
      <w:szCs w:val="24"/>
      <w:lang w:val="en-US" w:eastAsia="zh-CN" w:bidi="ar-SA"/>
    </w:rPr>
  </w:style>
  <w:style w:type="character" w:styleId="55">
    <w:name w:val="Hyperlink"/>
    <w:unhideWhenUsed/>
    <w:qFormat/>
    <w:uiPriority w:val="99"/>
    <w:rPr>
      <w:rFonts w:hint="default" w:ascii="Times New Roman" w:hAnsi="Times New Roman" w:eastAsia="宋体" w:cs="Times New Roman"/>
      <w:color w:val="0000FF"/>
      <w:u w:val="single"/>
      <w:lang w:val="en-US" w:eastAsia="zh-CN" w:bidi="ar-SA"/>
    </w:rPr>
  </w:style>
  <w:style w:type="character" w:styleId="56">
    <w:name w:val="annotation reference"/>
    <w:unhideWhenUsed/>
    <w:qFormat/>
    <w:uiPriority w:val="99"/>
    <w:rPr>
      <w:rFonts w:hint="default" w:ascii="Times New Roman" w:hAnsi="Times New Roman" w:eastAsia="宋体" w:cs="Times New Roman"/>
      <w:sz w:val="21"/>
      <w:szCs w:val="21"/>
      <w:lang w:val="en-US" w:eastAsia="zh-CN" w:bidi="ar-SA"/>
    </w:rPr>
  </w:style>
  <w:style w:type="character" w:customStyle="1" w:styleId="57">
    <w:name w:val="页眉 Char"/>
    <w:basedOn w:val="51"/>
    <w:link w:val="31"/>
    <w:qFormat/>
    <w:uiPriority w:val="99"/>
    <w:rPr>
      <w:sz w:val="18"/>
      <w:szCs w:val="18"/>
    </w:rPr>
  </w:style>
  <w:style w:type="character" w:customStyle="1" w:styleId="58">
    <w:name w:val="页脚 Char"/>
    <w:basedOn w:val="51"/>
    <w:link w:val="30"/>
    <w:qFormat/>
    <w:uiPriority w:val="99"/>
    <w:rPr>
      <w:sz w:val="18"/>
      <w:szCs w:val="18"/>
    </w:rPr>
  </w:style>
  <w:style w:type="character" w:customStyle="1" w:styleId="59">
    <w:name w:val="标题 1 Char"/>
    <w:basedOn w:val="51"/>
    <w:link w:val="3"/>
    <w:qFormat/>
    <w:uiPriority w:val="0"/>
    <w:rPr>
      <w:rFonts w:ascii="Times New Roman" w:hAnsi="Times New Roman" w:eastAsia="宋体" w:cs="Times New Roman"/>
      <w:b/>
      <w:kern w:val="44"/>
      <w:sz w:val="20"/>
      <w:szCs w:val="20"/>
    </w:rPr>
  </w:style>
  <w:style w:type="character" w:customStyle="1" w:styleId="60">
    <w:name w:val="标题 2 Char"/>
    <w:basedOn w:val="51"/>
    <w:link w:val="4"/>
    <w:semiHidden/>
    <w:qFormat/>
    <w:uiPriority w:val="0"/>
    <w:rPr>
      <w:rFonts w:ascii="黑体" w:hAnsi="Arial" w:eastAsia="黑体" w:cs="宋体"/>
      <w:kern w:val="0"/>
      <w:sz w:val="28"/>
      <w:szCs w:val="20"/>
    </w:rPr>
  </w:style>
  <w:style w:type="character" w:customStyle="1" w:styleId="61">
    <w:name w:val="标题 3 Char"/>
    <w:basedOn w:val="51"/>
    <w:link w:val="5"/>
    <w:semiHidden/>
    <w:qFormat/>
    <w:uiPriority w:val="0"/>
    <w:rPr>
      <w:rFonts w:ascii="Times New Roman" w:hAnsi="Times New Roman" w:eastAsia="宋体" w:cs="Times New Roman"/>
      <w:b/>
      <w:kern w:val="0"/>
      <w:sz w:val="32"/>
      <w:szCs w:val="20"/>
    </w:rPr>
  </w:style>
  <w:style w:type="character" w:customStyle="1" w:styleId="62">
    <w:name w:val="标题 4 Char"/>
    <w:basedOn w:val="51"/>
    <w:link w:val="6"/>
    <w:semiHidden/>
    <w:qFormat/>
    <w:uiPriority w:val="0"/>
    <w:rPr>
      <w:rFonts w:ascii="Arial" w:hAnsi="Arial" w:eastAsia="黑体" w:cs="Times New Roman"/>
      <w:b/>
      <w:kern w:val="0"/>
      <w:sz w:val="28"/>
      <w:szCs w:val="20"/>
    </w:rPr>
  </w:style>
  <w:style w:type="character" w:customStyle="1" w:styleId="63">
    <w:name w:val="标题 5 Char"/>
    <w:basedOn w:val="51"/>
    <w:link w:val="7"/>
    <w:semiHidden/>
    <w:qFormat/>
    <w:uiPriority w:val="0"/>
    <w:rPr>
      <w:rFonts w:ascii="Times New Roman" w:hAnsi="Times New Roman" w:eastAsia="宋体" w:cs="Times New Roman"/>
      <w:b/>
      <w:kern w:val="0"/>
      <w:sz w:val="28"/>
      <w:szCs w:val="20"/>
    </w:rPr>
  </w:style>
  <w:style w:type="character" w:customStyle="1" w:styleId="64">
    <w:name w:val="标题 6 Char"/>
    <w:basedOn w:val="51"/>
    <w:link w:val="8"/>
    <w:semiHidden/>
    <w:qFormat/>
    <w:uiPriority w:val="0"/>
    <w:rPr>
      <w:rFonts w:ascii="Arial" w:hAnsi="Arial" w:eastAsia="黑体" w:cs="Times New Roman"/>
      <w:b/>
      <w:kern w:val="0"/>
      <w:sz w:val="20"/>
      <w:szCs w:val="20"/>
    </w:rPr>
  </w:style>
  <w:style w:type="character" w:customStyle="1" w:styleId="65">
    <w:name w:val="标题 7 Char"/>
    <w:basedOn w:val="51"/>
    <w:link w:val="9"/>
    <w:semiHidden/>
    <w:qFormat/>
    <w:uiPriority w:val="99"/>
    <w:rPr>
      <w:rFonts w:ascii="Times New Roman" w:hAnsi="Times New Roman" w:eastAsia="宋体" w:cs="Times New Roman"/>
      <w:b/>
      <w:kern w:val="0"/>
      <w:sz w:val="20"/>
      <w:szCs w:val="20"/>
    </w:rPr>
  </w:style>
  <w:style w:type="character" w:customStyle="1" w:styleId="66">
    <w:name w:val="标题 8 Char"/>
    <w:basedOn w:val="51"/>
    <w:link w:val="10"/>
    <w:semiHidden/>
    <w:qFormat/>
    <w:uiPriority w:val="99"/>
    <w:rPr>
      <w:rFonts w:ascii="Arial" w:hAnsi="Arial" w:eastAsia="黑体" w:cs="Times New Roman"/>
      <w:kern w:val="0"/>
      <w:sz w:val="20"/>
      <w:szCs w:val="20"/>
    </w:rPr>
  </w:style>
  <w:style w:type="character" w:customStyle="1" w:styleId="67">
    <w:name w:val="标题 9 Char"/>
    <w:basedOn w:val="51"/>
    <w:link w:val="11"/>
    <w:semiHidden/>
    <w:qFormat/>
    <w:uiPriority w:val="99"/>
    <w:rPr>
      <w:rFonts w:ascii="Arial" w:hAnsi="Arial" w:eastAsia="黑体" w:cs="Times New Roman"/>
      <w:kern w:val="0"/>
      <w:szCs w:val="20"/>
    </w:rPr>
  </w:style>
  <w:style w:type="character" w:customStyle="1" w:styleId="68">
    <w:name w:val="正文文本缩进 Char"/>
    <w:basedOn w:val="51"/>
    <w:link w:val="19"/>
    <w:qFormat/>
    <w:uiPriority w:val="99"/>
    <w:rPr>
      <w:rFonts w:ascii="Times New Roman" w:hAnsi="Times New Roman" w:eastAsia="宋体" w:cs="Times New Roman"/>
      <w:szCs w:val="20"/>
    </w:rPr>
  </w:style>
  <w:style w:type="character" w:customStyle="1" w:styleId="69">
    <w:name w:val="正文首行缩进 2 Char"/>
    <w:basedOn w:val="68"/>
    <w:link w:val="48"/>
    <w:qFormat/>
    <w:uiPriority w:val="99"/>
    <w:rPr>
      <w:rFonts w:ascii="Times New Roman" w:hAnsi="Times New Roman" w:eastAsia="宋体" w:cs="Times New Roman"/>
      <w:szCs w:val="20"/>
    </w:rPr>
  </w:style>
  <w:style w:type="character" w:customStyle="1" w:styleId="70">
    <w:name w:val="HTML 预设格式 Char"/>
    <w:basedOn w:val="51"/>
    <w:link w:val="43"/>
    <w:semiHidden/>
    <w:qFormat/>
    <w:uiPriority w:val="0"/>
    <w:rPr>
      <w:rFonts w:ascii="宋体" w:hAnsi="宋体" w:eastAsia="宋体" w:cs="宋体"/>
      <w:kern w:val="0"/>
      <w:sz w:val="20"/>
      <w:szCs w:val="20"/>
    </w:rPr>
  </w:style>
  <w:style w:type="paragraph" w:customStyle="1" w:styleId="71">
    <w:name w:val="msonormal"/>
    <w:basedOn w:val="1"/>
    <w:qFormat/>
    <w:uiPriority w:val="0"/>
    <w:rPr>
      <w:sz w:val="24"/>
      <w:szCs w:val="24"/>
    </w:rPr>
  </w:style>
  <w:style w:type="character" w:customStyle="1" w:styleId="72">
    <w:name w:val="批注文字 字符"/>
    <w:basedOn w:val="51"/>
    <w:semiHidden/>
    <w:qFormat/>
    <w:uiPriority w:val="99"/>
    <w:rPr>
      <w:rFonts w:ascii="Times New Roman" w:hAnsi="Times New Roman" w:eastAsia="宋体" w:cs="Times New Roman"/>
      <w:szCs w:val="20"/>
    </w:rPr>
  </w:style>
  <w:style w:type="character" w:customStyle="1" w:styleId="73">
    <w:name w:val="标题 Char"/>
    <w:basedOn w:val="51"/>
    <w:link w:val="46"/>
    <w:qFormat/>
    <w:uiPriority w:val="99"/>
    <w:rPr>
      <w:rFonts w:ascii="Times New Roman" w:hAnsi="Times New Roman" w:eastAsia="仿宋_GB2312" w:cs="Cambria"/>
      <w:b/>
      <w:bCs/>
      <w:kern w:val="0"/>
      <w:sz w:val="32"/>
      <w:szCs w:val="32"/>
    </w:rPr>
  </w:style>
  <w:style w:type="character" w:customStyle="1" w:styleId="74">
    <w:name w:val="正文文本 Char"/>
    <w:basedOn w:val="51"/>
    <w:link w:val="18"/>
    <w:semiHidden/>
    <w:qFormat/>
    <w:uiPriority w:val="99"/>
    <w:rPr>
      <w:rFonts w:ascii="Times New Roman" w:hAnsi="Times New Roman" w:eastAsia="宋体" w:cs="Times New Roman"/>
      <w:kern w:val="0"/>
      <w:sz w:val="20"/>
      <w:szCs w:val="20"/>
    </w:rPr>
  </w:style>
  <w:style w:type="character" w:customStyle="1" w:styleId="75">
    <w:name w:val="日期 Char"/>
    <w:basedOn w:val="51"/>
    <w:link w:val="27"/>
    <w:semiHidden/>
    <w:qFormat/>
    <w:uiPriority w:val="99"/>
    <w:rPr>
      <w:rFonts w:ascii="Times New Roman" w:hAnsi="Times New Roman" w:eastAsia="宋体" w:cs="Times New Roman"/>
      <w:kern w:val="0"/>
      <w:sz w:val="28"/>
      <w:szCs w:val="20"/>
    </w:rPr>
  </w:style>
  <w:style w:type="character" w:customStyle="1" w:styleId="76">
    <w:name w:val="正文文本缩进 2 Char"/>
    <w:basedOn w:val="51"/>
    <w:link w:val="28"/>
    <w:semiHidden/>
    <w:qFormat/>
    <w:uiPriority w:val="99"/>
    <w:rPr>
      <w:rFonts w:ascii="Times New Roman" w:hAnsi="Times New Roman" w:eastAsia="宋体" w:cs="Times New Roman"/>
      <w:kern w:val="0"/>
      <w:sz w:val="20"/>
      <w:szCs w:val="20"/>
    </w:rPr>
  </w:style>
  <w:style w:type="character" w:customStyle="1" w:styleId="77">
    <w:name w:val="正文文本缩进 3 Char"/>
    <w:basedOn w:val="51"/>
    <w:link w:val="37"/>
    <w:semiHidden/>
    <w:qFormat/>
    <w:uiPriority w:val="99"/>
    <w:rPr>
      <w:rFonts w:ascii="Times New Roman" w:hAnsi="Times New Roman" w:eastAsia="宋体" w:cs="Times New Roman"/>
      <w:kern w:val="0"/>
      <w:sz w:val="20"/>
      <w:szCs w:val="20"/>
    </w:rPr>
  </w:style>
  <w:style w:type="character" w:customStyle="1" w:styleId="78">
    <w:name w:val="文档结构图 Char"/>
    <w:basedOn w:val="51"/>
    <w:link w:val="15"/>
    <w:semiHidden/>
    <w:qFormat/>
    <w:uiPriority w:val="99"/>
    <w:rPr>
      <w:rFonts w:ascii="Times New Roman" w:hAnsi="Times New Roman" w:eastAsia="宋体" w:cs="Times New Roman"/>
      <w:kern w:val="0"/>
      <w:sz w:val="20"/>
      <w:szCs w:val="20"/>
      <w:shd w:val="clear" w:color="auto" w:fill="000080"/>
    </w:rPr>
  </w:style>
  <w:style w:type="character" w:customStyle="1" w:styleId="79">
    <w:name w:val="纯文本 Char"/>
    <w:basedOn w:val="51"/>
    <w:link w:val="24"/>
    <w:qFormat/>
    <w:uiPriority w:val="0"/>
    <w:rPr>
      <w:rFonts w:ascii="宋体" w:hAnsi="Courier New" w:eastAsia="宋体" w:cs="Times New Roman"/>
      <w:kern w:val="0"/>
      <w:sz w:val="20"/>
      <w:szCs w:val="20"/>
    </w:rPr>
  </w:style>
  <w:style w:type="character" w:customStyle="1" w:styleId="80">
    <w:name w:val="批注主题 Char"/>
    <w:basedOn w:val="72"/>
    <w:link w:val="47"/>
    <w:semiHidden/>
    <w:qFormat/>
    <w:uiPriority w:val="99"/>
    <w:rPr>
      <w:rFonts w:ascii="Times New Roman" w:hAnsi="Times New Roman" w:eastAsia="宋体" w:cs="Times New Roman"/>
      <w:b/>
      <w:bCs/>
      <w:kern w:val="0"/>
      <w:sz w:val="20"/>
      <w:szCs w:val="20"/>
    </w:rPr>
  </w:style>
  <w:style w:type="character" w:customStyle="1" w:styleId="81">
    <w:name w:val="批注框文本 Char"/>
    <w:basedOn w:val="51"/>
    <w:link w:val="29"/>
    <w:semiHidden/>
    <w:qFormat/>
    <w:uiPriority w:val="99"/>
    <w:rPr>
      <w:rFonts w:ascii="Times New Roman" w:hAnsi="Times New Roman" w:eastAsia="宋体" w:cs="Times New Roman"/>
      <w:kern w:val="0"/>
      <w:sz w:val="18"/>
      <w:szCs w:val="18"/>
    </w:rPr>
  </w:style>
  <w:style w:type="paragraph" w:customStyle="1" w:styleId="82">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83">
    <w:name w:val="修订1"/>
    <w:semiHidden/>
    <w:qFormat/>
    <w:uiPriority w:val="71"/>
    <w:rPr>
      <w:rFonts w:ascii="Times New Roman" w:hAnsi="Times New Roman" w:eastAsia="宋体" w:cs="Times New Roman"/>
      <w:kern w:val="2"/>
      <w:sz w:val="21"/>
      <w:lang w:val="en-US" w:eastAsia="zh-CN" w:bidi="ar-SA"/>
    </w:rPr>
  </w:style>
  <w:style w:type="character" w:customStyle="1" w:styleId="84">
    <w:name w:val="列表段落 字符"/>
    <w:link w:val="85"/>
    <w:qFormat/>
    <w:locked/>
    <w:uiPriority w:val="34"/>
    <w:rPr>
      <w:rFonts w:ascii="Calibri" w:hAnsi="Calibri" w:cs="Calibri"/>
    </w:rPr>
  </w:style>
  <w:style w:type="paragraph" w:customStyle="1" w:styleId="85">
    <w:name w:val="列表段落1"/>
    <w:basedOn w:val="1"/>
    <w:link w:val="84"/>
    <w:qFormat/>
    <w:uiPriority w:val="34"/>
    <w:pPr>
      <w:ind w:firstLine="420" w:firstLineChars="200"/>
    </w:pPr>
    <w:rPr>
      <w:rFonts w:ascii="Calibri" w:hAnsi="Calibri" w:cs="Calibri" w:eastAsiaTheme="minorEastAsia"/>
      <w:szCs w:val="22"/>
    </w:rPr>
  </w:style>
  <w:style w:type="paragraph" w:customStyle="1" w:styleId="86">
    <w:name w:val="TOC 标题1"/>
    <w:basedOn w:val="3"/>
    <w:next w:val="1"/>
    <w:unhideWhenUsed/>
    <w:qFormat/>
    <w:uiPriority w:val="39"/>
    <w:pPr>
      <w:widowControl/>
      <w:adjustRightInd/>
      <w:spacing w:before="480" w:after="0" w:line="276" w:lineRule="auto"/>
      <w:jc w:val="left"/>
      <w:outlineLvl w:val="9"/>
    </w:pPr>
    <w:rPr>
      <w:rFonts w:ascii="Cambria" w:hAnsi="Cambria"/>
      <w:bCs/>
      <w:color w:val="365F91"/>
      <w:kern w:val="0"/>
      <w:sz w:val="28"/>
      <w:szCs w:val="28"/>
    </w:rPr>
  </w:style>
  <w:style w:type="paragraph" w:customStyle="1" w:styleId="87">
    <w:name w:val="xl52"/>
    <w:basedOn w:val="1"/>
    <w:qFormat/>
    <w:uiPriority w:val="99"/>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88">
    <w:name w:val="xl58"/>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89">
    <w:name w:val="xl34"/>
    <w:basedOn w:val="1"/>
    <w:qFormat/>
    <w:uiPriority w:val="99"/>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0">
    <w:name w:val="xl28"/>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91">
    <w:name w:val="xl31"/>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92">
    <w:name w:val="xl38"/>
    <w:basedOn w:val="1"/>
    <w:qFormat/>
    <w:uiPriority w:val="99"/>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93">
    <w:name w:val="列出段落1"/>
    <w:basedOn w:val="1"/>
    <w:qFormat/>
    <w:uiPriority w:val="34"/>
    <w:pPr>
      <w:ind w:firstLine="420" w:firstLineChars="200"/>
    </w:pPr>
  </w:style>
  <w:style w:type="paragraph" w:customStyle="1" w:styleId="94">
    <w:name w:val="默认段落字体 Para Char Char Char Char"/>
    <w:basedOn w:val="1"/>
    <w:qFormat/>
    <w:uiPriority w:val="99"/>
    <w:rPr>
      <w:szCs w:val="21"/>
    </w:rPr>
  </w:style>
  <w:style w:type="paragraph" w:customStyle="1" w:styleId="95">
    <w:name w:val="xl53"/>
    <w:basedOn w:val="1"/>
    <w:qFormat/>
    <w:uiPriority w:val="99"/>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96">
    <w:name w:val="修订版本号1"/>
    <w:qFormat/>
    <w:uiPriority w:val="99"/>
    <w:rPr>
      <w:rFonts w:ascii="Times New Roman" w:hAnsi="Times New Roman" w:eastAsia="宋体" w:cs="Times New Roman"/>
      <w:kern w:val="2"/>
      <w:sz w:val="21"/>
      <w:lang w:val="en-US" w:eastAsia="zh-CN" w:bidi="ar-SA"/>
    </w:rPr>
  </w:style>
  <w:style w:type="paragraph" w:customStyle="1" w:styleId="97">
    <w:name w:val="默认段落字体 Para Char Char Char Char Char Char Char"/>
    <w:basedOn w:val="1"/>
    <w:qFormat/>
    <w:uiPriority w:val="99"/>
    <w:rPr>
      <w:rFonts w:ascii="Tahoma" w:hAnsi="Tahoma"/>
      <w:sz w:val="24"/>
    </w:rPr>
  </w:style>
  <w:style w:type="paragraph" w:customStyle="1" w:styleId="98">
    <w:name w:val="彩色底纹 - 着色 11"/>
    <w:semiHidden/>
    <w:qFormat/>
    <w:uiPriority w:val="99"/>
    <w:rPr>
      <w:rFonts w:ascii="Times New Roman" w:hAnsi="Times New Roman" w:eastAsia="宋体" w:cs="Times New Roman"/>
      <w:kern w:val="2"/>
      <w:sz w:val="21"/>
      <w:lang w:val="en-US" w:eastAsia="zh-CN" w:bidi="ar-SA"/>
    </w:rPr>
  </w:style>
  <w:style w:type="paragraph" w:customStyle="1" w:styleId="99">
    <w:name w:val="Char Char2 Char Char Char Char1 Char Char Char Char Char Char1 Char Char Char Char1"/>
    <w:basedOn w:val="1"/>
    <w:qFormat/>
    <w:uiPriority w:val="99"/>
    <w:pPr>
      <w:widowControl/>
      <w:spacing w:after="160" w:line="240" w:lineRule="exact"/>
      <w:jc w:val="left"/>
    </w:pPr>
    <w:rPr>
      <w:rFonts w:ascii="Verdana" w:hAnsi="Verdana"/>
      <w:kern w:val="0"/>
      <w:lang w:eastAsia="en-US"/>
    </w:rPr>
  </w:style>
  <w:style w:type="paragraph" w:customStyle="1" w:styleId="100">
    <w:name w:val="xl54"/>
    <w:basedOn w:val="1"/>
    <w:qFormat/>
    <w:uiPriority w:val="99"/>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01">
    <w:name w:val="xl40"/>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102">
    <w:name w:val="xl48"/>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03">
    <w:name w:val="xl32"/>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04">
    <w:name w:val="xl63"/>
    <w:basedOn w:val="1"/>
    <w:qFormat/>
    <w:uiPriority w:val="99"/>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05">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6">
    <w:name w:val="font8"/>
    <w:basedOn w:val="1"/>
    <w:qFormat/>
    <w:uiPriority w:val="99"/>
    <w:pPr>
      <w:widowControl/>
      <w:spacing w:before="100" w:beforeAutospacing="1" w:after="100" w:afterAutospacing="1"/>
      <w:jc w:val="left"/>
    </w:pPr>
    <w:rPr>
      <w:rFonts w:ascii="宋体" w:hAnsi="宋体" w:cs="宋体"/>
      <w:b/>
      <w:bCs/>
      <w:kern w:val="0"/>
      <w:sz w:val="18"/>
      <w:szCs w:val="18"/>
    </w:rPr>
  </w:style>
  <w:style w:type="paragraph" w:customStyle="1" w:styleId="107">
    <w:name w:val="正文文本缩进1"/>
    <w:basedOn w:val="1"/>
    <w:qFormat/>
    <w:uiPriority w:val="99"/>
    <w:pPr>
      <w:spacing w:line="360" w:lineRule="auto"/>
      <w:ind w:left="540" w:leftChars="257" w:firstLine="360" w:firstLineChars="150"/>
    </w:pPr>
    <w:rPr>
      <w:sz w:val="24"/>
    </w:rPr>
  </w:style>
  <w:style w:type="paragraph" w:customStyle="1" w:styleId="108">
    <w:name w:val="正文1"/>
    <w:qFormat/>
    <w:uiPriority w:val="99"/>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09">
    <w:name w:val="投标书格式"/>
    <w:basedOn w:val="5"/>
    <w:qFormat/>
    <w:uiPriority w:val="99"/>
    <w:pPr>
      <w:widowControl/>
      <w:adjustRightInd/>
      <w:spacing w:before="360" w:line="240" w:lineRule="auto"/>
      <w:ind w:left="0" w:firstLine="0"/>
      <w:jc w:val="center"/>
    </w:pPr>
    <w:rPr>
      <w:rFonts w:eastAsia="黑体"/>
      <w:sz w:val="30"/>
    </w:rPr>
  </w:style>
  <w:style w:type="paragraph" w:customStyle="1" w:styleId="110">
    <w:name w:val="Char Char1 Char Char Char Char Char Char Char Char Char Char Char Char"/>
    <w:basedOn w:val="1"/>
    <w:qFormat/>
    <w:uiPriority w:val="99"/>
    <w:rPr>
      <w:szCs w:val="24"/>
    </w:rPr>
  </w:style>
  <w:style w:type="paragraph" w:customStyle="1" w:styleId="111">
    <w:name w:val="xl33"/>
    <w:basedOn w:val="1"/>
    <w:qFormat/>
    <w:uiPriority w:val="99"/>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character" w:customStyle="1" w:styleId="112">
    <w:name w:val="彩色列表 - 着色 1 Char"/>
    <w:link w:val="113"/>
    <w:qFormat/>
    <w:locked/>
    <w:uiPriority w:val="34"/>
  </w:style>
  <w:style w:type="paragraph" w:customStyle="1" w:styleId="113">
    <w:name w:val="彩色列表 - 着色 12"/>
    <w:basedOn w:val="1"/>
    <w:link w:val="112"/>
    <w:qFormat/>
    <w:uiPriority w:val="34"/>
    <w:pPr>
      <w:ind w:firstLine="420" w:firstLineChars="200"/>
    </w:pPr>
    <w:rPr>
      <w:rFonts w:asciiTheme="minorHAnsi" w:hAnsiTheme="minorHAnsi" w:eastAsiaTheme="minorEastAsia" w:cstheme="minorBidi"/>
      <w:szCs w:val="22"/>
    </w:rPr>
  </w:style>
  <w:style w:type="paragraph" w:customStyle="1" w:styleId="114">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15">
    <w:name w:val="xl47"/>
    <w:basedOn w:val="1"/>
    <w:qFormat/>
    <w:uiPriority w:val="99"/>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16">
    <w:name w:val="xl39"/>
    <w:basedOn w:val="1"/>
    <w:qFormat/>
    <w:uiPriority w:val="99"/>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17">
    <w:name w:val="正文（首行缩进两字）"/>
    <w:basedOn w:val="1"/>
    <w:qFormat/>
    <w:uiPriority w:val="99"/>
  </w:style>
  <w:style w:type="paragraph" w:customStyle="1" w:styleId="118">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19">
    <w:name w:val="Default"/>
    <w:qFormat/>
    <w:uiPriority w:val="99"/>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paragraph" w:customStyle="1" w:styleId="120">
    <w:name w:val="xl55"/>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21">
    <w:name w:val="样式1"/>
    <w:basedOn w:val="1"/>
    <w:qFormat/>
    <w:uiPriority w:val="99"/>
    <w:pPr>
      <w:adjustRightInd w:val="0"/>
      <w:spacing w:before="120" w:after="120" w:line="120" w:lineRule="exact"/>
    </w:pPr>
    <w:rPr>
      <w:color w:val="FF00FF"/>
      <w:kern w:val="0"/>
      <w:sz w:val="24"/>
    </w:rPr>
  </w:style>
  <w:style w:type="paragraph" w:customStyle="1" w:styleId="122">
    <w:name w:val="Char Char Char Char Char Char Char Char Char Char"/>
    <w:basedOn w:val="1"/>
    <w:qFormat/>
    <w:uiPriority w:val="99"/>
    <w:rPr>
      <w:rFonts w:ascii="Tahoma" w:hAnsi="Tahoma" w:cs="Tahoma"/>
      <w:sz w:val="24"/>
      <w:szCs w:val="24"/>
    </w:rPr>
  </w:style>
  <w:style w:type="paragraph" w:customStyle="1" w:styleId="123">
    <w:name w:val="xl57"/>
    <w:basedOn w:val="1"/>
    <w:qFormat/>
    <w:uiPriority w:val="99"/>
    <w:pPr>
      <w:widowControl/>
      <w:spacing w:before="100" w:beforeAutospacing="1" w:after="100" w:afterAutospacing="1"/>
      <w:jc w:val="center"/>
    </w:pPr>
    <w:rPr>
      <w:rFonts w:ascii="宋体" w:hAnsi="宋体" w:cs="宋体"/>
      <w:kern w:val="0"/>
      <w:sz w:val="18"/>
      <w:szCs w:val="18"/>
    </w:rPr>
  </w:style>
  <w:style w:type="paragraph" w:customStyle="1" w:styleId="124">
    <w:name w:val="xl62"/>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5">
    <w:name w:val="xl59"/>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26">
    <w:name w:val="合同格式"/>
    <w:basedOn w:val="5"/>
    <w:qFormat/>
    <w:uiPriority w:val="99"/>
    <w:pPr>
      <w:widowControl/>
      <w:adjustRightInd/>
      <w:spacing w:before="360" w:line="240" w:lineRule="auto"/>
      <w:ind w:left="0" w:firstLine="0"/>
      <w:jc w:val="center"/>
    </w:pPr>
    <w:rPr>
      <w:rFonts w:eastAsia="黑体"/>
      <w:sz w:val="30"/>
    </w:rPr>
  </w:style>
  <w:style w:type="paragraph" w:customStyle="1" w:styleId="127">
    <w:name w:val="网格表 31"/>
    <w:basedOn w:val="3"/>
    <w:next w:val="1"/>
    <w:qFormat/>
    <w:uiPriority w:val="39"/>
    <w:pPr>
      <w:widowControl/>
      <w:adjustRightInd/>
      <w:spacing w:before="240" w:after="0" w:line="256" w:lineRule="auto"/>
      <w:jc w:val="left"/>
      <w:outlineLvl w:val="9"/>
    </w:pPr>
    <w:rPr>
      <w:rFonts w:ascii="Calibri Light" w:hAnsi="Calibri Light"/>
      <w:b w:val="0"/>
      <w:color w:val="2E74B5"/>
      <w:kern w:val="0"/>
      <w:sz w:val="32"/>
      <w:szCs w:val="32"/>
    </w:rPr>
  </w:style>
  <w:style w:type="paragraph" w:customStyle="1" w:styleId="128">
    <w:name w:val="xl50"/>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29">
    <w:name w:val="xl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30">
    <w:name w:val="字元 字元"/>
    <w:basedOn w:val="1"/>
    <w:qFormat/>
    <w:uiPriority w:val="99"/>
    <w:rPr>
      <w:rFonts w:ascii="仿宋_GB2312" w:eastAsia="仿宋_GB2312"/>
      <w:b/>
      <w:sz w:val="32"/>
      <w:szCs w:val="32"/>
    </w:rPr>
  </w:style>
  <w:style w:type="paragraph" w:customStyle="1" w:styleId="131">
    <w:name w:val="xl4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2">
    <w:name w:val="xl60"/>
    <w:basedOn w:val="1"/>
    <w:qFormat/>
    <w:uiPriority w:val="99"/>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3">
    <w:name w:val="font7"/>
    <w:basedOn w:val="1"/>
    <w:qFormat/>
    <w:uiPriority w:val="99"/>
    <w:pPr>
      <w:widowControl/>
      <w:spacing w:before="100" w:beforeAutospacing="1" w:after="100" w:afterAutospacing="1"/>
      <w:jc w:val="left"/>
    </w:pPr>
    <w:rPr>
      <w:b/>
      <w:bCs/>
      <w:kern w:val="0"/>
      <w:sz w:val="32"/>
      <w:szCs w:val="32"/>
    </w:rPr>
  </w:style>
  <w:style w:type="paragraph" w:customStyle="1" w:styleId="134">
    <w:name w:val="xl49"/>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5">
    <w:name w:val="xl3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36">
    <w:name w:val="xl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character" w:customStyle="1" w:styleId="137">
    <w:name w:val="无间隔 Char"/>
    <w:link w:val="138"/>
    <w:qFormat/>
    <w:locked/>
    <w:uiPriority w:val="0"/>
    <w:rPr>
      <w:sz w:val="22"/>
    </w:rPr>
  </w:style>
  <w:style w:type="paragraph" w:customStyle="1" w:styleId="138">
    <w:name w:val="无间距1"/>
    <w:link w:val="137"/>
    <w:qFormat/>
    <w:uiPriority w:val="0"/>
    <w:rPr>
      <w:rFonts w:asciiTheme="minorHAnsi" w:hAnsiTheme="minorHAnsi" w:eastAsiaTheme="minorEastAsia" w:cstheme="minorBidi"/>
      <w:kern w:val="2"/>
      <w:sz w:val="22"/>
      <w:szCs w:val="22"/>
      <w:lang w:val="en-US" w:eastAsia="zh-CN" w:bidi="ar-SA"/>
    </w:rPr>
  </w:style>
  <w:style w:type="paragraph" w:customStyle="1" w:styleId="139">
    <w:name w:val="xl35"/>
    <w:basedOn w:val="1"/>
    <w:qFormat/>
    <w:uiPriority w:val="99"/>
    <w:pPr>
      <w:widowControl/>
      <w:spacing w:before="100" w:beforeAutospacing="1" w:after="100" w:afterAutospacing="1"/>
      <w:jc w:val="center"/>
    </w:pPr>
    <w:rPr>
      <w:rFonts w:ascii="宋体" w:hAnsi="宋体" w:cs="宋体"/>
      <w:kern w:val="0"/>
      <w:szCs w:val="21"/>
    </w:rPr>
  </w:style>
  <w:style w:type="paragraph" w:customStyle="1" w:styleId="140">
    <w:name w:val="xl30"/>
    <w:basedOn w:val="1"/>
    <w:qFormat/>
    <w:uiPriority w:val="99"/>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41">
    <w:name w:val="彩色列表 - 着色 11"/>
    <w:basedOn w:val="1"/>
    <w:qFormat/>
    <w:uiPriority w:val="99"/>
    <w:pPr>
      <w:ind w:firstLine="420" w:firstLineChars="200"/>
    </w:pPr>
  </w:style>
  <w:style w:type="paragraph" w:customStyle="1" w:styleId="142">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3">
    <w:name w:val="xl56"/>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4">
    <w:name w:val="xl37"/>
    <w:basedOn w:val="1"/>
    <w:qFormat/>
    <w:uiPriority w:val="99"/>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5">
    <w:name w:val="xl51"/>
    <w:basedOn w:val="1"/>
    <w:qFormat/>
    <w:uiPriority w:val="99"/>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46">
    <w:name w:val="xl61"/>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47">
    <w:name w:val="xl45"/>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48">
    <w:name w:val="xl43"/>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9">
    <w:name w:val="xl46"/>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50">
    <w:name w:val="纯文本1"/>
    <w:basedOn w:val="1"/>
    <w:qFormat/>
    <w:uiPriority w:val="99"/>
    <w:pPr>
      <w:adjustRightInd w:val="0"/>
      <w:spacing w:line="312" w:lineRule="atLeast"/>
      <w:ind w:left="425" w:leftChars="202" w:firstLine="425"/>
    </w:pPr>
    <w:rPr>
      <w:rFonts w:ascii="宋体" w:hAnsi="Courier New"/>
      <w:kern w:val="0"/>
    </w:rPr>
  </w:style>
  <w:style w:type="paragraph" w:customStyle="1" w:styleId="151">
    <w:name w:val="xl24"/>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152">
    <w:name w:val="xl41"/>
    <w:basedOn w:val="1"/>
    <w:qFormat/>
    <w:uiPriority w:val="99"/>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53">
    <w:name w:val="xl29"/>
    <w:basedOn w:val="1"/>
    <w:qFormat/>
    <w:uiPriority w:val="99"/>
    <w:pPr>
      <w:widowControl/>
      <w:spacing w:before="100" w:beforeAutospacing="1" w:after="100" w:afterAutospacing="1"/>
      <w:jc w:val="left"/>
    </w:pPr>
    <w:rPr>
      <w:rFonts w:ascii="宋体" w:hAnsi="宋体" w:cs="宋体"/>
      <w:kern w:val="0"/>
      <w:sz w:val="18"/>
      <w:szCs w:val="18"/>
    </w:rPr>
  </w:style>
  <w:style w:type="character" w:customStyle="1" w:styleId="154">
    <w:name w:val="文档结构图 字符1"/>
    <w:semiHidden/>
    <w:qFormat/>
    <w:uiPriority w:val="99"/>
    <w:rPr>
      <w:rFonts w:hint="eastAsia" w:ascii="Heiti SC Light" w:hAnsi="Times New Roman" w:eastAsia="Heiti SC Light" w:cs="Times New Roman"/>
    </w:rPr>
  </w:style>
  <w:style w:type="character" w:customStyle="1" w:styleId="155">
    <w:name w:val="序号前置"/>
    <w:qFormat/>
    <w:uiPriority w:val="0"/>
    <w:rPr>
      <w:rFonts w:hint="eastAsia" w:ascii="宋体" w:hAnsi="宋体" w:eastAsia="宋体"/>
    </w:rPr>
  </w:style>
  <w:style w:type="character" w:customStyle="1" w:styleId="156">
    <w:name w:val="正文文本缩进 2 Char1"/>
    <w:qFormat/>
    <w:uiPriority w:val="0"/>
    <w:rPr>
      <w:rFonts w:hint="default" w:ascii="Times New Roman" w:hAnsi="Times New Roman" w:eastAsia="宋体" w:cs="Times New Roman"/>
      <w:kern w:val="2"/>
      <w:sz w:val="21"/>
      <w:lang w:val="en-US" w:eastAsia="zh-CN" w:bidi="ar-SA"/>
    </w:rPr>
  </w:style>
  <w:style w:type="character" w:customStyle="1" w:styleId="157">
    <w:name w:val="纯文本 Char1"/>
    <w:qFormat/>
    <w:uiPriority w:val="0"/>
    <w:rPr>
      <w:rFonts w:hint="eastAsia" w:ascii="宋体" w:hAnsi="Courier New" w:eastAsia="宋体" w:cs="Courier New"/>
      <w:kern w:val="2"/>
      <w:sz w:val="21"/>
      <w:szCs w:val="21"/>
      <w:lang w:val="en-US" w:eastAsia="zh-CN" w:bidi="ar-SA"/>
    </w:rPr>
  </w:style>
  <w:style w:type="character" w:customStyle="1" w:styleId="158">
    <w:name w:val="批注框文本 Char1"/>
    <w:qFormat/>
    <w:uiPriority w:val="0"/>
    <w:rPr>
      <w:rFonts w:hint="default" w:ascii="Times New Roman" w:hAnsi="Times New Roman" w:eastAsia="宋体" w:cs="Times New Roman"/>
      <w:kern w:val="2"/>
      <w:sz w:val="18"/>
      <w:szCs w:val="18"/>
      <w:lang w:val="en-US" w:eastAsia="zh-CN" w:bidi="ar-SA"/>
    </w:rPr>
  </w:style>
  <w:style w:type="character" w:customStyle="1" w:styleId="159">
    <w:name w:val="批注框文本字符1"/>
    <w:semiHidden/>
    <w:qFormat/>
    <w:uiPriority w:val="99"/>
    <w:rPr>
      <w:rFonts w:hint="eastAsia" w:ascii="Heiti SC Light" w:hAnsi="Times New Roman" w:eastAsia="Heiti SC Light" w:cs="Times New Roman"/>
      <w:sz w:val="18"/>
      <w:szCs w:val="18"/>
    </w:rPr>
  </w:style>
  <w:style w:type="character" w:customStyle="1" w:styleId="160">
    <w:name w:val="批注主题字符1"/>
    <w:semiHidden/>
    <w:qFormat/>
    <w:uiPriority w:val="99"/>
    <w:rPr>
      <w:rFonts w:hint="default" w:ascii="Times New Roman" w:hAnsi="Times New Roman" w:eastAsia="宋体" w:cs="Times New Roman"/>
      <w:b/>
      <w:bCs/>
      <w:sz w:val="21"/>
      <w:szCs w:val="20"/>
    </w:rPr>
  </w:style>
  <w:style w:type="character" w:customStyle="1" w:styleId="161">
    <w:name w:val="正文文本缩进 Char1"/>
    <w:qFormat/>
    <w:uiPriority w:val="0"/>
    <w:rPr>
      <w:rFonts w:hint="default" w:ascii="Times New Roman" w:hAnsi="Times New Roman" w:eastAsia="宋体" w:cs="Times New Roman"/>
      <w:kern w:val="2"/>
      <w:sz w:val="21"/>
      <w:lang w:val="en-US" w:eastAsia="zh-CN" w:bidi="ar-SA"/>
    </w:rPr>
  </w:style>
  <w:style w:type="character" w:customStyle="1" w:styleId="162">
    <w:name w:val="日期字符1"/>
    <w:semiHidden/>
    <w:qFormat/>
    <w:uiPriority w:val="99"/>
    <w:rPr>
      <w:rFonts w:hint="default" w:ascii="Times New Roman" w:hAnsi="Times New Roman" w:eastAsia="宋体" w:cs="Times New Roman"/>
      <w:sz w:val="21"/>
      <w:szCs w:val="20"/>
    </w:rPr>
  </w:style>
  <w:style w:type="character" w:customStyle="1" w:styleId="163">
    <w:name w:val="批注主题 Char1"/>
    <w:qFormat/>
    <w:uiPriority w:val="0"/>
    <w:rPr>
      <w:rFonts w:hint="default" w:ascii="Times New Roman" w:hAnsi="Times New Roman" w:eastAsia="宋体" w:cs="Times New Roman"/>
      <w:b/>
      <w:bCs/>
      <w:kern w:val="2"/>
      <w:sz w:val="21"/>
      <w:szCs w:val="20"/>
      <w:lang w:val="en-US" w:eastAsia="zh-CN" w:bidi="ar-SA"/>
    </w:rPr>
  </w:style>
  <w:style w:type="character" w:customStyle="1" w:styleId="164">
    <w:name w:val="正文文本缩进 3字符1"/>
    <w:semiHidden/>
    <w:qFormat/>
    <w:uiPriority w:val="99"/>
    <w:rPr>
      <w:rFonts w:hint="default" w:ascii="Times New Roman" w:hAnsi="Times New Roman" w:eastAsia="宋体" w:cs="Times New Roman"/>
      <w:sz w:val="16"/>
      <w:szCs w:val="16"/>
    </w:rPr>
  </w:style>
  <w:style w:type="character" w:customStyle="1" w:styleId="165">
    <w:name w:val="font01"/>
    <w:qFormat/>
    <w:uiPriority w:val="0"/>
    <w:rPr>
      <w:rFonts w:hint="eastAsia" w:ascii="宋体" w:hAnsi="宋体" w:eastAsia="宋体" w:cs="宋体"/>
      <w:color w:val="000000"/>
      <w:sz w:val="22"/>
      <w:szCs w:val="22"/>
      <w:u w:val="none"/>
    </w:rPr>
  </w:style>
  <w:style w:type="character" w:customStyle="1" w:styleId="166">
    <w:name w:val="正文文本缩进字符1"/>
    <w:semiHidden/>
    <w:qFormat/>
    <w:uiPriority w:val="99"/>
    <w:rPr>
      <w:rFonts w:hint="default" w:ascii="Times New Roman" w:hAnsi="Times New Roman" w:eastAsia="宋体" w:cs="Times New Roman"/>
      <w:sz w:val="21"/>
      <w:szCs w:val="20"/>
    </w:rPr>
  </w:style>
  <w:style w:type="character" w:customStyle="1" w:styleId="167">
    <w:name w:val="页脚 Char1"/>
    <w:qFormat/>
    <w:uiPriority w:val="0"/>
    <w:rPr>
      <w:rFonts w:hint="default" w:ascii="Times New Roman" w:hAnsi="Times New Roman" w:eastAsia="宋体" w:cs="Times New Roman"/>
      <w:kern w:val="2"/>
      <w:sz w:val="18"/>
      <w:szCs w:val="18"/>
      <w:lang w:val="en-US" w:eastAsia="zh-CN" w:bidi="ar-SA"/>
    </w:rPr>
  </w:style>
  <w:style w:type="character" w:customStyle="1" w:styleId="168">
    <w:name w:val="日期 Char1"/>
    <w:qFormat/>
    <w:uiPriority w:val="0"/>
    <w:rPr>
      <w:rFonts w:hint="default" w:ascii="Times New Roman" w:hAnsi="Times New Roman" w:eastAsia="宋体" w:cs="Times New Roman"/>
      <w:kern w:val="2"/>
      <w:sz w:val="21"/>
      <w:lang w:val="en-US" w:eastAsia="zh-CN" w:bidi="ar-SA"/>
    </w:rPr>
  </w:style>
  <w:style w:type="character" w:customStyle="1" w:styleId="169">
    <w:name w:val="apple-converted-space"/>
    <w:qFormat/>
    <w:uiPriority w:val="0"/>
    <w:rPr>
      <w:rFonts w:hint="default" w:ascii="Times New Roman" w:hAnsi="Times New Roman" w:eastAsia="宋体" w:cs="Times New Roman"/>
      <w:lang w:val="en-US" w:eastAsia="zh-CN" w:bidi="ar-SA"/>
    </w:rPr>
  </w:style>
  <w:style w:type="character" w:customStyle="1" w:styleId="170">
    <w:name w:val="页脚字符1"/>
    <w:semiHidden/>
    <w:qFormat/>
    <w:uiPriority w:val="99"/>
    <w:rPr>
      <w:rFonts w:hint="default" w:ascii="Times New Roman" w:hAnsi="Times New Roman" w:eastAsia="宋体" w:cs="Times New Roman"/>
      <w:sz w:val="18"/>
      <w:szCs w:val="18"/>
    </w:rPr>
  </w:style>
  <w:style w:type="character" w:customStyle="1" w:styleId="171">
    <w:name w:val="页眉字符1"/>
    <w:semiHidden/>
    <w:qFormat/>
    <w:uiPriority w:val="99"/>
    <w:rPr>
      <w:rFonts w:hint="default" w:ascii="Times New Roman" w:hAnsi="Times New Roman" w:eastAsia="宋体" w:cs="Times New Roman"/>
      <w:sz w:val="18"/>
      <w:szCs w:val="18"/>
    </w:rPr>
  </w:style>
  <w:style w:type="character" w:customStyle="1" w:styleId="172">
    <w:name w:val="正文文本缩进 2字符1"/>
    <w:semiHidden/>
    <w:qFormat/>
    <w:uiPriority w:val="99"/>
    <w:rPr>
      <w:rFonts w:hint="default" w:ascii="Times New Roman" w:hAnsi="Times New Roman" w:eastAsia="宋体" w:cs="Times New Roman"/>
      <w:sz w:val="21"/>
      <w:szCs w:val="20"/>
    </w:rPr>
  </w:style>
  <w:style w:type="character" w:customStyle="1" w:styleId="173">
    <w:name w:val="页眉 Char1"/>
    <w:qFormat/>
    <w:uiPriority w:val="0"/>
    <w:rPr>
      <w:rFonts w:hint="default" w:ascii="Times New Roman" w:hAnsi="Times New Roman" w:eastAsia="宋体" w:cs="Times New Roman"/>
      <w:kern w:val="2"/>
      <w:sz w:val="18"/>
      <w:szCs w:val="18"/>
      <w:lang w:val="en-US" w:eastAsia="zh-CN" w:bidi="ar-SA"/>
    </w:rPr>
  </w:style>
  <w:style w:type="character" w:customStyle="1" w:styleId="174">
    <w:name w:val="文档结构图 Char1"/>
    <w:qFormat/>
    <w:uiPriority w:val="0"/>
    <w:rPr>
      <w:rFonts w:hint="eastAsia" w:ascii="宋体" w:hAnsi="Times New Roman" w:eastAsia="宋体" w:cs="Times New Roman"/>
      <w:kern w:val="2"/>
      <w:sz w:val="18"/>
      <w:szCs w:val="18"/>
      <w:lang w:val="en-US" w:eastAsia="zh-CN" w:bidi="ar-SA"/>
    </w:rPr>
  </w:style>
  <w:style w:type="character" w:customStyle="1" w:styleId="175">
    <w:name w:val="正文文本 Char1"/>
    <w:qFormat/>
    <w:uiPriority w:val="0"/>
    <w:rPr>
      <w:rFonts w:hint="default" w:ascii="Times New Roman" w:hAnsi="Times New Roman" w:eastAsia="宋体" w:cs="Times New Roman"/>
      <w:kern w:val="2"/>
      <w:sz w:val="21"/>
      <w:lang w:val="en-US" w:eastAsia="zh-CN" w:bidi="ar-SA"/>
    </w:rPr>
  </w:style>
  <w:style w:type="character" w:customStyle="1" w:styleId="176">
    <w:name w:val="页码1"/>
    <w:qFormat/>
    <w:uiPriority w:val="0"/>
    <w:rPr>
      <w:rFonts w:hint="default" w:ascii="Times New Roman" w:hAnsi="Times New Roman" w:eastAsia="宋体" w:cs="Times New Roman"/>
      <w:lang w:val="en-US" w:eastAsia="zh-CN" w:bidi="ar-SA"/>
    </w:rPr>
  </w:style>
  <w:style w:type="character" w:customStyle="1" w:styleId="177">
    <w:name w:val="纯文本字符1"/>
    <w:semiHidden/>
    <w:qFormat/>
    <w:uiPriority w:val="99"/>
    <w:rPr>
      <w:rFonts w:hint="eastAsia" w:ascii="宋体" w:hAnsi="Courier" w:eastAsia="宋体" w:cs="Times New Roman"/>
    </w:rPr>
  </w:style>
  <w:style w:type="character" w:customStyle="1" w:styleId="178">
    <w:name w:val="批注文字 Char"/>
    <w:qFormat/>
    <w:uiPriority w:val="99"/>
    <w:rPr>
      <w:rFonts w:hint="default" w:ascii="Times New Roman" w:hAnsi="Times New Roman" w:eastAsia="宋体" w:cs="Times New Roman"/>
      <w:szCs w:val="20"/>
      <w:lang w:val="en-US" w:eastAsia="zh-CN" w:bidi="ar-SA"/>
    </w:rPr>
  </w:style>
  <w:style w:type="character" w:customStyle="1" w:styleId="179">
    <w:name w:val="正文文本缩进 3 Char1"/>
    <w:qFormat/>
    <w:uiPriority w:val="0"/>
    <w:rPr>
      <w:rFonts w:hint="default" w:ascii="Times New Roman" w:hAnsi="Times New Roman" w:eastAsia="宋体" w:cs="Times New Roman"/>
      <w:kern w:val="2"/>
      <w:sz w:val="16"/>
      <w:szCs w:val="16"/>
      <w:lang w:val="en-US" w:eastAsia="zh-CN" w:bidi="ar-SA"/>
    </w:rPr>
  </w:style>
  <w:style w:type="character" w:customStyle="1" w:styleId="180">
    <w:name w:val="正文文本字符1"/>
    <w:semiHidden/>
    <w:qFormat/>
    <w:uiPriority w:val="99"/>
    <w:rPr>
      <w:rFonts w:hint="default" w:ascii="Times New Roman" w:hAnsi="Times New Roman" w:eastAsia="宋体" w:cs="Times New Roman"/>
      <w:sz w:val="21"/>
      <w:szCs w:val="20"/>
    </w:rPr>
  </w:style>
  <w:style w:type="character" w:customStyle="1" w:styleId="181">
    <w:name w:val="正文文本缩进 3 字符1"/>
    <w:basedOn w:val="51"/>
    <w:semiHidden/>
    <w:qFormat/>
    <w:uiPriority w:val="99"/>
    <w:rPr>
      <w:kern w:val="2"/>
      <w:sz w:val="16"/>
      <w:szCs w:val="16"/>
    </w:rPr>
  </w:style>
  <w:style w:type="character" w:customStyle="1" w:styleId="182">
    <w:name w:val="纯文本 字符1"/>
    <w:basedOn w:val="51"/>
    <w:semiHidden/>
    <w:qFormat/>
    <w:uiPriority w:val="99"/>
    <w:rPr>
      <w:rFonts w:hint="eastAsia" w:hAnsi="Courier New" w:cs="Courier New" w:asciiTheme="minorEastAsia" w:eastAsiaTheme="minorEastAsia"/>
      <w:kern w:val="2"/>
      <w:sz w:val="21"/>
    </w:rPr>
  </w:style>
  <w:style w:type="character" w:customStyle="1" w:styleId="183">
    <w:name w:val="批注文字 Char1"/>
    <w:basedOn w:val="51"/>
    <w:link w:val="16"/>
    <w:semiHidden/>
    <w:qFormat/>
    <w:locked/>
    <w:uiPriority w:val="99"/>
    <w:rPr>
      <w:rFonts w:ascii="Times New Roman" w:hAnsi="Times New Roman" w:eastAsia="宋体" w:cs="Times New Roman"/>
      <w:szCs w:val="20"/>
    </w:rPr>
  </w:style>
  <w:style w:type="character" w:customStyle="1" w:styleId="184">
    <w:name w:val="批注主题 字符1"/>
    <w:basedOn w:val="183"/>
    <w:semiHidden/>
    <w:qFormat/>
    <w:uiPriority w:val="99"/>
    <w:rPr>
      <w:rFonts w:ascii="Times New Roman" w:hAnsi="Times New Roman" w:eastAsia="宋体" w:cs="Times New Roman"/>
      <w:b/>
      <w:bCs/>
      <w:szCs w:val="20"/>
    </w:rPr>
  </w:style>
  <w:style w:type="character" w:customStyle="1" w:styleId="185">
    <w:name w:val="页眉 字符1"/>
    <w:basedOn w:val="51"/>
    <w:semiHidden/>
    <w:qFormat/>
    <w:uiPriority w:val="99"/>
    <w:rPr>
      <w:kern w:val="2"/>
      <w:sz w:val="18"/>
      <w:szCs w:val="18"/>
    </w:rPr>
  </w:style>
  <w:style w:type="character" w:customStyle="1" w:styleId="186">
    <w:name w:val="文档结构图 字符2"/>
    <w:basedOn w:val="51"/>
    <w:semiHidden/>
    <w:qFormat/>
    <w:uiPriority w:val="99"/>
    <w:rPr>
      <w:rFonts w:hint="eastAsia" w:ascii="Microsoft YaHei UI" w:hAnsi="Microsoft YaHei UI" w:eastAsia="Microsoft YaHei UI"/>
      <w:kern w:val="2"/>
      <w:sz w:val="18"/>
      <w:szCs w:val="18"/>
    </w:rPr>
  </w:style>
  <w:style w:type="character" w:customStyle="1" w:styleId="187">
    <w:name w:val="正文文本缩进 2 字符1"/>
    <w:basedOn w:val="51"/>
    <w:semiHidden/>
    <w:qFormat/>
    <w:uiPriority w:val="99"/>
    <w:rPr>
      <w:kern w:val="2"/>
      <w:sz w:val="21"/>
    </w:rPr>
  </w:style>
  <w:style w:type="character" w:customStyle="1" w:styleId="188">
    <w:name w:val="批注框文本 字符1"/>
    <w:basedOn w:val="51"/>
    <w:semiHidden/>
    <w:qFormat/>
    <w:uiPriority w:val="99"/>
    <w:rPr>
      <w:kern w:val="2"/>
      <w:sz w:val="18"/>
      <w:szCs w:val="18"/>
    </w:rPr>
  </w:style>
  <w:style w:type="character" w:customStyle="1" w:styleId="189">
    <w:name w:val="正文文本 字符1"/>
    <w:basedOn w:val="51"/>
    <w:semiHidden/>
    <w:qFormat/>
    <w:uiPriority w:val="99"/>
    <w:rPr>
      <w:kern w:val="2"/>
      <w:sz w:val="21"/>
    </w:rPr>
  </w:style>
  <w:style w:type="character" w:customStyle="1" w:styleId="190">
    <w:name w:val="标题 字符1"/>
    <w:basedOn w:val="51"/>
    <w:qFormat/>
    <w:uiPriority w:val="10"/>
    <w:rPr>
      <w:rFonts w:hint="eastAsia" w:asciiTheme="majorHAnsi" w:hAnsiTheme="majorHAnsi" w:eastAsiaTheme="majorEastAsia" w:cstheme="majorBidi"/>
      <w:b/>
      <w:bCs/>
      <w:kern w:val="2"/>
      <w:sz w:val="32"/>
      <w:szCs w:val="32"/>
    </w:rPr>
  </w:style>
  <w:style w:type="character" w:customStyle="1" w:styleId="191">
    <w:name w:val="HTML 预设格式 字符1"/>
    <w:basedOn w:val="51"/>
    <w:semiHidden/>
    <w:qFormat/>
    <w:uiPriority w:val="99"/>
    <w:rPr>
      <w:rFonts w:hint="default" w:ascii="Courier New" w:hAnsi="Courier New" w:cs="Courier New"/>
      <w:kern w:val="2"/>
    </w:rPr>
  </w:style>
  <w:style w:type="character" w:customStyle="1" w:styleId="192">
    <w:name w:val="页脚 字符1"/>
    <w:basedOn w:val="51"/>
    <w:semiHidden/>
    <w:qFormat/>
    <w:uiPriority w:val="99"/>
    <w:rPr>
      <w:kern w:val="2"/>
      <w:sz w:val="18"/>
      <w:szCs w:val="18"/>
    </w:rPr>
  </w:style>
  <w:style w:type="character" w:customStyle="1" w:styleId="193">
    <w:name w:val="日期 字符1"/>
    <w:basedOn w:val="51"/>
    <w:semiHidden/>
    <w:qFormat/>
    <w:uiPriority w:val="99"/>
    <w:rPr>
      <w:kern w:val="2"/>
      <w:sz w:val="21"/>
    </w:rPr>
  </w:style>
  <w:style w:type="paragraph" w:customStyle="1" w:styleId="194">
    <w:name w:val="资料表"/>
    <w:basedOn w:val="108"/>
    <w:qFormat/>
    <w:uiPriority w:val="0"/>
    <w:rPr>
      <w:rFonts w:ascii="Times New Roman"/>
    </w:rPr>
  </w:style>
  <w:style w:type="paragraph" w:customStyle="1" w:styleId="195">
    <w:name w:val="xl65"/>
    <w:basedOn w:val="1"/>
    <w:qFormat/>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196">
    <w:name w:val="xl66"/>
    <w:basedOn w:val="1"/>
    <w:qFormat/>
    <w:uiPriority w:val="0"/>
    <w:pPr>
      <w:widowControl/>
      <w:spacing w:before="100" w:beforeAutospacing="1" w:after="100" w:afterAutospacing="1"/>
      <w:jc w:val="left"/>
    </w:pPr>
    <w:rPr>
      <w:rFonts w:ascii="宋体" w:hAnsi="宋体" w:cs="宋体"/>
      <w:color w:val="000000"/>
      <w:kern w:val="0"/>
      <w:sz w:val="12"/>
      <w:szCs w:val="12"/>
    </w:rPr>
  </w:style>
  <w:style w:type="paragraph" w:customStyle="1" w:styleId="197">
    <w:name w:val="xl67"/>
    <w:basedOn w:val="1"/>
    <w:qFormat/>
    <w:uiPriority w:val="0"/>
    <w:pPr>
      <w:widowControl/>
      <w:spacing w:before="100" w:beforeAutospacing="1" w:after="100" w:afterAutospacing="1"/>
      <w:jc w:val="left"/>
    </w:pPr>
    <w:rPr>
      <w:rFonts w:ascii="宋体" w:hAnsi="宋体" w:cs="宋体"/>
      <w:color w:val="000000"/>
      <w:kern w:val="0"/>
      <w:sz w:val="16"/>
      <w:szCs w:val="16"/>
    </w:rPr>
  </w:style>
  <w:style w:type="paragraph" w:customStyle="1" w:styleId="198">
    <w:name w:val="xl68"/>
    <w:basedOn w:val="1"/>
    <w:qFormat/>
    <w:uiPriority w:val="0"/>
    <w:pPr>
      <w:widowControl/>
      <w:spacing w:before="100" w:beforeAutospacing="1" w:after="100" w:afterAutospacing="1"/>
      <w:jc w:val="center"/>
    </w:pPr>
    <w:rPr>
      <w:rFonts w:ascii="宋体" w:hAnsi="宋体" w:cs="宋体"/>
      <w:b/>
      <w:bCs/>
      <w:color w:val="000000"/>
      <w:kern w:val="0"/>
      <w:sz w:val="16"/>
      <w:szCs w:val="16"/>
    </w:rPr>
  </w:style>
  <w:style w:type="paragraph" w:customStyle="1" w:styleId="199">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6"/>
      <w:szCs w:val="16"/>
    </w:rPr>
  </w:style>
  <w:style w:type="paragraph" w:customStyle="1" w:styleId="200">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2"/>
      <w:szCs w:val="12"/>
    </w:rPr>
  </w:style>
  <w:style w:type="paragraph" w:customStyle="1" w:styleId="201">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808080"/>
      <w:spacing w:before="100" w:beforeAutospacing="1" w:after="100" w:afterAutospacing="1"/>
      <w:jc w:val="center"/>
    </w:pPr>
    <w:rPr>
      <w:rFonts w:ascii="宋体" w:hAnsi="宋体" w:cs="宋体"/>
      <w:b/>
      <w:bCs/>
      <w:color w:val="000000"/>
      <w:kern w:val="0"/>
      <w:sz w:val="16"/>
      <w:szCs w:val="16"/>
    </w:rPr>
  </w:style>
  <w:style w:type="paragraph" w:customStyle="1" w:styleId="202">
    <w:name w:val="xl72"/>
    <w:basedOn w:val="1"/>
    <w:qFormat/>
    <w:uiPriority w:val="0"/>
    <w:pPr>
      <w:widowControl/>
      <w:pBdr>
        <w:top w:val="single" w:color="auto" w:sz="4" w:space="0"/>
        <w:bottom w:val="single" w:color="auto" w:sz="4" w:space="0"/>
      </w:pBdr>
      <w:shd w:val="clear" w:color="000000" w:fill="A6A6A6"/>
      <w:spacing w:before="100" w:beforeAutospacing="1" w:after="100" w:afterAutospacing="1"/>
      <w:jc w:val="left"/>
    </w:pPr>
    <w:rPr>
      <w:rFonts w:ascii="宋体" w:hAnsi="宋体" w:cs="宋体"/>
      <w:b/>
      <w:bCs/>
      <w:color w:val="FFFFFF"/>
      <w:kern w:val="0"/>
      <w:sz w:val="16"/>
      <w:szCs w:val="16"/>
    </w:rPr>
  </w:style>
  <w:style w:type="paragraph" w:customStyle="1" w:styleId="203">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4">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5">
    <w:name w:val="xl7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细黑" w:hAnsi="华文细黑" w:eastAsia="华文细黑" w:cs="宋体"/>
      <w:color w:val="000000"/>
      <w:kern w:val="0"/>
      <w:sz w:val="12"/>
      <w:szCs w:val="12"/>
    </w:rPr>
  </w:style>
  <w:style w:type="paragraph" w:customStyle="1" w:styleId="207">
    <w:name w:val="xl7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08">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09">
    <w:name w:val="xl79"/>
    <w:basedOn w:val="1"/>
    <w:qFormat/>
    <w:uiPriority w:val="0"/>
    <w:pPr>
      <w:widowControl/>
      <w:pBdr>
        <w:top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0">
    <w:name w:val="xl80"/>
    <w:basedOn w:val="1"/>
    <w:qFormat/>
    <w:uiPriority w:val="0"/>
    <w:pPr>
      <w:widowControl/>
      <w:pBdr>
        <w:top w:val="single" w:color="auto" w:sz="4" w:space="0"/>
        <w:bottom w:val="single" w:color="auto" w:sz="4" w:space="0"/>
        <w:right w:val="single" w:color="auto" w:sz="4" w:space="0"/>
      </w:pBdr>
      <w:shd w:val="clear" w:color="000000" w:fill="A6A6A6"/>
      <w:spacing w:before="100" w:beforeAutospacing="1" w:after="100" w:afterAutospacing="1"/>
      <w:jc w:val="left"/>
    </w:pPr>
    <w:rPr>
      <w:rFonts w:ascii="宋体" w:hAnsi="宋体" w:cs="宋体"/>
      <w:b/>
      <w:bCs/>
      <w:color w:val="FFFFFF"/>
      <w:kern w:val="0"/>
      <w:sz w:val="16"/>
      <w:szCs w:val="16"/>
    </w:rPr>
  </w:style>
  <w:style w:type="paragraph" w:customStyle="1" w:styleId="211">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2"/>
      <w:szCs w:val="12"/>
    </w:rPr>
  </w:style>
  <w:style w:type="paragraph" w:customStyle="1" w:styleId="212">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2"/>
      <w:szCs w:val="12"/>
    </w:rPr>
  </w:style>
  <w:style w:type="paragraph" w:customStyle="1" w:styleId="213">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细黑" w:hAnsi="华文细黑" w:eastAsia="华文细黑" w:cs="宋体"/>
      <w:color w:val="000000"/>
      <w:kern w:val="0"/>
      <w:sz w:val="12"/>
      <w:szCs w:val="12"/>
    </w:rPr>
  </w:style>
  <w:style w:type="paragraph" w:customStyle="1" w:styleId="214">
    <w:name w:val="xl84"/>
    <w:basedOn w:val="1"/>
    <w:qFormat/>
    <w:uiPriority w:val="0"/>
    <w:pPr>
      <w:widowControl/>
      <w:pBdr>
        <w:top w:val="single" w:color="auto" w:sz="4" w:space="0"/>
        <w:bottom w:val="single" w:color="auto" w:sz="4" w:space="0"/>
      </w:pBdr>
      <w:shd w:val="clear" w:color="000000" w:fill="808080"/>
      <w:spacing w:before="100" w:beforeAutospacing="1" w:after="100" w:afterAutospacing="1"/>
      <w:jc w:val="left"/>
    </w:pPr>
    <w:rPr>
      <w:rFonts w:ascii="宋体" w:hAnsi="宋体" w:cs="宋体"/>
      <w:b/>
      <w:bCs/>
      <w:color w:val="FFFFFF"/>
      <w:kern w:val="0"/>
      <w:sz w:val="16"/>
      <w:szCs w:val="16"/>
    </w:rPr>
  </w:style>
  <w:style w:type="paragraph" w:customStyle="1" w:styleId="215">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6">
    <w:name w:val="xl8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6"/>
      <w:szCs w:val="16"/>
    </w:rPr>
  </w:style>
  <w:style w:type="paragraph" w:customStyle="1" w:styleId="217">
    <w:name w:val="xl87"/>
    <w:basedOn w:val="1"/>
    <w:qFormat/>
    <w:uiPriority w:val="0"/>
    <w:pPr>
      <w:widowControl/>
      <w:pBdr>
        <w:top w:val="single" w:color="auto" w:sz="4" w:space="0"/>
        <w:bottom w:val="single" w:color="auto" w:sz="4" w:space="0"/>
        <w:right w:val="single" w:color="auto" w:sz="4" w:space="0"/>
      </w:pBdr>
      <w:shd w:val="clear" w:color="000000" w:fill="808080"/>
      <w:spacing w:before="100" w:beforeAutospacing="1" w:after="100" w:afterAutospacing="1"/>
      <w:jc w:val="left"/>
    </w:pPr>
    <w:rPr>
      <w:rFonts w:ascii="宋体" w:hAnsi="宋体" w:cs="宋体"/>
      <w:b/>
      <w:bCs/>
      <w:color w:val="FFFFFF"/>
      <w:kern w:val="0"/>
      <w:sz w:val="16"/>
      <w:szCs w:val="16"/>
    </w:rPr>
  </w:style>
  <w:style w:type="paragraph" w:customStyle="1" w:styleId="218">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BDD7EE"/>
      <w:spacing w:before="100" w:beforeAutospacing="1" w:after="100" w:afterAutospacing="1"/>
      <w:jc w:val="center"/>
    </w:pPr>
    <w:rPr>
      <w:rFonts w:ascii="宋体" w:hAnsi="宋体" w:cs="宋体"/>
      <w:color w:val="000000"/>
      <w:kern w:val="0"/>
      <w:sz w:val="12"/>
      <w:szCs w:val="12"/>
    </w:rPr>
  </w:style>
  <w:style w:type="paragraph" w:customStyle="1" w:styleId="219">
    <w:name w:val="xl89"/>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6"/>
      <w:szCs w:val="16"/>
    </w:rPr>
  </w:style>
  <w:style w:type="paragraph" w:customStyle="1" w:styleId="220">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6"/>
      <w:szCs w:val="16"/>
    </w:rPr>
  </w:style>
  <w:style w:type="paragraph" w:customStyle="1" w:styleId="22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6"/>
      <w:szCs w:val="16"/>
    </w:rPr>
  </w:style>
  <w:style w:type="paragraph" w:customStyle="1" w:styleId="222">
    <w:name w:val="xl9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2"/>
      <w:szCs w:val="12"/>
    </w:rPr>
  </w:style>
  <w:style w:type="paragraph" w:customStyle="1" w:styleId="223">
    <w:name w:val="xl93"/>
    <w:basedOn w:val="1"/>
    <w:qFormat/>
    <w:uiPriority w:val="0"/>
    <w:pPr>
      <w:widowControl/>
      <w:pBdr>
        <w:top w:val="single" w:color="auto" w:sz="4" w:space="0"/>
        <w:left w:val="single" w:color="auto" w:sz="4" w:space="0"/>
        <w:bottom w:val="single" w:color="auto" w:sz="4" w:space="0"/>
      </w:pBdr>
      <w:shd w:val="clear" w:color="000000" w:fill="A6A6A6"/>
      <w:spacing w:before="100" w:beforeAutospacing="1" w:after="100" w:afterAutospacing="1"/>
      <w:jc w:val="center"/>
    </w:pPr>
    <w:rPr>
      <w:rFonts w:ascii="宋体" w:hAnsi="宋体" w:cs="宋体"/>
      <w:b/>
      <w:bCs/>
      <w:color w:val="FFFFFF"/>
      <w:kern w:val="0"/>
      <w:sz w:val="16"/>
      <w:szCs w:val="16"/>
    </w:rPr>
  </w:style>
  <w:style w:type="paragraph" w:customStyle="1" w:styleId="224">
    <w:name w:val="xl94"/>
    <w:basedOn w:val="1"/>
    <w:qFormat/>
    <w:uiPriority w:val="0"/>
    <w:pPr>
      <w:widowControl/>
      <w:pBdr>
        <w:top w:val="single" w:color="auto" w:sz="4" w:space="0"/>
        <w:bottom w:val="single" w:color="auto" w:sz="4" w:space="0"/>
      </w:pBdr>
      <w:shd w:val="clear" w:color="000000" w:fill="A6A6A6"/>
      <w:spacing w:before="100" w:beforeAutospacing="1" w:after="100" w:afterAutospacing="1"/>
      <w:jc w:val="center"/>
    </w:pPr>
    <w:rPr>
      <w:rFonts w:ascii="宋体" w:hAnsi="宋体" w:cs="宋体"/>
      <w:b/>
      <w:bCs/>
      <w:color w:val="FFFFFF"/>
      <w:kern w:val="0"/>
      <w:sz w:val="16"/>
      <w:szCs w:val="16"/>
    </w:rPr>
  </w:style>
  <w:style w:type="paragraph" w:customStyle="1" w:styleId="225">
    <w:name w:val="xl95"/>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6">
    <w:name w:val="xl96"/>
    <w:basedOn w:val="1"/>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7">
    <w:name w:val="xl97"/>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8">
    <w:name w:val="xl9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29">
    <w:name w:val="xl99"/>
    <w:basedOn w:val="1"/>
    <w:qFormat/>
    <w:uiPriority w:val="0"/>
    <w:pPr>
      <w:widowControl/>
      <w:pBdr>
        <w:top w:val="single" w:color="auto" w:sz="4" w:space="0"/>
        <w:bottom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30">
    <w:name w:val="xl100"/>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16"/>
      <w:szCs w:val="16"/>
    </w:rPr>
  </w:style>
  <w:style w:type="paragraph" w:customStyle="1" w:styleId="231">
    <w:name w:val="xl101"/>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2">
    <w:name w:val="xl102"/>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3">
    <w:name w:val="xl10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4">
    <w:name w:val="xl10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color w:val="000000"/>
      <w:kern w:val="0"/>
      <w:sz w:val="22"/>
      <w:szCs w:val="22"/>
    </w:rPr>
  </w:style>
  <w:style w:type="paragraph" w:customStyle="1" w:styleId="235">
    <w:name w:val="修订2"/>
    <w:hidden/>
    <w:semiHidden/>
    <w:qFormat/>
    <w:uiPriority w:val="99"/>
    <w:rPr>
      <w:rFonts w:ascii="Times New Roman" w:hAnsi="Times New Roman" w:eastAsia="宋体" w:cs="Times New Roman"/>
      <w:kern w:val="2"/>
      <w:sz w:val="21"/>
      <w:lang w:val="en-US" w:eastAsia="zh-CN" w:bidi="ar-SA"/>
    </w:rPr>
  </w:style>
  <w:style w:type="paragraph" w:customStyle="1" w:styleId="236">
    <w:name w:val="B1二级标题"/>
    <w:basedOn w:val="1"/>
    <w:qFormat/>
    <w:uiPriority w:val="99"/>
    <w:pPr>
      <w:numPr>
        <w:ilvl w:val="1"/>
        <w:numId w:val="1"/>
      </w:numPr>
      <w:spacing w:before="156" w:beforeLines="50" w:after="156" w:afterLines="50" w:line="360" w:lineRule="auto"/>
      <w:jc w:val="left"/>
      <w:outlineLvl w:val="1"/>
    </w:pPr>
    <w:rPr>
      <w:sz w:val="24"/>
    </w:rPr>
  </w:style>
  <w:style w:type="paragraph" w:styleId="237">
    <w:name w:val="List Paragraph"/>
    <w:basedOn w:val="1"/>
    <w:qFormat/>
    <w:uiPriority w:val="0"/>
    <w:pPr>
      <w:ind w:firstLine="420"/>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65</Pages>
  <Words>4196</Words>
  <Characters>23923</Characters>
  <Lines>199</Lines>
  <Paragraphs>56</Paragraphs>
  <TotalTime>1</TotalTime>
  <ScaleCrop>false</ScaleCrop>
  <LinksUpToDate>false</LinksUpToDate>
  <CharactersWithSpaces>28063</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2022-11-29T07:56:00Z</dcterms:created>
  <dc:creator>xs</dc:creator>
  <cp:lastModifiedBy>Little v</cp:lastModifiedBy>
  <cp:lastPrinted>2022-05-18T23:49:00Z</cp:lastPrinted>
  <dcterms:modified xsi:type="dcterms:W3CDTF">2022-12-01T10:40:43Z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31F6B5FD5CD34A2EAE73F136112E528C</vt:lpwstr>
  </property>
</Properties>
</file>