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36"/>
          <w:sz w:val="44"/>
          <w:szCs w:val="44"/>
        </w:rPr>
      </w:pPr>
      <w:bookmarkStart w:id="0" w:name="法定代表人或其委托代理人封面"/>
    </w:p>
    <w:p>
      <w:pPr>
        <w:spacing w:line="360" w:lineRule="auto"/>
        <w:jc w:val="center"/>
        <w:rPr>
          <w:rFonts w:ascii="宋体" w:hAnsi="宋体"/>
          <w:b/>
          <w:spacing w:val="36"/>
          <w:sz w:val="44"/>
          <w:szCs w:val="44"/>
        </w:rPr>
      </w:pPr>
    </w:p>
    <w:p>
      <w:pPr>
        <w:spacing w:line="360" w:lineRule="auto"/>
        <w:jc w:val="center"/>
        <w:rPr>
          <w:rFonts w:ascii="宋体" w:hAnsi="宋体" w:eastAsia="黑体"/>
          <w:b/>
          <w:sz w:val="24"/>
        </w:rPr>
      </w:pPr>
      <w:r>
        <w:rPr>
          <w:rFonts w:hint="eastAsia" w:eastAsia="黑体"/>
          <w:b/>
          <w:bCs/>
          <w:color w:val="0D0D0D"/>
          <w:spacing w:val="36"/>
          <w:sz w:val="44"/>
          <w:szCs w:val="44"/>
        </w:rPr>
        <w:t>昂鹅等十五个新项目</w:t>
      </w:r>
      <w:r>
        <w:rPr>
          <w:rFonts w:eastAsia="黑体"/>
          <w:b/>
          <w:bCs/>
          <w:color w:val="0D0D0D"/>
          <w:spacing w:val="36"/>
          <w:sz w:val="44"/>
          <w:szCs w:val="44"/>
        </w:rPr>
        <w:t>税务</w:t>
      </w:r>
      <w:r>
        <w:rPr>
          <w:rFonts w:hint="eastAsia" w:eastAsia="黑体"/>
          <w:b/>
          <w:bCs/>
          <w:color w:val="0D0D0D"/>
          <w:spacing w:val="36"/>
          <w:sz w:val="44"/>
          <w:szCs w:val="44"/>
        </w:rPr>
        <w:t>咨询服务项目</w:t>
      </w:r>
    </w:p>
    <w:p>
      <w:pPr>
        <w:spacing w:line="360" w:lineRule="auto"/>
        <w:jc w:val="center"/>
        <w:rPr>
          <w:rFonts w:ascii="宋体" w:hAnsi="宋体"/>
          <w:b/>
          <w:sz w:val="24"/>
        </w:rPr>
      </w:pPr>
    </w:p>
    <w:p>
      <w:pPr>
        <w:spacing w:line="360" w:lineRule="auto"/>
        <w:jc w:val="center"/>
        <w:rPr>
          <w:rFonts w:ascii="宋体" w:hAnsi="宋体"/>
          <w:b/>
          <w:bCs/>
          <w:spacing w:val="36"/>
          <w:kern w:val="10"/>
          <w:sz w:val="84"/>
          <w:szCs w:val="84"/>
        </w:rPr>
      </w:pPr>
      <w:r>
        <w:rPr>
          <w:rFonts w:hint="eastAsia" w:ascii="宋体" w:hAnsi="宋体"/>
          <w:b/>
          <w:bCs/>
          <w:spacing w:val="36"/>
          <w:kern w:val="10"/>
          <w:sz w:val="84"/>
          <w:szCs w:val="84"/>
        </w:rPr>
        <w:t>比选文件</w:t>
      </w:r>
    </w:p>
    <w:p>
      <w:pPr>
        <w:spacing w:line="360" w:lineRule="auto"/>
        <w:jc w:val="center"/>
        <w:rPr>
          <w:rFonts w:ascii="宋体" w:hAnsi="宋体"/>
          <w:b/>
          <w:sz w:val="36"/>
        </w:rPr>
      </w:pPr>
    </w:p>
    <w:p>
      <w:pPr>
        <w:pStyle w:val="25"/>
        <w:spacing w:line="360" w:lineRule="auto"/>
        <w:jc w:val="center"/>
        <w:rPr>
          <w:rFonts w:hAnsi="宋体"/>
          <w:sz w:val="23"/>
          <w:szCs w:val="23"/>
        </w:rPr>
      </w:pPr>
    </w:p>
    <w:p>
      <w:pPr>
        <w:pStyle w:val="25"/>
        <w:spacing w:line="360" w:lineRule="auto"/>
        <w:jc w:val="center"/>
        <w:rPr>
          <w:rFonts w:hAnsi="宋体"/>
          <w:b/>
          <w:sz w:val="32"/>
          <w:szCs w:val="32"/>
        </w:rPr>
      </w:pPr>
    </w:p>
    <w:p>
      <w:pPr>
        <w:pStyle w:val="25"/>
        <w:spacing w:line="360" w:lineRule="auto"/>
        <w:jc w:val="center"/>
        <w:rPr>
          <w:rFonts w:hAnsi="宋体"/>
          <w:b/>
          <w:sz w:val="32"/>
          <w:szCs w:val="32"/>
        </w:rPr>
      </w:pPr>
    </w:p>
    <w:p>
      <w:pPr>
        <w:pStyle w:val="25"/>
        <w:snapToGrid w:val="0"/>
        <w:spacing w:line="360" w:lineRule="auto"/>
        <w:rPr>
          <w:rFonts w:hAnsi="宋体"/>
          <w:b/>
          <w:bCs/>
          <w:spacing w:val="70"/>
          <w:sz w:val="32"/>
          <w:szCs w:val="32"/>
        </w:rPr>
      </w:pPr>
    </w:p>
    <w:p>
      <w:pPr>
        <w:pStyle w:val="25"/>
        <w:snapToGrid w:val="0"/>
        <w:spacing w:line="360" w:lineRule="auto"/>
        <w:ind w:firstLine="849" w:firstLineChars="235"/>
        <w:rPr>
          <w:rFonts w:hAnsi="宋体"/>
          <w:b/>
          <w:bCs/>
          <w:sz w:val="36"/>
          <w:szCs w:val="36"/>
          <w:u w:val="single"/>
        </w:rPr>
      </w:pPr>
      <w:r>
        <w:rPr>
          <w:rFonts w:hint="eastAsia" w:hAnsi="宋体"/>
          <w:b/>
          <w:bCs/>
          <w:sz w:val="36"/>
          <w:szCs w:val="36"/>
        </w:rPr>
        <w:t>比 选 人：</w:t>
      </w:r>
      <w:r>
        <w:rPr>
          <w:rFonts w:hint="eastAsia" w:hAnsi="宋体"/>
          <w:b/>
          <w:bCs/>
          <w:color w:val="0D0D0D"/>
          <w:sz w:val="36"/>
          <w:szCs w:val="36"/>
          <w:u w:val="single"/>
        </w:rPr>
        <w:t>深圳地铁置业集团有限公司</w:t>
      </w:r>
    </w:p>
    <w:p>
      <w:pPr>
        <w:pStyle w:val="25"/>
        <w:snapToGrid w:val="0"/>
        <w:spacing w:line="360" w:lineRule="auto"/>
        <w:ind w:firstLine="790" w:firstLineChars="246"/>
        <w:rPr>
          <w:rFonts w:hAnsi="宋体"/>
          <w:b/>
          <w:bCs/>
          <w:sz w:val="32"/>
          <w:szCs w:val="32"/>
          <w:u w:val="single"/>
        </w:rPr>
      </w:pPr>
      <w:r>
        <w:rPr>
          <w:rFonts w:hint="eastAsia" w:hAnsi="宋体"/>
          <w:b/>
          <w:bCs/>
          <w:sz w:val="32"/>
          <w:szCs w:val="32"/>
        </w:rPr>
        <w:t>法定代表人：</w:t>
      </w:r>
      <w:r>
        <w:rPr>
          <w:rFonts w:hint="eastAsia" w:hAnsi="宋体"/>
          <w:b/>
          <w:bCs/>
          <w:sz w:val="32"/>
          <w:szCs w:val="32"/>
          <w:u w:val="single"/>
        </w:rPr>
        <w:t xml:space="preserve">    </w:t>
      </w:r>
      <w:r>
        <w:rPr>
          <w:rFonts w:hint="eastAsia" w:hAnsi="宋体"/>
          <w:b/>
          <w:bCs/>
          <w:sz w:val="32"/>
          <w:szCs w:val="32"/>
          <w:u w:val="single"/>
          <w:lang w:val="en-US" w:eastAsia="zh-CN"/>
        </w:rPr>
        <w:t>李武雄</w:t>
      </w:r>
      <w:r>
        <w:rPr>
          <w:rFonts w:hint="eastAsia" w:hAnsi="宋体"/>
          <w:b/>
          <w:bCs/>
          <w:sz w:val="32"/>
          <w:szCs w:val="32"/>
          <w:u w:val="single"/>
        </w:rPr>
        <w:t xml:space="preserve">              </w:t>
      </w:r>
    </w:p>
    <w:p>
      <w:pPr>
        <w:spacing w:line="360" w:lineRule="auto"/>
        <w:jc w:val="center"/>
        <w:rPr>
          <w:rFonts w:ascii="宋体" w:hAnsi="宋体"/>
          <w:b/>
          <w:bCs/>
          <w:sz w:val="32"/>
          <w:szCs w:val="32"/>
        </w:rPr>
      </w:pPr>
    </w:p>
    <w:p>
      <w:pPr>
        <w:pStyle w:val="2"/>
        <w:ind w:firstLine="643"/>
        <w:rPr>
          <w:rFonts w:ascii="宋体" w:hAnsi="宋体"/>
          <w:b/>
          <w:bCs/>
          <w:sz w:val="32"/>
          <w:szCs w:val="32"/>
        </w:rPr>
      </w:pPr>
    </w:p>
    <w:p>
      <w:pPr>
        <w:pStyle w:val="2"/>
        <w:ind w:firstLine="643"/>
        <w:rPr>
          <w:rFonts w:ascii="宋体" w:hAnsi="宋体"/>
          <w:b/>
          <w:bCs/>
          <w:sz w:val="32"/>
          <w:szCs w:val="32"/>
        </w:rPr>
      </w:pPr>
    </w:p>
    <w:p>
      <w:pPr>
        <w:spacing w:line="360" w:lineRule="auto"/>
        <w:jc w:val="center"/>
        <w:rPr>
          <w:rFonts w:ascii="宋体" w:hAnsi="宋体"/>
          <w:b/>
          <w:sz w:val="36"/>
        </w:rPr>
      </w:pPr>
      <w:r>
        <w:rPr>
          <w:rFonts w:hint="eastAsia" w:ascii="宋体" w:hAnsi="宋体"/>
          <w:b/>
          <w:bCs/>
          <w:sz w:val="32"/>
          <w:szCs w:val="32"/>
        </w:rPr>
        <w:t>二〇二二年十一月</w:t>
      </w:r>
      <w:bookmarkStart w:id="1" w:name="_Toc188623169"/>
      <w:bookmarkStart w:id="2" w:name="_Toc497549383"/>
      <w:bookmarkStart w:id="3" w:name="_Toc389620163"/>
      <w:bookmarkStart w:id="4" w:name="_Toc385992323"/>
      <w:r>
        <w:rPr>
          <w:rFonts w:hint="eastAsia" w:ascii="宋体" w:hAnsi="宋体"/>
          <w:b/>
          <w:sz w:val="36"/>
        </w:rPr>
        <w:t xml:space="preserve"> </w:t>
      </w:r>
      <w:bookmarkEnd w:id="0"/>
      <w:bookmarkEnd w:id="1"/>
      <w:bookmarkStart w:id="5" w:name="_Toc188623172"/>
    </w:p>
    <w:p>
      <w:pPr>
        <w:widowControl/>
        <w:spacing w:line="360" w:lineRule="auto"/>
        <w:jc w:val="left"/>
        <w:rPr>
          <w:rFonts w:hAnsi="宋体"/>
          <w:u w:val="single"/>
        </w:rPr>
        <w:sectPr>
          <w:footerReference r:id="rId3" w:type="default"/>
          <w:pgSz w:w="11906" w:h="16838"/>
          <w:pgMar w:top="1440" w:right="1700" w:bottom="1440" w:left="1440" w:header="720" w:footer="890" w:gutter="0"/>
          <w:pgNumType w:start="1"/>
          <w:cols w:space="720" w:num="1"/>
        </w:sectPr>
      </w:pPr>
    </w:p>
    <w:p>
      <w:pPr>
        <w:pStyle w:val="5"/>
        <w:spacing w:before="240" w:line="360" w:lineRule="auto"/>
        <w:rPr>
          <w:rFonts w:ascii="宋体" w:hAnsi="宋体"/>
          <w:b w:val="0"/>
          <w:sz w:val="44"/>
          <w:szCs w:val="44"/>
        </w:rPr>
      </w:pPr>
      <w:bookmarkStart w:id="6" w:name="_Toc57731942"/>
      <w:bookmarkStart w:id="7" w:name="_Toc518494113"/>
      <w:bookmarkStart w:id="8" w:name="_Toc276575914"/>
      <w:bookmarkStart w:id="9" w:name="_Toc197404895"/>
      <w:bookmarkStart w:id="10" w:name="_Toc372555578"/>
      <w:bookmarkStart w:id="11" w:name="_Toc29995568"/>
      <w:bookmarkStart w:id="12" w:name="_Toc191203192"/>
      <w:bookmarkStart w:id="13" w:name="_Toc188439083"/>
      <w:bookmarkStart w:id="14" w:name="_Toc372555579"/>
      <w:bookmarkStart w:id="15" w:name="_Toc39758874"/>
      <w:bookmarkStart w:id="16" w:name="_Toc402782153"/>
      <w:r>
        <w:rPr>
          <w:rFonts w:hint="eastAsia" w:ascii="宋体" w:hAnsi="宋体"/>
          <w:b w:val="0"/>
          <w:sz w:val="44"/>
          <w:szCs w:val="44"/>
        </w:rPr>
        <w:t>致参选人</w:t>
      </w:r>
      <w:bookmarkEnd w:id="6"/>
      <w:bookmarkEnd w:id="7"/>
      <w:bookmarkEnd w:id="8"/>
      <w:bookmarkEnd w:id="9"/>
      <w:bookmarkEnd w:id="10"/>
    </w:p>
    <w:p>
      <w:pPr>
        <w:pStyle w:val="25"/>
        <w:spacing w:before="240" w:beforeLines="100" w:after="120" w:afterLines="50" w:line="360" w:lineRule="auto"/>
        <w:ind w:firstLine="480" w:firstLineChars="200"/>
        <w:rPr>
          <w:rFonts w:hAnsi="宋体"/>
          <w:sz w:val="24"/>
        </w:rPr>
      </w:pPr>
      <w:r>
        <w:rPr>
          <w:rFonts w:hint="eastAsia" w:hAnsi="宋体"/>
          <w:sz w:val="24"/>
        </w:rPr>
        <w:t>本比选文件是依据有关法律、法规、规章和规范性文件的规定，根据本比选项目的特点和需要编制的。</w:t>
      </w:r>
    </w:p>
    <w:p>
      <w:pPr>
        <w:pStyle w:val="25"/>
        <w:spacing w:before="240" w:beforeLines="100" w:after="120" w:afterLines="50" w:line="360" w:lineRule="auto"/>
        <w:ind w:firstLine="480" w:firstLineChars="200"/>
        <w:rPr>
          <w:rFonts w:hAnsi="宋体"/>
          <w:sz w:val="24"/>
        </w:rPr>
      </w:pPr>
      <w:r>
        <w:rPr>
          <w:rFonts w:hint="eastAsia" w:hAnsi="宋体"/>
          <w:sz w:val="24"/>
        </w:rPr>
        <w:t>比选文件的编制遵循公开、公平、公正和诚实信用的原则，比选文件的内容已清楚地反映了</w:t>
      </w:r>
      <w:r>
        <w:rPr>
          <w:rFonts w:hint="eastAsia" w:hAnsi="宋体"/>
          <w:b/>
          <w:bCs/>
          <w:color w:val="0D0D0D"/>
          <w:sz w:val="24"/>
          <w:szCs w:val="24"/>
          <w:u w:val="single"/>
        </w:rPr>
        <w:t>昂鹅等</w:t>
      </w:r>
      <w:r>
        <w:rPr>
          <w:rFonts w:hint="eastAsia" w:hAnsi="宋体"/>
          <w:b/>
          <w:bCs/>
          <w:color w:val="0D0D0D"/>
          <w:sz w:val="24"/>
          <w:szCs w:val="24"/>
          <w:u w:val="single"/>
          <w:lang w:val="en-US" w:eastAsia="zh-CN"/>
        </w:rPr>
        <w:t>十五</w:t>
      </w:r>
      <w:r>
        <w:rPr>
          <w:rFonts w:hint="eastAsia" w:hAnsi="宋体"/>
          <w:b/>
          <w:bCs/>
          <w:color w:val="0D0D0D"/>
          <w:sz w:val="24"/>
          <w:szCs w:val="24"/>
          <w:u w:val="single"/>
        </w:rPr>
        <w:t>个新项目税务咨询服务</w:t>
      </w:r>
      <w:r>
        <w:rPr>
          <w:rFonts w:hint="eastAsia" w:hAnsi="宋体"/>
          <w:sz w:val="24"/>
        </w:rPr>
        <w:t>工作内容和基本要求。我们要求参选人必须完全响应本比选文件的实质性内容。</w:t>
      </w:r>
    </w:p>
    <w:p>
      <w:pPr>
        <w:pStyle w:val="25"/>
        <w:spacing w:before="240" w:beforeLines="100" w:after="120" w:afterLines="50" w:line="360" w:lineRule="auto"/>
        <w:ind w:firstLine="480" w:firstLineChars="200"/>
        <w:rPr>
          <w:rFonts w:hAnsi="宋体"/>
          <w:sz w:val="24"/>
          <w:u w:val="single"/>
        </w:rPr>
      </w:pPr>
      <w:r>
        <w:rPr>
          <w:rFonts w:hint="eastAsia" w:hAnsi="宋体"/>
          <w:sz w:val="24"/>
          <w:u w:val="single"/>
        </w:rPr>
        <w:t>领取了本比选文件的正式参选人，请随时查看“深铁招采网”、“深圳地铁官网”、“国资委阳光采购平台”、“深铁置业微信订阅号”中有关该项目补遗文件的信息。否则，由此导致的不利后果由参选人自负。</w:t>
      </w:r>
    </w:p>
    <w:p>
      <w:pPr>
        <w:pStyle w:val="25"/>
        <w:spacing w:line="360" w:lineRule="auto"/>
        <w:ind w:firstLine="420" w:firstLineChars="175"/>
        <w:rPr>
          <w:rFonts w:hAnsi="宋体"/>
          <w:sz w:val="24"/>
        </w:rPr>
      </w:pPr>
    </w:p>
    <w:p>
      <w:pPr>
        <w:pStyle w:val="25"/>
        <w:spacing w:line="360" w:lineRule="auto"/>
        <w:ind w:firstLine="420" w:firstLineChars="175"/>
        <w:rPr>
          <w:rFonts w:hAnsi="宋体"/>
          <w:sz w:val="24"/>
        </w:rPr>
      </w:pPr>
      <w:r>
        <w:rPr>
          <w:rFonts w:hint="eastAsia" w:hAnsi="宋体"/>
          <w:sz w:val="24"/>
        </w:rPr>
        <w:t>比选人（盖章）：</w:t>
      </w:r>
      <w:r>
        <w:rPr>
          <w:rFonts w:hint="eastAsia" w:hAnsi="宋体"/>
          <w:sz w:val="24"/>
          <w:lang w:eastAsia="zh-Hans"/>
        </w:rPr>
        <w:t>深圳地铁</w:t>
      </w:r>
      <w:r>
        <w:rPr>
          <w:rFonts w:hint="eastAsia" w:hAnsi="宋体"/>
          <w:sz w:val="24"/>
        </w:rPr>
        <w:t>置业集团有限公司</w:t>
      </w:r>
    </w:p>
    <w:p>
      <w:pPr>
        <w:pStyle w:val="25"/>
        <w:spacing w:line="360" w:lineRule="auto"/>
        <w:ind w:firstLine="420" w:firstLineChars="175"/>
        <w:rPr>
          <w:rFonts w:hAnsi="宋体"/>
          <w:sz w:val="24"/>
        </w:rPr>
      </w:pPr>
      <w:r>
        <w:rPr>
          <w:rFonts w:hint="eastAsia" w:hAnsi="宋体"/>
          <w:sz w:val="24"/>
        </w:rPr>
        <w:t>比选人地址：</w:t>
      </w:r>
      <w:r>
        <w:rPr>
          <w:rFonts w:hint="eastAsia" w:hAnsi="宋体"/>
          <w:sz w:val="24"/>
          <w:szCs w:val="24"/>
        </w:rPr>
        <w:t>深圳市福田区深南大道6011-8号深铁置业大厦50楼</w:t>
      </w:r>
    </w:p>
    <w:p>
      <w:pPr>
        <w:pStyle w:val="25"/>
        <w:spacing w:line="360" w:lineRule="auto"/>
        <w:ind w:right="94" w:rightChars="45" w:firstLine="420" w:firstLineChars="175"/>
        <w:rPr>
          <w:rFonts w:hAnsi="宋体"/>
          <w:sz w:val="24"/>
        </w:rPr>
      </w:pPr>
      <w:r>
        <w:rPr>
          <w:rFonts w:hint="eastAsia" w:hAnsi="宋体"/>
          <w:sz w:val="24"/>
        </w:rPr>
        <w:t>邮政编码：</w:t>
      </w:r>
    </w:p>
    <w:p>
      <w:pPr>
        <w:pStyle w:val="25"/>
        <w:spacing w:line="360" w:lineRule="auto"/>
        <w:ind w:firstLine="420" w:firstLineChars="175"/>
        <w:rPr>
          <w:rFonts w:hAnsi="宋体"/>
          <w:sz w:val="24"/>
        </w:rPr>
      </w:pPr>
      <w:r>
        <w:rPr>
          <w:rFonts w:hint="eastAsia" w:hAnsi="宋体"/>
          <w:sz w:val="24"/>
        </w:rPr>
        <w:t>联 系 人：陈工</w:t>
      </w:r>
    </w:p>
    <w:p>
      <w:pPr>
        <w:pStyle w:val="25"/>
        <w:spacing w:line="360" w:lineRule="auto"/>
        <w:ind w:firstLine="420" w:firstLineChars="175"/>
        <w:rPr>
          <w:rFonts w:hAnsi="宋体"/>
          <w:sz w:val="24"/>
        </w:rPr>
      </w:pPr>
      <w:r>
        <w:rPr>
          <w:rFonts w:hint="eastAsia" w:hAnsi="宋体"/>
          <w:sz w:val="24"/>
        </w:rPr>
        <w:t>传真：</w:t>
      </w:r>
    </w:p>
    <w:p>
      <w:pPr>
        <w:pStyle w:val="25"/>
        <w:spacing w:line="360" w:lineRule="auto"/>
        <w:ind w:firstLine="420" w:firstLineChars="175"/>
      </w:pPr>
      <w:r>
        <w:rPr>
          <w:rFonts w:hint="eastAsia" w:hAnsi="宋体"/>
          <w:sz w:val="24"/>
        </w:rPr>
        <w:t>联系电话：</w:t>
      </w:r>
      <w:r>
        <w:rPr>
          <w:rFonts w:hint="eastAsia"/>
        </w:rPr>
        <w:t>89987239</w:t>
      </w:r>
    </w:p>
    <w:p>
      <w:pPr>
        <w:pStyle w:val="25"/>
        <w:spacing w:line="360" w:lineRule="auto"/>
        <w:ind w:firstLine="420" w:firstLineChars="175"/>
        <w:rPr>
          <w:rFonts w:hAnsi="宋体"/>
          <w:sz w:val="24"/>
        </w:rPr>
      </w:pPr>
      <w:r>
        <w:rPr>
          <w:rFonts w:hint="eastAsia" w:hAnsi="宋体"/>
          <w:sz w:val="24"/>
        </w:rPr>
        <w:t>电    邮：</w:t>
      </w:r>
    </w:p>
    <w:p>
      <w:pPr>
        <w:pStyle w:val="25"/>
        <w:spacing w:line="360" w:lineRule="auto"/>
        <w:ind w:firstLine="420" w:firstLineChars="175"/>
        <w:rPr>
          <w:rFonts w:hAnsi="宋体"/>
          <w:sz w:val="24"/>
          <w:u w:val="single"/>
        </w:rPr>
      </w:pPr>
      <w:r>
        <w:rPr>
          <w:rFonts w:hint="eastAsia" w:hAnsi="宋体"/>
          <w:sz w:val="24"/>
        </w:rPr>
        <w:t>日    期：2022年11月</w:t>
      </w:r>
      <w:r>
        <w:rPr>
          <w:rFonts w:hint="eastAsia" w:hAnsi="宋体"/>
          <w:sz w:val="24"/>
          <w:lang w:val="en-US" w:eastAsia="zh-CN"/>
        </w:rPr>
        <w:t>29</w:t>
      </w:r>
      <w:r>
        <w:rPr>
          <w:rFonts w:hint="eastAsia" w:hAnsi="宋体"/>
          <w:sz w:val="24"/>
        </w:rPr>
        <w:t xml:space="preserve"> 日</w:t>
      </w:r>
      <w:bookmarkEnd w:id="11"/>
      <w:bookmarkEnd w:id="12"/>
      <w:bookmarkEnd w:id="13"/>
      <w:bookmarkEnd w:id="14"/>
      <w:bookmarkEnd w:id="15"/>
      <w:bookmarkEnd w:id="16"/>
    </w:p>
    <w:p>
      <w:pPr>
        <w:pStyle w:val="25"/>
        <w:spacing w:line="360" w:lineRule="auto"/>
        <w:ind w:right="480"/>
        <w:rPr>
          <w:rFonts w:hAnsi="宋体"/>
          <w:kern w:val="2"/>
          <w:sz w:val="24"/>
          <w:szCs w:val="24"/>
        </w:rPr>
      </w:pPr>
    </w:p>
    <w:p>
      <w:pPr>
        <w:pStyle w:val="25"/>
        <w:spacing w:line="360" w:lineRule="auto"/>
        <w:ind w:right="480"/>
        <w:rPr>
          <w:rFonts w:hAnsi="宋体"/>
          <w:kern w:val="2"/>
          <w:sz w:val="24"/>
          <w:szCs w:val="24"/>
        </w:rPr>
      </w:pPr>
    </w:p>
    <w:p>
      <w:pPr>
        <w:pStyle w:val="25"/>
        <w:spacing w:line="360" w:lineRule="auto"/>
        <w:ind w:right="480"/>
        <w:rPr>
          <w:rFonts w:hAnsi="宋体"/>
          <w:kern w:val="2"/>
          <w:sz w:val="24"/>
          <w:szCs w:val="24"/>
        </w:rPr>
      </w:pPr>
    </w:p>
    <w:p>
      <w:pPr>
        <w:pStyle w:val="25"/>
        <w:spacing w:line="360" w:lineRule="auto"/>
        <w:ind w:right="480"/>
        <w:rPr>
          <w:rFonts w:hAnsi="宋体"/>
          <w:kern w:val="2"/>
          <w:sz w:val="24"/>
          <w:szCs w:val="24"/>
        </w:rPr>
      </w:pPr>
    </w:p>
    <w:p>
      <w:pPr>
        <w:pStyle w:val="5"/>
        <w:spacing w:before="240" w:line="360" w:lineRule="auto"/>
        <w:jc w:val="both"/>
        <w:rPr>
          <w:rFonts w:ascii="宋体" w:hAnsi="宋体"/>
          <w:b w:val="0"/>
          <w:sz w:val="44"/>
          <w:szCs w:val="44"/>
        </w:rPr>
      </w:pPr>
      <w:bookmarkStart w:id="17" w:name="_Toc57731943"/>
      <w:bookmarkStart w:id="18" w:name="_Toc518494114"/>
    </w:p>
    <w:p>
      <w:pPr>
        <w:pStyle w:val="5"/>
        <w:spacing w:before="240" w:line="360" w:lineRule="auto"/>
        <w:rPr>
          <w:rFonts w:ascii="宋体" w:hAnsi="宋体"/>
          <w:b w:val="0"/>
          <w:sz w:val="44"/>
          <w:szCs w:val="44"/>
        </w:rPr>
      </w:pPr>
      <w:r>
        <w:rPr>
          <w:rFonts w:hint="eastAsia" w:ascii="宋体" w:hAnsi="宋体"/>
          <w:b w:val="0"/>
          <w:sz w:val="44"/>
          <w:szCs w:val="44"/>
        </w:rPr>
        <w:t>参选文件</w:t>
      </w:r>
      <w:bookmarkStart w:id="19" w:name="OLE_LINK1"/>
      <w:r>
        <w:rPr>
          <w:rFonts w:hint="eastAsia" w:ascii="宋体" w:hAnsi="宋体"/>
          <w:b w:val="0"/>
          <w:sz w:val="44"/>
          <w:szCs w:val="44"/>
        </w:rPr>
        <w:t>无效和废标的情形</w:t>
      </w:r>
      <w:bookmarkEnd w:id="19"/>
      <w:r>
        <w:rPr>
          <w:rFonts w:hint="eastAsia" w:ascii="宋体" w:hAnsi="宋体"/>
          <w:b w:val="0"/>
          <w:sz w:val="44"/>
          <w:szCs w:val="44"/>
        </w:rPr>
        <w:t>摘要</w:t>
      </w:r>
      <w:bookmarkEnd w:id="17"/>
      <w:bookmarkEnd w:id="18"/>
    </w:p>
    <w:p>
      <w:pPr>
        <w:pStyle w:val="25"/>
        <w:spacing w:line="360" w:lineRule="auto"/>
        <w:ind w:firstLine="482" w:firstLineChars="200"/>
        <w:rPr>
          <w:rFonts w:hAnsi="宋体"/>
          <w:b/>
          <w:bCs/>
          <w:sz w:val="24"/>
          <w:szCs w:val="36"/>
        </w:rPr>
      </w:pPr>
      <w:r>
        <w:rPr>
          <w:rFonts w:hint="eastAsia" w:hAnsi="宋体"/>
          <w:b/>
          <w:bCs/>
          <w:sz w:val="24"/>
          <w:szCs w:val="36"/>
        </w:rPr>
        <w:t>本章节是本比选文件中涉及的所有无效标和废标情形的摘要，除出现以下情形外，参选文件的其他任何情形均不得作无效标和废标处理。比选文件中有关无效标和废标条款的阐述与本章节不一致的，以本章节内容为准。</w:t>
      </w:r>
    </w:p>
    <w:p>
      <w:pPr>
        <w:spacing w:line="360" w:lineRule="auto"/>
        <w:ind w:firstLine="472" w:firstLineChars="196"/>
        <w:rPr>
          <w:rFonts w:ascii="宋体" w:hAnsi="宋体"/>
          <w:b/>
          <w:sz w:val="24"/>
          <w:szCs w:val="24"/>
        </w:rPr>
      </w:pPr>
      <w:r>
        <w:rPr>
          <w:rFonts w:hint="eastAsia" w:ascii="宋体" w:hAnsi="宋体"/>
          <w:b/>
          <w:sz w:val="24"/>
          <w:szCs w:val="24"/>
        </w:rPr>
        <w:t>一、参选文件不予受理的情形（由比选人负责判定）:</w:t>
      </w:r>
    </w:p>
    <w:p>
      <w:pPr>
        <w:spacing w:line="360" w:lineRule="auto"/>
        <w:ind w:left="480"/>
        <w:rPr>
          <w:rFonts w:ascii="宋体" w:hAnsi="宋体"/>
          <w:bCs/>
          <w:sz w:val="24"/>
          <w:szCs w:val="32"/>
          <w:u w:val="single"/>
        </w:rPr>
      </w:pPr>
      <w:r>
        <w:rPr>
          <w:rFonts w:hint="eastAsia" w:ascii="宋体" w:hAnsi="宋体"/>
          <w:sz w:val="24"/>
        </w:rPr>
        <w:t>1.</w:t>
      </w:r>
      <w:r>
        <w:rPr>
          <w:rFonts w:hint="eastAsia" w:ascii="宋体" w:hAnsi="宋体"/>
          <w:sz w:val="24"/>
          <w:szCs w:val="24"/>
        </w:rPr>
        <w:t>参选文件在规定的参选截止时间以后送达的或者未送达指定地点的；</w:t>
      </w:r>
    </w:p>
    <w:p>
      <w:pPr>
        <w:spacing w:line="360" w:lineRule="auto"/>
        <w:ind w:left="480"/>
        <w:rPr>
          <w:rFonts w:ascii="宋体" w:hAnsi="宋体"/>
          <w:sz w:val="24"/>
        </w:rPr>
      </w:pPr>
      <w:r>
        <w:rPr>
          <w:rFonts w:hint="eastAsia" w:ascii="宋体" w:hAnsi="宋体"/>
          <w:bCs/>
          <w:sz w:val="24"/>
          <w:szCs w:val="24"/>
        </w:rPr>
        <w:t>2.参选文件未按规定编制并加盖参选人公章的</w:t>
      </w:r>
      <w:r>
        <w:rPr>
          <w:rFonts w:hint="eastAsia" w:ascii="宋体" w:hAnsi="宋体"/>
          <w:sz w:val="24"/>
        </w:rPr>
        <w:t>。</w:t>
      </w:r>
    </w:p>
    <w:p>
      <w:pPr>
        <w:spacing w:line="360" w:lineRule="auto"/>
        <w:ind w:firstLine="480" w:firstLineChars="200"/>
        <w:rPr>
          <w:rFonts w:ascii="宋体" w:hAnsi="宋体"/>
          <w:b/>
          <w:sz w:val="24"/>
        </w:rPr>
      </w:pPr>
      <w:r>
        <w:rPr>
          <w:rFonts w:hint="eastAsia" w:ascii="宋体" w:hAnsi="宋体"/>
          <w:sz w:val="24"/>
          <w:szCs w:val="24"/>
        </w:rPr>
        <w:t>二、</w:t>
      </w:r>
      <w:r>
        <w:rPr>
          <w:rFonts w:hint="eastAsia" w:ascii="宋体" w:hAnsi="宋体"/>
          <w:b/>
          <w:sz w:val="24"/>
        </w:rPr>
        <w:t>参选文件有下列情形之一的，初步评审不合格，应作无效标处理</w:t>
      </w:r>
      <w:r>
        <w:rPr>
          <w:rFonts w:hint="eastAsia" w:ascii="宋体" w:hAnsi="宋体"/>
          <w:b/>
          <w:bCs/>
          <w:sz w:val="24"/>
          <w:szCs w:val="32"/>
        </w:rPr>
        <w:t>（由评标委员会负责判定）</w:t>
      </w:r>
      <w:r>
        <w:rPr>
          <w:rFonts w:hint="eastAsia" w:ascii="宋体" w:hAnsi="宋体"/>
          <w:b/>
          <w:sz w:val="24"/>
        </w:rPr>
        <w:t>:</w:t>
      </w:r>
    </w:p>
    <w:p>
      <w:pPr>
        <w:spacing w:line="360" w:lineRule="auto"/>
        <w:ind w:left="480"/>
        <w:rPr>
          <w:rFonts w:ascii="宋体" w:hAnsi="宋体"/>
          <w:sz w:val="24"/>
        </w:rPr>
      </w:pPr>
      <w:r>
        <w:rPr>
          <w:rFonts w:hint="eastAsia" w:ascii="宋体" w:hAnsi="宋体"/>
          <w:sz w:val="24"/>
        </w:rPr>
        <w:t>1．参选文件未按要求加盖参选人公章的；</w:t>
      </w:r>
    </w:p>
    <w:p>
      <w:pPr>
        <w:spacing w:line="360" w:lineRule="auto"/>
        <w:ind w:left="480"/>
        <w:rPr>
          <w:rFonts w:ascii="宋体" w:hAnsi="宋体"/>
          <w:sz w:val="24"/>
        </w:rPr>
      </w:pPr>
      <w:r>
        <w:rPr>
          <w:rFonts w:hint="eastAsia" w:ascii="宋体" w:hAnsi="宋体"/>
          <w:sz w:val="24"/>
        </w:rPr>
        <w:t>2．参选文件未经法定代表人或其委托代理人签字或盖章的，或由委托代理人签字但未随参选文件一起提供“法定代表人授权书”原件的；</w:t>
      </w:r>
    </w:p>
    <w:p>
      <w:pPr>
        <w:spacing w:line="360" w:lineRule="auto"/>
        <w:ind w:left="480"/>
        <w:rPr>
          <w:rFonts w:ascii="宋体" w:hAnsi="宋体"/>
          <w:sz w:val="24"/>
        </w:rPr>
      </w:pPr>
      <w:r>
        <w:rPr>
          <w:rFonts w:hint="eastAsia" w:ascii="宋体" w:hAnsi="宋体"/>
          <w:sz w:val="24"/>
        </w:rPr>
        <w:t>3．对固定的参选格式文件内容进行了实质性修改，或加进额外的条件；</w:t>
      </w:r>
    </w:p>
    <w:p>
      <w:pPr>
        <w:spacing w:line="360" w:lineRule="auto"/>
        <w:ind w:left="480"/>
        <w:rPr>
          <w:rFonts w:ascii="宋体" w:hAnsi="宋体"/>
          <w:sz w:val="24"/>
        </w:rPr>
      </w:pPr>
      <w:r>
        <w:rPr>
          <w:rFonts w:hint="eastAsia" w:ascii="宋体" w:hAnsi="宋体"/>
          <w:sz w:val="24"/>
        </w:rPr>
        <w:t>4．参选函中的内容未按比选文件的要求填写；</w:t>
      </w:r>
    </w:p>
    <w:p>
      <w:pPr>
        <w:spacing w:line="360" w:lineRule="auto"/>
        <w:ind w:left="480"/>
        <w:rPr>
          <w:rFonts w:ascii="宋体" w:hAnsi="宋体"/>
          <w:sz w:val="24"/>
        </w:rPr>
      </w:pPr>
      <w:r>
        <w:rPr>
          <w:rFonts w:hint="eastAsia" w:ascii="宋体" w:hAnsi="宋体"/>
          <w:sz w:val="24"/>
        </w:rPr>
        <w:t>5．参选人的报价超出本项目参选上限价或单项上限价；</w:t>
      </w:r>
    </w:p>
    <w:p>
      <w:pPr>
        <w:spacing w:line="360" w:lineRule="auto"/>
        <w:ind w:left="480"/>
        <w:rPr>
          <w:rFonts w:ascii="宋体" w:hAnsi="宋体"/>
          <w:sz w:val="24"/>
        </w:rPr>
      </w:pPr>
      <w:r>
        <w:rPr>
          <w:rFonts w:hint="eastAsia" w:ascii="宋体" w:hAnsi="宋体"/>
          <w:sz w:val="24"/>
        </w:rPr>
        <w:t>6. 经审查参选人不符合资格要求的。</w:t>
      </w:r>
    </w:p>
    <w:p>
      <w:pPr>
        <w:spacing w:line="360" w:lineRule="auto"/>
        <w:ind w:left="480"/>
        <w:rPr>
          <w:rFonts w:ascii="宋体" w:hAnsi="宋体"/>
          <w:b/>
          <w:sz w:val="24"/>
        </w:rPr>
      </w:pPr>
      <w:r>
        <w:rPr>
          <w:rFonts w:hint="eastAsia" w:ascii="宋体" w:hAnsi="宋体"/>
          <w:b/>
          <w:sz w:val="24"/>
        </w:rPr>
        <w:t>三、参选文件存在下列情形的，应作废标处理（由评标委员会负责判定）：</w:t>
      </w:r>
    </w:p>
    <w:p>
      <w:pPr>
        <w:numPr>
          <w:ilvl w:val="0"/>
          <w:numId w:val="2"/>
        </w:numPr>
        <w:adjustRightInd w:val="0"/>
        <w:snapToGrid w:val="0"/>
        <w:spacing w:line="360" w:lineRule="auto"/>
        <w:ind w:left="0" w:firstLine="480" w:firstLineChars="200"/>
        <w:rPr>
          <w:rFonts w:ascii="宋体" w:hAnsi="宋体"/>
          <w:sz w:val="24"/>
          <w:szCs w:val="24"/>
        </w:rPr>
      </w:pPr>
      <w:bookmarkStart w:id="20" w:name="_Toc434234570"/>
      <w:bookmarkStart w:id="21" w:name="_Toc57731944"/>
      <w:r>
        <w:rPr>
          <w:rFonts w:hint="eastAsia" w:ascii="宋体" w:hAnsi="宋体"/>
          <w:sz w:val="24"/>
          <w:szCs w:val="24"/>
        </w:rPr>
        <w:t>参选人以他人的名义参选或出现串通参选、弄虚作假情形的：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不同参选人的参选文件内容存在非正常一致的</w:t>
      </w:r>
      <w:r>
        <w:rPr>
          <w:rFonts w:hint="eastAsia" w:ascii="宋体" w:hAnsi="宋体"/>
          <w:sz w:val="24"/>
          <w:szCs w:val="32"/>
        </w:rPr>
        <w:t>（包括但不限于线上递交参选文件的CPU序号、硬盘序列号、MAC地址、IP地址等）</w:t>
      </w:r>
      <w:r>
        <w:rPr>
          <w:rFonts w:hint="eastAsia" w:ascii="宋体" w:hAnsi="宋体"/>
          <w:sz w:val="24"/>
          <w:szCs w:val="24"/>
        </w:rPr>
        <w:t>；</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不同参选人的参选文件错漏之处一致的；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不同参选人的参选报价或者报价组成异常一致或者呈规律性变化的；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不同参选人的参选文件由同一单位或者同一个人编制的；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不同参选人的参选文件载明的项目负责人与主要技术人员出现同一人的；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不同参选人的参选文件相互混装的；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不同参选人委托同一人参选的；</w:t>
      </w:r>
    </w:p>
    <w:p>
      <w:pPr>
        <w:numPr>
          <w:ilvl w:val="0"/>
          <w:numId w:val="2"/>
        </w:numPr>
        <w:adjustRightInd w:val="0"/>
        <w:snapToGrid w:val="0"/>
        <w:spacing w:line="360" w:lineRule="auto"/>
        <w:ind w:left="0" w:firstLine="480" w:firstLineChars="200"/>
        <w:rPr>
          <w:rFonts w:ascii="宋体" w:hAnsi="宋体"/>
          <w:sz w:val="24"/>
          <w:szCs w:val="24"/>
        </w:rPr>
      </w:pPr>
      <w:r>
        <w:rPr>
          <w:rFonts w:hint="eastAsia" w:ascii="宋体" w:hAnsi="宋体"/>
          <w:sz w:val="24"/>
          <w:szCs w:val="24"/>
        </w:rPr>
        <w:t>不同参选人聘请同一人为其参选提供技术或者经济咨询服务的，但比选项目本身要求采用专有技术的除外。</w:t>
      </w:r>
    </w:p>
    <w:p>
      <w:pPr>
        <w:numPr>
          <w:ilvl w:val="255"/>
          <w:numId w:val="0"/>
        </w:numPr>
        <w:adjustRightInd w:val="0"/>
        <w:snapToGrid w:val="0"/>
        <w:spacing w:line="360" w:lineRule="auto"/>
        <w:ind w:left="420" w:leftChars="200"/>
        <w:rPr>
          <w:rFonts w:ascii="宋体" w:hAnsi="宋体"/>
          <w:sz w:val="24"/>
          <w:szCs w:val="24"/>
        </w:rPr>
      </w:pPr>
      <w:r>
        <w:rPr>
          <w:rFonts w:hint="eastAsia" w:ascii="宋体" w:hAnsi="宋体"/>
          <w:sz w:val="24"/>
          <w:szCs w:val="24"/>
        </w:rPr>
        <w:t>10. 参选人拒不按照评标委员会要求对参选文件进行澄清、说明、补正的。</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当参选人出现上述10条的情形时，比选人将该参选人列入比选人不良诚信行为名录，并保留对外公示的权利。</w:t>
      </w:r>
    </w:p>
    <w:p>
      <w:pPr>
        <w:adjustRightInd w:val="0"/>
        <w:snapToGrid w:val="0"/>
        <w:spacing w:line="360" w:lineRule="auto"/>
        <w:ind w:left="480"/>
        <w:rPr>
          <w:rFonts w:ascii="宋体" w:hAnsi="宋体"/>
          <w:b/>
          <w:color w:val="0D0D0D"/>
          <w:sz w:val="24"/>
        </w:rPr>
      </w:pPr>
      <w:r>
        <w:rPr>
          <w:rFonts w:hint="eastAsia" w:ascii="宋体" w:hAnsi="宋体"/>
          <w:b/>
          <w:color w:val="0D0D0D"/>
          <w:sz w:val="24"/>
        </w:rPr>
        <w:t>四</w:t>
      </w:r>
      <w:r>
        <w:rPr>
          <w:rFonts w:ascii="宋体" w:hAnsi="宋体"/>
          <w:b/>
          <w:color w:val="0D0D0D"/>
          <w:sz w:val="24"/>
        </w:rPr>
        <w:t>、本项目不接受有下列情形之一的企业或从业人员参与参选：</w:t>
      </w:r>
    </w:p>
    <w:p>
      <w:pPr>
        <w:adjustRightInd w:val="0"/>
        <w:snapToGrid w:val="0"/>
        <w:spacing w:line="360" w:lineRule="auto"/>
        <w:ind w:firstLine="480" w:firstLineChars="200"/>
        <w:rPr>
          <w:rFonts w:ascii="宋体" w:hAnsi="宋体"/>
          <w:color w:val="0D0D0D"/>
          <w:sz w:val="24"/>
        </w:rPr>
      </w:pPr>
      <w:r>
        <w:rPr>
          <w:rFonts w:ascii="宋体" w:hAnsi="宋体"/>
          <w:color w:val="0D0D0D"/>
          <w:sz w:val="24"/>
        </w:rPr>
        <w:t>1</w:t>
      </w:r>
      <w:r>
        <w:rPr>
          <w:rFonts w:hint="eastAsia" w:ascii="宋体" w:hAnsi="宋体"/>
          <w:color w:val="0D0D0D"/>
          <w:sz w:val="24"/>
        </w:rPr>
        <w:t>、</w:t>
      </w:r>
      <w:r>
        <w:rPr>
          <w:rFonts w:ascii="宋体" w:hAnsi="宋体"/>
          <w:color w:val="0D0D0D"/>
          <w:sz w:val="24"/>
        </w:rPr>
        <w:t>2019</w:t>
      </w:r>
      <w:r>
        <w:rPr>
          <w:rFonts w:hint="eastAsia" w:ascii="宋体" w:hAnsi="宋体"/>
          <w:color w:val="0D0D0D"/>
          <w:sz w:val="24"/>
        </w:rPr>
        <w:t>年</w:t>
      </w:r>
      <w:r>
        <w:rPr>
          <w:rFonts w:ascii="宋体" w:hAnsi="宋体"/>
          <w:color w:val="0D0D0D"/>
          <w:sz w:val="24"/>
        </w:rPr>
        <w:t>1月1日以来，有串通参选不良行为记录或涉嫌串通参选，并正在接受城市主管部门调查的参选申请人；</w:t>
      </w:r>
    </w:p>
    <w:p>
      <w:pPr>
        <w:adjustRightInd w:val="0"/>
        <w:snapToGrid w:val="0"/>
        <w:spacing w:line="360" w:lineRule="auto"/>
        <w:ind w:firstLine="480" w:firstLineChars="200"/>
        <w:rPr>
          <w:rFonts w:ascii="宋体" w:hAnsi="宋体"/>
          <w:color w:val="0D0D0D"/>
          <w:sz w:val="24"/>
        </w:rPr>
      </w:pPr>
      <w:r>
        <w:rPr>
          <w:rFonts w:ascii="宋体" w:hAnsi="宋体"/>
          <w:color w:val="0D0D0D"/>
          <w:sz w:val="24"/>
        </w:rPr>
        <w:t>2</w:t>
      </w:r>
      <w:r>
        <w:rPr>
          <w:rFonts w:hint="eastAsia" w:ascii="宋体" w:hAnsi="宋体"/>
          <w:color w:val="0D0D0D"/>
          <w:sz w:val="24"/>
        </w:rPr>
        <w:t>、</w:t>
      </w:r>
      <w:r>
        <w:rPr>
          <w:rFonts w:ascii="宋体" w:hAnsi="宋体"/>
          <w:color w:val="0D0D0D"/>
          <w:sz w:val="24"/>
        </w:rPr>
        <w:t>2019年1月1日以来，在</w:t>
      </w:r>
      <w:r>
        <w:rPr>
          <w:rFonts w:hint="eastAsia" w:ascii="宋体" w:hAnsi="宋体"/>
          <w:color w:val="0D0D0D"/>
          <w:sz w:val="24"/>
        </w:rPr>
        <w:t>深圳置业集团有限公司</w:t>
      </w:r>
      <w:r>
        <w:rPr>
          <w:rFonts w:ascii="宋体" w:hAnsi="宋体"/>
          <w:color w:val="0D0D0D"/>
          <w:sz w:val="24"/>
        </w:rPr>
        <w:t>或下属单位合同履约评价考核等级为D的参选申请人不得参选。</w:t>
      </w:r>
    </w:p>
    <w:p>
      <w:pPr>
        <w:adjustRightInd w:val="0"/>
        <w:snapToGrid w:val="0"/>
        <w:spacing w:line="360" w:lineRule="auto"/>
        <w:ind w:left="482"/>
        <w:rPr>
          <w:rFonts w:ascii="宋体" w:hAnsi="宋体"/>
          <w:color w:val="0D0D0D"/>
          <w:sz w:val="24"/>
        </w:rPr>
      </w:pPr>
      <w:r>
        <w:rPr>
          <w:rFonts w:ascii="宋体" w:hAnsi="宋体"/>
          <w:color w:val="0D0D0D"/>
          <w:sz w:val="24"/>
        </w:rPr>
        <w:t>3、联合体参选申请人。</w:t>
      </w:r>
    </w:p>
    <w:p>
      <w:pPr>
        <w:pStyle w:val="2"/>
      </w:pPr>
    </w:p>
    <w:p>
      <w:pPr>
        <w:pStyle w:val="6"/>
        <w:spacing w:line="360" w:lineRule="auto"/>
        <w:jc w:val="both"/>
        <w:rPr>
          <w:rFonts w:ascii="宋体" w:hAnsi="宋体" w:eastAsia="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spacing w:line="360" w:lineRule="auto"/>
        <w:rPr>
          <w:rFonts w:ascii="宋体" w:hAnsi="宋体"/>
          <w:b/>
        </w:rPr>
      </w:pPr>
    </w:p>
    <w:p>
      <w:pPr>
        <w:pStyle w:val="2"/>
        <w:spacing w:line="360" w:lineRule="auto"/>
        <w:ind w:left="0" w:leftChars="0" w:firstLine="0" w:firstLineChars="0"/>
      </w:pPr>
    </w:p>
    <w:p>
      <w:pPr>
        <w:pStyle w:val="2"/>
        <w:spacing w:line="360" w:lineRule="auto"/>
        <w:ind w:left="0" w:leftChars="0" w:firstLine="0" w:firstLineChars="0"/>
      </w:pPr>
    </w:p>
    <w:p>
      <w:pPr>
        <w:pStyle w:val="6"/>
        <w:spacing w:line="360" w:lineRule="auto"/>
        <w:rPr>
          <w:rFonts w:ascii="宋体" w:hAnsi="宋体" w:eastAsia="宋体"/>
          <w:b/>
          <w:sz w:val="44"/>
          <w:szCs w:val="44"/>
        </w:rPr>
      </w:pPr>
      <w:r>
        <w:rPr>
          <w:rFonts w:hint="eastAsia" w:ascii="宋体" w:hAnsi="宋体" w:eastAsia="宋体"/>
          <w:b/>
          <w:sz w:val="44"/>
          <w:szCs w:val="44"/>
        </w:rPr>
        <w:t>比选公告</w:t>
      </w:r>
      <w:bookmarkEnd w:id="20"/>
      <w:bookmarkEnd w:id="21"/>
    </w:p>
    <w:p>
      <w:pPr>
        <w:pStyle w:val="25"/>
        <w:spacing w:line="360" w:lineRule="auto"/>
        <w:ind w:firstLine="480" w:firstLineChars="200"/>
        <w:jc w:val="left"/>
        <w:rPr>
          <w:rFonts w:hAnsi="宋体"/>
          <w:kern w:val="2"/>
          <w:sz w:val="24"/>
          <w:szCs w:val="24"/>
        </w:rPr>
      </w:pPr>
      <w:r>
        <w:rPr>
          <w:rFonts w:hint="eastAsia" w:hAnsi="宋体"/>
          <w:sz w:val="24"/>
          <w:szCs w:val="24"/>
        </w:rPr>
        <w:t>深圳置业集团有限公司拟对</w:t>
      </w:r>
      <w:r>
        <w:rPr>
          <w:rFonts w:hint="eastAsia" w:hAnsi="宋体"/>
          <w:color w:val="0D0D0D"/>
          <w:sz w:val="24"/>
          <w:szCs w:val="24"/>
          <w:u w:val="single"/>
        </w:rPr>
        <w:t>昂鹅等</w:t>
      </w:r>
      <w:r>
        <w:rPr>
          <w:rFonts w:hint="eastAsia" w:hAnsi="宋体"/>
          <w:color w:val="0D0D0D"/>
          <w:sz w:val="24"/>
          <w:szCs w:val="24"/>
          <w:u w:val="single"/>
          <w:lang w:val="en-US" w:eastAsia="zh-CN"/>
        </w:rPr>
        <w:t>十五</w:t>
      </w:r>
      <w:r>
        <w:rPr>
          <w:rFonts w:hint="eastAsia" w:hAnsi="宋体"/>
          <w:color w:val="0D0D0D"/>
          <w:sz w:val="24"/>
          <w:szCs w:val="24"/>
          <w:u w:val="single"/>
        </w:rPr>
        <w:t>个新项目税务咨询服务业务</w:t>
      </w:r>
      <w:r>
        <w:rPr>
          <w:rFonts w:hint="eastAsia" w:hAnsi="宋体"/>
          <w:b/>
          <w:sz w:val="24"/>
          <w:szCs w:val="24"/>
        </w:rPr>
        <w:t>（以下简称“本项目”）</w:t>
      </w:r>
      <w:r>
        <w:rPr>
          <w:rFonts w:hint="eastAsia" w:hAnsi="宋体"/>
          <w:sz w:val="24"/>
          <w:szCs w:val="24"/>
        </w:rPr>
        <w:t>进行公开比选，欢迎符合本比选公告公布资质要求的参选</w:t>
      </w:r>
      <w:r>
        <w:rPr>
          <w:rFonts w:hAnsi="宋体"/>
          <w:sz w:val="24"/>
          <w:szCs w:val="24"/>
        </w:rPr>
        <w:t>人</w:t>
      </w:r>
      <w:r>
        <w:rPr>
          <w:rFonts w:hint="eastAsia" w:hAnsi="宋体"/>
          <w:sz w:val="24"/>
          <w:szCs w:val="24"/>
        </w:rPr>
        <w:t>参加比选。</w:t>
      </w:r>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bookmarkStart w:id="22" w:name="_Toc57731945"/>
      <w:r>
        <w:rPr>
          <w:rFonts w:hint="eastAsia" w:ascii="宋体" w:hAnsi="宋体"/>
          <w:b/>
          <w:kern w:val="0"/>
          <w:sz w:val="24"/>
          <w:szCs w:val="24"/>
        </w:rPr>
        <w:t>一、项目名称</w:t>
      </w:r>
      <w:bookmarkEnd w:id="22"/>
    </w:p>
    <w:p>
      <w:pPr>
        <w:spacing w:line="360" w:lineRule="auto"/>
        <w:ind w:firstLine="480" w:firstLineChars="200"/>
        <w:rPr>
          <w:rFonts w:ascii="宋体" w:hAnsi="宋体"/>
          <w:sz w:val="24"/>
          <w:szCs w:val="24"/>
        </w:rPr>
      </w:pPr>
      <w:bookmarkStart w:id="23" w:name="_Toc57731946"/>
      <w:r>
        <w:rPr>
          <w:rFonts w:hint="eastAsia" w:hAnsi="宋体"/>
          <w:color w:val="0D0D0D"/>
          <w:sz w:val="24"/>
          <w:szCs w:val="24"/>
          <w:u w:val="single"/>
        </w:rPr>
        <w:t>昂鹅等</w:t>
      </w:r>
      <w:r>
        <w:rPr>
          <w:rFonts w:hint="eastAsia" w:hAnsi="宋体"/>
          <w:color w:val="0D0D0D"/>
          <w:sz w:val="24"/>
          <w:szCs w:val="24"/>
          <w:u w:val="single"/>
          <w:lang w:val="en-US" w:eastAsia="zh-CN"/>
        </w:rPr>
        <w:t>十五</w:t>
      </w:r>
      <w:r>
        <w:rPr>
          <w:rFonts w:hint="eastAsia" w:hAnsi="宋体"/>
          <w:color w:val="0D0D0D"/>
          <w:sz w:val="24"/>
          <w:szCs w:val="24"/>
          <w:u w:val="single"/>
        </w:rPr>
        <w:t>个新项目税务咨询服务业务</w:t>
      </w:r>
      <w:r>
        <w:rPr>
          <w:rFonts w:hint="eastAsia" w:hAnsi="宋体"/>
          <w:sz w:val="24"/>
          <w:szCs w:val="24"/>
        </w:rPr>
        <w:t>。</w:t>
      </w:r>
    </w:p>
    <w:p>
      <w:pPr>
        <w:numPr>
          <w:ilvl w:val="0"/>
          <w:numId w:val="3"/>
        </w:numPr>
        <w:spacing w:line="360" w:lineRule="auto"/>
        <w:ind w:left="479" w:leftChars="228"/>
        <w:rPr>
          <w:rFonts w:ascii="宋体" w:hAnsi="宋体"/>
          <w:b/>
          <w:kern w:val="0"/>
          <w:sz w:val="24"/>
          <w:szCs w:val="24"/>
        </w:rPr>
      </w:pPr>
      <w:r>
        <w:rPr>
          <w:rFonts w:hint="eastAsia" w:ascii="宋体" w:hAnsi="宋体"/>
          <w:b/>
          <w:kern w:val="0"/>
          <w:sz w:val="24"/>
          <w:szCs w:val="24"/>
        </w:rPr>
        <w:t>项目概况</w:t>
      </w:r>
    </w:p>
    <w:p>
      <w:pPr>
        <w:spacing w:line="360" w:lineRule="auto"/>
        <w:ind w:firstLine="480" w:firstLineChars="200"/>
        <w:rPr>
          <w:rFonts w:ascii="宋体" w:hAnsi="宋体"/>
          <w:color w:val="0D0D0D"/>
          <w:sz w:val="24"/>
          <w:szCs w:val="24"/>
        </w:rPr>
      </w:pPr>
      <w:r>
        <w:rPr>
          <w:rFonts w:hint="eastAsia" w:ascii="宋体" w:hAnsi="宋体"/>
          <w:color w:val="0D0D0D"/>
          <w:sz w:val="24"/>
          <w:szCs w:val="24"/>
        </w:rPr>
        <w:t>目前，深铁集团已获取27个项目土地开发权，建筑面积（含配建）合计约1400万㎡ 。27个项目货值约4141亿元，剔除自持物业后可售货值3670亿元，已售货值1157亿元，剩余可售货值2513亿元。截止到2022年9月，已有15个项目先后入市销售，销售额累计约1157亿元，销售总面积约195.5万㎡。</w:t>
      </w:r>
    </w:p>
    <w:p>
      <w:pPr>
        <w:spacing w:line="360" w:lineRule="auto"/>
        <w:ind w:firstLine="480" w:firstLineChars="200"/>
        <w:rPr>
          <w:rFonts w:ascii="宋体" w:hAnsi="宋体"/>
          <w:color w:val="0D0D0D"/>
          <w:sz w:val="24"/>
          <w:szCs w:val="24"/>
        </w:rPr>
      </w:pPr>
      <w:r>
        <w:rPr>
          <w:rFonts w:hint="eastAsia" w:hAnsi="宋体"/>
          <w:color w:val="0D0D0D"/>
          <w:sz w:val="24"/>
          <w:szCs w:val="24"/>
        </w:rPr>
        <w:t>昂鹅</w:t>
      </w:r>
      <w:r>
        <w:rPr>
          <w:rFonts w:hint="eastAsia" w:ascii="宋体" w:hAnsi="宋体"/>
          <w:color w:val="0D0D0D"/>
          <w:sz w:val="24"/>
          <w:szCs w:val="24"/>
        </w:rPr>
        <w:t>等新项目的概况如下：</w:t>
      </w:r>
    </w:p>
    <w:tbl>
      <w:tblPr>
        <w:tblStyle w:val="49"/>
        <w:tblpPr w:leftFromText="180" w:rightFromText="180" w:vertAnchor="text" w:horzAnchor="page" w:tblpX="1662" w:tblpY="573"/>
        <w:tblOverlap w:val="never"/>
        <w:tblW w:w="7260" w:type="dxa"/>
        <w:tblInd w:w="0" w:type="dxa"/>
        <w:tblLayout w:type="autofit"/>
        <w:tblCellMar>
          <w:top w:w="0" w:type="dxa"/>
          <w:left w:w="108" w:type="dxa"/>
          <w:bottom w:w="0" w:type="dxa"/>
          <w:right w:w="108" w:type="dxa"/>
        </w:tblCellMar>
      </w:tblPr>
      <w:tblGrid>
        <w:gridCol w:w="960"/>
        <w:gridCol w:w="2988"/>
        <w:gridCol w:w="1656"/>
        <w:gridCol w:w="1656"/>
      </w:tblGrid>
      <w:tr>
        <w:tblPrEx>
          <w:tblCellMar>
            <w:top w:w="0" w:type="dxa"/>
            <w:left w:w="108" w:type="dxa"/>
            <w:bottom w:w="0" w:type="dxa"/>
            <w:right w:w="108" w:type="dxa"/>
          </w:tblCellMar>
        </w:tblPrEx>
        <w:trPr>
          <w:trHeight w:val="5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序号</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项目名称</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占地面积（公顷）</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建筑面积（万平方米）</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昂鹅车辆段一期二期</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19.22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43</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坪山石井街道项目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3.1</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12</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3</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平湖枢纽交通核项目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1.9</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8</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4</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新项目12个（预计项目）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w:t>
            </w:r>
          </w:p>
        </w:tc>
      </w:tr>
    </w:tbl>
    <w:p>
      <w:pPr>
        <w:spacing w:line="360" w:lineRule="auto"/>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r>
        <w:rPr>
          <w:rFonts w:hint="eastAsia" w:ascii="宋体" w:hAnsi="宋体"/>
          <w:color w:val="0D0D0D"/>
          <w:sz w:val="24"/>
          <w:szCs w:val="24"/>
        </w:rPr>
        <w:t>上述“项目1-3”为已获取的项目，预计后续3年还会获取1</w:t>
      </w:r>
      <w:r>
        <w:rPr>
          <w:rFonts w:ascii="宋体" w:hAnsi="宋体"/>
          <w:color w:val="0D0D0D"/>
          <w:sz w:val="24"/>
          <w:szCs w:val="24"/>
        </w:rPr>
        <w:t>2</w:t>
      </w:r>
      <w:r>
        <w:rPr>
          <w:rFonts w:hint="eastAsia" w:ascii="宋体" w:hAnsi="宋体"/>
          <w:color w:val="0D0D0D"/>
          <w:sz w:val="24"/>
          <w:szCs w:val="24"/>
        </w:rPr>
        <w:t>个新项目，以上15个项目不分先后，按项目开发顺序开展相关工作，具体服务新项目以实际为准，需提供服务的项目总数为15个。</w:t>
      </w:r>
    </w:p>
    <w:p>
      <w:pPr>
        <w:spacing w:line="360" w:lineRule="auto"/>
        <w:ind w:firstLine="480" w:firstLineChars="200"/>
        <w:rPr>
          <w:rFonts w:ascii="宋体" w:hAnsi="宋体"/>
          <w:color w:val="0D0D0D"/>
          <w:sz w:val="24"/>
          <w:szCs w:val="24"/>
        </w:rPr>
      </w:pPr>
      <w:r>
        <w:rPr>
          <w:rFonts w:hint="eastAsia" w:ascii="宋体" w:hAnsi="宋体"/>
          <w:color w:val="0D0D0D"/>
          <w:sz w:val="24"/>
          <w:szCs w:val="24"/>
        </w:rPr>
        <w:t>备注：项目最终站点名称、商业面积以政府相关审批的文件为准。</w:t>
      </w:r>
    </w:p>
    <w:p>
      <w:pPr>
        <w:spacing w:line="360" w:lineRule="auto"/>
        <w:ind w:left="479" w:leftChars="228"/>
        <w:rPr>
          <w:rFonts w:ascii="宋体" w:hAnsi="宋体"/>
          <w:b/>
          <w:kern w:val="0"/>
          <w:sz w:val="24"/>
          <w:szCs w:val="24"/>
        </w:rPr>
      </w:pPr>
      <w:r>
        <w:rPr>
          <w:rFonts w:hint="eastAsia" w:ascii="宋体" w:hAnsi="宋体"/>
          <w:b/>
          <w:kern w:val="0"/>
          <w:sz w:val="24"/>
          <w:szCs w:val="24"/>
        </w:rPr>
        <w:t>三、比选内容</w:t>
      </w:r>
      <w:bookmarkEnd w:id="23"/>
      <w:bookmarkStart w:id="24" w:name="_Toc57731947"/>
    </w:p>
    <w:p>
      <w:pPr>
        <w:spacing w:line="360" w:lineRule="auto"/>
        <w:ind w:right="210" w:firstLine="480" w:firstLineChars="200"/>
        <w:rPr>
          <w:rFonts w:hAnsi="宋体"/>
          <w:bCs/>
          <w:color w:val="0D0D0D"/>
          <w:sz w:val="24"/>
          <w:szCs w:val="22"/>
        </w:rPr>
      </w:pPr>
      <w:r>
        <w:rPr>
          <w:rFonts w:hint="eastAsia" w:ascii="宋体" w:hAnsi="宋体"/>
          <w:kern w:val="0"/>
          <w:sz w:val="24"/>
          <w:szCs w:val="24"/>
        </w:rPr>
        <w:t>为我司提供昂鹅等</w:t>
      </w:r>
      <w:r>
        <w:rPr>
          <w:rFonts w:hint="eastAsia" w:hAnsi="宋体"/>
          <w:color w:val="0D0D0D"/>
          <w:sz w:val="24"/>
          <w:szCs w:val="24"/>
          <w:u w:val="single"/>
          <w:lang w:val="en-US" w:eastAsia="zh-CN"/>
        </w:rPr>
        <w:t>十五</w:t>
      </w:r>
      <w:r>
        <w:rPr>
          <w:rFonts w:hint="eastAsia" w:ascii="宋体" w:hAnsi="宋体"/>
          <w:kern w:val="0"/>
          <w:sz w:val="24"/>
          <w:szCs w:val="24"/>
        </w:rPr>
        <w:t>个预计新项目的税务咨询服务，每个项目出具独立的税务咨询报告，即需出具十五份税务咨询报告。</w:t>
      </w:r>
      <w:r>
        <w:rPr>
          <w:rFonts w:hint="eastAsia" w:hAnsi="宋体"/>
          <w:bCs/>
          <w:color w:val="0D0D0D"/>
          <w:sz w:val="24"/>
          <w:szCs w:val="22"/>
        </w:rPr>
        <w:t xml:space="preserve">比选范围包括但不限于： </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1、自发出每个项目的任务启动通知单之日起，根据项目的可行性研究报告，编制整体及专项税务测算及管理建议，对未来经营方案出具专项建议报告，该报告于发出通知单日起30天内完成。每个项目服务期限为半年，如方案根据实际情况或者甲方要求需修改、完善的，亦应在每个项目的任务启动通知日起一个月内完成相关的调整、修改、完善等工作；</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2、税务测算方案的实施提出具体建议书，如甲方采纳乙方建议，乙方应指导甲方财务人员规范实施建议；</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3、指导甲方进行合同涉税条款的订立、修改，并提出相应的涉税建议；</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4、指导甲方有关涉税法律文书制作、修改，并提出相应的涉税建议；</w:t>
      </w:r>
    </w:p>
    <w:p>
      <w:pPr>
        <w:spacing w:line="360" w:lineRule="auto"/>
        <w:ind w:firstLine="480" w:firstLineChars="200"/>
        <w:rPr>
          <w:rFonts w:ascii="宋体" w:hAnsi="宋体"/>
          <w:color w:val="0D0D0D"/>
          <w:sz w:val="24"/>
          <w:szCs w:val="24"/>
        </w:rPr>
      </w:pPr>
      <w:r>
        <w:rPr>
          <w:rFonts w:hint="eastAsia" w:ascii="宋体" w:hAnsi="宋体"/>
          <w:kern w:val="0"/>
          <w:sz w:val="24"/>
          <w:szCs w:val="24"/>
        </w:rPr>
        <w:t>5、如甲方需要乙方指派专职人员到指定地点进行现场指导，乙方应根据甲方所涉及的税务问题复杂程度，指派完全能胜任工作的注册税务师提供税务顾问咨询服务，乙方派出人员现场服务产生的相关费用均已包含在本合同总价中，甲方不再另行支付。</w:t>
      </w:r>
      <w:r>
        <w:rPr>
          <w:rFonts w:hint="eastAsia" w:ascii="宋体" w:hAnsi="宋体"/>
          <w:color w:val="0D0D0D"/>
          <w:sz w:val="24"/>
          <w:szCs w:val="24"/>
        </w:rPr>
        <w:t xml:space="preserve">    </w:t>
      </w:r>
    </w:p>
    <w:p>
      <w:pPr>
        <w:pStyle w:val="25"/>
        <w:spacing w:line="360" w:lineRule="auto"/>
        <w:ind w:firstLine="482" w:firstLineChars="200"/>
        <w:rPr>
          <w:rFonts w:hAnsi="宋体"/>
          <w:sz w:val="24"/>
          <w:szCs w:val="24"/>
        </w:rPr>
      </w:pPr>
      <w:r>
        <w:rPr>
          <w:rFonts w:hint="eastAsia" w:hAnsi="宋体"/>
          <w:b/>
          <w:sz w:val="24"/>
          <w:szCs w:val="24"/>
        </w:rPr>
        <w:t>四、比选控制价格</w:t>
      </w:r>
      <w:bookmarkEnd w:id="24"/>
    </w:p>
    <w:p>
      <w:pPr>
        <w:pStyle w:val="25"/>
        <w:spacing w:line="360" w:lineRule="auto"/>
        <w:ind w:firstLine="480" w:firstLineChars="200"/>
        <w:rPr>
          <w:rFonts w:hAnsi="宋体"/>
          <w:sz w:val="24"/>
          <w:szCs w:val="24"/>
        </w:rPr>
      </w:pPr>
      <w:r>
        <w:rPr>
          <w:rFonts w:hint="eastAsia" w:hAnsi="宋体"/>
          <w:sz w:val="24"/>
          <w:szCs w:val="24"/>
        </w:rPr>
        <w:t>本次参选报价总费用最高限价为人民币99万元（含税），单个项目服务费的最高限价为人民币6.6万元（含税）。参选人报价高于总额最高上限价或单项上限价将作为无效标处理。</w:t>
      </w:r>
    </w:p>
    <w:p>
      <w:pPr>
        <w:pStyle w:val="25"/>
        <w:numPr>
          <w:ilvl w:val="0"/>
          <w:numId w:val="4"/>
        </w:numPr>
        <w:spacing w:line="360" w:lineRule="auto"/>
        <w:ind w:firstLine="482" w:firstLineChars="200"/>
        <w:rPr>
          <w:rFonts w:hAnsi="宋体"/>
          <w:b/>
          <w:color w:val="0D0D0D"/>
          <w:sz w:val="24"/>
          <w:szCs w:val="22"/>
        </w:rPr>
      </w:pPr>
      <w:bookmarkStart w:id="25" w:name="_Toc57731948"/>
      <w:r>
        <w:rPr>
          <w:rFonts w:hint="eastAsia" w:hAnsi="宋体"/>
          <w:b/>
          <w:sz w:val="24"/>
          <w:szCs w:val="24"/>
        </w:rPr>
        <w:t>参选人资格要求</w:t>
      </w:r>
      <w:bookmarkEnd w:id="25"/>
      <w:bookmarkStart w:id="26" w:name="_Toc57731949"/>
    </w:p>
    <w:p>
      <w:pPr>
        <w:numPr>
          <w:ilvl w:val="0"/>
          <w:numId w:val="5"/>
        </w:numPr>
        <w:suppressAutoHyphens/>
        <w:topLinePunct/>
        <w:snapToGrid w:val="0"/>
        <w:spacing w:line="360" w:lineRule="auto"/>
        <w:ind w:left="10" w:firstLine="410"/>
        <w:contextualSpacing/>
        <w:rPr>
          <w:rFonts w:ascii="宋体" w:hAnsi="宋体"/>
          <w:kern w:val="0"/>
          <w:sz w:val="24"/>
          <w:szCs w:val="24"/>
        </w:rPr>
      </w:pPr>
      <w:r>
        <w:rPr>
          <w:rFonts w:hint="eastAsia" w:ascii="宋体" w:hAnsi="宋体"/>
          <w:kern w:val="0"/>
          <w:sz w:val="24"/>
          <w:szCs w:val="24"/>
        </w:rPr>
        <w:t>参选人须为于2019年9月1日前成立的税务师事务所或咨询公司，或上述单位的分支机构</w:t>
      </w:r>
      <w:r>
        <w:rPr>
          <w:rFonts w:hint="eastAsia" w:ascii="宋体" w:hAnsi="宋体"/>
          <w:b/>
          <w:bCs/>
          <w:kern w:val="0"/>
          <w:sz w:val="24"/>
          <w:szCs w:val="24"/>
        </w:rPr>
        <w:t>（若参选人为分支机构，需提供总公司的授权文件）</w:t>
      </w:r>
      <w:r>
        <w:rPr>
          <w:rFonts w:hint="eastAsia" w:ascii="宋体" w:hAnsi="宋体"/>
          <w:kern w:val="0"/>
          <w:sz w:val="24"/>
          <w:szCs w:val="24"/>
        </w:rPr>
        <w:t>。</w:t>
      </w:r>
    </w:p>
    <w:p>
      <w:pPr>
        <w:numPr>
          <w:ilvl w:val="0"/>
          <w:numId w:val="5"/>
        </w:numPr>
        <w:suppressAutoHyphens/>
        <w:topLinePunct/>
        <w:snapToGrid w:val="0"/>
        <w:spacing w:line="360" w:lineRule="auto"/>
        <w:ind w:left="10" w:firstLine="410"/>
        <w:contextualSpacing/>
        <w:rPr>
          <w:rFonts w:ascii="宋体" w:hAnsi="宋体"/>
          <w:kern w:val="0"/>
          <w:sz w:val="24"/>
          <w:szCs w:val="24"/>
        </w:rPr>
      </w:pPr>
      <w:r>
        <w:rPr>
          <w:rFonts w:hint="eastAsia" w:ascii="宋体" w:hAnsi="宋体"/>
          <w:color w:val="0D0D0D"/>
          <w:sz w:val="24"/>
          <w:szCs w:val="24"/>
          <w:lang w:val="zh-CN"/>
        </w:rPr>
        <w:t>202</w:t>
      </w:r>
      <w:r>
        <w:rPr>
          <w:rFonts w:hint="eastAsia" w:hAnsi="宋体"/>
          <w:color w:val="0D0D0D"/>
          <w:sz w:val="24"/>
          <w:szCs w:val="24"/>
        </w:rPr>
        <w:t>0</w:t>
      </w:r>
      <w:r>
        <w:rPr>
          <w:rFonts w:hint="eastAsia" w:ascii="宋体" w:hAnsi="宋体"/>
          <w:color w:val="0D0D0D"/>
          <w:sz w:val="24"/>
          <w:szCs w:val="24"/>
          <w:lang w:val="zh-CN"/>
        </w:rPr>
        <w:t>-202</w:t>
      </w:r>
      <w:r>
        <w:rPr>
          <w:rFonts w:hint="eastAsia" w:hAnsi="宋体"/>
          <w:color w:val="0D0D0D"/>
          <w:sz w:val="24"/>
          <w:szCs w:val="24"/>
        </w:rPr>
        <w:t>2</w:t>
      </w:r>
      <w:r>
        <w:rPr>
          <w:rFonts w:hint="eastAsia" w:ascii="宋体" w:hAnsi="宋体"/>
          <w:color w:val="0D0D0D"/>
          <w:sz w:val="24"/>
          <w:szCs w:val="24"/>
          <w:lang w:val="zh-CN"/>
        </w:rPr>
        <w:t>年</w:t>
      </w:r>
      <w:r>
        <w:rPr>
          <w:rFonts w:hint="eastAsia" w:hAnsi="宋体"/>
          <w:color w:val="0D0D0D"/>
          <w:sz w:val="24"/>
          <w:szCs w:val="24"/>
        </w:rPr>
        <w:t>无违规</w:t>
      </w:r>
      <w:r>
        <w:rPr>
          <w:rFonts w:hint="eastAsia" w:ascii="宋体" w:hAnsi="宋体"/>
          <w:color w:val="0D0D0D"/>
          <w:sz w:val="24"/>
          <w:szCs w:val="24"/>
        </w:rPr>
        <w:t>证明</w:t>
      </w:r>
      <w:r>
        <w:rPr>
          <w:rFonts w:hint="eastAsia" w:ascii="宋体" w:hAnsi="宋体"/>
          <w:color w:val="0D0D0D"/>
          <w:sz w:val="24"/>
          <w:szCs w:val="24"/>
          <w:lang w:val="zh-CN"/>
        </w:rPr>
        <w:t>(以深圳市注册税务师协会</w:t>
      </w:r>
      <w:r>
        <w:rPr>
          <w:rFonts w:hint="eastAsia" w:hAnsi="宋体"/>
          <w:color w:val="0D0D0D"/>
          <w:sz w:val="24"/>
          <w:szCs w:val="24"/>
        </w:rPr>
        <w:t>出具的证明</w:t>
      </w:r>
      <w:r>
        <w:rPr>
          <w:rFonts w:hint="eastAsia" w:ascii="宋体" w:hAnsi="宋体"/>
          <w:color w:val="0D0D0D"/>
          <w:sz w:val="24"/>
          <w:szCs w:val="24"/>
          <w:lang w:val="zh-CN"/>
        </w:rPr>
        <w:t>为准</w:t>
      </w:r>
      <w:r>
        <w:rPr>
          <w:rFonts w:hint="eastAsia" w:hAnsi="宋体"/>
          <w:color w:val="0D0D0D"/>
          <w:sz w:val="24"/>
          <w:szCs w:val="24"/>
          <w:lang w:val="zh-CN"/>
        </w:rPr>
        <w:t>）</w:t>
      </w:r>
      <w:r>
        <w:rPr>
          <w:rFonts w:hint="eastAsia" w:ascii="宋体" w:hAnsi="宋体"/>
          <w:kern w:val="0"/>
          <w:sz w:val="24"/>
          <w:szCs w:val="24"/>
        </w:rPr>
        <w:t>（若参选人为税务师事务所）。</w:t>
      </w:r>
    </w:p>
    <w:p>
      <w:pPr>
        <w:numPr>
          <w:ilvl w:val="0"/>
          <w:numId w:val="5"/>
        </w:numPr>
        <w:suppressAutoHyphens/>
        <w:topLinePunct/>
        <w:snapToGrid w:val="0"/>
        <w:spacing w:line="360" w:lineRule="auto"/>
        <w:ind w:left="10" w:firstLine="410"/>
        <w:contextualSpacing/>
        <w:rPr>
          <w:rFonts w:ascii="宋体" w:hAnsi="宋体"/>
          <w:kern w:val="0"/>
          <w:sz w:val="24"/>
          <w:szCs w:val="24"/>
        </w:rPr>
      </w:pPr>
      <w:r>
        <w:rPr>
          <w:rFonts w:hint="eastAsia" w:ascii="宋体" w:hAnsi="宋体"/>
          <w:kern w:val="0"/>
          <w:sz w:val="24"/>
          <w:szCs w:val="24"/>
        </w:rPr>
        <w:t>注册税务师协会认定的AAA级以上（含AAA级）（2020年1月1日后授予）（若参选人为税务师事务所）。</w:t>
      </w:r>
    </w:p>
    <w:p>
      <w:pPr>
        <w:numPr>
          <w:ilvl w:val="0"/>
          <w:numId w:val="5"/>
        </w:numPr>
        <w:suppressAutoHyphens/>
        <w:topLinePunct/>
        <w:snapToGrid w:val="0"/>
        <w:spacing w:line="360" w:lineRule="auto"/>
        <w:ind w:left="10" w:firstLine="410"/>
        <w:contextualSpacing/>
        <w:rPr>
          <w:rFonts w:ascii="宋体" w:hAnsi="宋体"/>
          <w:kern w:val="0"/>
          <w:sz w:val="24"/>
          <w:szCs w:val="24"/>
        </w:rPr>
      </w:pPr>
      <w:r>
        <w:rPr>
          <w:rFonts w:hint="eastAsia" w:ascii="宋体" w:hAnsi="宋体"/>
          <w:kern w:val="0"/>
          <w:sz w:val="24"/>
          <w:szCs w:val="24"/>
        </w:rPr>
        <w:t>2019年11月1日以来(以合同签约日期为准)，具有税务咨询服务经验5个项目（须为落地深圳的房地产项目）以上。</w:t>
      </w:r>
    </w:p>
    <w:p>
      <w:pPr>
        <w:numPr>
          <w:ilvl w:val="0"/>
          <w:numId w:val="5"/>
        </w:numPr>
        <w:suppressAutoHyphens/>
        <w:topLinePunct/>
        <w:snapToGrid w:val="0"/>
        <w:spacing w:line="360" w:lineRule="auto"/>
        <w:ind w:hanging="210"/>
        <w:contextualSpacing/>
        <w:rPr>
          <w:rFonts w:ascii="宋体" w:hAnsi="宋体"/>
          <w:color w:val="0D0D0D"/>
          <w:kern w:val="0"/>
          <w:sz w:val="24"/>
          <w:szCs w:val="24"/>
        </w:rPr>
      </w:pPr>
      <w:r>
        <w:rPr>
          <w:rFonts w:hint="eastAsia" w:ascii="宋体" w:hAnsi="宋体"/>
          <w:color w:val="0D0D0D"/>
          <w:kern w:val="0"/>
          <w:sz w:val="24"/>
          <w:szCs w:val="24"/>
        </w:rPr>
        <w:t>不接受联合体参选。</w:t>
      </w:r>
    </w:p>
    <w:p>
      <w:pPr>
        <w:spacing w:line="360" w:lineRule="auto"/>
        <w:ind w:firstLine="482" w:firstLineChars="200"/>
        <w:rPr>
          <w:rFonts w:ascii="宋体" w:hAnsi="宋体"/>
          <w:b/>
          <w:kern w:val="0"/>
          <w:sz w:val="24"/>
          <w:szCs w:val="24"/>
        </w:rPr>
      </w:pPr>
      <w:r>
        <w:rPr>
          <w:rFonts w:hint="eastAsia" w:ascii="宋体" w:hAnsi="宋体"/>
          <w:b/>
          <w:kern w:val="0"/>
          <w:sz w:val="24"/>
          <w:szCs w:val="24"/>
        </w:rPr>
        <w:t>六、参选时间、地点</w:t>
      </w:r>
      <w:bookmarkEnd w:id="26"/>
    </w:p>
    <w:tbl>
      <w:tblPr>
        <w:tblStyle w:val="49"/>
        <w:tblW w:w="498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4"/>
        <w:gridCol w:w="1691"/>
        <w:gridCol w:w="2099"/>
        <w:gridCol w:w="5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bookmarkStart w:id="27" w:name="_Toc57731950"/>
            <w:r>
              <w:rPr>
                <w:rFonts w:hint="eastAsia" w:ascii="宋体" w:hAnsi="宋体"/>
                <w:color w:val="0C0C0C"/>
                <w:sz w:val="24"/>
                <w:szCs w:val="24"/>
              </w:rPr>
              <w:t>序号</w:t>
            </w:r>
          </w:p>
        </w:tc>
        <w:tc>
          <w:tcPr>
            <w:tcW w:w="860"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内  容</w:t>
            </w:r>
          </w:p>
        </w:tc>
        <w:tc>
          <w:tcPr>
            <w:tcW w:w="1068"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时间安排</w:t>
            </w:r>
          </w:p>
        </w:tc>
        <w:tc>
          <w:tcPr>
            <w:tcW w:w="2687"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kern w:val="0"/>
                <w:sz w:val="24"/>
                <w:szCs w:val="24"/>
              </w:rPr>
            </w:pPr>
            <w:r>
              <w:rPr>
                <w:rFonts w:hint="eastAsia" w:ascii="宋体" w:hAnsi="宋体"/>
                <w:kern w:val="0"/>
                <w:sz w:val="24"/>
                <w:szCs w:val="24"/>
              </w:rPr>
              <w:t>1</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发布比选公告（比选文件）</w:t>
            </w:r>
          </w:p>
        </w:tc>
        <w:tc>
          <w:tcPr>
            <w:tcW w:w="10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kern w:val="0"/>
                <w:sz w:val="24"/>
                <w:szCs w:val="24"/>
                <w:highlight w:val="none"/>
                <w:lang w:val="en-US" w:eastAsia="zh-CN"/>
              </w:rPr>
            </w:pPr>
            <w:r>
              <w:rPr>
                <w:rFonts w:hint="eastAsia" w:ascii="宋体" w:hAnsi="宋体"/>
                <w:color w:val="000000" w:themeColor="text1"/>
                <w:kern w:val="0"/>
                <w:sz w:val="24"/>
                <w:szCs w:val="24"/>
                <w:highlight w:val="none"/>
                <w14:textFill>
                  <w14:solidFill>
                    <w14:schemeClr w14:val="tx1"/>
                  </w14:solidFill>
                </w14:textFill>
              </w:rPr>
              <w:t>202</w:t>
            </w:r>
            <w:r>
              <w:rPr>
                <w:rFonts w:ascii="宋体" w:hAnsi="宋体"/>
                <w:color w:val="000000" w:themeColor="text1"/>
                <w:kern w:val="0"/>
                <w:sz w:val="24"/>
                <w:szCs w:val="24"/>
                <w:highlight w:val="none"/>
                <w14:textFill>
                  <w14:solidFill>
                    <w14:schemeClr w14:val="tx1"/>
                  </w14:solidFill>
                </w14:textFill>
              </w:rPr>
              <w:t>2</w:t>
            </w:r>
            <w:r>
              <w:rPr>
                <w:rFonts w:hint="eastAsia" w:ascii="宋体" w:hAnsi="宋体"/>
                <w:color w:val="000000" w:themeColor="text1"/>
                <w:kern w:val="0"/>
                <w:sz w:val="24"/>
                <w:szCs w:val="24"/>
                <w:highlight w:val="none"/>
                <w:lang w:eastAsia="zh-Hans"/>
                <w14:textFill>
                  <w14:solidFill>
                    <w14:schemeClr w14:val="tx1"/>
                  </w14:solidFill>
                </w14:textFill>
              </w:rPr>
              <w:t>年</w:t>
            </w:r>
            <w:r>
              <w:rPr>
                <w:rFonts w:hint="eastAsia" w:ascii="宋体" w:hAnsi="宋体"/>
                <w:color w:val="000000" w:themeColor="text1"/>
                <w:kern w:val="0"/>
                <w:sz w:val="24"/>
                <w:szCs w:val="24"/>
                <w:highlight w:val="none"/>
                <w14:textFill>
                  <w14:solidFill>
                    <w14:schemeClr w14:val="tx1"/>
                  </w14:solidFill>
                </w14:textFill>
              </w:rPr>
              <w:t>11月</w:t>
            </w:r>
            <w:r>
              <w:rPr>
                <w:rFonts w:hint="eastAsia" w:ascii="宋体" w:hAnsi="宋体"/>
                <w:color w:val="000000" w:themeColor="text1"/>
                <w:kern w:val="0"/>
                <w:sz w:val="24"/>
                <w:szCs w:val="24"/>
                <w:highlight w:val="none"/>
                <w:lang w:val="en-US" w:eastAsia="zh-CN"/>
                <w14:textFill>
                  <w14:solidFill>
                    <w14:schemeClr w14:val="tx1"/>
                  </w14:solidFill>
                </w14:textFill>
              </w:rPr>
              <w:t>29</w:t>
            </w:r>
            <w:r>
              <w:rPr>
                <w:rFonts w:hint="eastAsia" w:ascii="宋体" w:hAnsi="宋体"/>
                <w:color w:val="000000" w:themeColor="text1"/>
                <w:kern w:val="0"/>
                <w:sz w:val="24"/>
                <w:szCs w:val="24"/>
                <w:highlight w:val="none"/>
                <w14:textFill>
                  <w14:solidFill>
                    <w14:schemeClr w14:val="tx1"/>
                  </w14:solidFill>
                </w14:textFill>
              </w:rPr>
              <w:t>日</w:t>
            </w:r>
            <w:r>
              <w:rPr>
                <w:rFonts w:hint="eastAsia" w:ascii="宋体" w:hAnsi="宋体"/>
                <w:color w:val="000000" w:themeColor="text1"/>
                <w:kern w:val="0"/>
                <w:sz w:val="24"/>
                <w:szCs w:val="24"/>
                <w:highlight w:val="none"/>
                <w:lang w:val="en-US" w:eastAsia="zh-CN"/>
                <w14:textFill>
                  <w14:solidFill>
                    <w14:schemeClr w14:val="tx1"/>
                  </w14:solidFill>
                </w14:textFill>
              </w:rPr>
              <w:t>9:30</w:t>
            </w:r>
          </w:p>
        </w:tc>
        <w:tc>
          <w:tcPr>
            <w:tcW w:w="2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 w:val="24"/>
                <w:szCs w:val="24"/>
                <w:highlight w:val="none"/>
              </w:rPr>
            </w:pPr>
            <w:r>
              <w:rPr>
                <w:rFonts w:hint="eastAsia" w:ascii="宋体" w:hAnsi="宋体"/>
                <w:kern w:val="0"/>
                <w:sz w:val="24"/>
                <w:szCs w:val="24"/>
                <w:highlight w:val="none"/>
              </w:rPr>
              <w:t>深铁招采网、深圳地铁官网、国资委阳光采购平台、深铁置业微信订阅号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kern w:val="0"/>
                <w:sz w:val="24"/>
                <w:szCs w:val="24"/>
              </w:rPr>
            </w:pPr>
            <w:r>
              <w:rPr>
                <w:rFonts w:hint="eastAsia" w:ascii="宋体" w:hAnsi="宋体"/>
                <w:kern w:val="0"/>
                <w:sz w:val="24"/>
                <w:szCs w:val="24"/>
              </w:rPr>
              <w:t>2</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截标</w:t>
            </w:r>
          </w:p>
        </w:tc>
        <w:tc>
          <w:tcPr>
            <w:tcW w:w="10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rPr>
              <w:t>2022年12月</w:t>
            </w:r>
            <w:r>
              <w:rPr>
                <w:rFonts w:hint="eastAsia" w:ascii="宋体" w:hAnsi="宋体"/>
                <w:kern w:val="0"/>
                <w:sz w:val="24"/>
                <w:szCs w:val="24"/>
                <w:highlight w:val="none"/>
                <w:lang w:val="en-US" w:eastAsia="zh-CN"/>
              </w:rPr>
              <w:t>9</w:t>
            </w:r>
            <w:r>
              <w:rPr>
                <w:rFonts w:hint="eastAsia" w:ascii="宋体" w:hAnsi="宋体"/>
                <w:kern w:val="0"/>
                <w:sz w:val="24"/>
                <w:szCs w:val="24"/>
                <w:highlight w:val="none"/>
              </w:rPr>
              <w:t xml:space="preserve">日 </w:t>
            </w:r>
            <w:r>
              <w:rPr>
                <w:rFonts w:hint="eastAsia" w:ascii="宋体" w:hAnsi="宋体"/>
                <w:kern w:val="0"/>
                <w:sz w:val="24"/>
                <w:szCs w:val="24"/>
                <w:highlight w:val="none"/>
                <w:lang w:val="en-US" w:eastAsia="zh-CN"/>
              </w:rPr>
              <w:t>9:30</w:t>
            </w:r>
          </w:p>
        </w:tc>
        <w:tc>
          <w:tcPr>
            <w:tcW w:w="2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napToGrid w:val="0"/>
                <w:sz w:val="24"/>
                <w:szCs w:val="24"/>
                <w:highlight w:val="none"/>
              </w:rPr>
            </w:pPr>
            <w:r>
              <w:rPr>
                <w:rFonts w:ascii="宋体" w:hAnsi="宋体"/>
                <w:snapToGrid w:val="0"/>
                <w:sz w:val="24"/>
                <w:szCs w:val="24"/>
                <w:highlight w:val="none"/>
              </w:rPr>
              <w:t>电子版参选文件递交平台：</w:t>
            </w:r>
            <w:r>
              <w:rPr>
                <w:rFonts w:hint="eastAsia" w:ascii="宋体" w:hAnsi="宋体"/>
                <w:snapToGrid w:val="0"/>
                <w:sz w:val="24"/>
                <w:szCs w:val="24"/>
                <w:highlight w:val="none"/>
              </w:rPr>
              <w:t>深圳地铁智能招采管理平台（</w:t>
            </w:r>
            <w:r>
              <w:rPr>
                <w:rFonts w:ascii="宋体" w:hAnsi="宋体"/>
                <w:snapToGrid w:val="0"/>
                <w:sz w:val="24"/>
                <w:szCs w:val="24"/>
                <w:highlight w:val="none"/>
              </w:rPr>
              <w:t>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kern w:val="0"/>
                <w:sz w:val="24"/>
                <w:szCs w:val="24"/>
              </w:rPr>
            </w:pPr>
            <w:r>
              <w:rPr>
                <w:rFonts w:hint="eastAsia" w:ascii="宋体" w:hAnsi="宋体"/>
                <w:kern w:val="0"/>
                <w:sz w:val="24"/>
                <w:szCs w:val="24"/>
              </w:rPr>
              <w:t>3</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开标、评标</w:t>
            </w:r>
          </w:p>
        </w:tc>
        <w:tc>
          <w:tcPr>
            <w:tcW w:w="10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rPr>
              <w:t>2022年12月</w:t>
            </w:r>
            <w:r>
              <w:rPr>
                <w:rFonts w:hint="eastAsia" w:ascii="宋体" w:hAnsi="宋体"/>
                <w:kern w:val="0"/>
                <w:sz w:val="24"/>
                <w:szCs w:val="24"/>
                <w:highlight w:val="none"/>
                <w:lang w:val="en-US" w:eastAsia="zh-CN"/>
              </w:rPr>
              <w:t>9</w:t>
            </w:r>
            <w:r>
              <w:rPr>
                <w:rFonts w:hint="eastAsia" w:ascii="宋体" w:hAnsi="宋体"/>
                <w:kern w:val="0"/>
                <w:sz w:val="24"/>
                <w:szCs w:val="24"/>
                <w:highlight w:val="none"/>
              </w:rPr>
              <w:t>日</w:t>
            </w:r>
            <w:r>
              <w:rPr>
                <w:rFonts w:hint="eastAsia" w:ascii="宋体" w:hAnsi="宋体"/>
                <w:kern w:val="0"/>
                <w:sz w:val="24"/>
                <w:szCs w:val="24"/>
                <w:highlight w:val="none"/>
                <w:lang w:val="en-US" w:eastAsia="zh-CN"/>
              </w:rPr>
              <w:t xml:space="preserve"> 9:30</w:t>
            </w:r>
          </w:p>
        </w:tc>
        <w:tc>
          <w:tcPr>
            <w:tcW w:w="2687" w:type="pct"/>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kern w:val="0"/>
                <w:sz w:val="24"/>
                <w:szCs w:val="24"/>
                <w:highlight w:val="none"/>
              </w:rPr>
            </w:pPr>
            <w:r>
              <w:rPr>
                <w:rFonts w:ascii="宋体" w:hAnsi="宋体"/>
                <w:snapToGrid w:val="0"/>
                <w:sz w:val="24"/>
                <w:szCs w:val="24"/>
                <w:highlight w:val="none"/>
              </w:rPr>
              <w:t>开标地点：深圳市福田区福中一路地铁大厦深圳地铁智能评定标中心进行开评标</w:t>
            </w:r>
          </w:p>
        </w:tc>
      </w:tr>
    </w:tbl>
    <w:p>
      <w:pPr>
        <w:keepNext/>
        <w:keepLines/>
        <w:tabs>
          <w:tab w:val="left" w:pos="1260"/>
        </w:tabs>
        <w:adjustRightInd w:val="0"/>
        <w:spacing w:before="260" w:after="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七、参选所需材料</w:t>
      </w:r>
      <w:bookmarkEnd w:id="27"/>
    </w:p>
    <w:p>
      <w:pPr>
        <w:spacing w:line="360" w:lineRule="auto"/>
        <w:ind w:firstLine="480" w:firstLineChars="200"/>
        <w:rPr>
          <w:rFonts w:hAnsi="宋体"/>
          <w:bCs/>
          <w:color w:val="0D0D0D"/>
          <w:sz w:val="24"/>
          <w:szCs w:val="22"/>
        </w:rPr>
      </w:pPr>
      <w:r>
        <w:rPr>
          <w:rFonts w:hint="eastAsia" w:hAnsi="宋体"/>
          <w:bCs/>
          <w:color w:val="0D0D0D"/>
          <w:sz w:val="24"/>
          <w:szCs w:val="22"/>
        </w:rPr>
        <w:t>（一）参选人营业执照复印件（加盖公章）</w:t>
      </w:r>
    </w:p>
    <w:p>
      <w:pPr>
        <w:spacing w:line="360" w:lineRule="auto"/>
        <w:ind w:firstLine="480" w:firstLineChars="200"/>
        <w:rPr>
          <w:rFonts w:hAnsi="宋体"/>
          <w:bCs/>
          <w:color w:val="0D0D0D"/>
          <w:sz w:val="24"/>
          <w:szCs w:val="22"/>
        </w:rPr>
      </w:pPr>
      <w:r>
        <w:rPr>
          <w:rFonts w:hint="eastAsia" w:hAnsi="宋体"/>
          <w:bCs/>
          <w:color w:val="0D0D0D"/>
          <w:sz w:val="24"/>
          <w:szCs w:val="22"/>
        </w:rPr>
        <w:t>（二）法定代表人资格证明书原件（加盖公章）</w:t>
      </w:r>
    </w:p>
    <w:p>
      <w:pPr>
        <w:spacing w:line="360" w:lineRule="auto"/>
        <w:ind w:firstLine="480" w:firstLineChars="200"/>
        <w:rPr>
          <w:rFonts w:hAnsi="宋体"/>
          <w:bCs/>
          <w:color w:val="0D0D0D"/>
          <w:sz w:val="24"/>
          <w:szCs w:val="22"/>
        </w:rPr>
      </w:pPr>
      <w:r>
        <w:rPr>
          <w:rFonts w:hint="eastAsia" w:hAnsi="宋体"/>
          <w:bCs/>
          <w:color w:val="0D0D0D"/>
          <w:sz w:val="24"/>
          <w:szCs w:val="22"/>
        </w:rPr>
        <w:t>（三）法定代表人身份证复印件（加盖公章）</w:t>
      </w:r>
    </w:p>
    <w:p>
      <w:pPr>
        <w:spacing w:line="360" w:lineRule="auto"/>
        <w:ind w:firstLine="480" w:firstLineChars="200"/>
        <w:rPr>
          <w:rFonts w:hAnsi="宋体"/>
          <w:bCs/>
          <w:color w:val="0D0D0D"/>
          <w:sz w:val="24"/>
          <w:szCs w:val="22"/>
        </w:rPr>
      </w:pPr>
      <w:r>
        <w:rPr>
          <w:rFonts w:hint="eastAsia" w:hAnsi="宋体"/>
          <w:bCs/>
          <w:color w:val="0D0D0D"/>
          <w:sz w:val="24"/>
          <w:szCs w:val="22"/>
        </w:rPr>
        <w:t>（四）法定代表人授权委托书原件（加盖公章）</w:t>
      </w:r>
    </w:p>
    <w:p>
      <w:pPr>
        <w:spacing w:line="360" w:lineRule="auto"/>
        <w:ind w:firstLine="480" w:firstLineChars="200"/>
        <w:rPr>
          <w:rFonts w:hAnsi="宋体"/>
          <w:bCs/>
          <w:color w:val="0D0D0D"/>
          <w:sz w:val="24"/>
          <w:szCs w:val="22"/>
        </w:rPr>
      </w:pPr>
      <w:r>
        <w:rPr>
          <w:rFonts w:hint="eastAsia" w:hAnsi="宋体"/>
          <w:bCs/>
          <w:color w:val="0D0D0D"/>
          <w:sz w:val="24"/>
          <w:szCs w:val="22"/>
        </w:rPr>
        <w:t>（五）被授权人身份证复印件（加盖公章）</w:t>
      </w:r>
    </w:p>
    <w:p>
      <w:pPr>
        <w:spacing w:line="360" w:lineRule="auto"/>
        <w:ind w:firstLine="480" w:firstLineChars="200"/>
      </w:pPr>
      <w:r>
        <w:rPr>
          <w:rFonts w:hint="eastAsia" w:hAnsi="宋体"/>
          <w:bCs/>
          <w:color w:val="0D0D0D"/>
          <w:sz w:val="24"/>
          <w:szCs w:val="22"/>
        </w:rPr>
        <w:t>(如递交参选文件的为参选人的法定代表人，须携带法定代表人证明书及本人身份证原件和复印件；如递交参选文件的不是参选人的法定代表人，除携带本人身份证复印件外，还需携带法定代表人证明书和法定代表人身份证复印件及授权委托书。)</w:t>
      </w:r>
    </w:p>
    <w:p>
      <w:pPr>
        <w:numPr>
          <w:ilvl w:val="-1"/>
          <w:numId w:val="0"/>
        </w:numPr>
        <w:spacing w:line="360" w:lineRule="auto"/>
        <w:ind w:left="0" w:firstLine="480" w:firstLineChars="200"/>
        <w:rPr>
          <w:rFonts w:hAnsi="宋体"/>
          <w:bCs/>
          <w:color w:val="auto"/>
          <w:sz w:val="24"/>
          <w:szCs w:val="22"/>
        </w:rPr>
      </w:pPr>
      <w:r>
        <w:rPr>
          <w:rFonts w:hint="eastAsia" w:hAnsi="宋体"/>
          <w:bCs/>
          <w:color w:val="auto"/>
          <w:sz w:val="24"/>
          <w:szCs w:val="22"/>
        </w:rPr>
        <w:t>（</w:t>
      </w:r>
      <w:r>
        <w:rPr>
          <w:rFonts w:hint="eastAsia" w:hAnsi="宋体"/>
          <w:bCs/>
          <w:color w:val="auto"/>
          <w:sz w:val="24"/>
          <w:szCs w:val="22"/>
          <w:lang w:val="en-US" w:eastAsia="zh-CN"/>
        </w:rPr>
        <w:t>六</w:t>
      </w:r>
      <w:r>
        <w:rPr>
          <w:rFonts w:hint="eastAsia" w:hAnsi="宋体"/>
          <w:bCs/>
          <w:color w:val="auto"/>
          <w:sz w:val="24"/>
          <w:szCs w:val="22"/>
        </w:rPr>
        <w:t>）</w:t>
      </w:r>
      <w:r>
        <w:rPr>
          <w:rFonts w:hint="eastAsia" w:ascii="宋体" w:hAnsi="宋体"/>
          <w:color w:val="auto"/>
          <w:kern w:val="0"/>
          <w:sz w:val="24"/>
          <w:szCs w:val="24"/>
        </w:rPr>
        <w:t>参选人资格条件</w:t>
      </w:r>
      <w:r>
        <w:rPr>
          <w:rFonts w:hint="eastAsia" w:hAnsi="宋体"/>
          <w:bCs/>
          <w:color w:val="auto"/>
          <w:sz w:val="24"/>
          <w:szCs w:val="22"/>
        </w:rPr>
        <w:t>证明文件（加盖公章）：</w:t>
      </w:r>
    </w:p>
    <w:p>
      <w:pPr>
        <w:widowControl/>
        <w:numPr>
          <w:ilvl w:val="255"/>
          <w:numId w:val="0"/>
        </w:numPr>
        <w:overflowPunct w:val="0"/>
        <w:autoSpaceDE w:val="0"/>
        <w:autoSpaceDN w:val="0"/>
        <w:adjustRightInd w:val="0"/>
        <w:spacing w:line="360" w:lineRule="auto"/>
        <w:ind w:firstLine="480" w:firstLineChars="200"/>
        <w:jc w:val="left"/>
        <w:textAlignment w:val="baseline"/>
        <w:rPr>
          <w:rFonts w:ascii="宋体" w:hAnsi="宋体"/>
          <w:sz w:val="24"/>
          <w:szCs w:val="24"/>
          <w:lang w:val="zh-CN"/>
        </w:rPr>
      </w:pPr>
      <w:r>
        <w:rPr>
          <w:rFonts w:hint="eastAsia" w:hAnsi="宋体"/>
          <w:bCs/>
          <w:color w:val="auto"/>
          <w:sz w:val="24"/>
          <w:szCs w:val="22"/>
        </w:rPr>
        <w:t>（1）</w:t>
      </w:r>
      <w:r>
        <w:rPr>
          <w:rFonts w:hint="eastAsia" w:ascii="宋体" w:hAnsi="宋体"/>
          <w:color w:val="auto"/>
          <w:sz w:val="24"/>
          <w:szCs w:val="24"/>
          <w:lang w:val="zh-CN"/>
        </w:rPr>
        <w:t>若参选人为税务师事务所，需提供注册税务师协会授予</w:t>
      </w:r>
      <w:r>
        <w:rPr>
          <w:rFonts w:hint="eastAsia" w:ascii="宋体" w:hAnsi="宋体"/>
          <w:sz w:val="24"/>
          <w:szCs w:val="24"/>
          <w:lang w:val="zh-CN"/>
        </w:rPr>
        <w:t>的AAA级以上（含AAA级）评级资格证书（20</w:t>
      </w:r>
      <w:r>
        <w:rPr>
          <w:rFonts w:hint="eastAsia" w:ascii="宋体" w:hAnsi="宋体"/>
          <w:sz w:val="24"/>
          <w:szCs w:val="24"/>
        </w:rPr>
        <w:t>20</w:t>
      </w:r>
      <w:r>
        <w:rPr>
          <w:rFonts w:hint="eastAsia" w:ascii="宋体" w:hAnsi="宋体"/>
          <w:sz w:val="24"/>
          <w:szCs w:val="24"/>
          <w:lang w:val="zh-CN"/>
        </w:rPr>
        <w:t>年1月1日后授予）（加盖公章）</w:t>
      </w:r>
    </w:p>
    <w:p>
      <w:pPr>
        <w:pStyle w:val="25"/>
        <w:widowControl/>
        <w:numPr>
          <w:ilvl w:val="255"/>
          <w:numId w:val="0"/>
        </w:numPr>
        <w:overflowPunct w:val="0"/>
        <w:autoSpaceDE w:val="0"/>
        <w:autoSpaceDN w:val="0"/>
        <w:spacing w:line="360" w:lineRule="auto"/>
        <w:ind w:firstLine="480" w:firstLineChars="200"/>
        <w:jc w:val="left"/>
        <w:textAlignment w:val="baseline"/>
        <w:rPr>
          <w:rFonts w:hAnsi="宋体"/>
          <w:sz w:val="24"/>
          <w:szCs w:val="24"/>
          <w:lang w:val="zh-CN"/>
        </w:rPr>
      </w:pPr>
      <w:r>
        <w:rPr>
          <w:rFonts w:hint="eastAsia" w:hAnsi="宋体"/>
          <w:color w:val="0D0D0D"/>
          <w:sz w:val="24"/>
          <w:szCs w:val="24"/>
          <w:lang w:val="zh-CN"/>
        </w:rPr>
        <w:t>（</w:t>
      </w:r>
      <w:r>
        <w:rPr>
          <w:rFonts w:hint="eastAsia" w:hAnsi="宋体"/>
          <w:color w:val="0D0D0D"/>
          <w:sz w:val="24"/>
          <w:szCs w:val="24"/>
        </w:rPr>
        <w:t>2</w:t>
      </w:r>
      <w:r>
        <w:rPr>
          <w:rFonts w:hint="eastAsia" w:hAnsi="宋体"/>
          <w:color w:val="0D0D0D"/>
          <w:sz w:val="24"/>
          <w:szCs w:val="24"/>
          <w:lang w:val="zh-CN"/>
        </w:rPr>
        <w:t>）</w:t>
      </w:r>
      <w:r>
        <w:rPr>
          <w:rFonts w:hint="eastAsia" w:ascii="宋体" w:hAnsi="宋体"/>
          <w:color w:val="auto"/>
          <w:sz w:val="24"/>
          <w:szCs w:val="24"/>
          <w:lang w:val="zh-CN"/>
        </w:rPr>
        <w:t>若参选人为税务师事务所，</w:t>
      </w:r>
      <w:r>
        <w:rPr>
          <w:rFonts w:hint="eastAsia" w:hAnsi="宋体"/>
          <w:color w:val="0D0D0D"/>
          <w:sz w:val="24"/>
          <w:szCs w:val="24"/>
          <w:lang w:val="zh-CN"/>
        </w:rPr>
        <w:t>202</w:t>
      </w:r>
      <w:r>
        <w:rPr>
          <w:rFonts w:hint="eastAsia" w:hAnsi="宋体"/>
          <w:color w:val="0D0D0D"/>
          <w:sz w:val="24"/>
          <w:szCs w:val="24"/>
        </w:rPr>
        <w:t>0</w:t>
      </w:r>
      <w:r>
        <w:rPr>
          <w:rFonts w:hint="eastAsia" w:hAnsi="宋体"/>
          <w:color w:val="0D0D0D"/>
          <w:sz w:val="24"/>
          <w:szCs w:val="24"/>
          <w:lang w:val="zh-CN"/>
        </w:rPr>
        <w:t>-202</w:t>
      </w:r>
      <w:r>
        <w:rPr>
          <w:rFonts w:hint="eastAsia" w:hAnsi="宋体"/>
          <w:color w:val="0D0D0D"/>
          <w:sz w:val="24"/>
          <w:szCs w:val="24"/>
        </w:rPr>
        <w:t>2</w:t>
      </w:r>
      <w:r>
        <w:rPr>
          <w:rFonts w:hint="eastAsia" w:hAnsi="宋体"/>
          <w:color w:val="0D0D0D"/>
          <w:sz w:val="24"/>
          <w:szCs w:val="24"/>
          <w:lang w:val="zh-CN"/>
        </w:rPr>
        <w:t>年</w:t>
      </w:r>
      <w:r>
        <w:rPr>
          <w:rFonts w:hint="eastAsia" w:hAnsi="宋体"/>
          <w:color w:val="0D0D0D"/>
          <w:sz w:val="24"/>
          <w:szCs w:val="24"/>
        </w:rPr>
        <w:t>无违规证明</w:t>
      </w:r>
      <w:r>
        <w:rPr>
          <w:rFonts w:hint="eastAsia" w:hAnsi="宋体"/>
          <w:color w:val="0D0D0D"/>
          <w:sz w:val="24"/>
          <w:szCs w:val="24"/>
          <w:lang w:val="zh-CN"/>
        </w:rPr>
        <w:t>(以深圳市注册税务师协会</w:t>
      </w:r>
      <w:r>
        <w:rPr>
          <w:rFonts w:hint="eastAsia" w:hAnsi="宋体"/>
          <w:color w:val="0D0D0D"/>
          <w:sz w:val="24"/>
          <w:szCs w:val="24"/>
        </w:rPr>
        <w:t>出具的证明</w:t>
      </w:r>
      <w:r>
        <w:rPr>
          <w:rFonts w:hint="eastAsia" w:hAnsi="宋体"/>
          <w:color w:val="0D0D0D"/>
          <w:sz w:val="24"/>
          <w:szCs w:val="24"/>
          <w:lang w:val="zh-CN"/>
        </w:rPr>
        <w:t>为准）。</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3</w:t>
      </w: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pStyle w:val="25"/>
        <w:numPr>
          <w:ilvl w:val="255"/>
          <w:numId w:val="0"/>
        </w:numPr>
        <w:spacing w:line="360" w:lineRule="auto"/>
        <w:ind w:firstLine="480" w:firstLineChars="200"/>
        <w:rPr>
          <w:rFonts w:hAnsi="宋体"/>
          <w:color w:val="0D0D0D"/>
          <w:sz w:val="24"/>
          <w:szCs w:val="24"/>
        </w:rPr>
      </w:pPr>
    </w:p>
    <w:p>
      <w:pPr>
        <w:topLinePunct/>
        <w:snapToGrid w:val="0"/>
        <w:spacing w:line="360" w:lineRule="auto"/>
        <w:ind w:left="420"/>
        <w:contextualSpacing/>
      </w:pPr>
    </w:p>
    <w:p>
      <w:pPr>
        <w:spacing w:line="360" w:lineRule="auto"/>
        <w:ind w:left="420"/>
        <w:rPr>
          <w:rFonts w:hAnsi="宋体"/>
          <w:bCs/>
          <w:color w:val="0D0D0D"/>
          <w:sz w:val="24"/>
          <w:szCs w:val="22"/>
        </w:rPr>
      </w:pPr>
      <w:r>
        <w:rPr>
          <w:rFonts w:hint="eastAsia" w:hAnsi="宋体"/>
          <w:bCs/>
          <w:color w:val="0D0D0D"/>
          <w:sz w:val="24"/>
          <w:szCs w:val="22"/>
        </w:rPr>
        <w:t>（七）根据比选文件编制的参选文件（比选文件获取：深圳地铁智能招采管理平台（https://cg.shenzhenmc.com）</w:t>
      </w:r>
    </w:p>
    <w:p>
      <w:pPr>
        <w:pStyle w:val="43"/>
      </w:pPr>
    </w:p>
    <w:p>
      <w:pPr>
        <w:keepNext/>
        <w:keepLines/>
        <w:tabs>
          <w:tab w:val="left" w:pos="1260"/>
        </w:tabs>
        <w:adjustRightInd w:val="0"/>
        <w:spacing w:before="260" w:after="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八、参选联系人</w:t>
      </w:r>
    </w:p>
    <w:p>
      <w:pPr>
        <w:pStyle w:val="25"/>
        <w:spacing w:line="360" w:lineRule="auto"/>
        <w:ind w:firstLine="480" w:firstLineChars="200"/>
        <w:rPr>
          <w:rFonts w:hAnsi="宋体"/>
          <w:sz w:val="24"/>
          <w:szCs w:val="24"/>
        </w:rPr>
      </w:pPr>
      <w:r>
        <w:rPr>
          <w:rFonts w:hint="eastAsia" w:hAnsi="宋体"/>
          <w:sz w:val="24"/>
          <w:szCs w:val="24"/>
        </w:rPr>
        <w:t>联系人： 陈工</w:t>
      </w:r>
    </w:p>
    <w:p>
      <w:pPr>
        <w:pStyle w:val="25"/>
        <w:spacing w:line="360" w:lineRule="auto"/>
        <w:ind w:firstLine="420" w:firstLineChars="175"/>
        <w:rPr>
          <w:rFonts w:hAnsi="宋体"/>
          <w:sz w:val="24"/>
        </w:rPr>
      </w:pPr>
      <w:r>
        <w:rPr>
          <w:rFonts w:hint="eastAsia" w:hAnsi="宋体"/>
          <w:sz w:val="24"/>
          <w:szCs w:val="24"/>
        </w:rPr>
        <w:t>联系电话：</w:t>
      </w:r>
      <w:r>
        <w:rPr>
          <w:rFonts w:hint="eastAsia" w:hAnsi="宋体"/>
          <w:sz w:val="24"/>
        </w:rPr>
        <w:t>89987239</w:t>
      </w:r>
    </w:p>
    <w:p>
      <w:pPr>
        <w:pStyle w:val="25"/>
        <w:spacing w:line="360" w:lineRule="auto"/>
        <w:ind w:firstLine="480" w:firstLineChars="200"/>
        <w:rPr>
          <w:rFonts w:hAnsi="宋体"/>
          <w:sz w:val="24"/>
          <w:szCs w:val="24"/>
        </w:rPr>
      </w:pPr>
    </w:p>
    <w:p>
      <w:pPr>
        <w:pStyle w:val="25"/>
        <w:spacing w:line="360" w:lineRule="auto"/>
        <w:ind w:firstLine="480" w:firstLineChars="200"/>
        <w:jc w:val="right"/>
        <w:rPr>
          <w:rFonts w:hAnsi="宋体"/>
          <w:sz w:val="24"/>
          <w:szCs w:val="24"/>
        </w:rPr>
      </w:pPr>
    </w:p>
    <w:p>
      <w:pPr>
        <w:pStyle w:val="25"/>
        <w:spacing w:line="360" w:lineRule="auto"/>
        <w:ind w:firstLine="480" w:firstLineChars="200"/>
        <w:jc w:val="right"/>
        <w:rPr>
          <w:rFonts w:hAnsi="宋体"/>
          <w:sz w:val="24"/>
          <w:szCs w:val="24"/>
        </w:rPr>
      </w:pPr>
      <w:r>
        <w:rPr>
          <w:rFonts w:hint="eastAsia" w:hAnsi="宋体"/>
          <w:sz w:val="24"/>
          <w:szCs w:val="24"/>
        </w:rPr>
        <w:t>深圳</w:t>
      </w:r>
      <w:r>
        <w:rPr>
          <w:rFonts w:hint="eastAsia" w:hAnsi="宋体"/>
          <w:sz w:val="24"/>
          <w:szCs w:val="24"/>
          <w:lang w:val="en-US" w:eastAsia="zh-CN"/>
        </w:rPr>
        <w:t>地铁</w:t>
      </w:r>
      <w:r>
        <w:rPr>
          <w:rFonts w:hint="eastAsia" w:hAnsi="宋体"/>
          <w:sz w:val="24"/>
          <w:szCs w:val="24"/>
        </w:rPr>
        <w:t>置业集团有限公司</w:t>
      </w:r>
    </w:p>
    <w:p>
      <w:pPr>
        <w:pStyle w:val="25"/>
        <w:spacing w:line="360" w:lineRule="auto"/>
        <w:ind w:firstLine="480" w:firstLineChars="200"/>
        <w:jc w:val="right"/>
        <w:rPr>
          <w:rFonts w:hAnsi="宋体"/>
          <w:sz w:val="24"/>
          <w:szCs w:val="24"/>
        </w:rPr>
      </w:pPr>
      <w:r>
        <w:rPr>
          <w:rFonts w:hint="eastAsia" w:hAnsi="宋体"/>
          <w:sz w:val="24"/>
          <w:szCs w:val="24"/>
        </w:rPr>
        <w:t>2022年11月</w:t>
      </w:r>
      <w:r>
        <w:rPr>
          <w:rFonts w:hint="eastAsia" w:hAnsi="宋体"/>
          <w:sz w:val="24"/>
          <w:szCs w:val="24"/>
          <w:lang w:val="en-US" w:eastAsia="zh-CN"/>
        </w:rPr>
        <w:t>29</w:t>
      </w:r>
      <w:r>
        <w:rPr>
          <w:rFonts w:hint="eastAsia" w:hAnsi="宋体"/>
          <w:sz w:val="24"/>
          <w:szCs w:val="24"/>
        </w:rPr>
        <w:t>日</w:t>
      </w:r>
      <w:r>
        <w:rPr>
          <w:rFonts w:hint="eastAsia" w:hAnsi="宋体"/>
          <w:sz w:val="24"/>
          <w:szCs w:val="24"/>
        </w:rPr>
        <w:br w:type="page"/>
      </w:r>
      <w:bookmarkStart w:id="28" w:name="_Toc57731951"/>
    </w:p>
    <w:p>
      <w:pPr>
        <w:pStyle w:val="25"/>
        <w:spacing w:line="360" w:lineRule="auto"/>
        <w:ind w:firstLine="3092" w:firstLineChars="700"/>
        <w:rPr>
          <w:rFonts w:hAnsi="宋体"/>
          <w:b/>
          <w:sz w:val="44"/>
          <w:szCs w:val="44"/>
        </w:rPr>
      </w:pPr>
      <w:r>
        <w:rPr>
          <w:rFonts w:hint="eastAsia" w:hAnsi="宋体"/>
          <w:b/>
          <w:sz w:val="44"/>
          <w:szCs w:val="44"/>
        </w:rPr>
        <w:t>第一篇  参选须知</w:t>
      </w:r>
      <w:bookmarkEnd w:id="28"/>
    </w:p>
    <w:p>
      <w:pPr>
        <w:pStyle w:val="6"/>
        <w:spacing w:line="360" w:lineRule="auto"/>
        <w:rPr>
          <w:rFonts w:ascii="宋体" w:hAnsi="宋体" w:eastAsia="宋体"/>
          <w:b/>
        </w:rPr>
      </w:pPr>
      <w:bookmarkStart w:id="29" w:name="_Toc518494117"/>
      <w:bookmarkStart w:id="30" w:name="_Toc197404897"/>
      <w:bookmarkStart w:id="31" w:name="_Toc57731952"/>
      <w:r>
        <w:rPr>
          <w:rFonts w:hint="eastAsia" w:ascii="宋体" w:hAnsi="宋体" w:eastAsia="宋体"/>
          <w:b/>
        </w:rPr>
        <w:t>第一章 总则</w:t>
      </w:r>
      <w:bookmarkEnd w:id="29"/>
      <w:bookmarkEnd w:id="30"/>
      <w:bookmarkEnd w:id="31"/>
    </w:p>
    <w:p>
      <w:pPr>
        <w:keepNext/>
        <w:keepLines/>
        <w:tabs>
          <w:tab w:val="left" w:pos="1260"/>
        </w:tabs>
        <w:adjustRightInd w:val="0"/>
        <w:spacing w:before="260" w:after="260" w:line="360" w:lineRule="auto"/>
        <w:ind w:firstLine="482" w:firstLineChars="200"/>
        <w:textAlignment w:val="baseline"/>
        <w:outlineLvl w:val="2"/>
        <w:rPr>
          <w:rFonts w:ascii="宋体" w:hAnsi="宋体"/>
          <w:b/>
          <w:kern w:val="0"/>
          <w:sz w:val="24"/>
          <w:szCs w:val="24"/>
        </w:rPr>
      </w:pPr>
      <w:bookmarkStart w:id="32" w:name="_Toc57731953"/>
      <w:bookmarkStart w:id="33" w:name="_Toc518494118"/>
      <w:r>
        <w:rPr>
          <w:rFonts w:hint="eastAsia" w:ascii="宋体" w:hAnsi="宋体"/>
          <w:b/>
          <w:kern w:val="0"/>
          <w:sz w:val="24"/>
          <w:szCs w:val="24"/>
        </w:rPr>
        <w:t>一、项目概况</w:t>
      </w:r>
      <w:bookmarkEnd w:id="32"/>
      <w:bookmarkEnd w:id="33"/>
    </w:p>
    <w:p>
      <w:pPr>
        <w:spacing w:line="360" w:lineRule="auto"/>
        <w:ind w:firstLine="480" w:firstLineChars="200"/>
        <w:rPr>
          <w:rFonts w:ascii="宋体" w:hAnsi="宋体"/>
          <w:color w:val="0D0D0D"/>
          <w:sz w:val="24"/>
          <w:szCs w:val="24"/>
        </w:rPr>
      </w:pPr>
      <w:bookmarkStart w:id="34" w:name="_Toc518494119"/>
      <w:bookmarkStart w:id="35" w:name="_Toc57731954"/>
      <w:r>
        <w:rPr>
          <w:rFonts w:hint="eastAsia" w:ascii="宋体" w:hAnsi="宋体"/>
          <w:color w:val="0D0D0D"/>
          <w:sz w:val="24"/>
          <w:szCs w:val="24"/>
        </w:rPr>
        <w:t>目前，深铁集团已获取27个项目土地开发权，建筑面积（含配建）合计约1400万㎡ 。27个项目货值约4141亿元，剔除自持物业后可售货值3670亿元，已售货值1157亿元，剩余可售货值2513亿元。截止到2022年9月，已有15个项目先后入市销售，销售额累计约1157亿元，销售总面积约195.5万㎡。</w:t>
      </w:r>
    </w:p>
    <w:p>
      <w:pPr>
        <w:spacing w:line="360" w:lineRule="auto"/>
        <w:ind w:firstLine="480" w:firstLineChars="200"/>
        <w:rPr>
          <w:rFonts w:ascii="宋体" w:hAnsi="宋体"/>
          <w:color w:val="0D0D0D"/>
          <w:sz w:val="24"/>
          <w:szCs w:val="24"/>
        </w:rPr>
      </w:pPr>
      <w:r>
        <w:rPr>
          <w:rFonts w:hint="eastAsia" w:hAnsi="宋体"/>
          <w:color w:val="0D0D0D"/>
          <w:sz w:val="24"/>
          <w:szCs w:val="24"/>
        </w:rPr>
        <w:t>昂鹅</w:t>
      </w:r>
      <w:r>
        <w:rPr>
          <w:rFonts w:hint="eastAsia" w:ascii="宋体" w:hAnsi="宋体"/>
          <w:color w:val="0D0D0D"/>
          <w:sz w:val="24"/>
          <w:szCs w:val="24"/>
        </w:rPr>
        <w:t>等新项目的概况如下：</w:t>
      </w:r>
    </w:p>
    <w:tbl>
      <w:tblPr>
        <w:tblStyle w:val="49"/>
        <w:tblpPr w:leftFromText="180" w:rightFromText="180" w:vertAnchor="text" w:horzAnchor="page" w:tblpX="1662" w:tblpY="573"/>
        <w:tblOverlap w:val="never"/>
        <w:tblW w:w="7260" w:type="dxa"/>
        <w:tblInd w:w="0" w:type="dxa"/>
        <w:tblLayout w:type="autofit"/>
        <w:tblCellMar>
          <w:top w:w="0" w:type="dxa"/>
          <w:left w:w="108" w:type="dxa"/>
          <w:bottom w:w="0" w:type="dxa"/>
          <w:right w:w="108" w:type="dxa"/>
        </w:tblCellMar>
      </w:tblPr>
      <w:tblGrid>
        <w:gridCol w:w="960"/>
        <w:gridCol w:w="2988"/>
        <w:gridCol w:w="1656"/>
        <w:gridCol w:w="1656"/>
      </w:tblGrid>
      <w:tr>
        <w:tblPrEx>
          <w:tblCellMar>
            <w:top w:w="0" w:type="dxa"/>
            <w:left w:w="108" w:type="dxa"/>
            <w:bottom w:w="0" w:type="dxa"/>
            <w:right w:w="108" w:type="dxa"/>
          </w:tblCellMar>
        </w:tblPrEx>
        <w:trPr>
          <w:trHeight w:val="55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序号</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项目名称</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占地面积</w:t>
            </w:r>
          </w:p>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（公顷）</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建筑面积</w:t>
            </w:r>
          </w:p>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（万平方米）</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昂鹅车辆段一期二期</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19.22</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43</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2</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坪山石井街道项目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3.1</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12</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3</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平湖枢纽交通核项目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1.9</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8</w:t>
            </w:r>
          </w:p>
        </w:tc>
      </w:tr>
      <w:tr>
        <w:tblPrEx>
          <w:tblCellMar>
            <w:top w:w="0" w:type="dxa"/>
            <w:left w:w="108" w:type="dxa"/>
            <w:bottom w:w="0" w:type="dxa"/>
            <w:right w:w="108" w:type="dxa"/>
          </w:tblCellMar>
        </w:tblPrEx>
        <w:trPr>
          <w:trHeight w:val="3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4</w:t>
            </w:r>
          </w:p>
        </w:tc>
        <w:tc>
          <w:tcPr>
            <w:tcW w:w="2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新项目12个（预计项目）</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w:t>
            </w:r>
          </w:p>
        </w:tc>
        <w:tc>
          <w:tcPr>
            <w:tcW w:w="165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center"/>
              <w:rPr>
                <w:rFonts w:ascii="等线" w:hAnsi="等线" w:eastAsia="等线" w:cs="等线"/>
                <w:color w:val="000000"/>
                <w:kern w:val="0"/>
                <w:sz w:val="22"/>
                <w:szCs w:val="22"/>
                <w:lang w:bidi="ar"/>
              </w:rPr>
            </w:pPr>
            <w:r>
              <w:rPr>
                <w:rFonts w:hint="eastAsia" w:ascii="等线" w:hAnsi="等线" w:eastAsia="等线" w:cs="等线"/>
                <w:color w:val="000000"/>
                <w:kern w:val="0"/>
                <w:sz w:val="22"/>
                <w:szCs w:val="22"/>
                <w:lang w:bidi="ar"/>
              </w:rPr>
              <w:t>/</w:t>
            </w:r>
          </w:p>
        </w:tc>
      </w:tr>
    </w:tbl>
    <w:p>
      <w:pPr>
        <w:widowControl/>
        <w:jc w:val="center"/>
        <w:textAlignment w:val="center"/>
        <w:rPr>
          <w:rFonts w:ascii="等线" w:hAnsi="等线" w:eastAsia="等线" w:cs="等线"/>
          <w:color w:val="000000"/>
          <w:kern w:val="0"/>
          <w:sz w:val="22"/>
          <w:szCs w:val="22"/>
          <w:lang w:bidi="ar"/>
        </w:rPr>
      </w:pPr>
    </w:p>
    <w:p>
      <w:pPr>
        <w:widowControl/>
        <w:jc w:val="center"/>
        <w:textAlignment w:val="center"/>
        <w:rPr>
          <w:rFonts w:ascii="等线" w:hAnsi="等线" w:eastAsia="等线" w:cs="等线"/>
          <w:color w:val="000000"/>
          <w:kern w:val="0"/>
          <w:sz w:val="22"/>
          <w:szCs w:val="22"/>
          <w:lang w:bidi="ar"/>
        </w:rPr>
      </w:pPr>
    </w:p>
    <w:p>
      <w:pPr>
        <w:widowControl/>
        <w:jc w:val="center"/>
        <w:textAlignment w:val="center"/>
        <w:rPr>
          <w:rFonts w:ascii="等线" w:hAnsi="等线" w:eastAsia="等线" w:cs="等线"/>
          <w:color w:val="000000"/>
          <w:kern w:val="0"/>
          <w:sz w:val="22"/>
          <w:szCs w:val="22"/>
          <w:lang w:bidi="ar"/>
        </w:rPr>
      </w:pPr>
    </w:p>
    <w:p>
      <w:pPr>
        <w:widowControl/>
        <w:jc w:val="center"/>
        <w:textAlignment w:val="center"/>
        <w:rPr>
          <w:rFonts w:ascii="等线" w:hAnsi="等线" w:eastAsia="等线" w:cs="等线"/>
          <w:color w:val="000000"/>
          <w:kern w:val="0"/>
          <w:sz w:val="22"/>
          <w:szCs w:val="22"/>
          <w:lang w:bidi="ar"/>
        </w:rPr>
      </w:pPr>
    </w:p>
    <w:p>
      <w:pPr>
        <w:widowControl/>
        <w:jc w:val="center"/>
        <w:textAlignment w:val="center"/>
        <w:rPr>
          <w:rFonts w:ascii="等线" w:hAnsi="等线" w:eastAsia="等线" w:cs="等线"/>
          <w:color w:val="000000"/>
          <w:kern w:val="0"/>
          <w:sz w:val="22"/>
          <w:szCs w:val="22"/>
          <w:lang w:bidi="ar"/>
        </w:rPr>
      </w:pPr>
    </w:p>
    <w:p>
      <w:pPr>
        <w:widowControl/>
        <w:jc w:val="center"/>
        <w:textAlignment w:val="center"/>
        <w:rPr>
          <w:rFonts w:ascii="等线" w:hAnsi="等线" w:eastAsia="等线" w:cs="等线"/>
          <w:color w:val="000000"/>
          <w:kern w:val="0"/>
          <w:sz w:val="22"/>
          <w:szCs w:val="22"/>
          <w:lang w:bidi="ar"/>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p>
    <w:p>
      <w:pPr>
        <w:spacing w:line="360" w:lineRule="auto"/>
        <w:ind w:firstLine="480" w:firstLineChars="200"/>
        <w:rPr>
          <w:rFonts w:ascii="宋体" w:hAnsi="宋体"/>
          <w:color w:val="0D0D0D"/>
          <w:sz w:val="24"/>
          <w:szCs w:val="24"/>
        </w:rPr>
      </w:pPr>
      <w:r>
        <w:rPr>
          <w:rFonts w:hint="eastAsia" w:ascii="宋体" w:hAnsi="宋体"/>
          <w:color w:val="0D0D0D"/>
          <w:sz w:val="24"/>
          <w:szCs w:val="24"/>
        </w:rPr>
        <w:t>上述“项目1-3”为我司已获取的项目，预计后续3年还会获取1</w:t>
      </w:r>
      <w:r>
        <w:rPr>
          <w:rFonts w:ascii="宋体" w:hAnsi="宋体"/>
          <w:color w:val="0D0D0D"/>
          <w:sz w:val="24"/>
          <w:szCs w:val="24"/>
        </w:rPr>
        <w:t>2</w:t>
      </w:r>
      <w:r>
        <w:rPr>
          <w:rFonts w:hint="eastAsia" w:ascii="宋体" w:hAnsi="宋体"/>
          <w:color w:val="0D0D0D"/>
          <w:sz w:val="24"/>
          <w:szCs w:val="24"/>
        </w:rPr>
        <w:t>个新项目，以上15个项目不分先后，按项目开发顺序开展相关工作，具体服务新项目以实际为准，需提供服务的项目总数为15个。</w:t>
      </w:r>
    </w:p>
    <w:p>
      <w:pPr>
        <w:spacing w:line="360" w:lineRule="auto"/>
        <w:ind w:firstLine="480" w:firstLineChars="200"/>
        <w:rPr>
          <w:rFonts w:ascii="宋体" w:hAnsi="宋体"/>
          <w:color w:val="0D0D0D"/>
          <w:sz w:val="24"/>
          <w:szCs w:val="24"/>
        </w:rPr>
      </w:pPr>
      <w:r>
        <w:rPr>
          <w:rFonts w:hint="eastAsia" w:ascii="宋体" w:hAnsi="宋体"/>
          <w:color w:val="0D0D0D"/>
          <w:sz w:val="24"/>
          <w:szCs w:val="24"/>
        </w:rPr>
        <w:t>备注：项目最终站点名称、商业面积以政府最终审批的用地文件为准。</w:t>
      </w:r>
    </w:p>
    <w:p>
      <w:pPr>
        <w:keepNext/>
        <w:keepLines/>
        <w:numPr>
          <w:ilvl w:val="0"/>
          <w:numId w:val="6"/>
        </w:numPr>
        <w:tabs>
          <w:tab w:val="left" w:pos="1260"/>
        </w:tabs>
        <w:adjustRightInd w:val="0"/>
        <w:spacing w:before="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服务内容</w:t>
      </w:r>
      <w:bookmarkEnd w:id="34"/>
      <w:bookmarkEnd w:id="35"/>
      <w:bookmarkStart w:id="36" w:name="_Toc57731955"/>
      <w:bookmarkStart w:id="37" w:name="_Toc518494120"/>
    </w:p>
    <w:p>
      <w:pPr>
        <w:spacing w:line="360" w:lineRule="auto"/>
        <w:ind w:right="210" w:firstLine="480" w:firstLineChars="200"/>
        <w:rPr>
          <w:rFonts w:ascii="宋体" w:hAnsi="宋体"/>
          <w:kern w:val="0"/>
          <w:sz w:val="24"/>
          <w:szCs w:val="24"/>
        </w:rPr>
      </w:pPr>
      <w:r>
        <w:rPr>
          <w:rFonts w:hint="eastAsia" w:ascii="宋体" w:hAnsi="宋体"/>
          <w:kern w:val="0"/>
          <w:sz w:val="24"/>
          <w:szCs w:val="24"/>
        </w:rPr>
        <w:t>为我司提供昂鹅等</w:t>
      </w:r>
      <w:r>
        <w:rPr>
          <w:rFonts w:hint="eastAsia" w:ascii="宋体" w:hAnsi="宋体"/>
          <w:kern w:val="0"/>
          <w:sz w:val="24"/>
          <w:szCs w:val="24"/>
          <w:lang w:val="en-US" w:eastAsia="zh-CN"/>
        </w:rPr>
        <w:t>十五</w:t>
      </w:r>
      <w:r>
        <w:rPr>
          <w:rFonts w:hint="eastAsia" w:ascii="宋体" w:hAnsi="宋体"/>
          <w:kern w:val="0"/>
          <w:sz w:val="24"/>
          <w:szCs w:val="24"/>
        </w:rPr>
        <w:t xml:space="preserve">个预计新项目的税务咨询服务，每个项目出具独立的税务咨询报告，即需出具十五份税务咨询报告。比选范围包括但不限于： </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1、自发出每个项目的任务启动通知单之日起，根据项目的可行性研究报告，编制整体及专项税务测算及管理建议，对未来经营方案出具专项建议报告，该报告于发出通知单日起30天内完成。每个项目服务期限为半年，如方案根据实际情况或者甲方要求需修改、完善的，亦应在每个项目的任务启动通知日起一个月内完成相关的调整、修改、完善等工作；</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2、税务测算方案的实施提出具体建议书，如甲方采纳乙方建议，乙方应指导甲方财务人员规范实施建议；</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3、指导甲方进行合同涉税条款的订立、修改，并提出相应的涉税建议；</w:t>
      </w:r>
    </w:p>
    <w:p>
      <w:pPr>
        <w:spacing w:line="360" w:lineRule="auto"/>
        <w:ind w:right="210" w:firstLine="480" w:firstLineChars="200"/>
        <w:rPr>
          <w:rFonts w:ascii="宋体" w:hAnsi="宋体"/>
          <w:kern w:val="0"/>
          <w:sz w:val="24"/>
          <w:szCs w:val="24"/>
        </w:rPr>
      </w:pPr>
      <w:r>
        <w:rPr>
          <w:rFonts w:hint="eastAsia" w:ascii="宋体" w:hAnsi="宋体"/>
          <w:kern w:val="0"/>
          <w:sz w:val="24"/>
          <w:szCs w:val="24"/>
        </w:rPr>
        <w:t>4、指导甲方有关涉税法律文书制作、修改，并提出相应的涉税建议；</w:t>
      </w:r>
    </w:p>
    <w:p>
      <w:pPr>
        <w:keepNext/>
        <w:keepLines/>
        <w:tabs>
          <w:tab w:val="left" w:pos="1260"/>
        </w:tabs>
        <w:adjustRightInd w:val="0"/>
        <w:spacing w:before="260" w:after="260" w:line="360" w:lineRule="auto"/>
        <w:ind w:firstLine="480" w:firstLineChars="200"/>
        <w:textAlignment w:val="baseline"/>
        <w:outlineLvl w:val="2"/>
        <w:rPr>
          <w:rFonts w:ascii="宋体" w:hAnsi="宋体"/>
          <w:kern w:val="0"/>
          <w:sz w:val="24"/>
          <w:szCs w:val="24"/>
        </w:rPr>
      </w:pPr>
      <w:r>
        <w:rPr>
          <w:rFonts w:hint="eastAsia" w:ascii="宋体" w:hAnsi="宋体"/>
          <w:kern w:val="0"/>
          <w:sz w:val="24"/>
          <w:szCs w:val="24"/>
        </w:rPr>
        <w:t>5、如甲方需要乙方指派专职人员到指定地点进行现场指导，乙方应根据甲方所涉及的税务问题复杂程度，指派完全能胜任工作的注册税务师提供税务顾问咨询服务，乙方派出人员现场服务产生的相关费用均已包含在本合同总价中，甲方不再另行支付。</w:t>
      </w:r>
    </w:p>
    <w:p>
      <w:pPr>
        <w:keepNext/>
        <w:keepLines/>
        <w:tabs>
          <w:tab w:val="left" w:pos="1260"/>
        </w:tabs>
        <w:adjustRightInd w:val="0"/>
        <w:spacing w:before="260" w:after="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三、工作方式及时间要求</w:t>
      </w:r>
      <w:bookmarkEnd w:id="36"/>
      <w:bookmarkEnd w:id="37"/>
    </w:p>
    <w:p>
      <w:pPr>
        <w:spacing w:line="360" w:lineRule="auto"/>
        <w:ind w:firstLine="480" w:firstLineChars="200"/>
        <w:rPr>
          <w:rFonts w:ascii="宋体" w:hAnsi="宋体" w:cs="宋体"/>
          <w:color w:val="000000"/>
          <w:sz w:val="24"/>
          <w:szCs w:val="24"/>
        </w:rPr>
      </w:pPr>
      <w:bookmarkStart w:id="38" w:name="_Toc518494121"/>
      <w:bookmarkStart w:id="39" w:name="_Toc57731956"/>
      <w:r>
        <w:rPr>
          <w:rFonts w:hint="eastAsia" w:ascii="宋体" w:hAnsi="宋体" w:cs="宋体"/>
          <w:sz w:val="24"/>
          <w:szCs w:val="24"/>
        </w:rPr>
        <w:t>（一）签约主体：</w:t>
      </w:r>
    </w:p>
    <w:p>
      <w:pPr>
        <w:pStyle w:val="237"/>
        <w:adjustRightInd w:val="0"/>
        <w:snapToGrid w:val="0"/>
        <w:spacing w:line="560" w:lineRule="exact"/>
        <w:ind w:firstLine="640" w:firstLineChars="0"/>
        <w:rPr>
          <w:rFonts w:hint="eastAsia" w:ascii="Times New Roman" w:hAnsi="宋体" w:eastAsia="宋体" w:cs="Times New Roman"/>
          <w:bCs/>
          <w:color w:val="0D0D0D"/>
          <w:sz w:val="24"/>
          <w:szCs w:val="22"/>
          <w:lang w:val="en-US" w:eastAsia="zh-CN"/>
        </w:rPr>
      </w:pPr>
      <w:r>
        <w:rPr>
          <w:rFonts w:hint="eastAsia" w:hAnsi="宋体"/>
          <w:bCs/>
          <w:color w:val="0D0D0D"/>
          <w:sz w:val="24"/>
          <w:szCs w:val="22"/>
        </w:rPr>
        <w:t>本次昂鹅等</w:t>
      </w:r>
      <w:r>
        <w:rPr>
          <w:rFonts w:hint="eastAsia" w:hAnsi="宋体"/>
          <w:bCs/>
          <w:color w:val="0D0D0D"/>
          <w:sz w:val="24"/>
          <w:szCs w:val="22"/>
          <w:lang w:val="en-US" w:eastAsia="zh-CN"/>
        </w:rPr>
        <w:t>十五</w:t>
      </w:r>
      <w:r>
        <w:rPr>
          <w:rFonts w:hint="eastAsia" w:hAnsi="宋体"/>
          <w:bCs/>
          <w:color w:val="0D0D0D"/>
          <w:sz w:val="24"/>
          <w:szCs w:val="22"/>
        </w:rPr>
        <w:t>个新项目税务咨询服务统一以深圳地铁置业集团有限公司作为比选人开展招采工作</w:t>
      </w:r>
      <w:r>
        <w:rPr>
          <w:rFonts w:hint="eastAsia" w:ascii="宋体" w:hAnsi="宋体" w:cs="Times New Roman"/>
          <w:bCs w:val="0"/>
          <w:color w:val="auto"/>
          <w:kern w:val="0"/>
          <w:sz w:val="24"/>
          <w:szCs w:val="24"/>
          <w:lang w:eastAsia="zh-CN"/>
        </w:rPr>
        <w:t>。</w:t>
      </w:r>
      <w:r>
        <w:rPr>
          <w:rFonts w:hint="eastAsia" w:ascii="宋体" w:hAnsi="宋体" w:eastAsia="宋体" w:cs="Times New Roman"/>
          <w:kern w:val="0"/>
          <w:sz w:val="24"/>
          <w:szCs w:val="24"/>
        </w:rPr>
        <w:t>后续</w:t>
      </w:r>
      <w:r>
        <w:rPr>
          <w:rFonts w:hint="eastAsia" w:ascii="宋体" w:hAnsi="宋体" w:eastAsia="宋体" w:cs="Times New Roman"/>
          <w:kern w:val="0"/>
          <w:sz w:val="24"/>
          <w:szCs w:val="24"/>
          <w:lang w:val="en-US" w:eastAsia="zh-CN"/>
        </w:rPr>
        <w:t>已确定项目开发主体的项目，由</w:t>
      </w:r>
      <w:r>
        <w:rPr>
          <w:rFonts w:hint="eastAsia" w:ascii="宋体" w:hAnsi="宋体" w:eastAsia="宋体" w:cs="Times New Roman"/>
          <w:kern w:val="0"/>
          <w:sz w:val="24"/>
          <w:szCs w:val="24"/>
        </w:rPr>
        <w:t>中选人与实际项目开发主体签订合同</w:t>
      </w:r>
      <w:r>
        <w:rPr>
          <w:rFonts w:hint="eastAsia" w:ascii="宋体" w:hAnsi="宋体" w:cs="Times New Roman"/>
          <w:bCs w:val="0"/>
          <w:color w:val="auto"/>
          <w:kern w:val="0"/>
          <w:sz w:val="24"/>
          <w:szCs w:val="24"/>
          <w:lang w:eastAsia="zh-CN"/>
        </w:rPr>
        <w:t>（</w:t>
      </w:r>
      <w:r>
        <w:rPr>
          <w:rFonts w:hint="eastAsia" w:ascii="宋体" w:hAnsi="宋体" w:eastAsia="宋体" w:cs="Times New Roman"/>
          <w:kern w:val="0"/>
          <w:sz w:val="24"/>
          <w:szCs w:val="24"/>
        </w:rPr>
        <w:t>其中：</w:t>
      </w:r>
      <w:r>
        <w:rPr>
          <w:rFonts w:hint="eastAsia" w:ascii="宋体" w:hAnsi="宋体" w:eastAsia="宋体" w:cs="Times New Roman"/>
          <w:color w:val="auto"/>
          <w:kern w:val="0"/>
          <w:sz w:val="24"/>
          <w:szCs w:val="24"/>
          <w:lang w:bidi="ar-SA"/>
        </w:rPr>
        <w:t>昂鹅车辆段一期二期</w:t>
      </w:r>
      <w:r>
        <w:rPr>
          <w:rFonts w:hint="eastAsia" w:ascii="宋体" w:hAnsi="宋体" w:cs="Times New Roman"/>
          <w:bCs w:val="0"/>
          <w:color w:val="auto"/>
          <w:kern w:val="0"/>
          <w:sz w:val="24"/>
          <w:szCs w:val="24"/>
          <w:lang w:eastAsia="zh-CN" w:bidi="ar-SA"/>
        </w:rPr>
        <w:t>、</w:t>
      </w:r>
      <w:r>
        <w:rPr>
          <w:rFonts w:hint="eastAsia" w:ascii="宋体" w:hAnsi="宋体" w:eastAsia="宋体" w:cs="Times New Roman"/>
          <w:bCs w:val="0"/>
          <w:color w:val="auto"/>
          <w:kern w:val="0"/>
          <w:sz w:val="24"/>
          <w:szCs w:val="24"/>
          <w:lang w:bidi="ar-SA"/>
        </w:rPr>
        <w:t>平湖枢纽交通核项目</w:t>
      </w:r>
      <w:r>
        <w:rPr>
          <w:rFonts w:hint="eastAsia" w:ascii="宋体" w:hAnsi="宋体" w:eastAsia="宋体" w:cs="Times New Roman"/>
          <w:color w:val="auto"/>
          <w:kern w:val="0"/>
          <w:sz w:val="24"/>
          <w:szCs w:val="24"/>
          <w:lang w:eastAsia="zh-CN" w:bidi="ar-SA"/>
        </w:rPr>
        <w:t>的</w:t>
      </w:r>
      <w:r>
        <w:rPr>
          <w:rFonts w:hint="eastAsia" w:ascii="宋体" w:hAnsi="宋体" w:eastAsia="宋体" w:cs="Times New Roman"/>
          <w:color w:val="auto"/>
          <w:kern w:val="0"/>
          <w:sz w:val="24"/>
          <w:szCs w:val="24"/>
          <w:lang w:val="en-US" w:eastAsia="zh-CN" w:bidi="ar-SA"/>
        </w:rPr>
        <w:t>签约主体是</w:t>
      </w:r>
      <w:r>
        <w:rPr>
          <w:rFonts w:hint="eastAsia" w:ascii="宋体" w:hAnsi="宋体" w:eastAsia="宋体" w:cs="Times New Roman"/>
          <w:kern w:val="0"/>
          <w:sz w:val="24"/>
          <w:szCs w:val="24"/>
        </w:rPr>
        <w:t>深圳市地铁集团有限公司</w:t>
      </w:r>
      <w:r>
        <w:rPr>
          <w:rFonts w:hint="eastAsia" w:ascii="宋体" w:hAnsi="宋体" w:cs="Times New Roman"/>
          <w:bCs w:val="0"/>
          <w:color w:val="auto"/>
          <w:kern w:val="0"/>
          <w:sz w:val="24"/>
          <w:szCs w:val="24"/>
          <w:lang w:eastAsia="zh-CN"/>
        </w:rPr>
        <w:t>，</w:t>
      </w:r>
      <w:r>
        <w:rPr>
          <w:rFonts w:hint="eastAsia" w:ascii="宋体" w:hAnsi="宋体" w:eastAsia="宋体" w:cs="Times New Roman"/>
          <w:color w:val="auto"/>
          <w:kern w:val="0"/>
          <w:sz w:val="24"/>
          <w:szCs w:val="24"/>
          <w:lang w:bidi="ar-SA"/>
        </w:rPr>
        <w:t>坪山石井街道项目</w:t>
      </w:r>
      <w:r>
        <w:rPr>
          <w:rFonts w:hint="eastAsia" w:ascii="宋体" w:hAnsi="宋体" w:eastAsia="宋体" w:cs="Times New Roman"/>
          <w:color w:val="auto"/>
          <w:kern w:val="0"/>
          <w:sz w:val="24"/>
          <w:szCs w:val="24"/>
          <w:lang w:eastAsia="zh-CN" w:bidi="ar-SA"/>
        </w:rPr>
        <w:t>的</w:t>
      </w:r>
      <w:r>
        <w:rPr>
          <w:rFonts w:hint="eastAsia" w:ascii="宋体" w:hAnsi="宋体" w:eastAsia="宋体" w:cs="Times New Roman"/>
          <w:color w:val="auto"/>
          <w:kern w:val="0"/>
          <w:sz w:val="24"/>
          <w:szCs w:val="24"/>
          <w:lang w:val="en-US" w:eastAsia="zh-CN" w:bidi="ar-SA"/>
        </w:rPr>
        <w:t>签约主体是</w:t>
      </w:r>
      <w:r>
        <w:rPr>
          <w:rFonts w:hint="eastAsia" w:ascii="宋体" w:hAnsi="宋体" w:eastAsia="宋体" w:cs="Times New Roman"/>
          <w:kern w:val="0"/>
          <w:sz w:val="24"/>
          <w:szCs w:val="24"/>
        </w:rPr>
        <w:t>深圳地铁置业集团有限公司</w:t>
      </w:r>
      <w:r>
        <w:rPr>
          <w:rFonts w:hint="eastAsia" w:ascii="宋体" w:hAnsi="宋体" w:cs="Times New Roman"/>
          <w:bCs w:val="0"/>
          <w:color w:val="auto"/>
          <w:kern w:val="0"/>
          <w:sz w:val="24"/>
          <w:szCs w:val="24"/>
          <w:lang w:eastAsia="zh-CN"/>
        </w:rPr>
        <w:t>）</w:t>
      </w:r>
      <w:r>
        <w:rPr>
          <w:rFonts w:hint="eastAsia" w:ascii="宋体" w:hAnsi="宋体" w:eastAsia="宋体" w:cs="Times New Roman"/>
          <w:kern w:val="0"/>
          <w:sz w:val="24"/>
          <w:szCs w:val="24"/>
        </w:rPr>
        <w:t>；考虑到后续新项目</w:t>
      </w:r>
      <w:r>
        <w:rPr>
          <w:rFonts w:hint="eastAsia" w:ascii="宋体" w:hAnsi="宋体" w:eastAsia="宋体" w:cs="Times New Roman"/>
          <w:kern w:val="0"/>
          <w:sz w:val="24"/>
          <w:szCs w:val="24"/>
          <w:lang w:val="en-US" w:eastAsia="zh-CN"/>
        </w:rPr>
        <w:t>开发</w:t>
      </w:r>
      <w:r>
        <w:rPr>
          <w:rFonts w:hint="eastAsia" w:ascii="宋体" w:hAnsi="宋体" w:eastAsia="宋体" w:cs="Times New Roman"/>
          <w:kern w:val="0"/>
          <w:sz w:val="24"/>
          <w:szCs w:val="24"/>
        </w:rPr>
        <w:t>主体的不确定性</w:t>
      </w:r>
      <w:r>
        <w:rPr>
          <w:rFonts w:hint="eastAsia" w:ascii="宋体" w:hAnsi="宋体" w:eastAsia="宋体" w:cs="Times New Roman"/>
          <w:kern w:val="0"/>
          <w:sz w:val="24"/>
          <w:szCs w:val="24"/>
          <w:lang w:eastAsia="zh-CN"/>
        </w:rPr>
        <w:t>，</w:t>
      </w:r>
      <w:r>
        <w:rPr>
          <w:rFonts w:hint="eastAsia" w:ascii="宋体" w:hAnsi="宋体" w:eastAsia="宋体" w:cs="Times New Roman"/>
          <w:kern w:val="0"/>
          <w:sz w:val="24"/>
          <w:szCs w:val="24"/>
          <w:lang w:val="en-US" w:eastAsia="zh-CN"/>
        </w:rPr>
        <w:t>剩余</w:t>
      </w:r>
      <w:r>
        <w:rPr>
          <w:rFonts w:hint="eastAsia" w:ascii="宋体" w:hAnsi="宋体" w:eastAsia="宋体" w:cs="Times New Roman"/>
          <w:kern w:val="0"/>
          <w:sz w:val="24"/>
          <w:szCs w:val="24"/>
        </w:rPr>
        <w:t>未确定开发主体的</w:t>
      </w:r>
      <w:r>
        <w:rPr>
          <w:rFonts w:hint="eastAsia" w:ascii="宋体" w:hAnsi="宋体" w:eastAsia="宋体" w:cs="Times New Roman"/>
          <w:kern w:val="0"/>
          <w:sz w:val="24"/>
          <w:szCs w:val="24"/>
          <w:lang w:val="en-US" w:eastAsia="zh-CN"/>
        </w:rPr>
        <w:t>新</w:t>
      </w:r>
      <w:r>
        <w:rPr>
          <w:rFonts w:hint="eastAsia" w:ascii="宋体" w:hAnsi="宋体" w:eastAsia="宋体" w:cs="Times New Roman"/>
          <w:kern w:val="0"/>
          <w:sz w:val="24"/>
          <w:szCs w:val="24"/>
        </w:rPr>
        <w:t>项目，由中选人与</w:t>
      </w:r>
      <w:r>
        <w:rPr>
          <w:rFonts w:hint="eastAsia" w:ascii="宋体" w:hAnsi="宋体" w:eastAsia="宋体" w:cs="Times New Roman"/>
          <w:bCs w:val="0"/>
          <w:color w:val="auto"/>
          <w:kern w:val="0"/>
          <w:sz w:val="24"/>
          <w:szCs w:val="24"/>
        </w:rPr>
        <w:t>深圳市地铁集团有限公司</w:t>
      </w:r>
      <w:r>
        <w:rPr>
          <w:rFonts w:hint="eastAsia" w:ascii="宋体" w:hAnsi="宋体" w:cs="Times New Roman"/>
          <w:bCs w:val="0"/>
          <w:color w:val="auto"/>
          <w:kern w:val="0"/>
          <w:sz w:val="24"/>
          <w:szCs w:val="24"/>
          <w:lang w:eastAsia="zh-CN"/>
        </w:rPr>
        <w:t>、</w:t>
      </w:r>
      <w:r>
        <w:rPr>
          <w:rFonts w:hint="eastAsia" w:ascii="宋体" w:hAnsi="宋体" w:eastAsia="宋体" w:cs="Times New Roman"/>
          <w:bCs w:val="0"/>
          <w:color w:val="auto"/>
          <w:kern w:val="0"/>
          <w:sz w:val="24"/>
          <w:szCs w:val="24"/>
        </w:rPr>
        <w:t>深圳地铁置业集团有限公司</w:t>
      </w:r>
      <w:r>
        <w:rPr>
          <w:rFonts w:hint="eastAsia" w:ascii="宋体" w:hAnsi="宋体" w:cs="Times New Roman"/>
          <w:bCs w:val="0"/>
          <w:color w:val="auto"/>
          <w:kern w:val="0"/>
          <w:sz w:val="24"/>
          <w:szCs w:val="24"/>
          <w:lang w:val="en-US" w:eastAsia="zh-CN"/>
        </w:rPr>
        <w:t>和</w:t>
      </w:r>
      <w:r>
        <w:rPr>
          <w:rFonts w:hint="eastAsia" w:ascii="宋体" w:hAnsi="宋体" w:eastAsia="宋体" w:cs="Times New Roman"/>
          <w:bCs w:val="0"/>
          <w:color w:val="auto"/>
          <w:kern w:val="0"/>
          <w:sz w:val="24"/>
          <w:szCs w:val="24"/>
        </w:rPr>
        <w:t>深圳地铁前海国际发展有限公司</w:t>
      </w:r>
      <w:r>
        <w:rPr>
          <w:rFonts w:hint="eastAsia" w:ascii="宋体" w:hAnsi="宋体" w:eastAsia="宋体" w:cs="Times New Roman"/>
          <w:kern w:val="0"/>
          <w:sz w:val="24"/>
          <w:szCs w:val="24"/>
          <w:lang w:val="en-US" w:eastAsia="zh-CN"/>
        </w:rPr>
        <w:t>共同</w:t>
      </w:r>
      <w:r>
        <w:rPr>
          <w:rFonts w:hint="eastAsia" w:ascii="宋体" w:hAnsi="宋体" w:eastAsia="宋体" w:cs="Times New Roman"/>
          <w:kern w:val="0"/>
          <w:sz w:val="24"/>
          <w:szCs w:val="24"/>
        </w:rPr>
        <w:t>签定</w:t>
      </w:r>
      <w:r>
        <w:rPr>
          <w:rFonts w:hint="eastAsia" w:ascii="宋体" w:hAnsi="宋体" w:eastAsia="宋体" w:cs="Times New Roman"/>
          <w:kern w:val="0"/>
          <w:sz w:val="24"/>
          <w:szCs w:val="24"/>
          <w:lang w:val="en-US" w:eastAsia="zh-CN"/>
        </w:rPr>
        <w:t>四方协议</w:t>
      </w:r>
      <w:r>
        <w:rPr>
          <w:rFonts w:hint="eastAsia" w:ascii="宋体" w:hAnsi="宋体" w:eastAsia="宋体" w:cs="Times New Roman"/>
          <w:kern w:val="0"/>
          <w:sz w:val="24"/>
          <w:szCs w:val="24"/>
        </w:rPr>
        <w:t>，具体按</w:t>
      </w:r>
      <w:r>
        <w:rPr>
          <w:rFonts w:hint="eastAsia" w:ascii="宋体" w:hAnsi="宋体" w:eastAsia="宋体" w:cs="Times New Roman"/>
          <w:kern w:val="0"/>
          <w:sz w:val="24"/>
          <w:szCs w:val="24"/>
          <w:lang w:val="en-US" w:eastAsia="zh-CN"/>
        </w:rPr>
        <w:t>实际项目对应开发主体支付。</w:t>
      </w:r>
    </w:p>
    <w:p>
      <w:pPr>
        <w:keepNext/>
        <w:keepLines/>
        <w:tabs>
          <w:tab w:val="left" w:pos="1260"/>
        </w:tabs>
        <w:adjustRightInd w:val="0"/>
        <w:spacing w:before="260" w:after="260" w:line="360" w:lineRule="auto"/>
        <w:ind w:firstLine="480" w:firstLineChars="200"/>
        <w:textAlignment w:val="baseline"/>
        <w:outlineLvl w:val="2"/>
        <w:rPr>
          <w:rFonts w:ascii="宋体" w:hAnsi="宋体"/>
          <w:kern w:val="0"/>
          <w:sz w:val="24"/>
          <w:szCs w:val="24"/>
        </w:rPr>
      </w:pPr>
      <w:r>
        <w:rPr>
          <w:rFonts w:hint="eastAsia" w:hAnsi="宋体"/>
          <w:bCs/>
          <w:color w:val="0D0D0D"/>
          <w:sz w:val="24"/>
          <w:szCs w:val="22"/>
        </w:rPr>
        <w:t>中选人根据比选人要求对新项目出具项目税务专项建议报告（终稿），且完成服务期内甲方要求</w:t>
      </w:r>
      <w:r>
        <w:rPr>
          <w:rFonts w:hint="eastAsia" w:ascii="宋体" w:hAnsi="宋体"/>
          <w:kern w:val="0"/>
          <w:sz w:val="24"/>
          <w:szCs w:val="24"/>
        </w:rPr>
        <w:t>的该项目全部工作并得到甲方验收确认后，中选人需按该项目主体开具增值税专用发票，</w:t>
      </w:r>
      <w:r>
        <w:rPr>
          <w:rFonts w:hint="eastAsia" w:hAnsi="宋体"/>
          <w:bCs/>
          <w:color w:val="0D0D0D"/>
          <w:sz w:val="24"/>
          <w:szCs w:val="22"/>
        </w:rPr>
        <w:t>由项目开发主体支付服务费</w:t>
      </w:r>
      <w:r>
        <w:rPr>
          <w:rFonts w:hint="eastAsia" w:ascii="宋体" w:hAnsi="宋体"/>
          <w:kern w:val="0"/>
          <w:sz w:val="24"/>
          <w:szCs w:val="24"/>
        </w:rPr>
        <w:t>。</w:t>
      </w:r>
    </w:p>
    <w:p>
      <w:pPr>
        <w:keepNext/>
        <w:keepLines/>
        <w:numPr>
          <w:ilvl w:val="0"/>
          <w:numId w:val="7"/>
        </w:numPr>
        <w:tabs>
          <w:tab w:val="left" w:pos="1260"/>
        </w:tabs>
        <w:adjustRightInd w:val="0"/>
        <w:spacing w:before="260" w:after="260" w:line="360" w:lineRule="auto"/>
        <w:ind w:firstLine="480" w:firstLineChars="200"/>
        <w:textAlignment w:val="baseline"/>
        <w:outlineLvl w:val="2"/>
        <w:rPr>
          <w:rFonts w:ascii="宋体" w:hAnsi="宋体"/>
          <w:kern w:val="0"/>
          <w:sz w:val="24"/>
          <w:szCs w:val="24"/>
        </w:rPr>
      </w:pPr>
      <w:r>
        <w:rPr>
          <w:rFonts w:hint="eastAsia" w:ascii="宋体" w:hAnsi="宋体"/>
          <w:kern w:val="0"/>
          <w:sz w:val="24"/>
          <w:szCs w:val="24"/>
        </w:rPr>
        <w:t>服务期限：服务期暂定为3年，自合同签订之日起至乙方配合甲方完成合同约定所有项目税务咨询服务之日止。</w:t>
      </w:r>
    </w:p>
    <w:p>
      <w:pPr>
        <w:keepNext/>
        <w:keepLines/>
        <w:numPr>
          <w:ilvl w:val="255"/>
          <w:numId w:val="0"/>
        </w:numPr>
        <w:tabs>
          <w:tab w:val="left" w:pos="1260"/>
        </w:tabs>
        <w:adjustRightInd w:val="0"/>
        <w:spacing w:before="260" w:after="260" w:line="360" w:lineRule="auto"/>
        <w:ind w:firstLine="480" w:firstLineChars="200"/>
        <w:textAlignment w:val="baseline"/>
        <w:outlineLvl w:val="2"/>
        <w:rPr>
          <w:rFonts w:ascii="宋体" w:hAnsi="宋体" w:cs="宋体"/>
          <w:color w:val="000000"/>
          <w:sz w:val="24"/>
          <w:szCs w:val="24"/>
        </w:rPr>
      </w:pPr>
      <w:r>
        <w:rPr>
          <w:rFonts w:hint="eastAsia" w:ascii="宋体" w:hAnsi="宋体"/>
          <w:kern w:val="0"/>
          <w:sz w:val="24"/>
          <w:szCs w:val="24"/>
        </w:rPr>
        <w:t>每个项目的服务期限自发出每个项目的任务启动通知单之日起，根据项目的可行性研究报告，编制整体及专项税务测算及管理建议，对</w:t>
      </w:r>
      <w:r>
        <w:rPr>
          <w:rFonts w:hint="eastAsia" w:ascii="宋体" w:hAnsi="宋体"/>
          <w:color w:val="0D0D0D"/>
          <w:kern w:val="0"/>
          <w:sz w:val="24"/>
          <w:szCs w:val="24"/>
        </w:rPr>
        <w:t>未来经营方案出具专项建议报告，该报告于发出通知单日起30天内完成。</w:t>
      </w:r>
    </w:p>
    <w:p>
      <w:pPr>
        <w:spacing w:line="360" w:lineRule="auto"/>
        <w:ind w:firstLine="482" w:firstLineChars="200"/>
        <w:rPr>
          <w:rFonts w:ascii="宋体" w:hAnsi="宋体"/>
          <w:sz w:val="24"/>
          <w:szCs w:val="24"/>
        </w:rPr>
      </w:pPr>
      <w:r>
        <w:rPr>
          <w:rFonts w:hint="eastAsia" w:ascii="宋体" w:hAnsi="宋体"/>
          <w:b/>
          <w:kern w:val="0"/>
          <w:sz w:val="24"/>
          <w:szCs w:val="24"/>
        </w:rPr>
        <w:t>四、参选人资格条件</w:t>
      </w:r>
      <w:bookmarkEnd w:id="38"/>
      <w:bookmarkEnd w:id="39"/>
      <w:bookmarkStart w:id="40" w:name="_Toc197404900"/>
      <w:bookmarkStart w:id="41" w:name="_Toc518494122"/>
      <w:bookmarkStart w:id="42" w:name="_Toc57731957"/>
    </w:p>
    <w:p>
      <w:pPr>
        <w:numPr>
          <w:ilvl w:val="0"/>
          <w:numId w:val="8"/>
        </w:numPr>
        <w:suppressAutoHyphens/>
        <w:topLinePunct/>
        <w:snapToGrid w:val="0"/>
        <w:spacing w:line="360" w:lineRule="auto"/>
        <w:contextualSpacing/>
        <w:rPr>
          <w:rFonts w:ascii="宋体" w:hAnsi="宋体"/>
          <w:color w:val="0D0D0D"/>
          <w:kern w:val="0"/>
          <w:sz w:val="24"/>
          <w:szCs w:val="24"/>
        </w:rPr>
      </w:pPr>
      <w:r>
        <w:rPr>
          <w:rFonts w:hint="eastAsia" w:ascii="宋体" w:hAnsi="宋体"/>
          <w:color w:val="0D0D0D"/>
          <w:kern w:val="0"/>
          <w:sz w:val="24"/>
          <w:szCs w:val="24"/>
        </w:rPr>
        <w:t>参选人须为于2019年9月1日前成立的税务师事务所或咨询公司，或上述单位的分支机构</w:t>
      </w:r>
      <w:r>
        <w:rPr>
          <w:rFonts w:hint="eastAsia" w:ascii="宋体" w:hAnsi="宋体"/>
          <w:b/>
          <w:bCs/>
          <w:kern w:val="0"/>
          <w:sz w:val="24"/>
          <w:szCs w:val="24"/>
        </w:rPr>
        <w:t>（若参选人为分支机构，需提供总公司的授权文件）</w:t>
      </w:r>
      <w:r>
        <w:rPr>
          <w:rFonts w:hint="eastAsia" w:ascii="宋体" w:hAnsi="宋体"/>
          <w:color w:val="0D0D0D"/>
          <w:kern w:val="0"/>
          <w:sz w:val="24"/>
          <w:szCs w:val="24"/>
        </w:rPr>
        <w:t>。</w:t>
      </w:r>
    </w:p>
    <w:p>
      <w:pPr>
        <w:numPr>
          <w:ilvl w:val="0"/>
          <w:numId w:val="8"/>
        </w:numPr>
        <w:suppressAutoHyphens/>
        <w:topLinePunct/>
        <w:snapToGrid w:val="0"/>
        <w:spacing w:line="360" w:lineRule="auto"/>
        <w:contextualSpacing/>
        <w:rPr>
          <w:rFonts w:ascii="宋体" w:hAnsi="宋体"/>
          <w:color w:val="0D0D0D"/>
          <w:kern w:val="0"/>
          <w:sz w:val="24"/>
          <w:szCs w:val="24"/>
        </w:rPr>
      </w:pPr>
      <w:r>
        <w:rPr>
          <w:rFonts w:hint="eastAsia" w:ascii="宋体" w:hAnsi="宋体"/>
          <w:color w:val="0D0D0D"/>
          <w:kern w:val="0"/>
          <w:sz w:val="24"/>
          <w:szCs w:val="24"/>
          <w:lang w:val="zh-CN"/>
        </w:rPr>
        <w:t>202</w:t>
      </w:r>
      <w:r>
        <w:rPr>
          <w:rFonts w:hint="eastAsia" w:ascii="宋体" w:hAnsi="宋体"/>
          <w:color w:val="0D0D0D"/>
          <w:kern w:val="0"/>
          <w:sz w:val="24"/>
          <w:szCs w:val="24"/>
        </w:rPr>
        <w:t>0</w:t>
      </w:r>
      <w:r>
        <w:rPr>
          <w:rFonts w:hint="eastAsia" w:ascii="宋体" w:hAnsi="宋体"/>
          <w:color w:val="0D0D0D"/>
          <w:kern w:val="0"/>
          <w:sz w:val="24"/>
          <w:szCs w:val="24"/>
          <w:lang w:val="zh-CN"/>
        </w:rPr>
        <w:t>-202</w:t>
      </w:r>
      <w:r>
        <w:rPr>
          <w:rFonts w:hint="eastAsia" w:ascii="宋体" w:hAnsi="宋体"/>
          <w:color w:val="0D0D0D"/>
          <w:kern w:val="0"/>
          <w:sz w:val="24"/>
          <w:szCs w:val="24"/>
        </w:rPr>
        <w:t>2</w:t>
      </w:r>
      <w:r>
        <w:rPr>
          <w:rFonts w:hint="eastAsia" w:ascii="宋体" w:hAnsi="宋体"/>
          <w:color w:val="0D0D0D"/>
          <w:kern w:val="0"/>
          <w:sz w:val="24"/>
          <w:szCs w:val="24"/>
          <w:lang w:val="zh-CN"/>
        </w:rPr>
        <w:t>年</w:t>
      </w:r>
      <w:r>
        <w:rPr>
          <w:rFonts w:hint="eastAsia" w:ascii="宋体" w:hAnsi="宋体"/>
          <w:color w:val="0D0D0D"/>
          <w:kern w:val="0"/>
          <w:sz w:val="24"/>
          <w:szCs w:val="24"/>
        </w:rPr>
        <w:t>无违规证明</w:t>
      </w:r>
      <w:r>
        <w:rPr>
          <w:rFonts w:hint="eastAsia" w:ascii="宋体" w:hAnsi="宋体"/>
          <w:color w:val="0D0D0D"/>
          <w:kern w:val="0"/>
          <w:sz w:val="24"/>
          <w:szCs w:val="24"/>
          <w:lang w:val="zh-CN"/>
        </w:rPr>
        <w:t>(以深圳市注册税务师协会</w:t>
      </w:r>
      <w:r>
        <w:rPr>
          <w:rFonts w:hint="eastAsia" w:ascii="宋体" w:hAnsi="宋体"/>
          <w:color w:val="0D0D0D"/>
          <w:kern w:val="0"/>
          <w:sz w:val="24"/>
          <w:szCs w:val="24"/>
        </w:rPr>
        <w:t>出具的证明</w:t>
      </w:r>
      <w:r>
        <w:rPr>
          <w:rFonts w:hint="eastAsia" w:ascii="宋体" w:hAnsi="宋体"/>
          <w:color w:val="0D0D0D"/>
          <w:kern w:val="0"/>
          <w:sz w:val="24"/>
          <w:szCs w:val="24"/>
          <w:lang w:val="zh-CN"/>
        </w:rPr>
        <w:t>为准）</w:t>
      </w:r>
      <w:r>
        <w:rPr>
          <w:rFonts w:hint="eastAsia" w:ascii="宋体" w:hAnsi="宋体"/>
          <w:color w:val="0D0D0D"/>
          <w:kern w:val="0"/>
          <w:sz w:val="24"/>
          <w:szCs w:val="24"/>
        </w:rPr>
        <w:t>（若参选人为税务师事务所）。</w:t>
      </w:r>
    </w:p>
    <w:p>
      <w:pPr>
        <w:numPr>
          <w:ilvl w:val="0"/>
          <w:numId w:val="8"/>
        </w:numPr>
        <w:suppressAutoHyphens/>
        <w:topLinePunct/>
        <w:snapToGrid w:val="0"/>
        <w:spacing w:line="360" w:lineRule="auto"/>
        <w:contextualSpacing/>
        <w:rPr>
          <w:rFonts w:ascii="宋体" w:hAnsi="宋体"/>
          <w:color w:val="0D0D0D"/>
          <w:kern w:val="0"/>
          <w:sz w:val="24"/>
          <w:szCs w:val="24"/>
        </w:rPr>
      </w:pPr>
      <w:r>
        <w:rPr>
          <w:rFonts w:hint="eastAsia" w:ascii="宋体" w:hAnsi="宋体"/>
          <w:color w:val="0D0D0D"/>
          <w:kern w:val="0"/>
          <w:sz w:val="24"/>
          <w:szCs w:val="24"/>
        </w:rPr>
        <w:t>注册税务师协会认定的AAA级以上（含AAA级）（2020年1月1日后授予）（若参选人为税务师事务所）。</w:t>
      </w:r>
    </w:p>
    <w:p>
      <w:pPr>
        <w:numPr>
          <w:ilvl w:val="0"/>
          <w:numId w:val="8"/>
        </w:numPr>
        <w:suppressAutoHyphens/>
        <w:topLinePunct/>
        <w:snapToGrid w:val="0"/>
        <w:spacing w:line="360" w:lineRule="auto"/>
        <w:contextualSpacing/>
        <w:rPr>
          <w:rFonts w:ascii="宋体" w:hAnsi="宋体"/>
          <w:color w:val="0D0D0D"/>
          <w:kern w:val="0"/>
          <w:sz w:val="24"/>
          <w:szCs w:val="24"/>
        </w:rPr>
      </w:pPr>
      <w:r>
        <w:rPr>
          <w:rFonts w:hint="eastAsia" w:ascii="宋体" w:hAnsi="宋体"/>
          <w:color w:val="0D0D0D"/>
          <w:kern w:val="0"/>
          <w:sz w:val="24"/>
          <w:szCs w:val="24"/>
        </w:rPr>
        <w:t>2019年11月1日以来(以合同签约日期为准)，具有税务咨询服务经验5个项目（须为落地深圳的房地产项目）以上。</w:t>
      </w:r>
    </w:p>
    <w:p>
      <w:pPr>
        <w:numPr>
          <w:ilvl w:val="0"/>
          <w:numId w:val="8"/>
        </w:numPr>
        <w:spacing w:line="360" w:lineRule="auto"/>
        <w:rPr>
          <w:rFonts w:hAnsi="宋体"/>
          <w:bCs/>
          <w:color w:val="0D0D0D"/>
          <w:sz w:val="24"/>
          <w:szCs w:val="22"/>
        </w:rPr>
      </w:pPr>
      <w:r>
        <w:rPr>
          <w:rFonts w:hint="eastAsia" w:hAnsi="宋体"/>
          <w:bCs/>
          <w:color w:val="0D0D0D"/>
          <w:sz w:val="24"/>
          <w:szCs w:val="22"/>
        </w:rPr>
        <w:t>不接受联合体投标。</w:t>
      </w:r>
    </w:p>
    <w:p>
      <w:pPr>
        <w:keepNext/>
        <w:keepLines/>
        <w:tabs>
          <w:tab w:val="left" w:pos="1260"/>
        </w:tabs>
        <w:adjustRightInd w:val="0"/>
        <w:spacing w:after="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五、比选、参选的</w:t>
      </w:r>
      <w:bookmarkEnd w:id="40"/>
      <w:r>
        <w:rPr>
          <w:rFonts w:hint="eastAsia" w:ascii="宋体" w:hAnsi="宋体"/>
          <w:b/>
          <w:kern w:val="0"/>
          <w:sz w:val="24"/>
          <w:szCs w:val="24"/>
        </w:rPr>
        <w:t>时间安排</w:t>
      </w:r>
      <w:bookmarkEnd w:id="41"/>
      <w:bookmarkEnd w:id="42"/>
    </w:p>
    <w:tbl>
      <w:tblPr>
        <w:tblStyle w:val="49"/>
        <w:tblW w:w="498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4"/>
        <w:gridCol w:w="1691"/>
        <w:gridCol w:w="2099"/>
        <w:gridCol w:w="52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序号</w:t>
            </w:r>
          </w:p>
        </w:tc>
        <w:tc>
          <w:tcPr>
            <w:tcW w:w="860"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内  容</w:t>
            </w:r>
          </w:p>
        </w:tc>
        <w:tc>
          <w:tcPr>
            <w:tcW w:w="1068"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时间安排</w:t>
            </w:r>
          </w:p>
        </w:tc>
        <w:tc>
          <w:tcPr>
            <w:tcW w:w="2687" w:type="pct"/>
            <w:tcBorders>
              <w:top w:val="single" w:color="auto" w:sz="4" w:space="0"/>
              <w:left w:val="single" w:color="auto" w:sz="4" w:space="0"/>
              <w:bottom w:val="single" w:color="auto" w:sz="4" w:space="0"/>
              <w:right w:val="single" w:color="auto" w:sz="4" w:space="0"/>
            </w:tcBorders>
            <w:vAlign w:val="center"/>
          </w:tcPr>
          <w:p>
            <w:pPr>
              <w:adjustRightInd w:val="0"/>
              <w:spacing w:after="120" w:line="360" w:lineRule="auto"/>
              <w:jc w:val="center"/>
              <w:rPr>
                <w:rFonts w:ascii="宋体" w:hAnsi="宋体"/>
                <w:color w:val="0C0C0C"/>
                <w:sz w:val="24"/>
                <w:szCs w:val="24"/>
              </w:rPr>
            </w:pPr>
            <w:r>
              <w:rPr>
                <w:rFonts w:hint="eastAsia" w:ascii="宋体" w:hAnsi="宋体"/>
                <w:color w:val="0C0C0C"/>
                <w:sz w:val="24"/>
                <w:szCs w:val="24"/>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kern w:val="0"/>
                <w:sz w:val="24"/>
                <w:szCs w:val="24"/>
                <w:highlight w:val="none"/>
              </w:rPr>
            </w:pPr>
            <w:r>
              <w:rPr>
                <w:rFonts w:hint="eastAsia" w:ascii="宋体" w:hAnsi="宋体"/>
                <w:kern w:val="0"/>
                <w:sz w:val="24"/>
                <w:szCs w:val="24"/>
                <w:highlight w:val="none"/>
              </w:rPr>
              <w:t>1</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发布比选公告（比选文件）</w:t>
            </w:r>
          </w:p>
        </w:tc>
        <w:tc>
          <w:tcPr>
            <w:tcW w:w="10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kern w:val="0"/>
                <w:sz w:val="24"/>
                <w:szCs w:val="24"/>
                <w:highlight w:val="none"/>
                <w:lang w:val="en-US" w:eastAsia="zh-CN"/>
              </w:rPr>
            </w:pPr>
            <w:r>
              <w:rPr>
                <w:rFonts w:hint="eastAsia" w:ascii="宋体" w:hAnsi="宋体"/>
                <w:kern w:val="0"/>
                <w:sz w:val="24"/>
                <w:szCs w:val="24"/>
                <w:highlight w:val="none"/>
              </w:rPr>
              <w:t>2022年11月2</w:t>
            </w:r>
            <w:r>
              <w:rPr>
                <w:rFonts w:hint="eastAsia" w:ascii="宋体" w:hAnsi="宋体"/>
                <w:kern w:val="0"/>
                <w:sz w:val="24"/>
                <w:szCs w:val="24"/>
                <w:highlight w:val="none"/>
                <w:lang w:val="en-US" w:eastAsia="zh-CN"/>
              </w:rPr>
              <w:t>9</w:t>
            </w:r>
            <w:r>
              <w:rPr>
                <w:rFonts w:hint="eastAsia" w:ascii="宋体" w:hAnsi="宋体"/>
                <w:kern w:val="0"/>
                <w:sz w:val="24"/>
                <w:szCs w:val="24"/>
                <w:highlight w:val="none"/>
              </w:rPr>
              <w:t>日</w:t>
            </w:r>
            <w:r>
              <w:rPr>
                <w:rFonts w:hint="eastAsia" w:ascii="宋体" w:hAnsi="宋体"/>
                <w:kern w:val="0"/>
                <w:sz w:val="24"/>
                <w:szCs w:val="24"/>
                <w:highlight w:val="none"/>
                <w:lang w:val="en-US" w:eastAsia="zh-CN"/>
              </w:rPr>
              <w:t xml:space="preserve"> 9:30</w:t>
            </w:r>
          </w:p>
        </w:tc>
        <w:tc>
          <w:tcPr>
            <w:tcW w:w="2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 w:val="24"/>
                <w:szCs w:val="24"/>
                <w:highlight w:val="none"/>
              </w:rPr>
            </w:pPr>
            <w:r>
              <w:rPr>
                <w:rFonts w:hint="eastAsia" w:ascii="宋体" w:hAnsi="宋体"/>
                <w:kern w:val="0"/>
                <w:sz w:val="24"/>
                <w:szCs w:val="24"/>
                <w:highlight w:val="none"/>
              </w:rPr>
              <w:t>深铁招采网、深圳地铁官网、国资委阳光采购平台、深铁置业微信订阅号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kern w:val="0"/>
                <w:sz w:val="24"/>
                <w:szCs w:val="24"/>
                <w:highlight w:val="none"/>
              </w:rPr>
            </w:pPr>
            <w:r>
              <w:rPr>
                <w:rFonts w:hint="eastAsia" w:ascii="宋体" w:hAnsi="宋体"/>
                <w:kern w:val="0"/>
                <w:sz w:val="24"/>
                <w:szCs w:val="24"/>
                <w:highlight w:val="none"/>
              </w:rPr>
              <w:t>2</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截标</w:t>
            </w:r>
          </w:p>
        </w:tc>
        <w:tc>
          <w:tcPr>
            <w:tcW w:w="10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2022年12月</w:t>
            </w:r>
            <w:r>
              <w:rPr>
                <w:rFonts w:hint="eastAsia" w:ascii="宋体" w:hAnsi="宋体"/>
                <w:kern w:val="0"/>
                <w:sz w:val="24"/>
                <w:szCs w:val="24"/>
                <w:highlight w:val="none"/>
                <w:lang w:val="en-US" w:eastAsia="zh-CN"/>
              </w:rPr>
              <w:t>9</w:t>
            </w:r>
            <w:r>
              <w:rPr>
                <w:rFonts w:hint="eastAsia" w:ascii="宋体" w:hAnsi="宋体"/>
                <w:kern w:val="0"/>
                <w:sz w:val="24"/>
                <w:szCs w:val="24"/>
                <w:highlight w:val="none"/>
              </w:rPr>
              <w:t xml:space="preserve">日 </w:t>
            </w:r>
            <w:r>
              <w:rPr>
                <w:rFonts w:hint="eastAsia" w:ascii="宋体" w:hAnsi="宋体"/>
                <w:kern w:val="0"/>
                <w:sz w:val="24"/>
                <w:szCs w:val="24"/>
                <w:highlight w:val="none"/>
                <w:lang w:val="en-US" w:eastAsia="zh-CN"/>
              </w:rPr>
              <w:t>9:30</w:t>
            </w:r>
          </w:p>
        </w:tc>
        <w:tc>
          <w:tcPr>
            <w:tcW w:w="2687"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napToGrid w:val="0"/>
                <w:sz w:val="24"/>
                <w:szCs w:val="24"/>
                <w:highlight w:val="none"/>
              </w:rPr>
            </w:pPr>
            <w:r>
              <w:rPr>
                <w:rFonts w:ascii="宋体" w:hAnsi="宋体"/>
                <w:snapToGrid w:val="0"/>
                <w:sz w:val="24"/>
                <w:szCs w:val="24"/>
                <w:highlight w:val="none"/>
              </w:rPr>
              <w:t>电子版参选文件递交平台：</w:t>
            </w:r>
            <w:r>
              <w:rPr>
                <w:rFonts w:hint="eastAsia" w:ascii="宋体" w:hAnsi="宋体"/>
                <w:snapToGrid w:val="0"/>
                <w:sz w:val="24"/>
                <w:szCs w:val="24"/>
                <w:highlight w:val="none"/>
              </w:rPr>
              <w:t>深圳地铁智能招采管理平台（</w:t>
            </w:r>
            <w:r>
              <w:rPr>
                <w:rFonts w:ascii="宋体" w:hAnsi="宋体"/>
                <w:snapToGrid w:val="0"/>
                <w:sz w:val="24"/>
                <w:szCs w:val="24"/>
                <w:highlight w:val="none"/>
              </w:rPr>
              <w:t>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383" w:type="pct"/>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宋体" w:hAnsi="宋体"/>
                <w:kern w:val="0"/>
                <w:sz w:val="24"/>
                <w:szCs w:val="24"/>
                <w:highlight w:val="none"/>
              </w:rPr>
            </w:pPr>
            <w:r>
              <w:rPr>
                <w:rFonts w:hint="eastAsia" w:ascii="宋体" w:hAnsi="宋体"/>
                <w:kern w:val="0"/>
                <w:sz w:val="24"/>
                <w:szCs w:val="24"/>
                <w:highlight w:val="none"/>
              </w:rPr>
              <w:t>3</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开标、评标</w:t>
            </w:r>
          </w:p>
        </w:tc>
        <w:tc>
          <w:tcPr>
            <w:tcW w:w="10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highlight w:val="none"/>
              </w:rPr>
            </w:pPr>
            <w:r>
              <w:rPr>
                <w:rFonts w:hint="eastAsia" w:ascii="宋体" w:hAnsi="宋体"/>
                <w:kern w:val="0"/>
                <w:sz w:val="24"/>
                <w:szCs w:val="24"/>
                <w:highlight w:val="none"/>
              </w:rPr>
              <w:t>2022年12月</w:t>
            </w:r>
            <w:r>
              <w:rPr>
                <w:rFonts w:hint="eastAsia" w:ascii="宋体" w:hAnsi="宋体"/>
                <w:kern w:val="0"/>
                <w:sz w:val="24"/>
                <w:szCs w:val="24"/>
                <w:highlight w:val="none"/>
                <w:lang w:val="en-US" w:eastAsia="zh-CN"/>
              </w:rPr>
              <w:t>9</w:t>
            </w:r>
            <w:r>
              <w:rPr>
                <w:rFonts w:hint="eastAsia" w:ascii="宋体" w:hAnsi="宋体"/>
                <w:kern w:val="0"/>
                <w:sz w:val="24"/>
                <w:szCs w:val="24"/>
                <w:highlight w:val="none"/>
              </w:rPr>
              <w:t xml:space="preserve">日 </w:t>
            </w:r>
            <w:r>
              <w:rPr>
                <w:rFonts w:hint="eastAsia" w:ascii="宋体" w:hAnsi="宋体"/>
                <w:kern w:val="0"/>
                <w:sz w:val="24"/>
                <w:szCs w:val="24"/>
                <w:highlight w:val="none"/>
                <w:lang w:val="en-US" w:eastAsia="zh-CN"/>
              </w:rPr>
              <w:t>9:30</w:t>
            </w:r>
          </w:p>
        </w:tc>
        <w:tc>
          <w:tcPr>
            <w:tcW w:w="2687" w:type="pct"/>
            <w:tcBorders>
              <w:top w:val="single" w:color="auto" w:sz="4" w:space="0"/>
              <w:left w:val="single" w:color="auto" w:sz="4" w:space="0"/>
              <w:bottom w:val="single" w:color="auto" w:sz="4" w:space="0"/>
              <w:right w:val="single" w:color="auto" w:sz="4" w:space="0"/>
            </w:tcBorders>
            <w:vAlign w:val="center"/>
          </w:tcPr>
          <w:p>
            <w:pPr>
              <w:rPr>
                <w:highlight w:val="none"/>
              </w:rPr>
            </w:pPr>
            <w:r>
              <w:rPr>
                <w:rFonts w:ascii="宋体" w:hAnsi="宋体"/>
                <w:snapToGrid w:val="0"/>
                <w:sz w:val="24"/>
                <w:szCs w:val="24"/>
                <w:highlight w:val="none"/>
              </w:rPr>
              <w:t>开标地点：深圳市福田区福中一路地铁大厦深圳地铁智能评定标中心进行开评标</w:t>
            </w:r>
          </w:p>
          <w:p>
            <w:pPr>
              <w:spacing w:line="360" w:lineRule="auto"/>
              <w:jc w:val="left"/>
              <w:rPr>
                <w:rFonts w:ascii="宋体" w:hAnsi="宋体"/>
                <w:kern w:val="0"/>
                <w:sz w:val="24"/>
                <w:szCs w:val="24"/>
                <w:highlight w:val="none"/>
              </w:rPr>
            </w:pPr>
          </w:p>
        </w:tc>
      </w:tr>
    </w:tbl>
    <w:p>
      <w:pPr>
        <w:pStyle w:val="3"/>
        <w:spacing w:line="360" w:lineRule="auto"/>
        <w:ind w:left="0" w:leftChars="0"/>
        <w:rPr>
          <w:rFonts w:ascii="宋体" w:hAnsi="宋体"/>
          <w:sz w:val="24"/>
          <w:szCs w:val="24"/>
        </w:rPr>
      </w:pPr>
      <w:r>
        <w:rPr>
          <w:rFonts w:hint="eastAsia" w:ascii="宋体" w:hAnsi="宋体"/>
          <w:sz w:val="24"/>
          <w:szCs w:val="24"/>
        </w:rPr>
        <w:t>注：以上地点有可能变动。如有变动，以比选人的最新通知为准。</w:t>
      </w:r>
    </w:p>
    <w:p>
      <w:pPr>
        <w:keepNext/>
        <w:keepLines/>
        <w:tabs>
          <w:tab w:val="left" w:pos="1260"/>
        </w:tabs>
        <w:adjustRightInd w:val="0"/>
        <w:spacing w:before="260" w:line="360" w:lineRule="auto"/>
        <w:ind w:firstLine="482" w:firstLineChars="200"/>
        <w:textAlignment w:val="baseline"/>
        <w:outlineLvl w:val="2"/>
        <w:rPr>
          <w:rFonts w:ascii="宋体" w:hAnsi="宋体"/>
          <w:b/>
          <w:kern w:val="0"/>
          <w:sz w:val="24"/>
          <w:szCs w:val="24"/>
        </w:rPr>
      </w:pPr>
      <w:bookmarkStart w:id="43" w:name="_Toc518494123"/>
      <w:bookmarkStart w:id="44" w:name="_Toc57731958"/>
      <w:r>
        <w:rPr>
          <w:rFonts w:hint="eastAsia" w:ascii="宋体" w:hAnsi="宋体"/>
          <w:b/>
          <w:kern w:val="0"/>
          <w:sz w:val="24"/>
          <w:szCs w:val="24"/>
        </w:rPr>
        <w:t>六、参选费用</w:t>
      </w:r>
      <w:bookmarkEnd w:id="43"/>
      <w:bookmarkEnd w:id="44"/>
    </w:p>
    <w:p>
      <w:pPr>
        <w:pStyle w:val="3"/>
        <w:spacing w:line="360" w:lineRule="auto"/>
        <w:ind w:left="0" w:leftChars="0" w:firstLine="480" w:firstLineChars="200"/>
        <w:rPr>
          <w:rFonts w:ascii="宋体" w:hAnsi="宋体"/>
          <w:sz w:val="24"/>
          <w:szCs w:val="24"/>
        </w:rPr>
      </w:pPr>
      <w:r>
        <w:rPr>
          <w:rFonts w:hint="eastAsia" w:ascii="宋体" w:hAnsi="宋体"/>
          <w:sz w:val="24"/>
          <w:szCs w:val="24"/>
        </w:rPr>
        <w:t>参选人应承担所有与准备和参加参选有关的费用。无论参选的结果如何，参选人均自行承担因参加参选而发生的一切费用。</w:t>
      </w:r>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bookmarkStart w:id="45" w:name="_Toc57731959"/>
      <w:bookmarkStart w:id="46" w:name="_Toc518494124"/>
      <w:r>
        <w:rPr>
          <w:rFonts w:hint="eastAsia" w:ascii="宋体" w:hAnsi="宋体"/>
          <w:b/>
          <w:kern w:val="0"/>
          <w:sz w:val="24"/>
          <w:szCs w:val="24"/>
        </w:rPr>
        <w:t>七、参选报价限价</w:t>
      </w:r>
      <w:bookmarkEnd w:id="45"/>
      <w:bookmarkEnd w:id="46"/>
    </w:p>
    <w:p>
      <w:pPr>
        <w:pStyle w:val="25"/>
        <w:tabs>
          <w:tab w:val="right" w:pos="9026"/>
        </w:tabs>
        <w:spacing w:line="360" w:lineRule="auto"/>
        <w:ind w:firstLine="480" w:firstLineChars="200"/>
        <w:rPr>
          <w:rFonts w:hAnsi="宋体"/>
          <w:sz w:val="24"/>
          <w:szCs w:val="24"/>
        </w:rPr>
      </w:pPr>
      <w:r>
        <w:rPr>
          <w:rFonts w:hint="eastAsia" w:hAnsi="宋体"/>
          <w:sz w:val="24"/>
          <w:szCs w:val="24"/>
        </w:rPr>
        <w:t>本次参选报价总费用最高限价为人民币</w:t>
      </w:r>
      <w:r>
        <w:rPr>
          <w:rFonts w:hint="eastAsia" w:hAnsi="宋体"/>
          <w:b/>
          <w:bCs/>
          <w:sz w:val="24"/>
          <w:szCs w:val="24"/>
          <w:u w:val="single"/>
        </w:rPr>
        <w:t>99万元</w:t>
      </w:r>
      <w:r>
        <w:rPr>
          <w:rFonts w:hint="eastAsia" w:hAnsi="宋体"/>
          <w:sz w:val="24"/>
          <w:szCs w:val="24"/>
        </w:rPr>
        <w:t>（含税），单个项目服务费的最高限价为人民币6.6万元（含税）。参选人报价高于总额最高上限价或单项上限价将作为无效标处理。</w:t>
      </w:r>
    </w:p>
    <w:p>
      <w:pPr>
        <w:pStyle w:val="25"/>
        <w:tabs>
          <w:tab w:val="right" w:pos="9026"/>
        </w:tabs>
        <w:spacing w:line="360" w:lineRule="auto"/>
        <w:ind w:firstLine="480" w:firstLineChars="200"/>
        <w:rPr>
          <w:color w:val="0D0D0D"/>
          <w:sz w:val="24"/>
          <w:szCs w:val="24"/>
        </w:rPr>
      </w:pPr>
      <w:r>
        <w:rPr>
          <w:rFonts w:hint="eastAsia" w:hAnsi="宋体"/>
          <w:color w:val="0D0D0D"/>
          <w:sz w:val="24"/>
          <w:szCs w:val="24"/>
        </w:rPr>
        <w:t>报价为含税价，包含</w:t>
      </w:r>
      <w:r>
        <w:rPr>
          <w:color w:val="0D0D0D"/>
          <w:sz w:val="24"/>
          <w:szCs w:val="24"/>
        </w:rPr>
        <w:t>履行本合同而提供的</w:t>
      </w:r>
      <w:r>
        <w:rPr>
          <w:rFonts w:hint="eastAsia"/>
          <w:color w:val="0D0D0D"/>
          <w:sz w:val="24"/>
          <w:szCs w:val="24"/>
        </w:rPr>
        <w:t>工作</w:t>
      </w:r>
      <w:r>
        <w:rPr>
          <w:color w:val="0D0D0D"/>
          <w:sz w:val="24"/>
          <w:szCs w:val="24"/>
        </w:rPr>
        <w:t>成果和相关服务的知识产权、版权费等第三方费用、根据法律由</w:t>
      </w:r>
      <w:r>
        <w:rPr>
          <w:rFonts w:hint="eastAsia"/>
          <w:color w:val="0D0D0D"/>
          <w:sz w:val="24"/>
          <w:szCs w:val="24"/>
        </w:rPr>
        <w:t>参选</w:t>
      </w:r>
      <w:r>
        <w:rPr>
          <w:color w:val="0D0D0D"/>
          <w:sz w:val="24"/>
          <w:szCs w:val="24"/>
        </w:rPr>
        <w:t>人支付的税费、合同文本等资料的印刷费等已经包含在</w:t>
      </w:r>
      <w:r>
        <w:rPr>
          <w:rFonts w:hint="eastAsia"/>
          <w:color w:val="0D0D0D"/>
          <w:sz w:val="24"/>
          <w:szCs w:val="24"/>
        </w:rPr>
        <w:t>服务</w:t>
      </w:r>
      <w:r>
        <w:rPr>
          <w:color w:val="0D0D0D"/>
          <w:sz w:val="24"/>
          <w:szCs w:val="24"/>
        </w:rPr>
        <w:t>费中</w:t>
      </w:r>
      <w:r>
        <w:rPr>
          <w:rFonts w:hint="eastAsia"/>
          <w:color w:val="0D0D0D"/>
          <w:sz w:val="24"/>
          <w:szCs w:val="24"/>
        </w:rPr>
        <w:t>，包含本项目服务</w:t>
      </w:r>
      <w:r>
        <w:rPr>
          <w:color w:val="0D0D0D"/>
          <w:sz w:val="24"/>
          <w:szCs w:val="24"/>
        </w:rPr>
        <w:t>过程中发生的人员薪金、差旅费、培训费等</w:t>
      </w:r>
      <w:r>
        <w:rPr>
          <w:rFonts w:hint="eastAsia"/>
          <w:color w:val="0D0D0D"/>
          <w:sz w:val="24"/>
          <w:szCs w:val="24"/>
        </w:rPr>
        <w:t>参</w:t>
      </w:r>
      <w:r>
        <w:rPr>
          <w:color w:val="0D0D0D"/>
          <w:sz w:val="24"/>
          <w:szCs w:val="24"/>
        </w:rPr>
        <w:t>选人完成本合同约定服务内容并经</w:t>
      </w:r>
      <w:r>
        <w:rPr>
          <w:rFonts w:hint="eastAsia"/>
          <w:color w:val="0D0D0D"/>
          <w:sz w:val="24"/>
          <w:szCs w:val="24"/>
        </w:rPr>
        <w:t>比</w:t>
      </w:r>
      <w:r>
        <w:rPr>
          <w:color w:val="0D0D0D"/>
          <w:sz w:val="24"/>
          <w:szCs w:val="24"/>
        </w:rPr>
        <w:t>选人确认合格所需的一切费用</w:t>
      </w:r>
      <w:r>
        <w:rPr>
          <w:rFonts w:hint="eastAsia"/>
          <w:color w:val="0D0D0D"/>
          <w:sz w:val="24"/>
          <w:szCs w:val="24"/>
        </w:rPr>
        <w:t>。除本合同另有约定外，比选</w:t>
      </w:r>
      <w:r>
        <w:rPr>
          <w:color w:val="0D0D0D"/>
          <w:sz w:val="24"/>
          <w:szCs w:val="24"/>
        </w:rPr>
        <w:t>人</w:t>
      </w:r>
      <w:r>
        <w:rPr>
          <w:rFonts w:hint="eastAsia"/>
          <w:color w:val="0D0D0D"/>
          <w:sz w:val="24"/>
          <w:szCs w:val="24"/>
        </w:rPr>
        <w:t>无需另行向参</w:t>
      </w:r>
      <w:r>
        <w:rPr>
          <w:color w:val="0D0D0D"/>
          <w:sz w:val="24"/>
          <w:szCs w:val="24"/>
        </w:rPr>
        <w:t>选人</w:t>
      </w:r>
      <w:r>
        <w:rPr>
          <w:rFonts w:hint="eastAsia"/>
          <w:color w:val="0D0D0D"/>
          <w:sz w:val="24"/>
          <w:szCs w:val="24"/>
        </w:rPr>
        <w:t>支付其它任何费用。</w:t>
      </w:r>
    </w:p>
    <w:p>
      <w:pPr>
        <w:pStyle w:val="25"/>
        <w:tabs>
          <w:tab w:val="right" w:pos="9026"/>
        </w:tabs>
        <w:spacing w:line="360" w:lineRule="auto"/>
        <w:ind w:firstLine="480" w:firstLineChars="200"/>
        <w:rPr>
          <w:rFonts w:hint="eastAsia" w:hAnsi="宋体"/>
          <w:color w:val="0D0D0D"/>
          <w:sz w:val="24"/>
          <w:szCs w:val="24"/>
        </w:rPr>
      </w:pPr>
      <w:r>
        <w:rPr>
          <w:rFonts w:hint="eastAsia"/>
          <w:color w:val="0D0D0D"/>
          <w:sz w:val="24"/>
          <w:szCs w:val="24"/>
        </w:rPr>
        <w:t>八</w:t>
      </w:r>
      <w:r>
        <w:rPr>
          <w:color w:val="0D0D0D"/>
          <w:sz w:val="24"/>
          <w:szCs w:val="24"/>
        </w:rPr>
        <w:t>、本比选文件</w:t>
      </w:r>
      <w:r>
        <w:rPr>
          <w:rFonts w:hint="eastAsia"/>
          <w:color w:val="0D0D0D"/>
          <w:sz w:val="24"/>
          <w:szCs w:val="24"/>
        </w:rPr>
        <w:t>法</w:t>
      </w:r>
      <w:r>
        <w:rPr>
          <w:color w:val="0D0D0D"/>
          <w:sz w:val="24"/>
          <w:szCs w:val="24"/>
        </w:rPr>
        <w:t>定代表人</w:t>
      </w:r>
      <w:r>
        <w:rPr>
          <w:rFonts w:hint="eastAsia"/>
          <w:color w:val="0D0D0D"/>
          <w:sz w:val="24"/>
          <w:szCs w:val="24"/>
        </w:rPr>
        <w:t>指</w:t>
      </w:r>
      <w:r>
        <w:rPr>
          <w:color w:val="0D0D0D"/>
          <w:sz w:val="24"/>
          <w:szCs w:val="24"/>
        </w:rPr>
        <w:t>法定代表人或法定负责人。</w:t>
      </w:r>
    </w:p>
    <w:p>
      <w:pPr>
        <w:pStyle w:val="25"/>
        <w:tabs>
          <w:tab w:val="right" w:pos="9026"/>
        </w:tabs>
        <w:spacing w:line="360" w:lineRule="auto"/>
        <w:ind w:firstLine="480" w:firstLineChars="200"/>
        <w:rPr>
          <w:rFonts w:hAnsi="宋体"/>
          <w:sz w:val="24"/>
          <w:szCs w:val="24"/>
        </w:rPr>
      </w:pPr>
    </w:p>
    <w:p>
      <w:pPr>
        <w:pStyle w:val="6"/>
        <w:spacing w:after="0" w:line="360" w:lineRule="auto"/>
        <w:rPr>
          <w:szCs w:val="28"/>
        </w:rPr>
      </w:pPr>
      <w:r>
        <w:rPr>
          <w:rFonts w:hint="eastAsia"/>
        </w:rPr>
        <w:br w:type="page"/>
      </w:r>
      <w:bookmarkStart w:id="47" w:name="_Toc57731960"/>
      <w:r>
        <w:rPr>
          <w:rFonts w:hint="eastAsia" w:ascii="宋体" w:hAnsi="宋体" w:eastAsia="宋体"/>
          <w:b/>
          <w:szCs w:val="28"/>
        </w:rPr>
        <w:t>第二章  比选文件</w:t>
      </w:r>
      <w:bookmarkEnd w:id="47"/>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bookmarkStart w:id="48" w:name="_Toc518494126"/>
      <w:bookmarkStart w:id="49" w:name="_Toc57731961"/>
      <w:r>
        <w:rPr>
          <w:rFonts w:hint="eastAsia" w:ascii="宋体" w:hAnsi="宋体"/>
          <w:b/>
          <w:kern w:val="0"/>
          <w:sz w:val="24"/>
          <w:szCs w:val="24"/>
        </w:rPr>
        <w:t>一、比选文件的构成</w:t>
      </w:r>
      <w:bookmarkEnd w:id="48"/>
      <w:bookmarkEnd w:id="49"/>
    </w:p>
    <w:p>
      <w:pPr>
        <w:pStyle w:val="3"/>
        <w:tabs>
          <w:tab w:val="left" w:pos="1050"/>
        </w:tabs>
        <w:spacing w:line="360" w:lineRule="auto"/>
        <w:ind w:left="0" w:leftChars="0" w:firstLine="480" w:firstLineChars="200"/>
        <w:rPr>
          <w:rFonts w:ascii="宋体" w:hAnsi="宋体"/>
          <w:sz w:val="24"/>
        </w:rPr>
      </w:pPr>
      <w:r>
        <w:rPr>
          <w:rFonts w:hint="eastAsia" w:ascii="宋体" w:hAnsi="宋体"/>
          <w:sz w:val="24"/>
        </w:rPr>
        <w:t>比选文件用以阐明所需参选须知、评定标程序、</w:t>
      </w:r>
      <w:r>
        <w:rPr>
          <w:rFonts w:hint="eastAsia" w:ascii="宋体" w:hAnsi="宋体"/>
          <w:b/>
          <w:bCs/>
          <w:color w:val="0D0D0D"/>
          <w:sz w:val="24"/>
          <w:szCs w:val="22"/>
          <w:u w:val="single"/>
        </w:rPr>
        <w:t>昂鹅等</w:t>
      </w:r>
      <w:r>
        <w:rPr>
          <w:rFonts w:hint="eastAsia" w:ascii="宋体" w:hAnsi="宋体"/>
          <w:b/>
          <w:bCs/>
          <w:color w:val="0D0D0D"/>
          <w:sz w:val="24"/>
          <w:szCs w:val="22"/>
          <w:u w:val="single"/>
          <w:lang w:val="en-US" w:eastAsia="zh-CN"/>
        </w:rPr>
        <w:t>十五</w:t>
      </w:r>
      <w:r>
        <w:rPr>
          <w:rFonts w:hint="eastAsia" w:ascii="宋体" w:hAnsi="宋体"/>
          <w:b/>
          <w:bCs/>
          <w:color w:val="0D0D0D"/>
          <w:sz w:val="24"/>
          <w:szCs w:val="22"/>
          <w:u w:val="single"/>
        </w:rPr>
        <w:t>个新项目税务咨询服务</w:t>
      </w:r>
      <w:r>
        <w:rPr>
          <w:rFonts w:hint="eastAsia" w:ascii="宋体" w:hAnsi="宋体"/>
          <w:sz w:val="24"/>
        </w:rPr>
        <w:t>工作任务及要求、合同条款等，比选文件由下述部分组成：</w:t>
      </w:r>
    </w:p>
    <w:p>
      <w:pPr>
        <w:adjustRightInd w:val="0"/>
        <w:snapToGrid w:val="0"/>
        <w:spacing w:line="360" w:lineRule="auto"/>
        <w:ind w:left="479"/>
        <w:rPr>
          <w:rFonts w:eastAsia="Times New Roman"/>
          <w:sz w:val="24"/>
          <w:szCs w:val="32"/>
        </w:rPr>
      </w:pPr>
      <w:bookmarkStart w:id="50" w:name="_Toc57731962"/>
      <w:bookmarkStart w:id="51" w:name="_Toc197404903"/>
      <w:bookmarkStart w:id="52" w:name="_Toc518494127"/>
      <w:r>
        <w:rPr>
          <w:rFonts w:hint="eastAsia" w:ascii="宋体" w:hAnsi="宋体" w:cs="宋体"/>
          <w:sz w:val="24"/>
          <w:szCs w:val="32"/>
        </w:rPr>
        <w:t>致参选人</w:t>
      </w:r>
    </w:p>
    <w:p>
      <w:pPr>
        <w:adjustRightInd w:val="0"/>
        <w:snapToGrid w:val="0"/>
        <w:spacing w:line="360" w:lineRule="auto"/>
        <w:ind w:left="479"/>
        <w:rPr>
          <w:rFonts w:eastAsia="Times New Roman"/>
          <w:sz w:val="24"/>
          <w:szCs w:val="32"/>
        </w:rPr>
      </w:pPr>
      <w:r>
        <w:rPr>
          <w:rFonts w:hint="eastAsia" w:ascii="宋体" w:hAnsi="宋体" w:cs="宋体"/>
          <w:sz w:val="24"/>
          <w:szCs w:val="32"/>
        </w:rPr>
        <w:t>参选文件无效和废标的情形摘要</w:t>
      </w:r>
    </w:p>
    <w:p>
      <w:pPr>
        <w:adjustRightInd w:val="0"/>
        <w:snapToGrid w:val="0"/>
        <w:spacing w:line="360" w:lineRule="auto"/>
        <w:ind w:left="479"/>
        <w:rPr>
          <w:rFonts w:eastAsia="Times New Roman"/>
          <w:sz w:val="24"/>
          <w:szCs w:val="32"/>
        </w:rPr>
      </w:pPr>
      <w:r>
        <w:rPr>
          <w:rFonts w:hint="eastAsia" w:ascii="宋体" w:hAnsi="宋体" w:cs="宋体"/>
          <w:sz w:val="24"/>
          <w:szCs w:val="32"/>
        </w:rPr>
        <w:t>第一篇</w:t>
      </w:r>
      <w:r>
        <w:rPr>
          <w:rFonts w:hint="eastAsia" w:eastAsia="Times New Roman"/>
          <w:sz w:val="24"/>
          <w:szCs w:val="32"/>
        </w:rPr>
        <w:t xml:space="preserve"> </w:t>
      </w:r>
      <w:r>
        <w:rPr>
          <w:rFonts w:hint="eastAsia" w:ascii="宋体" w:hAnsi="宋体" w:cs="宋体"/>
          <w:sz w:val="24"/>
          <w:szCs w:val="32"/>
        </w:rPr>
        <w:t>参选须知</w:t>
      </w:r>
    </w:p>
    <w:p>
      <w:pPr>
        <w:adjustRightInd w:val="0"/>
        <w:snapToGrid w:val="0"/>
        <w:spacing w:line="360" w:lineRule="auto"/>
        <w:ind w:left="479"/>
        <w:rPr>
          <w:rFonts w:eastAsia="Times New Roman"/>
          <w:sz w:val="24"/>
          <w:szCs w:val="32"/>
        </w:rPr>
      </w:pPr>
      <w:r>
        <w:rPr>
          <w:rFonts w:hint="eastAsia" w:ascii="宋体" w:hAnsi="宋体" w:cs="宋体"/>
          <w:sz w:val="24"/>
          <w:szCs w:val="32"/>
        </w:rPr>
        <w:t>第二篇</w:t>
      </w:r>
      <w:r>
        <w:rPr>
          <w:rFonts w:hint="eastAsia" w:eastAsia="Times New Roman"/>
          <w:sz w:val="24"/>
          <w:szCs w:val="32"/>
        </w:rPr>
        <w:t xml:space="preserve"> </w:t>
      </w:r>
      <w:r>
        <w:rPr>
          <w:rFonts w:hint="eastAsia" w:ascii="宋体" w:hAnsi="宋体" w:cs="宋体"/>
          <w:sz w:val="24"/>
          <w:szCs w:val="32"/>
        </w:rPr>
        <w:t>参选文件格式</w:t>
      </w:r>
    </w:p>
    <w:p>
      <w:pPr>
        <w:adjustRightInd w:val="0"/>
        <w:snapToGrid w:val="0"/>
        <w:spacing w:line="360" w:lineRule="auto"/>
        <w:ind w:left="479"/>
        <w:rPr>
          <w:rFonts w:eastAsia="Times New Roman"/>
          <w:sz w:val="24"/>
          <w:szCs w:val="32"/>
        </w:rPr>
      </w:pPr>
      <w:r>
        <w:rPr>
          <w:rFonts w:hint="eastAsia" w:ascii="宋体" w:hAnsi="宋体" w:cs="宋体"/>
          <w:sz w:val="24"/>
          <w:szCs w:val="32"/>
        </w:rPr>
        <w:t>第三篇</w:t>
      </w:r>
      <w:r>
        <w:rPr>
          <w:rFonts w:hint="eastAsia" w:eastAsia="Times New Roman"/>
          <w:sz w:val="24"/>
          <w:szCs w:val="32"/>
        </w:rPr>
        <w:t xml:space="preserve"> </w:t>
      </w:r>
      <w:r>
        <w:rPr>
          <w:rFonts w:hint="eastAsia" w:ascii="宋体" w:hAnsi="宋体" w:cs="宋体"/>
          <w:sz w:val="24"/>
          <w:szCs w:val="32"/>
        </w:rPr>
        <w:t>合同条款</w:t>
      </w:r>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二、比选文件的补遗、澄清、修改</w:t>
      </w:r>
      <w:bookmarkEnd w:id="50"/>
      <w:bookmarkEnd w:id="51"/>
      <w:bookmarkEnd w:id="52"/>
    </w:p>
    <w:p>
      <w:pPr>
        <w:spacing w:line="360" w:lineRule="auto"/>
        <w:ind w:firstLine="480" w:firstLineChars="200"/>
        <w:rPr>
          <w:rFonts w:ascii="宋体" w:hAnsi="宋体"/>
          <w:sz w:val="24"/>
          <w:szCs w:val="24"/>
        </w:rPr>
      </w:pPr>
      <w:r>
        <w:rPr>
          <w:rFonts w:hint="eastAsia" w:ascii="宋体" w:hAnsi="宋体"/>
          <w:sz w:val="24"/>
          <w:szCs w:val="24"/>
        </w:rPr>
        <w:t>1、参选人若对比选文件有疑问，需要比选人予以澄清，</w:t>
      </w:r>
      <w:r>
        <w:rPr>
          <w:rFonts w:hint="eastAsia" w:ascii="宋体" w:hAnsi="宋体"/>
          <w:kern w:val="0"/>
          <w:sz w:val="24"/>
          <w:szCs w:val="24"/>
        </w:rPr>
        <w:t>应于</w:t>
      </w:r>
      <w:r>
        <w:rPr>
          <w:rFonts w:hint="eastAsia" w:ascii="宋体" w:hAnsi="宋体"/>
          <w:b/>
          <w:kern w:val="0"/>
          <w:sz w:val="24"/>
          <w:szCs w:val="24"/>
          <w:u w:val="single"/>
        </w:rPr>
        <w:t>参选截止日</w:t>
      </w:r>
      <w:r>
        <w:rPr>
          <w:rFonts w:hint="eastAsia" w:ascii="宋体" w:hAnsi="宋体"/>
          <w:b/>
          <w:sz w:val="24"/>
          <w:szCs w:val="24"/>
          <w:u w:val="single"/>
        </w:rPr>
        <w:t>5日前</w:t>
      </w:r>
      <w:r>
        <w:rPr>
          <w:rFonts w:hint="eastAsia" w:ascii="宋体" w:hAnsi="宋体"/>
          <w:sz w:val="24"/>
          <w:szCs w:val="24"/>
        </w:rPr>
        <w:t>在</w:t>
      </w:r>
      <w:r>
        <w:rPr>
          <w:rFonts w:hint="eastAsia" w:ascii="宋体" w:hAnsi="宋体"/>
          <w:kern w:val="0"/>
          <w:sz w:val="24"/>
        </w:rPr>
        <w:t>深圳地铁智能招采系统</w:t>
      </w:r>
      <w:r>
        <w:rPr>
          <w:rFonts w:hint="eastAsia" w:ascii="宋体" w:hAnsi="宋体"/>
          <w:sz w:val="24"/>
          <w:szCs w:val="24"/>
        </w:rPr>
        <w:t>向比选人提出。不论是比选人根据需要主动对比选文件进行必要的澄清或是根据参选人的要求对比选文件做出澄清，比选人的补遗文件都将在</w:t>
      </w:r>
      <w:r>
        <w:rPr>
          <w:rFonts w:hint="eastAsia" w:ascii="宋体" w:hAnsi="宋体"/>
          <w:b/>
          <w:kern w:val="0"/>
          <w:sz w:val="24"/>
          <w:szCs w:val="24"/>
          <w:u w:val="single"/>
        </w:rPr>
        <w:t>参选截止日3日前在“</w:t>
      </w:r>
      <w:r>
        <w:rPr>
          <w:rFonts w:hint="eastAsia" w:ascii="宋体" w:hAnsi="宋体"/>
          <w:kern w:val="0"/>
          <w:sz w:val="24"/>
          <w:szCs w:val="24"/>
        </w:rPr>
        <w:t>深铁招采网、深圳地铁官网、国资委阳光采购平台</w:t>
      </w:r>
      <w:r>
        <w:rPr>
          <w:rFonts w:hint="eastAsia" w:ascii="宋体" w:hAnsi="宋体"/>
          <w:sz w:val="24"/>
          <w:szCs w:val="24"/>
        </w:rPr>
        <w:t>”向所有参选人公示。比选文件的补遗作为比选文件的组成部分，具有约束力。参选人应随时查看</w:t>
      </w:r>
      <w:r>
        <w:rPr>
          <w:rFonts w:hint="eastAsia" w:ascii="宋体" w:hAnsi="宋体"/>
          <w:b/>
          <w:kern w:val="0"/>
          <w:sz w:val="24"/>
          <w:szCs w:val="24"/>
        </w:rPr>
        <w:t>“</w:t>
      </w:r>
      <w:r>
        <w:rPr>
          <w:rFonts w:hint="eastAsia" w:ascii="宋体" w:hAnsi="宋体"/>
          <w:kern w:val="0"/>
          <w:sz w:val="24"/>
          <w:szCs w:val="24"/>
        </w:rPr>
        <w:t>深铁招采网、深圳地铁官网、国资委阳光采购平台</w:t>
      </w:r>
      <w:r>
        <w:rPr>
          <w:rFonts w:hint="eastAsia" w:ascii="宋体" w:hAnsi="宋体"/>
          <w:sz w:val="24"/>
          <w:szCs w:val="24"/>
        </w:rPr>
        <w:t>”中有关该项目补遗文件的信息。否则，由此导致的不利后果由参选人自负。比选文件的补遗作为比选文件的组成部分，具有约束力。</w:t>
      </w:r>
    </w:p>
    <w:p>
      <w:pPr>
        <w:spacing w:line="360" w:lineRule="auto"/>
        <w:ind w:firstLine="480" w:firstLineChars="200"/>
        <w:rPr>
          <w:rFonts w:ascii="宋体" w:hAnsi="宋体"/>
          <w:sz w:val="24"/>
        </w:rPr>
      </w:pPr>
      <w:r>
        <w:rPr>
          <w:rFonts w:hint="eastAsia" w:ascii="宋体" w:hAnsi="宋体"/>
          <w:sz w:val="24"/>
          <w:szCs w:val="24"/>
        </w:rPr>
        <w:t>2、</w:t>
      </w:r>
      <w:r>
        <w:rPr>
          <w:rFonts w:hint="eastAsia" w:ascii="宋体" w:hAnsi="宋体"/>
          <w:sz w:val="24"/>
        </w:rPr>
        <w:t>比选人对在</w:t>
      </w:r>
      <w:r>
        <w:rPr>
          <w:rFonts w:hint="eastAsia" w:ascii="宋体" w:hAnsi="宋体"/>
          <w:b/>
          <w:kern w:val="0"/>
          <w:sz w:val="24"/>
          <w:szCs w:val="24"/>
          <w:u w:val="single"/>
        </w:rPr>
        <w:t>参选截止日</w:t>
      </w:r>
      <w:r>
        <w:rPr>
          <w:rFonts w:hint="eastAsia" w:ascii="宋体" w:hAnsi="宋体"/>
          <w:b/>
          <w:sz w:val="24"/>
          <w:szCs w:val="24"/>
          <w:u w:val="single"/>
        </w:rPr>
        <w:t>5日</w:t>
      </w:r>
      <w:r>
        <w:rPr>
          <w:rFonts w:hint="eastAsia" w:ascii="宋体" w:hAnsi="宋体"/>
          <w:b/>
          <w:kern w:val="0"/>
          <w:sz w:val="24"/>
          <w:szCs w:val="24"/>
          <w:u w:val="single"/>
        </w:rPr>
        <w:t>前</w:t>
      </w:r>
      <w:r>
        <w:rPr>
          <w:rFonts w:hint="eastAsia" w:ascii="宋体" w:hAnsi="宋体"/>
          <w:sz w:val="24"/>
        </w:rPr>
        <w:t>收到的以书面函件的方式要求澄清的问题，将视具体情况进行澄清，比选人的澄清将</w:t>
      </w:r>
      <w:r>
        <w:rPr>
          <w:rFonts w:hint="eastAsia" w:ascii="宋体" w:hAnsi="宋体"/>
          <w:kern w:val="0"/>
          <w:sz w:val="24"/>
          <w:szCs w:val="24"/>
          <w:u w:val="single"/>
        </w:rPr>
        <w:t>通</w:t>
      </w:r>
      <w:r>
        <w:rPr>
          <w:rFonts w:hint="eastAsia" w:ascii="宋体" w:hAnsi="宋体"/>
          <w:sz w:val="24"/>
          <w:szCs w:val="24"/>
        </w:rPr>
        <w:t>过</w:t>
      </w:r>
      <w:r>
        <w:rPr>
          <w:rFonts w:hint="eastAsia" w:ascii="宋体" w:hAnsi="宋体"/>
          <w:b/>
          <w:kern w:val="0"/>
          <w:sz w:val="24"/>
          <w:szCs w:val="24"/>
        </w:rPr>
        <w:t>“</w:t>
      </w:r>
      <w:r>
        <w:rPr>
          <w:rFonts w:hint="eastAsia" w:ascii="宋体" w:hAnsi="宋体"/>
          <w:kern w:val="0"/>
          <w:sz w:val="24"/>
          <w:szCs w:val="24"/>
        </w:rPr>
        <w:t>深铁招采网、深圳地铁官网、国资委阳光采购平台、深铁置业微信订阅号</w:t>
      </w:r>
      <w:r>
        <w:rPr>
          <w:rFonts w:hint="eastAsia" w:ascii="宋体" w:hAnsi="宋体"/>
          <w:sz w:val="24"/>
          <w:szCs w:val="24"/>
        </w:rPr>
        <w:t>”向所有参选人公示。</w:t>
      </w:r>
      <w:r>
        <w:rPr>
          <w:rFonts w:hint="eastAsia" w:ascii="宋体" w:hAnsi="宋体"/>
          <w:sz w:val="24"/>
        </w:rPr>
        <w:t>如比选人认为参选人所提出的问题已在比选文件中明确说明，或可以根据比选文件做出明确的推断，比选人将不再予以澄清。</w:t>
      </w:r>
    </w:p>
    <w:p>
      <w:pPr>
        <w:spacing w:line="360" w:lineRule="auto"/>
        <w:rPr>
          <w:rFonts w:ascii="宋体" w:hAnsi="宋体"/>
          <w:sz w:val="24"/>
          <w:szCs w:val="24"/>
        </w:rPr>
      </w:pPr>
      <w:r>
        <w:rPr>
          <w:rFonts w:hint="eastAsia" w:ascii="宋体" w:hAnsi="宋体"/>
          <w:sz w:val="24"/>
        </w:rPr>
        <w:t xml:space="preserve">    3、</w:t>
      </w:r>
      <w:r>
        <w:rPr>
          <w:rFonts w:hint="eastAsia" w:ascii="宋体" w:hAnsi="宋体"/>
          <w:sz w:val="24"/>
          <w:szCs w:val="24"/>
        </w:rPr>
        <w:t>比选文件发出后，在</w:t>
      </w:r>
      <w:r>
        <w:rPr>
          <w:rFonts w:hint="eastAsia" w:ascii="宋体" w:hAnsi="宋体"/>
          <w:b/>
          <w:kern w:val="0"/>
          <w:sz w:val="24"/>
          <w:szCs w:val="24"/>
          <w:u w:val="single"/>
        </w:rPr>
        <w:t>参选截止日3日前</w:t>
      </w:r>
      <w:r>
        <w:rPr>
          <w:rFonts w:hint="eastAsia" w:ascii="宋体" w:hAnsi="宋体"/>
          <w:sz w:val="24"/>
          <w:szCs w:val="24"/>
        </w:rPr>
        <w:t>的任何时候，确需要变更比选文件内容的，比选人可主动或在解答参选人提出的澄清问题时对比选文件进行修改。</w:t>
      </w:r>
    </w:p>
    <w:p>
      <w:pPr>
        <w:spacing w:line="360" w:lineRule="auto"/>
        <w:rPr>
          <w:rFonts w:ascii="宋体" w:hAnsi="宋体"/>
          <w:sz w:val="28"/>
        </w:rPr>
      </w:pPr>
      <w:r>
        <w:rPr>
          <w:rFonts w:hint="eastAsia" w:ascii="宋体" w:hAnsi="宋体"/>
          <w:sz w:val="24"/>
          <w:szCs w:val="24"/>
        </w:rPr>
        <w:t xml:space="preserve">    4、比选文件、比选文件补遗、澄清(答疑)、澄清(答疑)会议纪要、修改(补充)函件内容均以书面明确的内容为准。当比选文件、补遗、澄清(答疑)、纪要、修改(补充)函件内容相互矛盾时，以最后发出的为准。</w:t>
      </w:r>
    </w:p>
    <w:p>
      <w:pPr>
        <w:spacing w:line="360" w:lineRule="auto"/>
        <w:ind w:firstLine="480"/>
        <w:rPr>
          <w:rFonts w:ascii="宋体" w:hAnsi="宋体"/>
          <w:sz w:val="24"/>
          <w:szCs w:val="24"/>
        </w:rPr>
      </w:pPr>
      <w:r>
        <w:rPr>
          <w:rFonts w:hint="eastAsia" w:ascii="宋体" w:hAnsi="宋体"/>
          <w:sz w:val="24"/>
          <w:szCs w:val="24"/>
        </w:rPr>
        <w:t>5、为使参选人在编写参选文件时有充分时间对比选文件的补遗、修改（补充）部分进行研究，比选人有权适当延长递交参选文件的截止日期。</w:t>
      </w:r>
    </w:p>
    <w:p>
      <w:pPr>
        <w:pStyle w:val="6"/>
        <w:spacing w:after="0" w:line="360" w:lineRule="auto"/>
        <w:rPr>
          <w:rFonts w:ascii="宋体" w:hAnsi="宋体" w:eastAsia="宋体"/>
          <w:b/>
          <w:szCs w:val="28"/>
        </w:rPr>
      </w:pPr>
      <w:bookmarkStart w:id="53" w:name="_Toc57731963"/>
      <w:bookmarkStart w:id="54" w:name="_Toc518494128"/>
      <w:r>
        <w:rPr>
          <w:rFonts w:hint="eastAsia" w:ascii="宋体" w:hAnsi="宋体" w:eastAsia="宋体"/>
          <w:b/>
          <w:szCs w:val="28"/>
        </w:rPr>
        <w:t>第三章  参选文件的编写</w:t>
      </w:r>
      <w:bookmarkEnd w:id="53"/>
      <w:bookmarkEnd w:id="54"/>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bookmarkStart w:id="55" w:name="_Toc57731964"/>
      <w:bookmarkStart w:id="56" w:name="_Toc197404905"/>
      <w:bookmarkStart w:id="57" w:name="_Toc518494129"/>
      <w:r>
        <w:rPr>
          <w:rFonts w:hint="eastAsia" w:ascii="宋体" w:hAnsi="宋体"/>
          <w:b/>
          <w:kern w:val="0"/>
          <w:sz w:val="24"/>
          <w:szCs w:val="24"/>
        </w:rPr>
        <w:t>一、参选文件的组成及要求</w:t>
      </w:r>
      <w:bookmarkEnd w:id="55"/>
      <w:bookmarkEnd w:id="56"/>
      <w:bookmarkEnd w:id="57"/>
    </w:p>
    <w:p>
      <w:pPr>
        <w:pStyle w:val="3"/>
        <w:tabs>
          <w:tab w:val="left" w:pos="945"/>
          <w:tab w:val="left" w:pos="1275"/>
        </w:tabs>
        <w:snapToGrid w:val="0"/>
        <w:spacing w:line="360" w:lineRule="auto"/>
        <w:ind w:left="0" w:leftChars="0" w:firstLine="480" w:firstLineChars="200"/>
        <w:jc w:val="left"/>
        <w:rPr>
          <w:rFonts w:ascii="宋体" w:hAnsi="宋体"/>
          <w:sz w:val="24"/>
          <w:szCs w:val="21"/>
        </w:rPr>
      </w:pPr>
      <w:r>
        <w:rPr>
          <w:rFonts w:hint="eastAsia" w:ascii="宋体" w:hAnsi="宋体"/>
          <w:sz w:val="24"/>
          <w:szCs w:val="21"/>
        </w:rPr>
        <w:t>参选人应仔细阅读比选文件的所有内容，按要求提供参选文件，并保证所提供的全部资料的真实性。</w:t>
      </w:r>
    </w:p>
    <w:p>
      <w:pPr>
        <w:pStyle w:val="3"/>
        <w:tabs>
          <w:tab w:val="left" w:pos="945"/>
          <w:tab w:val="left" w:pos="1275"/>
        </w:tabs>
        <w:snapToGrid w:val="0"/>
        <w:spacing w:line="360" w:lineRule="auto"/>
        <w:ind w:left="0" w:leftChars="0" w:firstLine="480" w:firstLineChars="200"/>
        <w:jc w:val="left"/>
        <w:rPr>
          <w:rFonts w:ascii="宋体" w:hAnsi="宋体"/>
          <w:sz w:val="24"/>
          <w:szCs w:val="21"/>
        </w:rPr>
      </w:pPr>
      <w:r>
        <w:rPr>
          <w:rFonts w:hint="eastAsia" w:ascii="宋体" w:hAnsi="宋体"/>
          <w:sz w:val="24"/>
          <w:szCs w:val="21"/>
        </w:rPr>
        <w:t>参选文件格式要求：参选文件采用中文编写。</w:t>
      </w:r>
    </w:p>
    <w:p>
      <w:pPr>
        <w:pStyle w:val="3"/>
        <w:tabs>
          <w:tab w:val="left" w:pos="945"/>
          <w:tab w:val="left" w:pos="1275"/>
        </w:tabs>
        <w:snapToGrid w:val="0"/>
        <w:spacing w:line="360" w:lineRule="auto"/>
        <w:ind w:left="0" w:leftChars="0" w:firstLine="482" w:firstLineChars="200"/>
        <w:jc w:val="left"/>
        <w:rPr>
          <w:rFonts w:ascii="宋体" w:hAnsi="宋体"/>
          <w:b/>
          <w:bCs/>
          <w:sz w:val="24"/>
          <w:u w:val="single"/>
        </w:rPr>
      </w:pPr>
      <w:r>
        <w:rPr>
          <w:rFonts w:hint="eastAsia" w:ascii="宋体" w:hAnsi="宋体"/>
          <w:b/>
          <w:bCs/>
          <w:sz w:val="24"/>
          <w:szCs w:val="21"/>
          <w:u w:val="single"/>
        </w:rPr>
        <w:t>投标文件建议按照“技术标书”、“商务标书”分成两册后，按要求分别上传深圳地铁智能招采管理平台（</w:t>
      </w:r>
      <w:r>
        <w:rPr>
          <w:rFonts w:ascii="宋体" w:hAnsi="宋体"/>
          <w:b/>
          <w:bCs/>
          <w:sz w:val="24"/>
          <w:szCs w:val="21"/>
          <w:u w:val="single"/>
        </w:rPr>
        <w:t>https://cg.shenzhenmc.com/）</w:t>
      </w:r>
      <w:r>
        <w:rPr>
          <w:rFonts w:hint="eastAsia" w:ascii="宋体" w:hAnsi="宋体"/>
          <w:b/>
          <w:bCs/>
          <w:sz w:val="24"/>
          <w:szCs w:val="21"/>
          <w:u w:val="single"/>
        </w:rPr>
        <w:t>。</w:t>
      </w:r>
    </w:p>
    <w:p>
      <w:pPr>
        <w:keepNext/>
        <w:keepLines/>
        <w:tabs>
          <w:tab w:val="left" w:pos="1260"/>
        </w:tabs>
        <w:adjustRightInd w:val="0"/>
        <w:spacing w:line="360" w:lineRule="auto"/>
        <w:ind w:left="420" w:leftChars="200"/>
        <w:textAlignment w:val="baseline"/>
        <w:outlineLvl w:val="2"/>
        <w:rPr>
          <w:rFonts w:ascii="宋体" w:hAnsi="宋体"/>
          <w:b/>
          <w:kern w:val="0"/>
          <w:sz w:val="24"/>
          <w:szCs w:val="24"/>
        </w:rPr>
      </w:pPr>
      <w:bookmarkStart w:id="58" w:name="_Toc518494130"/>
      <w:bookmarkStart w:id="59" w:name="_Toc57731965"/>
      <w:bookmarkStart w:id="60" w:name="_Toc197404906"/>
      <w:r>
        <w:rPr>
          <w:rFonts w:hint="eastAsia" w:ascii="宋体" w:hAnsi="宋体"/>
          <w:b/>
          <w:kern w:val="0"/>
          <w:sz w:val="24"/>
          <w:szCs w:val="24"/>
        </w:rPr>
        <w:t>二、参选文件内容编写要求</w:t>
      </w:r>
      <w:bookmarkEnd w:id="5"/>
      <w:bookmarkEnd w:id="58"/>
      <w:bookmarkEnd w:id="59"/>
      <w:bookmarkEnd w:id="60"/>
    </w:p>
    <w:p>
      <w:pPr>
        <w:keepNext/>
        <w:keepLines/>
        <w:tabs>
          <w:tab w:val="left" w:pos="1260"/>
        </w:tabs>
        <w:adjustRightInd w:val="0"/>
        <w:spacing w:line="360" w:lineRule="auto"/>
        <w:ind w:firstLine="482" w:firstLineChars="200"/>
        <w:textAlignment w:val="baseline"/>
        <w:outlineLvl w:val="2"/>
        <w:rPr>
          <w:rFonts w:ascii="宋体" w:hAnsi="宋体"/>
          <w:b/>
          <w:bCs/>
          <w:color w:val="0D0D0D"/>
          <w:sz w:val="24"/>
          <w:szCs w:val="24"/>
        </w:rPr>
      </w:pPr>
      <w:r>
        <w:rPr>
          <w:rFonts w:hint="eastAsia" w:ascii="宋体" w:hAnsi="宋体"/>
          <w:b/>
          <w:bCs/>
          <w:color w:val="0D0D0D"/>
          <w:sz w:val="24"/>
          <w:szCs w:val="24"/>
        </w:rPr>
        <w:t>（一）</w:t>
      </w:r>
      <w:r>
        <w:rPr>
          <w:rFonts w:hint="eastAsia" w:ascii="宋体" w:hAnsi="宋体"/>
          <w:b/>
          <w:bCs/>
          <w:color w:val="0D0D0D"/>
          <w:sz w:val="24"/>
          <w:szCs w:val="24"/>
          <w:u w:val="single"/>
        </w:rPr>
        <w:t>“技术标书”</w:t>
      </w:r>
      <w:r>
        <w:rPr>
          <w:rFonts w:hint="eastAsia" w:ascii="宋体" w:hAnsi="宋体"/>
          <w:b/>
          <w:bCs/>
          <w:color w:val="0D0D0D"/>
          <w:sz w:val="24"/>
          <w:szCs w:val="24"/>
        </w:rPr>
        <w:t>的编写</w:t>
      </w:r>
    </w:p>
    <w:p>
      <w:pPr>
        <w:pStyle w:val="25"/>
        <w:spacing w:line="360" w:lineRule="auto"/>
        <w:ind w:left="425"/>
        <w:rPr>
          <w:rFonts w:hAnsi="宋体"/>
          <w:color w:val="0D0D0D"/>
          <w:sz w:val="24"/>
          <w:szCs w:val="24"/>
        </w:rPr>
      </w:pPr>
      <w:r>
        <w:rPr>
          <w:rFonts w:hint="eastAsia" w:hAnsi="宋体"/>
          <w:color w:val="0D0D0D"/>
          <w:sz w:val="24"/>
          <w:szCs w:val="24"/>
        </w:rPr>
        <w:t>参选人应按照比选文件第二篇“参选文件格式”中技术标书部分的要求编写技术标书，</w:t>
      </w:r>
      <w:r>
        <w:rPr>
          <w:rFonts w:hint="eastAsia" w:hAnsi="宋体"/>
          <w:b/>
          <w:bCs/>
          <w:color w:val="0D0D0D"/>
          <w:sz w:val="24"/>
          <w:szCs w:val="24"/>
        </w:rPr>
        <w:t>“技术标书”</w:t>
      </w:r>
      <w:r>
        <w:rPr>
          <w:rFonts w:hint="eastAsia" w:hAnsi="宋体"/>
          <w:color w:val="0D0D0D"/>
          <w:sz w:val="24"/>
          <w:szCs w:val="24"/>
        </w:rPr>
        <w:t>根据参选文件要求应包括以下几个主要内容：</w:t>
      </w:r>
    </w:p>
    <w:p>
      <w:pPr>
        <w:pStyle w:val="25"/>
        <w:numPr>
          <w:ilvl w:val="0"/>
          <w:numId w:val="9"/>
        </w:numPr>
        <w:spacing w:line="360" w:lineRule="auto"/>
        <w:ind w:left="420"/>
        <w:rPr>
          <w:rFonts w:hAnsi="宋体"/>
          <w:color w:val="0D0D0D"/>
          <w:sz w:val="24"/>
          <w:szCs w:val="24"/>
        </w:rPr>
      </w:pPr>
      <w:r>
        <w:rPr>
          <w:rFonts w:hint="eastAsia" w:hAnsi="宋体"/>
          <w:color w:val="0D0D0D"/>
          <w:sz w:val="24"/>
          <w:szCs w:val="24"/>
        </w:rPr>
        <w:t>参选人营业执照复印件（加盖公章）</w:t>
      </w:r>
    </w:p>
    <w:p>
      <w:pPr>
        <w:pStyle w:val="25"/>
        <w:numPr>
          <w:ilvl w:val="255"/>
          <w:numId w:val="0"/>
        </w:numPr>
        <w:spacing w:line="360" w:lineRule="auto"/>
        <w:ind w:firstLine="482" w:firstLineChars="200"/>
        <w:rPr>
          <w:rFonts w:hAnsi="宋体"/>
          <w:color w:val="0D0D0D"/>
          <w:sz w:val="24"/>
          <w:szCs w:val="24"/>
        </w:rPr>
      </w:pPr>
      <w:r>
        <w:rPr>
          <w:rFonts w:hint="eastAsia" w:hAnsi="宋体"/>
          <w:b/>
          <w:bCs/>
          <w:sz w:val="24"/>
          <w:szCs w:val="24"/>
        </w:rPr>
        <w:t>（若参选人为分支机构，需提供总公司的授权文件）</w:t>
      </w:r>
      <w:r>
        <w:rPr>
          <w:rFonts w:hint="eastAsia" w:hAnsi="宋体"/>
          <w:color w:val="0D0D0D"/>
          <w:sz w:val="24"/>
          <w:szCs w:val="24"/>
        </w:rPr>
        <w:t>；</w:t>
      </w:r>
    </w:p>
    <w:p>
      <w:pPr>
        <w:pStyle w:val="25"/>
        <w:numPr>
          <w:ilvl w:val="0"/>
          <w:numId w:val="9"/>
        </w:numPr>
        <w:spacing w:line="360" w:lineRule="auto"/>
        <w:ind w:left="420"/>
        <w:rPr>
          <w:rFonts w:hAnsi="宋体"/>
          <w:color w:val="0D0D0D"/>
          <w:sz w:val="24"/>
          <w:szCs w:val="24"/>
        </w:rPr>
      </w:pPr>
      <w:r>
        <w:rPr>
          <w:rFonts w:hint="eastAsia" w:hAnsi="宋体"/>
          <w:color w:val="0D0D0D"/>
          <w:sz w:val="24"/>
          <w:szCs w:val="24"/>
        </w:rPr>
        <w:t>法定代表人资格证明书（加盖公章）；</w:t>
      </w:r>
    </w:p>
    <w:p>
      <w:pPr>
        <w:pStyle w:val="25"/>
        <w:numPr>
          <w:ilvl w:val="0"/>
          <w:numId w:val="9"/>
        </w:numPr>
        <w:spacing w:line="360" w:lineRule="auto"/>
        <w:ind w:left="420"/>
        <w:rPr>
          <w:rFonts w:hAnsi="宋体"/>
          <w:color w:val="0D0D0D"/>
          <w:sz w:val="24"/>
          <w:szCs w:val="24"/>
        </w:rPr>
      </w:pPr>
      <w:r>
        <w:rPr>
          <w:rFonts w:hint="eastAsia" w:hAnsi="宋体"/>
          <w:color w:val="0D0D0D"/>
          <w:sz w:val="24"/>
          <w:szCs w:val="24"/>
        </w:rPr>
        <w:t>法定代表人身份证复印件（加盖公章，核验原件）；</w:t>
      </w:r>
    </w:p>
    <w:p>
      <w:pPr>
        <w:pStyle w:val="25"/>
        <w:numPr>
          <w:ilvl w:val="0"/>
          <w:numId w:val="9"/>
        </w:numPr>
        <w:spacing w:line="360" w:lineRule="auto"/>
        <w:ind w:left="420"/>
        <w:rPr>
          <w:rFonts w:hAnsi="宋体"/>
          <w:color w:val="0D0D0D"/>
          <w:sz w:val="24"/>
          <w:szCs w:val="24"/>
        </w:rPr>
      </w:pPr>
      <w:r>
        <w:rPr>
          <w:rFonts w:hint="eastAsia" w:hAnsi="宋体"/>
          <w:color w:val="0D0D0D"/>
          <w:sz w:val="24"/>
          <w:szCs w:val="24"/>
        </w:rPr>
        <w:t>法定代表人授权委托书（如有，加盖公章）；</w:t>
      </w:r>
    </w:p>
    <w:p>
      <w:pPr>
        <w:pStyle w:val="25"/>
        <w:numPr>
          <w:ilvl w:val="0"/>
          <w:numId w:val="9"/>
        </w:numPr>
        <w:spacing w:line="360" w:lineRule="auto"/>
        <w:ind w:left="420"/>
        <w:rPr>
          <w:rFonts w:hAnsi="宋体"/>
          <w:color w:val="0D0D0D"/>
          <w:sz w:val="24"/>
          <w:szCs w:val="24"/>
        </w:rPr>
      </w:pPr>
      <w:r>
        <w:rPr>
          <w:rFonts w:hint="eastAsia" w:hAnsi="宋体"/>
          <w:color w:val="0D0D0D"/>
          <w:sz w:val="24"/>
          <w:szCs w:val="24"/>
        </w:rPr>
        <w:t>被授权人身份证复印件（如有，加盖公章，核验原件）；</w:t>
      </w:r>
    </w:p>
    <w:p>
      <w:pPr>
        <w:numPr>
          <w:ilvl w:val="0"/>
          <w:numId w:val="9"/>
        </w:numPr>
        <w:spacing w:line="360" w:lineRule="auto"/>
        <w:ind w:left="420"/>
        <w:rPr>
          <w:rFonts w:hAnsi="宋体"/>
          <w:color w:val="0D0D0D"/>
          <w:sz w:val="24"/>
          <w:szCs w:val="24"/>
        </w:rPr>
      </w:pPr>
      <w:r>
        <w:rPr>
          <w:rFonts w:hint="eastAsia" w:ascii="宋体" w:hAnsi="宋体"/>
          <w:color w:val="0D0D0D"/>
          <w:kern w:val="0"/>
          <w:sz w:val="24"/>
          <w:szCs w:val="24"/>
        </w:rPr>
        <w:t>参选人资格条件要</w:t>
      </w:r>
      <w:r>
        <w:rPr>
          <w:rFonts w:hint="eastAsia" w:hAnsi="宋体"/>
          <w:color w:val="0D0D0D"/>
          <w:sz w:val="24"/>
          <w:szCs w:val="24"/>
        </w:rPr>
        <w:t>求的证明材料（加盖公章）：</w:t>
      </w:r>
    </w:p>
    <w:p>
      <w:pPr>
        <w:pStyle w:val="113"/>
        <w:widowControl/>
        <w:numPr>
          <w:ilvl w:val="255"/>
          <w:numId w:val="0"/>
        </w:numPr>
        <w:overflowPunct w:val="0"/>
        <w:autoSpaceDE w:val="0"/>
        <w:autoSpaceDN w:val="0"/>
        <w:adjustRightInd w:val="0"/>
        <w:spacing w:line="360" w:lineRule="auto"/>
        <w:ind w:firstLine="480" w:firstLineChars="200"/>
        <w:jc w:val="left"/>
        <w:textAlignment w:val="baseline"/>
        <w:rPr>
          <w:rFonts w:ascii="宋体" w:hAnsi="宋体" w:eastAsia="宋体" w:cs="Times New Roman"/>
          <w:sz w:val="24"/>
          <w:szCs w:val="24"/>
          <w:lang w:val="zh-CN"/>
        </w:rPr>
      </w:pPr>
      <w:r>
        <w:rPr>
          <w:rFonts w:hint="eastAsia" w:ascii="宋体" w:hAnsi="宋体" w:eastAsia="宋体" w:cs="Times New Roman"/>
          <w:sz w:val="24"/>
          <w:szCs w:val="24"/>
          <w:lang w:val="zh-CN"/>
        </w:rPr>
        <w:t>（</w:t>
      </w:r>
      <w:r>
        <w:rPr>
          <w:rFonts w:hint="eastAsia" w:ascii="宋体" w:hAnsi="宋体" w:eastAsia="宋体" w:cs="Times New Roman"/>
          <w:sz w:val="24"/>
          <w:szCs w:val="24"/>
        </w:rPr>
        <w:t>1</w:t>
      </w:r>
      <w:r>
        <w:rPr>
          <w:rFonts w:hint="eastAsia" w:ascii="宋体" w:hAnsi="宋体" w:eastAsia="宋体" w:cs="Times New Roman"/>
          <w:sz w:val="24"/>
          <w:szCs w:val="24"/>
          <w:lang w:val="zh-CN"/>
        </w:rPr>
        <w:t>）若参选人为税务师事务所，需提供注册税务师协会授予的AAA级以上（含AAA级）评级资格证书（20</w:t>
      </w:r>
      <w:r>
        <w:rPr>
          <w:rFonts w:hint="eastAsia" w:ascii="宋体" w:hAnsi="宋体" w:eastAsia="宋体" w:cs="Times New Roman"/>
          <w:sz w:val="24"/>
          <w:szCs w:val="24"/>
        </w:rPr>
        <w:t>20</w:t>
      </w:r>
      <w:r>
        <w:rPr>
          <w:rFonts w:hint="eastAsia" w:ascii="宋体" w:hAnsi="宋体" w:eastAsia="宋体" w:cs="Times New Roman"/>
          <w:sz w:val="24"/>
          <w:szCs w:val="24"/>
          <w:lang w:val="zh-CN"/>
        </w:rPr>
        <w:t>年1月1日后授予）（加盖公章）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2</w:t>
      </w: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adjustRightInd w:val="0"/>
        <w:snapToGrid w:val="0"/>
        <w:spacing w:line="560" w:lineRule="exact"/>
        <w:ind w:firstLine="480" w:firstLineChars="200"/>
        <w:contextualSpacing/>
        <w:jc w:val="left"/>
        <w:rPr>
          <w:rFonts w:ascii="宋体" w:hAnsi="宋体"/>
          <w:color w:val="0D0D0D"/>
          <w:kern w:val="0"/>
          <w:sz w:val="24"/>
          <w:szCs w:val="24"/>
          <w:lang w:val="zh-CN"/>
        </w:rPr>
      </w:pPr>
      <w:r>
        <w:rPr>
          <w:rFonts w:hint="eastAsia" w:ascii="宋体" w:hAnsi="宋体"/>
          <w:color w:val="0D0D0D"/>
          <w:sz w:val="24"/>
          <w:szCs w:val="24"/>
          <w:lang w:val="zh-CN"/>
        </w:rPr>
        <w:t>（</w:t>
      </w:r>
      <w:r>
        <w:rPr>
          <w:rFonts w:hint="eastAsia" w:hAnsi="宋体"/>
          <w:color w:val="0D0D0D"/>
          <w:sz w:val="24"/>
          <w:szCs w:val="24"/>
        </w:rPr>
        <w:t>3</w:t>
      </w:r>
      <w:r>
        <w:rPr>
          <w:rFonts w:hint="eastAsia" w:ascii="宋体" w:hAnsi="宋体"/>
          <w:color w:val="0D0D0D"/>
          <w:sz w:val="24"/>
          <w:szCs w:val="24"/>
          <w:lang w:val="zh-CN"/>
        </w:rPr>
        <w:t>）</w:t>
      </w:r>
      <w:r>
        <w:rPr>
          <w:rFonts w:hint="eastAsia" w:ascii="宋体" w:hAnsi="宋体"/>
          <w:color w:val="0D0D0D"/>
          <w:kern w:val="0"/>
          <w:sz w:val="24"/>
          <w:szCs w:val="24"/>
          <w:lang w:val="zh-CN"/>
        </w:rPr>
        <w:t>2020-2022年无违规证明(以深圳市注册税务师协会出具的证明为准）。</w:t>
      </w:r>
    </w:p>
    <w:p>
      <w:pPr>
        <w:pStyle w:val="25"/>
        <w:numPr>
          <w:ilvl w:val="255"/>
          <w:numId w:val="0"/>
        </w:numPr>
        <w:spacing w:line="360" w:lineRule="auto"/>
        <w:ind w:firstLine="480" w:firstLineChars="200"/>
        <w:rPr>
          <w:rFonts w:hAnsi="宋体"/>
          <w:color w:val="0D0D0D"/>
          <w:sz w:val="24"/>
          <w:szCs w:val="24"/>
        </w:rPr>
      </w:pPr>
    </w:p>
    <w:p>
      <w:pPr>
        <w:pStyle w:val="25"/>
        <w:numPr>
          <w:ilvl w:val="0"/>
          <w:numId w:val="9"/>
        </w:numPr>
        <w:spacing w:line="360" w:lineRule="auto"/>
        <w:ind w:left="420"/>
        <w:rPr>
          <w:rFonts w:hAnsi="宋体"/>
          <w:color w:val="0D0D0D"/>
          <w:sz w:val="24"/>
          <w:szCs w:val="24"/>
        </w:rPr>
      </w:pPr>
      <w:r>
        <w:rPr>
          <w:rFonts w:hint="eastAsia" w:hAnsi="宋体"/>
          <w:color w:val="0D0D0D"/>
          <w:sz w:val="24"/>
          <w:szCs w:val="24"/>
        </w:rPr>
        <w:t>技术标评审所需证明材料：</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1</w:t>
      </w: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2</w:t>
      </w:r>
      <w:r>
        <w:rPr>
          <w:rFonts w:hint="eastAsia" w:ascii="宋体" w:hAnsi="宋体" w:eastAsia="宋体" w:cs="Times New Roman"/>
          <w:color w:val="0D0D0D"/>
          <w:lang w:val="zh-CN"/>
        </w:rPr>
        <w:t>）房地产企业税务筹划方案建议书及房地产业务税务咨询服务经验及优势自评价（需盖公章）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sz w:val="24"/>
          <w:szCs w:val="24"/>
          <w:lang w:val="zh-CN" w:eastAsia="zh-TW"/>
        </w:rPr>
        <w:t>介绍房地产税务筹划方案建议</w:t>
      </w:r>
      <w:r>
        <w:rPr>
          <w:rFonts w:hint="eastAsia" w:ascii="宋体" w:hAnsi="宋体" w:eastAsia="宋体" w:cs="Times New Roman"/>
          <w:color w:val="0D0D0D"/>
          <w:sz w:val="24"/>
          <w:szCs w:val="24"/>
          <w:lang w:val="zh-CN"/>
        </w:rPr>
        <w:t>及</w:t>
      </w:r>
      <w:r>
        <w:rPr>
          <w:rFonts w:hint="eastAsia" w:ascii="宋体" w:hAnsi="宋体" w:eastAsia="宋体" w:cs="Times New Roman"/>
          <w:color w:val="0D0D0D"/>
          <w:sz w:val="24"/>
          <w:szCs w:val="24"/>
          <w:lang w:val="zh-CN" w:eastAsia="zh-TW"/>
        </w:rPr>
        <w:t>房地产业务税务咨询服务经验优势（包括与</w:t>
      </w:r>
      <w:r>
        <w:rPr>
          <w:rFonts w:hint="eastAsia" w:ascii="宋体" w:hAnsi="宋体" w:eastAsia="宋体" w:cs="Times New Roman"/>
          <w:color w:val="0D0D0D"/>
          <w:sz w:val="24"/>
          <w:szCs w:val="24"/>
          <w:lang w:val="zh-CN"/>
        </w:rPr>
        <w:t>深圳各区</w:t>
      </w:r>
      <w:r>
        <w:rPr>
          <w:rFonts w:hint="eastAsia" w:ascii="宋体" w:hAnsi="宋体" w:eastAsia="宋体" w:cs="Times New Roman"/>
          <w:color w:val="0D0D0D"/>
          <w:sz w:val="24"/>
          <w:szCs w:val="24"/>
          <w:lang w:val="zh-CN" w:eastAsia="zh-TW"/>
        </w:rPr>
        <w:t>税务局等的沟通经验等）</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3</w:t>
      </w:r>
      <w:r>
        <w:rPr>
          <w:rFonts w:hint="eastAsia" w:ascii="宋体" w:hAnsi="宋体" w:eastAsia="宋体" w:cs="Times New Roman"/>
          <w:color w:val="0D0D0D"/>
          <w:lang w:val="zh-CN"/>
        </w:rPr>
        <w:t>）拟委派本项目的团队情况及资质、经验</w:t>
      </w:r>
      <w:r>
        <w:rPr>
          <w:rFonts w:ascii="宋体" w:hAnsi="宋体" w:eastAsia="宋体" w:cs="Times New Roman"/>
          <w:color w:val="0D0D0D"/>
          <w:lang w:val="zh-CN"/>
        </w:rPr>
        <w:t>证明</w:t>
      </w:r>
      <w:r>
        <w:rPr>
          <w:rFonts w:hint="eastAsia" w:ascii="宋体" w:hAnsi="宋体" w:eastAsia="宋体" w:cs="Times New Roman"/>
          <w:color w:val="0D0D0D"/>
          <w:lang w:val="zh-CN"/>
        </w:rPr>
        <w:t>（提供证书复印件，在税务师事务所服务的社保证明，均需盖公章）</w:t>
      </w:r>
    </w:p>
    <w:p>
      <w:pPr>
        <w:pStyle w:val="3"/>
        <w:snapToGrid w:val="0"/>
        <w:spacing w:after="0" w:line="360" w:lineRule="auto"/>
        <w:ind w:leftChars="0"/>
        <w:rPr>
          <w:rFonts w:ascii="宋体" w:hAnsi="宋体"/>
          <w:color w:val="0D0D0D"/>
          <w:sz w:val="24"/>
          <w:szCs w:val="24"/>
        </w:rPr>
      </w:pPr>
      <w:r>
        <w:rPr>
          <w:rFonts w:hint="eastAsia" w:ascii="宋体" w:hAnsi="宋体"/>
          <w:color w:val="0D0D0D"/>
          <w:sz w:val="24"/>
          <w:szCs w:val="24"/>
        </w:rPr>
        <w:t>项目资料真实性及业绩由参选人负责核实，以上提供的证书（证件等）必须在有效期内，并加盖公章。若比选人查实上述信息不真实，参选人将负全责。</w:t>
      </w:r>
    </w:p>
    <w:p>
      <w:pPr>
        <w:pStyle w:val="3"/>
        <w:snapToGrid w:val="0"/>
        <w:spacing w:after="0" w:line="360" w:lineRule="auto"/>
        <w:ind w:leftChars="0"/>
        <w:rPr>
          <w:rFonts w:ascii="宋体" w:hAnsi="宋体"/>
          <w:b/>
          <w:bCs/>
          <w:color w:val="0D0D0D"/>
          <w:sz w:val="24"/>
          <w:szCs w:val="24"/>
        </w:rPr>
      </w:pPr>
      <w:r>
        <w:rPr>
          <w:rFonts w:hint="eastAsia" w:ascii="宋体" w:hAnsi="宋体"/>
          <w:b/>
          <w:bCs/>
          <w:color w:val="0D0D0D"/>
          <w:sz w:val="24"/>
          <w:szCs w:val="24"/>
        </w:rPr>
        <w:t>（二）</w:t>
      </w:r>
      <w:r>
        <w:rPr>
          <w:rFonts w:hint="eastAsia" w:ascii="宋体" w:hAnsi="宋体"/>
          <w:b/>
          <w:bCs/>
          <w:color w:val="0D0D0D"/>
          <w:sz w:val="24"/>
          <w:szCs w:val="24"/>
          <w:u w:val="single"/>
        </w:rPr>
        <w:t>“商务标书”</w:t>
      </w:r>
      <w:r>
        <w:rPr>
          <w:rFonts w:hint="eastAsia" w:ascii="宋体" w:hAnsi="宋体"/>
          <w:b/>
          <w:bCs/>
          <w:color w:val="0D0D0D"/>
          <w:sz w:val="24"/>
          <w:szCs w:val="24"/>
        </w:rPr>
        <w:t>的编写</w:t>
      </w:r>
    </w:p>
    <w:p>
      <w:pPr>
        <w:pStyle w:val="25"/>
        <w:spacing w:line="360" w:lineRule="auto"/>
        <w:ind w:left="425"/>
        <w:rPr>
          <w:rFonts w:hAnsi="宋体"/>
          <w:sz w:val="24"/>
          <w:szCs w:val="24"/>
        </w:rPr>
      </w:pPr>
      <w:r>
        <w:rPr>
          <w:rFonts w:hint="eastAsia" w:hAnsi="宋体"/>
          <w:color w:val="0D0D0D" w:themeColor="text1" w:themeTint="F2"/>
          <w:sz w:val="24"/>
          <w:szCs w:val="24"/>
          <w14:textFill>
            <w14:solidFill>
              <w14:schemeClr w14:val="tx1">
                <w14:lumMod w14:val="95000"/>
                <w14:lumOff w14:val="5000"/>
              </w14:schemeClr>
            </w14:solidFill>
          </w14:textFill>
        </w:rPr>
        <w:t>1.商务标书应包括以</w:t>
      </w:r>
      <w:r>
        <w:rPr>
          <w:rFonts w:hint="eastAsia" w:hAnsi="宋体"/>
          <w:sz w:val="24"/>
          <w:szCs w:val="24"/>
        </w:rPr>
        <w:t>下几个主要内容：</w:t>
      </w:r>
    </w:p>
    <w:p>
      <w:pPr>
        <w:pStyle w:val="25"/>
        <w:tabs>
          <w:tab w:val="left" w:pos="6300"/>
        </w:tabs>
        <w:spacing w:line="360" w:lineRule="auto"/>
        <w:ind w:left="425" w:firstLine="560" w:firstLineChars="200"/>
        <w:rPr>
          <w:rFonts w:hAnsi="宋体"/>
          <w:color w:val="0D0D0D"/>
          <w:sz w:val="28"/>
          <w:szCs w:val="28"/>
          <w:u w:val="single"/>
        </w:rPr>
      </w:pPr>
      <w:permStart w:id="0" w:edGrp="everyone"/>
      <w:r>
        <w:rPr>
          <w:rFonts w:hint="eastAsia" w:ascii="宋体" w:hAnsi="宋体" w:eastAsia="宋体" w:cs="Times New Roman"/>
          <w:sz w:val="28"/>
          <w:szCs w:val="28"/>
          <w:u w:val="single"/>
        </w:rPr>
        <w:t>昂鹅等十五个新项目的税务咨询服务</w:t>
      </w:r>
      <w:permEnd w:id="0"/>
      <w:r>
        <w:rPr>
          <w:rFonts w:hint="eastAsia" w:hAnsi="宋体"/>
          <w:sz w:val="28"/>
          <w:szCs w:val="28"/>
          <w:u w:val="single"/>
        </w:rPr>
        <w:t>商务标书</w:t>
      </w:r>
    </w:p>
    <w:p>
      <w:pPr>
        <w:widowControl/>
        <w:overflowPunct w:val="0"/>
        <w:autoSpaceDE w:val="0"/>
        <w:autoSpaceDN w:val="0"/>
        <w:adjustRightInd w:val="0"/>
        <w:spacing w:line="360" w:lineRule="auto"/>
        <w:ind w:left="480"/>
        <w:jc w:val="left"/>
        <w:textAlignment w:val="baseline"/>
        <w:rPr>
          <w:rFonts w:ascii="宋体" w:hAnsi="宋体"/>
          <w:sz w:val="24"/>
          <w:szCs w:val="24"/>
        </w:rPr>
      </w:pPr>
      <w:r>
        <w:rPr>
          <w:rFonts w:hint="eastAsia" w:ascii="宋体" w:hAnsi="宋体"/>
          <w:sz w:val="24"/>
          <w:szCs w:val="24"/>
        </w:rPr>
        <w:t>（1）参选函；</w:t>
      </w:r>
      <w:r>
        <w:rPr>
          <w:rFonts w:hint="eastAsia" w:ascii="宋体" w:hAnsi="宋体"/>
          <w:sz w:val="24"/>
        </w:rPr>
        <w:t>（2）报价表。</w:t>
      </w:r>
    </w:p>
    <w:p>
      <w:pPr>
        <w:pStyle w:val="3"/>
        <w:snapToGrid w:val="0"/>
        <w:spacing w:line="360" w:lineRule="auto"/>
        <w:ind w:left="0" w:leftChars="0" w:firstLine="480" w:firstLineChars="200"/>
        <w:rPr>
          <w:rFonts w:ascii="宋体" w:hAnsi="宋体"/>
          <w:sz w:val="24"/>
          <w:szCs w:val="24"/>
        </w:rPr>
      </w:pPr>
      <w:r>
        <w:rPr>
          <w:rFonts w:hint="eastAsia" w:ascii="宋体" w:hAnsi="宋体"/>
          <w:sz w:val="24"/>
          <w:szCs w:val="24"/>
        </w:rPr>
        <w:t>2.参选报价货币为</w:t>
      </w:r>
      <w:r>
        <w:rPr>
          <w:rFonts w:hint="eastAsia" w:ascii="宋体" w:hAnsi="宋体"/>
          <w:b/>
          <w:bCs/>
          <w:sz w:val="24"/>
          <w:szCs w:val="24"/>
          <w:u w:val="single"/>
        </w:rPr>
        <w:t>人民币</w:t>
      </w:r>
      <w:r>
        <w:rPr>
          <w:rFonts w:hint="eastAsia" w:ascii="宋体" w:hAnsi="宋体"/>
          <w:sz w:val="24"/>
          <w:szCs w:val="24"/>
        </w:rPr>
        <w:t>。</w:t>
      </w:r>
    </w:p>
    <w:p>
      <w:pPr>
        <w:pStyle w:val="3"/>
        <w:snapToGrid w:val="0"/>
        <w:spacing w:line="360" w:lineRule="auto"/>
        <w:ind w:left="0" w:leftChars="0" w:firstLine="480" w:firstLineChars="200"/>
        <w:rPr>
          <w:rFonts w:ascii="宋体" w:hAnsi="宋体"/>
          <w:sz w:val="24"/>
          <w:szCs w:val="24"/>
        </w:rPr>
      </w:pPr>
      <w:bookmarkStart w:id="61" w:name="_Toc197404910"/>
      <w:bookmarkStart w:id="62" w:name="_Toc402782173"/>
      <w:r>
        <w:rPr>
          <w:rFonts w:hint="eastAsia" w:ascii="宋体" w:hAnsi="宋体"/>
          <w:sz w:val="24"/>
          <w:szCs w:val="24"/>
        </w:rPr>
        <w:t>3．比选人认为参选人自备设施、工作人员的保险及劳动保护等费用已包含在参选人的参选报价中。</w:t>
      </w:r>
    </w:p>
    <w:p>
      <w:pPr>
        <w:pStyle w:val="3"/>
        <w:snapToGrid w:val="0"/>
        <w:spacing w:line="360" w:lineRule="auto"/>
        <w:ind w:left="0" w:leftChars="0" w:firstLine="480" w:firstLineChars="200"/>
        <w:rPr>
          <w:rFonts w:ascii="宋体" w:hAnsi="宋体"/>
          <w:sz w:val="24"/>
          <w:szCs w:val="24"/>
        </w:rPr>
      </w:pPr>
      <w:r>
        <w:rPr>
          <w:rFonts w:hint="eastAsia" w:ascii="宋体" w:hAnsi="宋体"/>
          <w:sz w:val="24"/>
          <w:szCs w:val="24"/>
        </w:rPr>
        <w:t>4．比选人认为参选人为履行本合同而提供的产品和相关服务的知识产权、版权费等第三者费用、根据法律由乙方支付的税费、保险费、合同文本、研究成果等资料的印刷费等已包含在参选人的参选报价中。</w:t>
      </w:r>
    </w:p>
    <w:p>
      <w:pPr>
        <w:pStyle w:val="3"/>
        <w:snapToGrid w:val="0"/>
        <w:spacing w:line="360" w:lineRule="auto"/>
        <w:ind w:left="0" w:leftChars="0" w:firstLine="480" w:firstLineChars="200"/>
        <w:rPr>
          <w:rFonts w:ascii="宋体" w:hAnsi="宋体"/>
          <w:sz w:val="24"/>
          <w:szCs w:val="24"/>
        </w:rPr>
      </w:pPr>
      <w:r>
        <w:rPr>
          <w:rFonts w:hint="eastAsia" w:ascii="宋体" w:hAnsi="宋体"/>
          <w:sz w:val="24"/>
          <w:szCs w:val="24"/>
        </w:rPr>
        <w:t>5．本次参选报价为服务总报价，</w:t>
      </w:r>
      <w:r>
        <w:rPr>
          <w:rFonts w:hint="eastAsia" w:ascii="宋体" w:hAnsi="宋体"/>
          <w:color w:val="0D0D0D" w:themeColor="text1" w:themeTint="F2"/>
          <w:sz w:val="24"/>
          <w:szCs w:val="24"/>
          <w14:textFill>
            <w14:solidFill>
              <w14:schemeClr w14:val="tx1">
                <w14:lumMod w14:val="95000"/>
                <w14:lumOff w14:val="5000"/>
              </w14:schemeClr>
            </w14:solidFill>
          </w14:textFill>
        </w:rPr>
        <w:t>最高限价为人民币</w:t>
      </w:r>
      <w:r>
        <w:rPr>
          <w:rFonts w:hint="eastAsia" w:ascii="宋体" w:hAnsi="宋体"/>
          <w:b/>
          <w:bCs/>
          <w:color w:val="0D0D0D" w:themeColor="text1" w:themeTint="F2"/>
          <w:sz w:val="24"/>
          <w:szCs w:val="24"/>
          <w:u w:val="single"/>
          <w14:textFill>
            <w14:solidFill>
              <w14:schemeClr w14:val="tx1">
                <w14:lumMod w14:val="95000"/>
                <w14:lumOff w14:val="5000"/>
              </w14:schemeClr>
            </w14:solidFill>
          </w14:textFill>
        </w:rPr>
        <w:t>99万元（含税）</w:t>
      </w:r>
      <w:r>
        <w:rPr>
          <w:rFonts w:hint="eastAsia" w:hAnsi="宋体"/>
          <w:sz w:val="24"/>
          <w:szCs w:val="24"/>
        </w:rPr>
        <w:t>，</w:t>
      </w:r>
      <w:r>
        <w:rPr>
          <w:rFonts w:hint="eastAsia" w:ascii="宋体" w:hAnsi="宋体"/>
          <w:sz w:val="24"/>
          <w:szCs w:val="24"/>
        </w:rPr>
        <w:t>单个项目服务费</w:t>
      </w:r>
      <w:r>
        <w:rPr>
          <w:rFonts w:hint="eastAsia" w:hAnsi="宋体"/>
          <w:sz w:val="24"/>
          <w:szCs w:val="24"/>
        </w:rPr>
        <w:t>的最高限价为人民币</w:t>
      </w:r>
      <w:r>
        <w:rPr>
          <w:rFonts w:hint="eastAsia" w:ascii="宋体" w:hAnsi="宋体"/>
          <w:sz w:val="24"/>
          <w:szCs w:val="24"/>
        </w:rPr>
        <w:t>6.6万元（含税）</w:t>
      </w:r>
      <w:r>
        <w:rPr>
          <w:rFonts w:hint="eastAsia" w:ascii="宋体" w:hAnsi="宋体"/>
          <w:color w:val="0D0D0D" w:themeColor="text1" w:themeTint="F2"/>
          <w:sz w:val="24"/>
          <w:szCs w:val="24"/>
          <w14:textFill>
            <w14:solidFill>
              <w14:schemeClr w14:val="tx1">
                <w14:lumMod w14:val="95000"/>
                <w14:lumOff w14:val="5000"/>
              </w14:schemeClr>
            </w14:solidFill>
          </w14:textFill>
        </w:rPr>
        <w:t>。参选人报价高于总额最高上限价或单项上限价将作为无效标处理</w:t>
      </w:r>
      <w:r>
        <w:rPr>
          <w:rFonts w:hint="eastAsia" w:ascii="宋体" w:hAnsi="宋体"/>
          <w:sz w:val="24"/>
          <w:szCs w:val="24"/>
        </w:rPr>
        <w:t>。</w:t>
      </w:r>
    </w:p>
    <w:p>
      <w:pPr>
        <w:keepNext/>
        <w:keepLines/>
        <w:tabs>
          <w:tab w:val="left" w:pos="1260"/>
        </w:tabs>
        <w:adjustRightInd w:val="0"/>
        <w:spacing w:before="260" w:line="360" w:lineRule="auto"/>
        <w:ind w:firstLine="482" w:firstLineChars="200"/>
        <w:textAlignment w:val="baseline"/>
        <w:outlineLvl w:val="2"/>
        <w:rPr>
          <w:rFonts w:ascii="宋体" w:hAnsi="宋体"/>
          <w:b/>
          <w:kern w:val="0"/>
          <w:sz w:val="24"/>
          <w:szCs w:val="24"/>
        </w:rPr>
      </w:pPr>
      <w:bookmarkStart w:id="63" w:name="_Toc57731966"/>
      <w:r>
        <w:rPr>
          <w:rFonts w:hint="eastAsia" w:ascii="宋体" w:hAnsi="宋体"/>
          <w:b/>
          <w:kern w:val="0"/>
          <w:sz w:val="24"/>
          <w:szCs w:val="24"/>
        </w:rPr>
        <w:t>三、参选人的承诺</w:t>
      </w:r>
      <w:bookmarkEnd w:id="63"/>
      <w:r>
        <w:rPr>
          <w:rFonts w:hint="eastAsia" w:ascii="宋体" w:hAnsi="宋体"/>
          <w:b/>
          <w:kern w:val="0"/>
          <w:sz w:val="24"/>
          <w:szCs w:val="24"/>
        </w:rPr>
        <w:t xml:space="preserve"> </w:t>
      </w:r>
    </w:p>
    <w:p>
      <w:pPr>
        <w:pStyle w:val="3"/>
        <w:spacing w:line="360" w:lineRule="auto"/>
        <w:ind w:left="0" w:leftChars="0" w:firstLine="480" w:firstLineChars="200"/>
        <w:rPr>
          <w:rFonts w:ascii="宋体" w:hAnsi="宋体"/>
          <w:sz w:val="24"/>
        </w:rPr>
      </w:pPr>
      <w:r>
        <w:rPr>
          <w:rFonts w:hint="eastAsia" w:ascii="宋体" w:hAnsi="宋体"/>
          <w:sz w:val="24"/>
        </w:rPr>
        <w:t>参选人必须对下列各项做出承诺：</w:t>
      </w:r>
    </w:p>
    <w:p>
      <w:pPr>
        <w:pStyle w:val="3"/>
        <w:spacing w:line="360" w:lineRule="auto"/>
        <w:ind w:left="0" w:leftChars="0" w:firstLine="480" w:firstLineChars="200"/>
        <w:rPr>
          <w:rFonts w:ascii="宋体" w:hAnsi="宋体"/>
          <w:sz w:val="24"/>
        </w:rPr>
      </w:pPr>
      <w:r>
        <w:rPr>
          <w:rFonts w:hint="eastAsia" w:ascii="宋体" w:hAnsi="宋体"/>
          <w:sz w:val="24"/>
        </w:rPr>
        <w:t>1、参选人</w:t>
      </w:r>
      <w:r>
        <w:rPr>
          <w:rFonts w:hint="eastAsia"/>
          <w:sz w:val="24"/>
          <w:szCs w:val="32"/>
        </w:rPr>
        <w:t>所提供的资料真实可靠，并完全接受比选人对参选文件的最终审核结果。如经审核参选人参选文件存在虚假资料，比选人有权随时终止其参选（或中选）资格，记录该参选人的不良行为，并由该参选人赔偿由此给比选人造成的损失。</w:t>
      </w:r>
    </w:p>
    <w:p>
      <w:pPr>
        <w:pStyle w:val="3"/>
        <w:spacing w:line="360" w:lineRule="auto"/>
        <w:ind w:left="0" w:leftChars="0" w:firstLine="480" w:firstLineChars="200"/>
        <w:rPr>
          <w:rFonts w:ascii="宋体" w:hAnsi="宋体"/>
          <w:sz w:val="24"/>
        </w:rPr>
      </w:pPr>
      <w:r>
        <w:rPr>
          <w:rFonts w:hint="eastAsia" w:ascii="宋体" w:hAnsi="宋体"/>
          <w:sz w:val="24"/>
        </w:rPr>
        <w:t>2、参选人所委派的工作人员在中选后不得随意更改，如确需变更，需经比选人认可同意，如未经比选人同意，参选人自行变更参选文件中委派的主要人员（项目经理、顾问团队成员、项目组主要人员），比选人有权对参选人予以相应违约处理或终止履行合同。</w:t>
      </w:r>
    </w:p>
    <w:p>
      <w:pPr>
        <w:pStyle w:val="3"/>
        <w:spacing w:line="360" w:lineRule="auto"/>
        <w:ind w:left="0" w:leftChars="0" w:firstLine="480" w:firstLineChars="200"/>
        <w:rPr>
          <w:rFonts w:ascii="宋体" w:hAnsi="宋体"/>
          <w:sz w:val="24"/>
        </w:rPr>
      </w:pPr>
      <w:r>
        <w:rPr>
          <w:rFonts w:hint="eastAsia" w:ascii="宋体" w:hAnsi="宋体"/>
          <w:sz w:val="24"/>
        </w:rPr>
        <w:t>3、参选人保证在参选过程中，严守国家法律、法规，本着诚实守信的原则，无互相串通参选报价、无排挤其它参选人的合法权益、无向比选人或评委成员行贿谋取中选、无以他人名义参选或以其它方式弄虚作假骗取中选的不良行为。</w:t>
      </w:r>
    </w:p>
    <w:p>
      <w:pPr>
        <w:pStyle w:val="3"/>
        <w:numPr>
          <w:ilvl w:val="255"/>
          <w:numId w:val="0"/>
        </w:numPr>
        <w:spacing w:after="0" w:line="360" w:lineRule="auto"/>
        <w:ind w:left="96" w:firstLine="324" w:firstLineChars="135"/>
        <w:rPr>
          <w:rFonts w:ascii="宋体" w:hAnsi="宋体"/>
          <w:sz w:val="24"/>
        </w:rPr>
      </w:pPr>
      <w:r>
        <w:rPr>
          <w:rFonts w:hint="eastAsia" w:ascii="宋体" w:hAnsi="宋体"/>
          <w:sz w:val="24"/>
        </w:rPr>
        <w:t>4、参选人同意：①由于非比选人原因（如因国家审批或政策环境、深圳市城市规划等因素）导致该项目被取消或无法实施，比选人将否决所有参选；②比选人可以否决所有参选，终止比选而无须说明理由，比选人不承担因此给参选人造成的损失。</w:t>
      </w:r>
    </w:p>
    <w:p>
      <w:pPr>
        <w:pStyle w:val="6"/>
        <w:spacing w:line="360" w:lineRule="auto"/>
        <w:rPr>
          <w:rFonts w:ascii="宋体" w:hAnsi="宋体" w:eastAsia="宋体"/>
          <w:b/>
          <w:szCs w:val="28"/>
        </w:rPr>
      </w:pPr>
      <w:bookmarkStart w:id="64" w:name="_Toc518494132"/>
      <w:bookmarkStart w:id="65" w:name="_Toc57731967"/>
      <w:bookmarkStart w:id="66" w:name="_Toc197404908"/>
      <w:r>
        <w:rPr>
          <w:rFonts w:hint="eastAsia" w:ascii="宋体" w:hAnsi="宋体" w:eastAsia="宋体"/>
          <w:b/>
          <w:szCs w:val="28"/>
        </w:rPr>
        <w:t>第四章 参选文件的签章要求</w:t>
      </w:r>
      <w:bookmarkEnd w:id="64"/>
      <w:bookmarkEnd w:id="65"/>
      <w:bookmarkEnd w:id="66"/>
    </w:p>
    <w:p>
      <w:pPr>
        <w:pStyle w:val="3"/>
        <w:snapToGrid w:val="0"/>
        <w:spacing w:line="360" w:lineRule="auto"/>
        <w:ind w:left="0" w:leftChars="0" w:firstLine="482" w:firstLineChars="200"/>
        <w:rPr>
          <w:rFonts w:ascii="宋体" w:hAnsi="宋体"/>
          <w:b/>
          <w:color w:val="0D0D0D"/>
          <w:sz w:val="24"/>
        </w:rPr>
      </w:pPr>
      <w:bookmarkStart w:id="67" w:name="_Toc36527859"/>
      <w:bookmarkStart w:id="68" w:name="_Toc197404909"/>
      <w:bookmarkStart w:id="69" w:name="_Toc57731971"/>
      <w:bookmarkStart w:id="70" w:name="_Toc518494133"/>
      <w:r>
        <w:rPr>
          <w:rFonts w:hint="eastAsia" w:ascii="宋体" w:hAnsi="宋体"/>
          <w:b/>
          <w:color w:val="0D0D0D"/>
          <w:sz w:val="24"/>
        </w:rPr>
        <w:t>一、参选文件的份数</w:t>
      </w:r>
    </w:p>
    <w:p>
      <w:pPr>
        <w:pStyle w:val="3"/>
        <w:spacing w:line="360" w:lineRule="auto"/>
        <w:ind w:left="0" w:leftChars="0" w:firstLine="480" w:firstLineChars="200"/>
        <w:rPr>
          <w:rFonts w:ascii="宋体" w:hAnsi="宋体"/>
          <w:b/>
          <w:color w:val="0D0D0D"/>
          <w:sz w:val="24"/>
          <w:szCs w:val="21"/>
          <w:u w:val="single"/>
        </w:rPr>
      </w:pPr>
      <w:r>
        <w:rPr>
          <w:rFonts w:hint="eastAsia" w:ascii="宋体" w:hAnsi="宋体"/>
          <w:color w:val="0D0D0D"/>
          <w:sz w:val="24"/>
        </w:rPr>
        <w:t>参选人提交的</w:t>
      </w:r>
      <w:r>
        <w:rPr>
          <w:rFonts w:hint="eastAsia" w:ascii="宋体" w:hAnsi="宋体"/>
          <w:b/>
          <w:color w:val="0D0D0D"/>
          <w:sz w:val="24"/>
        </w:rPr>
        <w:t>参选文件应包含</w:t>
      </w:r>
      <w:r>
        <w:rPr>
          <w:rFonts w:hint="eastAsia" w:ascii="宋体" w:hAnsi="宋体"/>
          <w:b/>
          <w:color w:val="0D0D0D"/>
          <w:sz w:val="24"/>
          <w:u w:val="single"/>
        </w:rPr>
        <w:t>1套</w:t>
      </w:r>
      <w:r>
        <w:rPr>
          <w:rFonts w:hint="eastAsia" w:ascii="宋体" w:hAnsi="宋体"/>
          <w:b/>
          <w:color w:val="0D0D0D"/>
          <w:sz w:val="24"/>
          <w:szCs w:val="21"/>
          <w:u w:val="single"/>
        </w:rPr>
        <w:t>“技术标书”；1套“商务标书”</w:t>
      </w:r>
      <w:r>
        <w:rPr>
          <w:rFonts w:hint="eastAsia" w:ascii="宋体" w:hAnsi="宋体"/>
          <w:color w:val="0D0D0D"/>
          <w:sz w:val="24"/>
        </w:rPr>
        <w:t>。</w:t>
      </w:r>
    </w:p>
    <w:p>
      <w:pPr>
        <w:pStyle w:val="3"/>
        <w:snapToGrid w:val="0"/>
        <w:spacing w:line="360" w:lineRule="auto"/>
        <w:ind w:left="0" w:leftChars="0" w:firstLine="482" w:firstLineChars="200"/>
        <w:rPr>
          <w:rFonts w:ascii="宋体" w:hAnsi="宋体"/>
          <w:b/>
          <w:color w:val="0D0D0D"/>
          <w:sz w:val="24"/>
        </w:rPr>
      </w:pPr>
      <w:r>
        <w:rPr>
          <w:rFonts w:hint="eastAsia" w:ascii="宋体" w:hAnsi="宋体"/>
          <w:b/>
          <w:color w:val="0D0D0D"/>
          <w:sz w:val="24"/>
        </w:rPr>
        <w:t>二、参选文件的签章</w:t>
      </w:r>
    </w:p>
    <w:p>
      <w:pPr>
        <w:pStyle w:val="3"/>
        <w:spacing w:line="360" w:lineRule="auto"/>
        <w:ind w:left="0" w:leftChars="0" w:firstLine="480" w:firstLineChars="200"/>
        <w:rPr>
          <w:rFonts w:ascii="宋体" w:hAnsi="宋体"/>
          <w:color w:val="0D0D0D"/>
          <w:sz w:val="24"/>
        </w:rPr>
      </w:pPr>
      <w:r>
        <w:rPr>
          <w:rFonts w:hint="eastAsia" w:ascii="宋体" w:hAnsi="宋体"/>
          <w:color w:val="0D0D0D"/>
          <w:sz w:val="24"/>
        </w:rPr>
        <w:t>（一）所有参选文件（正、副本）均须加按要求盖公章。</w:t>
      </w:r>
    </w:p>
    <w:p>
      <w:pPr>
        <w:pStyle w:val="3"/>
        <w:spacing w:line="360" w:lineRule="auto"/>
        <w:ind w:left="0" w:leftChars="0" w:firstLine="480" w:firstLineChars="200"/>
        <w:rPr>
          <w:rFonts w:ascii="宋体" w:hAnsi="宋体"/>
          <w:color w:val="0D0D0D"/>
          <w:sz w:val="24"/>
        </w:rPr>
      </w:pPr>
      <w:r>
        <w:rPr>
          <w:rFonts w:hint="eastAsia" w:ascii="宋体" w:hAnsi="宋体"/>
          <w:color w:val="0D0D0D"/>
          <w:sz w:val="24"/>
        </w:rPr>
        <w:t>（二）参选文件均应使用不能擦去的墨水打印或书写，并由参选人正式授权人签署。有增加或修正的各项，都应由参选文件签字人签字证明。</w:t>
      </w:r>
    </w:p>
    <w:p>
      <w:pPr>
        <w:pStyle w:val="3"/>
        <w:spacing w:line="360" w:lineRule="auto"/>
        <w:ind w:left="0" w:leftChars="0" w:firstLine="480" w:firstLineChars="200"/>
        <w:rPr>
          <w:rFonts w:ascii="宋体" w:hAnsi="宋体"/>
          <w:color w:val="0D0D0D"/>
          <w:sz w:val="24"/>
        </w:rPr>
      </w:pPr>
      <w:r>
        <w:rPr>
          <w:rFonts w:hint="eastAsia" w:ascii="宋体" w:hAnsi="宋体"/>
          <w:color w:val="0D0D0D"/>
          <w:sz w:val="24"/>
        </w:rPr>
        <w:t>（三）参选文件应无涂改和行间插字，除非这些删改是根据比选人指示进行，或是参选人造成的必须修改的错误。在后一种情况下，修改处应由参选文件签字人签字证明。</w:t>
      </w:r>
    </w:p>
    <w:p>
      <w:pPr>
        <w:pStyle w:val="3"/>
        <w:snapToGrid w:val="0"/>
        <w:spacing w:line="360" w:lineRule="auto"/>
        <w:ind w:left="0" w:leftChars="0" w:firstLine="482" w:firstLineChars="200"/>
        <w:rPr>
          <w:rFonts w:ascii="宋体" w:hAnsi="宋体"/>
          <w:b/>
          <w:color w:val="0D0D0D"/>
          <w:sz w:val="24"/>
        </w:rPr>
      </w:pPr>
      <w:bookmarkStart w:id="71" w:name="_Toc36527858"/>
      <w:r>
        <w:rPr>
          <w:rFonts w:hint="eastAsia" w:ascii="宋体" w:hAnsi="宋体"/>
          <w:b/>
          <w:color w:val="0D0D0D"/>
          <w:sz w:val="24"/>
        </w:rPr>
        <w:t>三、参选文件的</w:t>
      </w:r>
      <w:bookmarkEnd w:id="71"/>
      <w:r>
        <w:rPr>
          <w:rFonts w:hint="eastAsia" w:ascii="宋体" w:hAnsi="宋体"/>
          <w:b/>
          <w:color w:val="0D0D0D"/>
          <w:sz w:val="24"/>
        </w:rPr>
        <w:t>标识</w:t>
      </w:r>
    </w:p>
    <w:p>
      <w:pPr>
        <w:widowControl/>
        <w:overflowPunct w:val="0"/>
        <w:autoSpaceDE w:val="0"/>
        <w:autoSpaceDN w:val="0"/>
        <w:adjustRightInd w:val="0"/>
        <w:snapToGrid w:val="0"/>
        <w:spacing w:line="360" w:lineRule="auto"/>
        <w:ind w:firstLine="482" w:firstLineChars="200"/>
        <w:textAlignment w:val="baseline"/>
        <w:rPr>
          <w:rFonts w:ascii="宋体" w:hAnsi="宋体"/>
          <w:b/>
          <w:sz w:val="24"/>
          <w:szCs w:val="24"/>
        </w:rPr>
      </w:pPr>
      <w:r>
        <w:rPr>
          <w:rFonts w:hint="eastAsia" w:ascii="宋体" w:hAnsi="宋体"/>
          <w:b/>
          <w:color w:val="0D0D0D"/>
          <w:sz w:val="24"/>
        </w:rPr>
        <w:t>将参选文件的所有技术标书</w:t>
      </w:r>
      <w:r>
        <w:rPr>
          <w:rFonts w:ascii="宋体" w:hAnsi="宋体"/>
          <w:b/>
          <w:color w:val="0D0D0D"/>
          <w:sz w:val="24"/>
        </w:rPr>
        <w:t>、</w:t>
      </w:r>
      <w:r>
        <w:rPr>
          <w:rFonts w:hint="eastAsia" w:ascii="宋体" w:hAnsi="宋体"/>
          <w:b/>
          <w:color w:val="0D0D0D"/>
          <w:sz w:val="24"/>
        </w:rPr>
        <w:t>商务标书分别按要求编写分册，按如下要求加写标识：</w:t>
      </w:r>
    </w:p>
    <w:p>
      <w:pPr>
        <w:adjustRightInd w:val="0"/>
        <w:snapToGrid w:val="0"/>
        <w:spacing w:line="360" w:lineRule="auto"/>
        <w:ind w:firstLine="482" w:firstLineChars="200"/>
        <w:rPr>
          <w:rFonts w:ascii="宋体" w:hAnsi="宋体"/>
          <w:b/>
          <w:sz w:val="24"/>
          <w:szCs w:val="24"/>
          <w:u w:val="single"/>
        </w:rPr>
      </w:pPr>
      <w:r>
        <w:rPr>
          <w:rFonts w:hint="eastAsia" w:ascii="宋体" w:hAnsi="宋体"/>
          <w:b/>
          <w:sz w:val="24"/>
          <w:szCs w:val="24"/>
        </w:rPr>
        <w:t>项目名称：</w:t>
      </w:r>
      <w:r>
        <w:rPr>
          <w:rFonts w:hint="eastAsia" w:ascii="宋体" w:hAnsi="宋体"/>
          <w:b/>
          <w:bCs/>
          <w:color w:val="0D0D0D"/>
          <w:sz w:val="24"/>
          <w:szCs w:val="24"/>
          <w:u w:val="single"/>
        </w:rPr>
        <w:t>昂鹅等十</w:t>
      </w:r>
      <w:r>
        <w:rPr>
          <w:rFonts w:ascii="宋体" w:hAnsi="宋体"/>
          <w:b/>
          <w:bCs/>
          <w:color w:val="0D0D0D"/>
          <w:sz w:val="24"/>
          <w:szCs w:val="24"/>
          <w:u w:val="single"/>
        </w:rPr>
        <w:t>五</w:t>
      </w:r>
      <w:r>
        <w:rPr>
          <w:rFonts w:hint="eastAsia" w:ascii="宋体" w:hAnsi="宋体"/>
          <w:b/>
          <w:bCs/>
          <w:color w:val="0D0D0D"/>
          <w:sz w:val="24"/>
          <w:szCs w:val="24"/>
          <w:u w:val="single"/>
        </w:rPr>
        <w:t>个新项目税务咨询服务</w:t>
      </w:r>
      <w:r>
        <w:rPr>
          <w:rFonts w:hint="eastAsia" w:ascii="宋体" w:hAnsi="宋体"/>
          <w:b/>
          <w:sz w:val="24"/>
          <w:szCs w:val="24"/>
          <w:u w:val="single"/>
        </w:rPr>
        <w:t>参选文件</w:t>
      </w:r>
    </w:p>
    <w:p>
      <w:pPr>
        <w:adjustRightInd w:val="0"/>
        <w:snapToGrid w:val="0"/>
        <w:spacing w:line="360" w:lineRule="auto"/>
        <w:ind w:firstLine="482" w:firstLineChars="200"/>
        <w:rPr>
          <w:rFonts w:ascii="宋体" w:hAnsi="宋体"/>
          <w:kern w:val="10"/>
          <w:sz w:val="24"/>
          <w:szCs w:val="24"/>
          <w:u w:val="single"/>
        </w:rPr>
      </w:pPr>
      <w:r>
        <w:rPr>
          <w:rFonts w:ascii="宋体" w:hAnsi="宋体"/>
          <w:b/>
          <w:bCs/>
          <w:kern w:val="10"/>
          <w:sz w:val="24"/>
          <w:szCs w:val="24"/>
        </w:rPr>
        <w:t>参选人（盖章）</w:t>
      </w:r>
      <w:r>
        <w:rPr>
          <w:rFonts w:ascii="宋体" w:hAnsi="宋体"/>
          <w:kern w:val="10"/>
          <w:sz w:val="24"/>
          <w:szCs w:val="24"/>
        </w:rPr>
        <w:t>：</w:t>
      </w:r>
      <w:r>
        <w:rPr>
          <w:rFonts w:ascii="宋体" w:hAnsi="宋体"/>
          <w:kern w:val="10"/>
          <w:sz w:val="24"/>
          <w:szCs w:val="24"/>
          <w:u w:val="single"/>
        </w:rPr>
        <w:t xml:space="preserve">           [参选人名称]              </w:t>
      </w:r>
    </w:p>
    <w:p>
      <w:pPr>
        <w:adjustRightInd w:val="0"/>
        <w:snapToGrid w:val="0"/>
        <w:spacing w:line="360" w:lineRule="auto"/>
        <w:ind w:firstLine="482" w:firstLineChars="200"/>
        <w:rPr>
          <w:rFonts w:ascii="宋体" w:hAnsi="宋体"/>
          <w:bCs/>
          <w:sz w:val="24"/>
          <w:szCs w:val="24"/>
        </w:rPr>
      </w:pPr>
      <w:r>
        <w:rPr>
          <w:rFonts w:hAnsi="宋体"/>
          <w:b/>
          <w:bCs/>
          <w:sz w:val="24"/>
          <w:szCs w:val="24"/>
        </w:rPr>
        <w:t>法定代表人</w:t>
      </w:r>
      <w:r>
        <w:rPr>
          <w:rFonts w:hint="eastAsia" w:hAnsi="宋体"/>
          <w:b/>
          <w:bCs/>
          <w:sz w:val="24"/>
          <w:szCs w:val="24"/>
        </w:rPr>
        <w:t>或</w:t>
      </w:r>
      <w:r>
        <w:rPr>
          <w:rFonts w:hAnsi="宋体"/>
          <w:b/>
          <w:bCs/>
          <w:sz w:val="24"/>
          <w:szCs w:val="24"/>
        </w:rPr>
        <w:t>授权代表（签字或盖章）</w:t>
      </w:r>
      <w:r>
        <w:rPr>
          <w:rFonts w:hAnsi="宋体"/>
          <w:sz w:val="24"/>
          <w:szCs w:val="24"/>
        </w:rPr>
        <w:t>：</w:t>
      </w:r>
      <w:r>
        <w:rPr>
          <w:rFonts w:hAnsi="宋体"/>
          <w:sz w:val="24"/>
          <w:szCs w:val="24"/>
          <w:u w:val="single"/>
        </w:rPr>
        <w:t xml:space="preserve">                           </w:t>
      </w:r>
    </w:p>
    <w:p>
      <w:pPr>
        <w:adjustRightInd w:val="0"/>
        <w:snapToGrid w:val="0"/>
        <w:spacing w:line="360" w:lineRule="auto"/>
        <w:ind w:firstLine="482" w:firstLineChars="200"/>
        <w:rPr>
          <w:rFonts w:ascii="宋体" w:hAnsi="宋体"/>
          <w:b/>
        </w:rPr>
      </w:pPr>
      <w:r>
        <w:rPr>
          <w:rFonts w:hint="eastAsia" w:ascii="宋体" w:hAnsi="宋体"/>
          <w:b/>
          <w:sz w:val="24"/>
          <w:szCs w:val="24"/>
        </w:rPr>
        <w:t>日    期</w:t>
      </w:r>
      <w:r>
        <w:rPr>
          <w:rFonts w:hint="eastAsia" w:ascii="宋体" w:hAnsi="宋体"/>
          <w:bCs/>
          <w:sz w:val="24"/>
          <w:szCs w:val="24"/>
        </w:rPr>
        <w:t>：</w:t>
      </w:r>
      <w:r>
        <w:rPr>
          <w:rFonts w:hint="eastAsia" w:ascii="宋体" w:hAnsi="宋体"/>
          <w:sz w:val="24"/>
          <w:szCs w:val="24"/>
          <w:u w:val="single"/>
        </w:rPr>
        <w:t xml:space="preserve"> 2022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r>
        <w:rPr>
          <w:rFonts w:ascii="宋体" w:hAnsi="宋体" w:cs="宋体"/>
          <w:snapToGrid w:val="0"/>
          <w:szCs w:val="21"/>
        </w:rPr>
        <w:br w:type="page"/>
      </w:r>
    </w:p>
    <w:p>
      <w:pPr>
        <w:pStyle w:val="6"/>
        <w:spacing w:before="140" w:after="0" w:line="360" w:lineRule="auto"/>
        <w:rPr>
          <w:rFonts w:ascii="宋体" w:hAnsi="宋体" w:eastAsia="宋体"/>
          <w:b/>
        </w:rPr>
      </w:pPr>
      <w:r>
        <w:rPr>
          <w:rFonts w:hint="eastAsia" w:ascii="宋体" w:hAnsi="宋体" w:eastAsia="宋体"/>
          <w:b/>
        </w:rPr>
        <w:t xml:space="preserve">第五章 </w:t>
      </w:r>
      <w:bookmarkEnd w:id="67"/>
      <w:r>
        <w:rPr>
          <w:rFonts w:hint="eastAsia" w:ascii="宋体" w:hAnsi="宋体" w:eastAsia="宋体"/>
          <w:b/>
        </w:rPr>
        <w:t>参选文件递交</w:t>
      </w:r>
      <w:bookmarkEnd w:id="68"/>
      <w:bookmarkEnd w:id="69"/>
      <w:bookmarkEnd w:id="70"/>
    </w:p>
    <w:p>
      <w:pPr>
        <w:spacing w:line="360" w:lineRule="auto"/>
        <w:ind w:firstLine="482" w:firstLineChars="200"/>
        <w:rPr>
          <w:rFonts w:ascii="宋体" w:hAnsi="宋体"/>
          <w:b/>
          <w:bCs/>
          <w:sz w:val="24"/>
        </w:rPr>
      </w:pPr>
      <w:r>
        <w:rPr>
          <w:rFonts w:hint="eastAsia" w:ascii="宋体" w:hAnsi="宋体"/>
          <w:b/>
          <w:bCs/>
          <w:sz w:val="24"/>
        </w:rPr>
        <w:t>一、参选人应按本参选须知规定的平台地点、日期和时间递交参选文件。</w:t>
      </w:r>
    </w:p>
    <w:p>
      <w:pPr>
        <w:numPr>
          <w:ilvl w:val="255"/>
          <w:numId w:val="0"/>
        </w:numPr>
        <w:adjustRightInd w:val="0"/>
        <w:snapToGrid w:val="0"/>
        <w:spacing w:line="360" w:lineRule="auto"/>
        <w:ind w:left="420" w:leftChars="200"/>
        <w:rPr>
          <w:rFonts w:ascii="宋体" w:hAnsi="宋体"/>
          <w:bCs/>
          <w:sz w:val="24"/>
          <w:szCs w:val="24"/>
        </w:rPr>
      </w:pPr>
      <w:bookmarkStart w:id="72" w:name="_Toc36527860"/>
      <w:r>
        <w:rPr>
          <w:rFonts w:ascii="宋体" w:hAnsi="宋体"/>
          <w:bCs/>
          <w:sz w:val="24"/>
          <w:szCs w:val="24"/>
        </w:rPr>
        <w:t>电子版参选文件递交平台：</w:t>
      </w:r>
      <w:r>
        <w:rPr>
          <w:rFonts w:hint="eastAsia" w:ascii="宋体" w:hAnsi="宋体"/>
          <w:bCs/>
          <w:sz w:val="24"/>
          <w:szCs w:val="24"/>
        </w:rPr>
        <w:t>深圳地铁智能招采管理平台（</w:t>
      </w:r>
      <w:r>
        <w:rPr>
          <w:rFonts w:ascii="宋体" w:hAnsi="宋体"/>
          <w:bCs/>
          <w:sz w:val="24"/>
          <w:szCs w:val="24"/>
        </w:rPr>
        <w:t>https://cg.shenzhenmc.com/）</w:t>
      </w:r>
      <w:r>
        <w:rPr>
          <w:rFonts w:hint="eastAsia" w:ascii="宋体" w:hAnsi="宋体"/>
          <w:bCs/>
          <w:sz w:val="24"/>
          <w:szCs w:val="24"/>
        </w:rPr>
        <w:t>。</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参选文件的签署人须是法定代表人或法定代表人授权委托人。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本比选文件所述法定代表人即法定代表人或法定负责人。</w:t>
      </w:r>
    </w:p>
    <w:p>
      <w:pPr>
        <w:spacing w:line="360" w:lineRule="auto"/>
        <w:ind w:firstLine="482" w:firstLineChars="200"/>
        <w:rPr>
          <w:rFonts w:ascii="宋体" w:hAnsi="宋体"/>
          <w:sz w:val="24"/>
        </w:rPr>
      </w:pPr>
      <w:r>
        <w:rPr>
          <w:rFonts w:hint="eastAsia" w:ascii="宋体" w:hAnsi="宋体"/>
          <w:b/>
          <w:bCs/>
          <w:sz w:val="24"/>
        </w:rPr>
        <w:t>二、迟到的参选文件</w:t>
      </w:r>
      <w:bookmarkEnd w:id="72"/>
    </w:p>
    <w:p>
      <w:pPr>
        <w:spacing w:line="360" w:lineRule="auto"/>
        <w:ind w:firstLine="480" w:firstLineChars="200"/>
        <w:rPr>
          <w:rFonts w:ascii="宋体" w:hAnsi="宋体"/>
          <w:b/>
          <w:sz w:val="24"/>
        </w:rPr>
      </w:pPr>
      <w:r>
        <w:rPr>
          <w:rFonts w:hint="eastAsia" w:ascii="宋体" w:hAnsi="宋体"/>
          <w:sz w:val="24"/>
        </w:rPr>
        <w:t>在本参选须知第一章第四条规定的参选截止期以后上传至</w:t>
      </w:r>
      <w:r>
        <w:rPr>
          <w:rFonts w:hint="eastAsia" w:ascii="宋体" w:hAnsi="宋体"/>
          <w:bCs/>
          <w:sz w:val="24"/>
          <w:szCs w:val="24"/>
        </w:rPr>
        <w:t>深圳地铁智能招采管理平台</w:t>
      </w:r>
      <w:r>
        <w:rPr>
          <w:rFonts w:hint="eastAsia" w:ascii="宋体" w:hAnsi="宋体"/>
          <w:sz w:val="24"/>
        </w:rPr>
        <w:t>的参选文件将不予受理。参选人在递交参选文件时应遵照工作人员的安排有秩序地进行。</w:t>
      </w:r>
    </w:p>
    <w:p>
      <w:pPr>
        <w:pStyle w:val="6"/>
        <w:spacing w:after="0" w:line="360" w:lineRule="auto"/>
        <w:rPr>
          <w:rFonts w:ascii="宋体" w:hAnsi="宋体" w:eastAsia="宋体"/>
          <w:b/>
        </w:rPr>
      </w:pPr>
      <w:bookmarkStart w:id="73" w:name="_Toc57731972"/>
      <w:r>
        <w:rPr>
          <w:rFonts w:hint="eastAsia" w:ascii="宋体" w:hAnsi="宋体" w:eastAsia="宋体"/>
          <w:b/>
        </w:rPr>
        <w:t>第六章  参选有效期</w:t>
      </w:r>
      <w:bookmarkEnd w:id="73"/>
    </w:p>
    <w:p>
      <w:pPr>
        <w:spacing w:line="360" w:lineRule="auto"/>
        <w:ind w:firstLine="480" w:firstLineChars="200"/>
        <w:rPr>
          <w:rFonts w:ascii="宋体" w:hAnsi="宋体"/>
          <w:sz w:val="24"/>
          <w:szCs w:val="24"/>
        </w:rPr>
      </w:pPr>
      <w:r>
        <w:rPr>
          <w:rFonts w:hint="eastAsia" w:ascii="宋体" w:hAnsi="宋体"/>
          <w:sz w:val="24"/>
          <w:szCs w:val="24"/>
        </w:rPr>
        <w:t>一、自规定的参选书递交截止期限起180天内，参选书均保持有效。</w:t>
      </w:r>
    </w:p>
    <w:p>
      <w:pPr>
        <w:spacing w:line="360" w:lineRule="auto"/>
        <w:ind w:firstLine="480" w:firstLineChars="200"/>
        <w:rPr>
          <w:rFonts w:ascii="宋体" w:hAnsi="宋体"/>
          <w:sz w:val="24"/>
          <w:szCs w:val="24"/>
        </w:rPr>
      </w:pPr>
      <w:r>
        <w:rPr>
          <w:rFonts w:hint="eastAsia" w:ascii="宋体" w:hAnsi="宋体"/>
          <w:sz w:val="24"/>
          <w:szCs w:val="24"/>
        </w:rPr>
        <w:t>二、在特殊的情况下，在原定参选有效期满之前，比选人可以根据需要以书面形式向参选人提出延长参选有效期的要求，对此要求参选人须以书面形式予以答复。同意延长参选有效期的参选人不能要求也不允许修改其参选文件。</w:t>
      </w:r>
    </w:p>
    <w:p>
      <w:pPr>
        <w:pStyle w:val="6"/>
        <w:spacing w:after="0" w:line="360" w:lineRule="auto"/>
        <w:rPr>
          <w:rFonts w:ascii="宋体" w:hAnsi="宋体" w:eastAsia="宋体"/>
          <w:b/>
        </w:rPr>
      </w:pPr>
      <w:bookmarkStart w:id="74" w:name="_Toc57731973"/>
      <w:bookmarkStart w:id="75" w:name="_Toc518494135"/>
      <w:r>
        <w:rPr>
          <w:rFonts w:hint="eastAsia" w:ascii="宋体" w:hAnsi="宋体" w:eastAsia="宋体"/>
          <w:b/>
        </w:rPr>
        <w:t>第七章  开标</w:t>
      </w:r>
      <w:bookmarkEnd w:id="74"/>
      <w:bookmarkEnd w:id="75"/>
    </w:p>
    <w:p>
      <w:pPr>
        <w:spacing w:line="360" w:lineRule="auto"/>
        <w:ind w:firstLine="480" w:firstLineChars="200"/>
        <w:rPr>
          <w:rFonts w:ascii="宋体" w:hAnsi="宋体"/>
          <w:sz w:val="24"/>
          <w:szCs w:val="24"/>
        </w:rPr>
      </w:pPr>
      <w:r>
        <w:rPr>
          <w:rFonts w:hint="eastAsia" w:ascii="宋体" w:hAnsi="宋体"/>
          <w:sz w:val="24"/>
          <w:szCs w:val="24"/>
        </w:rPr>
        <w:t>一、截标后首先进入开标环节，比选人将于参选须知所规定的时间和地点公开举行开标会议，所有参选人代表均可参加。</w:t>
      </w:r>
    </w:p>
    <w:p>
      <w:pPr>
        <w:spacing w:line="360" w:lineRule="auto"/>
        <w:ind w:firstLine="480" w:firstLineChars="200"/>
        <w:rPr>
          <w:rFonts w:ascii="宋体" w:hAnsi="宋体"/>
          <w:sz w:val="24"/>
          <w:szCs w:val="24"/>
        </w:rPr>
      </w:pPr>
      <w:r>
        <w:rPr>
          <w:rFonts w:hint="eastAsia" w:ascii="宋体" w:hAnsi="宋体"/>
          <w:sz w:val="24"/>
          <w:szCs w:val="24"/>
        </w:rPr>
        <w:t>二、若参选人参加开标现场会议，参选人只能委派一名代表，且必须是参选人法定代表人或其授权委托代理人。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w:t>
      </w:r>
    </w:p>
    <w:p>
      <w:pPr>
        <w:spacing w:line="360" w:lineRule="auto"/>
        <w:ind w:firstLine="480" w:firstLineChars="200"/>
        <w:rPr>
          <w:rFonts w:ascii="宋体" w:hAnsi="宋体"/>
          <w:sz w:val="24"/>
          <w:szCs w:val="24"/>
        </w:rPr>
      </w:pPr>
      <w:r>
        <w:rPr>
          <w:rFonts w:hint="eastAsia" w:ascii="宋体" w:hAnsi="宋体"/>
          <w:sz w:val="24"/>
          <w:szCs w:val="24"/>
        </w:rPr>
        <w:t>三、开标会议由比选人主持。</w:t>
      </w:r>
    </w:p>
    <w:p>
      <w:pPr>
        <w:spacing w:line="360" w:lineRule="auto"/>
        <w:ind w:firstLine="480" w:firstLineChars="200"/>
        <w:rPr>
          <w:rFonts w:ascii="宋体" w:hAnsi="宋体"/>
          <w:sz w:val="24"/>
          <w:szCs w:val="24"/>
        </w:rPr>
      </w:pPr>
      <w:r>
        <w:rPr>
          <w:rFonts w:hint="eastAsia" w:ascii="宋体" w:hAnsi="宋体"/>
          <w:sz w:val="24"/>
          <w:szCs w:val="24"/>
        </w:rPr>
        <w:t>四、由比选人监审人员及参选人监督检查所有参选文件的上传情况，也可以由比选人委托的公证机构进行检查并公证。</w:t>
      </w:r>
    </w:p>
    <w:p>
      <w:pPr>
        <w:spacing w:line="360" w:lineRule="auto"/>
        <w:ind w:firstLine="480" w:firstLineChars="200"/>
        <w:rPr>
          <w:rFonts w:ascii="宋体" w:hAnsi="宋体"/>
          <w:sz w:val="24"/>
          <w:szCs w:val="24"/>
        </w:rPr>
      </w:pPr>
      <w:r>
        <w:rPr>
          <w:rFonts w:hint="eastAsia" w:ascii="宋体" w:hAnsi="宋体"/>
          <w:sz w:val="24"/>
          <w:szCs w:val="24"/>
        </w:rPr>
        <w:t>五、</w:t>
      </w:r>
      <w:bookmarkStart w:id="76" w:name="_Hlk77375959"/>
      <w:r>
        <w:rPr>
          <w:rFonts w:hint="eastAsia" w:ascii="宋体" w:hAnsi="宋体"/>
          <w:sz w:val="24"/>
          <w:szCs w:val="24"/>
        </w:rPr>
        <w:t>经确认无误后，</w:t>
      </w:r>
      <w:bookmarkStart w:id="77" w:name="_Hlk77373092"/>
      <w:r>
        <w:rPr>
          <w:rFonts w:hint="eastAsia" w:ascii="宋体" w:hAnsi="宋体"/>
          <w:sz w:val="24"/>
          <w:szCs w:val="24"/>
        </w:rPr>
        <w:t>由比选人当众在线开启所有参选文件，先开技术标，再开商务标。比选人工作人员宣读参选人名称、参选报价等</w:t>
      </w:r>
      <w:bookmarkEnd w:id="76"/>
      <w:bookmarkEnd w:id="77"/>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六、比选人将作开标记录，以存档备查。</w:t>
      </w:r>
    </w:p>
    <w:p>
      <w:pPr>
        <w:spacing w:line="360" w:lineRule="auto"/>
        <w:ind w:firstLine="480" w:firstLineChars="200"/>
        <w:rPr>
          <w:rFonts w:ascii="宋体" w:hAnsi="宋体"/>
          <w:sz w:val="24"/>
          <w:szCs w:val="24"/>
        </w:rPr>
      </w:pPr>
      <w:r>
        <w:rPr>
          <w:rFonts w:hint="eastAsia" w:ascii="宋体" w:hAnsi="宋体"/>
          <w:sz w:val="24"/>
          <w:szCs w:val="24"/>
        </w:rPr>
        <w:t>七、按本须知规定宣布为不予受理情形的参选文件，不予送交评标委员会评审。</w:t>
      </w:r>
    </w:p>
    <w:p>
      <w:pPr>
        <w:spacing w:line="360" w:lineRule="auto"/>
        <w:ind w:firstLine="480" w:firstLineChars="200"/>
        <w:rPr>
          <w:rFonts w:ascii="宋体" w:hAnsi="宋体"/>
          <w:sz w:val="24"/>
          <w:szCs w:val="24"/>
        </w:rPr>
      </w:pPr>
      <w:r>
        <w:rPr>
          <w:rFonts w:hint="eastAsia" w:ascii="宋体" w:hAnsi="宋体"/>
          <w:sz w:val="24"/>
          <w:szCs w:val="24"/>
        </w:rPr>
        <w:t>八、开标结束后，进入评标环节。根据评标“先评技术标，再评商务标”的原则，比选人先仅将技术标书移交评标委员会,待技术标书评审完成后再移交商务标书。</w:t>
      </w:r>
    </w:p>
    <w:p>
      <w:pPr>
        <w:spacing w:line="360" w:lineRule="auto"/>
        <w:ind w:firstLine="482" w:firstLineChars="200"/>
        <w:rPr>
          <w:rFonts w:ascii="宋体" w:hAnsi="宋体"/>
          <w:b/>
          <w:sz w:val="24"/>
          <w:szCs w:val="24"/>
        </w:rPr>
      </w:pPr>
      <w:r>
        <w:rPr>
          <w:rFonts w:hint="eastAsia" w:ascii="宋体" w:hAnsi="宋体"/>
          <w:b/>
          <w:sz w:val="24"/>
          <w:szCs w:val="24"/>
        </w:rPr>
        <w:t>九、参选文件有下列情形之一的，比选人将不予受理：</w:t>
      </w:r>
    </w:p>
    <w:p>
      <w:pPr>
        <w:spacing w:line="360" w:lineRule="auto"/>
        <w:ind w:firstLine="480" w:firstLineChars="200"/>
        <w:rPr>
          <w:rFonts w:ascii="宋体" w:hAnsi="宋体"/>
          <w:b/>
          <w:sz w:val="24"/>
          <w:szCs w:val="24"/>
        </w:rPr>
      </w:pPr>
      <w:r>
        <w:rPr>
          <w:rFonts w:hint="eastAsia" w:ascii="宋体" w:hAnsi="宋体"/>
          <w:sz w:val="24"/>
          <w:szCs w:val="24"/>
        </w:rPr>
        <w:t>（1）参选文件在规定的参选截止时间以后送达的或者未送达指定地点的；</w:t>
      </w:r>
    </w:p>
    <w:p>
      <w:pPr>
        <w:spacing w:line="360" w:lineRule="auto"/>
        <w:ind w:firstLine="480" w:firstLineChars="200"/>
        <w:rPr>
          <w:rFonts w:ascii="宋体" w:hAnsi="宋体"/>
          <w:sz w:val="24"/>
          <w:szCs w:val="24"/>
        </w:rPr>
      </w:pPr>
      <w:r>
        <w:rPr>
          <w:rFonts w:hint="eastAsia" w:ascii="宋体" w:hAnsi="宋体"/>
          <w:sz w:val="24"/>
          <w:szCs w:val="24"/>
        </w:rPr>
        <w:t>（2）参选文件未按规定编制并加盖参选人公章的；</w:t>
      </w:r>
    </w:p>
    <w:p>
      <w:pPr>
        <w:widowControl/>
        <w:overflowPunct w:val="0"/>
        <w:autoSpaceDE w:val="0"/>
        <w:autoSpaceDN w:val="0"/>
        <w:adjustRightInd w:val="0"/>
        <w:snapToGrid w:val="0"/>
        <w:spacing w:line="360" w:lineRule="auto"/>
        <w:ind w:firstLine="482" w:firstLineChars="200"/>
        <w:textAlignment w:val="baseline"/>
        <w:rPr>
          <w:rFonts w:ascii="宋体" w:hAnsi="宋体"/>
          <w:b/>
          <w:sz w:val="24"/>
        </w:rPr>
      </w:pPr>
      <w:r>
        <w:rPr>
          <w:rFonts w:hint="eastAsia" w:ascii="宋体" w:hAnsi="宋体"/>
          <w:b/>
          <w:sz w:val="24"/>
        </w:rPr>
        <w:t>参选人如对比选文件及参选文件的编制有疑问，请主动及时地联系比选人。</w:t>
      </w:r>
    </w:p>
    <w:p>
      <w:pPr>
        <w:pStyle w:val="6"/>
        <w:spacing w:after="0" w:line="360" w:lineRule="auto"/>
        <w:rPr>
          <w:rFonts w:ascii="宋体" w:hAnsi="宋体" w:eastAsia="宋体"/>
          <w:b/>
        </w:rPr>
      </w:pPr>
      <w:bookmarkStart w:id="78" w:name="_Toc518494136"/>
      <w:bookmarkStart w:id="79" w:name="_Toc57731974"/>
      <w:r>
        <w:rPr>
          <w:rFonts w:hint="eastAsia" w:ascii="宋体" w:hAnsi="宋体" w:eastAsia="宋体"/>
          <w:b/>
        </w:rPr>
        <w:t>第八章 评标</w:t>
      </w:r>
      <w:bookmarkEnd w:id="78"/>
      <w:bookmarkEnd w:id="79"/>
    </w:p>
    <w:p>
      <w:pPr>
        <w:pStyle w:val="237"/>
        <w:spacing w:line="360" w:lineRule="auto"/>
        <w:ind w:firstLine="480" w:firstLineChars="200"/>
        <w:rPr>
          <w:rFonts w:ascii="宋体" w:hAnsi="宋体"/>
          <w:bCs/>
          <w:sz w:val="24"/>
          <w:szCs w:val="24"/>
        </w:rPr>
      </w:pPr>
      <w:bookmarkStart w:id="80" w:name="_Hlk77373757"/>
      <w:r>
        <w:rPr>
          <w:rFonts w:hint="eastAsia" w:ascii="宋体" w:hAnsi="宋体"/>
          <w:bCs/>
          <w:sz w:val="24"/>
          <w:szCs w:val="24"/>
        </w:rPr>
        <w:t>一、开标完成结束后，进入评标环节。评标委员会由比选人组建，采用“综合评估法”，先评技术标，再评商务标，满分为100分，其</w:t>
      </w:r>
      <w:r>
        <w:rPr>
          <w:rFonts w:hint="eastAsia" w:ascii="宋体" w:hAnsi="宋体"/>
          <w:bCs/>
          <w:sz w:val="24"/>
          <w:szCs w:val="24"/>
          <w:highlight w:val="none"/>
        </w:rPr>
        <w:t>中：技术标50分，商务标50分。评</w:t>
      </w:r>
      <w:r>
        <w:rPr>
          <w:rFonts w:hint="eastAsia" w:ascii="宋体" w:hAnsi="宋体"/>
          <w:bCs/>
          <w:sz w:val="24"/>
          <w:szCs w:val="24"/>
        </w:rPr>
        <w:t xml:space="preserve">标方法及评分标准详见附件《评标办法》。 </w:t>
      </w:r>
    </w:p>
    <w:p>
      <w:pPr>
        <w:spacing w:line="360" w:lineRule="auto"/>
        <w:ind w:firstLine="480" w:firstLineChars="200"/>
        <w:rPr>
          <w:rFonts w:ascii="宋体" w:hAnsi="宋体"/>
          <w:bCs/>
          <w:sz w:val="24"/>
          <w:szCs w:val="24"/>
        </w:rPr>
      </w:pPr>
      <w:r>
        <w:rPr>
          <w:rFonts w:hint="eastAsia" w:ascii="宋体" w:hAnsi="宋体"/>
          <w:bCs/>
          <w:sz w:val="24"/>
          <w:szCs w:val="24"/>
        </w:rPr>
        <w:t>二、评标</w:t>
      </w:r>
      <w:bookmarkEnd w:id="80"/>
    </w:p>
    <w:p>
      <w:pPr>
        <w:spacing w:line="360" w:lineRule="auto"/>
        <w:ind w:firstLine="480" w:firstLineChars="200"/>
        <w:rPr>
          <w:rFonts w:ascii="宋体" w:hAnsi="宋体"/>
          <w:bCs/>
          <w:sz w:val="24"/>
          <w:szCs w:val="24"/>
        </w:rPr>
      </w:pPr>
      <w:r>
        <w:rPr>
          <w:rFonts w:hint="eastAsia" w:ascii="宋体" w:hAnsi="宋体"/>
          <w:bCs/>
          <w:sz w:val="24"/>
          <w:szCs w:val="24"/>
        </w:rPr>
        <w:t>1.评标分2个阶段进行，先评技术标，再评商务标。</w:t>
      </w:r>
    </w:p>
    <w:p>
      <w:pPr>
        <w:ind w:firstLine="482"/>
        <w:rPr>
          <w:rFonts w:ascii="宋体" w:hAnsi="宋体"/>
          <w:bCs/>
          <w:sz w:val="24"/>
          <w:szCs w:val="24"/>
        </w:rPr>
      </w:pPr>
      <w:r>
        <w:rPr>
          <w:rFonts w:hint="eastAsia" w:ascii="宋体" w:hAnsi="宋体"/>
          <w:b/>
          <w:sz w:val="24"/>
          <w:szCs w:val="24"/>
        </w:rPr>
        <w:t>技术标评审</w:t>
      </w:r>
      <w:r>
        <w:rPr>
          <w:rFonts w:hint="eastAsia" w:ascii="宋体" w:hAnsi="宋体"/>
          <w:bCs/>
          <w:sz w:val="24"/>
          <w:szCs w:val="24"/>
        </w:rPr>
        <w:t>：</w:t>
      </w:r>
    </w:p>
    <w:p>
      <w:pPr>
        <w:spacing w:line="360" w:lineRule="auto"/>
        <w:ind w:firstLine="420" w:firstLineChars="175"/>
        <w:rPr>
          <w:rFonts w:ascii="宋体" w:hAnsi="宋体"/>
          <w:bCs/>
          <w:sz w:val="24"/>
          <w:szCs w:val="24"/>
        </w:rPr>
      </w:pPr>
      <w:r>
        <w:rPr>
          <w:rFonts w:hint="eastAsia" w:ascii="宋体" w:hAnsi="宋体"/>
          <w:bCs/>
          <w:sz w:val="24"/>
          <w:szCs w:val="24"/>
        </w:rPr>
        <w:t>（1）第一阶段，先将所有合格参选文件的技术标书移交至评标委员会，评标委员会对参选文件的技术标书进行初步评审（有效性审查），只有通过初步评审的技术标书才有资格进入下一步的详细评审。</w:t>
      </w:r>
    </w:p>
    <w:p>
      <w:pPr>
        <w:spacing w:line="360" w:lineRule="auto"/>
        <w:ind w:firstLine="480" w:firstLineChars="200"/>
        <w:rPr>
          <w:rFonts w:ascii="宋体" w:hAnsi="宋体"/>
          <w:bCs/>
          <w:sz w:val="24"/>
          <w:szCs w:val="24"/>
        </w:rPr>
      </w:pPr>
      <w:r>
        <w:rPr>
          <w:rFonts w:hint="eastAsia" w:ascii="宋体" w:hAnsi="宋体"/>
          <w:bCs/>
          <w:sz w:val="24"/>
          <w:szCs w:val="24"/>
        </w:rPr>
        <w:t>（2）评标委员会否决无效标或者界定为废标后，有效参选人不足3家的，比选人宣布本次比选失败，重新组织比选。</w:t>
      </w:r>
    </w:p>
    <w:p>
      <w:pPr>
        <w:spacing w:line="360" w:lineRule="auto"/>
        <w:ind w:firstLine="480" w:firstLineChars="200"/>
        <w:rPr>
          <w:rFonts w:ascii="宋体" w:hAnsi="宋体"/>
          <w:bCs/>
          <w:sz w:val="24"/>
          <w:szCs w:val="24"/>
        </w:rPr>
      </w:pPr>
      <w:r>
        <w:rPr>
          <w:rFonts w:hint="eastAsia" w:ascii="宋体" w:hAnsi="宋体"/>
          <w:bCs/>
          <w:sz w:val="24"/>
          <w:szCs w:val="24"/>
        </w:rPr>
        <w:t>（3）评标委员会按照评审标准对合格参选文件的技术标进行详细评审（详见评审附表），评审完成后，评审分数不得再更改。经评审后，进入下一阶段商务标的评审。</w:t>
      </w:r>
    </w:p>
    <w:p>
      <w:pPr>
        <w:spacing w:line="360" w:lineRule="auto"/>
        <w:ind w:firstLine="482"/>
        <w:rPr>
          <w:rFonts w:ascii="宋体" w:hAnsi="宋体"/>
          <w:b/>
          <w:sz w:val="24"/>
          <w:szCs w:val="24"/>
        </w:rPr>
      </w:pPr>
      <w:r>
        <w:rPr>
          <w:rFonts w:hint="eastAsia" w:ascii="宋体" w:hAnsi="宋体"/>
          <w:b/>
          <w:sz w:val="24"/>
          <w:szCs w:val="24"/>
        </w:rPr>
        <w:t>商务标评审：</w:t>
      </w:r>
    </w:p>
    <w:p>
      <w:pPr>
        <w:spacing w:line="360" w:lineRule="auto"/>
        <w:ind w:firstLine="420" w:firstLineChars="175"/>
        <w:rPr>
          <w:rFonts w:ascii="宋体" w:hAnsi="宋体"/>
          <w:bCs/>
          <w:sz w:val="24"/>
          <w:szCs w:val="24"/>
        </w:rPr>
      </w:pPr>
      <w:r>
        <w:rPr>
          <w:rFonts w:hint="eastAsia" w:ascii="宋体" w:hAnsi="宋体"/>
          <w:bCs/>
          <w:sz w:val="24"/>
          <w:szCs w:val="24"/>
        </w:rPr>
        <w:t>（1）第二阶段，技术标评审完成后，进入下一阶段商务标的评审。开标工作人员将商务标书移交评标委员会，评标委员会对商务标部分进行初步评审（有效性审查），只有通过初步评审的商务标文件才有资格进入下一步的详细评审。</w:t>
      </w:r>
    </w:p>
    <w:p>
      <w:pPr>
        <w:spacing w:line="360" w:lineRule="auto"/>
        <w:ind w:firstLine="420" w:firstLineChars="175"/>
        <w:rPr>
          <w:rFonts w:ascii="宋体" w:hAnsi="宋体"/>
          <w:bCs/>
          <w:sz w:val="24"/>
          <w:szCs w:val="24"/>
        </w:rPr>
      </w:pPr>
      <w:r>
        <w:rPr>
          <w:rFonts w:hint="eastAsia" w:ascii="宋体" w:hAnsi="宋体"/>
          <w:bCs/>
          <w:sz w:val="24"/>
          <w:szCs w:val="24"/>
        </w:rPr>
        <w:t>（2）经商务标初步审查，评标委员会作出无效标或者废标处理，致进入商务标详细评审环节的有效参选人不足3家，比选人宣布本次比选失败，重新组织比选。</w:t>
      </w:r>
    </w:p>
    <w:p>
      <w:pPr>
        <w:spacing w:line="360" w:lineRule="auto"/>
        <w:ind w:left="420" w:leftChars="200"/>
        <w:rPr>
          <w:rFonts w:ascii="宋体" w:hAnsi="宋体"/>
          <w:bCs/>
          <w:sz w:val="24"/>
          <w:szCs w:val="24"/>
        </w:rPr>
      </w:pPr>
      <w:r>
        <w:rPr>
          <w:rFonts w:hint="eastAsia" w:ascii="宋体" w:hAnsi="宋体"/>
          <w:bCs/>
          <w:sz w:val="24"/>
          <w:szCs w:val="24"/>
        </w:rPr>
        <w:t>（3）以参选人所报服务费总价作为商务标评审依据。</w:t>
      </w:r>
    </w:p>
    <w:p>
      <w:pPr>
        <w:spacing w:line="360" w:lineRule="auto"/>
        <w:ind w:left="420" w:leftChars="200"/>
        <w:rPr>
          <w:rFonts w:ascii="宋体" w:hAnsi="宋体"/>
          <w:bCs/>
          <w:sz w:val="24"/>
          <w:szCs w:val="24"/>
        </w:rPr>
      </w:pPr>
      <w:r>
        <w:rPr>
          <w:rFonts w:hint="eastAsia" w:ascii="宋体" w:hAnsi="宋体"/>
          <w:bCs/>
          <w:sz w:val="24"/>
          <w:szCs w:val="24"/>
        </w:rPr>
        <w:t>（4）参选人的参选报价中如出现算术错误，将按以下方法进行调整：</w:t>
      </w:r>
    </w:p>
    <w:p>
      <w:pPr>
        <w:spacing w:line="360" w:lineRule="auto"/>
        <w:ind w:left="420" w:leftChars="200"/>
        <w:rPr>
          <w:rFonts w:ascii="宋体" w:hAnsi="宋体"/>
          <w:bCs/>
          <w:sz w:val="24"/>
          <w:szCs w:val="24"/>
        </w:rPr>
      </w:pPr>
      <w:r>
        <w:rPr>
          <w:rFonts w:ascii="Calibri" w:hAnsi="Calibri" w:cs="Calibri"/>
          <w:bCs/>
          <w:sz w:val="24"/>
          <w:szCs w:val="24"/>
        </w:rPr>
        <w:t>①</w:t>
      </w:r>
      <w:r>
        <w:rPr>
          <w:rFonts w:hint="eastAsia" w:ascii="宋体" w:hAnsi="宋体"/>
          <w:bCs/>
          <w:sz w:val="24"/>
          <w:szCs w:val="24"/>
        </w:rPr>
        <w:t>参选文件中大写金额与小写金额不一致的，以金额低的为准；</w:t>
      </w:r>
    </w:p>
    <w:p>
      <w:pPr>
        <w:spacing w:line="360" w:lineRule="auto"/>
        <w:ind w:left="420" w:leftChars="200"/>
        <w:rPr>
          <w:rFonts w:ascii="宋体" w:hAnsi="宋体"/>
          <w:bCs/>
          <w:sz w:val="24"/>
          <w:szCs w:val="24"/>
        </w:rPr>
      </w:pPr>
      <w:r>
        <w:rPr>
          <w:rFonts w:ascii="Calibri" w:hAnsi="Calibri" w:cs="Calibri"/>
          <w:bCs/>
          <w:sz w:val="24"/>
          <w:szCs w:val="24"/>
        </w:rPr>
        <w:t>②</w:t>
      </w:r>
      <w:r>
        <w:rPr>
          <w:rFonts w:hint="eastAsia" w:ascii="宋体" w:hAnsi="宋体"/>
          <w:bCs/>
          <w:sz w:val="24"/>
          <w:szCs w:val="24"/>
        </w:rPr>
        <w:t>总价金额与按单价计算的总金额不一致的，以单价计算的总金额为准。除非单价有明显的小数点错误，此时应以合价金额为准，调整单价。</w:t>
      </w:r>
    </w:p>
    <w:p>
      <w:pPr>
        <w:spacing w:line="360" w:lineRule="auto"/>
        <w:ind w:firstLine="480" w:firstLineChars="200"/>
        <w:rPr>
          <w:rFonts w:ascii="宋体" w:hAnsi="宋体"/>
          <w:bCs/>
          <w:sz w:val="24"/>
          <w:szCs w:val="24"/>
        </w:rPr>
      </w:pPr>
      <w:r>
        <w:rPr>
          <w:rFonts w:hint="eastAsia" w:ascii="宋体" w:hAnsi="宋体"/>
          <w:bCs/>
          <w:sz w:val="24"/>
          <w:szCs w:val="24"/>
        </w:rPr>
        <w:t>按照本规定的调整方法确定的调整后报价，须取得参选人同意并书面签字确认。如果参选人拒不接受调整方法以及调整后的报价的，其参选将被拒绝。</w:t>
      </w:r>
    </w:p>
    <w:p>
      <w:pPr>
        <w:spacing w:line="360" w:lineRule="auto"/>
        <w:ind w:firstLine="480" w:firstLineChars="200"/>
        <w:rPr>
          <w:rFonts w:ascii="宋体" w:hAnsi="宋体"/>
          <w:bCs/>
          <w:sz w:val="24"/>
          <w:szCs w:val="24"/>
        </w:rPr>
      </w:pPr>
      <w:r>
        <w:rPr>
          <w:rFonts w:hint="eastAsia" w:ascii="宋体" w:hAnsi="宋体"/>
          <w:bCs/>
          <w:sz w:val="24"/>
          <w:szCs w:val="24"/>
        </w:rPr>
        <w:t>中选人的参选报价是按照本节规定进行了调整的，其中选价按就低不就高的原则确定。如果参选人拒不接受的，其参选将被拒绝。</w:t>
      </w:r>
    </w:p>
    <w:p>
      <w:pPr>
        <w:spacing w:line="360" w:lineRule="auto"/>
        <w:ind w:firstLine="480" w:firstLineChars="200"/>
        <w:rPr>
          <w:rFonts w:ascii="宋体" w:hAnsi="宋体"/>
          <w:bCs/>
          <w:sz w:val="24"/>
          <w:szCs w:val="24"/>
        </w:rPr>
      </w:pPr>
      <w:r>
        <w:rPr>
          <w:rFonts w:hint="eastAsia" w:ascii="宋体" w:hAnsi="宋体"/>
          <w:bCs/>
          <w:sz w:val="24"/>
          <w:szCs w:val="24"/>
        </w:rPr>
        <w:t>参选人的参选报价的总价小于调整后的报价，中标价即为投标人的参选报价的总价；参选报价的总价大于调整后的报价，中选价仍为参选人的参选报价的总价，调整后的报价与参选报价的总价之间的差值部分则计入暂列金额。</w:t>
      </w:r>
    </w:p>
    <w:p>
      <w:pPr>
        <w:spacing w:line="360" w:lineRule="auto"/>
        <w:ind w:left="420" w:leftChars="200"/>
        <w:rPr>
          <w:rFonts w:ascii="宋体" w:hAnsi="宋体"/>
          <w:bCs/>
          <w:sz w:val="24"/>
          <w:szCs w:val="24"/>
        </w:rPr>
      </w:pPr>
      <w:r>
        <w:rPr>
          <w:rFonts w:hint="eastAsia" w:ascii="宋体" w:hAnsi="宋体"/>
          <w:bCs/>
          <w:sz w:val="24"/>
          <w:szCs w:val="24"/>
        </w:rPr>
        <w:t>（5）商务标初步审查后，评标委员会按照商务标计算公式，完成商务标分数计算。</w:t>
      </w:r>
    </w:p>
    <w:p>
      <w:pPr>
        <w:spacing w:line="360" w:lineRule="auto"/>
        <w:ind w:left="420" w:leftChars="200"/>
        <w:rPr>
          <w:rFonts w:ascii="宋体" w:hAnsi="宋体"/>
          <w:bCs/>
          <w:sz w:val="24"/>
          <w:szCs w:val="24"/>
          <w:highlight w:val="none"/>
        </w:rPr>
      </w:pPr>
      <w:r>
        <w:rPr>
          <w:rFonts w:hint="eastAsia" w:ascii="宋体" w:hAnsi="宋体"/>
          <w:bCs/>
          <w:sz w:val="24"/>
          <w:szCs w:val="24"/>
        </w:rPr>
        <w:t>（6）若各参选人的报价，如出现税率不一致的情况，则以不含税总价作为参选人的报价进行商务标分数计算；若税率一致，则以含税总价作为参选人的报价进行商务标分数计算。</w:t>
      </w:r>
    </w:p>
    <w:p>
      <w:pPr>
        <w:spacing w:line="360" w:lineRule="auto"/>
        <w:ind w:left="420" w:leftChars="200"/>
        <w:rPr>
          <w:rFonts w:ascii="宋体" w:hAnsi="宋体"/>
          <w:bCs/>
          <w:sz w:val="24"/>
          <w:szCs w:val="24"/>
        </w:rPr>
      </w:pPr>
      <w:r>
        <w:rPr>
          <w:rFonts w:hint="eastAsia" w:ascii="宋体" w:hAnsi="宋体"/>
          <w:bCs/>
          <w:sz w:val="24"/>
          <w:szCs w:val="24"/>
          <w:highlight w:val="none"/>
        </w:rPr>
        <w:t>（7）其他情况均按照价格审核计算后，以不</w:t>
      </w:r>
      <w:r>
        <w:rPr>
          <w:rFonts w:hint="eastAsia" w:ascii="宋体" w:hAnsi="宋体"/>
          <w:bCs/>
          <w:sz w:val="24"/>
          <w:szCs w:val="24"/>
        </w:rPr>
        <w:t>利于参选人的原则予以调整。</w:t>
      </w:r>
    </w:p>
    <w:p>
      <w:pPr>
        <w:pStyle w:val="141"/>
        <w:tabs>
          <w:tab w:val="left" w:pos="993"/>
        </w:tabs>
        <w:spacing w:line="360" w:lineRule="auto"/>
        <w:ind w:firstLine="480"/>
        <w:rPr>
          <w:rFonts w:ascii="宋体" w:hAnsi="宋体"/>
          <w:bCs/>
          <w:sz w:val="24"/>
          <w:szCs w:val="24"/>
        </w:rPr>
      </w:pPr>
      <w:r>
        <w:rPr>
          <w:rFonts w:hint="eastAsia" w:ascii="宋体" w:hAnsi="宋体"/>
          <w:bCs/>
          <w:sz w:val="24"/>
          <w:szCs w:val="24"/>
        </w:rPr>
        <w:t>2.汇总完成后，评委按照参选人的最终得分值由高到低排列名次。若最终得分相同的，以技术标得分高者排在先；若技术标得分相同的（以保留小数点后两位且四舍五入为准），以商务标报价低者排在先；若报价相同的，以抽签的形式确定中选候选人。最终，评委推荐一名中选候选人。</w:t>
      </w:r>
    </w:p>
    <w:p>
      <w:pPr>
        <w:pStyle w:val="6"/>
        <w:spacing w:after="0" w:line="360" w:lineRule="auto"/>
        <w:rPr>
          <w:rFonts w:ascii="宋体" w:hAnsi="宋体" w:eastAsia="宋体"/>
          <w:b/>
        </w:rPr>
      </w:pPr>
      <w:bookmarkStart w:id="81" w:name="_Toc197404913"/>
      <w:bookmarkStart w:id="82" w:name="_Toc388259588"/>
      <w:bookmarkStart w:id="83" w:name="_Toc290560899"/>
      <w:bookmarkStart w:id="84" w:name="_Toc57731975"/>
      <w:bookmarkStart w:id="85" w:name="_Toc434234592"/>
      <w:bookmarkStart w:id="86" w:name="_Toc518494137"/>
      <w:r>
        <w:rPr>
          <w:rFonts w:hint="eastAsia" w:ascii="宋体" w:hAnsi="宋体" w:eastAsia="宋体"/>
          <w:b/>
        </w:rPr>
        <w:t>第九章  确定中选人</w:t>
      </w:r>
      <w:bookmarkEnd w:id="81"/>
      <w:bookmarkEnd w:id="82"/>
      <w:bookmarkEnd w:id="83"/>
      <w:bookmarkEnd w:id="84"/>
      <w:bookmarkEnd w:id="85"/>
      <w:bookmarkEnd w:id="86"/>
    </w:p>
    <w:p>
      <w:pPr>
        <w:pStyle w:val="25"/>
        <w:adjustRightInd/>
        <w:snapToGrid w:val="0"/>
        <w:spacing w:line="360" w:lineRule="auto"/>
        <w:ind w:firstLine="480" w:firstLineChars="200"/>
        <w:rPr>
          <w:rFonts w:hAnsi="宋体"/>
          <w:bCs/>
          <w:sz w:val="24"/>
          <w:szCs w:val="22"/>
        </w:rPr>
      </w:pPr>
      <w:r>
        <w:rPr>
          <w:rFonts w:hint="eastAsia" w:hAnsi="宋体"/>
          <w:bCs/>
          <w:sz w:val="24"/>
        </w:rPr>
        <w:t>一、比选人根据评标委员会提出的书面评标报告，在对推荐的中选候选人的参选文件进行审核后，确定中选人。</w:t>
      </w:r>
    </w:p>
    <w:p>
      <w:pPr>
        <w:pStyle w:val="25"/>
        <w:adjustRightInd/>
        <w:snapToGrid w:val="0"/>
        <w:spacing w:line="360" w:lineRule="auto"/>
        <w:ind w:firstLine="480" w:firstLineChars="200"/>
        <w:rPr>
          <w:rFonts w:hAnsi="宋体"/>
          <w:bCs/>
          <w:sz w:val="24"/>
        </w:rPr>
      </w:pPr>
      <w:r>
        <w:rPr>
          <w:rFonts w:hint="eastAsia" w:hAnsi="宋体"/>
          <w:bCs/>
          <w:sz w:val="24"/>
        </w:rPr>
        <w:t>二、比选人在发出中选通知书前的任何时候，有权依据评标委员会的评标报告接受或拒绝任何参选，而且比选人不承担因此产生的任何责任，也无须将这样做的理由通知参选人。</w:t>
      </w:r>
    </w:p>
    <w:p>
      <w:pPr>
        <w:pStyle w:val="25"/>
        <w:adjustRightInd/>
        <w:snapToGrid w:val="0"/>
        <w:spacing w:line="360" w:lineRule="auto"/>
        <w:ind w:firstLine="480" w:firstLineChars="200"/>
        <w:rPr>
          <w:rFonts w:hAnsi="宋体"/>
          <w:bCs/>
          <w:sz w:val="24"/>
        </w:rPr>
      </w:pPr>
      <w:r>
        <w:rPr>
          <w:rFonts w:hint="eastAsia" w:hAnsi="宋体"/>
          <w:bCs/>
          <w:sz w:val="24"/>
        </w:rPr>
        <w:t>三、在参选有效期内，比选人将中选结果在“深圳地铁官网”、“国资委阳光采购平台”、“深铁招采网”公示，公示</w:t>
      </w:r>
      <w:r>
        <w:rPr>
          <w:rFonts w:hint="eastAsia" w:hAnsi="宋体"/>
          <w:b/>
          <w:bCs/>
          <w:sz w:val="24"/>
          <w:u w:val="single"/>
        </w:rPr>
        <w:t>3个工作日</w:t>
      </w:r>
      <w:r>
        <w:rPr>
          <w:rFonts w:hint="eastAsia" w:hAnsi="宋体"/>
          <w:bCs/>
          <w:sz w:val="24"/>
        </w:rPr>
        <w:t>无异议的，比选人将向中选候选人发出中选通知书。</w:t>
      </w:r>
    </w:p>
    <w:p>
      <w:pPr>
        <w:pStyle w:val="6"/>
        <w:spacing w:after="0" w:line="360" w:lineRule="auto"/>
        <w:rPr>
          <w:rFonts w:ascii="宋体" w:hAnsi="宋体" w:eastAsia="宋体"/>
          <w:b/>
        </w:rPr>
      </w:pPr>
      <w:bookmarkStart w:id="87" w:name="_Toc518494138"/>
      <w:bookmarkStart w:id="88" w:name="_Toc57731976"/>
      <w:r>
        <w:rPr>
          <w:rFonts w:hint="eastAsia" w:ascii="宋体" w:hAnsi="宋体" w:eastAsia="宋体"/>
          <w:b/>
        </w:rPr>
        <w:t>第十章  合同的授予</w:t>
      </w:r>
      <w:bookmarkEnd w:id="87"/>
      <w:bookmarkEnd w:id="88"/>
    </w:p>
    <w:p>
      <w:pPr>
        <w:pStyle w:val="3"/>
        <w:tabs>
          <w:tab w:val="left" w:pos="1050"/>
        </w:tabs>
        <w:spacing w:line="360" w:lineRule="auto"/>
        <w:ind w:left="0" w:leftChars="0" w:firstLine="480" w:firstLineChars="200"/>
        <w:rPr>
          <w:rFonts w:ascii="宋体" w:hAnsi="宋体"/>
          <w:sz w:val="24"/>
        </w:rPr>
      </w:pPr>
      <w:r>
        <w:rPr>
          <w:rFonts w:hint="eastAsia" w:ascii="宋体" w:hAnsi="宋体"/>
          <w:sz w:val="24"/>
        </w:rPr>
        <w:t>一、比选人与中选人将于中选通知书发出之日起3</w:t>
      </w:r>
      <w:r>
        <w:rPr>
          <w:rFonts w:hint="eastAsia" w:ascii="宋体" w:hAnsi="宋体"/>
          <w:b/>
          <w:bCs/>
          <w:sz w:val="24"/>
        </w:rPr>
        <w:t>0日</w:t>
      </w:r>
      <w:r>
        <w:rPr>
          <w:rFonts w:hint="eastAsia" w:ascii="宋体" w:hAnsi="宋体"/>
          <w:sz w:val="24"/>
        </w:rPr>
        <w:t>内，根据比选文件和中选人的参选文件签订合同。</w:t>
      </w:r>
    </w:p>
    <w:p>
      <w:pPr>
        <w:pStyle w:val="3"/>
        <w:tabs>
          <w:tab w:val="left" w:pos="1050"/>
        </w:tabs>
        <w:spacing w:line="360" w:lineRule="auto"/>
        <w:ind w:left="0" w:leftChars="0" w:firstLine="480" w:firstLineChars="200"/>
        <w:rPr>
          <w:rFonts w:ascii="宋体" w:hAnsi="宋体"/>
          <w:sz w:val="24"/>
        </w:rPr>
      </w:pPr>
      <w:r>
        <w:rPr>
          <w:rFonts w:hint="eastAsia" w:ascii="宋体" w:hAnsi="宋体"/>
          <w:sz w:val="24"/>
        </w:rPr>
        <w:t>二、比选人与中选人签订的合同必须遵守本比选文件的合同条件，并且对合同条款不做实质性更改。</w:t>
      </w:r>
    </w:p>
    <w:p>
      <w:pPr>
        <w:pStyle w:val="3"/>
        <w:tabs>
          <w:tab w:val="left" w:pos="1050"/>
        </w:tabs>
        <w:spacing w:line="360" w:lineRule="auto"/>
        <w:ind w:left="0" w:leftChars="0" w:firstLine="480" w:firstLineChars="200"/>
        <w:rPr>
          <w:rFonts w:ascii="宋体" w:hAnsi="宋体"/>
          <w:sz w:val="24"/>
        </w:rPr>
      </w:pPr>
      <w:r>
        <w:rPr>
          <w:rFonts w:hint="eastAsia" w:ascii="宋体" w:hAnsi="宋体"/>
          <w:sz w:val="24"/>
        </w:rPr>
        <w:t>三、中选人如不按规定与比选人签订合同，则比选人将有充分的理由废除中选，保留要求乙方赔偿损失、承担相应法律责任的权力。比选人可以按评标委员会提出的中选候选人名单排名，依次重新确定中选人候选人。依次确定其他中选候选人与比选人的预期差距较大的，或者对比选人明显不利的，比选人可以重新比选。</w:t>
      </w:r>
    </w:p>
    <w:p>
      <w:pPr>
        <w:spacing w:line="360" w:lineRule="auto"/>
        <w:ind w:firstLine="480" w:firstLineChars="200"/>
        <w:rPr>
          <w:rFonts w:ascii="宋体" w:hAnsi="宋体"/>
          <w:color w:val="0D0D0D"/>
          <w:sz w:val="24"/>
          <w:szCs w:val="24"/>
        </w:rPr>
      </w:pPr>
      <w:r>
        <w:rPr>
          <w:rFonts w:hint="eastAsia" w:ascii="宋体" w:hAnsi="宋体"/>
          <w:color w:val="0D0D0D" w:themeColor="text1" w:themeTint="F2"/>
          <w:sz w:val="24"/>
          <w14:textFill>
            <w14:solidFill>
              <w14:schemeClr w14:val="tx1">
                <w14:lumMod w14:val="95000"/>
                <w14:lumOff w14:val="5000"/>
              </w14:schemeClr>
            </w14:solidFill>
          </w14:textFill>
        </w:rPr>
        <w:t>四</w:t>
      </w:r>
      <w:r>
        <w:rPr>
          <w:rFonts w:ascii="宋体" w:hAnsi="宋体"/>
          <w:color w:val="0D0D0D" w:themeColor="text1" w:themeTint="F2"/>
          <w:sz w:val="24"/>
          <w14:textFill>
            <w14:solidFill>
              <w14:schemeClr w14:val="tx1">
                <w14:lumMod w14:val="95000"/>
                <w14:lumOff w14:val="5000"/>
              </w14:schemeClr>
            </w14:solidFill>
          </w14:textFill>
        </w:rPr>
        <w:t>、</w:t>
      </w:r>
      <w:bookmarkEnd w:id="61"/>
      <w:bookmarkEnd w:id="62"/>
      <w:bookmarkStart w:id="89" w:name="_Toc399494429"/>
      <w:bookmarkStart w:id="90" w:name="_Toc57731977"/>
      <w:bookmarkStart w:id="91" w:name="_Toc518494139"/>
      <w:bookmarkStart w:id="92" w:name="_Toc197404912"/>
      <w:r>
        <w:rPr>
          <w:rFonts w:hint="eastAsia" w:ascii="宋体" w:hAnsi="宋体" w:cs="宋体"/>
          <w:sz w:val="24"/>
          <w:szCs w:val="24"/>
          <w:lang w:eastAsia="zh-Hans"/>
        </w:rPr>
        <w:t>签约主体</w:t>
      </w:r>
      <w:r>
        <w:rPr>
          <w:rFonts w:hint="eastAsia" w:ascii="宋体" w:hAnsi="宋体"/>
          <w:color w:val="0D0D0D"/>
          <w:sz w:val="24"/>
          <w:szCs w:val="24"/>
        </w:rPr>
        <w:t>：深圳置业集团有限公司</w:t>
      </w:r>
    </w:p>
    <w:p>
      <w:pPr>
        <w:pStyle w:val="237"/>
        <w:adjustRightInd w:val="0"/>
        <w:snapToGrid w:val="0"/>
        <w:spacing w:line="560" w:lineRule="exact"/>
        <w:ind w:firstLine="640" w:firstLineChars="0"/>
        <w:rPr>
          <w:rFonts w:hint="eastAsia" w:ascii="Times New Roman" w:hAnsi="宋体" w:eastAsia="宋体" w:cs="Times New Roman"/>
          <w:bCs/>
          <w:color w:val="0D0D0D"/>
          <w:sz w:val="24"/>
          <w:szCs w:val="22"/>
          <w:lang w:val="en-US" w:eastAsia="zh-CN"/>
        </w:rPr>
      </w:pPr>
      <w:r>
        <w:rPr>
          <w:rFonts w:hint="eastAsia" w:hAnsi="宋体"/>
          <w:bCs/>
          <w:color w:val="0D0D0D"/>
          <w:sz w:val="24"/>
          <w:szCs w:val="22"/>
        </w:rPr>
        <w:t>本次昂鹅等</w:t>
      </w:r>
      <w:r>
        <w:rPr>
          <w:rFonts w:hint="eastAsia" w:hAnsi="宋体"/>
          <w:bCs/>
          <w:color w:val="0D0D0D"/>
          <w:sz w:val="24"/>
          <w:szCs w:val="22"/>
          <w:lang w:val="en-US" w:eastAsia="zh-CN"/>
        </w:rPr>
        <w:t>十五</w:t>
      </w:r>
      <w:r>
        <w:rPr>
          <w:rFonts w:hint="eastAsia" w:hAnsi="宋体"/>
          <w:bCs/>
          <w:color w:val="0D0D0D"/>
          <w:sz w:val="24"/>
          <w:szCs w:val="22"/>
        </w:rPr>
        <w:t>个新项目税务咨询服务统一以深圳地铁置业集团有限公司作为比选人开展招采工作</w:t>
      </w:r>
      <w:r>
        <w:rPr>
          <w:rFonts w:hint="eastAsia" w:hAnsi="宋体"/>
          <w:bCs/>
          <w:color w:val="0D0D0D"/>
          <w:sz w:val="24"/>
          <w:szCs w:val="22"/>
          <w:lang w:eastAsia="zh-CN"/>
        </w:rPr>
        <w:t>。</w:t>
      </w:r>
      <w:r>
        <w:rPr>
          <w:rFonts w:hint="eastAsia" w:ascii="Times New Roman" w:hAnsi="宋体" w:eastAsia="宋体" w:cs="Times New Roman"/>
          <w:bCs/>
          <w:color w:val="0D0D0D"/>
          <w:sz w:val="24"/>
          <w:szCs w:val="22"/>
        </w:rPr>
        <w:t>后续</w:t>
      </w:r>
      <w:r>
        <w:rPr>
          <w:rFonts w:hint="eastAsia" w:ascii="Times New Roman" w:hAnsi="宋体" w:eastAsia="宋体" w:cs="Times New Roman"/>
          <w:bCs/>
          <w:color w:val="0D0D0D"/>
          <w:sz w:val="24"/>
          <w:szCs w:val="22"/>
          <w:lang w:val="en-US" w:eastAsia="zh-CN"/>
        </w:rPr>
        <w:t>已确定项目开发主体的项目，由</w:t>
      </w:r>
      <w:r>
        <w:rPr>
          <w:rFonts w:hint="eastAsia" w:ascii="Times New Roman" w:hAnsi="宋体" w:eastAsia="宋体" w:cs="Times New Roman"/>
          <w:bCs/>
          <w:color w:val="0D0D0D"/>
          <w:sz w:val="24"/>
          <w:szCs w:val="22"/>
        </w:rPr>
        <w:t>中选人与实际项目开发主体签订合同</w:t>
      </w:r>
      <w:r>
        <w:rPr>
          <w:rFonts w:hint="eastAsia" w:ascii="Times New Roman" w:hAnsi="宋体" w:cs="Times New Roman"/>
          <w:bCs/>
          <w:color w:val="0D0D0D"/>
          <w:sz w:val="24"/>
          <w:szCs w:val="22"/>
          <w:lang w:eastAsia="zh-CN"/>
        </w:rPr>
        <w:t>（</w:t>
      </w:r>
      <w:r>
        <w:rPr>
          <w:rFonts w:hint="eastAsia" w:ascii="Times New Roman" w:hAnsi="宋体" w:eastAsia="宋体" w:cs="Times New Roman"/>
          <w:bCs/>
          <w:color w:val="0D0D0D"/>
          <w:sz w:val="24"/>
          <w:szCs w:val="22"/>
        </w:rPr>
        <w:t>其中：</w:t>
      </w:r>
      <w:r>
        <w:rPr>
          <w:rFonts w:hint="eastAsia" w:ascii="Times New Roman" w:hAnsi="宋体" w:eastAsia="宋体" w:cs="Times New Roman"/>
          <w:bCs/>
          <w:color w:val="0D0D0D"/>
          <w:kern w:val="2"/>
          <w:sz w:val="24"/>
          <w:szCs w:val="22"/>
          <w:lang w:bidi="ar"/>
        </w:rPr>
        <w:t>昂鹅车辆段一期二期</w:t>
      </w:r>
      <w:r>
        <w:rPr>
          <w:rFonts w:hint="eastAsia" w:hAnsi="宋体" w:cs="Times New Roman"/>
          <w:bCs/>
          <w:color w:val="0D0D0D"/>
          <w:kern w:val="2"/>
          <w:sz w:val="24"/>
          <w:szCs w:val="22"/>
          <w:lang w:eastAsia="zh-CN" w:bidi="ar"/>
        </w:rPr>
        <w:t>、</w:t>
      </w:r>
      <w:r>
        <w:rPr>
          <w:rFonts w:hint="eastAsia" w:ascii="Times New Roman" w:hAnsi="宋体" w:eastAsia="宋体" w:cs="Times New Roman"/>
          <w:bCs/>
          <w:color w:val="0D0D0D"/>
          <w:kern w:val="2"/>
          <w:sz w:val="24"/>
          <w:szCs w:val="22"/>
          <w:lang w:bidi="ar"/>
        </w:rPr>
        <w:t>平湖枢纽交通核项目</w:t>
      </w:r>
      <w:r>
        <w:rPr>
          <w:rFonts w:hint="eastAsia" w:ascii="Times New Roman" w:hAnsi="宋体" w:eastAsia="宋体" w:cs="Times New Roman"/>
          <w:bCs/>
          <w:color w:val="0D0D0D"/>
          <w:kern w:val="2"/>
          <w:sz w:val="24"/>
          <w:szCs w:val="22"/>
          <w:lang w:eastAsia="zh-CN" w:bidi="ar"/>
        </w:rPr>
        <w:t>的</w:t>
      </w:r>
      <w:r>
        <w:rPr>
          <w:rFonts w:hint="eastAsia" w:ascii="Times New Roman" w:hAnsi="宋体" w:eastAsia="宋体" w:cs="Times New Roman"/>
          <w:bCs/>
          <w:color w:val="0D0D0D"/>
          <w:kern w:val="2"/>
          <w:sz w:val="24"/>
          <w:szCs w:val="22"/>
          <w:lang w:val="en-US" w:eastAsia="zh-CN" w:bidi="ar"/>
        </w:rPr>
        <w:t>签约主体是</w:t>
      </w:r>
      <w:r>
        <w:rPr>
          <w:rFonts w:hint="eastAsia" w:ascii="Times New Roman" w:hAnsi="宋体" w:eastAsia="宋体" w:cs="Times New Roman"/>
          <w:bCs/>
          <w:color w:val="0D0D0D"/>
          <w:sz w:val="24"/>
          <w:szCs w:val="22"/>
        </w:rPr>
        <w:t>深圳市地铁集团有限公司</w:t>
      </w:r>
      <w:r>
        <w:rPr>
          <w:rFonts w:hint="eastAsia" w:ascii="Times New Roman" w:hAnsi="宋体" w:cs="Times New Roman"/>
          <w:bCs/>
          <w:color w:val="0D0D0D"/>
          <w:sz w:val="24"/>
          <w:szCs w:val="22"/>
          <w:lang w:eastAsia="zh-CN"/>
        </w:rPr>
        <w:t>，</w:t>
      </w:r>
      <w:r>
        <w:rPr>
          <w:rFonts w:hint="eastAsia" w:ascii="Times New Roman" w:hAnsi="宋体" w:eastAsia="宋体" w:cs="Times New Roman"/>
          <w:bCs/>
          <w:color w:val="0D0D0D"/>
          <w:kern w:val="2"/>
          <w:sz w:val="24"/>
          <w:szCs w:val="22"/>
          <w:lang w:bidi="ar"/>
        </w:rPr>
        <w:t>坪山石井街道项目</w:t>
      </w:r>
      <w:r>
        <w:rPr>
          <w:rFonts w:hint="eastAsia" w:ascii="Times New Roman" w:hAnsi="宋体" w:eastAsia="宋体" w:cs="Times New Roman"/>
          <w:bCs/>
          <w:color w:val="0D0D0D"/>
          <w:kern w:val="2"/>
          <w:sz w:val="24"/>
          <w:szCs w:val="22"/>
          <w:lang w:eastAsia="zh-CN" w:bidi="ar"/>
        </w:rPr>
        <w:t>的</w:t>
      </w:r>
      <w:r>
        <w:rPr>
          <w:rFonts w:hint="eastAsia" w:ascii="Times New Roman" w:hAnsi="宋体" w:eastAsia="宋体" w:cs="Times New Roman"/>
          <w:bCs/>
          <w:color w:val="0D0D0D"/>
          <w:kern w:val="2"/>
          <w:sz w:val="24"/>
          <w:szCs w:val="22"/>
          <w:lang w:val="en-US" w:eastAsia="zh-CN" w:bidi="ar"/>
        </w:rPr>
        <w:t>签约主体是</w:t>
      </w:r>
      <w:r>
        <w:rPr>
          <w:rFonts w:hint="eastAsia" w:ascii="Times New Roman" w:hAnsi="宋体" w:eastAsia="宋体" w:cs="Times New Roman"/>
          <w:bCs/>
          <w:color w:val="0D0D0D"/>
          <w:sz w:val="24"/>
          <w:szCs w:val="22"/>
        </w:rPr>
        <w:t>深圳地铁置业集团有限公司</w:t>
      </w:r>
      <w:r>
        <w:rPr>
          <w:rFonts w:hint="eastAsia" w:ascii="Times New Roman" w:hAnsi="宋体" w:cs="Times New Roman"/>
          <w:bCs/>
          <w:color w:val="0D0D0D"/>
          <w:sz w:val="24"/>
          <w:szCs w:val="22"/>
          <w:lang w:eastAsia="zh-CN"/>
        </w:rPr>
        <w:t>）</w:t>
      </w:r>
      <w:r>
        <w:rPr>
          <w:rFonts w:hint="eastAsia" w:ascii="Times New Roman" w:hAnsi="宋体" w:eastAsia="宋体" w:cs="Times New Roman"/>
          <w:bCs/>
          <w:color w:val="0D0D0D"/>
          <w:sz w:val="24"/>
          <w:szCs w:val="22"/>
        </w:rPr>
        <w:t>；考虑到后续新项目</w:t>
      </w:r>
      <w:r>
        <w:rPr>
          <w:rFonts w:hint="eastAsia" w:ascii="Times New Roman" w:hAnsi="宋体" w:eastAsia="宋体" w:cs="Times New Roman"/>
          <w:bCs/>
          <w:color w:val="0D0D0D"/>
          <w:sz w:val="24"/>
          <w:szCs w:val="22"/>
          <w:lang w:val="en-US" w:eastAsia="zh-CN"/>
        </w:rPr>
        <w:t>开发</w:t>
      </w:r>
      <w:r>
        <w:rPr>
          <w:rFonts w:hint="eastAsia" w:ascii="Times New Roman" w:hAnsi="宋体" w:eastAsia="宋体" w:cs="Times New Roman"/>
          <w:bCs/>
          <w:color w:val="0D0D0D"/>
          <w:sz w:val="24"/>
          <w:szCs w:val="22"/>
        </w:rPr>
        <w:t>主体的不确定性</w:t>
      </w:r>
      <w:r>
        <w:rPr>
          <w:rFonts w:hint="eastAsia" w:ascii="Times New Roman" w:hAnsi="宋体" w:eastAsia="宋体" w:cs="Times New Roman"/>
          <w:bCs/>
          <w:color w:val="0D0D0D"/>
          <w:sz w:val="24"/>
          <w:szCs w:val="22"/>
          <w:lang w:eastAsia="zh-CN"/>
        </w:rPr>
        <w:t>，</w:t>
      </w:r>
      <w:r>
        <w:rPr>
          <w:rFonts w:hint="eastAsia" w:ascii="Times New Roman" w:hAnsi="宋体" w:eastAsia="宋体" w:cs="Times New Roman"/>
          <w:bCs/>
          <w:color w:val="0D0D0D"/>
          <w:sz w:val="24"/>
          <w:szCs w:val="22"/>
          <w:lang w:val="en-US" w:eastAsia="zh-CN"/>
        </w:rPr>
        <w:t>剩余</w:t>
      </w:r>
      <w:r>
        <w:rPr>
          <w:rFonts w:hint="eastAsia" w:ascii="Times New Roman" w:hAnsi="宋体" w:eastAsia="宋体" w:cs="Times New Roman"/>
          <w:bCs/>
          <w:color w:val="0D0D0D"/>
          <w:sz w:val="24"/>
          <w:szCs w:val="22"/>
        </w:rPr>
        <w:t>未确定开发主体的</w:t>
      </w:r>
      <w:r>
        <w:rPr>
          <w:rFonts w:hint="eastAsia" w:ascii="Times New Roman" w:hAnsi="宋体" w:eastAsia="宋体" w:cs="Times New Roman"/>
          <w:bCs/>
          <w:color w:val="0D0D0D"/>
          <w:sz w:val="24"/>
          <w:szCs w:val="22"/>
          <w:lang w:val="en-US" w:eastAsia="zh-CN"/>
        </w:rPr>
        <w:t>新</w:t>
      </w:r>
      <w:r>
        <w:rPr>
          <w:rFonts w:hint="eastAsia" w:ascii="Times New Roman" w:hAnsi="宋体" w:eastAsia="宋体" w:cs="Times New Roman"/>
          <w:bCs/>
          <w:color w:val="0D0D0D"/>
          <w:sz w:val="24"/>
          <w:szCs w:val="22"/>
        </w:rPr>
        <w:t>项目，由中选人与深圳市地铁集团有限公司</w:t>
      </w:r>
      <w:r>
        <w:rPr>
          <w:rFonts w:hint="eastAsia" w:ascii="Times New Roman" w:hAnsi="宋体" w:cs="Times New Roman"/>
          <w:bCs/>
          <w:color w:val="0D0D0D"/>
          <w:sz w:val="24"/>
          <w:szCs w:val="22"/>
          <w:lang w:eastAsia="zh-CN"/>
        </w:rPr>
        <w:t>、</w:t>
      </w:r>
      <w:r>
        <w:rPr>
          <w:rFonts w:hint="eastAsia" w:ascii="Times New Roman" w:hAnsi="宋体" w:eastAsia="宋体" w:cs="Times New Roman"/>
          <w:bCs/>
          <w:color w:val="0D0D0D"/>
          <w:sz w:val="24"/>
          <w:szCs w:val="22"/>
        </w:rPr>
        <w:t>深圳地铁置业集团有限公司</w:t>
      </w:r>
      <w:r>
        <w:rPr>
          <w:rFonts w:hint="eastAsia" w:ascii="Times New Roman" w:hAnsi="宋体" w:cs="Times New Roman"/>
          <w:bCs/>
          <w:color w:val="0D0D0D"/>
          <w:sz w:val="24"/>
          <w:szCs w:val="22"/>
          <w:lang w:val="en-US" w:eastAsia="zh-CN"/>
        </w:rPr>
        <w:t>和</w:t>
      </w:r>
      <w:r>
        <w:rPr>
          <w:rFonts w:hint="eastAsia" w:ascii="Times New Roman" w:hAnsi="宋体" w:eastAsia="宋体" w:cs="Times New Roman"/>
          <w:bCs/>
          <w:color w:val="0D0D0D"/>
          <w:sz w:val="24"/>
          <w:szCs w:val="22"/>
        </w:rPr>
        <w:t>深圳地铁前海国际发展有限公司</w:t>
      </w:r>
      <w:r>
        <w:rPr>
          <w:rFonts w:hint="eastAsia" w:ascii="Times New Roman" w:hAnsi="宋体" w:eastAsia="宋体" w:cs="Times New Roman"/>
          <w:bCs/>
          <w:color w:val="0D0D0D"/>
          <w:sz w:val="24"/>
          <w:szCs w:val="22"/>
          <w:lang w:val="en-US" w:eastAsia="zh-CN"/>
        </w:rPr>
        <w:t>共同</w:t>
      </w:r>
      <w:r>
        <w:rPr>
          <w:rFonts w:hint="eastAsia" w:ascii="Times New Roman" w:hAnsi="宋体" w:eastAsia="宋体" w:cs="Times New Roman"/>
          <w:bCs/>
          <w:color w:val="0D0D0D"/>
          <w:sz w:val="24"/>
          <w:szCs w:val="22"/>
        </w:rPr>
        <w:t>签定</w:t>
      </w:r>
      <w:r>
        <w:rPr>
          <w:rFonts w:hint="eastAsia" w:ascii="Times New Roman" w:hAnsi="宋体" w:eastAsia="宋体" w:cs="Times New Roman"/>
          <w:bCs/>
          <w:color w:val="0D0D0D"/>
          <w:sz w:val="24"/>
          <w:szCs w:val="22"/>
          <w:lang w:val="en-US" w:eastAsia="zh-CN"/>
        </w:rPr>
        <w:t>四方协议</w:t>
      </w:r>
      <w:r>
        <w:rPr>
          <w:rFonts w:hint="eastAsia" w:ascii="Times New Roman" w:hAnsi="宋体" w:eastAsia="宋体" w:cs="Times New Roman"/>
          <w:bCs/>
          <w:color w:val="0D0D0D"/>
          <w:sz w:val="24"/>
          <w:szCs w:val="22"/>
        </w:rPr>
        <w:t>，具体按</w:t>
      </w:r>
      <w:r>
        <w:rPr>
          <w:rFonts w:hint="eastAsia" w:ascii="Times New Roman" w:hAnsi="宋体" w:eastAsia="宋体" w:cs="Times New Roman"/>
          <w:bCs/>
          <w:color w:val="0D0D0D"/>
          <w:sz w:val="24"/>
          <w:szCs w:val="22"/>
          <w:lang w:val="en-US" w:eastAsia="zh-CN"/>
        </w:rPr>
        <w:t>实际项目对应开发主体支付。</w:t>
      </w:r>
    </w:p>
    <w:p>
      <w:pPr>
        <w:keepNext/>
        <w:keepLines/>
        <w:tabs>
          <w:tab w:val="left" w:pos="1260"/>
        </w:tabs>
        <w:adjustRightInd w:val="0"/>
        <w:spacing w:before="260" w:after="260" w:line="360" w:lineRule="auto"/>
        <w:ind w:firstLine="480" w:firstLineChars="200"/>
        <w:textAlignment w:val="baseline"/>
        <w:outlineLvl w:val="2"/>
        <w:rPr>
          <w:rFonts w:hAnsi="宋体"/>
          <w:bCs/>
          <w:color w:val="0D0D0D"/>
          <w:sz w:val="24"/>
          <w:szCs w:val="22"/>
        </w:rPr>
      </w:pPr>
    </w:p>
    <w:p>
      <w:pPr>
        <w:pStyle w:val="3"/>
        <w:tabs>
          <w:tab w:val="left" w:pos="1050"/>
        </w:tabs>
        <w:spacing w:line="360" w:lineRule="auto"/>
        <w:ind w:left="0" w:leftChars="0" w:firstLine="480" w:firstLineChars="200"/>
        <w:rPr>
          <w:rFonts w:ascii="宋体" w:hAnsi="宋体"/>
          <w:sz w:val="24"/>
        </w:rPr>
      </w:pPr>
      <w:r>
        <w:rPr>
          <w:rFonts w:hint="eastAsia" w:ascii="宋体" w:hAnsi="宋体"/>
          <w:sz w:val="24"/>
        </w:rPr>
        <w:t>中选人根据比选人要求对新项目出具项目税务专项建议报告（终稿），且完成服务期内甲方要求的该项目全部工作并得到甲方验收确认后，中选人需按该项目主体开具增值税专用发票，</w:t>
      </w:r>
      <w:r>
        <w:rPr>
          <w:rFonts w:hint="eastAsia" w:ascii="宋体" w:hAnsi="宋体"/>
          <w:color w:val="0D0D0D"/>
          <w:sz w:val="24"/>
        </w:rPr>
        <w:t>由项目开发主体支付服务费</w:t>
      </w:r>
      <w:r>
        <w:rPr>
          <w:rFonts w:hint="eastAsia" w:ascii="宋体" w:hAnsi="宋体"/>
          <w:sz w:val="24"/>
        </w:rPr>
        <w:t>。</w:t>
      </w:r>
    </w:p>
    <w:p>
      <w:pPr>
        <w:pStyle w:val="6"/>
        <w:spacing w:after="0" w:line="360" w:lineRule="auto"/>
        <w:jc w:val="both"/>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pPr>
    </w:p>
    <w:p>
      <w:pPr>
        <w:pStyle w:val="2"/>
      </w:pPr>
    </w:p>
    <w:p>
      <w:pPr>
        <w:pStyle w:val="2"/>
      </w:pPr>
    </w:p>
    <w:p>
      <w:pPr>
        <w:pStyle w:val="2"/>
      </w:pPr>
    </w:p>
    <w:p>
      <w:pPr>
        <w:pStyle w:val="6"/>
        <w:spacing w:after="0" w:line="360" w:lineRule="auto"/>
      </w:pPr>
      <w:r>
        <w:rPr>
          <w:rFonts w:hint="eastAsia"/>
        </w:rPr>
        <w:t>附件：评标</w:t>
      </w:r>
      <w:bookmarkEnd w:id="89"/>
      <w:r>
        <w:rPr>
          <w:rFonts w:hint="eastAsia"/>
        </w:rPr>
        <w:t>办法</w:t>
      </w:r>
      <w:bookmarkEnd w:id="90"/>
      <w:bookmarkEnd w:id="91"/>
    </w:p>
    <w:p>
      <w:pPr>
        <w:keepNext/>
        <w:keepLines/>
        <w:tabs>
          <w:tab w:val="left" w:pos="1260"/>
        </w:tabs>
        <w:adjustRightInd w:val="0"/>
        <w:spacing w:after="260" w:line="360" w:lineRule="auto"/>
        <w:ind w:firstLine="482" w:firstLineChars="200"/>
        <w:textAlignment w:val="baseline"/>
        <w:outlineLvl w:val="2"/>
        <w:rPr>
          <w:rFonts w:ascii="宋体" w:hAnsi="宋体"/>
          <w:b/>
          <w:kern w:val="0"/>
          <w:sz w:val="24"/>
          <w:szCs w:val="24"/>
        </w:rPr>
      </w:pPr>
      <w:bookmarkStart w:id="93" w:name="_Toc518494140"/>
      <w:bookmarkStart w:id="94" w:name="_Toc276575939"/>
      <w:bookmarkStart w:id="95" w:name="_Toc57731978"/>
      <w:r>
        <w:rPr>
          <w:rFonts w:hint="eastAsia" w:ascii="宋体" w:hAnsi="宋体"/>
          <w:b/>
          <w:kern w:val="0"/>
          <w:sz w:val="24"/>
          <w:szCs w:val="24"/>
        </w:rPr>
        <w:t>一、总</w:t>
      </w:r>
      <w:bookmarkEnd w:id="93"/>
      <w:bookmarkEnd w:id="94"/>
      <w:r>
        <w:rPr>
          <w:rFonts w:hint="eastAsia" w:ascii="宋体" w:hAnsi="宋体"/>
          <w:b/>
          <w:kern w:val="0"/>
          <w:sz w:val="24"/>
          <w:szCs w:val="24"/>
        </w:rPr>
        <w:t>则</w:t>
      </w:r>
      <w:bookmarkEnd w:id="95"/>
    </w:p>
    <w:p>
      <w:pPr>
        <w:spacing w:line="360" w:lineRule="auto"/>
        <w:ind w:firstLine="480" w:firstLineChars="200"/>
        <w:rPr>
          <w:rFonts w:ascii="宋体" w:hAnsi="宋体"/>
          <w:sz w:val="24"/>
          <w:szCs w:val="24"/>
        </w:rPr>
      </w:pPr>
      <w:r>
        <w:rPr>
          <w:rFonts w:hint="eastAsia" w:ascii="宋体" w:hAnsi="宋体"/>
          <w:sz w:val="24"/>
          <w:szCs w:val="24"/>
        </w:rPr>
        <w:t>为了保证本次比选参选工作的公开、公平和公正，使评标工作规范化、标准化、科学化，选择有经验、有实力、社会信誉好的单位承担本项目任务，依据相关招参选的法律、法规，特制定本评标办法。本办法作为比选文件的一部分，一切与评标工作有关的人员在评标过程中必须遵守本方法的各项规定。</w:t>
      </w:r>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bookmarkStart w:id="96" w:name="_Toc518494141"/>
      <w:bookmarkStart w:id="97" w:name="_Toc57731979"/>
      <w:r>
        <w:rPr>
          <w:rFonts w:hint="eastAsia" w:ascii="宋体" w:hAnsi="宋体"/>
          <w:b/>
          <w:kern w:val="0"/>
          <w:sz w:val="24"/>
          <w:szCs w:val="24"/>
        </w:rPr>
        <w:t>二、评定标组织</w:t>
      </w:r>
      <w:bookmarkEnd w:id="96"/>
      <w:bookmarkEnd w:id="97"/>
    </w:p>
    <w:p>
      <w:pPr>
        <w:tabs>
          <w:tab w:val="left" w:pos="420"/>
        </w:tabs>
        <w:spacing w:line="360" w:lineRule="auto"/>
        <w:ind w:firstLine="480" w:firstLineChars="200"/>
        <w:rPr>
          <w:rFonts w:ascii="宋体" w:hAnsi="宋体"/>
          <w:sz w:val="24"/>
          <w:szCs w:val="24"/>
        </w:rPr>
      </w:pPr>
      <w:r>
        <w:rPr>
          <w:rFonts w:hint="eastAsia" w:ascii="宋体" w:hAnsi="宋体"/>
          <w:sz w:val="24"/>
          <w:szCs w:val="24"/>
        </w:rPr>
        <w:t>（一）评标委员会组成</w:t>
      </w:r>
    </w:p>
    <w:p>
      <w:pPr>
        <w:spacing w:line="360" w:lineRule="auto"/>
        <w:ind w:firstLine="480" w:firstLineChars="200"/>
        <w:rPr>
          <w:rFonts w:ascii="宋体" w:hAnsi="宋体"/>
          <w:sz w:val="24"/>
          <w:szCs w:val="24"/>
        </w:rPr>
      </w:pPr>
      <w:r>
        <w:rPr>
          <w:rFonts w:hint="eastAsia" w:ascii="宋体" w:hAnsi="宋体"/>
          <w:sz w:val="24"/>
          <w:szCs w:val="24"/>
        </w:rPr>
        <w:t>评标委员会由比选人组建，评标委员会由7名成员组成。</w:t>
      </w:r>
    </w:p>
    <w:p>
      <w:pPr>
        <w:spacing w:line="360" w:lineRule="auto"/>
        <w:ind w:firstLine="480" w:firstLineChars="200"/>
        <w:rPr>
          <w:rFonts w:ascii="宋体" w:hAnsi="宋体"/>
          <w:sz w:val="24"/>
          <w:szCs w:val="24"/>
        </w:rPr>
      </w:pPr>
      <w:r>
        <w:rPr>
          <w:rFonts w:hint="eastAsia" w:ascii="宋体" w:hAnsi="宋体"/>
          <w:sz w:val="24"/>
          <w:szCs w:val="24"/>
        </w:rPr>
        <w:t>（二）评标委员会职责</w:t>
      </w:r>
    </w:p>
    <w:p>
      <w:pPr>
        <w:spacing w:line="360" w:lineRule="auto"/>
        <w:ind w:firstLine="480" w:firstLineChars="200"/>
        <w:rPr>
          <w:rFonts w:ascii="宋体" w:hAnsi="宋体"/>
          <w:sz w:val="24"/>
          <w:szCs w:val="24"/>
        </w:rPr>
      </w:pPr>
      <w:r>
        <w:rPr>
          <w:rFonts w:hint="eastAsia" w:ascii="宋体" w:hAnsi="宋体"/>
          <w:sz w:val="24"/>
          <w:szCs w:val="24"/>
        </w:rPr>
        <w:t>评标委员会负责依据比选文件、本评标原则与程序对参选文件进行客观公正的评审；负责评标过程中的质疑；根据评审标准及答疑结果对参选人的参选文件进行评审；编写评标报告，推荐中选候选人。</w:t>
      </w:r>
    </w:p>
    <w:p>
      <w:pPr>
        <w:spacing w:line="360" w:lineRule="auto"/>
        <w:ind w:firstLine="480" w:firstLineChars="200"/>
        <w:rPr>
          <w:rFonts w:ascii="宋体" w:hAnsi="宋体"/>
          <w:sz w:val="24"/>
          <w:szCs w:val="24"/>
        </w:rPr>
      </w:pPr>
      <w:r>
        <w:rPr>
          <w:rFonts w:hint="eastAsia" w:ascii="宋体" w:hAnsi="宋体"/>
          <w:sz w:val="24"/>
          <w:szCs w:val="24"/>
        </w:rPr>
        <w:t>（三）评标过程由比选人派出监督专员负责监督比选、评标全过程。</w:t>
      </w:r>
    </w:p>
    <w:p>
      <w:pPr>
        <w:spacing w:line="360" w:lineRule="auto"/>
        <w:ind w:firstLine="480" w:firstLineChars="200"/>
        <w:rPr>
          <w:rFonts w:ascii="宋体" w:hAnsi="宋体"/>
          <w:sz w:val="24"/>
          <w:szCs w:val="24"/>
        </w:rPr>
      </w:pPr>
      <w:r>
        <w:rPr>
          <w:rFonts w:hint="eastAsia" w:ascii="宋体" w:hAnsi="宋体"/>
          <w:sz w:val="24"/>
          <w:szCs w:val="24"/>
        </w:rPr>
        <w:t>（四）评标过程的会务工作由本次比选工作小组成员负责。</w:t>
      </w:r>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highlight w:val="none"/>
        </w:rPr>
      </w:pPr>
      <w:bookmarkStart w:id="98" w:name="_Toc57731980"/>
      <w:bookmarkStart w:id="99" w:name="_Toc518494142"/>
      <w:r>
        <w:rPr>
          <w:rFonts w:hint="eastAsia" w:ascii="宋体" w:hAnsi="宋体"/>
          <w:b/>
          <w:kern w:val="0"/>
          <w:sz w:val="24"/>
          <w:szCs w:val="24"/>
        </w:rPr>
        <w:t>三、</w:t>
      </w:r>
      <w:r>
        <w:rPr>
          <w:rFonts w:hint="eastAsia" w:ascii="宋体" w:hAnsi="宋体"/>
          <w:b/>
          <w:kern w:val="0"/>
          <w:sz w:val="24"/>
          <w:szCs w:val="24"/>
          <w:highlight w:val="none"/>
        </w:rPr>
        <w:t>评标方法与程序</w:t>
      </w:r>
      <w:bookmarkEnd w:id="98"/>
      <w:bookmarkEnd w:id="99"/>
    </w:p>
    <w:p>
      <w:pPr>
        <w:numPr>
          <w:ilvl w:val="0"/>
          <w:numId w:val="0"/>
        </w:numPr>
        <w:spacing w:line="360" w:lineRule="auto"/>
        <w:ind w:firstLine="480" w:firstLineChars="200"/>
        <w:rPr>
          <w:rFonts w:ascii="宋体" w:hAnsi="宋体"/>
          <w:bCs/>
          <w:sz w:val="24"/>
          <w:szCs w:val="24"/>
        </w:rPr>
      </w:pPr>
      <w:r>
        <w:rPr>
          <w:rFonts w:hint="eastAsia" w:ascii="宋体" w:hAnsi="宋体"/>
          <w:bCs/>
          <w:sz w:val="24"/>
          <w:szCs w:val="24"/>
          <w:highlight w:val="none"/>
        </w:rPr>
        <w:t>（一）本次评标采用“综合评分法”，先评技术标，再评商务标，满分为100分，其中：技术标50分，商务标50分。评标委员会先按照技术标评分标准对各参选人技术文件进行打分，各评委评分的算术平均值为该参选人技术标得分。然后评标委员会再按照商务标计算公式对各参选人商务报价进行评分，最后汇总参选人技术及商务标得分，并按照参选人的最终得分值由高到低排列名次，推荐排名第一的参选人为中选候选人。若最终得分相同的，以技术标得分高者排在先；若技术标得分相同的（以保留小数点后两位且四舍五入为准），以商务标报价低者排在先；若报价相同的，以抽签的形式确</w:t>
      </w:r>
      <w:r>
        <w:rPr>
          <w:rFonts w:hint="eastAsia" w:ascii="宋体" w:hAnsi="宋体"/>
          <w:bCs/>
          <w:sz w:val="24"/>
          <w:szCs w:val="24"/>
        </w:rPr>
        <w:t>定中选候选人。最终，评标委员会推荐一名中选候选人，并形成评标报告。</w:t>
      </w:r>
    </w:p>
    <w:p>
      <w:pPr>
        <w:spacing w:line="360" w:lineRule="auto"/>
        <w:ind w:firstLine="480" w:firstLineChars="200"/>
        <w:rPr>
          <w:rFonts w:ascii="宋体" w:hAnsi="宋体"/>
          <w:sz w:val="24"/>
          <w:szCs w:val="24"/>
        </w:rPr>
      </w:pPr>
      <w:r>
        <w:rPr>
          <w:rFonts w:hint="eastAsia" w:ascii="宋体" w:hAnsi="宋体"/>
          <w:sz w:val="24"/>
          <w:szCs w:val="24"/>
        </w:rPr>
        <w:t>（二）评标程序</w:t>
      </w:r>
    </w:p>
    <w:p>
      <w:pPr>
        <w:spacing w:line="360" w:lineRule="auto"/>
        <w:ind w:firstLine="480" w:firstLineChars="200"/>
        <w:rPr>
          <w:rFonts w:hAnsi="宋体"/>
          <w:sz w:val="24"/>
          <w:szCs w:val="24"/>
        </w:rPr>
      </w:pPr>
      <w:bookmarkStart w:id="100" w:name="_Toc518494143"/>
      <w:r>
        <w:rPr>
          <w:rFonts w:hint="eastAsia" w:hAnsi="宋体"/>
          <w:sz w:val="24"/>
          <w:szCs w:val="24"/>
        </w:rPr>
        <w:t>1、评标分2个阶段进行，先评技术标，再评商务标。</w:t>
      </w:r>
    </w:p>
    <w:p>
      <w:pPr>
        <w:ind w:firstLine="482"/>
        <w:rPr>
          <w:rFonts w:ascii="宋体" w:hAnsi="宋体"/>
          <w:bCs/>
          <w:sz w:val="24"/>
          <w:szCs w:val="24"/>
        </w:rPr>
      </w:pPr>
      <w:r>
        <w:rPr>
          <w:rFonts w:hint="eastAsia" w:ascii="宋体" w:hAnsi="宋体"/>
          <w:b/>
          <w:sz w:val="24"/>
          <w:szCs w:val="24"/>
        </w:rPr>
        <w:t>技术标评审</w:t>
      </w:r>
      <w:r>
        <w:rPr>
          <w:rFonts w:hint="eastAsia" w:ascii="宋体" w:hAnsi="宋体"/>
          <w:bCs/>
          <w:sz w:val="24"/>
          <w:szCs w:val="24"/>
        </w:rPr>
        <w:t>：</w:t>
      </w:r>
    </w:p>
    <w:p>
      <w:pPr>
        <w:numPr>
          <w:ilvl w:val="255"/>
          <w:numId w:val="0"/>
        </w:numPr>
        <w:spacing w:line="360" w:lineRule="auto"/>
        <w:ind w:firstLine="480" w:firstLineChars="200"/>
        <w:rPr>
          <w:rFonts w:ascii="宋体" w:hAnsi="宋体"/>
          <w:bCs/>
          <w:sz w:val="24"/>
          <w:szCs w:val="24"/>
        </w:rPr>
      </w:pPr>
      <w:r>
        <w:rPr>
          <w:rFonts w:hint="eastAsia" w:ascii="宋体" w:hAnsi="宋体"/>
          <w:bCs/>
          <w:sz w:val="24"/>
          <w:szCs w:val="24"/>
        </w:rPr>
        <w:t>（1）第一阶段，先将所有合格参选文件的技术标书移交至评标委员会，评标委员会对参选文件的技术标书进行初步评审（有效性审查），只有通过初步评审的技术标书才有资格进入下一步的详细评审。</w:t>
      </w:r>
    </w:p>
    <w:p>
      <w:pPr>
        <w:spacing w:line="360" w:lineRule="auto"/>
        <w:ind w:firstLine="480" w:firstLineChars="200"/>
        <w:rPr>
          <w:rFonts w:ascii="宋体" w:hAnsi="宋体"/>
          <w:bCs/>
          <w:sz w:val="24"/>
          <w:szCs w:val="24"/>
        </w:rPr>
      </w:pPr>
      <w:r>
        <w:rPr>
          <w:rFonts w:hint="eastAsia" w:ascii="宋体" w:hAnsi="宋体"/>
          <w:bCs/>
          <w:sz w:val="24"/>
          <w:szCs w:val="24"/>
        </w:rPr>
        <w:t>（2）评标委员会否决无效标或者界定为废标后，有效参选人不足3家的，比选人宣布本次比选失败，重新组织比选。</w:t>
      </w:r>
    </w:p>
    <w:p>
      <w:pPr>
        <w:spacing w:line="360" w:lineRule="auto"/>
        <w:ind w:firstLine="480" w:firstLineChars="200"/>
        <w:rPr>
          <w:rFonts w:ascii="宋体" w:hAnsi="宋体"/>
          <w:bCs/>
          <w:sz w:val="24"/>
          <w:szCs w:val="24"/>
        </w:rPr>
      </w:pPr>
      <w:r>
        <w:rPr>
          <w:rFonts w:hint="eastAsia" w:ascii="宋体" w:hAnsi="宋体"/>
          <w:bCs/>
          <w:sz w:val="24"/>
          <w:szCs w:val="24"/>
        </w:rPr>
        <w:t>（3）评标委员会按照评审标准对合格参选文件的技术标进行详细评审（详见评审附表），评审完成后，评审分数不得再更改。经评审后，方可进入下一阶段商务标的评审。</w:t>
      </w:r>
    </w:p>
    <w:p>
      <w:pPr>
        <w:spacing w:line="360" w:lineRule="auto"/>
        <w:ind w:firstLine="482"/>
        <w:rPr>
          <w:rFonts w:ascii="宋体" w:hAnsi="宋体"/>
          <w:b/>
          <w:sz w:val="24"/>
          <w:szCs w:val="24"/>
        </w:rPr>
      </w:pPr>
      <w:r>
        <w:rPr>
          <w:rFonts w:hint="eastAsia" w:ascii="宋体" w:hAnsi="宋体"/>
          <w:b/>
          <w:sz w:val="24"/>
          <w:szCs w:val="24"/>
        </w:rPr>
        <w:t>商务标评审：</w:t>
      </w:r>
    </w:p>
    <w:p>
      <w:pPr>
        <w:numPr>
          <w:ilvl w:val="255"/>
          <w:numId w:val="0"/>
        </w:numPr>
        <w:spacing w:line="360" w:lineRule="auto"/>
        <w:ind w:firstLine="480" w:firstLineChars="200"/>
        <w:rPr>
          <w:rFonts w:ascii="宋体" w:hAnsi="宋体"/>
          <w:bCs/>
          <w:sz w:val="24"/>
          <w:szCs w:val="24"/>
        </w:rPr>
      </w:pPr>
      <w:r>
        <w:rPr>
          <w:rFonts w:hint="eastAsia" w:ascii="宋体" w:hAnsi="宋体"/>
          <w:bCs/>
          <w:sz w:val="24"/>
          <w:szCs w:val="24"/>
        </w:rPr>
        <w:t>（1）第二阶段，技术标评审完成后可进入下一阶段商务标的评审。开标工作人员将商务标书移交评标委员会，评标委员会对商务标部分进行初步评审（有效性审查），只有通过初步评审的商务标文件才有资格进入下一步的详细评审。</w:t>
      </w:r>
    </w:p>
    <w:p>
      <w:pPr>
        <w:numPr>
          <w:ilvl w:val="255"/>
          <w:numId w:val="0"/>
        </w:numPr>
        <w:spacing w:line="360" w:lineRule="auto"/>
        <w:ind w:firstLine="480" w:firstLineChars="200"/>
        <w:rPr>
          <w:rFonts w:ascii="宋体" w:hAnsi="宋体"/>
          <w:bCs/>
          <w:sz w:val="24"/>
          <w:szCs w:val="24"/>
        </w:rPr>
      </w:pPr>
      <w:r>
        <w:rPr>
          <w:rFonts w:hint="eastAsia" w:ascii="宋体" w:hAnsi="宋体"/>
          <w:bCs/>
          <w:sz w:val="24"/>
          <w:szCs w:val="24"/>
        </w:rPr>
        <w:t>（2）经商务标初步审查，评标委员会作出无效标或者废标处理，致进入商务标详细评审环节的有效参选人不足3家，比选人宣布本次比选失败，重新组织比选。</w:t>
      </w:r>
    </w:p>
    <w:p>
      <w:pPr>
        <w:numPr>
          <w:ilvl w:val="255"/>
          <w:numId w:val="0"/>
        </w:numPr>
        <w:spacing w:line="360" w:lineRule="auto"/>
        <w:ind w:left="420" w:leftChars="200"/>
        <w:rPr>
          <w:rFonts w:ascii="宋体" w:hAnsi="宋体"/>
          <w:bCs/>
          <w:sz w:val="24"/>
          <w:szCs w:val="24"/>
        </w:rPr>
      </w:pPr>
      <w:r>
        <w:rPr>
          <w:rFonts w:hint="eastAsia" w:ascii="宋体" w:hAnsi="宋体"/>
          <w:bCs/>
          <w:sz w:val="24"/>
          <w:szCs w:val="24"/>
        </w:rPr>
        <w:t>（3）以参选人所报服务费总价作为商务标评审依据。</w:t>
      </w:r>
    </w:p>
    <w:p>
      <w:pPr>
        <w:numPr>
          <w:ilvl w:val="255"/>
          <w:numId w:val="0"/>
        </w:numPr>
        <w:spacing w:line="360" w:lineRule="auto"/>
        <w:ind w:left="420" w:leftChars="200"/>
        <w:rPr>
          <w:rFonts w:ascii="宋体" w:hAnsi="宋体"/>
          <w:bCs/>
          <w:sz w:val="24"/>
          <w:szCs w:val="24"/>
        </w:rPr>
      </w:pPr>
      <w:r>
        <w:rPr>
          <w:rFonts w:hint="eastAsia" w:ascii="宋体" w:hAnsi="宋体"/>
          <w:bCs/>
          <w:sz w:val="24"/>
          <w:szCs w:val="24"/>
        </w:rPr>
        <w:t>（4）参选人的参选报价中如出现算术错误，将按以下方法进行调整：</w:t>
      </w:r>
    </w:p>
    <w:p>
      <w:pPr>
        <w:numPr>
          <w:ilvl w:val="255"/>
          <w:numId w:val="0"/>
        </w:numPr>
        <w:spacing w:line="360" w:lineRule="auto"/>
        <w:ind w:left="420" w:leftChars="200"/>
        <w:rPr>
          <w:rFonts w:ascii="宋体" w:hAnsi="宋体"/>
          <w:bCs/>
          <w:sz w:val="24"/>
          <w:szCs w:val="24"/>
        </w:rPr>
      </w:pPr>
      <w:r>
        <w:rPr>
          <w:rFonts w:ascii="Calibri" w:hAnsi="Calibri" w:cs="Calibri"/>
          <w:bCs/>
          <w:sz w:val="24"/>
          <w:szCs w:val="24"/>
        </w:rPr>
        <w:t>①</w:t>
      </w:r>
      <w:r>
        <w:rPr>
          <w:rFonts w:hint="eastAsia" w:ascii="宋体" w:hAnsi="宋体"/>
          <w:bCs/>
          <w:sz w:val="24"/>
          <w:szCs w:val="24"/>
        </w:rPr>
        <w:t>参选文件中大写金额与小写金额不一致的，以金额低的为准；</w:t>
      </w:r>
    </w:p>
    <w:p>
      <w:pPr>
        <w:numPr>
          <w:ilvl w:val="255"/>
          <w:numId w:val="0"/>
        </w:numPr>
        <w:spacing w:line="360" w:lineRule="auto"/>
        <w:ind w:left="420" w:leftChars="200"/>
        <w:rPr>
          <w:rFonts w:ascii="宋体" w:hAnsi="宋体"/>
          <w:bCs/>
          <w:sz w:val="24"/>
          <w:szCs w:val="24"/>
        </w:rPr>
      </w:pPr>
      <w:r>
        <w:rPr>
          <w:rFonts w:ascii="Calibri" w:hAnsi="Calibri" w:cs="Calibri"/>
          <w:bCs/>
          <w:sz w:val="24"/>
          <w:szCs w:val="24"/>
        </w:rPr>
        <w:t>②</w:t>
      </w:r>
      <w:r>
        <w:rPr>
          <w:rFonts w:hint="eastAsia" w:ascii="宋体" w:hAnsi="宋体"/>
          <w:bCs/>
          <w:sz w:val="24"/>
          <w:szCs w:val="24"/>
        </w:rPr>
        <w:t>总价金额与按单价计算的总金额不一致的，以单价计算的总金额为准。除非单价有明显的小数点错误，此时应以合价金额为准，调整单价。</w:t>
      </w:r>
    </w:p>
    <w:p>
      <w:pPr>
        <w:spacing w:line="360" w:lineRule="auto"/>
        <w:ind w:firstLine="480" w:firstLineChars="200"/>
        <w:rPr>
          <w:rFonts w:ascii="宋体" w:hAnsi="宋体"/>
          <w:bCs/>
          <w:sz w:val="24"/>
          <w:szCs w:val="24"/>
        </w:rPr>
      </w:pPr>
      <w:r>
        <w:rPr>
          <w:rFonts w:hint="eastAsia" w:ascii="宋体" w:hAnsi="宋体"/>
          <w:bCs/>
          <w:sz w:val="24"/>
          <w:szCs w:val="24"/>
        </w:rPr>
        <w:t>按照本规定的调整方法确定的调整后报价，须取得参选人同意并书面签字确认。如果参选人拒不接受调整方法以及调整后的报价的，其参选将被拒绝。</w:t>
      </w:r>
    </w:p>
    <w:p>
      <w:pPr>
        <w:spacing w:line="360" w:lineRule="auto"/>
        <w:ind w:firstLine="480" w:firstLineChars="200"/>
        <w:rPr>
          <w:rFonts w:ascii="宋体" w:hAnsi="宋体"/>
          <w:bCs/>
          <w:sz w:val="24"/>
          <w:szCs w:val="24"/>
        </w:rPr>
      </w:pPr>
      <w:r>
        <w:rPr>
          <w:rFonts w:hint="eastAsia" w:ascii="宋体" w:hAnsi="宋体"/>
          <w:bCs/>
          <w:sz w:val="24"/>
          <w:szCs w:val="24"/>
        </w:rPr>
        <w:t>中选人的参选报价是按照本节规定进行了调整的，其中选价按就低不就高的原则确定。如果参选人拒不接受的，其参选将被拒绝。</w:t>
      </w:r>
    </w:p>
    <w:p>
      <w:pPr>
        <w:spacing w:line="360" w:lineRule="auto"/>
        <w:ind w:firstLine="480" w:firstLineChars="200"/>
        <w:rPr>
          <w:rFonts w:ascii="宋体" w:hAnsi="宋体"/>
          <w:bCs/>
          <w:sz w:val="24"/>
          <w:szCs w:val="24"/>
        </w:rPr>
      </w:pPr>
      <w:r>
        <w:rPr>
          <w:rFonts w:hint="eastAsia" w:ascii="宋体" w:hAnsi="宋体"/>
          <w:bCs/>
          <w:sz w:val="24"/>
          <w:szCs w:val="24"/>
        </w:rPr>
        <w:t>参选人的参选报价的总价小于调整后的报价，中标价即为投标人的参选报价的总价；参选报价的总价大于调整后的报价，中选价仍为参选人的参选报价的总价，调整后的报价与参选报价的总价之间的差值部分则计入暂列金额。</w:t>
      </w:r>
    </w:p>
    <w:p>
      <w:pPr>
        <w:numPr>
          <w:ilvl w:val="255"/>
          <w:numId w:val="0"/>
        </w:numPr>
        <w:spacing w:line="360" w:lineRule="auto"/>
        <w:ind w:left="420" w:leftChars="200"/>
        <w:rPr>
          <w:rFonts w:ascii="宋体" w:hAnsi="宋体"/>
          <w:bCs/>
          <w:sz w:val="24"/>
          <w:szCs w:val="24"/>
        </w:rPr>
      </w:pPr>
      <w:r>
        <w:rPr>
          <w:rFonts w:hint="eastAsia" w:ascii="宋体" w:hAnsi="宋体"/>
          <w:bCs/>
          <w:sz w:val="24"/>
          <w:szCs w:val="24"/>
        </w:rPr>
        <w:t>（5）商务标初步审查后，评标委员会按照商务标计算公式，完成商务标分数计算。</w:t>
      </w:r>
    </w:p>
    <w:p>
      <w:pPr>
        <w:numPr>
          <w:ilvl w:val="255"/>
          <w:numId w:val="0"/>
        </w:numPr>
        <w:spacing w:line="360" w:lineRule="auto"/>
        <w:ind w:firstLine="480" w:firstLineChars="200"/>
        <w:rPr>
          <w:rFonts w:ascii="宋体" w:hAnsi="宋体"/>
          <w:bCs/>
          <w:sz w:val="24"/>
          <w:szCs w:val="24"/>
        </w:rPr>
      </w:pPr>
      <w:r>
        <w:rPr>
          <w:rFonts w:hint="eastAsia" w:ascii="宋体" w:hAnsi="宋体"/>
          <w:bCs/>
          <w:sz w:val="24"/>
          <w:szCs w:val="24"/>
        </w:rPr>
        <w:t>（6）若各参选人的报价，如出现税率不一致的情况，则以不含税总价作为参选人的报价进行商务标分数计算；若税率一致，则以含税总价作为参选人的报价进行商务标分数计算。</w:t>
      </w:r>
    </w:p>
    <w:p>
      <w:pPr>
        <w:numPr>
          <w:ilvl w:val="255"/>
          <w:numId w:val="0"/>
        </w:numPr>
        <w:spacing w:line="360" w:lineRule="auto"/>
        <w:ind w:firstLine="480" w:firstLineChars="200"/>
        <w:rPr>
          <w:rFonts w:ascii="宋体" w:hAnsi="宋体"/>
          <w:bCs/>
          <w:sz w:val="24"/>
          <w:szCs w:val="24"/>
        </w:rPr>
      </w:pPr>
      <w:r>
        <w:rPr>
          <w:rFonts w:hint="eastAsia" w:ascii="宋体" w:hAnsi="宋体"/>
          <w:bCs/>
          <w:sz w:val="24"/>
          <w:szCs w:val="24"/>
        </w:rPr>
        <w:t>（7）其他情况均按照价格审核计算后，以不利于参选人的原则予以调整。</w:t>
      </w:r>
    </w:p>
    <w:p>
      <w:pPr>
        <w:pStyle w:val="141"/>
        <w:tabs>
          <w:tab w:val="left" w:pos="993"/>
        </w:tabs>
        <w:spacing w:line="360" w:lineRule="auto"/>
        <w:ind w:firstLine="480"/>
        <w:rPr>
          <w:rFonts w:ascii="宋体" w:hAnsi="宋体"/>
          <w:bCs/>
          <w:sz w:val="24"/>
          <w:szCs w:val="24"/>
        </w:rPr>
      </w:pPr>
      <w:r>
        <w:rPr>
          <w:rFonts w:hint="eastAsia" w:ascii="宋体" w:hAnsi="宋体"/>
          <w:bCs/>
          <w:sz w:val="24"/>
          <w:szCs w:val="24"/>
        </w:rPr>
        <w:t>2.汇总完成后，评委按照参选人的最终得分值由高到低排列名次。若最终得分相同的，以技术标得分高者排在先；若技术标得分相同的（以保留小数点后两位且四舍五入为准），以商务标报价低者排在先；若报价相同的，以抽签的形式确定中选候选人。最终，评委推荐一名中选候选人。</w:t>
      </w:r>
    </w:p>
    <w:p>
      <w:pPr>
        <w:keepNext/>
        <w:keepLines/>
        <w:tabs>
          <w:tab w:val="left" w:pos="1260"/>
        </w:tabs>
        <w:adjustRightInd w:val="0"/>
        <w:spacing w:line="360" w:lineRule="auto"/>
        <w:ind w:firstLine="482" w:firstLineChars="200"/>
        <w:textAlignment w:val="baseline"/>
        <w:outlineLvl w:val="2"/>
        <w:rPr>
          <w:rFonts w:ascii="宋体" w:hAnsi="宋体"/>
          <w:b/>
          <w:kern w:val="0"/>
          <w:sz w:val="24"/>
          <w:szCs w:val="24"/>
        </w:rPr>
      </w:pPr>
      <w:bookmarkStart w:id="101" w:name="_Toc57731981"/>
      <w:r>
        <w:rPr>
          <w:rFonts w:hint="eastAsia" w:ascii="宋体" w:hAnsi="宋体"/>
          <w:b/>
          <w:kern w:val="0"/>
          <w:sz w:val="24"/>
          <w:szCs w:val="24"/>
        </w:rPr>
        <w:t>四、评审标准</w:t>
      </w:r>
      <w:bookmarkEnd w:id="100"/>
      <w:bookmarkEnd w:id="101"/>
    </w:p>
    <w:p>
      <w:pPr>
        <w:spacing w:line="360" w:lineRule="auto"/>
        <w:ind w:firstLine="480" w:firstLineChars="200"/>
        <w:rPr>
          <w:rFonts w:ascii="宋体" w:hAnsi="宋体"/>
          <w:color w:val="0D0D0D"/>
          <w:sz w:val="24"/>
          <w:szCs w:val="24"/>
        </w:rPr>
      </w:pPr>
      <w:bookmarkStart w:id="102" w:name="_Toc57731982"/>
      <w:bookmarkStart w:id="103" w:name="_Toc518494144"/>
      <w:r>
        <w:rPr>
          <w:rFonts w:hint="eastAsia" w:ascii="宋体" w:hAnsi="宋体"/>
          <w:color w:val="0D0D0D"/>
          <w:sz w:val="24"/>
          <w:szCs w:val="24"/>
        </w:rPr>
        <w:t>技术标及商务标初步评审及详细标准详见附件。</w:t>
      </w:r>
    </w:p>
    <w:p>
      <w:pPr>
        <w:keepNext/>
        <w:keepLines/>
        <w:tabs>
          <w:tab w:val="left" w:pos="1260"/>
        </w:tabs>
        <w:adjustRightInd w:val="0"/>
        <w:spacing w:before="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五、中选价确定原则</w:t>
      </w:r>
      <w:bookmarkEnd w:id="102"/>
      <w:bookmarkEnd w:id="103"/>
    </w:p>
    <w:p>
      <w:pPr>
        <w:tabs>
          <w:tab w:val="left" w:pos="851"/>
        </w:tabs>
        <w:spacing w:line="360" w:lineRule="auto"/>
        <w:ind w:firstLine="480" w:firstLineChars="200"/>
        <w:rPr>
          <w:rFonts w:ascii="宋体" w:hAnsi="宋体"/>
          <w:color w:val="000000"/>
          <w:sz w:val="24"/>
          <w:szCs w:val="24"/>
        </w:rPr>
      </w:pPr>
      <w:bookmarkStart w:id="104" w:name="_Toc518494145"/>
      <w:r>
        <w:rPr>
          <w:rFonts w:hint="eastAsia"/>
          <w:color w:val="0D0D0D" w:themeColor="text1" w:themeTint="F2"/>
          <w:sz w:val="24"/>
          <w:szCs w:val="24"/>
          <w14:textFill>
            <w14:solidFill>
              <w14:schemeClr w14:val="tx1">
                <w14:lumMod w14:val="95000"/>
                <w14:lumOff w14:val="5000"/>
              </w14:schemeClr>
            </w14:solidFill>
          </w14:textFill>
        </w:rPr>
        <w:t>中选人的总报价即为中选价。</w:t>
      </w:r>
    </w:p>
    <w:p>
      <w:pPr>
        <w:keepNext/>
        <w:keepLines/>
        <w:tabs>
          <w:tab w:val="left" w:pos="1260"/>
        </w:tabs>
        <w:adjustRightInd w:val="0"/>
        <w:spacing w:before="260" w:line="360" w:lineRule="auto"/>
        <w:ind w:firstLine="482" w:firstLineChars="200"/>
        <w:textAlignment w:val="baseline"/>
        <w:outlineLvl w:val="2"/>
        <w:rPr>
          <w:rFonts w:ascii="宋体" w:hAnsi="宋体"/>
          <w:b/>
          <w:kern w:val="0"/>
          <w:sz w:val="24"/>
          <w:szCs w:val="24"/>
        </w:rPr>
      </w:pPr>
      <w:bookmarkStart w:id="105" w:name="_Toc57731983"/>
      <w:r>
        <w:rPr>
          <w:rFonts w:hint="eastAsia" w:ascii="宋体" w:hAnsi="宋体"/>
          <w:b/>
          <w:kern w:val="0"/>
          <w:sz w:val="24"/>
          <w:szCs w:val="24"/>
        </w:rPr>
        <w:t>六、定标</w:t>
      </w:r>
      <w:bookmarkEnd w:id="104"/>
      <w:bookmarkEnd w:id="105"/>
    </w:p>
    <w:p>
      <w:pPr>
        <w:spacing w:line="360" w:lineRule="auto"/>
        <w:ind w:firstLine="480" w:firstLineChars="200"/>
        <w:rPr>
          <w:rFonts w:ascii="宋体" w:hAnsi="宋体"/>
          <w:sz w:val="24"/>
          <w:szCs w:val="24"/>
        </w:rPr>
      </w:pPr>
      <w:bookmarkStart w:id="106" w:name="_Toc518494146"/>
      <w:r>
        <w:rPr>
          <w:rFonts w:hint="eastAsia" w:ascii="宋体" w:hAnsi="宋体"/>
          <w:sz w:val="24"/>
          <w:szCs w:val="24"/>
        </w:rPr>
        <w:t>比选人在评标工作结束后，将根据评标委员会提交的评标报告，对推荐的中选候选人进行参选文件审核，确定中选人。</w:t>
      </w:r>
    </w:p>
    <w:p>
      <w:pPr>
        <w:keepNext/>
        <w:keepLines/>
        <w:tabs>
          <w:tab w:val="left" w:pos="1260"/>
        </w:tabs>
        <w:adjustRightInd w:val="0"/>
        <w:spacing w:before="260" w:line="360" w:lineRule="auto"/>
        <w:ind w:firstLine="482" w:firstLineChars="200"/>
        <w:textAlignment w:val="baseline"/>
        <w:outlineLvl w:val="2"/>
        <w:rPr>
          <w:rFonts w:ascii="宋体" w:hAnsi="宋体"/>
          <w:b/>
          <w:kern w:val="0"/>
          <w:sz w:val="24"/>
          <w:szCs w:val="24"/>
        </w:rPr>
      </w:pPr>
      <w:bookmarkStart w:id="107" w:name="_Toc57731984"/>
      <w:r>
        <w:rPr>
          <w:rFonts w:hint="eastAsia" w:ascii="宋体" w:hAnsi="宋体"/>
          <w:b/>
          <w:kern w:val="0"/>
          <w:sz w:val="24"/>
          <w:szCs w:val="24"/>
        </w:rPr>
        <w:t>七、评标守则</w:t>
      </w:r>
      <w:bookmarkEnd w:id="106"/>
      <w:bookmarkEnd w:id="107"/>
    </w:p>
    <w:p>
      <w:pPr>
        <w:spacing w:line="360" w:lineRule="auto"/>
        <w:ind w:firstLine="480" w:firstLineChars="200"/>
        <w:rPr>
          <w:rFonts w:ascii="宋体" w:hAnsi="宋体"/>
          <w:sz w:val="24"/>
          <w:szCs w:val="24"/>
        </w:rPr>
      </w:pPr>
      <w:r>
        <w:rPr>
          <w:rFonts w:hint="eastAsia" w:ascii="宋体" w:hAnsi="宋体"/>
          <w:sz w:val="24"/>
          <w:szCs w:val="24"/>
        </w:rPr>
        <w:t>（一）必须遵守评定标纪律，不得泄密；</w:t>
      </w:r>
    </w:p>
    <w:p>
      <w:pPr>
        <w:spacing w:line="360" w:lineRule="auto"/>
        <w:ind w:firstLine="480" w:firstLineChars="200"/>
        <w:rPr>
          <w:rFonts w:ascii="宋体" w:hAnsi="宋体"/>
          <w:sz w:val="24"/>
          <w:szCs w:val="24"/>
        </w:rPr>
      </w:pPr>
      <w:r>
        <w:rPr>
          <w:rFonts w:hint="eastAsia" w:ascii="宋体" w:hAnsi="宋体"/>
          <w:sz w:val="24"/>
          <w:szCs w:val="24"/>
        </w:rPr>
        <w:t>（二）必须公正、公平，不得徇私；</w:t>
      </w:r>
    </w:p>
    <w:p>
      <w:pPr>
        <w:spacing w:line="360" w:lineRule="auto"/>
        <w:ind w:firstLine="480" w:firstLineChars="200"/>
        <w:rPr>
          <w:rFonts w:ascii="宋体" w:hAnsi="宋体"/>
          <w:sz w:val="24"/>
          <w:szCs w:val="24"/>
        </w:rPr>
      </w:pPr>
      <w:r>
        <w:rPr>
          <w:rFonts w:hint="eastAsia" w:ascii="宋体" w:hAnsi="宋体"/>
          <w:sz w:val="24"/>
          <w:szCs w:val="24"/>
        </w:rPr>
        <w:t>（三）必须科学严谨，不得草率马虎；</w:t>
      </w:r>
    </w:p>
    <w:p>
      <w:pPr>
        <w:spacing w:line="360" w:lineRule="auto"/>
        <w:ind w:firstLine="480" w:firstLineChars="200"/>
        <w:rPr>
          <w:rFonts w:ascii="宋体" w:hAnsi="宋体"/>
          <w:sz w:val="24"/>
          <w:szCs w:val="24"/>
        </w:rPr>
      </w:pPr>
      <w:r>
        <w:rPr>
          <w:rFonts w:hint="eastAsia" w:ascii="宋体" w:hAnsi="宋体"/>
          <w:sz w:val="24"/>
          <w:szCs w:val="24"/>
        </w:rPr>
        <w:t>（四）必须客观，不得带有成见；</w:t>
      </w:r>
    </w:p>
    <w:p>
      <w:pPr>
        <w:spacing w:line="360" w:lineRule="auto"/>
        <w:ind w:firstLine="480" w:firstLineChars="200"/>
        <w:rPr>
          <w:rFonts w:ascii="宋体" w:hAnsi="宋体"/>
          <w:sz w:val="24"/>
          <w:szCs w:val="24"/>
        </w:rPr>
      </w:pPr>
      <w:r>
        <w:rPr>
          <w:rFonts w:hint="eastAsia" w:ascii="宋体" w:hAnsi="宋体"/>
          <w:sz w:val="24"/>
          <w:szCs w:val="24"/>
        </w:rPr>
        <w:t>（五）必须平等，不得强加于人。</w:t>
      </w:r>
    </w:p>
    <w:p>
      <w:pPr>
        <w:pStyle w:val="3"/>
        <w:tabs>
          <w:tab w:val="left" w:pos="1050"/>
        </w:tabs>
        <w:spacing w:line="360" w:lineRule="auto"/>
        <w:ind w:left="0" w:leftChars="0" w:firstLine="482" w:firstLineChars="200"/>
        <w:rPr>
          <w:rFonts w:ascii="宋体" w:hAnsi="宋体"/>
          <w:b/>
          <w:bCs/>
          <w:sz w:val="24"/>
          <w:szCs w:val="24"/>
        </w:rPr>
      </w:pPr>
      <w:r>
        <w:rPr>
          <w:rFonts w:hint="eastAsia" w:ascii="宋体" w:hAnsi="宋体"/>
          <w:b/>
          <w:bCs/>
          <w:sz w:val="24"/>
          <w:szCs w:val="24"/>
        </w:rPr>
        <w:t>所有与比选评标活动有关的人员必须遵守国家、地方政府制定的法律、法规和市建设行政主管部门的相关规定，遵守保密制度；如有违犯，将按有关规定给予行政处分；情节严重、构成犯罪的，交由司法机关依法追究其法律。</w:t>
      </w:r>
    </w:p>
    <w:p>
      <w:pPr>
        <w:spacing w:line="360" w:lineRule="auto"/>
        <w:rPr>
          <w:rFonts w:ascii="宋体" w:hAnsi="宋体" w:cs="Arial"/>
          <w:sz w:val="24"/>
          <w:szCs w:val="24"/>
        </w:rPr>
      </w:pPr>
    </w:p>
    <w:p>
      <w:pPr>
        <w:spacing w:line="360" w:lineRule="auto"/>
        <w:rPr>
          <w:rFonts w:ascii="宋体" w:hAnsi="宋体"/>
          <w:b/>
          <w:bCs/>
          <w:sz w:val="24"/>
          <w:szCs w:val="24"/>
        </w:rPr>
      </w:pPr>
      <w:r>
        <w:rPr>
          <w:rFonts w:hint="eastAsia" w:ascii="宋体" w:hAnsi="宋体"/>
          <w:b/>
          <w:sz w:val="24"/>
          <w:szCs w:val="24"/>
        </w:rPr>
        <w:br w:type="page"/>
      </w:r>
      <w:r>
        <w:rPr>
          <w:rFonts w:hint="eastAsia" w:ascii="宋体" w:hAnsi="宋体"/>
          <w:b/>
          <w:sz w:val="24"/>
          <w:szCs w:val="24"/>
        </w:rPr>
        <w:t>附表1：参选人签到表</w:t>
      </w:r>
    </w:p>
    <w:p>
      <w:pPr>
        <w:spacing w:line="360" w:lineRule="auto"/>
        <w:ind w:firstLine="597" w:firstLineChars="249"/>
        <w:rPr>
          <w:rFonts w:ascii="宋体" w:hAnsi="宋体"/>
          <w:sz w:val="24"/>
        </w:rPr>
      </w:pPr>
    </w:p>
    <w:p>
      <w:pPr>
        <w:spacing w:line="360" w:lineRule="auto"/>
        <w:jc w:val="center"/>
        <w:rPr>
          <w:rFonts w:ascii="宋体" w:hAnsi="宋体" w:cs="宋体"/>
          <w:b/>
          <w:bCs/>
          <w:kern w:val="0"/>
          <w:sz w:val="32"/>
          <w:szCs w:val="32"/>
        </w:rPr>
      </w:pPr>
      <w:r>
        <w:rPr>
          <w:rFonts w:hint="eastAsia" w:ascii="宋体" w:hAnsi="宋体" w:cs="宋体"/>
          <w:b/>
          <w:bCs/>
          <w:kern w:val="0"/>
          <w:sz w:val="32"/>
          <w:szCs w:val="32"/>
        </w:rPr>
        <w:t>参选人签到表</w:t>
      </w:r>
    </w:p>
    <w:p>
      <w:pPr>
        <w:spacing w:line="360" w:lineRule="auto"/>
        <w:jc w:val="center"/>
        <w:rPr>
          <w:rFonts w:ascii="宋体" w:hAnsi="宋体" w:cs="宋体"/>
          <w:b/>
          <w:bCs/>
          <w:kern w:val="0"/>
          <w:sz w:val="32"/>
          <w:szCs w:val="32"/>
        </w:rPr>
      </w:pPr>
    </w:p>
    <w:p>
      <w:pPr>
        <w:spacing w:after="120" w:afterLines="50" w:line="360" w:lineRule="auto"/>
        <w:jc w:val="right"/>
        <w:rPr>
          <w:rFonts w:ascii="宋体" w:hAnsi="宋体"/>
          <w:sz w:val="24"/>
          <w:szCs w:val="24"/>
        </w:rPr>
      </w:pPr>
      <w:r>
        <w:rPr>
          <w:rFonts w:hint="eastAsia" w:ascii="宋体" w:hAnsi="宋体"/>
          <w:sz w:val="24"/>
          <w:szCs w:val="24"/>
        </w:rPr>
        <w:t>日期：       年      月     日</w:t>
      </w:r>
    </w:p>
    <w:tbl>
      <w:tblPr>
        <w:tblStyle w:val="49"/>
        <w:tblW w:w="9135" w:type="dxa"/>
        <w:jc w:val="center"/>
        <w:tblLayout w:type="fixed"/>
        <w:tblCellMar>
          <w:top w:w="0" w:type="dxa"/>
          <w:left w:w="0" w:type="dxa"/>
          <w:bottom w:w="0" w:type="dxa"/>
          <w:right w:w="0" w:type="dxa"/>
        </w:tblCellMar>
      </w:tblPr>
      <w:tblGrid>
        <w:gridCol w:w="721"/>
        <w:gridCol w:w="3060"/>
        <w:gridCol w:w="1725"/>
        <w:gridCol w:w="1951"/>
        <w:gridCol w:w="1678"/>
      </w:tblGrid>
      <w:tr>
        <w:tblPrEx>
          <w:tblCellMar>
            <w:top w:w="0" w:type="dxa"/>
            <w:left w:w="0" w:type="dxa"/>
            <w:bottom w:w="0" w:type="dxa"/>
            <w:right w:w="0" w:type="dxa"/>
          </w:tblCellMar>
        </w:tblPrEx>
        <w:trPr>
          <w:trHeight w:val="676"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b/>
                <w:bCs/>
                <w:kern w:val="0"/>
                <w:sz w:val="24"/>
                <w:szCs w:val="24"/>
              </w:rPr>
            </w:pPr>
            <w:r>
              <w:rPr>
                <w:rFonts w:hint="eastAsia" w:ascii="宋体" w:hAnsi="宋体" w:cs="Arial"/>
                <w:b/>
                <w:bCs/>
                <w:kern w:val="0"/>
                <w:sz w:val="24"/>
                <w:szCs w:val="24"/>
              </w:rPr>
              <w:t>序号</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b/>
                <w:bCs/>
                <w:kern w:val="0"/>
                <w:sz w:val="24"/>
                <w:szCs w:val="24"/>
              </w:rPr>
            </w:pPr>
            <w:r>
              <w:rPr>
                <w:rFonts w:hint="eastAsia" w:ascii="宋体" w:hAnsi="宋体" w:cs="Arial"/>
                <w:b/>
                <w:bCs/>
                <w:kern w:val="0"/>
                <w:sz w:val="24"/>
                <w:szCs w:val="24"/>
              </w:rPr>
              <w:t>参选人全称</w:t>
            </w: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b/>
                <w:bCs/>
                <w:kern w:val="0"/>
                <w:sz w:val="24"/>
                <w:szCs w:val="24"/>
              </w:rPr>
            </w:pPr>
            <w:r>
              <w:rPr>
                <w:rFonts w:hint="eastAsia" w:ascii="宋体" w:hAnsi="宋体" w:cs="Arial"/>
                <w:b/>
                <w:bCs/>
                <w:kern w:val="0"/>
                <w:sz w:val="24"/>
                <w:szCs w:val="24"/>
              </w:rPr>
              <w:t>参选人简称</w:t>
            </w: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b/>
                <w:bCs/>
                <w:kern w:val="0"/>
                <w:sz w:val="24"/>
                <w:szCs w:val="24"/>
              </w:rPr>
            </w:pPr>
            <w:r>
              <w:rPr>
                <w:rFonts w:hint="eastAsia" w:ascii="宋体" w:hAnsi="宋体" w:cs="Arial"/>
                <w:b/>
                <w:bCs/>
                <w:kern w:val="0"/>
                <w:sz w:val="24"/>
                <w:szCs w:val="24"/>
              </w:rPr>
              <w:t>参选人签字</w:t>
            </w:r>
          </w:p>
        </w:tc>
        <w:tc>
          <w:tcPr>
            <w:tcW w:w="167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b/>
                <w:bCs/>
                <w:kern w:val="0"/>
                <w:sz w:val="24"/>
                <w:szCs w:val="24"/>
              </w:rPr>
            </w:pPr>
            <w:r>
              <w:rPr>
                <w:rFonts w:hint="eastAsia" w:ascii="宋体" w:hAnsi="宋体" w:cs="Arial"/>
                <w:b/>
                <w:bCs/>
                <w:kern w:val="0"/>
                <w:sz w:val="24"/>
                <w:szCs w:val="24"/>
              </w:rPr>
              <w:t>备注</w:t>
            </w:r>
          </w:p>
        </w:tc>
      </w:tr>
      <w:tr>
        <w:tblPrEx>
          <w:tblCellMar>
            <w:top w:w="0" w:type="dxa"/>
            <w:left w:w="0" w:type="dxa"/>
            <w:bottom w:w="0" w:type="dxa"/>
            <w:right w:w="0" w:type="dxa"/>
          </w:tblCellMar>
        </w:tblPrEx>
        <w:trPr>
          <w:trHeight w:val="79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1</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69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2</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3</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699"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4</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69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5</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6</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7</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8</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9</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r>
              <w:rPr>
                <w:rFonts w:hint="eastAsia" w:ascii="宋体" w:hAnsi="宋体" w:cs="Arial"/>
                <w:kern w:val="0"/>
                <w:sz w:val="24"/>
                <w:szCs w:val="24"/>
              </w:rPr>
              <w:t>10</w:t>
            </w:r>
          </w:p>
        </w:tc>
        <w:tc>
          <w:tcPr>
            <w:tcW w:w="30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2510" w:hRule="atLeast"/>
          <w:jc w:val="center"/>
        </w:trPr>
        <w:tc>
          <w:tcPr>
            <w:tcW w:w="9135" w:type="dxa"/>
            <w:gridSpan w:val="5"/>
            <w:tcBorders>
              <w:top w:val="single" w:color="auto" w:sz="4" w:space="0"/>
              <w:left w:val="single" w:color="auto" w:sz="4" w:space="0"/>
              <w:bottom w:val="single" w:color="auto" w:sz="6" w:space="0"/>
              <w:right w:val="single" w:color="auto" w:sz="4" w:space="0"/>
            </w:tcBorders>
          </w:tcPr>
          <w:p>
            <w:pPr>
              <w:widowControl/>
              <w:spacing w:line="360" w:lineRule="auto"/>
              <w:rPr>
                <w:rFonts w:ascii="宋体" w:hAnsi="宋体"/>
                <w:sz w:val="24"/>
                <w:szCs w:val="24"/>
              </w:rPr>
            </w:pPr>
            <w:r>
              <w:rPr>
                <w:rFonts w:hint="eastAsia" w:ascii="宋体" w:hAnsi="宋体"/>
                <w:sz w:val="24"/>
                <w:szCs w:val="24"/>
              </w:rPr>
              <w:t>工作人员(签名)：</w:t>
            </w:r>
          </w:p>
          <w:p>
            <w:pPr>
              <w:widowControl/>
              <w:spacing w:line="360" w:lineRule="auto"/>
              <w:rPr>
                <w:rFonts w:ascii="宋体" w:hAnsi="宋体"/>
                <w:sz w:val="24"/>
                <w:szCs w:val="24"/>
              </w:rPr>
            </w:pPr>
          </w:p>
          <w:p>
            <w:pPr>
              <w:widowControl/>
              <w:spacing w:line="360" w:lineRule="auto"/>
              <w:rPr>
                <w:rFonts w:ascii="宋体" w:hAnsi="宋体"/>
                <w:sz w:val="24"/>
                <w:szCs w:val="24"/>
              </w:rPr>
            </w:pPr>
          </w:p>
          <w:p>
            <w:pPr>
              <w:widowControl/>
              <w:spacing w:line="360" w:lineRule="auto"/>
              <w:rPr>
                <w:rFonts w:ascii="宋体" w:hAnsi="宋体"/>
                <w:sz w:val="24"/>
                <w:szCs w:val="24"/>
              </w:rPr>
            </w:pPr>
            <w:r>
              <w:rPr>
                <w:rFonts w:hint="eastAsia" w:ascii="宋体" w:hAnsi="宋体"/>
                <w:sz w:val="24"/>
                <w:szCs w:val="24"/>
              </w:rPr>
              <w:t>监督(签名)：</w:t>
            </w:r>
          </w:p>
        </w:tc>
      </w:tr>
      <w:bookmarkEnd w:id="2"/>
      <w:bookmarkEnd w:id="3"/>
      <w:bookmarkEnd w:id="4"/>
      <w:bookmarkEnd w:id="92"/>
    </w:tbl>
    <w:p>
      <w:pPr>
        <w:widowControl/>
        <w:spacing w:line="360" w:lineRule="auto"/>
        <w:jc w:val="left"/>
        <w:rPr>
          <w:rFonts w:ascii="宋体" w:hAnsi="宋体" w:cs="Arial"/>
          <w:sz w:val="24"/>
          <w:szCs w:val="24"/>
        </w:rPr>
        <w:sectPr>
          <w:pgSz w:w="11906" w:h="16838"/>
          <w:pgMar w:top="1134" w:right="1134" w:bottom="1134" w:left="1134" w:header="1247" w:footer="737" w:gutter="0"/>
          <w:cols w:space="720" w:num="1"/>
        </w:sectPr>
      </w:pPr>
    </w:p>
    <w:p>
      <w:pPr>
        <w:spacing w:line="360" w:lineRule="auto"/>
        <w:ind w:firstLine="482" w:firstLineChars="200"/>
        <w:jc w:val="left"/>
        <w:rPr>
          <w:rFonts w:ascii="宋体" w:hAnsi="宋体" w:cs="宋体"/>
          <w:b/>
          <w:bCs/>
          <w:kern w:val="0"/>
          <w:sz w:val="24"/>
          <w:szCs w:val="24"/>
        </w:rPr>
      </w:pPr>
      <w:r>
        <w:rPr>
          <w:rFonts w:hint="eastAsia" w:ascii="宋体" w:hAnsi="宋体"/>
          <w:b/>
          <w:sz w:val="24"/>
          <w:szCs w:val="24"/>
        </w:rPr>
        <w:t>附表2</w:t>
      </w:r>
      <w:r>
        <w:rPr>
          <w:rFonts w:hint="eastAsia" w:ascii="宋体" w:hAnsi="宋体" w:cs="宋体"/>
          <w:b/>
          <w:bCs/>
          <w:kern w:val="0"/>
          <w:sz w:val="24"/>
          <w:szCs w:val="24"/>
        </w:rPr>
        <w:t>：  开标记录表</w:t>
      </w:r>
    </w:p>
    <w:p>
      <w:pPr>
        <w:snapToGrid w:val="0"/>
        <w:spacing w:line="360" w:lineRule="auto"/>
        <w:jc w:val="center"/>
        <w:outlineLvl w:val="4"/>
        <w:rPr>
          <w:rFonts w:ascii="宋体" w:hAnsi="宋体" w:cs="宋体"/>
          <w:b/>
          <w:kern w:val="0"/>
          <w:sz w:val="32"/>
          <w:szCs w:val="28"/>
        </w:rPr>
      </w:pPr>
      <w:r>
        <w:rPr>
          <w:rFonts w:hint="eastAsia" w:ascii="宋体" w:hAnsi="宋体" w:cs="宋体"/>
          <w:b/>
          <w:kern w:val="0"/>
          <w:sz w:val="32"/>
          <w:szCs w:val="28"/>
        </w:rPr>
        <w:t>开标记录表</w:t>
      </w:r>
    </w:p>
    <w:p>
      <w:pPr>
        <w:spacing w:line="360" w:lineRule="auto"/>
        <w:ind w:left="10842" w:hanging="10842" w:hangingChars="4500"/>
        <w:jc w:val="left"/>
        <w:rPr>
          <w:rFonts w:ascii="宋体" w:hAnsi="宋体"/>
          <w:sz w:val="24"/>
          <w:szCs w:val="24"/>
        </w:rPr>
      </w:pPr>
      <w:r>
        <w:rPr>
          <w:rFonts w:hint="eastAsia" w:ascii="宋体" w:hAnsi="宋体" w:cs="宋体"/>
          <w:b/>
          <w:kern w:val="0"/>
          <w:sz w:val="24"/>
          <w:szCs w:val="24"/>
        </w:rPr>
        <w:t>项目名称：</w:t>
      </w:r>
      <w:r>
        <w:rPr>
          <w:rFonts w:hint="eastAsia" w:hAnsi="宋体"/>
          <w:b/>
          <w:bCs/>
          <w:sz w:val="24"/>
          <w:szCs w:val="24"/>
          <w:u w:val="single"/>
        </w:rPr>
        <w:t>昂鹅等十</w:t>
      </w:r>
      <w:r>
        <w:rPr>
          <w:rFonts w:hAnsi="宋体"/>
          <w:b/>
          <w:bCs/>
          <w:sz w:val="24"/>
          <w:szCs w:val="24"/>
          <w:u w:val="single"/>
        </w:rPr>
        <w:t>五</w:t>
      </w:r>
      <w:r>
        <w:rPr>
          <w:rFonts w:hint="eastAsia" w:hAnsi="宋体"/>
          <w:b/>
          <w:bCs/>
          <w:sz w:val="24"/>
          <w:szCs w:val="24"/>
          <w:u w:val="single"/>
        </w:rPr>
        <w:t>个新项目税务咨询服务</w:t>
      </w:r>
      <w:r>
        <w:rPr>
          <w:rFonts w:hint="eastAsia" w:ascii="宋体" w:hAnsi="宋体" w:cs="宋体"/>
          <w:b/>
          <w:color w:val="FF0000"/>
          <w:kern w:val="0"/>
          <w:sz w:val="24"/>
          <w:szCs w:val="24"/>
        </w:rPr>
        <w:t xml:space="preserve">  </w:t>
      </w:r>
      <w:r>
        <w:rPr>
          <w:rFonts w:hint="eastAsia" w:ascii="宋体" w:hAnsi="宋体" w:cs="宋体"/>
          <w:b/>
          <w:kern w:val="0"/>
          <w:sz w:val="24"/>
          <w:szCs w:val="24"/>
        </w:rPr>
        <w:t xml:space="preserve">                                                  </w:t>
      </w:r>
      <w:r>
        <w:rPr>
          <w:rFonts w:hint="eastAsia" w:ascii="宋体" w:hAnsi="宋体"/>
          <w:sz w:val="24"/>
          <w:szCs w:val="24"/>
        </w:rPr>
        <w:t>日期： 2022年   月   日</w:t>
      </w:r>
    </w:p>
    <w:tbl>
      <w:tblPr>
        <w:tblStyle w:val="49"/>
        <w:tblW w:w="5147" w:type="pct"/>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661"/>
        <w:gridCol w:w="1556"/>
        <w:gridCol w:w="1556"/>
        <w:gridCol w:w="1556"/>
        <w:gridCol w:w="1556"/>
        <w:gridCol w:w="1556"/>
        <w:gridCol w:w="1556"/>
        <w:gridCol w:w="155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2"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56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w:t>
            </w:r>
          </w:p>
        </w:tc>
        <w:tc>
          <w:tcPr>
            <w:tcW w:w="4268" w:type="pct"/>
            <w:gridSpan w:val="8"/>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r>
              <w:rPr>
                <w:rFonts w:hint="eastAsia" w:ascii="宋体" w:hAnsi="宋体" w:cs="宋体"/>
                <w:b/>
                <w:kern w:val="0"/>
                <w:szCs w:val="21"/>
              </w:rPr>
              <w:t>参选人</w:t>
            </w:r>
            <w:r>
              <w:rPr>
                <w:rFonts w:hint="eastAsia" w:ascii="宋体" w:hAnsi="宋体"/>
                <w:b/>
                <w:bCs/>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kern w:val="0"/>
                <w:szCs w:val="21"/>
              </w:rPr>
            </w:pPr>
          </w:p>
        </w:tc>
        <w:tc>
          <w:tcPr>
            <w:tcW w:w="5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6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1</w:t>
            </w:r>
          </w:p>
        </w:tc>
        <w:tc>
          <w:tcPr>
            <w:tcW w:w="56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Cs w:val="21"/>
              </w:rPr>
            </w:pPr>
            <w:r>
              <w:rPr>
                <w:rFonts w:hint="eastAsia" w:ascii="宋体" w:hAnsi="宋体"/>
                <w:sz w:val="18"/>
                <w:szCs w:val="18"/>
              </w:rPr>
              <w:t>参选文件在截止时间前递交（电子版）</w:t>
            </w: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2"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2</w:t>
            </w:r>
          </w:p>
        </w:tc>
        <w:tc>
          <w:tcPr>
            <w:tcW w:w="56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szCs w:val="21"/>
              </w:rPr>
            </w:pPr>
            <w:r>
              <w:rPr>
                <w:rFonts w:hint="eastAsia" w:ascii="宋体" w:hAnsi="宋体"/>
                <w:bCs/>
                <w:szCs w:val="21"/>
              </w:rPr>
              <w:t>总报价（元）</w:t>
            </w: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2" w:type="pc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69"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bCs/>
                <w:szCs w:val="21"/>
              </w:rPr>
            </w:pPr>
            <w:r>
              <w:rPr>
                <w:rFonts w:hint="eastAsia" w:ascii="宋体" w:hAnsi="宋体"/>
                <w:bCs/>
                <w:szCs w:val="21"/>
              </w:rPr>
              <w:t>单个项目报价（元）</w:t>
            </w: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kern w:val="0"/>
                <w:szCs w:val="21"/>
              </w:rPr>
            </w:pPr>
          </w:p>
        </w:tc>
      </w:tr>
    </w:tbl>
    <w:p>
      <w:pPr>
        <w:pStyle w:val="3"/>
        <w:spacing w:line="360" w:lineRule="auto"/>
        <w:ind w:left="118" w:leftChars="56"/>
        <w:rPr>
          <w:rFonts w:ascii="宋体" w:hAnsi="宋体"/>
          <w:b/>
          <w:sz w:val="24"/>
          <w:szCs w:val="24"/>
        </w:rPr>
      </w:pPr>
    </w:p>
    <w:p>
      <w:pPr>
        <w:pStyle w:val="3"/>
        <w:spacing w:line="360" w:lineRule="auto"/>
        <w:ind w:left="118" w:leftChars="56"/>
        <w:rPr>
          <w:rFonts w:ascii="宋体" w:hAnsi="宋体"/>
          <w:b/>
          <w:sz w:val="24"/>
          <w:szCs w:val="24"/>
        </w:rPr>
      </w:pPr>
      <w:r>
        <w:rPr>
          <w:rFonts w:hint="eastAsia" w:ascii="宋体" w:hAnsi="宋体"/>
          <w:b/>
          <w:sz w:val="24"/>
          <w:szCs w:val="24"/>
        </w:rPr>
        <w:t>记录人签名：</w:t>
      </w:r>
    </w:p>
    <w:p>
      <w:pPr>
        <w:pStyle w:val="3"/>
        <w:spacing w:line="360" w:lineRule="auto"/>
        <w:ind w:left="118" w:leftChars="56"/>
        <w:rPr>
          <w:rFonts w:ascii="宋体" w:hAnsi="宋体"/>
          <w:b/>
          <w:sz w:val="24"/>
          <w:szCs w:val="24"/>
        </w:rPr>
      </w:pPr>
      <w:r>
        <w:rPr>
          <w:rFonts w:hint="eastAsia" w:ascii="宋体" w:hAnsi="宋体"/>
          <w:b/>
          <w:sz w:val="24"/>
          <w:szCs w:val="24"/>
        </w:rPr>
        <w:t>复核人签名：</w:t>
      </w:r>
    </w:p>
    <w:p>
      <w:pPr>
        <w:pStyle w:val="3"/>
        <w:spacing w:line="360" w:lineRule="auto"/>
        <w:ind w:left="118" w:leftChars="56"/>
        <w:rPr>
          <w:rFonts w:ascii="宋体" w:hAnsi="宋体"/>
          <w:sz w:val="24"/>
          <w:szCs w:val="24"/>
        </w:rPr>
      </w:pPr>
      <w:r>
        <w:rPr>
          <w:rFonts w:hint="eastAsia" w:ascii="宋体" w:hAnsi="宋体"/>
          <w:b/>
          <w:sz w:val="24"/>
          <w:szCs w:val="24"/>
        </w:rPr>
        <w:t>监督人签名：                                                                              日期：</w:t>
      </w:r>
      <w:r>
        <w:rPr>
          <w:rFonts w:hint="eastAsia" w:ascii="宋体" w:hAnsi="宋体"/>
          <w:sz w:val="24"/>
          <w:szCs w:val="24"/>
        </w:rPr>
        <w:t xml:space="preserve">     年    月    日</w:t>
      </w:r>
    </w:p>
    <w:p>
      <w:pPr>
        <w:pStyle w:val="43"/>
        <w:rPr>
          <w:rFonts w:ascii="宋体" w:hAnsi="宋体" w:cs="宋体"/>
          <w:b/>
          <w:bCs/>
          <w:color w:val="0D0D0D"/>
          <w:kern w:val="0"/>
          <w:sz w:val="24"/>
          <w:szCs w:val="24"/>
        </w:rPr>
      </w:pPr>
    </w:p>
    <w:p>
      <w:pPr>
        <w:pStyle w:val="43"/>
        <w:rPr>
          <w:rFonts w:ascii="宋体" w:hAnsi="宋体" w:cs="宋体"/>
          <w:b/>
          <w:bCs/>
          <w:color w:val="0D0D0D"/>
          <w:kern w:val="0"/>
          <w:sz w:val="24"/>
          <w:szCs w:val="24"/>
        </w:rPr>
      </w:pPr>
    </w:p>
    <w:p>
      <w:pPr>
        <w:pStyle w:val="43"/>
        <w:rPr>
          <w:rFonts w:ascii="宋体" w:hAnsi="宋体" w:cs="宋体"/>
          <w:b/>
          <w:bCs/>
          <w:color w:val="0D0D0D"/>
          <w:kern w:val="0"/>
          <w:sz w:val="24"/>
          <w:szCs w:val="24"/>
        </w:rPr>
      </w:pPr>
    </w:p>
    <w:p>
      <w:pPr>
        <w:spacing w:line="360" w:lineRule="auto"/>
        <w:jc w:val="left"/>
        <w:rPr>
          <w:rFonts w:ascii="宋体" w:hAnsi="宋体" w:cs="宋体"/>
          <w:b/>
          <w:bCs/>
          <w:color w:val="0D0D0D"/>
          <w:kern w:val="0"/>
          <w:sz w:val="24"/>
          <w:szCs w:val="24"/>
        </w:rPr>
      </w:pPr>
      <w:r>
        <w:rPr>
          <w:rFonts w:hint="eastAsia" w:ascii="宋体" w:hAnsi="宋体" w:cs="宋体"/>
          <w:b/>
          <w:bCs/>
          <w:color w:val="0D0D0D"/>
          <w:kern w:val="0"/>
          <w:sz w:val="24"/>
          <w:szCs w:val="24"/>
        </w:rPr>
        <w:t>附表3</w:t>
      </w:r>
      <w:r>
        <w:rPr>
          <w:rFonts w:ascii="宋体" w:hAnsi="宋体" w:cs="宋体"/>
          <w:b/>
          <w:bCs/>
          <w:color w:val="0D0D0D"/>
          <w:kern w:val="0"/>
          <w:sz w:val="24"/>
          <w:szCs w:val="24"/>
        </w:rPr>
        <w:t xml:space="preserve">:   </w:t>
      </w:r>
      <w:r>
        <w:rPr>
          <w:rFonts w:hint="eastAsia" w:ascii="宋体" w:hAnsi="宋体" w:cs="宋体"/>
          <w:b/>
          <w:bCs/>
          <w:color w:val="0D0D0D"/>
          <w:kern w:val="0"/>
          <w:sz w:val="24"/>
          <w:szCs w:val="24"/>
        </w:rPr>
        <w:t>技术标初步评审表</w:t>
      </w:r>
    </w:p>
    <w:p>
      <w:pPr>
        <w:spacing w:line="360" w:lineRule="auto"/>
        <w:jc w:val="left"/>
        <w:rPr>
          <w:rFonts w:ascii="宋体" w:hAnsi="宋体" w:cs="宋体"/>
          <w:b/>
          <w:bCs/>
          <w:kern w:val="0"/>
          <w:sz w:val="24"/>
          <w:szCs w:val="24"/>
        </w:rPr>
      </w:pPr>
    </w:p>
    <w:p>
      <w:pPr>
        <w:spacing w:line="360" w:lineRule="auto"/>
        <w:jc w:val="center"/>
        <w:rPr>
          <w:rFonts w:ascii="宋体" w:hAnsi="宋体" w:cs="宋体"/>
          <w:b/>
          <w:bCs/>
          <w:kern w:val="0"/>
          <w:sz w:val="24"/>
          <w:szCs w:val="24"/>
        </w:rPr>
      </w:pPr>
      <w:r>
        <w:rPr>
          <w:rFonts w:hint="eastAsia" w:ascii="宋体" w:hAnsi="宋体" w:cs="宋体"/>
          <w:b/>
          <w:bCs/>
          <w:kern w:val="0"/>
          <w:sz w:val="24"/>
          <w:szCs w:val="24"/>
        </w:rPr>
        <w:t>技术标初步评审表</w:t>
      </w:r>
    </w:p>
    <w:p>
      <w:pPr>
        <w:spacing w:line="360" w:lineRule="auto"/>
        <w:jc w:val="left"/>
        <w:rPr>
          <w:rFonts w:ascii="宋体" w:hAnsi="宋体"/>
          <w:sz w:val="24"/>
          <w:szCs w:val="24"/>
        </w:rPr>
      </w:pPr>
      <w:r>
        <w:rPr>
          <w:rFonts w:hint="eastAsia" w:ascii="宋体" w:hAnsi="宋体" w:cs="宋体"/>
          <w:b/>
          <w:kern w:val="0"/>
          <w:sz w:val="24"/>
          <w:szCs w:val="24"/>
        </w:rPr>
        <w:t>项目名称：</w:t>
      </w:r>
      <w:r>
        <w:rPr>
          <w:rFonts w:hint="eastAsia" w:hAnsi="宋体"/>
          <w:b/>
          <w:bCs/>
          <w:color w:val="0D0D0D"/>
          <w:sz w:val="24"/>
          <w:szCs w:val="24"/>
          <w:u w:val="single"/>
        </w:rPr>
        <w:t>昂鹅等十</w:t>
      </w:r>
      <w:r>
        <w:rPr>
          <w:rFonts w:hAnsi="宋体"/>
          <w:b/>
          <w:bCs/>
          <w:color w:val="0D0D0D"/>
          <w:sz w:val="24"/>
          <w:szCs w:val="24"/>
          <w:u w:val="single"/>
        </w:rPr>
        <w:t>五</w:t>
      </w:r>
      <w:r>
        <w:rPr>
          <w:rFonts w:hint="eastAsia" w:hAnsi="宋体"/>
          <w:b/>
          <w:bCs/>
          <w:color w:val="0D0D0D"/>
          <w:sz w:val="24"/>
          <w:szCs w:val="24"/>
          <w:u w:val="single"/>
        </w:rPr>
        <w:t>个新项目税务咨询服务</w:t>
      </w:r>
      <w:r>
        <w:rPr>
          <w:rFonts w:hint="eastAsia" w:ascii="宋体" w:hAnsi="宋体" w:cs="宋体"/>
          <w:b/>
          <w:color w:val="0D0D0D"/>
          <w:kern w:val="0"/>
          <w:sz w:val="24"/>
          <w:szCs w:val="24"/>
        </w:rPr>
        <w:t xml:space="preserve"> </w:t>
      </w:r>
      <w:r>
        <w:rPr>
          <w:rFonts w:hint="eastAsia" w:ascii="宋体" w:hAnsi="宋体" w:cs="宋体"/>
          <w:b/>
          <w:kern w:val="0"/>
          <w:sz w:val="24"/>
          <w:szCs w:val="24"/>
        </w:rPr>
        <w:t xml:space="preserve">                </w:t>
      </w:r>
    </w:p>
    <w:tbl>
      <w:tblPr>
        <w:tblStyle w:val="49"/>
        <w:tblW w:w="13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5"/>
        <w:gridCol w:w="5726"/>
        <w:gridCol w:w="1220"/>
        <w:gridCol w:w="1275"/>
        <w:gridCol w:w="1276"/>
        <w:gridCol w:w="1276"/>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jc w:val="center"/>
        </w:trPr>
        <w:tc>
          <w:tcPr>
            <w:tcW w:w="1255" w:type="dxa"/>
            <w:vMerge w:val="restart"/>
            <w:vAlign w:val="center"/>
          </w:tcPr>
          <w:p>
            <w:pPr>
              <w:spacing w:line="360" w:lineRule="auto"/>
              <w:jc w:val="center"/>
              <w:rPr>
                <w:rFonts w:ascii="宋体" w:hAnsi="宋体"/>
                <w:b/>
                <w:bCs/>
                <w:szCs w:val="21"/>
              </w:rPr>
            </w:pPr>
            <w:r>
              <w:rPr>
                <w:rFonts w:hint="eastAsia" w:ascii="宋体" w:hAnsi="宋体"/>
                <w:b/>
                <w:bCs/>
                <w:szCs w:val="21"/>
              </w:rPr>
              <w:t>序号</w:t>
            </w:r>
          </w:p>
        </w:tc>
        <w:tc>
          <w:tcPr>
            <w:tcW w:w="5726" w:type="dxa"/>
            <w:vMerge w:val="restart"/>
            <w:tcBorders>
              <w:tl2br w:val="single" w:color="auto" w:sz="4" w:space="0"/>
            </w:tcBorders>
            <w:vAlign w:val="center"/>
          </w:tcPr>
          <w:p>
            <w:pPr>
              <w:spacing w:line="360" w:lineRule="auto"/>
              <w:jc w:val="center"/>
              <w:rPr>
                <w:rFonts w:ascii="宋体" w:hAnsi="宋体"/>
                <w:b/>
                <w:bCs/>
                <w:szCs w:val="21"/>
              </w:rPr>
            </w:pPr>
            <w:r>
              <w:rPr>
                <w:rFonts w:hint="eastAsia" w:ascii="宋体" w:hAnsi="宋体"/>
                <w:b/>
                <w:bCs/>
                <w:szCs w:val="21"/>
              </w:rPr>
              <w:t>项目名称                       参选人</w:t>
            </w:r>
          </w:p>
        </w:tc>
        <w:tc>
          <w:tcPr>
            <w:tcW w:w="6379" w:type="dxa"/>
            <w:gridSpan w:val="5"/>
            <w:vAlign w:val="bottom"/>
          </w:tcPr>
          <w:p>
            <w:pPr>
              <w:spacing w:line="360" w:lineRule="auto"/>
              <w:jc w:val="center"/>
              <w:rPr>
                <w:rFonts w:ascii="宋体" w:hAnsi="宋体"/>
                <w:b/>
                <w:bCs/>
                <w:szCs w:val="21"/>
              </w:rPr>
            </w:pPr>
            <w:r>
              <w:rPr>
                <w:rFonts w:hint="eastAsia" w:ascii="宋体" w:hAnsi="宋体"/>
                <w:b/>
                <w:bCs/>
                <w:szCs w:val="21"/>
              </w:rPr>
              <w:t>参选人名称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255" w:type="dxa"/>
            <w:vMerge w:val="continue"/>
            <w:tcBorders>
              <w:bottom w:val="single" w:color="auto" w:sz="4" w:space="0"/>
            </w:tcBorders>
            <w:vAlign w:val="center"/>
          </w:tcPr>
          <w:p>
            <w:pPr>
              <w:spacing w:line="360" w:lineRule="auto"/>
              <w:jc w:val="center"/>
              <w:rPr>
                <w:rFonts w:ascii="宋体" w:hAnsi="宋体"/>
                <w:b/>
                <w:bCs/>
                <w:szCs w:val="21"/>
              </w:rPr>
            </w:pPr>
          </w:p>
        </w:tc>
        <w:tc>
          <w:tcPr>
            <w:tcW w:w="5726" w:type="dxa"/>
            <w:vMerge w:val="continue"/>
            <w:tcBorders>
              <w:bottom w:val="single" w:color="auto" w:sz="4" w:space="0"/>
            </w:tcBorders>
            <w:vAlign w:val="center"/>
          </w:tcPr>
          <w:p>
            <w:pPr>
              <w:spacing w:line="360" w:lineRule="auto"/>
              <w:jc w:val="center"/>
              <w:rPr>
                <w:rFonts w:ascii="宋体" w:hAnsi="宋体"/>
                <w:b/>
                <w:bCs/>
                <w:szCs w:val="21"/>
              </w:rPr>
            </w:pPr>
          </w:p>
        </w:tc>
        <w:tc>
          <w:tcPr>
            <w:tcW w:w="1220" w:type="dxa"/>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 w:hRule="atLeast"/>
          <w:jc w:val="center"/>
        </w:trPr>
        <w:tc>
          <w:tcPr>
            <w:tcW w:w="1255" w:type="dxa"/>
            <w:tcBorders>
              <w:bottom w:val="single" w:color="auto" w:sz="4" w:space="0"/>
            </w:tcBorders>
            <w:vAlign w:val="center"/>
          </w:tcPr>
          <w:p>
            <w:pPr>
              <w:jc w:val="center"/>
              <w:rPr>
                <w:rFonts w:ascii="宋体" w:hAnsi="宋体"/>
                <w:szCs w:val="21"/>
              </w:rPr>
            </w:pPr>
            <w:r>
              <w:rPr>
                <w:rFonts w:hint="eastAsia" w:ascii="宋体" w:hAnsi="宋体"/>
                <w:szCs w:val="21"/>
              </w:rPr>
              <w:t>1</w:t>
            </w:r>
          </w:p>
        </w:tc>
        <w:tc>
          <w:tcPr>
            <w:tcW w:w="5726" w:type="dxa"/>
            <w:tcBorders>
              <w:bottom w:val="single" w:color="auto" w:sz="4" w:space="0"/>
            </w:tcBorders>
            <w:vAlign w:val="center"/>
          </w:tcPr>
          <w:p>
            <w:pPr>
              <w:rPr>
                <w:rFonts w:ascii="宋体" w:hAnsi="宋体"/>
                <w:szCs w:val="21"/>
              </w:rPr>
            </w:pPr>
            <w:r>
              <w:rPr>
                <w:rFonts w:hint="eastAsia" w:ascii="宋体" w:hAnsi="宋体"/>
                <w:szCs w:val="21"/>
              </w:rPr>
              <w:t>参选文件按要求加盖参选人公章</w:t>
            </w:r>
          </w:p>
        </w:tc>
        <w:tc>
          <w:tcPr>
            <w:tcW w:w="1220" w:type="dxa"/>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572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参选文件经法定代表人或其委托代理人签字或盖章，或由委托代理人签字并随参选文件一起提供“法定代表人授权书”原件</w:t>
            </w:r>
          </w:p>
        </w:tc>
        <w:tc>
          <w:tcPr>
            <w:tcW w:w="1220" w:type="dxa"/>
            <w:tcBorders>
              <w:left w:val="single" w:color="auto" w:sz="4" w:space="0"/>
            </w:tcBorders>
            <w:vAlign w:val="center"/>
          </w:tcPr>
          <w:p>
            <w:pPr>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57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参选人须为于2019年9月1日前成立的税务师事务所或咨询公司，或上述单位的分支机构</w:t>
            </w:r>
            <w:r>
              <w:rPr>
                <w:rFonts w:hint="eastAsia" w:ascii="宋体" w:hAnsi="宋体"/>
                <w:b/>
                <w:bCs/>
                <w:kern w:val="0"/>
                <w:szCs w:val="21"/>
              </w:rPr>
              <w:t>（若参选人为分支机构，需提供总公司的授权文件）</w:t>
            </w:r>
            <w:r>
              <w:rPr>
                <w:rFonts w:hint="eastAsia" w:ascii="宋体" w:hAnsi="宋体"/>
                <w:szCs w:val="21"/>
              </w:rPr>
              <w:t>。</w:t>
            </w:r>
          </w:p>
        </w:tc>
        <w:tc>
          <w:tcPr>
            <w:tcW w:w="1220" w:type="dxa"/>
            <w:tcBorders>
              <w:left w:val="single" w:color="auto" w:sz="4" w:space="0"/>
            </w:tcBorders>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4</w:t>
            </w:r>
          </w:p>
        </w:tc>
        <w:tc>
          <w:tcPr>
            <w:tcW w:w="57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lang w:val="zh-CN"/>
              </w:rPr>
              <w:t>202</w:t>
            </w:r>
            <w:r>
              <w:rPr>
                <w:rFonts w:hint="eastAsia" w:ascii="宋体" w:hAnsi="宋体"/>
                <w:szCs w:val="21"/>
              </w:rPr>
              <w:t>0</w:t>
            </w:r>
            <w:r>
              <w:rPr>
                <w:rFonts w:hint="eastAsia" w:ascii="宋体" w:hAnsi="宋体"/>
                <w:szCs w:val="21"/>
                <w:lang w:val="zh-CN"/>
              </w:rPr>
              <w:t>-202</w:t>
            </w:r>
            <w:r>
              <w:rPr>
                <w:rFonts w:hint="eastAsia" w:ascii="宋体" w:hAnsi="宋体"/>
                <w:szCs w:val="21"/>
              </w:rPr>
              <w:t>2</w:t>
            </w:r>
            <w:r>
              <w:rPr>
                <w:rFonts w:hint="eastAsia" w:ascii="宋体" w:hAnsi="宋体"/>
                <w:szCs w:val="21"/>
                <w:lang w:val="zh-CN"/>
              </w:rPr>
              <w:t>年</w:t>
            </w:r>
            <w:r>
              <w:rPr>
                <w:rFonts w:hint="eastAsia" w:ascii="宋体" w:hAnsi="宋体"/>
                <w:szCs w:val="21"/>
              </w:rPr>
              <w:t>无违规证明</w:t>
            </w:r>
            <w:r>
              <w:rPr>
                <w:rFonts w:hint="eastAsia" w:ascii="宋体" w:hAnsi="宋体"/>
                <w:szCs w:val="21"/>
                <w:lang w:val="zh-CN"/>
              </w:rPr>
              <w:t>(以深圳市注册税务师协会</w:t>
            </w:r>
            <w:r>
              <w:rPr>
                <w:rFonts w:hint="eastAsia" w:ascii="宋体" w:hAnsi="宋体"/>
                <w:szCs w:val="21"/>
              </w:rPr>
              <w:t>出具的证明</w:t>
            </w:r>
            <w:r>
              <w:rPr>
                <w:rFonts w:hint="eastAsia" w:ascii="宋体" w:hAnsi="宋体"/>
                <w:szCs w:val="21"/>
                <w:lang w:val="zh-CN"/>
              </w:rPr>
              <w:t>为准）</w:t>
            </w:r>
            <w:r>
              <w:rPr>
                <w:rFonts w:hint="eastAsia" w:ascii="宋体" w:hAnsi="宋体"/>
                <w:szCs w:val="21"/>
              </w:rPr>
              <w:t>（若投标人为税务师事务所）</w:t>
            </w:r>
            <w:r>
              <w:rPr>
                <w:rFonts w:ascii="宋体" w:hAnsi="宋体" w:eastAsia="宋体" w:cs="宋体"/>
                <w:sz w:val="24"/>
                <w:szCs w:val="24"/>
              </w:rPr>
              <w:t>。 </w:t>
            </w:r>
          </w:p>
        </w:tc>
        <w:tc>
          <w:tcPr>
            <w:tcW w:w="1220" w:type="dxa"/>
            <w:tcBorders>
              <w:left w:val="single" w:color="auto" w:sz="4" w:space="0"/>
            </w:tcBorders>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5</w:t>
            </w:r>
          </w:p>
        </w:tc>
        <w:tc>
          <w:tcPr>
            <w:tcW w:w="57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注册税务师协会认定的AAA级以上（含AAA级）（2020年1月1日后授予）（若投标人为税务师事务所）。</w:t>
            </w:r>
          </w:p>
        </w:tc>
        <w:tc>
          <w:tcPr>
            <w:tcW w:w="1220" w:type="dxa"/>
            <w:tcBorders>
              <w:left w:val="single" w:color="auto" w:sz="4" w:space="0"/>
            </w:tcBorders>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6</w:t>
            </w:r>
          </w:p>
        </w:tc>
        <w:tc>
          <w:tcPr>
            <w:tcW w:w="57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2019年11月1日以来(以合同签约日期为准)，具有深圳房地产税务咨询服务经验5个项目（须为落地深圳的房地产项目）以上。</w:t>
            </w:r>
          </w:p>
        </w:tc>
        <w:tc>
          <w:tcPr>
            <w:tcW w:w="1220" w:type="dxa"/>
            <w:tcBorders>
              <w:left w:val="single" w:color="auto" w:sz="4" w:space="0"/>
            </w:tcBorders>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eastAsia="zh-CN"/>
              </w:rPr>
            </w:pPr>
            <w:r>
              <w:rPr>
                <w:rFonts w:hint="eastAsia" w:ascii="宋体" w:hAnsi="宋体"/>
                <w:szCs w:val="21"/>
                <w:lang w:val="en-US" w:eastAsia="zh-CN"/>
              </w:rPr>
              <w:t>7</w:t>
            </w:r>
          </w:p>
        </w:tc>
        <w:tc>
          <w:tcPr>
            <w:tcW w:w="57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投标人为非联合体。</w:t>
            </w:r>
          </w:p>
        </w:tc>
        <w:tc>
          <w:tcPr>
            <w:tcW w:w="1220" w:type="dxa"/>
            <w:tcBorders>
              <w:left w:val="single" w:color="auto" w:sz="4" w:space="0"/>
            </w:tcBorders>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6981" w:type="dxa"/>
            <w:gridSpan w:val="2"/>
            <w:tcBorders>
              <w:top w:val="single" w:color="auto" w:sz="4" w:space="0"/>
            </w:tcBorders>
            <w:vAlign w:val="center"/>
          </w:tcPr>
          <w:p>
            <w:pPr>
              <w:spacing w:line="360" w:lineRule="auto"/>
              <w:jc w:val="center"/>
              <w:rPr>
                <w:rFonts w:ascii="宋体" w:hAnsi="宋体"/>
                <w:szCs w:val="21"/>
              </w:rPr>
            </w:pPr>
            <w:r>
              <w:rPr>
                <w:rFonts w:hint="eastAsia" w:ascii="宋体" w:hAnsi="宋体"/>
                <w:b/>
                <w:bCs/>
                <w:szCs w:val="21"/>
              </w:rPr>
              <w:t>评审结论：</w:t>
            </w:r>
          </w:p>
        </w:tc>
        <w:tc>
          <w:tcPr>
            <w:tcW w:w="1220" w:type="dxa"/>
            <w:vAlign w:val="center"/>
          </w:tcPr>
          <w:p>
            <w:pPr>
              <w:spacing w:line="360" w:lineRule="auto"/>
              <w:jc w:val="center"/>
              <w:rPr>
                <w:rFonts w:ascii="宋体" w:hAnsi="宋体"/>
                <w:szCs w:val="21"/>
              </w:rPr>
            </w:pPr>
          </w:p>
        </w:tc>
        <w:tc>
          <w:tcPr>
            <w:tcW w:w="1275"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276" w:type="dxa"/>
          </w:tcPr>
          <w:p>
            <w:pPr>
              <w:spacing w:line="360" w:lineRule="auto"/>
              <w:jc w:val="center"/>
              <w:rPr>
                <w:rFonts w:ascii="宋体" w:hAnsi="宋体"/>
                <w:szCs w:val="21"/>
              </w:rPr>
            </w:pPr>
          </w:p>
        </w:tc>
        <w:tc>
          <w:tcPr>
            <w:tcW w:w="1332" w:type="dxa"/>
          </w:tcPr>
          <w:p>
            <w:pPr>
              <w:spacing w:line="360" w:lineRule="auto"/>
              <w:jc w:val="center"/>
              <w:rPr>
                <w:rFonts w:ascii="宋体" w:hAnsi="宋体"/>
                <w:szCs w:val="21"/>
              </w:rPr>
            </w:pPr>
          </w:p>
        </w:tc>
      </w:tr>
    </w:tbl>
    <w:p>
      <w:pPr>
        <w:tabs>
          <w:tab w:val="left" w:pos="0"/>
        </w:tabs>
        <w:snapToGrid w:val="0"/>
        <w:spacing w:line="360" w:lineRule="auto"/>
        <w:ind w:firstLine="422" w:firstLineChars="200"/>
        <w:rPr>
          <w:rFonts w:ascii="宋体" w:hAnsi="宋体"/>
          <w:szCs w:val="21"/>
        </w:rPr>
      </w:pPr>
      <w:r>
        <w:rPr>
          <w:rFonts w:hint="eastAsia" w:ascii="宋体" w:hAnsi="宋体"/>
          <w:b/>
          <w:szCs w:val="21"/>
        </w:rPr>
        <w:t>说明：</w:t>
      </w:r>
      <w:r>
        <w:rPr>
          <w:rFonts w:hint="eastAsia" w:ascii="宋体" w:hAnsi="宋体"/>
          <w:szCs w:val="21"/>
        </w:rPr>
        <w:t>1、评审通过的用“√”表示，未通过的用“×”表示。结论用“合格”或“不合格”表示。</w:t>
      </w:r>
    </w:p>
    <w:p>
      <w:pPr>
        <w:tabs>
          <w:tab w:val="left" w:pos="0"/>
        </w:tabs>
        <w:snapToGrid w:val="0"/>
        <w:spacing w:line="360" w:lineRule="auto"/>
        <w:ind w:firstLine="1050" w:firstLineChars="500"/>
        <w:rPr>
          <w:rFonts w:ascii="宋体" w:hAnsi="宋体"/>
          <w:color w:val="0D0D0D"/>
          <w:szCs w:val="21"/>
        </w:rPr>
      </w:pPr>
      <w:r>
        <w:rPr>
          <w:rFonts w:hint="eastAsia" w:ascii="宋体" w:hAnsi="宋体"/>
          <w:color w:val="0D0D0D"/>
          <w:szCs w:val="21"/>
        </w:rPr>
        <w:t>2、只有以上项目全部通过，评审结论为“合格”，否则结论为“不合格”。</w:t>
      </w:r>
    </w:p>
    <w:p>
      <w:pPr>
        <w:widowControl/>
        <w:spacing w:line="360" w:lineRule="auto"/>
        <w:rPr>
          <w:rFonts w:ascii="宋体" w:hAnsi="宋体"/>
          <w:b/>
          <w:sz w:val="24"/>
          <w:szCs w:val="24"/>
        </w:rPr>
      </w:pPr>
      <w:r>
        <w:rPr>
          <w:rFonts w:hint="eastAsia" w:ascii="宋体" w:hAnsi="宋体"/>
          <w:b/>
          <w:sz w:val="24"/>
          <w:szCs w:val="24"/>
        </w:rPr>
        <w:t>评标</w:t>
      </w:r>
      <w:r>
        <w:rPr>
          <w:rFonts w:ascii="宋体" w:hAnsi="宋体"/>
          <w:b/>
          <w:sz w:val="24"/>
          <w:szCs w:val="24"/>
        </w:rPr>
        <w:t>委员会</w:t>
      </w:r>
      <w:r>
        <w:rPr>
          <w:rFonts w:hint="eastAsia" w:ascii="宋体" w:hAnsi="宋体"/>
          <w:b/>
          <w:sz w:val="24"/>
          <w:szCs w:val="24"/>
        </w:rPr>
        <w:t xml:space="preserve">（签名）：       </w:t>
      </w:r>
    </w:p>
    <w:p>
      <w:pPr>
        <w:widowControl/>
        <w:spacing w:line="360" w:lineRule="auto"/>
        <w:rPr>
          <w:rFonts w:ascii="宋体" w:hAnsi="宋体"/>
          <w:b/>
          <w:sz w:val="24"/>
          <w:szCs w:val="24"/>
        </w:rPr>
      </w:pPr>
      <w:r>
        <w:rPr>
          <w:rFonts w:hint="eastAsia" w:ascii="宋体" w:hAnsi="宋体"/>
          <w:b/>
          <w:sz w:val="24"/>
          <w:szCs w:val="24"/>
        </w:rPr>
        <w:t xml:space="preserve">监督（签名）：                         </w:t>
      </w:r>
    </w:p>
    <w:p>
      <w:pPr>
        <w:tabs>
          <w:tab w:val="left" w:pos="0"/>
        </w:tabs>
        <w:snapToGrid w:val="0"/>
        <w:spacing w:line="360" w:lineRule="auto"/>
        <w:jc w:val="right"/>
        <w:sectPr>
          <w:pgSz w:w="16840" w:h="11907" w:orient="landscape"/>
          <w:pgMar w:top="1440" w:right="1440" w:bottom="1134" w:left="1440" w:header="720" w:footer="890" w:gutter="0"/>
          <w:cols w:space="720" w:num="1"/>
        </w:sectPr>
      </w:pPr>
      <w:r>
        <w:rPr>
          <w:rFonts w:ascii="宋体" w:hAnsi="宋体"/>
          <w:b/>
          <w:color w:val="0D0D0D"/>
          <w:szCs w:val="21"/>
        </w:rPr>
        <w:t xml:space="preserve">           </w:t>
      </w:r>
      <w:r>
        <w:rPr>
          <w:rFonts w:hint="eastAsia" w:ascii="宋体" w:hAnsi="宋体"/>
          <w:b/>
          <w:color w:val="0D0D0D"/>
          <w:szCs w:val="21"/>
        </w:rPr>
        <w:t>日期：2022年  月   日</w:t>
      </w:r>
      <w:r>
        <w:rPr>
          <w:rFonts w:ascii="宋体" w:hAnsi="宋体"/>
          <w:b/>
          <w:color w:val="0D0D0D"/>
          <w:szCs w:val="21"/>
        </w:rPr>
        <w:t xml:space="preserve"> </w:t>
      </w:r>
    </w:p>
    <w:p>
      <w:pPr>
        <w:spacing w:line="360" w:lineRule="auto"/>
        <w:jc w:val="left"/>
        <w:rPr>
          <w:rFonts w:ascii="宋体" w:hAnsi="宋体"/>
          <w:b/>
          <w:bCs/>
          <w:snapToGrid w:val="0"/>
          <w:sz w:val="24"/>
          <w:szCs w:val="24"/>
        </w:rPr>
      </w:pPr>
      <w:r>
        <w:rPr>
          <w:rFonts w:hint="eastAsia" w:ascii="宋体" w:hAnsi="宋体" w:cs="宋体"/>
          <w:b/>
          <w:bCs/>
          <w:color w:val="0D0D0D"/>
          <w:kern w:val="0"/>
          <w:sz w:val="24"/>
          <w:szCs w:val="24"/>
        </w:rPr>
        <w:t xml:space="preserve"> </w:t>
      </w:r>
      <w:r>
        <w:rPr>
          <w:rFonts w:hint="eastAsia" w:ascii="宋体" w:hAnsi="宋体"/>
          <w:b/>
          <w:snapToGrid w:val="0"/>
          <w:sz w:val="24"/>
          <w:szCs w:val="24"/>
        </w:rPr>
        <w:t>附表4：技术标详细评审表</w:t>
      </w:r>
    </w:p>
    <w:p>
      <w:pPr>
        <w:spacing w:line="360" w:lineRule="auto"/>
        <w:jc w:val="center"/>
        <w:rPr>
          <w:rFonts w:ascii="宋体" w:hAnsi="宋体"/>
          <w:b/>
          <w:bCs/>
          <w:snapToGrid w:val="0"/>
          <w:sz w:val="24"/>
          <w:szCs w:val="24"/>
        </w:rPr>
      </w:pPr>
      <w:r>
        <w:rPr>
          <w:rFonts w:hint="eastAsia" w:ascii="宋体" w:hAnsi="宋体"/>
          <w:b/>
          <w:bCs/>
          <w:snapToGrid w:val="0"/>
          <w:sz w:val="24"/>
          <w:szCs w:val="24"/>
        </w:rPr>
        <w:t>技术标详细评审表（</w:t>
      </w:r>
      <w:r>
        <w:rPr>
          <w:rFonts w:ascii="宋体" w:hAnsi="宋体"/>
          <w:b/>
          <w:bCs/>
          <w:snapToGrid w:val="0"/>
          <w:sz w:val="24"/>
          <w:szCs w:val="24"/>
        </w:rPr>
        <w:t>50</w:t>
      </w:r>
      <w:r>
        <w:rPr>
          <w:rFonts w:hint="eastAsia" w:ascii="宋体" w:hAnsi="宋体"/>
          <w:b/>
          <w:bCs/>
          <w:snapToGrid w:val="0"/>
          <w:sz w:val="24"/>
          <w:szCs w:val="24"/>
        </w:rPr>
        <w:t>分）</w:t>
      </w:r>
    </w:p>
    <w:p>
      <w:pPr>
        <w:spacing w:line="360" w:lineRule="auto"/>
        <w:jc w:val="left"/>
        <w:rPr>
          <w:rFonts w:ascii="宋体" w:hAnsi="宋体"/>
          <w:b/>
          <w:bCs/>
          <w:snapToGrid w:val="0"/>
          <w:sz w:val="24"/>
          <w:szCs w:val="24"/>
        </w:rPr>
      </w:pPr>
      <w:r>
        <w:rPr>
          <w:rFonts w:hint="eastAsia" w:ascii="宋体" w:hAnsi="宋体"/>
          <w:b/>
          <w:bCs/>
          <w:snapToGrid w:val="0"/>
          <w:sz w:val="24"/>
          <w:szCs w:val="24"/>
        </w:rPr>
        <w:t>项目名称：</w:t>
      </w:r>
      <w:r>
        <w:rPr>
          <w:rFonts w:hint="eastAsia" w:hAnsi="宋体"/>
          <w:b/>
          <w:bCs/>
          <w:color w:val="0D0D0D"/>
          <w:sz w:val="24"/>
          <w:szCs w:val="24"/>
          <w:u w:val="single"/>
        </w:rPr>
        <w:t>昂鹅等十</w:t>
      </w:r>
      <w:r>
        <w:rPr>
          <w:rFonts w:hAnsi="宋体"/>
          <w:b/>
          <w:bCs/>
          <w:color w:val="0D0D0D"/>
          <w:sz w:val="24"/>
          <w:szCs w:val="24"/>
          <w:u w:val="single"/>
        </w:rPr>
        <w:t>五</w:t>
      </w:r>
      <w:r>
        <w:rPr>
          <w:rFonts w:hint="eastAsia" w:hAnsi="宋体"/>
          <w:b/>
          <w:bCs/>
          <w:color w:val="0D0D0D"/>
          <w:sz w:val="24"/>
          <w:szCs w:val="24"/>
          <w:u w:val="single"/>
        </w:rPr>
        <w:t>个新项目税务咨询服务</w:t>
      </w:r>
    </w:p>
    <w:p>
      <w:pPr>
        <w:widowControl/>
        <w:spacing w:line="360" w:lineRule="auto"/>
        <w:rPr>
          <w:rFonts w:ascii="宋体" w:hAnsi="宋体"/>
        </w:rPr>
      </w:pPr>
    </w:p>
    <w:tbl>
      <w:tblPr>
        <w:tblStyle w:val="49"/>
        <w:tblW w:w="14907" w:type="dxa"/>
        <w:tblInd w:w="-57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5B9BD5"/>
        <w:tblLayout w:type="fixed"/>
        <w:tblCellMar>
          <w:top w:w="0" w:type="dxa"/>
          <w:left w:w="0" w:type="dxa"/>
          <w:bottom w:w="0" w:type="dxa"/>
          <w:right w:w="0" w:type="dxa"/>
        </w:tblCellMar>
      </w:tblPr>
      <w:tblGrid>
        <w:gridCol w:w="709"/>
        <w:gridCol w:w="1204"/>
        <w:gridCol w:w="6167"/>
        <w:gridCol w:w="1393"/>
        <w:gridCol w:w="1102"/>
        <w:gridCol w:w="992"/>
        <w:gridCol w:w="992"/>
        <w:gridCol w:w="1134"/>
        <w:gridCol w:w="121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5B9BD5"/>
          <w:tblCellMar>
            <w:top w:w="0" w:type="dxa"/>
            <w:left w:w="0" w:type="dxa"/>
            <w:bottom w:w="0" w:type="dxa"/>
            <w:right w:w="0" w:type="dxa"/>
          </w:tblCellMar>
        </w:tblPrEx>
        <w:trPr>
          <w:trHeight w:val="195" w:hRule="atLeast"/>
          <w:tblHeader/>
        </w:trPr>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szCs w:val="21"/>
              </w:rPr>
            </w:pPr>
            <w:r>
              <w:rPr>
                <w:rFonts w:hint="eastAsia" w:ascii="宋体" w:hAnsi="宋体" w:cs="宋体"/>
                <w:b/>
                <w:bCs/>
                <w:szCs w:val="21"/>
                <w:lang w:val="zh-TW" w:eastAsia="zh-TW"/>
              </w:rPr>
              <w:t>编号</w:t>
            </w:r>
          </w:p>
        </w:tc>
        <w:tc>
          <w:tcPr>
            <w:tcW w:w="12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szCs w:val="21"/>
              </w:rPr>
            </w:pPr>
            <w:r>
              <w:rPr>
                <w:rFonts w:hint="eastAsia" w:ascii="宋体" w:hAnsi="宋体" w:cs="宋体"/>
                <w:b/>
                <w:bCs/>
                <w:szCs w:val="21"/>
                <w:lang w:val="zh-TW" w:eastAsia="zh-TW"/>
              </w:rPr>
              <w:t>比选项目</w:t>
            </w:r>
          </w:p>
        </w:tc>
        <w:tc>
          <w:tcPr>
            <w:tcW w:w="6167"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szCs w:val="21"/>
              </w:rPr>
            </w:pPr>
            <w:r>
              <w:rPr>
                <w:rFonts w:hint="eastAsia" w:ascii="宋体" w:hAnsi="宋体" w:cs="宋体"/>
                <w:b/>
                <w:bCs/>
                <w:szCs w:val="21"/>
                <w:lang w:val="zh-TW" w:eastAsia="zh-TW"/>
              </w:rPr>
              <w:t>评分标准</w:t>
            </w:r>
          </w:p>
        </w:tc>
        <w:tc>
          <w:tcPr>
            <w:tcW w:w="1393" w:type="dxa"/>
            <w:vMerge w:val="restart"/>
            <w:tcBorders>
              <w:top w:val="single" w:color="auto" w:sz="4" w:space="0"/>
              <w:left w:val="single" w:color="000000" w:sz="4" w:space="0"/>
              <w:right w:val="single" w:color="auto" w:sz="4" w:space="0"/>
            </w:tcBorders>
            <w:shd w:val="clear" w:color="auto" w:fill="auto"/>
          </w:tcPr>
          <w:p>
            <w:pPr>
              <w:spacing w:line="240" w:lineRule="exact"/>
              <w:jc w:val="center"/>
              <w:rPr>
                <w:rFonts w:ascii="宋体" w:hAnsi="宋体" w:cs="宋体"/>
                <w:szCs w:val="21"/>
              </w:rPr>
            </w:pPr>
            <w:r>
              <w:rPr>
                <w:rFonts w:hint="eastAsia" w:ascii="宋体" w:hAnsi="宋体" w:cs="宋体"/>
                <w:b/>
                <w:bCs/>
                <w:szCs w:val="21"/>
                <w:lang w:val="zh-TW" w:eastAsia="zh-TW"/>
              </w:rPr>
              <w:t>满分值</w:t>
            </w:r>
          </w:p>
        </w:tc>
        <w:tc>
          <w:tcPr>
            <w:tcW w:w="5434" w:type="dxa"/>
            <w:gridSpan w:val="5"/>
            <w:tcBorders>
              <w:top w:val="single" w:color="auto" w:sz="4" w:space="0"/>
              <w:left w:val="single" w:color="000000" w:sz="4" w:space="0"/>
              <w:bottom w:val="single" w:color="auto" w:sz="4" w:space="0"/>
              <w:right w:val="single" w:color="auto" w:sz="4" w:space="0"/>
            </w:tcBorders>
            <w:shd w:val="clear" w:color="auto" w:fill="auto"/>
          </w:tcPr>
          <w:p>
            <w:pPr>
              <w:spacing w:line="240" w:lineRule="exact"/>
              <w:jc w:val="center"/>
              <w:rPr>
                <w:rFonts w:ascii="宋体" w:hAnsi="宋体" w:cs="宋体"/>
                <w:b/>
                <w:bCs/>
                <w:szCs w:val="21"/>
                <w:lang w:val="zh-TW"/>
              </w:rPr>
            </w:pPr>
            <w:r>
              <w:rPr>
                <w:rFonts w:hint="eastAsia" w:ascii="宋体" w:hAnsi="宋体" w:cs="宋体"/>
                <w:b/>
                <w:bCs/>
                <w:szCs w:val="21"/>
                <w:lang w:val="zh-TW"/>
              </w:rPr>
              <w:t>参选人名称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5" w:hRule="atLeast"/>
          <w:tblHeader/>
        </w:trPr>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szCs w:val="21"/>
              </w:rPr>
            </w:pPr>
          </w:p>
        </w:tc>
        <w:tc>
          <w:tcPr>
            <w:tcW w:w="1204"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szCs w:val="21"/>
              </w:rPr>
            </w:pPr>
          </w:p>
        </w:tc>
        <w:tc>
          <w:tcPr>
            <w:tcW w:w="6167"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szCs w:val="21"/>
              </w:rPr>
            </w:pPr>
          </w:p>
        </w:tc>
        <w:tc>
          <w:tcPr>
            <w:tcW w:w="1393" w:type="dxa"/>
            <w:vMerge w:val="continue"/>
            <w:tcBorders>
              <w:left w:val="single" w:color="000000" w:sz="4" w:space="0"/>
              <w:bottom w:val="single" w:color="auto" w:sz="4" w:space="0"/>
              <w:right w:val="single" w:color="auto" w:sz="4" w:space="0"/>
            </w:tcBorders>
            <w:shd w:val="clear" w:color="auto" w:fill="auto"/>
          </w:tcPr>
          <w:p>
            <w:pPr>
              <w:spacing w:line="240" w:lineRule="exact"/>
              <w:jc w:val="center"/>
              <w:rPr>
                <w:szCs w:val="21"/>
              </w:rPr>
            </w:pPr>
          </w:p>
        </w:tc>
        <w:tc>
          <w:tcPr>
            <w:tcW w:w="1102" w:type="dxa"/>
            <w:tcBorders>
              <w:top w:val="single" w:color="auto" w:sz="4" w:space="0"/>
              <w:left w:val="single" w:color="000000" w:sz="4" w:space="0"/>
              <w:bottom w:val="single" w:color="auto" w:sz="4" w:space="0"/>
              <w:right w:val="single" w:color="auto" w:sz="4" w:space="0"/>
            </w:tcBorders>
            <w:shd w:val="clear" w:color="auto" w:fill="auto"/>
          </w:tcPr>
          <w:p>
            <w:pPr>
              <w:spacing w:line="240" w:lineRule="exact"/>
              <w:jc w:val="center"/>
              <w:rPr>
                <w:rFonts w:ascii="宋体" w:hAnsi="宋体" w:cs="宋体"/>
                <w:b/>
                <w:bCs/>
                <w:szCs w:val="21"/>
                <w:lang w:val="zh-TW" w:eastAsia="zh-TW"/>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spacing w:line="240" w:lineRule="exact"/>
              <w:jc w:val="center"/>
              <w:rPr>
                <w:rFonts w:ascii="宋体" w:hAnsi="宋体" w:cs="宋体"/>
                <w:b/>
                <w:bCs/>
                <w:szCs w:val="21"/>
                <w:lang w:val="zh-TW" w:eastAsia="zh-TW"/>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spacing w:line="240" w:lineRule="exact"/>
              <w:jc w:val="center"/>
              <w:rPr>
                <w:rFonts w:ascii="宋体" w:hAnsi="宋体" w:cs="宋体"/>
                <w:b/>
                <w:bCs/>
                <w:szCs w:val="21"/>
                <w:lang w:val="zh-TW" w:eastAsia="zh-TW"/>
              </w:rPr>
            </w:pPr>
          </w:p>
        </w:tc>
        <w:tc>
          <w:tcPr>
            <w:tcW w:w="1134" w:type="dxa"/>
            <w:tcBorders>
              <w:top w:val="single" w:color="auto" w:sz="4" w:space="0"/>
              <w:left w:val="single" w:color="000000" w:sz="4" w:space="0"/>
              <w:bottom w:val="single" w:color="auto" w:sz="4" w:space="0"/>
              <w:right w:val="single" w:color="auto" w:sz="4" w:space="0"/>
            </w:tcBorders>
            <w:shd w:val="clear" w:color="auto" w:fill="auto"/>
          </w:tcPr>
          <w:p>
            <w:pPr>
              <w:spacing w:line="240" w:lineRule="exact"/>
              <w:jc w:val="center"/>
              <w:rPr>
                <w:rFonts w:ascii="宋体" w:hAnsi="宋体" w:cs="宋体"/>
                <w:b/>
                <w:bCs/>
                <w:szCs w:val="21"/>
                <w:lang w:val="zh-TW" w:eastAsia="zh-TW"/>
              </w:rPr>
            </w:pPr>
          </w:p>
        </w:tc>
        <w:tc>
          <w:tcPr>
            <w:tcW w:w="1214" w:type="dxa"/>
            <w:tcBorders>
              <w:top w:val="single" w:color="auto" w:sz="4" w:space="0"/>
              <w:left w:val="single" w:color="000000" w:sz="4" w:space="0"/>
              <w:bottom w:val="single" w:color="auto" w:sz="4" w:space="0"/>
              <w:right w:val="single" w:color="auto" w:sz="4" w:space="0"/>
            </w:tcBorders>
            <w:shd w:val="clear" w:color="auto" w:fill="auto"/>
          </w:tcPr>
          <w:p>
            <w:pPr>
              <w:spacing w:line="240" w:lineRule="exact"/>
              <w:jc w:val="center"/>
              <w:rPr>
                <w:rFonts w:ascii="宋体" w:hAnsi="宋体" w:cs="宋体"/>
                <w:b/>
                <w:bCs/>
                <w:szCs w:val="21"/>
                <w:lang w:val="zh-TW" w:eastAsia="zh-TW"/>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486" w:hRule="atLeast"/>
        </w:trPr>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szCs w:val="21"/>
              </w:rPr>
            </w:pPr>
            <w:r>
              <w:rPr>
                <w:rFonts w:hint="eastAsia" w:ascii="宋体" w:hAnsi="宋体" w:cs="宋体"/>
                <w:szCs w:val="21"/>
              </w:rPr>
              <w:t>1</w:t>
            </w:r>
          </w:p>
        </w:tc>
        <w:tc>
          <w:tcPr>
            <w:tcW w:w="12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spacing w:line="260" w:lineRule="exact"/>
              <w:jc w:val="center"/>
              <w:rPr>
                <w:rFonts w:ascii="宋体" w:hAnsi="宋体" w:cs="宋体"/>
                <w:szCs w:val="21"/>
                <w:lang w:val="zh-TW" w:eastAsia="zh-TW"/>
              </w:rPr>
            </w:pPr>
          </w:p>
          <w:p>
            <w:pPr>
              <w:spacing w:line="260" w:lineRule="exact"/>
              <w:jc w:val="center"/>
              <w:rPr>
                <w:rFonts w:ascii="宋体" w:hAnsi="宋体" w:cs="宋体"/>
                <w:szCs w:val="21"/>
                <w:lang w:val="zh-TW" w:eastAsia="zh-TW"/>
              </w:rPr>
            </w:pPr>
            <w:r>
              <w:rPr>
                <w:rFonts w:hint="eastAsia" w:ascii="宋体" w:hAnsi="宋体" w:cs="宋体"/>
                <w:szCs w:val="21"/>
                <w:lang w:val="zh-TW" w:eastAsia="zh-TW"/>
              </w:rPr>
              <w:t>机构实力与优势</w:t>
            </w:r>
          </w:p>
        </w:tc>
        <w:tc>
          <w:tcPr>
            <w:tcW w:w="616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237"/>
              <w:tabs>
                <w:tab w:val="left" w:pos="0"/>
              </w:tabs>
              <w:spacing w:line="260" w:lineRule="exact"/>
              <w:ind w:firstLine="0"/>
              <w:jc w:val="left"/>
              <w:rPr>
                <w:rFonts w:ascii="宋体" w:hAnsi="宋体" w:cs="宋体"/>
                <w:szCs w:val="21"/>
                <w:lang w:val="zh-TW" w:eastAsia="zh-TW"/>
              </w:rPr>
            </w:pPr>
            <w:r>
              <w:rPr>
                <w:rFonts w:hint="eastAsia" w:ascii="宋体" w:hAnsi="宋体" w:cs="宋体"/>
                <w:szCs w:val="21"/>
                <w:lang w:val="zh-TW" w:eastAsia="zh-TW"/>
              </w:rPr>
              <w:t>20</w:t>
            </w:r>
            <w:r>
              <w:rPr>
                <w:rFonts w:hint="eastAsia" w:ascii="宋体" w:hAnsi="宋体" w:cs="宋体"/>
                <w:szCs w:val="21"/>
              </w:rPr>
              <w:t>19</w:t>
            </w:r>
            <w:r>
              <w:rPr>
                <w:rFonts w:hint="eastAsia" w:ascii="宋体" w:hAnsi="宋体" w:cs="宋体"/>
                <w:szCs w:val="21"/>
                <w:lang w:val="zh-TW" w:eastAsia="zh-TW"/>
              </w:rPr>
              <w:t>年</w:t>
            </w:r>
            <w:r>
              <w:rPr>
                <w:rFonts w:hint="eastAsia" w:ascii="宋体" w:hAnsi="宋体" w:cs="宋体"/>
                <w:szCs w:val="21"/>
              </w:rPr>
              <w:t>11</w:t>
            </w:r>
            <w:r>
              <w:rPr>
                <w:rFonts w:hint="eastAsia" w:ascii="宋体" w:hAnsi="宋体" w:cs="宋体"/>
                <w:szCs w:val="21"/>
                <w:lang w:val="zh-TW" w:eastAsia="zh-TW"/>
              </w:rPr>
              <w:t>月1日至今</w:t>
            </w:r>
            <w:r>
              <w:rPr>
                <w:rFonts w:hint="eastAsia" w:ascii="宋体" w:hAnsi="宋体"/>
                <w:color w:val="0D0D0D"/>
                <w:kern w:val="0"/>
                <w:szCs w:val="21"/>
              </w:rPr>
              <w:t>(以</w:t>
            </w:r>
            <w:r>
              <w:rPr>
                <w:rFonts w:ascii="宋体" w:hAnsi="宋体"/>
                <w:color w:val="0D0D0D"/>
                <w:kern w:val="0"/>
                <w:szCs w:val="21"/>
              </w:rPr>
              <w:t>合同签</w:t>
            </w:r>
            <w:r>
              <w:rPr>
                <w:rFonts w:hint="eastAsia" w:ascii="宋体" w:hAnsi="宋体"/>
                <w:color w:val="0D0D0D"/>
                <w:kern w:val="0"/>
                <w:szCs w:val="21"/>
              </w:rPr>
              <w:t>约</w:t>
            </w:r>
            <w:r>
              <w:rPr>
                <w:rFonts w:ascii="宋体" w:hAnsi="宋体"/>
                <w:color w:val="0D0D0D"/>
                <w:kern w:val="0"/>
                <w:szCs w:val="21"/>
              </w:rPr>
              <w:t>日期</w:t>
            </w:r>
            <w:r>
              <w:rPr>
                <w:rFonts w:hint="eastAsia" w:ascii="宋体" w:hAnsi="宋体"/>
                <w:color w:val="0D0D0D"/>
                <w:kern w:val="0"/>
                <w:szCs w:val="21"/>
              </w:rPr>
              <w:t>为准)</w:t>
            </w:r>
            <w:r>
              <w:rPr>
                <w:rFonts w:hint="eastAsia" w:ascii="宋体" w:hAnsi="宋体" w:cs="宋体"/>
                <w:szCs w:val="21"/>
                <w:lang w:val="zh-TW" w:eastAsia="zh-TW"/>
              </w:rPr>
              <w:t>，为</w:t>
            </w:r>
            <w:r>
              <w:rPr>
                <w:rFonts w:hint="eastAsia" w:ascii="宋体" w:hAnsi="宋体" w:cs="宋体"/>
                <w:szCs w:val="21"/>
              </w:rPr>
              <w:t>落地深圳市的</w:t>
            </w:r>
            <w:r>
              <w:rPr>
                <w:rFonts w:hint="eastAsia" w:ascii="宋体" w:hAnsi="宋体" w:cs="宋体"/>
                <w:szCs w:val="21"/>
                <w:lang w:val="zh-TW" w:eastAsia="zh-TW"/>
              </w:rPr>
              <w:t>房地产</w:t>
            </w:r>
            <w:r>
              <w:rPr>
                <w:rFonts w:hint="eastAsia" w:ascii="宋体" w:hAnsi="宋体" w:cs="宋体"/>
                <w:szCs w:val="21"/>
              </w:rPr>
              <w:t>项目</w:t>
            </w:r>
            <w:r>
              <w:rPr>
                <w:rFonts w:hint="eastAsia" w:ascii="宋体" w:hAnsi="宋体" w:cs="宋体"/>
                <w:szCs w:val="21"/>
                <w:lang w:val="zh-TW" w:eastAsia="zh-TW"/>
              </w:rPr>
              <w:t>提供过税务咨询服务</w:t>
            </w:r>
            <w:r>
              <w:rPr>
                <w:rFonts w:hint="eastAsia" w:ascii="宋体" w:hAnsi="宋体" w:cs="宋体"/>
                <w:szCs w:val="21"/>
              </w:rPr>
              <w:t>5个以上</w:t>
            </w:r>
            <w:r>
              <w:rPr>
                <w:rFonts w:hint="eastAsia" w:ascii="宋体" w:hAnsi="宋体" w:cs="宋体"/>
                <w:szCs w:val="21"/>
                <w:lang w:val="zh-TW" w:eastAsia="zh-TW"/>
              </w:rPr>
              <w:t>，并提供合同复印件（需提供合同关键页）</w:t>
            </w:r>
            <w:r>
              <w:rPr>
                <w:rFonts w:hint="eastAsia" w:ascii="宋体" w:hAnsi="宋体" w:cs="宋体"/>
                <w:szCs w:val="21"/>
                <w:lang w:val="zh-TW"/>
              </w:rPr>
              <w:t>，</w:t>
            </w:r>
            <w:r>
              <w:rPr>
                <w:rFonts w:hint="eastAsia" w:ascii="宋体" w:hAnsi="宋体" w:cs="宋体"/>
                <w:szCs w:val="21"/>
              </w:rPr>
              <w:t>超过5个以上，第6个起</w:t>
            </w:r>
            <w:r>
              <w:rPr>
                <w:rFonts w:hint="eastAsia" w:ascii="宋体" w:hAnsi="宋体" w:cs="宋体"/>
                <w:szCs w:val="21"/>
                <w:lang w:val="zh-TW" w:eastAsia="zh-TW"/>
              </w:rPr>
              <w:t>每1个加</w:t>
            </w:r>
            <w:r>
              <w:rPr>
                <w:rFonts w:hint="eastAsia" w:ascii="宋体" w:hAnsi="宋体" w:cs="宋体"/>
                <w:szCs w:val="21"/>
              </w:rPr>
              <w:t>2</w:t>
            </w:r>
            <w:r>
              <w:rPr>
                <w:rFonts w:hint="eastAsia" w:ascii="宋体" w:hAnsi="宋体" w:cs="宋体"/>
                <w:szCs w:val="21"/>
                <w:lang w:val="zh-TW" w:eastAsia="zh-TW"/>
              </w:rPr>
              <w:t>分，最高</w:t>
            </w:r>
            <w:r>
              <w:rPr>
                <w:rFonts w:hint="eastAsia" w:ascii="宋体" w:hAnsi="宋体" w:cs="宋体"/>
                <w:szCs w:val="21"/>
              </w:rPr>
              <w:t>20</w:t>
            </w:r>
            <w:r>
              <w:rPr>
                <w:rFonts w:hint="eastAsia" w:ascii="宋体" w:hAnsi="宋体" w:cs="宋体"/>
                <w:szCs w:val="21"/>
                <w:lang w:val="zh-TW" w:eastAsia="zh-TW"/>
              </w:rPr>
              <w:t>分。</w:t>
            </w:r>
          </w:p>
        </w:tc>
        <w:tc>
          <w:tcPr>
            <w:tcW w:w="1393"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szCs w:val="21"/>
                <w:lang w:val="zh-TW" w:eastAsia="zh-TW"/>
              </w:rPr>
            </w:pPr>
          </w:p>
          <w:p>
            <w:pPr>
              <w:widowControl/>
              <w:spacing w:line="240" w:lineRule="exact"/>
              <w:jc w:val="center"/>
              <w:rPr>
                <w:rFonts w:ascii="宋体" w:hAnsi="宋体" w:cs="宋体"/>
                <w:szCs w:val="21"/>
                <w:lang w:val="zh-TW" w:eastAsia="zh-TW"/>
              </w:rPr>
            </w:pPr>
          </w:p>
          <w:p>
            <w:pPr>
              <w:widowControl/>
              <w:spacing w:line="240" w:lineRule="exact"/>
              <w:jc w:val="center"/>
              <w:rPr>
                <w:rFonts w:ascii="宋体" w:hAnsi="宋体" w:cs="宋体"/>
                <w:szCs w:val="21"/>
                <w:lang w:val="zh-TW" w:eastAsia="zh-TW"/>
              </w:rPr>
            </w:pPr>
            <w:r>
              <w:rPr>
                <w:rFonts w:hint="eastAsia" w:ascii="宋体" w:hAnsi="宋体" w:cs="宋体"/>
                <w:szCs w:val="21"/>
              </w:rPr>
              <w:t>20</w:t>
            </w:r>
            <w:r>
              <w:rPr>
                <w:rFonts w:hint="eastAsia" w:ascii="宋体" w:hAnsi="宋体" w:cs="宋体"/>
                <w:szCs w:val="21"/>
                <w:lang w:val="zh-TW" w:eastAsia="zh-TW"/>
              </w:rPr>
              <w:t>分</w:t>
            </w:r>
          </w:p>
        </w:tc>
        <w:tc>
          <w:tcPr>
            <w:tcW w:w="110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113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121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486" w:hRule="atLeast"/>
        </w:trPr>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szCs w:val="21"/>
              </w:rPr>
            </w:pPr>
          </w:p>
        </w:tc>
        <w:tc>
          <w:tcPr>
            <w:tcW w:w="1204"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60" w:lineRule="exact"/>
              <w:jc w:val="center"/>
              <w:rPr>
                <w:rFonts w:ascii="宋体" w:hAnsi="宋体" w:cs="宋体"/>
                <w:szCs w:val="21"/>
                <w:lang w:val="zh-TW" w:eastAsia="zh-TW"/>
              </w:rPr>
            </w:pPr>
          </w:p>
        </w:tc>
        <w:tc>
          <w:tcPr>
            <w:tcW w:w="616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237"/>
              <w:tabs>
                <w:tab w:val="left" w:pos="0"/>
              </w:tabs>
              <w:spacing w:line="260" w:lineRule="exact"/>
              <w:ind w:firstLine="0"/>
              <w:jc w:val="left"/>
              <w:rPr>
                <w:rFonts w:ascii="宋体" w:hAnsi="宋体" w:cs="宋体"/>
                <w:szCs w:val="21"/>
                <w:lang w:val="zh-TW"/>
              </w:rPr>
            </w:pPr>
            <w:r>
              <w:rPr>
                <w:rFonts w:hint="eastAsia" w:ascii="宋体" w:hAnsi="宋体" w:cs="宋体"/>
                <w:szCs w:val="21"/>
                <w:lang w:val="zh-TW" w:eastAsia="zh-TW"/>
              </w:rPr>
              <w:t>结合以往的咨询案例，介绍房地产税务筹划方案建议</w:t>
            </w:r>
            <w:r>
              <w:rPr>
                <w:rFonts w:hint="eastAsia" w:ascii="宋体" w:hAnsi="宋体" w:cs="宋体"/>
                <w:szCs w:val="21"/>
              </w:rPr>
              <w:t>及</w:t>
            </w:r>
            <w:r>
              <w:rPr>
                <w:rFonts w:hint="eastAsia" w:ascii="宋体" w:hAnsi="宋体" w:cs="宋体"/>
                <w:szCs w:val="21"/>
                <w:lang w:val="zh-TW" w:eastAsia="zh-TW"/>
              </w:rPr>
              <w:t>房地产业务税务咨询服务经验优势（包括与</w:t>
            </w:r>
            <w:r>
              <w:rPr>
                <w:rFonts w:hint="eastAsia" w:ascii="宋体" w:hAnsi="宋体" w:cs="宋体"/>
                <w:szCs w:val="21"/>
              </w:rPr>
              <w:t>深圳各区</w:t>
            </w:r>
            <w:r>
              <w:rPr>
                <w:rFonts w:hint="eastAsia" w:ascii="宋体" w:hAnsi="宋体" w:cs="宋体"/>
                <w:szCs w:val="21"/>
                <w:lang w:val="zh-TW" w:eastAsia="zh-TW"/>
              </w:rPr>
              <w:t>税务局等的沟通经验等）</w:t>
            </w:r>
            <w:r>
              <w:rPr>
                <w:rFonts w:hint="eastAsia" w:ascii="宋体" w:hAnsi="宋体" w:cs="宋体"/>
                <w:szCs w:val="21"/>
                <w:lang w:val="zh-TW"/>
              </w:rPr>
              <w:t>：</w:t>
            </w:r>
          </w:p>
          <w:p>
            <w:pPr>
              <w:pStyle w:val="237"/>
              <w:tabs>
                <w:tab w:val="left" w:pos="0"/>
              </w:tabs>
              <w:spacing w:line="260" w:lineRule="exact"/>
              <w:ind w:firstLineChars="200"/>
              <w:jc w:val="left"/>
              <w:rPr>
                <w:rFonts w:ascii="宋体" w:hAnsi="宋体" w:cs="宋体"/>
                <w:szCs w:val="21"/>
                <w:lang w:val="zh-TW"/>
              </w:rPr>
            </w:pPr>
            <w:r>
              <w:rPr>
                <w:rFonts w:hint="eastAsia" w:ascii="宋体" w:hAnsi="宋体" w:cs="宋体"/>
                <w:szCs w:val="21"/>
              </w:rPr>
              <w:t>1.</w:t>
            </w:r>
            <w:r>
              <w:rPr>
                <w:rFonts w:hint="eastAsia" w:ascii="宋体" w:hAnsi="宋体" w:cs="宋体"/>
                <w:szCs w:val="21"/>
                <w:lang w:val="zh-TW"/>
              </w:rPr>
              <w:t>房地产企业税务筹划</w:t>
            </w:r>
            <w:r>
              <w:rPr>
                <w:rFonts w:hint="eastAsia" w:ascii="宋体" w:hAnsi="宋体" w:cs="宋体"/>
                <w:szCs w:val="21"/>
              </w:rPr>
              <w:t>方案</w:t>
            </w:r>
            <w:r>
              <w:rPr>
                <w:rFonts w:hint="eastAsia" w:ascii="宋体" w:hAnsi="宋体" w:cs="宋体"/>
                <w:szCs w:val="21"/>
                <w:lang w:val="zh-TW"/>
              </w:rPr>
              <w:t>的深度和广度：对房地产企业从不同方面进行税务筹划的方案建议书的质量：</w:t>
            </w:r>
          </w:p>
          <w:p>
            <w:pPr>
              <w:pStyle w:val="237"/>
              <w:tabs>
                <w:tab w:val="left" w:pos="0"/>
              </w:tabs>
              <w:spacing w:line="260" w:lineRule="exact"/>
              <w:ind w:firstLine="0"/>
              <w:jc w:val="left"/>
              <w:rPr>
                <w:rFonts w:ascii="宋体" w:hAnsi="宋体" w:cs="宋体"/>
                <w:szCs w:val="21"/>
                <w:lang w:val="zh-TW"/>
              </w:rPr>
            </w:pPr>
            <w:r>
              <w:rPr>
                <w:rFonts w:hint="eastAsia" w:ascii="宋体" w:hAnsi="宋体" w:cs="宋体"/>
                <w:szCs w:val="21"/>
                <w:lang w:val="zh-TW"/>
              </w:rPr>
              <w:t>（1）方案表述清晰、完整，理论上具有可行性，实操中初判可以落地执行的，8-1</w:t>
            </w:r>
            <w:r>
              <w:rPr>
                <w:rFonts w:ascii="宋体" w:hAnsi="宋体" w:eastAsia="PMingLiU" w:cs="宋体"/>
                <w:szCs w:val="21"/>
                <w:lang w:val="zh-TW" w:eastAsia="zh-TW"/>
              </w:rPr>
              <w:t>0</w:t>
            </w:r>
            <w:r>
              <w:rPr>
                <w:rFonts w:hint="eastAsia" w:ascii="宋体" w:hAnsi="宋体" w:cs="宋体"/>
                <w:szCs w:val="21"/>
                <w:lang w:val="zh-TW"/>
              </w:rPr>
              <w:t>分；</w:t>
            </w:r>
          </w:p>
          <w:p>
            <w:pPr>
              <w:pStyle w:val="237"/>
              <w:tabs>
                <w:tab w:val="left" w:pos="0"/>
              </w:tabs>
              <w:spacing w:line="260" w:lineRule="exact"/>
              <w:ind w:firstLine="0"/>
              <w:jc w:val="left"/>
              <w:rPr>
                <w:rFonts w:ascii="宋体" w:hAnsi="宋体" w:cs="宋体"/>
                <w:szCs w:val="21"/>
                <w:lang w:val="zh-TW"/>
              </w:rPr>
            </w:pPr>
            <w:r>
              <w:rPr>
                <w:rFonts w:hint="eastAsia" w:ascii="宋体" w:hAnsi="宋体" w:cs="宋体"/>
                <w:szCs w:val="21"/>
                <w:lang w:val="zh-TW"/>
              </w:rPr>
              <w:t>（2）方案表述简洁、合理，理论上具有可行性，实操中初判执行具有较大难度的，4-7分；</w:t>
            </w:r>
          </w:p>
          <w:p>
            <w:pPr>
              <w:pStyle w:val="237"/>
              <w:tabs>
                <w:tab w:val="left" w:pos="0"/>
              </w:tabs>
              <w:spacing w:line="260" w:lineRule="exact"/>
              <w:ind w:firstLine="0"/>
              <w:jc w:val="left"/>
              <w:rPr>
                <w:rFonts w:ascii="宋体" w:hAnsi="宋体" w:cs="宋体"/>
                <w:szCs w:val="21"/>
              </w:rPr>
            </w:pPr>
            <w:r>
              <w:rPr>
                <w:rFonts w:hint="eastAsia" w:ascii="宋体" w:hAnsi="宋体" w:cs="宋体"/>
                <w:szCs w:val="21"/>
                <w:lang w:val="zh-TW"/>
              </w:rPr>
              <w:t>（3）方案表述复杂、难以判断合理性、可行性及执行性的，0-3分。</w:t>
            </w:r>
          </w:p>
          <w:p>
            <w:pPr>
              <w:pStyle w:val="237"/>
              <w:tabs>
                <w:tab w:val="left" w:pos="0"/>
              </w:tabs>
              <w:spacing w:line="260" w:lineRule="exact"/>
              <w:ind w:firstLineChars="200"/>
              <w:jc w:val="left"/>
              <w:rPr>
                <w:rFonts w:ascii="宋体" w:hAnsi="宋体" w:cs="宋体"/>
                <w:szCs w:val="21"/>
              </w:rPr>
            </w:pPr>
            <w:r>
              <w:rPr>
                <w:rFonts w:hint="eastAsia" w:ascii="宋体" w:hAnsi="宋体" w:cs="宋体"/>
                <w:szCs w:val="21"/>
              </w:rPr>
              <w:t>2.房地产业务税务咨询服务经验及优势自评价（包括与深圳各区税务局等单位的沟通经验等）：</w:t>
            </w:r>
          </w:p>
          <w:p>
            <w:pPr>
              <w:pStyle w:val="237"/>
              <w:tabs>
                <w:tab w:val="left" w:pos="0"/>
              </w:tabs>
              <w:spacing w:line="260" w:lineRule="exact"/>
              <w:ind w:firstLine="0"/>
              <w:jc w:val="left"/>
              <w:rPr>
                <w:rFonts w:ascii="宋体" w:hAnsi="宋体" w:cs="宋体"/>
                <w:szCs w:val="21"/>
              </w:rPr>
            </w:pPr>
            <w:r>
              <w:rPr>
                <w:rFonts w:hint="eastAsia" w:ascii="宋体" w:hAnsi="宋体" w:cs="宋体"/>
                <w:szCs w:val="21"/>
              </w:rPr>
              <w:t>（1）相关经验丰富，极具说服力与可信度的，5-8分；</w:t>
            </w:r>
          </w:p>
          <w:p>
            <w:pPr>
              <w:pStyle w:val="237"/>
              <w:tabs>
                <w:tab w:val="left" w:pos="0"/>
              </w:tabs>
              <w:spacing w:line="260" w:lineRule="exact"/>
              <w:ind w:firstLine="0"/>
              <w:jc w:val="left"/>
              <w:rPr>
                <w:rFonts w:ascii="宋体" w:hAnsi="宋体" w:cs="宋体"/>
                <w:szCs w:val="21"/>
              </w:rPr>
            </w:pPr>
            <w:r>
              <w:rPr>
                <w:rFonts w:hint="eastAsia" w:ascii="宋体" w:hAnsi="宋体" w:cs="宋体"/>
                <w:szCs w:val="21"/>
              </w:rPr>
              <w:t>（2）相关经验丰富，具有一定说服力的，3-4分；</w:t>
            </w:r>
          </w:p>
          <w:p>
            <w:pPr>
              <w:pStyle w:val="237"/>
              <w:tabs>
                <w:tab w:val="left" w:pos="0"/>
              </w:tabs>
              <w:spacing w:line="260" w:lineRule="exact"/>
              <w:ind w:firstLine="0"/>
              <w:jc w:val="left"/>
              <w:rPr>
                <w:rFonts w:ascii="宋体" w:hAnsi="宋体" w:cs="宋体"/>
                <w:szCs w:val="21"/>
              </w:rPr>
            </w:pPr>
            <w:r>
              <w:rPr>
                <w:rFonts w:hint="eastAsia" w:ascii="宋体" w:hAnsi="宋体" w:cs="宋体"/>
                <w:szCs w:val="21"/>
              </w:rPr>
              <w:t>（3）自评价相关经验一般或不足的，0-2分。</w:t>
            </w:r>
          </w:p>
        </w:tc>
        <w:tc>
          <w:tcPr>
            <w:tcW w:w="1393"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r>
              <w:rPr>
                <w:rFonts w:hint="eastAsia" w:ascii="宋体" w:hAnsi="宋体" w:cs="宋体"/>
                <w:szCs w:val="21"/>
              </w:rPr>
              <w:t>18分</w:t>
            </w:r>
          </w:p>
        </w:tc>
        <w:tc>
          <w:tcPr>
            <w:tcW w:w="110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113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121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48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12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60" w:lineRule="exact"/>
              <w:jc w:val="center"/>
              <w:rPr>
                <w:rFonts w:ascii="宋体" w:hAnsi="宋体" w:cs="宋体"/>
                <w:szCs w:val="21"/>
                <w:lang w:val="zh-TW"/>
              </w:rPr>
            </w:pPr>
          </w:p>
          <w:p>
            <w:pPr>
              <w:spacing w:line="260" w:lineRule="exact"/>
              <w:jc w:val="center"/>
              <w:rPr>
                <w:rFonts w:ascii="宋体" w:hAnsi="宋体" w:cs="宋体"/>
                <w:szCs w:val="21"/>
                <w:lang w:val="zh-TW"/>
              </w:rPr>
            </w:pPr>
            <w:r>
              <w:rPr>
                <w:rFonts w:hint="eastAsia" w:ascii="宋体" w:hAnsi="宋体" w:cs="宋体"/>
                <w:szCs w:val="21"/>
                <w:lang w:val="zh-TW"/>
              </w:rPr>
              <w:t>团队成员配置</w:t>
            </w:r>
          </w:p>
          <w:p>
            <w:pPr>
              <w:spacing w:line="260" w:lineRule="exact"/>
              <w:jc w:val="center"/>
              <w:rPr>
                <w:rFonts w:ascii="宋体" w:hAnsi="宋体" w:cs="宋体"/>
                <w:szCs w:val="21"/>
                <w:lang w:val="zh-TW" w:eastAsia="zh-TW"/>
              </w:rPr>
            </w:pPr>
          </w:p>
        </w:tc>
        <w:tc>
          <w:tcPr>
            <w:tcW w:w="616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pStyle w:val="237"/>
              <w:numPr>
                <w:ilvl w:val="0"/>
                <w:numId w:val="10"/>
              </w:numPr>
              <w:tabs>
                <w:tab w:val="left" w:pos="0"/>
              </w:tabs>
              <w:spacing w:line="260" w:lineRule="exact"/>
              <w:ind w:left="317" w:hanging="317"/>
              <w:jc w:val="left"/>
              <w:rPr>
                <w:rFonts w:ascii="宋体" w:hAnsi="宋体" w:cs="宋体"/>
                <w:szCs w:val="21"/>
                <w:lang w:val="zh-TW" w:eastAsia="zh-TW"/>
              </w:rPr>
            </w:pPr>
            <w:r>
              <w:rPr>
                <w:rFonts w:hint="eastAsia" w:ascii="宋体" w:hAnsi="宋体" w:cs="宋体"/>
                <w:szCs w:val="21"/>
                <w:lang w:val="zh-TW" w:eastAsia="zh-TW"/>
              </w:rPr>
              <w:t>人员资质要求</w:t>
            </w:r>
            <w:r>
              <w:rPr>
                <w:rFonts w:hint="eastAsia" w:ascii="宋体" w:hAnsi="宋体" w:cs="宋体"/>
                <w:szCs w:val="21"/>
                <w:lang w:val="zh-TW"/>
              </w:rPr>
              <w:t>：</w:t>
            </w:r>
            <w:r>
              <w:rPr>
                <w:rFonts w:hint="eastAsia" w:ascii="宋体" w:hAnsi="宋体" w:cs="宋体"/>
                <w:szCs w:val="21"/>
                <w:lang w:val="zh-TW" w:eastAsia="zh-TW"/>
              </w:rPr>
              <w:t>每配置1名注册会计师/注册税务师得1分，最高不超过4分。</w:t>
            </w:r>
          </w:p>
          <w:p>
            <w:pPr>
              <w:pStyle w:val="237"/>
              <w:numPr>
                <w:ilvl w:val="0"/>
                <w:numId w:val="10"/>
              </w:numPr>
              <w:tabs>
                <w:tab w:val="left" w:pos="0"/>
              </w:tabs>
              <w:spacing w:line="260" w:lineRule="exact"/>
              <w:ind w:left="317" w:hanging="317"/>
              <w:jc w:val="left"/>
              <w:rPr>
                <w:rFonts w:ascii="宋体" w:hAnsi="宋体" w:cs="宋体"/>
                <w:szCs w:val="21"/>
                <w:lang w:val="zh-TW" w:eastAsia="zh-TW"/>
              </w:rPr>
            </w:pPr>
            <w:r>
              <w:rPr>
                <w:rFonts w:hint="eastAsia" w:ascii="宋体" w:hAnsi="宋体" w:cs="宋体"/>
                <w:szCs w:val="21"/>
                <w:lang w:val="zh-TW" w:eastAsia="zh-TW"/>
              </w:rPr>
              <w:t>拟任项目经理人员</w:t>
            </w:r>
            <w:r>
              <w:rPr>
                <w:rFonts w:hint="eastAsia" w:ascii="宋体" w:hAnsi="宋体" w:cs="宋体"/>
                <w:szCs w:val="21"/>
                <w:lang w:val="zh-TW"/>
              </w:rPr>
              <w:t>：五年以上税务师事务所服务工作经验，满足此条件的得4分，不满足此条件的，得0分。（</w:t>
            </w:r>
            <w:r>
              <w:rPr>
                <w:rFonts w:hint="eastAsia" w:ascii="宋体" w:hAnsi="宋体" w:cs="宋体"/>
                <w:szCs w:val="21"/>
              </w:rPr>
              <w:t>可提供社保证明或纳税证明）</w:t>
            </w:r>
            <w:r>
              <w:rPr>
                <w:rFonts w:hint="eastAsia" w:ascii="宋体" w:hAnsi="宋体" w:cs="宋体"/>
                <w:szCs w:val="21"/>
                <w:lang w:val="zh-TW"/>
              </w:rPr>
              <w:t xml:space="preserve">       </w:t>
            </w:r>
          </w:p>
          <w:p>
            <w:pPr>
              <w:pStyle w:val="237"/>
              <w:numPr>
                <w:ilvl w:val="0"/>
                <w:numId w:val="10"/>
              </w:numPr>
              <w:tabs>
                <w:tab w:val="left" w:pos="0"/>
              </w:tabs>
              <w:spacing w:line="260" w:lineRule="exact"/>
              <w:ind w:left="317" w:hanging="317"/>
              <w:jc w:val="left"/>
              <w:rPr>
                <w:rFonts w:ascii="宋体" w:hAnsi="宋体" w:cs="宋体"/>
                <w:szCs w:val="21"/>
                <w:lang w:val="zh-TW" w:eastAsia="zh-TW"/>
              </w:rPr>
            </w:pPr>
            <w:r>
              <w:rPr>
                <w:rFonts w:hint="eastAsia" w:ascii="宋体" w:hAnsi="宋体" w:cs="宋体"/>
                <w:szCs w:val="21"/>
                <w:lang w:val="zh-TW"/>
              </w:rPr>
              <w:t>拟任项目团队成员： 两年以上税务师事务所服务工作经验，每配置1名满足此条件的得1分，满分4分。  （</w:t>
            </w:r>
            <w:r>
              <w:rPr>
                <w:rFonts w:hint="eastAsia" w:ascii="宋体" w:hAnsi="宋体" w:cs="宋体"/>
                <w:szCs w:val="21"/>
              </w:rPr>
              <w:t>可提供社保证明或纳税证明）</w:t>
            </w:r>
            <w:r>
              <w:rPr>
                <w:rFonts w:hint="eastAsia" w:ascii="宋体" w:hAnsi="宋体" w:cs="宋体"/>
                <w:szCs w:val="21"/>
                <w:lang w:val="zh-TW"/>
              </w:rPr>
              <w:t xml:space="preserve">           </w:t>
            </w:r>
          </w:p>
        </w:tc>
        <w:tc>
          <w:tcPr>
            <w:tcW w:w="1393"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p>
          <w:p>
            <w:pPr>
              <w:widowControl/>
              <w:spacing w:line="240" w:lineRule="exact"/>
              <w:jc w:val="center"/>
              <w:rPr>
                <w:rFonts w:ascii="宋体" w:hAnsi="宋体" w:cs="宋体"/>
                <w:szCs w:val="21"/>
              </w:rPr>
            </w:pPr>
            <w:r>
              <w:rPr>
                <w:rFonts w:hint="eastAsia" w:ascii="宋体" w:hAnsi="宋体" w:cs="宋体"/>
                <w:szCs w:val="21"/>
              </w:rPr>
              <w:t>12</w:t>
            </w:r>
            <w:r>
              <w:rPr>
                <w:rFonts w:hint="eastAsia" w:ascii="宋体" w:hAnsi="宋体" w:cs="宋体"/>
                <w:szCs w:val="21"/>
                <w:lang w:val="zh-TW" w:eastAsia="zh-TW"/>
              </w:rPr>
              <w:t>分</w:t>
            </w:r>
          </w:p>
        </w:tc>
        <w:tc>
          <w:tcPr>
            <w:tcW w:w="110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113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c>
          <w:tcPr>
            <w:tcW w:w="121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ind w:firstLine="210" w:firstLineChars="100"/>
              <w:jc w:val="left"/>
              <w:rPr>
                <w:rFonts w:ascii="宋体" w:hAnsi="宋体" w:cs="宋体"/>
                <w:szCs w:val="21"/>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0" w:type="dxa"/>
            <w:bottom w:w="0" w:type="dxa"/>
            <w:right w:w="0" w:type="dxa"/>
          </w:tblCellMar>
        </w:tblPrEx>
        <w:trPr>
          <w:trHeight w:val="553" w:hRule="atLeast"/>
        </w:trPr>
        <w:tc>
          <w:tcPr>
            <w:tcW w:w="808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240" w:lineRule="exact"/>
              <w:jc w:val="center"/>
              <w:rPr>
                <w:rFonts w:ascii="宋体" w:hAnsi="宋体" w:cs="宋体"/>
              </w:rPr>
            </w:pPr>
            <w:r>
              <w:rPr>
                <w:rFonts w:hint="eastAsia" w:ascii="宋体" w:hAnsi="宋体" w:cs="宋体"/>
              </w:rPr>
              <w:t>合计</w:t>
            </w:r>
          </w:p>
        </w:tc>
        <w:tc>
          <w:tcPr>
            <w:tcW w:w="1393"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rPr>
            </w:pPr>
            <w:r>
              <w:rPr>
                <w:rFonts w:ascii="宋体" w:hAnsi="宋体" w:cs="宋体"/>
              </w:rPr>
              <w:t>50</w:t>
            </w:r>
            <w:r>
              <w:rPr>
                <w:rFonts w:hint="eastAsia" w:ascii="宋体" w:hAnsi="宋体" w:cs="宋体"/>
              </w:rPr>
              <w:t>分</w:t>
            </w:r>
          </w:p>
        </w:tc>
        <w:tc>
          <w:tcPr>
            <w:tcW w:w="110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rPr>
            </w:pPr>
          </w:p>
        </w:tc>
        <w:tc>
          <w:tcPr>
            <w:tcW w:w="992"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rPr>
            </w:pPr>
          </w:p>
        </w:tc>
        <w:tc>
          <w:tcPr>
            <w:tcW w:w="113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rPr>
            </w:pPr>
          </w:p>
        </w:tc>
        <w:tc>
          <w:tcPr>
            <w:tcW w:w="1214" w:type="dxa"/>
            <w:tcBorders>
              <w:top w:val="single" w:color="auto" w:sz="4" w:space="0"/>
              <w:left w:val="single" w:color="000000" w:sz="4" w:space="0"/>
              <w:bottom w:val="single" w:color="auto" w:sz="4" w:space="0"/>
              <w:right w:val="single" w:color="auto" w:sz="4" w:space="0"/>
            </w:tcBorders>
            <w:shd w:val="clear" w:color="auto" w:fill="auto"/>
          </w:tcPr>
          <w:p>
            <w:pPr>
              <w:widowControl/>
              <w:spacing w:line="240" w:lineRule="exact"/>
              <w:jc w:val="center"/>
              <w:rPr>
                <w:rFonts w:ascii="宋体" w:hAnsi="宋体" w:cs="宋体"/>
              </w:rPr>
            </w:pPr>
          </w:p>
        </w:tc>
      </w:tr>
    </w:tbl>
    <w:p>
      <w:pPr>
        <w:tabs>
          <w:tab w:val="left" w:pos="0"/>
        </w:tabs>
        <w:snapToGrid w:val="0"/>
        <w:spacing w:line="360" w:lineRule="auto"/>
        <w:ind w:firstLine="422" w:firstLineChars="200"/>
        <w:rPr>
          <w:rFonts w:ascii="宋体" w:hAnsi="宋体" w:cs="宋体"/>
          <w:b/>
          <w:szCs w:val="21"/>
        </w:rPr>
      </w:pPr>
    </w:p>
    <w:p>
      <w:pPr>
        <w:tabs>
          <w:tab w:val="left" w:pos="0"/>
        </w:tabs>
        <w:snapToGrid w:val="0"/>
        <w:spacing w:line="360" w:lineRule="auto"/>
        <w:ind w:firstLine="422" w:firstLineChars="200"/>
        <w:rPr>
          <w:rFonts w:ascii="宋体" w:hAnsi="宋体" w:cs="宋体"/>
          <w:b/>
          <w:szCs w:val="21"/>
        </w:rPr>
      </w:pPr>
      <w:r>
        <w:rPr>
          <w:rFonts w:hint="eastAsia" w:ascii="宋体" w:hAnsi="宋体" w:cs="宋体"/>
          <w:b/>
          <w:szCs w:val="21"/>
        </w:rPr>
        <w:t>评委（签名）：</w:t>
      </w:r>
    </w:p>
    <w:p>
      <w:pPr>
        <w:tabs>
          <w:tab w:val="left" w:pos="0"/>
        </w:tabs>
        <w:snapToGrid w:val="0"/>
        <w:spacing w:line="360" w:lineRule="auto"/>
        <w:ind w:firstLine="422" w:firstLineChars="200"/>
        <w:rPr>
          <w:rFonts w:ascii="宋体" w:hAnsi="宋体" w:cs="宋体"/>
          <w:b/>
          <w:szCs w:val="21"/>
        </w:rPr>
      </w:pPr>
    </w:p>
    <w:p>
      <w:pPr>
        <w:tabs>
          <w:tab w:val="left" w:pos="0"/>
        </w:tabs>
        <w:snapToGrid w:val="0"/>
        <w:spacing w:line="360" w:lineRule="auto"/>
        <w:ind w:firstLine="422" w:firstLineChars="200"/>
        <w:rPr>
          <w:rFonts w:ascii="宋体" w:hAnsi="宋体" w:cs="宋体"/>
          <w:b/>
          <w:szCs w:val="21"/>
        </w:rPr>
      </w:pPr>
    </w:p>
    <w:p>
      <w:pPr>
        <w:tabs>
          <w:tab w:val="left" w:pos="0"/>
        </w:tabs>
        <w:snapToGrid w:val="0"/>
        <w:spacing w:line="360" w:lineRule="auto"/>
        <w:ind w:firstLine="422" w:firstLineChars="200"/>
        <w:jc w:val="right"/>
        <w:rPr>
          <w:rFonts w:ascii="宋体" w:hAnsi="宋体" w:cs="宋体"/>
          <w:szCs w:val="21"/>
        </w:rPr>
      </w:pPr>
      <w:r>
        <w:rPr>
          <w:rFonts w:hint="eastAsia" w:ascii="宋体" w:hAnsi="宋体" w:cs="宋体"/>
          <w:b/>
          <w:szCs w:val="21"/>
        </w:rPr>
        <w:t>日期：</w:t>
      </w:r>
      <w:r>
        <w:rPr>
          <w:rFonts w:hint="eastAsia" w:ascii="宋体" w:hAnsi="宋体" w:cs="宋体"/>
          <w:szCs w:val="21"/>
        </w:rPr>
        <w:t xml:space="preserve">     年    月    日</w:t>
      </w:r>
    </w:p>
    <w:p>
      <w:pPr>
        <w:widowControl/>
        <w:spacing w:line="360" w:lineRule="auto"/>
        <w:rPr>
          <w:rFonts w:ascii="宋体" w:hAnsi="宋体"/>
        </w:rPr>
        <w:sectPr>
          <w:headerReference r:id="rId4" w:type="default"/>
          <w:pgSz w:w="16840" w:h="11907" w:orient="landscape"/>
          <w:pgMar w:top="1440" w:right="1440" w:bottom="1134" w:left="1440" w:header="720" w:footer="890" w:gutter="0"/>
          <w:cols w:space="720" w:num="1"/>
          <w:docGrid w:linePitch="312" w:charSpace="0"/>
        </w:sectPr>
      </w:pPr>
    </w:p>
    <w:tbl>
      <w:tblPr>
        <w:tblStyle w:val="49"/>
        <w:tblW w:w="13713" w:type="dxa"/>
        <w:jc w:val="center"/>
        <w:tblLayout w:type="fixed"/>
        <w:tblCellMar>
          <w:top w:w="0" w:type="dxa"/>
          <w:left w:w="0" w:type="dxa"/>
          <w:bottom w:w="0" w:type="dxa"/>
          <w:right w:w="0" w:type="dxa"/>
        </w:tblCellMar>
      </w:tblPr>
      <w:tblGrid>
        <w:gridCol w:w="610"/>
        <w:gridCol w:w="1074"/>
        <w:gridCol w:w="5129"/>
        <w:gridCol w:w="977"/>
        <w:gridCol w:w="1466"/>
        <w:gridCol w:w="28"/>
        <w:gridCol w:w="1438"/>
        <w:gridCol w:w="1494"/>
        <w:gridCol w:w="1497"/>
      </w:tblGrid>
      <w:tr>
        <w:tblPrEx>
          <w:tblCellMar>
            <w:top w:w="0" w:type="dxa"/>
            <w:left w:w="0" w:type="dxa"/>
            <w:bottom w:w="0" w:type="dxa"/>
            <w:right w:w="0" w:type="dxa"/>
          </w:tblCellMar>
        </w:tblPrEx>
        <w:trPr>
          <w:trHeight w:val="836" w:hRule="atLeast"/>
          <w:jc w:val="center"/>
        </w:trPr>
        <w:tc>
          <w:tcPr>
            <w:tcW w:w="610" w:type="dxa"/>
            <w:tcBorders>
              <w:top w:val="nil"/>
              <w:left w:val="nil"/>
              <w:bottom w:val="single" w:color="auto" w:sz="4" w:space="0"/>
              <w:right w:val="nil"/>
            </w:tcBorders>
          </w:tcPr>
          <w:p>
            <w:pPr>
              <w:spacing w:line="360" w:lineRule="auto"/>
              <w:rPr>
                <w:rFonts w:ascii="宋体" w:hAnsi="宋体" w:cs="宋体"/>
                <w:b/>
                <w:szCs w:val="21"/>
              </w:rPr>
            </w:pPr>
          </w:p>
        </w:tc>
        <w:tc>
          <w:tcPr>
            <w:tcW w:w="13103" w:type="dxa"/>
            <w:gridSpan w:val="8"/>
            <w:tcBorders>
              <w:top w:val="nil"/>
              <w:left w:val="nil"/>
              <w:bottom w:val="single" w:color="auto" w:sz="4" w:space="0"/>
              <w:right w:val="nil"/>
            </w:tcBorders>
          </w:tcPr>
          <w:p>
            <w:pPr>
              <w:spacing w:line="360" w:lineRule="auto"/>
              <w:rPr>
                <w:rFonts w:ascii="宋体" w:hAnsi="宋体" w:cs="宋体"/>
                <w:b/>
                <w:bCs/>
                <w:kern w:val="0"/>
                <w:szCs w:val="21"/>
              </w:rPr>
            </w:pPr>
            <w:bookmarkStart w:id="108" w:name="RANGE!A1:M11"/>
            <w:r>
              <w:rPr>
                <w:rFonts w:hint="eastAsia" w:ascii="宋体" w:hAnsi="宋体" w:cs="宋体"/>
                <w:b/>
                <w:szCs w:val="21"/>
              </w:rPr>
              <w:t>附表5：技术标详细评审结果汇总表</w:t>
            </w:r>
          </w:p>
          <w:p>
            <w:pPr>
              <w:spacing w:line="360" w:lineRule="auto"/>
              <w:jc w:val="center"/>
              <w:rPr>
                <w:rFonts w:ascii="宋体" w:hAnsi="宋体" w:cs="宋体"/>
                <w:b/>
                <w:bCs/>
                <w:kern w:val="0"/>
                <w:sz w:val="24"/>
                <w:szCs w:val="24"/>
              </w:rPr>
            </w:pPr>
            <w:r>
              <w:rPr>
                <w:rFonts w:hint="eastAsia" w:ascii="宋体" w:hAnsi="宋体" w:cs="宋体"/>
                <w:b/>
                <w:bCs/>
                <w:kern w:val="0"/>
                <w:sz w:val="24"/>
                <w:szCs w:val="24"/>
              </w:rPr>
              <w:t>技术标详细评审结果汇总表</w:t>
            </w:r>
          </w:p>
          <w:p>
            <w:pPr>
              <w:spacing w:line="360" w:lineRule="auto"/>
              <w:jc w:val="center"/>
              <w:rPr>
                <w:rFonts w:ascii="宋体" w:hAnsi="宋体" w:cs="宋体"/>
                <w:bCs/>
                <w:snapToGrid w:val="0"/>
                <w:szCs w:val="21"/>
              </w:rPr>
            </w:pPr>
          </w:p>
          <w:p>
            <w:pPr>
              <w:spacing w:line="360" w:lineRule="auto"/>
              <w:jc w:val="left"/>
              <w:rPr>
                <w:rFonts w:ascii="宋体" w:hAnsi="宋体" w:cs="宋体"/>
                <w:b/>
                <w:bCs/>
                <w:snapToGrid w:val="0"/>
                <w:szCs w:val="21"/>
              </w:rPr>
            </w:pPr>
            <w:r>
              <w:rPr>
                <w:rFonts w:hint="eastAsia" w:ascii="宋体" w:hAnsi="宋体" w:cs="宋体"/>
                <w:b/>
                <w:bCs/>
                <w:snapToGrid w:val="0"/>
                <w:szCs w:val="21"/>
              </w:rPr>
              <w:t>项目名称：</w:t>
            </w:r>
            <w:r>
              <w:rPr>
                <w:rFonts w:hint="eastAsia" w:hAnsi="宋体"/>
                <w:b/>
                <w:bCs/>
                <w:color w:val="0D0D0D"/>
                <w:sz w:val="24"/>
                <w:szCs w:val="24"/>
                <w:u w:val="single"/>
              </w:rPr>
              <w:t>昂鹅等</w:t>
            </w:r>
            <w:r>
              <w:rPr>
                <w:rFonts w:hint="eastAsia" w:hAnsi="宋体"/>
                <w:b/>
                <w:bCs/>
                <w:sz w:val="24"/>
                <w:szCs w:val="24"/>
                <w:u w:val="single"/>
              </w:rPr>
              <w:t>十</w:t>
            </w:r>
            <w:r>
              <w:rPr>
                <w:rFonts w:hAnsi="宋体"/>
                <w:b/>
                <w:bCs/>
                <w:sz w:val="24"/>
                <w:szCs w:val="24"/>
                <w:u w:val="single"/>
              </w:rPr>
              <w:t>五</w:t>
            </w:r>
            <w:r>
              <w:rPr>
                <w:rFonts w:hint="eastAsia" w:hAnsi="宋体"/>
                <w:b/>
                <w:bCs/>
                <w:color w:val="0D0D0D"/>
                <w:sz w:val="24"/>
                <w:szCs w:val="24"/>
                <w:u w:val="single"/>
              </w:rPr>
              <w:t>个新项目税务咨询服务</w:t>
            </w:r>
          </w:p>
          <w:tbl>
            <w:tblPr>
              <w:tblStyle w:val="49"/>
              <w:tblW w:w="12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5"/>
              <w:gridCol w:w="3720"/>
              <w:gridCol w:w="932"/>
              <w:gridCol w:w="933"/>
              <w:gridCol w:w="932"/>
              <w:gridCol w:w="933"/>
              <w:gridCol w:w="933"/>
              <w:gridCol w:w="932"/>
              <w:gridCol w:w="93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atLeast"/>
                <w:jc w:val="center"/>
              </w:trPr>
              <w:tc>
                <w:tcPr>
                  <w:tcW w:w="775"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3720" w:type="dxa"/>
                  <w:tcBorders>
                    <w:tl2br w:val="single" w:color="auto" w:sz="4" w:space="0"/>
                  </w:tcBorders>
                  <w:vAlign w:val="center"/>
                </w:tcPr>
                <w:p>
                  <w:pPr>
                    <w:spacing w:line="360" w:lineRule="auto"/>
                    <w:jc w:val="center"/>
                    <w:rPr>
                      <w:rFonts w:ascii="宋体" w:hAnsi="宋体" w:cs="宋体"/>
                      <w:b/>
                      <w:bCs/>
                      <w:kern w:val="0"/>
                      <w:szCs w:val="21"/>
                    </w:rPr>
                  </w:pPr>
                  <w:r>
                    <w:rPr>
                      <w:rFonts w:hint="eastAsia" w:ascii="宋体" w:hAnsi="宋体" w:cs="宋体"/>
                      <w:b/>
                      <w:bCs/>
                      <w:kern w:val="0"/>
                      <w:szCs w:val="21"/>
                    </w:rPr>
                    <w:t xml:space="preserve">                     评委</w:t>
                  </w:r>
                </w:p>
                <w:p>
                  <w:pPr>
                    <w:spacing w:line="360" w:lineRule="auto"/>
                    <w:jc w:val="left"/>
                    <w:rPr>
                      <w:rFonts w:ascii="宋体" w:hAnsi="宋体" w:cs="宋体"/>
                      <w:b/>
                      <w:bCs/>
                      <w:kern w:val="0"/>
                      <w:szCs w:val="21"/>
                    </w:rPr>
                  </w:pPr>
                  <w:r>
                    <w:rPr>
                      <w:rFonts w:hint="eastAsia" w:ascii="宋体" w:hAnsi="宋体" w:cs="宋体"/>
                      <w:b/>
                      <w:bCs/>
                      <w:kern w:val="0"/>
                      <w:szCs w:val="21"/>
                    </w:rPr>
                    <w:t xml:space="preserve">   参选人</w:t>
                  </w:r>
                </w:p>
              </w:tc>
              <w:tc>
                <w:tcPr>
                  <w:tcW w:w="932"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评委1</w:t>
                  </w:r>
                </w:p>
              </w:tc>
              <w:tc>
                <w:tcPr>
                  <w:tcW w:w="933"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评委2</w:t>
                  </w:r>
                </w:p>
              </w:tc>
              <w:tc>
                <w:tcPr>
                  <w:tcW w:w="932"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评委3</w:t>
                  </w:r>
                </w:p>
              </w:tc>
              <w:tc>
                <w:tcPr>
                  <w:tcW w:w="933"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评委4</w:t>
                  </w:r>
                </w:p>
              </w:tc>
              <w:tc>
                <w:tcPr>
                  <w:tcW w:w="933"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评委5</w:t>
                  </w:r>
                </w:p>
              </w:tc>
              <w:tc>
                <w:tcPr>
                  <w:tcW w:w="932"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评委6</w:t>
                  </w:r>
                </w:p>
              </w:tc>
              <w:tc>
                <w:tcPr>
                  <w:tcW w:w="933"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评委7</w:t>
                  </w:r>
                </w:p>
              </w:tc>
              <w:tc>
                <w:tcPr>
                  <w:tcW w:w="1155" w:type="dxa"/>
                  <w:vAlign w:val="center"/>
                </w:tcPr>
                <w:p>
                  <w:pPr>
                    <w:spacing w:line="360" w:lineRule="auto"/>
                    <w:jc w:val="center"/>
                    <w:rPr>
                      <w:rFonts w:ascii="宋体" w:hAnsi="宋体" w:cs="宋体"/>
                      <w:b/>
                      <w:bCs/>
                      <w:kern w:val="0"/>
                      <w:szCs w:val="21"/>
                    </w:rPr>
                  </w:pPr>
                  <w:r>
                    <w:rPr>
                      <w:rFonts w:hint="eastAsia" w:ascii="宋体" w:hAnsi="宋体" w:cs="宋体"/>
                      <w:b/>
                      <w:bCs/>
                      <w:kern w:val="0"/>
                      <w:szCs w:val="21"/>
                    </w:rPr>
                    <w:t>技术标得分</w:t>
                  </w:r>
                </w:p>
                <w:p>
                  <w:pPr>
                    <w:spacing w:line="360" w:lineRule="auto"/>
                    <w:jc w:val="center"/>
                    <w:rPr>
                      <w:rFonts w:ascii="宋体" w:hAnsi="宋体" w:cs="宋体"/>
                      <w:b/>
                      <w:bCs/>
                      <w:kern w:val="0"/>
                      <w:szCs w:val="21"/>
                    </w:rPr>
                  </w:pPr>
                  <w:r>
                    <w:rPr>
                      <w:rFonts w:hint="eastAsia" w:ascii="宋体" w:hAnsi="宋体" w:cs="宋体"/>
                      <w:b/>
                      <w:bCs/>
                      <w:kern w:val="0"/>
                      <w:szCs w:val="21"/>
                    </w:rPr>
                    <w: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3720"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tcPr>
                <w:p>
                  <w:pPr>
                    <w:spacing w:line="360" w:lineRule="auto"/>
                    <w:jc w:val="center"/>
                    <w:rPr>
                      <w:rFonts w:ascii="宋体" w:hAnsi="宋体" w:cs="宋体"/>
                      <w:kern w:val="0"/>
                      <w:szCs w:val="21"/>
                    </w:rPr>
                  </w:pPr>
                </w:p>
              </w:tc>
              <w:tc>
                <w:tcPr>
                  <w:tcW w:w="933" w:type="dxa"/>
                </w:tcPr>
                <w:p>
                  <w:pPr>
                    <w:spacing w:line="360" w:lineRule="auto"/>
                    <w:jc w:val="center"/>
                    <w:rPr>
                      <w:rFonts w:ascii="宋体" w:hAnsi="宋体" w:cs="宋体"/>
                      <w:kern w:val="0"/>
                      <w:szCs w:val="21"/>
                    </w:rPr>
                  </w:pPr>
                </w:p>
              </w:tc>
              <w:tc>
                <w:tcPr>
                  <w:tcW w:w="1155"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kern w:val="0"/>
                      <w:szCs w:val="21"/>
                    </w:rPr>
                  </w:pPr>
                  <w:r>
                    <w:rPr>
                      <w:rFonts w:hint="eastAsia" w:ascii="宋体" w:hAnsi="宋体" w:cs="宋体"/>
                      <w:kern w:val="0"/>
                      <w:szCs w:val="21"/>
                    </w:rPr>
                    <w:t>2</w:t>
                  </w:r>
                </w:p>
              </w:tc>
              <w:tc>
                <w:tcPr>
                  <w:tcW w:w="3720"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tcPr>
                <w:p>
                  <w:pPr>
                    <w:spacing w:line="360" w:lineRule="auto"/>
                    <w:jc w:val="center"/>
                    <w:rPr>
                      <w:rFonts w:ascii="宋体" w:hAnsi="宋体" w:cs="宋体"/>
                      <w:kern w:val="0"/>
                      <w:szCs w:val="21"/>
                    </w:rPr>
                  </w:pPr>
                </w:p>
              </w:tc>
              <w:tc>
                <w:tcPr>
                  <w:tcW w:w="933" w:type="dxa"/>
                </w:tcPr>
                <w:p>
                  <w:pPr>
                    <w:spacing w:line="360" w:lineRule="auto"/>
                    <w:jc w:val="center"/>
                    <w:rPr>
                      <w:rFonts w:ascii="宋体" w:hAnsi="宋体" w:cs="宋体"/>
                      <w:kern w:val="0"/>
                      <w:szCs w:val="21"/>
                    </w:rPr>
                  </w:pPr>
                </w:p>
              </w:tc>
              <w:tc>
                <w:tcPr>
                  <w:tcW w:w="1155"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kern w:val="0"/>
                      <w:szCs w:val="21"/>
                    </w:rPr>
                  </w:pPr>
                  <w:r>
                    <w:rPr>
                      <w:rFonts w:hint="eastAsia" w:ascii="宋体" w:hAnsi="宋体" w:cs="宋体"/>
                      <w:kern w:val="0"/>
                      <w:szCs w:val="21"/>
                    </w:rPr>
                    <w:t>3</w:t>
                  </w:r>
                </w:p>
              </w:tc>
              <w:tc>
                <w:tcPr>
                  <w:tcW w:w="3720"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tcPr>
                <w:p>
                  <w:pPr>
                    <w:spacing w:line="360" w:lineRule="auto"/>
                    <w:jc w:val="center"/>
                    <w:rPr>
                      <w:rFonts w:ascii="宋体" w:hAnsi="宋体" w:cs="宋体"/>
                      <w:kern w:val="0"/>
                      <w:szCs w:val="21"/>
                    </w:rPr>
                  </w:pPr>
                </w:p>
              </w:tc>
              <w:tc>
                <w:tcPr>
                  <w:tcW w:w="933" w:type="dxa"/>
                </w:tcPr>
                <w:p>
                  <w:pPr>
                    <w:spacing w:line="360" w:lineRule="auto"/>
                    <w:jc w:val="center"/>
                    <w:rPr>
                      <w:rFonts w:ascii="宋体" w:hAnsi="宋体" w:cs="宋体"/>
                      <w:kern w:val="0"/>
                      <w:szCs w:val="21"/>
                    </w:rPr>
                  </w:pPr>
                </w:p>
              </w:tc>
              <w:tc>
                <w:tcPr>
                  <w:tcW w:w="1155"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kern w:val="0"/>
                      <w:szCs w:val="21"/>
                    </w:rPr>
                  </w:pPr>
                  <w:r>
                    <w:rPr>
                      <w:rFonts w:hint="eastAsia" w:ascii="宋体" w:hAnsi="宋体" w:cs="宋体"/>
                      <w:kern w:val="0"/>
                      <w:szCs w:val="21"/>
                    </w:rPr>
                    <w:t>4</w:t>
                  </w:r>
                </w:p>
              </w:tc>
              <w:tc>
                <w:tcPr>
                  <w:tcW w:w="3720"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tcPr>
                <w:p>
                  <w:pPr>
                    <w:spacing w:line="360" w:lineRule="auto"/>
                    <w:jc w:val="center"/>
                    <w:rPr>
                      <w:rFonts w:ascii="宋体" w:hAnsi="宋体" w:cs="宋体"/>
                      <w:kern w:val="0"/>
                      <w:szCs w:val="21"/>
                    </w:rPr>
                  </w:pPr>
                </w:p>
              </w:tc>
              <w:tc>
                <w:tcPr>
                  <w:tcW w:w="933" w:type="dxa"/>
                </w:tcPr>
                <w:p>
                  <w:pPr>
                    <w:spacing w:line="360" w:lineRule="auto"/>
                    <w:jc w:val="center"/>
                    <w:rPr>
                      <w:rFonts w:ascii="宋体" w:hAnsi="宋体" w:cs="宋体"/>
                      <w:kern w:val="0"/>
                      <w:szCs w:val="21"/>
                    </w:rPr>
                  </w:pPr>
                </w:p>
              </w:tc>
              <w:tc>
                <w:tcPr>
                  <w:tcW w:w="1155"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kern w:val="0"/>
                      <w:szCs w:val="21"/>
                    </w:rPr>
                  </w:pPr>
                  <w:r>
                    <w:rPr>
                      <w:rFonts w:hint="eastAsia" w:ascii="宋体" w:hAnsi="宋体" w:cs="宋体"/>
                      <w:kern w:val="0"/>
                      <w:szCs w:val="21"/>
                    </w:rPr>
                    <w:t>5</w:t>
                  </w:r>
                </w:p>
              </w:tc>
              <w:tc>
                <w:tcPr>
                  <w:tcW w:w="3720"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tcPr>
                <w:p>
                  <w:pPr>
                    <w:spacing w:line="360" w:lineRule="auto"/>
                    <w:jc w:val="center"/>
                    <w:rPr>
                      <w:rFonts w:ascii="宋体" w:hAnsi="宋体" w:cs="宋体"/>
                      <w:kern w:val="0"/>
                      <w:szCs w:val="21"/>
                    </w:rPr>
                  </w:pPr>
                </w:p>
              </w:tc>
              <w:tc>
                <w:tcPr>
                  <w:tcW w:w="933" w:type="dxa"/>
                </w:tcPr>
                <w:p>
                  <w:pPr>
                    <w:spacing w:line="360" w:lineRule="auto"/>
                    <w:jc w:val="center"/>
                    <w:rPr>
                      <w:rFonts w:ascii="宋体" w:hAnsi="宋体" w:cs="宋体"/>
                      <w:kern w:val="0"/>
                      <w:szCs w:val="21"/>
                    </w:rPr>
                  </w:pPr>
                </w:p>
              </w:tc>
              <w:tc>
                <w:tcPr>
                  <w:tcW w:w="1155"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775" w:type="dxa"/>
                  <w:vAlign w:val="center"/>
                </w:tcPr>
                <w:p>
                  <w:pPr>
                    <w:spacing w:line="360" w:lineRule="auto"/>
                    <w:jc w:val="center"/>
                    <w:rPr>
                      <w:rFonts w:ascii="宋体" w:hAnsi="宋体" w:cs="宋体"/>
                      <w:kern w:val="0"/>
                      <w:szCs w:val="21"/>
                    </w:rPr>
                  </w:pPr>
                  <w:r>
                    <w:rPr>
                      <w:rFonts w:hint="eastAsia" w:ascii="宋体" w:hAnsi="宋体" w:cs="宋体"/>
                      <w:kern w:val="0"/>
                      <w:szCs w:val="21"/>
                    </w:rPr>
                    <w:t>6</w:t>
                  </w:r>
                </w:p>
              </w:tc>
              <w:tc>
                <w:tcPr>
                  <w:tcW w:w="3720"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3" w:type="dxa"/>
                  <w:vAlign w:val="center"/>
                </w:tcPr>
                <w:p>
                  <w:pPr>
                    <w:spacing w:line="360" w:lineRule="auto"/>
                    <w:jc w:val="center"/>
                    <w:rPr>
                      <w:rFonts w:ascii="宋体" w:hAnsi="宋体" w:cs="宋体"/>
                      <w:kern w:val="0"/>
                      <w:szCs w:val="21"/>
                    </w:rPr>
                  </w:pPr>
                </w:p>
              </w:tc>
              <w:tc>
                <w:tcPr>
                  <w:tcW w:w="932" w:type="dxa"/>
                </w:tcPr>
                <w:p>
                  <w:pPr>
                    <w:spacing w:line="360" w:lineRule="auto"/>
                    <w:jc w:val="center"/>
                    <w:rPr>
                      <w:rFonts w:ascii="宋体" w:hAnsi="宋体" w:cs="宋体"/>
                      <w:kern w:val="0"/>
                      <w:szCs w:val="21"/>
                    </w:rPr>
                  </w:pPr>
                </w:p>
              </w:tc>
              <w:tc>
                <w:tcPr>
                  <w:tcW w:w="933" w:type="dxa"/>
                </w:tcPr>
                <w:p>
                  <w:pPr>
                    <w:spacing w:line="360" w:lineRule="auto"/>
                    <w:jc w:val="center"/>
                    <w:rPr>
                      <w:rFonts w:ascii="宋体" w:hAnsi="宋体" w:cs="宋体"/>
                      <w:kern w:val="0"/>
                      <w:szCs w:val="21"/>
                    </w:rPr>
                  </w:pPr>
                </w:p>
              </w:tc>
              <w:tc>
                <w:tcPr>
                  <w:tcW w:w="1155" w:type="dxa"/>
                  <w:vAlign w:val="center"/>
                </w:tcPr>
                <w:p>
                  <w:pPr>
                    <w:spacing w:line="360" w:lineRule="auto"/>
                    <w:jc w:val="center"/>
                    <w:rPr>
                      <w:rFonts w:ascii="宋体" w:hAnsi="宋体" w:cs="宋体"/>
                      <w:kern w:val="0"/>
                      <w:szCs w:val="21"/>
                    </w:rPr>
                  </w:pPr>
                </w:p>
              </w:tc>
            </w:tr>
          </w:tbl>
          <w:p>
            <w:pPr>
              <w:spacing w:line="360" w:lineRule="auto"/>
              <w:jc w:val="left"/>
              <w:rPr>
                <w:rFonts w:ascii="宋体" w:hAnsi="宋体" w:cs="宋体"/>
                <w:szCs w:val="21"/>
              </w:rPr>
            </w:pPr>
            <w:r>
              <w:rPr>
                <w:rFonts w:hint="eastAsia" w:ascii="宋体" w:hAnsi="宋体" w:cs="宋体"/>
                <w:szCs w:val="21"/>
              </w:rPr>
              <w:t>说明： 1、参选人技术标得分的计算办法：取各评委对每一个参选人的技术标评审得分值的算术平均值，即为该参选人技术标得分。</w:t>
            </w:r>
          </w:p>
          <w:p>
            <w:pPr>
              <w:spacing w:line="360" w:lineRule="auto"/>
              <w:jc w:val="left"/>
              <w:rPr>
                <w:rFonts w:ascii="宋体" w:hAnsi="宋体" w:cs="宋体"/>
                <w:szCs w:val="21"/>
              </w:rPr>
            </w:pPr>
            <w:r>
              <w:rPr>
                <w:rFonts w:hint="eastAsia" w:ascii="宋体" w:hAnsi="宋体" w:cs="宋体"/>
                <w:szCs w:val="21"/>
              </w:rPr>
              <w:t xml:space="preserve">       2、技术标得分的算术平均值保留小数点后两位数字，且四舍五入。</w:t>
            </w:r>
          </w:p>
          <w:p>
            <w:pPr>
              <w:pStyle w:val="21"/>
              <w:snapToGrid w:val="0"/>
              <w:rPr>
                <w:rFonts w:ascii="宋体" w:hAnsi="宋体" w:cs="宋体"/>
                <w:sz w:val="21"/>
                <w:szCs w:val="21"/>
              </w:rPr>
            </w:pPr>
          </w:p>
          <w:p>
            <w:pPr>
              <w:tabs>
                <w:tab w:val="left" w:pos="0"/>
              </w:tabs>
              <w:snapToGrid w:val="0"/>
              <w:spacing w:line="360" w:lineRule="auto"/>
              <w:rPr>
                <w:rFonts w:ascii="宋体" w:hAnsi="宋体" w:cs="宋体"/>
                <w:b/>
                <w:szCs w:val="21"/>
              </w:rPr>
            </w:pPr>
            <w:r>
              <w:rPr>
                <w:rFonts w:hint="eastAsia" w:ascii="宋体" w:hAnsi="宋体" w:cs="宋体"/>
                <w:b/>
                <w:szCs w:val="21"/>
              </w:rPr>
              <w:t>评委(签名)：</w:t>
            </w:r>
          </w:p>
          <w:p>
            <w:pPr>
              <w:widowControl/>
              <w:spacing w:line="360" w:lineRule="auto"/>
              <w:rPr>
                <w:rFonts w:ascii="宋体" w:hAnsi="宋体" w:cs="宋体"/>
                <w:b/>
                <w:szCs w:val="21"/>
              </w:rPr>
            </w:pPr>
            <w:r>
              <w:rPr>
                <w:rFonts w:hint="eastAsia" w:ascii="宋体" w:hAnsi="宋体" w:cs="宋体"/>
                <w:b/>
                <w:szCs w:val="21"/>
              </w:rPr>
              <w:t xml:space="preserve">监督（签名）：  </w:t>
            </w:r>
            <w:r>
              <w:rPr>
                <w:rFonts w:hint="eastAsia" w:ascii="宋体" w:hAnsi="宋体" w:cs="宋体"/>
                <w:szCs w:val="21"/>
              </w:rPr>
              <w:t xml:space="preserve">                                                                             </w:t>
            </w:r>
            <w:r>
              <w:rPr>
                <w:rFonts w:hint="eastAsia" w:ascii="宋体" w:hAnsi="宋体" w:cs="宋体"/>
                <w:b/>
                <w:szCs w:val="21"/>
              </w:rPr>
              <w:t>日期：</w:t>
            </w:r>
            <w:r>
              <w:rPr>
                <w:rFonts w:hint="eastAsia" w:ascii="宋体" w:hAnsi="宋体" w:cs="宋体"/>
                <w:szCs w:val="21"/>
              </w:rPr>
              <w:t xml:space="preserve">     年    月    日</w:t>
            </w:r>
          </w:p>
          <w:p>
            <w:pPr>
              <w:widowControl/>
              <w:spacing w:line="360" w:lineRule="auto"/>
              <w:rPr>
                <w:rFonts w:ascii="宋体" w:hAnsi="宋体" w:cs="宋体"/>
                <w:b/>
                <w:szCs w:val="21"/>
              </w:rPr>
            </w:pPr>
          </w:p>
          <w:p>
            <w:pPr>
              <w:widowControl/>
              <w:spacing w:line="360" w:lineRule="auto"/>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附表6：</w:t>
            </w:r>
            <w:r>
              <w:rPr>
                <w:rFonts w:hint="eastAsia" w:ascii="宋体" w:hAnsi="宋体" w:cs="宋体"/>
                <w:b/>
                <w:bCs/>
                <w:kern w:val="0"/>
                <w:szCs w:val="21"/>
              </w:rPr>
              <w:t xml:space="preserve"> 商务标初步评审表</w:t>
            </w:r>
          </w:p>
          <w:p>
            <w:pPr>
              <w:spacing w:after="120" w:afterLines="50" w:line="360" w:lineRule="auto"/>
              <w:ind w:right="350"/>
              <w:jc w:val="center"/>
              <w:rPr>
                <w:rFonts w:ascii="宋体" w:hAnsi="宋体" w:cs="宋体"/>
                <w:b/>
                <w:kern w:val="0"/>
                <w:sz w:val="24"/>
                <w:szCs w:val="24"/>
              </w:rPr>
            </w:pPr>
            <w:r>
              <w:rPr>
                <w:rFonts w:hint="eastAsia" w:ascii="宋体" w:hAnsi="宋体" w:cs="宋体"/>
                <w:b/>
                <w:kern w:val="0"/>
                <w:sz w:val="24"/>
                <w:szCs w:val="24"/>
              </w:rPr>
              <w:t>商务标初步评审表</w:t>
            </w:r>
          </w:p>
          <w:p>
            <w:pPr>
              <w:spacing w:after="120" w:afterLines="50" w:line="360" w:lineRule="auto"/>
              <w:ind w:right="630"/>
              <w:rPr>
                <w:rFonts w:ascii="宋体" w:hAnsi="宋体" w:cs="宋体"/>
                <w:b/>
                <w:kern w:val="0"/>
                <w:szCs w:val="21"/>
              </w:rPr>
            </w:pPr>
            <w:r>
              <w:rPr>
                <w:rFonts w:hint="eastAsia" w:ascii="宋体" w:hAnsi="宋体" w:cs="宋体"/>
                <w:b/>
                <w:kern w:val="0"/>
                <w:szCs w:val="21"/>
              </w:rPr>
              <w:t>项目名称：</w:t>
            </w:r>
            <w:r>
              <w:rPr>
                <w:rFonts w:hint="eastAsia" w:hAnsi="宋体"/>
                <w:b/>
                <w:bCs/>
                <w:color w:val="0D0D0D"/>
                <w:sz w:val="24"/>
                <w:szCs w:val="24"/>
                <w:u w:val="single"/>
              </w:rPr>
              <w:t>昂鹅等</w:t>
            </w:r>
            <w:r>
              <w:rPr>
                <w:rFonts w:hint="eastAsia" w:hAnsi="宋体"/>
                <w:b/>
                <w:bCs/>
                <w:sz w:val="24"/>
                <w:szCs w:val="24"/>
                <w:u w:val="single"/>
              </w:rPr>
              <w:t>十</w:t>
            </w:r>
            <w:r>
              <w:rPr>
                <w:rFonts w:hAnsi="宋体"/>
                <w:b/>
                <w:bCs/>
                <w:sz w:val="24"/>
                <w:szCs w:val="24"/>
                <w:u w:val="single"/>
              </w:rPr>
              <w:t>五</w:t>
            </w:r>
            <w:r>
              <w:rPr>
                <w:rFonts w:hint="eastAsia" w:hAnsi="宋体"/>
                <w:b/>
                <w:bCs/>
                <w:color w:val="0D0D0D"/>
                <w:sz w:val="24"/>
                <w:szCs w:val="24"/>
                <w:u w:val="single"/>
              </w:rPr>
              <w:t>个新项目税务咨询服务</w:t>
            </w:r>
            <w:r>
              <w:rPr>
                <w:rFonts w:hint="eastAsia" w:ascii="宋体" w:hAnsi="宋体" w:cs="宋体"/>
                <w:b/>
                <w:color w:val="0D0D0D"/>
                <w:kern w:val="0"/>
                <w:sz w:val="24"/>
                <w:szCs w:val="24"/>
              </w:rPr>
              <w:t xml:space="preserve"> </w:t>
            </w:r>
          </w:p>
          <w:tbl>
            <w:tblPr>
              <w:tblStyle w:val="49"/>
              <w:tblW w:w="0" w:type="auto"/>
              <w:jc w:val="center"/>
              <w:tblLayout w:type="fixed"/>
              <w:tblCellMar>
                <w:top w:w="0" w:type="dxa"/>
                <w:left w:w="108" w:type="dxa"/>
                <w:bottom w:w="0" w:type="dxa"/>
                <w:right w:w="108" w:type="dxa"/>
              </w:tblCellMar>
            </w:tblPr>
            <w:tblGrid>
              <w:gridCol w:w="798"/>
              <w:gridCol w:w="5743"/>
              <w:gridCol w:w="977"/>
              <w:gridCol w:w="1099"/>
              <w:gridCol w:w="977"/>
              <w:gridCol w:w="887"/>
              <w:gridCol w:w="947"/>
            </w:tblGrid>
            <w:tr>
              <w:tblPrEx>
                <w:tblCellMar>
                  <w:top w:w="0" w:type="dxa"/>
                  <w:left w:w="108" w:type="dxa"/>
                  <w:bottom w:w="0" w:type="dxa"/>
                  <w:right w:w="108" w:type="dxa"/>
                </w:tblCellMar>
              </w:tblPrEx>
              <w:trPr>
                <w:trHeight w:val="218" w:hRule="atLeast"/>
                <w:jc w:val="center"/>
              </w:trPr>
              <w:tc>
                <w:tcPr>
                  <w:tcW w:w="79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序号</w:t>
                  </w:r>
                </w:p>
              </w:tc>
              <w:tc>
                <w:tcPr>
                  <w:tcW w:w="5743" w:type="dxa"/>
                  <w:vMerge w:val="restart"/>
                  <w:tcBorders>
                    <w:top w:val="single" w:color="auto" w:sz="4" w:space="0"/>
                    <w:left w:val="single" w:color="auto" w:sz="4" w:space="0"/>
                    <w:bottom w:val="single" w:color="000000" w:sz="4" w:space="0"/>
                    <w:right w:val="single" w:color="auto" w:sz="4" w:space="0"/>
                    <w:tl2br w:val="single" w:color="auto" w:sz="4" w:space="0"/>
                  </w:tcBorders>
                  <w:vAlign w:val="center"/>
                </w:tcPr>
                <w:p>
                  <w:pPr>
                    <w:widowControl/>
                    <w:spacing w:line="360" w:lineRule="auto"/>
                    <w:jc w:val="left"/>
                    <w:rPr>
                      <w:rFonts w:ascii="宋体" w:hAnsi="宋体" w:cs="宋体"/>
                      <w:bCs/>
                      <w:kern w:val="0"/>
                      <w:szCs w:val="21"/>
                    </w:rPr>
                  </w:pPr>
                  <w:r>
                    <w:rPr>
                      <w:rFonts w:hint="eastAsia" w:ascii="宋体" w:hAnsi="宋体" w:cs="宋体"/>
                      <w:bCs/>
                      <w:kern w:val="0"/>
                      <w:szCs w:val="21"/>
                    </w:rPr>
                    <w:t xml:space="preserve">                                     参选人</w:t>
                  </w:r>
                  <w:r>
                    <w:rPr>
                      <w:rFonts w:hint="eastAsia" w:ascii="宋体" w:hAnsi="宋体" w:cs="宋体"/>
                      <w:bCs/>
                      <w:kern w:val="0"/>
                      <w:szCs w:val="21"/>
                    </w:rPr>
                    <w:br w:type="textWrapping"/>
                  </w:r>
                  <w:r>
                    <w:rPr>
                      <w:rFonts w:hint="eastAsia" w:ascii="宋体" w:hAnsi="宋体" w:cs="宋体"/>
                      <w:bCs/>
                      <w:kern w:val="0"/>
                      <w:szCs w:val="21"/>
                    </w:rPr>
                    <w:t xml:space="preserve">  项目名称</w:t>
                  </w:r>
                </w:p>
              </w:tc>
              <w:tc>
                <w:tcPr>
                  <w:tcW w:w="4887"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r>
                    <w:rPr>
                      <w:rFonts w:hint="eastAsia" w:ascii="宋体" w:hAnsi="宋体" w:cs="宋体"/>
                      <w:bCs/>
                      <w:kern w:val="0"/>
                      <w:szCs w:val="21"/>
                    </w:rPr>
                    <w:t xml:space="preserve">参选人名称  </w:t>
                  </w:r>
                </w:p>
              </w:tc>
            </w:tr>
            <w:tr>
              <w:tblPrEx>
                <w:tblCellMar>
                  <w:top w:w="0" w:type="dxa"/>
                  <w:left w:w="108" w:type="dxa"/>
                  <w:bottom w:w="0" w:type="dxa"/>
                  <w:right w:w="108" w:type="dxa"/>
                </w:tblCellMar>
              </w:tblPrEx>
              <w:trPr>
                <w:trHeight w:val="281" w:hRule="atLeast"/>
                <w:jc w:val="center"/>
              </w:trPr>
              <w:tc>
                <w:tcPr>
                  <w:tcW w:w="7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bCs/>
                      <w:kern w:val="0"/>
                      <w:szCs w:val="21"/>
                    </w:rPr>
                  </w:pPr>
                </w:p>
              </w:tc>
              <w:tc>
                <w:tcPr>
                  <w:tcW w:w="5743"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宋体" w:hAnsi="宋体" w:cs="宋体"/>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p>
              </w:tc>
              <w:tc>
                <w:tcPr>
                  <w:tcW w:w="109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p>
              </w:tc>
              <w:tc>
                <w:tcPr>
                  <w:tcW w:w="947"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kern w:val="0"/>
                      <w:szCs w:val="21"/>
                    </w:rPr>
                  </w:pPr>
                </w:p>
              </w:tc>
            </w:tr>
            <w:tr>
              <w:tblPrEx>
                <w:tblCellMar>
                  <w:top w:w="0" w:type="dxa"/>
                  <w:left w:w="108" w:type="dxa"/>
                  <w:bottom w:w="0" w:type="dxa"/>
                  <w:right w:w="108" w:type="dxa"/>
                </w:tblCellMar>
              </w:tblPrEx>
              <w:trPr>
                <w:trHeight w:val="510" w:hRule="atLeast"/>
                <w:jc w:val="center"/>
              </w:trPr>
              <w:tc>
                <w:tcPr>
                  <w:tcW w:w="798"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Cs w:val="21"/>
                    </w:rPr>
                  </w:pPr>
                  <w:r>
                    <w:rPr>
                      <w:rFonts w:hint="eastAsia" w:ascii="宋体" w:hAnsi="宋体" w:cs="宋体"/>
                      <w:kern w:val="0"/>
                      <w:szCs w:val="21"/>
                    </w:rPr>
                    <w:t>1</w:t>
                  </w:r>
                </w:p>
              </w:tc>
              <w:tc>
                <w:tcPr>
                  <w:tcW w:w="5743" w:type="dxa"/>
                  <w:tcBorders>
                    <w:top w:val="nil"/>
                    <w:left w:val="nil"/>
                    <w:bottom w:val="single" w:color="auto" w:sz="4" w:space="0"/>
                    <w:right w:val="single" w:color="auto" w:sz="4" w:space="0"/>
                  </w:tcBorders>
                  <w:vAlign w:val="center"/>
                </w:tcPr>
                <w:p>
                  <w:pPr>
                    <w:adjustRightInd w:val="0"/>
                    <w:snapToGrid w:val="0"/>
                    <w:spacing w:before="120" w:beforeLines="50" w:line="360" w:lineRule="auto"/>
                    <w:rPr>
                      <w:rFonts w:ascii="宋体" w:hAnsi="宋体" w:cs="宋体"/>
                      <w:szCs w:val="21"/>
                    </w:rPr>
                  </w:pPr>
                  <w:r>
                    <w:rPr>
                      <w:rFonts w:hint="eastAsia" w:ascii="宋体" w:hAnsi="宋体" w:cs="宋体"/>
                      <w:szCs w:val="21"/>
                    </w:rPr>
                    <w:t>商务标文件按要求加盖参选人公章</w:t>
                  </w: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r>
            <w:tr>
              <w:tblPrEx>
                <w:tblCellMar>
                  <w:top w:w="0" w:type="dxa"/>
                  <w:left w:w="108" w:type="dxa"/>
                  <w:bottom w:w="0" w:type="dxa"/>
                  <w:right w:w="108" w:type="dxa"/>
                </w:tblCellMar>
              </w:tblPrEx>
              <w:trPr>
                <w:trHeight w:val="547" w:hRule="atLeast"/>
                <w:jc w:val="center"/>
              </w:trPr>
              <w:tc>
                <w:tcPr>
                  <w:tcW w:w="798" w:type="dxa"/>
                  <w:tcBorders>
                    <w:top w:val="nil"/>
                    <w:left w:val="single" w:color="auto" w:sz="4" w:space="0"/>
                    <w:bottom w:val="single" w:color="auto" w:sz="4" w:space="0"/>
                    <w:right w:val="nil"/>
                  </w:tcBorders>
                  <w:vAlign w:val="center"/>
                </w:tcPr>
                <w:p>
                  <w:pPr>
                    <w:widowControl/>
                    <w:spacing w:line="360" w:lineRule="auto"/>
                    <w:rPr>
                      <w:rFonts w:ascii="宋体" w:hAnsi="宋体" w:cs="宋体"/>
                      <w:kern w:val="0"/>
                      <w:szCs w:val="21"/>
                    </w:rPr>
                  </w:pPr>
                  <w:r>
                    <w:rPr>
                      <w:rFonts w:hint="eastAsia" w:ascii="宋体" w:hAnsi="宋体" w:cs="宋体"/>
                      <w:kern w:val="0"/>
                      <w:szCs w:val="21"/>
                    </w:rPr>
                    <w:t>2</w:t>
                  </w:r>
                </w:p>
              </w:tc>
              <w:tc>
                <w:tcPr>
                  <w:tcW w:w="5743"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《参选函》中的内容按比选文件的要求填写并签字盖章</w:t>
                  </w:r>
                </w:p>
              </w:tc>
              <w:tc>
                <w:tcPr>
                  <w:tcW w:w="977"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szCs w:val="21"/>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r>
            <w:tr>
              <w:tblPrEx>
                <w:tblCellMar>
                  <w:top w:w="0" w:type="dxa"/>
                  <w:left w:w="108" w:type="dxa"/>
                  <w:bottom w:w="0" w:type="dxa"/>
                  <w:right w:w="108" w:type="dxa"/>
                </w:tblCellMar>
              </w:tblPrEx>
              <w:trPr>
                <w:trHeight w:val="541" w:hRule="atLeast"/>
                <w:jc w:val="center"/>
              </w:trPr>
              <w:tc>
                <w:tcPr>
                  <w:tcW w:w="798" w:type="dxa"/>
                  <w:tcBorders>
                    <w:top w:val="nil"/>
                    <w:left w:val="single" w:color="auto" w:sz="4" w:space="0"/>
                    <w:bottom w:val="single" w:color="auto" w:sz="4" w:space="0"/>
                    <w:right w:val="nil"/>
                  </w:tcBorders>
                  <w:vAlign w:val="center"/>
                </w:tcPr>
                <w:p>
                  <w:pPr>
                    <w:widowControl/>
                    <w:spacing w:line="360" w:lineRule="auto"/>
                    <w:rPr>
                      <w:rFonts w:ascii="宋体" w:hAnsi="宋体" w:cs="宋体"/>
                      <w:kern w:val="0"/>
                      <w:szCs w:val="21"/>
                    </w:rPr>
                  </w:pPr>
                  <w:r>
                    <w:rPr>
                      <w:rFonts w:hint="eastAsia" w:ascii="宋体" w:hAnsi="宋体" w:cs="宋体"/>
                      <w:kern w:val="0"/>
                      <w:szCs w:val="21"/>
                    </w:rPr>
                    <w:t>3</w:t>
                  </w:r>
                </w:p>
              </w:tc>
              <w:tc>
                <w:tcPr>
                  <w:tcW w:w="5743"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参选人的报价不高于总控制价或分项控制价</w:t>
                  </w:r>
                </w:p>
              </w:tc>
              <w:tc>
                <w:tcPr>
                  <w:tcW w:w="977"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szCs w:val="21"/>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r>
            <w:tr>
              <w:tblPrEx>
                <w:tblCellMar>
                  <w:top w:w="0" w:type="dxa"/>
                  <w:left w:w="108" w:type="dxa"/>
                  <w:bottom w:w="0" w:type="dxa"/>
                  <w:right w:w="108" w:type="dxa"/>
                </w:tblCellMar>
              </w:tblPrEx>
              <w:trPr>
                <w:trHeight w:val="1240" w:hRule="atLeast"/>
                <w:jc w:val="center"/>
              </w:trPr>
              <w:tc>
                <w:tcPr>
                  <w:tcW w:w="798" w:type="dxa"/>
                  <w:tcBorders>
                    <w:top w:val="nil"/>
                    <w:left w:val="single" w:color="auto" w:sz="4" w:space="0"/>
                    <w:bottom w:val="single" w:color="auto" w:sz="4" w:space="0"/>
                    <w:right w:val="nil"/>
                  </w:tcBorders>
                  <w:vAlign w:val="center"/>
                </w:tcPr>
                <w:p>
                  <w:pPr>
                    <w:widowControl/>
                    <w:spacing w:line="360" w:lineRule="auto"/>
                    <w:rPr>
                      <w:rFonts w:ascii="宋体" w:hAnsi="宋体" w:cs="宋体"/>
                      <w:kern w:val="0"/>
                      <w:szCs w:val="21"/>
                    </w:rPr>
                  </w:pPr>
                  <w:r>
                    <w:rPr>
                      <w:rFonts w:hint="eastAsia" w:ascii="宋体" w:hAnsi="宋体" w:cs="宋体"/>
                      <w:kern w:val="0"/>
                      <w:szCs w:val="21"/>
                    </w:rPr>
                    <w:t>4</w:t>
                  </w:r>
                </w:p>
              </w:tc>
              <w:tc>
                <w:tcPr>
                  <w:tcW w:w="5743" w:type="dxa"/>
                  <w:tcBorders>
                    <w:top w:val="nil"/>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cs="宋体"/>
                      <w:szCs w:val="21"/>
                    </w:rPr>
                  </w:pPr>
                  <w:r>
                    <w:rPr>
                      <w:rFonts w:hint="eastAsia" w:ascii="宋体" w:hAnsi="宋体" w:cs="宋体"/>
                      <w:szCs w:val="21"/>
                    </w:rPr>
                    <w:t>参选人的参选报价不可变动价格的，未包含价格调整要求的，未</w:t>
                  </w:r>
                  <w:r>
                    <w:rPr>
                      <w:rFonts w:hint="eastAsia" w:ascii="宋体" w:hAnsi="宋体" w:cs="宋体"/>
                      <w:color w:val="000000"/>
                      <w:szCs w:val="21"/>
                    </w:rPr>
                    <w:t>递交两份或多份内容不同的报价文件，未在一份报价文件中对同一比选项目报有两个或多个报价</w:t>
                  </w:r>
                </w:p>
              </w:tc>
              <w:tc>
                <w:tcPr>
                  <w:tcW w:w="977" w:type="dxa"/>
                  <w:tcBorders>
                    <w:top w:val="nil"/>
                    <w:left w:val="nil"/>
                    <w:bottom w:val="single" w:color="auto" w:sz="4" w:space="0"/>
                    <w:right w:val="single" w:color="auto" w:sz="4" w:space="0"/>
                  </w:tcBorders>
                  <w:vAlign w:val="center"/>
                </w:tcPr>
                <w:p>
                  <w:pPr>
                    <w:widowControl/>
                    <w:adjustRightInd w:val="0"/>
                    <w:snapToGrid w:val="0"/>
                    <w:spacing w:line="360" w:lineRule="auto"/>
                    <w:rPr>
                      <w:rFonts w:ascii="宋体" w:hAnsi="宋体" w:cs="宋体"/>
                      <w:szCs w:val="21"/>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r>
            <w:tr>
              <w:tblPrEx>
                <w:tblCellMar>
                  <w:top w:w="0" w:type="dxa"/>
                  <w:left w:w="108" w:type="dxa"/>
                  <w:bottom w:w="0" w:type="dxa"/>
                  <w:right w:w="108" w:type="dxa"/>
                </w:tblCellMar>
              </w:tblPrEx>
              <w:trPr>
                <w:trHeight w:val="636" w:hRule="atLeast"/>
                <w:jc w:val="center"/>
              </w:trPr>
              <w:tc>
                <w:tcPr>
                  <w:tcW w:w="654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 审 结 论</w:t>
                  </w: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1099"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7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88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c>
                <w:tcPr>
                  <w:tcW w:w="947" w:type="dxa"/>
                  <w:tcBorders>
                    <w:top w:val="nil"/>
                    <w:left w:val="nil"/>
                    <w:bottom w:val="single" w:color="auto" w:sz="4" w:space="0"/>
                    <w:right w:val="single" w:color="auto" w:sz="4" w:space="0"/>
                  </w:tcBorders>
                  <w:vAlign w:val="center"/>
                </w:tcPr>
                <w:p>
                  <w:pPr>
                    <w:widowControl/>
                    <w:spacing w:line="360" w:lineRule="auto"/>
                    <w:rPr>
                      <w:rFonts w:ascii="宋体" w:hAnsi="宋体" w:cs="宋体"/>
                      <w:b/>
                      <w:bCs/>
                      <w:kern w:val="0"/>
                      <w:szCs w:val="21"/>
                    </w:rPr>
                  </w:pPr>
                </w:p>
              </w:tc>
            </w:tr>
          </w:tbl>
          <w:p>
            <w:pPr>
              <w:tabs>
                <w:tab w:val="left" w:pos="0"/>
              </w:tabs>
              <w:snapToGrid w:val="0"/>
              <w:spacing w:line="360" w:lineRule="auto"/>
              <w:rPr>
                <w:rFonts w:ascii="宋体" w:hAnsi="宋体" w:cs="宋体"/>
                <w:szCs w:val="21"/>
              </w:rPr>
            </w:pPr>
            <w:r>
              <w:rPr>
                <w:rFonts w:hint="eastAsia" w:ascii="宋体" w:hAnsi="宋体" w:cs="宋体"/>
                <w:b/>
                <w:szCs w:val="21"/>
              </w:rPr>
              <w:t>说明：</w:t>
            </w:r>
            <w:r>
              <w:rPr>
                <w:rFonts w:hint="eastAsia" w:ascii="宋体" w:hAnsi="宋体" w:cs="宋体"/>
                <w:szCs w:val="21"/>
              </w:rPr>
              <w:t>1、评审通过的用“√”表示，未通过的用“×”表示。结论用“合格”或“不合格”表示。</w:t>
            </w:r>
          </w:p>
          <w:p>
            <w:pPr>
              <w:tabs>
                <w:tab w:val="left" w:pos="0"/>
              </w:tabs>
              <w:snapToGrid w:val="0"/>
              <w:spacing w:line="360" w:lineRule="auto"/>
              <w:ind w:firstLine="630" w:firstLineChars="300"/>
              <w:rPr>
                <w:rFonts w:ascii="宋体" w:hAnsi="宋体" w:cs="宋体"/>
                <w:szCs w:val="21"/>
              </w:rPr>
            </w:pPr>
            <w:r>
              <w:rPr>
                <w:rFonts w:hint="eastAsia" w:ascii="宋体" w:hAnsi="宋体" w:cs="宋体"/>
                <w:szCs w:val="21"/>
              </w:rPr>
              <w:t>2、只有以上项目全部通过，评审结论为“合格”，否则结论为“不合格”。</w:t>
            </w:r>
          </w:p>
          <w:p>
            <w:pPr>
              <w:tabs>
                <w:tab w:val="left" w:pos="0"/>
              </w:tabs>
              <w:snapToGrid w:val="0"/>
              <w:spacing w:line="360" w:lineRule="auto"/>
              <w:ind w:firstLine="422" w:firstLineChars="200"/>
              <w:rPr>
                <w:rFonts w:ascii="宋体" w:hAnsi="宋体" w:cs="宋体"/>
                <w:b/>
                <w:szCs w:val="21"/>
              </w:rPr>
            </w:pPr>
            <w:r>
              <w:rPr>
                <w:rFonts w:hint="eastAsia" w:ascii="宋体" w:hAnsi="宋体" w:cs="宋体"/>
                <w:b/>
                <w:szCs w:val="21"/>
              </w:rPr>
              <w:t>评委（签名）：</w:t>
            </w:r>
          </w:p>
          <w:p>
            <w:pPr>
              <w:tabs>
                <w:tab w:val="left" w:pos="0"/>
              </w:tabs>
              <w:snapToGrid w:val="0"/>
              <w:spacing w:line="360" w:lineRule="auto"/>
              <w:ind w:firstLine="422" w:firstLineChars="200"/>
              <w:rPr>
                <w:rFonts w:ascii="宋体" w:hAnsi="宋体" w:cs="宋体"/>
                <w:b/>
                <w:szCs w:val="21"/>
              </w:rPr>
            </w:pPr>
            <w:r>
              <w:rPr>
                <w:rFonts w:hint="eastAsia" w:ascii="宋体" w:hAnsi="宋体" w:cs="宋体"/>
                <w:b/>
                <w:szCs w:val="21"/>
              </w:rPr>
              <w:t>监督（签名）：</w:t>
            </w:r>
          </w:p>
          <w:p>
            <w:pPr>
              <w:tabs>
                <w:tab w:val="left" w:pos="0"/>
              </w:tabs>
              <w:snapToGrid w:val="0"/>
              <w:spacing w:line="360" w:lineRule="auto"/>
              <w:ind w:firstLine="422" w:firstLineChars="200"/>
              <w:jc w:val="right"/>
              <w:rPr>
                <w:rFonts w:ascii="宋体" w:hAnsi="宋体" w:cs="宋体"/>
                <w:szCs w:val="21"/>
              </w:rPr>
            </w:pPr>
            <w:r>
              <w:rPr>
                <w:rFonts w:hint="eastAsia" w:ascii="宋体" w:hAnsi="宋体" w:cs="宋体"/>
                <w:b/>
                <w:szCs w:val="21"/>
              </w:rPr>
              <w:t>日期：</w:t>
            </w:r>
            <w:r>
              <w:rPr>
                <w:rFonts w:hint="eastAsia" w:ascii="宋体" w:hAnsi="宋体" w:cs="宋体"/>
                <w:szCs w:val="21"/>
              </w:rPr>
              <w:t xml:space="preserve">     年    月    日</w:t>
            </w:r>
          </w:p>
          <w:p>
            <w:pPr>
              <w:widowControl/>
              <w:spacing w:line="360" w:lineRule="auto"/>
              <w:rPr>
                <w:rFonts w:ascii="宋体" w:hAnsi="宋体" w:cs="宋体"/>
                <w:b/>
                <w:szCs w:val="21"/>
              </w:rPr>
            </w:pPr>
          </w:p>
          <w:p>
            <w:pPr>
              <w:widowControl/>
              <w:spacing w:line="360" w:lineRule="auto"/>
              <w:rPr>
                <w:rFonts w:ascii="宋体" w:hAnsi="宋体" w:cs="宋体"/>
                <w:b/>
                <w:szCs w:val="21"/>
              </w:rPr>
            </w:pPr>
          </w:p>
          <w:p>
            <w:pPr>
              <w:widowControl/>
              <w:spacing w:line="360" w:lineRule="auto"/>
              <w:rPr>
                <w:rFonts w:ascii="宋体" w:hAnsi="宋体" w:cs="宋体"/>
                <w:b/>
                <w:szCs w:val="21"/>
              </w:rPr>
            </w:pPr>
            <w:r>
              <w:rPr>
                <w:rFonts w:hint="eastAsia" w:ascii="宋体" w:hAnsi="宋体" w:cs="宋体"/>
                <w:b/>
                <w:szCs w:val="21"/>
              </w:rPr>
              <w:t>附表7：商务标详细评审表</w:t>
            </w:r>
          </w:p>
          <w:p>
            <w:pPr>
              <w:widowControl/>
              <w:spacing w:line="360" w:lineRule="auto"/>
              <w:jc w:val="center"/>
              <w:rPr>
                <w:rFonts w:ascii="宋体" w:hAnsi="宋体" w:cs="宋体"/>
                <w:b/>
                <w:bCs/>
                <w:kern w:val="0"/>
                <w:szCs w:val="21"/>
              </w:rPr>
            </w:pPr>
            <w:r>
              <w:rPr>
                <w:rFonts w:hint="eastAsia" w:ascii="宋体" w:hAnsi="宋体" w:cs="宋体"/>
                <w:b/>
                <w:bCs/>
                <w:kern w:val="0"/>
                <w:szCs w:val="21"/>
              </w:rPr>
              <w:t>商务标详细评审表</w:t>
            </w:r>
            <w:bookmarkEnd w:id="108"/>
          </w:p>
          <w:p>
            <w:pPr>
              <w:spacing w:after="120" w:afterLines="50" w:line="360" w:lineRule="auto"/>
              <w:ind w:right="630"/>
              <w:rPr>
                <w:rFonts w:ascii="宋体" w:hAnsi="宋体" w:cs="宋体"/>
                <w:b/>
                <w:kern w:val="0"/>
                <w:szCs w:val="21"/>
              </w:rPr>
            </w:pPr>
            <w:r>
              <w:rPr>
                <w:rFonts w:hint="eastAsia" w:ascii="宋体" w:hAnsi="宋体" w:cs="宋体"/>
                <w:b/>
                <w:bCs/>
                <w:snapToGrid w:val="0"/>
                <w:szCs w:val="21"/>
              </w:rPr>
              <w:t>项目名称：</w:t>
            </w:r>
            <w:r>
              <w:rPr>
                <w:rFonts w:hint="eastAsia" w:hAnsi="宋体"/>
                <w:b/>
                <w:bCs/>
                <w:color w:val="0D0D0D"/>
                <w:sz w:val="24"/>
                <w:szCs w:val="24"/>
                <w:u w:val="single"/>
              </w:rPr>
              <w:t>昂鹅等</w:t>
            </w:r>
            <w:r>
              <w:rPr>
                <w:rFonts w:hint="eastAsia" w:hAnsi="宋体"/>
                <w:b/>
                <w:bCs/>
                <w:sz w:val="24"/>
                <w:szCs w:val="24"/>
                <w:u w:val="single"/>
              </w:rPr>
              <w:t>十</w:t>
            </w:r>
            <w:r>
              <w:rPr>
                <w:rFonts w:hAnsi="宋体"/>
                <w:b/>
                <w:bCs/>
                <w:sz w:val="24"/>
                <w:szCs w:val="24"/>
                <w:u w:val="single"/>
              </w:rPr>
              <w:t>五</w:t>
            </w:r>
            <w:r>
              <w:rPr>
                <w:rFonts w:hint="eastAsia" w:hAnsi="宋体"/>
                <w:b/>
                <w:bCs/>
                <w:color w:val="0D0D0D"/>
                <w:sz w:val="24"/>
                <w:szCs w:val="24"/>
                <w:u w:val="single"/>
              </w:rPr>
              <w:t>个新项目税务咨询服务</w:t>
            </w:r>
            <w:r>
              <w:rPr>
                <w:rFonts w:hint="eastAsia" w:ascii="宋体" w:hAnsi="宋体" w:cs="宋体"/>
                <w:b/>
                <w:color w:val="0D0D0D"/>
                <w:kern w:val="0"/>
                <w:sz w:val="24"/>
                <w:szCs w:val="24"/>
              </w:rPr>
              <w:t xml:space="preserve"> </w:t>
            </w:r>
          </w:p>
        </w:tc>
      </w:tr>
      <w:tr>
        <w:tblPrEx>
          <w:tblCellMar>
            <w:top w:w="0" w:type="dxa"/>
            <w:left w:w="0" w:type="dxa"/>
            <w:bottom w:w="0" w:type="dxa"/>
            <w:right w:w="0" w:type="dxa"/>
          </w:tblCellMar>
        </w:tblPrEx>
        <w:trPr>
          <w:trHeight w:val="261" w:hRule="atLeast"/>
          <w:jc w:val="center"/>
        </w:trPr>
        <w:tc>
          <w:tcPr>
            <w:tcW w:w="610" w:type="dxa"/>
            <w:vMerge w:val="restart"/>
            <w:tcBorders>
              <w:top w:val="single" w:color="auto" w:sz="4" w:space="0"/>
              <w:left w:val="single" w:color="auto" w:sz="8" w:space="0"/>
              <w:right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序号</w:t>
            </w:r>
          </w:p>
        </w:tc>
        <w:tc>
          <w:tcPr>
            <w:tcW w:w="1074"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评审内容</w:t>
            </w:r>
          </w:p>
        </w:tc>
        <w:tc>
          <w:tcPr>
            <w:tcW w:w="5129"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评审标准</w:t>
            </w:r>
          </w:p>
        </w:tc>
        <w:tc>
          <w:tcPr>
            <w:tcW w:w="977" w:type="dxa"/>
            <w:vMerge w:val="restart"/>
            <w:tcBorders>
              <w:top w:val="single" w:color="auto" w:sz="4" w:space="0"/>
              <w:left w:val="nil"/>
              <w:right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基准价</w:t>
            </w:r>
          </w:p>
        </w:tc>
        <w:tc>
          <w:tcPr>
            <w:tcW w:w="1494" w:type="dxa"/>
            <w:gridSpan w:val="2"/>
            <w:tcBorders>
              <w:top w:val="single" w:color="auto" w:sz="4" w:space="0"/>
              <w:left w:val="nil"/>
              <w:right w:val="nil"/>
            </w:tcBorders>
          </w:tcPr>
          <w:p>
            <w:pPr>
              <w:widowControl/>
              <w:spacing w:line="360" w:lineRule="auto"/>
              <w:jc w:val="center"/>
              <w:rPr>
                <w:rFonts w:ascii="宋体" w:hAnsi="宋体" w:cs="宋体"/>
                <w:b/>
                <w:bCs/>
                <w:kern w:val="0"/>
                <w:szCs w:val="21"/>
              </w:rPr>
            </w:pPr>
          </w:p>
        </w:tc>
        <w:tc>
          <w:tcPr>
            <w:tcW w:w="4429"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1"/>
              </w:rPr>
            </w:pPr>
            <w:r>
              <w:rPr>
                <w:rFonts w:hint="eastAsia" w:ascii="宋体" w:hAnsi="宋体" w:cs="宋体"/>
                <w:b/>
                <w:bCs/>
                <w:kern w:val="0"/>
                <w:szCs w:val="21"/>
              </w:rPr>
              <w:t>参选人名称</w:t>
            </w:r>
          </w:p>
        </w:tc>
      </w:tr>
      <w:tr>
        <w:tblPrEx>
          <w:tblCellMar>
            <w:top w:w="0" w:type="dxa"/>
            <w:left w:w="0" w:type="dxa"/>
            <w:bottom w:w="0" w:type="dxa"/>
            <w:right w:w="0" w:type="dxa"/>
          </w:tblCellMar>
        </w:tblPrEx>
        <w:trPr>
          <w:trHeight w:val="261" w:hRule="atLeast"/>
          <w:jc w:val="center"/>
        </w:trPr>
        <w:tc>
          <w:tcPr>
            <w:tcW w:w="610" w:type="dxa"/>
            <w:vMerge w:val="continue"/>
            <w:tcBorders>
              <w:left w:val="single" w:color="auto" w:sz="8" w:space="0"/>
              <w:bottom w:val="single" w:color="auto" w:sz="4" w:space="0"/>
              <w:right w:val="single" w:color="auto" w:sz="4" w:space="0"/>
            </w:tcBorders>
            <w:vAlign w:val="center"/>
          </w:tcPr>
          <w:p>
            <w:pPr>
              <w:widowControl/>
              <w:spacing w:line="360" w:lineRule="auto"/>
              <w:jc w:val="center"/>
            </w:pPr>
          </w:p>
        </w:tc>
        <w:tc>
          <w:tcPr>
            <w:tcW w:w="1074" w:type="dxa"/>
            <w:vMerge w:val="continue"/>
            <w:tcBorders>
              <w:left w:val="single" w:color="auto" w:sz="4" w:space="0"/>
              <w:bottom w:val="single" w:color="auto" w:sz="4" w:space="0"/>
              <w:right w:val="single" w:color="auto" w:sz="4" w:space="0"/>
            </w:tcBorders>
            <w:vAlign w:val="center"/>
          </w:tcPr>
          <w:p>
            <w:pPr>
              <w:widowControl/>
              <w:spacing w:line="360" w:lineRule="auto"/>
              <w:jc w:val="center"/>
            </w:pPr>
          </w:p>
        </w:tc>
        <w:tc>
          <w:tcPr>
            <w:tcW w:w="5129" w:type="dxa"/>
            <w:vMerge w:val="continue"/>
            <w:tcBorders>
              <w:left w:val="nil"/>
              <w:bottom w:val="single" w:color="auto" w:sz="4" w:space="0"/>
              <w:right w:val="single" w:color="auto" w:sz="4" w:space="0"/>
            </w:tcBorders>
            <w:vAlign w:val="center"/>
          </w:tcPr>
          <w:p>
            <w:pPr>
              <w:widowControl/>
              <w:spacing w:line="360" w:lineRule="auto"/>
              <w:jc w:val="center"/>
            </w:pPr>
          </w:p>
        </w:tc>
        <w:tc>
          <w:tcPr>
            <w:tcW w:w="977" w:type="dxa"/>
            <w:vMerge w:val="continue"/>
            <w:tcBorders>
              <w:left w:val="nil"/>
              <w:bottom w:val="single" w:color="auto" w:sz="4" w:space="0"/>
              <w:right w:val="single" w:color="auto" w:sz="4" w:space="0"/>
            </w:tcBorders>
            <w:vAlign w:val="center"/>
          </w:tcPr>
          <w:p>
            <w:pPr>
              <w:widowControl/>
              <w:spacing w:line="360" w:lineRule="auto"/>
              <w:jc w:val="center"/>
            </w:pPr>
          </w:p>
        </w:tc>
        <w:tc>
          <w:tcPr>
            <w:tcW w:w="146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1"/>
              </w:rPr>
            </w:pPr>
          </w:p>
        </w:tc>
        <w:tc>
          <w:tcPr>
            <w:tcW w:w="1466"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b/>
                <w:bCs/>
                <w:kern w:val="0"/>
                <w:szCs w:val="21"/>
              </w:rPr>
            </w:pPr>
          </w:p>
        </w:tc>
        <w:tc>
          <w:tcPr>
            <w:tcW w:w="1494" w:type="dxa"/>
            <w:tcBorders>
              <w:top w:val="single" w:color="auto" w:sz="4" w:space="0"/>
              <w:left w:val="nil"/>
              <w:bottom w:val="single" w:color="auto" w:sz="4" w:space="0"/>
              <w:right w:val="single" w:color="auto" w:sz="4" w:space="0"/>
            </w:tcBorders>
          </w:tcPr>
          <w:p>
            <w:pPr>
              <w:widowControl/>
              <w:spacing w:line="360" w:lineRule="auto"/>
              <w:jc w:val="center"/>
              <w:rPr>
                <w:rFonts w:ascii="宋体" w:hAnsi="宋体" w:cs="宋体"/>
                <w:b/>
                <w:bCs/>
                <w:kern w:val="0"/>
                <w:szCs w:val="21"/>
              </w:rPr>
            </w:pP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
                <w:bCs/>
                <w:kern w:val="0"/>
                <w:szCs w:val="21"/>
              </w:rPr>
            </w:pPr>
          </w:p>
        </w:tc>
      </w:tr>
      <w:tr>
        <w:tblPrEx>
          <w:tblCellMar>
            <w:top w:w="0" w:type="dxa"/>
            <w:left w:w="0" w:type="dxa"/>
            <w:bottom w:w="0" w:type="dxa"/>
            <w:right w:w="0" w:type="dxa"/>
          </w:tblCellMar>
        </w:tblPrEx>
        <w:trPr>
          <w:trHeight w:val="2209" w:hRule="atLeast"/>
          <w:jc w:val="center"/>
        </w:trPr>
        <w:tc>
          <w:tcPr>
            <w:tcW w:w="610"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r>
              <w:rPr>
                <w:rFonts w:hint="eastAsia" w:ascii="宋体" w:hAnsi="宋体" w:cs="宋体"/>
                <w:szCs w:val="21"/>
              </w:rPr>
              <w:t>1</w:t>
            </w:r>
          </w:p>
        </w:tc>
        <w:tc>
          <w:tcPr>
            <w:tcW w:w="1074"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报 价</w:t>
            </w:r>
          </w:p>
          <w:p>
            <w:pPr>
              <w:adjustRightInd w:val="0"/>
              <w:snapToGrid w:val="0"/>
              <w:spacing w:line="360" w:lineRule="auto"/>
              <w:jc w:val="center"/>
              <w:rPr>
                <w:rFonts w:ascii="宋体" w:hAnsi="宋体" w:cs="宋体"/>
                <w:szCs w:val="21"/>
              </w:rPr>
            </w:pPr>
            <w:r>
              <w:rPr>
                <w:rFonts w:hint="eastAsia" w:ascii="宋体" w:hAnsi="宋体" w:cs="宋体"/>
                <w:szCs w:val="21"/>
              </w:rPr>
              <w:t>（万元）</w:t>
            </w:r>
          </w:p>
        </w:tc>
        <w:tc>
          <w:tcPr>
            <w:tcW w:w="5129" w:type="dxa"/>
            <w:vMerge w:val="restart"/>
            <w:tcBorders>
              <w:top w:val="nil"/>
              <w:left w:val="single" w:color="auto" w:sz="4" w:space="0"/>
              <w:right w:val="single" w:color="auto" w:sz="4" w:space="0"/>
            </w:tcBorders>
            <w:vAlign w:val="center"/>
          </w:tcPr>
          <w:p>
            <w:pPr>
              <w:adjustRightInd w:val="0"/>
              <w:snapToGrid w:val="0"/>
              <w:spacing w:line="360" w:lineRule="auto"/>
              <w:jc w:val="left"/>
              <w:rPr>
                <w:rFonts w:ascii="宋体" w:hAnsi="宋体" w:cs="宋体"/>
                <w:szCs w:val="21"/>
              </w:rPr>
            </w:pPr>
            <w:r>
              <w:rPr>
                <w:rFonts w:hint="eastAsia" w:ascii="宋体" w:hAnsi="宋体" w:cs="宋体"/>
                <w:szCs w:val="21"/>
              </w:rPr>
              <w:t>（1）商务标根据参选人所报的报价评分。</w:t>
            </w:r>
          </w:p>
          <w:p>
            <w:pPr>
              <w:adjustRightInd w:val="0"/>
              <w:snapToGrid w:val="0"/>
              <w:spacing w:line="360" w:lineRule="auto"/>
              <w:jc w:val="left"/>
              <w:rPr>
                <w:rFonts w:ascii="宋体" w:hAnsi="宋体" w:cs="宋体"/>
                <w:szCs w:val="21"/>
              </w:rPr>
            </w:pPr>
            <w:r>
              <w:rPr>
                <w:rFonts w:hint="eastAsia" w:ascii="宋体" w:hAnsi="宋体" w:cs="宋体"/>
                <w:szCs w:val="21"/>
              </w:rPr>
              <w:t>（2）商务分的确定：以进入商务标环节的所有参选人所报的服务费</w:t>
            </w:r>
            <w:r>
              <w:rPr>
                <w:rFonts w:hint="eastAsia" w:ascii="宋体" w:hAnsi="宋体" w:cs="宋体"/>
                <w:szCs w:val="21"/>
                <w:lang w:val="en-US" w:eastAsia="zh-CN"/>
              </w:rPr>
              <w:t>最低价</w:t>
            </w:r>
            <w:r>
              <w:rPr>
                <w:rFonts w:hint="eastAsia" w:ascii="宋体" w:hAnsi="宋体" w:cs="宋体"/>
                <w:szCs w:val="21"/>
              </w:rPr>
              <w:t>为基准价且为满分(</w:t>
            </w:r>
            <w:r>
              <w:rPr>
                <w:rFonts w:ascii="宋体" w:hAnsi="宋体" w:cs="宋体"/>
                <w:szCs w:val="21"/>
              </w:rPr>
              <w:t>50</w:t>
            </w:r>
            <w:r>
              <w:rPr>
                <w:rFonts w:hint="eastAsia" w:ascii="宋体" w:hAnsi="宋体" w:cs="宋体"/>
                <w:szCs w:val="21"/>
              </w:rPr>
              <w:t>分)，按下列公式计算：</w:t>
            </w:r>
          </w:p>
          <w:p>
            <w:pPr>
              <w:adjustRightInd w:val="0"/>
              <w:snapToGrid w:val="0"/>
              <w:spacing w:line="360" w:lineRule="auto"/>
              <w:jc w:val="left"/>
              <w:rPr>
                <w:rFonts w:ascii="宋体" w:hAnsi="宋体" w:cs="宋体"/>
                <w:szCs w:val="21"/>
              </w:rPr>
            </w:pPr>
            <w:r>
              <w:rPr>
                <w:rFonts w:hint="eastAsia" w:ascii="宋体" w:hAnsi="宋体" w:cs="宋体"/>
                <w:szCs w:val="21"/>
              </w:rPr>
              <w:t>Fn=（</w:t>
            </w:r>
            <w:r>
              <w:rPr>
                <w:rFonts w:ascii="宋体" w:hAnsi="宋体" w:cs="宋体"/>
                <w:szCs w:val="21"/>
              </w:rPr>
              <w:t>50</w:t>
            </w:r>
            <w:r>
              <w:rPr>
                <w:rFonts w:hint="eastAsia" w:ascii="宋体" w:hAnsi="宋体" w:cs="宋体"/>
                <w:szCs w:val="21"/>
              </w:rPr>
              <w:t>-</w:t>
            </w:r>
            <w:r>
              <w:rPr>
                <w:rFonts w:ascii="宋体" w:hAnsi="宋体" w:cs="宋体"/>
                <w:szCs w:val="21"/>
              </w:rPr>
              <w:t>50</w:t>
            </w:r>
            <w:r>
              <w:rPr>
                <w:rFonts w:hint="eastAsia" w:ascii="宋体" w:hAnsi="宋体" w:cs="宋体"/>
                <w:szCs w:val="21"/>
              </w:rPr>
              <w:t xml:space="preserve">×│Sn-Sj│/Sj） </w:t>
            </w:r>
          </w:p>
          <w:p>
            <w:pPr>
              <w:adjustRightInd w:val="0"/>
              <w:snapToGrid w:val="0"/>
              <w:spacing w:line="360" w:lineRule="auto"/>
              <w:jc w:val="left"/>
              <w:rPr>
                <w:rFonts w:ascii="宋体" w:hAnsi="宋体" w:cs="宋体"/>
                <w:szCs w:val="21"/>
              </w:rPr>
            </w:pPr>
            <w:r>
              <w:rPr>
                <w:rFonts w:hint="eastAsia" w:ascii="宋体" w:hAnsi="宋体" w:cs="宋体"/>
                <w:szCs w:val="21"/>
              </w:rPr>
              <w:t>其中：Fn— 第n参选人的商务得分（当Sn大于服务费上限时，该参选人的商务得分按零分计）。</w:t>
            </w:r>
          </w:p>
          <w:p>
            <w:pPr>
              <w:adjustRightInd w:val="0"/>
              <w:snapToGrid w:val="0"/>
              <w:spacing w:line="360" w:lineRule="auto"/>
              <w:jc w:val="left"/>
              <w:rPr>
                <w:rFonts w:ascii="宋体" w:hAnsi="宋体" w:cs="宋体"/>
                <w:szCs w:val="21"/>
              </w:rPr>
            </w:pPr>
            <w:r>
              <w:rPr>
                <w:rFonts w:hint="eastAsia" w:ascii="宋体" w:hAnsi="宋体" w:cs="宋体"/>
                <w:szCs w:val="21"/>
              </w:rPr>
              <w:t>Sn— 第n 参选人的服务费</w:t>
            </w:r>
          </w:p>
          <w:p>
            <w:pPr>
              <w:adjustRightInd w:val="0"/>
              <w:snapToGrid w:val="0"/>
              <w:spacing w:line="360" w:lineRule="auto"/>
              <w:jc w:val="left"/>
              <w:rPr>
                <w:rFonts w:ascii="宋体" w:hAnsi="宋体" w:cs="宋体"/>
                <w:szCs w:val="21"/>
              </w:rPr>
            </w:pPr>
            <w:r>
              <w:rPr>
                <w:rFonts w:hint="eastAsia" w:ascii="宋体" w:hAnsi="宋体" w:cs="宋体"/>
                <w:szCs w:val="21"/>
              </w:rPr>
              <w:t>Sj—所有参选人所报的服务费</w:t>
            </w:r>
            <w:r>
              <w:rPr>
                <w:rFonts w:hint="eastAsia" w:ascii="宋体" w:hAnsi="宋体" w:cs="宋体"/>
                <w:szCs w:val="21"/>
                <w:lang w:eastAsia="zh-CN"/>
              </w:rPr>
              <w:t>最低价</w:t>
            </w:r>
          </w:p>
        </w:tc>
        <w:tc>
          <w:tcPr>
            <w:tcW w:w="977"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szCs w:val="21"/>
              </w:rPr>
            </w:pPr>
          </w:p>
        </w:tc>
        <w:tc>
          <w:tcPr>
            <w:tcW w:w="1466"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szCs w:val="21"/>
              </w:rPr>
            </w:pPr>
          </w:p>
        </w:tc>
        <w:tc>
          <w:tcPr>
            <w:tcW w:w="1466" w:type="dxa"/>
            <w:gridSpan w:val="2"/>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p>
        </w:tc>
        <w:tc>
          <w:tcPr>
            <w:tcW w:w="1494"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szCs w:val="21"/>
              </w:rPr>
            </w:pPr>
          </w:p>
        </w:tc>
        <w:tc>
          <w:tcPr>
            <w:tcW w:w="149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p>
        </w:tc>
      </w:tr>
      <w:tr>
        <w:tblPrEx>
          <w:tblCellMar>
            <w:top w:w="0" w:type="dxa"/>
            <w:left w:w="0" w:type="dxa"/>
            <w:bottom w:w="0" w:type="dxa"/>
            <w:right w:w="0" w:type="dxa"/>
          </w:tblCellMar>
        </w:tblPrEx>
        <w:trPr>
          <w:trHeight w:val="3055" w:hRule="atLeast"/>
          <w:jc w:val="center"/>
        </w:trPr>
        <w:tc>
          <w:tcPr>
            <w:tcW w:w="610" w:type="dxa"/>
            <w:tcBorders>
              <w:top w:val="nil"/>
              <w:left w:val="single" w:color="auto" w:sz="8"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r>
              <w:rPr>
                <w:rFonts w:hint="eastAsia" w:ascii="宋体" w:hAnsi="宋体" w:cs="宋体"/>
                <w:szCs w:val="21"/>
              </w:rPr>
              <w:t>2</w:t>
            </w:r>
          </w:p>
        </w:tc>
        <w:tc>
          <w:tcPr>
            <w:tcW w:w="1074" w:type="dxa"/>
            <w:tcBorders>
              <w:top w:val="nil"/>
              <w:left w:val="single" w:color="auto" w:sz="4" w:space="0"/>
              <w:bottom w:val="single" w:color="auto" w:sz="4" w:space="0"/>
              <w:right w:val="single" w:color="000000" w:sz="4" w:space="0"/>
            </w:tcBorders>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得分</w:t>
            </w:r>
          </w:p>
          <w:p>
            <w:pPr>
              <w:adjustRightInd w:val="0"/>
              <w:snapToGrid w:val="0"/>
              <w:spacing w:line="360" w:lineRule="auto"/>
              <w:jc w:val="left"/>
              <w:rPr>
                <w:rFonts w:ascii="宋体" w:hAnsi="宋体" w:cs="宋体"/>
                <w:szCs w:val="21"/>
              </w:rPr>
            </w:pPr>
          </w:p>
        </w:tc>
        <w:tc>
          <w:tcPr>
            <w:tcW w:w="5129"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p>
        </w:tc>
        <w:tc>
          <w:tcPr>
            <w:tcW w:w="977"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szCs w:val="21"/>
              </w:rPr>
            </w:pPr>
          </w:p>
        </w:tc>
        <w:tc>
          <w:tcPr>
            <w:tcW w:w="1466" w:type="dxa"/>
            <w:tcBorders>
              <w:top w:val="nil"/>
              <w:left w:val="single" w:color="auto" w:sz="4" w:space="0"/>
              <w:bottom w:val="single" w:color="auto" w:sz="4" w:space="0"/>
              <w:right w:val="single" w:color="auto" w:sz="4" w:space="0"/>
            </w:tcBorders>
          </w:tcPr>
          <w:p>
            <w:pPr>
              <w:widowControl/>
              <w:adjustRightInd w:val="0"/>
              <w:snapToGrid w:val="0"/>
              <w:spacing w:line="360" w:lineRule="auto"/>
              <w:rPr>
                <w:rFonts w:ascii="宋体" w:hAnsi="宋体" w:cs="宋体"/>
                <w:szCs w:val="21"/>
              </w:rPr>
            </w:pPr>
          </w:p>
        </w:tc>
        <w:tc>
          <w:tcPr>
            <w:tcW w:w="1466" w:type="dxa"/>
            <w:gridSpan w:val="2"/>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p>
        </w:tc>
        <w:tc>
          <w:tcPr>
            <w:tcW w:w="1494" w:type="dxa"/>
            <w:tcBorders>
              <w:top w:val="nil"/>
              <w:left w:val="single" w:color="auto" w:sz="4" w:space="0"/>
              <w:bottom w:val="single" w:color="auto" w:sz="4" w:space="0"/>
              <w:right w:val="single" w:color="auto" w:sz="4" w:space="0"/>
            </w:tcBorders>
          </w:tcPr>
          <w:p>
            <w:pPr>
              <w:widowControl/>
              <w:adjustRightInd w:val="0"/>
              <w:snapToGrid w:val="0"/>
              <w:spacing w:line="360" w:lineRule="auto"/>
              <w:jc w:val="left"/>
              <w:rPr>
                <w:rFonts w:ascii="宋体" w:hAnsi="宋体" w:cs="宋体"/>
                <w:szCs w:val="21"/>
              </w:rPr>
            </w:pPr>
          </w:p>
        </w:tc>
        <w:tc>
          <w:tcPr>
            <w:tcW w:w="1497" w:type="dxa"/>
            <w:tcBorders>
              <w:top w:val="nil"/>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宋体" w:hAnsi="宋体" w:cs="宋体"/>
                <w:szCs w:val="21"/>
              </w:rPr>
            </w:pPr>
          </w:p>
        </w:tc>
      </w:tr>
    </w:tbl>
    <w:p>
      <w:pPr>
        <w:adjustRightInd w:val="0"/>
        <w:snapToGrid w:val="0"/>
        <w:spacing w:line="360" w:lineRule="auto"/>
        <w:jc w:val="left"/>
        <w:rPr>
          <w:rFonts w:ascii="宋体" w:hAnsi="宋体" w:cs="宋体"/>
          <w:b/>
          <w:bCs/>
          <w:kern w:val="0"/>
          <w:szCs w:val="21"/>
        </w:rPr>
      </w:pPr>
      <w:r>
        <w:rPr>
          <w:rFonts w:hint="eastAsia" w:ascii="宋体" w:hAnsi="宋体" w:cs="宋体"/>
          <w:szCs w:val="21"/>
        </w:rPr>
        <w:t>注：商务标得分的算术平均值保留小数点后两位数字，且四舍五入。</w:t>
      </w:r>
    </w:p>
    <w:p>
      <w:pPr>
        <w:widowControl/>
        <w:spacing w:line="360" w:lineRule="auto"/>
        <w:rPr>
          <w:rFonts w:ascii="宋体" w:hAnsi="宋体" w:cs="宋体"/>
          <w:b/>
          <w:bCs/>
          <w:kern w:val="0"/>
          <w:szCs w:val="21"/>
        </w:rPr>
      </w:pPr>
      <w:r>
        <w:rPr>
          <w:rFonts w:hint="eastAsia" w:ascii="宋体" w:hAnsi="宋体" w:cs="宋体"/>
          <w:b/>
          <w:szCs w:val="21"/>
        </w:rPr>
        <w:t xml:space="preserve">评委（签名）： </w:t>
      </w:r>
    </w:p>
    <w:p>
      <w:pPr>
        <w:widowControl/>
        <w:spacing w:line="360" w:lineRule="auto"/>
        <w:jc w:val="left"/>
        <w:rPr>
          <w:rFonts w:ascii="宋体" w:hAnsi="宋体"/>
          <w:b/>
          <w:sz w:val="24"/>
          <w:szCs w:val="24"/>
        </w:rPr>
      </w:pPr>
      <w:r>
        <w:rPr>
          <w:rFonts w:hint="eastAsia" w:ascii="宋体" w:hAnsi="宋体" w:cs="宋体"/>
          <w:b/>
          <w:szCs w:val="21"/>
        </w:rPr>
        <w:t>监督（签名）：                                                                             日期：</w:t>
      </w:r>
      <w:r>
        <w:rPr>
          <w:rFonts w:hint="eastAsia" w:ascii="宋体" w:hAnsi="宋体" w:cs="宋体"/>
          <w:szCs w:val="21"/>
        </w:rPr>
        <w:t xml:space="preserve">     年    月    日</w:t>
      </w:r>
    </w:p>
    <w:p>
      <w:pPr>
        <w:widowControl/>
        <w:spacing w:line="360" w:lineRule="auto"/>
        <w:jc w:val="left"/>
        <w:rPr>
          <w:rFonts w:ascii="宋体" w:hAnsi="宋体"/>
          <w:b/>
          <w:sz w:val="24"/>
          <w:szCs w:val="24"/>
        </w:rPr>
      </w:pPr>
    </w:p>
    <w:p>
      <w:pPr>
        <w:widowControl/>
        <w:spacing w:line="360" w:lineRule="auto"/>
        <w:jc w:val="left"/>
        <w:rPr>
          <w:rFonts w:ascii="宋体" w:hAnsi="宋体"/>
          <w:b/>
          <w:sz w:val="24"/>
          <w:szCs w:val="24"/>
        </w:rPr>
      </w:pPr>
    </w:p>
    <w:p>
      <w:pPr>
        <w:widowControl/>
        <w:spacing w:line="360" w:lineRule="auto"/>
        <w:jc w:val="left"/>
        <w:rPr>
          <w:rFonts w:ascii="宋体" w:hAnsi="宋体" w:cs="宋体"/>
          <w:b/>
          <w:bCs/>
          <w:kern w:val="0"/>
          <w:sz w:val="24"/>
          <w:szCs w:val="24"/>
        </w:rPr>
      </w:pPr>
      <w:r>
        <w:rPr>
          <w:rFonts w:hint="eastAsia" w:ascii="宋体" w:hAnsi="宋体"/>
          <w:b/>
          <w:sz w:val="24"/>
          <w:szCs w:val="24"/>
        </w:rPr>
        <w:t>附表8：最终得分结果汇总表</w:t>
      </w:r>
    </w:p>
    <w:p>
      <w:pPr>
        <w:widowControl/>
        <w:spacing w:line="360" w:lineRule="auto"/>
        <w:jc w:val="center"/>
        <w:rPr>
          <w:rFonts w:ascii="宋体" w:hAnsi="宋体" w:cs="宋体"/>
          <w:b/>
          <w:bCs/>
          <w:kern w:val="0"/>
          <w:sz w:val="32"/>
          <w:szCs w:val="32"/>
        </w:rPr>
      </w:pPr>
      <w:r>
        <w:rPr>
          <w:rFonts w:hint="eastAsia" w:ascii="宋体" w:hAnsi="宋体" w:cs="宋体"/>
          <w:b/>
          <w:bCs/>
          <w:kern w:val="0"/>
          <w:sz w:val="32"/>
          <w:szCs w:val="32"/>
        </w:rPr>
        <w:t>最终得分结果汇总表</w:t>
      </w:r>
    </w:p>
    <w:p>
      <w:pPr>
        <w:widowControl/>
        <w:overflowPunct w:val="0"/>
        <w:autoSpaceDE w:val="0"/>
        <w:autoSpaceDN w:val="0"/>
        <w:adjustRightInd w:val="0"/>
        <w:spacing w:line="360" w:lineRule="auto"/>
        <w:ind w:firstLine="454"/>
        <w:jc w:val="left"/>
        <w:textAlignment w:val="baseline"/>
        <w:rPr>
          <w:rFonts w:ascii="宋体" w:hAnsi="宋体" w:cs="宋体"/>
          <w:b/>
          <w:bCs/>
          <w:snapToGrid w:val="0"/>
          <w:kern w:val="0"/>
          <w:szCs w:val="21"/>
        </w:rPr>
      </w:pPr>
      <w:r>
        <w:rPr>
          <w:rFonts w:hint="eastAsia" w:ascii="宋体" w:hAnsi="宋体" w:cs="宋体"/>
          <w:b/>
          <w:bCs/>
          <w:snapToGrid w:val="0"/>
          <w:szCs w:val="21"/>
        </w:rPr>
        <w:t>项目名称：</w:t>
      </w:r>
      <w:r>
        <w:rPr>
          <w:rFonts w:hint="eastAsia" w:hAnsi="宋体"/>
          <w:b/>
          <w:bCs/>
          <w:color w:val="0D0D0D"/>
          <w:sz w:val="24"/>
          <w:szCs w:val="24"/>
          <w:u w:val="single"/>
        </w:rPr>
        <w:t>昂鹅等</w:t>
      </w:r>
      <w:r>
        <w:rPr>
          <w:rFonts w:hint="eastAsia" w:hAnsi="宋体"/>
          <w:b/>
          <w:bCs/>
          <w:sz w:val="24"/>
          <w:szCs w:val="24"/>
          <w:u w:val="single"/>
        </w:rPr>
        <w:t>十</w:t>
      </w:r>
      <w:r>
        <w:rPr>
          <w:rFonts w:hAnsi="宋体"/>
          <w:b/>
          <w:bCs/>
          <w:sz w:val="24"/>
          <w:szCs w:val="24"/>
          <w:u w:val="single"/>
        </w:rPr>
        <w:t>五</w:t>
      </w:r>
      <w:r>
        <w:rPr>
          <w:rFonts w:hint="eastAsia" w:hAnsi="宋体"/>
          <w:b/>
          <w:bCs/>
          <w:color w:val="0D0D0D"/>
          <w:sz w:val="24"/>
          <w:szCs w:val="24"/>
          <w:u w:val="single"/>
        </w:rPr>
        <w:t>个新项目税务咨询服务</w:t>
      </w:r>
      <w:r>
        <w:rPr>
          <w:rFonts w:hint="eastAsia" w:ascii="宋体" w:hAnsi="宋体" w:cs="宋体"/>
          <w:b/>
          <w:color w:val="0D0D0D"/>
          <w:kern w:val="0"/>
          <w:sz w:val="24"/>
          <w:szCs w:val="24"/>
        </w:rPr>
        <w:t xml:space="preserve"> </w:t>
      </w:r>
    </w:p>
    <w:tbl>
      <w:tblPr>
        <w:tblStyle w:val="49"/>
        <w:tblW w:w="14356" w:type="dxa"/>
        <w:jc w:val="center"/>
        <w:tblLayout w:type="fixed"/>
        <w:tblCellMar>
          <w:top w:w="0" w:type="dxa"/>
          <w:left w:w="0" w:type="dxa"/>
          <w:bottom w:w="0" w:type="dxa"/>
          <w:right w:w="0" w:type="dxa"/>
        </w:tblCellMar>
      </w:tblPr>
      <w:tblGrid>
        <w:gridCol w:w="759"/>
        <w:gridCol w:w="4185"/>
        <w:gridCol w:w="2305"/>
        <w:gridCol w:w="2405"/>
        <w:gridCol w:w="1967"/>
        <w:gridCol w:w="2735"/>
      </w:tblGrid>
      <w:tr>
        <w:tblPrEx>
          <w:tblCellMar>
            <w:top w:w="0" w:type="dxa"/>
            <w:left w:w="0" w:type="dxa"/>
            <w:bottom w:w="0" w:type="dxa"/>
            <w:right w:w="0" w:type="dxa"/>
          </w:tblCellMar>
        </w:tblPrEx>
        <w:trPr>
          <w:trHeight w:val="146"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418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参选人</w:t>
            </w:r>
          </w:p>
        </w:tc>
        <w:tc>
          <w:tcPr>
            <w:tcW w:w="23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szCs w:val="21"/>
              </w:rPr>
            </w:pPr>
            <w:r>
              <w:rPr>
                <w:rFonts w:hint="eastAsia" w:ascii="宋体" w:hAnsi="宋体" w:cs="宋体"/>
                <w:b/>
                <w:bCs/>
                <w:szCs w:val="21"/>
              </w:rPr>
              <w:t>En</w:t>
            </w:r>
          </w:p>
          <w:p>
            <w:pPr>
              <w:spacing w:line="360" w:lineRule="auto"/>
              <w:jc w:val="center"/>
              <w:rPr>
                <w:rFonts w:ascii="宋体" w:hAnsi="宋体" w:cs="宋体"/>
                <w:b/>
                <w:bCs/>
                <w:szCs w:val="21"/>
              </w:rPr>
            </w:pPr>
            <w:r>
              <w:rPr>
                <w:rFonts w:hint="eastAsia" w:ascii="宋体" w:hAnsi="宋体" w:cs="宋体"/>
                <w:b/>
                <w:bCs/>
                <w:szCs w:val="21"/>
              </w:rPr>
              <w:t>（技术标得分）</w:t>
            </w:r>
          </w:p>
        </w:tc>
        <w:tc>
          <w:tcPr>
            <w:tcW w:w="2405" w:type="dxa"/>
            <w:tcBorders>
              <w:top w:val="single" w:color="auto" w:sz="4" w:space="0"/>
              <w:left w:val="single" w:color="auto" w:sz="4" w:space="0"/>
              <w:bottom w:val="single" w:color="auto" w:sz="4" w:space="0"/>
              <w:right w:val="nil"/>
            </w:tcBorders>
            <w:vAlign w:val="center"/>
          </w:tcPr>
          <w:p>
            <w:pPr>
              <w:spacing w:line="360" w:lineRule="auto"/>
              <w:jc w:val="center"/>
              <w:rPr>
                <w:rFonts w:ascii="宋体" w:hAnsi="宋体" w:cs="宋体"/>
                <w:b/>
                <w:bCs/>
                <w:szCs w:val="21"/>
              </w:rPr>
            </w:pPr>
            <w:r>
              <w:rPr>
                <w:rFonts w:hint="eastAsia" w:ascii="宋体" w:hAnsi="宋体" w:cs="宋体"/>
                <w:b/>
                <w:bCs/>
                <w:szCs w:val="21"/>
              </w:rPr>
              <w:t>Fn</w:t>
            </w:r>
          </w:p>
          <w:p>
            <w:pPr>
              <w:spacing w:line="360" w:lineRule="auto"/>
              <w:jc w:val="center"/>
              <w:rPr>
                <w:rFonts w:ascii="宋体" w:hAnsi="宋体" w:cs="宋体"/>
                <w:b/>
                <w:bCs/>
                <w:szCs w:val="21"/>
              </w:rPr>
            </w:pPr>
            <w:r>
              <w:rPr>
                <w:rFonts w:hint="eastAsia" w:ascii="宋体" w:hAnsi="宋体" w:cs="宋体"/>
                <w:b/>
                <w:bCs/>
                <w:szCs w:val="21"/>
              </w:rPr>
              <w:t>（商务标得分）</w:t>
            </w: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An</w:t>
            </w:r>
          </w:p>
          <w:p>
            <w:pPr>
              <w:spacing w:line="360" w:lineRule="auto"/>
              <w:jc w:val="center"/>
              <w:rPr>
                <w:rFonts w:ascii="宋体" w:hAnsi="宋体" w:cs="宋体"/>
                <w:b/>
                <w:bCs/>
                <w:szCs w:val="21"/>
              </w:rPr>
            </w:pPr>
            <w:r>
              <w:rPr>
                <w:rFonts w:hint="eastAsia" w:ascii="宋体" w:hAnsi="宋体" w:cs="宋体"/>
                <w:b/>
                <w:bCs/>
                <w:szCs w:val="21"/>
              </w:rPr>
              <w:t>（最终得分）</w:t>
            </w:r>
          </w:p>
        </w:tc>
        <w:tc>
          <w:tcPr>
            <w:tcW w:w="2735"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Cs w:val="21"/>
              </w:rPr>
            </w:pPr>
            <w:r>
              <w:rPr>
                <w:rFonts w:hint="eastAsia" w:ascii="宋体" w:hAnsi="宋体" w:cs="宋体"/>
                <w:b/>
                <w:bCs/>
                <w:szCs w:val="21"/>
              </w:rPr>
              <w:t>备注</w:t>
            </w:r>
          </w:p>
        </w:tc>
      </w:tr>
      <w:tr>
        <w:tblPrEx>
          <w:tblCellMar>
            <w:top w:w="0" w:type="dxa"/>
            <w:left w:w="0" w:type="dxa"/>
            <w:bottom w:w="0" w:type="dxa"/>
            <w:right w:w="0" w:type="dxa"/>
          </w:tblCellMar>
        </w:tblPrEx>
        <w:trPr>
          <w:trHeight w:val="47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1"/>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c>
          <w:tcPr>
            <w:tcW w:w="273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An=En+Fn</w:t>
            </w:r>
          </w:p>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52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1"/>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r>
      <w:tr>
        <w:tblPrEx>
          <w:tblCellMar>
            <w:top w:w="0" w:type="dxa"/>
            <w:left w:w="0" w:type="dxa"/>
            <w:bottom w:w="0" w:type="dxa"/>
            <w:right w:w="0" w:type="dxa"/>
          </w:tblCellMar>
        </w:tblPrEx>
        <w:trPr>
          <w:trHeight w:val="528"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1"/>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r>
      <w:tr>
        <w:tblPrEx>
          <w:tblCellMar>
            <w:top w:w="0" w:type="dxa"/>
            <w:left w:w="0" w:type="dxa"/>
            <w:bottom w:w="0" w:type="dxa"/>
            <w:right w:w="0" w:type="dxa"/>
          </w:tblCellMar>
        </w:tblPrEx>
        <w:trPr>
          <w:trHeight w:val="445" w:hRule="atLeast"/>
          <w:jc w:val="center"/>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4185"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cs="宋体"/>
                <w:szCs w:val="21"/>
              </w:rPr>
            </w:pPr>
          </w:p>
        </w:tc>
        <w:tc>
          <w:tcPr>
            <w:tcW w:w="23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2405" w:type="dxa"/>
            <w:tcBorders>
              <w:top w:val="single" w:color="auto" w:sz="4" w:space="0"/>
              <w:left w:val="single" w:color="auto" w:sz="4" w:space="0"/>
              <w:bottom w:val="single" w:color="auto" w:sz="4" w:space="0"/>
              <w:right w:val="nil"/>
            </w:tcBorders>
            <w:vAlign w:val="center"/>
          </w:tcPr>
          <w:p>
            <w:pPr>
              <w:spacing w:line="360" w:lineRule="auto"/>
              <w:jc w:val="left"/>
              <w:rPr>
                <w:rFonts w:ascii="宋体" w:hAnsi="宋体" w:cs="宋体"/>
                <w:szCs w:val="21"/>
              </w:rPr>
            </w:pPr>
          </w:p>
        </w:tc>
        <w:tc>
          <w:tcPr>
            <w:tcW w:w="1967"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c>
          <w:tcPr>
            <w:tcW w:w="2735"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szCs w:val="21"/>
              </w:rPr>
            </w:pPr>
          </w:p>
        </w:tc>
      </w:tr>
    </w:tbl>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注：最终得分保留小数点后两位数字，且四舍五入。</w:t>
      </w:r>
    </w:p>
    <w:p>
      <w:pPr>
        <w:spacing w:line="360" w:lineRule="auto"/>
        <w:rPr>
          <w:rFonts w:ascii="宋体" w:hAnsi="宋体" w:cs="宋体"/>
          <w:kern w:val="0"/>
          <w:szCs w:val="21"/>
        </w:rPr>
      </w:pPr>
    </w:p>
    <w:p>
      <w:pPr>
        <w:widowControl/>
        <w:spacing w:line="360" w:lineRule="auto"/>
        <w:rPr>
          <w:rFonts w:ascii="宋体" w:hAnsi="宋体" w:cs="宋体"/>
          <w:b/>
          <w:szCs w:val="21"/>
        </w:rPr>
      </w:pPr>
      <w:r>
        <w:rPr>
          <w:rFonts w:hint="eastAsia" w:ascii="宋体" w:hAnsi="宋体" w:cs="宋体"/>
          <w:b/>
          <w:szCs w:val="21"/>
        </w:rPr>
        <w:t>评委（签名）：</w:t>
      </w:r>
    </w:p>
    <w:p>
      <w:pPr>
        <w:widowControl/>
        <w:spacing w:line="360" w:lineRule="auto"/>
        <w:rPr>
          <w:rFonts w:ascii="宋体" w:hAnsi="宋体" w:cs="宋体"/>
          <w:b/>
          <w:szCs w:val="21"/>
        </w:rPr>
      </w:pPr>
    </w:p>
    <w:p>
      <w:pPr>
        <w:widowControl/>
        <w:spacing w:line="360" w:lineRule="auto"/>
        <w:rPr>
          <w:rFonts w:ascii="宋体" w:hAnsi="宋体" w:cs="宋体"/>
          <w:b/>
          <w:szCs w:val="21"/>
        </w:rPr>
      </w:pPr>
      <w:r>
        <w:rPr>
          <w:rFonts w:hint="eastAsia" w:ascii="宋体" w:hAnsi="宋体" w:cs="宋体"/>
          <w:b/>
          <w:szCs w:val="21"/>
        </w:rPr>
        <w:t>监督（签名）：</w:t>
      </w:r>
    </w:p>
    <w:p>
      <w:pPr>
        <w:widowControl/>
        <w:spacing w:line="360" w:lineRule="auto"/>
        <w:jc w:val="right"/>
        <w:rPr>
          <w:rFonts w:ascii="宋体" w:hAnsi="宋体" w:cs="宋体"/>
          <w:b/>
          <w:bCs/>
          <w:kern w:val="0"/>
          <w:szCs w:val="21"/>
        </w:rPr>
        <w:sectPr>
          <w:pgSz w:w="16840" w:h="11907" w:orient="landscape"/>
          <w:pgMar w:top="1440" w:right="1440" w:bottom="1134" w:left="1440" w:header="720" w:footer="890" w:gutter="0"/>
          <w:cols w:space="720" w:num="1"/>
          <w:docGrid w:linePitch="312" w:charSpace="0"/>
        </w:sectPr>
      </w:pPr>
      <w:r>
        <w:rPr>
          <w:rFonts w:hint="eastAsia" w:ascii="宋体" w:hAnsi="宋体" w:cs="宋体"/>
          <w:b/>
          <w:szCs w:val="21"/>
        </w:rPr>
        <w:t>日期：</w:t>
      </w:r>
      <w:r>
        <w:rPr>
          <w:rFonts w:hint="eastAsia" w:ascii="宋体" w:hAnsi="宋体" w:cs="宋体"/>
          <w:szCs w:val="21"/>
        </w:rPr>
        <w:t xml:space="preserve">     年    月    日</w:t>
      </w:r>
    </w:p>
    <w:tbl>
      <w:tblPr>
        <w:tblStyle w:val="49"/>
        <w:tblW w:w="9275" w:type="dxa"/>
        <w:tblInd w:w="78" w:type="dxa"/>
        <w:tblLayout w:type="fixed"/>
        <w:tblCellMar>
          <w:top w:w="0" w:type="dxa"/>
          <w:left w:w="0" w:type="dxa"/>
          <w:bottom w:w="0" w:type="dxa"/>
          <w:right w:w="0" w:type="dxa"/>
        </w:tblCellMar>
      </w:tblPr>
      <w:tblGrid>
        <w:gridCol w:w="776"/>
        <w:gridCol w:w="2781"/>
        <w:gridCol w:w="1072"/>
        <w:gridCol w:w="1634"/>
        <w:gridCol w:w="3012"/>
      </w:tblGrid>
      <w:tr>
        <w:tblPrEx>
          <w:tblCellMar>
            <w:top w:w="0" w:type="dxa"/>
            <w:left w:w="0" w:type="dxa"/>
            <w:bottom w:w="0" w:type="dxa"/>
            <w:right w:w="0" w:type="dxa"/>
          </w:tblCellMar>
        </w:tblPrEx>
        <w:trPr>
          <w:trHeight w:val="1485" w:hRule="atLeast"/>
        </w:trPr>
        <w:tc>
          <w:tcPr>
            <w:tcW w:w="9275" w:type="dxa"/>
            <w:gridSpan w:val="5"/>
            <w:tcBorders>
              <w:top w:val="nil"/>
              <w:left w:val="nil"/>
              <w:bottom w:val="single" w:color="auto" w:sz="8" w:space="0"/>
              <w:right w:val="nil"/>
            </w:tcBorders>
            <w:vAlign w:val="center"/>
          </w:tcPr>
          <w:p>
            <w:pPr>
              <w:widowControl/>
              <w:spacing w:line="360" w:lineRule="auto"/>
              <w:jc w:val="left"/>
              <w:rPr>
                <w:rFonts w:ascii="宋体" w:hAnsi="宋体" w:cs="宋体"/>
                <w:b/>
                <w:bCs/>
                <w:kern w:val="0"/>
                <w:sz w:val="24"/>
                <w:szCs w:val="24"/>
              </w:rPr>
            </w:pPr>
            <w:r>
              <w:rPr>
                <w:rFonts w:hint="eastAsia" w:ascii="宋体" w:hAnsi="宋体" w:cs="宋体"/>
                <w:b/>
                <w:sz w:val="24"/>
                <w:szCs w:val="24"/>
              </w:rPr>
              <w:t>附表9：参选人最终得分排序表</w:t>
            </w:r>
          </w:p>
          <w:p>
            <w:pPr>
              <w:widowControl/>
              <w:spacing w:line="360" w:lineRule="auto"/>
              <w:jc w:val="center"/>
              <w:rPr>
                <w:rFonts w:ascii="宋体" w:hAnsi="宋体" w:cs="宋体"/>
                <w:b/>
                <w:bCs/>
                <w:kern w:val="0"/>
                <w:sz w:val="24"/>
                <w:szCs w:val="24"/>
              </w:rPr>
            </w:pPr>
          </w:p>
          <w:p>
            <w:pPr>
              <w:widowControl/>
              <w:spacing w:line="360" w:lineRule="auto"/>
              <w:jc w:val="center"/>
              <w:rPr>
                <w:rFonts w:ascii="宋体" w:hAnsi="宋体" w:cs="宋体"/>
                <w:b/>
                <w:bCs/>
                <w:kern w:val="0"/>
                <w:sz w:val="24"/>
                <w:szCs w:val="24"/>
              </w:rPr>
            </w:pPr>
            <w:r>
              <w:rPr>
                <w:rFonts w:hint="eastAsia" w:ascii="宋体" w:hAnsi="宋体" w:cs="宋体"/>
                <w:b/>
                <w:bCs/>
                <w:kern w:val="0"/>
                <w:sz w:val="24"/>
                <w:szCs w:val="24"/>
              </w:rPr>
              <w:t>参选人最终得分排序表</w:t>
            </w:r>
          </w:p>
          <w:p>
            <w:pPr>
              <w:widowControl/>
              <w:spacing w:line="360" w:lineRule="auto"/>
              <w:jc w:val="center"/>
              <w:rPr>
                <w:rFonts w:ascii="宋体" w:hAnsi="宋体" w:cs="宋体"/>
                <w:b/>
                <w:bCs/>
                <w:kern w:val="0"/>
                <w:szCs w:val="21"/>
              </w:rPr>
            </w:pPr>
          </w:p>
          <w:p>
            <w:pPr>
              <w:widowControl/>
              <w:spacing w:line="360" w:lineRule="auto"/>
              <w:jc w:val="left"/>
              <w:rPr>
                <w:rFonts w:ascii="宋体" w:hAnsi="宋体" w:cs="宋体"/>
                <w:b/>
                <w:kern w:val="0"/>
                <w:szCs w:val="21"/>
              </w:rPr>
            </w:pPr>
            <w:r>
              <w:rPr>
                <w:rFonts w:hint="eastAsia" w:ascii="宋体" w:hAnsi="宋体" w:cs="宋体"/>
                <w:b/>
                <w:kern w:val="0"/>
                <w:szCs w:val="21"/>
              </w:rPr>
              <w:t>项目名称：</w:t>
            </w:r>
            <w:r>
              <w:rPr>
                <w:rFonts w:hint="eastAsia" w:hAnsi="宋体"/>
                <w:b/>
                <w:bCs/>
                <w:color w:val="0D0D0D"/>
                <w:sz w:val="24"/>
                <w:szCs w:val="24"/>
                <w:u w:val="single"/>
              </w:rPr>
              <w:t>昂鹅等</w:t>
            </w:r>
            <w:r>
              <w:rPr>
                <w:rFonts w:hint="eastAsia" w:hAnsi="宋体"/>
                <w:b/>
                <w:bCs/>
                <w:sz w:val="24"/>
                <w:szCs w:val="24"/>
                <w:u w:val="single"/>
              </w:rPr>
              <w:t>十</w:t>
            </w:r>
            <w:r>
              <w:rPr>
                <w:rFonts w:hAnsi="宋体"/>
                <w:b/>
                <w:bCs/>
                <w:sz w:val="24"/>
                <w:szCs w:val="24"/>
                <w:u w:val="single"/>
              </w:rPr>
              <w:t>五</w:t>
            </w:r>
            <w:r>
              <w:rPr>
                <w:rFonts w:hint="eastAsia" w:hAnsi="宋体"/>
                <w:b/>
                <w:bCs/>
                <w:color w:val="0D0D0D"/>
                <w:sz w:val="24"/>
                <w:szCs w:val="24"/>
                <w:u w:val="single"/>
              </w:rPr>
              <w:t>个新项目税务咨询服务</w:t>
            </w:r>
            <w:r>
              <w:rPr>
                <w:rFonts w:hint="eastAsia" w:ascii="宋体" w:hAnsi="宋体" w:cs="宋体"/>
                <w:b/>
                <w:color w:val="0D0D0D"/>
                <w:kern w:val="0"/>
                <w:sz w:val="24"/>
                <w:szCs w:val="24"/>
              </w:rPr>
              <w:t xml:space="preserve"> </w:t>
            </w:r>
          </w:p>
          <w:p>
            <w:pPr>
              <w:widowControl/>
              <w:spacing w:line="360" w:lineRule="auto"/>
              <w:jc w:val="right"/>
              <w:rPr>
                <w:rFonts w:ascii="宋体" w:hAnsi="宋体" w:cs="宋体"/>
                <w:b/>
                <w:bCs/>
                <w:kern w:val="0"/>
                <w:szCs w:val="21"/>
              </w:rPr>
            </w:pPr>
            <w:r>
              <w:rPr>
                <w:rFonts w:hint="eastAsia" w:ascii="宋体" w:hAnsi="宋体" w:cs="宋体"/>
                <w:kern w:val="0"/>
                <w:szCs w:val="21"/>
              </w:rPr>
              <w:t>评审日期：       年     月    日</w:t>
            </w:r>
          </w:p>
        </w:tc>
      </w:tr>
      <w:tr>
        <w:tblPrEx>
          <w:tblCellMar>
            <w:top w:w="0" w:type="dxa"/>
            <w:left w:w="0" w:type="dxa"/>
            <w:bottom w:w="0" w:type="dxa"/>
            <w:right w:w="0" w:type="dxa"/>
          </w:tblCellMar>
        </w:tblPrEx>
        <w:trPr>
          <w:trHeight w:val="771" w:hRule="atLeast"/>
        </w:trPr>
        <w:tc>
          <w:tcPr>
            <w:tcW w:w="776"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2781" w:type="dxa"/>
            <w:tcBorders>
              <w:top w:val="single" w:color="auto" w:sz="8"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szCs w:val="21"/>
              </w:rPr>
            </w:pPr>
            <w:r>
              <w:rPr>
                <w:rFonts w:hint="eastAsia" w:ascii="宋体" w:hAnsi="宋体" w:cs="宋体"/>
                <w:b/>
                <w:bCs/>
                <w:szCs w:val="21"/>
              </w:rPr>
              <w:t>参选人</w:t>
            </w:r>
          </w:p>
        </w:tc>
        <w:tc>
          <w:tcPr>
            <w:tcW w:w="1072" w:type="dxa"/>
            <w:tcBorders>
              <w:top w:val="single" w:color="auto" w:sz="8"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szCs w:val="21"/>
              </w:rPr>
            </w:pPr>
            <w:r>
              <w:rPr>
                <w:rFonts w:hint="eastAsia" w:ascii="宋体" w:hAnsi="宋体" w:cs="宋体"/>
                <w:b/>
                <w:bCs/>
                <w:szCs w:val="21"/>
              </w:rPr>
              <w:t>排名</w:t>
            </w:r>
          </w:p>
        </w:tc>
        <w:tc>
          <w:tcPr>
            <w:tcW w:w="1634" w:type="dxa"/>
            <w:tcBorders>
              <w:top w:val="single" w:color="auto" w:sz="8"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szCs w:val="21"/>
              </w:rPr>
            </w:pPr>
            <w:r>
              <w:rPr>
                <w:rFonts w:hint="eastAsia" w:ascii="宋体" w:hAnsi="宋体" w:cs="宋体"/>
                <w:b/>
                <w:bCs/>
                <w:szCs w:val="21"/>
              </w:rPr>
              <w:t>An得分</w:t>
            </w:r>
          </w:p>
        </w:tc>
        <w:tc>
          <w:tcPr>
            <w:tcW w:w="3012"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rFonts w:ascii="宋体" w:hAnsi="宋体" w:cs="宋体"/>
                <w:b/>
                <w:bCs/>
                <w:szCs w:val="21"/>
              </w:rPr>
            </w:pPr>
            <w:r>
              <w:rPr>
                <w:rFonts w:hint="eastAsia" w:ascii="宋体" w:hAnsi="宋体" w:cs="宋体"/>
                <w:b/>
                <w:bCs/>
                <w:szCs w:val="21"/>
              </w:rPr>
              <w:t>备注</w:t>
            </w:r>
          </w:p>
        </w:tc>
      </w:tr>
      <w:tr>
        <w:tblPrEx>
          <w:tblCellMar>
            <w:top w:w="0" w:type="dxa"/>
            <w:left w:w="0" w:type="dxa"/>
            <w:bottom w:w="0" w:type="dxa"/>
            <w:right w:w="0" w:type="dxa"/>
          </w:tblCellMar>
        </w:tblPrEx>
        <w:trPr>
          <w:cantSplit/>
          <w:trHeight w:val="1025"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3012" w:type="dxa"/>
            <w:vMerge w:val="restart"/>
            <w:tcBorders>
              <w:top w:val="single" w:color="auto" w:sz="6" w:space="0"/>
              <w:left w:val="single" w:color="auto" w:sz="6" w:space="0"/>
              <w:right w:val="single" w:color="auto" w:sz="8" w:space="0"/>
            </w:tcBorders>
            <w:vAlign w:val="center"/>
          </w:tcPr>
          <w:p>
            <w:pPr>
              <w:spacing w:line="360" w:lineRule="auto"/>
              <w:rPr>
                <w:rFonts w:ascii="宋体" w:hAnsi="宋体" w:cs="宋体"/>
                <w:szCs w:val="21"/>
              </w:rPr>
            </w:pPr>
            <w:r>
              <w:rPr>
                <w:rFonts w:hint="eastAsia" w:ascii="宋体" w:hAnsi="宋体" w:cs="宋体"/>
                <w:szCs w:val="21"/>
              </w:rPr>
              <w:t>按照参选人的最终得分值由高到低排列名次。若出现综合得分相同的情形，以技术标得分高者排在先；若技术标得分相同的（以保留小数点后两位且四舍五入为准），以商务标报价低者排在先；若报价相同的，以抽签的形式确定中选候选人。最终，评委推荐一名中选候选人中选，并形成评标报告。</w:t>
            </w:r>
          </w:p>
        </w:tc>
      </w:tr>
      <w:tr>
        <w:tblPrEx>
          <w:tblCellMar>
            <w:top w:w="0" w:type="dxa"/>
            <w:left w:w="0" w:type="dxa"/>
            <w:bottom w:w="0" w:type="dxa"/>
            <w:right w:w="0" w:type="dxa"/>
          </w:tblCellMar>
        </w:tblPrEx>
        <w:trPr>
          <w:cantSplit/>
          <w:trHeight w:val="970"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cantSplit/>
          <w:trHeight w:val="983"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cantSplit/>
          <w:trHeight w:val="828"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cantSplit/>
          <w:trHeight w:val="828" w:hRule="atLeast"/>
        </w:trPr>
        <w:tc>
          <w:tcPr>
            <w:tcW w:w="776"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278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10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1634"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Cs w:val="21"/>
              </w:rPr>
            </w:pPr>
          </w:p>
        </w:tc>
        <w:tc>
          <w:tcPr>
            <w:tcW w:w="3012" w:type="dxa"/>
            <w:vMerge w:val="continue"/>
            <w:tcBorders>
              <w:left w:val="single" w:color="auto" w:sz="6" w:space="0"/>
              <w:right w:val="single" w:color="auto" w:sz="8" w:space="0"/>
            </w:tcBorders>
            <w:vAlign w:val="center"/>
          </w:tcPr>
          <w:p>
            <w:pPr>
              <w:spacing w:line="360" w:lineRule="auto"/>
              <w:jc w:val="center"/>
              <w:rPr>
                <w:rFonts w:ascii="宋体" w:hAnsi="宋体" w:cs="宋体"/>
                <w:szCs w:val="21"/>
              </w:rPr>
            </w:pPr>
          </w:p>
        </w:tc>
      </w:tr>
      <w:tr>
        <w:tblPrEx>
          <w:tblCellMar>
            <w:top w:w="0" w:type="dxa"/>
            <w:left w:w="0" w:type="dxa"/>
            <w:bottom w:w="0" w:type="dxa"/>
            <w:right w:w="0" w:type="dxa"/>
          </w:tblCellMar>
        </w:tblPrEx>
        <w:trPr>
          <w:trHeight w:val="49" w:hRule="atLeast"/>
        </w:trPr>
        <w:tc>
          <w:tcPr>
            <w:tcW w:w="9275" w:type="dxa"/>
            <w:gridSpan w:val="5"/>
            <w:tcBorders>
              <w:top w:val="single" w:color="auto" w:sz="6" w:space="0"/>
              <w:left w:val="single" w:color="auto" w:sz="8" w:space="0"/>
              <w:bottom w:val="single" w:color="auto" w:sz="8" w:space="0"/>
              <w:right w:val="single" w:color="auto" w:sz="8" w:space="0"/>
            </w:tcBorders>
          </w:tcPr>
          <w:p>
            <w:pPr>
              <w:widowControl/>
              <w:spacing w:line="360" w:lineRule="auto"/>
              <w:ind w:left="424"/>
              <w:rPr>
                <w:rFonts w:ascii="宋体" w:hAnsi="宋体" w:cs="宋体"/>
                <w:kern w:val="0"/>
                <w:szCs w:val="21"/>
              </w:rPr>
            </w:pPr>
          </w:p>
          <w:p>
            <w:pPr>
              <w:spacing w:line="360" w:lineRule="auto"/>
              <w:rPr>
                <w:rFonts w:ascii="宋体" w:hAnsi="宋体" w:cs="宋体"/>
                <w:szCs w:val="21"/>
              </w:rPr>
            </w:pPr>
            <w:r>
              <w:rPr>
                <w:rFonts w:hint="eastAsia" w:ascii="宋体" w:hAnsi="宋体" w:cs="宋体"/>
                <w:szCs w:val="21"/>
              </w:rPr>
              <w:t>评委(签名)：</w:t>
            </w:r>
          </w:p>
          <w:p>
            <w:pPr>
              <w:widowControl/>
              <w:spacing w:line="360" w:lineRule="auto"/>
              <w:ind w:left="424"/>
              <w:rPr>
                <w:rFonts w:ascii="宋体" w:hAnsi="宋体" w:cs="宋体"/>
                <w:kern w:val="0"/>
                <w:szCs w:val="21"/>
              </w:rPr>
            </w:pPr>
          </w:p>
          <w:p>
            <w:pPr>
              <w:widowControl/>
              <w:spacing w:line="360" w:lineRule="auto"/>
              <w:rPr>
                <w:rFonts w:ascii="宋体" w:hAnsi="宋体" w:cs="宋体"/>
                <w:kern w:val="0"/>
                <w:szCs w:val="21"/>
              </w:rPr>
            </w:pPr>
          </w:p>
          <w:p>
            <w:pPr>
              <w:widowControl/>
              <w:spacing w:line="360" w:lineRule="auto"/>
              <w:rPr>
                <w:rFonts w:ascii="宋体" w:hAnsi="宋体" w:cs="宋体"/>
                <w:kern w:val="0"/>
                <w:szCs w:val="21"/>
              </w:rPr>
            </w:pPr>
          </w:p>
          <w:p>
            <w:pPr>
              <w:widowControl/>
              <w:spacing w:line="360" w:lineRule="auto"/>
              <w:rPr>
                <w:rFonts w:ascii="宋体" w:hAnsi="宋体" w:cs="宋体"/>
                <w:kern w:val="0"/>
                <w:szCs w:val="21"/>
              </w:rPr>
            </w:pPr>
            <w:r>
              <w:rPr>
                <w:rFonts w:hint="eastAsia" w:ascii="宋体" w:hAnsi="宋体" w:cs="宋体"/>
                <w:kern w:val="0"/>
                <w:szCs w:val="21"/>
              </w:rPr>
              <w:t>监督（签名）：</w:t>
            </w:r>
          </w:p>
          <w:p>
            <w:pPr>
              <w:widowControl/>
              <w:spacing w:line="360" w:lineRule="auto"/>
              <w:ind w:left="424"/>
              <w:rPr>
                <w:rFonts w:ascii="宋体" w:hAnsi="宋体" w:cs="宋体"/>
                <w:kern w:val="0"/>
                <w:szCs w:val="21"/>
              </w:rPr>
            </w:pPr>
          </w:p>
        </w:tc>
      </w:tr>
    </w:tbl>
    <w:p>
      <w:pPr>
        <w:tabs>
          <w:tab w:val="left" w:pos="630"/>
        </w:tabs>
        <w:spacing w:line="360" w:lineRule="auto"/>
        <w:rPr>
          <w:rFonts w:ascii="宋体" w:hAnsi="宋体"/>
        </w:rPr>
      </w:pPr>
    </w:p>
    <w:p>
      <w:pPr>
        <w:tabs>
          <w:tab w:val="left" w:pos="630"/>
        </w:tabs>
        <w:spacing w:line="360" w:lineRule="auto"/>
        <w:rPr>
          <w:rFonts w:ascii="宋体" w:hAnsi="宋体"/>
        </w:rPr>
      </w:pPr>
    </w:p>
    <w:p>
      <w:pPr>
        <w:widowControl/>
        <w:spacing w:line="360" w:lineRule="auto"/>
        <w:jc w:val="left"/>
        <w:rPr>
          <w:rFonts w:ascii="宋体" w:hAnsi="宋体" w:cs="宋体"/>
          <w:b/>
          <w:sz w:val="24"/>
          <w:szCs w:val="24"/>
        </w:rPr>
      </w:pPr>
    </w:p>
    <w:p>
      <w:pPr>
        <w:widowControl/>
        <w:spacing w:line="360" w:lineRule="auto"/>
        <w:jc w:val="left"/>
        <w:rPr>
          <w:rFonts w:ascii="宋体" w:hAnsi="宋体" w:cs="宋体"/>
          <w:b/>
          <w:sz w:val="24"/>
          <w:szCs w:val="24"/>
        </w:rPr>
      </w:pPr>
    </w:p>
    <w:p>
      <w:pPr>
        <w:widowControl/>
        <w:spacing w:line="360" w:lineRule="auto"/>
        <w:jc w:val="left"/>
        <w:rPr>
          <w:rFonts w:ascii="宋体" w:hAnsi="宋体" w:cs="宋体"/>
          <w:b/>
          <w:sz w:val="24"/>
          <w:szCs w:val="24"/>
        </w:rPr>
      </w:pPr>
    </w:p>
    <w:p>
      <w:pPr>
        <w:widowControl/>
        <w:spacing w:line="360" w:lineRule="auto"/>
        <w:jc w:val="left"/>
        <w:rPr>
          <w:rFonts w:ascii="宋体" w:hAnsi="宋体" w:cs="宋体"/>
          <w:b/>
          <w:sz w:val="24"/>
          <w:szCs w:val="24"/>
        </w:rPr>
      </w:pPr>
    </w:p>
    <w:p>
      <w:pPr>
        <w:tabs>
          <w:tab w:val="left" w:pos="0"/>
        </w:tabs>
        <w:snapToGrid w:val="0"/>
        <w:spacing w:line="360" w:lineRule="auto"/>
        <w:rPr>
          <w:rFonts w:ascii="宋体" w:hAnsi="宋体" w:cs="宋体"/>
          <w:b/>
          <w:sz w:val="24"/>
          <w:szCs w:val="24"/>
        </w:rPr>
      </w:pPr>
      <w:r>
        <w:rPr>
          <w:rFonts w:hint="eastAsia" w:ascii="宋体" w:hAnsi="宋体" w:cs="宋体"/>
          <w:b/>
          <w:bCs/>
          <w:color w:val="0D0D0D"/>
          <w:kern w:val="0"/>
          <w:sz w:val="24"/>
          <w:szCs w:val="24"/>
        </w:rPr>
        <w:t xml:space="preserve"> </w:t>
      </w:r>
      <w:bookmarkStart w:id="109" w:name="_Toc518494147"/>
      <w:bookmarkStart w:id="110" w:name="_Toc57731985"/>
      <w:r>
        <w:rPr>
          <w:rFonts w:hint="eastAsia" w:ascii="宋体" w:hAnsi="宋体" w:cs="宋体"/>
          <w:b/>
          <w:sz w:val="24"/>
          <w:szCs w:val="24"/>
        </w:rPr>
        <w:t>附件10（此表由评委或参选人填写）</w:t>
      </w:r>
    </w:p>
    <w:p>
      <w:pPr>
        <w:spacing w:line="360" w:lineRule="auto"/>
        <w:jc w:val="center"/>
        <w:rPr>
          <w:rFonts w:ascii="宋体" w:hAnsi="宋体"/>
          <w:b/>
          <w:bCs/>
          <w:snapToGrid w:val="0"/>
          <w:sz w:val="24"/>
          <w:szCs w:val="24"/>
        </w:rPr>
      </w:pPr>
    </w:p>
    <w:p>
      <w:pPr>
        <w:spacing w:line="360" w:lineRule="auto"/>
        <w:jc w:val="center"/>
        <w:rPr>
          <w:rFonts w:ascii="宋体" w:hAnsi="宋体"/>
          <w:b/>
          <w:bCs/>
          <w:snapToGrid w:val="0"/>
          <w:sz w:val="24"/>
          <w:szCs w:val="24"/>
        </w:rPr>
      </w:pPr>
      <w:r>
        <w:rPr>
          <w:rFonts w:hint="eastAsia" w:ascii="宋体" w:hAnsi="宋体"/>
          <w:b/>
          <w:bCs/>
          <w:snapToGrid w:val="0"/>
          <w:sz w:val="24"/>
          <w:szCs w:val="24"/>
        </w:rPr>
        <w:t>投标文件无效/作废情况说明表</w:t>
      </w:r>
    </w:p>
    <w:p>
      <w:pPr>
        <w:spacing w:line="360" w:lineRule="auto"/>
        <w:rPr>
          <w:rFonts w:ascii="宋体" w:hAnsi="宋体"/>
          <w:b/>
          <w:bCs/>
          <w:snapToGrid w:val="0"/>
          <w:sz w:val="24"/>
          <w:szCs w:val="24"/>
        </w:rPr>
      </w:pPr>
    </w:p>
    <w:p>
      <w:pPr>
        <w:widowControl/>
        <w:spacing w:line="360" w:lineRule="auto"/>
        <w:jc w:val="left"/>
        <w:rPr>
          <w:rFonts w:hAnsi="宋体"/>
          <w:b/>
          <w:bCs/>
          <w:sz w:val="24"/>
          <w:szCs w:val="24"/>
          <w:u w:val="single"/>
        </w:rPr>
      </w:pPr>
      <w:r>
        <w:rPr>
          <w:rFonts w:hint="eastAsia" w:ascii="宋体" w:hAnsi="宋体"/>
          <w:sz w:val="24"/>
          <w:szCs w:val="24"/>
        </w:rPr>
        <w:t>项目名称：</w:t>
      </w:r>
      <w:r>
        <w:rPr>
          <w:rFonts w:hint="eastAsia" w:hAnsi="宋体"/>
          <w:b/>
          <w:bCs/>
          <w:sz w:val="24"/>
          <w:szCs w:val="24"/>
          <w:u w:val="single"/>
        </w:rPr>
        <w:t>昂鹅等十</w:t>
      </w:r>
      <w:r>
        <w:rPr>
          <w:rFonts w:hAnsi="宋体"/>
          <w:b/>
          <w:bCs/>
          <w:sz w:val="24"/>
          <w:szCs w:val="24"/>
          <w:u w:val="single"/>
        </w:rPr>
        <w:t>五</w:t>
      </w:r>
      <w:r>
        <w:rPr>
          <w:rFonts w:hint="eastAsia" w:hAnsi="宋体"/>
          <w:b/>
          <w:bCs/>
          <w:sz w:val="24"/>
          <w:szCs w:val="24"/>
          <w:u w:val="single"/>
        </w:rPr>
        <w:t>个新项目税务咨询服务</w:t>
      </w:r>
    </w:p>
    <w:p>
      <w:pPr>
        <w:spacing w:line="360" w:lineRule="auto"/>
        <w:jc w:val="left"/>
        <w:rPr>
          <w:rFonts w:ascii="宋体" w:hAnsi="宋体"/>
          <w:sz w:val="24"/>
          <w:szCs w:val="24"/>
        </w:rPr>
      </w:pPr>
      <w:r>
        <w:rPr>
          <w:rFonts w:hint="eastAsia" w:ascii="宋体" w:hAnsi="宋体"/>
          <w:sz w:val="24"/>
          <w:szCs w:val="24"/>
        </w:rPr>
        <w:t>日期：2022年  月  日</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参选人名称</w:t>
            </w:r>
          </w:p>
        </w:tc>
        <w:tc>
          <w:tcPr>
            <w:tcW w:w="74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无效情况说明</w:t>
            </w:r>
          </w:p>
        </w:tc>
        <w:tc>
          <w:tcPr>
            <w:tcW w:w="74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参选人受理记录</w:t>
            </w:r>
          </w:p>
        </w:tc>
        <w:tc>
          <w:tcPr>
            <w:tcW w:w="74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评标委员会意见</w:t>
            </w:r>
          </w:p>
        </w:tc>
        <w:tc>
          <w:tcPr>
            <w:tcW w:w="74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需要说明的</w:t>
            </w:r>
          </w:p>
          <w:p>
            <w:pPr>
              <w:spacing w:line="360" w:lineRule="auto"/>
              <w:jc w:val="center"/>
              <w:rPr>
                <w:rFonts w:ascii="宋体" w:hAnsi="宋体"/>
                <w:sz w:val="24"/>
                <w:szCs w:val="24"/>
              </w:rPr>
            </w:pPr>
            <w:r>
              <w:rPr>
                <w:rFonts w:hint="eastAsia" w:ascii="宋体" w:hAnsi="宋体"/>
                <w:sz w:val="24"/>
                <w:szCs w:val="24"/>
              </w:rPr>
              <w:t>其他情况</w:t>
            </w:r>
          </w:p>
        </w:tc>
        <w:tc>
          <w:tcPr>
            <w:tcW w:w="74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p>
          <w:p>
            <w:pPr>
              <w:spacing w:line="360" w:lineRule="auto"/>
              <w:jc w:val="center"/>
              <w:rPr>
                <w:rFonts w:ascii="宋体" w:hAnsi="宋体"/>
                <w:sz w:val="24"/>
                <w:szCs w:val="24"/>
              </w:rPr>
            </w:pPr>
            <w:r>
              <w:rPr>
                <w:rFonts w:hint="eastAsia" w:ascii="宋体" w:hAnsi="宋体"/>
                <w:sz w:val="24"/>
                <w:szCs w:val="24"/>
              </w:rPr>
              <w:t>评委签字</w:t>
            </w:r>
          </w:p>
          <w:p>
            <w:pPr>
              <w:spacing w:line="360" w:lineRule="auto"/>
              <w:jc w:val="center"/>
              <w:rPr>
                <w:rFonts w:ascii="宋体" w:hAnsi="宋体"/>
                <w:sz w:val="24"/>
                <w:szCs w:val="24"/>
              </w:rPr>
            </w:pPr>
          </w:p>
        </w:tc>
        <w:tc>
          <w:tcPr>
            <w:tcW w:w="7477"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tc>
      </w:tr>
    </w:tbl>
    <w:p>
      <w:pPr>
        <w:spacing w:line="360" w:lineRule="auto"/>
        <w:rPr>
          <w:rFonts w:ascii="宋体" w:hAnsi="宋体"/>
          <w:sz w:val="24"/>
          <w:szCs w:val="24"/>
        </w:rPr>
      </w:pPr>
    </w:p>
    <w:p>
      <w:pPr>
        <w:pStyle w:val="5"/>
        <w:spacing w:line="360" w:lineRule="auto"/>
        <w:rPr>
          <w:rFonts w:ascii="宋体" w:hAnsi="宋体"/>
          <w:b w:val="0"/>
          <w:sz w:val="44"/>
          <w:szCs w:val="44"/>
        </w:rPr>
      </w:pPr>
      <w:r>
        <w:rPr>
          <w:rFonts w:hint="eastAsia" w:ascii="宋体" w:hAnsi="宋体"/>
          <w:b w:val="0"/>
          <w:sz w:val="44"/>
          <w:szCs w:val="44"/>
        </w:rPr>
        <w:t>第二篇  参选文件格式</w:t>
      </w:r>
      <w:bookmarkEnd w:id="109"/>
      <w:bookmarkEnd w:id="110"/>
    </w:p>
    <w:p>
      <w:pPr>
        <w:spacing w:before="60" w:beforeLines="25" w:after="60" w:afterLines="25" w:line="360" w:lineRule="auto"/>
        <w:ind w:firstLine="547" w:firstLineChars="228"/>
        <w:rPr>
          <w:rFonts w:ascii="宋体" w:hAnsi="宋体"/>
          <w:sz w:val="24"/>
        </w:rPr>
      </w:pPr>
      <w:r>
        <w:rPr>
          <w:rFonts w:hint="eastAsia" w:ascii="宋体" w:hAnsi="宋体"/>
          <w:sz w:val="24"/>
        </w:rPr>
        <w:t>每一对“[ ]”及其中间的内容，均应由参选人在编制参选时根据情况以适当的内容代替。每一对“{ }”及其中间的内容，参选人在编制参选书时应予以删除。在留有的空白或下划线上或…均应由参选人填入适当内容。</w:t>
      </w:r>
    </w:p>
    <w:p>
      <w:pPr>
        <w:spacing w:before="60" w:beforeLines="25" w:after="60" w:afterLines="25" w:line="360" w:lineRule="auto"/>
        <w:ind w:firstLine="547" w:firstLineChars="228"/>
        <w:rPr>
          <w:rFonts w:ascii="宋体" w:hAnsi="宋体"/>
          <w:sz w:val="24"/>
        </w:rPr>
      </w:pPr>
      <w:r>
        <w:rPr>
          <w:rFonts w:hint="eastAsia" w:ascii="宋体" w:hAnsi="宋体"/>
          <w:sz w:val="24"/>
        </w:rPr>
        <w:br w:type="page"/>
      </w:r>
    </w:p>
    <w:p>
      <w:pPr>
        <w:spacing w:line="360" w:lineRule="auto"/>
        <w:jc w:val="center"/>
        <w:rPr>
          <w:rFonts w:ascii="宋体" w:hAnsi="宋体"/>
          <w:b/>
          <w:color w:val="0D0D0D"/>
          <w:spacing w:val="36"/>
          <w:sz w:val="44"/>
          <w:szCs w:val="44"/>
        </w:rPr>
      </w:pPr>
      <w:r>
        <w:rPr>
          <w:rFonts w:hint="eastAsia" w:ascii="宋体" w:hAnsi="宋体"/>
          <w:b/>
          <w:color w:val="0D0D0D"/>
          <w:spacing w:val="36"/>
          <w:sz w:val="44"/>
          <w:szCs w:val="44"/>
        </w:rPr>
        <w:t>第一章</w:t>
      </w:r>
    </w:p>
    <w:p>
      <w:pPr>
        <w:pStyle w:val="25"/>
        <w:spacing w:before="1440" w:beforeLines="600" w:line="360" w:lineRule="auto"/>
        <w:jc w:val="center"/>
        <w:rPr>
          <w:rFonts w:hAnsi="宋体"/>
          <w:b/>
          <w:color w:val="0D0D0D"/>
          <w:sz w:val="44"/>
          <w:szCs w:val="44"/>
        </w:rPr>
      </w:pPr>
      <w:r>
        <w:rPr>
          <w:rFonts w:hint="eastAsia" w:hAnsi="宋体"/>
          <w:b/>
          <w:color w:val="0D0D0D"/>
          <w:sz w:val="44"/>
          <w:szCs w:val="44"/>
        </w:rPr>
        <w:t>昂鹅等</w:t>
      </w:r>
      <w:r>
        <w:rPr>
          <w:rFonts w:hint="eastAsia" w:hAnsi="宋体"/>
          <w:b/>
          <w:bCs w:val="0"/>
          <w:color w:val="0D0D0D"/>
          <w:sz w:val="44"/>
          <w:szCs w:val="44"/>
          <w:u w:val="none"/>
        </w:rPr>
        <w:t>十</w:t>
      </w:r>
      <w:r>
        <w:rPr>
          <w:rFonts w:hAnsi="宋体"/>
          <w:b/>
          <w:bCs w:val="0"/>
          <w:color w:val="0D0D0D"/>
          <w:sz w:val="44"/>
          <w:szCs w:val="44"/>
          <w:u w:val="none"/>
        </w:rPr>
        <w:t>五</w:t>
      </w:r>
      <w:r>
        <w:rPr>
          <w:rFonts w:hint="eastAsia" w:hAnsi="宋体"/>
          <w:b/>
          <w:color w:val="0D0D0D"/>
          <w:sz w:val="44"/>
          <w:szCs w:val="44"/>
        </w:rPr>
        <w:t>个新项目税务咨询服务</w:t>
      </w:r>
    </w:p>
    <w:p>
      <w:pPr>
        <w:pStyle w:val="25"/>
        <w:spacing w:before="1440" w:beforeLines="600" w:line="360" w:lineRule="auto"/>
        <w:jc w:val="center"/>
        <w:rPr>
          <w:rFonts w:hAnsi="宋体"/>
          <w:bCs/>
          <w:color w:val="0D0D0D"/>
          <w:kern w:val="10"/>
          <w:sz w:val="84"/>
          <w:szCs w:val="84"/>
        </w:rPr>
      </w:pPr>
      <w:r>
        <w:rPr>
          <w:rFonts w:hint="eastAsia" w:hAnsi="宋体"/>
          <w:bCs/>
          <w:color w:val="0D0D0D"/>
          <w:spacing w:val="36"/>
          <w:kern w:val="10"/>
          <w:sz w:val="84"/>
          <w:szCs w:val="84"/>
        </w:rPr>
        <w:t>参选文件</w:t>
      </w:r>
    </w:p>
    <w:p>
      <w:pPr>
        <w:pStyle w:val="25"/>
        <w:spacing w:line="360" w:lineRule="auto"/>
        <w:jc w:val="center"/>
        <w:rPr>
          <w:rFonts w:hAnsi="宋体"/>
          <w:b/>
          <w:color w:val="0D0D0D"/>
          <w:sz w:val="44"/>
          <w:szCs w:val="44"/>
        </w:rPr>
      </w:pPr>
      <w:r>
        <w:rPr>
          <w:rFonts w:hint="eastAsia" w:hAnsi="宋体"/>
          <w:b/>
          <w:color w:val="0D0D0D"/>
          <w:sz w:val="44"/>
          <w:szCs w:val="44"/>
        </w:rPr>
        <w:t>（</w:t>
      </w:r>
      <w:bookmarkStart w:id="111" w:name="_Toc92971375"/>
      <w:r>
        <w:rPr>
          <w:rFonts w:hint="eastAsia" w:hAnsi="宋体"/>
          <w:b/>
          <w:color w:val="0D0D0D"/>
          <w:sz w:val="44"/>
          <w:szCs w:val="44"/>
        </w:rPr>
        <w:t>技术标书</w:t>
      </w:r>
      <w:bookmarkEnd w:id="111"/>
      <w:r>
        <w:rPr>
          <w:rFonts w:hAnsi="宋体"/>
          <w:b/>
          <w:color w:val="0D0D0D"/>
          <w:sz w:val="44"/>
          <w:szCs w:val="44"/>
        </w:rPr>
        <w:t>）</w:t>
      </w:r>
    </w:p>
    <w:p>
      <w:pPr>
        <w:pStyle w:val="25"/>
        <w:spacing w:line="360" w:lineRule="auto"/>
        <w:rPr>
          <w:rFonts w:hAnsi="宋体"/>
          <w:color w:val="0D0D0D"/>
          <w:sz w:val="23"/>
          <w:szCs w:val="23"/>
        </w:rPr>
      </w:pPr>
    </w:p>
    <w:p>
      <w:pPr>
        <w:jc w:val="center"/>
        <w:rPr>
          <w:rFonts w:ascii="黑体" w:hAnsi="黑体" w:eastAsia="黑体"/>
          <w:sz w:val="84"/>
          <w:szCs w:val="84"/>
        </w:rPr>
      </w:pPr>
    </w:p>
    <w:p>
      <w:pPr>
        <w:ind w:left="420" w:leftChars="200" w:firstLine="482"/>
        <w:rPr>
          <w:bCs/>
          <w:sz w:val="24"/>
          <w:szCs w:val="24"/>
        </w:rPr>
      </w:pPr>
      <w:r>
        <w:rPr>
          <w:rFonts w:hint="eastAsia"/>
          <w:bCs/>
          <w:sz w:val="24"/>
          <w:szCs w:val="24"/>
        </w:rPr>
        <w:t>参选</w:t>
      </w:r>
      <w:r>
        <w:rPr>
          <w:bCs/>
          <w:sz w:val="24"/>
          <w:szCs w:val="24"/>
        </w:rPr>
        <w:t>人声明：</w:t>
      </w:r>
    </w:p>
    <w:p>
      <w:pPr>
        <w:ind w:left="420" w:leftChars="200" w:firstLine="482"/>
        <w:rPr>
          <w:bCs/>
          <w:sz w:val="24"/>
          <w:szCs w:val="24"/>
        </w:rPr>
      </w:pPr>
      <w:r>
        <w:rPr>
          <w:bCs/>
          <w:sz w:val="24"/>
          <w:szCs w:val="24"/>
        </w:rPr>
        <w:t>我司（单位）对本标书所提供文件的真实性、准确性、有效性负全部责任。</w:t>
      </w:r>
    </w:p>
    <w:p>
      <w:pPr>
        <w:pStyle w:val="25"/>
        <w:spacing w:before="360" w:beforeLines="150" w:after="360" w:afterLines="150" w:line="360" w:lineRule="auto"/>
        <w:rPr>
          <w:rFonts w:hAnsi="宋体"/>
          <w:b/>
          <w:bCs/>
          <w:color w:val="0D0D0D"/>
          <w:sz w:val="28"/>
          <w:szCs w:val="28"/>
        </w:rPr>
      </w:pPr>
    </w:p>
    <w:p>
      <w:pPr>
        <w:pStyle w:val="25"/>
        <w:spacing w:before="360" w:beforeLines="150" w:after="360" w:afterLines="150" w:line="360" w:lineRule="auto"/>
        <w:ind w:firstLine="540" w:firstLineChars="192"/>
        <w:rPr>
          <w:rFonts w:hAnsi="宋体"/>
          <w:b/>
          <w:bCs/>
          <w:color w:val="0D0D0D"/>
          <w:sz w:val="28"/>
          <w:szCs w:val="28"/>
          <w:u w:val="single"/>
        </w:rPr>
      </w:pPr>
      <w:r>
        <w:rPr>
          <w:rFonts w:hint="eastAsia" w:hAnsi="宋体"/>
          <w:b/>
          <w:bCs/>
          <w:color w:val="0D0D0D"/>
          <w:sz w:val="28"/>
          <w:szCs w:val="28"/>
        </w:rPr>
        <w:t>参选人(盖章)：</w:t>
      </w:r>
      <w:r>
        <w:rPr>
          <w:rFonts w:hint="eastAsia" w:hAnsi="宋体"/>
          <w:b/>
          <w:bCs/>
          <w:color w:val="0D0D0D"/>
          <w:sz w:val="28"/>
          <w:szCs w:val="28"/>
          <w:u w:val="single"/>
        </w:rPr>
        <w:t xml:space="preserve">          [参选人名称]                 </w:t>
      </w:r>
    </w:p>
    <w:p>
      <w:pPr>
        <w:pStyle w:val="25"/>
        <w:spacing w:before="360" w:beforeLines="150" w:after="360" w:afterLines="150" w:line="360" w:lineRule="auto"/>
        <w:ind w:firstLine="540" w:firstLineChars="192"/>
        <w:rPr>
          <w:rFonts w:hAnsi="宋体"/>
          <w:b/>
          <w:bCs/>
          <w:color w:val="0D0D0D"/>
          <w:sz w:val="28"/>
          <w:szCs w:val="28"/>
          <w:u w:val="single"/>
        </w:rPr>
      </w:pPr>
      <w:r>
        <w:rPr>
          <w:rFonts w:hint="eastAsia" w:hAnsi="宋体"/>
          <w:b/>
          <w:bCs/>
          <w:color w:val="0D0D0D"/>
          <w:sz w:val="28"/>
          <w:szCs w:val="28"/>
        </w:rPr>
        <w:t>法定代表人或其委托代理人(签字或盖章)：</w:t>
      </w:r>
    </w:p>
    <w:p>
      <w:pPr>
        <w:spacing w:line="360" w:lineRule="auto"/>
        <w:jc w:val="center"/>
        <w:rPr>
          <w:rFonts w:ascii="宋体" w:hAnsi="宋体"/>
          <w:b/>
          <w:bCs/>
          <w:color w:val="0D0D0D"/>
          <w:sz w:val="28"/>
          <w:szCs w:val="28"/>
        </w:rPr>
      </w:pPr>
      <w:r>
        <w:rPr>
          <w:rFonts w:hint="eastAsia" w:ascii="宋体" w:hAnsi="宋体"/>
          <w:b/>
          <w:bCs/>
          <w:color w:val="0D0D0D"/>
          <w:sz w:val="28"/>
          <w:szCs w:val="28"/>
        </w:rPr>
        <w:t>日   期：     年    月     日</w:t>
      </w:r>
    </w:p>
    <w:p>
      <w:pPr>
        <w:spacing w:line="360" w:lineRule="auto"/>
        <w:jc w:val="right"/>
        <w:rPr>
          <w:sz w:val="28"/>
          <w:szCs w:val="28"/>
        </w:rPr>
      </w:pPr>
      <w:r>
        <w:rPr>
          <w:sz w:val="28"/>
          <w:szCs w:val="28"/>
        </w:rPr>
        <w:t>（本页须独立成页）</w:t>
      </w:r>
    </w:p>
    <w:p>
      <w:pPr>
        <w:jc w:val="left"/>
        <w:rPr>
          <w:sz w:val="28"/>
          <w:szCs w:val="28"/>
        </w:rPr>
      </w:pPr>
      <w:r>
        <w:rPr>
          <w:sz w:val="28"/>
          <w:szCs w:val="28"/>
        </w:rPr>
        <w:br w:type="page"/>
      </w:r>
    </w:p>
    <w:p>
      <w:pPr>
        <w:spacing w:line="360" w:lineRule="auto"/>
        <w:jc w:val="center"/>
        <w:rPr>
          <w:sz w:val="28"/>
          <w:szCs w:val="28"/>
        </w:rPr>
      </w:pPr>
    </w:p>
    <w:p>
      <w:pPr>
        <w:spacing w:line="360" w:lineRule="auto"/>
        <w:jc w:val="center"/>
        <w:rPr>
          <w:rFonts w:ascii="宋体" w:hAnsi="宋体"/>
          <w:b/>
          <w:bCs/>
          <w:color w:val="0D0D0D"/>
          <w:sz w:val="28"/>
          <w:szCs w:val="28"/>
        </w:rPr>
      </w:pPr>
    </w:p>
    <w:p>
      <w:pPr>
        <w:spacing w:line="360" w:lineRule="auto"/>
        <w:jc w:val="center"/>
        <w:rPr>
          <w:rFonts w:ascii="宋体" w:hAnsi="宋体"/>
          <w:color w:val="0D0D0D"/>
        </w:rPr>
      </w:pPr>
      <w:bookmarkStart w:id="112" w:name="_Toc19191474"/>
      <w:r>
        <w:rPr>
          <w:rFonts w:hint="eastAsia" w:ascii="宋体" w:hAnsi="宋体"/>
          <w:color w:val="0D0D0D"/>
          <w:sz w:val="52"/>
          <w:szCs w:val="52"/>
          <w:u w:val="single"/>
        </w:rPr>
        <w:t>技术标书目录</w:t>
      </w:r>
      <w:bookmarkEnd w:id="112"/>
    </w:p>
    <w:p>
      <w:pPr>
        <w:pStyle w:val="119"/>
        <w:numPr>
          <w:ilvl w:val="0"/>
          <w:numId w:val="11"/>
        </w:numPr>
        <w:spacing w:before="50" w:line="360" w:lineRule="auto"/>
        <w:ind w:hanging="652"/>
        <w:rPr>
          <w:rFonts w:ascii="Times New Roman" w:cs="Times New Roman"/>
          <w:b/>
          <w:color w:val="0D0D0D"/>
          <w:szCs w:val="28"/>
        </w:rPr>
      </w:pPr>
      <w:r>
        <w:rPr>
          <w:rFonts w:hint="eastAsia" w:ascii="Times New Roman" w:cs="Times New Roman"/>
          <w:b/>
          <w:color w:val="0D0D0D"/>
          <w:szCs w:val="28"/>
        </w:rPr>
        <w:t>参选人营业执照复印件（加盖公章）</w:t>
      </w:r>
    </w:p>
    <w:p>
      <w:pPr>
        <w:pStyle w:val="119"/>
        <w:numPr>
          <w:ilvl w:val="255"/>
          <w:numId w:val="0"/>
        </w:numPr>
        <w:spacing w:before="50" w:line="360" w:lineRule="auto"/>
        <w:ind w:left="426"/>
        <w:rPr>
          <w:rFonts w:ascii="Times New Roman" w:cs="Times New Roman"/>
          <w:b/>
          <w:color w:val="0D0D0D"/>
          <w:szCs w:val="28"/>
        </w:rPr>
      </w:pPr>
      <w:r>
        <w:rPr>
          <w:rFonts w:hint="eastAsia" w:ascii="宋体" w:hAnsi="宋体" w:eastAsia="宋体" w:cs="Times New Roman"/>
          <w:b/>
          <w:bCs/>
        </w:rPr>
        <w:t>（若参选人为分支机构，需提供总所/总公司的授权文件）</w:t>
      </w:r>
    </w:p>
    <w:p>
      <w:pPr>
        <w:pStyle w:val="119"/>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二、法定代表人资格证明书原件</w:t>
      </w:r>
      <w:r>
        <w:rPr>
          <w:rFonts w:ascii="Times New Roman" w:cs="Times New Roman"/>
          <w:b/>
          <w:color w:val="0D0D0D"/>
          <w:szCs w:val="28"/>
        </w:rPr>
        <w:t>（加盖公章）</w:t>
      </w:r>
    </w:p>
    <w:p>
      <w:pPr>
        <w:pStyle w:val="119"/>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三、法定代表人身份证复印件</w:t>
      </w:r>
      <w:r>
        <w:rPr>
          <w:rFonts w:ascii="Times New Roman" w:cs="Times New Roman"/>
          <w:b/>
          <w:color w:val="0D0D0D"/>
          <w:szCs w:val="28"/>
        </w:rPr>
        <w:t>（加盖公章）</w:t>
      </w:r>
    </w:p>
    <w:p>
      <w:pPr>
        <w:pStyle w:val="119"/>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四、法定代表人授权委托书原件</w:t>
      </w:r>
      <w:r>
        <w:rPr>
          <w:rFonts w:ascii="Times New Roman" w:cs="Times New Roman"/>
          <w:b/>
          <w:color w:val="0D0D0D"/>
          <w:szCs w:val="28"/>
        </w:rPr>
        <w:t>（加盖公章）</w:t>
      </w:r>
    </w:p>
    <w:p>
      <w:pPr>
        <w:pStyle w:val="119"/>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五、被授权人身份证复印件（加盖公章）</w:t>
      </w:r>
    </w:p>
    <w:p>
      <w:pPr>
        <w:pStyle w:val="119"/>
        <w:spacing w:before="50" w:line="360" w:lineRule="auto"/>
        <w:ind w:left="426"/>
        <w:rPr>
          <w:rFonts w:ascii="Times New Roman" w:cs="Times New Roman"/>
          <w:b/>
          <w:color w:val="0D0D0D"/>
          <w:szCs w:val="28"/>
        </w:rPr>
      </w:pPr>
      <w:r>
        <w:rPr>
          <w:rFonts w:hint="eastAsia" w:ascii="Times New Roman" w:cs="Times New Roman"/>
          <w:b/>
          <w:color w:val="0D0D0D"/>
          <w:szCs w:val="28"/>
        </w:rPr>
        <w:t>六、资格审查所需证明材料：（清晰的复印件，加盖公章）</w:t>
      </w:r>
    </w:p>
    <w:p>
      <w:pPr>
        <w:pStyle w:val="113"/>
        <w:widowControl/>
        <w:numPr>
          <w:ilvl w:val="0"/>
          <w:numId w:val="12"/>
        </w:numPr>
        <w:overflowPunct w:val="0"/>
        <w:autoSpaceDE w:val="0"/>
        <w:autoSpaceDN w:val="0"/>
        <w:adjustRightInd w:val="0"/>
        <w:spacing w:line="360" w:lineRule="auto"/>
        <w:ind w:firstLineChars="0"/>
        <w:jc w:val="left"/>
        <w:textAlignment w:val="baseline"/>
        <w:rPr>
          <w:rFonts w:ascii="宋体" w:hAnsi="宋体" w:eastAsia="宋体" w:cs="Times New Roman"/>
          <w:sz w:val="24"/>
          <w:szCs w:val="24"/>
          <w:lang w:val="zh-CN"/>
        </w:rPr>
      </w:pPr>
      <w:r>
        <w:rPr>
          <w:rFonts w:hint="eastAsia" w:ascii="宋体" w:hAnsi="宋体" w:eastAsia="宋体" w:cs="Times New Roman"/>
          <w:sz w:val="24"/>
          <w:szCs w:val="24"/>
          <w:lang w:val="zh-CN"/>
        </w:rPr>
        <w:t>若参选人为税务师事务所，需提供注册税务师协会授予的AAA级以上（含AAA级）评级资格证书（20</w:t>
      </w:r>
      <w:r>
        <w:rPr>
          <w:rFonts w:hint="eastAsia" w:ascii="宋体" w:hAnsi="宋体" w:eastAsia="宋体" w:cs="Times New Roman"/>
          <w:sz w:val="24"/>
          <w:szCs w:val="24"/>
        </w:rPr>
        <w:t>20</w:t>
      </w:r>
      <w:r>
        <w:rPr>
          <w:rFonts w:hint="eastAsia" w:ascii="宋体" w:hAnsi="宋体" w:eastAsia="宋体" w:cs="Times New Roman"/>
          <w:sz w:val="24"/>
          <w:szCs w:val="24"/>
          <w:lang w:val="zh-CN"/>
        </w:rPr>
        <w:t>年1月1日后授予）（加盖公章）</w:t>
      </w:r>
    </w:p>
    <w:p>
      <w:pPr>
        <w:pStyle w:val="119"/>
        <w:numPr>
          <w:ilvl w:val="0"/>
          <w:numId w:val="12"/>
        </w:numPr>
        <w:spacing w:before="50" w:line="360" w:lineRule="auto"/>
        <w:rPr>
          <w:rFonts w:ascii="宋体" w:hAnsi="宋体" w:eastAsia="宋体" w:cs="Times New Roman"/>
          <w:color w:val="0D0D0D"/>
          <w:lang w:val="zh-CN"/>
        </w:rPr>
      </w:pP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pStyle w:val="119"/>
        <w:numPr>
          <w:ilvl w:val="0"/>
          <w:numId w:val="12"/>
        </w:numPr>
        <w:spacing w:before="50" w:line="360" w:lineRule="auto"/>
        <w:rPr>
          <w:rFonts w:hint="eastAsia" w:ascii="宋体" w:hAnsi="宋体" w:eastAsia="宋体" w:cs="Times New Roman"/>
          <w:color w:val="0D0D0D"/>
          <w:lang w:val="zh-CN"/>
        </w:rPr>
      </w:pPr>
      <w:r>
        <w:rPr>
          <w:rFonts w:hint="eastAsia" w:ascii="宋体" w:hAnsi="宋体" w:eastAsia="宋体" w:cs="Times New Roman"/>
          <w:color w:val="0D0D0D"/>
          <w:lang w:val="zh-CN"/>
        </w:rPr>
        <w:t>若投标人为税务师事务所</w:t>
      </w:r>
      <w:r>
        <w:rPr>
          <w:rFonts w:hint="eastAsia" w:ascii="宋体" w:hAnsi="宋体" w:eastAsia="宋体" w:cs="Times New Roman"/>
          <w:color w:val="0D0D0D"/>
          <w:lang w:val="en-US" w:eastAsia="zh-CN"/>
        </w:rPr>
        <w:t>,需提供</w:t>
      </w:r>
      <w:r>
        <w:rPr>
          <w:rFonts w:hint="eastAsia" w:ascii="宋体" w:hAnsi="宋体" w:eastAsia="宋体" w:cs="Times New Roman"/>
          <w:color w:val="0D0D0D"/>
          <w:lang w:val="zh-CN"/>
        </w:rPr>
        <w:t>2020-2022年无违规证明(以深圳市注册税务师协会出具的证明为准）（若投标人为税务师事务所）。</w:t>
      </w:r>
    </w:p>
    <w:p>
      <w:pPr>
        <w:pStyle w:val="119"/>
        <w:numPr>
          <w:ilvl w:val="255"/>
          <w:numId w:val="0"/>
        </w:numPr>
        <w:spacing w:before="50" w:line="360" w:lineRule="auto"/>
        <w:ind w:left="420"/>
        <w:rPr>
          <w:rFonts w:ascii="Times New Roman" w:cs="Times New Roman"/>
          <w:b/>
          <w:color w:val="0D0D0D"/>
          <w:szCs w:val="28"/>
        </w:rPr>
      </w:pPr>
      <w:r>
        <w:rPr>
          <w:rFonts w:hint="eastAsia" w:ascii="Times New Roman" w:cs="Times New Roman"/>
          <w:b/>
          <w:color w:val="0D0D0D"/>
          <w:szCs w:val="28"/>
        </w:rPr>
        <w:t>七、技术标评审所需证明材料（清晰的复印件，加盖公章）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一</w:t>
      </w: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二</w:t>
      </w:r>
      <w:r>
        <w:rPr>
          <w:rFonts w:hint="eastAsia" w:ascii="宋体" w:hAnsi="宋体" w:eastAsia="宋体" w:cs="Times New Roman"/>
          <w:color w:val="0D0D0D"/>
          <w:lang w:val="zh-CN"/>
        </w:rPr>
        <w:t>）房地产企业税务筹划方案建议书及房地产业务税务咨询服务经验及优势自评价（需盖公章）</w:t>
      </w:r>
    </w:p>
    <w:p>
      <w:pPr>
        <w:pStyle w:val="119"/>
        <w:numPr>
          <w:ilvl w:val="255"/>
          <w:numId w:val="0"/>
        </w:numPr>
        <w:spacing w:before="50" w:line="360" w:lineRule="auto"/>
        <w:ind w:firstLine="420" w:firstLineChars="200"/>
        <w:rPr>
          <w:rFonts w:ascii="宋体" w:hAnsi="宋体" w:eastAsia="宋体" w:cs="Times New Roman"/>
          <w:color w:val="0D0D0D"/>
          <w:lang w:val="zh-CN"/>
        </w:rPr>
      </w:pPr>
      <w:r>
        <w:rPr>
          <w:rFonts w:hint="eastAsia" w:ascii="宋体" w:hAnsi="宋体" w:cs="宋体"/>
          <w:sz w:val="21"/>
          <w:szCs w:val="21"/>
          <w:lang w:val="zh-TW" w:eastAsia="zh-TW"/>
        </w:rPr>
        <w:t>介绍房地产税务筹划方案建议</w:t>
      </w:r>
      <w:r>
        <w:rPr>
          <w:rFonts w:hint="eastAsia" w:ascii="宋体" w:hAnsi="宋体" w:cs="宋体"/>
          <w:sz w:val="21"/>
          <w:szCs w:val="21"/>
        </w:rPr>
        <w:t>及</w:t>
      </w:r>
      <w:r>
        <w:rPr>
          <w:rFonts w:hint="eastAsia" w:ascii="宋体" w:hAnsi="宋体" w:cs="宋体"/>
          <w:sz w:val="21"/>
          <w:szCs w:val="21"/>
          <w:lang w:val="zh-TW" w:eastAsia="zh-TW"/>
        </w:rPr>
        <w:t>房地产业务税务咨询服务经验优势（包括与</w:t>
      </w:r>
      <w:r>
        <w:rPr>
          <w:rFonts w:hint="eastAsia" w:ascii="宋体" w:hAnsi="宋体" w:cs="宋体"/>
          <w:sz w:val="21"/>
          <w:szCs w:val="21"/>
        </w:rPr>
        <w:t>深圳各区</w:t>
      </w:r>
      <w:r>
        <w:rPr>
          <w:rFonts w:hint="eastAsia" w:ascii="宋体" w:hAnsi="宋体" w:cs="宋体"/>
          <w:sz w:val="21"/>
          <w:szCs w:val="21"/>
          <w:lang w:val="zh-TW" w:eastAsia="zh-TW"/>
        </w:rPr>
        <w:t>税务局等的沟通经验等）</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三</w:t>
      </w:r>
      <w:r>
        <w:rPr>
          <w:rFonts w:hint="eastAsia" w:ascii="宋体" w:hAnsi="宋体" w:eastAsia="宋体" w:cs="Times New Roman"/>
          <w:color w:val="0D0D0D"/>
          <w:lang w:val="zh-CN"/>
        </w:rPr>
        <w:t>）拟委派本项目的团队情况及资质、经验</w:t>
      </w:r>
      <w:r>
        <w:rPr>
          <w:rFonts w:ascii="宋体" w:hAnsi="宋体" w:eastAsia="宋体" w:cs="Times New Roman"/>
          <w:color w:val="0D0D0D"/>
          <w:lang w:val="zh-CN"/>
        </w:rPr>
        <w:t>证明</w:t>
      </w:r>
      <w:r>
        <w:rPr>
          <w:rFonts w:hint="eastAsia" w:ascii="宋体" w:hAnsi="宋体" w:eastAsia="宋体" w:cs="Times New Roman"/>
          <w:color w:val="0D0D0D"/>
          <w:lang w:val="zh-CN"/>
        </w:rPr>
        <w:t>（提供证书复印件，在税务师事务所服务的社保证明，均需盖公章）</w:t>
      </w:r>
    </w:p>
    <w:p>
      <w:pPr>
        <w:pStyle w:val="119"/>
        <w:spacing w:before="50" w:line="360" w:lineRule="auto"/>
        <w:ind w:firstLine="471" w:firstLineChars="196"/>
        <w:rPr>
          <w:rFonts w:ascii="Times New Roman" w:cs="Times New Roman"/>
          <w:b/>
          <w:color w:val="0D0D0D"/>
          <w:szCs w:val="28"/>
        </w:rPr>
      </w:pPr>
    </w:p>
    <w:p>
      <w:pPr>
        <w:pStyle w:val="119"/>
        <w:spacing w:before="50" w:line="360" w:lineRule="auto"/>
        <w:rPr>
          <w:rFonts w:ascii="Times New Roman" w:cs="Times New Roman"/>
          <w:b/>
          <w:color w:val="0D0D0D"/>
          <w:szCs w:val="28"/>
        </w:rPr>
      </w:pPr>
    </w:p>
    <w:p>
      <w:pPr>
        <w:widowControl/>
        <w:overflowPunct w:val="0"/>
        <w:autoSpaceDE w:val="0"/>
        <w:autoSpaceDN w:val="0"/>
        <w:adjustRightInd w:val="0"/>
        <w:spacing w:before="50" w:line="360" w:lineRule="auto"/>
        <w:jc w:val="left"/>
        <w:textAlignment w:val="baseline"/>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pStyle w:val="2"/>
        <w:ind w:firstLine="480"/>
        <w:rPr>
          <w:rFonts w:ascii="宋体" w:hAnsi="宋体"/>
          <w:color w:val="0D0D0D"/>
          <w:sz w:val="24"/>
          <w:szCs w:val="24"/>
        </w:rPr>
      </w:pPr>
    </w:p>
    <w:p>
      <w:pPr>
        <w:widowControl/>
        <w:overflowPunct w:val="0"/>
        <w:autoSpaceDE w:val="0"/>
        <w:autoSpaceDN w:val="0"/>
        <w:adjustRightInd w:val="0"/>
        <w:spacing w:before="50" w:line="360" w:lineRule="auto"/>
        <w:jc w:val="left"/>
        <w:textAlignment w:val="baseline"/>
        <w:rPr>
          <w:rFonts w:ascii="宋体" w:hAnsi="宋体"/>
          <w:color w:val="0D0D0D"/>
          <w:sz w:val="24"/>
          <w:szCs w:val="24"/>
        </w:rPr>
      </w:pPr>
    </w:p>
    <w:p>
      <w:pPr>
        <w:widowControl/>
        <w:overflowPunct w:val="0"/>
        <w:autoSpaceDE w:val="0"/>
        <w:autoSpaceDN w:val="0"/>
        <w:adjustRightInd w:val="0"/>
        <w:spacing w:before="50" w:line="360" w:lineRule="auto"/>
        <w:jc w:val="left"/>
        <w:textAlignment w:val="baseline"/>
        <w:rPr>
          <w:rFonts w:ascii="宋体" w:hAnsi="宋体"/>
          <w:color w:val="0D0D0D"/>
          <w:sz w:val="24"/>
          <w:szCs w:val="24"/>
        </w:rPr>
      </w:pPr>
    </w:p>
    <w:p>
      <w:pPr>
        <w:pStyle w:val="7"/>
        <w:spacing w:line="360" w:lineRule="auto"/>
        <w:ind w:left="0" w:firstLine="0"/>
        <w:rPr>
          <w:rFonts w:ascii="宋体" w:hAnsi="宋体"/>
          <w:color w:val="0D0D0D"/>
          <w:sz w:val="24"/>
        </w:rPr>
      </w:pPr>
      <w:bookmarkStart w:id="113" w:name="_Toc53991862"/>
      <w:r>
        <w:rPr>
          <w:rFonts w:hint="eastAsia" w:ascii="宋体" w:hAnsi="宋体"/>
          <w:color w:val="0D0D0D"/>
          <w:sz w:val="24"/>
        </w:rPr>
        <w:t>一、参选人营业执照复印件（加盖公章）</w:t>
      </w:r>
      <w:bookmarkEnd w:id="113"/>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spacing w:line="360" w:lineRule="auto"/>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2"/>
        <w:rPr>
          <w:color w:val="0D0D0D"/>
        </w:rPr>
      </w:pPr>
    </w:p>
    <w:p>
      <w:pPr>
        <w:pStyle w:val="7"/>
        <w:numPr>
          <w:ilvl w:val="2"/>
          <w:numId w:val="0"/>
        </w:numPr>
        <w:spacing w:line="360" w:lineRule="auto"/>
        <w:rPr>
          <w:rFonts w:ascii="宋体" w:hAnsi="宋体"/>
          <w:color w:val="0D0D0D"/>
          <w:sz w:val="24"/>
        </w:rPr>
      </w:pPr>
      <w:bookmarkStart w:id="114" w:name="_Toc510187106"/>
      <w:bookmarkStart w:id="115" w:name="_Toc53991863"/>
      <w:r>
        <w:rPr>
          <w:rFonts w:hint="eastAsia" w:ascii="宋体" w:hAnsi="宋体"/>
          <w:color w:val="0D0D0D"/>
          <w:sz w:val="24"/>
        </w:rPr>
        <w:t>二</w:t>
      </w:r>
      <w:r>
        <w:rPr>
          <w:rFonts w:ascii="宋体" w:hAnsi="宋体"/>
          <w:color w:val="0D0D0D"/>
          <w:sz w:val="24"/>
        </w:rPr>
        <w:t>、法定代表人资格证明书</w:t>
      </w:r>
      <w:bookmarkEnd w:id="114"/>
      <w:bookmarkEnd w:id="115"/>
      <w:r>
        <w:rPr>
          <w:rFonts w:ascii="宋体" w:hAnsi="宋体"/>
          <w:color w:val="0D0D0D"/>
          <w:sz w:val="24"/>
        </w:rPr>
        <w:t>（加盖公章）</w:t>
      </w:r>
    </w:p>
    <w:p>
      <w:pPr>
        <w:spacing w:line="360" w:lineRule="auto"/>
        <w:ind w:firstLine="5651"/>
        <w:rPr>
          <w:rFonts w:eastAsia="华文中宋"/>
          <w:color w:val="0D0D0D"/>
          <w:sz w:val="24"/>
        </w:rPr>
      </w:pPr>
    </w:p>
    <w:p>
      <w:pPr>
        <w:pStyle w:val="25"/>
        <w:spacing w:after="120" w:afterLines="50" w:line="360" w:lineRule="auto"/>
        <w:jc w:val="center"/>
        <w:rPr>
          <w:rFonts w:ascii="Times New Roman" w:hAnsi="Times New Roman" w:eastAsia="华文细黑"/>
          <w:color w:val="0D0D0D"/>
          <w:sz w:val="44"/>
        </w:rPr>
      </w:pPr>
    </w:p>
    <w:p>
      <w:pPr>
        <w:pStyle w:val="25"/>
        <w:spacing w:after="120" w:afterLines="50" w:line="360" w:lineRule="auto"/>
        <w:jc w:val="center"/>
        <w:rPr>
          <w:rFonts w:ascii="Times New Roman" w:hAnsi="Times New Roman"/>
          <w:color w:val="0D0D0D"/>
          <w:sz w:val="44"/>
        </w:rPr>
      </w:pPr>
      <w:r>
        <w:rPr>
          <w:rFonts w:ascii="Times New Roman" w:hAnsi="Times New Roman"/>
          <w:color w:val="0D0D0D"/>
          <w:sz w:val="44"/>
        </w:rPr>
        <w:t>法定代表人资格证明书</w:t>
      </w:r>
    </w:p>
    <w:p>
      <w:pPr>
        <w:pStyle w:val="25"/>
        <w:spacing w:line="360" w:lineRule="auto"/>
        <w:ind w:firstLine="480" w:firstLineChars="200"/>
        <w:rPr>
          <w:rFonts w:ascii="Times New Roman" w:hAnsi="Times New Roman"/>
          <w:color w:val="0D0D0D"/>
          <w:sz w:val="24"/>
          <w:szCs w:val="24"/>
        </w:rPr>
      </w:pPr>
    </w:p>
    <w:p>
      <w:pPr>
        <w:pStyle w:val="25"/>
        <w:spacing w:line="360" w:lineRule="auto"/>
        <w:ind w:left="279" w:leftChars="133"/>
        <w:rPr>
          <w:rFonts w:ascii="Times New Roman" w:hAnsi="Times New Roman"/>
          <w:color w:val="0D0D0D"/>
          <w:sz w:val="24"/>
          <w:szCs w:val="24"/>
        </w:rPr>
      </w:pPr>
    </w:p>
    <w:p>
      <w:pPr>
        <w:pStyle w:val="25"/>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单位名称：</w:t>
      </w:r>
      <w:r>
        <w:rPr>
          <w:rFonts w:hint="eastAsia" w:ascii="Times New Roman" w:hAnsi="Times New Roman"/>
          <w:color w:val="0D0D0D"/>
          <w:sz w:val="24"/>
          <w:szCs w:val="24"/>
          <w:u w:val="single"/>
        </w:rPr>
        <w:t xml:space="preserve">                                                          </w:t>
      </w:r>
    </w:p>
    <w:p>
      <w:pPr>
        <w:pStyle w:val="25"/>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地</w:t>
      </w:r>
      <w:r>
        <w:rPr>
          <w:rFonts w:hint="eastAsia" w:ascii="Times New Roman" w:hAnsi="Times New Roman"/>
          <w:color w:val="0D0D0D"/>
          <w:sz w:val="24"/>
          <w:szCs w:val="24"/>
        </w:rPr>
        <w:t xml:space="preserve">    </w:t>
      </w:r>
      <w:r>
        <w:rPr>
          <w:rFonts w:ascii="Times New Roman" w:hAnsi="Times New Roman"/>
          <w:color w:val="0D0D0D"/>
          <w:sz w:val="24"/>
          <w:szCs w:val="24"/>
        </w:rPr>
        <w:t>址：</w:t>
      </w:r>
      <w:r>
        <w:rPr>
          <w:rFonts w:hint="eastAsia" w:ascii="Times New Roman" w:hAnsi="Times New Roman"/>
          <w:color w:val="0D0D0D"/>
          <w:sz w:val="24"/>
          <w:szCs w:val="24"/>
          <w:u w:val="single"/>
        </w:rPr>
        <w:t xml:space="preserve">                                                          </w:t>
      </w:r>
    </w:p>
    <w:p>
      <w:pPr>
        <w:pStyle w:val="25"/>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姓</w:t>
      </w:r>
      <w:r>
        <w:rPr>
          <w:rFonts w:hint="eastAsia" w:ascii="Times New Roman" w:hAnsi="Times New Roman"/>
          <w:color w:val="0D0D0D"/>
          <w:sz w:val="24"/>
          <w:szCs w:val="24"/>
        </w:rPr>
        <w:t xml:space="preserve">    </w:t>
      </w:r>
      <w:r>
        <w:rPr>
          <w:rFonts w:ascii="Times New Roman" w:hAnsi="Times New Roman"/>
          <w:color w:val="0D0D0D"/>
          <w:sz w:val="24"/>
          <w:szCs w:val="24"/>
        </w:rPr>
        <w:t>名：</w:t>
      </w:r>
      <w:r>
        <w:rPr>
          <w:rFonts w:hint="eastAsia" w:ascii="Times New Roman" w:hAnsi="Times New Roman"/>
          <w:color w:val="0D0D0D"/>
          <w:sz w:val="24"/>
          <w:szCs w:val="24"/>
          <w:u w:val="single"/>
        </w:rPr>
        <w:t xml:space="preserve">                      </w:t>
      </w:r>
      <w:r>
        <w:rPr>
          <w:rFonts w:hint="eastAsia" w:ascii="Times New Roman" w:hAnsi="Times New Roman"/>
          <w:color w:val="0D0D0D"/>
          <w:sz w:val="24"/>
          <w:szCs w:val="24"/>
        </w:rPr>
        <w:t xml:space="preserve">   </w:t>
      </w:r>
      <w:r>
        <w:rPr>
          <w:rFonts w:ascii="Times New Roman" w:hAnsi="Times New Roman"/>
          <w:color w:val="0D0D0D"/>
          <w:sz w:val="24"/>
          <w:szCs w:val="24"/>
        </w:rPr>
        <w:t>性</w:t>
      </w:r>
      <w:r>
        <w:rPr>
          <w:rFonts w:hint="eastAsia" w:ascii="Times New Roman" w:hAnsi="Times New Roman"/>
          <w:color w:val="0D0D0D"/>
          <w:sz w:val="24"/>
          <w:szCs w:val="24"/>
        </w:rPr>
        <w:t xml:space="preserve">    </w:t>
      </w:r>
      <w:r>
        <w:rPr>
          <w:rFonts w:ascii="Times New Roman" w:hAnsi="Times New Roman"/>
          <w:color w:val="0D0D0D"/>
          <w:sz w:val="24"/>
          <w:szCs w:val="24"/>
        </w:rPr>
        <w:t>别：</w:t>
      </w:r>
      <w:r>
        <w:rPr>
          <w:rFonts w:hint="eastAsia" w:ascii="Times New Roman" w:hAnsi="Times New Roman"/>
          <w:color w:val="0D0D0D"/>
          <w:sz w:val="24"/>
          <w:szCs w:val="24"/>
          <w:u w:val="single"/>
        </w:rPr>
        <w:t xml:space="preserve">                       </w:t>
      </w:r>
    </w:p>
    <w:p>
      <w:pPr>
        <w:pStyle w:val="25"/>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年</w:t>
      </w:r>
      <w:r>
        <w:rPr>
          <w:rFonts w:hint="eastAsia" w:ascii="Times New Roman" w:hAnsi="Times New Roman"/>
          <w:color w:val="0D0D0D"/>
          <w:sz w:val="24"/>
          <w:szCs w:val="24"/>
        </w:rPr>
        <w:t xml:space="preserve">    </w:t>
      </w:r>
      <w:r>
        <w:rPr>
          <w:rFonts w:ascii="Times New Roman" w:hAnsi="Times New Roman"/>
          <w:color w:val="0D0D0D"/>
          <w:sz w:val="24"/>
          <w:szCs w:val="24"/>
        </w:rPr>
        <w:t>龄：</w:t>
      </w:r>
      <w:r>
        <w:rPr>
          <w:rFonts w:hint="eastAsia" w:ascii="Times New Roman" w:hAnsi="Times New Roman"/>
          <w:color w:val="0D0D0D"/>
          <w:sz w:val="24"/>
          <w:szCs w:val="24"/>
          <w:u w:val="single"/>
        </w:rPr>
        <w:t xml:space="preserve">                      </w:t>
      </w:r>
      <w:r>
        <w:rPr>
          <w:rFonts w:hint="eastAsia" w:ascii="Times New Roman" w:hAnsi="Times New Roman"/>
          <w:color w:val="0D0D0D"/>
          <w:sz w:val="24"/>
          <w:szCs w:val="24"/>
        </w:rPr>
        <w:t xml:space="preserve">   </w:t>
      </w:r>
      <w:r>
        <w:rPr>
          <w:rFonts w:ascii="Times New Roman" w:hAnsi="Times New Roman"/>
          <w:color w:val="0D0D0D"/>
          <w:sz w:val="24"/>
          <w:szCs w:val="24"/>
        </w:rPr>
        <w:t>职</w:t>
      </w:r>
      <w:r>
        <w:rPr>
          <w:rFonts w:hint="eastAsia" w:ascii="Times New Roman" w:hAnsi="Times New Roman"/>
          <w:color w:val="0D0D0D"/>
          <w:sz w:val="24"/>
          <w:szCs w:val="24"/>
        </w:rPr>
        <w:t xml:space="preserve">    </w:t>
      </w:r>
      <w:r>
        <w:rPr>
          <w:rFonts w:ascii="Times New Roman" w:hAnsi="Times New Roman"/>
          <w:color w:val="0D0D0D"/>
          <w:sz w:val="24"/>
          <w:szCs w:val="24"/>
        </w:rPr>
        <w:t>务：</w:t>
      </w:r>
      <w:r>
        <w:rPr>
          <w:rFonts w:hint="eastAsia" w:ascii="Times New Roman" w:hAnsi="Times New Roman"/>
          <w:color w:val="0D0D0D"/>
          <w:sz w:val="24"/>
          <w:szCs w:val="24"/>
          <w:u w:val="single"/>
        </w:rPr>
        <w:t xml:space="preserve">                       </w:t>
      </w:r>
    </w:p>
    <w:p>
      <w:pPr>
        <w:pStyle w:val="25"/>
        <w:spacing w:line="360" w:lineRule="auto"/>
        <w:ind w:left="279" w:leftChars="133" w:firstLine="120" w:firstLineChars="50"/>
        <w:rPr>
          <w:rFonts w:ascii="Times New Roman" w:hAnsi="Times New Roman"/>
          <w:color w:val="0D0D0D"/>
          <w:sz w:val="24"/>
          <w:szCs w:val="24"/>
        </w:rPr>
      </w:pPr>
      <w:r>
        <w:rPr>
          <w:rFonts w:ascii="Times New Roman" w:hAnsi="Times New Roman"/>
          <w:color w:val="0D0D0D"/>
          <w:sz w:val="24"/>
          <w:szCs w:val="24"/>
        </w:rPr>
        <w:t>系</w:t>
      </w:r>
      <w:r>
        <w:rPr>
          <w:rFonts w:hint="eastAsia" w:ascii="Times New Roman" w:hAnsi="Times New Roman"/>
          <w:color w:val="0D0D0D"/>
          <w:sz w:val="24"/>
          <w:szCs w:val="24"/>
          <w:u w:val="single"/>
        </w:rPr>
        <w:t xml:space="preserve">                                                     </w:t>
      </w:r>
      <w:r>
        <w:rPr>
          <w:rFonts w:ascii="Times New Roman" w:hAnsi="Times New Roman"/>
          <w:color w:val="0D0D0D"/>
          <w:sz w:val="24"/>
          <w:szCs w:val="24"/>
        </w:rPr>
        <w:t>的法定代表人。</w:t>
      </w:r>
    </w:p>
    <w:p>
      <w:pPr>
        <w:pStyle w:val="25"/>
        <w:spacing w:line="360" w:lineRule="auto"/>
        <w:ind w:left="359" w:leftChars="171"/>
        <w:rPr>
          <w:rFonts w:ascii="Times New Roman" w:hAnsi="Times New Roman"/>
          <w:color w:val="0D0D0D"/>
          <w:sz w:val="24"/>
          <w:szCs w:val="24"/>
        </w:rPr>
      </w:pPr>
    </w:p>
    <w:p>
      <w:pPr>
        <w:pStyle w:val="25"/>
        <w:spacing w:line="360" w:lineRule="auto"/>
        <w:ind w:left="359" w:leftChars="171" w:firstLine="120" w:firstLineChars="50"/>
        <w:rPr>
          <w:rFonts w:ascii="Times New Roman" w:hAnsi="Times New Roman"/>
          <w:color w:val="0D0D0D"/>
          <w:sz w:val="24"/>
          <w:szCs w:val="24"/>
        </w:rPr>
      </w:pPr>
      <w:r>
        <w:rPr>
          <w:rFonts w:ascii="Times New Roman" w:hAnsi="Times New Roman"/>
          <w:color w:val="0D0D0D"/>
          <w:sz w:val="24"/>
          <w:szCs w:val="24"/>
        </w:rPr>
        <w:t>特此证明。</w:t>
      </w:r>
    </w:p>
    <w:p>
      <w:pPr>
        <w:pStyle w:val="25"/>
        <w:spacing w:line="360" w:lineRule="auto"/>
        <w:ind w:left="133" w:firstLine="1260" w:firstLineChars="525"/>
        <w:rPr>
          <w:rFonts w:ascii="Times New Roman" w:hAnsi="Times New Roman"/>
          <w:color w:val="0D0D0D"/>
          <w:sz w:val="24"/>
          <w:szCs w:val="24"/>
        </w:rPr>
      </w:pPr>
    </w:p>
    <w:p>
      <w:pPr>
        <w:pStyle w:val="25"/>
        <w:spacing w:line="360" w:lineRule="auto"/>
        <w:ind w:left="133" w:firstLine="1260" w:firstLineChars="525"/>
        <w:rPr>
          <w:rFonts w:ascii="Times New Roman" w:hAnsi="Times New Roman"/>
          <w:color w:val="0D0D0D"/>
          <w:sz w:val="24"/>
          <w:szCs w:val="24"/>
        </w:rPr>
      </w:pPr>
    </w:p>
    <w:p>
      <w:pPr>
        <w:pStyle w:val="25"/>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参选人（盖章）：</w:t>
      </w:r>
      <w:r>
        <w:rPr>
          <w:rFonts w:ascii="Times New Roman" w:hAnsi="Times New Roman"/>
          <w:color w:val="0D0D0D"/>
          <w:sz w:val="24"/>
          <w:szCs w:val="24"/>
          <w:u w:val="single"/>
        </w:rPr>
        <w:t xml:space="preserve">        [参选人名称]                </w:t>
      </w:r>
    </w:p>
    <w:p>
      <w:pPr>
        <w:pStyle w:val="25"/>
        <w:spacing w:line="360" w:lineRule="auto"/>
        <w:ind w:left="133" w:firstLine="1260" w:firstLineChars="525"/>
        <w:rPr>
          <w:rFonts w:ascii="Times New Roman" w:hAnsi="Times New Roman"/>
          <w:color w:val="0D0D0D"/>
          <w:sz w:val="24"/>
          <w:szCs w:val="24"/>
          <w:u w:val="single"/>
        </w:rPr>
      </w:pPr>
    </w:p>
    <w:p>
      <w:pPr>
        <w:spacing w:line="360" w:lineRule="auto"/>
        <w:ind w:firstLine="480" w:firstLineChars="200"/>
        <w:rPr>
          <w:color w:val="0D0D0D"/>
          <w:sz w:val="24"/>
          <w:szCs w:val="24"/>
        </w:rPr>
      </w:pPr>
      <w:r>
        <w:rPr>
          <w:color w:val="0D0D0D"/>
          <w:sz w:val="24"/>
          <w:szCs w:val="24"/>
        </w:rPr>
        <w:t>日期：</w:t>
      </w:r>
      <w:r>
        <w:rPr>
          <w:rFonts w:hint="eastAsia"/>
          <w:color w:val="0D0D0D"/>
          <w:sz w:val="24"/>
          <w:szCs w:val="24"/>
          <w:u w:val="single"/>
        </w:rPr>
        <w:t xml:space="preserve">        </w:t>
      </w:r>
      <w:r>
        <w:rPr>
          <w:color w:val="0D0D0D"/>
          <w:sz w:val="24"/>
          <w:szCs w:val="24"/>
        </w:rPr>
        <w:t>年</w:t>
      </w:r>
      <w:r>
        <w:rPr>
          <w:rFonts w:hint="eastAsia"/>
          <w:color w:val="0D0D0D"/>
          <w:sz w:val="24"/>
          <w:szCs w:val="24"/>
          <w:u w:val="single"/>
        </w:rPr>
        <w:t xml:space="preserve">    </w:t>
      </w:r>
      <w:r>
        <w:rPr>
          <w:color w:val="0D0D0D"/>
          <w:sz w:val="24"/>
          <w:szCs w:val="24"/>
        </w:rPr>
        <w:t>月</w:t>
      </w:r>
      <w:r>
        <w:rPr>
          <w:rFonts w:hint="eastAsia"/>
          <w:color w:val="0D0D0D"/>
          <w:sz w:val="24"/>
          <w:szCs w:val="24"/>
          <w:u w:val="single"/>
        </w:rPr>
        <w:t xml:space="preserve">    </w:t>
      </w:r>
      <w:r>
        <w:rPr>
          <w:color w:val="0D0D0D"/>
          <w:sz w:val="24"/>
          <w:szCs w:val="24"/>
        </w:rPr>
        <w:t>日</w:t>
      </w:r>
    </w:p>
    <w:p>
      <w:pPr>
        <w:widowControl/>
        <w:spacing w:line="360" w:lineRule="auto"/>
        <w:jc w:val="left"/>
        <w:rPr>
          <w:color w:val="0D0D0D"/>
          <w:sz w:val="24"/>
          <w:szCs w:val="24"/>
        </w:rPr>
      </w:pPr>
      <w:r>
        <w:rPr>
          <w:color w:val="0D0D0D"/>
          <w:sz w:val="24"/>
          <w:szCs w:val="24"/>
        </w:rPr>
        <w:br w:type="page"/>
      </w:r>
    </w:p>
    <w:p>
      <w:pPr>
        <w:pStyle w:val="7"/>
        <w:tabs>
          <w:tab w:val="left" w:pos="0"/>
          <w:tab w:val="clear" w:pos="1260"/>
        </w:tabs>
        <w:spacing w:line="360" w:lineRule="auto"/>
        <w:ind w:left="0" w:firstLine="0"/>
        <w:rPr>
          <w:rFonts w:ascii="宋体" w:hAnsi="宋体"/>
          <w:color w:val="0D0D0D"/>
          <w:sz w:val="24"/>
        </w:rPr>
      </w:pPr>
      <w:bookmarkStart w:id="116" w:name="_Toc510187107"/>
      <w:bookmarkStart w:id="117" w:name="_Toc53991864"/>
      <w:r>
        <w:rPr>
          <w:rFonts w:hint="eastAsia" w:ascii="宋体" w:hAnsi="宋体"/>
          <w:color w:val="0D0D0D"/>
          <w:sz w:val="24"/>
        </w:rPr>
        <w:t>三、法定代表人身份证复印件</w:t>
      </w:r>
      <w:bookmarkEnd w:id="116"/>
      <w:bookmarkEnd w:id="117"/>
      <w:r>
        <w:rPr>
          <w:rFonts w:hint="eastAsia" w:ascii="宋体" w:hAnsi="宋体"/>
          <w:color w:val="0D0D0D"/>
          <w:sz w:val="24"/>
        </w:rPr>
        <w:t>（盖章）</w:t>
      </w:r>
    </w:p>
    <w:p>
      <w:pPr>
        <w:widowControl/>
        <w:spacing w:line="360" w:lineRule="auto"/>
        <w:jc w:val="left"/>
        <w:rPr>
          <w:rFonts w:ascii="宋体" w:hAnsi="宋体"/>
          <w:bCs/>
          <w:color w:val="0D0D0D"/>
          <w:sz w:val="24"/>
          <w:szCs w:val="24"/>
        </w:rPr>
      </w:pPr>
    </w:p>
    <w:p>
      <w:pPr>
        <w:widowControl/>
        <w:spacing w:line="360" w:lineRule="auto"/>
        <w:jc w:val="left"/>
        <w:rPr>
          <w:rFonts w:ascii="宋体" w:hAnsi="宋体"/>
          <w:bCs/>
          <w:color w:val="0D0D0D"/>
          <w:sz w:val="24"/>
          <w:szCs w:val="24"/>
        </w:rPr>
      </w:pPr>
      <w:r>
        <w:rPr>
          <w:rFonts w:ascii="宋体" w:hAnsi="宋体"/>
          <w:bCs/>
          <w:color w:val="0D0D0D"/>
          <w:sz w:val="24"/>
          <w:szCs w:val="24"/>
        </w:rPr>
        <w:br w:type="page"/>
      </w:r>
    </w:p>
    <w:p>
      <w:pPr>
        <w:pStyle w:val="7"/>
        <w:tabs>
          <w:tab w:val="left" w:pos="0"/>
          <w:tab w:val="clear" w:pos="1260"/>
        </w:tabs>
        <w:spacing w:line="360" w:lineRule="auto"/>
        <w:ind w:left="0" w:firstLine="0"/>
        <w:rPr>
          <w:rFonts w:ascii="宋体" w:hAnsi="宋体"/>
          <w:color w:val="0D0D0D"/>
          <w:sz w:val="24"/>
        </w:rPr>
      </w:pPr>
      <w:bookmarkStart w:id="118" w:name="_Toc53991865"/>
      <w:bookmarkStart w:id="119" w:name="_Toc510187108"/>
      <w:r>
        <w:rPr>
          <w:rFonts w:hint="eastAsia" w:ascii="宋体" w:hAnsi="宋体"/>
          <w:color w:val="0D0D0D"/>
          <w:sz w:val="24"/>
        </w:rPr>
        <w:t>四、</w:t>
      </w:r>
      <w:r>
        <w:rPr>
          <w:rFonts w:ascii="宋体" w:hAnsi="宋体"/>
          <w:color w:val="0D0D0D"/>
          <w:sz w:val="24"/>
        </w:rPr>
        <w:t>法定代表人授权委托书</w:t>
      </w:r>
      <w:r>
        <w:rPr>
          <w:rFonts w:hint="eastAsia" w:ascii="宋体" w:hAnsi="宋体"/>
          <w:color w:val="0D0D0D"/>
          <w:sz w:val="24"/>
        </w:rPr>
        <w:t>（如有）</w:t>
      </w:r>
      <w:bookmarkEnd w:id="118"/>
      <w:bookmarkEnd w:id="119"/>
    </w:p>
    <w:p>
      <w:pPr>
        <w:spacing w:line="360" w:lineRule="auto"/>
        <w:jc w:val="center"/>
        <w:rPr>
          <w:b/>
          <w:color w:val="0D0D0D"/>
          <w:sz w:val="24"/>
          <w:szCs w:val="24"/>
        </w:rPr>
      </w:pPr>
    </w:p>
    <w:p>
      <w:pPr>
        <w:spacing w:line="360" w:lineRule="auto"/>
        <w:jc w:val="center"/>
        <w:rPr>
          <w:b/>
          <w:color w:val="0D0D0D"/>
          <w:sz w:val="24"/>
          <w:szCs w:val="24"/>
        </w:rPr>
      </w:pPr>
    </w:p>
    <w:p>
      <w:pPr>
        <w:pStyle w:val="16"/>
        <w:spacing w:line="360" w:lineRule="auto"/>
        <w:rPr>
          <w:color w:val="0D0D0D"/>
        </w:rPr>
      </w:pPr>
    </w:p>
    <w:p>
      <w:pPr>
        <w:pStyle w:val="25"/>
        <w:spacing w:after="120" w:afterLines="50" w:line="360" w:lineRule="auto"/>
        <w:jc w:val="center"/>
        <w:rPr>
          <w:rFonts w:ascii="Times New Roman" w:hAnsi="Times New Roman"/>
          <w:color w:val="0D0D0D"/>
          <w:sz w:val="44"/>
        </w:rPr>
      </w:pPr>
      <w:r>
        <w:rPr>
          <w:rFonts w:ascii="Times New Roman" w:hAnsi="Times New Roman"/>
          <w:color w:val="0D0D0D"/>
          <w:sz w:val="44"/>
        </w:rPr>
        <w:t>法定代表人授</w:t>
      </w:r>
      <w:r>
        <w:rPr>
          <w:rFonts w:ascii="Times New Roman" w:hAnsi="Times New Roman"/>
          <w:color w:val="0D0D0D"/>
          <w:sz w:val="44"/>
          <w:szCs w:val="52"/>
        </w:rPr>
        <w:t>权</w:t>
      </w:r>
      <w:r>
        <w:rPr>
          <w:rFonts w:ascii="Times New Roman" w:hAnsi="Times New Roman"/>
          <w:color w:val="0D0D0D"/>
          <w:sz w:val="44"/>
        </w:rPr>
        <w:t>委托</w:t>
      </w:r>
      <w:r>
        <w:rPr>
          <w:rFonts w:ascii="Times New Roman" w:hAnsi="Times New Roman"/>
          <w:color w:val="0D0D0D"/>
          <w:sz w:val="44"/>
          <w:szCs w:val="52"/>
        </w:rPr>
        <w:t>书</w:t>
      </w:r>
    </w:p>
    <w:p>
      <w:pPr>
        <w:pStyle w:val="25"/>
        <w:spacing w:after="120" w:afterLines="50" w:line="360" w:lineRule="auto"/>
        <w:jc w:val="center"/>
        <w:rPr>
          <w:rFonts w:ascii="Times New Roman" w:hAnsi="Times New Roman" w:eastAsia="华文细黑"/>
          <w:color w:val="0D0D0D"/>
          <w:sz w:val="44"/>
        </w:rPr>
      </w:pPr>
    </w:p>
    <w:p>
      <w:pPr>
        <w:pStyle w:val="25"/>
        <w:snapToGrid w:val="0"/>
        <w:spacing w:line="360" w:lineRule="auto"/>
        <w:ind w:firstLine="480" w:firstLineChars="200"/>
        <w:jc w:val="left"/>
        <w:rPr>
          <w:rFonts w:ascii="Times New Roman" w:hAnsi="Times New Roman"/>
          <w:color w:val="0D0D0D"/>
          <w:sz w:val="24"/>
          <w:szCs w:val="24"/>
        </w:rPr>
      </w:pPr>
      <w:r>
        <w:rPr>
          <w:rFonts w:ascii="Times New Roman" w:hAnsi="Times New Roman"/>
          <w:color w:val="0D0D0D"/>
          <w:sz w:val="24"/>
          <w:szCs w:val="24"/>
        </w:rPr>
        <w:t>本授权委托书声明：我</w:t>
      </w:r>
      <w:r>
        <w:rPr>
          <w:rFonts w:ascii="Times New Roman" w:hAnsi="Times New Roman"/>
          <w:color w:val="0D0D0D"/>
          <w:sz w:val="24"/>
          <w:szCs w:val="24"/>
          <w:u w:val="single"/>
        </w:rPr>
        <w:t xml:space="preserve">       [姓名]     </w:t>
      </w:r>
      <w:r>
        <w:rPr>
          <w:rFonts w:ascii="Times New Roman" w:hAnsi="Times New Roman"/>
          <w:color w:val="0D0D0D"/>
          <w:sz w:val="24"/>
          <w:szCs w:val="24"/>
        </w:rPr>
        <w:t>系</w:t>
      </w:r>
      <w:r>
        <w:rPr>
          <w:rFonts w:ascii="Times New Roman" w:hAnsi="Times New Roman"/>
          <w:color w:val="0D0D0D"/>
          <w:sz w:val="24"/>
          <w:szCs w:val="24"/>
          <w:u w:val="single"/>
        </w:rPr>
        <w:t xml:space="preserve">          [参选人名称]           </w:t>
      </w:r>
      <w:r>
        <w:rPr>
          <w:rFonts w:ascii="Times New Roman" w:hAnsi="Times New Roman"/>
          <w:color w:val="0D0D0D"/>
          <w:sz w:val="24"/>
          <w:szCs w:val="24"/>
        </w:rPr>
        <w:t>的法定代表人，现授权委托</w:t>
      </w:r>
      <w:r>
        <w:rPr>
          <w:rFonts w:ascii="Times New Roman" w:hAnsi="Times New Roman"/>
          <w:color w:val="0D0D0D"/>
          <w:sz w:val="24"/>
          <w:szCs w:val="24"/>
          <w:u w:val="single"/>
        </w:rPr>
        <w:t xml:space="preserve">      </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 xml:space="preserve">    [单位名称]              </w:t>
      </w:r>
      <w:r>
        <w:rPr>
          <w:rFonts w:ascii="Times New Roman" w:hAnsi="Times New Roman"/>
          <w:color w:val="0D0D0D"/>
          <w:sz w:val="24"/>
          <w:szCs w:val="24"/>
        </w:rPr>
        <w:t>的</w:t>
      </w:r>
      <w:r>
        <w:rPr>
          <w:rFonts w:ascii="Times New Roman" w:hAnsi="Times New Roman"/>
          <w:color w:val="0D0D0D"/>
          <w:sz w:val="24"/>
          <w:szCs w:val="24"/>
          <w:u w:val="single"/>
        </w:rPr>
        <w:t xml:space="preserve">  </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 xml:space="preserve">  [姓名]       </w:t>
      </w:r>
      <w:r>
        <w:rPr>
          <w:rFonts w:ascii="Times New Roman" w:hAnsi="Times New Roman"/>
          <w:color w:val="0D0D0D"/>
          <w:sz w:val="24"/>
          <w:szCs w:val="24"/>
        </w:rPr>
        <w:t>全权代表我公司参选项目、代表我公司签署参选文件的法定代表人的授权委托代理人，我承认代理人全权代表我所签署的参选文件的内容、我承认代理人全权代表我司的参选任何行为。</w:t>
      </w:r>
    </w:p>
    <w:p>
      <w:pPr>
        <w:pStyle w:val="25"/>
        <w:snapToGrid w:val="0"/>
        <w:spacing w:line="360" w:lineRule="auto"/>
        <w:ind w:firstLine="480" w:firstLineChars="200"/>
        <w:jc w:val="left"/>
        <w:rPr>
          <w:rFonts w:ascii="Times New Roman" w:hAnsi="Times New Roman"/>
          <w:color w:val="0D0D0D"/>
          <w:sz w:val="24"/>
          <w:szCs w:val="24"/>
        </w:rPr>
      </w:pPr>
      <w:r>
        <w:rPr>
          <w:rFonts w:ascii="Times New Roman" w:hAnsi="Times New Roman"/>
          <w:color w:val="0D0D0D"/>
          <w:sz w:val="24"/>
          <w:szCs w:val="24"/>
        </w:rPr>
        <w:t>授权有效期由</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年</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月</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日</w:t>
      </w:r>
      <w:r>
        <w:rPr>
          <w:rFonts w:ascii="Times New Roman" w:hAnsi="Times New Roman"/>
          <w:color w:val="0D0D0D"/>
          <w:sz w:val="24"/>
          <w:szCs w:val="24"/>
        </w:rPr>
        <w:t>至</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年</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月</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日</w:t>
      </w:r>
      <w:r>
        <w:rPr>
          <w:rFonts w:ascii="Times New Roman" w:hAnsi="Times New Roman"/>
          <w:color w:val="0D0D0D"/>
          <w:sz w:val="24"/>
          <w:szCs w:val="24"/>
        </w:rPr>
        <w:t>。</w:t>
      </w:r>
    </w:p>
    <w:p>
      <w:pPr>
        <w:pStyle w:val="25"/>
        <w:snapToGrid w:val="0"/>
        <w:spacing w:line="360" w:lineRule="auto"/>
        <w:ind w:firstLine="480" w:firstLineChars="200"/>
        <w:jc w:val="left"/>
        <w:rPr>
          <w:rFonts w:ascii="Times New Roman" w:hAnsi="Times New Roman"/>
          <w:color w:val="0D0D0D"/>
          <w:sz w:val="24"/>
          <w:szCs w:val="24"/>
        </w:rPr>
      </w:pPr>
      <w:r>
        <w:rPr>
          <w:rFonts w:ascii="Times New Roman" w:hAnsi="Times New Roman"/>
          <w:color w:val="0D0D0D"/>
          <w:sz w:val="24"/>
          <w:szCs w:val="24"/>
        </w:rPr>
        <w:t>代理人无转委托权，特此委托。</w:t>
      </w:r>
    </w:p>
    <w:p>
      <w:pPr>
        <w:pStyle w:val="25"/>
        <w:spacing w:line="360" w:lineRule="auto"/>
        <w:ind w:left="178" w:leftChars="85" w:firstLine="480" w:firstLineChars="200"/>
        <w:rPr>
          <w:rFonts w:ascii="Times New Roman" w:hAnsi="Times New Roman"/>
          <w:color w:val="0D0D0D"/>
          <w:sz w:val="24"/>
          <w:szCs w:val="24"/>
        </w:rPr>
      </w:pPr>
    </w:p>
    <w:p>
      <w:pPr>
        <w:pStyle w:val="25"/>
        <w:spacing w:line="360" w:lineRule="auto"/>
        <w:ind w:left="178" w:leftChars="85" w:firstLine="480" w:firstLineChars="200"/>
        <w:rPr>
          <w:rFonts w:ascii="Times New Roman" w:hAnsi="Times New Roman"/>
          <w:color w:val="0D0D0D"/>
          <w:sz w:val="24"/>
          <w:szCs w:val="24"/>
        </w:rPr>
      </w:pPr>
    </w:p>
    <w:p>
      <w:pPr>
        <w:pStyle w:val="25"/>
        <w:spacing w:line="360" w:lineRule="auto"/>
        <w:ind w:left="178" w:leftChars="85" w:firstLine="480" w:firstLineChars="200"/>
        <w:rPr>
          <w:rFonts w:ascii="Times New Roman" w:hAnsi="Times New Roman"/>
          <w:color w:val="0D0D0D"/>
          <w:sz w:val="24"/>
          <w:szCs w:val="24"/>
        </w:rPr>
      </w:pPr>
    </w:p>
    <w:p>
      <w:pPr>
        <w:pStyle w:val="25"/>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代理人：</w:t>
      </w:r>
      <w:r>
        <w:rPr>
          <w:rFonts w:hint="eastAsia" w:ascii="Times New Roman" w:hAnsi="Times New Roman"/>
          <w:color w:val="0D0D0D"/>
          <w:sz w:val="24"/>
          <w:szCs w:val="24"/>
          <w:u w:val="single"/>
        </w:rPr>
        <w:t xml:space="preserve">                </w:t>
      </w:r>
      <w:r>
        <w:rPr>
          <w:rFonts w:ascii="Times New Roman" w:hAnsi="Times New Roman"/>
          <w:color w:val="0D0D0D"/>
          <w:sz w:val="24"/>
          <w:szCs w:val="24"/>
        </w:rPr>
        <w:t>性别：</w:t>
      </w:r>
      <w:r>
        <w:rPr>
          <w:rFonts w:hint="eastAsia" w:ascii="Times New Roman" w:hAnsi="Times New Roman"/>
          <w:color w:val="0D0D0D"/>
          <w:sz w:val="24"/>
          <w:szCs w:val="24"/>
          <w:u w:val="single"/>
        </w:rPr>
        <w:t xml:space="preserve">        </w:t>
      </w:r>
      <w:r>
        <w:rPr>
          <w:rFonts w:ascii="Times New Roman" w:hAnsi="Times New Roman"/>
          <w:color w:val="0D0D0D"/>
          <w:sz w:val="24"/>
          <w:szCs w:val="24"/>
        </w:rPr>
        <w:t>年龄：</w:t>
      </w:r>
      <w:r>
        <w:rPr>
          <w:rFonts w:hint="eastAsia" w:ascii="Times New Roman" w:hAnsi="Times New Roman"/>
          <w:color w:val="0D0D0D"/>
          <w:sz w:val="24"/>
          <w:szCs w:val="24"/>
          <w:u w:val="single"/>
        </w:rPr>
        <w:t xml:space="preserve">        </w:t>
      </w:r>
    </w:p>
    <w:p>
      <w:pPr>
        <w:pStyle w:val="25"/>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身份证号码：</w:t>
      </w:r>
      <w:r>
        <w:rPr>
          <w:rFonts w:hint="eastAsia" w:ascii="Times New Roman" w:hAnsi="Times New Roman"/>
          <w:color w:val="0D0D0D"/>
          <w:sz w:val="24"/>
          <w:szCs w:val="24"/>
          <w:u w:val="single"/>
        </w:rPr>
        <w:t xml:space="preserve">                          </w:t>
      </w:r>
      <w:r>
        <w:rPr>
          <w:rFonts w:ascii="Times New Roman" w:hAnsi="Times New Roman"/>
          <w:color w:val="0D0D0D"/>
          <w:sz w:val="24"/>
          <w:szCs w:val="24"/>
        </w:rPr>
        <w:t>职务：</w:t>
      </w:r>
      <w:r>
        <w:rPr>
          <w:rFonts w:hint="eastAsia" w:ascii="Times New Roman" w:hAnsi="Times New Roman"/>
          <w:color w:val="0D0D0D"/>
          <w:sz w:val="24"/>
          <w:szCs w:val="24"/>
          <w:u w:val="single"/>
        </w:rPr>
        <w:t xml:space="preserve">        </w:t>
      </w:r>
    </w:p>
    <w:p>
      <w:pPr>
        <w:pStyle w:val="25"/>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参选人（盖章）：</w:t>
      </w:r>
      <w:r>
        <w:rPr>
          <w:rFonts w:ascii="Times New Roman" w:hAnsi="Times New Roman"/>
          <w:color w:val="0D0D0D"/>
          <w:sz w:val="24"/>
          <w:szCs w:val="24"/>
          <w:u w:val="single"/>
        </w:rPr>
        <w:t xml:space="preserve">           [参选人名称]                         </w:t>
      </w:r>
    </w:p>
    <w:p>
      <w:pPr>
        <w:pStyle w:val="25"/>
        <w:spacing w:line="360" w:lineRule="auto"/>
        <w:ind w:firstLine="480" w:firstLineChars="200"/>
        <w:rPr>
          <w:rFonts w:ascii="Times New Roman" w:hAnsi="Times New Roman"/>
          <w:color w:val="0D0D0D"/>
          <w:sz w:val="24"/>
          <w:szCs w:val="24"/>
        </w:rPr>
      </w:pPr>
      <w:r>
        <w:rPr>
          <w:rFonts w:ascii="Times New Roman" w:hAnsi="Times New Roman"/>
          <w:color w:val="0D0D0D"/>
          <w:sz w:val="24"/>
          <w:szCs w:val="24"/>
        </w:rPr>
        <w:t>法定代表人（签字或盖章）：</w:t>
      </w:r>
    </w:p>
    <w:p>
      <w:pPr>
        <w:widowControl/>
        <w:spacing w:line="360" w:lineRule="auto"/>
        <w:ind w:firstLine="480" w:firstLineChars="200"/>
        <w:jc w:val="left"/>
        <w:rPr>
          <w:rFonts w:ascii="宋体" w:hAnsi="宋体"/>
          <w:bCs/>
          <w:color w:val="0D0D0D"/>
          <w:sz w:val="24"/>
          <w:szCs w:val="24"/>
        </w:rPr>
      </w:pPr>
      <w:r>
        <w:rPr>
          <w:color w:val="0D0D0D"/>
          <w:sz w:val="24"/>
          <w:szCs w:val="24"/>
        </w:rPr>
        <w:t>授权委托日期：</w:t>
      </w:r>
      <w:r>
        <w:rPr>
          <w:rFonts w:hint="eastAsia"/>
          <w:color w:val="0D0D0D"/>
          <w:sz w:val="24"/>
          <w:szCs w:val="24"/>
          <w:u w:val="single"/>
        </w:rPr>
        <w:t xml:space="preserve">        </w:t>
      </w:r>
      <w:r>
        <w:rPr>
          <w:color w:val="0D0D0D"/>
          <w:sz w:val="24"/>
          <w:szCs w:val="24"/>
          <w:u w:val="single"/>
        </w:rPr>
        <w:t>年</w:t>
      </w:r>
      <w:r>
        <w:rPr>
          <w:rFonts w:hint="eastAsia"/>
          <w:color w:val="0D0D0D"/>
          <w:sz w:val="24"/>
          <w:szCs w:val="24"/>
          <w:u w:val="single"/>
        </w:rPr>
        <w:t xml:space="preserve">    </w:t>
      </w:r>
      <w:r>
        <w:rPr>
          <w:color w:val="0D0D0D"/>
          <w:sz w:val="24"/>
          <w:szCs w:val="24"/>
          <w:u w:val="single"/>
        </w:rPr>
        <w:t>月</w:t>
      </w:r>
      <w:r>
        <w:rPr>
          <w:rFonts w:hint="eastAsia"/>
          <w:color w:val="0D0D0D"/>
          <w:sz w:val="24"/>
          <w:szCs w:val="24"/>
          <w:u w:val="single"/>
        </w:rPr>
        <w:t xml:space="preserve">    </w:t>
      </w:r>
      <w:r>
        <w:rPr>
          <w:color w:val="0D0D0D"/>
          <w:sz w:val="24"/>
          <w:szCs w:val="24"/>
          <w:u w:val="single"/>
        </w:rPr>
        <w:t>日</w:t>
      </w:r>
    </w:p>
    <w:p>
      <w:pPr>
        <w:widowControl/>
        <w:spacing w:line="360" w:lineRule="auto"/>
        <w:jc w:val="left"/>
        <w:rPr>
          <w:rFonts w:ascii="宋体" w:hAnsi="宋体"/>
          <w:bCs/>
          <w:color w:val="0D0D0D"/>
          <w:sz w:val="24"/>
          <w:szCs w:val="24"/>
        </w:rPr>
      </w:pPr>
    </w:p>
    <w:p>
      <w:pPr>
        <w:widowControl/>
        <w:spacing w:line="360" w:lineRule="auto"/>
        <w:jc w:val="left"/>
        <w:rPr>
          <w:rFonts w:ascii="宋体" w:hAnsi="宋体"/>
          <w:bCs/>
          <w:color w:val="0D0D0D"/>
          <w:sz w:val="24"/>
          <w:szCs w:val="24"/>
        </w:rPr>
      </w:pPr>
      <w:r>
        <w:rPr>
          <w:rFonts w:ascii="宋体" w:hAnsi="宋体"/>
          <w:bCs/>
          <w:color w:val="0D0D0D"/>
          <w:sz w:val="24"/>
          <w:szCs w:val="24"/>
        </w:rPr>
        <w:br w:type="page"/>
      </w:r>
    </w:p>
    <w:p>
      <w:pPr>
        <w:pStyle w:val="7"/>
        <w:tabs>
          <w:tab w:val="left" w:pos="0"/>
          <w:tab w:val="clear" w:pos="1260"/>
        </w:tabs>
        <w:spacing w:line="360" w:lineRule="auto"/>
        <w:ind w:left="0" w:firstLine="0"/>
        <w:rPr>
          <w:rFonts w:ascii="宋体" w:hAnsi="宋体"/>
          <w:bCs/>
          <w:color w:val="0D0D0D"/>
          <w:sz w:val="24"/>
          <w:szCs w:val="24"/>
        </w:rPr>
      </w:pPr>
      <w:bookmarkStart w:id="120" w:name="_Toc53991866"/>
      <w:bookmarkStart w:id="121" w:name="_Toc510187109"/>
      <w:r>
        <w:rPr>
          <w:rFonts w:hint="eastAsia" w:ascii="宋体" w:hAnsi="宋体"/>
          <w:color w:val="0D0D0D"/>
          <w:sz w:val="24"/>
        </w:rPr>
        <w:t>五、被授权人身份证复印件（如有）</w:t>
      </w:r>
      <w:bookmarkEnd w:id="120"/>
      <w:bookmarkEnd w:id="121"/>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ind w:firstLine="471" w:firstLineChars="196"/>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pStyle w:val="119"/>
        <w:spacing w:before="50" w:line="360" w:lineRule="auto"/>
        <w:rPr>
          <w:rFonts w:ascii="Times New Roman" w:cs="Times New Roman"/>
          <w:b/>
          <w:color w:val="0D0D0D"/>
          <w:szCs w:val="28"/>
        </w:rPr>
      </w:pPr>
    </w:p>
    <w:p>
      <w:pPr>
        <w:numPr>
          <w:ilvl w:val="0"/>
          <w:numId w:val="4"/>
        </w:numPr>
        <w:adjustRightInd w:val="0"/>
        <w:snapToGrid w:val="0"/>
        <w:spacing w:line="360" w:lineRule="auto"/>
        <w:ind w:firstLine="480" w:firstLineChars="200"/>
        <w:rPr>
          <w:rFonts w:ascii="宋体" w:hAnsi="宋体"/>
          <w:bCs/>
          <w:sz w:val="24"/>
        </w:rPr>
      </w:pPr>
      <w:r>
        <w:rPr>
          <w:rFonts w:hint="eastAsia" w:ascii="宋体" w:hAnsi="宋体"/>
          <w:bCs/>
          <w:sz w:val="24"/>
        </w:rPr>
        <w:t>资格审查所需证明材料</w:t>
      </w:r>
    </w:p>
    <w:p>
      <w:pPr>
        <w:pStyle w:val="119"/>
        <w:spacing w:before="50" w:line="360" w:lineRule="auto"/>
        <w:ind w:firstLine="720" w:firstLineChars="300"/>
        <w:rPr>
          <w:rFonts w:ascii="Times New Roman" w:cs="Times New Roman"/>
          <w:b/>
          <w:color w:val="0D0D0D"/>
          <w:szCs w:val="28"/>
        </w:rPr>
      </w:pPr>
      <w:r>
        <w:rPr>
          <w:rFonts w:hint="eastAsia" w:ascii="Times New Roman" w:cs="Times New Roman"/>
          <w:b/>
          <w:color w:val="0D0D0D"/>
          <w:szCs w:val="28"/>
        </w:rPr>
        <w:t>（清晰的复印件，加盖公章）</w:t>
      </w:r>
    </w:p>
    <w:p>
      <w:pPr>
        <w:widowControl/>
        <w:numPr>
          <w:ilvl w:val="255"/>
          <w:numId w:val="0"/>
        </w:numPr>
        <w:overflowPunct w:val="0"/>
        <w:autoSpaceDE w:val="0"/>
        <w:autoSpaceDN w:val="0"/>
        <w:adjustRightInd w:val="0"/>
        <w:spacing w:line="360" w:lineRule="auto"/>
        <w:ind w:firstLine="480" w:firstLineChars="200"/>
        <w:jc w:val="left"/>
        <w:textAlignment w:val="baseline"/>
        <w:rPr>
          <w:rFonts w:ascii="宋体" w:hAnsi="宋体"/>
          <w:sz w:val="24"/>
          <w:szCs w:val="24"/>
          <w:lang w:val="zh-CN"/>
        </w:rPr>
      </w:pPr>
      <w:r>
        <w:rPr>
          <w:rFonts w:hint="eastAsia" w:ascii="宋体" w:hAnsi="宋体"/>
          <w:sz w:val="24"/>
          <w:szCs w:val="24"/>
          <w:lang w:val="zh-CN"/>
        </w:rPr>
        <w:t>（</w:t>
      </w:r>
      <w:r>
        <w:rPr>
          <w:rFonts w:hint="eastAsia" w:ascii="宋体" w:hAnsi="宋体"/>
          <w:sz w:val="24"/>
          <w:szCs w:val="24"/>
        </w:rPr>
        <w:t>一</w:t>
      </w:r>
      <w:r>
        <w:rPr>
          <w:rFonts w:hint="eastAsia" w:ascii="宋体" w:hAnsi="宋体"/>
          <w:sz w:val="24"/>
          <w:szCs w:val="24"/>
          <w:lang w:val="zh-CN"/>
        </w:rPr>
        <w:t>）若参选人为税务师事务所，需提供注册税务师协会授予的AAA级以上（含AAA级）评级资格证书（20</w:t>
      </w:r>
      <w:r>
        <w:rPr>
          <w:rFonts w:hint="eastAsia" w:ascii="宋体" w:hAnsi="宋体"/>
          <w:sz w:val="24"/>
          <w:szCs w:val="24"/>
        </w:rPr>
        <w:t>20</w:t>
      </w:r>
      <w:r>
        <w:rPr>
          <w:rFonts w:hint="eastAsia" w:ascii="宋体" w:hAnsi="宋体"/>
          <w:sz w:val="24"/>
          <w:szCs w:val="24"/>
          <w:lang w:val="zh-CN"/>
        </w:rPr>
        <w:t>年1月1日后授予）（加盖公章）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二</w:t>
      </w: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四</w:t>
      </w:r>
      <w:r>
        <w:rPr>
          <w:rFonts w:hint="eastAsia" w:ascii="宋体" w:hAnsi="宋体" w:eastAsia="宋体" w:cs="Times New Roman"/>
          <w:color w:val="0D0D0D"/>
          <w:lang w:val="zh-CN"/>
        </w:rPr>
        <w:t>）若参选人为税务师事务所，2020-2022年无违规证明(以深圳市注册税务师协会出具的证明为准）。</w:t>
      </w:r>
    </w:p>
    <w:p>
      <w:pPr>
        <w:pStyle w:val="119"/>
        <w:numPr>
          <w:ilvl w:val="255"/>
          <w:numId w:val="0"/>
        </w:numPr>
        <w:spacing w:before="50" w:line="360" w:lineRule="auto"/>
        <w:ind w:firstLine="480" w:firstLineChars="200"/>
        <w:rPr>
          <w:rFonts w:ascii="Times New Roman" w:cs="Times New Roman"/>
          <w:b/>
          <w:color w:val="0D0D0D"/>
          <w:szCs w:val="28"/>
        </w:rPr>
      </w:pPr>
      <w:r>
        <w:rPr>
          <w:rFonts w:hint="eastAsia" w:ascii="宋体" w:hAnsi="宋体" w:eastAsia="宋体" w:cs="Times New Roman"/>
          <w:bCs/>
          <w:color w:val="auto"/>
          <w:kern w:val="2"/>
          <w:szCs w:val="20"/>
        </w:rPr>
        <w:t>七、技术标评审所需证明材料</w:t>
      </w:r>
      <w:r>
        <w:rPr>
          <w:rFonts w:hint="eastAsia" w:ascii="Times New Roman" w:cs="Times New Roman"/>
          <w:b/>
          <w:color w:val="0D0D0D"/>
          <w:szCs w:val="28"/>
        </w:rPr>
        <w:t>（清晰的复印件，加盖公章）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一</w:t>
      </w:r>
      <w:r>
        <w:rPr>
          <w:rFonts w:hint="eastAsia" w:ascii="宋体" w:hAnsi="宋体" w:eastAsia="宋体" w:cs="Times New Roman"/>
          <w:color w:val="0D0D0D"/>
          <w:lang w:val="zh-CN"/>
        </w:rPr>
        <w:t>）业绩证明材料：2019年11月1日以来(以合同签约日期为准)，具有税务咨询服务经验5个项目（须为落地深圳的房地产项目）以上。（证明材料需提供合同复印件，需包含合同关键页：服务内容、服务期限、盖章签署页等内容，均需盖公章）</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二</w:t>
      </w:r>
      <w:r>
        <w:rPr>
          <w:rFonts w:hint="eastAsia" w:ascii="宋体" w:hAnsi="宋体" w:eastAsia="宋体" w:cs="Times New Roman"/>
          <w:color w:val="0D0D0D"/>
          <w:lang w:val="zh-CN"/>
        </w:rPr>
        <w:t>）房地产企业税务筹划方案建议书及房地产业务税务咨询服务经验及优势自评价（需盖公章）</w:t>
      </w:r>
    </w:p>
    <w:p>
      <w:pPr>
        <w:pStyle w:val="119"/>
        <w:numPr>
          <w:ilvl w:val="255"/>
          <w:numId w:val="0"/>
        </w:numPr>
        <w:spacing w:before="50" w:line="360" w:lineRule="auto"/>
        <w:ind w:firstLine="420" w:firstLineChars="200"/>
        <w:rPr>
          <w:rFonts w:ascii="宋体" w:hAnsi="宋体" w:eastAsia="宋体" w:cs="Times New Roman"/>
          <w:color w:val="0D0D0D"/>
          <w:lang w:val="zh-CN"/>
        </w:rPr>
      </w:pPr>
      <w:r>
        <w:rPr>
          <w:rFonts w:hint="eastAsia" w:ascii="宋体" w:hAnsi="宋体" w:cs="宋体"/>
          <w:sz w:val="21"/>
          <w:szCs w:val="21"/>
          <w:lang w:val="zh-TW" w:eastAsia="zh-TW"/>
        </w:rPr>
        <w:t>介绍房地产税务筹划方案建议</w:t>
      </w:r>
      <w:r>
        <w:rPr>
          <w:rFonts w:hint="eastAsia" w:ascii="宋体" w:hAnsi="宋体" w:cs="宋体"/>
          <w:sz w:val="21"/>
          <w:szCs w:val="21"/>
        </w:rPr>
        <w:t>及</w:t>
      </w:r>
      <w:r>
        <w:rPr>
          <w:rFonts w:hint="eastAsia" w:ascii="宋体" w:hAnsi="宋体" w:cs="宋体"/>
          <w:sz w:val="21"/>
          <w:szCs w:val="21"/>
          <w:lang w:val="zh-TW" w:eastAsia="zh-TW"/>
        </w:rPr>
        <w:t>房地产业务税务咨询服务经验优势（包括与</w:t>
      </w:r>
      <w:r>
        <w:rPr>
          <w:rFonts w:hint="eastAsia" w:ascii="宋体" w:hAnsi="宋体" w:cs="宋体"/>
          <w:sz w:val="21"/>
          <w:szCs w:val="21"/>
        </w:rPr>
        <w:t>深圳各区</w:t>
      </w:r>
      <w:r>
        <w:rPr>
          <w:rFonts w:hint="eastAsia" w:ascii="宋体" w:hAnsi="宋体" w:cs="宋体"/>
          <w:sz w:val="21"/>
          <w:szCs w:val="21"/>
          <w:lang w:val="zh-TW" w:eastAsia="zh-TW"/>
        </w:rPr>
        <w:t>税务局等的沟通经验等）</w:t>
      </w:r>
    </w:p>
    <w:p>
      <w:pPr>
        <w:pStyle w:val="119"/>
        <w:numPr>
          <w:ilvl w:val="255"/>
          <w:numId w:val="0"/>
        </w:numPr>
        <w:spacing w:before="50" w:line="360" w:lineRule="auto"/>
        <w:ind w:firstLine="480" w:firstLineChars="200"/>
        <w:rPr>
          <w:rFonts w:ascii="宋体" w:hAnsi="宋体" w:eastAsia="宋体" w:cs="Times New Roman"/>
          <w:color w:val="0D0D0D"/>
          <w:lang w:val="zh-CN"/>
        </w:rPr>
      </w:pPr>
      <w:r>
        <w:rPr>
          <w:rFonts w:hint="eastAsia" w:ascii="宋体" w:hAnsi="宋体" w:eastAsia="宋体" w:cs="Times New Roman"/>
          <w:color w:val="0D0D0D"/>
          <w:lang w:val="zh-CN"/>
        </w:rPr>
        <w:t>（</w:t>
      </w:r>
      <w:r>
        <w:rPr>
          <w:rFonts w:hint="eastAsia" w:ascii="宋体" w:hAnsi="宋体" w:eastAsia="宋体" w:cs="Times New Roman"/>
          <w:color w:val="0D0D0D"/>
        </w:rPr>
        <w:t>三</w:t>
      </w:r>
      <w:r>
        <w:rPr>
          <w:rFonts w:hint="eastAsia" w:ascii="宋体" w:hAnsi="宋体" w:eastAsia="宋体" w:cs="Times New Roman"/>
          <w:color w:val="0D0D0D"/>
          <w:lang w:val="zh-CN"/>
        </w:rPr>
        <w:t>）拟委派本项目的团队情况及资质、经验</w:t>
      </w:r>
      <w:r>
        <w:rPr>
          <w:rFonts w:ascii="宋体" w:hAnsi="宋体" w:eastAsia="宋体" w:cs="Times New Roman"/>
          <w:color w:val="0D0D0D"/>
          <w:lang w:val="zh-CN"/>
        </w:rPr>
        <w:t>证明</w:t>
      </w:r>
      <w:r>
        <w:rPr>
          <w:rFonts w:hint="eastAsia" w:ascii="宋体" w:hAnsi="宋体" w:eastAsia="宋体" w:cs="Times New Roman"/>
          <w:color w:val="0D0D0D"/>
          <w:lang w:val="zh-CN"/>
        </w:rPr>
        <w:t>（提供证书复印件，在税务师事务所服务的社保证明，均需盖公章）</w:t>
      </w:r>
    </w:p>
    <w:p>
      <w:pPr>
        <w:numPr>
          <w:ilvl w:val="255"/>
          <w:numId w:val="0"/>
        </w:numPr>
        <w:snapToGrid w:val="0"/>
        <w:spacing w:line="360" w:lineRule="auto"/>
        <w:rPr>
          <w:rFonts w:ascii="宋体" w:hAnsi="宋体"/>
          <w:bCs/>
          <w:color w:val="0D0D0D"/>
          <w:sz w:val="24"/>
        </w:rPr>
      </w:pPr>
      <w:r>
        <w:rPr>
          <w:rFonts w:ascii="宋体" w:hAnsi="宋体"/>
          <w:bCs/>
          <w:color w:val="0D0D0D"/>
          <w:sz w:val="24"/>
        </w:rPr>
        <w:br w:type="page"/>
      </w:r>
    </w:p>
    <w:p>
      <w:pPr>
        <w:spacing w:line="360" w:lineRule="auto"/>
        <w:rPr>
          <w:rFonts w:ascii="宋体" w:hAnsi="宋体"/>
          <w:spacing w:val="36"/>
          <w:sz w:val="44"/>
          <w:szCs w:val="44"/>
        </w:rPr>
      </w:pPr>
    </w:p>
    <w:p>
      <w:pPr>
        <w:tabs>
          <w:tab w:val="left" w:pos="1410"/>
        </w:tabs>
        <w:spacing w:line="360" w:lineRule="auto"/>
        <w:jc w:val="center"/>
        <w:rPr>
          <w:rFonts w:ascii="宋体" w:hAnsi="宋体"/>
          <w:b/>
          <w:spacing w:val="36"/>
          <w:sz w:val="44"/>
          <w:szCs w:val="44"/>
        </w:rPr>
      </w:pPr>
      <w:r>
        <w:rPr>
          <w:rFonts w:hint="eastAsia" w:ascii="宋体" w:hAnsi="宋体"/>
          <w:b/>
          <w:spacing w:val="36"/>
          <w:sz w:val="44"/>
          <w:szCs w:val="44"/>
        </w:rPr>
        <w:t>第二章</w:t>
      </w:r>
    </w:p>
    <w:p>
      <w:pPr>
        <w:spacing w:line="360" w:lineRule="auto"/>
        <w:jc w:val="center"/>
        <w:rPr>
          <w:rFonts w:ascii="宋体" w:hAnsi="宋体"/>
          <w:spacing w:val="36"/>
          <w:sz w:val="44"/>
          <w:szCs w:val="44"/>
        </w:rPr>
      </w:pPr>
    </w:p>
    <w:p>
      <w:pPr>
        <w:spacing w:line="360" w:lineRule="auto"/>
        <w:jc w:val="center"/>
        <w:rPr>
          <w:rFonts w:ascii="宋体" w:hAnsi="宋体" w:cs="宋体"/>
          <w:b/>
          <w:sz w:val="44"/>
          <w:szCs w:val="44"/>
        </w:rPr>
      </w:pPr>
      <w:r>
        <w:rPr>
          <w:rFonts w:hint="eastAsia" w:ascii="宋体" w:hAnsi="宋体"/>
          <w:b/>
          <w:spacing w:val="36"/>
          <w:sz w:val="44"/>
          <w:szCs w:val="44"/>
        </w:rPr>
        <w:t>昂鹅等</w:t>
      </w:r>
      <w:r>
        <w:rPr>
          <w:rFonts w:hint="eastAsia" w:ascii="宋体" w:hAnsi="宋体"/>
          <w:b/>
          <w:bCs w:val="0"/>
          <w:spacing w:val="36"/>
          <w:sz w:val="44"/>
          <w:szCs w:val="44"/>
          <w:u w:val="none"/>
        </w:rPr>
        <w:t>十</w:t>
      </w:r>
      <w:r>
        <w:rPr>
          <w:rFonts w:ascii="宋体" w:hAnsi="宋体"/>
          <w:b/>
          <w:bCs w:val="0"/>
          <w:spacing w:val="36"/>
          <w:sz w:val="44"/>
          <w:szCs w:val="44"/>
          <w:u w:val="none"/>
        </w:rPr>
        <w:t>五</w:t>
      </w:r>
      <w:r>
        <w:rPr>
          <w:rFonts w:hint="eastAsia" w:ascii="宋体" w:hAnsi="宋体"/>
          <w:b/>
          <w:spacing w:val="36"/>
          <w:sz w:val="44"/>
          <w:szCs w:val="44"/>
        </w:rPr>
        <w:t>个新项目税务咨询服务</w:t>
      </w:r>
    </w:p>
    <w:p>
      <w:pPr>
        <w:spacing w:line="360" w:lineRule="auto"/>
        <w:jc w:val="center"/>
        <w:rPr>
          <w:rFonts w:ascii="宋体" w:hAnsi="宋体" w:cs="宋体"/>
          <w:b/>
          <w:sz w:val="44"/>
          <w:szCs w:val="44"/>
        </w:rPr>
      </w:pPr>
    </w:p>
    <w:p>
      <w:pPr>
        <w:spacing w:line="360" w:lineRule="auto"/>
        <w:ind w:firstLine="1824" w:firstLineChars="200"/>
        <w:rPr>
          <w:rFonts w:hAnsi="宋体"/>
          <w:bCs/>
          <w:kern w:val="10"/>
          <w:sz w:val="84"/>
          <w:szCs w:val="84"/>
        </w:rPr>
      </w:pPr>
      <w:r>
        <w:rPr>
          <w:rFonts w:hint="eastAsia" w:hAnsi="宋体"/>
          <w:bCs/>
          <w:spacing w:val="36"/>
          <w:kern w:val="10"/>
          <w:sz w:val="84"/>
          <w:szCs w:val="84"/>
        </w:rPr>
        <w:t>参 选 文 件</w:t>
      </w:r>
    </w:p>
    <w:p>
      <w:pPr>
        <w:pStyle w:val="25"/>
        <w:spacing w:line="360" w:lineRule="auto"/>
        <w:jc w:val="center"/>
        <w:rPr>
          <w:rFonts w:hAnsi="宋体"/>
          <w:bCs/>
          <w:sz w:val="17"/>
          <w:szCs w:val="17"/>
        </w:rPr>
      </w:pPr>
    </w:p>
    <w:p>
      <w:pPr>
        <w:pStyle w:val="25"/>
        <w:spacing w:line="360" w:lineRule="auto"/>
        <w:jc w:val="center"/>
        <w:rPr>
          <w:rFonts w:hAnsi="宋体"/>
          <w:b/>
          <w:bCs/>
          <w:sz w:val="52"/>
          <w:szCs w:val="52"/>
        </w:rPr>
      </w:pPr>
      <w:r>
        <w:rPr>
          <w:rFonts w:hint="eastAsia" w:hAnsi="宋体"/>
          <w:b/>
          <w:bCs/>
          <w:sz w:val="52"/>
          <w:szCs w:val="52"/>
        </w:rPr>
        <w:t>商务标书</w:t>
      </w:r>
    </w:p>
    <w:p>
      <w:pPr>
        <w:pStyle w:val="25"/>
        <w:spacing w:line="360" w:lineRule="auto"/>
        <w:jc w:val="center"/>
        <w:rPr>
          <w:rFonts w:hAnsi="宋体"/>
          <w:b/>
          <w:bCs/>
          <w:sz w:val="52"/>
          <w:szCs w:val="52"/>
        </w:rPr>
      </w:pPr>
    </w:p>
    <w:p>
      <w:pPr>
        <w:spacing w:line="520" w:lineRule="exact"/>
        <w:ind w:left="420" w:leftChars="200" w:firstLine="482"/>
        <w:rPr>
          <w:b/>
        </w:rPr>
      </w:pPr>
      <w:r>
        <w:rPr>
          <w:rFonts w:hint="eastAsia"/>
          <w:b/>
        </w:rPr>
        <w:t>参选</w:t>
      </w:r>
      <w:r>
        <w:rPr>
          <w:b/>
        </w:rPr>
        <w:t>人声明：</w:t>
      </w:r>
    </w:p>
    <w:p>
      <w:pPr>
        <w:spacing w:line="520" w:lineRule="exact"/>
        <w:ind w:left="420" w:leftChars="200" w:firstLine="482"/>
        <w:rPr>
          <w:b/>
        </w:rPr>
      </w:pPr>
      <w:r>
        <w:rPr>
          <w:b/>
        </w:rPr>
        <w:t>我司（单位）对本标书所提供文件的真实性、准确性、有效性负全部责任。</w:t>
      </w:r>
    </w:p>
    <w:p>
      <w:pPr>
        <w:pStyle w:val="25"/>
        <w:spacing w:line="360" w:lineRule="auto"/>
        <w:rPr>
          <w:rFonts w:hAnsi="宋体"/>
          <w:b/>
          <w:bCs/>
          <w:sz w:val="52"/>
          <w:szCs w:val="52"/>
        </w:rPr>
      </w:pPr>
    </w:p>
    <w:p>
      <w:pPr>
        <w:pStyle w:val="25"/>
        <w:spacing w:before="360" w:beforeLines="150" w:after="360" w:afterLines="150" w:line="360" w:lineRule="auto"/>
        <w:ind w:firstLine="540" w:firstLineChars="192"/>
        <w:rPr>
          <w:rFonts w:hAnsi="宋体"/>
          <w:b/>
          <w:bCs/>
          <w:sz w:val="28"/>
          <w:szCs w:val="28"/>
        </w:rPr>
      </w:pPr>
      <w:r>
        <w:rPr>
          <w:rFonts w:hint="eastAsia" w:hAnsi="宋体"/>
          <w:b/>
          <w:bCs/>
          <w:sz w:val="28"/>
          <w:szCs w:val="28"/>
        </w:rPr>
        <w:t xml:space="preserve">参选人(盖章)：  </w:t>
      </w:r>
      <w:r>
        <w:rPr>
          <w:rFonts w:hint="eastAsia" w:hAnsi="宋体"/>
          <w:b/>
          <w:bCs/>
          <w:sz w:val="28"/>
          <w:szCs w:val="28"/>
          <w:u w:val="single"/>
        </w:rPr>
        <w:t xml:space="preserve">        [参选人名称]                 </w:t>
      </w:r>
    </w:p>
    <w:p>
      <w:pPr>
        <w:pStyle w:val="25"/>
        <w:spacing w:before="360" w:beforeLines="150" w:after="360" w:afterLines="150" w:line="360" w:lineRule="auto"/>
        <w:ind w:firstLine="540" w:firstLineChars="192"/>
        <w:rPr>
          <w:rFonts w:hAnsi="宋体"/>
          <w:b/>
          <w:bCs/>
          <w:sz w:val="28"/>
          <w:szCs w:val="28"/>
        </w:rPr>
      </w:pPr>
      <w:r>
        <w:rPr>
          <w:rFonts w:hint="eastAsia" w:hAnsi="宋体"/>
          <w:b/>
          <w:bCs/>
          <w:sz w:val="28"/>
          <w:szCs w:val="28"/>
        </w:rPr>
        <w:t>法定代表人或其委托代理人(签字或盖章)：</w:t>
      </w:r>
    </w:p>
    <w:p>
      <w:pPr>
        <w:spacing w:line="360" w:lineRule="auto"/>
        <w:jc w:val="center"/>
        <w:rPr>
          <w:rFonts w:ascii="宋体" w:hAnsi="宋体"/>
          <w:b/>
          <w:bCs/>
          <w:sz w:val="28"/>
          <w:szCs w:val="28"/>
        </w:rPr>
      </w:pPr>
      <w:r>
        <w:rPr>
          <w:rFonts w:hint="eastAsia" w:ascii="宋体" w:hAnsi="宋体"/>
          <w:b/>
          <w:bCs/>
          <w:sz w:val="28"/>
          <w:szCs w:val="28"/>
        </w:rPr>
        <w:t>日   期：2022年   月   日</w:t>
      </w:r>
    </w:p>
    <w:p>
      <w:pPr>
        <w:adjustRightInd w:val="0"/>
        <w:snapToGrid w:val="0"/>
        <w:spacing w:line="360" w:lineRule="auto"/>
        <w:jc w:val="center"/>
        <w:rPr>
          <w:rFonts w:ascii="黑体" w:hAnsi="黑体" w:eastAsia="黑体"/>
          <w:sz w:val="28"/>
          <w:szCs w:val="28"/>
        </w:rPr>
      </w:pPr>
      <w:r>
        <w:rPr>
          <w:rFonts w:hint="eastAsia" w:ascii="宋体" w:hAnsi="宋体"/>
          <w:b/>
          <w:bCs/>
          <w:sz w:val="28"/>
          <w:szCs w:val="28"/>
        </w:rPr>
        <w:br w:type="column"/>
      </w:r>
      <w:r>
        <w:rPr>
          <w:rFonts w:hint="eastAsia" w:ascii="宋体" w:hAnsi="宋体"/>
          <w:b/>
          <w:bCs/>
          <w:sz w:val="28"/>
          <w:szCs w:val="28"/>
        </w:rPr>
        <w:t xml:space="preserve"> </w:t>
      </w:r>
      <w:r>
        <w:rPr>
          <w:rFonts w:hint="eastAsia" w:ascii="宋体" w:hAnsi="宋体"/>
          <w:color w:val="0D0D0D"/>
          <w:sz w:val="52"/>
          <w:szCs w:val="52"/>
          <w:u w:val="single"/>
        </w:rPr>
        <w:t>商务标书目录</w:t>
      </w:r>
    </w:p>
    <w:p>
      <w:pPr>
        <w:numPr>
          <w:ilvl w:val="0"/>
          <w:numId w:val="13"/>
        </w:numPr>
        <w:adjustRightInd w:val="0"/>
        <w:snapToGrid w:val="0"/>
        <w:spacing w:before="240" w:line="360" w:lineRule="auto"/>
        <w:rPr>
          <w:rFonts w:ascii="微软雅黑" w:hAnsi="微软雅黑" w:eastAsia="微软雅黑" w:cs="微软雅黑"/>
          <w:b/>
          <w:sz w:val="24"/>
          <w:szCs w:val="24"/>
        </w:rPr>
      </w:pPr>
      <w:r>
        <w:rPr>
          <w:rFonts w:hint="eastAsia" w:ascii="微软雅黑" w:hAnsi="微软雅黑" w:eastAsia="微软雅黑" w:cs="微软雅黑"/>
          <w:b/>
          <w:sz w:val="24"/>
          <w:szCs w:val="24"/>
        </w:rPr>
        <w:t>参选函（加盖公章）</w:t>
      </w:r>
    </w:p>
    <w:p>
      <w:pPr>
        <w:numPr>
          <w:ilvl w:val="0"/>
          <w:numId w:val="13"/>
        </w:numPr>
        <w:adjustRightInd w:val="0"/>
        <w:snapToGrid w:val="0"/>
        <w:spacing w:line="360" w:lineRule="auto"/>
        <w:ind w:left="0" w:firstLine="480" w:firstLineChars="200"/>
        <w:rPr>
          <w:rFonts w:ascii="微软雅黑" w:hAnsi="微软雅黑" w:eastAsia="微软雅黑" w:cs="微软雅黑"/>
          <w:b/>
          <w:sz w:val="24"/>
          <w:szCs w:val="24"/>
        </w:rPr>
      </w:pPr>
      <w:r>
        <w:rPr>
          <w:rFonts w:hint="eastAsia" w:ascii="微软雅黑" w:hAnsi="微软雅黑" w:eastAsia="微软雅黑" w:cs="微软雅黑"/>
          <w:b/>
          <w:sz w:val="24"/>
          <w:szCs w:val="24"/>
        </w:rPr>
        <w:t>报价表（加盖公章）</w:t>
      </w:r>
    </w:p>
    <w:p>
      <w:pPr>
        <w:spacing w:line="360" w:lineRule="auto"/>
        <w:jc w:val="center"/>
        <w:rPr>
          <w:rFonts w:ascii="宋体" w:hAnsi="宋体"/>
          <w:b/>
          <w:bCs/>
          <w:sz w:val="28"/>
          <w:szCs w:val="28"/>
        </w:rPr>
      </w:pPr>
    </w:p>
    <w:p>
      <w:pPr>
        <w:pStyle w:val="25"/>
        <w:spacing w:line="360" w:lineRule="auto"/>
        <w:rPr>
          <w:rFonts w:hAnsi="宋体"/>
          <w:b/>
          <w:sz w:val="24"/>
          <w:szCs w:val="24"/>
          <w:highlight w:val="none"/>
        </w:rPr>
      </w:pPr>
      <w:r>
        <w:rPr>
          <w:rFonts w:hint="eastAsia" w:hAnsi="宋体"/>
          <w:sz w:val="24"/>
          <w:highlight w:val="none"/>
        </w:rPr>
        <w:br w:type="page"/>
      </w:r>
      <w:r>
        <w:rPr>
          <w:rFonts w:hint="eastAsia" w:hAnsi="宋体"/>
          <w:b/>
          <w:sz w:val="24"/>
          <w:szCs w:val="24"/>
          <w:highlight w:val="none"/>
        </w:rPr>
        <w:t>一、参选函格式</w:t>
      </w:r>
    </w:p>
    <w:p>
      <w:pPr>
        <w:pStyle w:val="25"/>
        <w:spacing w:before="120" w:beforeLines="50" w:line="360" w:lineRule="auto"/>
        <w:jc w:val="center"/>
        <w:rPr>
          <w:rFonts w:hAnsi="宋体"/>
          <w:b/>
          <w:sz w:val="44"/>
          <w:szCs w:val="44"/>
          <w:highlight w:val="none"/>
        </w:rPr>
      </w:pPr>
      <w:r>
        <w:rPr>
          <w:rFonts w:hint="eastAsia" w:hAnsi="宋体"/>
          <w:b/>
          <w:sz w:val="44"/>
          <w:szCs w:val="44"/>
          <w:highlight w:val="none"/>
        </w:rPr>
        <w:t>参选函</w:t>
      </w:r>
    </w:p>
    <w:p>
      <w:pPr>
        <w:spacing w:line="360" w:lineRule="auto"/>
        <w:ind w:firstLine="480" w:firstLineChars="200"/>
        <w:rPr>
          <w:rFonts w:ascii="宋体" w:hAnsi="宋体" w:cs="宋体"/>
          <w:sz w:val="24"/>
          <w:szCs w:val="24"/>
          <w:highlight w:val="none"/>
          <w:lang w:val="zh-CN"/>
        </w:rPr>
      </w:pPr>
    </w:p>
    <w:p>
      <w:pPr>
        <w:spacing w:line="360" w:lineRule="auto"/>
        <w:ind w:firstLine="480" w:firstLineChars="200"/>
        <w:rPr>
          <w:rFonts w:ascii="宋体" w:hAnsi="宋体" w:cs="宋体"/>
          <w:sz w:val="24"/>
          <w:szCs w:val="24"/>
          <w:highlight w:val="none"/>
          <w:lang w:val="zh-CN"/>
        </w:rPr>
      </w:pPr>
      <w:r>
        <w:rPr>
          <w:rFonts w:hint="eastAsia" w:ascii="宋体" w:hAnsi="宋体" w:cs="宋体"/>
          <w:sz w:val="24"/>
          <w:szCs w:val="24"/>
          <w:highlight w:val="none"/>
          <w:lang w:val="zh-CN"/>
        </w:rPr>
        <w:t>致：</w:t>
      </w:r>
      <w:r>
        <w:rPr>
          <w:rFonts w:hint="eastAsia" w:ascii="宋体" w:hAnsi="宋体" w:cs="宋体"/>
          <w:sz w:val="24"/>
          <w:szCs w:val="24"/>
          <w:highlight w:val="none"/>
        </w:rPr>
        <w:t>深圳置业集团有限公司</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1.经分析研究了贵司提供的比选文件，经研究后，我方愿以报价____万元（含税）（大写:_________）作为</w:t>
      </w:r>
      <w:r>
        <w:rPr>
          <w:rFonts w:hint="eastAsia" w:ascii="宋体" w:hAnsi="宋体" w:cs="宋体"/>
          <w:b/>
          <w:bCs/>
          <w:sz w:val="24"/>
          <w:szCs w:val="24"/>
          <w:highlight w:val="none"/>
          <w:u w:val="single"/>
        </w:rPr>
        <w:t>昂鹅等</w:t>
      </w:r>
      <w:r>
        <w:rPr>
          <w:rFonts w:hint="eastAsia" w:ascii="宋体" w:hAnsi="宋体" w:cs="宋体"/>
          <w:b/>
          <w:bCs/>
          <w:sz w:val="24"/>
          <w:szCs w:val="24"/>
          <w:highlight w:val="none"/>
          <w:u w:val="single"/>
          <w:lang w:val="en-US" w:eastAsia="zh-CN"/>
        </w:rPr>
        <w:t>十五</w:t>
      </w:r>
      <w:r>
        <w:rPr>
          <w:rFonts w:hint="eastAsia" w:ascii="宋体" w:hAnsi="宋体" w:cs="宋体"/>
          <w:b/>
          <w:bCs/>
          <w:sz w:val="24"/>
          <w:szCs w:val="24"/>
          <w:highlight w:val="none"/>
          <w:u w:val="single"/>
        </w:rPr>
        <w:t>个新项目税务咨询服务</w:t>
      </w:r>
      <w:r>
        <w:rPr>
          <w:rFonts w:hint="eastAsia" w:ascii="宋体" w:hAnsi="宋体" w:cs="宋体"/>
          <w:sz w:val="24"/>
          <w:szCs w:val="24"/>
          <w:highlight w:val="none"/>
        </w:rPr>
        <w:t>项目报价，并按合同条件、比选文件、参选文件以及国家和地方有关规定的要求，承担并完成本项目的任务。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2.我方对贵司比选文件中的合同条件无保留、无条件同意，特此声明及承诺。</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3.如果贵公司接受我方的参选，我方保证按合同规定的期限完成</w:t>
      </w:r>
      <w:r>
        <w:rPr>
          <w:rFonts w:hint="eastAsia" w:ascii="宋体" w:hAnsi="宋体" w:cs="宋体"/>
          <w:b/>
          <w:bCs/>
          <w:sz w:val="24"/>
          <w:szCs w:val="24"/>
          <w:highlight w:val="none"/>
          <w:u w:val="single"/>
        </w:rPr>
        <w:t>昂鹅等</w:t>
      </w:r>
      <w:r>
        <w:rPr>
          <w:rFonts w:hint="eastAsia" w:ascii="宋体" w:hAnsi="宋体" w:cs="宋体"/>
          <w:b/>
          <w:bCs/>
          <w:sz w:val="24"/>
          <w:szCs w:val="24"/>
          <w:highlight w:val="none"/>
          <w:u w:val="single"/>
          <w:lang w:val="en-US" w:eastAsia="zh-CN"/>
        </w:rPr>
        <w:t>十五</w:t>
      </w:r>
      <w:r>
        <w:rPr>
          <w:rFonts w:hint="eastAsia" w:ascii="宋体" w:hAnsi="宋体" w:cs="宋体"/>
          <w:b/>
          <w:bCs/>
          <w:sz w:val="24"/>
          <w:szCs w:val="24"/>
          <w:highlight w:val="none"/>
          <w:u w:val="single"/>
        </w:rPr>
        <w:t>个新项目税务咨询服务</w:t>
      </w:r>
      <w:r>
        <w:rPr>
          <w:rFonts w:hint="eastAsia" w:ascii="宋体" w:hAnsi="宋体" w:cs="宋体"/>
          <w:sz w:val="24"/>
          <w:szCs w:val="24"/>
          <w:highlight w:val="none"/>
        </w:rPr>
        <w:t>等相关工作。</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4.我方同意在规定的递交参选书截止之日起180天内遵守本参选。在该期限期满之前，本报价对我方始终有约束力，并可随时被接受。</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5.如果我方中选，我方保证在接到比选人通知中规定的日期内开始</w:t>
      </w:r>
      <w:r>
        <w:rPr>
          <w:rFonts w:hint="eastAsia" w:ascii="宋体" w:hAnsi="宋体" w:cs="宋体"/>
          <w:b/>
          <w:bCs/>
          <w:sz w:val="24"/>
          <w:szCs w:val="24"/>
          <w:highlight w:val="none"/>
          <w:u w:val="single"/>
        </w:rPr>
        <w:t>昂鹅等</w:t>
      </w:r>
      <w:r>
        <w:rPr>
          <w:rFonts w:hint="eastAsia" w:ascii="宋体" w:hAnsi="宋体" w:cs="宋体"/>
          <w:b/>
          <w:bCs/>
          <w:sz w:val="24"/>
          <w:szCs w:val="24"/>
          <w:highlight w:val="none"/>
          <w:u w:val="single"/>
          <w:lang w:val="en-US" w:eastAsia="zh-CN"/>
        </w:rPr>
        <w:t>十五</w:t>
      </w:r>
      <w:r>
        <w:rPr>
          <w:rFonts w:hint="eastAsia" w:ascii="宋体" w:hAnsi="宋体" w:cs="宋体"/>
          <w:b/>
          <w:bCs/>
          <w:sz w:val="24"/>
          <w:szCs w:val="24"/>
          <w:highlight w:val="none"/>
          <w:u w:val="single"/>
        </w:rPr>
        <w:t>个新项目税务咨询服务</w:t>
      </w:r>
      <w:r>
        <w:rPr>
          <w:rFonts w:hint="eastAsia" w:ascii="宋体" w:hAnsi="宋体" w:cs="宋体"/>
          <w:sz w:val="24"/>
          <w:szCs w:val="24"/>
          <w:highlight w:val="none"/>
          <w:u w:val="single"/>
        </w:rPr>
        <w:t>相关</w:t>
      </w:r>
      <w:r>
        <w:rPr>
          <w:rFonts w:hint="eastAsia" w:ascii="宋体" w:hAnsi="宋体" w:cs="宋体"/>
          <w:sz w:val="24"/>
          <w:szCs w:val="24"/>
          <w:highlight w:val="none"/>
        </w:rPr>
        <w:t>工作，并在规定的期限内提供相应的服务。</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6.我方承诺：参选人所委派的项目组主要人员在中标后不得任意更改，如确需变更，需经比选人认可同意，如未经比选人同意，我方自行变更参选文件中委派的主要人员（项目负责人、项目组主要人员），自愿接受相应处罚。</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7.若我方中选本项目，我方承诺本项目可开具增值税专用发票，按合同约定于申请付款前向比选人提供正式的增值税专用发票，否则比选人有权拒绝付款，且并不因此承担任何违约责任。</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8.我方保证：在参选过程中，我方严守国家法律、法规，本着诚实守信的原则，无互相串通参选报价、无排挤其它参选人的合法权益、无向比选人或评委成员行贿谋取中标、无以他人名义参选或以其它方式弄虚作假骗取中标的不良行为。</w:t>
      </w:r>
    </w:p>
    <w:p>
      <w:pPr>
        <w:spacing w:line="360" w:lineRule="auto"/>
        <w:ind w:firstLine="464" w:firstLineChars="200"/>
        <w:rPr>
          <w:rFonts w:ascii="宋体" w:hAnsi="宋体" w:cs="宋体"/>
          <w:sz w:val="24"/>
          <w:szCs w:val="24"/>
          <w:highlight w:val="none"/>
        </w:rPr>
      </w:pPr>
      <w:r>
        <w:rPr>
          <w:rFonts w:hint="eastAsia" w:ascii="宋体" w:hAnsi="宋体" w:cs="宋体"/>
          <w:spacing w:val="-4"/>
          <w:kern w:val="0"/>
          <w:sz w:val="24"/>
          <w:szCs w:val="24"/>
          <w:highlight w:val="none"/>
        </w:rPr>
        <w:t>9.我方</w:t>
      </w:r>
      <w:r>
        <w:rPr>
          <w:rFonts w:hint="eastAsia" w:ascii="宋体" w:hAnsi="宋体" w:cs="宋体"/>
          <w:sz w:val="24"/>
          <w:szCs w:val="24"/>
          <w:highlight w:val="none"/>
        </w:rPr>
        <w:t>同意：比选人可以在参选有效期截止前，要求延长参选有效期并取得参选人或中标候选人同意。</w:t>
      </w:r>
    </w:p>
    <w:p>
      <w:pPr>
        <w:pStyle w:val="85"/>
        <w:widowControl/>
        <w:spacing w:line="360" w:lineRule="auto"/>
        <w:ind w:firstLine="480"/>
        <w:jc w:val="left"/>
        <w:rPr>
          <w:rFonts w:ascii="宋体" w:hAnsi="宋体" w:eastAsia="宋体" w:cs="宋体"/>
          <w:kern w:val="0"/>
          <w:sz w:val="24"/>
          <w:szCs w:val="24"/>
          <w:highlight w:val="none"/>
        </w:rPr>
      </w:pPr>
      <w:r>
        <w:rPr>
          <w:rFonts w:hint="eastAsia" w:ascii="宋体" w:hAnsi="宋体" w:eastAsia="宋体" w:cs="宋体"/>
          <w:sz w:val="24"/>
          <w:szCs w:val="24"/>
          <w:highlight w:val="none"/>
        </w:rPr>
        <w:t>10.我方同意：</w:t>
      </w:r>
      <w:r>
        <w:rPr>
          <w:rFonts w:hint="eastAsia" w:ascii="宋体" w:hAnsi="宋体" w:eastAsia="宋体" w:cs="宋体"/>
          <w:snapToGrid w:val="0"/>
          <w:sz w:val="24"/>
          <w:szCs w:val="24"/>
          <w:highlight w:val="none"/>
        </w:rPr>
        <w:t>在比选人授标前任何时候，不论任何原因，比选人有权接受或拒绝任何参选，宣布比选程序无效，或拒绝所有参选，并对由此引起的对参选人的影响不承担任何责任，也无须将这样做的理由通知受影响的参选人。</w:t>
      </w:r>
    </w:p>
    <w:p>
      <w:pPr>
        <w:spacing w:line="360" w:lineRule="auto"/>
        <w:ind w:firstLine="480" w:firstLineChars="200"/>
        <w:rPr>
          <w:rFonts w:ascii="宋体" w:hAnsi="宋体" w:cs="宋体"/>
          <w:sz w:val="24"/>
          <w:szCs w:val="24"/>
          <w:highlight w:val="none"/>
        </w:rPr>
      </w:pP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参选人：（盖章）         [参选人名称]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法人代表或授权委托代理人（签字或盖章）：                 联 系 人：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 xml:space="preserve">电    话：                                   传    真：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日    期：      年      月      日</w:t>
      </w:r>
    </w:p>
    <w:p>
      <w:pPr>
        <w:widowControl/>
        <w:spacing w:line="360" w:lineRule="auto"/>
        <w:jc w:val="left"/>
        <w:rPr>
          <w:rFonts w:ascii="宋体" w:hAnsi="宋体" w:cs="宋体"/>
          <w:sz w:val="24"/>
          <w:szCs w:val="24"/>
          <w:highlight w:val="none"/>
        </w:rPr>
        <w:sectPr>
          <w:headerReference r:id="rId5" w:type="default"/>
          <w:pgSz w:w="11907" w:h="16840"/>
          <w:pgMar w:top="1440" w:right="1440" w:bottom="1440" w:left="1440" w:header="720" w:footer="992" w:gutter="0"/>
          <w:cols w:space="720" w:num="1"/>
        </w:sectPr>
      </w:pPr>
    </w:p>
    <w:p>
      <w:pPr>
        <w:pStyle w:val="25"/>
        <w:numPr>
          <w:ilvl w:val="0"/>
          <w:numId w:val="11"/>
        </w:numPr>
        <w:spacing w:line="360" w:lineRule="auto"/>
        <w:ind w:hanging="652"/>
        <w:rPr>
          <w:rFonts w:hAnsi="宋体"/>
          <w:b/>
          <w:sz w:val="24"/>
          <w:szCs w:val="24"/>
          <w:highlight w:val="none"/>
        </w:rPr>
      </w:pPr>
      <w:r>
        <w:rPr>
          <w:rFonts w:hint="eastAsia" w:hAnsi="宋体"/>
          <w:b/>
          <w:sz w:val="24"/>
          <w:szCs w:val="24"/>
          <w:highlight w:val="none"/>
        </w:rPr>
        <w:t>报价单</w:t>
      </w:r>
      <w:bookmarkStart w:id="122" w:name="_Toc57731988"/>
      <w:r>
        <w:rPr>
          <w:rFonts w:hint="eastAsia" w:hAnsi="宋体"/>
          <w:b/>
          <w:sz w:val="24"/>
          <w:szCs w:val="24"/>
          <w:highlight w:val="none"/>
        </w:rPr>
        <w:t>（加盖公章）</w:t>
      </w:r>
    </w:p>
    <w:p>
      <w:pPr>
        <w:spacing w:after="120" w:line="360" w:lineRule="auto"/>
        <w:jc w:val="center"/>
        <w:rPr>
          <w:rFonts w:ascii="宋体" w:hAnsi="宋体"/>
          <w:b/>
          <w:sz w:val="32"/>
          <w:szCs w:val="32"/>
          <w:highlight w:val="none"/>
        </w:rPr>
      </w:pPr>
    </w:p>
    <w:p>
      <w:pPr>
        <w:spacing w:after="120" w:line="360" w:lineRule="auto"/>
        <w:jc w:val="center"/>
        <w:rPr>
          <w:rFonts w:ascii="宋体" w:hAnsi="宋体"/>
          <w:b/>
          <w:kern w:val="10"/>
          <w:sz w:val="24"/>
          <w:szCs w:val="24"/>
          <w:highlight w:val="none"/>
        </w:rPr>
      </w:pPr>
      <w:r>
        <w:rPr>
          <w:rFonts w:hint="eastAsia" w:ascii="宋体" w:hAnsi="宋体"/>
          <w:b/>
          <w:sz w:val="32"/>
          <w:szCs w:val="32"/>
          <w:highlight w:val="none"/>
        </w:rPr>
        <w:t>昂鹅等</w:t>
      </w:r>
      <w:r>
        <w:rPr>
          <w:rFonts w:hint="eastAsia" w:ascii="宋体" w:hAnsi="宋体"/>
          <w:b/>
          <w:sz w:val="32"/>
          <w:szCs w:val="32"/>
          <w:highlight w:val="none"/>
          <w:lang w:val="en-US" w:eastAsia="zh-CN"/>
        </w:rPr>
        <w:t>十五</w:t>
      </w:r>
      <w:r>
        <w:rPr>
          <w:rFonts w:hint="eastAsia" w:ascii="宋体" w:hAnsi="宋体"/>
          <w:b/>
          <w:sz w:val="32"/>
          <w:szCs w:val="32"/>
          <w:highlight w:val="none"/>
        </w:rPr>
        <w:t>个新项目税务咨询服务报价一览表</w:t>
      </w:r>
    </w:p>
    <w:p>
      <w:pPr>
        <w:adjustRightInd w:val="0"/>
        <w:snapToGrid w:val="0"/>
        <w:spacing w:line="360" w:lineRule="auto"/>
        <w:ind w:left="479" w:right="240"/>
        <w:jc w:val="right"/>
        <w:rPr>
          <w:rFonts w:ascii="宋体" w:hAnsi="宋体"/>
          <w:szCs w:val="21"/>
          <w:highlight w:val="none"/>
        </w:rPr>
      </w:pPr>
      <w:r>
        <w:rPr>
          <w:rFonts w:hint="eastAsia" w:ascii="宋体" w:hAnsi="宋体"/>
          <w:szCs w:val="21"/>
          <w:highlight w:val="none"/>
        </w:rPr>
        <w:t>货币单位：人民币（元）</w:t>
      </w:r>
    </w:p>
    <w:tbl>
      <w:tblPr>
        <w:tblStyle w:val="49"/>
        <w:tblpPr w:leftFromText="180" w:rightFromText="180" w:vertAnchor="text" w:horzAnchor="page" w:tblpX="503" w:tblpY="435"/>
        <w:tblOverlap w:val="never"/>
        <w:tblW w:w="10360" w:type="dxa"/>
        <w:tblInd w:w="0" w:type="dxa"/>
        <w:tblLayout w:type="fixed"/>
        <w:tblCellMar>
          <w:top w:w="0" w:type="dxa"/>
          <w:left w:w="0" w:type="dxa"/>
          <w:bottom w:w="0" w:type="dxa"/>
          <w:right w:w="0" w:type="dxa"/>
        </w:tblCellMar>
      </w:tblPr>
      <w:tblGrid>
        <w:gridCol w:w="2782"/>
        <w:gridCol w:w="841"/>
        <w:gridCol w:w="1095"/>
        <w:gridCol w:w="987"/>
        <w:gridCol w:w="2629"/>
        <w:gridCol w:w="2026"/>
      </w:tblGrid>
      <w:tr>
        <w:tblPrEx>
          <w:tblCellMar>
            <w:top w:w="0" w:type="dxa"/>
            <w:left w:w="0" w:type="dxa"/>
            <w:bottom w:w="0" w:type="dxa"/>
            <w:right w:w="0" w:type="dxa"/>
          </w:tblCellMar>
        </w:tblPrEx>
        <w:trPr>
          <w:trHeight w:val="909" w:hRule="atLeast"/>
        </w:trPr>
        <w:tc>
          <w:tcPr>
            <w:tcW w:w="2782"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项目</w:t>
            </w:r>
          </w:p>
        </w:tc>
        <w:tc>
          <w:tcPr>
            <w:tcW w:w="84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不含税总价（元）</w:t>
            </w:r>
          </w:p>
        </w:tc>
        <w:tc>
          <w:tcPr>
            <w:tcW w:w="109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税率（%）</w:t>
            </w:r>
          </w:p>
        </w:tc>
        <w:tc>
          <w:tcPr>
            <w:tcW w:w="987"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增值税额（元）</w:t>
            </w:r>
          </w:p>
        </w:tc>
        <w:tc>
          <w:tcPr>
            <w:tcW w:w="2629"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含税总价（元）</w:t>
            </w:r>
          </w:p>
        </w:tc>
        <w:tc>
          <w:tcPr>
            <w:tcW w:w="2026"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备注</w:t>
            </w:r>
          </w:p>
        </w:tc>
      </w:tr>
      <w:tr>
        <w:tblPrEx>
          <w:tblCellMar>
            <w:top w:w="0" w:type="dxa"/>
            <w:left w:w="0" w:type="dxa"/>
            <w:bottom w:w="0" w:type="dxa"/>
            <w:right w:w="0" w:type="dxa"/>
          </w:tblCellMar>
        </w:tblPrEx>
        <w:trPr>
          <w:trHeight w:val="610" w:hRule="atLeast"/>
        </w:trPr>
        <w:tc>
          <w:tcPr>
            <w:tcW w:w="2782" w:type="dxa"/>
            <w:tcBorders>
              <w:top w:val="nil"/>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 xml:space="preserve">  昂鹅等</w:t>
            </w:r>
            <w:r>
              <w:rPr>
                <w:rFonts w:hint="eastAsia" w:ascii="宋体" w:hAnsi="宋体" w:cs="宋体"/>
                <w:color w:val="000000"/>
                <w:kern w:val="0"/>
                <w:sz w:val="24"/>
                <w:szCs w:val="24"/>
                <w:highlight w:val="none"/>
                <w:lang w:val="en-US" w:eastAsia="zh-CN" w:bidi="ar"/>
              </w:rPr>
              <w:t>十五</w:t>
            </w:r>
            <w:r>
              <w:rPr>
                <w:rFonts w:hint="eastAsia" w:ascii="宋体" w:hAnsi="宋体" w:cs="宋体"/>
                <w:color w:val="000000"/>
                <w:kern w:val="0"/>
                <w:sz w:val="24"/>
                <w:szCs w:val="24"/>
                <w:highlight w:val="none"/>
                <w:lang w:bidi="ar"/>
              </w:rPr>
              <w:t>个新项目税务咨询服务</w:t>
            </w:r>
          </w:p>
        </w:tc>
        <w:tc>
          <w:tcPr>
            <w:tcW w:w="841"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1095"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987"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2629" w:type="dxa"/>
            <w:tcBorders>
              <w:top w:val="nil"/>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2026" w:type="dxa"/>
            <w:tcBorders>
              <w:top w:val="nil"/>
              <w:left w:val="nil"/>
              <w:bottom w:val="single" w:color="000000" w:sz="8" w:space="0"/>
              <w:right w:val="single" w:color="000000" w:sz="8" w:space="0"/>
            </w:tcBorders>
            <w:noWrap/>
            <w:tcMar>
              <w:top w:w="12" w:type="dxa"/>
              <w:left w:w="12" w:type="dxa"/>
              <w:right w:w="12" w:type="dxa"/>
            </w:tcMar>
            <w:vAlign w:val="center"/>
          </w:tcPr>
          <w:p>
            <w:pPr>
              <w:rPr>
                <w:rFonts w:ascii="宋体" w:hAnsi="宋体" w:cs="宋体"/>
                <w:color w:val="000000"/>
                <w:sz w:val="22"/>
                <w:szCs w:val="22"/>
                <w:highlight w:val="none"/>
              </w:rPr>
            </w:pPr>
          </w:p>
        </w:tc>
      </w:tr>
      <w:tr>
        <w:tblPrEx>
          <w:tblCellMar>
            <w:top w:w="0" w:type="dxa"/>
            <w:left w:w="0" w:type="dxa"/>
            <w:bottom w:w="0" w:type="dxa"/>
            <w:right w:w="0" w:type="dxa"/>
          </w:tblCellMar>
        </w:tblPrEx>
        <w:trPr>
          <w:trHeight w:val="437" w:hRule="atLeast"/>
        </w:trPr>
        <w:tc>
          <w:tcPr>
            <w:tcW w:w="2782"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widowControl/>
              <w:jc w:val="center"/>
              <w:textAlignment w:val="center"/>
              <w:rPr>
                <w:rFonts w:ascii="宋体" w:hAnsi="宋体" w:cs="宋体"/>
                <w:color w:val="000000"/>
                <w:sz w:val="24"/>
                <w:szCs w:val="24"/>
                <w:highlight w:val="none"/>
              </w:rPr>
            </w:pPr>
            <w:r>
              <w:rPr>
                <w:rFonts w:hint="eastAsia" w:ascii="宋体" w:hAnsi="宋体" w:cs="宋体"/>
                <w:color w:val="000000"/>
                <w:kern w:val="0"/>
                <w:sz w:val="24"/>
                <w:szCs w:val="24"/>
                <w:highlight w:val="none"/>
                <w:lang w:bidi="ar"/>
              </w:rPr>
              <w:t>单个项目税务咨询服务</w:t>
            </w:r>
          </w:p>
        </w:tc>
        <w:tc>
          <w:tcPr>
            <w:tcW w:w="841"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1095"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987"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2629"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c>
          <w:tcPr>
            <w:tcW w:w="2026" w:type="dxa"/>
            <w:tcBorders>
              <w:top w:val="single" w:color="000000" w:sz="8" w:space="0"/>
              <w:left w:val="nil"/>
              <w:bottom w:val="single" w:color="000000" w:sz="8" w:space="0"/>
              <w:right w:val="single" w:color="000000" w:sz="8" w:space="0"/>
            </w:tcBorders>
            <w:tcMar>
              <w:top w:w="12" w:type="dxa"/>
              <w:left w:w="12" w:type="dxa"/>
              <w:right w:w="12" w:type="dxa"/>
            </w:tcMar>
            <w:vAlign w:val="center"/>
          </w:tcPr>
          <w:p>
            <w:pPr>
              <w:jc w:val="center"/>
              <w:rPr>
                <w:rFonts w:ascii="宋体" w:hAnsi="宋体" w:cs="宋体"/>
                <w:color w:val="000000"/>
                <w:sz w:val="24"/>
                <w:szCs w:val="24"/>
                <w:highlight w:val="none"/>
              </w:rPr>
            </w:pPr>
          </w:p>
        </w:tc>
      </w:tr>
    </w:tbl>
    <w:p>
      <w:pPr>
        <w:pStyle w:val="2"/>
        <w:rPr>
          <w:highlight w:val="none"/>
        </w:rPr>
      </w:pPr>
    </w:p>
    <w:p>
      <w:pPr>
        <w:adjustRightInd w:val="0"/>
        <w:snapToGrid w:val="0"/>
        <w:spacing w:before="240" w:line="360" w:lineRule="auto"/>
        <w:ind w:firstLine="420" w:firstLineChars="200"/>
        <w:rPr>
          <w:rFonts w:eastAsia="Times New Roman"/>
          <w:snapToGrid w:val="0"/>
          <w:szCs w:val="21"/>
          <w:highlight w:val="none"/>
        </w:rPr>
      </w:pPr>
      <w:r>
        <w:rPr>
          <w:rFonts w:hint="eastAsia" w:ascii="宋体" w:hAnsi="宋体" w:cs="宋体"/>
          <w:snapToGrid w:val="0"/>
          <w:szCs w:val="21"/>
          <w:highlight w:val="none"/>
        </w:rPr>
        <w:t>注：</w:t>
      </w:r>
    </w:p>
    <w:p>
      <w:pPr>
        <w:numPr>
          <w:ilvl w:val="0"/>
          <w:numId w:val="14"/>
        </w:numPr>
        <w:adjustRightInd w:val="0"/>
        <w:snapToGrid w:val="0"/>
        <w:spacing w:line="360" w:lineRule="auto"/>
        <w:ind w:left="0" w:firstLine="420" w:firstLineChars="200"/>
        <w:rPr>
          <w:rFonts w:eastAsia="Times New Roman"/>
          <w:snapToGrid w:val="0"/>
          <w:szCs w:val="21"/>
          <w:highlight w:val="none"/>
        </w:rPr>
      </w:pPr>
      <w:r>
        <w:rPr>
          <w:rFonts w:hint="eastAsia" w:ascii="宋体" w:hAnsi="宋体" w:cs="宋体"/>
          <w:snapToGrid w:val="0"/>
          <w:szCs w:val="21"/>
          <w:highlight w:val="none"/>
        </w:rPr>
        <w:t>报价采用人民币报价，报价保留至小数点后两位。</w:t>
      </w:r>
    </w:p>
    <w:p>
      <w:pPr>
        <w:numPr>
          <w:ilvl w:val="0"/>
          <w:numId w:val="14"/>
        </w:numPr>
        <w:adjustRightInd w:val="0"/>
        <w:snapToGrid w:val="0"/>
        <w:spacing w:line="360" w:lineRule="auto"/>
        <w:ind w:left="0" w:firstLine="420" w:firstLineChars="200"/>
        <w:rPr>
          <w:rFonts w:eastAsia="Times New Roman"/>
          <w:snapToGrid w:val="0"/>
          <w:szCs w:val="21"/>
          <w:highlight w:val="none"/>
        </w:rPr>
      </w:pPr>
      <w:r>
        <w:rPr>
          <w:rFonts w:hint="eastAsia" w:ascii="宋体" w:hAnsi="宋体" w:cs="宋体"/>
          <w:snapToGrid w:val="0"/>
          <w:szCs w:val="21"/>
          <w:highlight w:val="none"/>
        </w:rPr>
        <w:t>报价包含本采购文件所要求的完成本项目以及伴随服务等全过程产生的所有成本和费用以及一切税费。</w:t>
      </w:r>
    </w:p>
    <w:p>
      <w:pPr>
        <w:numPr>
          <w:ilvl w:val="0"/>
          <w:numId w:val="14"/>
        </w:numPr>
        <w:adjustRightInd w:val="0"/>
        <w:snapToGrid w:val="0"/>
        <w:spacing w:line="360" w:lineRule="auto"/>
        <w:ind w:left="0" w:firstLine="420" w:firstLineChars="200"/>
        <w:rPr>
          <w:rFonts w:eastAsia="Times New Roman"/>
          <w:snapToGrid w:val="0"/>
          <w:szCs w:val="21"/>
          <w:highlight w:val="none"/>
        </w:rPr>
      </w:pPr>
      <w:r>
        <w:rPr>
          <w:rFonts w:hint="eastAsia" w:ascii="宋体" w:hAnsi="宋体" w:cs="宋体"/>
          <w:snapToGrid w:val="0"/>
          <w:szCs w:val="21"/>
          <w:highlight w:val="none"/>
        </w:rPr>
        <w:t>所有供应商必须按采购文件要求逐项报价。如出现缺项、漏项、少报、错报时，相应的费用视为包含在报价的其他项目价格中，合同总价不予增加。</w:t>
      </w:r>
    </w:p>
    <w:p>
      <w:pPr>
        <w:numPr>
          <w:ilvl w:val="0"/>
          <w:numId w:val="14"/>
        </w:numPr>
        <w:adjustRightInd w:val="0"/>
        <w:snapToGrid w:val="0"/>
        <w:spacing w:line="360" w:lineRule="auto"/>
        <w:ind w:left="0" w:firstLine="420" w:firstLineChars="200"/>
        <w:rPr>
          <w:rFonts w:eastAsia="Times New Roman"/>
          <w:snapToGrid w:val="0"/>
          <w:szCs w:val="21"/>
          <w:highlight w:val="none"/>
        </w:rPr>
      </w:pPr>
      <w:r>
        <w:rPr>
          <w:rFonts w:hint="eastAsia" w:ascii="宋体" w:hAnsi="宋体" w:cs="宋体"/>
          <w:snapToGrid w:val="0"/>
          <w:szCs w:val="21"/>
          <w:highlight w:val="none"/>
        </w:rPr>
        <w:t>供应商必须提供增值税专用发票。</w:t>
      </w:r>
    </w:p>
    <w:p>
      <w:pPr>
        <w:numPr>
          <w:ilvl w:val="0"/>
          <w:numId w:val="14"/>
        </w:numPr>
        <w:adjustRightInd w:val="0"/>
        <w:snapToGrid w:val="0"/>
        <w:spacing w:line="360" w:lineRule="auto"/>
        <w:ind w:left="0" w:firstLine="420" w:firstLineChars="200"/>
        <w:rPr>
          <w:rFonts w:eastAsia="Times New Roman"/>
          <w:snapToGrid w:val="0"/>
          <w:szCs w:val="21"/>
          <w:highlight w:val="none"/>
        </w:rPr>
      </w:pPr>
      <w:r>
        <w:rPr>
          <w:rFonts w:hint="eastAsia" w:ascii="宋体" w:hAnsi="宋体" w:cs="宋体"/>
          <w:snapToGrid w:val="0"/>
          <w:szCs w:val="21"/>
          <w:highlight w:val="none"/>
        </w:rPr>
        <w:t>报价中的不含税单价在合同执行期间是固定的，不得以任何理由变更。合同的增值税率按照国家税收法规政策变动而调整。</w:t>
      </w:r>
    </w:p>
    <w:p>
      <w:pPr>
        <w:adjustRightInd w:val="0"/>
        <w:snapToGrid w:val="0"/>
        <w:spacing w:line="360" w:lineRule="auto"/>
        <w:rPr>
          <w:rFonts w:ascii="宋体" w:hAnsi="宋体"/>
          <w:sz w:val="24"/>
          <w:szCs w:val="24"/>
          <w:highlight w:val="none"/>
        </w:rPr>
      </w:pPr>
    </w:p>
    <w:p>
      <w:pPr>
        <w:adjustRightInd w:val="0"/>
        <w:snapToGrid w:val="0"/>
        <w:spacing w:line="360" w:lineRule="auto"/>
        <w:ind w:firstLine="480" w:firstLineChars="200"/>
        <w:rPr>
          <w:rFonts w:ascii="宋体" w:hAnsi="宋体"/>
          <w:kern w:val="10"/>
          <w:sz w:val="24"/>
          <w:szCs w:val="24"/>
          <w:highlight w:val="none"/>
          <w:u w:val="single"/>
        </w:rPr>
      </w:pPr>
      <w:r>
        <w:rPr>
          <w:rFonts w:ascii="宋体" w:hAnsi="宋体"/>
          <w:kern w:val="10"/>
          <w:sz w:val="24"/>
          <w:szCs w:val="24"/>
          <w:highlight w:val="none"/>
        </w:rPr>
        <w:t>参选人（盖章）：</w:t>
      </w:r>
      <w:r>
        <w:rPr>
          <w:rFonts w:ascii="宋体" w:hAnsi="宋体"/>
          <w:kern w:val="10"/>
          <w:sz w:val="24"/>
          <w:szCs w:val="24"/>
          <w:highlight w:val="none"/>
          <w:u w:val="single"/>
        </w:rPr>
        <w:t xml:space="preserve">           [参选人名称]              </w:t>
      </w:r>
    </w:p>
    <w:p>
      <w:pPr>
        <w:adjustRightInd w:val="0"/>
        <w:snapToGrid w:val="0"/>
        <w:spacing w:line="360" w:lineRule="auto"/>
        <w:ind w:firstLine="480" w:firstLineChars="200"/>
        <w:rPr>
          <w:rFonts w:ascii="宋体" w:hAnsi="宋体"/>
          <w:bCs/>
          <w:sz w:val="24"/>
          <w:szCs w:val="24"/>
          <w:highlight w:val="none"/>
        </w:rPr>
      </w:pPr>
      <w:r>
        <w:rPr>
          <w:rFonts w:hAnsi="宋体"/>
          <w:sz w:val="24"/>
          <w:szCs w:val="24"/>
          <w:highlight w:val="none"/>
        </w:rPr>
        <w:t>法定代表人（签字或盖章）：</w:t>
      </w:r>
      <w:r>
        <w:rPr>
          <w:rFonts w:hAnsi="宋体"/>
          <w:sz w:val="24"/>
          <w:szCs w:val="24"/>
          <w:highlight w:val="none"/>
          <w:u w:val="single"/>
        </w:rPr>
        <w:t xml:space="preserve">                           </w:t>
      </w:r>
    </w:p>
    <w:p>
      <w:pPr>
        <w:adjustRightInd w:val="0"/>
        <w:snapToGrid w:val="0"/>
        <w:spacing w:line="360" w:lineRule="auto"/>
        <w:ind w:firstLine="480" w:firstLineChars="200"/>
        <w:rPr>
          <w:rFonts w:ascii="宋体" w:hAnsi="宋体"/>
          <w:sz w:val="24"/>
          <w:szCs w:val="24"/>
          <w:highlight w:val="none"/>
          <w:u w:val="single"/>
        </w:rPr>
      </w:pPr>
      <w:r>
        <w:rPr>
          <w:rFonts w:hint="eastAsia" w:ascii="宋体" w:hAnsi="宋体"/>
          <w:bCs/>
          <w:sz w:val="24"/>
          <w:szCs w:val="24"/>
          <w:highlight w:val="none"/>
        </w:rPr>
        <w:t>日    期：</w:t>
      </w:r>
      <w:r>
        <w:rPr>
          <w:rFonts w:hint="eastAsia" w:ascii="宋体" w:hAnsi="宋体"/>
          <w:sz w:val="24"/>
          <w:szCs w:val="24"/>
          <w:highlight w:val="none"/>
          <w:u w:val="single"/>
        </w:rPr>
        <w:t xml:space="preserve"> 2022 </w:t>
      </w:r>
      <w:r>
        <w:rPr>
          <w:rFonts w:ascii="宋体" w:hAnsi="宋体"/>
          <w:sz w:val="24"/>
          <w:szCs w:val="24"/>
          <w:highlight w:val="none"/>
        </w:rPr>
        <w:t>年</w:t>
      </w:r>
      <w:r>
        <w:rPr>
          <w:rFonts w:hint="eastAsia" w:ascii="宋体" w:hAnsi="宋体"/>
          <w:sz w:val="24"/>
          <w:szCs w:val="24"/>
          <w:highlight w:val="none"/>
          <w:u w:val="single"/>
        </w:rPr>
        <w:t xml:space="preserve">    </w:t>
      </w:r>
      <w:r>
        <w:rPr>
          <w:rFonts w:ascii="宋体" w:hAnsi="宋体"/>
          <w:sz w:val="24"/>
          <w:szCs w:val="24"/>
          <w:highlight w:val="none"/>
        </w:rPr>
        <w:t>月</w:t>
      </w:r>
      <w:r>
        <w:rPr>
          <w:rFonts w:hint="eastAsia" w:ascii="宋体" w:hAnsi="宋体"/>
          <w:sz w:val="24"/>
          <w:szCs w:val="24"/>
          <w:highlight w:val="none"/>
          <w:u w:val="single"/>
        </w:rPr>
        <w:t xml:space="preserve">    日</w:t>
      </w:r>
    </w:p>
    <w:p>
      <w:pPr>
        <w:pStyle w:val="2"/>
        <w:ind w:firstLine="480"/>
        <w:rPr>
          <w:rFonts w:ascii="宋体" w:hAnsi="宋体"/>
          <w:sz w:val="24"/>
          <w:szCs w:val="24"/>
          <w:highlight w:val="none"/>
          <w:u w:val="single"/>
        </w:rPr>
      </w:pPr>
    </w:p>
    <w:p>
      <w:pPr>
        <w:pStyle w:val="2"/>
        <w:ind w:firstLine="480"/>
        <w:rPr>
          <w:rFonts w:ascii="宋体" w:hAnsi="宋体"/>
          <w:sz w:val="24"/>
          <w:szCs w:val="24"/>
          <w:highlight w:val="none"/>
          <w:u w:val="single"/>
        </w:rPr>
      </w:pPr>
    </w:p>
    <w:p>
      <w:pPr>
        <w:pStyle w:val="2"/>
        <w:ind w:firstLine="480"/>
        <w:rPr>
          <w:rFonts w:ascii="宋体" w:hAnsi="宋体"/>
          <w:sz w:val="24"/>
          <w:szCs w:val="24"/>
          <w:highlight w:val="none"/>
          <w:u w:val="single"/>
        </w:rPr>
      </w:pPr>
    </w:p>
    <w:p>
      <w:pPr>
        <w:pStyle w:val="2"/>
        <w:ind w:firstLine="480"/>
        <w:rPr>
          <w:rFonts w:ascii="宋体" w:hAnsi="宋体"/>
          <w:sz w:val="24"/>
          <w:szCs w:val="24"/>
          <w:highlight w:val="none"/>
          <w:u w:val="single"/>
        </w:rPr>
      </w:pPr>
    </w:p>
    <w:p>
      <w:pPr>
        <w:pStyle w:val="2"/>
        <w:ind w:firstLine="480"/>
        <w:rPr>
          <w:rFonts w:ascii="宋体" w:hAnsi="宋体"/>
          <w:sz w:val="24"/>
          <w:szCs w:val="24"/>
          <w:highlight w:val="none"/>
          <w:u w:val="single"/>
        </w:rPr>
      </w:pPr>
    </w:p>
    <w:p>
      <w:pPr>
        <w:pStyle w:val="5"/>
        <w:spacing w:line="360" w:lineRule="auto"/>
        <w:rPr>
          <w:b w:val="0"/>
          <w:sz w:val="44"/>
          <w:szCs w:val="44"/>
          <w:highlight w:val="none"/>
        </w:rPr>
      </w:pPr>
      <w:r>
        <w:rPr>
          <w:rFonts w:hint="eastAsia"/>
          <w:b w:val="0"/>
          <w:sz w:val="44"/>
          <w:szCs w:val="44"/>
          <w:highlight w:val="none"/>
        </w:rPr>
        <w:t>第三篇 合同</w:t>
      </w:r>
    </w:p>
    <w:p>
      <w:pPr>
        <w:jc w:val="both"/>
        <w:rPr>
          <w:rFonts w:cs="宋体"/>
          <w:b/>
          <w:bCs/>
          <w:sz w:val="40"/>
          <w:szCs w:val="52"/>
          <w:highlight w:val="none"/>
        </w:rPr>
      </w:pPr>
      <w:r>
        <w:rPr>
          <w:rFonts w:hint="eastAsia" w:ascii="仿宋_GB2312" w:hAnsi="仿宋_GB2312" w:eastAsia="仿宋_GB2312" w:cs="Calibri"/>
          <w:sz w:val="28"/>
          <w:szCs w:val="28"/>
          <w:highlight w:val="none"/>
        </w:rPr>
        <w:t>后续</w:t>
      </w:r>
      <w:r>
        <w:rPr>
          <w:rFonts w:hint="eastAsia" w:ascii="仿宋_GB2312" w:hAnsi="仿宋_GB2312" w:eastAsia="仿宋_GB2312" w:cs="Calibri"/>
          <w:sz w:val="28"/>
          <w:szCs w:val="28"/>
          <w:highlight w:val="none"/>
          <w:lang w:val="en-US" w:eastAsia="zh-CN"/>
        </w:rPr>
        <w:t>已确定项目开发主体的项目，由</w:t>
      </w:r>
      <w:r>
        <w:rPr>
          <w:rFonts w:hint="eastAsia" w:ascii="仿宋_GB2312" w:hAnsi="仿宋_GB2312" w:eastAsia="仿宋_GB2312" w:cs="Calibri"/>
          <w:sz w:val="28"/>
          <w:szCs w:val="28"/>
          <w:highlight w:val="none"/>
        </w:rPr>
        <w:t>中选人与实际项目开发主体签订合同；</w:t>
      </w:r>
      <w:r>
        <w:rPr>
          <w:rFonts w:hint="eastAsia" w:ascii="仿宋_GB2312" w:hAnsi="仿宋_GB2312" w:eastAsia="仿宋_GB2312" w:cs="仿宋_GB2312"/>
          <w:sz w:val="28"/>
          <w:szCs w:val="28"/>
          <w:highlight w:val="none"/>
        </w:rPr>
        <w:t>考虑到后续新项目</w:t>
      </w:r>
      <w:r>
        <w:rPr>
          <w:rFonts w:hint="eastAsia" w:ascii="仿宋_GB2312" w:hAnsi="仿宋_GB2312" w:eastAsia="仿宋_GB2312" w:cs="仿宋_GB2312"/>
          <w:sz w:val="28"/>
          <w:szCs w:val="28"/>
          <w:highlight w:val="none"/>
          <w:lang w:val="en-US" w:eastAsia="zh-CN"/>
        </w:rPr>
        <w:t>开发</w:t>
      </w:r>
      <w:r>
        <w:rPr>
          <w:rFonts w:hint="eastAsia" w:ascii="仿宋_GB2312" w:hAnsi="仿宋_GB2312" w:eastAsia="仿宋_GB2312" w:cs="仿宋_GB2312"/>
          <w:sz w:val="28"/>
          <w:szCs w:val="28"/>
          <w:highlight w:val="none"/>
        </w:rPr>
        <w:t>主体的不确定性</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剩余</w:t>
      </w:r>
      <w:r>
        <w:rPr>
          <w:rFonts w:hint="eastAsia" w:ascii="仿宋_GB2312" w:hAnsi="仿宋_GB2312" w:eastAsia="仿宋_GB2312" w:cs="Calibri"/>
          <w:sz w:val="28"/>
          <w:szCs w:val="28"/>
          <w:highlight w:val="none"/>
        </w:rPr>
        <w:t>未确定开发主体的项目，由中选人与</w:t>
      </w:r>
      <w:r>
        <w:rPr>
          <w:rFonts w:hint="eastAsia" w:ascii="仿宋_GB2312" w:hAnsi="仿宋_GB2312" w:eastAsia="仿宋_GB2312" w:cs="仿宋_GB2312"/>
          <w:sz w:val="28"/>
          <w:szCs w:val="28"/>
          <w:highlight w:val="none"/>
        </w:rPr>
        <w:t>深圳地铁集团有限公司、深圳地铁置业集团有限公司</w:t>
      </w:r>
      <w:r>
        <w:rPr>
          <w:rFonts w:hint="eastAsia" w:ascii="仿宋_GB2312" w:hAnsi="仿宋_GB2312" w:eastAsia="仿宋_GB2312" w:cs="仿宋_GB2312"/>
          <w:sz w:val="28"/>
          <w:szCs w:val="28"/>
          <w:highlight w:val="none"/>
          <w:lang w:val="en-US" w:eastAsia="zh-CN"/>
        </w:rPr>
        <w:t>或</w:t>
      </w:r>
      <w:r>
        <w:rPr>
          <w:rFonts w:hint="eastAsia" w:ascii="仿宋_GB2312" w:hAnsi="仿宋_GB2312" w:eastAsia="仿宋_GB2312" w:cs="仿宋_GB2312"/>
          <w:sz w:val="28"/>
          <w:szCs w:val="28"/>
          <w:highlight w:val="none"/>
        </w:rPr>
        <w:t>深圳地铁前海国际发展有限公司</w:t>
      </w:r>
      <w:r>
        <w:rPr>
          <w:rFonts w:hint="eastAsia" w:ascii="仿宋_GB2312" w:hAnsi="仿宋_GB2312" w:eastAsia="仿宋_GB2312" w:cs="仿宋_GB2312"/>
          <w:sz w:val="28"/>
          <w:szCs w:val="28"/>
          <w:highlight w:val="none"/>
          <w:lang w:val="en-US" w:eastAsia="zh-CN"/>
        </w:rPr>
        <w:t>3个开发主体共同</w:t>
      </w:r>
      <w:r>
        <w:rPr>
          <w:rFonts w:hint="eastAsia" w:ascii="仿宋_GB2312" w:hAnsi="仿宋_GB2312" w:eastAsia="仿宋_GB2312" w:cs="仿宋_GB2312"/>
          <w:sz w:val="28"/>
          <w:szCs w:val="28"/>
          <w:highlight w:val="none"/>
        </w:rPr>
        <w:t>签定</w:t>
      </w:r>
      <w:r>
        <w:rPr>
          <w:rFonts w:hint="eastAsia" w:ascii="仿宋_GB2312" w:hAnsi="仿宋_GB2312" w:eastAsia="仿宋_GB2312" w:cs="仿宋_GB2312"/>
          <w:sz w:val="28"/>
          <w:szCs w:val="28"/>
          <w:highlight w:val="none"/>
          <w:lang w:val="en-US" w:eastAsia="zh-CN"/>
        </w:rPr>
        <w:t>四方协议</w:t>
      </w:r>
      <w:r>
        <w:rPr>
          <w:rFonts w:hint="eastAsia" w:ascii="仿宋_GB2312" w:hAnsi="仿宋_GB2312" w:eastAsia="仿宋_GB2312" w:cs="仿宋_GB2312"/>
          <w:sz w:val="28"/>
          <w:szCs w:val="28"/>
          <w:highlight w:val="none"/>
        </w:rPr>
        <w:t>。</w:t>
      </w:r>
    </w:p>
    <w:p>
      <w:pPr>
        <w:jc w:val="center"/>
        <w:rPr>
          <w:rFonts w:cs="宋体"/>
          <w:b/>
          <w:bCs/>
          <w:sz w:val="40"/>
          <w:szCs w:val="52"/>
          <w:highlight w:val="none"/>
        </w:rPr>
      </w:pPr>
      <w:r>
        <w:rPr>
          <w:rFonts w:hint="eastAsia" w:cs="宋体"/>
          <w:b/>
          <w:bCs/>
          <w:sz w:val="40"/>
          <w:szCs w:val="52"/>
          <w:highlight w:val="none"/>
          <w:lang w:val="en-US" w:eastAsia="zh-CN"/>
        </w:rPr>
        <w:t>XX</w:t>
      </w:r>
      <w:r>
        <w:rPr>
          <w:rFonts w:hint="eastAsia" w:cs="宋体"/>
          <w:b/>
          <w:bCs/>
          <w:sz w:val="40"/>
          <w:szCs w:val="52"/>
          <w:highlight w:val="none"/>
        </w:rPr>
        <w:t>新项目税务咨询服务业务合同</w:t>
      </w:r>
    </w:p>
    <w:p>
      <w:pPr>
        <w:spacing w:line="360" w:lineRule="auto"/>
        <w:ind w:firstLine="883"/>
        <w:jc w:val="center"/>
        <w:rPr>
          <w:rFonts w:ascii="宋体"/>
          <w:b/>
          <w:sz w:val="44"/>
          <w:szCs w:val="44"/>
          <w:highlight w:val="none"/>
        </w:rPr>
      </w:pPr>
    </w:p>
    <w:p>
      <w:pPr>
        <w:spacing w:line="360" w:lineRule="auto"/>
        <w:jc w:val="center"/>
        <w:rPr>
          <w:rFonts w:ascii="宋体"/>
          <w:b/>
          <w:sz w:val="30"/>
          <w:szCs w:val="30"/>
          <w:highlight w:val="none"/>
        </w:rPr>
      </w:pPr>
      <w:r>
        <w:rPr>
          <w:rFonts w:hint="eastAsia" w:ascii="宋体"/>
          <w:b/>
          <w:sz w:val="30"/>
          <w:szCs w:val="30"/>
          <w:highlight w:val="none"/>
        </w:rPr>
        <w:t>合同编号：</w:t>
      </w:r>
    </w:p>
    <w:p>
      <w:pPr>
        <w:spacing w:line="360" w:lineRule="auto"/>
        <w:jc w:val="both"/>
        <w:rPr>
          <w:rFonts w:ascii="宋体" w:hAnsi="宋体"/>
          <w:b/>
          <w:sz w:val="36"/>
          <w:szCs w:val="36"/>
          <w:highlight w:val="none"/>
        </w:rPr>
      </w:pPr>
    </w:p>
    <w:p>
      <w:pPr>
        <w:spacing w:line="360" w:lineRule="auto"/>
        <w:ind w:firstLine="723"/>
        <w:jc w:val="center"/>
        <w:rPr>
          <w:rFonts w:ascii="宋体" w:hAnsi="宋体"/>
          <w:b/>
          <w:sz w:val="36"/>
          <w:szCs w:val="36"/>
          <w:highlight w:val="none"/>
        </w:rPr>
      </w:pPr>
    </w:p>
    <w:p>
      <w:pPr>
        <w:spacing w:line="360" w:lineRule="auto"/>
        <w:ind w:firstLine="723"/>
        <w:jc w:val="center"/>
        <w:rPr>
          <w:rFonts w:ascii="宋体" w:hAnsi="宋体"/>
          <w:b/>
          <w:sz w:val="36"/>
          <w:szCs w:val="36"/>
          <w:highlight w:val="none"/>
        </w:rPr>
      </w:pPr>
    </w:p>
    <w:tbl>
      <w:tblPr>
        <w:tblStyle w:val="49"/>
        <w:tblW w:w="0" w:type="auto"/>
        <w:jc w:val="center"/>
        <w:tblLayout w:type="fixed"/>
        <w:tblCellMar>
          <w:top w:w="0" w:type="dxa"/>
          <w:left w:w="108" w:type="dxa"/>
          <w:bottom w:w="0" w:type="dxa"/>
          <w:right w:w="108" w:type="dxa"/>
        </w:tblCellMar>
      </w:tblPr>
      <w:tblGrid>
        <w:gridCol w:w="1418"/>
        <w:gridCol w:w="4390"/>
      </w:tblGrid>
      <w:tr>
        <w:tblPrEx>
          <w:tblCellMar>
            <w:top w:w="0" w:type="dxa"/>
            <w:left w:w="108" w:type="dxa"/>
            <w:bottom w:w="0" w:type="dxa"/>
            <w:right w:w="108" w:type="dxa"/>
          </w:tblCellMar>
        </w:tblPrEx>
        <w:trPr>
          <w:trHeight w:val="748" w:hRule="atLeast"/>
          <w:jc w:val="center"/>
        </w:trPr>
        <w:tc>
          <w:tcPr>
            <w:tcW w:w="1418" w:type="dxa"/>
          </w:tcPr>
          <w:p>
            <w:pPr>
              <w:rPr>
                <w:sz w:val="32"/>
                <w:szCs w:val="32"/>
                <w:highlight w:val="none"/>
              </w:rPr>
            </w:pPr>
            <w:r>
              <w:rPr>
                <w:rFonts w:hint="eastAsia"/>
                <w:sz w:val="32"/>
                <w:szCs w:val="32"/>
                <w:highlight w:val="none"/>
              </w:rPr>
              <w:t>甲方：</w:t>
            </w:r>
          </w:p>
        </w:tc>
        <w:tc>
          <w:tcPr>
            <w:tcW w:w="4390" w:type="dxa"/>
          </w:tcPr>
          <w:p>
            <w:pPr>
              <w:rPr>
                <w:sz w:val="32"/>
                <w:szCs w:val="32"/>
                <w:highlight w:val="none"/>
                <w:u w:val="single"/>
              </w:rPr>
            </w:pPr>
            <w:r>
              <w:rPr>
                <w:rFonts w:hint="eastAsia" w:hAnsi="宋体"/>
                <w:b/>
                <w:bCs/>
                <w:color w:val="0D0D0D"/>
                <w:sz w:val="36"/>
                <w:szCs w:val="36"/>
                <w:highlight w:val="none"/>
                <w:u w:val="single"/>
              </w:rPr>
              <w:t>深圳地铁置业集团有限公司</w:t>
            </w:r>
          </w:p>
        </w:tc>
      </w:tr>
      <w:tr>
        <w:tblPrEx>
          <w:tblCellMar>
            <w:top w:w="0" w:type="dxa"/>
            <w:left w:w="108" w:type="dxa"/>
            <w:bottom w:w="0" w:type="dxa"/>
            <w:right w:w="108" w:type="dxa"/>
          </w:tblCellMar>
        </w:tblPrEx>
        <w:trPr>
          <w:jc w:val="center"/>
        </w:trPr>
        <w:tc>
          <w:tcPr>
            <w:tcW w:w="1418" w:type="dxa"/>
          </w:tcPr>
          <w:p>
            <w:pPr>
              <w:rPr>
                <w:sz w:val="32"/>
                <w:szCs w:val="32"/>
                <w:highlight w:val="none"/>
              </w:rPr>
            </w:pPr>
            <w:r>
              <w:rPr>
                <w:rFonts w:hint="eastAsia"/>
                <w:sz w:val="32"/>
                <w:szCs w:val="32"/>
                <w:highlight w:val="none"/>
              </w:rPr>
              <w:t>乙方：</w:t>
            </w:r>
          </w:p>
        </w:tc>
        <w:tc>
          <w:tcPr>
            <w:tcW w:w="4390" w:type="dxa"/>
          </w:tcPr>
          <w:p>
            <w:pPr>
              <w:rPr>
                <w:sz w:val="32"/>
                <w:szCs w:val="32"/>
                <w:highlight w:val="none"/>
                <w:u w:val="single"/>
              </w:rPr>
            </w:pPr>
          </w:p>
        </w:tc>
      </w:tr>
    </w:tbl>
    <w:p>
      <w:pPr>
        <w:spacing w:line="360" w:lineRule="auto"/>
        <w:ind w:firstLine="723"/>
        <w:jc w:val="center"/>
        <w:rPr>
          <w:rFonts w:ascii="宋体" w:hAnsi="宋体"/>
          <w:b/>
          <w:sz w:val="36"/>
          <w:szCs w:val="36"/>
          <w:highlight w:val="none"/>
        </w:rPr>
      </w:pPr>
    </w:p>
    <w:p>
      <w:pPr>
        <w:spacing w:line="360" w:lineRule="auto"/>
        <w:ind w:firstLine="560"/>
        <w:jc w:val="center"/>
        <w:rPr>
          <w:rFonts w:ascii="宋体" w:hAnsi="宋体"/>
          <w:szCs w:val="28"/>
          <w:highlight w:val="none"/>
        </w:rPr>
      </w:pPr>
    </w:p>
    <w:p>
      <w:pPr>
        <w:spacing w:line="360" w:lineRule="auto"/>
        <w:ind w:firstLine="560"/>
        <w:jc w:val="center"/>
        <w:rPr>
          <w:rFonts w:ascii="宋体" w:hAnsi="宋体"/>
          <w:szCs w:val="28"/>
          <w:highlight w:val="none"/>
        </w:rPr>
      </w:pPr>
    </w:p>
    <w:p>
      <w:pPr>
        <w:spacing w:line="360" w:lineRule="auto"/>
        <w:ind w:firstLine="560"/>
        <w:jc w:val="center"/>
        <w:rPr>
          <w:rFonts w:ascii="宋体" w:hAnsi="宋体"/>
          <w:szCs w:val="28"/>
          <w:highlight w:val="none"/>
        </w:rPr>
      </w:pPr>
    </w:p>
    <w:p>
      <w:pPr>
        <w:spacing w:line="360" w:lineRule="auto"/>
        <w:ind w:firstLine="560"/>
        <w:jc w:val="center"/>
        <w:rPr>
          <w:rFonts w:ascii="宋体" w:hAnsi="宋体"/>
          <w:sz w:val="32"/>
          <w:szCs w:val="32"/>
          <w:highlight w:val="none"/>
        </w:rPr>
      </w:pPr>
      <w:r>
        <w:rPr>
          <w:rFonts w:hint="eastAsia" w:ascii="宋体" w:hAnsi="宋体"/>
          <w:sz w:val="32"/>
          <w:szCs w:val="32"/>
          <w:highlight w:val="none"/>
        </w:rPr>
        <w:t>二〇二二年   月</w:t>
      </w:r>
    </w:p>
    <w:p>
      <w:pPr>
        <w:adjustRightInd w:val="0"/>
        <w:snapToGrid w:val="0"/>
        <w:spacing w:line="360" w:lineRule="auto"/>
        <w:jc w:val="left"/>
        <w:rPr>
          <w:rFonts w:ascii="宋体" w:hAnsi="宋体"/>
          <w:sz w:val="24"/>
          <w:highlight w:val="none"/>
        </w:rPr>
      </w:pPr>
    </w:p>
    <w:p>
      <w:pPr>
        <w:spacing w:line="360" w:lineRule="auto"/>
        <w:ind w:right="210"/>
        <w:rPr>
          <w:rFonts w:ascii="仿宋_GB2312" w:hAnsi="宋体" w:eastAsia="仿宋_GB2312"/>
          <w:sz w:val="28"/>
          <w:highlight w:val="none"/>
        </w:rPr>
      </w:pPr>
    </w:p>
    <w:p>
      <w:pPr>
        <w:spacing w:line="360" w:lineRule="auto"/>
        <w:ind w:right="210" w:firstLine="420" w:firstLineChars="150"/>
        <w:rPr>
          <w:rFonts w:ascii="仿宋_GB2312" w:hAnsi="宋体" w:eastAsia="仿宋_GB2312"/>
          <w:sz w:val="28"/>
          <w:highlight w:val="none"/>
          <w:u w:val="single"/>
        </w:rPr>
      </w:pPr>
      <w:r>
        <w:rPr>
          <w:rFonts w:hint="eastAsia" w:ascii="仿宋_GB2312" w:hAnsi="宋体" w:eastAsia="仿宋_GB2312"/>
          <w:sz w:val="28"/>
          <w:highlight w:val="none"/>
        </w:rPr>
        <w:t>委托方（甲方）：</w:t>
      </w:r>
      <w:r>
        <w:rPr>
          <w:rFonts w:hint="eastAsia" w:ascii="仿宋_GB2312" w:hAnsi="宋体" w:eastAsia="仿宋_GB2312"/>
          <w:sz w:val="28"/>
          <w:highlight w:val="none"/>
          <w:u w:val="single"/>
        </w:rPr>
        <w:t xml:space="preserve"> </w:t>
      </w:r>
    </w:p>
    <w:p>
      <w:pPr>
        <w:spacing w:line="360" w:lineRule="auto"/>
        <w:ind w:left="420" w:right="210"/>
        <w:rPr>
          <w:rFonts w:ascii="仿宋_GB2312" w:hAnsi="宋体" w:eastAsia="仿宋_GB2312"/>
          <w:sz w:val="28"/>
          <w:highlight w:val="none"/>
          <w:u w:val="single"/>
        </w:rPr>
      </w:pPr>
      <w:r>
        <w:rPr>
          <w:rFonts w:hint="eastAsia" w:ascii="仿宋_GB2312" w:hAnsi="宋体" w:eastAsia="仿宋_GB2312"/>
          <w:sz w:val="28"/>
          <w:highlight w:val="none"/>
        </w:rPr>
        <w:t>受托方（乙方）：</w:t>
      </w:r>
    </w:p>
    <w:p>
      <w:pPr>
        <w:spacing w:line="360" w:lineRule="auto"/>
        <w:ind w:right="-50" w:rightChars="-24" w:firstLine="560" w:firstLineChars="200"/>
        <w:jc w:val="left"/>
        <w:rPr>
          <w:rFonts w:ascii="仿宋_GB2312" w:eastAsia="仿宋_GB2312"/>
          <w:sz w:val="28"/>
          <w:szCs w:val="28"/>
          <w:highlight w:val="none"/>
        </w:rPr>
      </w:pPr>
      <w:r>
        <w:rPr>
          <w:rFonts w:hint="eastAsia" w:ascii="仿宋_GB2312" w:hAnsi="宋体" w:eastAsia="仿宋_GB2312"/>
          <w:color w:val="000000"/>
          <w:sz w:val="28"/>
          <w:highlight w:val="none"/>
        </w:rPr>
        <w:t>本合同甲方委托乙方完成</w:t>
      </w:r>
      <w:r>
        <w:rPr>
          <w:rFonts w:hint="eastAsia" w:ascii="仿宋_GB2312" w:hAnsi="宋体" w:eastAsia="仿宋_GB2312"/>
          <w:color w:val="000000"/>
          <w:sz w:val="28"/>
          <w:highlight w:val="none"/>
          <w:u w:val="single"/>
          <w:lang w:val="en-US" w:eastAsia="zh-CN"/>
        </w:rPr>
        <w:t xml:space="preserve">       </w:t>
      </w:r>
      <w:r>
        <w:rPr>
          <w:rFonts w:hint="eastAsia" w:ascii="仿宋_GB2312" w:hAnsi="宋体" w:eastAsia="仿宋_GB2312"/>
          <w:color w:val="000000"/>
          <w:sz w:val="28"/>
          <w:highlight w:val="none"/>
          <w:u w:val="single"/>
        </w:rPr>
        <w:t>项目税务咨询服务</w:t>
      </w:r>
      <w:r>
        <w:rPr>
          <w:rFonts w:hint="eastAsia" w:ascii="仿宋_GB2312" w:hAnsi="宋体" w:eastAsia="仿宋_GB2312"/>
          <w:color w:val="000000"/>
          <w:sz w:val="28"/>
          <w:highlight w:val="none"/>
        </w:rPr>
        <w:t>，并支付咨询费用。双方经过平等协商，在真实、充分地表达各自意愿的基础上，根据《中华人民共和国民法典》及相关法律、法规的规定，达成如下协议，并由双方共同恪守。</w:t>
      </w:r>
    </w:p>
    <w:p>
      <w:pPr>
        <w:spacing w:line="360" w:lineRule="auto"/>
        <w:ind w:right="210"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并由双方共同恪守。</w:t>
      </w:r>
    </w:p>
    <w:p>
      <w:pPr>
        <w:spacing w:line="360" w:lineRule="auto"/>
        <w:ind w:right="210" w:firstLine="562" w:firstLineChars="200"/>
        <w:jc w:val="left"/>
        <w:rPr>
          <w:rFonts w:ascii="仿宋_GB2312" w:eastAsia="仿宋_GB2312"/>
          <w:b/>
          <w:color w:val="000000"/>
          <w:sz w:val="28"/>
          <w:szCs w:val="28"/>
          <w:highlight w:val="none"/>
        </w:rPr>
      </w:pPr>
      <w:r>
        <w:rPr>
          <w:rFonts w:hint="eastAsia" w:ascii="仿宋_GB2312" w:eastAsia="仿宋_GB2312"/>
          <w:b/>
          <w:color w:val="000000"/>
          <w:sz w:val="28"/>
          <w:szCs w:val="28"/>
          <w:highlight w:val="none"/>
        </w:rPr>
        <w:t>第一条  工作内容</w:t>
      </w:r>
    </w:p>
    <w:p>
      <w:pPr>
        <w:spacing w:line="360" w:lineRule="auto"/>
        <w:ind w:right="210"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乙方为甲方提供以下范围税务服务，具体包括但不限于：</w:t>
      </w:r>
    </w:p>
    <w:p>
      <w:pPr>
        <w:spacing w:line="360" w:lineRule="auto"/>
        <w:ind w:right="210" w:firstLine="560" w:firstLineChars="200"/>
        <w:rPr>
          <w:rFonts w:ascii="仿宋_GB2312" w:eastAsia="仿宋_GB2312"/>
          <w:color w:val="000000"/>
          <w:sz w:val="28"/>
          <w:szCs w:val="28"/>
          <w:highlight w:val="none"/>
        </w:rPr>
      </w:pPr>
      <w:r>
        <w:rPr>
          <w:rFonts w:ascii="仿宋_GB2312" w:eastAsia="仿宋_GB2312"/>
          <w:color w:val="000000"/>
          <w:sz w:val="28"/>
          <w:szCs w:val="28"/>
          <w:highlight w:val="none"/>
        </w:rPr>
        <w:t>1、</w:t>
      </w:r>
      <w:r>
        <w:rPr>
          <w:rFonts w:hint="eastAsia" w:ascii="仿宋_GB2312" w:eastAsia="仿宋_GB2312"/>
          <w:color w:val="000000"/>
          <w:sz w:val="28"/>
          <w:szCs w:val="28"/>
          <w:highlight w:val="none"/>
        </w:rPr>
        <w:t>自发出每个项目的任务启动通知单之日起，根据项目的可行性研究报告，编制整体及专项税务测算及管理建议，对未来经营方案出具专项建议报告，该报告于发出通知单日起</w:t>
      </w:r>
      <w:r>
        <w:rPr>
          <w:rFonts w:ascii="仿宋_GB2312" w:eastAsia="仿宋_GB2312"/>
          <w:color w:val="000000"/>
          <w:sz w:val="28"/>
          <w:szCs w:val="28"/>
          <w:highlight w:val="none"/>
        </w:rPr>
        <w:t>30</w:t>
      </w:r>
      <w:r>
        <w:rPr>
          <w:rFonts w:hint="eastAsia" w:ascii="仿宋_GB2312" w:eastAsia="仿宋_GB2312"/>
          <w:color w:val="000000"/>
          <w:sz w:val="28"/>
          <w:szCs w:val="28"/>
          <w:highlight w:val="none"/>
        </w:rPr>
        <w:t>天内完成。每个项目服务期限为半年，如方案根据实际情况或者甲方要求需修改、完善的，亦应在每个项目的任务启动通知日起一个月内完成相关的调整、修改、完善等工作；</w:t>
      </w:r>
    </w:p>
    <w:p>
      <w:pPr>
        <w:spacing w:line="360" w:lineRule="auto"/>
        <w:ind w:right="210"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2、税务测算方案的实施提出具体建议书，如甲方采纳乙方建议，乙方应指导甲方财务人员规范实施建议；</w:t>
      </w:r>
    </w:p>
    <w:p>
      <w:pPr>
        <w:spacing w:line="360" w:lineRule="auto"/>
        <w:ind w:right="210" w:firstLine="560" w:firstLineChars="200"/>
        <w:rPr>
          <w:rFonts w:ascii="仿宋_GB2312" w:eastAsia="仿宋_GB2312"/>
          <w:color w:val="000000"/>
          <w:sz w:val="28"/>
          <w:szCs w:val="28"/>
          <w:highlight w:val="none"/>
        </w:rPr>
      </w:pPr>
      <w:r>
        <w:rPr>
          <w:rFonts w:ascii="仿宋_GB2312" w:eastAsia="仿宋_GB2312"/>
          <w:color w:val="000000"/>
          <w:sz w:val="28"/>
          <w:szCs w:val="28"/>
          <w:highlight w:val="none"/>
        </w:rPr>
        <w:t>3、</w:t>
      </w:r>
      <w:r>
        <w:rPr>
          <w:rFonts w:hint="eastAsia" w:ascii="仿宋_GB2312" w:eastAsia="仿宋_GB2312"/>
          <w:color w:val="000000"/>
          <w:sz w:val="28"/>
          <w:szCs w:val="28"/>
          <w:highlight w:val="none"/>
        </w:rPr>
        <w:t>指导甲方进行合同涉税条款的订立、修改，并提出相应的涉税建议；</w:t>
      </w:r>
    </w:p>
    <w:p>
      <w:pPr>
        <w:spacing w:line="360" w:lineRule="auto"/>
        <w:ind w:right="210"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4、指导甲方有关涉税法律文书制作、修改，并提出相应的涉税建议；</w:t>
      </w:r>
    </w:p>
    <w:p>
      <w:pPr>
        <w:spacing w:line="360" w:lineRule="auto"/>
        <w:ind w:right="210"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5、如甲方需要乙方指派专职人员到指定地点进行现场指导，乙方应根据甲方所涉及的税务问题复杂程度，指派完全能胜任工作的注册税务师提供税务顾问咨询服务，乙方派出人员现场服务产生的相关费用均已包含在本合同总价中，甲方不再另行支付。</w:t>
      </w:r>
    </w:p>
    <w:p>
      <w:pPr>
        <w:spacing w:line="360" w:lineRule="auto"/>
        <w:ind w:right="210" w:firstLine="562" w:firstLineChars="200"/>
        <w:rPr>
          <w:rFonts w:ascii="仿宋_GB2312" w:eastAsia="仿宋_GB2312"/>
          <w:b/>
          <w:color w:val="000000"/>
          <w:sz w:val="28"/>
          <w:szCs w:val="28"/>
          <w:highlight w:val="none"/>
        </w:rPr>
      </w:pPr>
      <w:r>
        <w:rPr>
          <w:rFonts w:hint="eastAsia" w:ascii="仿宋_GB2312" w:eastAsia="仿宋_GB2312"/>
          <w:b/>
          <w:color w:val="000000"/>
          <w:sz w:val="28"/>
          <w:szCs w:val="28"/>
          <w:highlight w:val="none"/>
        </w:rPr>
        <w:t>第二条  合同价款</w:t>
      </w:r>
    </w:p>
    <w:p>
      <w:pPr>
        <w:spacing w:line="360" w:lineRule="auto"/>
        <w:ind w:right="210" w:firstLine="560" w:firstLineChars="200"/>
        <w:rPr>
          <w:rFonts w:ascii="仿宋_GB2312" w:eastAsia="仿宋_GB2312"/>
          <w:color w:val="000000"/>
          <w:sz w:val="28"/>
          <w:szCs w:val="28"/>
          <w:highlight w:val="none"/>
        </w:rPr>
      </w:pPr>
      <w:r>
        <w:rPr>
          <w:rFonts w:hint="eastAsia" w:ascii="仿宋_GB2312" w:eastAsia="仿宋_GB2312"/>
          <w:color w:val="000000"/>
          <w:sz w:val="28"/>
          <w:szCs w:val="28"/>
          <w:highlight w:val="none"/>
        </w:rPr>
        <w:t>本合同为综合单价合同</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合同含税总价暂定为人民币    万元整（￥   元）</w:t>
      </w:r>
      <w:r>
        <w:rPr>
          <w:rFonts w:ascii="仿宋_GB2312" w:eastAsia="仿宋_GB2312"/>
          <w:color w:val="000000"/>
          <w:sz w:val="28"/>
          <w:szCs w:val="28"/>
          <w:highlight w:val="none"/>
        </w:rPr>
        <w:t>，</w:t>
      </w:r>
      <w:r>
        <w:rPr>
          <w:rFonts w:hint="eastAsia" w:ascii="仿宋_GB2312" w:eastAsia="仿宋_GB2312"/>
          <w:color w:val="000000"/>
          <w:sz w:val="28"/>
          <w:szCs w:val="28"/>
          <w:highlight w:val="none"/>
        </w:rPr>
        <w:t xml:space="preserve">其中不含税价   </w:t>
      </w:r>
      <w:r>
        <w:rPr>
          <w:rFonts w:ascii="仿宋_GB2312" w:eastAsia="仿宋_GB2312"/>
          <w:color w:val="000000"/>
          <w:sz w:val="28"/>
          <w:szCs w:val="28"/>
          <w:highlight w:val="none"/>
        </w:rPr>
        <w:t>元，增值税税额</w:t>
      </w:r>
      <w:r>
        <w:rPr>
          <w:rFonts w:hint="eastAsia" w:ascii="仿宋_GB2312" w:eastAsia="仿宋_GB2312"/>
          <w:color w:val="000000"/>
          <w:sz w:val="28"/>
          <w:szCs w:val="28"/>
          <w:highlight w:val="none"/>
        </w:rPr>
        <w:t xml:space="preserve">   </w:t>
      </w:r>
      <w:r>
        <w:rPr>
          <w:rFonts w:ascii="仿宋_GB2312" w:eastAsia="仿宋_GB2312"/>
          <w:color w:val="000000"/>
          <w:sz w:val="28"/>
          <w:szCs w:val="28"/>
          <w:highlight w:val="none"/>
        </w:rPr>
        <w:t>元，税率</w:t>
      </w:r>
      <w:r>
        <w:rPr>
          <w:rFonts w:hint="eastAsia" w:ascii="仿宋_GB2312" w:eastAsia="仿宋_GB2312"/>
          <w:color w:val="000000"/>
          <w:sz w:val="28"/>
          <w:szCs w:val="28"/>
          <w:highlight w:val="none"/>
        </w:rPr>
        <w:t>6</w:t>
      </w:r>
      <w:r>
        <w:rPr>
          <w:rFonts w:ascii="仿宋_GB2312" w:eastAsia="仿宋_GB2312"/>
          <w:color w:val="000000"/>
          <w:sz w:val="28"/>
          <w:szCs w:val="28"/>
          <w:highlight w:val="none"/>
        </w:rPr>
        <w:t>%。合同</w:t>
      </w:r>
      <w:r>
        <w:rPr>
          <w:rFonts w:hint="eastAsia" w:ascii="仿宋_GB2312" w:eastAsia="仿宋_GB2312"/>
          <w:color w:val="000000"/>
          <w:sz w:val="28"/>
          <w:szCs w:val="28"/>
          <w:highlight w:val="none"/>
        </w:rPr>
        <w:t>价款</w:t>
      </w:r>
      <w:r>
        <w:rPr>
          <w:rFonts w:ascii="仿宋_GB2312" w:eastAsia="仿宋_GB2312"/>
          <w:color w:val="000000"/>
          <w:sz w:val="28"/>
          <w:szCs w:val="28"/>
          <w:highlight w:val="none"/>
        </w:rPr>
        <w:t>增值税率根据国家税收法规政策变动而调整，不含税价不随增值税率的变化进行调整。</w:t>
      </w:r>
      <w:r>
        <w:rPr>
          <w:rFonts w:hint="eastAsia" w:ascii="仿宋_GB2312" w:eastAsia="仿宋_GB2312"/>
          <w:color w:val="000000"/>
          <w:sz w:val="28"/>
          <w:szCs w:val="28"/>
          <w:highlight w:val="none"/>
        </w:rPr>
        <w:t>每个项目服务费为人民币  万元整（￥   元），以实际完成的项目咨询服务据实结算。单个项目的合同价格为包干价，含人工费、资料费、差旅费、税费等所有费用。</w:t>
      </w:r>
    </w:p>
    <w:p>
      <w:pPr>
        <w:spacing w:line="360" w:lineRule="auto"/>
        <w:ind w:right="210" w:firstLine="568" w:firstLineChars="202"/>
        <w:rPr>
          <w:rFonts w:ascii="仿宋_GB2312" w:hAnsi="仿宋" w:eastAsia="仿宋_GB2312"/>
          <w:b/>
          <w:sz w:val="28"/>
          <w:szCs w:val="28"/>
          <w:highlight w:val="none"/>
        </w:rPr>
      </w:pPr>
      <w:r>
        <w:rPr>
          <w:rFonts w:hint="eastAsia" w:ascii="仿宋_GB2312" w:hAnsi="仿宋" w:eastAsia="仿宋_GB2312"/>
          <w:b/>
          <w:sz w:val="28"/>
          <w:szCs w:val="28"/>
          <w:highlight w:val="none"/>
        </w:rPr>
        <w:t>第三条</w:t>
      </w:r>
      <w:r>
        <w:rPr>
          <w:rFonts w:hint="eastAsia" w:ascii="仿宋_GB2312" w:hAnsi="仿宋" w:eastAsia="仿宋_GB2312"/>
          <w:sz w:val="28"/>
          <w:szCs w:val="28"/>
          <w:highlight w:val="none"/>
        </w:rPr>
        <w:t xml:space="preserve">  合同支付</w:t>
      </w:r>
    </w:p>
    <w:p>
      <w:pPr>
        <w:numPr>
          <w:ilvl w:val="255"/>
          <w:numId w:val="0"/>
        </w:numPr>
        <w:adjustRightInd w:val="0"/>
        <w:snapToGrid w:val="0"/>
        <w:spacing w:line="560" w:lineRule="exact"/>
        <w:ind w:firstLine="560" w:firstLineChars="200"/>
        <w:jc w:val="left"/>
        <w:rPr>
          <w:rFonts w:ascii="仿宋_GB2312" w:hAnsi="仿宋" w:eastAsia="仿宋_GB2312"/>
          <w:sz w:val="28"/>
          <w:szCs w:val="28"/>
          <w:highlight w:val="none"/>
        </w:rPr>
      </w:pPr>
      <w:r>
        <w:rPr>
          <w:rFonts w:hint="eastAsia" w:ascii="仿宋_GB2312" w:hAnsi="仿宋" w:eastAsia="仿宋_GB2312"/>
          <w:sz w:val="28"/>
          <w:szCs w:val="28"/>
          <w:highlight w:val="none"/>
        </w:rPr>
        <w:t>本合同服务费按项目分次支付，</w:t>
      </w:r>
      <w:r>
        <w:rPr>
          <w:rFonts w:ascii="仿宋_GB2312" w:hAnsi="仿宋" w:eastAsia="仿宋_GB2312"/>
          <w:sz w:val="28"/>
          <w:szCs w:val="28"/>
          <w:highlight w:val="none"/>
        </w:rPr>
        <w:t>乙方</w:t>
      </w:r>
      <w:r>
        <w:rPr>
          <w:rFonts w:hint="eastAsia" w:ascii="仿宋_GB2312" w:hAnsi="仿宋" w:eastAsia="仿宋_GB2312"/>
          <w:sz w:val="28"/>
          <w:szCs w:val="28"/>
          <w:highlight w:val="none"/>
        </w:rPr>
        <w:t>每</w:t>
      </w:r>
      <w:r>
        <w:rPr>
          <w:rFonts w:ascii="仿宋_GB2312" w:hAnsi="仿宋" w:eastAsia="仿宋_GB2312"/>
          <w:sz w:val="28"/>
          <w:szCs w:val="28"/>
          <w:highlight w:val="none"/>
        </w:rPr>
        <w:t>出具</w:t>
      </w:r>
      <w:r>
        <w:rPr>
          <w:rFonts w:hint="eastAsia" w:ascii="仿宋_GB2312" w:hAnsi="仿宋" w:eastAsia="仿宋_GB2312"/>
          <w:sz w:val="28"/>
          <w:szCs w:val="28"/>
          <w:highlight w:val="none"/>
        </w:rPr>
        <w:t>一份项目税务专项建议报告（终稿</w:t>
      </w:r>
      <w:r>
        <w:rPr>
          <w:rFonts w:ascii="仿宋_GB2312" w:hAnsi="仿宋" w:eastAsia="仿宋_GB2312"/>
          <w:sz w:val="28"/>
          <w:szCs w:val="28"/>
          <w:highlight w:val="none"/>
        </w:rPr>
        <w:t>）</w:t>
      </w:r>
      <w:r>
        <w:rPr>
          <w:rFonts w:hint="eastAsia" w:ascii="仿宋_GB2312" w:hAnsi="仿宋" w:eastAsia="仿宋_GB2312"/>
          <w:sz w:val="28"/>
          <w:szCs w:val="28"/>
          <w:highlight w:val="none"/>
        </w:rPr>
        <w:t>，且完成服务期内甲方要求的该项目全部工作并得到甲方验收确认后，由乙方根据合同规定向甲方提出书面付款申请，经甲方审核通过后的二十一个工作日内支付。由项目主体支付服务费。</w:t>
      </w:r>
    </w:p>
    <w:p>
      <w:pPr>
        <w:adjustRightInd w:val="0"/>
        <w:snapToGrid w:val="0"/>
        <w:spacing w:line="560" w:lineRule="exact"/>
        <w:ind w:firstLine="560" w:firstLineChars="200"/>
        <w:jc w:val="left"/>
        <w:rPr>
          <w:rFonts w:ascii="仿宋_GB2312" w:hAnsi="仿宋" w:eastAsia="仿宋_GB2312"/>
          <w:sz w:val="28"/>
          <w:szCs w:val="28"/>
          <w:highlight w:val="none"/>
        </w:rPr>
      </w:pPr>
      <w:r>
        <w:rPr>
          <w:rFonts w:hint="eastAsia" w:ascii="仿宋_GB2312" w:hAnsi="仿宋" w:eastAsia="仿宋_GB2312"/>
          <w:sz w:val="28"/>
          <w:szCs w:val="28"/>
          <w:highlight w:val="none"/>
        </w:rPr>
        <w:t>最后一笔支付需在合同结算完成后支付。</w:t>
      </w:r>
    </w:p>
    <w:p>
      <w:pPr>
        <w:spacing w:line="560" w:lineRule="exact"/>
        <w:ind w:firstLine="560" w:firstLineChars="200"/>
        <w:jc w:val="left"/>
        <w:rPr>
          <w:rFonts w:ascii="仿宋_GB2312" w:hAnsi="仿宋" w:eastAsia="仿宋_GB2312"/>
          <w:sz w:val="28"/>
          <w:szCs w:val="28"/>
          <w:highlight w:val="none"/>
        </w:rPr>
      </w:pPr>
      <w:r>
        <w:rPr>
          <w:rFonts w:hint="eastAsia" w:ascii="仿宋_GB2312" w:hAnsi="仿宋" w:eastAsia="仿宋_GB2312"/>
          <w:sz w:val="28"/>
          <w:szCs w:val="28"/>
          <w:highlight w:val="none"/>
        </w:rPr>
        <w:t>乙方需按项目主体开具</w:t>
      </w:r>
      <w:r>
        <w:rPr>
          <w:rFonts w:ascii="仿宋_GB2312" w:hAnsi="仿宋" w:eastAsia="仿宋_GB2312"/>
          <w:sz w:val="28"/>
          <w:szCs w:val="28"/>
          <w:highlight w:val="none"/>
        </w:rPr>
        <w:t>符合国家税务规定</w:t>
      </w:r>
      <w:r>
        <w:rPr>
          <w:rFonts w:hint="eastAsia" w:ascii="仿宋_GB2312" w:hAnsi="仿宋" w:eastAsia="仿宋_GB2312"/>
          <w:sz w:val="28"/>
          <w:szCs w:val="28"/>
          <w:highlight w:val="none"/>
        </w:rPr>
        <w:t>的增值税专用发票，由项目主体支付服务费（包括但不限于下列项目主体）。即：</w:t>
      </w:r>
    </w:p>
    <w:tbl>
      <w:tblPr>
        <w:tblStyle w:val="49"/>
        <w:tblpPr w:leftFromText="180" w:rightFromText="180" w:vertAnchor="text" w:horzAnchor="page" w:tblpXSpec="center" w:tblpY="550"/>
        <w:tblOverlap w:val="never"/>
        <w:tblW w:w="7239" w:type="dxa"/>
        <w:jc w:val="center"/>
        <w:tblLayout w:type="autofit"/>
        <w:tblCellMar>
          <w:top w:w="0" w:type="dxa"/>
          <w:left w:w="108" w:type="dxa"/>
          <w:bottom w:w="0" w:type="dxa"/>
          <w:right w:w="108" w:type="dxa"/>
        </w:tblCellMar>
      </w:tblPr>
      <w:tblGrid>
        <w:gridCol w:w="1094"/>
        <w:gridCol w:w="6145"/>
      </w:tblGrid>
      <w:tr>
        <w:tblPrEx>
          <w:tblCellMar>
            <w:top w:w="0" w:type="dxa"/>
            <w:left w:w="108" w:type="dxa"/>
            <w:bottom w:w="0" w:type="dxa"/>
            <w:right w:w="108" w:type="dxa"/>
          </w:tblCellMar>
        </w:tblPrEx>
        <w:trPr>
          <w:trHeight w:val="488"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2"/>
                <w:highlight w:val="none"/>
              </w:rPr>
            </w:pPr>
            <w:r>
              <w:rPr>
                <w:rFonts w:hint="eastAsia" w:ascii="仿宋" w:hAnsi="仿宋" w:eastAsia="仿宋" w:cs="仿宋"/>
                <w:b/>
                <w:bCs/>
                <w:color w:val="000000"/>
                <w:kern w:val="0"/>
                <w:sz w:val="22"/>
                <w:highlight w:val="none"/>
              </w:rPr>
              <w:t>序号</w:t>
            </w:r>
          </w:p>
        </w:tc>
        <w:tc>
          <w:tcPr>
            <w:tcW w:w="614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2"/>
                <w:highlight w:val="none"/>
              </w:rPr>
            </w:pPr>
            <w:r>
              <w:rPr>
                <w:rFonts w:hint="eastAsia" w:ascii="仿宋" w:hAnsi="仿宋" w:eastAsia="仿宋" w:cs="仿宋"/>
                <w:b/>
                <w:bCs/>
                <w:color w:val="000000"/>
                <w:kern w:val="0"/>
                <w:sz w:val="22"/>
                <w:highlight w:val="none"/>
              </w:rPr>
              <w:t>项目主体</w:t>
            </w:r>
          </w:p>
        </w:tc>
      </w:tr>
      <w:tr>
        <w:tblPrEx>
          <w:tblCellMar>
            <w:top w:w="0" w:type="dxa"/>
            <w:left w:w="108" w:type="dxa"/>
            <w:bottom w:w="0" w:type="dxa"/>
            <w:right w:w="108" w:type="dxa"/>
          </w:tblCellMar>
        </w:tblPrEx>
        <w:trPr>
          <w:trHeight w:val="378"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仿宋"/>
                <w:color w:val="000000"/>
                <w:kern w:val="0"/>
                <w:sz w:val="22"/>
                <w:highlight w:val="none"/>
              </w:rPr>
            </w:pPr>
            <w:r>
              <w:rPr>
                <w:rFonts w:hint="eastAsia" w:ascii="仿宋" w:hAnsi="仿宋" w:eastAsia="仿宋" w:cs="仿宋"/>
                <w:color w:val="000000"/>
                <w:kern w:val="0"/>
                <w:sz w:val="24"/>
                <w:szCs w:val="24"/>
                <w:highlight w:val="none"/>
              </w:rPr>
              <w:t>1</w:t>
            </w:r>
          </w:p>
        </w:tc>
        <w:tc>
          <w:tcPr>
            <w:tcW w:w="614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深圳市地铁集团有限公司</w:t>
            </w:r>
          </w:p>
        </w:tc>
      </w:tr>
      <w:tr>
        <w:tblPrEx>
          <w:tblCellMar>
            <w:top w:w="0" w:type="dxa"/>
            <w:left w:w="108" w:type="dxa"/>
            <w:bottom w:w="0" w:type="dxa"/>
            <w:right w:w="108" w:type="dxa"/>
          </w:tblCellMar>
        </w:tblPrEx>
        <w:trPr>
          <w:trHeight w:val="378"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仿宋"/>
                <w:color w:val="000000"/>
                <w:kern w:val="0"/>
                <w:sz w:val="22"/>
                <w:highlight w:val="none"/>
              </w:rPr>
            </w:pPr>
            <w:r>
              <w:rPr>
                <w:rFonts w:hint="eastAsia" w:ascii="仿宋" w:hAnsi="仿宋" w:eastAsia="仿宋" w:cs="仿宋"/>
                <w:color w:val="000000"/>
                <w:kern w:val="0"/>
                <w:sz w:val="22"/>
                <w:highlight w:val="none"/>
              </w:rPr>
              <w:t>2</w:t>
            </w:r>
          </w:p>
        </w:tc>
        <w:tc>
          <w:tcPr>
            <w:tcW w:w="614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深圳地铁前海国际发展有限公司</w:t>
            </w:r>
          </w:p>
        </w:tc>
      </w:tr>
      <w:tr>
        <w:tblPrEx>
          <w:tblCellMar>
            <w:top w:w="0" w:type="dxa"/>
            <w:left w:w="108" w:type="dxa"/>
            <w:bottom w:w="0" w:type="dxa"/>
            <w:right w:w="108" w:type="dxa"/>
          </w:tblCellMar>
        </w:tblPrEx>
        <w:trPr>
          <w:trHeight w:val="398" w:hRule="atLeast"/>
          <w:jc w:val="center"/>
        </w:trPr>
        <w:tc>
          <w:tcPr>
            <w:tcW w:w="1094"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3</w:t>
            </w:r>
          </w:p>
        </w:tc>
        <w:tc>
          <w:tcPr>
            <w:tcW w:w="6145"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仿宋" w:hAnsi="仿宋" w:eastAsia="仿宋" w:cs="仿宋"/>
                <w:color w:val="000000"/>
                <w:sz w:val="24"/>
                <w:szCs w:val="24"/>
                <w:highlight w:val="none"/>
              </w:rPr>
            </w:pPr>
            <w:r>
              <w:rPr>
                <w:rFonts w:hint="eastAsia" w:ascii="仿宋" w:hAnsi="仿宋" w:eastAsia="仿宋" w:cs="仿宋"/>
                <w:color w:val="000000"/>
                <w:sz w:val="24"/>
                <w:szCs w:val="24"/>
                <w:highlight w:val="none"/>
              </w:rPr>
              <w:t>深圳地铁置业集团有限公司</w:t>
            </w:r>
          </w:p>
        </w:tc>
      </w:tr>
    </w:tbl>
    <w:p>
      <w:pPr>
        <w:spacing w:line="360" w:lineRule="auto"/>
        <w:ind w:left="1121" w:leftChars="304" w:right="88" w:rightChars="42" w:hanging="483" w:hangingChars="172"/>
        <w:rPr>
          <w:rFonts w:ascii="仿宋_GB2312" w:hAnsi="仿宋" w:eastAsia="仿宋_GB2312"/>
          <w:sz w:val="28"/>
          <w:szCs w:val="28"/>
          <w:highlight w:val="none"/>
        </w:rPr>
      </w:pPr>
      <w:r>
        <w:rPr>
          <w:rFonts w:hint="eastAsia" w:ascii="仿宋_GB2312" w:hAnsi="仿宋" w:eastAsia="仿宋_GB2312"/>
          <w:b/>
          <w:sz w:val="28"/>
          <w:szCs w:val="28"/>
          <w:highlight w:val="none"/>
        </w:rPr>
        <w:t xml:space="preserve">第四条 </w:t>
      </w:r>
      <w:r>
        <w:rPr>
          <w:rFonts w:hint="eastAsia" w:ascii="仿宋_GB2312" w:hAnsi="仿宋" w:eastAsia="仿宋_GB2312"/>
          <w:sz w:val="28"/>
          <w:szCs w:val="28"/>
          <w:highlight w:val="none"/>
        </w:rPr>
        <w:t xml:space="preserve"> 服务期限</w:t>
      </w:r>
      <w:r>
        <w:rPr>
          <w:rFonts w:ascii="仿宋_GB2312" w:hAnsi="仿宋" w:eastAsia="仿宋_GB2312"/>
          <w:sz w:val="28"/>
          <w:szCs w:val="28"/>
          <w:highlight w:val="none"/>
        </w:rPr>
        <w:t xml:space="preserve"> </w:t>
      </w:r>
    </w:p>
    <w:p>
      <w:pPr>
        <w:rPr>
          <w:rFonts w:ascii="仿宋_GB2312" w:hAnsi="仿宋" w:eastAsia="仿宋_GB2312"/>
          <w:sz w:val="28"/>
          <w:szCs w:val="28"/>
          <w:highlight w:val="none"/>
        </w:rPr>
      </w:pPr>
      <w:r>
        <w:rPr>
          <w:rFonts w:hint="eastAsia" w:ascii="仿宋_GB2312" w:hAnsi="仿宋" w:eastAsia="仿宋_GB2312"/>
          <w:sz w:val="28"/>
          <w:szCs w:val="28"/>
          <w:highlight w:val="none"/>
        </w:rPr>
        <w:t>服务期暂定为3年，自合同签订之日起至乙方配合甲方完成合同约定所有项目税务咨询服务之日止。每个项目的服务期限分别自发出项目任务启动通知单之日起半年内，</w:t>
      </w:r>
      <w:r>
        <w:rPr>
          <w:rFonts w:hint="eastAsia" w:ascii="仿宋_GB2312" w:hAnsi="宋体" w:eastAsia="仿宋_GB2312"/>
          <w:sz w:val="28"/>
          <w:szCs w:val="28"/>
          <w:highlight w:val="none"/>
        </w:rPr>
        <w:t>以实际工作需求为准。</w:t>
      </w:r>
    </w:p>
    <w:p>
      <w:pPr>
        <w:spacing w:line="360" w:lineRule="auto"/>
        <w:ind w:left="2" w:right="210" w:firstLine="565" w:firstLineChars="201"/>
        <w:rPr>
          <w:rFonts w:ascii="仿宋_GB2312" w:hAnsi="宋体" w:eastAsia="仿宋_GB2312"/>
          <w:color w:val="000000"/>
          <w:sz w:val="28"/>
          <w:highlight w:val="none"/>
        </w:rPr>
      </w:pPr>
      <w:r>
        <w:rPr>
          <w:rFonts w:hint="eastAsia" w:ascii="仿宋_GB2312" w:hAnsi="宋体" w:eastAsia="仿宋_GB2312"/>
          <w:b/>
          <w:color w:val="000000"/>
          <w:sz w:val="28"/>
          <w:highlight w:val="none"/>
        </w:rPr>
        <w:t>第</w:t>
      </w:r>
      <w:r>
        <w:rPr>
          <w:rFonts w:hint="eastAsia" w:ascii="仿宋_GB2312" w:eastAsia="仿宋_GB2312"/>
          <w:b/>
          <w:sz w:val="28"/>
          <w:szCs w:val="28"/>
          <w:highlight w:val="none"/>
        </w:rPr>
        <w:t>五</w:t>
      </w:r>
      <w:r>
        <w:rPr>
          <w:rFonts w:hint="eastAsia" w:ascii="仿宋_GB2312" w:hAnsi="宋体" w:eastAsia="仿宋_GB2312"/>
          <w:b/>
          <w:color w:val="000000"/>
          <w:sz w:val="28"/>
          <w:highlight w:val="none"/>
        </w:rPr>
        <w:t>条</w:t>
      </w:r>
      <w:r>
        <w:rPr>
          <w:rFonts w:hint="eastAsia" w:ascii="仿宋_GB2312" w:hAnsi="宋体" w:eastAsia="仿宋_GB2312"/>
          <w:color w:val="000000"/>
          <w:sz w:val="28"/>
          <w:highlight w:val="none"/>
        </w:rPr>
        <w:t xml:space="preserve">  乙方的开户银行、名称和</w:t>
      </w:r>
      <w:r>
        <w:rPr>
          <w:rFonts w:hint="eastAsia" w:ascii="仿宋_GB2312" w:hAnsi="宋体" w:eastAsia="仿宋_GB2312"/>
          <w:color w:val="000000"/>
          <w:sz w:val="28"/>
          <w:highlight w:val="none"/>
          <w:lang w:val="en-US" w:eastAsia="zh-CN"/>
        </w:rPr>
        <w:t>账</w:t>
      </w:r>
      <w:r>
        <w:rPr>
          <w:rFonts w:hint="eastAsia" w:ascii="仿宋_GB2312" w:hAnsi="宋体" w:eastAsia="仿宋_GB2312"/>
          <w:color w:val="000000"/>
          <w:sz w:val="28"/>
          <w:highlight w:val="none"/>
        </w:rPr>
        <w:t>号</w:t>
      </w:r>
    </w:p>
    <w:p>
      <w:pPr>
        <w:spacing w:line="360" w:lineRule="auto"/>
        <w:ind w:left="2" w:right="210" w:firstLine="562" w:firstLineChars="201"/>
        <w:rPr>
          <w:rFonts w:ascii="仿宋_GB2312" w:hAnsi="宋体" w:eastAsia="仿宋_GB2312"/>
          <w:color w:val="000000"/>
          <w:sz w:val="28"/>
          <w:highlight w:val="none"/>
        </w:rPr>
      </w:pPr>
      <w:r>
        <w:rPr>
          <w:rFonts w:hint="eastAsia" w:ascii="仿宋_GB2312" w:hAnsi="宋体" w:eastAsia="仿宋_GB2312"/>
          <w:color w:val="000000"/>
          <w:sz w:val="28"/>
          <w:highlight w:val="none"/>
        </w:rPr>
        <w:t xml:space="preserve">开户名称： </w:t>
      </w:r>
    </w:p>
    <w:p>
      <w:pPr>
        <w:spacing w:line="360" w:lineRule="auto"/>
        <w:ind w:left="2" w:right="210" w:firstLine="562" w:firstLineChars="201"/>
        <w:rPr>
          <w:rFonts w:ascii="仿宋_GB2312" w:hAnsi="宋体" w:eastAsia="仿宋_GB2312"/>
          <w:color w:val="000000"/>
          <w:sz w:val="28"/>
          <w:highlight w:val="none"/>
        </w:rPr>
      </w:pPr>
      <w:r>
        <w:rPr>
          <w:rFonts w:hint="eastAsia" w:ascii="仿宋_GB2312" w:hAnsi="宋体" w:eastAsia="仿宋_GB2312"/>
          <w:color w:val="000000"/>
          <w:sz w:val="28"/>
          <w:highlight w:val="none"/>
        </w:rPr>
        <w:t xml:space="preserve">开户银行： </w:t>
      </w:r>
    </w:p>
    <w:p>
      <w:pPr>
        <w:overflowPunct w:val="0"/>
        <w:autoSpaceDE w:val="0"/>
        <w:autoSpaceDN w:val="0"/>
        <w:adjustRightInd w:val="0"/>
        <w:snapToGrid w:val="0"/>
        <w:spacing w:line="360" w:lineRule="auto"/>
        <w:ind w:right="210" w:firstLine="562" w:firstLineChars="201"/>
        <w:jc w:val="left"/>
        <w:textAlignment w:val="bottom"/>
        <w:rPr>
          <w:rFonts w:ascii="仿宋_GB2312" w:hAnsi="宋体" w:eastAsia="仿宋_GB2312"/>
          <w:color w:val="000000"/>
          <w:sz w:val="28"/>
          <w:highlight w:val="none"/>
        </w:rPr>
      </w:pPr>
      <w:r>
        <w:rPr>
          <w:rFonts w:hint="eastAsia" w:ascii="仿宋_GB2312" w:hAnsi="宋体" w:eastAsia="仿宋_GB2312"/>
          <w:color w:val="000000"/>
          <w:sz w:val="28"/>
          <w:highlight w:val="none"/>
        </w:rPr>
        <w:t>银行</w:t>
      </w:r>
      <w:r>
        <w:rPr>
          <w:rFonts w:hint="eastAsia" w:ascii="仿宋_GB2312" w:hAnsi="宋体" w:eastAsia="仿宋_GB2312"/>
          <w:color w:val="000000"/>
          <w:sz w:val="28"/>
          <w:highlight w:val="none"/>
          <w:lang w:val="en-US" w:eastAsia="zh-CN"/>
        </w:rPr>
        <w:t>账</w:t>
      </w:r>
      <w:bookmarkStart w:id="123" w:name="_GoBack"/>
      <w:bookmarkEnd w:id="123"/>
      <w:r>
        <w:rPr>
          <w:rFonts w:hint="eastAsia" w:ascii="仿宋_GB2312" w:hAnsi="宋体" w:eastAsia="仿宋_GB2312"/>
          <w:color w:val="000000"/>
          <w:sz w:val="28"/>
          <w:highlight w:val="none"/>
        </w:rPr>
        <w:t xml:space="preserve">号： </w:t>
      </w:r>
    </w:p>
    <w:p>
      <w:pPr>
        <w:overflowPunct w:val="0"/>
        <w:autoSpaceDE w:val="0"/>
        <w:autoSpaceDN w:val="0"/>
        <w:adjustRightInd w:val="0"/>
        <w:snapToGrid w:val="0"/>
        <w:spacing w:line="360" w:lineRule="auto"/>
        <w:ind w:right="210" w:firstLine="565" w:firstLineChars="201"/>
        <w:jc w:val="left"/>
        <w:textAlignment w:val="bottom"/>
        <w:rPr>
          <w:rFonts w:ascii="仿宋_GB2312" w:hAnsi="宋体" w:eastAsia="仿宋_GB2312"/>
          <w:color w:val="000000"/>
          <w:sz w:val="28"/>
          <w:highlight w:val="none"/>
        </w:rPr>
      </w:pPr>
      <w:r>
        <w:rPr>
          <w:rFonts w:hint="eastAsia" w:ascii="仿宋_GB2312" w:eastAsia="仿宋_GB2312"/>
          <w:b/>
          <w:sz w:val="28"/>
          <w:szCs w:val="28"/>
          <w:highlight w:val="none"/>
        </w:rPr>
        <w:t>第</w:t>
      </w:r>
      <w:r>
        <w:rPr>
          <w:rFonts w:hint="eastAsia" w:ascii="仿宋_GB2312" w:hAnsi="宋体" w:eastAsia="仿宋_GB2312"/>
          <w:b/>
          <w:color w:val="000000"/>
          <w:sz w:val="28"/>
          <w:highlight w:val="none"/>
        </w:rPr>
        <w:t>六</w:t>
      </w:r>
      <w:r>
        <w:rPr>
          <w:rFonts w:hint="eastAsia" w:ascii="仿宋_GB2312" w:eastAsia="仿宋_GB2312"/>
          <w:b/>
          <w:sz w:val="28"/>
          <w:szCs w:val="28"/>
          <w:highlight w:val="none"/>
        </w:rPr>
        <w:t>条</w:t>
      </w:r>
      <w:r>
        <w:rPr>
          <w:rFonts w:hint="eastAsia" w:ascii="仿宋_GB2312" w:eastAsia="仿宋_GB2312"/>
          <w:sz w:val="28"/>
          <w:szCs w:val="28"/>
          <w:highlight w:val="none"/>
        </w:rPr>
        <w:t xml:space="preserve">  </w:t>
      </w:r>
      <w:r>
        <w:rPr>
          <w:rFonts w:hint="eastAsia" w:ascii="仿宋_GB2312" w:hAnsi="宋体" w:eastAsia="仿宋_GB2312"/>
          <w:color w:val="000000"/>
          <w:sz w:val="28"/>
          <w:highlight w:val="none"/>
        </w:rPr>
        <w:t>双方确定，按以下标准和方式对乙方完成的税务咨询工作成果进行提交:</w:t>
      </w:r>
    </w:p>
    <w:p>
      <w:pPr>
        <w:overflowPunct w:val="0"/>
        <w:autoSpaceDE w:val="0"/>
        <w:autoSpaceDN w:val="0"/>
        <w:adjustRightInd w:val="0"/>
        <w:snapToGrid w:val="0"/>
        <w:spacing w:line="360" w:lineRule="auto"/>
        <w:ind w:right="210" w:firstLine="560" w:firstLineChars="200"/>
        <w:jc w:val="left"/>
        <w:textAlignment w:val="bottom"/>
        <w:rPr>
          <w:rFonts w:ascii="仿宋_GB2312" w:hAnsi="宋体" w:eastAsia="仿宋_GB2312"/>
          <w:color w:val="000000"/>
          <w:sz w:val="28"/>
          <w:highlight w:val="none"/>
        </w:rPr>
      </w:pPr>
      <w:r>
        <w:rPr>
          <w:rFonts w:hint="eastAsia" w:ascii="仿宋_GB2312" w:hAnsi="宋体" w:eastAsia="仿宋_GB2312"/>
          <w:color w:val="000000"/>
          <w:sz w:val="28"/>
          <w:highlight w:val="none"/>
        </w:rPr>
        <w:t>1、乙方提交</w:t>
      </w:r>
      <w:r>
        <w:rPr>
          <w:rFonts w:hint="eastAsia" w:ascii="仿宋_GB2312" w:hAnsi="仿宋" w:eastAsia="仿宋_GB2312"/>
          <w:sz w:val="28"/>
          <w:szCs w:val="28"/>
          <w:highlight w:val="none"/>
        </w:rPr>
        <w:t>税务测算及管理建议方案</w:t>
      </w:r>
      <w:r>
        <w:rPr>
          <w:rFonts w:hint="eastAsia" w:ascii="仿宋_GB2312" w:hAnsi="宋体" w:eastAsia="仿宋_GB2312"/>
          <w:color w:val="000000"/>
          <w:sz w:val="28"/>
          <w:highlight w:val="none"/>
        </w:rPr>
        <w:t>形式：</w:t>
      </w:r>
      <w:r>
        <w:rPr>
          <w:rFonts w:hint="eastAsia" w:ascii="仿宋_GB2312" w:hAnsi="仿宋" w:eastAsia="仿宋_GB2312"/>
          <w:sz w:val="28"/>
          <w:szCs w:val="28"/>
          <w:highlight w:val="none"/>
        </w:rPr>
        <w:t>乙方完成</w:t>
      </w:r>
      <w:r>
        <w:rPr>
          <w:rFonts w:hint="eastAsia" w:ascii="仿宋_GB2312" w:hAnsi="宋体" w:eastAsia="仿宋_GB2312"/>
          <w:color w:val="000000"/>
          <w:sz w:val="28"/>
          <w:highlight w:val="none"/>
        </w:rPr>
        <w:t>赤湾等新项目</w:t>
      </w:r>
      <w:r>
        <w:rPr>
          <w:rFonts w:hint="eastAsia" w:ascii="仿宋_GB2312" w:hAnsi="仿宋" w:eastAsia="仿宋_GB2312"/>
          <w:sz w:val="28"/>
          <w:szCs w:val="28"/>
          <w:highlight w:val="none"/>
        </w:rPr>
        <w:t>税务测算及管理建议，应向甲方提交税务测算方案及管理建议（乙方审核并盖章），</w:t>
      </w:r>
      <w:r>
        <w:rPr>
          <w:rFonts w:hint="eastAsia" w:ascii="仿宋_GB2312" w:hAnsi="宋体" w:eastAsia="仿宋_GB2312"/>
          <w:color w:val="000000"/>
          <w:sz w:val="28"/>
          <w:highlight w:val="none"/>
        </w:rPr>
        <w:t>内容可拷贝的电子文本（PDF、WORD、EXCEL格式）。</w:t>
      </w:r>
    </w:p>
    <w:p>
      <w:pPr>
        <w:overflowPunct w:val="0"/>
        <w:autoSpaceDE w:val="0"/>
        <w:autoSpaceDN w:val="0"/>
        <w:adjustRightInd w:val="0"/>
        <w:snapToGrid w:val="0"/>
        <w:spacing w:line="360" w:lineRule="auto"/>
        <w:ind w:right="210" w:firstLine="560" w:firstLineChars="200"/>
        <w:jc w:val="left"/>
        <w:textAlignment w:val="bottom"/>
        <w:rPr>
          <w:rFonts w:ascii="仿宋_GB2312" w:hAnsi="宋体" w:eastAsia="仿宋_GB2312"/>
          <w:color w:val="000000"/>
          <w:sz w:val="28"/>
          <w:highlight w:val="none"/>
        </w:rPr>
      </w:pPr>
      <w:r>
        <w:rPr>
          <w:rFonts w:hint="eastAsia" w:ascii="仿宋_GB2312" w:hAnsi="宋体" w:eastAsia="仿宋_GB2312"/>
          <w:color w:val="000000"/>
          <w:sz w:val="28"/>
          <w:highlight w:val="none"/>
        </w:rPr>
        <w:t>2、工作成果提交的时间和地点：依工作进度，深圳市。</w:t>
      </w:r>
    </w:p>
    <w:p>
      <w:pPr>
        <w:spacing w:line="360" w:lineRule="auto"/>
        <w:ind w:right="210" w:firstLine="568" w:firstLineChars="202"/>
        <w:rPr>
          <w:rFonts w:ascii="仿宋_GB2312" w:hAnsi="宋体" w:eastAsia="仿宋_GB2312"/>
          <w:color w:val="000000"/>
          <w:sz w:val="28"/>
          <w:szCs w:val="28"/>
          <w:highlight w:val="none"/>
        </w:rPr>
      </w:pPr>
      <w:r>
        <w:rPr>
          <w:rFonts w:hint="eastAsia" w:ascii="仿宋_GB2312" w:hAnsi="宋体" w:eastAsia="仿宋_GB2312"/>
          <w:b/>
          <w:color w:val="000000"/>
          <w:sz w:val="28"/>
          <w:highlight w:val="none"/>
        </w:rPr>
        <w:t>第七条</w:t>
      </w:r>
      <w:r>
        <w:rPr>
          <w:rFonts w:hint="eastAsia" w:ascii="仿宋_GB2312" w:hAnsi="宋体" w:eastAsia="仿宋_GB2312"/>
          <w:color w:val="000000"/>
          <w:sz w:val="28"/>
          <w:highlight w:val="none"/>
        </w:rPr>
        <w:t xml:space="preserve">  </w:t>
      </w:r>
      <w:r>
        <w:rPr>
          <w:rFonts w:hint="eastAsia" w:ascii="仿宋_GB2312" w:hAnsi="宋体" w:eastAsia="仿宋_GB2312"/>
          <w:color w:val="000000"/>
          <w:sz w:val="28"/>
          <w:szCs w:val="28"/>
          <w:highlight w:val="none"/>
        </w:rPr>
        <w:t>知识产权</w:t>
      </w:r>
    </w:p>
    <w:p>
      <w:pPr>
        <w:widowControl/>
        <w:adjustRightInd w:val="0"/>
        <w:snapToGrid w:val="0"/>
        <w:spacing w:line="360" w:lineRule="auto"/>
        <w:ind w:right="210" w:firstLine="565" w:firstLineChars="202"/>
        <w:jc w:val="left"/>
        <w:rPr>
          <w:rFonts w:ascii="仿宋_GB2312" w:eastAsia="仿宋_GB2312"/>
          <w:color w:val="000000"/>
          <w:sz w:val="28"/>
          <w:szCs w:val="28"/>
          <w:highlight w:val="none"/>
        </w:rPr>
      </w:pPr>
      <w:r>
        <w:rPr>
          <w:rFonts w:ascii="仿宋_GB2312" w:eastAsia="仿宋_GB2312"/>
          <w:color w:val="000000"/>
          <w:sz w:val="28"/>
          <w:szCs w:val="28"/>
          <w:highlight w:val="none"/>
        </w:rPr>
        <w:t>1</w:t>
      </w:r>
      <w:r>
        <w:rPr>
          <w:rFonts w:hint="eastAsia" w:ascii="仿宋_GB2312" w:eastAsia="仿宋_GB2312"/>
          <w:color w:val="000000"/>
          <w:sz w:val="28"/>
          <w:szCs w:val="28"/>
          <w:highlight w:val="none"/>
        </w:rPr>
        <w:t>、因履行本合同所产生的研究成果及其相关知识产权权利归属甲方所有，乙方未经甲方书面允许不得擅自使用或提供给第三方。乙方应保证其向甲方提交的成果或服务（包括阶段性和最终成果）不侵犯任何第三人的合法权益。乙方向甲方提交的成果或服务（包括阶段性和最终成果）使用第三人专利、专有技术、技术秘密、商业秘密、著作权、商标权等知识产权的，乙方应向甲方说明所涉知识产权权利人名称等权利情况。</w:t>
      </w:r>
    </w:p>
    <w:p>
      <w:pPr>
        <w:widowControl/>
        <w:adjustRightInd w:val="0"/>
        <w:snapToGrid w:val="0"/>
        <w:spacing w:line="360" w:lineRule="auto"/>
        <w:ind w:left="2" w:right="210" w:firstLine="562" w:firstLineChars="201"/>
        <w:jc w:val="left"/>
        <w:rPr>
          <w:rFonts w:ascii="仿宋_GB2312" w:eastAsia="仿宋_GB2312"/>
          <w:color w:val="000000"/>
          <w:sz w:val="28"/>
          <w:szCs w:val="28"/>
          <w:highlight w:val="none"/>
        </w:rPr>
      </w:pPr>
      <w:r>
        <w:rPr>
          <w:rFonts w:hint="eastAsia" w:ascii="仿宋_GB2312" w:hAnsi="宋体" w:eastAsia="仿宋_GB2312"/>
          <w:color w:val="000000"/>
          <w:sz w:val="28"/>
          <w:szCs w:val="28"/>
          <w:highlight w:val="none"/>
        </w:rPr>
        <w:t>2、</w:t>
      </w:r>
      <w:r>
        <w:rPr>
          <w:rFonts w:hint="eastAsia" w:ascii="仿宋_GB2312" w:eastAsia="仿宋_GB2312"/>
          <w:color w:val="000000"/>
          <w:sz w:val="28"/>
          <w:szCs w:val="28"/>
          <w:highlight w:val="none"/>
        </w:rPr>
        <w:t>乙方提供的成果或服务，如使用第三人专利、专有技术、技术秘密、商业秘密、著作权、商标权等知识产权的，应当在提交初步成果时向甲方提交权利人同意使用其知识产权的《使用许可》（书面形式），相关知识产权使用费由乙方承担。如乙方提供的成果或服务，不涉及第三人权利使用，乙方应当在提交初步成果时向委托方提交未使用第三人知识产权的《承诺书》。</w:t>
      </w:r>
    </w:p>
    <w:p>
      <w:pPr>
        <w:widowControl/>
        <w:adjustRightInd w:val="0"/>
        <w:snapToGrid w:val="0"/>
        <w:spacing w:line="360" w:lineRule="auto"/>
        <w:ind w:left="2" w:right="210" w:firstLine="562" w:firstLineChars="201"/>
        <w:jc w:val="left"/>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3、甲方因使用乙方提交的成果或服务被第三人指控侵权、提出异议或权利主张的，乙方应当积极协助解决，并承担由此给甲方造成的所有利益损失（包括但不限于甲方实际损失、赔偿、诉讼费用及律师费等）。此种情况下，甲方有权解除合同。</w:t>
      </w:r>
    </w:p>
    <w:p>
      <w:pPr>
        <w:widowControl/>
        <w:adjustRightInd w:val="0"/>
        <w:snapToGrid w:val="0"/>
        <w:spacing w:line="360" w:lineRule="auto"/>
        <w:ind w:left="2" w:right="210" w:firstLine="562" w:firstLineChars="201"/>
        <w:jc w:val="left"/>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4、在甲方遵守本合同规定的前提下，因乙方提交的成果或服务导致第三人的任何专利、</w:t>
      </w:r>
      <w:r>
        <w:rPr>
          <w:rFonts w:hint="eastAsia" w:ascii="仿宋_GB2312" w:eastAsia="仿宋_GB2312"/>
          <w:color w:val="000000"/>
          <w:sz w:val="28"/>
          <w:szCs w:val="28"/>
          <w:highlight w:val="none"/>
        </w:rPr>
        <w:t>专有技术、技术秘密、商业秘密、著作权、商标权</w:t>
      </w:r>
      <w:r>
        <w:rPr>
          <w:rFonts w:hint="eastAsia" w:ascii="仿宋_GB2312" w:hAnsi="宋体" w:eastAsia="仿宋_GB2312"/>
          <w:color w:val="000000"/>
          <w:sz w:val="28"/>
          <w:szCs w:val="28"/>
          <w:highlight w:val="none"/>
        </w:rPr>
        <w:t>等知识产权及其他相关权利受到侵犯或声称受到侵犯，乙方应保证甲方免受第三人追偿。因乙方侵犯第三人权利导致甲方的任何利益损失，乙方承诺予以偿还。</w:t>
      </w:r>
    </w:p>
    <w:p>
      <w:pPr>
        <w:spacing w:line="360" w:lineRule="auto"/>
        <w:ind w:left="2" w:right="210" w:firstLine="562" w:firstLineChars="201"/>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5、乙方违反上述条款有关约定的，单次违约应当向甲方支付合同价款</w:t>
      </w:r>
      <w:r>
        <w:rPr>
          <w:rFonts w:ascii="仿宋_GB2312" w:hAnsi="宋体" w:eastAsia="仿宋_GB2312"/>
          <w:color w:val="000000"/>
          <w:sz w:val="28"/>
          <w:szCs w:val="28"/>
          <w:highlight w:val="none"/>
        </w:rPr>
        <w:t>20%</w:t>
      </w:r>
      <w:r>
        <w:rPr>
          <w:rFonts w:hint="eastAsia" w:ascii="仿宋_GB2312" w:hAnsi="宋体" w:eastAsia="仿宋_GB2312"/>
          <w:color w:val="000000"/>
          <w:sz w:val="28"/>
          <w:szCs w:val="28"/>
          <w:highlight w:val="none"/>
        </w:rPr>
        <w:t>的违约金。</w:t>
      </w:r>
    </w:p>
    <w:p>
      <w:pPr>
        <w:spacing w:line="360" w:lineRule="auto"/>
        <w:ind w:left="2" w:right="210" w:firstLine="565" w:firstLineChars="201"/>
        <w:rPr>
          <w:rFonts w:ascii="仿宋_GB2312" w:hAnsi="宋体" w:eastAsia="仿宋_GB2312"/>
          <w:color w:val="000000"/>
          <w:sz w:val="28"/>
          <w:highlight w:val="none"/>
        </w:rPr>
      </w:pPr>
      <w:r>
        <w:rPr>
          <w:rFonts w:hint="eastAsia" w:ascii="仿宋_GB2312" w:hAnsi="宋体" w:eastAsia="仿宋_GB2312"/>
          <w:b/>
          <w:color w:val="000000"/>
          <w:sz w:val="28"/>
          <w:highlight w:val="none"/>
        </w:rPr>
        <w:t>第八条</w:t>
      </w:r>
      <w:r>
        <w:rPr>
          <w:rFonts w:hint="eastAsia" w:ascii="仿宋_GB2312" w:hAnsi="宋体" w:eastAsia="仿宋_GB2312"/>
          <w:color w:val="000000"/>
          <w:sz w:val="28"/>
          <w:highlight w:val="none"/>
        </w:rPr>
        <w:t xml:space="preserve">   保密条款</w:t>
      </w:r>
    </w:p>
    <w:p>
      <w:pPr>
        <w:spacing w:line="360" w:lineRule="auto"/>
        <w:ind w:left="2" w:right="210" w:firstLine="562" w:firstLineChars="201"/>
        <w:rPr>
          <w:rFonts w:ascii="仿宋_GB2312" w:hAnsi="宋体" w:eastAsia="仿宋_GB2312"/>
          <w:color w:val="000000"/>
          <w:sz w:val="28"/>
          <w:highlight w:val="none"/>
        </w:rPr>
      </w:pPr>
      <w:r>
        <w:rPr>
          <w:rFonts w:hint="eastAsia" w:ascii="仿宋_GB2312" w:hAnsi="宋体" w:eastAsia="仿宋_GB2312"/>
          <w:color w:val="000000"/>
          <w:sz w:val="28"/>
          <w:highlight w:val="none"/>
        </w:rPr>
        <w:t xml:space="preserve">乙方应当妥善保管甲方提供的资料，保守甲方的各项秘密。未经甲方同意，不得利用知悉的属于甲方的成果和资料为自己或第三方谋取利益。 </w:t>
      </w:r>
    </w:p>
    <w:p>
      <w:pPr>
        <w:spacing w:line="360" w:lineRule="auto"/>
        <w:ind w:left="2" w:right="210" w:firstLine="565" w:firstLineChars="201"/>
        <w:rPr>
          <w:rFonts w:ascii="仿宋_GB2312" w:hAnsi="宋体" w:eastAsia="仿宋_GB2312"/>
          <w:b/>
          <w:color w:val="000000"/>
          <w:sz w:val="28"/>
          <w:highlight w:val="none"/>
        </w:rPr>
      </w:pPr>
      <w:r>
        <w:rPr>
          <w:rFonts w:hint="eastAsia" w:ascii="仿宋_GB2312" w:hAnsi="宋体" w:eastAsia="仿宋_GB2312"/>
          <w:b/>
          <w:color w:val="000000"/>
          <w:sz w:val="28"/>
          <w:highlight w:val="none"/>
        </w:rPr>
        <w:t>第九条</w:t>
      </w:r>
      <w:r>
        <w:rPr>
          <w:rFonts w:hint="eastAsia" w:ascii="仿宋_GB2312" w:hAnsi="宋体" w:eastAsia="仿宋_GB2312"/>
          <w:color w:val="000000"/>
          <w:sz w:val="28"/>
          <w:highlight w:val="none"/>
        </w:rPr>
        <w:t xml:space="preserve">  本合同变更必须由双方协商一致，并以书面形式确定。</w:t>
      </w:r>
    </w:p>
    <w:p>
      <w:pPr>
        <w:tabs>
          <w:tab w:val="left" w:pos="2127"/>
        </w:tabs>
        <w:spacing w:line="360" w:lineRule="auto"/>
        <w:ind w:left="2" w:right="210" w:firstLine="565" w:firstLineChars="201"/>
        <w:rPr>
          <w:rFonts w:ascii="仿宋_GB2312" w:hAnsi="宋体" w:eastAsia="仿宋_GB2312"/>
          <w:color w:val="000000"/>
          <w:sz w:val="32"/>
          <w:highlight w:val="none"/>
        </w:rPr>
      </w:pPr>
      <w:r>
        <w:rPr>
          <w:rFonts w:hint="eastAsia" w:ascii="仿宋_GB2312" w:hAnsi="宋体" w:eastAsia="仿宋_GB2312"/>
          <w:b/>
          <w:color w:val="000000"/>
          <w:sz w:val="28"/>
          <w:highlight w:val="none"/>
        </w:rPr>
        <w:t>第十条</w:t>
      </w:r>
      <w:r>
        <w:rPr>
          <w:rFonts w:hint="eastAsia" w:ascii="仿宋_GB2312" w:hAnsi="宋体" w:eastAsia="仿宋_GB2312"/>
          <w:color w:val="000000"/>
          <w:sz w:val="32"/>
          <w:highlight w:val="none"/>
        </w:rPr>
        <w:t xml:space="preserve">  违</w:t>
      </w:r>
      <w:r>
        <w:rPr>
          <w:rFonts w:ascii="仿宋_GB2312" w:hAnsi="宋体" w:eastAsia="仿宋_GB2312"/>
          <w:color w:val="000000"/>
          <w:sz w:val="32"/>
          <w:highlight w:val="none"/>
        </w:rPr>
        <w:t>约责任</w:t>
      </w:r>
    </w:p>
    <w:p>
      <w:pPr>
        <w:tabs>
          <w:tab w:val="left" w:pos="2127"/>
        </w:tabs>
        <w:spacing w:line="360" w:lineRule="auto"/>
        <w:ind w:left="2" w:right="210" w:firstLine="565" w:firstLineChars="201"/>
        <w:rPr>
          <w:rFonts w:ascii="仿宋_GB2312" w:hAnsi="宋体" w:eastAsia="仿宋_GB2312"/>
          <w:b/>
          <w:color w:val="000000"/>
          <w:sz w:val="28"/>
          <w:highlight w:val="none"/>
        </w:rPr>
      </w:pPr>
      <w:r>
        <w:rPr>
          <w:rFonts w:hint="eastAsia" w:ascii="仿宋_GB2312" w:hAnsi="宋体" w:eastAsia="仿宋_GB2312"/>
          <w:b/>
          <w:color w:val="000000"/>
          <w:sz w:val="28"/>
          <w:highlight w:val="none"/>
        </w:rPr>
        <w:t>（</w:t>
      </w:r>
      <w:r>
        <w:rPr>
          <w:rFonts w:ascii="仿宋_GB2312" w:hAnsi="宋体" w:eastAsia="仿宋_GB2312"/>
          <w:b/>
          <w:color w:val="000000"/>
          <w:sz w:val="28"/>
          <w:highlight w:val="none"/>
        </w:rPr>
        <w:t>一）</w:t>
      </w:r>
      <w:r>
        <w:rPr>
          <w:rFonts w:hint="eastAsia" w:ascii="仿宋_GB2312" w:hAnsi="宋体" w:eastAsia="仿宋_GB2312"/>
          <w:color w:val="000000"/>
          <w:sz w:val="28"/>
          <w:highlight w:val="none"/>
        </w:rPr>
        <w:t>双方确定：任何一方违反本协议约定，造成咨询工作停滞、延误或终止的，按以下约定承担违约责任：</w:t>
      </w:r>
    </w:p>
    <w:p>
      <w:pPr>
        <w:spacing w:line="360" w:lineRule="auto"/>
        <w:ind w:left="2" w:right="210" w:firstLine="562" w:firstLineChars="201"/>
        <w:rPr>
          <w:rFonts w:ascii="仿宋_GB2312" w:hAnsi="宋体" w:eastAsia="仿宋_GB2312"/>
          <w:sz w:val="28"/>
          <w:highlight w:val="none"/>
        </w:rPr>
      </w:pPr>
      <w:r>
        <w:rPr>
          <w:rFonts w:hint="eastAsia" w:ascii="仿宋_GB2312" w:hAnsi="宋体" w:eastAsia="仿宋_GB2312"/>
          <w:sz w:val="28"/>
          <w:highlight w:val="none"/>
        </w:rPr>
        <w:t>1、甲方违反本合同规定的，单次违约应当支付合同额5%违约金。</w:t>
      </w:r>
    </w:p>
    <w:p>
      <w:pPr>
        <w:spacing w:line="360" w:lineRule="auto"/>
        <w:ind w:left="2" w:right="210" w:firstLine="562" w:firstLineChars="201"/>
        <w:rPr>
          <w:rFonts w:ascii="仿宋_GB2312" w:hAnsi="宋体" w:eastAsia="仿宋_GB2312"/>
          <w:color w:val="000000"/>
          <w:sz w:val="28"/>
          <w:highlight w:val="none"/>
        </w:rPr>
      </w:pPr>
      <w:r>
        <w:rPr>
          <w:rFonts w:hint="eastAsia" w:ascii="仿宋_GB2312" w:hAnsi="宋体" w:eastAsia="仿宋_GB2312"/>
          <w:sz w:val="28"/>
          <w:highlight w:val="none"/>
        </w:rPr>
        <w:t>2、乙方违反本合同规定的，单次违约应当支付合同额5%违约金。</w:t>
      </w:r>
    </w:p>
    <w:p>
      <w:pPr>
        <w:spacing w:line="360" w:lineRule="auto"/>
        <w:ind w:left="2" w:right="210" w:firstLine="562" w:firstLineChars="201"/>
        <w:rPr>
          <w:rFonts w:ascii="仿宋_GB2312" w:hAnsi="宋体" w:eastAsia="仿宋_GB2312"/>
          <w:color w:val="000000"/>
          <w:sz w:val="28"/>
          <w:highlight w:val="none"/>
        </w:rPr>
      </w:pPr>
      <w:r>
        <w:rPr>
          <w:rFonts w:hint="eastAsia" w:ascii="仿宋_GB2312" w:hAnsi="宋体" w:eastAsia="仿宋_GB2312"/>
          <w:color w:val="000000"/>
          <w:sz w:val="28"/>
          <w:szCs w:val="28"/>
          <w:highlight w:val="none"/>
        </w:rPr>
        <w:t>3、乙方所有的违约金由甲方在应支付的服务费中扣除，违约金</w:t>
      </w:r>
      <w:r>
        <w:rPr>
          <w:rFonts w:hint="eastAsia" w:ascii="仿宋_GB2312" w:hAnsi="宋体" w:eastAsia="仿宋_GB2312"/>
          <w:color w:val="000000"/>
          <w:sz w:val="28"/>
          <w:highlight w:val="none"/>
        </w:rPr>
        <w:t>额不超过甲方已支付给乙方的咨询服务费用。</w:t>
      </w:r>
    </w:p>
    <w:p>
      <w:pPr>
        <w:pStyle w:val="2"/>
        <w:spacing w:line="360" w:lineRule="auto"/>
        <w:ind w:left="0" w:leftChars="0" w:right="210" w:firstLine="562" w:firstLineChars="201"/>
        <w:rPr>
          <w:rFonts w:hint="eastAsia" w:ascii="仿宋_GB2312" w:hAnsi="宋体" w:eastAsia="仿宋_GB2312"/>
          <w:color w:val="000000"/>
          <w:sz w:val="28"/>
          <w:highlight w:val="none"/>
        </w:rPr>
      </w:pPr>
      <w:r>
        <w:rPr>
          <w:rFonts w:hint="eastAsia" w:ascii="仿宋_GB2312" w:hAnsi="宋体" w:eastAsia="仿宋_GB2312"/>
          <w:sz w:val="28"/>
          <w:highlight w:val="none"/>
        </w:rPr>
        <w:t>（</w:t>
      </w:r>
      <w:r>
        <w:rPr>
          <w:rFonts w:ascii="仿宋_GB2312" w:hAnsi="宋体" w:eastAsia="仿宋_GB2312"/>
          <w:sz w:val="28"/>
          <w:highlight w:val="none"/>
        </w:rPr>
        <w:t>二）</w:t>
      </w:r>
      <w:r>
        <w:rPr>
          <w:rFonts w:hint="eastAsia" w:ascii="仿宋_GB2312" w:hAnsi="宋体" w:eastAsia="仿宋_GB2312" w:cs="Calibri"/>
          <w:sz w:val="28"/>
          <w:szCs w:val="32"/>
          <w:highlight w:val="none"/>
        </w:rPr>
        <w:t>因乙方</w:t>
      </w:r>
      <w:r>
        <w:rPr>
          <w:rFonts w:hint="eastAsia" w:ascii="仿宋_GB2312" w:hAnsi="宋体" w:eastAsia="仿宋_GB2312"/>
          <w:sz w:val="28"/>
          <w:highlight w:val="none"/>
        </w:rPr>
        <w:t>无正当理由单方解除合同，或因乙方无正当理由不提供本合同约定的</w:t>
      </w:r>
      <w:r>
        <w:rPr>
          <w:rFonts w:hint="eastAsia" w:ascii="仿宋_GB2312" w:hAnsi="宋体" w:eastAsia="仿宋_GB2312" w:cs="Calibri"/>
          <w:sz w:val="28"/>
          <w:szCs w:val="32"/>
          <w:highlight w:val="none"/>
        </w:rPr>
        <w:t>服务或者违反本合同约定的义务，导致甲方解除合同的，甲方有权要求乙方退还尚未提供的服务的费用，同时乙方还应按合同总额的10%向甲方支付违约金。</w:t>
      </w:r>
    </w:p>
    <w:p>
      <w:pPr>
        <w:spacing w:line="360" w:lineRule="auto"/>
        <w:ind w:left="2" w:right="210" w:firstLine="565" w:firstLineChars="201"/>
        <w:rPr>
          <w:rFonts w:ascii="仿宋_GB2312" w:hAnsi="宋体" w:eastAsia="仿宋_GB2312"/>
          <w:color w:val="000000"/>
          <w:sz w:val="28"/>
          <w:highlight w:val="none"/>
        </w:rPr>
      </w:pPr>
      <w:r>
        <w:rPr>
          <w:rFonts w:hint="eastAsia" w:ascii="仿宋_GB2312" w:hAnsi="宋体" w:eastAsia="仿宋_GB2312"/>
          <w:b/>
          <w:color w:val="000000"/>
          <w:sz w:val="28"/>
          <w:highlight w:val="none"/>
        </w:rPr>
        <w:t>第十一条</w:t>
      </w:r>
      <w:r>
        <w:rPr>
          <w:rFonts w:hint="eastAsia" w:ascii="仿宋_GB2312" w:hAnsi="宋体" w:eastAsia="仿宋_GB2312"/>
          <w:color w:val="000000"/>
          <w:sz w:val="28"/>
          <w:highlight w:val="none"/>
        </w:rPr>
        <w:t xml:space="preserve">  双方确定，因发生不可抗力致使本协议的履行成为不必要或不可能的，双方应及时协商解决。本条所指不可抗力包括因战争、动乱或其他非甲乙方责任造成的爆炸、火灾及其他不能预见、不能避免并不能克服的客观情况。</w:t>
      </w:r>
    </w:p>
    <w:p>
      <w:pPr>
        <w:pStyle w:val="21"/>
        <w:ind w:firstLine="480"/>
        <w:rPr>
          <w:rFonts w:ascii="仿宋_GB2312" w:hAnsi="宋体" w:eastAsia="仿宋_GB2312"/>
          <w:color w:val="000000"/>
          <w:sz w:val="28"/>
          <w:highlight w:val="none"/>
        </w:rPr>
      </w:pPr>
      <w:r>
        <w:rPr>
          <w:rFonts w:hint="eastAsia" w:ascii="仿宋_GB2312" w:hAnsi="宋体" w:eastAsia="仿宋_GB2312"/>
          <w:b/>
          <w:color w:val="000000"/>
          <w:sz w:val="28"/>
          <w:highlight w:val="none"/>
        </w:rPr>
        <w:t xml:space="preserve">第十二条 </w:t>
      </w:r>
      <w:r>
        <w:rPr>
          <w:rFonts w:hint="eastAsia" w:ascii="仿宋_GB2312" w:hAnsi="宋体" w:eastAsia="仿宋_GB2312"/>
          <w:color w:val="000000"/>
          <w:sz w:val="28"/>
          <w:highlight w:val="none"/>
        </w:rPr>
        <w:t>就本约定书和服务一般而言，乙方及其现任或前任合伙人、主管、总监、员工、代理人和分包人，对任何索赔责任（无论以任何形式，也不管是否有合约、或因疏忽或者任何其他理由提出）都不应超过乙方收到相关的服务费。另外，甲方应该就乙方及乙方人员因乙方在本约定书下的服务在任何时候、以任何方式所导致或与该等服务有关对乙方造成的、由乙方支付或使乙方产生的任何索赔、债务、成本以及开支（包括但不仅限于律师费以及乙方涉及人员的工时费）进行补偿并使其不受损害。此限制不适用于最终被确定为由乙方故意违反专业操守或者欺诈而导致的任何索赔、损失或损害部分。而且，乙方对于任何特定的、必然的、附带的或是惩戒性的赔偿或者损失（或任何利润损失、税金、利息、罚金及存款损失或失去商务机会）均不予承担责任，即使乙方已事先被告知该等潜在损害。以上条款在本约定书委托服务结束后仍然有效存续。</w:t>
      </w:r>
    </w:p>
    <w:p>
      <w:pPr>
        <w:pStyle w:val="21"/>
        <w:ind w:firstLine="480"/>
        <w:rPr>
          <w:rFonts w:ascii="仿宋_GB2312" w:hAnsi="宋体" w:eastAsia="仿宋_GB2312"/>
          <w:color w:val="000000"/>
          <w:sz w:val="28"/>
          <w:highlight w:val="none"/>
        </w:rPr>
      </w:pPr>
      <w:r>
        <w:rPr>
          <w:rFonts w:hint="eastAsia" w:ascii="仿宋_GB2312" w:hAnsi="宋体" w:eastAsia="仿宋_GB2312"/>
          <w:color w:val="000000"/>
          <w:sz w:val="28"/>
          <w:highlight w:val="none"/>
        </w:rPr>
        <w:t>第十三条  本项目由深圳地铁置业集团有限公司、深圳地铁前海国际发展有限公司、深圳市地铁集团有限公司在服务期限内根据提供税务咨询项目的实际数量向乙方据实结算，不设预付款项。</w:t>
      </w:r>
    </w:p>
    <w:p>
      <w:pPr>
        <w:pStyle w:val="25"/>
        <w:spacing w:line="460" w:lineRule="exact"/>
        <w:ind w:firstLine="562" w:firstLineChars="200"/>
        <w:rPr>
          <w:rFonts w:ascii="Times New Roman" w:hAnsi="Times New Roman"/>
          <w:sz w:val="24"/>
          <w:highlight w:val="none"/>
        </w:rPr>
      </w:pPr>
      <w:r>
        <w:rPr>
          <w:rFonts w:hint="eastAsia" w:ascii="仿宋_GB2312" w:hAnsi="宋体" w:eastAsia="仿宋_GB2312"/>
          <w:b/>
          <w:color w:val="000000"/>
          <w:sz w:val="28"/>
          <w:highlight w:val="none"/>
        </w:rPr>
        <w:t>第十四条</w:t>
      </w:r>
      <w:r>
        <w:rPr>
          <w:rFonts w:hint="eastAsia" w:ascii="仿宋_GB2312" w:hAnsi="宋体" w:eastAsia="仿宋_GB2312"/>
          <w:color w:val="000000"/>
          <w:sz w:val="28"/>
          <w:highlight w:val="none"/>
        </w:rPr>
        <w:t xml:space="preserve">  双方因履行本协议而发生的争议，应协商、调解解决。协商、调解不成的，</w:t>
      </w:r>
      <w:r>
        <w:rPr>
          <w:rFonts w:ascii="仿宋_GB2312" w:hAnsi="宋体" w:eastAsia="仿宋_GB2312"/>
          <w:color w:val="000000"/>
          <w:sz w:val="28"/>
          <w:highlight w:val="none"/>
        </w:rPr>
        <w:t>双方同意向</w:t>
      </w:r>
      <w:r>
        <w:rPr>
          <w:rFonts w:hint="eastAsia" w:ascii="仿宋_GB2312" w:hAnsi="宋体" w:eastAsia="仿宋_GB2312"/>
          <w:color w:val="000000"/>
          <w:sz w:val="28"/>
          <w:highlight w:val="none"/>
        </w:rPr>
        <w:t>甲</w:t>
      </w:r>
      <w:r>
        <w:rPr>
          <w:rFonts w:ascii="仿宋_GB2312" w:hAnsi="宋体" w:eastAsia="仿宋_GB2312"/>
          <w:color w:val="000000"/>
          <w:sz w:val="28"/>
          <w:highlight w:val="none"/>
        </w:rPr>
        <w:t>方所在地法院提起诉讼解决。</w:t>
      </w:r>
    </w:p>
    <w:p>
      <w:pPr>
        <w:spacing w:line="360" w:lineRule="auto"/>
        <w:ind w:left="2" w:right="210" w:firstLine="565" w:firstLineChars="201"/>
        <w:rPr>
          <w:rFonts w:ascii="仿宋_GB2312" w:hAnsi="宋体" w:eastAsia="仿宋_GB2312"/>
          <w:color w:val="000000"/>
          <w:sz w:val="28"/>
          <w:highlight w:val="none"/>
        </w:rPr>
      </w:pPr>
      <w:r>
        <w:rPr>
          <w:rFonts w:hint="eastAsia" w:ascii="仿宋_GB2312" w:hAnsi="宋体" w:eastAsia="仿宋_GB2312"/>
          <w:b/>
          <w:color w:val="000000"/>
          <w:sz w:val="28"/>
          <w:highlight w:val="none"/>
        </w:rPr>
        <w:t>第十五条</w:t>
      </w:r>
      <w:r>
        <w:rPr>
          <w:rFonts w:hint="eastAsia" w:ascii="仿宋_GB2312" w:hAnsi="宋体" w:eastAsia="仿宋_GB2312"/>
          <w:color w:val="000000"/>
          <w:sz w:val="28"/>
          <w:highlight w:val="none"/>
        </w:rPr>
        <w:t xml:space="preserve">  本协议正本一式贰份，甲乙双方各执壹份；副本一式拾份，甲方执玖份，乙方执壹份。正本与副本具有同等法律效力。</w:t>
      </w:r>
    </w:p>
    <w:p>
      <w:pPr>
        <w:spacing w:line="360" w:lineRule="auto"/>
        <w:ind w:left="2" w:right="210" w:firstLine="565" w:firstLineChars="201"/>
        <w:rPr>
          <w:rFonts w:ascii="仿宋_GB2312" w:hAnsi="宋体" w:eastAsia="仿宋_GB2312"/>
          <w:color w:val="000000"/>
          <w:sz w:val="28"/>
          <w:highlight w:val="none"/>
        </w:rPr>
      </w:pPr>
      <w:r>
        <w:rPr>
          <w:rFonts w:hint="eastAsia" w:ascii="仿宋_GB2312" w:hAnsi="宋体" w:eastAsia="仿宋_GB2312"/>
          <w:b/>
          <w:color w:val="000000"/>
          <w:sz w:val="28"/>
          <w:highlight w:val="none"/>
        </w:rPr>
        <w:t>第十六条</w:t>
      </w:r>
      <w:r>
        <w:rPr>
          <w:rFonts w:hint="eastAsia" w:ascii="仿宋_GB2312" w:hAnsi="宋体" w:eastAsia="仿宋_GB2312"/>
          <w:color w:val="000000"/>
          <w:sz w:val="28"/>
          <w:highlight w:val="none"/>
        </w:rPr>
        <w:t xml:space="preserve">  本协议经双方签字盖章后生效至合同费用结清为止。</w:t>
      </w:r>
    </w:p>
    <w:p>
      <w:pPr>
        <w:spacing w:line="360" w:lineRule="auto"/>
        <w:ind w:left="2" w:right="210" w:firstLine="562" w:firstLineChars="201"/>
        <w:rPr>
          <w:rFonts w:ascii="仿宋_GB2312" w:hAnsi="宋体" w:eastAsia="仿宋_GB2312"/>
          <w:color w:val="000000"/>
          <w:sz w:val="28"/>
          <w:highlight w:val="none"/>
        </w:rPr>
      </w:pPr>
    </w:p>
    <w:tbl>
      <w:tblPr>
        <w:tblStyle w:val="49"/>
        <w:tblW w:w="10065" w:type="dxa"/>
        <w:tblInd w:w="-318" w:type="dxa"/>
        <w:tblLayout w:type="fixed"/>
        <w:tblCellMar>
          <w:top w:w="0" w:type="dxa"/>
          <w:left w:w="108" w:type="dxa"/>
          <w:bottom w:w="0" w:type="dxa"/>
          <w:right w:w="108" w:type="dxa"/>
        </w:tblCellMar>
      </w:tblPr>
      <w:tblGrid>
        <w:gridCol w:w="2269"/>
        <w:gridCol w:w="2835"/>
        <w:gridCol w:w="1985"/>
        <w:gridCol w:w="1309"/>
        <w:gridCol w:w="1134"/>
        <w:gridCol w:w="533"/>
      </w:tblGrid>
      <w:tr>
        <w:tblPrEx>
          <w:tblCellMar>
            <w:top w:w="0" w:type="dxa"/>
            <w:left w:w="108" w:type="dxa"/>
            <w:bottom w:w="0" w:type="dxa"/>
            <w:right w:w="108" w:type="dxa"/>
          </w:tblCellMar>
        </w:tblPrEx>
        <w:trPr>
          <w:trHeight w:val="1201" w:hRule="exact"/>
        </w:trPr>
        <w:tc>
          <w:tcPr>
            <w:tcW w:w="2269" w:type="dxa"/>
          </w:tcPr>
          <w:p>
            <w:pPr>
              <w:rPr>
                <w:rFonts w:ascii="宋体" w:hAnsi="宋体"/>
                <w:b/>
                <w:sz w:val="30"/>
                <w:szCs w:val="30"/>
                <w:highlight w:val="none"/>
              </w:rPr>
            </w:pPr>
            <w:r>
              <w:rPr>
                <w:rFonts w:hint="eastAsia" w:ascii="宋体" w:hAnsi="宋体"/>
                <w:b/>
                <w:sz w:val="30"/>
                <w:szCs w:val="30"/>
                <w:highlight w:val="none"/>
              </w:rPr>
              <w:t>甲方</w:t>
            </w:r>
            <w:r>
              <w:rPr>
                <w:rFonts w:ascii="宋体" w:hAnsi="宋体"/>
                <w:b/>
                <w:sz w:val="30"/>
                <w:szCs w:val="30"/>
                <w:highlight w:val="none"/>
              </w:rPr>
              <w:t>(</w:t>
            </w:r>
            <w:r>
              <w:rPr>
                <w:rFonts w:hint="eastAsia" w:ascii="宋体" w:hAnsi="宋体"/>
                <w:b/>
                <w:sz w:val="30"/>
                <w:szCs w:val="30"/>
                <w:highlight w:val="none"/>
              </w:rPr>
              <w:t>盖</w:t>
            </w:r>
            <w:r>
              <w:rPr>
                <w:rFonts w:ascii="宋体" w:hAnsi="宋体"/>
                <w:b/>
                <w:sz w:val="30"/>
                <w:szCs w:val="30"/>
                <w:highlight w:val="none"/>
              </w:rPr>
              <w:t>章)：</w:t>
            </w:r>
          </w:p>
        </w:tc>
        <w:tc>
          <w:tcPr>
            <w:tcW w:w="2835" w:type="dxa"/>
          </w:tcPr>
          <w:p>
            <w:pPr>
              <w:spacing w:before="25" w:line="240" w:lineRule="atLeast"/>
              <w:rPr>
                <w:rFonts w:ascii="宋体" w:hAnsi="宋体"/>
                <w:b/>
                <w:sz w:val="28"/>
                <w:szCs w:val="28"/>
                <w:highlight w:val="none"/>
              </w:rPr>
            </w:pPr>
          </w:p>
        </w:tc>
        <w:tc>
          <w:tcPr>
            <w:tcW w:w="1985" w:type="dxa"/>
          </w:tcPr>
          <w:p>
            <w:pPr>
              <w:spacing w:line="240" w:lineRule="atLeast"/>
              <w:rPr>
                <w:rFonts w:ascii="宋体" w:hAnsi="宋体"/>
                <w:b/>
                <w:sz w:val="28"/>
                <w:szCs w:val="28"/>
                <w:highlight w:val="none"/>
              </w:rPr>
            </w:pPr>
            <w:r>
              <w:rPr>
                <w:rFonts w:ascii="宋体" w:hAnsi="宋体"/>
                <w:b/>
                <w:sz w:val="28"/>
                <w:szCs w:val="28"/>
                <w:highlight w:val="none"/>
              </w:rPr>
              <w:t>法定代表人</w:t>
            </w:r>
            <w:r>
              <w:rPr>
                <w:rFonts w:hint="eastAsia" w:ascii="宋体" w:hAnsi="宋体"/>
                <w:b/>
                <w:sz w:val="28"/>
                <w:szCs w:val="28"/>
                <w:highlight w:val="none"/>
              </w:rPr>
              <w:t>或授权代表</w:t>
            </w:r>
            <w:r>
              <w:rPr>
                <w:rFonts w:ascii="宋体" w:hAnsi="宋体"/>
                <w:b/>
                <w:sz w:val="28"/>
                <w:szCs w:val="28"/>
                <w:highlight w:val="none"/>
              </w:rPr>
              <w:t>：</w:t>
            </w:r>
          </w:p>
        </w:tc>
        <w:tc>
          <w:tcPr>
            <w:tcW w:w="2976" w:type="dxa"/>
            <w:gridSpan w:val="3"/>
          </w:tcPr>
          <w:p>
            <w:pPr>
              <w:rPr>
                <w:rFonts w:ascii="宋体" w:hAnsi="宋体"/>
                <w:sz w:val="24"/>
                <w:highlight w:val="none"/>
              </w:rPr>
            </w:pPr>
          </w:p>
        </w:tc>
      </w:tr>
      <w:tr>
        <w:tblPrEx>
          <w:tblCellMar>
            <w:top w:w="0" w:type="dxa"/>
            <w:left w:w="108" w:type="dxa"/>
            <w:bottom w:w="0" w:type="dxa"/>
            <w:right w:w="108" w:type="dxa"/>
          </w:tblCellMar>
        </w:tblPrEx>
        <w:trPr>
          <w:trHeight w:val="861" w:hRule="exact"/>
        </w:trPr>
        <w:tc>
          <w:tcPr>
            <w:tcW w:w="2269" w:type="dxa"/>
          </w:tcPr>
          <w:p>
            <w:pPr>
              <w:rPr>
                <w:rFonts w:ascii="宋体" w:hAnsi="宋体"/>
                <w:szCs w:val="21"/>
                <w:highlight w:val="none"/>
              </w:rPr>
            </w:pPr>
            <w:r>
              <w:rPr>
                <w:rFonts w:ascii="宋体" w:hAnsi="宋体"/>
                <w:szCs w:val="21"/>
                <w:highlight w:val="none"/>
              </w:rPr>
              <w:t>住    所：</w:t>
            </w:r>
          </w:p>
        </w:tc>
        <w:tc>
          <w:tcPr>
            <w:tcW w:w="2835" w:type="dxa"/>
          </w:tcPr>
          <w:p>
            <w:pPr>
              <w:rPr>
                <w:rFonts w:ascii="宋体" w:hAnsi="宋体"/>
                <w:szCs w:val="21"/>
                <w:highlight w:val="none"/>
              </w:rPr>
            </w:pPr>
          </w:p>
        </w:tc>
        <w:tc>
          <w:tcPr>
            <w:tcW w:w="1985" w:type="dxa"/>
          </w:tcPr>
          <w:p>
            <w:pPr>
              <w:rPr>
                <w:rFonts w:ascii="宋体" w:hAnsi="宋体"/>
                <w:szCs w:val="21"/>
                <w:highlight w:val="none"/>
              </w:rPr>
            </w:pP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717" w:hRule="exact"/>
        </w:trPr>
        <w:tc>
          <w:tcPr>
            <w:tcW w:w="2269" w:type="dxa"/>
          </w:tcPr>
          <w:p>
            <w:pPr>
              <w:rPr>
                <w:rFonts w:ascii="宋体" w:hAnsi="宋体"/>
                <w:szCs w:val="21"/>
                <w:highlight w:val="none"/>
              </w:rPr>
            </w:pPr>
            <w:r>
              <w:rPr>
                <w:rFonts w:ascii="宋体" w:hAnsi="宋体"/>
                <w:szCs w:val="21"/>
                <w:highlight w:val="none"/>
              </w:rPr>
              <w:t>电    话：</w:t>
            </w:r>
          </w:p>
        </w:tc>
        <w:tc>
          <w:tcPr>
            <w:tcW w:w="2835" w:type="dxa"/>
          </w:tcPr>
          <w:p>
            <w:pPr>
              <w:rPr>
                <w:rFonts w:ascii="宋体" w:hAnsi="宋体"/>
                <w:szCs w:val="21"/>
                <w:highlight w:val="none"/>
              </w:rPr>
            </w:pPr>
          </w:p>
        </w:tc>
        <w:tc>
          <w:tcPr>
            <w:tcW w:w="1985" w:type="dxa"/>
          </w:tcPr>
          <w:p>
            <w:pPr>
              <w:rPr>
                <w:rFonts w:ascii="宋体" w:hAnsi="宋体"/>
                <w:szCs w:val="21"/>
                <w:highlight w:val="none"/>
              </w:rPr>
            </w:pPr>
            <w:r>
              <w:rPr>
                <w:rFonts w:ascii="宋体" w:hAnsi="宋体"/>
                <w:szCs w:val="21"/>
                <w:highlight w:val="none"/>
              </w:rPr>
              <w:t>传    真：</w:t>
            </w: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729" w:hRule="exact"/>
        </w:trPr>
        <w:tc>
          <w:tcPr>
            <w:tcW w:w="2269" w:type="dxa"/>
          </w:tcPr>
          <w:p>
            <w:pPr>
              <w:rPr>
                <w:rFonts w:ascii="宋体" w:hAnsi="宋体"/>
                <w:szCs w:val="21"/>
                <w:highlight w:val="none"/>
              </w:rPr>
            </w:pPr>
            <w:r>
              <w:rPr>
                <w:rFonts w:ascii="宋体" w:hAnsi="宋体"/>
                <w:szCs w:val="21"/>
                <w:highlight w:val="none"/>
              </w:rPr>
              <w:t>开户银行：</w:t>
            </w:r>
          </w:p>
        </w:tc>
        <w:tc>
          <w:tcPr>
            <w:tcW w:w="2835" w:type="dxa"/>
          </w:tcPr>
          <w:p>
            <w:pPr>
              <w:rPr>
                <w:rFonts w:ascii="宋体" w:hAnsi="宋体"/>
                <w:szCs w:val="21"/>
                <w:highlight w:val="none"/>
              </w:rPr>
            </w:pPr>
          </w:p>
        </w:tc>
        <w:tc>
          <w:tcPr>
            <w:tcW w:w="1985" w:type="dxa"/>
          </w:tcPr>
          <w:p>
            <w:pPr>
              <w:rPr>
                <w:rFonts w:ascii="宋体" w:hAnsi="宋体"/>
                <w:szCs w:val="21"/>
                <w:highlight w:val="none"/>
              </w:rPr>
            </w:pPr>
            <w:r>
              <w:rPr>
                <w:rFonts w:ascii="宋体" w:hAnsi="宋体"/>
                <w:szCs w:val="21"/>
                <w:highlight w:val="none"/>
              </w:rPr>
              <w:t>开户全名：</w:t>
            </w: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822" w:hRule="exact"/>
        </w:trPr>
        <w:tc>
          <w:tcPr>
            <w:tcW w:w="2269" w:type="dxa"/>
          </w:tcPr>
          <w:p>
            <w:pPr>
              <w:jc w:val="left"/>
              <w:rPr>
                <w:rFonts w:ascii="宋体" w:hAnsi="宋体"/>
                <w:szCs w:val="21"/>
                <w:highlight w:val="none"/>
              </w:rPr>
            </w:pPr>
            <w:r>
              <w:rPr>
                <w:rFonts w:ascii="宋体" w:hAnsi="宋体"/>
                <w:szCs w:val="21"/>
                <w:highlight w:val="none"/>
              </w:rPr>
              <w:t xml:space="preserve">账  </w:t>
            </w:r>
            <w:r>
              <w:rPr>
                <w:rFonts w:hint="eastAsia" w:ascii="宋体" w:hAnsi="宋体"/>
                <w:szCs w:val="21"/>
                <w:highlight w:val="none"/>
              </w:rPr>
              <w:t xml:space="preserve">     </w:t>
            </w:r>
            <w:r>
              <w:rPr>
                <w:rFonts w:ascii="宋体" w:hAnsi="宋体"/>
                <w:szCs w:val="21"/>
                <w:highlight w:val="none"/>
              </w:rPr>
              <w:t xml:space="preserve">  号</w:t>
            </w:r>
            <w:r>
              <w:rPr>
                <w:rFonts w:hint="eastAsia" w:ascii="宋体" w:hAnsi="宋体"/>
                <w:szCs w:val="21"/>
                <w:highlight w:val="none"/>
              </w:rPr>
              <w:t>：</w:t>
            </w:r>
          </w:p>
        </w:tc>
        <w:tc>
          <w:tcPr>
            <w:tcW w:w="2835" w:type="dxa"/>
          </w:tcPr>
          <w:p>
            <w:pPr>
              <w:rPr>
                <w:rFonts w:ascii="宋体" w:hAnsi="宋体"/>
                <w:szCs w:val="21"/>
                <w:highlight w:val="none"/>
              </w:rPr>
            </w:pPr>
          </w:p>
        </w:tc>
        <w:tc>
          <w:tcPr>
            <w:tcW w:w="1985" w:type="dxa"/>
          </w:tcPr>
          <w:p>
            <w:pPr>
              <w:rPr>
                <w:rFonts w:ascii="宋体" w:hAnsi="宋体"/>
                <w:szCs w:val="21"/>
                <w:highlight w:val="none"/>
              </w:rPr>
            </w:pPr>
            <w:r>
              <w:rPr>
                <w:rFonts w:ascii="宋体" w:hAnsi="宋体"/>
                <w:szCs w:val="21"/>
                <w:highlight w:val="none"/>
              </w:rPr>
              <w:t>邮政编码：</w:t>
            </w:r>
          </w:p>
        </w:tc>
        <w:tc>
          <w:tcPr>
            <w:tcW w:w="2976" w:type="dxa"/>
            <w:gridSpan w:val="3"/>
          </w:tcPr>
          <w:p>
            <w:pPr>
              <w:rPr>
                <w:rFonts w:ascii="宋体" w:hAnsi="宋体"/>
                <w:szCs w:val="21"/>
                <w:highlight w:val="none"/>
              </w:rPr>
            </w:pPr>
            <w:r>
              <w:rPr>
                <w:rFonts w:hint="eastAsia" w:ascii="宋体" w:hAnsi="宋体"/>
                <w:szCs w:val="21"/>
                <w:highlight w:val="none"/>
              </w:rPr>
              <w:t>5</w:t>
            </w:r>
            <w:r>
              <w:rPr>
                <w:rFonts w:ascii="宋体" w:hAnsi="宋体"/>
                <w:szCs w:val="21"/>
                <w:highlight w:val="none"/>
              </w:rPr>
              <w:t>18035</w:t>
            </w:r>
          </w:p>
        </w:tc>
      </w:tr>
      <w:tr>
        <w:tblPrEx>
          <w:tblCellMar>
            <w:top w:w="0" w:type="dxa"/>
            <w:left w:w="108" w:type="dxa"/>
            <w:bottom w:w="0" w:type="dxa"/>
            <w:right w:w="108" w:type="dxa"/>
          </w:tblCellMar>
        </w:tblPrEx>
        <w:trPr>
          <w:trHeight w:val="998" w:hRule="exact"/>
        </w:trPr>
        <w:tc>
          <w:tcPr>
            <w:tcW w:w="2269" w:type="dxa"/>
          </w:tcPr>
          <w:p>
            <w:pPr>
              <w:tabs>
                <w:tab w:val="center" w:pos="4153"/>
                <w:tab w:val="right" w:pos="8306"/>
              </w:tabs>
              <w:snapToGrid w:val="0"/>
              <w:rPr>
                <w:rFonts w:ascii="宋体" w:hAnsi="宋体"/>
                <w:szCs w:val="21"/>
                <w:highlight w:val="none"/>
              </w:rPr>
            </w:pPr>
            <w:r>
              <w:rPr>
                <w:rFonts w:hint="eastAsia" w:ascii="宋体" w:hAnsi="宋体"/>
                <w:szCs w:val="21"/>
                <w:highlight w:val="none"/>
              </w:rPr>
              <w:t>项目主管部门经办人及电话：</w:t>
            </w:r>
          </w:p>
        </w:tc>
        <w:tc>
          <w:tcPr>
            <w:tcW w:w="2835" w:type="dxa"/>
          </w:tcPr>
          <w:p>
            <w:pPr>
              <w:tabs>
                <w:tab w:val="center" w:pos="4153"/>
                <w:tab w:val="right" w:pos="8306"/>
              </w:tabs>
              <w:snapToGrid w:val="0"/>
              <w:rPr>
                <w:rFonts w:ascii="宋体" w:hAnsi="宋体"/>
                <w:szCs w:val="21"/>
                <w:highlight w:val="none"/>
              </w:rPr>
            </w:pPr>
          </w:p>
        </w:tc>
        <w:tc>
          <w:tcPr>
            <w:tcW w:w="1985" w:type="dxa"/>
          </w:tcPr>
          <w:p>
            <w:pPr>
              <w:tabs>
                <w:tab w:val="center" w:pos="4153"/>
                <w:tab w:val="right" w:pos="8306"/>
              </w:tabs>
              <w:snapToGrid w:val="0"/>
              <w:rPr>
                <w:rFonts w:ascii="宋体" w:hAnsi="宋体"/>
                <w:szCs w:val="21"/>
                <w:highlight w:val="none"/>
              </w:rPr>
            </w:pPr>
            <w:r>
              <w:rPr>
                <w:rFonts w:hint="eastAsia" w:ascii="宋体" w:hAnsi="宋体"/>
                <w:szCs w:val="21"/>
                <w:highlight w:val="none"/>
              </w:rPr>
              <w:t>项目主管部门审核人：</w:t>
            </w: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1402" w:hRule="exact"/>
        </w:trPr>
        <w:tc>
          <w:tcPr>
            <w:tcW w:w="2269" w:type="dxa"/>
          </w:tcPr>
          <w:p>
            <w:pPr>
              <w:tabs>
                <w:tab w:val="center" w:pos="4153"/>
                <w:tab w:val="right" w:pos="8306"/>
              </w:tabs>
              <w:snapToGrid w:val="0"/>
              <w:rPr>
                <w:rFonts w:ascii="宋体" w:hAnsi="宋体"/>
                <w:szCs w:val="21"/>
                <w:highlight w:val="none"/>
              </w:rPr>
            </w:pPr>
            <w:r>
              <w:rPr>
                <w:rFonts w:hint="eastAsia" w:ascii="宋体" w:hAnsi="宋体"/>
                <w:szCs w:val="21"/>
                <w:highlight w:val="none"/>
              </w:rPr>
              <w:t>合约部门经办人及电话</w:t>
            </w:r>
            <w:r>
              <w:rPr>
                <w:rFonts w:ascii="宋体" w:hAnsi="宋体"/>
                <w:szCs w:val="21"/>
                <w:highlight w:val="none"/>
              </w:rPr>
              <w:t>:</w:t>
            </w:r>
          </w:p>
        </w:tc>
        <w:tc>
          <w:tcPr>
            <w:tcW w:w="2835" w:type="dxa"/>
          </w:tcPr>
          <w:p>
            <w:pPr>
              <w:rPr>
                <w:rFonts w:ascii="宋体" w:hAnsi="宋体"/>
                <w:szCs w:val="21"/>
                <w:highlight w:val="none"/>
              </w:rPr>
            </w:pPr>
          </w:p>
        </w:tc>
        <w:tc>
          <w:tcPr>
            <w:tcW w:w="1985" w:type="dxa"/>
          </w:tcPr>
          <w:p>
            <w:pPr>
              <w:tabs>
                <w:tab w:val="center" w:pos="4153"/>
                <w:tab w:val="right" w:pos="8306"/>
              </w:tabs>
              <w:snapToGrid w:val="0"/>
              <w:rPr>
                <w:rFonts w:ascii="宋体" w:hAnsi="宋体"/>
                <w:szCs w:val="21"/>
                <w:highlight w:val="none"/>
              </w:rPr>
            </w:pPr>
            <w:r>
              <w:rPr>
                <w:rFonts w:hint="eastAsia" w:ascii="宋体" w:hAnsi="宋体"/>
                <w:szCs w:val="21"/>
                <w:highlight w:val="none"/>
              </w:rPr>
              <w:t>合约部门审核人：</w:t>
            </w: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1112" w:hRule="exact"/>
        </w:trPr>
        <w:tc>
          <w:tcPr>
            <w:tcW w:w="2269" w:type="dxa"/>
          </w:tcPr>
          <w:p>
            <w:pPr>
              <w:rPr>
                <w:rFonts w:ascii="宋体" w:hAnsi="宋体"/>
                <w:b/>
                <w:sz w:val="24"/>
                <w:szCs w:val="24"/>
                <w:highlight w:val="none"/>
              </w:rPr>
            </w:pPr>
            <w:r>
              <w:rPr>
                <w:rFonts w:hint="eastAsia" w:ascii="宋体" w:hAnsi="宋体"/>
                <w:b/>
                <w:sz w:val="24"/>
                <w:szCs w:val="24"/>
                <w:highlight w:val="none"/>
              </w:rPr>
              <w:t>乙方</w:t>
            </w:r>
            <w:r>
              <w:rPr>
                <w:rFonts w:ascii="宋体" w:hAnsi="宋体"/>
                <w:b/>
                <w:sz w:val="24"/>
                <w:szCs w:val="24"/>
                <w:highlight w:val="none"/>
              </w:rPr>
              <w:t>(</w:t>
            </w:r>
            <w:r>
              <w:rPr>
                <w:rFonts w:hint="eastAsia" w:ascii="宋体" w:hAnsi="宋体"/>
                <w:b/>
                <w:sz w:val="24"/>
                <w:szCs w:val="24"/>
                <w:highlight w:val="none"/>
              </w:rPr>
              <w:t>盖</w:t>
            </w:r>
            <w:r>
              <w:rPr>
                <w:rFonts w:ascii="宋体" w:hAnsi="宋体"/>
                <w:b/>
                <w:sz w:val="24"/>
                <w:szCs w:val="24"/>
                <w:highlight w:val="none"/>
              </w:rPr>
              <w:t xml:space="preserve">章)： </w:t>
            </w:r>
          </w:p>
        </w:tc>
        <w:tc>
          <w:tcPr>
            <w:tcW w:w="2835" w:type="dxa"/>
          </w:tcPr>
          <w:p>
            <w:pPr>
              <w:rPr>
                <w:rFonts w:ascii="宋体" w:hAnsi="宋体"/>
                <w:b/>
                <w:sz w:val="24"/>
                <w:szCs w:val="24"/>
                <w:highlight w:val="none"/>
              </w:rPr>
            </w:pPr>
          </w:p>
        </w:tc>
        <w:tc>
          <w:tcPr>
            <w:tcW w:w="1985" w:type="dxa"/>
          </w:tcPr>
          <w:p>
            <w:pPr>
              <w:rPr>
                <w:rFonts w:ascii="宋体" w:hAnsi="宋体"/>
                <w:b/>
                <w:sz w:val="28"/>
                <w:szCs w:val="28"/>
                <w:highlight w:val="none"/>
              </w:rPr>
            </w:pPr>
            <w:r>
              <w:rPr>
                <w:rFonts w:ascii="宋体" w:hAnsi="宋体"/>
                <w:b/>
                <w:sz w:val="24"/>
                <w:szCs w:val="24"/>
                <w:highlight w:val="none"/>
              </w:rPr>
              <w:t>法定代表人</w:t>
            </w:r>
            <w:r>
              <w:rPr>
                <w:rFonts w:hint="eastAsia" w:ascii="宋体" w:hAnsi="宋体"/>
                <w:b/>
                <w:sz w:val="24"/>
                <w:szCs w:val="24"/>
                <w:highlight w:val="none"/>
              </w:rPr>
              <w:t>或授权代表</w:t>
            </w:r>
            <w:r>
              <w:rPr>
                <w:rFonts w:ascii="宋体" w:hAnsi="宋体"/>
                <w:b/>
                <w:sz w:val="24"/>
                <w:szCs w:val="24"/>
                <w:highlight w:val="none"/>
              </w:rPr>
              <w:t>：</w:t>
            </w: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881" w:hRule="exact"/>
        </w:trPr>
        <w:tc>
          <w:tcPr>
            <w:tcW w:w="2269" w:type="dxa"/>
          </w:tcPr>
          <w:p>
            <w:pPr>
              <w:rPr>
                <w:rFonts w:ascii="宋体" w:hAnsi="宋体"/>
                <w:sz w:val="24"/>
                <w:highlight w:val="none"/>
              </w:rPr>
            </w:pPr>
            <w:r>
              <w:rPr>
                <w:rFonts w:ascii="宋体" w:hAnsi="宋体"/>
                <w:sz w:val="24"/>
                <w:highlight w:val="none"/>
              </w:rPr>
              <w:t>住    所：</w:t>
            </w:r>
          </w:p>
        </w:tc>
        <w:tc>
          <w:tcPr>
            <w:tcW w:w="2835" w:type="dxa"/>
          </w:tcPr>
          <w:p>
            <w:pPr>
              <w:rPr>
                <w:rFonts w:ascii="宋体" w:hAnsi="宋体"/>
                <w:szCs w:val="21"/>
                <w:highlight w:val="none"/>
              </w:rPr>
            </w:pPr>
          </w:p>
        </w:tc>
        <w:tc>
          <w:tcPr>
            <w:tcW w:w="4428" w:type="dxa"/>
            <w:gridSpan w:val="3"/>
          </w:tcPr>
          <w:p>
            <w:pPr>
              <w:rPr>
                <w:rFonts w:ascii="宋体" w:hAnsi="宋体"/>
                <w:sz w:val="24"/>
                <w:highlight w:val="none"/>
              </w:rPr>
            </w:pPr>
          </w:p>
        </w:tc>
        <w:tc>
          <w:tcPr>
            <w:tcW w:w="533" w:type="dxa"/>
          </w:tcPr>
          <w:p>
            <w:pPr>
              <w:rPr>
                <w:rFonts w:ascii="宋体" w:hAnsi="宋体"/>
                <w:szCs w:val="21"/>
                <w:highlight w:val="none"/>
              </w:rPr>
            </w:pPr>
          </w:p>
        </w:tc>
      </w:tr>
      <w:tr>
        <w:tblPrEx>
          <w:tblCellMar>
            <w:top w:w="0" w:type="dxa"/>
            <w:left w:w="108" w:type="dxa"/>
            <w:bottom w:w="0" w:type="dxa"/>
            <w:right w:w="108" w:type="dxa"/>
          </w:tblCellMar>
        </w:tblPrEx>
        <w:trPr>
          <w:trHeight w:val="717" w:hRule="exact"/>
        </w:trPr>
        <w:tc>
          <w:tcPr>
            <w:tcW w:w="2269" w:type="dxa"/>
          </w:tcPr>
          <w:p>
            <w:pPr>
              <w:rPr>
                <w:rFonts w:ascii="宋体" w:hAnsi="宋体"/>
                <w:sz w:val="24"/>
                <w:highlight w:val="none"/>
              </w:rPr>
            </w:pPr>
            <w:r>
              <w:rPr>
                <w:rFonts w:ascii="宋体" w:hAnsi="宋体"/>
                <w:sz w:val="24"/>
                <w:highlight w:val="none"/>
              </w:rPr>
              <w:t>电    话：</w:t>
            </w:r>
          </w:p>
        </w:tc>
        <w:tc>
          <w:tcPr>
            <w:tcW w:w="2835" w:type="dxa"/>
          </w:tcPr>
          <w:p>
            <w:pPr>
              <w:rPr>
                <w:rFonts w:ascii="宋体" w:hAnsi="宋体"/>
                <w:szCs w:val="21"/>
                <w:highlight w:val="none"/>
              </w:rPr>
            </w:pPr>
          </w:p>
        </w:tc>
        <w:tc>
          <w:tcPr>
            <w:tcW w:w="4428" w:type="dxa"/>
            <w:gridSpan w:val="3"/>
          </w:tcPr>
          <w:p>
            <w:pPr>
              <w:rPr>
                <w:rFonts w:ascii="宋体" w:hAnsi="宋体"/>
                <w:sz w:val="24"/>
                <w:highlight w:val="none"/>
              </w:rPr>
            </w:pPr>
            <w:r>
              <w:rPr>
                <w:rFonts w:ascii="宋体" w:hAnsi="宋体"/>
                <w:sz w:val="24"/>
                <w:highlight w:val="none"/>
              </w:rPr>
              <w:t>传    真：</w:t>
            </w:r>
          </w:p>
        </w:tc>
        <w:tc>
          <w:tcPr>
            <w:tcW w:w="533" w:type="dxa"/>
          </w:tcPr>
          <w:p>
            <w:pPr>
              <w:rPr>
                <w:rFonts w:ascii="宋体" w:hAnsi="宋体"/>
                <w:szCs w:val="21"/>
                <w:highlight w:val="none"/>
              </w:rPr>
            </w:pPr>
          </w:p>
        </w:tc>
      </w:tr>
      <w:tr>
        <w:tblPrEx>
          <w:tblCellMar>
            <w:top w:w="0" w:type="dxa"/>
            <w:left w:w="108" w:type="dxa"/>
            <w:bottom w:w="0" w:type="dxa"/>
            <w:right w:w="108" w:type="dxa"/>
          </w:tblCellMar>
        </w:tblPrEx>
        <w:trPr>
          <w:trHeight w:val="699" w:hRule="exact"/>
        </w:trPr>
        <w:tc>
          <w:tcPr>
            <w:tcW w:w="2269" w:type="dxa"/>
          </w:tcPr>
          <w:p>
            <w:pPr>
              <w:rPr>
                <w:rFonts w:ascii="宋体" w:hAnsi="宋体"/>
                <w:sz w:val="24"/>
                <w:highlight w:val="none"/>
              </w:rPr>
            </w:pPr>
            <w:r>
              <w:rPr>
                <w:rFonts w:ascii="宋体" w:hAnsi="宋体"/>
                <w:sz w:val="24"/>
                <w:highlight w:val="none"/>
              </w:rPr>
              <w:t>开户银行：</w:t>
            </w:r>
          </w:p>
        </w:tc>
        <w:tc>
          <w:tcPr>
            <w:tcW w:w="2835" w:type="dxa"/>
          </w:tcPr>
          <w:p>
            <w:pPr>
              <w:rPr>
                <w:rFonts w:ascii="宋体" w:hAnsi="宋体"/>
                <w:szCs w:val="21"/>
                <w:highlight w:val="none"/>
              </w:rPr>
            </w:pPr>
          </w:p>
        </w:tc>
        <w:tc>
          <w:tcPr>
            <w:tcW w:w="4428" w:type="dxa"/>
            <w:gridSpan w:val="3"/>
          </w:tcPr>
          <w:p>
            <w:pPr>
              <w:ind w:left="1164" w:hanging="1164"/>
              <w:rPr>
                <w:rFonts w:ascii="宋体" w:hAnsi="宋体"/>
                <w:sz w:val="24"/>
                <w:highlight w:val="none"/>
              </w:rPr>
            </w:pPr>
            <w:r>
              <w:rPr>
                <w:rFonts w:ascii="宋体" w:hAnsi="宋体"/>
                <w:sz w:val="24"/>
                <w:highlight w:val="none"/>
              </w:rPr>
              <w:t>开户全名：</w:t>
            </w:r>
          </w:p>
        </w:tc>
        <w:tc>
          <w:tcPr>
            <w:tcW w:w="533" w:type="dxa"/>
          </w:tcPr>
          <w:p>
            <w:pPr>
              <w:rPr>
                <w:rFonts w:ascii="宋体" w:hAnsi="宋体"/>
                <w:szCs w:val="21"/>
                <w:highlight w:val="none"/>
              </w:rPr>
            </w:pPr>
          </w:p>
        </w:tc>
      </w:tr>
      <w:tr>
        <w:tblPrEx>
          <w:tblCellMar>
            <w:top w:w="0" w:type="dxa"/>
            <w:left w:w="108" w:type="dxa"/>
            <w:bottom w:w="0" w:type="dxa"/>
            <w:right w:w="108" w:type="dxa"/>
          </w:tblCellMar>
        </w:tblPrEx>
        <w:trPr>
          <w:trHeight w:val="709" w:hRule="exact"/>
        </w:trPr>
        <w:tc>
          <w:tcPr>
            <w:tcW w:w="2269" w:type="dxa"/>
          </w:tcPr>
          <w:p>
            <w:pPr>
              <w:rPr>
                <w:rFonts w:ascii="宋体" w:hAnsi="宋体"/>
                <w:sz w:val="24"/>
                <w:highlight w:val="none"/>
              </w:rPr>
            </w:pPr>
            <w:r>
              <w:rPr>
                <w:rFonts w:ascii="宋体" w:hAnsi="宋体"/>
                <w:sz w:val="24"/>
                <w:highlight w:val="none"/>
              </w:rPr>
              <w:t>账    号</w:t>
            </w:r>
            <w:r>
              <w:rPr>
                <w:rFonts w:hint="eastAsia" w:ascii="宋体" w:hAnsi="宋体"/>
                <w:sz w:val="24"/>
                <w:highlight w:val="none"/>
              </w:rPr>
              <w:t>：</w:t>
            </w:r>
          </w:p>
        </w:tc>
        <w:tc>
          <w:tcPr>
            <w:tcW w:w="2835" w:type="dxa"/>
          </w:tcPr>
          <w:p>
            <w:pPr>
              <w:rPr>
                <w:rFonts w:ascii="宋体" w:hAnsi="宋体"/>
                <w:szCs w:val="21"/>
                <w:highlight w:val="none"/>
              </w:rPr>
            </w:pPr>
          </w:p>
        </w:tc>
        <w:tc>
          <w:tcPr>
            <w:tcW w:w="3294" w:type="dxa"/>
            <w:gridSpan w:val="2"/>
          </w:tcPr>
          <w:p>
            <w:pPr>
              <w:rPr>
                <w:rFonts w:ascii="宋体" w:hAnsi="宋体"/>
                <w:sz w:val="24"/>
                <w:highlight w:val="none"/>
              </w:rPr>
            </w:pPr>
            <w:r>
              <w:rPr>
                <w:rFonts w:ascii="宋体" w:hAnsi="宋体"/>
                <w:sz w:val="24"/>
                <w:highlight w:val="none"/>
              </w:rPr>
              <w:t>邮政编码：</w:t>
            </w:r>
          </w:p>
        </w:tc>
        <w:tc>
          <w:tcPr>
            <w:tcW w:w="1667" w:type="dxa"/>
            <w:gridSpan w:val="2"/>
          </w:tcPr>
          <w:p>
            <w:pPr>
              <w:rPr>
                <w:rFonts w:ascii="宋体" w:hAnsi="宋体"/>
                <w:szCs w:val="21"/>
                <w:highlight w:val="none"/>
              </w:rPr>
            </w:pPr>
          </w:p>
        </w:tc>
      </w:tr>
      <w:tr>
        <w:tblPrEx>
          <w:tblCellMar>
            <w:top w:w="0" w:type="dxa"/>
            <w:left w:w="108" w:type="dxa"/>
            <w:bottom w:w="0" w:type="dxa"/>
            <w:right w:w="108" w:type="dxa"/>
          </w:tblCellMar>
        </w:tblPrEx>
        <w:trPr>
          <w:trHeight w:val="855" w:hRule="exact"/>
        </w:trPr>
        <w:tc>
          <w:tcPr>
            <w:tcW w:w="2269" w:type="dxa"/>
          </w:tcPr>
          <w:p>
            <w:pPr>
              <w:rPr>
                <w:rFonts w:ascii="宋体" w:hAnsi="宋体"/>
                <w:sz w:val="24"/>
                <w:highlight w:val="none"/>
              </w:rPr>
            </w:pPr>
            <w:r>
              <w:rPr>
                <w:rFonts w:hint="eastAsia" w:ascii="宋体" w:hAnsi="宋体"/>
                <w:sz w:val="24"/>
                <w:highlight w:val="none"/>
              </w:rPr>
              <w:t>乙方经办人：</w:t>
            </w:r>
          </w:p>
        </w:tc>
        <w:tc>
          <w:tcPr>
            <w:tcW w:w="2835" w:type="dxa"/>
          </w:tcPr>
          <w:p>
            <w:pPr>
              <w:rPr>
                <w:rFonts w:ascii="宋体" w:hAnsi="宋体"/>
                <w:szCs w:val="21"/>
                <w:highlight w:val="none"/>
              </w:rPr>
            </w:pPr>
          </w:p>
        </w:tc>
        <w:tc>
          <w:tcPr>
            <w:tcW w:w="1985" w:type="dxa"/>
          </w:tcPr>
          <w:p>
            <w:pPr>
              <w:rPr>
                <w:rFonts w:ascii="宋体" w:hAnsi="宋体"/>
                <w:sz w:val="24"/>
                <w:highlight w:val="none"/>
              </w:rPr>
            </w:pPr>
            <w:r>
              <w:rPr>
                <w:rFonts w:hint="eastAsia" w:ascii="宋体" w:hAnsi="宋体"/>
                <w:sz w:val="24"/>
                <w:highlight w:val="none"/>
              </w:rPr>
              <w:t>乙方经办人电话：</w:t>
            </w:r>
          </w:p>
        </w:tc>
        <w:tc>
          <w:tcPr>
            <w:tcW w:w="2976" w:type="dxa"/>
            <w:gridSpan w:val="3"/>
          </w:tcPr>
          <w:p>
            <w:pPr>
              <w:rPr>
                <w:rFonts w:ascii="宋体" w:hAnsi="宋体"/>
                <w:sz w:val="24"/>
                <w:highlight w:val="none"/>
              </w:rPr>
            </w:pPr>
          </w:p>
        </w:tc>
      </w:tr>
      <w:tr>
        <w:tblPrEx>
          <w:tblCellMar>
            <w:top w:w="0" w:type="dxa"/>
            <w:left w:w="108" w:type="dxa"/>
            <w:bottom w:w="0" w:type="dxa"/>
            <w:right w:w="108" w:type="dxa"/>
          </w:tblCellMar>
        </w:tblPrEx>
        <w:trPr>
          <w:trHeight w:val="570" w:hRule="exact"/>
        </w:trPr>
        <w:tc>
          <w:tcPr>
            <w:tcW w:w="2269" w:type="dxa"/>
          </w:tcPr>
          <w:p>
            <w:pPr>
              <w:rPr>
                <w:rFonts w:ascii="宋体" w:hAnsi="宋体"/>
                <w:b/>
                <w:sz w:val="24"/>
                <w:highlight w:val="none"/>
              </w:rPr>
            </w:pPr>
            <w:r>
              <w:rPr>
                <w:rFonts w:hint="eastAsia" w:ascii="宋体" w:hAnsi="宋体"/>
                <w:b/>
                <w:sz w:val="24"/>
                <w:highlight w:val="none"/>
              </w:rPr>
              <w:t>合同签署地点：</w:t>
            </w:r>
          </w:p>
        </w:tc>
        <w:tc>
          <w:tcPr>
            <w:tcW w:w="2835" w:type="dxa"/>
          </w:tcPr>
          <w:p>
            <w:pPr>
              <w:rPr>
                <w:rFonts w:ascii="宋体" w:hAnsi="宋体"/>
                <w:b/>
                <w:szCs w:val="21"/>
                <w:highlight w:val="none"/>
              </w:rPr>
            </w:pPr>
            <w:r>
              <w:rPr>
                <w:rFonts w:hint="eastAsia" w:ascii="宋体" w:hAnsi="宋体"/>
                <w:b/>
                <w:szCs w:val="21"/>
                <w:highlight w:val="none"/>
              </w:rPr>
              <w:t>深   圳</w:t>
            </w:r>
          </w:p>
        </w:tc>
        <w:tc>
          <w:tcPr>
            <w:tcW w:w="1985" w:type="dxa"/>
          </w:tcPr>
          <w:p>
            <w:pPr>
              <w:rPr>
                <w:rFonts w:ascii="宋体" w:hAnsi="宋体"/>
                <w:sz w:val="24"/>
                <w:highlight w:val="none"/>
              </w:rPr>
            </w:pPr>
          </w:p>
        </w:tc>
        <w:tc>
          <w:tcPr>
            <w:tcW w:w="2976" w:type="dxa"/>
            <w:gridSpan w:val="3"/>
          </w:tcPr>
          <w:p>
            <w:pPr>
              <w:rPr>
                <w:rFonts w:ascii="宋体" w:hAnsi="宋体"/>
                <w:szCs w:val="21"/>
                <w:highlight w:val="none"/>
              </w:rPr>
            </w:pPr>
          </w:p>
        </w:tc>
      </w:tr>
      <w:tr>
        <w:tblPrEx>
          <w:tblCellMar>
            <w:top w:w="0" w:type="dxa"/>
            <w:left w:w="108" w:type="dxa"/>
            <w:bottom w:w="0" w:type="dxa"/>
            <w:right w:w="108" w:type="dxa"/>
          </w:tblCellMar>
        </w:tblPrEx>
        <w:trPr>
          <w:trHeight w:val="566" w:hRule="exact"/>
        </w:trPr>
        <w:tc>
          <w:tcPr>
            <w:tcW w:w="2269" w:type="dxa"/>
          </w:tcPr>
          <w:p>
            <w:pPr>
              <w:rPr>
                <w:rFonts w:ascii="宋体" w:hAnsi="宋体"/>
                <w:b/>
                <w:sz w:val="24"/>
                <w:highlight w:val="none"/>
              </w:rPr>
            </w:pPr>
            <w:r>
              <w:rPr>
                <w:rFonts w:hint="eastAsia" w:ascii="宋体" w:hAnsi="宋体"/>
                <w:b/>
                <w:sz w:val="24"/>
                <w:highlight w:val="none"/>
              </w:rPr>
              <w:t>时      间：</w:t>
            </w:r>
          </w:p>
        </w:tc>
        <w:tc>
          <w:tcPr>
            <w:tcW w:w="2835" w:type="dxa"/>
          </w:tcPr>
          <w:p>
            <w:pPr>
              <w:rPr>
                <w:rFonts w:ascii="宋体" w:hAnsi="宋体"/>
                <w:b/>
                <w:szCs w:val="21"/>
                <w:highlight w:val="none"/>
              </w:rPr>
            </w:pPr>
            <w:r>
              <w:rPr>
                <w:rFonts w:hint="eastAsia" w:ascii="宋体" w:hAnsi="宋体"/>
                <w:b/>
                <w:szCs w:val="21"/>
                <w:highlight w:val="none"/>
              </w:rPr>
              <w:t>20</w:t>
            </w:r>
            <w:r>
              <w:rPr>
                <w:rFonts w:ascii="宋体" w:hAnsi="宋体"/>
                <w:b/>
                <w:szCs w:val="21"/>
                <w:highlight w:val="none"/>
              </w:rPr>
              <w:t>21</w:t>
            </w:r>
            <w:r>
              <w:rPr>
                <w:rFonts w:hint="eastAsia" w:ascii="宋体" w:hAnsi="宋体"/>
                <w:b/>
                <w:szCs w:val="21"/>
                <w:highlight w:val="none"/>
              </w:rPr>
              <w:t>年   月    日</w:t>
            </w:r>
          </w:p>
        </w:tc>
        <w:tc>
          <w:tcPr>
            <w:tcW w:w="1985" w:type="dxa"/>
          </w:tcPr>
          <w:p>
            <w:pPr>
              <w:rPr>
                <w:rFonts w:ascii="宋体" w:hAnsi="宋体"/>
                <w:sz w:val="24"/>
                <w:highlight w:val="none"/>
              </w:rPr>
            </w:pPr>
          </w:p>
        </w:tc>
        <w:tc>
          <w:tcPr>
            <w:tcW w:w="2976" w:type="dxa"/>
            <w:gridSpan w:val="3"/>
          </w:tcPr>
          <w:p>
            <w:pPr>
              <w:rPr>
                <w:rFonts w:ascii="宋体" w:hAnsi="宋体"/>
                <w:szCs w:val="21"/>
                <w:highlight w:val="none"/>
              </w:rPr>
            </w:pPr>
          </w:p>
        </w:tc>
      </w:tr>
    </w:tbl>
    <w:p>
      <w:pPr>
        <w:spacing w:line="360" w:lineRule="auto"/>
      </w:pPr>
    </w:p>
    <w:p>
      <w:pPr>
        <w:pStyle w:val="2"/>
        <w:ind w:firstLine="480"/>
        <w:rPr>
          <w:rFonts w:ascii="宋体" w:hAnsi="宋体"/>
          <w:sz w:val="24"/>
          <w:szCs w:val="24"/>
          <w:u w:val="single"/>
        </w:rPr>
      </w:pPr>
    </w:p>
    <w:bookmarkEnd w:id="122"/>
    <w:p>
      <w:pPr>
        <w:pStyle w:val="2"/>
        <w:ind w:firstLine="480"/>
        <w:rPr>
          <w:rFonts w:ascii="宋体" w:hAnsi="宋体"/>
          <w:sz w:val="24"/>
          <w:szCs w:val="24"/>
          <w:u w:val="single"/>
        </w:rPr>
      </w:pPr>
    </w:p>
    <w:sectPr>
      <w:head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Heiti SC Light">
    <w:altName w:val="Microsoft YaHei UI Light"/>
    <w:panose1 w:val="00000000000000000000"/>
    <w:charset w:val="50"/>
    <w:family w:val="auto"/>
    <w:pitch w:val="default"/>
    <w:sig w:usb0="00000000" w:usb1="00000000" w:usb2="00000000" w:usb3="00000000" w:csb0="203E0000" w:csb1="00000000"/>
  </w:font>
  <w:font w:name="Courier">
    <w:altName w:val="Courier New"/>
    <w:panose1 w:val="02070409020205020404"/>
    <w:charset w:val="00"/>
    <w:family w:val="modern"/>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Microsoft YaHei UI Light">
    <w:panose1 w:val="020B0502040204020203"/>
    <w:charset w:val="86"/>
    <w:family w:val="auto"/>
    <w:pitch w:val="default"/>
    <w:sig w:usb0="80000287" w:usb1="2ACF001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097127"/>
    </w:sdtPr>
    <w:sdtContent>
      <w:sdt>
        <w:sdtPr>
          <w:id w:val="2"/>
        </w:sdtPr>
        <w:sdtContent>
          <w:p>
            <w:pPr>
              <w:pStyle w:val="3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w:t>
            </w:r>
            <w:r>
              <w:rPr>
                <w:b/>
                <w:bCs/>
                <w:sz w:val="24"/>
                <w:szCs w:val="24"/>
              </w:rPr>
              <w:fldChar w:fldCharType="end"/>
            </w:r>
          </w:p>
        </w:sdtContent>
      </w:sdt>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471458"/>
    <w:multiLevelType w:val="singleLevel"/>
    <w:tmpl w:val="9F471458"/>
    <w:lvl w:ilvl="0" w:tentative="0">
      <w:start w:val="5"/>
      <w:numFmt w:val="chineseCounting"/>
      <w:suff w:val="nothing"/>
      <w:lvlText w:val="%1、"/>
      <w:lvlJc w:val="left"/>
      <w:rPr>
        <w:rFonts w:hint="eastAsia"/>
      </w:rPr>
    </w:lvl>
  </w:abstractNum>
  <w:abstractNum w:abstractNumId="1">
    <w:nsid w:val="A07FAAEC"/>
    <w:multiLevelType w:val="singleLevel"/>
    <w:tmpl w:val="A07FAAEC"/>
    <w:lvl w:ilvl="0" w:tentative="0">
      <w:start w:val="1"/>
      <w:numFmt w:val="decimal"/>
      <w:suff w:val="nothing"/>
      <w:lvlText w:val="%1、"/>
      <w:lvlJc w:val="left"/>
    </w:lvl>
  </w:abstractNum>
  <w:abstractNum w:abstractNumId="2">
    <w:nsid w:val="A094A7DE"/>
    <w:multiLevelType w:val="singleLevel"/>
    <w:tmpl w:val="A094A7DE"/>
    <w:lvl w:ilvl="0" w:tentative="0">
      <w:start w:val="2"/>
      <w:numFmt w:val="chineseCounting"/>
      <w:suff w:val="nothing"/>
      <w:lvlText w:val="（%1）"/>
      <w:lvlJc w:val="left"/>
      <w:rPr>
        <w:rFonts w:hint="eastAsia"/>
      </w:rPr>
    </w:lvl>
  </w:abstractNum>
  <w:abstractNum w:abstractNumId="3">
    <w:nsid w:val="CE81ABE0"/>
    <w:multiLevelType w:val="singleLevel"/>
    <w:tmpl w:val="CE81ABE0"/>
    <w:lvl w:ilvl="0" w:tentative="0">
      <w:start w:val="1"/>
      <w:numFmt w:val="chineseCounting"/>
      <w:suff w:val="nothing"/>
      <w:lvlText w:val="（%1）"/>
      <w:lvlJc w:val="left"/>
      <w:pPr>
        <w:ind w:left="0" w:firstLine="420"/>
      </w:pPr>
      <w:rPr>
        <w:rFonts w:hint="eastAsia"/>
      </w:rPr>
    </w:lvl>
  </w:abstractNum>
  <w:abstractNum w:abstractNumId="4">
    <w:nsid w:val="DADDB84E"/>
    <w:multiLevelType w:val="singleLevel"/>
    <w:tmpl w:val="DADDB84E"/>
    <w:lvl w:ilvl="0" w:tentative="0">
      <w:start w:val="2"/>
      <w:numFmt w:val="chineseCounting"/>
      <w:suff w:val="nothing"/>
      <w:lvlText w:val="%1、"/>
      <w:lvlJc w:val="left"/>
      <w:pPr>
        <w:ind w:left="0" w:firstLine="0"/>
      </w:pPr>
    </w:lvl>
  </w:abstractNum>
  <w:abstractNum w:abstractNumId="5">
    <w:nsid w:val="F2C37B99"/>
    <w:multiLevelType w:val="singleLevel"/>
    <w:tmpl w:val="F2C37B99"/>
    <w:lvl w:ilvl="0" w:tentative="0">
      <w:start w:val="1"/>
      <w:numFmt w:val="chineseCounting"/>
      <w:suff w:val="nothing"/>
      <w:lvlText w:val="（%1）"/>
      <w:lvlJc w:val="left"/>
      <w:pPr>
        <w:ind w:left="0" w:firstLine="420"/>
      </w:pPr>
      <w:rPr>
        <w:rFonts w:hint="eastAsia"/>
      </w:rPr>
    </w:lvl>
  </w:abstractNum>
  <w:abstractNum w:abstractNumId="6">
    <w:nsid w:val="11F1775D"/>
    <w:multiLevelType w:val="multilevel"/>
    <w:tmpl w:val="11F1775D"/>
    <w:lvl w:ilvl="0" w:tentative="0">
      <w:start w:val="1"/>
      <w:numFmt w:val="japaneseCounting"/>
      <w:lvlText w:val="%1、"/>
      <w:lvlJc w:val="left"/>
      <w:pPr>
        <w:ind w:left="1078"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7">
    <w:nsid w:val="35024449"/>
    <w:multiLevelType w:val="multilevel"/>
    <w:tmpl w:val="350244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F907BD"/>
    <w:multiLevelType w:val="singleLevel"/>
    <w:tmpl w:val="40F907BD"/>
    <w:lvl w:ilvl="0" w:tentative="0">
      <w:start w:val="2"/>
      <w:numFmt w:val="chineseCounting"/>
      <w:suff w:val="nothing"/>
      <w:lvlText w:val="%1、"/>
      <w:lvlJc w:val="left"/>
      <w:rPr>
        <w:rFonts w:hint="eastAsia"/>
      </w:rPr>
    </w:lvl>
  </w:abstractNum>
  <w:abstractNum w:abstractNumId="9">
    <w:nsid w:val="43C650FB"/>
    <w:multiLevelType w:val="multilevel"/>
    <w:tmpl w:val="43C650FB"/>
    <w:lvl w:ilvl="0" w:tentative="0">
      <w:start w:val="1"/>
      <w:numFmt w:val="chineseCountingThousand"/>
      <w:lvlText w:val="第%1条"/>
      <w:lvlJc w:val="left"/>
      <w:pPr>
        <w:tabs>
          <w:tab w:val="left" w:pos="851"/>
        </w:tabs>
        <w:ind w:left="851" w:hanging="851"/>
      </w:pPr>
      <w:rPr>
        <w:rFonts w:hint="eastAsia"/>
        <w:lang w:val="en-US"/>
      </w:rPr>
    </w:lvl>
    <w:lvl w:ilvl="1" w:tentative="0">
      <w:start w:val="1"/>
      <w:numFmt w:val="decimal"/>
      <w:pStyle w:val="236"/>
      <w:isLgl/>
      <w:lvlText w:val="%1.%2"/>
      <w:lvlJc w:val="left"/>
      <w:pPr>
        <w:tabs>
          <w:tab w:val="left" w:pos="851"/>
        </w:tabs>
        <w:ind w:left="851" w:hanging="851"/>
      </w:pPr>
      <w:rPr>
        <w:rFonts w:hint="eastAsia"/>
      </w:rPr>
    </w:lvl>
    <w:lvl w:ilvl="2" w:tentative="0">
      <w:start w:val="1"/>
      <w:numFmt w:val="decimal"/>
      <w:isLgl/>
      <w:lvlText w:val="%1.%2.%3"/>
      <w:lvlJc w:val="left"/>
      <w:pPr>
        <w:tabs>
          <w:tab w:val="left" w:pos="2268"/>
        </w:tabs>
        <w:ind w:left="2268" w:hanging="1134"/>
      </w:pPr>
      <w:rPr>
        <w:rFonts w:hint="eastAsia"/>
      </w:rPr>
    </w:lvl>
    <w:lvl w:ilvl="3" w:tentative="0">
      <w:start w:val="1"/>
      <w:numFmt w:val="decimal"/>
      <w:lvlText w:val="(%4)"/>
      <w:lvlJc w:val="left"/>
      <w:pPr>
        <w:tabs>
          <w:tab w:val="left" w:pos="2552"/>
        </w:tabs>
        <w:ind w:left="2552" w:hanging="567"/>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62F4836"/>
    <w:multiLevelType w:val="multilevel"/>
    <w:tmpl w:val="462F4836"/>
    <w:lvl w:ilvl="0" w:tentative="0">
      <w:start w:val="1"/>
      <w:numFmt w:val="decimal"/>
      <w:lvlText w:val="%1."/>
      <w:lvlJc w:val="left"/>
      <w:pPr>
        <w:ind w:left="315" w:hanging="3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7FC4869"/>
    <w:multiLevelType w:val="multilevel"/>
    <w:tmpl w:val="47FC4869"/>
    <w:lvl w:ilvl="0" w:tentative="0">
      <w:start w:val="1"/>
      <w:numFmt w:val="decimal"/>
      <w:lvlText w:val="%1."/>
      <w:lvlJc w:val="left"/>
      <w:pPr>
        <w:ind w:left="899" w:hanging="420"/>
      </w:p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12">
    <w:nsid w:val="5B4F332D"/>
    <w:multiLevelType w:val="multilevel"/>
    <w:tmpl w:val="5B4F332D"/>
    <w:lvl w:ilvl="0" w:tentative="0">
      <w:start w:val="1"/>
      <w:numFmt w:val="chineseCountingThousand"/>
      <w:lvlText w:val="%1、"/>
      <w:lvlJc w:val="left"/>
      <w:pPr>
        <w:ind w:left="900" w:hanging="420"/>
      </w:pPr>
      <w:rPr>
        <w:rFonts w:hint="eastAsia"/>
      </w:rPr>
    </w:lvl>
    <w:lvl w:ilvl="1" w:tentative="0">
      <w:start w:val="7"/>
      <w:numFmt w:val="japaneseCounting"/>
      <w:lvlText w:val="%2、"/>
      <w:lvlJc w:val="left"/>
      <w:pPr>
        <w:ind w:left="1380" w:hanging="4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73BFF8B0"/>
    <w:multiLevelType w:val="singleLevel"/>
    <w:tmpl w:val="73BFF8B0"/>
    <w:lvl w:ilvl="0" w:tentative="0">
      <w:start w:val="1"/>
      <w:numFmt w:val="chineseCounting"/>
      <w:suff w:val="nothing"/>
      <w:lvlText w:val="（%1）"/>
      <w:lvlJc w:val="left"/>
      <w:pPr>
        <w:ind w:left="630" w:firstLine="420"/>
      </w:pPr>
      <w:rPr>
        <w:rFonts w:hint="eastAsia"/>
      </w:rPr>
    </w:lvl>
  </w:abstractNum>
  <w:num w:numId="1">
    <w:abstractNumId w:val="9"/>
  </w:num>
  <w:num w:numId="2">
    <w:abstractNumId w:val="7"/>
  </w:num>
  <w:num w:numId="3">
    <w:abstractNumId w:val="8"/>
  </w:num>
  <w:num w:numId="4">
    <w:abstractNumId w:val="0"/>
  </w:num>
  <w:num w:numId="5">
    <w:abstractNumId w:val="13"/>
  </w:num>
  <w:num w:numId="6">
    <w:abstractNumId w:val="4"/>
    <w:lvlOverride w:ilvl="0">
      <w:startOverride w:val="2"/>
    </w:lvlOverride>
  </w:num>
  <w:num w:numId="7">
    <w:abstractNumId w:val="2"/>
  </w:num>
  <w:num w:numId="8">
    <w:abstractNumId w:val="3"/>
  </w:num>
  <w:num w:numId="9">
    <w:abstractNumId w:val="1"/>
  </w:num>
  <w:num w:numId="10">
    <w:abstractNumId w:val="10"/>
  </w:num>
  <w:num w:numId="11">
    <w:abstractNumId w:val="6"/>
  </w:num>
  <w:num w:numId="12">
    <w:abstractNumId w:val="5"/>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B"/>
    <w:rsid w:val="00013033"/>
    <w:rsid w:val="000216E2"/>
    <w:rsid w:val="00034BAB"/>
    <w:rsid w:val="00043044"/>
    <w:rsid w:val="00053EDD"/>
    <w:rsid w:val="000B0F6B"/>
    <w:rsid w:val="000C5AD8"/>
    <w:rsid w:val="000D136E"/>
    <w:rsid w:val="000E0D88"/>
    <w:rsid w:val="000F043F"/>
    <w:rsid w:val="000F6F66"/>
    <w:rsid w:val="001669D4"/>
    <w:rsid w:val="0017576E"/>
    <w:rsid w:val="001A5692"/>
    <w:rsid w:val="001A5C24"/>
    <w:rsid w:val="001B5007"/>
    <w:rsid w:val="001B66FA"/>
    <w:rsid w:val="001F08B4"/>
    <w:rsid w:val="001F2DD1"/>
    <w:rsid w:val="00200523"/>
    <w:rsid w:val="00205320"/>
    <w:rsid w:val="00227BD1"/>
    <w:rsid w:val="00241DDB"/>
    <w:rsid w:val="00243419"/>
    <w:rsid w:val="00245448"/>
    <w:rsid w:val="00260BA7"/>
    <w:rsid w:val="00263767"/>
    <w:rsid w:val="0027705F"/>
    <w:rsid w:val="002A18B6"/>
    <w:rsid w:val="002D695C"/>
    <w:rsid w:val="002F43AE"/>
    <w:rsid w:val="002F4E2A"/>
    <w:rsid w:val="00314208"/>
    <w:rsid w:val="0031446C"/>
    <w:rsid w:val="0032322D"/>
    <w:rsid w:val="00355952"/>
    <w:rsid w:val="003611EC"/>
    <w:rsid w:val="00364EBD"/>
    <w:rsid w:val="00395243"/>
    <w:rsid w:val="003A2EA1"/>
    <w:rsid w:val="003B0D8F"/>
    <w:rsid w:val="003C7FA6"/>
    <w:rsid w:val="003D311D"/>
    <w:rsid w:val="003D3273"/>
    <w:rsid w:val="003D3838"/>
    <w:rsid w:val="003D5D5E"/>
    <w:rsid w:val="003E413C"/>
    <w:rsid w:val="003F5107"/>
    <w:rsid w:val="004346F0"/>
    <w:rsid w:val="004428BD"/>
    <w:rsid w:val="004749C9"/>
    <w:rsid w:val="00477C8C"/>
    <w:rsid w:val="00485A5D"/>
    <w:rsid w:val="004A6675"/>
    <w:rsid w:val="004D4ED9"/>
    <w:rsid w:val="004F33C7"/>
    <w:rsid w:val="004F5608"/>
    <w:rsid w:val="00515C27"/>
    <w:rsid w:val="0052618B"/>
    <w:rsid w:val="00540211"/>
    <w:rsid w:val="0054080E"/>
    <w:rsid w:val="00561D56"/>
    <w:rsid w:val="005A4927"/>
    <w:rsid w:val="005B0A6E"/>
    <w:rsid w:val="005C2DE9"/>
    <w:rsid w:val="005C52DC"/>
    <w:rsid w:val="005D1B8E"/>
    <w:rsid w:val="005D2633"/>
    <w:rsid w:val="005D581F"/>
    <w:rsid w:val="00600660"/>
    <w:rsid w:val="00604F1C"/>
    <w:rsid w:val="00607E3F"/>
    <w:rsid w:val="006102A3"/>
    <w:rsid w:val="006157E7"/>
    <w:rsid w:val="006165F0"/>
    <w:rsid w:val="006216E2"/>
    <w:rsid w:val="00635539"/>
    <w:rsid w:val="00650E5B"/>
    <w:rsid w:val="00652DCE"/>
    <w:rsid w:val="0066284B"/>
    <w:rsid w:val="00665CBF"/>
    <w:rsid w:val="0068462A"/>
    <w:rsid w:val="006A3098"/>
    <w:rsid w:val="006A6D8A"/>
    <w:rsid w:val="006B4F07"/>
    <w:rsid w:val="006C22D0"/>
    <w:rsid w:val="006D57DA"/>
    <w:rsid w:val="006D799B"/>
    <w:rsid w:val="007121E7"/>
    <w:rsid w:val="00713687"/>
    <w:rsid w:val="00780646"/>
    <w:rsid w:val="0078269A"/>
    <w:rsid w:val="007A0D0F"/>
    <w:rsid w:val="007B6BCD"/>
    <w:rsid w:val="007C21A6"/>
    <w:rsid w:val="007F7BEA"/>
    <w:rsid w:val="008102F1"/>
    <w:rsid w:val="008379CB"/>
    <w:rsid w:val="00840F8F"/>
    <w:rsid w:val="00847462"/>
    <w:rsid w:val="00860E60"/>
    <w:rsid w:val="0086448D"/>
    <w:rsid w:val="00867D2C"/>
    <w:rsid w:val="00872158"/>
    <w:rsid w:val="0088729E"/>
    <w:rsid w:val="00893B3C"/>
    <w:rsid w:val="008A0C92"/>
    <w:rsid w:val="008A3461"/>
    <w:rsid w:val="008E0588"/>
    <w:rsid w:val="008E3A3C"/>
    <w:rsid w:val="008F016E"/>
    <w:rsid w:val="00912907"/>
    <w:rsid w:val="00921B52"/>
    <w:rsid w:val="00944AA2"/>
    <w:rsid w:val="00945032"/>
    <w:rsid w:val="009526AD"/>
    <w:rsid w:val="00970C9B"/>
    <w:rsid w:val="009757D9"/>
    <w:rsid w:val="00980999"/>
    <w:rsid w:val="00983D59"/>
    <w:rsid w:val="00984021"/>
    <w:rsid w:val="00991392"/>
    <w:rsid w:val="00993A89"/>
    <w:rsid w:val="009A150C"/>
    <w:rsid w:val="009A4BE6"/>
    <w:rsid w:val="009A4F58"/>
    <w:rsid w:val="009B1971"/>
    <w:rsid w:val="009E041F"/>
    <w:rsid w:val="009F3DE7"/>
    <w:rsid w:val="009F7903"/>
    <w:rsid w:val="00A00743"/>
    <w:rsid w:val="00A1458E"/>
    <w:rsid w:val="00A17B34"/>
    <w:rsid w:val="00A35D18"/>
    <w:rsid w:val="00A36907"/>
    <w:rsid w:val="00A62657"/>
    <w:rsid w:val="00A71890"/>
    <w:rsid w:val="00A90CFD"/>
    <w:rsid w:val="00AA1058"/>
    <w:rsid w:val="00AB1BF6"/>
    <w:rsid w:val="00AB53FB"/>
    <w:rsid w:val="00AC38F6"/>
    <w:rsid w:val="00AE5AE2"/>
    <w:rsid w:val="00AF4CFC"/>
    <w:rsid w:val="00B05A60"/>
    <w:rsid w:val="00B1744C"/>
    <w:rsid w:val="00B25685"/>
    <w:rsid w:val="00B25C1C"/>
    <w:rsid w:val="00B366AF"/>
    <w:rsid w:val="00B56D51"/>
    <w:rsid w:val="00B6529A"/>
    <w:rsid w:val="00B66207"/>
    <w:rsid w:val="00B66C82"/>
    <w:rsid w:val="00B95F6B"/>
    <w:rsid w:val="00BA0345"/>
    <w:rsid w:val="00BA0FEA"/>
    <w:rsid w:val="00BA1A6F"/>
    <w:rsid w:val="00BA4E13"/>
    <w:rsid w:val="00BD1A23"/>
    <w:rsid w:val="00BD2D63"/>
    <w:rsid w:val="00BD2DFE"/>
    <w:rsid w:val="00BD5470"/>
    <w:rsid w:val="00BE0C22"/>
    <w:rsid w:val="00C022F9"/>
    <w:rsid w:val="00C10B9B"/>
    <w:rsid w:val="00C11B43"/>
    <w:rsid w:val="00C12F62"/>
    <w:rsid w:val="00C15994"/>
    <w:rsid w:val="00C45219"/>
    <w:rsid w:val="00C608DC"/>
    <w:rsid w:val="00C60A99"/>
    <w:rsid w:val="00C657F9"/>
    <w:rsid w:val="00C65A28"/>
    <w:rsid w:val="00C95A82"/>
    <w:rsid w:val="00CA2076"/>
    <w:rsid w:val="00CA3563"/>
    <w:rsid w:val="00CC5AFA"/>
    <w:rsid w:val="00CD7EA4"/>
    <w:rsid w:val="00CE513F"/>
    <w:rsid w:val="00CF71EF"/>
    <w:rsid w:val="00D02321"/>
    <w:rsid w:val="00D27EE5"/>
    <w:rsid w:val="00D3303F"/>
    <w:rsid w:val="00D3660E"/>
    <w:rsid w:val="00D41585"/>
    <w:rsid w:val="00D8111B"/>
    <w:rsid w:val="00D811F5"/>
    <w:rsid w:val="00DA2D34"/>
    <w:rsid w:val="00DF6E97"/>
    <w:rsid w:val="00E05C75"/>
    <w:rsid w:val="00E245C9"/>
    <w:rsid w:val="00E30384"/>
    <w:rsid w:val="00E35DED"/>
    <w:rsid w:val="00E54055"/>
    <w:rsid w:val="00E5414C"/>
    <w:rsid w:val="00E673FC"/>
    <w:rsid w:val="00E70ADB"/>
    <w:rsid w:val="00E87D3A"/>
    <w:rsid w:val="00EA1E93"/>
    <w:rsid w:val="00EB6311"/>
    <w:rsid w:val="00ED41DE"/>
    <w:rsid w:val="00EE39CE"/>
    <w:rsid w:val="00EE7BA2"/>
    <w:rsid w:val="00F2777F"/>
    <w:rsid w:val="00F537D3"/>
    <w:rsid w:val="00F724D2"/>
    <w:rsid w:val="00F81AFB"/>
    <w:rsid w:val="00F94D03"/>
    <w:rsid w:val="00FC7DAF"/>
    <w:rsid w:val="00FD4D8F"/>
    <w:rsid w:val="00FD4E62"/>
    <w:rsid w:val="0160576D"/>
    <w:rsid w:val="016729E7"/>
    <w:rsid w:val="01B851DF"/>
    <w:rsid w:val="01D92217"/>
    <w:rsid w:val="02287A18"/>
    <w:rsid w:val="031B6BA2"/>
    <w:rsid w:val="032E4D47"/>
    <w:rsid w:val="03895E19"/>
    <w:rsid w:val="0406204A"/>
    <w:rsid w:val="05590B54"/>
    <w:rsid w:val="057F05BD"/>
    <w:rsid w:val="065A3F7A"/>
    <w:rsid w:val="068421C8"/>
    <w:rsid w:val="073A38EF"/>
    <w:rsid w:val="07731F5F"/>
    <w:rsid w:val="07841B34"/>
    <w:rsid w:val="082B5628"/>
    <w:rsid w:val="0889420E"/>
    <w:rsid w:val="08A80FE4"/>
    <w:rsid w:val="08F33B1E"/>
    <w:rsid w:val="09302C8E"/>
    <w:rsid w:val="0A2C15E1"/>
    <w:rsid w:val="0A5F1A8C"/>
    <w:rsid w:val="0C224DD1"/>
    <w:rsid w:val="0CC82852"/>
    <w:rsid w:val="0D841421"/>
    <w:rsid w:val="0D84767A"/>
    <w:rsid w:val="0E1A031E"/>
    <w:rsid w:val="0EB425E7"/>
    <w:rsid w:val="0F1F177E"/>
    <w:rsid w:val="0F503C2D"/>
    <w:rsid w:val="10354394"/>
    <w:rsid w:val="10535CFF"/>
    <w:rsid w:val="113B7241"/>
    <w:rsid w:val="11524677"/>
    <w:rsid w:val="116154F9"/>
    <w:rsid w:val="11977352"/>
    <w:rsid w:val="11EA4B82"/>
    <w:rsid w:val="12CA1F6A"/>
    <w:rsid w:val="134E0C3A"/>
    <w:rsid w:val="13B15654"/>
    <w:rsid w:val="142775FE"/>
    <w:rsid w:val="14857B1E"/>
    <w:rsid w:val="153D3EA6"/>
    <w:rsid w:val="154148ED"/>
    <w:rsid w:val="16443415"/>
    <w:rsid w:val="167378DE"/>
    <w:rsid w:val="17992D80"/>
    <w:rsid w:val="17C80E13"/>
    <w:rsid w:val="187377D0"/>
    <w:rsid w:val="187D53EA"/>
    <w:rsid w:val="1892E405"/>
    <w:rsid w:val="19492209"/>
    <w:rsid w:val="19846B6B"/>
    <w:rsid w:val="19B0563A"/>
    <w:rsid w:val="19C31ED3"/>
    <w:rsid w:val="19C9185E"/>
    <w:rsid w:val="1AE74234"/>
    <w:rsid w:val="1B80312D"/>
    <w:rsid w:val="1C8F595E"/>
    <w:rsid w:val="1CE94904"/>
    <w:rsid w:val="1D1F2F14"/>
    <w:rsid w:val="1D8A4831"/>
    <w:rsid w:val="1D9B2613"/>
    <w:rsid w:val="1DC47E64"/>
    <w:rsid w:val="1DE56E33"/>
    <w:rsid w:val="1E814254"/>
    <w:rsid w:val="1E9062B3"/>
    <w:rsid w:val="1F5F5687"/>
    <w:rsid w:val="208C1D22"/>
    <w:rsid w:val="209C728D"/>
    <w:rsid w:val="20AC4F15"/>
    <w:rsid w:val="20B93720"/>
    <w:rsid w:val="21194658"/>
    <w:rsid w:val="211E2898"/>
    <w:rsid w:val="21D8405F"/>
    <w:rsid w:val="223236E9"/>
    <w:rsid w:val="22AF6AE8"/>
    <w:rsid w:val="239610B4"/>
    <w:rsid w:val="23BE3486"/>
    <w:rsid w:val="243B61F5"/>
    <w:rsid w:val="247578DE"/>
    <w:rsid w:val="24A84414"/>
    <w:rsid w:val="254909EB"/>
    <w:rsid w:val="25592D3B"/>
    <w:rsid w:val="25654EF0"/>
    <w:rsid w:val="256C6A29"/>
    <w:rsid w:val="2672343A"/>
    <w:rsid w:val="26B91CE3"/>
    <w:rsid w:val="26DF6A52"/>
    <w:rsid w:val="27D441DE"/>
    <w:rsid w:val="284F23DA"/>
    <w:rsid w:val="2897327F"/>
    <w:rsid w:val="28FF7D52"/>
    <w:rsid w:val="293B7259"/>
    <w:rsid w:val="294670FF"/>
    <w:rsid w:val="29B96FF4"/>
    <w:rsid w:val="29ED1ABB"/>
    <w:rsid w:val="2A81244C"/>
    <w:rsid w:val="2A86581E"/>
    <w:rsid w:val="2B2D41DB"/>
    <w:rsid w:val="2BC6617C"/>
    <w:rsid w:val="2C1E78EF"/>
    <w:rsid w:val="2CBF3847"/>
    <w:rsid w:val="2CD63EA5"/>
    <w:rsid w:val="2CE1B07E"/>
    <w:rsid w:val="2D5269E7"/>
    <w:rsid w:val="2D5D0F3D"/>
    <w:rsid w:val="2DD5742E"/>
    <w:rsid w:val="2E8F0FD2"/>
    <w:rsid w:val="2EF733E4"/>
    <w:rsid w:val="2F1165C0"/>
    <w:rsid w:val="30063319"/>
    <w:rsid w:val="306E0644"/>
    <w:rsid w:val="323D2BEE"/>
    <w:rsid w:val="33B643A0"/>
    <w:rsid w:val="34122A4E"/>
    <w:rsid w:val="341B1908"/>
    <w:rsid w:val="348376D6"/>
    <w:rsid w:val="352D3822"/>
    <w:rsid w:val="35B20725"/>
    <w:rsid w:val="3638050E"/>
    <w:rsid w:val="366D1437"/>
    <w:rsid w:val="368051C0"/>
    <w:rsid w:val="371049C3"/>
    <w:rsid w:val="377121D0"/>
    <w:rsid w:val="381F574B"/>
    <w:rsid w:val="3862000E"/>
    <w:rsid w:val="38635A90"/>
    <w:rsid w:val="38B63592"/>
    <w:rsid w:val="394C5A0D"/>
    <w:rsid w:val="39A86127"/>
    <w:rsid w:val="39E83776"/>
    <w:rsid w:val="3A1E03A8"/>
    <w:rsid w:val="3ADF6AA3"/>
    <w:rsid w:val="3C125DD4"/>
    <w:rsid w:val="3C99647A"/>
    <w:rsid w:val="3CA01523"/>
    <w:rsid w:val="3DB977AE"/>
    <w:rsid w:val="3DE33BDC"/>
    <w:rsid w:val="3E374C21"/>
    <w:rsid w:val="3F7710D4"/>
    <w:rsid w:val="3FAF5707"/>
    <w:rsid w:val="3FBB7192"/>
    <w:rsid w:val="3FFB2624"/>
    <w:rsid w:val="3FFF7D64"/>
    <w:rsid w:val="41016908"/>
    <w:rsid w:val="413D1A37"/>
    <w:rsid w:val="434268E8"/>
    <w:rsid w:val="44316F05"/>
    <w:rsid w:val="449255AF"/>
    <w:rsid w:val="45392BCE"/>
    <w:rsid w:val="454F3145"/>
    <w:rsid w:val="45901792"/>
    <w:rsid w:val="45AF3EB4"/>
    <w:rsid w:val="468C2B4D"/>
    <w:rsid w:val="4706715A"/>
    <w:rsid w:val="47141BE2"/>
    <w:rsid w:val="47DB39F7"/>
    <w:rsid w:val="482E7CFA"/>
    <w:rsid w:val="483025F1"/>
    <w:rsid w:val="48A74206"/>
    <w:rsid w:val="493E00E4"/>
    <w:rsid w:val="49A14359"/>
    <w:rsid w:val="49DB6B60"/>
    <w:rsid w:val="4A4059B5"/>
    <w:rsid w:val="4B963335"/>
    <w:rsid w:val="4CC93A0F"/>
    <w:rsid w:val="4D383F40"/>
    <w:rsid w:val="4D41569F"/>
    <w:rsid w:val="4D41759F"/>
    <w:rsid w:val="4DA57729"/>
    <w:rsid w:val="4DCF7B29"/>
    <w:rsid w:val="4E036E8C"/>
    <w:rsid w:val="4E2B3DA5"/>
    <w:rsid w:val="4E4B4F9B"/>
    <w:rsid w:val="4E8B5AEB"/>
    <w:rsid w:val="4ECC6A24"/>
    <w:rsid w:val="4FC41ECE"/>
    <w:rsid w:val="4FF62C75"/>
    <w:rsid w:val="5000150E"/>
    <w:rsid w:val="50B64B03"/>
    <w:rsid w:val="50CB601A"/>
    <w:rsid w:val="51394DBE"/>
    <w:rsid w:val="513E53EB"/>
    <w:rsid w:val="51FF0996"/>
    <w:rsid w:val="5202754E"/>
    <w:rsid w:val="52CD6993"/>
    <w:rsid w:val="53C848CE"/>
    <w:rsid w:val="54DB111B"/>
    <w:rsid w:val="552C2ED2"/>
    <w:rsid w:val="55307107"/>
    <w:rsid w:val="5565188F"/>
    <w:rsid w:val="55F96668"/>
    <w:rsid w:val="564A221E"/>
    <w:rsid w:val="56B91027"/>
    <w:rsid w:val="56FF3BC2"/>
    <w:rsid w:val="579447BF"/>
    <w:rsid w:val="57BD2100"/>
    <w:rsid w:val="57E802A9"/>
    <w:rsid w:val="58350237"/>
    <w:rsid w:val="58771D8E"/>
    <w:rsid w:val="5A8B15BD"/>
    <w:rsid w:val="5AB47BDF"/>
    <w:rsid w:val="5AF6727A"/>
    <w:rsid w:val="5B147DF5"/>
    <w:rsid w:val="5B813AB0"/>
    <w:rsid w:val="5BDC0D8A"/>
    <w:rsid w:val="5C4E7981"/>
    <w:rsid w:val="5C5E1F11"/>
    <w:rsid w:val="5D2E11ED"/>
    <w:rsid w:val="5D335675"/>
    <w:rsid w:val="5D801A07"/>
    <w:rsid w:val="5E5D76E0"/>
    <w:rsid w:val="5EDD1D0C"/>
    <w:rsid w:val="5F3A7F20"/>
    <w:rsid w:val="5F7D2E3A"/>
    <w:rsid w:val="5F7F7B41"/>
    <w:rsid w:val="5FBED4DA"/>
    <w:rsid w:val="5FE845C0"/>
    <w:rsid w:val="5FFE7D6C"/>
    <w:rsid w:val="601B6BDB"/>
    <w:rsid w:val="61DE21D7"/>
    <w:rsid w:val="61E35D28"/>
    <w:rsid w:val="62A62707"/>
    <w:rsid w:val="62B17737"/>
    <w:rsid w:val="62C45016"/>
    <w:rsid w:val="63436BE9"/>
    <w:rsid w:val="63676BA3"/>
    <w:rsid w:val="63895D01"/>
    <w:rsid w:val="63BC515B"/>
    <w:rsid w:val="645D3FE6"/>
    <w:rsid w:val="64867B56"/>
    <w:rsid w:val="665011EC"/>
    <w:rsid w:val="66AB23FE"/>
    <w:rsid w:val="670504D8"/>
    <w:rsid w:val="67BF1BD1"/>
    <w:rsid w:val="68567630"/>
    <w:rsid w:val="68A529B7"/>
    <w:rsid w:val="68B17459"/>
    <w:rsid w:val="68B46056"/>
    <w:rsid w:val="6A541EFF"/>
    <w:rsid w:val="6BD35BF3"/>
    <w:rsid w:val="6BEE3769"/>
    <w:rsid w:val="6C955CB1"/>
    <w:rsid w:val="6DEFA775"/>
    <w:rsid w:val="6DFE5FFB"/>
    <w:rsid w:val="6E085B93"/>
    <w:rsid w:val="6E1F2086"/>
    <w:rsid w:val="6FBD7C19"/>
    <w:rsid w:val="6FF420B8"/>
    <w:rsid w:val="70165BBC"/>
    <w:rsid w:val="70553D01"/>
    <w:rsid w:val="70D34129"/>
    <w:rsid w:val="723A7641"/>
    <w:rsid w:val="737E50D1"/>
    <w:rsid w:val="73AA230D"/>
    <w:rsid w:val="73E379C8"/>
    <w:rsid w:val="74B23A90"/>
    <w:rsid w:val="74CE55B2"/>
    <w:rsid w:val="74F3CBC9"/>
    <w:rsid w:val="7509538E"/>
    <w:rsid w:val="75377DCD"/>
    <w:rsid w:val="753B598B"/>
    <w:rsid w:val="75DF705D"/>
    <w:rsid w:val="75E64D79"/>
    <w:rsid w:val="762635E5"/>
    <w:rsid w:val="7678680B"/>
    <w:rsid w:val="76984C2E"/>
    <w:rsid w:val="76CE4E95"/>
    <w:rsid w:val="76FFBD27"/>
    <w:rsid w:val="77FEF074"/>
    <w:rsid w:val="784D39C8"/>
    <w:rsid w:val="78F41CD4"/>
    <w:rsid w:val="791C0615"/>
    <w:rsid w:val="793741EC"/>
    <w:rsid w:val="7A7A024A"/>
    <w:rsid w:val="7A953F53"/>
    <w:rsid w:val="7A9A1C23"/>
    <w:rsid w:val="7BCD4926"/>
    <w:rsid w:val="7BFE8FAA"/>
    <w:rsid w:val="7C1F350C"/>
    <w:rsid w:val="7CAB7003"/>
    <w:rsid w:val="7CFFD089"/>
    <w:rsid w:val="7D066A1B"/>
    <w:rsid w:val="7D5F2738"/>
    <w:rsid w:val="7D694362"/>
    <w:rsid w:val="7D6E0A21"/>
    <w:rsid w:val="7D7B66C4"/>
    <w:rsid w:val="7D7D0F6E"/>
    <w:rsid w:val="7DE86CAD"/>
    <w:rsid w:val="7DF30921"/>
    <w:rsid w:val="7E9FE2BE"/>
    <w:rsid w:val="7EDFB2AF"/>
    <w:rsid w:val="7EFA1665"/>
    <w:rsid w:val="7F6DFFAE"/>
    <w:rsid w:val="7F7A7C6D"/>
    <w:rsid w:val="7FBF4E91"/>
    <w:rsid w:val="7FBFE0DA"/>
    <w:rsid w:val="7FE37B5A"/>
    <w:rsid w:val="7FEF083D"/>
    <w:rsid w:val="7FF19B46"/>
    <w:rsid w:val="7FF7B9E9"/>
    <w:rsid w:val="A7DB4FFA"/>
    <w:rsid w:val="B5BE1BBF"/>
    <w:rsid w:val="B6FD58E3"/>
    <w:rsid w:val="BE57CEDF"/>
    <w:rsid w:val="DBF5CFAA"/>
    <w:rsid w:val="DFEB3FF7"/>
    <w:rsid w:val="DFFCB07F"/>
    <w:rsid w:val="E4330BC4"/>
    <w:rsid w:val="EB5C33A4"/>
    <w:rsid w:val="EBF6CE66"/>
    <w:rsid w:val="EBF749E2"/>
    <w:rsid w:val="F6F5C200"/>
    <w:rsid w:val="F73F19AC"/>
    <w:rsid w:val="F7A73012"/>
    <w:rsid w:val="F7CF9D3C"/>
    <w:rsid w:val="F7DF61A9"/>
    <w:rsid w:val="F7FB644C"/>
    <w:rsid w:val="FBF613C0"/>
    <w:rsid w:val="FE7FAD23"/>
    <w:rsid w:val="FEAF8AB6"/>
    <w:rsid w:val="FED776A3"/>
    <w:rsid w:val="FF7FC629"/>
    <w:rsid w:val="FFABF1C9"/>
    <w:rsid w:val="FFDDD25C"/>
    <w:rsid w:val="FFFDCCF8"/>
    <w:rsid w:val="FFFF9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99" w:semiHidden="0" w:name="heading 7"/>
    <w:lsdException w:qFormat="1" w:uiPriority="99" w:semiHidden="0" w:name="heading 8"/>
    <w:lsdException w:qFormat="1" w:uiPriority="99" w:semiHidden="0" w:name="heading 9"/>
    <w:lsdException w:qFormat="1" w:uiPriority="99" w:semiHidden="0" w:name="index 1"/>
    <w:lsdException w:qFormat="1" w:uiPriority="99" w:semiHidden="0" w:name="index 2"/>
    <w:lsdException w:qFormat="1" w:uiPriority="99" w:semiHidden="0" w:name="index 3"/>
    <w:lsdException w:qFormat="1" w:uiPriority="99" w:semiHidden="0" w:name="index 4"/>
    <w:lsdException w:qFormat="1" w:uiPriority="99" w:semiHidden="0" w:name="index 5"/>
    <w:lsdException w:qFormat="1" w:uiPriority="99" w:semiHidden="0" w:name="index 6"/>
    <w:lsdException w:qFormat="1" w:uiPriority="99" w:semiHidden="0" w:name="index 7"/>
    <w:lsdException w:qFormat="1" w:uiPriority="99" w:semiHidden="0" w:name="index 8"/>
    <w:lsdException w:qFormat="1" w:uiPriority="99" w:semiHidden="0" w:name="index 9"/>
    <w:lsdException w:qFormat="1" w:uiPriority="39" w:semiHidden="0" w:name="toc 1"/>
    <w:lsdException w:qFormat="1" w:uiPriority="39" w:semiHidden="0" w:name="toc 2"/>
    <w:lsdException w:qFormat="1"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qFormat="1" w:uiPriority="99" w:semiHidden="0"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9"/>
    <w:qFormat/>
    <w:uiPriority w:val="0"/>
    <w:pPr>
      <w:keepNext/>
      <w:keepLines/>
      <w:adjustRightInd w:val="0"/>
      <w:spacing w:before="340" w:after="330" w:line="578" w:lineRule="atLeast"/>
      <w:jc w:val="center"/>
      <w:outlineLvl w:val="0"/>
    </w:pPr>
    <w:rPr>
      <w:b/>
      <w:kern w:val="44"/>
      <w:sz w:val="20"/>
    </w:rPr>
  </w:style>
  <w:style w:type="paragraph" w:styleId="6">
    <w:name w:val="heading 2"/>
    <w:basedOn w:val="1"/>
    <w:next w:val="1"/>
    <w:link w:val="60"/>
    <w:unhideWhenUsed/>
    <w:qFormat/>
    <w:uiPriority w:val="0"/>
    <w:pPr>
      <w:keepNext/>
      <w:keepLines/>
      <w:adjustRightInd w:val="0"/>
      <w:spacing w:before="260" w:after="260" w:line="416" w:lineRule="atLeast"/>
      <w:jc w:val="center"/>
      <w:outlineLvl w:val="1"/>
    </w:pPr>
    <w:rPr>
      <w:rFonts w:ascii="黑体" w:hAnsi="Arial" w:eastAsia="黑体" w:cs="宋体"/>
      <w:kern w:val="0"/>
      <w:sz w:val="28"/>
    </w:rPr>
  </w:style>
  <w:style w:type="paragraph" w:styleId="7">
    <w:name w:val="heading 3"/>
    <w:basedOn w:val="1"/>
    <w:next w:val="1"/>
    <w:link w:val="61"/>
    <w:unhideWhenUsed/>
    <w:qFormat/>
    <w:uiPriority w:val="0"/>
    <w:pPr>
      <w:keepNext/>
      <w:keepLines/>
      <w:tabs>
        <w:tab w:val="left" w:pos="1260"/>
      </w:tabs>
      <w:adjustRightInd w:val="0"/>
      <w:spacing w:before="260" w:after="260" w:line="416" w:lineRule="atLeast"/>
      <w:ind w:left="1260" w:hanging="420"/>
      <w:outlineLvl w:val="2"/>
    </w:pPr>
    <w:rPr>
      <w:b/>
      <w:kern w:val="0"/>
      <w:sz w:val="32"/>
    </w:rPr>
  </w:style>
  <w:style w:type="paragraph" w:styleId="8">
    <w:name w:val="heading 4"/>
    <w:basedOn w:val="1"/>
    <w:next w:val="1"/>
    <w:link w:val="62"/>
    <w:unhideWhenUsed/>
    <w:qFormat/>
    <w:uiPriority w:val="0"/>
    <w:pPr>
      <w:keepNext/>
      <w:keepLines/>
      <w:tabs>
        <w:tab w:val="left" w:pos="1680"/>
      </w:tabs>
      <w:adjustRightInd w:val="0"/>
      <w:spacing w:before="280" w:after="290" w:line="376" w:lineRule="atLeast"/>
      <w:ind w:left="1680" w:hanging="420"/>
      <w:outlineLvl w:val="3"/>
    </w:pPr>
    <w:rPr>
      <w:rFonts w:ascii="Arial" w:hAnsi="Arial" w:eastAsia="黑体"/>
      <w:b/>
      <w:kern w:val="0"/>
      <w:sz w:val="28"/>
    </w:rPr>
  </w:style>
  <w:style w:type="paragraph" w:styleId="9">
    <w:name w:val="heading 5"/>
    <w:basedOn w:val="1"/>
    <w:next w:val="1"/>
    <w:link w:val="63"/>
    <w:unhideWhenUsed/>
    <w:qFormat/>
    <w:uiPriority w:val="0"/>
    <w:pPr>
      <w:keepNext/>
      <w:keepLines/>
      <w:tabs>
        <w:tab w:val="left" w:pos="2100"/>
      </w:tabs>
      <w:adjustRightInd w:val="0"/>
      <w:spacing w:before="280" w:after="290" w:line="376" w:lineRule="atLeast"/>
      <w:ind w:left="2100" w:hanging="420"/>
      <w:outlineLvl w:val="4"/>
    </w:pPr>
    <w:rPr>
      <w:b/>
      <w:kern w:val="0"/>
      <w:sz w:val="28"/>
    </w:rPr>
  </w:style>
  <w:style w:type="paragraph" w:styleId="10">
    <w:name w:val="heading 6"/>
    <w:basedOn w:val="1"/>
    <w:next w:val="1"/>
    <w:link w:val="64"/>
    <w:unhideWhenUsed/>
    <w:qFormat/>
    <w:uiPriority w:val="0"/>
    <w:pPr>
      <w:keepNext/>
      <w:keepLines/>
      <w:tabs>
        <w:tab w:val="left" w:pos="2520"/>
      </w:tabs>
      <w:adjustRightInd w:val="0"/>
      <w:spacing w:before="240" w:after="64" w:line="320" w:lineRule="atLeast"/>
      <w:ind w:left="2520" w:hanging="420"/>
      <w:outlineLvl w:val="5"/>
    </w:pPr>
    <w:rPr>
      <w:rFonts w:ascii="Arial" w:hAnsi="Arial" w:eastAsia="黑体"/>
      <w:b/>
      <w:kern w:val="0"/>
      <w:sz w:val="20"/>
    </w:rPr>
  </w:style>
  <w:style w:type="paragraph" w:styleId="11">
    <w:name w:val="heading 7"/>
    <w:basedOn w:val="1"/>
    <w:next w:val="1"/>
    <w:link w:val="65"/>
    <w:unhideWhenUsed/>
    <w:qFormat/>
    <w:uiPriority w:val="99"/>
    <w:pPr>
      <w:keepNext/>
      <w:keepLines/>
      <w:tabs>
        <w:tab w:val="left" w:pos="2940"/>
      </w:tabs>
      <w:adjustRightInd w:val="0"/>
      <w:spacing w:before="240" w:after="64" w:line="320" w:lineRule="atLeast"/>
      <w:ind w:left="2940" w:hanging="420"/>
      <w:outlineLvl w:val="6"/>
    </w:pPr>
    <w:rPr>
      <w:b/>
      <w:kern w:val="0"/>
      <w:sz w:val="20"/>
    </w:rPr>
  </w:style>
  <w:style w:type="paragraph" w:styleId="12">
    <w:name w:val="heading 8"/>
    <w:basedOn w:val="1"/>
    <w:next w:val="1"/>
    <w:link w:val="66"/>
    <w:unhideWhenUsed/>
    <w:qFormat/>
    <w:uiPriority w:val="99"/>
    <w:pPr>
      <w:keepNext/>
      <w:keepLines/>
      <w:tabs>
        <w:tab w:val="left" w:pos="3360"/>
      </w:tabs>
      <w:adjustRightInd w:val="0"/>
      <w:spacing w:before="240" w:after="64" w:line="320" w:lineRule="atLeast"/>
      <w:ind w:left="3360" w:hanging="420"/>
      <w:outlineLvl w:val="7"/>
    </w:pPr>
    <w:rPr>
      <w:rFonts w:ascii="Arial" w:hAnsi="Arial" w:eastAsia="黑体"/>
      <w:kern w:val="0"/>
      <w:sz w:val="20"/>
    </w:rPr>
  </w:style>
  <w:style w:type="paragraph" w:styleId="13">
    <w:name w:val="heading 9"/>
    <w:basedOn w:val="1"/>
    <w:next w:val="1"/>
    <w:link w:val="67"/>
    <w:unhideWhenUsed/>
    <w:qFormat/>
    <w:uiPriority w:val="99"/>
    <w:pPr>
      <w:keepNext/>
      <w:keepLines/>
      <w:tabs>
        <w:tab w:val="left" w:pos="3780"/>
      </w:tabs>
      <w:adjustRightInd w:val="0"/>
      <w:spacing w:before="240" w:after="64" w:line="320" w:lineRule="atLeast"/>
      <w:ind w:left="3780" w:hanging="420"/>
      <w:outlineLvl w:val="8"/>
    </w:pPr>
    <w:rPr>
      <w:rFonts w:ascii="Arial" w:hAnsi="Arial" w:eastAsia="黑体"/>
      <w:kern w:val="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9"/>
    <w:unhideWhenUsed/>
    <w:qFormat/>
    <w:uiPriority w:val="99"/>
    <w:pPr>
      <w:ind w:firstLine="420" w:firstLineChars="200"/>
    </w:pPr>
  </w:style>
  <w:style w:type="paragraph" w:styleId="3">
    <w:name w:val="Body Text Indent"/>
    <w:basedOn w:val="1"/>
    <w:next w:val="4"/>
    <w:link w:val="68"/>
    <w:unhideWhenUsed/>
    <w:qFormat/>
    <w:uiPriority w:val="99"/>
    <w:pPr>
      <w:spacing w:after="120"/>
      <w:ind w:left="420" w:leftChars="200"/>
    </w:pPr>
  </w:style>
  <w:style w:type="paragraph" w:styleId="4">
    <w:name w:val="envelope return"/>
    <w:basedOn w:val="1"/>
    <w:unhideWhenUsed/>
    <w:qFormat/>
    <w:uiPriority w:val="99"/>
    <w:pPr>
      <w:snapToGrid w:val="0"/>
    </w:pPr>
    <w:rPr>
      <w:rFonts w:ascii="Arial" w:hAnsi="Arial"/>
    </w:rPr>
  </w:style>
  <w:style w:type="paragraph" w:styleId="14">
    <w:name w:val="toc 7"/>
    <w:basedOn w:val="1"/>
    <w:next w:val="1"/>
    <w:unhideWhenUsed/>
    <w:qFormat/>
    <w:uiPriority w:val="99"/>
    <w:pPr>
      <w:ind w:left="2520"/>
    </w:pPr>
  </w:style>
  <w:style w:type="paragraph" w:styleId="15">
    <w:name w:val="index 8"/>
    <w:basedOn w:val="1"/>
    <w:next w:val="1"/>
    <w:unhideWhenUsed/>
    <w:qFormat/>
    <w:uiPriority w:val="99"/>
    <w:pPr>
      <w:ind w:left="2940"/>
    </w:pPr>
  </w:style>
  <w:style w:type="paragraph" w:styleId="16">
    <w:name w:val="Normal Indent"/>
    <w:basedOn w:val="1"/>
    <w:unhideWhenUsed/>
    <w:qFormat/>
    <w:uiPriority w:val="99"/>
    <w:pPr>
      <w:ind w:firstLine="420"/>
    </w:pPr>
  </w:style>
  <w:style w:type="paragraph" w:styleId="17">
    <w:name w:val="index 5"/>
    <w:basedOn w:val="1"/>
    <w:next w:val="1"/>
    <w:unhideWhenUsed/>
    <w:qFormat/>
    <w:uiPriority w:val="99"/>
    <w:pPr>
      <w:ind w:left="1680"/>
    </w:pPr>
  </w:style>
  <w:style w:type="paragraph" w:styleId="18">
    <w:name w:val="Document Map"/>
    <w:basedOn w:val="1"/>
    <w:link w:val="78"/>
    <w:unhideWhenUsed/>
    <w:qFormat/>
    <w:uiPriority w:val="99"/>
    <w:pPr>
      <w:shd w:val="clear" w:color="auto" w:fill="000080"/>
    </w:pPr>
    <w:rPr>
      <w:kern w:val="0"/>
      <w:sz w:val="20"/>
    </w:rPr>
  </w:style>
  <w:style w:type="paragraph" w:styleId="19">
    <w:name w:val="annotation text"/>
    <w:basedOn w:val="1"/>
    <w:link w:val="183"/>
    <w:unhideWhenUsed/>
    <w:qFormat/>
    <w:uiPriority w:val="99"/>
    <w:pPr>
      <w:jc w:val="left"/>
    </w:pPr>
  </w:style>
  <w:style w:type="paragraph" w:styleId="20">
    <w:name w:val="index 6"/>
    <w:basedOn w:val="1"/>
    <w:next w:val="1"/>
    <w:unhideWhenUsed/>
    <w:qFormat/>
    <w:uiPriority w:val="99"/>
    <w:pPr>
      <w:ind w:left="2100"/>
    </w:pPr>
  </w:style>
  <w:style w:type="paragraph" w:styleId="21">
    <w:name w:val="Body Text"/>
    <w:basedOn w:val="1"/>
    <w:next w:val="1"/>
    <w:link w:val="74"/>
    <w:unhideWhenUsed/>
    <w:qFormat/>
    <w:uiPriority w:val="99"/>
    <w:pPr>
      <w:spacing w:line="360" w:lineRule="auto"/>
    </w:pPr>
    <w:rPr>
      <w:kern w:val="0"/>
      <w:sz w:val="20"/>
    </w:rPr>
  </w:style>
  <w:style w:type="paragraph" w:styleId="22">
    <w:name w:val="index 4"/>
    <w:basedOn w:val="1"/>
    <w:next w:val="1"/>
    <w:unhideWhenUsed/>
    <w:qFormat/>
    <w:uiPriority w:val="99"/>
    <w:pPr>
      <w:ind w:left="1260"/>
    </w:pPr>
  </w:style>
  <w:style w:type="paragraph" w:styleId="23">
    <w:name w:val="toc 5"/>
    <w:basedOn w:val="1"/>
    <w:next w:val="1"/>
    <w:unhideWhenUsed/>
    <w:qFormat/>
    <w:uiPriority w:val="99"/>
    <w:pPr>
      <w:ind w:left="1680"/>
    </w:pPr>
  </w:style>
  <w:style w:type="paragraph" w:styleId="24">
    <w:name w:val="toc 3"/>
    <w:basedOn w:val="1"/>
    <w:next w:val="1"/>
    <w:unhideWhenUsed/>
    <w:qFormat/>
    <w:uiPriority w:val="39"/>
    <w:pPr>
      <w:tabs>
        <w:tab w:val="left" w:pos="1680"/>
        <w:tab w:val="right" w:leader="dot" w:pos="9755"/>
      </w:tabs>
      <w:adjustRightInd w:val="0"/>
      <w:snapToGrid w:val="0"/>
      <w:spacing w:line="560" w:lineRule="exact"/>
      <w:ind w:firstLine="960" w:firstLineChars="400"/>
    </w:pPr>
    <w:rPr>
      <w:sz w:val="24"/>
      <w:szCs w:val="24"/>
    </w:rPr>
  </w:style>
  <w:style w:type="paragraph" w:styleId="25">
    <w:name w:val="Plain Text"/>
    <w:basedOn w:val="1"/>
    <w:link w:val="79"/>
    <w:unhideWhenUsed/>
    <w:qFormat/>
    <w:uiPriority w:val="0"/>
    <w:pPr>
      <w:adjustRightInd w:val="0"/>
      <w:spacing w:line="312" w:lineRule="atLeast"/>
    </w:pPr>
    <w:rPr>
      <w:rFonts w:ascii="宋体" w:hAnsi="Courier New"/>
      <w:kern w:val="0"/>
      <w:sz w:val="20"/>
    </w:rPr>
  </w:style>
  <w:style w:type="paragraph" w:styleId="26">
    <w:name w:val="toc 8"/>
    <w:basedOn w:val="1"/>
    <w:next w:val="1"/>
    <w:unhideWhenUsed/>
    <w:qFormat/>
    <w:uiPriority w:val="99"/>
    <w:pPr>
      <w:ind w:left="2940"/>
    </w:pPr>
  </w:style>
  <w:style w:type="paragraph" w:styleId="27">
    <w:name w:val="index 3"/>
    <w:basedOn w:val="1"/>
    <w:next w:val="1"/>
    <w:unhideWhenUsed/>
    <w:qFormat/>
    <w:uiPriority w:val="99"/>
    <w:pPr>
      <w:ind w:left="840"/>
    </w:pPr>
  </w:style>
  <w:style w:type="paragraph" w:styleId="28">
    <w:name w:val="Date"/>
    <w:basedOn w:val="1"/>
    <w:next w:val="1"/>
    <w:link w:val="75"/>
    <w:unhideWhenUsed/>
    <w:qFormat/>
    <w:uiPriority w:val="99"/>
    <w:rPr>
      <w:kern w:val="0"/>
      <w:sz w:val="28"/>
    </w:rPr>
  </w:style>
  <w:style w:type="paragraph" w:styleId="29">
    <w:name w:val="Body Text Indent 2"/>
    <w:basedOn w:val="1"/>
    <w:link w:val="76"/>
    <w:unhideWhenUsed/>
    <w:qFormat/>
    <w:uiPriority w:val="99"/>
    <w:pPr>
      <w:ind w:left="840"/>
    </w:pPr>
    <w:rPr>
      <w:kern w:val="0"/>
      <w:sz w:val="20"/>
    </w:rPr>
  </w:style>
  <w:style w:type="paragraph" w:styleId="30">
    <w:name w:val="Balloon Text"/>
    <w:basedOn w:val="1"/>
    <w:link w:val="81"/>
    <w:unhideWhenUsed/>
    <w:qFormat/>
    <w:uiPriority w:val="99"/>
    <w:rPr>
      <w:kern w:val="0"/>
      <w:sz w:val="18"/>
      <w:szCs w:val="18"/>
    </w:rPr>
  </w:style>
  <w:style w:type="paragraph" w:styleId="31">
    <w:name w:val="footer"/>
    <w:basedOn w:val="1"/>
    <w:link w:val="58"/>
    <w:unhideWhenUsed/>
    <w:qFormat/>
    <w:uiPriority w:val="99"/>
    <w:pPr>
      <w:tabs>
        <w:tab w:val="center" w:pos="4153"/>
        <w:tab w:val="right" w:pos="8306"/>
      </w:tabs>
      <w:snapToGrid w:val="0"/>
      <w:jc w:val="left"/>
    </w:pPr>
    <w:rPr>
      <w:sz w:val="18"/>
      <w:szCs w:val="18"/>
    </w:rPr>
  </w:style>
  <w:style w:type="paragraph" w:styleId="32">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snapToGrid w:val="0"/>
      <w:spacing w:line="520" w:lineRule="exact"/>
      <w:ind w:firstLine="200" w:firstLineChars="200"/>
    </w:pPr>
    <w:rPr>
      <w:rFonts w:eastAsia="黑体"/>
      <w:color w:val="000000"/>
      <w:sz w:val="24"/>
      <w:szCs w:val="24"/>
    </w:rPr>
  </w:style>
  <w:style w:type="paragraph" w:styleId="34">
    <w:name w:val="toc 4"/>
    <w:basedOn w:val="1"/>
    <w:next w:val="1"/>
    <w:unhideWhenUsed/>
    <w:qFormat/>
    <w:uiPriority w:val="99"/>
    <w:pPr>
      <w:ind w:left="1260"/>
    </w:pPr>
  </w:style>
  <w:style w:type="paragraph" w:styleId="35">
    <w:name w:val="index heading"/>
    <w:basedOn w:val="1"/>
    <w:next w:val="36"/>
    <w:unhideWhenUsed/>
    <w:qFormat/>
    <w:uiPriority w:val="99"/>
  </w:style>
  <w:style w:type="paragraph" w:styleId="36">
    <w:name w:val="index 1"/>
    <w:basedOn w:val="1"/>
    <w:next w:val="1"/>
    <w:unhideWhenUsed/>
    <w:qFormat/>
    <w:uiPriority w:val="99"/>
  </w:style>
  <w:style w:type="paragraph" w:styleId="37">
    <w:name w:val="toc 6"/>
    <w:basedOn w:val="1"/>
    <w:next w:val="1"/>
    <w:unhideWhenUsed/>
    <w:qFormat/>
    <w:uiPriority w:val="99"/>
    <w:pPr>
      <w:ind w:left="2100"/>
    </w:pPr>
  </w:style>
  <w:style w:type="paragraph" w:styleId="38">
    <w:name w:val="Body Text Indent 3"/>
    <w:basedOn w:val="1"/>
    <w:link w:val="77"/>
    <w:unhideWhenUsed/>
    <w:qFormat/>
    <w:uiPriority w:val="99"/>
    <w:pPr>
      <w:spacing w:line="400" w:lineRule="atLeast"/>
      <w:ind w:left="360" w:firstLine="410" w:firstLineChars="171"/>
    </w:pPr>
    <w:rPr>
      <w:kern w:val="0"/>
      <w:sz w:val="20"/>
    </w:rPr>
  </w:style>
  <w:style w:type="paragraph" w:styleId="39">
    <w:name w:val="index 7"/>
    <w:basedOn w:val="1"/>
    <w:next w:val="1"/>
    <w:unhideWhenUsed/>
    <w:qFormat/>
    <w:uiPriority w:val="99"/>
    <w:pPr>
      <w:ind w:left="2520"/>
    </w:pPr>
  </w:style>
  <w:style w:type="paragraph" w:styleId="40">
    <w:name w:val="index 9"/>
    <w:basedOn w:val="1"/>
    <w:next w:val="1"/>
    <w:unhideWhenUsed/>
    <w:qFormat/>
    <w:uiPriority w:val="99"/>
    <w:pPr>
      <w:ind w:left="3360"/>
    </w:pPr>
  </w:style>
  <w:style w:type="paragraph" w:styleId="41">
    <w:name w:val="toc 2"/>
    <w:basedOn w:val="1"/>
    <w:next w:val="1"/>
    <w:unhideWhenUsed/>
    <w:qFormat/>
    <w:uiPriority w:val="39"/>
    <w:pPr>
      <w:snapToGrid w:val="0"/>
      <w:spacing w:line="480" w:lineRule="exact"/>
      <w:ind w:firstLine="300" w:firstLineChars="300"/>
    </w:pPr>
    <w:rPr>
      <w:sz w:val="24"/>
      <w:szCs w:val="24"/>
    </w:rPr>
  </w:style>
  <w:style w:type="paragraph" w:styleId="42">
    <w:name w:val="toc 9"/>
    <w:basedOn w:val="1"/>
    <w:next w:val="1"/>
    <w:unhideWhenUsed/>
    <w:qFormat/>
    <w:uiPriority w:val="99"/>
    <w:pPr>
      <w:ind w:left="3360"/>
    </w:pPr>
  </w:style>
  <w:style w:type="paragraph" w:styleId="43">
    <w:name w:val="Body Text 2"/>
    <w:basedOn w:val="1"/>
    <w:qFormat/>
    <w:uiPriority w:val="0"/>
    <w:pPr>
      <w:spacing w:line="480" w:lineRule="auto"/>
    </w:pPr>
  </w:style>
  <w:style w:type="paragraph" w:styleId="44">
    <w:name w:val="HTML Preformatted"/>
    <w:basedOn w:val="1"/>
    <w:link w:val="70"/>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0"/>
    </w:rPr>
  </w:style>
  <w:style w:type="paragraph" w:styleId="45">
    <w:name w:val="Normal (Web)"/>
    <w:basedOn w:val="1"/>
    <w:unhideWhenUsed/>
    <w:qFormat/>
    <w:uiPriority w:val="99"/>
    <w:rPr>
      <w:sz w:val="24"/>
      <w:szCs w:val="24"/>
    </w:rPr>
  </w:style>
  <w:style w:type="paragraph" w:styleId="46">
    <w:name w:val="index 2"/>
    <w:basedOn w:val="1"/>
    <w:next w:val="1"/>
    <w:unhideWhenUsed/>
    <w:qFormat/>
    <w:uiPriority w:val="99"/>
    <w:pPr>
      <w:ind w:left="420"/>
    </w:pPr>
  </w:style>
  <w:style w:type="paragraph" w:styleId="47">
    <w:name w:val="Title"/>
    <w:link w:val="73"/>
    <w:qFormat/>
    <w:uiPriority w:val="99"/>
    <w:pPr>
      <w:spacing w:before="240" w:after="60" w:line="540" w:lineRule="exact"/>
      <w:outlineLvl w:val="0"/>
    </w:pPr>
    <w:rPr>
      <w:rFonts w:ascii="Times New Roman" w:hAnsi="Times New Roman" w:eastAsia="仿宋_GB2312" w:cs="Cambria"/>
      <w:b/>
      <w:bCs/>
      <w:sz w:val="32"/>
      <w:szCs w:val="32"/>
      <w:lang w:val="en-US" w:eastAsia="zh-CN" w:bidi="ar-SA"/>
    </w:rPr>
  </w:style>
  <w:style w:type="paragraph" w:styleId="48">
    <w:name w:val="annotation subject"/>
    <w:basedOn w:val="19"/>
    <w:next w:val="19"/>
    <w:link w:val="80"/>
    <w:unhideWhenUsed/>
    <w:qFormat/>
    <w:uiPriority w:val="99"/>
    <w:rPr>
      <w:b/>
      <w:bCs/>
      <w:kern w:val="0"/>
      <w:sz w:val="20"/>
    </w:rPr>
  </w:style>
  <w:style w:type="table" w:styleId="50">
    <w:name w:val="Table Grid"/>
    <w:basedOn w:val="4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page number"/>
    <w:unhideWhenUsed/>
    <w:qFormat/>
    <w:uiPriority w:val="0"/>
    <w:rPr>
      <w:rFonts w:hint="default" w:ascii="Times New Roman" w:hAnsi="Times New Roman" w:eastAsia="宋体" w:cs="Times New Roman"/>
      <w:lang w:val="en-US" w:eastAsia="zh-CN" w:bidi="ar-SA"/>
    </w:rPr>
  </w:style>
  <w:style w:type="character" w:styleId="53">
    <w:name w:val="FollowedHyperlink"/>
    <w:unhideWhenUsed/>
    <w:qFormat/>
    <w:uiPriority w:val="99"/>
    <w:rPr>
      <w:rFonts w:hint="default" w:ascii="Times New Roman" w:hAnsi="Times New Roman" w:eastAsia="宋体" w:cs="Times New Roman"/>
      <w:color w:val="800080"/>
      <w:u w:val="single"/>
      <w:lang w:val="en-US" w:eastAsia="zh-CN" w:bidi="ar-SA"/>
    </w:rPr>
  </w:style>
  <w:style w:type="character" w:styleId="54">
    <w:name w:val="HTML Typewriter"/>
    <w:unhideWhenUsed/>
    <w:qFormat/>
    <w:uiPriority w:val="0"/>
    <w:rPr>
      <w:rFonts w:hint="default" w:ascii="Courier New" w:hAnsi="Courier New" w:eastAsia="宋体" w:cs="Courier New"/>
      <w:sz w:val="24"/>
      <w:szCs w:val="24"/>
      <w:lang w:val="en-US" w:eastAsia="zh-CN" w:bidi="ar-SA"/>
    </w:rPr>
  </w:style>
  <w:style w:type="character" w:styleId="55">
    <w:name w:val="Hyperlink"/>
    <w:unhideWhenUsed/>
    <w:qFormat/>
    <w:uiPriority w:val="99"/>
    <w:rPr>
      <w:rFonts w:hint="default" w:ascii="Times New Roman" w:hAnsi="Times New Roman" w:eastAsia="宋体" w:cs="Times New Roman"/>
      <w:color w:val="0000FF"/>
      <w:u w:val="single"/>
      <w:lang w:val="en-US" w:eastAsia="zh-CN" w:bidi="ar-SA"/>
    </w:rPr>
  </w:style>
  <w:style w:type="character" w:styleId="56">
    <w:name w:val="annotation reference"/>
    <w:unhideWhenUsed/>
    <w:qFormat/>
    <w:uiPriority w:val="99"/>
    <w:rPr>
      <w:rFonts w:hint="default" w:ascii="Times New Roman" w:hAnsi="Times New Roman" w:eastAsia="宋体" w:cs="Times New Roman"/>
      <w:sz w:val="21"/>
      <w:szCs w:val="21"/>
      <w:lang w:val="en-US" w:eastAsia="zh-CN" w:bidi="ar-SA"/>
    </w:rPr>
  </w:style>
  <w:style w:type="character" w:customStyle="1" w:styleId="57">
    <w:name w:val="页眉 Char"/>
    <w:basedOn w:val="51"/>
    <w:link w:val="32"/>
    <w:qFormat/>
    <w:uiPriority w:val="99"/>
    <w:rPr>
      <w:sz w:val="18"/>
      <w:szCs w:val="18"/>
    </w:rPr>
  </w:style>
  <w:style w:type="character" w:customStyle="1" w:styleId="58">
    <w:name w:val="页脚 Char"/>
    <w:basedOn w:val="51"/>
    <w:link w:val="31"/>
    <w:qFormat/>
    <w:uiPriority w:val="99"/>
    <w:rPr>
      <w:sz w:val="18"/>
      <w:szCs w:val="18"/>
    </w:rPr>
  </w:style>
  <w:style w:type="character" w:customStyle="1" w:styleId="59">
    <w:name w:val="标题 1 Char"/>
    <w:basedOn w:val="51"/>
    <w:link w:val="5"/>
    <w:qFormat/>
    <w:uiPriority w:val="0"/>
    <w:rPr>
      <w:rFonts w:ascii="Times New Roman" w:hAnsi="Times New Roman" w:eastAsia="宋体" w:cs="Times New Roman"/>
      <w:b/>
      <w:kern w:val="44"/>
      <w:sz w:val="20"/>
      <w:szCs w:val="20"/>
    </w:rPr>
  </w:style>
  <w:style w:type="character" w:customStyle="1" w:styleId="60">
    <w:name w:val="标题 2 Char"/>
    <w:basedOn w:val="51"/>
    <w:link w:val="6"/>
    <w:semiHidden/>
    <w:qFormat/>
    <w:uiPriority w:val="0"/>
    <w:rPr>
      <w:rFonts w:ascii="黑体" w:hAnsi="Arial" w:eastAsia="黑体" w:cs="宋体"/>
      <w:kern w:val="0"/>
      <w:sz w:val="28"/>
      <w:szCs w:val="20"/>
    </w:rPr>
  </w:style>
  <w:style w:type="character" w:customStyle="1" w:styleId="61">
    <w:name w:val="标题 3 Char"/>
    <w:basedOn w:val="51"/>
    <w:link w:val="7"/>
    <w:semiHidden/>
    <w:qFormat/>
    <w:uiPriority w:val="0"/>
    <w:rPr>
      <w:rFonts w:ascii="Times New Roman" w:hAnsi="Times New Roman" w:eastAsia="宋体" w:cs="Times New Roman"/>
      <w:b/>
      <w:kern w:val="0"/>
      <w:sz w:val="32"/>
      <w:szCs w:val="20"/>
    </w:rPr>
  </w:style>
  <w:style w:type="character" w:customStyle="1" w:styleId="62">
    <w:name w:val="标题 4 Char"/>
    <w:basedOn w:val="51"/>
    <w:link w:val="8"/>
    <w:semiHidden/>
    <w:qFormat/>
    <w:uiPriority w:val="0"/>
    <w:rPr>
      <w:rFonts w:ascii="Arial" w:hAnsi="Arial" w:eastAsia="黑体" w:cs="Times New Roman"/>
      <w:b/>
      <w:kern w:val="0"/>
      <w:sz w:val="28"/>
      <w:szCs w:val="20"/>
    </w:rPr>
  </w:style>
  <w:style w:type="character" w:customStyle="1" w:styleId="63">
    <w:name w:val="标题 5 Char"/>
    <w:basedOn w:val="51"/>
    <w:link w:val="9"/>
    <w:semiHidden/>
    <w:qFormat/>
    <w:uiPriority w:val="0"/>
    <w:rPr>
      <w:rFonts w:ascii="Times New Roman" w:hAnsi="Times New Roman" w:eastAsia="宋体" w:cs="Times New Roman"/>
      <w:b/>
      <w:kern w:val="0"/>
      <w:sz w:val="28"/>
      <w:szCs w:val="20"/>
    </w:rPr>
  </w:style>
  <w:style w:type="character" w:customStyle="1" w:styleId="64">
    <w:name w:val="标题 6 Char"/>
    <w:basedOn w:val="51"/>
    <w:link w:val="10"/>
    <w:semiHidden/>
    <w:qFormat/>
    <w:uiPriority w:val="0"/>
    <w:rPr>
      <w:rFonts w:ascii="Arial" w:hAnsi="Arial" w:eastAsia="黑体" w:cs="Times New Roman"/>
      <w:b/>
      <w:kern w:val="0"/>
      <w:sz w:val="20"/>
      <w:szCs w:val="20"/>
    </w:rPr>
  </w:style>
  <w:style w:type="character" w:customStyle="1" w:styleId="65">
    <w:name w:val="标题 7 Char"/>
    <w:basedOn w:val="51"/>
    <w:link w:val="11"/>
    <w:semiHidden/>
    <w:qFormat/>
    <w:uiPriority w:val="99"/>
    <w:rPr>
      <w:rFonts w:ascii="Times New Roman" w:hAnsi="Times New Roman" w:eastAsia="宋体" w:cs="Times New Roman"/>
      <w:b/>
      <w:kern w:val="0"/>
      <w:sz w:val="20"/>
      <w:szCs w:val="20"/>
    </w:rPr>
  </w:style>
  <w:style w:type="character" w:customStyle="1" w:styleId="66">
    <w:name w:val="标题 8 Char"/>
    <w:basedOn w:val="51"/>
    <w:link w:val="12"/>
    <w:semiHidden/>
    <w:qFormat/>
    <w:uiPriority w:val="99"/>
    <w:rPr>
      <w:rFonts w:ascii="Arial" w:hAnsi="Arial" w:eastAsia="黑体" w:cs="Times New Roman"/>
      <w:kern w:val="0"/>
      <w:sz w:val="20"/>
      <w:szCs w:val="20"/>
    </w:rPr>
  </w:style>
  <w:style w:type="character" w:customStyle="1" w:styleId="67">
    <w:name w:val="标题 9 Char"/>
    <w:basedOn w:val="51"/>
    <w:link w:val="13"/>
    <w:semiHidden/>
    <w:qFormat/>
    <w:uiPriority w:val="99"/>
    <w:rPr>
      <w:rFonts w:ascii="Arial" w:hAnsi="Arial" w:eastAsia="黑体" w:cs="Times New Roman"/>
      <w:kern w:val="0"/>
      <w:szCs w:val="20"/>
    </w:rPr>
  </w:style>
  <w:style w:type="character" w:customStyle="1" w:styleId="68">
    <w:name w:val="正文文本缩进 Char"/>
    <w:basedOn w:val="51"/>
    <w:link w:val="3"/>
    <w:qFormat/>
    <w:uiPriority w:val="99"/>
    <w:rPr>
      <w:rFonts w:ascii="Times New Roman" w:hAnsi="Times New Roman" w:eastAsia="宋体" w:cs="Times New Roman"/>
      <w:szCs w:val="20"/>
    </w:rPr>
  </w:style>
  <w:style w:type="character" w:customStyle="1" w:styleId="69">
    <w:name w:val="正文首行缩进 2 Char"/>
    <w:basedOn w:val="68"/>
    <w:link w:val="2"/>
    <w:qFormat/>
    <w:uiPriority w:val="99"/>
    <w:rPr>
      <w:rFonts w:ascii="Times New Roman" w:hAnsi="Times New Roman" w:eastAsia="宋体" w:cs="Times New Roman"/>
      <w:szCs w:val="20"/>
    </w:rPr>
  </w:style>
  <w:style w:type="character" w:customStyle="1" w:styleId="70">
    <w:name w:val="HTML 预设格式 Char"/>
    <w:basedOn w:val="51"/>
    <w:link w:val="44"/>
    <w:semiHidden/>
    <w:qFormat/>
    <w:uiPriority w:val="0"/>
    <w:rPr>
      <w:rFonts w:ascii="宋体" w:hAnsi="宋体" w:eastAsia="宋体" w:cs="宋体"/>
      <w:kern w:val="0"/>
      <w:sz w:val="20"/>
      <w:szCs w:val="20"/>
    </w:rPr>
  </w:style>
  <w:style w:type="paragraph" w:customStyle="1" w:styleId="71">
    <w:name w:val="msonormal"/>
    <w:basedOn w:val="1"/>
    <w:qFormat/>
    <w:uiPriority w:val="0"/>
    <w:rPr>
      <w:sz w:val="24"/>
      <w:szCs w:val="24"/>
    </w:rPr>
  </w:style>
  <w:style w:type="character" w:customStyle="1" w:styleId="72">
    <w:name w:val="批注文字 字符"/>
    <w:basedOn w:val="51"/>
    <w:semiHidden/>
    <w:qFormat/>
    <w:uiPriority w:val="99"/>
    <w:rPr>
      <w:rFonts w:ascii="Times New Roman" w:hAnsi="Times New Roman" w:eastAsia="宋体" w:cs="Times New Roman"/>
      <w:szCs w:val="20"/>
    </w:rPr>
  </w:style>
  <w:style w:type="character" w:customStyle="1" w:styleId="73">
    <w:name w:val="标题 Char"/>
    <w:basedOn w:val="51"/>
    <w:link w:val="47"/>
    <w:qFormat/>
    <w:uiPriority w:val="99"/>
    <w:rPr>
      <w:rFonts w:ascii="Times New Roman" w:hAnsi="Times New Roman" w:eastAsia="仿宋_GB2312" w:cs="Cambria"/>
      <w:b/>
      <w:bCs/>
      <w:kern w:val="0"/>
      <w:sz w:val="32"/>
      <w:szCs w:val="32"/>
    </w:rPr>
  </w:style>
  <w:style w:type="character" w:customStyle="1" w:styleId="74">
    <w:name w:val="正文文本 Char"/>
    <w:basedOn w:val="51"/>
    <w:link w:val="21"/>
    <w:semiHidden/>
    <w:qFormat/>
    <w:uiPriority w:val="99"/>
    <w:rPr>
      <w:rFonts w:ascii="Times New Roman" w:hAnsi="Times New Roman" w:eastAsia="宋体" w:cs="Times New Roman"/>
      <w:kern w:val="0"/>
      <w:sz w:val="20"/>
      <w:szCs w:val="20"/>
    </w:rPr>
  </w:style>
  <w:style w:type="character" w:customStyle="1" w:styleId="75">
    <w:name w:val="日期 Char"/>
    <w:basedOn w:val="51"/>
    <w:link w:val="28"/>
    <w:semiHidden/>
    <w:qFormat/>
    <w:uiPriority w:val="99"/>
    <w:rPr>
      <w:rFonts w:ascii="Times New Roman" w:hAnsi="Times New Roman" w:eastAsia="宋体" w:cs="Times New Roman"/>
      <w:kern w:val="0"/>
      <w:sz w:val="28"/>
      <w:szCs w:val="20"/>
    </w:rPr>
  </w:style>
  <w:style w:type="character" w:customStyle="1" w:styleId="76">
    <w:name w:val="正文文本缩进 2 Char"/>
    <w:basedOn w:val="51"/>
    <w:link w:val="29"/>
    <w:semiHidden/>
    <w:qFormat/>
    <w:uiPriority w:val="99"/>
    <w:rPr>
      <w:rFonts w:ascii="Times New Roman" w:hAnsi="Times New Roman" w:eastAsia="宋体" w:cs="Times New Roman"/>
      <w:kern w:val="0"/>
      <w:sz w:val="20"/>
      <w:szCs w:val="20"/>
    </w:rPr>
  </w:style>
  <w:style w:type="character" w:customStyle="1" w:styleId="77">
    <w:name w:val="正文文本缩进 3 Char"/>
    <w:basedOn w:val="51"/>
    <w:link w:val="38"/>
    <w:semiHidden/>
    <w:qFormat/>
    <w:uiPriority w:val="99"/>
    <w:rPr>
      <w:rFonts w:ascii="Times New Roman" w:hAnsi="Times New Roman" w:eastAsia="宋体" w:cs="Times New Roman"/>
      <w:kern w:val="0"/>
      <w:sz w:val="20"/>
      <w:szCs w:val="20"/>
    </w:rPr>
  </w:style>
  <w:style w:type="character" w:customStyle="1" w:styleId="78">
    <w:name w:val="文档结构图 Char"/>
    <w:basedOn w:val="51"/>
    <w:link w:val="18"/>
    <w:semiHidden/>
    <w:qFormat/>
    <w:uiPriority w:val="99"/>
    <w:rPr>
      <w:rFonts w:ascii="Times New Roman" w:hAnsi="Times New Roman" w:eastAsia="宋体" w:cs="Times New Roman"/>
      <w:kern w:val="0"/>
      <w:sz w:val="20"/>
      <w:szCs w:val="20"/>
      <w:shd w:val="clear" w:color="auto" w:fill="000080"/>
    </w:rPr>
  </w:style>
  <w:style w:type="character" w:customStyle="1" w:styleId="79">
    <w:name w:val="纯文本 Char"/>
    <w:basedOn w:val="51"/>
    <w:link w:val="25"/>
    <w:qFormat/>
    <w:uiPriority w:val="0"/>
    <w:rPr>
      <w:rFonts w:ascii="宋体" w:hAnsi="Courier New" w:eastAsia="宋体" w:cs="Times New Roman"/>
      <w:kern w:val="0"/>
      <w:sz w:val="20"/>
      <w:szCs w:val="20"/>
    </w:rPr>
  </w:style>
  <w:style w:type="character" w:customStyle="1" w:styleId="80">
    <w:name w:val="批注主题 Char"/>
    <w:basedOn w:val="72"/>
    <w:link w:val="48"/>
    <w:semiHidden/>
    <w:qFormat/>
    <w:uiPriority w:val="99"/>
    <w:rPr>
      <w:rFonts w:ascii="Times New Roman" w:hAnsi="Times New Roman" w:eastAsia="宋体" w:cs="Times New Roman"/>
      <w:b/>
      <w:bCs/>
      <w:kern w:val="0"/>
      <w:sz w:val="20"/>
      <w:szCs w:val="20"/>
    </w:rPr>
  </w:style>
  <w:style w:type="character" w:customStyle="1" w:styleId="81">
    <w:name w:val="批注框文本 Char"/>
    <w:basedOn w:val="51"/>
    <w:link w:val="30"/>
    <w:semiHidden/>
    <w:qFormat/>
    <w:uiPriority w:val="99"/>
    <w:rPr>
      <w:rFonts w:ascii="Times New Roman" w:hAnsi="Times New Roman" w:eastAsia="宋体" w:cs="Times New Roman"/>
      <w:kern w:val="0"/>
      <w:sz w:val="18"/>
      <w:szCs w:val="18"/>
    </w:rPr>
  </w:style>
  <w:style w:type="paragraph" w:customStyle="1" w:styleId="82">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83">
    <w:name w:val="修订1"/>
    <w:semiHidden/>
    <w:qFormat/>
    <w:uiPriority w:val="71"/>
    <w:rPr>
      <w:rFonts w:ascii="Times New Roman" w:hAnsi="Times New Roman" w:eastAsia="宋体" w:cs="Times New Roman"/>
      <w:kern w:val="2"/>
      <w:sz w:val="21"/>
      <w:lang w:val="en-US" w:eastAsia="zh-CN" w:bidi="ar-SA"/>
    </w:rPr>
  </w:style>
  <w:style w:type="character" w:customStyle="1" w:styleId="84">
    <w:name w:val="列表段落 字符"/>
    <w:link w:val="85"/>
    <w:qFormat/>
    <w:locked/>
    <w:uiPriority w:val="34"/>
    <w:rPr>
      <w:rFonts w:ascii="Calibri" w:hAnsi="Calibri" w:cs="Calibri"/>
    </w:rPr>
  </w:style>
  <w:style w:type="paragraph" w:customStyle="1" w:styleId="85">
    <w:name w:val="列表段落1"/>
    <w:basedOn w:val="1"/>
    <w:link w:val="84"/>
    <w:qFormat/>
    <w:uiPriority w:val="34"/>
    <w:pPr>
      <w:ind w:firstLine="420" w:firstLineChars="200"/>
    </w:pPr>
    <w:rPr>
      <w:rFonts w:ascii="Calibri" w:hAnsi="Calibri" w:cs="Calibri" w:eastAsiaTheme="minorEastAsia"/>
      <w:szCs w:val="22"/>
    </w:rPr>
  </w:style>
  <w:style w:type="paragraph" w:customStyle="1" w:styleId="86">
    <w:name w:val="TOC 标题1"/>
    <w:basedOn w:val="5"/>
    <w:next w:val="1"/>
    <w:unhideWhenUsed/>
    <w:qFormat/>
    <w:uiPriority w:val="39"/>
    <w:pPr>
      <w:widowControl/>
      <w:adjustRightInd/>
      <w:spacing w:before="480" w:after="0" w:line="276" w:lineRule="auto"/>
      <w:jc w:val="left"/>
      <w:outlineLvl w:val="9"/>
    </w:pPr>
    <w:rPr>
      <w:rFonts w:ascii="Cambria" w:hAnsi="Cambria"/>
      <w:bCs/>
      <w:color w:val="365F91"/>
      <w:kern w:val="0"/>
      <w:sz w:val="28"/>
      <w:szCs w:val="28"/>
    </w:rPr>
  </w:style>
  <w:style w:type="paragraph" w:customStyle="1" w:styleId="87">
    <w:name w:val="xl52"/>
    <w:basedOn w:val="1"/>
    <w:qFormat/>
    <w:uiPriority w:val="99"/>
    <w:pPr>
      <w:widowControl/>
      <w:pBdr>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88">
    <w:name w:val="xl58"/>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kern w:val="0"/>
      <w:sz w:val="18"/>
      <w:szCs w:val="18"/>
    </w:rPr>
  </w:style>
  <w:style w:type="paragraph" w:customStyle="1" w:styleId="89">
    <w:name w:val="xl34"/>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
    <w:name w:val="xl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1">
    <w:name w:val="xl31"/>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2">
    <w:name w:val="xl38"/>
    <w:basedOn w:val="1"/>
    <w:qFormat/>
    <w:uiPriority w:val="99"/>
    <w:pPr>
      <w:widowControl/>
      <w:pBdr>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3">
    <w:name w:val="列出段落1"/>
    <w:basedOn w:val="1"/>
    <w:qFormat/>
    <w:uiPriority w:val="34"/>
    <w:pPr>
      <w:ind w:firstLine="420" w:firstLineChars="200"/>
    </w:pPr>
  </w:style>
  <w:style w:type="paragraph" w:customStyle="1" w:styleId="94">
    <w:name w:val="默认段落字体 Para Char Char Char Char"/>
    <w:basedOn w:val="1"/>
    <w:qFormat/>
    <w:uiPriority w:val="99"/>
    <w:rPr>
      <w:szCs w:val="21"/>
    </w:rPr>
  </w:style>
  <w:style w:type="paragraph" w:customStyle="1" w:styleId="95">
    <w:name w:val="xl53"/>
    <w:basedOn w:val="1"/>
    <w:qFormat/>
    <w:uiPriority w:val="99"/>
    <w:pPr>
      <w:widowControl/>
      <w:pBdr>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96">
    <w:name w:val="修订版本号1"/>
    <w:qFormat/>
    <w:uiPriority w:val="99"/>
    <w:rPr>
      <w:rFonts w:ascii="Times New Roman" w:hAnsi="Times New Roman" w:eastAsia="宋体" w:cs="Times New Roman"/>
      <w:kern w:val="2"/>
      <w:sz w:val="21"/>
      <w:lang w:val="en-US" w:eastAsia="zh-CN" w:bidi="ar-SA"/>
    </w:rPr>
  </w:style>
  <w:style w:type="paragraph" w:customStyle="1" w:styleId="97">
    <w:name w:val="默认段落字体 Para Char Char Char Char Char Char Char"/>
    <w:basedOn w:val="1"/>
    <w:qFormat/>
    <w:uiPriority w:val="99"/>
    <w:rPr>
      <w:rFonts w:ascii="Tahoma" w:hAnsi="Tahoma"/>
      <w:sz w:val="24"/>
    </w:rPr>
  </w:style>
  <w:style w:type="paragraph" w:customStyle="1" w:styleId="98">
    <w:name w:val="彩色底纹 - 着色 11"/>
    <w:semiHidden/>
    <w:qFormat/>
    <w:uiPriority w:val="99"/>
    <w:rPr>
      <w:rFonts w:ascii="Times New Roman" w:hAnsi="Times New Roman" w:eastAsia="宋体" w:cs="Times New Roman"/>
      <w:kern w:val="2"/>
      <w:sz w:val="21"/>
      <w:lang w:val="en-US" w:eastAsia="zh-CN" w:bidi="ar-SA"/>
    </w:rPr>
  </w:style>
  <w:style w:type="paragraph" w:customStyle="1" w:styleId="99">
    <w:name w:val="Char Char2 Char Char Char Char1 Char Char Char Char Char Char1 Char Char Char Char1"/>
    <w:basedOn w:val="1"/>
    <w:qFormat/>
    <w:uiPriority w:val="99"/>
    <w:pPr>
      <w:widowControl/>
      <w:spacing w:after="160" w:line="240" w:lineRule="exact"/>
      <w:jc w:val="left"/>
    </w:pPr>
    <w:rPr>
      <w:rFonts w:ascii="Verdana" w:hAnsi="Verdana"/>
      <w:kern w:val="0"/>
      <w:lang w:eastAsia="en-US"/>
    </w:rPr>
  </w:style>
  <w:style w:type="paragraph" w:customStyle="1" w:styleId="100">
    <w:name w:val="xl54"/>
    <w:basedOn w:val="1"/>
    <w:qFormat/>
    <w:uiPriority w:val="99"/>
    <w:pPr>
      <w:widowControl/>
      <w:pBdr>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01">
    <w:name w:val="xl40"/>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102">
    <w:name w:val="xl48"/>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103">
    <w:name w:val="xl32"/>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4">
    <w:name w:val="xl63"/>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05">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6">
    <w:name w:val="font8"/>
    <w:basedOn w:val="1"/>
    <w:qFormat/>
    <w:uiPriority w:val="99"/>
    <w:pPr>
      <w:widowControl/>
      <w:spacing w:before="100" w:beforeAutospacing="1" w:after="100" w:afterAutospacing="1"/>
      <w:jc w:val="left"/>
    </w:pPr>
    <w:rPr>
      <w:rFonts w:ascii="宋体" w:hAnsi="宋体" w:cs="宋体"/>
      <w:b/>
      <w:bCs/>
      <w:kern w:val="0"/>
      <w:sz w:val="18"/>
      <w:szCs w:val="18"/>
    </w:rPr>
  </w:style>
  <w:style w:type="paragraph" w:customStyle="1" w:styleId="107">
    <w:name w:val="正文文本缩进1"/>
    <w:basedOn w:val="1"/>
    <w:qFormat/>
    <w:uiPriority w:val="99"/>
    <w:pPr>
      <w:spacing w:line="360" w:lineRule="auto"/>
      <w:ind w:left="540" w:leftChars="257" w:firstLine="360" w:firstLineChars="150"/>
    </w:pPr>
    <w:rPr>
      <w:sz w:val="24"/>
    </w:rPr>
  </w:style>
  <w:style w:type="paragraph" w:customStyle="1" w:styleId="108">
    <w:name w:val="正文1"/>
    <w:qFormat/>
    <w:uiPriority w:val="99"/>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09">
    <w:name w:val="投标书格式"/>
    <w:basedOn w:val="7"/>
    <w:qFormat/>
    <w:uiPriority w:val="99"/>
    <w:pPr>
      <w:widowControl/>
      <w:adjustRightInd/>
      <w:spacing w:before="360" w:line="240" w:lineRule="auto"/>
      <w:ind w:left="0" w:firstLine="0"/>
      <w:jc w:val="center"/>
    </w:pPr>
    <w:rPr>
      <w:rFonts w:eastAsia="黑体"/>
      <w:sz w:val="30"/>
    </w:rPr>
  </w:style>
  <w:style w:type="paragraph" w:customStyle="1" w:styleId="110">
    <w:name w:val="Char Char1 Char Char Char Char Char Char Char Char Char Char Char Char"/>
    <w:basedOn w:val="1"/>
    <w:qFormat/>
    <w:uiPriority w:val="99"/>
    <w:rPr>
      <w:szCs w:val="24"/>
    </w:rPr>
  </w:style>
  <w:style w:type="paragraph" w:customStyle="1" w:styleId="111">
    <w:name w:val="xl33"/>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112">
    <w:name w:val="彩色列表 - 着色 1 Char"/>
    <w:link w:val="113"/>
    <w:qFormat/>
    <w:locked/>
    <w:uiPriority w:val="34"/>
  </w:style>
  <w:style w:type="paragraph" w:customStyle="1" w:styleId="113">
    <w:name w:val="彩色列表 - 着色 12"/>
    <w:basedOn w:val="1"/>
    <w:link w:val="112"/>
    <w:qFormat/>
    <w:uiPriority w:val="34"/>
    <w:pPr>
      <w:ind w:firstLine="420" w:firstLineChars="200"/>
    </w:pPr>
    <w:rPr>
      <w:rFonts w:asciiTheme="minorHAnsi" w:hAnsiTheme="minorHAnsi" w:eastAsiaTheme="minorEastAsia" w:cstheme="minorBidi"/>
      <w:szCs w:val="22"/>
    </w:rPr>
  </w:style>
  <w:style w:type="paragraph" w:customStyle="1" w:styleId="114">
    <w:name w:val="font6"/>
    <w:basedOn w:val="1"/>
    <w:qFormat/>
    <w:uiPriority w:val="0"/>
    <w:pPr>
      <w:widowControl/>
      <w:spacing w:before="100" w:beforeAutospacing="1" w:after="100" w:afterAutospacing="1"/>
      <w:jc w:val="left"/>
    </w:pPr>
    <w:rPr>
      <w:rFonts w:ascii="楷体_GB2312" w:hAnsi="宋体" w:eastAsia="楷体_GB2312" w:cs="宋体"/>
      <w:b/>
      <w:bCs/>
      <w:kern w:val="0"/>
      <w:sz w:val="32"/>
      <w:szCs w:val="32"/>
    </w:rPr>
  </w:style>
  <w:style w:type="paragraph" w:customStyle="1" w:styleId="115">
    <w:name w:val="xl47"/>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16">
    <w:name w:val="xl39"/>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7">
    <w:name w:val="正文（首行缩进两字）"/>
    <w:basedOn w:val="1"/>
    <w:qFormat/>
    <w:uiPriority w:val="99"/>
  </w:style>
  <w:style w:type="paragraph" w:customStyle="1" w:styleId="118">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9">
    <w:name w:val="Default"/>
    <w:qFormat/>
    <w:uiPriority w:val="99"/>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120">
    <w:name w:val="xl55"/>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21">
    <w:name w:val="样式1"/>
    <w:basedOn w:val="1"/>
    <w:qFormat/>
    <w:uiPriority w:val="99"/>
    <w:pPr>
      <w:adjustRightInd w:val="0"/>
      <w:spacing w:before="120" w:after="120" w:line="120" w:lineRule="exact"/>
    </w:pPr>
    <w:rPr>
      <w:color w:val="FF00FF"/>
      <w:kern w:val="0"/>
      <w:sz w:val="24"/>
    </w:rPr>
  </w:style>
  <w:style w:type="paragraph" w:customStyle="1" w:styleId="122">
    <w:name w:val="Char Char Char Char Char Char Char Char Char Char"/>
    <w:basedOn w:val="1"/>
    <w:qFormat/>
    <w:uiPriority w:val="99"/>
    <w:rPr>
      <w:rFonts w:ascii="Tahoma" w:hAnsi="Tahoma" w:cs="Tahoma"/>
      <w:sz w:val="24"/>
      <w:szCs w:val="24"/>
    </w:rPr>
  </w:style>
  <w:style w:type="paragraph" w:customStyle="1" w:styleId="123">
    <w:name w:val="xl57"/>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124">
    <w:name w:val="xl62"/>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5">
    <w:name w:val="xl59"/>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6">
    <w:name w:val="合同格式"/>
    <w:basedOn w:val="7"/>
    <w:qFormat/>
    <w:uiPriority w:val="99"/>
    <w:pPr>
      <w:widowControl/>
      <w:adjustRightInd/>
      <w:spacing w:before="360" w:line="240" w:lineRule="auto"/>
      <w:ind w:left="0" w:firstLine="0"/>
      <w:jc w:val="center"/>
    </w:pPr>
    <w:rPr>
      <w:rFonts w:eastAsia="黑体"/>
      <w:sz w:val="30"/>
    </w:rPr>
  </w:style>
  <w:style w:type="paragraph" w:customStyle="1" w:styleId="127">
    <w:name w:val="网格表 31"/>
    <w:basedOn w:val="5"/>
    <w:next w:val="1"/>
    <w:qFormat/>
    <w:uiPriority w:val="39"/>
    <w:pPr>
      <w:widowControl/>
      <w:adjustRightInd/>
      <w:spacing w:before="240" w:after="0" w:line="256" w:lineRule="auto"/>
      <w:jc w:val="left"/>
      <w:outlineLvl w:val="9"/>
    </w:pPr>
    <w:rPr>
      <w:rFonts w:ascii="Calibri Light" w:hAnsi="Calibri Light"/>
      <w:b w:val="0"/>
      <w:color w:val="2E74B5"/>
      <w:kern w:val="0"/>
      <w:sz w:val="32"/>
      <w:szCs w:val="32"/>
    </w:rPr>
  </w:style>
  <w:style w:type="paragraph" w:customStyle="1" w:styleId="128">
    <w:name w:val="xl50"/>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29">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30">
    <w:name w:val="字元 字元"/>
    <w:basedOn w:val="1"/>
    <w:qFormat/>
    <w:uiPriority w:val="99"/>
    <w:rPr>
      <w:rFonts w:ascii="仿宋_GB2312" w:eastAsia="仿宋_GB2312"/>
      <w:b/>
      <w:sz w:val="32"/>
      <w:szCs w:val="32"/>
    </w:rPr>
  </w:style>
  <w:style w:type="paragraph" w:customStyle="1" w:styleId="131">
    <w:name w:val="xl4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2">
    <w:name w:val="xl60"/>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3">
    <w:name w:val="font7"/>
    <w:basedOn w:val="1"/>
    <w:qFormat/>
    <w:uiPriority w:val="99"/>
    <w:pPr>
      <w:widowControl/>
      <w:spacing w:before="100" w:beforeAutospacing="1" w:after="100" w:afterAutospacing="1"/>
      <w:jc w:val="left"/>
    </w:pPr>
    <w:rPr>
      <w:b/>
      <w:bCs/>
      <w:kern w:val="0"/>
      <w:sz w:val="32"/>
      <w:szCs w:val="32"/>
    </w:rPr>
  </w:style>
  <w:style w:type="paragraph" w:customStyle="1" w:styleId="134">
    <w:name w:val="xl49"/>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5">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6">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character" w:customStyle="1" w:styleId="137">
    <w:name w:val="无间隔 Char"/>
    <w:link w:val="138"/>
    <w:qFormat/>
    <w:locked/>
    <w:uiPriority w:val="0"/>
    <w:rPr>
      <w:sz w:val="22"/>
    </w:rPr>
  </w:style>
  <w:style w:type="paragraph" w:customStyle="1" w:styleId="138">
    <w:name w:val="无间距1"/>
    <w:link w:val="137"/>
    <w:qFormat/>
    <w:uiPriority w:val="0"/>
    <w:rPr>
      <w:rFonts w:asciiTheme="minorHAnsi" w:hAnsiTheme="minorHAnsi" w:eastAsiaTheme="minorEastAsia" w:cstheme="minorBidi"/>
      <w:kern w:val="2"/>
      <w:sz w:val="22"/>
      <w:szCs w:val="22"/>
      <w:lang w:val="en-US" w:eastAsia="zh-CN" w:bidi="ar-SA"/>
    </w:rPr>
  </w:style>
  <w:style w:type="paragraph" w:customStyle="1" w:styleId="139">
    <w:name w:val="xl35"/>
    <w:basedOn w:val="1"/>
    <w:qFormat/>
    <w:uiPriority w:val="99"/>
    <w:pPr>
      <w:widowControl/>
      <w:spacing w:before="100" w:beforeAutospacing="1" w:after="100" w:afterAutospacing="1"/>
      <w:jc w:val="center"/>
    </w:pPr>
    <w:rPr>
      <w:rFonts w:ascii="宋体" w:hAnsi="宋体" w:cs="宋体"/>
      <w:kern w:val="0"/>
      <w:szCs w:val="21"/>
    </w:rPr>
  </w:style>
  <w:style w:type="paragraph" w:customStyle="1" w:styleId="140">
    <w:name w:val="xl30"/>
    <w:basedOn w:val="1"/>
    <w:qFormat/>
    <w:uiPriority w:val="99"/>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18"/>
      <w:szCs w:val="18"/>
    </w:rPr>
  </w:style>
  <w:style w:type="paragraph" w:customStyle="1" w:styleId="141">
    <w:name w:val="彩色列表 - 着色 11"/>
    <w:basedOn w:val="1"/>
    <w:qFormat/>
    <w:uiPriority w:val="99"/>
    <w:pPr>
      <w:ind w:firstLine="420" w:firstLineChars="200"/>
    </w:pPr>
  </w:style>
  <w:style w:type="paragraph" w:customStyle="1" w:styleId="14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3">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4">
    <w:name w:val="xl37"/>
    <w:basedOn w:val="1"/>
    <w:qFormat/>
    <w:uiPriority w:val="99"/>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5">
    <w:name w:val="xl51"/>
    <w:basedOn w:val="1"/>
    <w:qFormat/>
    <w:uiPriority w:val="99"/>
    <w:pPr>
      <w:widowControl/>
      <w:pBdr>
        <w:top w:val="single" w:color="auto" w:sz="4" w:space="0"/>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46">
    <w:name w:val="xl61"/>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7">
    <w:name w:val="xl45"/>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8">
    <w:name w:val="xl4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9">
    <w:name w:val="xl4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0">
    <w:name w:val="纯文本1"/>
    <w:basedOn w:val="1"/>
    <w:qFormat/>
    <w:uiPriority w:val="99"/>
    <w:pPr>
      <w:adjustRightInd w:val="0"/>
      <w:spacing w:line="312" w:lineRule="atLeast"/>
      <w:ind w:left="425" w:leftChars="202" w:firstLine="425"/>
    </w:pPr>
    <w:rPr>
      <w:rFonts w:ascii="宋体" w:hAnsi="Courier New"/>
      <w:kern w:val="0"/>
    </w:rPr>
  </w:style>
  <w:style w:type="paragraph" w:customStyle="1" w:styleId="151">
    <w:name w:val="xl24"/>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152">
    <w:name w:val="xl41"/>
    <w:basedOn w:val="1"/>
    <w:qFormat/>
    <w:uiPriority w:val="99"/>
    <w:pPr>
      <w:widowControl/>
      <w:spacing w:before="100" w:beforeAutospacing="1" w:after="100" w:afterAutospacing="1"/>
      <w:jc w:val="left"/>
    </w:pPr>
    <w:rPr>
      <w:rFonts w:ascii="楷体_GB2312" w:hAnsi="宋体" w:eastAsia="楷体_GB2312" w:cs="宋体"/>
      <w:b/>
      <w:bCs/>
      <w:color w:val="000000"/>
      <w:kern w:val="0"/>
      <w:sz w:val="32"/>
      <w:szCs w:val="32"/>
    </w:rPr>
  </w:style>
  <w:style w:type="paragraph" w:customStyle="1" w:styleId="153">
    <w:name w:val="xl29"/>
    <w:basedOn w:val="1"/>
    <w:qFormat/>
    <w:uiPriority w:val="99"/>
    <w:pPr>
      <w:widowControl/>
      <w:spacing w:before="100" w:beforeAutospacing="1" w:after="100" w:afterAutospacing="1"/>
      <w:jc w:val="left"/>
    </w:pPr>
    <w:rPr>
      <w:rFonts w:ascii="宋体" w:hAnsi="宋体" w:cs="宋体"/>
      <w:kern w:val="0"/>
      <w:sz w:val="18"/>
      <w:szCs w:val="18"/>
    </w:rPr>
  </w:style>
  <w:style w:type="character" w:customStyle="1" w:styleId="154">
    <w:name w:val="文档结构图 字符1"/>
    <w:semiHidden/>
    <w:qFormat/>
    <w:uiPriority w:val="99"/>
    <w:rPr>
      <w:rFonts w:hint="eastAsia" w:ascii="Heiti SC Light" w:hAnsi="Times New Roman" w:eastAsia="Heiti SC Light" w:cs="Times New Roman"/>
    </w:rPr>
  </w:style>
  <w:style w:type="character" w:customStyle="1" w:styleId="155">
    <w:name w:val="序号前置"/>
    <w:qFormat/>
    <w:uiPriority w:val="0"/>
    <w:rPr>
      <w:rFonts w:hint="eastAsia" w:ascii="宋体" w:hAnsi="宋体" w:eastAsia="宋体"/>
    </w:rPr>
  </w:style>
  <w:style w:type="character" w:customStyle="1" w:styleId="156">
    <w:name w:val="正文文本缩进 2 Char1"/>
    <w:qFormat/>
    <w:uiPriority w:val="0"/>
    <w:rPr>
      <w:rFonts w:hint="default" w:ascii="Times New Roman" w:hAnsi="Times New Roman" w:eastAsia="宋体" w:cs="Times New Roman"/>
      <w:kern w:val="2"/>
      <w:sz w:val="21"/>
      <w:lang w:val="en-US" w:eastAsia="zh-CN" w:bidi="ar-SA"/>
    </w:rPr>
  </w:style>
  <w:style w:type="character" w:customStyle="1" w:styleId="157">
    <w:name w:val="纯文本 Char1"/>
    <w:qFormat/>
    <w:uiPriority w:val="0"/>
    <w:rPr>
      <w:rFonts w:hint="eastAsia" w:ascii="宋体" w:hAnsi="Courier New" w:eastAsia="宋体" w:cs="Courier New"/>
      <w:kern w:val="2"/>
      <w:sz w:val="21"/>
      <w:szCs w:val="21"/>
      <w:lang w:val="en-US" w:eastAsia="zh-CN" w:bidi="ar-SA"/>
    </w:rPr>
  </w:style>
  <w:style w:type="character" w:customStyle="1" w:styleId="158">
    <w:name w:val="批注框文本 Char1"/>
    <w:qFormat/>
    <w:uiPriority w:val="0"/>
    <w:rPr>
      <w:rFonts w:hint="default" w:ascii="Times New Roman" w:hAnsi="Times New Roman" w:eastAsia="宋体" w:cs="Times New Roman"/>
      <w:kern w:val="2"/>
      <w:sz w:val="18"/>
      <w:szCs w:val="18"/>
      <w:lang w:val="en-US" w:eastAsia="zh-CN" w:bidi="ar-SA"/>
    </w:rPr>
  </w:style>
  <w:style w:type="character" w:customStyle="1" w:styleId="159">
    <w:name w:val="批注框文本字符1"/>
    <w:semiHidden/>
    <w:qFormat/>
    <w:uiPriority w:val="99"/>
    <w:rPr>
      <w:rFonts w:hint="eastAsia" w:ascii="Heiti SC Light" w:hAnsi="Times New Roman" w:eastAsia="Heiti SC Light" w:cs="Times New Roman"/>
      <w:sz w:val="18"/>
      <w:szCs w:val="18"/>
    </w:rPr>
  </w:style>
  <w:style w:type="character" w:customStyle="1" w:styleId="160">
    <w:name w:val="批注主题字符1"/>
    <w:semiHidden/>
    <w:qFormat/>
    <w:uiPriority w:val="99"/>
    <w:rPr>
      <w:rFonts w:hint="default" w:ascii="Times New Roman" w:hAnsi="Times New Roman" w:eastAsia="宋体" w:cs="Times New Roman"/>
      <w:b/>
      <w:bCs/>
      <w:sz w:val="21"/>
      <w:szCs w:val="20"/>
    </w:rPr>
  </w:style>
  <w:style w:type="character" w:customStyle="1" w:styleId="161">
    <w:name w:val="正文文本缩进 Char1"/>
    <w:qFormat/>
    <w:uiPriority w:val="0"/>
    <w:rPr>
      <w:rFonts w:hint="default" w:ascii="Times New Roman" w:hAnsi="Times New Roman" w:eastAsia="宋体" w:cs="Times New Roman"/>
      <w:kern w:val="2"/>
      <w:sz w:val="21"/>
      <w:lang w:val="en-US" w:eastAsia="zh-CN" w:bidi="ar-SA"/>
    </w:rPr>
  </w:style>
  <w:style w:type="character" w:customStyle="1" w:styleId="162">
    <w:name w:val="日期字符1"/>
    <w:semiHidden/>
    <w:qFormat/>
    <w:uiPriority w:val="99"/>
    <w:rPr>
      <w:rFonts w:hint="default" w:ascii="Times New Roman" w:hAnsi="Times New Roman" w:eastAsia="宋体" w:cs="Times New Roman"/>
      <w:sz w:val="21"/>
      <w:szCs w:val="20"/>
    </w:rPr>
  </w:style>
  <w:style w:type="character" w:customStyle="1" w:styleId="163">
    <w:name w:val="批注主题 Char1"/>
    <w:qFormat/>
    <w:uiPriority w:val="0"/>
    <w:rPr>
      <w:rFonts w:hint="default" w:ascii="Times New Roman" w:hAnsi="Times New Roman" w:eastAsia="宋体" w:cs="Times New Roman"/>
      <w:b/>
      <w:bCs/>
      <w:kern w:val="2"/>
      <w:sz w:val="21"/>
      <w:szCs w:val="20"/>
      <w:lang w:val="en-US" w:eastAsia="zh-CN" w:bidi="ar-SA"/>
    </w:rPr>
  </w:style>
  <w:style w:type="character" w:customStyle="1" w:styleId="164">
    <w:name w:val="正文文本缩进 3字符1"/>
    <w:semiHidden/>
    <w:qFormat/>
    <w:uiPriority w:val="99"/>
    <w:rPr>
      <w:rFonts w:hint="default" w:ascii="Times New Roman" w:hAnsi="Times New Roman" w:eastAsia="宋体" w:cs="Times New Roman"/>
      <w:sz w:val="16"/>
      <w:szCs w:val="16"/>
    </w:rPr>
  </w:style>
  <w:style w:type="character" w:customStyle="1" w:styleId="165">
    <w:name w:val="font01"/>
    <w:qFormat/>
    <w:uiPriority w:val="0"/>
    <w:rPr>
      <w:rFonts w:hint="eastAsia" w:ascii="宋体" w:hAnsi="宋体" w:eastAsia="宋体" w:cs="宋体"/>
      <w:color w:val="000000"/>
      <w:sz w:val="22"/>
      <w:szCs w:val="22"/>
      <w:u w:val="none"/>
    </w:rPr>
  </w:style>
  <w:style w:type="character" w:customStyle="1" w:styleId="166">
    <w:name w:val="正文文本缩进字符1"/>
    <w:semiHidden/>
    <w:qFormat/>
    <w:uiPriority w:val="99"/>
    <w:rPr>
      <w:rFonts w:hint="default" w:ascii="Times New Roman" w:hAnsi="Times New Roman" w:eastAsia="宋体" w:cs="Times New Roman"/>
      <w:sz w:val="21"/>
      <w:szCs w:val="20"/>
    </w:rPr>
  </w:style>
  <w:style w:type="character" w:customStyle="1" w:styleId="167">
    <w:name w:val="页脚 Char1"/>
    <w:qFormat/>
    <w:uiPriority w:val="0"/>
    <w:rPr>
      <w:rFonts w:hint="default" w:ascii="Times New Roman" w:hAnsi="Times New Roman" w:eastAsia="宋体" w:cs="Times New Roman"/>
      <w:kern w:val="2"/>
      <w:sz w:val="18"/>
      <w:szCs w:val="18"/>
      <w:lang w:val="en-US" w:eastAsia="zh-CN" w:bidi="ar-SA"/>
    </w:rPr>
  </w:style>
  <w:style w:type="character" w:customStyle="1" w:styleId="168">
    <w:name w:val="日期 Char1"/>
    <w:qFormat/>
    <w:uiPriority w:val="0"/>
    <w:rPr>
      <w:rFonts w:hint="default" w:ascii="Times New Roman" w:hAnsi="Times New Roman" w:eastAsia="宋体" w:cs="Times New Roman"/>
      <w:kern w:val="2"/>
      <w:sz w:val="21"/>
      <w:lang w:val="en-US" w:eastAsia="zh-CN" w:bidi="ar-SA"/>
    </w:rPr>
  </w:style>
  <w:style w:type="character" w:customStyle="1" w:styleId="169">
    <w:name w:val="apple-converted-space"/>
    <w:qFormat/>
    <w:uiPriority w:val="0"/>
    <w:rPr>
      <w:rFonts w:hint="default" w:ascii="Times New Roman" w:hAnsi="Times New Roman" w:eastAsia="宋体" w:cs="Times New Roman"/>
      <w:lang w:val="en-US" w:eastAsia="zh-CN" w:bidi="ar-SA"/>
    </w:rPr>
  </w:style>
  <w:style w:type="character" w:customStyle="1" w:styleId="170">
    <w:name w:val="页脚字符1"/>
    <w:semiHidden/>
    <w:qFormat/>
    <w:uiPriority w:val="99"/>
    <w:rPr>
      <w:rFonts w:hint="default" w:ascii="Times New Roman" w:hAnsi="Times New Roman" w:eastAsia="宋体" w:cs="Times New Roman"/>
      <w:sz w:val="18"/>
      <w:szCs w:val="18"/>
    </w:rPr>
  </w:style>
  <w:style w:type="character" w:customStyle="1" w:styleId="171">
    <w:name w:val="页眉字符1"/>
    <w:semiHidden/>
    <w:qFormat/>
    <w:uiPriority w:val="99"/>
    <w:rPr>
      <w:rFonts w:hint="default" w:ascii="Times New Roman" w:hAnsi="Times New Roman" w:eastAsia="宋体" w:cs="Times New Roman"/>
      <w:sz w:val="18"/>
      <w:szCs w:val="18"/>
    </w:rPr>
  </w:style>
  <w:style w:type="character" w:customStyle="1" w:styleId="172">
    <w:name w:val="正文文本缩进 2字符1"/>
    <w:semiHidden/>
    <w:qFormat/>
    <w:uiPriority w:val="99"/>
    <w:rPr>
      <w:rFonts w:hint="default" w:ascii="Times New Roman" w:hAnsi="Times New Roman" w:eastAsia="宋体" w:cs="Times New Roman"/>
      <w:sz w:val="21"/>
      <w:szCs w:val="20"/>
    </w:rPr>
  </w:style>
  <w:style w:type="character" w:customStyle="1" w:styleId="173">
    <w:name w:val="页眉 Char1"/>
    <w:qFormat/>
    <w:uiPriority w:val="0"/>
    <w:rPr>
      <w:rFonts w:hint="default" w:ascii="Times New Roman" w:hAnsi="Times New Roman" w:eastAsia="宋体" w:cs="Times New Roman"/>
      <w:kern w:val="2"/>
      <w:sz w:val="18"/>
      <w:szCs w:val="18"/>
      <w:lang w:val="en-US" w:eastAsia="zh-CN" w:bidi="ar-SA"/>
    </w:rPr>
  </w:style>
  <w:style w:type="character" w:customStyle="1" w:styleId="174">
    <w:name w:val="文档结构图 Char1"/>
    <w:qFormat/>
    <w:uiPriority w:val="0"/>
    <w:rPr>
      <w:rFonts w:hint="eastAsia" w:ascii="宋体" w:hAnsi="Times New Roman" w:eastAsia="宋体" w:cs="Times New Roman"/>
      <w:kern w:val="2"/>
      <w:sz w:val="18"/>
      <w:szCs w:val="18"/>
      <w:lang w:val="en-US" w:eastAsia="zh-CN" w:bidi="ar-SA"/>
    </w:rPr>
  </w:style>
  <w:style w:type="character" w:customStyle="1" w:styleId="175">
    <w:name w:val="正文文本 Char1"/>
    <w:qFormat/>
    <w:uiPriority w:val="0"/>
    <w:rPr>
      <w:rFonts w:hint="default" w:ascii="Times New Roman" w:hAnsi="Times New Roman" w:eastAsia="宋体" w:cs="Times New Roman"/>
      <w:kern w:val="2"/>
      <w:sz w:val="21"/>
      <w:lang w:val="en-US" w:eastAsia="zh-CN" w:bidi="ar-SA"/>
    </w:rPr>
  </w:style>
  <w:style w:type="character" w:customStyle="1" w:styleId="176">
    <w:name w:val="页码1"/>
    <w:qFormat/>
    <w:uiPriority w:val="0"/>
    <w:rPr>
      <w:rFonts w:hint="default" w:ascii="Times New Roman" w:hAnsi="Times New Roman" w:eastAsia="宋体" w:cs="Times New Roman"/>
      <w:lang w:val="en-US" w:eastAsia="zh-CN" w:bidi="ar-SA"/>
    </w:rPr>
  </w:style>
  <w:style w:type="character" w:customStyle="1" w:styleId="177">
    <w:name w:val="纯文本字符1"/>
    <w:semiHidden/>
    <w:qFormat/>
    <w:uiPriority w:val="99"/>
    <w:rPr>
      <w:rFonts w:hint="eastAsia" w:ascii="宋体" w:hAnsi="Courier" w:eastAsia="宋体" w:cs="Times New Roman"/>
    </w:rPr>
  </w:style>
  <w:style w:type="character" w:customStyle="1" w:styleId="178">
    <w:name w:val="批注文字 Char"/>
    <w:qFormat/>
    <w:uiPriority w:val="99"/>
    <w:rPr>
      <w:rFonts w:hint="default" w:ascii="Times New Roman" w:hAnsi="Times New Roman" w:eastAsia="宋体" w:cs="Times New Roman"/>
      <w:szCs w:val="20"/>
      <w:lang w:val="en-US" w:eastAsia="zh-CN" w:bidi="ar-SA"/>
    </w:rPr>
  </w:style>
  <w:style w:type="character" w:customStyle="1" w:styleId="179">
    <w:name w:val="正文文本缩进 3 Char1"/>
    <w:qFormat/>
    <w:uiPriority w:val="0"/>
    <w:rPr>
      <w:rFonts w:hint="default" w:ascii="Times New Roman" w:hAnsi="Times New Roman" w:eastAsia="宋体" w:cs="Times New Roman"/>
      <w:kern w:val="2"/>
      <w:sz w:val="16"/>
      <w:szCs w:val="16"/>
      <w:lang w:val="en-US" w:eastAsia="zh-CN" w:bidi="ar-SA"/>
    </w:rPr>
  </w:style>
  <w:style w:type="character" w:customStyle="1" w:styleId="180">
    <w:name w:val="正文文本字符1"/>
    <w:semiHidden/>
    <w:qFormat/>
    <w:uiPriority w:val="99"/>
    <w:rPr>
      <w:rFonts w:hint="default" w:ascii="Times New Roman" w:hAnsi="Times New Roman" w:eastAsia="宋体" w:cs="Times New Roman"/>
      <w:sz w:val="21"/>
      <w:szCs w:val="20"/>
    </w:rPr>
  </w:style>
  <w:style w:type="character" w:customStyle="1" w:styleId="181">
    <w:name w:val="正文文本缩进 3 字符1"/>
    <w:basedOn w:val="51"/>
    <w:semiHidden/>
    <w:qFormat/>
    <w:uiPriority w:val="99"/>
    <w:rPr>
      <w:kern w:val="2"/>
      <w:sz w:val="16"/>
      <w:szCs w:val="16"/>
    </w:rPr>
  </w:style>
  <w:style w:type="character" w:customStyle="1" w:styleId="182">
    <w:name w:val="纯文本 字符1"/>
    <w:basedOn w:val="51"/>
    <w:semiHidden/>
    <w:qFormat/>
    <w:uiPriority w:val="99"/>
    <w:rPr>
      <w:rFonts w:hint="eastAsia" w:hAnsi="Courier New" w:cs="Courier New" w:asciiTheme="minorEastAsia" w:eastAsiaTheme="minorEastAsia"/>
      <w:kern w:val="2"/>
      <w:sz w:val="21"/>
    </w:rPr>
  </w:style>
  <w:style w:type="character" w:customStyle="1" w:styleId="183">
    <w:name w:val="批注文字 Char1"/>
    <w:basedOn w:val="51"/>
    <w:link w:val="19"/>
    <w:semiHidden/>
    <w:qFormat/>
    <w:locked/>
    <w:uiPriority w:val="99"/>
    <w:rPr>
      <w:rFonts w:ascii="Times New Roman" w:hAnsi="Times New Roman" w:eastAsia="宋体" w:cs="Times New Roman"/>
      <w:szCs w:val="20"/>
    </w:rPr>
  </w:style>
  <w:style w:type="character" w:customStyle="1" w:styleId="184">
    <w:name w:val="批注主题 字符1"/>
    <w:basedOn w:val="183"/>
    <w:semiHidden/>
    <w:qFormat/>
    <w:uiPriority w:val="99"/>
    <w:rPr>
      <w:rFonts w:ascii="Times New Roman" w:hAnsi="Times New Roman" w:eastAsia="宋体" w:cs="Times New Roman"/>
      <w:b/>
      <w:bCs/>
      <w:szCs w:val="20"/>
    </w:rPr>
  </w:style>
  <w:style w:type="character" w:customStyle="1" w:styleId="185">
    <w:name w:val="页眉 字符1"/>
    <w:basedOn w:val="51"/>
    <w:semiHidden/>
    <w:qFormat/>
    <w:uiPriority w:val="99"/>
    <w:rPr>
      <w:kern w:val="2"/>
      <w:sz w:val="18"/>
      <w:szCs w:val="18"/>
    </w:rPr>
  </w:style>
  <w:style w:type="character" w:customStyle="1" w:styleId="186">
    <w:name w:val="文档结构图 字符2"/>
    <w:basedOn w:val="51"/>
    <w:semiHidden/>
    <w:qFormat/>
    <w:uiPriority w:val="99"/>
    <w:rPr>
      <w:rFonts w:hint="eastAsia" w:ascii="Microsoft YaHei UI" w:hAnsi="Microsoft YaHei UI" w:eastAsia="Microsoft YaHei UI"/>
      <w:kern w:val="2"/>
      <w:sz w:val="18"/>
      <w:szCs w:val="18"/>
    </w:rPr>
  </w:style>
  <w:style w:type="character" w:customStyle="1" w:styleId="187">
    <w:name w:val="正文文本缩进 2 字符1"/>
    <w:basedOn w:val="51"/>
    <w:semiHidden/>
    <w:qFormat/>
    <w:uiPriority w:val="99"/>
    <w:rPr>
      <w:kern w:val="2"/>
      <w:sz w:val="21"/>
    </w:rPr>
  </w:style>
  <w:style w:type="character" w:customStyle="1" w:styleId="188">
    <w:name w:val="批注框文本 字符1"/>
    <w:basedOn w:val="51"/>
    <w:semiHidden/>
    <w:qFormat/>
    <w:uiPriority w:val="99"/>
    <w:rPr>
      <w:kern w:val="2"/>
      <w:sz w:val="18"/>
      <w:szCs w:val="18"/>
    </w:rPr>
  </w:style>
  <w:style w:type="character" w:customStyle="1" w:styleId="189">
    <w:name w:val="正文文本 字符1"/>
    <w:basedOn w:val="51"/>
    <w:semiHidden/>
    <w:qFormat/>
    <w:uiPriority w:val="99"/>
    <w:rPr>
      <w:kern w:val="2"/>
      <w:sz w:val="21"/>
    </w:rPr>
  </w:style>
  <w:style w:type="character" w:customStyle="1" w:styleId="190">
    <w:name w:val="标题 字符1"/>
    <w:basedOn w:val="51"/>
    <w:qFormat/>
    <w:uiPriority w:val="10"/>
    <w:rPr>
      <w:rFonts w:hint="eastAsia" w:asciiTheme="majorHAnsi" w:hAnsiTheme="majorHAnsi" w:eastAsiaTheme="majorEastAsia" w:cstheme="majorBidi"/>
      <w:b/>
      <w:bCs/>
      <w:kern w:val="2"/>
      <w:sz w:val="32"/>
      <w:szCs w:val="32"/>
    </w:rPr>
  </w:style>
  <w:style w:type="character" w:customStyle="1" w:styleId="191">
    <w:name w:val="HTML 预设格式 字符1"/>
    <w:basedOn w:val="51"/>
    <w:semiHidden/>
    <w:qFormat/>
    <w:uiPriority w:val="99"/>
    <w:rPr>
      <w:rFonts w:hint="default" w:ascii="Courier New" w:hAnsi="Courier New" w:cs="Courier New"/>
      <w:kern w:val="2"/>
    </w:rPr>
  </w:style>
  <w:style w:type="character" w:customStyle="1" w:styleId="192">
    <w:name w:val="页脚 字符1"/>
    <w:basedOn w:val="51"/>
    <w:semiHidden/>
    <w:qFormat/>
    <w:uiPriority w:val="99"/>
    <w:rPr>
      <w:kern w:val="2"/>
      <w:sz w:val="18"/>
      <w:szCs w:val="18"/>
    </w:rPr>
  </w:style>
  <w:style w:type="character" w:customStyle="1" w:styleId="193">
    <w:name w:val="日期 字符1"/>
    <w:basedOn w:val="51"/>
    <w:semiHidden/>
    <w:qFormat/>
    <w:uiPriority w:val="99"/>
    <w:rPr>
      <w:kern w:val="2"/>
      <w:sz w:val="21"/>
    </w:rPr>
  </w:style>
  <w:style w:type="paragraph" w:customStyle="1" w:styleId="194">
    <w:name w:val="资料表"/>
    <w:basedOn w:val="108"/>
    <w:qFormat/>
    <w:uiPriority w:val="0"/>
    <w:rPr>
      <w:rFonts w:ascii="Times New Roman"/>
    </w:rPr>
  </w:style>
  <w:style w:type="paragraph" w:customStyle="1" w:styleId="195">
    <w:name w:val="xl6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96">
    <w:name w:val="xl66"/>
    <w:basedOn w:val="1"/>
    <w:qFormat/>
    <w:uiPriority w:val="0"/>
    <w:pPr>
      <w:widowControl/>
      <w:spacing w:before="100" w:beforeAutospacing="1" w:after="100" w:afterAutospacing="1"/>
      <w:jc w:val="left"/>
    </w:pPr>
    <w:rPr>
      <w:rFonts w:ascii="宋体" w:hAnsi="宋体" w:cs="宋体"/>
      <w:color w:val="000000"/>
      <w:kern w:val="0"/>
      <w:sz w:val="12"/>
      <w:szCs w:val="12"/>
    </w:rPr>
  </w:style>
  <w:style w:type="paragraph" w:customStyle="1" w:styleId="197">
    <w:name w:val="xl67"/>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98">
    <w:name w:val="xl68"/>
    <w:basedOn w:val="1"/>
    <w:qFormat/>
    <w:uiPriority w:val="0"/>
    <w:pPr>
      <w:widowControl/>
      <w:spacing w:before="100" w:beforeAutospacing="1" w:after="100" w:afterAutospacing="1"/>
      <w:jc w:val="center"/>
    </w:pPr>
    <w:rPr>
      <w:rFonts w:ascii="宋体" w:hAnsi="宋体" w:cs="宋体"/>
      <w:b/>
      <w:bCs/>
      <w:color w:val="000000"/>
      <w:kern w:val="0"/>
      <w:sz w:val="16"/>
      <w:szCs w:val="16"/>
    </w:rPr>
  </w:style>
  <w:style w:type="paragraph" w:customStyle="1" w:styleId="199">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cs="宋体"/>
      <w:b/>
      <w:bCs/>
      <w:color w:val="000000"/>
      <w:kern w:val="0"/>
      <w:sz w:val="16"/>
      <w:szCs w:val="16"/>
    </w:rPr>
  </w:style>
  <w:style w:type="paragraph" w:customStyle="1" w:styleId="200">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cs="宋体"/>
      <w:b/>
      <w:bCs/>
      <w:color w:val="000000"/>
      <w:kern w:val="0"/>
      <w:sz w:val="12"/>
      <w:szCs w:val="12"/>
    </w:rPr>
  </w:style>
  <w:style w:type="paragraph" w:customStyle="1" w:styleId="20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cs="宋体"/>
      <w:b/>
      <w:bCs/>
      <w:color w:val="000000"/>
      <w:kern w:val="0"/>
      <w:sz w:val="16"/>
      <w:szCs w:val="16"/>
    </w:rPr>
  </w:style>
  <w:style w:type="paragraph" w:customStyle="1" w:styleId="202">
    <w:name w:val="xl72"/>
    <w:basedOn w:val="1"/>
    <w:qFormat/>
    <w:uiPriority w:val="0"/>
    <w:pPr>
      <w:widowControl/>
      <w:pBdr>
        <w:top w:val="single" w:color="auto" w:sz="4" w:space="0"/>
        <w:bottom w:val="single" w:color="auto" w:sz="4" w:space="0"/>
      </w:pBdr>
      <w:shd w:val="clear" w:color="000000" w:fill="A6A6A6"/>
      <w:spacing w:before="100" w:beforeAutospacing="1" w:after="100" w:afterAutospacing="1"/>
      <w:jc w:val="left"/>
    </w:pPr>
    <w:rPr>
      <w:rFonts w:ascii="宋体" w:hAnsi="宋体" w:cs="宋体"/>
      <w:b/>
      <w:bCs/>
      <w:color w:val="FFFFFF"/>
      <w:kern w:val="0"/>
      <w:sz w:val="16"/>
      <w:szCs w:val="16"/>
    </w:rPr>
  </w:style>
  <w:style w:type="paragraph" w:customStyle="1" w:styleId="20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5">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cs="宋体"/>
      <w:color w:val="000000"/>
      <w:kern w:val="0"/>
      <w:sz w:val="12"/>
      <w:szCs w:val="12"/>
    </w:rPr>
  </w:style>
  <w:style w:type="paragraph" w:customStyle="1" w:styleId="207">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09">
    <w:name w:val="xl79"/>
    <w:basedOn w:val="1"/>
    <w:qFormat/>
    <w:uiPriority w:val="0"/>
    <w:pPr>
      <w:widowControl/>
      <w:pBdr>
        <w:top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10">
    <w:name w:val="xl80"/>
    <w:basedOn w:val="1"/>
    <w:qFormat/>
    <w:uiPriority w:val="0"/>
    <w:pPr>
      <w:widowControl/>
      <w:pBdr>
        <w:top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color w:val="FFFFFF"/>
      <w:kern w:val="0"/>
      <w:sz w:val="16"/>
      <w:szCs w:val="16"/>
    </w:rPr>
  </w:style>
  <w:style w:type="paragraph" w:customStyle="1" w:styleId="21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1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2"/>
      <w:szCs w:val="12"/>
    </w:rPr>
  </w:style>
  <w:style w:type="paragraph" w:customStyle="1" w:styleId="21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cs="宋体"/>
      <w:color w:val="000000"/>
      <w:kern w:val="0"/>
      <w:sz w:val="12"/>
      <w:szCs w:val="12"/>
    </w:rPr>
  </w:style>
  <w:style w:type="paragraph" w:customStyle="1" w:styleId="214">
    <w:name w:val="xl84"/>
    <w:basedOn w:val="1"/>
    <w:qFormat/>
    <w:uiPriority w:val="0"/>
    <w:pPr>
      <w:widowControl/>
      <w:pBdr>
        <w:top w:val="single" w:color="auto" w:sz="4" w:space="0"/>
        <w:bottom w:val="single" w:color="auto" w:sz="4" w:space="0"/>
      </w:pBdr>
      <w:shd w:val="clear" w:color="000000" w:fill="808080"/>
      <w:spacing w:before="100" w:beforeAutospacing="1" w:after="100" w:afterAutospacing="1"/>
      <w:jc w:val="left"/>
    </w:pPr>
    <w:rPr>
      <w:rFonts w:ascii="宋体" w:hAnsi="宋体" w:cs="宋体"/>
      <w:b/>
      <w:bCs/>
      <w:color w:val="FFFFFF"/>
      <w:kern w:val="0"/>
      <w:sz w:val="16"/>
      <w:szCs w:val="16"/>
    </w:rPr>
  </w:style>
  <w:style w:type="paragraph" w:customStyle="1" w:styleId="215">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1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17">
    <w:name w:val="xl87"/>
    <w:basedOn w:val="1"/>
    <w:qFormat/>
    <w:uiPriority w:val="0"/>
    <w:pPr>
      <w:widowControl/>
      <w:pBdr>
        <w:top w:val="single" w:color="auto" w:sz="4" w:space="0"/>
        <w:bottom w:val="single" w:color="auto" w:sz="4" w:space="0"/>
        <w:right w:val="single" w:color="auto" w:sz="4" w:space="0"/>
      </w:pBdr>
      <w:shd w:val="clear" w:color="000000" w:fill="808080"/>
      <w:spacing w:before="100" w:beforeAutospacing="1" w:after="100" w:afterAutospacing="1"/>
      <w:jc w:val="left"/>
    </w:pPr>
    <w:rPr>
      <w:rFonts w:ascii="宋体" w:hAnsi="宋体" w:cs="宋体"/>
      <w:b/>
      <w:bCs/>
      <w:color w:val="FFFFFF"/>
      <w:kern w:val="0"/>
      <w:sz w:val="16"/>
      <w:szCs w:val="16"/>
    </w:rPr>
  </w:style>
  <w:style w:type="paragraph" w:customStyle="1" w:styleId="218">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19">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22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22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222">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2"/>
      <w:szCs w:val="12"/>
    </w:rPr>
  </w:style>
  <w:style w:type="paragraph" w:customStyle="1" w:styleId="223">
    <w:name w:val="xl93"/>
    <w:basedOn w:val="1"/>
    <w:qFormat/>
    <w:uiPriority w:val="0"/>
    <w:pPr>
      <w:widowControl/>
      <w:pBdr>
        <w:top w:val="single" w:color="auto" w:sz="4" w:space="0"/>
        <w:left w:val="single" w:color="auto" w:sz="4" w:space="0"/>
        <w:bottom w:val="single" w:color="auto" w:sz="4" w:space="0"/>
      </w:pBdr>
      <w:shd w:val="clear" w:color="000000" w:fill="A6A6A6"/>
      <w:spacing w:before="100" w:beforeAutospacing="1" w:after="100" w:afterAutospacing="1"/>
      <w:jc w:val="center"/>
    </w:pPr>
    <w:rPr>
      <w:rFonts w:ascii="宋体" w:hAnsi="宋体" w:cs="宋体"/>
      <w:b/>
      <w:bCs/>
      <w:color w:val="FFFFFF"/>
      <w:kern w:val="0"/>
      <w:sz w:val="16"/>
      <w:szCs w:val="16"/>
    </w:rPr>
  </w:style>
  <w:style w:type="paragraph" w:customStyle="1" w:styleId="224">
    <w:name w:val="xl94"/>
    <w:basedOn w:val="1"/>
    <w:qFormat/>
    <w:uiPriority w:val="0"/>
    <w:pPr>
      <w:widowControl/>
      <w:pBdr>
        <w:top w:val="single" w:color="auto" w:sz="4" w:space="0"/>
        <w:bottom w:val="single" w:color="auto" w:sz="4" w:space="0"/>
      </w:pBdr>
      <w:shd w:val="clear" w:color="000000" w:fill="A6A6A6"/>
      <w:spacing w:before="100" w:beforeAutospacing="1" w:after="100" w:afterAutospacing="1"/>
      <w:jc w:val="center"/>
    </w:pPr>
    <w:rPr>
      <w:rFonts w:ascii="宋体" w:hAnsi="宋体" w:cs="宋体"/>
      <w:b/>
      <w:bCs/>
      <w:color w:val="FFFFFF"/>
      <w:kern w:val="0"/>
      <w:sz w:val="16"/>
      <w:szCs w:val="16"/>
    </w:rPr>
  </w:style>
  <w:style w:type="paragraph" w:customStyle="1" w:styleId="225">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6">
    <w:name w:val="xl96"/>
    <w:basedOn w:val="1"/>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7">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8">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9">
    <w:name w:val="xl99"/>
    <w:basedOn w:val="1"/>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30">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31">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2">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3">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4">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5">
    <w:name w:val="修订2"/>
    <w:hidden/>
    <w:semiHidden/>
    <w:qFormat/>
    <w:uiPriority w:val="99"/>
    <w:rPr>
      <w:rFonts w:ascii="Times New Roman" w:hAnsi="Times New Roman" w:eastAsia="宋体" w:cs="Times New Roman"/>
      <w:kern w:val="2"/>
      <w:sz w:val="21"/>
      <w:lang w:val="en-US" w:eastAsia="zh-CN" w:bidi="ar-SA"/>
    </w:rPr>
  </w:style>
  <w:style w:type="paragraph" w:customStyle="1" w:styleId="236">
    <w:name w:val="B1二级标题"/>
    <w:basedOn w:val="1"/>
    <w:qFormat/>
    <w:uiPriority w:val="99"/>
    <w:pPr>
      <w:numPr>
        <w:ilvl w:val="1"/>
        <w:numId w:val="1"/>
      </w:numPr>
      <w:spacing w:before="156" w:beforeLines="50" w:after="156" w:afterLines="50" w:line="360" w:lineRule="auto"/>
      <w:jc w:val="left"/>
      <w:outlineLvl w:val="1"/>
    </w:pPr>
    <w:rPr>
      <w:sz w:val="24"/>
    </w:rPr>
  </w:style>
  <w:style w:type="paragraph" w:styleId="237">
    <w:name w:val="List Paragraph"/>
    <w:basedOn w:val="1"/>
    <w:qFormat/>
    <w:uiPriority w:val="0"/>
    <w:pPr>
      <w:ind w:firstLine="42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56</Pages>
  <Words>3790</Words>
  <Characters>21606</Characters>
  <Lines>180</Lines>
  <Paragraphs>50</Paragraphs>
  <TotalTime>0</TotalTime>
  <ScaleCrop>false</ScaleCrop>
  <LinksUpToDate>false</LinksUpToDate>
  <CharactersWithSpaces>25346</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2022-11-16T10:41:00Z</dcterms:created>
  <dc:creator>xs</dc:creator>
  <cp:lastModifiedBy>Administrator</cp:lastModifiedBy>
  <cp:lastPrinted>2022-05-18T23:49:00Z</cp:lastPrinted>
  <dcterms:modified xsi:type="dcterms:W3CDTF">2023-03-16T07:09:41Z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1E6210A484C14A66A66C949030DEC76C</vt:lpwstr>
  </property>
</Properties>
</file>