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pacing w:val="36"/>
          <w:sz w:val="44"/>
          <w:szCs w:val="44"/>
        </w:rPr>
      </w:pPr>
      <w:bookmarkStart w:id="0" w:name="法定代表人或其委托代理人封面"/>
    </w:p>
    <w:p>
      <w:pPr>
        <w:spacing w:line="360" w:lineRule="auto"/>
        <w:jc w:val="center"/>
        <w:rPr>
          <w:rFonts w:ascii="宋体" w:hAnsi="宋体"/>
          <w:b/>
          <w:spacing w:val="36"/>
          <w:sz w:val="44"/>
          <w:szCs w:val="44"/>
        </w:rPr>
      </w:pPr>
    </w:p>
    <w:p>
      <w:pPr>
        <w:spacing w:line="360" w:lineRule="auto"/>
        <w:jc w:val="center"/>
        <w:rPr>
          <w:rFonts w:ascii="宋体" w:hAnsi="宋体" w:eastAsia="黑体"/>
          <w:b/>
          <w:sz w:val="24"/>
        </w:rPr>
      </w:pPr>
      <w:r>
        <w:rPr>
          <w:rFonts w:hint="eastAsia" w:eastAsia="黑体"/>
          <w:b/>
          <w:bCs/>
          <w:color w:val="0D0D0D"/>
          <w:spacing w:val="36"/>
          <w:sz w:val="44"/>
          <w:szCs w:val="44"/>
        </w:rPr>
        <w:t>昂鹅等十五个新项目</w:t>
      </w:r>
      <w:r>
        <w:rPr>
          <w:rFonts w:eastAsia="黑体"/>
          <w:b/>
          <w:bCs/>
          <w:color w:val="0D0D0D"/>
          <w:spacing w:val="36"/>
          <w:sz w:val="44"/>
          <w:szCs w:val="44"/>
        </w:rPr>
        <w:t>税务</w:t>
      </w:r>
      <w:r>
        <w:rPr>
          <w:rFonts w:hint="eastAsia" w:eastAsia="黑体"/>
          <w:b/>
          <w:bCs/>
          <w:color w:val="0D0D0D"/>
          <w:spacing w:val="36"/>
          <w:sz w:val="44"/>
          <w:szCs w:val="44"/>
        </w:rPr>
        <w:t>咨询服务项目</w:t>
      </w:r>
    </w:p>
    <w:p>
      <w:pPr>
        <w:spacing w:line="360" w:lineRule="auto"/>
        <w:jc w:val="center"/>
        <w:rPr>
          <w:rFonts w:ascii="宋体" w:hAnsi="宋体"/>
          <w:b/>
          <w:sz w:val="2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5"/>
        <w:spacing w:line="360" w:lineRule="auto"/>
        <w:jc w:val="center"/>
        <w:rPr>
          <w:rFonts w:hAnsi="宋体"/>
          <w:sz w:val="23"/>
          <w:szCs w:val="23"/>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napToGrid w:val="0"/>
        <w:spacing w:line="360" w:lineRule="auto"/>
        <w:rPr>
          <w:rFonts w:hAnsi="宋体"/>
          <w:b/>
          <w:bCs/>
          <w:spacing w:val="70"/>
          <w:sz w:val="32"/>
          <w:szCs w:val="32"/>
        </w:rPr>
      </w:pPr>
    </w:p>
    <w:p>
      <w:pPr>
        <w:pStyle w:val="25"/>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color w:val="0D0D0D"/>
          <w:sz w:val="36"/>
          <w:szCs w:val="36"/>
          <w:u w:val="single"/>
        </w:rPr>
        <w:t>深圳地铁置业集团有限公司</w:t>
      </w:r>
    </w:p>
    <w:p>
      <w:pPr>
        <w:pStyle w:val="25"/>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u w:val="single"/>
          <w:lang w:val="en-US" w:eastAsia="zh-CN"/>
        </w:rPr>
        <w:t>李武雄</w:t>
      </w:r>
      <w:r>
        <w:rPr>
          <w:rFonts w:hint="eastAsia" w:hAnsi="宋体"/>
          <w:b/>
          <w:bCs/>
          <w:sz w:val="32"/>
          <w:szCs w:val="32"/>
          <w:u w:val="single"/>
        </w:rPr>
        <w:t xml:space="preserve">              </w:t>
      </w:r>
    </w:p>
    <w:p>
      <w:pPr>
        <w:spacing w:line="360" w:lineRule="auto"/>
        <w:jc w:val="center"/>
        <w:rPr>
          <w:rFonts w:ascii="宋体" w:hAnsi="宋体"/>
          <w:b/>
          <w:bCs/>
          <w:sz w:val="32"/>
          <w:szCs w:val="32"/>
        </w:rPr>
      </w:pPr>
    </w:p>
    <w:p>
      <w:pPr>
        <w:pStyle w:val="2"/>
        <w:ind w:firstLine="643"/>
        <w:rPr>
          <w:rFonts w:ascii="宋体" w:hAnsi="宋体"/>
          <w:b/>
          <w:bCs/>
          <w:sz w:val="32"/>
          <w:szCs w:val="32"/>
        </w:rPr>
      </w:pPr>
    </w:p>
    <w:p>
      <w:pPr>
        <w:pStyle w:val="2"/>
        <w:ind w:firstLine="643"/>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二〇二二年十一月</w:t>
      </w:r>
      <w:bookmarkStart w:id="1" w:name="_Toc188623169"/>
      <w:bookmarkStart w:id="2" w:name="_Toc497549383"/>
      <w:bookmarkStart w:id="3" w:name="_Toc389620163"/>
      <w:bookmarkStart w:id="4" w:name="_Toc385992323"/>
      <w:r>
        <w:rPr>
          <w:rFonts w:hint="eastAsia" w:ascii="宋体" w:hAnsi="宋体"/>
          <w:b/>
          <w:sz w:val="36"/>
        </w:rPr>
        <w:t xml:space="preserve"> </w:t>
      </w:r>
      <w:bookmarkEnd w:id="0"/>
      <w:bookmarkEnd w:id="1"/>
      <w:bookmarkStart w:id="5" w:name="_Toc188623172"/>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5"/>
        <w:spacing w:before="240" w:line="360" w:lineRule="auto"/>
        <w:rPr>
          <w:rFonts w:ascii="宋体" w:hAnsi="宋体"/>
          <w:b w:val="0"/>
          <w:sz w:val="44"/>
          <w:szCs w:val="44"/>
        </w:rPr>
      </w:pPr>
      <w:bookmarkStart w:id="6" w:name="_Toc57731942"/>
      <w:bookmarkStart w:id="7" w:name="_Toc518494113"/>
      <w:bookmarkStart w:id="8" w:name="_Toc276575914"/>
      <w:bookmarkStart w:id="9" w:name="_Toc197404895"/>
      <w:bookmarkStart w:id="10" w:name="_Toc372555578"/>
      <w:bookmarkStart w:id="11" w:name="_Toc29995568"/>
      <w:bookmarkStart w:id="12" w:name="_Toc191203192"/>
      <w:bookmarkStart w:id="13" w:name="_Toc188439083"/>
      <w:bookmarkStart w:id="14" w:name="_Toc372555579"/>
      <w:bookmarkStart w:id="15" w:name="_Toc39758874"/>
      <w:bookmarkStart w:id="16" w:name="_Toc402782153"/>
      <w:r>
        <w:rPr>
          <w:rFonts w:hint="eastAsia" w:ascii="宋体" w:hAnsi="宋体"/>
          <w:b w:val="0"/>
          <w:sz w:val="44"/>
          <w:szCs w:val="44"/>
        </w:rPr>
        <w:t>致参选人</w:t>
      </w:r>
      <w:bookmarkEnd w:id="6"/>
      <w:bookmarkEnd w:id="7"/>
      <w:bookmarkEnd w:id="8"/>
      <w:bookmarkEnd w:id="9"/>
      <w:bookmarkEnd w:id="10"/>
    </w:p>
    <w:p>
      <w:pPr>
        <w:pStyle w:val="25"/>
        <w:spacing w:before="240" w:beforeLines="100" w:after="120" w:afterLines="50" w:line="360" w:lineRule="auto"/>
        <w:ind w:firstLine="480" w:firstLineChars="200"/>
        <w:rPr>
          <w:rFonts w:hAnsi="宋体"/>
          <w:sz w:val="24"/>
        </w:rPr>
      </w:pPr>
      <w:r>
        <w:rPr>
          <w:rFonts w:hint="eastAsia" w:hAnsi="宋体"/>
          <w:sz w:val="24"/>
        </w:rPr>
        <w:t>本比选文件是依据有关法律、法规、规章和规范性文件的规定，根据本比选项目的特点和需要编制的。</w:t>
      </w:r>
    </w:p>
    <w:p>
      <w:pPr>
        <w:pStyle w:val="25"/>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color w:val="0D0D0D"/>
          <w:sz w:val="24"/>
          <w:szCs w:val="24"/>
          <w:u w:val="single"/>
        </w:rPr>
        <w:t>昂鹅等</w:t>
      </w:r>
      <w:r>
        <w:rPr>
          <w:rFonts w:hint="eastAsia" w:hAnsi="宋体"/>
          <w:b/>
          <w:bCs/>
          <w:color w:val="0D0D0D"/>
          <w:sz w:val="24"/>
          <w:szCs w:val="24"/>
          <w:u w:val="single"/>
          <w:lang w:val="en-US" w:eastAsia="zh-CN"/>
        </w:rPr>
        <w:t>十五</w:t>
      </w:r>
      <w:r>
        <w:rPr>
          <w:rFonts w:hint="eastAsia" w:hAnsi="宋体"/>
          <w:b/>
          <w:bCs/>
          <w:color w:val="0D0D0D"/>
          <w:sz w:val="24"/>
          <w:szCs w:val="24"/>
          <w:u w:val="single"/>
        </w:rPr>
        <w:t>个新项目税务咨询服务</w:t>
      </w:r>
      <w:r>
        <w:rPr>
          <w:rFonts w:hint="eastAsia" w:hAnsi="宋体"/>
          <w:sz w:val="24"/>
        </w:rPr>
        <w:t>工作内容和基本要求。我们要求参选人必须完全响应本比选文件的实质性内容。</w:t>
      </w:r>
    </w:p>
    <w:p>
      <w:pPr>
        <w:pStyle w:val="25"/>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5"/>
        <w:spacing w:line="360" w:lineRule="auto"/>
        <w:ind w:firstLine="420" w:firstLineChars="175"/>
        <w:rPr>
          <w:rFonts w:hAnsi="宋体"/>
          <w:sz w:val="24"/>
        </w:rPr>
      </w:pPr>
    </w:p>
    <w:p>
      <w:pPr>
        <w:pStyle w:val="25"/>
        <w:spacing w:line="360" w:lineRule="auto"/>
        <w:ind w:firstLine="420" w:firstLineChars="175"/>
        <w:rPr>
          <w:rFonts w:hAnsi="宋体"/>
          <w:sz w:val="24"/>
        </w:rPr>
      </w:pPr>
      <w:r>
        <w:rPr>
          <w:rFonts w:hint="eastAsia" w:hAnsi="宋体"/>
          <w:sz w:val="24"/>
        </w:rPr>
        <w:t>比选人（盖章）：</w:t>
      </w:r>
      <w:r>
        <w:rPr>
          <w:rFonts w:hint="eastAsia" w:hAnsi="宋体"/>
          <w:sz w:val="24"/>
          <w:lang w:eastAsia="zh-Hans"/>
        </w:rPr>
        <w:t>深圳地铁</w:t>
      </w:r>
      <w:r>
        <w:rPr>
          <w:rFonts w:hint="eastAsia" w:hAnsi="宋体"/>
          <w:sz w:val="24"/>
        </w:rPr>
        <w:t>置业集团有限公司</w:t>
      </w:r>
    </w:p>
    <w:p>
      <w:pPr>
        <w:pStyle w:val="25"/>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深圳市福田区深南大道6011-8号深铁置业大厦50楼</w:t>
      </w:r>
    </w:p>
    <w:p>
      <w:pPr>
        <w:pStyle w:val="25"/>
        <w:spacing w:line="360" w:lineRule="auto"/>
        <w:ind w:right="94" w:rightChars="45" w:firstLine="420" w:firstLineChars="175"/>
        <w:rPr>
          <w:rFonts w:hAnsi="宋体"/>
          <w:sz w:val="24"/>
        </w:rPr>
      </w:pPr>
      <w:r>
        <w:rPr>
          <w:rFonts w:hint="eastAsia" w:hAnsi="宋体"/>
          <w:sz w:val="24"/>
        </w:rPr>
        <w:t>邮政编码：</w:t>
      </w:r>
    </w:p>
    <w:p>
      <w:pPr>
        <w:pStyle w:val="25"/>
        <w:spacing w:line="360" w:lineRule="auto"/>
        <w:ind w:firstLine="420" w:firstLineChars="175"/>
        <w:rPr>
          <w:rFonts w:hAnsi="宋体"/>
          <w:sz w:val="24"/>
        </w:rPr>
      </w:pPr>
      <w:r>
        <w:rPr>
          <w:rFonts w:hint="eastAsia" w:hAnsi="宋体"/>
          <w:sz w:val="24"/>
        </w:rPr>
        <w:t>联 系 人：陈工</w:t>
      </w:r>
    </w:p>
    <w:p>
      <w:pPr>
        <w:pStyle w:val="25"/>
        <w:spacing w:line="360" w:lineRule="auto"/>
        <w:ind w:firstLine="420" w:firstLineChars="175"/>
        <w:rPr>
          <w:rFonts w:hAnsi="宋体"/>
          <w:sz w:val="24"/>
        </w:rPr>
      </w:pPr>
      <w:r>
        <w:rPr>
          <w:rFonts w:hint="eastAsia" w:hAnsi="宋体"/>
          <w:sz w:val="24"/>
        </w:rPr>
        <w:t>传真：</w:t>
      </w:r>
    </w:p>
    <w:p>
      <w:pPr>
        <w:pStyle w:val="25"/>
        <w:spacing w:line="360" w:lineRule="auto"/>
        <w:ind w:firstLine="420" w:firstLineChars="175"/>
      </w:pPr>
      <w:r>
        <w:rPr>
          <w:rFonts w:hint="eastAsia" w:hAnsi="宋体"/>
          <w:sz w:val="24"/>
        </w:rPr>
        <w:t>联系电话：</w:t>
      </w:r>
      <w:r>
        <w:rPr>
          <w:rFonts w:hint="eastAsia"/>
        </w:rPr>
        <w:t>89987239</w:t>
      </w:r>
    </w:p>
    <w:p>
      <w:pPr>
        <w:pStyle w:val="25"/>
        <w:spacing w:line="360" w:lineRule="auto"/>
        <w:ind w:firstLine="420" w:firstLineChars="175"/>
        <w:rPr>
          <w:rFonts w:hAnsi="宋体"/>
          <w:sz w:val="24"/>
        </w:rPr>
      </w:pPr>
      <w:r>
        <w:rPr>
          <w:rFonts w:hint="eastAsia" w:hAnsi="宋体"/>
          <w:sz w:val="24"/>
        </w:rPr>
        <w:t>电    邮：</w:t>
      </w:r>
    </w:p>
    <w:p>
      <w:pPr>
        <w:pStyle w:val="25"/>
        <w:spacing w:line="360" w:lineRule="auto"/>
        <w:ind w:firstLine="420" w:firstLineChars="175"/>
        <w:rPr>
          <w:rFonts w:hAnsi="宋体"/>
          <w:sz w:val="24"/>
          <w:u w:val="single"/>
        </w:rPr>
      </w:pPr>
      <w:r>
        <w:rPr>
          <w:rFonts w:hint="eastAsia" w:hAnsi="宋体"/>
          <w:sz w:val="24"/>
        </w:rPr>
        <w:t>日    期：2022年11月</w:t>
      </w:r>
      <w:r>
        <w:rPr>
          <w:rFonts w:hint="eastAsia" w:hAnsi="宋体"/>
          <w:sz w:val="24"/>
          <w:lang w:val="en-US" w:eastAsia="zh-CN"/>
        </w:rPr>
        <w:t>29</w:t>
      </w:r>
      <w:r>
        <w:rPr>
          <w:rFonts w:hint="eastAsia" w:hAnsi="宋体"/>
          <w:sz w:val="24"/>
        </w:rPr>
        <w:t xml:space="preserve"> 日</w:t>
      </w:r>
      <w:bookmarkEnd w:id="11"/>
      <w:bookmarkEnd w:id="12"/>
      <w:bookmarkEnd w:id="13"/>
      <w:bookmarkEnd w:id="14"/>
      <w:bookmarkEnd w:id="15"/>
      <w:bookmarkEnd w:id="16"/>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5"/>
        <w:spacing w:before="240" w:line="360" w:lineRule="auto"/>
        <w:jc w:val="both"/>
        <w:rPr>
          <w:rFonts w:ascii="宋体" w:hAnsi="宋体"/>
          <w:b w:val="0"/>
          <w:sz w:val="44"/>
          <w:szCs w:val="44"/>
        </w:rPr>
      </w:pPr>
      <w:bookmarkStart w:id="17" w:name="_Toc57731943"/>
      <w:bookmarkStart w:id="18" w:name="_Toc518494114"/>
    </w:p>
    <w:p>
      <w:pPr>
        <w:pStyle w:val="5"/>
        <w:spacing w:before="240" w:line="360" w:lineRule="auto"/>
        <w:rPr>
          <w:rFonts w:ascii="宋体" w:hAnsi="宋体"/>
          <w:b w:val="0"/>
          <w:sz w:val="44"/>
          <w:szCs w:val="44"/>
        </w:rPr>
      </w:pPr>
      <w:r>
        <w:rPr>
          <w:rFonts w:hint="eastAsia" w:ascii="宋体" w:hAnsi="宋体"/>
          <w:b w:val="0"/>
          <w:sz w:val="44"/>
          <w:szCs w:val="44"/>
        </w:rPr>
        <w:t>参选文件</w:t>
      </w:r>
      <w:bookmarkStart w:id="19" w:name="OLE_LINK1"/>
      <w:r>
        <w:rPr>
          <w:rFonts w:hint="eastAsia" w:ascii="宋体" w:hAnsi="宋体"/>
          <w:b w:val="0"/>
          <w:sz w:val="44"/>
          <w:szCs w:val="44"/>
        </w:rPr>
        <w:t>无效和废标的情形</w:t>
      </w:r>
      <w:bookmarkEnd w:id="19"/>
      <w:r>
        <w:rPr>
          <w:rFonts w:hint="eastAsia" w:ascii="宋体" w:hAnsi="宋体"/>
          <w:b w:val="0"/>
          <w:sz w:val="44"/>
          <w:szCs w:val="44"/>
        </w:rPr>
        <w:t>摘要</w:t>
      </w:r>
      <w:bookmarkEnd w:id="17"/>
      <w:bookmarkEnd w:id="18"/>
    </w:p>
    <w:p>
      <w:pPr>
        <w:pStyle w:val="25"/>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2.参选文件未按规定编制并加盖参选人公章的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5．参选人的报价超出本项目参选上限价或单项上限价；</w:t>
      </w:r>
    </w:p>
    <w:p>
      <w:pPr>
        <w:spacing w:line="360" w:lineRule="auto"/>
        <w:ind w:left="480"/>
        <w:rPr>
          <w:rFonts w:ascii="宋体" w:hAnsi="宋体"/>
          <w:sz w:val="24"/>
        </w:rPr>
      </w:pPr>
      <w:r>
        <w:rPr>
          <w:rFonts w:hint="eastAsia" w:ascii="宋体" w:hAnsi="宋体"/>
          <w:sz w:val="24"/>
        </w:rPr>
        <w:t>6. 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numPr>
          <w:ilvl w:val="0"/>
          <w:numId w:val="2"/>
        </w:numPr>
        <w:adjustRightInd w:val="0"/>
        <w:snapToGrid w:val="0"/>
        <w:spacing w:line="360" w:lineRule="auto"/>
        <w:ind w:left="0" w:firstLine="480" w:firstLineChars="200"/>
        <w:rPr>
          <w:rFonts w:ascii="宋体" w:hAnsi="宋体"/>
          <w:sz w:val="24"/>
          <w:szCs w:val="24"/>
        </w:rPr>
      </w:pPr>
      <w:bookmarkStart w:id="20" w:name="_Toc434234570"/>
      <w:bookmarkStart w:id="21" w:name="_Toc57731944"/>
      <w:r>
        <w:rPr>
          <w:rFonts w:hint="eastAsia" w:ascii="宋体" w:hAnsi="宋体"/>
          <w:sz w:val="24"/>
          <w:szCs w:val="24"/>
        </w:rPr>
        <w:t>参选人以他人的名义参选或出现串通参选、弄虚作假情形的：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不同参选人的参选文件相互混装的；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255"/>
          <w:numId w:val="0"/>
        </w:numPr>
        <w:adjustRightInd w:val="0"/>
        <w:snapToGrid w:val="0"/>
        <w:spacing w:line="360" w:lineRule="auto"/>
        <w:ind w:left="420" w:leftChars="200"/>
        <w:rPr>
          <w:rFonts w:ascii="宋体" w:hAnsi="宋体"/>
          <w:sz w:val="24"/>
          <w:szCs w:val="24"/>
        </w:rPr>
      </w:pPr>
      <w:r>
        <w:rPr>
          <w:rFonts w:hint="eastAsia" w:ascii="宋体" w:hAnsi="宋体"/>
          <w:sz w:val="24"/>
          <w:szCs w:val="24"/>
        </w:rPr>
        <w:t>10. 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当参选人出现上述10条的情形时，比选人将该参选人列入比选人不良诚信行为名录，并保留对外公示的权利。</w:t>
      </w:r>
    </w:p>
    <w:p>
      <w:pPr>
        <w:adjustRightInd w:val="0"/>
        <w:snapToGrid w:val="0"/>
        <w:spacing w:line="360" w:lineRule="auto"/>
        <w:ind w:left="480"/>
        <w:rPr>
          <w:rFonts w:ascii="宋体" w:hAnsi="宋体"/>
          <w:b/>
          <w:color w:val="0D0D0D"/>
          <w:sz w:val="24"/>
        </w:rPr>
      </w:pPr>
      <w:r>
        <w:rPr>
          <w:rFonts w:hint="eastAsia" w:ascii="宋体" w:hAnsi="宋体"/>
          <w:b/>
          <w:color w:val="0D0D0D"/>
          <w:sz w:val="24"/>
        </w:rPr>
        <w:t>四</w:t>
      </w:r>
      <w:r>
        <w:rPr>
          <w:rFonts w:ascii="宋体" w:hAnsi="宋体"/>
          <w:b/>
          <w:color w:val="0D0D0D"/>
          <w:sz w:val="24"/>
        </w:rPr>
        <w:t>、本项目不接受有下列情形之一的企业或从业人员参与参选：</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1</w:t>
      </w:r>
      <w:r>
        <w:rPr>
          <w:rFonts w:hint="eastAsia" w:ascii="宋体" w:hAnsi="宋体"/>
          <w:color w:val="0D0D0D"/>
          <w:sz w:val="24"/>
        </w:rPr>
        <w:t>、</w:t>
      </w:r>
      <w:r>
        <w:rPr>
          <w:rFonts w:ascii="宋体" w:hAnsi="宋体"/>
          <w:color w:val="0D0D0D"/>
          <w:sz w:val="24"/>
        </w:rPr>
        <w:t>2019</w:t>
      </w:r>
      <w:r>
        <w:rPr>
          <w:rFonts w:hint="eastAsia" w:ascii="宋体" w:hAnsi="宋体"/>
          <w:color w:val="0D0D0D"/>
          <w:sz w:val="24"/>
        </w:rPr>
        <w:t>年</w:t>
      </w:r>
      <w:r>
        <w:rPr>
          <w:rFonts w:ascii="宋体" w:hAnsi="宋体"/>
          <w:color w:val="0D0D0D"/>
          <w:sz w:val="24"/>
        </w:rPr>
        <w:t>1月1日以来，有串通参选不良行为记录或涉嫌串通参选，并正在接受城市主管部门调查的参选申请人；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2</w:t>
      </w:r>
      <w:r>
        <w:rPr>
          <w:rFonts w:hint="eastAsia" w:ascii="宋体" w:hAnsi="宋体"/>
          <w:color w:val="0D0D0D"/>
          <w:sz w:val="24"/>
        </w:rPr>
        <w:t>、</w:t>
      </w:r>
      <w:r>
        <w:rPr>
          <w:rFonts w:ascii="宋体" w:hAnsi="宋体"/>
          <w:color w:val="0D0D0D"/>
          <w:sz w:val="24"/>
        </w:rPr>
        <w:t>2019年1月1日以来，在</w:t>
      </w:r>
      <w:r>
        <w:rPr>
          <w:rFonts w:hint="eastAsia" w:ascii="宋体" w:hAnsi="宋体"/>
          <w:color w:val="0D0D0D"/>
          <w:sz w:val="24"/>
        </w:rPr>
        <w:t>深圳置业集团有限公司</w:t>
      </w:r>
      <w:r>
        <w:rPr>
          <w:rFonts w:ascii="宋体" w:hAnsi="宋体"/>
          <w:color w:val="0D0D0D"/>
          <w:sz w:val="24"/>
        </w:rPr>
        <w:t>或下属单位合同履约评价考核等级为D的参选申请人不得参选。</w:t>
      </w:r>
    </w:p>
    <w:p>
      <w:pPr>
        <w:adjustRightInd w:val="0"/>
        <w:snapToGrid w:val="0"/>
        <w:spacing w:line="360" w:lineRule="auto"/>
        <w:ind w:left="482"/>
        <w:rPr>
          <w:rFonts w:ascii="宋体" w:hAnsi="宋体"/>
          <w:color w:val="0D0D0D"/>
          <w:sz w:val="24"/>
        </w:rPr>
      </w:pPr>
      <w:r>
        <w:rPr>
          <w:rFonts w:ascii="宋体" w:hAnsi="宋体"/>
          <w:color w:val="0D0D0D"/>
          <w:sz w:val="24"/>
        </w:rPr>
        <w:t>3、联合体参选申请人。</w:t>
      </w:r>
    </w:p>
    <w:p>
      <w:pPr>
        <w:pStyle w:val="2"/>
      </w:pPr>
    </w:p>
    <w:p>
      <w:pPr>
        <w:pStyle w:val="6"/>
        <w:spacing w:line="360" w:lineRule="auto"/>
        <w:jc w:val="both"/>
        <w:rPr>
          <w:rFonts w:ascii="宋体" w:hAnsi="宋体" w:eastAsia="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2"/>
        <w:spacing w:line="360" w:lineRule="auto"/>
        <w:ind w:left="0" w:leftChars="0" w:firstLine="0" w:firstLineChars="0"/>
      </w:pPr>
    </w:p>
    <w:p>
      <w:pPr>
        <w:pStyle w:val="2"/>
        <w:spacing w:line="360" w:lineRule="auto"/>
        <w:ind w:left="0" w:leftChars="0" w:firstLine="0" w:firstLineChars="0"/>
      </w:pPr>
    </w:p>
    <w:p>
      <w:pPr>
        <w:pStyle w:val="6"/>
        <w:spacing w:line="360" w:lineRule="auto"/>
        <w:rPr>
          <w:rFonts w:ascii="宋体" w:hAnsi="宋体" w:eastAsia="宋体"/>
          <w:b/>
          <w:sz w:val="44"/>
          <w:szCs w:val="44"/>
        </w:rPr>
      </w:pPr>
      <w:r>
        <w:rPr>
          <w:rFonts w:hint="eastAsia" w:ascii="宋体" w:hAnsi="宋体" w:eastAsia="宋体"/>
          <w:b/>
          <w:sz w:val="44"/>
          <w:szCs w:val="44"/>
        </w:rPr>
        <w:t>比选公告</w:t>
      </w:r>
      <w:bookmarkEnd w:id="20"/>
      <w:bookmarkEnd w:id="21"/>
    </w:p>
    <w:p>
      <w:pPr>
        <w:pStyle w:val="25"/>
        <w:spacing w:line="360" w:lineRule="auto"/>
        <w:ind w:firstLine="480" w:firstLineChars="200"/>
        <w:jc w:val="left"/>
        <w:rPr>
          <w:rFonts w:hAnsi="宋体"/>
          <w:kern w:val="2"/>
          <w:sz w:val="24"/>
          <w:szCs w:val="24"/>
        </w:rPr>
      </w:pPr>
      <w:r>
        <w:rPr>
          <w:rFonts w:hint="eastAsia" w:hAnsi="宋体"/>
          <w:sz w:val="24"/>
          <w:szCs w:val="24"/>
        </w:rPr>
        <w:t>深圳置业集团有限公司拟对</w:t>
      </w:r>
      <w:r>
        <w:rPr>
          <w:rFonts w:hint="eastAsia" w:hAnsi="宋体"/>
          <w:color w:val="0D0D0D"/>
          <w:sz w:val="24"/>
          <w:szCs w:val="24"/>
          <w:u w:val="single"/>
        </w:rPr>
        <w:t>昂鹅等</w:t>
      </w:r>
      <w:r>
        <w:rPr>
          <w:rFonts w:hint="eastAsia" w:hAnsi="宋体"/>
          <w:color w:val="0D0D0D"/>
          <w:sz w:val="24"/>
          <w:szCs w:val="24"/>
          <w:u w:val="single"/>
          <w:lang w:val="en-US" w:eastAsia="zh-CN"/>
        </w:rPr>
        <w:t>十五</w:t>
      </w:r>
      <w:r>
        <w:rPr>
          <w:rFonts w:hint="eastAsia" w:hAnsi="宋体"/>
          <w:color w:val="0D0D0D"/>
          <w:sz w:val="24"/>
          <w:szCs w:val="24"/>
          <w:u w:val="single"/>
        </w:rPr>
        <w:t>个新项目税务咨询服务业务</w:t>
      </w:r>
      <w:r>
        <w:rPr>
          <w:rFonts w:hint="eastAsia" w:hAnsi="宋体"/>
          <w:b/>
          <w:sz w:val="24"/>
          <w:szCs w:val="24"/>
        </w:rPr>
        <w:t>（以下简称“本项目”）</w:t>
      </w:r>
      <w:r>
        <w:rPr>
          <w:rFonts w:hint="eastAsia" w:hAnsi="宋体"/>
          <w:sz w:val="24"/>
          <w:szCs w:val="24"/>
        </w:rPr>
        <w:t>进行公开比选，欢迎符合本比选公告公布资质要求的参选</w:t>
      </w:r>
      <w:r>
        <w:rPr>
          <w:rFonts w:hAnsi="宋体"/>
          <w:sz w:val="24"/>
          <w:szCs w:val="24"/>
        </w:rPr>
        <w:t>人</w:t>
      </w:r>
      <w:r>
        <w:rPr>
          <w:rFonts w:hint="eastAsia" w:hAnsi="宋体"/>
          <w:sz w:val="24"/>
          <w:szCs w:val="24"/>
        </w:rPr>
        <w:t>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22" w:name="_Toc57731945"/>
      <w:r>
        <w:rPr>
          <w:rFonts w:hint="eastAsia" w:ascii="宋体" w:hAnsi="宋体"/>
          <w:b/>
          <w:kern w:val="0"/>
          <w:sz w:val="24"/>
          <w:szCs w:val="24"/>
        </w:rPr>
        <w:t>一、项目名称</w:t>
      </w:r>
      <w:bookmarkEnd w:id="22"/>
    </w:p>
    <w:p>
      <w:pPr>
        <w:spacing w:line="360" w:lineRule="auto"/>
        <w:ind w:firstLine="480" w:firstLineChars="200"/>
        <w:rPr>
          <w:rFonts w:ascii="宋体" w:hAnsi="宋体"/>
          <w:sz w:val="24"/>
          <w:szCs w:val="24"/>
        </w:rPr>
      </w:pPr>
      <w:bookmarkStart w:id="23" w:name="_Toc57731946"/>
      <w:r>
        <w:rPr>
          <w:rFonts w:hint="eastAsia" w:hAnsi="宋体"/>
          <w:color w:val="0D0D0D"/>
          <w:sz w:val="24"/>
          <w:szCs w:val="24"/>
          <w:u w:val="single"/>
        </w:rPr>
        <w:t>昂鹅等</w:t>
      </w:r>
      <w:r>
        <w:rPr>
          <w:rFonts w:hint="eastAsia" w:hAnsi="宋体"/>
          <w:color w:val="0D0D0D"/>
          <w:sz w:val="24"/>
          <w:szCs w:val="24"/>
          <w:u w:val="single"/>
          <w:lang w:val="en-US" w:eastAsia="zh-CN"/>
        </w:rPr>
        <w:t>十五</w:t>
      </w:r>
      <w:r>
        <w:rPr>
          <w:rFonts w:hint="eastAsia" w:hAnsi="宋体"/>
          <w:color w:val="0D0D0D"/>
          <w:sz w:val="24"/>
          <w:szCs w:val="24"/>
          <w:u w:val="single"/>
        </w:rPr>
        <w:t>个新项目税务咨询服务业务</w:t>
      </w:r>
      <w:r>
        <w:rPr>
          <w:rFonts w:hint="eastAsia" w:hAnsi="宋体"/>
          <w:sz w:val="24"/>
          <w:szCs w:val="24"/>
        </w:rPr>
        <w:t>。</w:t>
      </w:r>
    </w:p>
    <w:p>
      <w:pPr>
        <w:numPr>
          <w:ilvl w:val="0"/>
          <w:numId w:val="3"/>
        </w:numPr>
        <w:spacing w:line="360" w:lineRule="auto"/>
        <w:ind w:left="479" w:leftChars="228"/>
        <w:rPr>
          <w:rFonts w:ascii="宋体" w:hAnsi="宋体"/>
          <w:b/>
          <w:kern w:val="0"/>
          <w:sz w:val="24"/>
          <w:szCs w:val="24"/>
        </w:rPr>
      </w:pPr>
      <w:r>
        <w:rPr>
          <w:rFonts w:hint="eastAsia" w:ascii="宋体" w:hAnsi="宋体"/>
          <w:b/>
          <w:kern w:val="0"/>
          <w:sz w:val="24"/>
          <w:szCs w:val="24"/>
        </w:rPr>
        <w:t>项目概况</w:t>
      </w:r>
    </w:p>
    <w:p>
      <w:pPr>
        <w:spacing w:line="360" w:lineRule="auto"/>
        <w:ind w:firstLine="480" w:firstLineChars="200"/>
        <w:rPr>
          <w:rFonts w:ascii="宋体" w:hAnsi="宋体"/>
          <w:color w:val="0D0D0D"/>
          <w:sz w:val="24"/>
          <w:szCs w:val="24"/>
        </w:rPr>
      </w:pPr>
      <w:r>
        <w:rPr>
          <w:rFonts w:hint="eastAsia" w:ascii="宋体" w:hAnsi="宋体"/>
          <w:color w:val="0D0D0D"/>
          <w:sz w:val="24"/>
          <w:szCs w:val="24"/>
        </w:rPr>
        <w:t>目前，深铁集团已获取27个项目土地开发权，建筑面积（含配建）合计约1400万㎡ 。27个项目货值约4141亿元，剔除自持物业后可售货值3670亿元，已售货值1157亿元，剩余可售货值2513亿元。截止到2022年9月，已有15个项目先后入市销售，销售额累计约1157亿元，销售总面积约195.5万㎡。</w:t>
      </w:r>
    </w:p>
    <w:p>
      <w:pPr>
        <w:spacing w:line="360" w:lineRule="auto"/>
        <w:ind w:firstLine="480" w:firstLineChars="200"/>
        <w:rPr>
          <w:rFonts w:ascii="宋体" w:hAnsi="宋体"/>
          <w:color w:val="0D0D0D"/>
          <w:sz w:val="24"/>
          <w:szCs w:val="24"/>
        </w:rPr>
      </w:pPr>
      <w:r>
        <w:rPr>
          <w:rFonts w:hint="eastAsia" w:hAnsi="宋体"/>
          <w:color w:val="0D0D0D"/>
          <w:sz w:val="24"/>
          <w:szCs w:val="24"/>
        </w:rPr>
        <w:t>昂鹅</w:t>
      </w:r>
      <w:r>
        <w:rPr>
          <w:rFonts w:hint="eastAsia" w:ascii="宋体" w:hAnsi="宋体"/>
          <w:color w:val="0D0D0D"/>
          <w:sz w:val="24"/>
          <w:szCs w:val="24"/>
        </w:rPr>
        <w:t>等新项目的概况如下：</w:t>
      </w:r>
    </w:p>
    <w:tbl>
      <w:tblPr>
        <w:tblStyle w:val="49"/>
        <w:tblpPr w:leftFromText="180" w:rightFromText="180" w:vertAnchor="text" w:horzAnchor="page" w:tblpX="1662" w:tblpY="573"/>
        <w:tblOverlap w:val="never"/>
        <w:tblW w:w="7260" w:type="dxa"/>
        <w:tblInd w:w="0" w:type="dxa"/>
        <w:tblLayout w:type="autofit"/>
        <w:tblCellMar>
          <w:top w:w="0" w:type="dxa"/>
          <w:left w:w="108" w:type="dxa"/>
          <w:bottom w:w="0" w:type="dxa"/>
          <w:right w:w="108" w:type="dxa"/>
        </w:tblCellMar>
      </w:tblPr>
      <w:tblGrid>
        <w:gridCol w:w="960"/>
        <w:gridCol w:w="2988"/>
        <w:gridCol w:w="1656"/>
        <w:gridCol w:w="1656"/>
      </w:tblGrid>
      <w:tr>
        <w:tblPrEx>
          <w:tblCellMar>
            <w:top w:w="0" w:type="dxa"/>
            <w:left w:w="108" w:type="dxa"/>
            <w:bottom w:w="0" w:type="dxa"/>
            <w:right w:w="108" w:type="dxa"/>
          </w:tblCellMar>
        </w:tblPrEx>
        <w:trPr>
          <w:trHeight w:val="5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序号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项目名称</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占地面积（公顷）</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建筑面积（万平方米）</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昂鹅车辆段一期二期</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19.22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43</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2</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坪山石井街道项目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3.1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12</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平湖枢纽交通核项目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8</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4</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新项目12个（预计项目）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w:t>
            </w:r>
          </w:p>
        </w:tc>
      </w:tr>
    </w:tbl>
    <w:p>
      <w:pPr>
        <w:spacing w:line="360" w:lineRule="auto"/>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r>
        <w:rPr>
          <w:rFonts w:hint="eastAsia" w:ascii="宋体" w:hAnsi="宋体"/>
          <w:color w:val="0D0D0D"/>
          <w:sz w:val="24"/>
          <w:szCs w:val="24"/>
        </w:rPr>
        <w:t>上述“项目1-3”为已获取的项目，预计后续3年还会获取1</w:t>
      </w:r>
      <w:r>
        <w:rPr>
          <w:rFonts w:ascii="宋体" w:hAnsi="宋体"/>
          <w:color w:val="0D0D0D"/>
          <w:sz w:val="24"/>
          <w:szCs w:val="24"/>
        </w:rPr>
        <w:t>2</w:t>
      </w:r>
      <w:r>
        <w:rPr>
          <w:rFonts w:hint="eastAsia" w:ascii="宋体" w:hAnsi="宋体"/>
          <w:color w:val="0D0D0D"/>
          <w:sz w:val="24"/>
          <w:szCs w:val="24"/>
        </w:rPr>
        <w:t>个新项目，以上15个项目不分先后，按项目开发顺序开展相关工作，具体服务新项目以实际为准，需提供服务的项目总数为15个。</w:t>
      </w:r>
    </w:p>
    <w:p>
      <w:pPr>
        <w:spacing w:line="360" w:lineRule="auto"/>
        <w:ind w:firstLine="480" w:firstLineChars="200"/>
        <w:rPr>
          <w:rFonts w:ascii="宋体" w:hAnsi="宋体"/>
          <w:color w:val="0D0D0D"/>
          <w:sz w:val="24"/>
          <w:szCs w:val="24"/>
        </w:rPr>
      </w:pPr>
      <w:r>
        <w:rPr>
          <w:rFonts w:hint="eastAsia" w:ascii="宋体" w:hAnsi="宋体"/>
          <w:color w:val="0D0D0D"/>
          <w:sz w:val="24"/>
          <w:szCs w:val="24"/>
        </w:rPr>
        <w:t>备注：项目最终站点名称、商业面积以政府相关审批的文件为准。</w:t>
      </w:r>
    </w:p>
    <w:p>
      <w:pPr>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3"/>
      <w:bookmarkStart w:id="24" w:name="_Toc57731947"/>
    </w:p>
    <w:p>
      <w:pPr>
        <w:spacing w:line="360" w:lineRule="auto"/>
        <w:ind w:right="210" w:firstLine="480" w:firstLineChars="200"/>
        <w:rPr>
          <w:rFonts w:hAnsi="宋体"/>
          <w:bCs/>
          <w:color w:val="0D0D0D"/>
          <w:sz w:val="24"/>
          <w:szCs w:val="22"/>
        </w:rPr>
      </w:pPr>
      <w:r>
        <w:rPr>
          <w:rFonts w:hint="eastAsia" w:ascii="宋体" w:hAnsi="宋体"/>
          <w:kern w:val="0"/>
          <w:sz w:val="24"/>
          <w:szCs w:val="24"/>
        </w:rPr>
        <w:t>为我司提供昂鹅等</w:t>
      </w:r>
      <w:r>
        <w:rPr>
          <w:rFonts w:hint="eastAsia" w:hAnsi="宋体"/>
          <w:color w:val="0D0D0D"/>
          <w:sz w:val="24"/>
          <w:szCs w:val="24"/>
          <w:u w:val="single"/>
          <w:lang w:val="en-US" w:eastAsia="zh-CN"/>
        </w:rPr>
        <w:t>十五</w:t>
      </w:r>
      <w:r>
        <w:rPr>
          <w:rFonts w:hint="eastAsia" w:ascii="宋体" w:hAnsi="宋体"/>
          <w:kern w:val="0"/>
          <w:sz w:val="24"/>
          <w:szCs w:val="24"/>
        </w:rPr>
        <w:t>个预计新项目的税务咨询服务，每个项目出具独立的税务咨询报告，即需出具十五份税务咨询报告。</w:t>
      </w:r>
      <w:r>
        <w:rPr>
          <w:rFonts w:hint="eastAsia" w:hAnsi="宋体"/>
          <w:bCs/>
          <w:color w:val="0D0D0D"/>
          <w:sz w:val="24"/>
          <w:szCs w:val="22"/>
        </w:rPr>
        <w:t xml:space="preserve">比选范围包括但不限于： </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1、自发出每个项目的任务启动通知单之日起，根据项目的可行性研究报告，编制整体及专项税务测算及管理建议，对未来经营方案出具专项建议报告，该报告于发出通知单日起30天内完成。每个项目服务期限为半年，如方案根据实际情况或者甲方要求需修改、完善的，亦应在每个项目的任务启动通知日起一个月内完成相关的调整、修改、完善等工作；</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2、税务测算方案的实施提出具体建议书，如甲方采纳乙方建议，乙方应指导甲方财务人员规范实施建议；</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3、指导甲方进行合同涉税条款的订立、修改，并提出相应的涉税建议；</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4、指导甲方有关涉税法律文书制作、修改，并提出相应的涉税建议；</w:t>
      </w:r>
    </w:p>
    <w:p>
      <w:pPr>
        <w:spacing w:line="360" w:lineRule="auto"/>
        <w:ind w:firstLine="480" w:firstLineChars="200"/>
        <w:rPr>
          <w:rFonts w:ascii="宋体" w:hAnsi="宋体"/>
          <w:color w:val="0D0D0D"/>
          <w:sz w:val="24"/>
          <w:szCs w:val="24"/>
        </w:rPr>
      </w:pPr>
      <w:r>
        <w:rPr>
          <w:rFonts w:hint="eastAsia" w:ascii="宋体" w:hAnsi="宋体"/>
          <w:kern w:val="0"/>
          <w:sz w:val="24"/>
          <w:szCs w:val="24"/>
        </w:rPr>
        <w:t>5、如甲方需要乙方指派专职人员到指定地点进行现场指导，乙方应根据甲方所涉及的税务问题复杂程度，指派完全能胜任工作的注册税务师提供税务顾问咨询服务，乙方派出人员现场服务产生的相关费用均已包含在本合同总价中，甲方不再另行支付。</w:t>
      </w:r>
      <w:r>
        <w:rPr>
          <w:rFonts w:hint="eastAsia" w:ascii="宋体" w:hAnsi="宋体"/>
          <w:color w:val="0D0D0D"/>
          <w:sz w:val="24"/>
          <w:szCs w:val="24"/>
        </w:rPr>
        <w:t xml:space="preserve">    </w:t>
      </w:r>
    </w:p>
    <w:p>
      <w:pPr>
        <w:pStyle w:val="25"/>
        <w:spacing w:line="360" w:lineRule="auto"/>
        <w:ind w:firstLine="482" w:firstLineChars="200"/>
        <w:rPr>
          <w:rFonts w:hAnsi="宋体"/>
          <w:sz w:val="24"/>
          <w:szCs w:val="24"/>
        </w:rPr>
      </w:pPr>
      <w:r>
        <w:rPr>
          <w:rFonts w:hint="eastAsia" w:hAnsi="宋体"/>
          <w:b/>
          <w:sz w:val="24"/>
          <w:szCs w:val="24"/>
        </w:rPr>
        <w:t>四、比选控制价格</w:t>
      </w:r>
      <w:bookmarkEnd w:id="24"/>
    </w:p>
    <w:p>
      <w:pPr>
        <w:pStyle w:val="25"/>
        <w:spacing w:line="360" w:lineRule="auto"/>
        <w:ind w:firstLine="480" w:firstLineChars="200"/>
        <w:rPr>
          <w:rFonts w:hAnsi="宋体"/>
          <w:sz w:val="24"/>
          <w:szCs w:val="24"/>
        </w:rPr>
      </w:pPr>
      <w:r>
        <w:rPr>
          <w:rFonts w:hint="eastAsia" w:hAnsi="宋体"/>
          <w:sz w:val="24"/>
          <w:szCs w:val="24"/>
        </w:rPr>
        <w:t>本次参选报价总费用最高限价为人民币99万元（含税），单个项目服务费的最高限价为人民币6.6万元（含税）。参选人报价高于总额最高上限价或单项上限价将作为无效标处理。</w:t>
      </w:r>
    </w:p>
    <w:p>
      <w:pPr>
        <w:pStyle w:val="25"/>
        <w:numPr>
          <w:ilvl w:val="0"/>
          <w:numId w:val="4"/>
        </w:numPr>
        <w:spacing w:line="360" w:lineRule="auto"/>
        <w:ind w:firstLine="482" w:firstLineChars="200"/>
        <w:rPr>
          <w:rFonts w:hAnsi="宋体"/>
          <w:b/>
          <w:color w:val="0D0D0D"/>
          <w:sz w:val="24"/>
          <w:szCs w:val="22"/>
        </w:rPr>
      </w:pPr>
      <w:bookmarkStart w:id="25" w:name="_Toc57731948"/>
      <w:r>
        <w:rPr>
          <w:rFonts w:hint="eastAsia" w:hAnsi="宋体"/>
          <w:b/>
          <w:sz w:val="24"/>
          <w:szCs w:val="24"/>
        </w:rPr>
        <w:t>参选人资格要求</w:t>
      </w:r>
      <w:bookmarkEnd w:id="25"/>
      <w:bookmarkStart w:id="26" w:name="_Toc57731949"/>
    </w:p>
    <w:p>
      <w:pPr>
        <w:numPr>
          <w:ilvl w:val="0"/>
          <w:numId w:val="5"/>
        </w:numPr>
        <w:suppressAutoHyphens/>
        <w:topLinePunct/>
        <w:snapToGrid w:val="0"/>
        <w:spacing w:line="360" w:lineRule="auto"/>
        <w:ind w:left="10" w:firstLine="410"/>
        <w:contextualSpacing/>
        <w:rPr>
          <w:rFonts w:ascii="宋体" w:hAnsi="宋体"/>
          <w:kern w:val="0"/>
          <w:sz w:val="24"/>
          <w:szCs w:val="24"/>
        </w:rPr>
      </w:pPr>
      <w:r>
        <w:rPr>
          <w:rFonts w:hint="eastAsia" w:ascii="宋体" w:hAnsi="宋体"/>
          <w:kern w:val="0"/>
          <w:sz w:val="24"/>
          <w:szCs w:val="24"/>
        </w:rPr>
        <w:t>参选人须为于2019年9月1日前成立的税务师事务所或咨询公司，或上述单位的分支机构</w:t>
      </w:r>
      <w:r>
        <w:rPr>
          <w:rFonts w:hint="eastAsia" w:ascii="宋体" w:hAnsi="宋体"/>
          <w:b/>
          <w:bCs/>
          <w:kern w:val="0"/>
          <w:sz w:val="24"/>
          <w:szCs w:val="24"/>
        </w:rPr>
        <w:t>（若参选人为分支机构，需提供总公司的授权文件）</w:t>
      </w:r>
      <w:r>
        <w:rPr>
          <w:rFonts w:hint="eastAsia" w:ascii="宋体" w:hAnsi="宋体"/>
          <w:kern w:val="0"/>
          <w:sz w:val="24"/>
          <w:szCs w:val="24"/>
        </w:rPr>
        <w:t>。</w:t>
      </w:r>
    </w:p>
    <w:p>
      <w:pPr>
        <w:numPr>
          <w:ilvl w:val="0"/>
          <w:numId w:val="5"/>
        </w:numPr>
        <w:suppressAutoHyphens/>
        <w:topLinePunct/>
        <w:snapToGrid w:val="0"/>
        <w:spacing w:line="360" w:lineRule="auto"/>
        <w:ind w:left="10" w:firstLine="410"/>
        <w:contextualSpacing/>
        <w:rPr>
          <w:rFonts w:ascii="宋体" w:hAnsi="宋体"/>
          <w:kern w:val="0"/>
          <w:sz w:val="24"/>
          <w:szCs w:val="24"/>
        </w:rPr>
      </w:pPr>
      <w:r>
        <w:rPr>
          <w:rFonts w:hint="eastAsia" w:ascii="宋体" w:hAnsi="宋体"/>
          <w:color w:val="0D0D0D"/>
          <w:sz w:val="24"/>
          <w:szCs w:val="24"/>
          <w:lang w:val="zh-CN"/>
        </w:rPr>
        <w:t>202</w:t>
      </w:r>
      <w:r>
        <w:rPr>
          <w:rFonts w:hint="eastAsia" w:hAnsi="宋体"/>
          <w:color w:val="0D0D0D"/>
          <w:sz w:val="24"/>
          <w:szCs w:val="24"/>
        </w:rPr>
        <w:t>0</w:t>
      </w:r>
      <w:r>
        <w:rPr>
          <w:rFonts w:hint="eastAsia" w:ascii="宋体" w:hAnsi="宋体"/>
          <w:color w:val="0D0D0D"/>
          <w:sz w:val="24"/>
          <w:szCs w:val="24"/>
          <w:lang w:val="zh-CN"/>
        </w:rPr>
        <w:t>-202</w:t>
      </w:r>
      <w:r>
        <w:rPr>
          <w:rFonts w:hint="eastAsia" w:hAnsi="宋体"/>
          <w:color w:val="0D0D0D"/>
          <w:sz w:val="24"/>
          <w:szCs w:val="24"/>
        </w:rPr>
        <w:t>2</w:t>
      </w:r>
      <w:r>
        <w:rPr>
          <w:rFonts w:hint="eastAsia" w:ascii="宋体" w:hAnsi="宋体"/>
          <w:color w:val="0D0D0D"/>
          <w:sz w:val="24"/>
          <w:szCs w:val="24"/>
          <w:lang w:val="zh-CN"/>
        </w:rPr>
        <w:t>年</w:t>
      </w:r>
      <w:r>
        <w:rPr>
          <w:rFonts w:hint="eastAsia" w:hAnsi="宋体"/>
          <w:color w:val="0D0D0D"/>
          <w:sz w:val="24"/>
          <w:szCs w:val="24"/>
        </w:rPr>
        <w:t>无违规</w:t>
      </w:r>
      <w:r>
        <w:rPr>
          <w:rFonts w:hint="eastAsia" w:ascii="宋体" w:hAnsi="宋体"/>
          <w:color w:val="0D0D0D"/>
          <w:sz w:val="24"/>
          <w:szCs w:val="24"/>
        </w:rPr>
        <w:t>证明</w:t>
      </w:r>
      <w:r>
        <w:rPr>
          <w:rFonts w:hint="eastAsia" w:ascii="宋体" w:hAnsi="宋体"/>
          <w:color w:val="0D0D0D"/>
          <w:sz w:val="24"/>
          <w:szCs w:val="24"/>
          <w:lang w:val="zh-CN"/>
        </w:rPr>
        <w:t>(以深圳市注册税务师协会</w:t>
      </w:r>
      <w:r>
        <w:rPr>
          <w:rFonts w:hint="eastAsia" w:hAnsi="宋体"/>
          <w:color w:val="0D0D0D"/>
          <w:sz w:val="24"/>
          <w:szCs w:val="24"/>
        </w:rPr>
        <w:t>出具的证明</w:t>
      </w:r>
      <w:r>
        <w:rPr>
          <w:rFonts w:hint="eastAsia" w:ascii="宋体" w:hAnsi="宋体"/>
          <w:color w:val="0D0D0D"/>
          <w:sz w:val="24"/>
          <w:szCs w:val="24"/>
          <w:lang w:val="zh-CN"/>
        </w:rPr>
        <w:t>为准</w:t>
      </w:r>
      <w:r>
        <w:rPr>
          <w:rFonts w:hint="eastAsia" w:hAnsi="宋体"/>
          <w:color w:val="0D0D0D"/>
          <w:sz w:val="24"/>
          <w:szCs w:val="24"/>
          <w:lang w:val="zh-CN"/>
        </w:rPr>
        <w:t>）</w:t>
      </w:r>
      <w:r>
        <w:rPr>
          <w:rFonts w:hint="eastAsia" w:ascii="宋体" w:hAnsi="宋体"/>
          <w:kern w:val="0"/>
          <w:sz w:val="24"/>
          <w:szCs w:val="24"/>
        </w:rPr>
        <w:t>（若参选人为税务师事务所）。</w:t>
      </w:r>
    </w:p>
    <w:p>
      <w:pPr>
        <w:numPr>
          <w:ilvl w:val="0"/>
          <w:numId w:val="5"/>
        </w:numPr>
        <w:suppressAutoHyphens/>
        <w:topLinePunct/>
        <w:snapToGrid w:val="0"/>
        <w:spacing w:line="360" w:lineRule="auto"/>
        <w:ind w:left="10" w:firstLine="410"/>
        <w:contextualSpacing/>
        <w:rPr>
          <w:rFonts w:ascii="宋体" w:hAnsi="宋体"/>
          <w:kern w:val="0"/>
          <w:sz w:val="24"/>
          <w:szCs w:val="24"/>
        </w:rPr>
      </w:pPr>
      <w:r>
        <w:rPr>
          <w:rFonts w:hint="eastAsia" w:ascii="宋体" w:hAnsi="宋体"/>
          <w:kern w:val="0"/>
          <w:sz w:val="24"/>
          <w:szCs w:val="24"/>
        </w:rPr>
        <w:t>注册税务师协会认定的AAA级以上（含AAA级）（2020年1月1日后授予）（若参选人为税务师事务所）。</w:t>
      </w:r>
    </w:p>
    <w:p>
      <w:pPr>
        <w:numPr>
          <w:ilvl w:val="0"/>
          <w:numId w:val="5"/>
        </w:numPr>
        <w:suppressAutoHyphens/>
        <w:topLinePunct/>
        <w:snapToGrid w:val="0"/>
        <w:spacing w:line="360" w:lineRule="auto"/>
        <w:ind w:left="10" w:firstLine="410"/>
        <w:contextualSpacing/>
        <w:rPr>
          <w:rFonts w:ascii="宋体" w:hAnsi="宋体"/>
          <w:kern w:val="0"/>
          <w:sz w:val="24"/>
          <w:szCs w:val="24"/>
        </w:rPr>
      </w:pPr>
      <w:r>
        <w:rPr>
          <w:rFonts w:hint="eastAsia" w:ascii="宋体" w:hAnsi="宋体"/>
          <w:kern w:val="0"/>
          <w:sz w:val="24"/>
          <w:szCs w:val="24"/>
        </w:rPr>
        <w:t>2019年11月1日以来(以合同签约日期为准)，具有税务咨询服务经验5个项目（须为落地深圳的房地产项目）以上。</w:t>
      </w:r>
    </w:p>
    <w:p>
      <w:pPr>
        <w:numPr>
          <w:ilvl w:val="0"/>
          <w:numId w:val="5"/>
        </w:numPr>
        <w:suppressAutoHyphens/>
        <w:topLinePunct/>
        <w:snapToGrid w:val="0"/>
        <w:spacing w:line="360" w:lineRule="auto"/>
        <w:ind w:hanging="210"/>
        <w:contextualSpacing/>
        <w:rPr>
          <w:rFonts w:ascii="宋体" w:hAnsi="宋体"/>
          <w:color w:val="0D0D0D"/>
          <w:kern w:val="0"/>
          <w:sz w:val="24"/>
          <w:szCs w:val="24"/>
        </w:rPr>
      </w:pPr>
      <w:r>
        <w:rPr>
          <w:rFonts w:hint="eastAsia" w:ascii="宋体" w:hAnsi="宋体"/>
          <w:color w:val="0D0D0D"/>
          <w:kern w:val="0"/>
          <w:sz w:val="24"/>
          <w:szCs w:val="24"/>
        </w:rPr>
        <w:t>不接受联合体参选。</w:t>
      </w:r>
    </w:p>
    <w:p>
      <w:pPr>
        <w:spacing w:line="360" w:lineRule="auto"/>
        <w:ind w:firstLine="482" w:firstLineChars="200"/>
        <w:rPr>
          <w:rFonts w:ascii="宋体" w:hAnsi="宋体"/>
          <w:b/>
          <w:kern w:val="0"/>
          <w:sz w:val="24"/>
          <w:szCs w:val="24"/>
        </w:rPr>
      </w:pPr>
      <w:r>
        <w:rPr>
          <w:rFonts w:hint="eastAsia" w:ascii="宋体" w:hAnsi="宋体"/>
          <w:b/>
          <w:kern w:val="0"/>
          <w:sz w:val="24"/>
          <w:szCs w:val="24"/>
        </w:rPr>
        <w:t>六、参选时间、地点</w:t>
      </w:r>
      <w:bookmarkEnd w:id="26"/>
    </w:p>
    <w:tbl>
      <w:tblPr>
        <w:tblStyle w:val="49"/>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bookmarkStart w:id="27" w:name="_Toc57731950"/>
            <w:r>
              <w:rPr>
                <w:rFonts w:hint="eastAsia" w:ascii="宋体" w:hAnsi="宋体"/>
                <w:color w:val="0C0C0C"/>
                <w:sz w:val="24"/>
                <w:szCs w:val="24"/>
              </w:rPr>
              <w:t>序号</w:t>
            </w:r>
          </w:p>
        </w:tc>
        <w:tc>
          <w:tcPr>
            <w:tcW w:w="860"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highlight w:val="none"/>
                <w:lang w:val="en-US" w:eastAsia="zh-CN"/>
              </w:rPr>
            </w:pPr>
            <w:r>
              <w:rPr>
                <w:rFonts w:hint="eastAsia" w:ascii="宋体" w:hAnsi="宋体"/>
                <w:color w:val="000000" w:themeColor="text1"/>
                <w:kern w:val="0"/>
                <w:sz w:val="24"/>
                <w:szCs w:val="24"/>
                <w:highlight w:val="none"/>
                <w14:textFill>
                  <w14:solidFill>
                    <w14:schemeClr w14:val="tx1"/>
                  </w14:solidFill>
                </w14:textFill>
              </w:rPr>
              <w:t>202</w:t>
            </w:r>
            <w:r>
              <w:rPr>
                <w:rFonts w:ascii="宋体" w:hAnsi="宋体"/>
                <w:color w:val="000000" w:themeColor="text1"/>
                <w:kern w:val="0"/>
                <w:sz w:val="24"/>
                <w:szCs w:val="24"/>
                <w:highlight w:val="none"/>
                <w14:textFill>
                  <w14:solidFill>
                    <w14:schemeClr w14:val="tx1"/>
                  </w14:solidFill>
                </w14:textFill>
              </w:rPr>
              <w:t>2</w:t>
            </w:r>
            <w:r>
              <w:rPr>
                <w:rFonts w:hint="eastAsia" w:ascii="宋体" w:hAnsi="宋体"/>
                <w:color w:val="000000" w:themeColor="text1"/>
                <w:kern w:val="0"/>
                <w:sz w:val="24"/>
                <w:szCs w:val="24"/>
                <w:highlight w:val="none"/>
                <w:lang w:eastAsia="zh-Hans"/>
                <w14:textFill>
                  <w14:solidFill>
                    <w14:schemeClr w14:val="tx1"/>
                  </w14:solidFill>
                </w14:textFill>
              </w:rPr>
              <w:t>年</w:t>
            </w:r>
            <w:r>
              <w:rPr>
                <w:rFonts w:hint="eastAsia" w:ascii="宋体" w:hAnsi="宋体"/>
                <w:color w:val="000000" w:themeColor="text1"/>
                <w:kern w:val="0"/>
                <w:sz w:val="24"/>
                <w:szCs w:val="24"/>
                <w:highlight w:val="none"/>
                <w14:textFill>
                  <w14:solidFill>
                    <w14:schemeClr w14:val="tx1"/>
                  </w14:solidFill>
                </w14:textFill>
              </w:rPr>
              <w:t>11月</w:t>
            </w:r>
            <w:r>
              <w:rPr>
                <w:rFonts w:hint="eastAsia" w:ascii="宋体" w:hAnsi="宋体"/>
                <w:color w:val="000000" w:themeColor="text1"/>
                <w:kern w:val="0"/>
                <w:sz w:val="24"/>
                <w:szCs w:val="24"/>
                <w:highlight w:val="none"/>
                <w:lang w:val="en-US" w:eastAsia="zh-CN"/>
                <w14:textFill>
                  <w14:solidFill>
                    <w14:schemeClr w14:val="tx1"/>
                  </w14:solidFill>
                </w14:textFill>
              </w:rPr>
              <w:t>29</w:t>
            </w:r>
            <w:r>
              <w:rPr>
                <w:rFonts w:hint="eastAsia" w:ascii="宋体" w:hAnsi="宋体"/>
                <w:color w:val="000000" w:themeColor="text1"/>
                <w:kern w:val="0"/>
                <w:sz w:val="24"/>
                <w:szCs w:val="24"/>
                <w:highlight w:val="none"/>
                <w14:textFill>
                  <w14:solidFill>
                    <w14:schemeClr w14:val="tx1"/>
                  </w14:solidFill>
                </w14:textFill>
              </w:rPr>
              <w:t>日</w:t>
            </w:r>
            <w:r>
              <w:rPr>
                <w:rFonts w:hint="eastAsia" w:ascii="宋体" w:hAnsi="宋体"/>
                <w:color w:val="000000" w:themeColor="text1"/>
                <w:kern w:val="0"/>
                <w:sz w:val="24"/>
                <w:szCs w:val="24"/>
                <w:highlight w:val="none"/>
                <w:lang w:val="en-US" w:eastAsia="zh-CN"/>
                <w14:textFill>
                  <w14:solidFill>
                    <w14:schemeClr w14:val="tx1"/>
                  </w14:solidFill>
                </w14:textFill>
              </w:rPr>
              <w:t>9:30</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highlight w:val="none"/>
                <w:lang w:val="en-US" w:eastAsia="zh-CN"/>
              </w:rPr>
            </w:pPr>
            <w:r>
              <w:rPr>
                <w:rFonts w:hint="eastAsia" w:ascii="宋体" w:hAnsi="宋体"/>
                <w:kern w:val="0"/>
                <w:sz w:val="24"/>
                <w:szCs w:val="24"/>
                <w:highlight w:val="none"/>
              </w:rPr>
              <w:t>2022年12月</w:t>
            </w:r>
            <w:r>
              <w:rPr>
                <w:rFonts w:hint="eastAsia" w:ascii="宋体" w:hAnsi="宋体"/>
                <w:kern w:val="0"/>
                <w:sz w:val="24"/>
                <w:szCs w:val="24"/>
                <w:highlight w:val="none"/>
                <w:lang w:val="en-US" w:eastAsia="zh-CN"/>
              </w:rPr>
              <w:t>9</w:t>
            </w:r>
            <w:r>
              <w:rPr>
                <w:rFonts w:hint="eastAsia" w:ascii="宋体" w:hAnsi="宋体"/>
                <w:kern w:val="0"/>
                <w:sz w:val="24"/>
                <w:szCs w:val="24"/>
                <w:highlight w:val="none"/>
              </w:rPr>
              <w:t xml:space="preserve">日 </w:t>
            </w:r>
            <w:r>
              <w:rPr>
                <w:rFonts w:hint="eastAsia" w:ascii="宋体" w:hAnsi="宋体"/>
                <w:kern w:val="0"/>
                <w:sz w:val="24"/>
                <w:szCs w:val="24"/>
                <w:highlight w:val="none"/>
                <w:lang w:val="en-US" w:eastAsia="zh-CN"/>
              </w:rPr>
              <w:t>9:30</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highlight w:val="none"/>
              </w:rPr>
            </w:pPr>
            <w:r>
              <w:rPr>
                <w:rFonts w:ascii="宋体" w:hAnsi="宋体"/>
                <w:snapToGrid w:val="0"/>
                <w:sz w:val="24"/>
                <w:szCs w:val="24"/>
                <w:highlight w:val="none"/>
              </w:rPr>
              <w:t>电子版参选文件递交平台：</w:t>
            </w:r>
            <w:r>
              <w:rPr>
                <w:rFonts w:hint="eastAsia" w:ascii="宋体" w:hAnsi="宋体"/>
                <w:snapToGrid w:val="0"/>
                <w:sz w:val="24"/>
                <w:szCs w:val="24"/>
                <w:highlight w:val="none"/>
              </w:rPr>
              <w:t>深圳地铁智能招采管理平台（</w:t>
            </w:r>
            <w:r>
              <w:rPr>
                <w:rFonts w:ascii="宋体" w:hAnsi="宋体"/>
                <w:snapToGrid w:val="0"/>
                <w:sz w:val="24"/>
                <w:szCs w:val="24"/>
                <w:highlight w:val="none"/>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highlight w:val="none"/>
                <w:lang w:val="en-US" w:eastAsia="zh-CN"/>
              </w:rPr>
            </w:pPr>
            <w:r>
              <w:rPr>
                <w:rFonts w:hint="eastAsia" w:ascii="宋体" w:hAnsi="宋体"/>
                <w:kern w:val="0"/>
                <w:sz w:val="24"/>
                <w:szCs w:val="24"/>
                <w:highlight w:val="none"/>
              </w:rPr>
              <w:t>2022年12月</w:t>
            </w:r>
            <w:r>
              <w:rPr>
                <w:rFonts w:hint="eastAsia" w:ascii="宋体" w:hAnsi="宋体"/>
                <w:kern w:val="0"/>
                <w:sz w:val="24"/>
                <w:szCs w:val="24"/>
                <w:highlight w:val="none"/>
                <w:lang w:val="en-US" w:eastAsia="zh-CN"/>
              </w:rPr>
              <w:t>9</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9:30</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kern w:val="0"/>
                <w:sz w:val="24"/>
                <w:szCs w:val="24"/>
                <w:highlight w:val="none"/>
              </w:rPr>
            </w:pPr>
            <w:r>
              <w:rPr>
                <w:rFonts w:ascii="宋体" w:hAnsi="宋体"/>
                <w:snapToGrid w:val="0"/>
                <w:sz w:val="24"/>
                <w:szCs w:val="24"/>
                <w:highlight w:val="none"/>
              </w:rPr>
              <w:t>开标地点：深圳市福田区福中一路地铁大厦深圳地铁智能评定标中心进行开评标</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七、参选所需材料</w:t>
      </w:r>
      <w:bookmarkEnd w:id="27"/>
    </w:p>
    <w:p>
      <w:pPr>
        <w:spacing w:line="360" w:lineRule="auto"/>
        <w:ind w:firstLine="480" w:firstLineChars="200"/>
        <w:rPr>
          <w:rFonts w:hAnsi="宋体"/>
          <w:bCs/>
          <w:color w:val="0D0D0D"/>
          <w:sz w:val="24"/>
          <w:szCs w:val="22"/>
        </w:rPr>
      </w:pPr>
      <w:r>
        <w:rPr>
          <w:rFonts w:hint="eastAsia" w:hAnsi="宋体"/>
          <w:bCs/>
          <w:color w:val="0D0D0D"/>
          <w:sz w:val="24"/>
          <w:szCs w:val="22"/>
        </w:rPr>
        <w:t>（一）参选人营业执照复印件（加盖公章）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（二）法定代表人资格证明书原件（加盖公章）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（三）法定代表人身份证复印件（加盖公章）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（四）法定代表人授权委托书原件（加盖公章）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（五）被授权人身份证复印件（加盖公章）</w:t>
      </w:r>
    </w:p>
    <w:p>
      <w:pPr>
        <w:spacing w:line="360" w:lineRule="auto"/>
        <w:ind w:firstLine="480" w:firstLineChars="200"/>
      </w:pPr>
      <w:r>
        <w:rPr>
          <w:rFonts w:hint="eastAsia" w:hAnsi="宋体"/>
          <w:bCs/>
          <w:color w:val="0D0D0D"/>
          <w:sz w:val="24"/>
          <w:szCs w:val="22"/>
        </w:rPr>
        <w:t>(如递交参选文件的为参选人的法定代表人，须携带法定代表人证明书及本人身份证原件和复印件；如递交参选文件的不是参选人的法定代表人，除携带本人身份证复印件外，还需携带法定代表人证明书和法定代表人身份证复印件及授权委托书。)</w:t>
      </w:r>
    </w:p>
    <w:p>
      <w:pPr>
        <w:numPr>
          <w:ilvl w:val="-1"/>
          <w:numId w:val="0"/>
        </w:numPr>
        <w:spacing w:line="360" w:lineRule="auto"/>
        <w:ind w:left="0" w:firstLine="480" w:firstLineChars="200"/>
        <w:rPr>
          <w:rFonts w:hAnsi="宋体"/>
          <w:bCs/>
          <w:color w:val="auto"/>
          <w:sz w:val="24"/>
          <w:szCs w:val="22"/>
        </w:rPr>
      </w:pPr>
      <w:r>
        <w:rPr>
          <w:rFonts w:hint="eastAsia" w:hAnsi="宋体"/>
          <w:bCs/>
          <w:color w:val="auto"/>
          <w:sz w:val="24"/>
          <w:szCs w:val="22"/>
        </w:rPr>
        <w:t>（</w:t>
      </w:r>
      <w:r>
        <w:rPr>
          <w:rFonts w:hint="eastAsia" w:hAnsi="宋体"/>
          <w:bCs/>
          <w:color w:val="auto"/>
          <w:sz w:val="24"/>
          <w:szCs w:val="22"/>
          <w:lang w:val="en-US" w:eastAsia="zh-CN"/>
        </w:rPr>
        <w:t>六</w:t>
      </w:r>
      <w:r>
        <w:rPr>
          <w:rFonts w:hint="eastAsia" w:hAnsi="宋体"/>
          <w:bCs/>
          <w:color w:val="auto"/>
          <w:sz w:val="24"/>
          <w:szCs w:val="22"/>
        </w:rPr>
        <w:t>）</w:t>
      </w:r>
      <w:r>
        <w:rPr>
          <w:rFonts w:hint="eastAsia" w:ascii="宋体" w:hAnsi="宋体"/>
          <w:color w:val="auto"/>
          <w:kern w:val="0"/>
          <w:sz w:val="24"/>
          <w:szCs w:val="24"/>
        </w:rPr>
        <w:t>参选人资格条件</w:t>
      </w:r>
      <w:r>
        <w:rPr>
          <w:rFonts w:hint="eastAsia" w:hAnsi="宋体"/>
          <w:bCs/>
          <w:color w:val="auto"/>
          <w:sz w:val="24"/>
          <w:szCs w:val="22"/>
        </w:rPr>
        <w:t>证明文件（加盖公章）：</w:t>
      </w:r>
    </w:p>
    <w:p>
      <w:pPr>
        <w:widowControl/>
        <w:numPr>
          <w:ilvl w:val="255"/>
          <w:numId w:val="0"/>
        </w:numPr>
        <w:overflowPunct w:val="0"/>
        <w:autoSpaceDE w:val="0"/>
        <w:autoSpaceDN w:val="0"/>
        <w:adjustRightInd w:val="0"/>
        <w:spacing w:line="360" w:lineRule="auto"/>
        <w:ind w:firstLine="480" w:firstLineChars="200"/>
        <w:jc w:val="left"/>
        <w:textAlignment w:val="baseline"/>
        <w:rPr>
          <w:rFonts w:ascii="宋体" w:hAnsi="宋体"/>
          <w:sz w:val="24"/>
          <w:szCs w:val="24"/>
          <w:lang w:val="zh-CN"/>
        </w:rPr>
      </w:pPr>
      <w:r>
        <w:rPr>
          <w:rFonts w:hint="eastAsia" w:hAnsi="宋体"/>
          <w:bCs/>
          <w:color w:val="auto"/>
          <w:sz w:val="24"/>
          <w:szCs w:val="22"/>
        </w:rPr>
        <w:t>（1）</w:t>
      </w:r>
      <w:r>
        <w:rPr>
          <w:rFonts w:hint="eastAsia" w:ascii="宋体" w:hAnsi="宋体"/>
          <w:color w:val="auto"/>
          <w:sz w:val="24"/>
          <w:szCs w:val="24"/>
          <w:lang w:val="zh-CN"/>
        </w:rPr>
        <w:t>若参选人为税务师事务所，需提供注册税务师协会授予</w:t>
      </w:r>
      <w:r>
        <w:rPr>
          <w:rFonts w:hint="eastAsia" w:ascii="宋体" w:hAnsi="宋体"/>
          <w:sz w:val="24"/>
          <w:szCs w:val="24"/>
          <w:lang w:val="zh-CN"/>
        </w:rPr>
        <w:t>的AAA级以上（含AAA级）评级资格证书（20</w:t>
      </w:r>
      <w:r>
        <w:rPr>
          <w:rFonts w:hint="eastAsia" w:ascii="宋体" w:hAnsi="宋体"/>
          <w:sz w:val="24"/>
          <w:szCs w:val="24"/>
        </w:rPr>
        <w:t>20</w:t>
      </w:r>
      <w:r>
        <w:rPr>
          <w:rFonts w:hint="eastAsia" w:ascii="宋体" w:hAnsi="宋体"/>
          <w:sz w:val="24"/>
          <w:szCs w:val="24"/>
          <w:lang w:val="zh-CN"/>
        </w:rPr>
        <w:t>年1月1日后授予）（加盖公章）</w:t>
      </w:r>
    </w:p>
    <w:p>
      <w:pPr>
        <w:pStyle w:val="25"/>
        <w:widowControl/>
        <w:numPr>
          <w:ilvl w:val="255"/>
          <w:numId w:val="0"/>
        </w:numPr>
        <w:overflowPunct w:val="0"/>
        <w:autoSpaceDE w:val="0"/>
        <w:autoSpaceDN w:val="0"/>
        <w:spacing w:line="360" w:lineRule="auto"/>
        <w:ind w:firstLine="480" w:firstLineChars="200"/>
        <w:jc w:val="left"/>
        <w:textAlignment w:val="baseline"/>
        <w:rPr>
          <w:rFonts w:hAnsi="宋体"/>
          <w:sz w:val="24"/>
          <w:szCs w:val="24"/>
          <w:lang w:val="zh-CN"/>
        </w:rPr>
      </w:pPr>
      <w:r>
        <w:rPr>
          <w:rFonts w:hint="eastAsia" w:hAnsi="宋体"/>
          <w:color w:val="0D0D0D"/>
          <w:sz w:val="24"/>
          <w:szCs w:val="24"/>
          <w:lang w:val="zh-CN"/>
        </w:rPr>
        <w:t>（</w:t>
      </w:r>
      <w:r>
        <w:rPr>
          <w:rFonts w:hint="eastAsia" w:hAnsi="宋体"/>
          <w:color w:val="0D0D0D"/>
          <w:sz w:val="24"/>
          <w:szCs w:val="24"/>
        </w:rPr>
        <w:t>2</w:t>
      </w:r>
      <w:r>
        <w:rPr>
          <w:rFonts w:hint="eastAsia" w:hAnsi="宋体"/>
          <w:color w:val="0D0D0D"/>
          <w:sz w:val="24"/>
          <w:szCs w:val="24"/>
          <w:lang w:val="zh-CN"/>
        </w:rPr>
        <w:t>）</w:t>
      </w:r>
      <w:r>
        <w:rPr>
          <w:rFonts w:hint="eastAsia" w:ascii="宋体" w:hAnsi="宋体"/>
          <w:color w:val="auto"/>
          <w:sz w:val="24"/>
          <w:szCs w:val="24"/>
          <w:lang w:val="zh-CN"/>
        </w:rPr>
        <w:t>若参选人为税务师事务所，</w:t>
      </w:r>
      <w:r>
        <w:rPr>
          <w:rFonts w:hint="eastAsia" w:hAnsi="宋体"/>
          <w:color w:val="0D0D0D"/>
          <w:sz w:val="24"/>
          <w:szCs w:val="24"/>
          <w:lang w:val="zh-CN"/>
        </w:rPr>
        <w:t>202</w:t>
      </w:r>
      <w:r>
        <w:rPr>
          <w:rFonts w:hint="eastAsia" w:hAnsi="宋体"/>
          <w:color w:val="0D0D0D"/>
          <w:sz w:val="24"/>
          <w:szCs w:val="24"/>
        </w:rPr>
        <w:t>0</w:t>
      </w:r>
      <w:r>
        <w:rPr>
          <w:rFonts w:hint="eastAsia" w:hAnsi="宋体"/>
          <w:color w:val="0D0D0D"/>
          <w:sz w:val="24"/>
          <w:szCs w:val="24"/>
          <w:lang w:val="zh-CN"/>
        </w:rPr>
        <w:t>-202</w:t>
      </w:r>
      <w:r>
        <w:rPr>
          <w:rFonts w:hint="eastAsia" w:hAnsi="宋体"/>
          <w:color w:val="0D0D0D"/>
          <w:sz w:val="24"/>
          <w:szCs w:val="24"/>
        </w:rPr>
        <w:t>2</w:t>
      </w:r>
      <w:r>
        <w:rPr>
          <w:rFonts w:hint="eastAsia" w:hAnsi="宋体"/>
          <w:color w:val="0D0D0D"/>
          <w:sz w:val="24"/>
          <w:szCs w:val="24"/>
          <w:lang w:val="zh-CN"/>
        </w:rPr>
        <w:t>年</w:t>
      </w:r>
      <w:r>
        <w:rPr>
          <w:rFonts w:hint="eastAsia" w:hAnsi="宋体"/>
          <w:color w:val="0D0D0D"/>
          <w:sz w:val="24"/>
          <w:szCs w:val="24"/>
        </w:rPr>
        <w:t>无违规证明</w:t>
      </w:r>
      <w:r>
        <w:rPr>
          <w:rFonts w:hint="eastAsia" w:hAnsi="宋体"/>
          <w:color w:val="0D0D0D"/>
          <w:sz w:val="24"/>
          <w:szCs w:val="24"/>
          <w:lang w:val="zh-CN"/>
        </w:rPr>
        <w:t>(以深圳市注册税务师协会</w:t>
      </w:r>
      <w:r>
        <w:rPr>
          <w:rFonts w:hint="eastAsia" w:hAnsi="宋体"/>
          <w:color w:val="0D0D0D"/>
          <w:sz w:val="24"/>
          <w:szCs w:val="24"/>
        </w:rPr>
        <w:t>出具的证明</w:t>
      </w:r>
      <w:r>
        <w:rPr>
          <w:rFonts w:hint="eastAsia" w:hAnsi="宋体"/>
          <w:color w:val="0D0D0D"/>
          <w:sz w:val="24"/>
          <w:szCs w:val="24"/>
          <w:lang w:val="zh-CN"/>
        </w:rPr>
        <w:t>为准）。</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3</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25"/>
        <w:numPr>
          <w:ilvl w:val="255"/>
          <w:numId w:val="0"/>
        </w:numPr>
        <w:spacing w:line="360" w:lineRule="auto"/>
        <w:ind w:firstLine="480" w:firstLineChars="200"/>
        <w:rPr>
          <w:rFonts w:hAnsi="宋体"/>
          <w:color w:val="0D0D0D"/>
          <w:sz w:val="24"/>
          <w:szCs w:val="24"/>
        </w:rPr>
      </w:pPr>
    </w:p>
    <w:p>
      <w:pPr>
        <w:topLinePunct/>
        <w:snapToGrid w:val="0"/>
        <w:spacing w:line="360" w:lineRule="auto"/>
        <w:ind w:left="420"/>
        <w:contextualSpacing/>
      </w:pPr>
    </w:p>
    <w:p>
      <w:pPr>
        <w:spacing w:line="360" w:lineRule="auto"/>
        <w:ind w:left="420"/>
        <w:rPr>
          <w:rFonts w:hAnsi="宋体"/>
          <w:bCs/>
          <w:color w:val="0D0D0D"/>
          <w:sz w:val="24"/>
          <w:szCs w:val="22"/>
        </w:rPr>
      </w:pPr>
      <w:r>
        <w:rPr>
          <w:rFonts w:hint="eastAsia" w:hAnsi="宋体"/>
          <w:bCs/>
          <w:color w:val="0D0D0D"/>
          <w:sz w:val="24"/>
          <w:szCs w:val="22"/>
        </w:rPr>
        <w:t>（七）根据比选文件编制的参选文件（比选文件获取：深圳地铁智能招采管理平台（https://cg.shenzhenmc.com）</w:t>
      </w:r>
    </w:p>
    <w:p>
      <w:pPr>
        <w:pStyle w:val="43"/>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八、参选联系人</w:t>
      </w:r>
    </w:p>
    <w:p>
      <w:pPr>
        <w:pStyle w:val="25"/>
        <w:spacing w:line="360" w:lineRule="auto"/>
        <w:ind w:firstLine="480" w:firstLineChars="200"/>
        <w:rPr>
          <w:rFonts w:hAnsi="宋体"/>
          <w:sz w:val="24"/>
          <w:szCs w:val="24"/>
        </w:rPr>
      </w:pPr>
      <w:r>
        <w:rPr>
          <w:rFonts w:hint="eastAsia" w:hAnsi="宋体"/>
          <w:sz w:val="24"/>
          <w:szCs w:val="24"/>
        </w:rPr>
        <w:t>联系人： 陈工</w:t>
      </w:r>
    </w:p>
    <w:p>
      <w:pPr>
        <w:pStyle w:val="25"/>
        <w:spacing w:line="360" w:lineRule="auto"/>
        <w:ind w:firstLine="420" w:firstLineChars="175"/>
        <w:rPr>
          <w:rFonts w:hAnsi="宋体"/>
          <w:sz w:val="24"/>
        </w:rPr>
      </w:pPr>
      <w:r>
        <w:rPr>
          <w:rFonts w:hint="eastAsia" w:hAnsi="宋体"/>
          <w:sz w:val="24"/>
          <w:szCs w:val="24"/>
        </w:rPr>
        <w:t>联系电话：</w:t>
      </w:r>
      <w:r>
        <w:rPr>
          <w:rFonts w:hint="eastAsia" w:hAnsi="宋体"/>
          <w:sz w:val="24"/>
        </w:rPr>
        <w:t>89987239</w:t>
      </w:r>
    </w:p>
    <w:p>
      <w:pPr>
        <w:pStyle w:val="25"/>
        <w:spacing w:line="360" w:lineRule="auto"/>
        <w:ind w:firstLine="480" w:firstLineChars="200"/>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r>
        <w:rPr>
          <w:rFonts w:hint="eastAsia" w:hAnsi="宋体"/>
          <w:sz w:val="24"/>
          <w:szCs w:val="24"/>
        </w:rPr>
        <w:t>深圳</w:t>
      </w:r>
      <w:r>
        <w:rPr>
          <w:rFonts w:hint="eastAsia" w:hAnsi="宋体"/>
          <w:sz w:val="24"/>
          <w:szCs w:val="24"/>
          <w:lang w:val="en-US" w:eastAsia="zh-CN"/>
        </w:rPr>
        <w:t>地铁</w:t>
      </w:r>
      <w:r>
        <w:rPr>
          <w:rFonts w:hint="eastAsia" w:hAnsi="宋体"/>
          <w:sz w:val="24"/>
          <w:szCs w:val="24"/>
        </w:rPr>
        <w:t>置业集团有限公司</w:t>
      </w:r>
    </w:p>
    <w:p>
      <w:pPr>
        <w:pStyle w:val="25"/>
        <w:spacing w:line="360" w:lineRule="auto"/>
        <w:ind w:firstLine="480" w:firstLineChars="200"/>
        <w:jc w:val="right"/>
        <w:rPr>
          <w:rFonts w:hAnsi="宋体"/>
          <w:sz w:val="24"/>
          <w:szCs w:val="24"/>
        </w:rPr>
      </w:pPr>
      <w:r>
        <w:rPr>
          <w:rFonts w:hint="eastAsia" w:hAnsi="宋体"/>
          <w:sz w:val="24"/>
          <w:szCs w:val="24"/>
        </w:rPr>
        <w:t>2022年11月</w:t>
      </w:r>
      <w:r>
        <w:rPr>
          <w:rFonts w:hint="eastAsia" w:hAnsi="宋体"/>
          <w:sz w:val="24"/>
          <w:szCs w:val="24"/>
          <w:lang w:val="en-US" w:eastAsia="zh-CN"/>
        </w:rPr>
        <w:t>29</w:t>
      </w:r>
      <w:r>
        <w:rPr>
          <w:rFonts w:hint="eastAsia" w:hAnsi="宋体"/>
          <w:sz w:val="24"/>
          <w:szCs w:val="24"/>
        </w:rPr>
        <w:t>日</w:t>
      </w:r>
      <w:r>
        <w:rPr>
          <w:rFonts w:hint="eastAsia" w:hAnsi="宋体"/>
          <w:sz w:val="24"/>
          <w:szCs w:val="24"/>
        </w:rPr>
        <w:br w:type="page"/>
      </w:r>
      <w:bookmarkStart w:id="28" w:name="_Toc57731951"/>
    </w:p>
    <w:p>
      <w:pPr>
        <w:pStyle w:val="25"/>
        <w:spacing w:line="360" w:lineRule="auto"/>
        <w:ind w:firstLine="3092" w:firstLineChars="700"/>
        <w:rPr>
          <w:rFonts w:hAnsi="宋体"/>
          <w:b/>
          <w:sz w:val="44"/>
          <w:szCs w:val="44"/>
        </w:rPr>
      </w:pPr>
      <w:r>
        <w:rPr>
          <w:rFonts w:hint="eastAsia" w:hAnsi="宋体"/>
          <w:b/>
          <w:sz w:val="44"/>
          <w:szCs w:val="44"/>
        </w:rPr>
        <w:t>第一篇  参选须知</w:t>
      </w:r>
      <w:bookmarkEnd w:id="28"/>
    </w:p>
    <w:p>
      <w:pPr>
        <w:pStyle w:val="6"/>
        <w:spacing w:line="360" w:lineRule="auto"/>
        <w:rPr>
          <w:rFonts w:ascii="宋体" w:hAnsi="宋体" w:eastAsia="宋体"/>
          <w:b/>
        </w:rPr>
      </w:pPr>
      <w:bookmarkStart w:id="29" w:name="_Toc518494117"/>
      <w:bookmarkStart w:id="30" w:name="_Toc197404897"/>
      <w:bookmarkStart w:id="31" w:name="_Toc57731952"/>
      <w:r>
        <w:rPr>
          <w:rFonts w:hint="eastAsia" w:ascii="宋体" w:hAnsi="宋体" w:eastAsia="宋体"/>
          <w:b/>
        </w:rPr>
        <w:t>第一章 总则</w:t>
      </w:r>
      <w:bookmarkEnd w:id="29"/>
      <w:bookmarkEnd w:id="30"/>
      <w:bookmarkEnd w:id="31"/>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2" w:name="_Toc57731953"/>
      <w:bookmarkStart w:id="33" w:name="_Toc518494118"/>
      <w:r>
        <w:rPr>
          <w:rFonts w:hint="eastAsia" w:ascii="宋体" w:hAnsi="宋体"/>
          <w:b/>
          <w:kern w:val="0"/>
          <w:sz w:val="24"/>
          <w:szCs w:val="24"/>
        </w:rPr>
        <w:t>一、项目概况</w:t>
      </w:r>
      <w:bookmarkEnd w:id="32"/>
      <w:bookmarkEnd w:id="33"/>
    </w:p>
    <w:p>
      <w:pPr>
        <w:spacing w:line="360" w:lineRule="auto"/>
        <w:ind w:firstLine="480" w:firstLineChars="200"/>
        <w:rPr>
          <w:rFonts w:ascii="宋体" w:hAnsi="宋体"/>
          <w:color w:val="0D0D0D"/>
          <w:sz w:val="24"/>
          <w:szCs w:val="24"/>
        </w:rPr>
      </w:pPr>
      <w:bookmarkStart w:id="34" w:name="_Toc518494119"/>
      <w:bookmarkStart w:id="35" w:name="_Toc57731954"/>
      <w:r>
        <w:rPr>
          <w:rFonts w:hint="eastAsia" w:ascii="宋体" w:hAnsi="宋体"/>
          <w:color w:val="0D0D0D"/>
          <w:sz w:val="24"/>
          <w:szCs w:val="24"/>
        </w:rPr>
        <w:t>目前，深铁集团已获取27个项目土地开发权，建筑面积（含配建）合计约1400万㎡ 。27个项目货值约4141亿元，剔除自持物业后可售货值3670亿元，已售货值1157亿元，剩余可售货值2513亿元。截止到2022年9月，已有15个项目先后入市销售，销售额累计约1157亿元，销售总面积约195.5万㎡。</w:t>
      </w:r>
    </w:p>
    <w:p>
      <w:pPr>
        <w:spacing w:line="360" w:lineRule="auto"/>
        <w:ind w:firstLine="480" w:firstLineChars="200"/>
        <w:rPr>
          <w:rFonts w:ascii="宋体" w:hAnsi="宋体"/>
          <w:color w:val="0D0D0D"/>
          <w:sz w:val="24"/>
          <w:szCs w:val="24"/>
        </w:rPr>
      </w:pPr>
      <w:r>
        <w:rPr>
          <w:rFonts w:hint="eastAsia" w:hAnsi="宋体"/>
          <w:color w:val="0D0D0D"/>
          <w:sz w:val="24"/>
          <w:szCs w:val="24"/>
        </w:rPr>
        <w:t>昂鹅</w:t>
      </w:r>
      <w:r>
        <w:rPr>
          <w:rFonts w:hint="eastAsia" w:ascii="宋体" w:hAnsi="宋体"/>
          <w:color w:val="0D0D0D"/>
          <w:sz w:val="24"/>
          <w:szCs w:val="24"/>
        </w:rPr>
        <w:t>等新项目的概况如下：</w:t>
      </w:r>
    </w:p>
    <w:tbl>
      <w:tblPr>
        <w:tblStyle w:val="49"/>
        <w:tblpPr w:leftFromText="180" w:rightFromText="180" w:vertAnchor="text" w:horzAnchor="page" w:tblpX="1662" w:tblpY="573"/>
        <w:tblOverlap w:val="never"/>
        <w:tblW w:w="7260" w:type="dxa"/>
        <w:tblInd w:w="0" w:type="dxa"/>
        <w:tblLayout w:type="autofit"/>
        <w:tblCellMar>
          <w:top w:w="0" w:type="dxa"/>
          <w:left w:w="108" w:type="dxa"/>
          <w:bottom w:w="0" w:type="dxa"/>
          <w:right w:w="108" w:type="dxa"/>
        </w:tblCellMar>
      </w:tblPr>
      <w:tblGrid>
        <w:gridCol w:w="960"/>
        <w:gridCol w:w="2988"/>
        <w:gridCol w:w="1656"/>
        <w:gridCol w:w="1656"/>
      </w:tblGrid>
      <w:tr>
        <w:tblPrEx>
          <w:tblCellMar>
            <w:top w:w="0" w:type="dxa"/>
            <w:left w:w="108" w:type="dxa"/>
            <w:bottom w:w="0" w:type="dxa"/>
            <w:right w:w="108" w:type="dxa"/>
          </w:tblCellMar>
        </w:tblPrEx>
        <w:trPr>
          <w:trHeight w:val="5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序号</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项目名称</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占地面积</w:t>
            </w:r>
          </w:p>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（公顷）</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建筑面积</w:t>
            </w:r>
          </w:p>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（万平方米）</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昂鹅车辆段一期二期</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19.22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43</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2</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坪山石井街道项目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3.1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12</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3</w:t>
            </w:r>
          </w:p>
        </w:tc>
        <w:tc>
          <w:tcPr>
            <w:tcW w:w="29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平湖枢纽交通核项目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1.9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8</w:t>
            </w:r>
          </w:p>
        </w:tc>
      </w:tr>
      <w:tr>
        <w:tblPrEx>
          <w:tblCellMar>
            <w:top w:w="0" w:type="dxa"/>
            <w:left w:w="108" w:type="dxa"/>
            <w:bottom w:w="0" w:type="dxa"/>
            <w:right w:w="108" w:type="dxa"/>
          </w:tblCellMar>
        </w:tblPrEx>
        <w:trPr>
          <w:trHeight w:val="31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4</w:t>
            </w:r>
          </w:p>
        </w:tc>
        <w:tc>
          <w:tcPr>
            <w:tcW w:w="2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新项目12个（预计项目）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center"/>
              <w:rPr>
                <w:rFonts w:ascii="等线" w:hAnsi="等线" w:eastAsia="等线" w:cs="等线"/>
                <w:color w:val="000000"/>
                <w:kern w:val="0"/>
                <w:sz w:val="22"/>
                <w:szCs w:val="22"/>
                <w:lang w:bidi="ar"/>
              </w:rPr>
            </w:pPr>
            <w:r>
              <w:rPr>
                <w:rFonts w:hint="eastAsia" w:ascii="等线" w:hAnsi="等线" w:eastAsia="等线" w:cs="等线"/>
                <w:color w:val="000000"/>
                <w:kern w:val="0"/>
                <w:sz w:val="22"/>
                <w:szCs w:val="22"/>
                <w:lang w:bidi="ar"/>
              </w:rPr>
              <w:t>/</w:t>
            </w:r>
          </w:p>
        </w:tc>
      </w:tr>
    </w:tbl>
    <w:p>
      <w:pPr>
        <w:widowControl/>
        <w:jc w:val="center"/>
        <w:textAlignment w:val="center"/>
        <w:rPr>
          <w:rFonts w:ascii="等线" w:hAnsi="等线" w:eastAsia="等线" w:cs="等线"/>
          <w:color w:val="000000"/>
          <w:kern w:val="0"/>
          <w:sz w:val="22"/>
          <w:szCs w:val="22"/>
          <w:lang w:bidi="ar"/>
        </w:rPr>
      </w:pPr>
    </w:p>
    <w:p>
      <w:pPr>
        <w:widowControl/>
        <w:jc w:val="center"/>
        <w:textAlignment w:val="center"/>
        <w:rPr>
          <w:rFonts w:ascii="等线" w:hAnsi="等线" w:eastAsia="等线" w:cs="等线"/>
          <w:color w:val="000000"/>
          <w:kern w:val="0"/>
          <w:sz w:val="22"/>
          <w:szCs w:val="22"/>
          <w:lang w:bidi="ar"/>
        </w:rPr>
      </w:pPr>
    </w:p>
    <w:p>
      <w:pPr>
        <w:widowControl/>
        <w:jc w:val="center"/>
        <w:textAlignment w:val="center"/>
        <w:rPr>
          <w:rFonts w:ascii="等线" w:hAnsi="等线" w:eastAsia="等线" w:cs="等线"/>
          <w:color w:val="000000"/>
          <w:kern w:val="0"/>
          <w:sz w:val="22"/>
          <w:szCs w:val="22"/>
          <w:lang w:bidi="ar"/>
        </w:rPr>
      </w:pPr>
    </w:p>
    <w:p>
      <w:pPr>
        <w:widowControl/>
        <w:jc w:val="center"/>
        <w:textAlignment w:val="center"/>
        <w:rPr>
          <w:rFonts w:ascii="等线" w:hAnsi="等线" w:eastAsia="等线" w:cs="等线"/>
          <w:color w:val="000000"/>
          <w:kern w:val="0"/>
          <w:sz w:val="22"/>
          <w:szCs w:val="22"/>
          <w:lang w:bidi="ar"/>
        </w:rPr>
      </w:pPr>
    </w:p>
    <w:p>
      <w:pPr>
        <w:widowControl/>
        <w:jc w:val="center"/>
        <w:textAlignment w:val="center"/>
        <w:rPr>
          <w:rFonts w:ascii="等线" w:hAnsi="等线" w:eastAsia="等线" w:cs="等线"/>
          <w:color w:val="000000"/>
          <w:kern w:val="0"/>
          <w:sz w:val="22"/>
          <w:szCs w:val="22"/>
          <w:lang w:bidi="ar"/>
        </w:rPr>
      </w:pPr>
    </w:p>
    <w:p>
      <w:pPr>
        <w:widowControl/>
        <w:jc w:val="center"/>
        <w:textAlignment w:val="center"/>
        <w:rPr>
          <w:rFonts w:ascii="等线" w:hAnsi="等线" w:eastAsia="等线" w:cs="等线"/>
          <w:color w:val="000000"/>
          <w:kern w:val="0"/>
          <w:sz w:val="22"/>
          <w:szCs w:val="22"/>
          <w:lang w:bidi="ar"/>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p>
    <w:p>
      <w:pPr>
        <w:spacing w:line="360" w:lineRule="auto"/>
        <w:ind w:firstLine="480" w:firstLineChars="200"/>
        <w:rPr>
          <w:rFonts w:ascii="宋体" w:hAnsi="宋体"/>
          <w:color w:val="0D0D0D"/>
          <w:sz w:val="24"/>
          <w:szCs w:val="24"/>
        </w:rPr>
      </w:pPr>
      <w:r>
        <w:rPr>
          <w:rFonts w:hint="eastAsia" w:ascii="宋体" w:hAnsi="宋体"/>
          <w:color w:val="0D0D0D"/>
          <w:sz w:val="24"/>
          <w:szCs w:val="24"/>
        </w:rPr>
        <w:t>上述“项目1-3”为我司已获取的项目，预计后续3年还会获取1</w:t>
      </w:r>
      <w:r>
        <w:rPr>
          <w:rFonts w:ascii="宋体" w:hAnsi="宋体"/>
          <w:color w:val="0D0D0D"/>
          <w:sz w:val="24"/>
          <w:szCs w:val="24"/>
        </w:rPr>
        <w:t>2</w:t>
      </w:r>
      <w:r>
        <w:rPr>
          <w:rFonts w:hint="eastAsia" w:ascii="宋体" w:hAnsi="宋体"/>
          <w:color w:val="0D0D0D"/>
          <w:sz w:val="24"/>
          <w:szCs w:val="24"/>
        </w:rPr>
        <w:t>个新项目，以上15个项目不分先后，按项目开发顺序开展相关工作，具体服务新项目以实际为准，需提供服务的项目总数为15个。</w:t>
      </w:r>
    </w:p>
    <w:p>
      <w:pPr>
        <w:spacing w:line="360" w:lineRule="auto"/>
        <w:ind w:firstLine="480" w:firstLineChars="200"/>
        <w:rPr>
          <w:rFonts w:ascii="宋体" w:hAnsi="宋体"/>
          <w:color w:val="0D0D0D"/>
          <w:sz w:val="24"/>
          <w:szCs w:val="24"/>
        </w:rPr>
      </w:pPr>
      <w:r>
        <w:rPr>
          <w:rFonts w:hint="eastAsia" w:ascii="宋体" w:hAnsi="宋体"/>
          <w:color w:val="0D0D0D"/>
          <w:sz w:val="24"/>
          <w:szCs w:val="24"/>
        </w:rPr>
        <w:t>备注：项目最终站点名称、商业面积以政府最终审批的用地文件为准。</w:t>
      </w:r>
    </w:p>
    <w:p>
      <w:pPr>
        <w:keepNext/>
        <w:keepLines/>
        <w:numPr>
          <w:ilvl w:val="0"/>
          <w:numId w:val="6"/>
        </w:numPr>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服务内容</w:t>
      </w:r>
      <w:bookmarkEnd w:id="34"/>
      <w:bookmarkEnd w:id="35"/>
      <w:bookmarkStart w:id="36" w:name="_Toc57731955"/>
      <w:bookmarkStart w:id="37" w:name="_Toc518494120"/>
    </w:p>
    <w:p>
      <w:pPr>
        <w:spacing w:line="360" w:lineRule="auto"/>
        <w:ind w:right="210" w:firstLine="480" w:firstLineChars="200"/>
        <w:rPr>
          <w:rFonts w:ascii="宋体" w:hAnsi="宋体"/>
          <w:kern w:val="0"/>
          <w:sz w:val="24"/>
          <w:szCs w:val="24"/>
        </w:rPr>
      </w:pPr>
      <w:r>
        <w:rPr>
          <w:rFonts w:hint="eastAsia" w:ascii="宋体" w:hAnsi="宋体"/>
          <w:kern w:val="0"/>
          <w:sz w:val="24"/>
          <w:szCs w:val="24"/>
        </w:rPr>
        <w:t>为我司提供昂鹅等</w:t>
      </w:r>
      <w:r>
        <w:rPr>
          <w:rFonts w:hint="eastAsia" w:ascii="宋体" w:hAnsi="宋体"/>
          <w:kern w:val="0"/>
          <w:sz w:val="24"/>
          <w:szCs w:val="24"/>
          <w:lang w:val="en-US" w:eastAsia="zh-CN"/>
        </w:rPr>
        <w:t>十五</w:t>
      </w:r>
      <w:r>
        <w:rPr>
          <w:rFonts w:hint="eastAsia" w:ascii="宋体" w:hAnsi="宋体"/>
          <w:kern w:val="0"/>
          <w:sz w:val="24"/>
          <w:szCs w:val="24"/>
        </w:rPr>
        <w:t xml:space="preserve">个预计新项目的税务咨询服务，每个项目出具独立的税务咨询报告，即需出具十五份税务咨询报告。比选范围包括但不限于： </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1、自发出每个项目的任务启动通知单之日起，根据项目的可行性研究报告，编制整体及专项税务测算及管理建议，对未来经营方案出具专项建议报告，该报告于发出通知单日起30天内完成。每个项目服务期限为半年，如方案根据实际情况或者甲方要求需修改、完善的，亦应在每个项目的任务启动通知日起一个月内完成相关的调整、修改、完善等工作；</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2、税务测算方案的实施提出具体建议书，如甲方采纳乙方建议，乙方应指导甲方财务人员规范实施建议；</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3、指导甲方进行合同涉税条款的订立、修改，并提出相应的涉税建议；</w:t>
      </w:r>
    </w:p>
    <w:p>
      <w:pPr>
        <w:spacing w:line="360" w:lineRule="auto"/>
        <w:ind w:right="210" w:firstLine="480" w:firstLineChars="200"/>
        <w:rPr>
          <w:rFonts w:ascii="宋体" w:hAnsi="宋体"/>
          <w:kern w:val="0"/>
          <w:sz w:val="24"/>
          <w:szCs w:val="24"/>
        </w:rPr>
      </w:pPr>
      <w:r>
        <w:rPr>
          <w:rFonts w:hint="eastAsia" w:ascii="宋体" w:hAnsi="宋体"/>
          <w:kern w:val="0"/>
          <w:sz w:val="24"/>
          <w:szCs w:val="24"/>
        </w:rPr>
        <w:t>4、指导甲方有关涉税法律文书制作、修改，并提出相应的涉税建议；</w:t>
      </w:r>
    </w:p>
    <w:p>
      <w:pPr>
        <w:keepNext/>
        <w:keepLines/>
        <w:tabs>
          <w:tab w:val="left" w:pos="1260"/>
        </w:tabs>
        <w:adjustRightInd w:val="0"/>
        <w:spacing w:before="260" w:after="260" w:line="360" w:lineRule="auto"/>
        <w:ind w:firstLine="480" w:firstLineChars="200"/>
        <w:textAlignment w:val="baseline"/>
        <w:outlineLvl w:val="2"/>
        <w:rPr>
          <w:rFonts w:ascii="宋体" w:hAnsi="宋体"/>
          <w:kern w:val="0"/>
          <w:sz w:val="24"/>
          <w:szCs w:val="24"/>
        </w:rPr>
      </w:pPr>
      <w:r>
        <w:rPr>
          <w:rFonts w:hint="eastAsia" w:ascii="宋体" w:hAnsi="宋体"/>
          <w:kern w:val="0"/>
          <w:sz w:val="24"/>
          <w:szCs w:val="24"/>
        </w:rPr>
        <w:t>5、如甲方需要乙方指派专职人员到指定地点进行现场指导，乙方应根据甲方所涉及的税务问题复杂程度，指派完全能胜任工作的注册税务师提供税务顾问咨询服务，乙方派出人员现场服务产生的相关费用均已包含在本合同总价中，甲方不再另行支付。</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6"/>
      <w:bookmarkEnd w:id="37"/>
    </w:p>
    <w:p>
      <w:pPr>
        <w:spacing w:line="360" w:lineRule="auto"/>
        <w:ind w:firstLine="480" w:firstLineChars="200"/>
        <w:rPr>
          <w:rFonts w:ascii="宋体" w:hAnsi="宋体" w:cs="宋体"/>
          <w:color w:val="000000"/>
          <w:sz w:val="24"/>
          <w:szCs w:val="24"/>
        </w:rPr>
      </w:pPr>
      <w:bookmarkStart w:id="38" w:name="_Toc518494121"/>
      <w:bookmarkStart w:id="39" w:name="_Toc57731956"/>
      <w:r>
        <w:rPr>
          <w:rFonts w:hint="eastAsia" w:ascii="宋体" w:hAnsi="宋体" w:cs="宋体"/>
          <w:sz w:val="24"/>
          <w:szCs w:val="24"/>
        </w:rPr>
        <w:t>（一）签约主体：</w:t>
      </w:r>
    </w:p>
    <w:p>
      <w:pPr>
        <w:pStyle w:val="237"/>
        <w:adjustRightInd w:val="0"/>
        <w:snapToGrid w:val="0"/>
        <w:spacing w:line="560" w:lineRule="exact"/>
        <w:ind w:firstLine="640" w:firstLineChars="0"/>
        <w:rPr>
          <w:rFonts w:hint="eastAsia" w:ascii="Times New Roman" w:hAnsi="宋体" w:eastAsia="宋体" w:cs="Times New Roman"/>
          <w:bCs/>
          <w:color w:val="0D0D0D"/>
          <w:sz w:val="24"/>
          <w:szCs w:val="22"/>
          <w:lang w:val="en-US" w:eastAsia="zh-CN"/>
        </w:rPr>
      </w:pPr>
      <w:r>
        <w:rPr>
          <w:rFonts w:hint="eastAsia" w:hAnsi="宋体"/>
          <w:bCs/>
          <w:color w:val="0D0D0D"/>
          <w:sz w:val="24"/>
          <w:szCs w:val="22"/>
        </w:rPr>
        <w:t>本次昂鹅等</w:t>
      </w:r>
      <w:r>
        <w:rPr>
          <w:rFonts w:hint="eastAsia" w:hAnsi="宋体"/>
          <w:bCs/>
          <w:color w:val="0D0D0D"/>
          <w:sz w:val="24"/>
          <w:szCs w:val="22"/>
          <w:lang w:val="en-US" w:eastAsia="zh-CN"/>
        </w:rPr>
        <w:t>十五</w:t>
      </w:r>
      <w:r>
        <w:rPr>
          <w:rFonts w:hint="eastAsia" w:hAnsi="宋体"/>
          <w:bCs/>
          <w:color w:val="0D0D0D"/>
          <w:sz w:val="24"/>
          <w:szCs w:val="22"/>
        </w:rPr>
        <w:t>个新项目税务咨询服务统一以深圳地铁置业集团有限公司作为比选人开展招采工作</w:t>
      </w:r>
      <w:r>
        <w:rPr>
          <w:rFonts w:hint="eastAsia" w:ascii="宋体" w:hAnsi="宋体" w:cs="Times New Roman"/>
          <w:bCs w:val="0"/>
          <w:color w:val="auto"/>
          <w:kern w:val="0"/>
          <w:sz w:val="24"/>
          <w:szCs w:val="24"/>
          <w:lang w:eastAsia="zh-CN"/>
        </w:rPr>
        <w:t>。</w:t>
      </w:r>
      <w:r>
        <w:rPr>
          <w:rFonts w:hint="eastAsia" w:ascii="宋体" w:hAnsi="宋体" w:eastAsia="宋体" w:cs="Times New Roman"/>
          <w:kern w:val="0"/>
          <w:sz w:val="24"/>
          <w:szCs w:val="24"/>
        </w:rPr>
        <w:t>后续</w:t>
      </w:r>
      <w:r>
        <w:rPr>
          <w:rFonts w:hint="eastAsia" w:ascii="宋体" w:hAnsi="宋体" w:eastAsia="宋体" w:cs="Times New Roman"/>
          <w:kern w:val="0"/>
          <w:sz w:val="24"/>
          <w:szCs w:val="24"/>
          <w:lang w:val="en-US" w:eastAsia="zh-CN"/>
        </w:rPr>
        <w:t>已确定项目开发主体的项目，由</w:t>
      </w:r>
      <w:r>
        <w:rPr>
          <w:rFonts w:hint="eastAsia" w:ascii="宋体" w:hAnsi="宋体" w:eastAsia="宋体" w:cs="Times New Roman"/>
          <w:kern w:val="0"/>
          <w:sz w:val="24"/>
          <w:szCs w:val="24"/>
        </w:rPr>
        <w:t>中选人与实际项目开发主体签订合同</w:t>
      </w:r>
      <w:r>
        <w:rPr>
          <w:rFonts w:hint="eastAsia" w:ascii="宋体" w:hAnsi="宋体" w:cs="Times New Roman"/>
          <w:bCs w:val="0"/>
          <w:color w:val="auto"/>
          <w:kern w:val="0"/>
          <w:sz w:val="24"/>
          <w:szCs w:val="24"/>
          <w:lang w:eastAsia="zh-CN"/>
        </w:rPr>
        <w:t>（</w:t>
      </w:r>
      <w:r>
        <w:rPr>
          <w:rFonts w:hint="eastAsia" w:ascii="宋体" w:hAnsi="宋体" w:eastAsia="宋体" w:cs="Times New Roman"/>
          <w:kern w:val="0"/>
          <w:sz w:val="24"/>
          <w:szCs w:val="24"/>
        </w:rPr>
        <w:t>其中：</w:t>
      </w:r>
      <w:r>
        <w:rPr>
          <w:rFonts w:hint="eastAsia" w:ascii="宋体" w:hAnsi="宋体" w:eastAsia="宋体" w:cs="Times New Roman"/>
          <w:color w:val="auto"/>
          <w:kern w:val="0"/>
          <w:sz w:val="24"/>
          <w:szCs w:val="24"/>
          <w:lang w:bidi="ar-SA"/>
        </w:rPr>
        <w:t>昂鹅车辆段一期二期</w:t>
      </w:r>
      <w:r>
        <w:rPr>
          <w:rFonts w:hint="eastAsia" w:ascii="宋体" w:hAnsi="宋体" w:cs="Times New Roman"/>
          <w:bCs w:val="0"/>
          <w:color w:val="auto"/>
          <w:kern w:val="0"/>
          <w:sz w:val="24"/>
          <w:szCs w:val="24"/>
          <w:lang w:eastAsia="zh-CN" w:bidi="ar-SA"/>
        </w:rPr>
        <w:t>、</w:t>
      </w:r>
      <w:r>
        <w:rPr>
          <w:rFonts w:hint="eastAsia" w:ascii="宋体" w:hAnsi="宋体" w:eastAsia="宋体" w:cs="Times New Roman"/>
          <w:bCs w:val="0"/>
          <w:color w:val="auto"/>
          <w:kern w:val="0"/>
          <w:sz w:val="24"/>
          <w:szCs w:val="24"/>
          <w:lang w:bidi="ar-SA"/>
        </w:rPr>
        <w:t>平湖枢纽交通核项目</w:t>
      </w:r>
      <w:r>
        <w:rPr>
          <w:rFonts w:hint="eastAsia" w:ascii="宋体" w:hAnsi="宋体" w:eastAsia="宋体" w:cs="Times New Roman"/>
          <w:color w:val="auto"/>
          <w:kern w:val="0"/>
          <w:sz w:val="24"/>
          <w:szCs w:val="24"/>
          <w:lang w:eastAsia="zh-CN" w:bidi="ar-SA"/>
        </w:rPr>
        <w:t>的</w:t>
      </w:r>
      <w:r>
        <w:rPr>
          <w:rFonts w:hint="eastAsia" w:ascii="宋体" w:hAnsi="宋体" w:eastAsia="宋体" w:cs="Times New Roman"/>
          <w:color w:val="auto"/>
          <w:kern w:val="0"/>
          <w:sz w:val="24"/>
          <w:szCs w:val="24"/>
          <w:lang w:val="en-US" w:eastAsia="zh-CN" w:bidi="ar-SA"/>
        </w:rPr>
        <w:t>签约主体是</w:t>
      </w:r>
      <w:r>
        <w:rPr>
          <w:rFonts w:hint="eastAsia" w:ascii="宋体" w:hAnsi="宋体" w:eastAsia="宋体" w:cs="Times New Roman"/>
          <w:kern w:val="0"/>
          <w:sz w:val="24"/>
          <w:szCs w:val="24"/>
        </w:rPr>
        <w:t>深圳市地铁集团有限公司</w:t>
      </w:r>
      <w:r>
        <w:rPr>
          <w:rFonts w:hint="eastAsia" w:ascii="宋体" w:hAnsi="宋体" w:cs="Times New Roman"/>
          <w:bCs w:val="0"/>
          <w:color w:val="auto"/>
          <w:kern w:val="0"/>
          <w:sz w:val="24"/>
          <w:szCs w:val="24"/>
          <w:lang w:eastAsia="zh-CN"/>
        </w:rPr>
        <w:t>，</w:t>
      </w:r>
      <w:r>
        <w:rPr>
          <w:rFonts w:hint="eastAsia" w:ascii="宋体" w:hAnsi="宋体" w:eastAsia="宋体" w:cs="Times New Roman"/>
          <w:color w:val="auto"/>
          <w:kern w:val="0"/>
          <w:sz w:val="24"/>
          <w:szCs w:val="24"/>
          <w:lang w:bidi="ar-SA"/>
        </w:rPr>
        <w:t>坪山石井街道项目</w:t>
      </w:r>
      <w:r>
        <w:rPr>
          <w:rFonts w:hint="eastAsia" w:ascii="宋体" w:hAnsi="宋体" w:eastAsia="宋体" w:cs="Times New Roman"/>
          <w:color w:val="auto"/>
          <w:kern w:val="0"/>
          <w:sz w:val="24"/>
          <w:szCs w:val="24"/>
          <w:lang w:eastAsia="zh-CN" w:bidi="ar-SA"/>
        </w:rPr>
        <w:t>的</w:t>
      </w:r>
      <w:r>
        <w:rPr>
          <w:rFonts w:hint="eastAsia" w:ascii="宋体" w:hAnsi="宋体" w:eastAsia="宋体" w:cs="Times New Roman"/>
          <w:color w:val="auto"/>
          <w:kern w:val="0"/>
          <w:sz w:val="24"/>
          <w:szCs w:val="24"/>
          <w:lang w:val="en-US" w:eastAsia="zh-CN" w:bidi="ar-SA"/>
        </w:rPr>
        <w:t>签约主体是</w:t>
      </w:r>
      <w:r>
        <w:rPr>
          <w:rFonts w:hint="eastAsia" w:ascii="宋体" w:hAnsi="宋体" w:eastAsia="宋体" w:cs="Times New Roman"/>
          <w:kern w:val="0"/>
          <w:sz w:val="24"/>
          <w:szCs w:val="24"/>
        </w:rPr>
        <w:t>深圳地铁置业集团有限公司</w:t>
      </w:r>
      <w:r>
        <w:rPr>
          <w:rFonts w:hint="eastAsia" w:ascii="宋体" w:hAnsi="宋体" w:cs="Times New Roman"/>
          <w:bCs w:val="0"/>
          <w:color w:val="auto"/>
          <w:kern w:val="0"/>
          <w:sz w:val="24"/>
          <w:szCs w:val="24"/>
          <w:lang w:eastAsia="zh-CN"/>
        </w:rPr>
        <w:t>）</w:t>
      </w:r>
      <w:r>
        <w:rPr>
          <w:rFonts w:hint="eastAsia" w:ascii="宋体" w:hAnsi="宋体" w:eastAsia="宋体" w:cs="Times New Roman"/>
          <w:kern w:val="0"/>
          <w:sz w:val="24"/>
          <w:szCs w:val="24"/>
        </w:rPr>
        <w:t>；考虑到后续新项目</w:t>
      </w:r>
      <w:r>
        <w:rPr>
          <w:rFonts w:hint="eastAsia" w:ascii="宋体" w:hAnsi="宋体" w:eastAsia="宋体" w:cs="Times New Roman"/>
          <w:kern w:val="0"/>
          <w:sz w:val="24"/>
          <w:szCs w:val="24"/>
          <w:lang w:val="en-US" w:eastAsia="zh-CN"/>
        </w:rPr>
        <w:t>开发</w:t>
      </w:r>
      <w:r>
        <w:rPr>
          <w:rFonts w:hint="eastAsia" w:ascii="宋体" w:hAnsi="宋体" w:eastAsia="宋体" w:cs="Times New Roman"/>
          <w:kern w:val="0"/>
          <w:sz w:val="24"/>
          <w:szCs w:val="24"/>
        </w:rPr>
        <w:t>主体的不确定性</w:t>
      </w:r>
      <w:r>
        <w:rPr>
          <w:rFonts w:hint="eastAsia" w:ascii="宋体" w:hAnsi="宋体" w:eastAsia="宋体" w:cs="Times New Roman"/>
          <w:kern w:val="0"/>
          <w:sz w:val="24"/>
          <w:szCs w:val="24"/>
          <w:lang w:eastAsia="zh-CN"/>
        </w:rPr>
        <w:t>，</w:t>
      </w:r>
      <w:r>
        <w:rPr>
          <w:rFonts w:hint="eastAsia" w:ascii="宋体" w:hAnsi="宋体" w:eastAsia="宋体" w:cs="Times New Roman"/>
          <w:kern w:val="0"/>
          <w:sz w:val="24"/>
          <w:szCs w:val="24"/>
          <w:lang w:val="en-US" w:eastAsia="zh-CN"/>
        </w:rPr>
        <w:t>剩余</w:t>
      </w:r>
      <w:r>
        <w:rPr>
          <w:rFonts w:hint="eastAsia" w:ascii="宋体" w:hAnsi="宋体" w:eastAsia="宋体" w:cs="Times New Roman"/>
          <w:kern w:val="0"/>
          <w:sz w:val="24"/>
          <w:szCs w:val="24"/>
        </w:rPr>
        <w:t>未确定开发主体的</w:t>
      </w:r>
      <w:r>
        <w:rPr>
          <w:rFonts w:hint="eastAsia" w:ascii="宋体" w:hAnsi="宋体" w:eastAsia="宋体" w:cs="Times New Roman"/>
          <w:kern w:val="0"/>
          <w:sz w:val="24"/>
          <w:szCs w:val="24"/>
          <w:lang w:val="en-US" w:eastAsia="zh-CN"/>
        </w:rPr>
        <w:t>新</w:t>
      </w:r>
      <w:r>
        <w:rPr>
          <w:rFonts w:hint="eastAsia" w:ascii="宋体" w:hAnsi="宋体" w:eastAsia="宋体" w:cs="Times New Roman"/>
          <w:kern w:val="0"/>
          <w:sz w:val="24"/>
          <w:szCs w:val="24"/>
        </w:rPr>
        <w:t>项目，由中选人与</w:t>
      </w:r>
      <w:r>
        <w:rPr>
          <w:rFonts w:hint="eastAsia" w:ascii="宋体" w:hAnsi="宋体" w:eastAsia="宋体" w:cs="Times New Roman"/>
          <w:bCs w:val="0"/>
          <w:color w:val="auto"/>
          <w:kern w:val="0"/>
          <w:sz w:val="24"/>
          <w:szCs w:val="24"/>
        </w:rPr>
        <w:t>深圳市地铁集团有限公司</w:t>
      </w:r>
      <w:r>
        <w:rPr>
          <w:rFonts w:hint="eastAsia" w:ascii="宋体" w:hAnsi="宋体" w:cs="Times New Roman"/>
          <w:bCs w:val="0"/>
          <w:color w:val="auto"/>
          <w:kern w:val="0"/>
          <w:sz w:val="24"/>
          <w:szCs w:val="24"/>
          <w:lang w:eastAsia="zh-CN"/>
        </w:rPr>
        <w:t>、</w:t>
      </w:r>
      <w:r>
        <w:rPr>
          <w:rFonts w:hint="eastAsia" w:ascii="宋体" w:hAnsi="宋体" w:eastAsia="宋体" w:cs="Times New Roman"/>
          <w:bCs w:val="0"/>
          <w:color w:val="auto"/>
          <w:kern w:val="0"/>
          <w:sz w:val="24"/>
          <w:szCs w:val="24"/>
        </w:rPr>
        <w:t>深圳地铁置业集团有限公司</w:t>
      </w:r>
      <w:r>
        <w:rPr>
          <w:rFonts w:hint="eastAsia" w:ascii="宋体" w:hAnsi="宋体" w:cs="Times New Roman"/>
          <w:bCs w:val="0"/>
          <w:color w:val="auto"/>
          <w:kern w:val="0"/>
          <w:sz w:val="24"/>
          <w:szCs w:val="24"/>
          <w:lang w:val="en-US" w:eastAsia="zh-CN"/>
        </w:rPr>
        <w:t>和</w:t>
      </w:r>
      <w:r>
        <w:rPr>
          <w:rFonts w:hint="eastAsia" w:ascii="宋体" w:hAnsi="宋体" w:eastAsia="宋体" w:cs="Times New Roman"/>
          <w:bCs w:val="0"/>
          <w:color w:val="auto"/>
          <w:kern w:val="0"/>
          <w:sz w:val="24"/>
          <w:szCs w:val="24"/>
        </w:rPr>
        <w:t>深圳地铁前海国际发展有限公司</w:t>
      </w:r>
      <w:r>
        <w:rPr>
          <w:rFonts w:hint="eastAsia" w:ascii="宋体" w:hAnsi="宋体" w:eastAsia="宋体" w:cs="Times New Roman"/>
          <w:kern w:val="0"/>
          <w:sz w:val="24"/>
          <w:szCs w:val="24"/>
          <w:lang w:val="en-US" w:eastAsia="zh-CN"/>
        </w:rPr>
        <w:t>共同</w:t>
      </w:r>
      <w:r>
        <w:rPr>
          <w:rFonts w:hint="eastAsia" w:ascii="宋体" w:hAnsi="宋体" w:eastAsia="宋体" w:cs="Times New Roman"/>
          <w:kern w:val="0"/>
          <w:sz w:val="24"/>
          <w:szCs w:val="24"/>
        </w:rPr>
        <w:t>签定</w:t>
      </w:r>
      <w:r>
        <w:rPr>
          <w:rFonts w:hint="eastAsia" w:ascii="宋体" w:hAnsi="宋体" w:eastAsia="宋体" w:cs="Times New Roman"/>
          <w:kern w:val="0"/>
          <w:sz w:val="24"/>
          <w:szCs w:val="24"/>
          <w:lang w:val="en-US" w:eastAsia="zh-CN"/>
        </w:rPr>
        <w:t>四方协议</w:t>
      </w:r>
      <w:r>
        <w:rPr>
          <w:rFonts w:hint="eastAsia" w:ascii="宋体" w:hAnsi="宋体" w:eastAsia="宋体" w:cs="Times New Roman"/>
          <w:kern w:val="0"/>
          <w:sz w:val="24"/>
          <w:szCs w:val="24"/>
        </w:rPr>
        <w:t>，具体按</w:t>
      </w:r>
      <w:r>
        <w:rPr>
          <w:rFonts w:hint="eastAsia" w:ascii="宋体" w:hAnsi="宋体" w:eastAsia="宋体" w:cs="Times New Roman"/>
          <w:kern w:val="0"/>
          <w:sz w:val="24"/>
          <w:szCs w:val="24"/>
          <w:lang w:val="en-US" w:eastAsia="zh-CN"/>
        </w:rPr>
        <w:t>实际项目对应开发主体支付。</w:t>
      </w:r>
    </w:p>
    <w:p>
      <w:pPr>
        <w:keepNext/>
        <w:keepLines/>
        <w:tabs>
          <w:tab w:val="left" w:pos="1260"/>
        </w:tabs>
        <w:adjustRightInd w:val="0"/>
        <w:spacing w:before="260" w:after="260" w:line="360" w:lineRule="auto"/>
        <w:ind w:firstLine="480" w:firstLineChars="200"/>
        <w:textAlignment w:val="baseline"/>
        <w:outlineLvl w:val="2"/>
        <w:rPr>
          <w:rFonts w:ascii="宋体" w:hAnsi="宋体"/>
          <w:kern w:val="0"/>
          <w:sz w:val="24"/>
          <w:szCs w:val="24"/>
        </w:rPr>
      </w:pPr>
      <w:r>
        <w:rPr>
          <w:rFonts w:hint="eastAsia" w:hAnsi="宋体"/>
          <w:bCs/>
          <w:color w:val="0D0D0D"/>
          <w:sz w:val="24"/>
          <w:szCs w:val="22"/>
        </w:rPr>
        <w:t>中选人根据比选人要求对新项目出具项目税务专项建议报告（终稿），且完成服务期内甲方要求</w:t>
      </w:r>
      <w:r>
        <w:rPr>
          <w:rFonts w:hint="eastAsia" w:ascii="宋体" w:hAnsi="宋体"/>
          <w:kern w:val="0"/>
          <w:sz w:val="24"/>
          <w:szCs w:val="24"/>
        </w:rPr>
        <w:t>的该项目全部工作并得到甲方验收确认后，中选人需按该项目主体开具增值税专用发票，</w:t>
      </w:r>
      <w:r>
        <w:rPr>
          <w:rFonts w:hint="eastAsia" w:hAnsi="宋体"/>
          <w:bCs/>
          <w:color w:val="0D0D0D"/>
          <w:sz w:val="24"/>
          <w:szCs w:val="22"/>
        </w:rPr>
        <w:t>由项目开发主体支付服务费</w:t>
      </w:r>
      <w:r>
        <w:rPr>
          <w:rFonts w:hint="eastAsia" w:ascii="宋体" w:hAnsi="宋体"/>
          <w:kern w:val="0"/>
          <w:sz w:val="24"/>
          <w:szCs w:val="24"/>
        </w:rPr>
        <w:t>。</w:t>
      </w:r>
    </w:p>
    <w:p>
      <w:pPr>
        <w:keepNext/>
        <w:keepLines/>
        <w:numPr>
          <w:ilvl w:val="0"/>
          <w:numId w:val="7"/>
        </w:numPr>
        <w:tabs>
          <w:tab w:val="left" w:pos="1260"/>
        </w:tabs>
        <w:adjustRightInd w:val="0"/>
        <w:spacing w:before="260" w:after="260" w:line="360" w:lineRule="auto"/>
        <w:ind w:firstLine="480" w:firstLineChars="200"/>
        <w:textAlignment w:val="baseline"/>
        <w:outlineLvl w:val="2"/>
        <w:rPr>
          <w:rFonts w:ascii="宋体" w:hAnsi="宋体"/>
          <w:kern w:val="0"/>
          <w:sz w:val="24"/>
          <w:szCs w:val="24"/>
        </w:rPr>
      </w:pPr>
      <w:r>
        <w:rPr>
          <w:rFonts w:hint="eastAsia" w:ascii="宋体" w:hAnsi="宋体"/>
          <w:kern w:val="0"/>
          <w:sz w:val="24"/>
          <w:szCs w:val="24"/>
        </w:rPr>
        <w:t>服务期限：服务期暂定为3年，自合同签订之日起至乙方配合甲方完成合同约定所有项目税务咨询服务之日止。</w:t>
      </w:r>
    </w:p>
    <w:p>
      <w:pPr>
        <w:keepNext/>
        <w:keepLines/>
        <w:numPr>
          <w:ilvl w:val="255"/>
          <w:numId w:val="0"/>
        </w:numPr>
        <w:tabs>
          <w:tab w:val="left" w:pos="1260"/>
        </w:tabs>
        <w:adjustRightInd w:val="0"/>
        <w:spacing w:before="260" w:after="260" w:line="360" w:lineRule="auto"/>
        <w:ind w:firstLine="480" w:firstLineChars="200"/>
        <w:textAlignment w:val="baseline"/>
        <w:outlineLvl w:val="2"/>
        <w:rPr>
          <w:rFonts w:ascii="宋体" w:hAnsi="宋体" w:cs="宋体"/>
          <w:color w:val="000000"/>
          <w:sz w:val="24"/>
          <w:szCs w:val="24"/>
        </w:rPr>
      </w:pPr>
      <w:r>
        <w:rPr>
          <w:rFonts w:hint="eastAsia" w:ascii="宋体" w:hAnsi="宋体"/>
          <w:kern w:val="0"/>
          <w:sz w:val="24"/>
          <w:szCs w:val="24"/>
        </w:rPr>
        <w:t>每个项目的服务期限自发出每个项目的任务启动通知单之日起，根据项目的可行性研究报告，编制整体及专项税务测算及管理建议，对</w:t>
      </w:r>
      <w:r>
        <w:rPr>
          <w:rFonts w:hint="eastAsia" w:ascii="宋体" w:hAnsi="宋体"/>
          <w:color w:val="0D0D0D"/>
          <w:kern w:val="0"/>
          <w:sz w:val="24"/>
          <w:szCs w:val="24"/>
        </w:rPr>
        <w:t>未来经营方案出具专项建议报告，该报告于发出通知单日起30天内完成。</w:t>
      </w:r>
    </w:p>
    <w:p>
      <w:pPr>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8"/>
      <w:bookmarkEnd w:id="39"/>
      <w:bookmarkStart w:id="40" w:name="_Toc197404900"/>
      <w:bookmarkStart w:id="41" w:name="_Toc518494122"/>
      <w:bookmarkStart w:id="42" w:name="_Toc57731957"/>
    </w:p>
    <w:p>
      <w:pPr>
        <w:numPr>
          <w:ilvl w:val="0"/>
          <w:numId w:val="8"/>
        </w:numPr>
        <w:suppressAutoHyphens/>
        <w:topLinePunct/>
        <w:snapToGrid w:val="0"/>
        <w:spacing w:line="360" w:lineRule="auto"/>
        <w:contextualSpacing/>
        <w:rPr>
          <w:rFonts w:ascii="宋体" w:hAnsi="宋体"/>
          <w:color w:val="0D0D0D"/>
          <w:kern w:val="0"/>
          <w:sz w:val="24"/>
          <w:szCs w:val="24"/>
        </w:rPr>
      </w:pPr>
      <w:r>
        <w:rPr>
          <w:rFonts w:hint="eastAsia" w:ascii="宋体" w:hAnsi="宋体"/>
          <w:color w:val="0D0D0D"/>
          <w:kern w:val="0"/>
          <w:sz w:val="24"/>
          <w:szCs w:val="24"/>
        </w:rPr>
        <w:t>参选人须为于2019年9月1日前成立的税务师事务所或咨询公司，或上述单位的分支机构</w:t>
      </w:r>
      <w:r>
        <w:rPr>
          <w:rFonts w:hint="eastAsia" w:ascii="宋体" w:hAnsi="宋体"/>
          <w:b/>
          <w:bCs/>
          <w:kern w:val="0"/>
          <w:sz w:val="24"/>
          <w:szCs w:val="24"/>
        </w:rPr>
        <w:t>（若参选人为分支机构，需提供总公司的授权文件）</w:t>
      </w:r>
      <w:r>
        <w:rPr>
          <w:rFonts w:hint="eastAsia" w:ascii="宋体" w:hAnsi="宋体"/>
          <w:color w:val="0D0D0D"/>
          <w:kern w:val="0"/>
          <w:sz w:val="24"/>
          <w:szCs w:val="24"/>
        </w:rPr>
        <w:t>。</w:t>
      </w:r>
    </w:p>
    <w:p>
      <w:pPr>
        <w:numPr>
          <w:ilvl w:val="0"/>
          <w:numId w:val="8"/>
        </w:numPr>
        <w:suppressAutoHyphens/>
        <w:topLinePunct/>
        <w:snapToGrid w:val="0"/>
        <w:spacing w:line="360" w:lineRule="auto"/>
        <w:contextualSpacing/>
        <w:rPr>
          <w:rFonts w:ascii="宋体" w:hAnsi="宋体"/>
          <w:color w:val="0D0D0D"/>
          <w:kern w:val="0"/>
          <w:sz w:val="24"/>
          <w:szCs w:val="24"/>
        </w:rPr>
      </w:pPr>
      <w:r>
        <w:rPr>
          <w:rFonts w:hint="eastAsia" w:ascii="宋体" w:hAnsi="宋体"/>
          <w:color w:val="0D0D0D"/>
          <w:kern w:val="0"/>
          <w:sz w:val="24"/>
          <w:szCs w:val="24"/>
          <w:lang w:val="zh-CN"/>
        </w:rPr>
        <w:t>202</w:t>
      </w:r>
      <w:r>
        <w:rPr>
          <w:rFonts w:hint="eastAsia" w:ascii="宋体" w:hAnsi="宋体"/>
          <w:color w:val="0D0D0D"/>
          <w:kern w:val="0"/>
          <w:sz w:val="24"/>
          <w:szCs w:val="24"/>
        </w:rPr>
        <w:t>0</w:t>
      </w:r>
      <w:r>
        <w:rPr>
          <w:rFonts w:hint="eastAsia" w:ascii="宋体" w:hAnsi="宋体"/>
          <w:color w:val="0D0D0D"/>
          <w:kern w:val="0"/>
          <w:sz w:val="24"/>
          <w:szCs w:val="24"/>
          <w:lang w:val="zh-CN"/>
        </w:rPr>
        <w:t>-202</w:t>
      </w:r>
      <w:r>
        <w:rPr>
          <w:rFonts w:hint="eastAsia" w:ascii="宋体" w:hAnsi="宋体"/>
          <w:color w:val="0D0D0D"/>
          <w:kern w:val="0"/>
          <w:sz w:val="24"/>
          <w:szCs w:val="24"/>
        </w:rPr>
        <w:t>2</w:t>
      </w:r>
      <w:r>
        <w:rPr>
          <w:rFonts w:hint="eastAsia" w:ascii="宋体" w:hAnsi="宋体"/>
          <w:color w:val="0D0D0D"/>
          <w:kern w:val="0"/>
          <w:sz w:val="24"/>
          <w:szCs w:val="24"/>
          <w:lang w:val="zh-CN"/>
        </w:rPr>
        <w:t>年</w:t>
      </w:r>
      <w:r>
        <w:rPr>
          <w:rFonts w:hint="eastAsia" w:ascii="宋体" w:hAnsi="宋体"/>
          <w:color w:val="0D0D0D"/>
          <w:kern w:val="0"/>
          <w:sz w:val="24"/>
          <w:szCs w:val="24"/>
        </w:rPr>
        <w:t>无违规证明</w:t>
      </w:r>
      <w:r>
        <w:rPr>
          <w:rFonts w:hint="eastAsia" w:ascii="宋体" w:hAnsi="宋体"/>
          <w:color w:val="0D0D0D"/>
          <w:kern w:val="0"/>
          <w:sz w:val="24"/>
          <w:szCs w:val="24"/>
          <w:lang w:val="zh-CN"/>
        </w:rPr>
        <w:t>(以深圳市注册税务师协会</w:t>
      </w:r>
      <w:r>
        <w:rPr>
          <w:rFonts w:hint="eastAsia" w:ascii="宋体" w:hAnsi="宋体"/>
          <w:color w:val="0D0D0D"/>
          <w:kern w:val="0"/>
          <w:sz w:val="24"/>
          <w:szCs w:val="24"/>
        </w:rPr>
        <w:t>出具的证明</w:t>
      </w:r>
      <w:r>
        <w:rPr>
          <w:rFonts w:hint="eastAsia" w:ascii="宋体" w:hAnsi="宋体"/>
          <w:color w:val="0D0D0D"/>
          <w:kern w:val="0"/>
          <w:sz w:val="24"/>
          <w:szCs w:val="24"/>
          <w:lang w:val="zh-CN"/>
        </w:rPr>
        <w:t>为准）</w:t>
      </w:r>
      <w:r>
        <w:rPr>
          <w:rFonts w:hint="eastAsia" w:ascii="宋体" w:hAnsi="宋体"/>
          <w:color w:val="0D0D0D"/>
          <w:kern w:val="0"/>
          <w:sz w:val="24"/>
          <w:szCs w:val="24"/>
        </w:rPr>
        <w:t>（若参选人为税务师事务所）。</w:t>
      </w:r>
    </w:p>
    <w:p>
      <w:pPr>
        <w:numPr>
          <w:ilvl w:val="0"/>
          <w:numId w:val="8"/>
        </w:numPr>
        <w:suppressAutoHyphens/>
        <w:topLinePunct/>
        <w:snapToGrid w:val="0"/>
        <w:spacing w:line="360" w:lineRule="auto"/>
        <w:contextualSpacing/>
        <w:rPr>
          <w:rFonts w:ascii="宋体" w:hAnsi="宋体"/>
          <w:color w:val="0D0D0D"/>
          <w:kern w:val="0"/>
          <w:sz w:val="24"/>
          <w:szCs w:val="24"/>
        </w:rPr>
      </w:pPr>
      <w:r>
        <w:rPr>
          <w:rFonts w:hint="eastAsia" w:ascii="宋体" w:hAnsi="宋体"/>
          <w:color w:val="0D0D0D"/>
          <w:kern w:val="0"/>
          <w:sz w:val="24"/>
          <w:szCs w:val="24"/>
        </w:rPr>
        <w:t>注册税务师协会认定的AAA级以上（含AAA级）（2020年1月1日后授予）（若参选人为税务师事务所）。</w:t>
      </w:r>
    </w:p>
    <w:p>
      <w:pPr>
        <w:numPr>
          <w:ilvl w:val="0"/>
          <w:numId w:val="8"/>
        </w:numPr>
        <w:suppressAutoHyphens/>
        <w:topLinePunct/>
        <w:snapToGrid w:val="0"/>
        <w:spacing w:line="360" w:lineRule="auto"/>
        <w:contextualSpacing/>
        <w:rPr>
          <w:rFonts w:ascii="宋体" w:hAnsi="宋体"/>
          <w:color w:val="0D0D0D"/>
          <w:kern w:val="0"/>
          <w:sz w:val="24"/>
          <w:szCs w:val="24"/>
        </w:rPr>
      </w:pPr>
      <w:r>
        <w:rPr>
          <w:rFonts w:hint="eastAsia" w:ascii="宋体" w:hAnsi="宋体"/>
          <w:color w:val="0D0D0D"/>
          <w:kern w:val="0"/>
          <w:sz w:val="24"/>
          <w:szCs w:val="24"/>
        </w:rPr>
        <w:t>2019年11月1日以来(以合同签约日期为准)，具有税务咨询服务经验5个项目（须为落地深圳的房地产项目）以上。</w:t>
      </w:r>
    </w:p>
    <w:p>
      <w:pPr>
        <w:numPr>
          <w:ilvl w:val="0"/>
          <w:numId w:val="8"/>
        </w:numPr>
        <w:spacing w:line="360" w:lineRule="auto"/>
        <w:rPr>
          <w:rFonts w:hAnsi="宋体"/>
          <w:bCs/>
          <w:color w:val="0D0D0D"/>
          <w:sz w:val="24"/>
          <w:szCs w:val="22"/>
        </w:rPr>
      </w:pPr>
      <w:r>
        <w:rPr>
          <w:rFonts w:hint="eastAsia" w:hAnsi="宋体"/>
          <w:bCs/>
          <w:color w:val="0D0D0D"/>
          <w:sz w:val="24"/>
          <w:szCs w:val="22"/>
        </w:rPr>
        <w:t>不接受联合体投标。</w:t>
      </w:r>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五、比选、参选的</w:t>
      </w:r>
      <w:bookmarkEnd w:id="40"/>
      <w:r>
        <w:rPr>
          <w:rFonts w:hint="eastAsia" w:ascii="宋体" w:hAnsi="宋体"/>
          <w:b/>
          <w:kern w:val="0"/>
          <w:sz w:val="24"/>
          <w:szCs w:val="24"/>
        </w:rPr>
        <w:t>时间安排</w:t>
      </w:r>
      <w:bookmarkEnd w:id="41"/>
      <w:bookmarkEnd w:id="42"/>
    </w:p>
    <w:tbl>
      <w:tblPr>
        <w:tblStyle w:val="49"/>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序号</w:t>
            </w:r>
          </w:p>
        </w:tc>
        <w:tc>
          <w:tcPr>
            <w:tcW w:w="860"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1</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highlight w:val="none"/>
                <w:lang w:val="en-US" w:eastAsia="zh-CN"/>
              </w:rPr>
            </w:pPr>
            <w:r>
              <w:rPr>
                <w:rFonts w:hint="eastAsia" w:ascii="宋体" w:hAnsi="宋体"/>
                <w:kern w:val="0"/>
                <w:sz w:val="24"/>
                <w:szCs w:val="24"/>
                <w:highlight w:val="none"/>
              </w:rPr>
              <w:t>2022年11月2</w:t>
            </w:r>
            <w:r>
              <w:rPr>
                <w:rFonts w:hint="eastAsia" w:ascii="宋体" w:hAnsi="宋体"/>
                <w:kern w:val="0"/>
                <w:sz w:val="24"/>
                <w:szCs w:val="24"/>
                <w:highlight w:val="none"/>
                <w:lang w:val="en-US" w:eastAsia="zh-CN"/>
              </w:rPr>
              <w:t>9</w:t>
            </w:r>
            <w:r>
              <w:rPr>
                <w:rFonts w:hint="eastAsia" w:ascii="宋体" w:hAnsi="宋体"/>
                <w:kern w:val="0"/>
                <w:sz w:val="24"/>
                <w:szCs w:val="24"/>
                <w:highlight w:val="none"/>
              </w:rPr>
              <w:t>日</w:t>
            </w:r>
            <w:r>
              <w:rPr>
                <w:rFonts w:hint="eastAsia" w:ascii="宋体" w:hAnsi="宋体"/>
                <w:kern w:val="0"/>
                <w:sz w:val="24"/>
                <w:szCs w:val="24"/>
                <w:highlight w:val="none"/>
                <w:lang w:val="en-US" w:eastAsia="zh-CN"/>
              </w:rPr>
              <w:t xml:space="preserve"> 9:30</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2</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2022年12月</w:t>
            </w:r>
            <w:r>
              <w:rPr>
                <w:rFonts w:hint="eastAsia" w:ascii="宋体" w:hAnsi="宋体"/>
                <w:kern w:val="0"/>
                <w:sz w:val="24"/>
                <w:szCs w:val="24"/>
                <w:highlight w:val="none"/>
                <w:lang w:val="en-US" w:eastAsia="zh-CN"/>
              </w:rPr>
              <w:t>9</w:t>
            </w:r>
            <w:r>
              <w:rPr>
                <w:rFonts w:hint="eastAsia" w:ascii="宋体" w:hAnsi="宋体"/>
                <w:kern w:val="0"/>
                <w:sz w:val="24"/>
                <w:szCs w:val="24"/>
                <w:highlight w:val="none"/>
              </w:rPr>
              <w:t xml:space="preserve">日 </w:t>
            </w:r>
            <w:r>
              <w:rPr>
                <w:rFonts w:hint="eastAsia" w:ascii="宋体" w:hAnsi="宋体"/>
                <w:kern w:val="0"/>
                <w:sz w:val="24"/>
                <w:szCs w:val="24"/>
                <w:highlight w:val="none"/>
                <w:lang w:val="en-US" w:eastAsia="zh-CN"/>
              </w:rPr>
              <w:t>9:30</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highlight w:val="none"/>
              </w:rPr>
            </w:pPr>
            <w:r>
              <w:rPr>
                <w:rFonts w:ascii="宋体" w:hAnsi="宋体"/>
                <w:snapToGrid w:val="0"/>
                <w:sz w:val="24"/>
                <w:szCs w:val="24"/>
                <w:highlight w:val="none"/>
              </w:rPr>
              <w:t>电子版参选文件递交平台：</w:t>
            </w:r>
            <w:r>
              <w:rPr>
                <w:rFonts w:hint="eastAsia" w:ascii="宋体" w:hAnsi="宋体"/>
                <w:snapToGrid w:val="0"/>
                <w:sz w:val="24"/>
                <w:szCs w:val="24"/>
                <w:highlight w:val="none"/>
              </w:rPr>
              <w:t>深圳地铁智能招采管理平台（</w:t>
            </w:r>
            <w:r>
              <w:rPr>
                <w:rFonts w:ascii="宋体" w:hAnsi="宋体"/>
                <w:snapToGrid w:val="0"/>
                <w:sz w:val="24"/>
                <w:szCs w:val="24"/>
                <w:highlight w:val="none"/>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3</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2022年12月</w:t>
            </w:r>
            <w:r>
              <w:rPr>
                <w:rFonts w:hint="eastAsia" w:ascii="宋体" w:hAnsi="宋体"/>
                <w:kern w:val="0"/>
                <w:sz w:val="24"/>
                <w:szCs w:val="24"/>
                <w:highlight w:val="none"/>
                <w:lang w:val="en-US" w:eastAsia="zh-CN"/>
              </w:rPr>
              <w:t>9</w:t>
            </w:r>
            <w:r>
              <w:rPr>
                <w:rFonts w:hint="eastAsia" w:ascii="宋体" w:hAnsi="宋体"/>
                <w:kern w:val="0"/>
                <w:sz w:val="24"/>
                <w:szCs w:val="24"/>
                <w:highlight w:val="none"/>
              </w:rPr>
              <w:t xml:space="preserve">日 </w:t>
            </w:r>
            <w:r>
              <w:rPr>
                <w:rFonts w:hint="eastAsia" w:ascii="宋体" w:hAnsi="宋体"/>
                <w:kern w:val="0"/>
                <w:sz w:val="24"/>
                <w:szCs w:val="24"/>
                <w:highlight w:val="none"/>
                <w:lang w:val="en-US" w:eastAsia="zh-CN"/>
              </w:rPr>
              <w:t>9:30</w:t>
            </w:r>
          </w:p>
        </w:tc>
        <w:tc>
          <w:tcPr>
            <w:tcW w:w="2687" w:type="pct"/>
            <w:tcBorders>
              <w:top w:val="single" w:color="auto" w:sz="4" w:space="0"/>
              <w:left w:val="single" w:color="auto" w:sz="4" w:space="0"/>
              <w:bottom w:val="single" w:color="auto" w:sz="4" w:space="0"/>
              <w:right w:val="single" w:color="auto" w:sz="4" w:space="0"/>
            </w:tcBorders>
            <w:vAlign w:val="center"/>
          </w:tcPr>
          <w:p>
            <w:pPr>
              <w:rPr>
                <w:highlight w:val="none"/>
              </w:rPr>
            </w:pPr>
            <w:r>
              <w:rPr>
                <w:rFonts w:ascii="宋体" w:hAnsi="宋体"/>
                <w:snapToGrid w:val="0"/>
                <w:sz w:val="24"/>
                <w:szCs w:val="24"/>
                <w:highlight w:val="none"/>
              </w:rPr>
              <w:t>开标地点：深圳市福田区福中一路地铁大厦深圳地铁智能评定标中心进行开评标</w:t>
            </w:r>
          </w:p>
          <w:p>
            <w:pPr>
              <w:spacing w:line="360" w:lineRule="auto"/>
              <w:jc w:val="left"/>
              <w:rPr>
                <w:rFonts w:ascii="宋体" w:hAnsi="宋体"/>
                <w:kern w:val="0"/>
                <w:sz w:val="24"/>
                <w:szCs w:val="24"/>
                <w:highlight w:val="none"/>
              </w:rPr>
            </w:pPr>
          </w:p>
        </w:tc>
      </w:tr>
    </w:tbl>
    <w:p>
      <w:pPr>
        <w:pStyle w:val="3"/>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3" w:name="_Toc518494123"/>
      <w:bookmarkStart w:id="44" w:name="_Toc57731958"/>
      <w:r>
        <w:rPr>
          <w:rFonts w:hint="eastAsia" w:ascii="宋体" w:hAnsi="宋体"/>
          <w:b/>
          <w:kern w:val="0"/>
          <w:sz w:val="24"/>
          <w:szCs w:val="24"/>
        </w:rPr>
        <w:t>六、参选费用</w:t>
      </w:r>
      <w:bookmarkEnd w:id="43"/>
      <w:bookmarkEnd w:id="44"/>
    </w:p>
    <w:p>
      <w:pPr>
        <w:pStyle w:val="3"/>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5" w:name="_Toc57731959"/>
      <w:bookmarkStart w:id="46" w:name="_Toc518494124"/>
      <w:r>
        <w:rPr>
          <w:rFonts w:hint="eastAsia" w:ascii="宋体" w:hAnsi="宋体"/>
          <w:b/>
          <w:kern w:val="0"/>
          <w:sz w:val="24"/>
          <w:szCs w:val="24"/>
        </w:rPr>
        <w:t>七、参选报价限价</w:t>
      </w:r>
      <w:bookmarkEnd w:id="45"/>
      <w:bookmarkEnd w:id="46"/>
    </w:p>
    <w:p>
      <w:pPr>
        <w:pStyle w:val="25"/>
        <w:tabs>
          <w:tab w:val="right" w:pos="9026"/>
        </w:tabs>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int="eastAsia" w:hAnsi="宋体"/>
          <w:b/>
          <w:bCs/>
          <w:sz w:val="24"/>
          <w:szCs w:val="24"/>
          <w:u w:val="single"/>
        </w:rPr>
        <w:t>99万元</w:t>
      </w:r>
      <w:r>
        <w:rPr>
          <w:rFonts w:hint="eastAsia" w:hAnsi="宋体"/>
          <w:sz w:val="24"/>
          <w:szCs w:val="24"/>
        </w:rPr>
        <w:t>（含税），单个项目服务费的最高限价为人民币6.6万元（含税）。参选人报价高于总额最高上限价或单项上限价将作为无效标处理。</w:t>
      </w:r>
    </w:p>
    <w:p>
      <w:pPr>
        <w:pStyle w:val="25"/>
        <w:tabs>
          <w:tab w:val="right" w:pos="9026"/>
        </w:tabs>
        <w:spacing w:line="360" w:lineRule="auto"/>
        <w:ind w:firstLine="480" w:firstLineChars="200"/>
        <w:rPr>
          <w:color w:val="0D0D0D"/>
          <w:sz w:val="24"/>
          <w:szCs w:val="24"/>
        </w:rPr>
      </w:pPr>
      <w:r>
        <w:rPr>
          <w:rFonts w:hint="eastAsia" w:hAnsi="宋体"/>
          <w:color w:val="0D0D0D"/>
          <w:sz w:val="24"/>
          <w:szCs w:val="24"/>
        </w:rPr>
        <w:t>报价为含税价，包含</w:t>
      </w:r>
      <w:r>
        <w:rPr>
          <w:color w:val="0D0D0D"/>
          <w:sz w:val="24"/>
          <w:szCs w:val="24"/>
        </w:rPr>
        <w:t>履行本合同而提供的</w:t>
      </w:r>
      <w:r>
        <w:rPr>
          <w:rFonts w:hint="eastAsia"/>
          <w:color w:val="0D0D0D"/>
          <w:sz w:val="24"/>
          <w:szCs w:val="24"/>
        </w:rPr>
        <w:t>工作</w:t>
      </w:r>
      <w:r>
        <w:rPr>
          <w:color w:val="0D0D0D"/>
          <w:sz w:val="24"/>
          <w:szCs w:val="24"/>
        </w:rPr>
        <w:t>成果和相关服务的知识产权、版权费等第三方费用、根据法律由</w:t>
      </w:r>
      <w:r>
        <w:rPr>
          <w:rFonts w:hint="eastAsia"/>
          <w:color w:val="0D0D0D"/>
          <w:sz w:val="24"/>
          <w:szCs w:val="24"/>
        </w:rPr>
        <w:t>参选</w:t>
      </w:r>
      <w:r>
        <w:rPr>
          <w:color w:val="0D0D0D"/>
          <w:sz w:val="24"/>
          <w:szCs w:val="24"/>
        </w:rPr>
        <w:t>人支付的税费、合同文本等资料的印刷费等已经包含在</w:t>
      </w:r>
      <w:r>
        <w:rPr>
          <w:rFonts w:hint="eastAsia"/>
          <w:color w:val="0D0D0D"/>
          <w:sz w:val="24"/>
          <w:szCs w:val="24"/>
        </w:rPr>
        <w:t>服务</w:t>
      </w:r>
      <w:r>
        <w:rPr>
          <w:color w:val="0D0D0D"/>
          <w:sz w:val="24"/>
          <w:szCs w:val="24"/>
        </w:rPr>
        <w:t>费中</w:t>
      </w:r>
      <w:r>
        <w:rPr>
          <w:rFonts w:hint="eastAsia"/>
          <w:color w:val="0D0D0D"/>
          <w:sz w:val="24"/>
          <w:szCs w:val="24"/>
        </w:rPr>
        <w:t>，包含本项目服务</w:t>
      </w:r>
      <w:r>
        <w:rPr>
          <w:color w:val="0D0D0D"/>
          <w:sz w:val="24"/>
          <w:szCs w:val="24"/>
        </w:rPr>
        <w:t>过程中发生的人员薪金、差旅费、培训费等</w:t>
      </w:r>
      <w:r>
        <w:rPr>
          <w:rFonts w:hint="eastAsia"/>
          <w:color w:val="0D0D0D"/>
          <w:sz w:val="24"/>
          <w:szCs w:val="24"/>
        </w:rPr>
        <w:t>参</w:t>
      </w:r>
      <w:r>
        <w:rPr>
          <w:color w:val="0D0D0D"/>
          <w:sz w:val="24"/>
          <w:szCs w:val="24"/>
        </w:rPr>
        <w:t>选人完成本合同约定服务内容并经</w:t>
      </w:r>
      <w:r>
        <w:rPr>
          <w:rFonts w:hint="eastAsia"/>
          <w:color w:val="0D0D0D"/>
          <w:sz w:val="24"/>
          <w:szCs w:val="24"/>
        </w:rPr>
        <w:t>比</w:t>
      </w:r>
      <w:r>
        <w:rPr>
          <w:color w:val="0D0D0D"/>
          <w:sz w:val="24"/>
          <w:szCs w:val="24"/>
        </w:rPr>
        <w:t>选人确认合格所需的一切费用</w:t>
      </w:r>
      <w:r>
        <w:rPr>
          <w:rFonts w:hint="eastAsia"/>
          <w:color w:val="0D0D0D"/>
          <w:sz w:val="24"/>
          <w:szCs w:val="24"/>
        </w:rPr>
        <w:t>。除本合同另有约定外，比选</w:t>
      </w:r>
      <w:r>
        <w:rPr>
          <w:color w:val="0D0D0D"/>
          <w:sz w:val="24"/>
          <w:szCs w:val="24"/>
        </w:rPr>
        <w:t>人</w:t>
      </w:r>
      <w:r>
        <w:rPr>
          <w:rFonts w:hint="eastAsia"/>
          <w:color w:val="0D0D0D"/>
          <w:sz w:val="24"/>
          <w:szCs w:val="24"/>
        </w:rPr>
        <w:t>无需另行向参</w:t>
      </w:r>
      <w:r>
        <w:rPr>
          <w:color w:val="0D0D0D"/>
          <w:sz w:val="24"/>
          <w:szCs w:val="24"/>
        </w:rPr>
        <w:t>选人</w:t>
      </w:r>
      <w:r>
        <w:rPr>
          <w:rFonts w:hint="eastAsia"/>
          <w:color w:val="0D0D0D"/>
          <w:sz w:val="24"/>
          <w:szCs w:val="24"/>
        </w:rPr>
        <w:t>支付其它任何费用。</w:t>
      </w:r>
    </w:p>
    <w:p>
      <w:pPr>
        <w:pStyle w:val="25"/>
        <w:tabs>
          <w:tab w:val="right" w:pos="9026"/>
        </w:tabs>
        <w:spacing w:line="360" w:lineRule="auto"/>
        <w:ind w:firstLine="480" w:firstLineChars="200"/>
        <w:rPr>
          <w:rFonts w:hint="eastAsia" w:hAnsi="宋体"/>
          <w:color w:val="0D0D0D"/>
          <w:sz w:val="24"/>
          <w:szCs w:val="24"/>
        </w:rPr>
      </w:pPr>
      <w:r>
        <w:rPr>
          <w:rFonts w:hint="eastAsia"/>
          <w:color w:val="0D0D0D"/>
          <w:sz w:val="24"/>
          <w:szCs w:val="24"/>
        </w:rPr>
        <w:t>八</w:t>
      </w:r>
      <w:r>
        <w:rPr>
          <w:color w:val="0D0D0D"/>
          <w:sz w:val="24"/>
          <w:szCs w:val="24"/>
        </w:rPr>
        <w:t>、本比选文件</w:t>
      </w:r>
      <w:r>
        <w:rPr>
          <w:rFonts w:hint="eastAsia"/>
          <w:color w:val="0D0D0D"/>
          <w:sz w:val="24"/>
          <w:szCs w:val="24"/>
        </w:rPr>
        <w:t>法</w:t>
      </w:r>
      <w:r>
        <w:rPr>
          <w:color w:val="0D0D0D"/>
          <w:sz w:val="24"/>
          <w:szCs w:val="24"/>
        </w:rPr>
        <w:t>定代表人</w:t>
      </w:r>
      <w:r>
        <w:rPr>
          <w:rFonts w:hint="eastAsia"/>
          <w:color w:val="0D0D0D"/>
          <w:sz w:val="24"/>
          <w:szCs w:val="24"/>
        </w:rPr>
        <w:t>指</w:t>
      </w:r>
      <w:r>
        <w:rPr>
          <w:color w:val="0D0D0D"/>
          <w:sz w:val="24"/>
          <w:szCs w:val="24"/>
        </w:rPr>
        <w:t>法定代表人或法定负责人。</w:t>
      </w:r>
    </w:p>
    <w:p>
      <w:pPr>
        <w:pStyle w:val="25"/>
        <w:tabs>
          <w:tab w:val="right" w:pos="9026"/>
        </w:tabs>
        <w:spacing w:line="360" w:lineRule="auto"/>
        <w:ind w:firstLine="480" w:firstLineChars="200"/>
        <w:rPr>
          <w:rFonts w:hAnsi="宋体"/>
          <w:sz w:val="24"/>
          <w:szCs w:val="24"/>
        </w:rPr>
      </w:pPr>
    </w:p>
    <w:p>
      <w:pPr>
        <w:pStyle w:val="6"/>
        <w:spacing w:after="0" w:line="360" w:lineRule="auto"/>
        <w:rPr>
          <w:szCs w:val="28"/>
        </w:rPr>
      </w:pPr>
      <w:r>
        <w:rPr>
          <w:rFonts w:hint="eastAsia"/>
        </w:rPr>
        <w:br w:type="page"/>
      </w:r>
      <w:bookmarkStart w:id="47" w:name="_Toc57731960"/>
      <w:r>
        <w:rPr>
          <w:rFonts w:hint="eastAsia" w:ascii="宋体" w:hAnsi="宋体" w:eastAsia="宋体"/>
          <w:b/>
          <w:szCs w:val="28"/>
        </w:rPr>
        <w:t>第二章  比选文件</w:t>
      </w:r>
      <w:bookmarkEnd w:id="47"/>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8" w:name="_Toc518494126"/>
      <w:bookmarkStart w:id="49" w:name="_Toc57731961"/>
      <w:r>
        <w:rPr>
          <w:rFonts w:hint="eastAsia" w:ascii="宋体" w:hAnsi="宋体"/>
          <w:b/>
          <w:kern w:val="0"/>
          <w:sz w:val="24"/>
          <w:szCs w:val="24"/>
        </w:rPr>
        <w:t>一、比选文件的构成</w:t>
      </w:r>
      <w:bookmarkEnd w:id="48"/>
      <w:bookmarkEnd w:id="49"/>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ascii="宋体" w:hAnsi="宋体"/>
          <w:b/>
          <w:bCs/>
          <w:color w:val="0D0D0D"/>
          <w:sz w:val="24"/>
          <w:szCs w:val="22"/>
          <w:u w:val="single"/>
        </w:rPr>
        <w:t>昂鹅等</w:t>
      </w:r>
      <w:r>
        <w:rPr>
          <w:rFonts w:hint="eastAsia" w:ascii="宋体" w:hAnsi="宋体"/>
          <w:b/>
          <w:bCs/>
          <w:color w:val="0D0D0D"/>
          <w:sz w:val="24"/>
          <w:szCs w:val="22"/>
          <w:u w:val="single"/>
          <w:lang w:val="en-US" w:eastAsia="zh-CN"/>
        </w:rPr>
        <w:t>十五</w:t>
      </w:r>
      <w:r>
        <w:rPr>
          <w:rFonts w:hint="eastAsia" w:ascii="宋体" w:hAnsi="宋体"/>
          <w:b/>
          <w:bCs/>
          <w:color w:val="0D0D0D"/>
          <w:sz w:val="24"/>
          <w:szCs w:val="22"/>
          <w:u w:val="single"/>
        </w:rPr>
        <w:t>个新项目税务咨询服务</w:t>
      </w:r>
      <w:r>
        <w:rPr>
          <w:rFonts w:hint="eastAsia" w:ascii="宋体" w:hAnsi="宋体"/>
          <w:sz w:val="24"/>
        </w:rPr>
        <w:t>工作任务及要求、合同条款等，比选文件由下述部分组成：</w:t>
      </w:r>
    </w:p>
    <w:p>
      <w:pPr>
        <w:adjustRightInd w:val="0"/>
        <w:snapToGrid w:val="0"/>
        <w:spacing w:line="360" w:lineRule="auto"/>
        <w:ind w:left="479"/>
        <w:rPr>
          <w:rFonts w:eastAsia="Times New Roman"/>
          <w:sz w:val="24"/>
          <w:szCs w:val="32"/>
        </w:rPr>
      </w:pPr>
      <w:bookmarkStart w:id="50" w:name="_Toc57731962"/>
      <w:bookmarkStart w:id="51" w:name="_Toc197404903"/>
      <w:bookmarkStart w:id="52" w:name="_Toc518494127"/>
      <w:r>
        <w:rPr>
          <w:rFonts w:hint="eastAsia" w:ascii="宋体" w:hAnsi="宋体" w:cs="宋体"/>
          <w:sz w:val="24"/>
          <w:szCs w:val="32"/>
        </w:rPr>
        <w:t>致参选人</w:t>
      </w:r>
    </w:p>
    <w:p>
      <w:pPr>
        <w:adjustRightInd w:val="0"/>
        <w:snapToGrid w:val="0"/>
        <w:spacing w:line="360" w:lineRule="auto"/>
        <w:ind w:left="479"/>
        <w:rPr>
          <w:rFonts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rPr>
          <w:rFonts w:eastAsia="Times New Roman"/>
          <w:sz w:val="24"/>
          <w:szCs w:val="32"/>
        </w:rPr>
      </w:pPr>
      <w:r>
        <w:rPr>
          <w:rFonts w:hint="eastAsia" w:ascii="宋体" w:hAnsi="宋体" w:cs="宋体"/>
          <w:sz w:val="24"/>
          <w:szCs w:val="32"/>
        </w:rPr>
        <w:t>第一篇</w:t>
      </w:r>
      <w:r>
        <w:rPr>
          <w:rFonts w:hint="eastAsia"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rPr>
          <w:rFonts w:eastAsia="Times New Roman"/>
          <w:sz w:val="24"/>
          <w:szCs w:val="32"/>
        </w:rPr>
      </w:pPr>
      <w:r>
        <w:rPr>
          <w:rFonts w:hint="eastAsia" w:ascii="宋体" w:hAnsi="宋体" w:cs="宋体"/>
          <w:sz w:val="24"/>
          <w:szCs w:val="32"/>
        </w:rPr>
        <w:t>第二篇</w:t>
      </w:r>
      <w:r>
        <w:rPr>
          <w:rFonts w:hint="eastAsia"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rPr>
          <w:rFonts w:eastAsia="Times New Roman"/>
          <w:sz w:val="24"/>
          <w:szCs w:val="32"/>
        </w:rPr>
      </w:pPr>
      <w:r>
        <w:rPr>
          <w:rFonts w:hint="eastAsia" w:ascii="宋体" w:hAnsi="宋体" w:cs="宋体"/>
          <w:sz w:val="24"/>
          <w:szCs w:val="32"/>
        </w:rPr>
        <w:t>第三篇</w:t>
      </w:r>
      <w:r>
        <w:rPr>
          <w:rFonts w:hint="eastAsia" w:eastAsia="Times New Roman"/>
          <w:sz w:val="24"/>
          <w:szCs w:val="32"/>
        </w:rPr>
        <w:t xml:space="preserve"> </w:t>
      </w:r>
      <w:r>
        <w:rPr>
          <w:rFonts w:hint="eastAsia" w:ascii="宋体" w:hAnsi="宋体" w:cs="宋体"/>
          <w:sz w:val="24"/>
          <w:szCs w:val="32"/>
        </w:rPr>
        <w:t>合同条款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50"/>
      <w:bookmarkEnd w:id="51"/>
      <w:bookmarkEnd w:id="52"/>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在</w:t>
      </w:r>
      <w:r>
        <w:rPr>
          <w:rFonts w:hint="eastAsia" w:ascii="宋体" w:hAnsi="宋体"/>
          <w:kern w:val="0"/>
          <w:sz w:val="24"/>
        </w:rPr>
        <w:t>深圳地铁智能招采系统</w:t>
      </w:r>
      <w:r>
        <w:rPr>
          <w:rFonts w:hint="eastAsia" w:ascii="宋体" w:hAnsi="宋体"/>
          <w:sz w:val="24"/>
          <w:szCs w:val="24"/>
        </w:rPr>
        <w:t>向比选人提出。不论是比选人根据需要主动对比选文件进行必要的澄清或是根据参选人的要求对比选文件做出澄清，比选人的补遗文件都将在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ascii="宋体" w:hAnsi="宋体"/>
          <w:kern w:val="0"/>
          <w:sz w:val="24"/>
          <w:szCs w:val="24"/>
        </w:rPr>
        <w:t>深铁招采网、深圳地铁官网、国资委阳光采购平台</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参选截止日3日前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6"/>
        <w:spacing w:after="0" w:line="360" w:lineRule="auto"/>
        <w:rPr>
          <w:rFonts w:ascii="宋体" w:hAnsi="宋体" w:eastAsia="宋体"/>
          <w:b/>
          <w:szCs w:val="28"/>
        </w:rPr>
      </w:pPr>
      <w:bookmarkStart w:id="53" w:name="_Toc57731963"/>
      <w:bookmarkStart w:id="54" w:name="_Toc518494128"/>
      <w:r>
        <w:rPr>
          <w:rFonts w:hint="eastAsia" w:ascii="宋体" w:hAnsi="宋体" w:eastAsia="宋体"/>
          <w:b/>
          <w:szCs w:val="28"/>
        </w:rPr>
        <w:t>第三章  参选文件的编写</w:t>
      </w:r>
      <w:bookmarkEnd w:id="53"/>
      <w:bookmarkEnd w:id="54"/>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5" w:name="_Toc57731964"/>
      <w:bookmarkStart w:id="56" w:name="_Toc197404905"/>
      <w:bookmarkStart w:id="57" w:name="_Toc518494129"/>
      <w:r>
        <w:rPr>
          <w:rFonts w:hint="eastAsia" w:ascii="宋体" w:hAnsi="宋体"/>
          <w:b/>
          <w:kern w:val="0"/>
          <w:sz w:val="24"/>
          <w:szCs w:val="24"/>
        </w:rPr>
        <w:t>一、参选文件的组成及要求</w:t>
      </w:r>
      <w:bookmarkEnd w:id="55"/>
      <w:bookmarkEnd w:id="56"/>
      <w:bookmarkEnd w:id="57"/>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参选文件格式要求：参选文件采用中文编写。</w:t>
      </w:r>
    </w:p>
    <w:p>
      <w:pPr>
        <w:pStyle w:val="3"/>
        <w:tabs>
          <w:tab w:val="left" w:pos="945"/>
          <w:tab w:val="left" w:pos="1275"/>
        </w:tabs>
        <w:snapToGrid w:val="0"/>
        <w:spacing w:line="360" w:lineRule="auto"/>
        <w:ind w:left="0" w:leftChars="0" w:firstLine="482" w:firstLineChars="200"/>
        <w:jc w:val="left"/>
        <w:rPr>
          <w:rFonts w:ascii="宋体" w:hAnsi="宋体"/>
          <w:b/>
          <w:bCs/>
          <w:sz w:val="24"/>
          <w:u w:val="single"/>
        </w:rPr>
      </w:pPr>
      <w:r>
        <w:rPr>
          <w:rFonts w:hint="eastAsia" w:ascii="宋体" w:hAnsi="宋体"/>
          <w:b/>
          <w:bCs/>
          <w:sz w:val="24"/>
          <w:szCs w:val="21"/>
          <w:u w:val="single"/>
        </w:rPr>
        <w:t>投标文件建议按照“技术标书”、“商务标书”分成两册后，按要求分别上传深圳地铁智能招采管理平台（</w:t>
      </w:r>
      <w:r>
        <w:rPr>
          <w:rFonts w:ascii="宋体" w:hAnsi="宋体"/>
          <w:b/>
          <w:bCs/>
          <w:sz w:val="24"/>
          <w:szCs w:val="21"/>
          <w:u w:val="single"/>
        </w:rPr>
        <w:t>https://cg.shenzhenmc.com/）</w:t>
      </w:r>
      <w:r>
        <w:rPr>
          <w:rFonts w:hint="eastAsia" w:ascii="宋体" w:hAnsi="宋体"/>
          <w:b/>
          <w:bCs/>
          <w:sz w:val="24"/>
          <w:szCs w:val="21"/>
          <w:u w:val="single"/>
        </w:rPr>
        <w:t>。</w:t>
      </w:r>
    </w:p>
    <w:p>
      <w:pPr>
        <w:keepNext/>
        <w:keepLines/>
        <w:tabs>
          <w:tab w:val="left" w:pos="1260"/>
        </w:tabs>
        <w:adjustRightInd w:val="0"/>
        <w:spacing w:line="360" w:lineRule="auto"/>
        <w:ind w:left="420" w:leftChars="200"/>
        <w:textAlignment w:val="baseline"/>
        <w:outlineLvl w:val="2"/>
        <w:rPr>
          <w:rFonts w:ascii="宋体" w:hAnsi="宋体"/>
          <w:b/>
          <w:kern w:val="0"/>
          <w:sz w:val="24"/>
          <w:szCs w:val="24"/>
        </w:rPr>
      </w:pPr>
      <w:bookmarkStart w:id="58" w:name="_Toc518494130"/>
      <w:bookmarkStart w:id="59" w:name="_Toc57731965"/>
      <w:bookmarkStart w:id="60" w:name="_Toc197404906"/>
      <w:r>
        <w:rPr>
          <w:rFonts w:hint="eastAsia" w:ascii="宋体" w:hAnsi="宋体"/>
          <w:b/>
          <w:kern w:val="0"/>
          <w:sz w:val="24"/>
          <w:szCs w:val="24"/>
        </w:rPr>
        <w:t>二、参选文件内容编写要求</w:t>
      </w:r>
      <w:bookmarkEnd w:id="5"/>
      <w:bookmarkEnd w:id="58"/>
      <w:bookmarkEnd w:id="59"/>
      <w:bookmarkEnd w:id="60"/>
    </w:p>
    <w:p>
      <w:pPr>
        <w:keepNext/>
        <w:keepLines/>
        <w:tabs>
          <w:tab w:val="left" w:pos="1260"/>
        </w:tabs>
        <w:adjustRightInd w:val="0"/>
        <w:spacing w:line="360" w:lineRule="auto"/>
        <w:ind w:firstLine="482" w:firstLineChars="200"/>
        <w:textAlignment w:val="baseline"/>
        <w:outlineLvl w:val="2"/>
        <w:rPr>
          <w:rFonts w:ascii="宋体" w:hAnsi="宋体"/>
          <w:b/>
          <w:bCs/>
          <w:color w:val="0D0D0D"/>
          <w:sz w:val="24"/>
          <w:szCs w:val="24"/>
        </w:rPr>
      </w:pPr>
      <w:r>
        <w:rPr>
          <w:rFonts w:hint="eastAsia" w:ascii="宋体" w:hAnsi="宋体"/>
          <w:b/>
          <w:bCs/>
          <w:color w:val="0D0D0D"/>
          <w:sz w:val="24"/>
          <w:szCs w:val="24"/>
        </w:rPr>
        <w:t>（一）</w:t>
      </w:r>
      <w:r>
        <w:rPr>
          <w:rFonts w:hint="eastAsia" w:ascii="宋体" w:hAnsi="宋体"/>
          <w:b/>
          <w:bCs/>
          <w:color w:val="0D0D0D"/>
          <w:sz w:val="24"/>
          <w:szCs w:val="24"/>
          <w:u w:val="single"/>
        </w:rPr>
        <w:t>“技术标书”</w:t>
      </w:r>
      <w:r>
        <w:rPr>
          <w:rFonts w:hint="eastAsia" w:ascii="宋体" w:hAnsi="宋体"/>
          <w:b/>
          <w:bCs/>
          <w:color w:val="0D0D0D"/>
          <w:sz w:val="24"/>
          <w:szCs w:val="24"/>
        </w:rPr>
        <w:t>的编写</w:t>
      </w:r>
    </w:p>
    <w:p>
      <w:pPr>
        <w:pStyle w:val="25"/>
        <w:spacing w:line="360" w:lineRule="auto"/>
        <w:ind w:left="425"/>
        <w:rPr>
          <w:rFonts w:hAnsi="宋体"/>
          <w:color w:val="0D0D0D"/>
          <w:sz w:val="24"/>
          <w:szCs w:val="24"/>
        </w:rPr>
      </w:pPr>
      <w:r>
        <w:rPr>
          <w:rFonts w:hint="eastAsia" w:hAnsi="宋体"/>
          <w:color w:val="0D0D0D"/>
          <w:sz w:val="24"/>
          <w:szCs w:val="24"/>
        </w:rPr>
        <w:t>参选人应按照比选文件第二篇“参选文件格式”中技术标书部分的要求编写技术标书，</w:t>
      </w:r>
      <w:r>
        <w:rPr>
          <w:rFonts w:hint="eastAsia" w:hAnsi="宋体"/>
          <w:b/>
          <w:bCs/>
          <w:color w:val="0D0D0D"/>
          <w:sz w:val="24"/>
          <w:szCs w:val="24"/>
        </w:rPr>
        <w:t>“技术标书”</w:t>
      </w:r>
      <w:r>
        <w:rPr>
          <w:rFonts w:hint="eastAsia" w:hAnsi="宋体"/>
          <w:color w:val="0D0D0D"/>
          <w:sz w:val="24"/>
          <w:szCs w:val="24"/>
        </w:rPr>
        <w:t>根据参选文件要求应包括以下几个主要内容：</w:t>
      </w: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参选人营业执照复印件（加盖公章）</w:t>
      </w:r>
    </w:p>
    <w:p>
      <w:pPr>
        <w:pStyle w:val="25"/>
        <w:numPr>
          <w:ilvl w:val="255"/>
          <w:numId w:val="0"/>
        </w:numPr>
        <w:spacing w:line="360" w:lineRule="auto"/>
        <w:ind w:firstLine="482" w:firstLineChars="200"/>
        <w:rPr>
          <w:rFonts w:hAnsi="宋体"/>
          <w:color w:val="0D0D0D"/>
          <w:sz w:val="24"/>
          <w:szCs w:val="24"/>
        </w:rPr>
      </w:pPr>
      <w:r>
        <w:rPr>
          <w:rFonts w:hint="eastAsia" w:hAnsi="宋体"/>
          <w:b/>
          <w:bCs/>
          <w:sz w:val="24"/>
          <w:szCs w:val="24"/>
        </w:rPr>
        <w:t>（若参选人为分支机构，需提供总公司的授权文件）</w:t>
      </w:r>
      <w:r>
        <w:rPr>
          <w:rFonts w:hint="eastAsia" w:hAnsi="宋体"/>
          <w:color w:val="0D0D0D"/>
          <w:sz w:val="24"/>
          <w:szCs w:val="24"/>
        </w:rPr>
        <w:t>；</w:t>
      </w: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法定代表人资格证明书（加盖公章）；</w:t>
      </w: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法定代表人身份证复印件（加盖公章，核验原件）；</w:t>
      </w: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法定代表人授权委托书（如有，加盖公章）；</w:t>
      </w: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被授权人身份证复印件（如有，加盖公章，核验原件）；</w:t>
      </w:r>
    </w:p>
    <w:p>
      <w:pPr>
        <w:numPr>
          <w:ilvl w:val="0"/>
          <w:numId w:val="9"/>
        </w:numPr>
        <w:spacing w:line="360" w:lineRule="auto"/>
        <w:ind w:left="420"/>
        <w:rPr>
          <w:rFonts w:hAnsi="宋体"/>
          <w:color w:val="0D0D0D"/>
          <w:sz w:val="24"/>
          <w:szCs w:val="24"/>
        </w:rPr>
      </w:pPr>
      <w:r>
        <w:rPr>
          <w:rFonts w:hint="eastAsia" w:ascii="宋体" w:hAnsi="宋体"/>
          <w:color w:val="0D0D0D"/>
          <w:kern w:val="0"/>
          <w:sz w:val="24"/>
          <w:szCs w:val="24"/>
        </w:rPr>
        <w:t>参选人资格条件要</w:t>
      </w:r>
      <w:r>
        <w:rPr>
          <w:rFonts w:hint="eastAsia" w:hAnsi="宋体"/>
          <w:color w:val="0D0D0D"/>
          <w:sz w:val="24"/>
          <w:szCs w:val="24"/>
        </w:rPr>
        <w:t>求的证明材料（加盖公章）：</w:t>
      </w:r>
    </w:p>
    <w:p>
      <w:pPr>
        <w:pStyle w:val="113"/>
        <w:widowControl/>
        <w:numPr>
          <w:ilvl w:val="255"/>
          <w:numId w:val="0"/>
        </w:numPr>
        <w:overflowPunct w:val="0"/>
        <w:autoSpaceDE w:val="0"/>
        <w:autoSpaceDN w:val="0"/>
        <w:adjustRightInd w:val="0"/>
        <w:spacing w:line="360" w:lineRule="auto"/>
        <w:ind w:firstLine="480" w:firstLineChars="200"/>
        <w:jc w:val="left"/>
        <w:textAlignment w:val="baseline"/>
        <w:rPr>
          <w:rFonts w:ascii="宋体" w:hAnsi="宋体" w:eastAsia="宋体" w:cs="Times New Roman"/>
          <w:sz w:val="24"/>
          <w:szCs w:val="24"/>
          <w:lang w:val="zh-CN"/>
        </w:rPr>
      </w:pPr>
      <w:r>
        <w:rPr>
          <w:rFonts w:hint="eastAsia" w:ascii="宋体" w:hAnsi="宋体" w:eastAsia="宋体" w:cs="Times New Roman"/>
          <w:sz w:val="24"/>
          <w:szCs w:val="24"/>
          <w:lang w:val="zh-CN"/>
        </w:rPr>
        <w:t>（</w:t>
      </w:r>
      <w:r>
        <w:rPr>
          <w:rFonts w:hint="eastAsia" w:ascii="宋体" w:hAnsi="宋体" w:eastAsia="宋体" w:cs="Times New Roman"/>
          <w:sz w:val="24"/>
          <w:szCs w:val="24"/>
        </w:rPr>
        <w:t>1</w:t>
      </w:r>
      <w:r>
        <w:rPr>
          <w:rFonts w:hint="eastAsia" w:ascii="宋体" w:hAnsi="宋体" w:eastAsia="宋体" w:cs="Times New Roman"/>
          <w:sz w:val="24"/>
          <w:szCs w:val="24"/>
          <w:lang w:val="zh-CN"/>
        </w:rPr>
        <w:t>）若参选人为税务师事务所，需提供注册税务师协会授予的AAA级以上（含AAA级）评级资格证书（20</w:t>
      </w:r>
      <w:r>
        <w:rPr>
          <w:rFonts w:hint="eastAsia" w:ascii="宋体" w:hAnsi="宋体" w:eastAsia="宋体" w:cs="Times New Roman"/>
          <w:sz w:val="24"/>
          <w:szCs w:val="24"/>
        </w:rPr>
        <w:t>20</w:t>
      </w:r>
      <w:r>
        <w:rPr>
          <w:rFonts w:hint="eastAsia" w:ascii="宋体" w:hAnsi="宋体" w:eastAsia="宋体" w:cs="Times New Roman"/>
          <w:sz w:val="24"/>
          <w:szCs w:val="24"/>
          <w:lang w:val="zh-CN"/>
        </w:rPr>
        <w:t>年1月1日后授予）（加盖公章）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2</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adjustRightInd w:val="0"/>
        <w:snapToGrid w:val="0"/>
        <w:spacing w:line="560" w:lineRule="exact"/>
        <w:ind w:firstLine="480" w:firstLineChars="200"/>
        <w:contextualSpacing/>
        <w:jc w:val="left"/>
        <w:rPr>
          <w:rFonts w:ascii="宋体" w:hAnsi="宋体"/>
          <w:color w:val="0D0D0D"/>
          <w:kern w:val="0"/>
          <w:sz w:val="24"/>
          <w:szCs w:val="24"/>
          <w:lang w:val="zh-CN"/>
        </w:rPr>
      </w:pPr>
      <w:r>
        <w:rPr>
          <w:rFonts w:hint="eastAsia" w:ascii="宋体" w:hAnsi="宋体"/>
          <w:color w:val="0D0D0D"/>
          <w:sz w:val="24"/>
          <w:szCs w:val="24"/>
          <w:lang w:val="zh-CN"/>
        </w:rPr>
        <w:t>（</w:t>
      </w:r>
      <w:r>
        <w:rPr>
          <w:rFonts w:hint="eastAsia" w:hAnsi="宋体"/>
          <w:color w:val="0D0D0D"/>
          <w:sz w:val="24"/>
          <w:szCs w:val="24"/>
        </w:rPr>
        <w:t>3</w:t>
      </w:r>
      <w:r>
        <w:rPr>
          <w:rFonts w:hint="eastAsia" w:ascii="宋体" w:hAnsi="宋体"/>
          <w:color w:val="0D0D0D"/>
          <w:sz w:val="24"/>
          <w:szCs w:val="24"/>
          <w:lang w:val="zh-CN"/>
        </w:rPr>
        <w:t>）</w:t>
      </w:r>
      <w:r>
        <w:rPr>
          <w:rFonts w:hint="eastAsia" w:ascii="宋体" w:hAnsi="宋体"/>
          <w:color w:val="0D0D0D"/>
          <w:kern w:val="0"/>
          <w:sz w:val="24"/>
          <w:szCs w:val="24"/>
          <w:lang w:val="zh-CN"/>
        </w:rPr>
        <w:t>2020-2022年无违规证明(以深圳市注册税务师协会出具的证明为准）。</w:t>
      </w:r>
    </w:p>
    <w:p>
      <w:pPr>
        <w:pStyle w:val="25"/>
        <w:numPr>
          <w:ilvl w:val="255"/>
          <w:numId w:val="0"/>
        </w:numPr>
        <w:spacing w:line="360" w:lineRule="auto"/>
        <w:ind w:firstLine="480" w:firstLineChars="200"/>
        <w:rPr>
          <w:rFonts w:hAnsi="宋体"/>
          <w:color w:val="0D0D0D"/>
          <w:sz w:val="24"/>
          <w:szCs w:val="24"/>
        </w:rPr>
      </w:pPr>
    </w:p>
    <w:p>
      <w:pPr>
        <w:pStyle w:val="25"/>
        <w:numPr>
          <w:ilvl w:val="0"/>
          <w:numId w:val="9"/>
        </w:numPr>
        <w:spacing w:line="360" w:lineRule="auto"/>
        <w:ind w:left="420"/>
        <w:rPr>
          <w:rFonts w:hAnsi="宋体"/>
          <w:color w:val="0D0D0D"/>
          <w:sz w:val="24"/>
          <w:szCs w:val="24"/>
        </w:rPr>
      </w:pPr>
      <w:r>
        <w:rPr>
          <w:rFonts w:hint="eastAsia" w:hAnsi="宋体"/>
          <w:color w:val="0D0D0D"/>
          <w:sz w:val="24"/>
          <w:szCs w:val="24"/>
        </w:rPr>
        <w:t>技术标评审所需证明材料：</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1</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2</w:t>
      </w:r>
      <w:r>
        <w:rPr>
          <w:rFonts w:hint="eastAsia" w:ascii="宋体" w:hAnsi="宋体" w:eastAsia="宋体" w:cs="Times New Roman"/>
          <w:color w:val="0D0D0D"/>
          <w:lang w:val="zh-CN"/>
        </w:rPr>
        <w:t>）房地产企业税务筹划方案建议书及房地产业务税务咨询服务经验及优势自评价（需盖公章）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sz w:val="24"/>
          <w:szCs w:val="24"/>
          <w:lang w:val="zh-CN" w:eastAsia="zh-TW"/>
        </w:rPr>
        <w:t>介绍房地产税务筹划方案建议</w:t>
      </w:r>
      <w:r>
        <w:rPr>
          <w:rFonts w:hint="eastAsia" w:ascii="宋体" w:hAnsi="宋体" w:eastAsia="宋体" w:cs="Times New Roman"/>
          <w:color w:val="0D0D0D"/>
          <w:sz w:val="24"/>
          <w:szCs w:val="24"/>
          <w:lang w:val="zh-CN"/>
        </w:rPr>
        <w:t>及</w:t>
      </w:r>
      <w:r>
        <w:rPr>
          <w:rFonts w:hint="eastAsia" w:ascii="宋体" w:hAnsi="宋体" w:eastAsia="宋体" w:cs="Times New Roman"/>
          <w:color w:val="0D0D0D"/>
          <w:sz w:val="24"/>
          <w:szCs w:val="24"/>
          <w:lang w:val="zh-CN" w:eastAsia="zh-TW"/>
        </w:rPr>
        <w:t>房地产业务税务咨询服务经验优势（包括与</w:t>
      </w:r>
      <w:r>
        <w:rPr>
          <w:rFonts w:hint="eastAsia" w:ascii="宋体" w:hAnsi="宋体" w:eastAsia="宋体" w:cs="Times New Roman"/>
          <w:color w:val="0D0D0D"/>
          <w:sz w:val="24"/>
          <w:szCs w:val="24"/>
          <w:lang w:val="zh-CN"/>
        </w:rPr>
        <w:t>深圳各区</w:t>
      </w:r>
      <w:r>
        <w:rPr>
          <w:rFonts w:hint="eastAsia" w:ascii="宋体" w:hAnsi="宋体" w:eastAsia="宋体" w:cs="Times New Roman"/>
          <w:color w:val="0D0D0D"/>
          <w:sz w:val="24"/>
          <w:szCs w:val="24"/>
          <w:lang w:val="zh-CN" w:eastAsia="zh-TW"/>
        </w:rPr>
        <w:t>税务局等的沟通经验等）</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3</w:t>
      </w:r>
      <w:r>
        <w:rPr>
          <w:rFonts w:hint="eastAsia" w:ascii="宋体" w:hAnsi="宋体" w:eastAsia="宋体" w:cs="Times New Roman"/>
          <w:color w:val="0D0D0D"/>
          <w:lang w:val="zh-CN"/>
        </w:rPr>
        <w:t>）拟委派本项目的团队情况及资质、经验</w:t>
      </w:r>
      <w:r>
        <w:rPr>
          <w:rFonts w:ascii="宋体" w:hAnsi="宋体" w:eastAsia="宋体" w:cs="Times New Roman"/>
          <w:color w:val="0D0D0D"/>
          <w:lang w:val="zh-CN"/>
        </w:rPr>
        <w:t>证明</w:t>
      </w:r>
      <w:r>
        <w:rPr>
          <w:rFonts w:hint="eastAsia" w:ascii="宋体" w:hAnsi="宋体" w:eastAsia="宋体" w:cs="Times New Roman"/>
          <w:color w:val="0D0D0D"/>
          <w:lang w:val="zh-CN"/>
        </w:rPr>
        <w:t>（提供证书复印件，在税务师事务所服务的社保证明，均需盖公章）</w:t>
      </w:r>
    </w:p>
    <w:p>
      <w:pPr>
        <w:pStyle w:val="3"/>
        <w:snapToGrid w:val="0"/>
        <w:spacing w:after="0" w:line="360" w:lineRule="auto"/>
        <w:ind w:leftChars="0"/>
        <w:rPr>
          <w:rFonts w:ascii="宋体" w:hAnsi="宋体"/>
          <w:color w:val="0D0D0D"/>
          <w:sz w:val="24"/>
          <w:szCs w:val="24"/>
        </w:rPr>
      </w:pPr>
      <w:r>
        <w:rPr>
          <w:rFonts w:hint="eastAsia" w:ascii="宋体" w:hAnsi="宋体"/>
          <w:color w:val="0D0D0D"/>
          <w:sz w:val="24"/>
          <w:szCs w:val="24"/>
        </w:rPr>
        <w:t>项目资料真实性及业绩由参选人负责核实，以上提供的证书（证件等）必须在有效期内，并加盖公章。若比选人查实上述信息不真实，参选人将负全责。</w:t>
      </w:r>
    </w:p>
    <w:p>
      <w:pPr>
        <w:pStyle w:val="3"/>
        <w:snapToGrid w:val="0"/>
        <w:spacing w:after="0" w:line="360" w:lineRule="auto"/>
        <w:ind w:leftChars="0"/>
        <w:rPr>
          <w:rFonts w:ascii="宋体" w:hAnsi="宋体"/>
          <w:b/>
          <w:bCs/>
          <w:color w:val="0D0D0D"/>
          <w:sz w:val="24"/>
          <w:szCs w:val="24"/>
        </w:rPr>
      </w:pPr>
      <w:r>
        <w:rPr>
          <w:rFonts w:hint="eastAsia" w:ascii="宋体" w:hAnsi="宋体"/>
          <w:b/>
          <w:bCs/>
          <w:color w:val="0D0D0D"/>
          <w:sz w:val="24"/>
          <w:szCs w:val="24"/>
        </w:rPr>
        <w:t>（二）</w:t>
      </w:r>
      <w:r>
        <w:rPr>
          <w:rFonts w:hint="eastAsia" w:ascii="宋体" w:hAnsi="宋体"/>
          <w:b/>
          <w:bCs/>
          <w:color w:val="0D0D0D"/>
          <w:sz w:val="24"/>
          <w:szCs w:val="24"/>
          <w:u w:val="single"/>
        </w:rPr>
        <w:t>“商务标书”</w:t>
      </w:r>
      <w:r>
        <w:rPr>
          <w:rFonts w:hint="eastAsia" w:ascii="宋体" w:hAnsi="宋体"/>
          <w:b/>
          <w:bCs/>
          <w:color w:val="0D0D0D"/>
          <w:sz w:val="24"/>
          <w:szCs w:val="24"/>
        </w:rPr>
        <w:t>的编写</w:t>
      </w:r>
    </w:p>
    <w:p>
      <w:pPr>
        <w:pStyle w:val="25"/>
        <w:spacing w:line="360" w:lineRule="auto"/>
        <w:ind w:left="425"/>
        <w:rPr>
          <w:rFonts w:hAnsi="宋体"/>
          <w:sz w:val="24"/>
          <w:szCs w:val="24"/>
        </w:rPr>
      </w:pPr>
      <w:r>
        <w:rPr>
          <w:rFonts w:hint="eastAsia" w:hAnsi="宋体"/>
          <w:color w:val="0D0D0D" w:themeColor="text1" w:themeTint="F2"/>
          <w:sz w:val="24"/>
          <w:szCs w:val="24"/>
          <w14:textFill>
            <w14:solidFill>
              <w14:schemeClr w14:val="tx1">
                <w14:lumMod w14:val="95000"/>
                <w14:lumOff w14:val="5000"/>
              </w14:schemeClr>
            </w14:solidFill>
          </w14:textFill>
        </w:rPr>
        <w:t>1.商务标书应包括以</w:t>
      </w:r>
      <w:r>
        <w:rPr>
          <w:rFonts w:hint="eastAsia" w:hAnsi="宋体"/>
          <w:sz w:val="24"/>
          <w:szCs w:val="24"/>
        </w:rPr>
        <w:t>下几个主要内容：</w:t>
      </w:r>
    </w:p>
    <w:p>
      <w:pPr>
        <w:pStyle w:val="25"/>
        <w:tabs>
          <w:tab w:val="left" w:pos="6300"/>
        </w:tabs>
        <w:spacing w:line="360" w:lineRule="auto"/>
        <w:ind w:left="425" w:firstLine="560" w:firstLineChars="200"/>
        <w:rPr>
          <w:rFonts w:hAnsi="宋体"/>
          <w:color w:val="0D0D0D"/>
          <w:sz w:val="28"/>
          <w:szCs w:val="28"/>
          <w:u w:val="single"/>
        </w:rPr>
      </w:pPr>
      <w:permStart w:id="0" w:edGrp="everyone"/>
      <w:r>
        <w:rPr>
          <w:rFonts w:hint="eastAsia" w:ascii="宋体" w:hAnsi="宋体" w:eastAsia="宋体" w:cs="Times New Roman"/>
          <w:sz w:val="28"/>
          <w:szCs w:val="28"/>
          <w:u w:val="single"/>
        </w:rPr>
        <w:t>昂鹅等十五个新项目的税务咨询服务</w:t>
      </w:r>
      <w:permEnd w:id="0"/>
      <w:r>
        <w:rPr>
          <w:rFonts w:hint="eastAsia" w:hAnsi="宋体"/>
          <w:sz w:val="28"/>
          <w:szCs w:val="28"/>
          <w:u w:val="single"/>
        </w:rPr>
        <w:t>商务标书</w:t>
      </w:r>
    </w:p>
    <w:p>
      <w:pPr>
        <w:widowControl/>
        <w:overflowPunct w:val="0"/>
        <w:autoSpaceDE w:val="0"/>
        <w:autoSpaceDN w:val="0"/>
        <w:adjustRightInd w:val="0"/>
        <w:spacing w:line="360" w:lineRule="auto"/>
        <w:ind w:left="480"/>
        <w:jc w:val="left"/>
        <w:textAlignment w:val="baseline"/>
        <w:rPr>
          <w:rFonts w:ascii="宋体" w:hAnsi="宋体"/>
          <w:sz w:val="24"/>
          <w:szCs w:val="24"/>
        </w:rPr>
      </w:pPr>
      <w:r>
        <w:rPr>
          <w:rFonts w:hint="eastAsia" w:ascii="宋体" w:hAnsi="宋体"/>
          <w:sz w:val="24"/>
          <w:szCs w:val="24"/>
        </w:rPr>
        <w:t>（1）参选函；</w:t>
      </w:r>
      <w:r>
        <w:rPr>
          <w:rFonts w:hint="eastAsia" w:ascii="宋体" w:hAnsi="宋体"/>
          <w:sz w:val="24"/>
        </w:rPr>
        <w:t>（2）报价表。</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spacing w:line="360" w:lineRule="auto"/>
        <w:ind w:left="0" w:leftChars="0" w:firstLine="480" w:firstLineChars="200"/>
        <w:rPr>
          <w:rFonts w:ascii="宋体" w:hAnsi="宋体"/>
          <w:sz w:val="24"/>
          <w:szCs w:val="24"/>
        </w:rPr>
      </w:pPr>
      <w:bookmarkStart w:id="61" w:name="_Toc197404910"/>
      <w:bookmarkStart w:id="62" w:name="_Toc402782173"/>
      <w:r>
        <w:rPr>
          <w:rFonts w:hint="eastAsia" w:ascii="宋体" w:hAnsi="宋体"/>
          <w:sz w:val="24"/>
          <w:szCs w:val="24"/>
        </w:rPr>
        <w:t>3．比选人认为参选人自备设施、工作人员的保险及劳动保护等费用已包含在参选人的参选报价中。</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5．本次参选报价为服务总报价，</w:t>
      </w:r>
      <w:r>
        <w:rPr>
          <w:rFonts w:hint="eastAsia" w:ascii="宋体" w:hAnsi="宋体"/>
          <w:color w:val="0D0D0D" w:themeColor="text1" w:themeTint="F2"/>
          <w:sz w:val="24"/>
          <w:szCs w:val="24"/>
          <w14:textFill>
            <w14:solidFill>
              <w14:schemeClr w14:val="tx1">
                <w14:lumMod w14:val="95000"/>
                <w14:lumOff w14:val="5000"/>
              </w14:schemeClr>
            </w14:solidFill>
          </w14:textFill>
        </w:rPr>
        <w:t>最高限价为人民币</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99万元（含税）</w:t>
      </w:r>
      <w:r>
        <w:rPr>
          <w:rFonts w:hint="eastAsia" w:hAnsi="宋体"/>
          <w:sz w:val="24"/>
          <w:szCs w:val="24"/>
        </w:rPr>
        <w:t>，</w:t>
      </w:r>
      <w:r>
        <w:rPr>
          <w:rFonts w:hint="eastAsia" w:ascii="宋体" w:hAnsi="宋体"/>
          <w:sz w:val="24"/>
          <w:szCs w:val="24"/>
        </w:rPr>
        <w:t>单个项目服务费</w:t>
      </w:r>
      <w:r>
        <w:rPr>
          <w:rFonts w:hint="eastAsia" w:hAnsi="宋体"/>
          <w:sz w:val="24"/>
          <w:szCs w:val="24"/>
        </w:rPr>
        <w:t>的最高限价为人民币</w:t>
      </w:r>
      <w:r>
        <w:rPr>
          <w:rFonts w:hint="eastAsia" w:ascii="宋体" w:hAnsi="宋体"/>
          <w:sz w:val="24"/>
          <w:szCs w:val="24"/>
        </w:rPr>
        <w:t>6.6万元（含税）</w:t>
      </w:r>
      <w:r>
        <w:rPr>
          <w:rFonts w:hint="eastAsia" w:ascii="宋体" w:hAnsi="宋体"/>
          <w:color w:val="0D0D0D" w:themeColor="text1" w:themeTint="F2"/>
          <w:sz w:val="24"/>
          <w:szCs w:val="24"/>
          <w14:textFill>
            <w14:solidFill>
              <w14:schemeClr w14:val="tx1">
                <w14:lumMod w14:val="95000"/>
                <w14:lumOff w14:val="5000"/>
              </w14:schemeClr>
            </w14:solidFill>
          </w14:textFill>
        </w:rPr>
        <w:t>。参选人报价高于总额最高上限价或单项上限价将作为无效标处理</w:t>
      </w:r>
      <w:r>
        <w:rPr>
          <w:rFonts w:hint="eastAsia" w:ascii="宋体" w:hAnsi="宋体"/>
          <w:sz w:val="24"/>
          <w:szCs w:val="24"/>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3" w:name="_Toc57731966"/>
      <w:r>
        <w:rPr>
          <w:rFonts w:hint="eastAsia" w:ascii="宋体" w:hAnsi="宋体"/>
          <w:b/>
          <w:kern w:val="0"/>
          <w:sz w:val="24"/>
          <w:szCs w:val="24"/>
        </w:rPr>
        <w:t>三、参选人的承诺</w:t>
      </w:r>
      <w:bookmarkEnd w:id="63"/>
      <w:r>
        <w:rPr>
          <w:rFonts w:hint="eastAsia" w:ascii="宋体" w:hAnsi="宋体"/>
          <w:b/>
          <w:kern w:val="0"/>
          <w:sz w:val="24"/>
          <w:szCs w:val="24"/>
        </w:rPr>
        <w:t xml:space="preserve"> </w:t>
      </w:r>
    </w:p>
    <w:p>
      <w:pPr>
        <w:pStyle w:val="3"/>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255"/>
          <w:numId w:val="0"/>
        </w:numPr>
        <w:spacing w:after="0" w:line="360" w:lineRule="auto"/>
        <w:ind w:left="96" w:firstLine="324" w:firstLineChars="135"/>
        <w:rPr>
          <w:rFonts w:ascii="宋体" w:hAnsi="宋体"/>
          <w:sz w:val="24"/>
        </w:rPr>
      </w:pPr>
      <w:r>
        <w:rPr>
          <w:rFonts w:hint="eastAsia" w:ascii="宋体" w:hAnsi="宋体"/>
          <w:sz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6"/>
        <w:spacing w:line="360" w:lineRule="auto"/>
        <w:rPr>
          <w:rFonts w:ascii="宋体" w:hAnsi="宋体" w:eastAsia="宋体"/>
          <w:b/>
          <w:szCs w:val="28"/>
        </w:rPr>
      </w:pPr>
      <w:bookmarkStart w:id="64" w:name="_Toc518494132"/>
      <w:bookmarkStart w:id="65" w:name="_Toc57731967"/>
      <w:bookmarkStart w:id="66" w:name="_Toc197404908"/>
      <w:r>
        <w:rPr>
          <w:rFonts w:hint="eastAsia" w:ascii="宋体" w:hAnsi="宋体" w:eastAsia="宋体"/>
          <w:b/>
          <w:szCs w:val="28"/>
        </w:rPr>
        <w:t>第四章 参选文件的签章要求</w:t>
      </w:r>
      <w:bookmarkEnd w:id="64"/>
      <w:bookmarkEnd w:id="65"/>
      <w:bookmarkEnd w:id="66"/>
    </w:p>
    <w:p>
      <w:pPr>
        <w:pStyle w:val="3"/>
        <w:snapToGrid w:val="0"/>
        <w:spacing w:line="360" w:lineRule="auto"/>
        <w:ind w:left="0" w:leftChars="0" w:firstLine="482" w:firstLineChars="200"/>
        <w:rPr>
          <w:rFonts w:ascii="宋体" w:hAnsi="宋体"/>
          <w:b/>
          <w:color w:val="0D0D0D"/>
          <w:sz w:val="24"/>
        </w:rPr>
      </w:pPr>
      <w:bookmarkStart w:id="67" w:name="_Toc36527859"/>
      <w:bookmarkStart w:id="68" w:name="_Toc197404909"/>
      <w:bookmarkStart w:id="69" w:name="_Toc57731971"/>
      <w:bookmarkStart w:id="70" w:name="_Toc518494133"/>
      <w:r>
        <w:rPr>
          <w:rFonts w:hint="eastAsia" w:ascii="宋体" w:hAnsi="宋体"/>
          <w:b/>
          <w:color w:val="0D0D0D"/>
          <w:sz w:val="24"/>
        </w:rPr>
        <w:t>一、参选文件的份数</w:t>
      </w:r>
    </w:p>
    <w:p>
      <w:pPr>
        <w:pStyle w:val="3"/>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“技术标书”；1套“商务标书”</w:t>
      </w:r>
      <w:r>
        <w:rPr>
          <w:rFonts w:hint="eastAsia" w:ascii="宋体" w:hAnsi="宋体"/>
          <w:color w:val="0D0D0D"/>
          <w:sz w:val="24"/>
        </w:rPr>
        <w:t>。</w:t>
      </w:r>
    </w:p>
    <w:p>
      <w:pPr>
        <w:pStyle w:val="3"/>
        <w:snapToGrid w:val="0"/>
        <w:spacing w:line="360" w:lineRule="auto"/>
        <w:ind w:left="0" w:leftChars="0" w:firstLine="482" w:firstLineChars="200"/>
        <w:rPr>
          <w:rFonts w:ascii="宋体" w:hAnsi="宋体"/>
          <w:b/>
          <w:color w:val="0D0D0D"/>
          <w:sz w:val="24"/>
        </w:rPr>
      </w:pPr>
      <w:r>
        <w:rPr>
          <w:rFonts w:hint="eastAsia" w:ascii="宋体" w:hAnsi="宋体"/>
          <w:b/>
          <w:color w:val="0D0D0D"/>
          <w:sz w:val="24"/>
        </w:rPr>
        <w:t>二、参选文件的签章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（一）所有参选文件（正、副本）均须加按要求盖公章。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3"/>
        <w:snapToGrid w:val="0"/>
        <w:spacing w:line="360" w:lineRule="auto"/>
        <w:ind w:left="0" w:leftChars="0" w:firstLine="482" w:firstLineChars="200"/>
        <w:rPr>
          <w:rFonts w:ascii="宋体" w:hAnsi="宋体"/>
          <w:b/>
          <w:color w:val="0D0D0D"/>
          <w:sz w:val="24"/>
        </w:rPr>
      </w:pPr>
      <w:bookmarkStart w:id="71" w:name="_Toc36527858"/>
      <w:r>
        <w:rPr>
          <w:rFonts w:hint="eastAsia" w:ascii="宋体" w:hAnsi="宋体"/>
          <w:b/>
          <w:color w:val="0D0D0D"/>
          <w:sz w:val="24"/>
        </w:rPr>
        <w:t>三、参选文件的</w:t>
      </w:r>
      <w:bookmarkEnd w:id="71"/>
      <w:r>
        <w:rPr>
          <w:rFonts w:hint="eastAsia" w:ascii="宋体" w:hAnsi="宋体"/>
          <w:b/>
          <w:color w:val="0D0D0D"/>
          <w:sz w:val="24"/>
        </w:rPr>
        <w:t>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color w:val="0D0D0D"/>
          <w:sz w:val="24"/>
        </w:rPr>
        <w:t>将参选文件的所有技术标书</w:t>
      </w:r>
      <w:r>
        <w:rPr>
          <w:rFonts w:ascii="宋体" w:hAnsi="宋体"/>
          <w:b/>
          <w:color w:val="0D0D0D"/>
          <w:sz w:val="24"/>
        </w:rPr>
        <w:t>、</w:t>
      </w:r>
      <w:r>
        <w:rPr>
          <w:rFonts w:hint="eastAsia" w:ascii="宋体" w:hAnsi="宋体"/>
          <w:b/>
          <w:color w:val="0D0D0D"/>
          <w:sz w:val="24"/>
        </w:rPr>
        <w:t>商务标书分别按要求编写分册，按如下要求加写标识：</w:t>
      </w:r>
    </w:p>
    <w:p>
      <w:pPr>
        <w:adjustRightInd w:val="0"/>
        <w:snapToGrid w:val="0"/>
        <w:spacing w:line="360" w:lineRule="auto"/>
        <w:ind w:firstLine="482" w:firstLineChars="200"/>
        <w:rPr>
          <w:rFonts w:ascii="宋体" w:hAnsi="宋体"/>
          <w:b/>
          <w:sz w:val="24"/>
          <w:szCs w:val="24"/>
          <w:u w:val="single"/>
        </w:rPr>
      </w:pPr>
      <w:r>
        <w:rPr>
          <w:rFonts w:hint="eastAsia" w:ascii="宋体" w:hAnsi="宋体"/>
          <w:b/>
          <w:sz w:val="24"/>
          <w:szCs w:val="24"/>
        </w:rPr>
        <w:t>项目名称：</w:t>
      </w:r>
      <w:r>
        <w:rPr>
          <w:rFonts w:hint="eastAsia" w:ascii="宋体" w:hAnsi="宋体"/>
          <w:b/>
          <w:bCs/>
          <w:color w:val="0D0D0D"/>
          <w:sz w:val="24"/>
          <w:szCs w:val="24"/>
          <w:u w:val="single"/>
        </w:rPr>
        <w:t>昂鹅等十</w:t>
      </w:r>
      <w:r>
        <w:rPr>
          <w:rFonts w:ascii="宋体" w:hAnsi="宋体"/>
          <w:b/>
          <w:bCs/>
          <w:color w:val="0D0D0D"/>
          <w:sz w:val="24"/>
          <w:szCs w:val="24"/>
          <w:u w:val="single"/>
        </w:rPr>
        <w:t>五</w:t>
      </w:r>
      <w:r>
        <w:rPr>
          <w:rFonts w:hint="eastAsia" w:ascii="宋体" w:hAnsi="宋体"/>
          <w:b/>
          <w:bCs/>
          <w:color w:val="0D0D0D"/>
          <w:sz w:val="24"/>
          <w:szCs w:val="24"/>
          <w:u w:val="single"/>
        </w:rPr>
        <w:t>个新项目税务咨询服务</w:t>
      </w:r>
      <w:r>
        <w:rPr>
          <w:rFonts w:hint="eastAsia" w:ascii="宋体" w:hAnsi="宋体"/>
          <w:b/>
          <w:sz w:val="24"/>
          <w:szCs w:val="24"/>
          <w:u w:val="single"/>
        </w:rPr>
        <w:t>参选文件</w:t>
      </w:r>
    </w:p>
    <w:p>
      <w:pPr>
        <w:adjustRightInd w:val="0"/>
        <w:snapToGrid w:val="0"/>
        <w:spacing w:line="360" w:lineRule="auto"/>
        <w:ind w:firstLine="482" w:firstLineChars="200"/>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pPr>
        <w:adjustRightInd w:val="0"/>
        <w:snapToGrid w:val="0"/>
        <w:spacing w:line="360" w:lineRule="auto"/>
        <w:ind w:firstLine="482" w:firstLineChars="200"/>
        <w:rPr>
          <w:rFonts w:ascii="宋体" w:hAnsi="宋体"/>
          <w:bCs/>
          <w:sz w:val="24"/>
          <w:szCs w:val="24"/>
        </w:rPr>
      </w:pPr>
      <w:r>
        <w:rPr>
          <w:rFonts w:hAnsi="宋体"/>
          <w:b/>
          <w:bCs/>
          <w:sz w:val="24"/>
          <w:szCs w:val="24"/>
        </w:rPr>
        <w:t>法定代表人</w:t>
      </w:r>
      <w:r>
        <w:rPr>
          <w:rFonts w:hint="eastAsia" w:hAnsi="宋体"/>
          <w:b/>
          <w:bCs/>
          <w:sz w:val="24"/>
          <w:szCs w:val="24"/>
        </w:rPr>
        <w:t>或</w:t>
      </w:r>
      <w:r>
        <w:rPr>
          <w:rFonts w:hAnsi="宋体"/>
          <w:b/>
          <w:bCs/>
          <w:sz w:val="24"/>
          <w:szCs w:val="24"/>
        </w:rPr>
        <w:t>授权代表（签字或盖章）</w:t>
      </w:r>
      <w:r>
        <w:rPr>
          <w:rFonts w:hAnsi="宋体"/>
          <w:sz w:val="24"/>
          <w:szCs w:val="24"/>
        </w:rPr>
        <w:t>：</w:t>
      </w:r>
      <w:r>
        <w:rPr>
          <w:rFonts w:hAnsi="宋体"/>
          <w:sz w:val="24"/>
          <w:szCs w:val="24"/>
          <w:u w:val="single"/>
        </w:rPr>
        <w:t xml:space="preserve">                           </w:t>
      </w:r>
    </w:p>
    <w:p>
      <w:pPr>
        <w:adjustRightInd w:val="0"/>
        <w:snapToGrid w:val="0"/>
        <w:spacing w:line="360" w:lineRule="auto"/>
        <w:ind w:firstLine="482" w:firstLineChars="200"/>
        <w:rPr>
          <w:rFonts w:ascii="宋体" w:hAnsi="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2022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Cs w:val="21"/>
        </w:rPr>
        <w:br w:type="page"/>
      </w:r>
    </w:p>
    <w:p>
      <w:pPr>
        <w:pStyle w:val="6"/>
        <w:spacing w:before="140" w:after="0" w:line="360" w:lineRule="auto"/>
        <w:rPr>
          <w:rFonts w:ascii="宋体" w:hAnsi="宋体" w:eastAsia="宋体"/>
          <w:b/>
        </w:rPr>
      </w:pPr>
      <w:r>
        <w:rPr>
          <w:rFonts w:hint="eastAsia" w:ascii="宋体" w:hAnsi="宋体" w:eastAsia="宋体"/>
          <w:b/>
        </w:rPr>
        <w:t xml:space="preserve">第五章 </w:t>
      </w:r>
      <w:bookmarkEnd w:id="67"/>
      <w:r>
        <w:rPr>
          <w:rFonts w:hint="eastAsia" w:ascii="宋体" w:hAnsi="宋体" w:eastAsia="宋体"/>
          <w:b/>
        </w:rPr>
        <w:t>参选文件递交</w:t>
      </w:r>
      <w:bookmarkEnd w:id="68"/>
      <w:bookmarkEnd w:id="69"/>
      <w:bookmarkEnd w:id="70"/>
    </w:p>
    <w:p>
      <w:pPr>
        <w:spacing w:line="360" w:lineRule="auto"/>
        <w:ind w:firstLine="482" w:firstLineChars="200"/>
        <w:rPr>
          <w:rFonts w:ascii="宋体" w:hAnsi="宋体"/>
          <w:b/>
          <w:bCs/>
          <w:sz w:val="24"/>
        </w:rPr>
      </w:pPr>
      <w:r>
        <w:rPr>
          <w:rFonts w:hint="eastAsia" w:ascii="宋体" w:hAnsi="宋体"/>
          <w:b/>
          <w:bCs/>
          <w:sz w:val="24"/>
        </w:rPr>
        <w:t>一、参选人应按本参选须知规定的平台地点、日期和时间递交参选文件。</w:t>
      </w:r>
    </w:p>
    <w:p>
      <w:pPr>
        <w:numPr>
          <w:ilvl w:val="255"/>
          <w:numId w:val="0"/>
        </w:numPr>
        <w:adjustRightInd w:val="0"/>
        <w:snapToGrid w:val="0"/>
        <w:spacing w:line="360" w:lineRule="auto"/>
        <w:ind w:left="420" w:leftChars="200"/>
        <w:rPr>
          <w:rFonts w:ascii="宋体" w:hAnsi="宋体"/>
          <w:bCs/>
          <w:sz w:val="24"/>
          <w:szCs w:val="24"/>
        </w:rPr>
      </w:pPr>
      <w:bookmarkStart w:id="72" w:name="_Toc36527860"/>
      <w:r>
        <w:rPr>
          <w:rFonts w:ascii="宋体" w:hAnsi="宋体"/>
          <w:bCs/>
          <w:sz w:val="24"/>
          <w:szCs w:val="24"/>
        </w:rPr>
        <w:t>电子版参选文件递交平台：</w:t>
      </w:r>
      <w:r>
        <w:rPr>
          <w:rFonts w:hint="eastAsia" w:ascii="宋体" w:hAnsi="宋体"/>
          <w:bCs/>
          <w:sz w:val="24"/>
          <w:szCs w:val="24"/>
        </w:rPr>
        <w:t>深圳地铁智能招采管理平台（</w:t>
      </w:r>
      <w:r>
        <w:rPr>
          <w:rFonts w:ascii="宋体" w:hAnsi="宋体"/>
          <w:bCs/>
          <w:sz w:val="24"/>
          <w:szCs w:val="24"/>
        </w:rPr>
        <w:t>https://cg.shenzhenmc.com/）</w:t>
      </w:r>
      <w:r>
        <w:rPr>
          <w:rFonts w:hint="eastAsia" w:ascii="宋体" w:hAnsi="宋体"/>
          <w:bCs/>
          <w:sz w:val="24"/>
          <w:szCs w:val="24"/>
        </w:rPr>
        <w:t>。</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文件的签署人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spacing w:line="360" w:lineRule="auto"/>
        <w:ind w:firstLine="482" w:firstLineChars="200"/>
        <w:rPr>
          <w:rFonts w:ascii="宋体" w:hAnsi="宋体"/>
          <w:sz w:val="24"/>
        </w:rPr>
      </w:pPr>
      <w:r>
        <w:rPr>
          <w:rFonts w:hint="eastAsia" w:ascii="宋体" w:hAnsi="宋体"/>
          <w:b/>
          <w:bCs/>
          <w:sz w:val="24"/>
        </w:rPr>
        <w:t>二、迟到的参选文件</w:t>
      </w:r>
      <w:bookmarkEnd w:id="72"/>
    </w:p>
    <w:p>
      <w:pPr>
        <w:spacing w:line="360" w:lineRule="auto"/>
        <w:ind w:firstLine="480" w:firstLineChars="200"/>
        <w:rPr>
          <w:rFonts w:ascii="宋体" w:hAnsi="宋体"/>
          <w:b/>
          <w:sz w:val="24"/>
        </w:rPr>
      </w:pPr>
      <w:r>
        <w:rPr>
          <w:rFonts w:hint="eastAsia" w:ascii="宋体" w:hAnsi="宋体"/>
          <w:sz w:val="24"/>
        </w:rPr>
        <w:t>在本参选须知第一章第四条规定的参选截止期以后上传至</w:t>
      </w:r>
      <w:r>
        <w:rPr>
          <w:rFonts w:hint="eastAsia" w:ascii="宋体" w:hAnsi="宋体"/>
          <w:bCs/>
          <w:sz w:val="24"/>
          <w:szCs w:val="24"/>
        </w:rPr>
        <w:t>深圳地铁智能招采管理平台</w:t>
      </w:r>
      <w:r>
        <w:rPr>
          <w:rFonts w:hint="eastAsia" w:ascii="宋体" w:hAnsi="宋体"/>
          <w:sz w:val="24"/>
        </w:rPr>
        <w:t>的参选文件将不予受理。参选人在递交参选文件时应遵照工作人员的安排有秩序地进行。</w:t>
      </w:r>
    </w:p>
    <w:p>
      <w:pPr>
        <w:pStyle w:val="6"/>
        <w:spacing w:after="0" w:line="360" w:lineRule="auto"/>
        <w:rPr>
          <w:rFonts w:ascii="宋体" w:hAnsi="宋体" w:eastAsia="宋体"/>
          <w:b/>
        </w:rPr>
      </w:pPr>
      <w:bookmarkStart w:id="73" w:name="_Toc57731972"/>
      <w:r>
        <w:rPr>
          <w:rFonts w:hint="eastAsia" w:ascii="宋体" w:hAnsi="宋体" w:eastAsia="宋体"/>
          <w:b/>
        </w:rPr>
        <w:t>第六章  参选有效期</w:t>
      </w:r>
      <w:bookmarkEnd w:id="73"/>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6"/>
        <w:spacing w:after="0" w:line="360" w:lineRule="auto"/>
        <w:rPr>
          <w:rFonts w:ascii="宋体" w:hAnsi="宋体" w:eastAsia="宋体"/>
          <w:b/>
        </w:rPr>
      </w:pPr>
      <w:bookmarkStart w:id="74" w:name="_Toc57731973"/>
      <w:bookmarkStart w:id="75" w:name="_Toc518494135"/>
      <w:r>
        <w:rPr>
          <w:rFonts w:hint="eastAsia" w:ascii="宋体" w:hAnsi="宋体" w:eastAsia="宋体"/>
          <w:b/>
        </w:rPr>
        <w:t>第七章  开标</w:t>
      </w:r>
      <w:bookmarkEnd w:id="74"/>
      <w:bookmarkEnd w:id="75"/>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一、截标后首先进入开标环节，比选人将于参选须知所规定的时间和地点公开举行开标会议，所有参选人代表均可参加。</w:t>
      </w:r>
    </w:p>
    <w:p>
      <w:pPr>
        <w:spacing w:line="360" w:lineRule="auto"/>
        <w:ind w:firstLine="480" w:firstLineChars="200"/>
        <w:rPr>
          <w:rFonts w:ascii="宋体" w:hAnsi="宋体"/>
          <w:sz w:val="24"/>
          <w:szCs w:val="24"/>
        </w:rPr>
      </w:pPr>
      <w:r>
        <w:rPr>
          <w:rFonts w:hint="eastAsia" w:ascii="宋体" w:hAnsi="宋体"/>
          <w:sz w:val="24"/>
          <w:szCs w:val="24"/>
        </w:rPr>
        <w:t>二、若参选人参加开标现场会议，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四、由比选人监审人员及参选人监督检查所有参选文件的上传情况，也可以由比选人委托的公证机构进行检查并公证。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76" w:name="_Hlk77375959"/>
      <w:r>
        <w:rPr>
          <w:rFonts w:hint="eastAsia" w:ascii="宋体" w:hAnsi="宋体"/>
          <w:sz w:val="24"/>
          <w:szCs w:val="24"/>
        </w:rPr>
        <w:t>经确认无误后，</w:t>
      </w:r>
      <w:bookmarkStart w:id="77" w:name="_Hlk77373092"/>
      <w:r>
        <w:rPr>
          <w:rFonts w:hint="eastAsia" w:ascii="宋体" w:hAnsi="宋体"/>
          <w:sz w:val="24"/>
          <w:szCs w:val="24"/>
        </w:rPr>
        <w:t>由比选人当众在线开启所有参选文件，先开技术标，再开商务标。比选人工作人员宣读参选人名称、参选报价等</w:t>
      </w:r>
      <w:bookmarkEnd w:id="76"/>
      <w:bookmarkEnd w:id="77"/>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六、比选人将作开标记录，以存档备查。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sz w:val="24"/>
          <w:szCs w:val="24"/>
        </w:rPr>
      </w:pPr>
      <w:r>
        <w:rPr>
          <w:rFonts w:hint="eastAsia" w:ascii="宋体" w:hAnsi="宋体"/>
          <w:sz w:val="24"/>
          <w:szCs w:val="24"/>
        </w:rPr>
        <w:t>八、开标结束后，进入评标环节。根据评标“先评技术标，再评商务标”的原则，比选人先仅将技术标书移交评标委员会,待技术标书评审完成后再移交商务标书。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（2）参选文件未按规定编制并加盖参选人公章的；</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6"/>
        <w:spacing w:after="0" w:line="360" w:lineRule="auto"/>
        <w:rPr>
          <w:rFonts w:ascii="宋体" w:hAnsi="宋体" w:eastAsia="宋体"/>
          <w:b/>
        </w:rPr>
      </w:pPr>
      <w:bookmarkStart w:id="78" w:name="_Toc518494136"/>
      <w:bookmarkStart w:id="79" w:name="_Toc57731974"/>
      <w:r>
        <w:rPr>
          <w:rFonts w:hint="eastAsia" w:ascii="宋体" w:hAnsi="宋体" w:eastAsia="宋体"/>
          <w:b/>
        </w:rPr>
        <w:t>第八章 评标</w:t>
      </w:r>
      <w:bookmarkEnd w:id="78"/>
      <w:bookmarkEnd w:id="79"/>
    </w:p>
    <w:p>
      <w:pPr>
        <w:pStyle w:val="237"/>
        <w:spacing w:line="360" w:lineRule="auto"/>
        <w:ind w:firstLine="480" w:firstLineChars="200"/>
        <w:rPr>
          <w:rFonts w:ascii="宋体" w:hAnsi="宋体"/>
          <w:bCs/>
          <w:sz w:val="24"/>
          <w:szCs w:val="24"/>
        </w:rPr>
      </w:pPr>
      <w:bookmarkStart w:id="80" w:name="_Hlk77373757"/>
      <w:r>
        <w:rPr>
          <w:rFonts w:hint="eastAsia" w:ascii="宋体" w:hAnsi="宋体"/>
          <w:bCs/>
          <w:sz w:val="24"/>
          <w:szCs w:val="24"/>
        </w:rPr>
        <w:t>一、开标完成结束后，进入评标环节。评标委员会由比选人组建，采用“综合评估法”，先评技术标，再评商务标，满分为100分，其</w:t>
      </w:r>
      <w:r>
        <w:rPr>
          <w:rFonts w:hint="eastAsia" w:ascii="宋体" w:hAnsi="宋体"/>
          <w:bCs/>
          <w:sz w:val="24"/>
          <w:szCs w:val="24"/>
          <w:highlight w:val="none"/>
        </w:rPr>
        <w:t>中：技术标50分，商务标50分。评</w:t>
      </w:r>
      <w:r>
        <w:rPr>
          <w:rFonts w:hint="eastAsia" w:ascii="宋体" w:hAnsi="宋体"/>
          <w:bCs/>
          <w:sz w:val="24"/>
          <w:szCs w:val="24"/>
        </w:rPr>
        <w:t xml:space="preserve">标方法及评分标准详见附件《评标办法》。 </w:t>
      </w:r>
    </w:p>
    <w:p>
      <w:pPr>
        <w:spacing w:line="360" w:lineRule="auto"/>
        <w:ind w:firstLine="480" w:firstLineChars="200"/>
        <w:rPr>
          <w:rFonts w:ascii="宋体" w:hAnsi="宋体"/>
          <w:bCs/>
          <w:sz w:val="24"/>
          <w:szCs w:val="24"/>
        </w:rPr>
      </w:pPr>
      <w:r>
        <w:rPr>
          <w:rFonts w:hint="eastAsia" w:ascii="宋体" w:hAnsi="宋体"/>
          <w:bCs/>
          <w:sz w:val="24"/>
          <w:szCs w:val="24"/>
        </w:rPr>
        <w:t>二、评标</w:t>
      </w:r>
      <w:bookmarkEnd w:id="80"/>
    </w:p>
    <w:p>
      <w:pPr>
        <w:spacing w:line="360" w:lineRule="auto"/>
        <w:ind w:firstLine="480" w:firstLineChars="200"/>
        <w:rPr>
          <w:rFonts w:ascii="宋体" w:hAnsi="宋体"/>
          <w:bCs/>
          <w:sz w:val="24"/>
          <w:szCs w:val="24"/>
        </w:rPr>
      </w:pPr>
      <w:r>
        <w:rPr>
          <w:rFonts w:hint="eastAsia" w:ascii="宋体" w:hAnsi="宋体"/>
          <w:bCs/>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spacing w:line="360" w:lineRule="auto"/>
        <w:ind w:firstLine="420" w:firstLineChars="175"/>
        <w:rPr>
          <w:rFonts w:ascii="宋体" w:hAnsi="宋体"/>
          <w:bCs/>
          <w:sz w:val="24"/>
          <w:szCs w:val="24"/>
        </w:rPr>
      </w:pPr>
      <w:r>
        <w:rPr>
          <w:rFonts w:hint="eastAsia" w:ascii="宋体" w:hAnsi="宋体"/>
          <w:bCs/>
          <w:sz w:val="24"/>
          <w:szCs w:val="24"/>
        </w:rPr>
        <w:t>（1）第一阶段，先将所有合格参选文件的技术标书移交至评标委员会，评标委员会对参选文件的技术标书进行初步评审（有效性审查），只有通过初步评审的技术标书才有资格进入下一步的详细评审。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rPr>
      </w:pPr>
      <w:r>
        <w:rPr>
          <w:rFonts w:hint="eastAsia" w:ascii="宋体" w:hAnsi="宋体"/>
          <w:bCs/>
          <w:sz w:val="24"/>
          <w:szCs w:val="24"/>
        </w:rPr>
        <w:t>（3）评标委员会按照评审标准对合格参选文件的技术标进行详细评审（详见评审附表），评审完成后，评审分数不得再更改。经评审后，进入下一阶段商务标的评审。</w:t>
      </w:r>
    </w:p>
    <w:p>
      <w:pPr>
        <w:spacing w:line="360" w:lineRule="auto"/>
        <w:ind w:firstLine="482"/>
        <w:rPr>
          <w:rFonts w:ascii="宋体" w:hAnsi="宋体"/>
          <w:b/>
          <w:sz w:val="24"/>
          <w:szCs w:val="24"/>
        </w:rPr>
      </w:pPr>
      <w:r>
        <w:rPr>
          <w:rFonts w:hint="eastAsia" w:ascii="宋体" w:hAnsi="宋体"/>
          <w:b/>
          <w:sz w:val="24"/>
          <w:szCs w:val="24"/>
        </w:rPr>
        <w:t>商务标评审：</w:t>
      </w:r>
    </w:p>
    <w:p>
      <w:pPr>
        <w:spacing w:line="360" w:lineRule="auto"/>
        <w:ind w:firstLine="420" w:firstLineChars="175"/>
        <w:rPr>
          <w:rFonts w:ascii="宋体" w:hAnsi="宋体"/>
          <w:bCs/>
          <w:sz w:val="24"/>
          <w:szCs w:val="24"/>
        </w:rPr>
      </w:pPr>
      <w:r>
        <w:rPr>
          <w:rFonts w:hint="eastAsia" w:ascii="宋体" w:hAnsi="宋体"/>
          <w:bCs/>
          <w:sz w:val="24"/>
          <w:szCs w:val="24"/>
        </w:rPr>
        <w:t>（1）第二阶段，技术标评审完成后，进入下一阶段商务标的评审。开标工作人员将商务标书移交评标委员会，评标委员会对商务标部分进行初步评审（有效性审查），只有通过初步评审的商务标文件才有资格进入下一步的详细评审。</w:t>
      </w:r>
    </w:p>
    <w:p>
      <w:pPr>
        <w:spacing w:line="360" w:lineRule="auto"/>
        <w:ind w:firstLine="420" w:firstLineChars="175"/>
        <w:rPr>
          <w:rFonts w:ascii="宋体" w:hAnsi="宋体"/>
          <w:bCs/>
          <w:sz w:val="24"/>
          <w:szCs w:val="24"/>
        </w:rPr>
      </w:pPr>
      <w:r>
        <w:rPr>
          <w:rFonts w:hint="eastAsia" w:ascii="宋体" w:hAnsi="宋体"/>
          <w:bCs/>
          <w:sz w:val="24"/>
          <w:szCs w:val="24"/>
        </w:rPr>
        <w:t>（2）经商务标初步审查，评标委员会作出无效标或者废标处理，致进入商务标详细评审环节的有效参选人不足3家，比选人宣布本次比选失败，重新组织比选。</w:t>
      </w:r>
    </w:p>
    <w:p>
      <w:pPr>
        <w:spacing w:line="360" w:lineRule="auto"/>
        <w:ind w:left="420" w:leftChars="200"/>
        <w:rPr>
          <w:rFonts w:ascii="宋体" w:hAnsi="宋体"/>
          <w:bCs/>
          <w:sz w:val="24"/>
          <w:szCs w:val="24"/>
        </w:rPr>
      </w:pPr>
      <w:r>
        <w:rPr>
          <w:rFonts w:hint="eastAsia" w:ascii="宋体" w:hAnsi="宋体"/>
          <w:bCs/>
          <w:sz w:val="24"/>
          <w:szCs w:val="24"/>
        </w:rPr>
        <w:t>（3）以参选人所报服务费总价作为商务标评审依据。</w:t>
      </w:r>
    </w:p>
    <w:p>
      <w:pPr>
        <w:spacing w:line="360" w:lineRule="auto"/>
        <w:ind w:left="420" w:leftChars="200"/>
        <w:rPr>
          <w:rFonts w:ascii="宋体" w:hAnsi="宋体"/>
          <w:bCs/>
          <w:sz w:val="24"/>
          <w:szCs w:val="24"/>
        </w:rPr>
      </w:pPr>
      <w:r>
        <w:rPr>
          <w:rFonts w:hint="eastAsia" w:ascii="宋体" w:hAnsi="宋体"/>
          <w:bCs/>
          <w:sz w:val="24"/>
          <w:szCs w:val="24"/>
        </w:rPr>
        <w:t>（4）参选人的参选报价中如出现算术错误，将按以下方法进行调整：</w:t>
      </w:r>
    </w:p>
    <w:p>
      <w:pPr>
        <w:spacing w:line="360" w:lineRule="auto"/>
        <w:ind w:left="420" w:leftChars="200"/>
        <w:rPr>
          <w:rFonts w:ascii="宋体" w:hAnsi="宋体"/>
          <w:bCs/>
          <w:sz w:val="24"/>
          <w:szCs w:val="24"/>
        </w:rPr>
      </w:pPr>
      <w:r>
        <w:rPr>
          <w:rFonts w:ascii="Calibri" w:hAnsi="Calibri" w:cs="Calibri"/>
          <w:bCs/>
          <w:sz w:val="24"/>
          <w:szCs w:val="24"/>
        </w:rPr>
        <w:t>①</w:t>
      </w:r>
      <w:r>
        <w:rPr>
          <w:rFonts w:hint="eastAsia" w:ascii="宋体" w:hAnsi="宋体"/>
          <w:bCs/>
          <w:sz w:val="24"/>
          <w:szCs w:val="24"/>
        </w:rPr>
        <w:t>参选文件中大写金额与小写金额不一致的，以金额低的为准；</w:t>
      </w:r>
    </w:p>
    <w:p>
      <w:pPr>
        <w:spacing w:line="360" w:lineRule="auto"/>
        <w:ind w:left="420" w:leftChars="200"/>
        <w:rPr>
          <w:rFonts w:ascii="宋体" w:hAnsi="宋体"/>
          <w:bCs/>
          <w:sz w:val="24"/>
          <w:szCs w:val="24"/>
        </w:rPr>
      </w:pPr>
      <w:r>
        <w:rPr>
          <w:rFonts w:ascii="Calibri" w:hAnsi="Calibri" w:cs="Calibri"/>
          <w:bCs/>
          <w:sz w:val="24"/>
          <w:szCs w:val="24"/>
        </w:rPr>
        <w:t>②</w:t>
      </w:r>
      <w:r>
        <w:rPr>
          <w:rFonts w:hint="eastAsia" w:ascii="宋体" w:hAnsi="宋体"/>
          <w:bCs/>
          <w:sz w:val="24"/>
          <w:szCs w:val="24"/>
        </w:rPr>
        <w:t>总价金额与按单价计算的总金额不一致的，以单价计算的总金额为准。除非单价有明显的小数点错误，此时应以合价金额为准，调整单价。</w:t>
      </w:r>
    </w:p>
    <w:p>
      <w:pPr>
        <w:spacing w:line="360" w:lineRule="auto"/>
        <w:ind w:firstLine="480" w:firstLineChars="200"/>
        <w:rPr>
          <w:rFonts w:ascii="宋体" w:hAnsi="宋体"/>
          <w:bCs/>
          <w:sz w:val="24"/>
          <w:szCs w:val="24"/>
        </w:rPr>
      </w:pPr>
      <w:r>
        <w:rPr>
          <w:rFonts w:hint="eastAsia" w:ascii="宋体" w:hAnsi="宋体"/>
          <w:bCs/>
          <w:sz w:val="24"/>
          <w:szCs w:val="24"/>
        </w:rPr>
        <w:t>按照本规定的调整方法确定的调整后报价，须取得参选人同意并书面签字确认。如果参选人拒不接受调整方法以及调整后的报价的，其参选将被拒绝。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中选人的参选报价是按照本节规定进行了调整的，其中选价按就低不就高的原则确定。如果参选人拒不接受的，其参选将被拒绝。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left="420" w:leftChars="200"/>
        <w:rPr>
          <w:rFonts w:ascii="宋体" w:hAnsi="宋体"/>
          <w:bCs/>
          <w:sz w:val="24"/>
          <w:szCs w:val="24"/>
        </w:rPr>
      </w:pPr>
      <w:r>
        <w:rPr>
          <w:rFonts w:hint="eastAsia" w:ascii="宋体" w:hAnsi="宋体"/>
          <w:bCs/>
          <w:sz w:val="24"/>
          <w:szCs w:val="24"/>
        </w:rPr>
        <w:t>（5）商务标初步审查后，评标委员会按照商务标计算公式，完成商务标分数计算。</w:t>
      </w:r>
    </w:p>
    <w:p>
      <w:pPr>
        <w:spacing w:line="360" w:lineRule="auto"/>
        <w:ind w:left="420" w:leftChars="200"/>
        <w:rPr>
          <w:rFonts w:ascii="宋体" w:hAnsi="宋体"/>
          <w:bCs/>
          <w:sz w:val="24"/>
          <w:szCs w:val="24"/>
          <w:highlight w:val="none"/>
        </w:rPr>
      </w:pPr>
      <w:r>
        <w:rPr>
          <w:rFonts w:hint="eastAsia" w:ascii="宋体" w:hAnsi="宋体"/>
          <w:bCs/>
          <w:sz w:val="24"/>
          <w:szCs w:val="24"/>
        </w:rPr>
        <w:t>（6）若各参选人的报价，如出现税率不一致的情况，则以不含税总价作为参选人的报价进行商务标分数计算；若税率一致，则以含税总价作为参选人的报价进行商务标分数计算。</w:t>
      </w:r>
    </w:p>
    <w:p>
      <w:pPr>
        <w:spacing w:line="360" w:lineRule="auto"/>
        <w:ind w:left="420" w:leftChars="200"/>
        <w:rPr>
          <w:rFonts w:ascii="宋体" w:hAnsi="宋体"/>
          <w:bCs/>
          <w:sz w:val="24"/>
          <w:szCs w:val="24"/>
        </w:rPr>
      </w:pPr>
      <w:r>
        <w:rPr>
          <w:rFonts w:hint="eastAsia" w:ascii="宋体" w:hAnsi="宋体"/>
          <w:bCs/>
          <w:sz w:val="24"/>
          <w:szCs w:val="24"/>
          <w:highlight w:val="none"/>
        </w:rPr>
        <w:t>（7）其他情况均按照价格审核计算后，以不</w:t>
      </w:r>
      <w:r>
        <w:rPr>
          <w:rFonts w:hint="eastAsia" w:ascii="宋体" w:hAnsi="宋体"/>
          <w:bCs/>
          <w:sz w:val="24"/>
          <w:szCs w:val="24"/>
        </w:rPr>
        <w:t>利于参选人的原则予以调整。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pStyle w:val="6"/>
        <w:spacing w:after="0" w:line="360" w:lineRule="auto"/>
        <w:rPr>
          <w:rFonts w:ascii="宋体" w:hAnsi="宋体" w:eastAsia="宋体"/>
          <w:b/>
        </w:rPr>
      </w:pPr>
      <w:bookmarkStart w:id="81" w:name="_Toc197404913"/>
      <w:bookmarkStart w:id="82" w:name="_Toc388259588"/>
      <w:bookmarkStart w:id="83" w:name="_Toc290560899"/>
      <w:bookmarkStart w:id="84" w:name="_Toc57731975"/>
      <w:bookmarkStart w:id="85" w:name="_Toc434234592"/>
      <w:bookmarkStart w:id="86" w:name="_Toc518494137"/>
      <w:r>
        <w:rPr>
          <w:rFonts w:hint="eastAsia" w:ascii="宋体" w:hAnsi="宋体" w:eastAsia="宋体"/>
          <w:b/>
        </w:rPr>
        <w:t>第九章  确定中选人</w:t>
      </w:r>
      <w:bookmarkEnd w:id="81"/>
      <w:bookmarkEnd w:id="82"/>
      <w:bookmarkEnd w:id="83"/>
      <w:bookmarkEnd w:id="84"/>
      <w:bookmarkEnd w:id="85"/>
      <w:bookmarkEnd w:id="86"/>
    </w:p>
    <w:p>
      <w:pPr>
        <w:pStyle w:val="25"/>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5"/>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三、在参选有效期内，比选人将中选结果在“深圳地铁官网”、“国资委阳光采购平台”、“深铁招采网”公示，公示</w:t>
      </w:r>
      <w:r>
        <w:rPr>
          <w:rFonts w:hint="eastAsia" w:hAnsi="宋体"/>
          <w:b/>
          <w:bCs/>
          <w:sz w:val="24"/>
          <w:u w:val="single"/>
        </w:rPr>
        <w:t>3个工作日</w:t>
      </w:r>
      <w:r>
        <w:rPr>
          <w:rFonts w:hint="eastAsia" w:hAnsi="宋体"/>
          <w:bCs/>
          <w:sz w:val="24"/>
        </w:rPr>
        <w:t>无异议的，比选人将向中选候选人发出中选通知书。</w:t>
      </w:r>
    </w:p>
    <w:p>
      <w:pPr>
        <w:pStyle w:val="6"/>
        <w:spacing w:after="0" w:line="360" w:lineRule="auto"/>
        <w:rPr>
          <w:rFonts w:ascii="宋体" w:hAnsi="宋体" w:eastAsia="宋体"/>
          <w:b/>
        </w:rPr>
      </w:pPr>
      <w:bookmarkStart w:id="87" w:name="_Toc518494138"/>
      <w:bookmarkStart w:id="88" w:name="_Toc57731976"/>
      <w:r>
        <w:rPr>
          <w:rFonts w:hint="eastAsia" w:ascii="宋体" w:hAnsi="宋体" w:eastAsia="宋体"/>
          <w:b/>
        </w:rPr>
        <w:t>第十章  合同的授予</w:t>
      </w:r>
      <w:bookmarkEnd w:id="87"/>
      <w:bookmarkEnd w:id="88"/>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一、比选人与中选人将于中选通知书发出之日起3</w:t>
      </w:r>
      <w:r>
        <w:rPr>
          <w:rFonts w:hint="eastAsia" w:ascii="宋体" w:hAnsi="宋体"/>
          <w:b/>
          <w:bCs/>
          <w:sz w:val="24"/>
        </w:rPr>
        <w:t>0日</w:t>
      </w:r>
      <w:r>
        <w:rPr>
          <w:rFonts w:hint="eastAsia" w:ascii="宋体" w:hAnsi="宋体"/>
          <w:sz w:val="24"/>
        </w:rPr>
        <w:t>内，根据比选文件和中选人的参选文件签订合同。</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评标委员会提出的中选候选人名单排名，依次重新确定中选人候选人。依次确定其他中选候选人与比选人的预期差距较大的，或者对比选人明显不利的，比选人可以重新比选。</w:t>
      </w:r>
    </w:p>
    <w:p>
      <w:pPr>
        <w:spacing w:line="360" w:lineRule="auto"/>
        <w:ind w:firstLine="480" w:firstLineChars="200"/>
        <w:rPr>
          <w:rFonts w:ascii="宋体" w:hAnsi="宋体"/>
          <w:color w:val="0D0D0D"/>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w:t>
      </w:r>
      <w:bookmarkEnd w:id="61"/>
      <w:bookmarkEnd w:id="62"/>
      <w:bookmarkStart w:id="89" w:name="_Toc399494429"/>
      <w:bookmarkStart w:id="90" w:name="_Toc57731977"/>
      <w:bookmarkStart w:id="91" w:name="_Toc518494139"/>
      <w:bookmarkStart w:id="92" w:name="_Toc197404912"/>
      <w:r>
        <w:rPr>
          <w:rFonts w:hint="eastAsia" w:ascii="宋体" w:hAnsi="宋体" w:cs="宋体"/>
          <w:sz w:val="24"/>
          <w:szCs w:val="24"/>
          <w:lang w:eastAsia="zh-Hans"/>
        </w:rPr>
        <w:t>签约主体</w:t>
      </w:r>
      <w:r>
        <w:rPr>
          <w:rFonts w:hint="eastAsia" w:ascii="宋体" w:hAnsi="宋体"/>
          <w:color w:val="0D0D0D"/>
          <w:sz w:val="24"/>
          <w:szCs w:val="24"/>
        </w:rPr>
        <w:t>：深圳置业集团有限公司</w:t>
      </w:r>
    </w:p>
    <w:p>
      <w:pPr>
        <w:pStyle w:val="237"/>
        <w:adjustRightInd w:val="0"/>
        <w:snapToGrid w:val="0"/>
        <w:spacing w:line="560" w:lineRule="exact"/>
        <w:ind w:firstLine="640" w:firstLineChars="0"/>
        <w:rPr>
          <w:rFonts w:hint="eastAsia" w:ascii="Times New Roman" w:hAnsi="宋体" w:eastAsia="宋体" w:cs="Times New Roman"/>
          <w:bCs/>
          <w:color w:val="0D0D0D"/>
          <w:sz w:val="24"/>
          <w:szCs w:val="22"/>
          <w:lang w:val="en-US" w:eastAsia="zh-CN"/>
        </w:rPr>
      </w:pPr>
      <w:r>
        <w:rPr>
          <w:rFonts w:hint="eastAsia" w:hAnsi="宋体"/>
          <w:bCs/>
          <w:color w:val="0D0D0D"/>
          <w:sz w:val="24"/>
          <w:szCs w:val="22"/>
        </w:rPr>
        <w:t>本次昂鹅等</w:t>
      </w:r>
      <w:r>
        <w:rPr>
          <w:rFonts w:hint="eastAsia" w:hAnsi="宋体"/>
          <w:bCs/>
          <w:color w:val="0D0D0D"/>
          <w:sz w:val="24"/>
          <w:szCs w:val="22"/>
          <w:lang w:val="en-US" w:eastAsia="zh-CN"/>
        </w:rPr>
        <w:t>十五</w:t>
      </w:r>
      <w:r>
        <w:rPr>
          <w:rFonts w:hint="eastAsia" w:hAnsi="宋体"/>
          <w:bCs/>
          <w:color w:val="0D0D0D"/>
          <w:sz w:val="24"/>
          <w:szCs w:val="22"/>
        </w:rPr>
        <w:t>个新项目税务咨询服务统一以深圳地铁置业集团有限公司作为比选人开展招采工作</w:t>
      </w:r>
      <w:r>
        <w:rPr>
          <w:rFonts w:hint="eastAsia" w:hAnsi="宋体"/>
          <w:bCs/>
          <w:color w:val="0D0D0D"/>
          <w:sz w:val="24"/>
          <w:szCs w:val="22"/>
          <w:lang w:eastAsia="zh-CN"/>
        </w:rPr>
        <w:t>。</w:t>
      </w:r>
      <w:r>
        <w:rPr>
          <w:rFonts w:hint="eastAsia" w:ascii="Times New Roman" w:hAnsi="宋体" w:eastAsia="宋体" w:cs="Times New Roman"/>
          <w:bCs/>
          <w:color w:val="0D0D0D"/>
          <w:sz w:val="24"/>
          <w:szCs w:val="22"/>
        </w:rPr>
        <w:t>后续</w:t>
      </w:r>
      <w:r>
        <w:rPr>
          <w:rFonts w:hint="eastAsia" w:ascii="Times New Roman" w:hAnsi="宋体" w:eastAsia="宋体" w:cs="Times New Roman"/>
          <w:bCs/>
          <w:color w:val="0D0D0D"/>
          <w:sz w:val="24"/>
          <w:szCs w:val="22"/>
          <w:lang w:val="en-US" w:eastAsia="zh-CN"/>
        </w:rPr>
        <w:t>已确定项目开发主体的项目，由</w:t>
      </w:r>
      <w:r>
        <w:rPr>
          <w:rFonts w:hint="eastAsia" w:ascii="Times New Roman" w:hAnsi="宋体" w:eastAsia="宋体" w:cs="Times New Roman"/>
          <w:bCs/>
          <w:color w:val="0D0D0D"/>
          <w:sz w:val="24"/>
          <w:szCs w:val="22"/>
        </w:rPr>
        <w:t>中选人与实际项目开发主体签订合同</w:t>
      </w:r>
      <w:r>
        <w:rPr>
          <w:rFonts w:hint="eastAsia" w:ascii="Times New Roman" w:hAnsi="宋体" w:cs="Times New Roman"/>
          <w:bCs/>
          <w:color w:val="0D0D0D"/>
          <w:sz w:val="24"/>
          <w:szCs w:val="22"/>
          <w:lang w:eastAsia="zh-CN"/>
        </w:rPr>
        <w:t>（</w:t>
      </w:r>
      <w:r>
        <w:rPr>
          <w:rFonts w:hint="eastAsia" w:ascii="Times New Roman" w:hAnsi="宋体" w:eastAsia="宋体" w:cs="Times New Roman"/>
          <w:bCs/>
          <w:color w:val="0D0D0D"/>
          <w:sz w:val="24"/>
          <w:szCs w:val="22"/>
        </w:rPr>
        <w:t>其中：</w:t>
      </w:r>
      <w:r>
        <w:rPr>
          <w:rFonts w:hint="eastAsia" w:ascii="Times New Roman" w:hAnsi="宋体" w:eastAsia="宋体" w:cs="Times New Roman"/>
          <w:bCs/>
          <w:color w:val="0D0D0D"/>
          <w:kern w:val="2"/>
          <w:sz w:val="24"/>
          <w:szCs w:val="22"/>
          <w:lang w:bidi="ar"/>
        </w:rPr>
        <w:t>昂鹅车辆段一期二期</w:t>
      </w:r>
      <w:r>
        <w:rPr>
          <w:rFonts w:hint="eastAsia" w:hAnsi="宋体" w:cs="Times New Roman"/>
          <w:bCs/>
          <w:color w:val="0D0D0D"/>
          <w:kern w:val="2"/>
          <w:sz w:val="24"/>
          <w:szCs w:val="22"/>
          <w:lang w:eastAsia="zh-CN" w:bidi="ar"/>
        </w:rPr>
        <w:t>、</w:t>
      </w:r>
      <w:r>
        <w:rPr>
          <w:rFonts w:hint="eastAsia" w:ascii="Times New Roman" w:hAnsi="宋体" w:eastAsia="宋体" w:cs="Times New Roman"/>
          <w:bCs/>
          <w:color w:val="0D0D0D"/>
          <w:kern w:val="2"/>
          <w:sz w:val="24"/>
          <w:szCs w:val="22"/>
          <w:lang w:bidi="ar"/>
        </w:rPr>
        <w:t>平湖枢纽交通核项目</w:t>
      </w:r>
      <w:r>
        <w:rPr>
          <w:rFonts w:hint="eastAsia" w:ascii="Times New Roman" w:hAnsi="宋体" w:eastAsia="宋体" w:cs="Times New Roman"/>
          <w:bCs/>
          <w:color w:val="0D0D0D"/>
          <w:kern w:val="2"/>
          <w:sz w:val="24"/>
          <w:szCs w:val="22"/>
          <w:lang w:eastAsia="zh-CN" w:bidi="ar"/>
        </w:rPr>
        <w:t>的</w:t>
      </w:r>
      <w:r>
        <w:rPr>
          <w:rFonts w:hint="eastAsia" w:ascii="Times New Roman" w:hAnsi="宋体" w:eastAsia="宋体" w:cs="Times New Roman"/>
          <w:bCs/>
          <w:color w:val="0D0D0D"/>
          <w:kern w:val="2"/>
          <w:sz w:val="24"/>
          <w:szCs w:val="22"/>
          <w:lang w:val="en-US" w:eastAsia="zh-CN" w:bidi="ar"/>
        </w:rPr>
        <w:t>签约主体是</w:t>
      </w:r>
      <w:r>
        <w:rPr>
          <w:rFonts w:hint="eastAsia" w:ascii="Times New Roman" w:hAnsi="宋体" w:eastAsia="宋体" w:cs="Times New Roman"/>
          <w:bCs/>
          <w:color w:val="0D0D0D"/>
          <w:sz w:val="24"/>
          <w:szCs w:val="22"/>
        </w:rPr>
        <w:t>深圳市地铁集团有限公司</w:t>
      </w:r>
      <w:r>
        <w:rPr>
          <w:rFonts w:hint="eastAsia" w:ascii="Times New Roman" w:hAnsi="宋体" w:cs="Times New Roman"/>
          <w:bCs/>
          <w:color w:val="0D0D0D"/>
          <w:sz w:val="24"/>
          <w:szCs w:val="22"/>
          <w:lang w:eastAsia="zh-CN"/>
        </w:rPr>
        <w:t>，</w:t>
      </w:r>
      <w:r>
        <w:rPr>
          <w:rFonts w:hint="eastAsia" w:ascii="Times New Roman" w:hAnsi="宋体" w:eastAsia="宋体" w:cs="Times New Roman"/>
          <w:bCs/>
          <w:color w:val="0D0D0D"/>
          <w:kern w:val="2"/>
          <w:sz w:val="24"/>
          <w:szCs w:val="22"/>
          <w:lang w:bidi="ar"/>
        </w:rPr>
        <w:t>坪山石井街道项目</w:t>
      </w:r>
      <w:r>
        <w:rPr>
          <w:rFonts w:hint="eastAsia" w:ascii="Times New Roman" w:hAnsi="宋体" w:eastAsia="宋体" w:cs="Times New Roman"/>
          <w:bCs/>
          <w:color w:val="0D0D0D"/>
          <w:kern w:val="2"/>
          <w:sz w:val="24"/>
          <w:szCs w:val="22"/>
          <w:lang w:eastAsia="zh-CN" w:bidi="ar"/>
        </w:rPr>
        <w:t>的</w:t>
      </w:r>
      <w:r>
        <w:rPr>
          <w:rFonts w:hint="eastAsia" w:ascii="Times New Roman" w:hAnsi="宋体" w:eastAsia="宋体" w:cs="Times New Roman"/>
          <w:bCs/>
          <w:color w:val="0D0D0D"/>
          <w:kern w:val="2"/>
          <w:sz w:val="24"/>
          <w:szCs w:val="22"/>
          <w:lang w:val="en-US" w:eastAsia="zh-CN" w:bidi="ar"/>
        </w:rPr>
        <w:t>签约主体是</w:t>
      </w:r>
      <w:r>
        <w:rPr>
          <w:rFonts w:hint="eastAsia" w:ascii="Times New Roman" w:hAnsi="宋体" w:eastAsia="宋体" w:cs="Times New Roman"/>
          <w:bCs/>
          <w:color w:val="0D0D0D"/>
          <w:sz w:val="24"/>
          <w:szCs w:val="22"/>
        </w:rPr>
        <w:t>深圳地铁置业集团有限公司</w:t>
      </w:r>
      <w:r>
        <w:rPr>
          <w:rFonts w:hint="eastAsia" w:ascii="Times New Roman" w:hAnsi="宋体" w:cs="Times New Roman"/>
          <w:bCs/>
          <w:color w:val="0D0D0D"/>
          <w:sz w:val="24"/>
          <w:szCs w:val="22"/>
          <w:lang w:eastAsia="zh-CN"/>
        </w:rPr>
        <w:t>）</w:t>
      </w:r>
      <w:r>
        <w:rPr>
          <w:rFonts w:hint="eastAsia" w:ascii="Times New Roman" w:hAnsi="宋体" w:eastAsia="宋体" w:cs="Times New Roman"/>
          <w:bCs/>
          <w:color w:val="0D0D0D"/>
          <w:sz w:val="24"/>
          <w:szCs w:val="22"/>
        </w:rPr>
        <w:t>；考虑到后续新项目</w:t>
      </w:r>
      <w:r>
        <w:rPr>
          <w:rFonts w:hint="eastAsia" w:ascii="Times New Roman" w:hAnsi="宋体" w:eastAsia="宋体" w:cs="Times New Roman"/>
          <w:bCs/>
          <w:color w:val="0D0D0D"/>
          <w:sz w:val="24"/>
          <w:szCs w:val="22"/>
          <w:lang w:val="en-US" w:eastAsia="zh-CN"/>
        </w:rPr>
        <w:t>开发</w:t>
      </w:r>
      <w:r>
        <w:rPr>
          <w:rFonts w:hint="eastAsia" w:ascii="Times New Roman" w:hAnsi="宋体" w:eastAsia="宋体" w:cs="Times New Roman"/>
          <w:bCs/>
          <w:color w:val="0D0D0D"/>
          <w:sz w:val="24"/>
          <w:szCs w:val="22"/>
        </w:rPr>
        <w:t>主体的不确定性</w:t>
      </w:r>
      <w:r>
        <w:rPr>
          <w:rFonts w:hint="eastAsia" w:ascii="Times New Roman" w:hAnsi="宋体" w:eastAsia="宋体" w:cs="Times New Roman"/>
          <w:bCs/>
          <w:color w:val="0D0D0D"/>
          <w:sz w:val="24"/>
          <w:szCs w:val="22"/>
          <w:lang w:eastAsia="zh-CN"/>
        </w:rPr>
        <w:t>，</w:t>
      </w:r>
      <w:r>
        <w:rPr>
          <w:rFonts w:hint="eastAsia" w:ascii="Times New Roman" w:hAnsi="宋体" w:eastAsia="宋体" w:cs="Times New Roman"/>
          <w:bCs/>
          <w:color w:val="0D0D0D"/>
          <w:sz w:val="24"/>
          <w:szCs w:val="22"/>
          <w:lang w:val="en-US" w:eastAsia="zh-CN"/>
        </w:rPr>
        <w:t>剩余</w:t>
      </w:r>
      <w:r>
        <w:rPr>
          <w:rFonts w:hint="eastAsia" w:ascii="Times New Roman" w:hAnsi="宋体" w:eastAsia="宋体" w:cs="Times New Roman"/>
          <w:bCs/>
          <w:color w:val="0D0D0D"/>
          <w:sz w:val="24"/>
          <w:szCs w:val="22"/>
        </w:rPr>
        <w:t>未确定开发主体的</w:t>
      </w:r>
      <w:r>
        <w:rPr>
          <w:rFonts w:hint="eastAsia" w:ascii="Times New Roman" w:hAnsi="宋体" w:eastAsia="宋体" w:cs="Times New Roman"/>
          <w:bCs/>
          <w:color w:val="0D0D0D"/>
          <w:sz w:val="24"/>
          <w:szCs w:val="22"/>
          <w:lang w:val="en-US" w:eastAsia="zh-CN"/>
        </w:rPr>
        <w:t>新</w:t>
      </w:r>
      <w:r>
        <w:rPr>
          <w:rFonts w:hint="eastAsia" w:ascii="Times New Roman" w:hAnsi="宋体" w:eastAsia="宋体" w:cs="Times New Roman"/>
          <w:bCs/>
          <w:color w:val="0D0D0D"/>
          <w:sz w:val="24"/>
          <w:szCs w:val="22"/>
        </w:rPr>
        <w:t>项目，由中选人与深圳市地铁集团有限公司</w:t>
      </w:r>
      <w:r>
        <w:rPr>
          <w:rFonts w:hint="eastAsia" w:ascii="Times New Roman" w:hAnsi="宋体" w:cs="Times New Roman"/>
          <w:bCs/>
          <w:color w:val="0D0D0D"/>
          <w:sz w:val="24"/>
          <w:szCs w:val="22"/>
          <w:lang w:eastAsia="zh-CN"/>
        </w:rPr>
        <w:t>、</w:t>
      </w:r>
      <w:r>
        <w:rPr>
          <w:rFonts w:hint="eastAsia" w:ascii="Times New Roman" w:hAnsi="宋体" w:eastAsia="宋体" w:cs="Times New Roman"/>
          <w:bCs/>
          <w:color w:val="0D0D0D"/>
          <w:sz w:val="24"/>
          <w:szCs w:val="22"/>
        </w:rPr>
        <w:t>深圳地铁置业集团有限公司</w:t>
      </w:r>
      <w:r>
        <w:rPr>
          <w:rFonts w:hint="eastAsia" w:ascii="Times New Roman" w:hAnsi="宋体" w:cs="Times New Roman"/>
          <w:bCs/>
          <w:color w:val="0D0D0D"/>
          <w:sz w:val="24"/>
          <w:szCs w:val="22"/>
          <w:lang w:val="en-US" w:eastAsia="zh-CN"/>
        </w:rPr>
        <w:t>和</w:t>
      </w:r>
      <w:r>
        <w:rPr>
          <w:rFonts w:hint="eastAsia" w:ascii="Times New Roman" w:hAnsi="宋体" w:eastAsia="宋体" w:cs="Times New Roman"/>
          <w:bCs/>
          <w:color w:val="0D0D0D"/>
          <w:sz w:val="24"/>
          <w:szCs w:val="22"/>
        </w:rPr>
        <w:t>深圳地铁前海国际发展有限公司</w:t>
      </w:r>
      <w:r>
        <w:rPr>
          <w:rFonts w:hint="eastAsia" w:ascii="Times New Roman" w:hAnsi="宋体" w:eastAsia="宋体" w:cs="Times New Roman"/>
          <w:bCs/>
          <w:color w:val="0D0D0D"/>
          <w:sz w:val="24"/>
          <w:szCs w:val="22"/>
          <w:lang w:val="en-US" w:eastAsia="zh-CN"/>
        </w:rPr>
        <w:t>共同</w:t>
      </w:r>
      <w:r>
        <w:rPr>
          <w:rFonts w:hint="eastAsia" w:ascii="Times New Roman" w:hAnsi="宋体" w:eastAsia="宋体" w:cs="Times New Roman"/>
          <w:bCs/>
          <w:color w:val="0D0D0D"/>
          <w:sz w:val="24"/>
          <w:szCs w:val="22"/>
        </w:rPr>
        <w:t>签定</w:t>
      </w:r>
      <w:r>
        <w:rPr>
          <w:rFonts w:hint="eastAsia" w:ascii="Times New Roman" w:hAnsi="宋体" w:eastAsia="宋体" w:cs="Times New Roman"/>
          <w:bCs/>
          <w:color w:val="0D0D0D"/>
          <w:sz w:val="24"/>
          <w:szCs w:val="22"/>
          <w:lang w:val="en-US" w:eastAsia="zh-CN"/>
        </w:rPr>
        <w:t>四方协议</w:t>
      </w:r>
      <w:r>
        <w:rPr>
          <w:rFonts w:hint="eastAsia" w:ascii="Times New Roman" w:hAnsi="宋体" w:eastAsia="宋体" w:cs="Times New Roman"/>
          <w:bCs/>
          <w:color w:val="0D0D0D"/>
          <w:sz w:val="24"/>
          <w:szCs w:val="22"/>
        </w:rPr>
        <w:t>，具体按</w:t>
      </w:r>
      <w:r>
        <w:rPr>
          <w:rFonts w:hint="eastAsia" w:ascii="Times New Roman" w:hAnsi="宋体" w:eastAsia="宋体" w:cs="Times New Roman"/>
          <w:bCs/>
          <w:color w:val="0D0D0D"/>
          <w:sz w:val="24"/>
          <w:szCs w:val="22"/>
          <w:lang w:val="en-US" w:eastAsia="zh-CN"/>
        </w:rPr>
        <w:t>实际项目对应开发主体支付。</w:t>
      </w:r>
    </w:p>
    <w:p>
      <w:pPr>
        <w:keepNext/>
        <w:keepLines/>
        <w:tabs>
          <w:tab w:val="left" w:pos="1260"/>
        </w:tabs>
        <w:adjustRightInd w:val="0"/>
        <w:spacing w:before="260" w:after="260" w:line="360" w:lineRule="auto"/>
        <w:ind w:firstLine="480" w:firstLineChars="200"/>
        <w:textAlignment w:val="baseline"/>
        <w:outlineLvl w:val="2"/>
        <w:rPr>
          <w:rFonts w:hAnsi="宋体"/>
          <w:bCs/>
          <w:color w:val="0D0D0D"/>
          <w:sz w:val="24"/>
          <w:szCs w:val="22"/>
        </w:rPr>
      </w:pP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中选人根据比选人要求对新项目出具项目税务专项建议报告（终稿），且完成服务期内甲方要求的该项目全部工作并得到甲方验收确认后，中选人需按该项目主体开具增值税专用发票，</w:t>
      </w:r>
      <w:r>
        <w:rPr>
          <w:rFonts w:hint="eastAsia" w:ascii="宋体" w:hAnsi="宋体"/>
          <w:color w:val="0D0D0D"/>
          <w:sz w:val="24"/>
        </w:rPr>
        <w:t>由项目开发主体支付服务费</w:t>
      </w:r>
      <w:r>
        <w:rPr>
          <w:rFonts w:hint="eastAsia" w:ascii="宋体" w:hAnsi="宋体"/>
          <w:sz w:val="24"/>
        </w:rPr>
        <w:t>。</w:t>
      </w:r>
    </w:p>
    <w:p>
      <w:pPr>
        <w:pStyle w:val="6"/>
        <w:spacing w:after="0" w:line="360" w:lineRule="auto"/>
        <w:jc w:val="both"/>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left="0" w:leftChars="0" w:firstLine="0" w:firstLineChars="0"/>
      </w:pPr>
    </w:p>
    <w:p>
      <w:pPr>
        <w:pStyle w:val="2"/>
      </w:pPr>
    </w:p>
    <w:p>
      <w:pPr>
        <w:pStyle w:val="2"/>
      </w:pPr>
    </w:p>
    <w:p>
      <w:pPr>
        <w:pStyle w:val="2"/>
      </w:pPr>
    </w:p>
    <w:p>
      <w:pPr>
        <w:pStyle w:val="6"/>
        <w:spacing w:after="0" w:line="360" w:lineRule="auto"/>
      </w:pPr>
      <w:r>
        <w:rPr>
          <w:rFonts w:hint="eastAsia"/>
        </w:rPr>
        <w:t>附件：评标</w:t>
      </w:r>
      <w:bookmarkEnd w:id="89"/>
      <w:r>
        <w:rPr>
          <w:rFonts w:hint="eastAsia"/>
        </w:rPr>
        <w:t>办法</w:t>
      </w:r>
      <w:bookmarkEnd w:id="90"/>
      <w:bookmarkEnd w:id="91"/>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bookmarkStart w:id="93" w:name="_Toc518494140"/>
      <w:bookmarkStart w:id="94" w:name="_Toc276575939"/>
      <w:bookmarkStart w:id="95" w:name="_Toc57731978"/>
      <w:r>
        <w:rPr>
          <w:rFonts w:hint="eastAsia" w:ascii="宋体" w:hAnsi="宋体"/>
          <w:b/>
          <w:kern w:val="0"/>
          <w:sz w:val="24"/>
          <w:szCs w:val="24"/>
        </w:rPr>
        <w:t>一、总</w:t>
      </w:r>
      <w:bookmarkEnd w:id="93"/>
      <w:bookmarkEnd w:id="94"/>
      <w:r>
        <w:rPr>
          <w:rFonts w:hint="eastAsia" w:ascii="宋体" w:hAnsi="宋体"/>
          <w:b/>
          <w:kern w:val="0"/>
          <w:sz w:val="24"/>
          <w:szCs w:val="24"/>
        </w:rPr>
        <w:t>则</w:t>
      </w:r>
      <w:bookmarkEnd w:id="95"/>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6" w:name="_Toc518494141"/>
      <w:bookmarkStart w:id="97" w:name="_Toc57731979"/>
      <w:r>
        <w:rPr>
          <w:rFonts w:hint="eastAsia" w:ascii="宋体" w:hAnsi="宋体"/>
          <w:b/>
          <w:kern w:val="0"/>
          <w:sz w:val="24"/>
          <w:szCs w:val="24"/>
        </w:rPr>
        <w:t>二、评定标组织</w:t>
      </w:r>
      <w:bookmarkEnd w:id="96"/>
      <w:bookmarkEnd w:id="97"/>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（一）评标委员会组成</w:t>
      </w:r>
    </w:p>
    <w:p>
      <w:pPr>
        <w:spacing w:line="360" w:lineRule="auto"/>
        <w:ind w:firstLine="480" w:firstLineChars="200"/>
        <w:rPr>
          <w:rFonts w:ascii="宋体" w:hAnsi="宋体"/>
          <w:sz w:val="24"/>
          <w:szCs w:val="24"/>
        </w:rPr>
      </w:pPr>
      <w:r>
        <w:rPr>
          <w:rFonts w:hint="eastAsia" w:ascii="宋体" w:hAnsi="宋体"/>
          <w:sz w:val="24"/>
          <w:szCs w:val="24"/>
        </w:rPr>
        <w:t>评标委员会由比选人组建，评标委员会由7名成员组成。</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98" w:name="_Toc57731980"/>
      <w:bookmarkStart w:id="99" w:name="_Toc518494142"/>
      <w:r>
        <w:rPr>
          <w:rFonts w:hint="eastAsia" w:ascii="宋体" w:hAnsi="宋体"/>
          <w:b/>
          <w:kern w:val="0"/>
          <w:sz w:val="24"/>
          <w:szCs w:val="24"/>
        </w:rPr>
        <w:t>三、</w:t>
      </w:r>
      <w:r>
        <w:rPr>
          <w:rFonts w:hint="eastAsia" w:ascii="宋体" w:hAnsi="宋体"/>
          <w:b/>
          <w:kern w:val="0"/>
          <w:sz w:val="24"/>
          <w:szCs w:val="24"/>
          <w:highlight w:val="none"/>
        </w:rPr>
        <w:t>评标方法与程序</w:t>
      </w:r>
      <w:bookmarkEnd w:id="98"/>
      <w:bookmarkEnd w:id="99"/>
    </w:p>
    <w:p>
      <w:pPr>
        <w:numPr>
          <w:ilvl w:val="0"/>
          <w:numId w:val="0"/>
        </w:numPr>
        <w:spacing w:line="360" w:lineRule="auto"/>
        <w:ind w:firstLine="480" w:firstLineChars="200"/>
        <w:rPr>
          <w:rFonts w:ascii="宋体" w:hAnsi="宋体"/>
          <w:bCs/>
          <w:sz w:val="24"/>
          <w:szCs w:val="24"/>
        </w:rPr>
      </w:pPr>
      <w:r>
        <w:rPr>
          <w:rFonts w:hint="eastAsia" w:ascii="宋体" w:hAnsi="宋体"/>
          <w:bCs/>
          <w:sz w:val="24"/>
          <w:szCs w:val="24"/>
          <w:highlight w:val="none"/>
        </w:rPr>
        <w:t>（一）本次评标采用“综合评分法”，先评技术标，再评商务标，满分为100分，其中：技术标50分，商务标50分。评标委员会先按照技术标评分标准对各参选人技术文件进行打分，各评委评分的算术平均值为该参选人技术标得分。然后评标委员会再按照商务标计算公式对各参选人商务报价进行评分，最后汇总参选人技术及商务标得分，并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w:t>
      </w:r>
      <w:r>
        <w:rPr>
          <w:rFonts w:hint="eastAsia" w:ascii="宋体" w:hAnsi="宋体"/>
          <w:bCs/>
          <w:sz w:val="24"/>
          <w:szCs w:val="24"/>
        </w:rPr>
        <w:t>定中选候选人。最终，评标委员会推荐一名中选候选人，并形成评标报告。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spacing w:line="360" w:lineRule="auto"/>
        <w:ind w:firstLine="480" w:firstLineChars="200"/>
        <w:rPr>
          <w:rFonts w:hAnsi="宋体"/>
          <w:sz w:val="24"/>
          <w:szCs w:val="24"/>
        </w:rPr>
      </w:pPr>
      <w:bookmarkStart w:id="100" w:name="_Toc518494143"/>
      <w:r>
        <w:rPr>
          <w:rFonts w:hint="eastAsia" w:hAnsi="宋体"/>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（1）第一阶段，先将所有合格参选文件的技术标书移交至评标委员会，评标委员会对参选文件的技术标书进行初步评审（有效性审查），只有通过初步评审的技术标书才有资格进入下一步的详细评审。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rPr>
      </w:pPr>
      <w:r>
        <w:rPr>
          <w:rFonts w:hint="eastAsia" w:ascii="宋体" w:hAnsi="宋体"/>
          <w:bCs/>
          <w:sz w:val="24"/>
          <w:szCs w:val="24"/>
        </w:rPr>
        <w:t>（3）评标委员会按照评审标准对合格参选文件的技术标进行详细评审（详见评审附表），评审完成后，评审分数不得再更改。经评审后，方可进入下一阶段商务标的评审。</w:t>
      </w:r>
    </w:p>
    <w:p>
      <w:pPr>
        <w:spacing w:line="360" w:lineRule="auto"/>
        <w:ind w:firstLine="482"/>
        <w:rPr>
          <w:rFonts w:ascii="宋体" w:hAnsi="宋体"/>
          <w:b/>
          <w:sz w:val="24"/>
          <w:szCs w:val="24"/>
        </w:rPr>
      </w:pPr>
      <w:r>
        <w:rPr>
          <w:rFonts w:hint="eastAsia" w:ascii="宋体" w:hAnsi="宋体"/>
          <w:b/>
          <w:sz w:val="24"/>
          <w:szCs w:val="24"/>
        </w:rPr>
        <w:t>商务标评审：</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1）第二阶段，技术标评审完成后可进入下一阶段商务标的评审。开标工作人员将商务标书移交评标委员会，评标委员会对商务标部分进行初步评审（有效性审查），只有通过初步评审的商务标文件才有资格进入下一步的详细评审。</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（2）经商务标初步审查，评标委员会作出无效标或者废标处理，致进入商务标详细评审环节的有效参选人不足3家，比选人宣布本次比选失败，重新组织比选。</w:t>
      </w:r>
    </w:p>
    <w:p>
      <w:pPr>
        <w:numPr>
          <w:ilvl w:val="255"/>
          <w:numId w:val="0"/>
        </w:numPr>
        <w:spacing w:line="360" w:lineRule="auto"/>
        <w:ind w:left="420" w:leftChars="200"/>
        <w:rPr>
          <w:rFonts w:ascii="宋体" w:hAnsi="宋体"/>
          <w:bCs/>
          <w:sz w:val="24"/>
          <w:szCs w:val="24"/>
        </w:rPr>
      </w:pPr>
      <w:r>
        <w:rPr>
          <w:rFonts w:hint="eastAsia" w:ascii="宋体" w:hAnsi="宋体"/>
          <w:bCs/>
          <w:sz w:val="24"/>
          <w:szCs w:val="24"/>
        </w:rPr>
        <w:t>（3）以参选人所报服务费总价作为商务标评审依据。</w:t>
      </w:r>
    </w:p>
    <w:p>
      <w:pPr>
        <w:numPr>
          <w:ilvl w:val="255"/>
          <w:numId w:val="0"/>
        </w:numPr>
        <w:spacing w:line="360" w:lineRule="auto"/>
        <w:ind w:left="420" w:leftChars="200"/>
        <w:rPr>
          <w:rFonts w:ascii="宋体" w:hAnsi="宋体"/>
          <w:bCs/>
          <w:sz w:val="24"/>
          <w:szCs w:val="24"/>
        </w:rPr>
      </w:pPr>
      <w:r>
        <w:rPr>
          <w:rFonts w:hint="eastAsia" w:ascii="宋体" w:hAnsi="宋体"/>
          <w:bCs/>
          <w:sz w:val="24"/>
          <w:szCs w:val="24"/>
        </w:rPr>
        <w:t>（4）参选人的参选报价中如出现算术错误，将按以下方法进行调整：</w:t>
      </w:r>
    </w:p>
    <w:p>
      <w:pPr>
        <w:numPr>
          <w:ilvl w:val="255"/>
          <w:numId w:val="0"/>
        </w:numPr>
        <w:spacing w:line="360" w:lineRule="auto"/>
        <w:ind w:left="420" w:leftChars="200"/>
        <w:rPr>
          <w:rFonts w:ascii="宋体" w:hAnsi="宋体"/>
          <w:bCs/>
          <w:sz w:val="24"/>
          <w:szCs w:val="24"/>
        </w:rPr>
      </w:pPr>
      <w:r>
        <w:rPr>
          <w:rFonts w:ascii="Calibri" w:hAnsi="Calibri" w:cs="Calibri"/>
          <w:bCs/>
          <w:sz w:val="24"/>
          <w:szCs w:val="24"/>
        </w:rPr>
        <w:t>①</w:t>
      </w:r>
      <w:r>
        <w:rPr>
          <w:rFonts w:hint="eastAsia" w:ascii="宋体" w:hAnsi="宋体"/>
          <w:bCs/>
          <w:sz w:val="24"/>
          <w:szCs w:val="24"/>
        </w:rPr>
        <w:t>参选文件中大写金额与小写金额不一致的，以金额低的为准；</w:t>
      </w:r>
    </w:p>
    <w:p>
      <w:pPr>
        <w:numPr>
          <w:ilvl w:val="255"/>
          <w:numId w:val="0"/>
        </w:numPr>
        <w:spacing w:line="360" w:lineRule="auto"/>
        <w:ind w:left="420" w:leftChars="200"/>
        <w:rPr>
          <w:rFonts w:ascii="宋体" w:hAnsi="宋体"/>
          <w:bCs/>
          <w:sz w:val="24"/>
          <w:szCs w:val="24"/>
        </w:rPr>
      </w:pPr>
      <w:r>
        <w:rPr>
          <w:rFonts w:ascii="Calibri" w:hAnsi="Calibri" w:cs="Calibri"/>
          <w:bCs/>
          <w:sz w:val="24"/>
          <w:szCs w:val="24"/>
        </w:rPr>
        <w:t>②</w:t>
      </w:r>
      <w:r>
        <w:rPr>
          <w:rFonts w:hint="eastAsia" w:ascii="宋体" w:hAnsi="宋体"/>
          <w:bCs/>
          <w:sz w:val="24"/>
          <w:szCs w:val="24"/>
        </w:rPr>
        <w:t>总价金额与按单价计算的总金额不一致的，以单价计算的总金额为准。除非单价有明显的小数点错误，此时应以合价金额为准，调整单价。</w:t>
      </w:r>
    </w:p>
    <w:p>
      <w:pPr>
        <w:spacing w:line="360" w:lineRule="auto"/>
        <w:ind w:firstLine="480" w:firstLineChars="200"/>
        <w:rPr>
          <w:rFonts w:ascii="宋体" w:hAnsi="宋体"/>
          <w:bCs/>
          <w:sz w:val="24"/>
          <w:szCs w:val="24"/>
        </w:rPr>
      </w:pPr>
      <w:r>
        <w:rPr>
          <w:rFonts w:hint="eastAsia" w:ascii="宋体" w:hAnsi="宋体"/>
          <w:bCs/>
          <w:sz w:val="24"/>
          <w:szCs w:val="24"/>
        </w:rPr>
        <w:t>按照本规定的调整方法确定的调整后报价，须取得参选人同意并书面签字确认。如果参选人拒不接受调整方法以及调整后的报价的，其参选将被拒绝。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中选人的参选报价是按照本节规定进行了调整的，其中选价按就低不就高的原则确定。如果参选人拒不接受的，其参选将被拒绝。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numPr>
          <w:ilvl w:val="255"/>
          <w:numId w:val="0"/>
        </w:numPr>
        <w:spacing w:line="360" w:lineRule="auto"/>
        <w:ind w:left="420" w:leftChars="200"/>
        <w:rPr>
          <w:rFonts w:ascii="宋体" w:hAnsi="宋体"/>
          <w:bCs/>
          <w:sz w:val="24"/>
          <w:szCs w:val="24"/>
        </w:rPr>
      </w:pPr>
      <w:r>
        <w:rPr>
          <w:rFonts w:hint="eastAsia" w:ascii="宋体" w:hAnsi="宋体"/>
          <w:bCs/>
          <w:sz w:val="24"/>
          <w:szCs w:val="24"/>
        </w:rPr>
        <w:t>（5）商务标初步审查后，评标委员会按照商务标计算公式，完成商务标分数计算。</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（6）若各参选人的报价，如出现税率不一致的情况，则以不含税总价作为参选人的报价进行商务标分数计算；若税率一致，则以含税总价作为参选人的报价进行商务标分数计算。</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（7）其他情况均按照价格审核计算后，以不利于参选人的原则予以调整。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1" w:name="_Toc57731981"/>
      <w:r>
        <w:rPr>
          <w:rFonts w:hint="eastAsia" w:ascii="宋体" w:hAnsi="宋体"/>
          <w:b/>
          <w:kern w:val="0"/>
          <w:sz w:val="24"/>
          <w:szCs w:val="24"/>
        </w:rPr>
        <w:t>四、评审标准</w:t>
      </w:r>
      <w:bookmarkEnd w:id="100"/>
      <w:bookmarkEnd w:id="101"/>
    </w:p>
    <w:p>
      <w:pPr>
        <w:spacing w:line="360" w:lineRule="auto"/>
        <w:ind w:firstLine="480" w:firstLineChars="200"/>
        <w:rPr>
          <w:rFonts w:ascii="宋体" w:hAnsi="宋体"/>
          <w:color w:val="0D0D0D"/>
          <w:sz w:val="24"/>
          <w:szCs w:val="24"/>
        </w:rPr>
      </w:pPr>
      <w:bookmarkStart w:id="102" w:name="_Toc57731982"/>
      <w:bookmarkStart w:id="103" w:name="_Toc518494144"/>
      <w:r>
        <w:rPr>
          <w:rFonts w:hint="eastAsia" w:ascii="宋体" w:hAnsi="宋体"/>
          <w:color w:val="0D0D0D"/>
          <w:sz w:val="24"/>
          <w:szCs w:val="24"/>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2"/>
      <w:bookmarkEnd w:id="103"/>
    </w:p>
    <w:p>
      <w:pPr>
        <w:tabs>
          <w:tab w:val="left" w:pos="851"/>
        </w:tabs>
        <w:spacing w:line="360" w:lineRule="auto"/>
        <w:ind w:firstLine="480" w:firstLineChars="200"/>
        <w:rPr>
          <w:rFonts w:ascii="宋体" w:hAnsi="宋体"/>
          <w:color w:val="000000"/>
          <w:sz w:val="24"/>
          <w:szCs w:val="24"/>
        </w:rPr>
      </w:pPr>
      <w:bookmarkStart w:id="104" w:name="_Toc518494145"/>
      <w:r>
        <w:rPr>
          <w:rFonts w:hint="eastAsia"/>
          <w:color w:val="0D0D0D" w:themeColor="text1" w:themeTint="F2"/>
          <w:sz w:val="24"/>
          <w:szCs w:val="24"/>
          <w14:textFill>
            <w14:solidFill>
              <w14:schemeClr w14:val="tx1">
                <w14:lumMod w14:val="95000"/>
                <w14:lumOff w14:val="5000"/>
              </w14:schemeClr>
            </w14:solidFill>
          </w14:textFill>
        </w:rPr>
        <w:t>中选人的总报价即为中选价。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5" w:name="_Toc57731983"/>
      <w:r>
        <w:rPr>
          <w:rFonts w:hint="eastAsia" w:ascii="宋体" w:hAnsi="宋体"/>
          <w:b/>
          <w:kern w:val="0"/>
          <w:sz w:val="24"/>
          <w:szCs w:val="24"/>
        </w:rPr>
        <w:t>六、定标</w:t>
      </w:r>
      <w:bookmarkEnd w:id="104"/>
      <w:bookmarkEnd w:id="105"/>
    </w:p>
    <w:p>
      <w:pPr>
        <w:spacing w:line="360" w:lineRule="auto"/>
        <w:ind w:firstLine="480" w:firstLineChars="200"/>
        <w:rPr>
          <w:rFonts w:ascii="宋体" w:hAnsi="宋体"/>
          <w:sz w:val="24"/>
          <w:szCs w:val="24"/>
        </w:rPr>
      </w:pPr>
      <w:bookmarkStart w:id="106"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7" w:name="_Toc57731984"/>
      <w:r>
        <w:rPr>
          <w:rFonts w:hint="eastAsia" w:ascii="宋体" w:hAnsi="宋体"/>
          <w:b/>
          <w:kern w:val="0"/>
          <w:sz w:val="24"/>
          <w:szCs w:val="24"/>
        </w:rPr>
        <w:t>七、评标守则</w:t>
      </w:r>
      <w:bookmarkEnd w:id="106"/>
      <w:bookmarkEnd w:id="107"/>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附表1：参选人签到表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60" w:lineRule="auto"/>
        <w:jc w:val="center"/>
        <w:rPr>
          <w:rFonts w:ascii="宋体" w:hAnsi="宋体" w:cs="宋体"/>
          <w:b/>
          <w:bCs/>
          <w:kern w:val="0"/>
          <w:sz w:val="32"/>
          <w:szCs w:val="32"/>
        </w:rPr>
      </w:pP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9"/>
        <w:tblW w:w="9135" w:type="dxa"/>
        <w:jc w:val="center"/>
        <w:tblLayout w:type="fixed"/>
        <w:tblCellMar>
          <w:top w:w="0" w:type="dxa"/>
          <w:left w:w="0" w:type="dxa"/>
          <w:bottom w:w="0" w:type="dxa"/>
          <w:right w:w="0" w:type="dxa"/>
        </w:tblCellMar>
      </w:tblPr>
      <w:tblGrid>
        <w:gridCol w:w="721"/>
        <w:gridCol w:w="3060"/>
        <w:gridCol w:w="1725"/>
        <w:gridCol w:w="1951"/>
        <w:gridCol w:w="1678"/>
      </w:tblGrid>
      <w:tr>
        <w:tblPrEx>
          <w:tblCellMar>
            <w:top w:w="0" w:type="dxa"/>
            <w:left w:w="0" w:type="dxa"/>
            <w:bottom w:w="0" w:type="dxa"/>
            <w:right w:w="0" w:type="dxa"/>
          </w:tblCellMar>
        </w:tblPrEx>
        <w:trPr>
          <w:trHeight w:val="676"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7</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8</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9</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10</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5"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rPr>
                <w:rFonts w:ascii="宋体" w:hAnsi="宋体"/>
                <w:sz w:val="24"/>
                <w:szCs w:val="24"/>
              </w:rPr>
            </w:pPr>
          </w:p>
          <w:p>
            <w:pPr>
              <w:widowControl/>
              <w:spacing w:line="360" w:lineRule="auto"/>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监督(签名)：</w:t>
            </w:r>
          </w:p>
        </w:tc>
      </w:tr>
      <w:bookmarkEnd w:id="2"/>
      <w:bookmarkEnd w:id="3"/>
      <w:bookmarkEnd w:id="4"/>
      <w:bookmarkEnd w:id="92"/>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昂鹅等十</w:t>
      </w:r>
      <w:r>
        <w:rPr>
          <w:rFonts w:hAnsi="宋体"/>
          <w:b/>
          <w:bCs/>
          <w:sz w:val="24"/>
          <w:szCs w:val="24"/>
          <w:u w:val="single"/>
        </w:rPr>
        <w:t>五</w:t>
      </w:r>
      <w:r>
        <w:rPr>
          <w:rFonts w:hint="eastAsia" w:hAnsi="宋体"/>
          <w:b/>
          <w:bCs/>
          <w:sz w:val="24"/>
          <w:szCs w:val="24"/>
          <w:u w:val="single"/>
        </w:rPr>
        <w:t>个新项目税务咨询服务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2022年   月   日</w:t>
      </w:r>
    </w:p>
    <w:tbl>
      <w:tblPr>
        <w:tblStyle w:val="49"/>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661"/>
        <w:gridCol w:w="1556"/>
        <w:gridCol w:w="1556"/>
        <w:gridCol w:w="1556"/>
        <w:gridCol w:w="1556"/>
        <w:gridCol w:w="1556"/>
        <w:gridCol w:w="1556"/>
        <w:gridCol w:w="155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56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4268" w:type="pct"/>
            <w:gridSpan w:val="8"/>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6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6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62"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 w:val="18"/>
                <w:szCs w:val="18"/>
              </w:rPr>
              <w:t>参选文件在截止时间前递交（电子版）</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62"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总报价（元）</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62"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单个项目报价（元）</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bl>
    <w:p>
      <w:pPr>
        <w:pStyle w:val="3"/>
        <w:spacing w:line="360" w:lineRule="auto"/>
        <w:ind w:left="118" w:leftChars="56"/>
        <w:rPr>
          <w:rFonts w:ascii="宋体" w:hAnsi="宋体"/>
          <w:b/>
          <w:sz w:val="24"/>
          <w:szCs w:val="24"/>
        </w:rPr>
      </w:pPr>
    </w:p>
    <w:p>
      <w:pPr>
        <w:pStyle w:val="3"/>
        <w:spacing w:line="360" w:lineRule="auto"/>
        <w:ind w:left="118" w:leftChars="56"/>
        <w:rPr>
          <w:rFonts w:ascii="宋体" w:hAnsi="宋体"/>
          <w:b/>
          <w:sz w:val="24"/>
          <w:szCs w:val="24"/>
        </w:rPr>
      </w:pPr>
      <w:r>
        <w:rPr>
          <w:rFonts w:hint="eastAsia" w:ascii="宋体" w:hAnsi="宋体"/>
          <w:b/>
          <w:sz w:val="24"/>
          <w:szCs w:val="24"/>
        </w:rPr>
        <w:t>记录人签名：</w:t>
      </w:r>
    </w:p>
    <w:p>
      <w:pPr>
        <w:pStyle w:val="3"/>
        <w:spacing w:line="360" w:lineRule="auto"/>
        <w:ind w:left="118" w:leftChars="56"/>
        <w:rPr>
          <w:rFonts w:ascii="宋体" w:hAnsi="宋体"/>
          <w:b/>
          <w:sz w:val="24"/>
          <w:szCs w:val="24"/>
        </w:rPr>
      </w:pPr>
      <w:r>
        <w:rPr>
          <w:rFonts w:hint="eastAsia" w:ascii="宋体" w:hAnsi="宋体"/>
          <w:b/>
          <w:sz w:val="24"/>
          <w:szCs w:val="24"/>
        </w:rPr>
        <w:t>复核人签名：</w:t>
      </w:r>
    </w:p>
    <w:p>
      <w:pPr>
        <w:pStyle w:val="3"/>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pStyle w:val="43"/>
        <w:rPr>
          <w:rFonts w:ascii="宋体" w:hAnsi="宋体" w:cs="宋体"/>
          <w:b/>
          <w:bCs/>
          <w:color w:val="0D0D0D"/>
          <w:kern w:val="0"/>
          <w:sz w:val="24"/>
          <w:szCs w:val="24"/>
        </w:rPr>
      </w:pPr>
    </w:p>
    <w:p>
      <w:pPr>
        <w:pStyle w:val="43"/>
        <w:rPr>
          <w:rFonts w:ascii="宋体" w:hAnsi="宋体" w:cs="宋体"/>
          <w:b/>
          <w:bCs/>
          <w:color w:val="0D0D0D"/>
          <w:kern w:val="0"/>
          <w:sz w:val="24"/>
          <w:szCs w:val="24"/>
        </w:rPr>
      </w:pPr>
    </w:p>
    <w:p>
      <w:pPr>
        <w:pStyle w:val="43"/>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技术标初步评审表</w:t>
      </w:r>
    </w:p>
    <w:p>
      <w:pPr>
        <w:spacing w:line="360" w:lineRule="auto"/>
        <w:jc w:val="left"/>
        <w:rPr>
          <w:rFonts w:ascii="宋体" w:hAnsi="宋体" w:cs="宋体"/>
          <w:b/>
          <w:bCs/>
          <w:kern w:val="0"/>
          <w:sz w:val="24"/>
          <w:szCs w:val="24"/>
        </w:rPr>
      </w:pP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技术标初步评审表</w:t>
      </w:r>
    </w:p>
    <w:p>
      <w:pPr>
        <w:spacing w:line="360" w:lineRule="auto"/>
        <w:jc w:val="left"/>
        <w:rPr>
          <w:rFonts w:ascii="宋体" w:hAnsi="宋体"/>
          <w:sz w:val="24"/>
          <w:szCs w:val="24"/>
        </w:rPr>
      </w:pPr>
      <w:r>
        <w:rPr>
          <w:rFonts w:hint="eastAsia" w:ascii="宋体" w:hAnsi="宋体" w:cs="宋体"/>
          <w:b/>
          <w:kern w:val="0"/>
          <w:sz w:val="24"/>
          <w:szCs w:val="24"/>
        </w:rPr>
        <w:t>项目名称：</w:t>
      </w:r>
      <w:r>
        <w:rPr>
          <w:rFonts w:hint="eastAsia" w:hAnsi="宋体"/>
          <w:b/>
          <w:bCs/>
          <w:color w:val="0D0D0D"/>
          <w:sz w:val="24"/>
          <w:szCs w:val="24"/>
          <w:u w:val="single"/>
        </w:rPr>
        <w:t>昂鹅等十</w:t>
      </w:r>
      <w:r>
        <w:rPr>
          <w:rFonts w:hAnsi="宋体"/>
          <w:b/>
          <w:bCs/>
          <w:color w:val="0D0D0D"/>
          <w:sz w:val="24"/>
          <w:szCs w:val="24"/>
          <w:u w:val="single"/>
        </w:rPr>
        <w:t>五</w:t>
      </w:r>
      <w:r>
        <w:rPr>
          <w:rFonts w:hint="eastAsia" w:hAnsi="宋体"/>
          <w:b/>
          <w:bCs/>
          <w:color w:val="0D0D0D"/>
          <w:sz w:val="24"/>
          <w:szCs w:val="24"/>
          <w:u w:val="single"/>
        </w:rPr>
        <w:t>个新项目税务咨询服务</w:t>
      </w:r>
      <w:r>
        <w:rPr>
          <w:rFonts w:hint="eastAsia" w:ascii="宋体" w:hAnsi="宋体" w:cs="宋体"/>
          <w:b/>
          <w:color w:val="0D0D0D"/>
          <w:kern w:val="0"/>
          <w:sz w:val="24"/>
          <w:szCs w:val="24"/>
        </w:rPr>
        <w:t xml:space="preserve"> </w:t>
      </w:r>
      <w:r>
        <w:rPr>
          <w:rFonts w:hint="eastAsia" w:ascii="宋体" w:hAnsi="宋体" w:cs="宋体"/>
          <w:b/>
          <w:kern w:val="0"/>
          <w:sz w:val="24"/>
          <w:szCs w:val="24"/>
        </w:rPr>
        <w:t xml:space="preserve">                </w:t>
      </w:r>
    </w:p>
    <w:tbl>
      <w:tblPr>
        <w:tblStyle w:val="49"/>
        <w:tblW w:w="13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726"/>
        <w:gridCol w:w="1220"/>
        <w:gridCol w:w="1275"/>
        <w:gridCol w:w="1276"/>
        <w:gridCol w:w="127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1255" w:type="dxa"/>
            <w:vMerge w:val="restart"/>
            <w:vAlign w:val="center"/>
          </w:tcPr>
          <w:p>
            <w:pPr>
              <w:spacing w:line="360" w:lineRule="auto"/>
              <w:jc w:val="center"/>
              <w:rPr>
                <w:rFonts w:ascii="宋体" w:hAnsi="宋体"/>
                <w:b/>
                <w:bCs/>
                <w:szCs w:val="21"/>
              </w:rPr>
            </w:pPr>
            <w:r>
              <w:rPr>
                <w:rFonts w:hint="eastAsia" w:ascii="宋体" w:hAnsi="宋体"/>
                <w:b/>
                <w:bCs/>
                <w:szCs w:val="21"/>
              </w:rPr>
              <w:t>序号</w:t>
            </w:r>
          </w:p>
        </w:tc>
        <w:tc>
          <w:tcPr>
            <w:tcW w:w="5726" w:type="dxa"/>
            <w:vMerge w:val="restart"/>
            <w:tcBorders>
              <w:tl2br w:val="single" w:color="auto" w:sz="4" w:space="0"/>
            </w:tcBorders>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6379" w:type="dxa"/>
            <w:gridSpan w:val="5"/>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1255" w:type="dxa"/>
            <w:vMerge w:val="continue"/>
            <w:tcBorders>
              <w:bottom w:val="single" w:color="auto" w:sz="4" w:space="0"/>
            </w:tcBorders>
            <w:vAlign w:val="center"/>
          </w:tcPr>
          <w:p>
            <w:pPr>
              <w:spacing w:line="360" w:lineRule="auto"/>
              <w:jc w:val="center"/>
              <w:rPr>
                <w:rFonts w:ascii="宋体" w:hAnsi="宋体"/>
                <w:b/>
                <w:bCs/>
                <w:szCs w:val="21"/>
              </w:rPr>
            </w:pPr>
          </w:p>
        </w:tc>
        <w:tc>
          <w:tcPr>
            <w:tcW w:w="5726" w:type="dxa"/>
            <w:vMerge w:val="continue"/>
            <w:tcBorders>
              <w:bottom w:val="single" w:color="auto" w:sz="4" w:space="0"/>
            </w:tcBorders>
            <w:vAlign w:val="center"/>
          </w:tcPr>
          <w:p>
            <w:pPr>
              <w:spacing w:line="360" w:lineRule="auto"/>
              <w:jc w:val="center"/>
              <w:rPr>
                <w:rFonts w:ascii="宋体" w:hAnsi="宋体"/>
                <w:b/>
                <w:bCs/>
                <w:szCs w:val="21"/>
              </w:rPr>
            </w:pPr>
          </w:p>
        </w:tc>
        <w:tc>
          <w:tcPr>
            <w:tcW w:w="1220" w:type="dxa"/>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255" w:type="dxa"/>
            <w:tcBorders>
              <w:bottom w:val="single" w:color="auto" w:sz="4" w:space="0"/>
            </w:tcBorders>
            <w:vAlign w:val="center"/>
          </w:tcPr>
          <w:p>
            <w:pPr>
              <w:jc w:val="center"/>
              <w:rPr>
                <w:rFonts w:ascii="宋体" w:hAnsi="宋体"/>
                <w:szCs w:val="21"/>
              </w:rPr>
            </w:pPr>
            <w:r>
              <w:rPr>
                <w:rFonts w:hint="eastAsia" w:ascii="宋体" w:hAnsi="宋体"/>
                <w:szCs w:val="21"/>
              </w:rPr>
              <w:t>1</w:t>
            </w:r>
          </w:p>
        </w:tc>
        <w:tc>
          <w:tcPr>
            <w:tcW w:w="5726" w:type="dxa"/>
            <w:tcBorders>
              <w:bottom w:val="single" w:color="auto" w:sz="4" w:space="0"/>
            </w:tcBorders>
            <w:vAlign w:val="center"/>
          </w:tcPr>
          <w:p>
            <w:pPr>
              <w:rPr>
                <w:rFonts w:ascii="宋体" w:hAnsi="宋体"/>
                <w:szCs w:val="21"/>
              </w:rPr>
            </w:pPr>
            <w:r>
              <w:rPr>
                <w:rFonts w:hint="eastAsia" w:ascii="宋体" w:hAnsi="宋体"/>
                <w:szCs w:val="21"/>
              </w:rPr>
              <w:t>参选文件按要求加盖参选人公章</w:t>
            </w:r>
          </w:p>
        </w:tc>
        <w:tc>
          <w:tcPr>
            <w:tcW w:w="1220" w:type="dxa"/>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2</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参选文件经法定代表人或其委托代理人签字或盖章，或由委托代理人签字并随参选文件一起提供“法定代表人授权书”原件</w:t>
            </w:r>
          </w:p>
        </w:tc>
        <w:tc>
          <w:tcPr>
            <w:tcW w:w="1220" w:type="dxa"/>
            <w:tcBorders>
              <w:left w:val="single" w:color="auto" w:sz="4" w:space="0"/>
            </w:tcBorders>
            <w:vAlign w:val="center"/>
          </w:tcPr>
          <w:p>
            <w:pPr>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3</w:t>
            </w:r>
          </w:p>
        </w:tc>
        <w:tc>
          <w:tcPr>
            <w:tcW w:w="5726"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参选人须为于2019年9月1日前成立的税务师事务所或咨询公司，或上述单位的分支机构</w:t>
            </w:r>
            <w:r>
              <w:rPr>
                <w:rFonts w:hint="eastAsia" w:ascii="宋体" w:hAnsi="宋体"/>
                <w:b/>
                <w:bCs/>
                <w:kern w:val="0"/>
                <w:szCs w:val="21"/>
              </w:rPr>
              <w:t>（若参选人为分支机构，需提供总公司的授权文件）</w:t>
            </w:r>
            <w:r>
              <w:rPr>
                <w:rFonts w:hint="eastAsia" w:ascii="宋体" w:hAnsi="宋体"/>
                <w:szCs w:val="21"/>
              </w:rPr>
              <w:t>。</w:t>
            </w:r>
          </w:p>
        </w:tc>
        <w:tc>
          <w:tcPr>
            <w:tcW w:w="1220" w:type="dxa"/>
            <w:tcBorders>
              <w:left w:val="single" w:color="auto" w:sz="4" w:space="0"/>
            </w:tcBorders>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c>
          <w:tcPr>
            <w:tcW w:w="5726"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lang w:val="zh-CN"/>
              </w:rPr>
              <w:t>202</w:t>
            </w:r>
            <w:r>
              <w:rPr>
                <w:rFonts w:hint="eastAsia" w:ascii="宋体" w:hAnsi="宋体"/>
                <w:szCs w:val="21"/>
              </w:rPr>
              <w:t>0</w:t>
            </w:r>
            <w:r>
              <w:rPr>
                <w:rFonts w:hint="eastAsia" w:ascii="宋体" w:hAnsi="宋体"/>
                <w:szCs w:val="21"/>
                <w:lang w:val="zh-CN"/>
              </w:rPr>
              <w:t>-202</w:t>
            </w:r>
            <w:r>
              <w:rPr>
                <w:rFonts w:hint="eastAsia" w:ascii="宋体" w:hAnsi="宋体"/>
                <w:szCs w:val="21"/>
              </w:rPr>
              <w:t>2</w:t>
            </w:r>
            <w:r>
              <w:rPr>
                <w:rFonts w:hint="eastAsia" w:ascii="宋体" w:hAnsi="宋体"/>
                <w:szCs w:val="21"/>
                <w:lang w:val="zh-CN"/>
              </w:rPr>
              <w:t>年</w:t>
            </w:r>
            <w:r>
              <w:rPr>
                <w:rFonts w:hint="eastAsia" w:ascii="宋体" w:hAnsi="宋体"/>
                <w:szCs w:val="21"/>
              </w:rPr>
              <w:t>无违规证明</w:t>
            </w:r>
            <w:r>
              <w:rPr>
                <w:rFonts w:hint="eastAsia" w:ascii="宋体" w:hAnsi="宋体"/>
                <w:szCs w:val="21"/>
                <w:lang w:val="zh-CN"/>
              </w:rPr>
              <w:t>(以深圳市注册税务师协会</w:t>
            </w:r>
            <w:r>
              <w:rPr>
                <w:rFonts w:hint="eastAsia" w:ascii="宋体" w:hAnsi="宋体"/>
                <w:szCs w:val="21"/>
              </w:rPr>
              <w:t>出具的证明</w:t>
            </w:r>
            <w:r>
              <w:rPr>
                <w:rFonts w:hint="eastAsia" w:ascii="宋体" w:hAnsi="宋体"/>
                <w:szCs w:val="21"/>
                <w:lang w:val="zh-CN"/>
              </w:rPr>
              <w:t>为准）</w:t>
            </w:r>
            <w:r>
              <w:rPr>
                <w:rFonts w:hint="eastAsia" w:ascii="宋体" w:hAnsi="宋体"/>
                <w:szCs w:val="21"/>
              </w:rPr>
              <w:t>（若投标人为税务师事务所）</w:t>
            </w:r>
            <w:r>
              <w:rPr>
                <w:rFonts w:ascii="宋体" w:hAnsi="宋体" w:eastAsia="宋体" w:cs="宋体"/>
                <w:sz w:val="24"/>
                <w:szCs w:val="24"/>
              </w:rPr>
              <w:t>。 </w:t>
            </w:r>
          </w:p>
        </w:tc>
        <w:tc>
          <w:tcPr>
            <w:tcW w:w="1220" w:type="dxa"/>
            <w:tcBorders>
              <w:left w:val="single" w:color="auto" w:sz="4" w:space="0"/>
            </w:tcBorders>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val="en-US" w:eastAsia="zh-CN"/>
              </w:rPr>
              <w:t>5</w:t>
            </w:r>
          </w:p>
        </w:tc>
        <w:tc>
          <w:tcPr>
            <w:tcW w:w="5726"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注册税务师协会认定的AAA级以上（含AAA级）（2020年1月1日后授予）（若投标人为税务师事务所）。</w:t>
            </w:r>
          </w:p>
        </w:tc>
        <w:tc>
          <w:tcPr>
            <w:tcW w:w="1220" w:type="dxa"/>
            <w:tcBorders>
              <w:left w:val="single" w:color="auto" w:sz="4" w:space="0"/>
            </w:tcBorders>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val="en-US" w:eastAsia="zh-CN"/>
              </w:rPr>
              <w:t>6</w:t>
            </w:r>
          </w:p>
        </w:tc>
        <w:tc>
          <w:tcPr>
            <w:tcW w:w="5726"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2019年11月1日以来(以合同签约日期为准)，具有深圳房地产税务咨询服务经验5个项目（须为落地深圳的房地产项目）以上。</w:t>
            </w:r>
          </w:p>
        </w:tc>
        <w:tc>
          <w:tcPr>
            <w:tcW w:w="1220" w:type="dxa"/>
            <w:tcBorders>
              <w:left w:val="single" w:color="auto" w:sz="4" w:space="0"/>
            </w:tcBorders>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val="en-US" w:eastAsia="zh-CN"/>
              </w:rPr>
              <w:t>7</w:t>
            </w:r>
          </w:p>
        </w:tc>
        <w:tc>
          <w:tcPr>
            <w:tcW w:w="5726"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投标人为非联合体。</w:t>
            </w:r>
          </w:p>
        </w:tc>
        <w:tc>
          <w:tcPr>
            <w:tcW w:w="1220" w:type="dxa"/>
            <w:tcBorders>
              <w:left w:val="single" w:color="auto" w:sz="4" w:space="0"/>
            </w:tcBorders>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6981" w:type="dxa"/>
            <w:gridSpan w:val="2"/>
            <w:tcBorders>
              <w:top w:val="single" w:color="auto" w:sz="4" w:space="0"/>
            </w:tcBorders>
            <w:vAlign w:val="center"/>
          </w:tcPr>
          <w:p>
            <w:pPr>
              <w:spacing w:line="360" w:lineRule="auto"/>
              <w:jc w:val="center"/>
              <w:rPr>
                <w:rFonts w:ascii="宋体" w:hAnsi="宋体"/>
                <w:szCs w:val="21"/>
              </w:rPr>
            </w:pPr>
            <w:r>
              <w:rPr>
                <w:rFonts w:hint="eastAsia" w:ascii="宋体" w:hAnsi="宋体"/>
                <w:b/>
                <w:bCs/>
                <w:szCs w:val="21"/>
              </w:rPr>
              <w:t>评审结论：</w:t>
            </w:r>
          </w:p>
        </w:tc>
        <w:tc>
          <w:tcPr>
            <w:tcW w:w="1220" w:type="dxa"/>
            <w:vAlign w:val="center"/>
          </w:tcPr>
          <w:p>
            <w:pPr>
              <w:spacing w:line="360" w:lineRule="auto"/>
              <w:jc w:val="center"/>
              <w:rPr>
                <w:rFonts w:ascii="宋体" w:hAnsi="宋体"/>
                <w:szCs w:val="21"/>
              </w:rPr>
            </w:pPr>
          </w:p>
        </w:tc>
        <w:tc>
          <w:tcPr>
            <w:tcW w:w="1275"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276" w:type="dxa"/>
          </w:tcPr>
          <w:p>
            <w:pPr>
              <w:spacing w:line="360" w:lineRule="auto"/>
              <w:jc w:val="center"/>
              <w:rPr>
                <w:rFonts w:ascii="宋体" w:hAnsi="宋体"/>
                <w:szCs w:val="21"/>
              </w:rPr>
            </w:pPr>
          </w:p>
        </w:tc>
        <w:tc>
          <w:tcPr>
            <w:tcW w:w="1332" w:type="dxa"/>
          </w:tcPr>
          <w:p>
            <w:pPr>
              <w:spacing w:line="360" w:lineRule="auto"/>
              <w:jc w:val="center"/>
              <w:rPr>
                <w:rFonts w:ascii="宋体" w:hAnsi="宋体"/>
                <w:szCs w:val="21"/>
              </w:rPr>
            </w:pPr>
          </w:p>
        </w:tc>
      </w:tr>
    </w:tbl>
    <w:p>
      <w:pPr>
        <w:tabs>
          <w:tab w:val="left" w:pos="0"/>
        </w:tabs>
        <w:snapToGrid w:val="0"/>
        <w:spacing w:line="360" w:lineRule="auto"/>
        <w:ind w:firstLine="42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050" w:firstLineChars="500"/>
        <w:rPr>
          <w:rFonts w:ascii="宋体" w:hAnsi="宋体"/>
          <w:color w:val="0D0D0D"/>
          <w:szCs w:val="21"/>
        </w:rPr>
      </w:pPr>
      <w:r>
        <w:rPr>
          <w:rFonts w:hint="eastAsia" w:ascii="宋体" w:hAnsi="宋体"/>
          <w:color w:val="0D0D0D"/>
          <w:szCs w:val="21"/>
        </w:rPr>
        <w:t>2、只有以上项目全部通过，评审结论为“合格”，否则结论为“不合格”。</w:t>
      </w:r>
    </w:p>
    <w:p>
      <w:pPr>
        <w:widowControl/>
        <w:spacing w:line="360" w:lineRule="auto"/>
        <w:rPr>
          <w:rFonts w:ascii="宋体" w:hAnsi="宋体"/>
          <w:b/>
          <w:sz w:val="24"/>
          <w:szCs w:val="24"/>
        </w:rPr>
      </w:pPr>
      <w:r>
        <w:rPr>
          <w:rFonts w:hint="eastAsia" w:ascii="宋体" w:hAnsi="宋体"/>
          <w:b/>
          <w:sz w:val="24"/>
          <w:szCs w:val="24"/>
        </w:rPr>
        <w:t>评标</w:t>
      </w:r>
      <w:r>
        <w:rPr>
          <w:rFonts w:ascii="宋体" w:hAnsi="宋体"/>
          <w:b/>
          <w:sz w:val="24"/>
          <w:szCs w:val="24"/>
        </w:rPr>
        <w:t>委员会</w:t>
      </w:r>
      <w:r>
        <w:rPr>
          <w:rFonts w:hint="eastAsia" w:ascii="宋体" w:hAnsi="宋体"/>
          <w:b/>
          <w:sz w:val="24"/>
          <w:szCs w:val="24"/>
        </w:rPr>
        <w:t xml:space="preserve">（签名）：       </w:t>
      </w:r>
    </w:p>
    <w:p>
      <w:pPr>
        <w:widowControl/>
        <w:spacing w:line="360" w:lineRule="auto"/>
        <w:rPr>
          <w:rFonts w:ascii="宋体" w:hAnsi="宋体"/>
          <w:b/>
          <w:sz w:val="24"/>
          <w:szCs w:val="24"/>
        </w:rPr>
      </w:pPr>
      <w:r>
        <w:rPr>
          <w:rFonts w:hint="eastAsia" w:ascii="宋体" w:hAnsi="宋体"/>
          <w:b/>
          <w:sz w:val="24"/>
          <w:szCs w:val="24"/>
        </w:rPr>
        <w:t xml:space="preserve">监督（签名）：                         </w:t>
      </w:r>
    </w:p>
    <w:p>
      <w:pPr>
        <w:tabs>
          <w:tab w:val="left" w:pos="0"/>
        </w:tabs>
        <w:snapToGrid w:val="0"/>
        <w:spacing w:line="360" w:lineRule="auto"/>
        <w:jc w:val="right"/>
        <w:sectPr>
          <w:pgSz w:w="16840" w:h="11907" w:orient="landscape"/>
          <w:pgMar w:top="1440" w:right="1440" w:bottom="1134" w:left="1440" w:header="720" w:footer="890" w:gutter="0"/>
          <w:cols w:space="720" w:num="1"/>
        </w:sectPr>
      </w:pPr>
      <w:r>
        <w:rPr>
          <w:rFonts w:ascii="宋体" w:hAnsi="宋体"/>
          <w:b/>
          <w:color w:val="0D0D0D"/>
          <w:szCs w:val="21"/>
        </w:rPr>
        <w:t xml:space="preserve">           </w:t>
      </w:r>
      <w:r>
        <w:rPr>
          <w:rFonts w:hint="eastAsia" w:ascii="宋体" w:hAnsi="宋体"/>
          <w:b/>
          <w:color w:val="0D0D0D"/>
          <w:szCs w:val="21"/>
        </w:rPr>
        <w:t>日期：2022年  月   日</w:t>
      </w:r>
      <w:r>
        <w:rPr>
          <w:rFonts w:ascii="宋体" w:hAnsi="宋体"/>
          <w:b/>
          <w:color w:val="0D0D0D"/>
          <w:szCs w:val="21"/>
        </w:rPr>
        <w:t xml:space="preserve"> </w:t>
      </w:r>
    </w:p>
    <w:p>
      <w:pPr>
        <w:spacing w:line="360" w:lineRule="auto"/>
        <w:jc w:val="left"/>
        <w:rPr>
          <w:rFonts w:ascii="宋体" w:hAnsi="宋体"/>
          <w:b/>
          <w:bCs/>
          <w:snapToGrid w:val="0"/>
          <w:sz w:val="24"/>
          <w:szCs w:val="24"/>
        </w:rPr>
      </w:pPr>
      <w:r>
        <w:rPr>
          <w:rFonts w:hint="eastAsia" w:ascii="宋体" w:hAnsi="宋体" w:cs="宋体"/>
          <w:b/>
          <w:bCs/>
          <w:color w:val="0D0D0D"/>
          <w:kern w:val="0"/>
          <w:sz w:val="24"/>
          <w:szCs w:val="24"/>
        </w:rPr>
        <w:t xml:space="preserve"> </w:t>
      </w:r>
      <w:r>
        <w:rPr>
          <w:rFonts w:hint="eastAsia" w:ascii="宋体" w:hAnsi="宋体"/>
          <w:b/>
          <w:snapToGrid w:val="0"/>
          <w:sz w:val="24"/>
          <w:szCs w:val="24"/>
        </w:rPr>
        <w:t>附表4：技术标详细评审表</w:t>
      </w:r>
    </w:p>
    <w:p>
      <w:pPr>
        <w:spacing w:line="360" w:lineRule="auto"/>
        <w:jc w:val="center"/>
        <w:rPr>
          <w:rFonts w:ascii="宋体" w:hAnsi="宋体"/>
          <w:b/>
          <w:bCs/>
          <w:snapToGrid w:val="0"/>
          <w:sz w:val="24"/>
          <w:szCs w:val="24"/>
        </w:rPr>
      </w:pPr>
      <w:r>
        <w:rPr>
          <w:rFonts w:hint="eastAsia" w:ascii="宋体" w:hAnsi="宋体"/>
          <w:b/>
          <w:bCs/>
          <w:snapToGrid w:val="0"/>
          <w:sz w:val="24"/>
          <w:szCs w:val="24"/>
        </w:rPr>
        <w:t>技术标详细评审表（</w:t>
      </w:r>
      <w:r>
        <w:rPr>
          <w:rFonts w:ascii="宋体" w:hAnsi="宋体"/>
          <w:b/>
          <w:bCs/>
          <w:snapToGrid w:val="0"/>
          <w:sz w:val="24"/>
          <w:szCs w:val="24"/>
        </w:rPr>
        <w:t>50</w:t>
      </w:r>
      <w:r>
        <w:rPr>
          <w:rFonts w:hint="eastAsia" w:ascii="宋体" w:hAnsi="宋体"/>
          <w:b/>
          <w:bCs/>
          <w:snapToGrid w:val="0"/>
          <w:sz w:val="24"/>
          <w:szCs w:val="24"/>
        </w:rPr>
        <w:t>分）</w:t>
      </w:r>
    </w:p>
    <w:p>
      <w:pPr>
        <w:spacing w:line="360" w:lineRule="auto"/>
        <w:jc w:val="left"/>
        <w:rPr>
          <w:rFonts w:ascii="宋体" w:hAnsi="宋体"/>
          <w:b/>
          <w:bCs/>
          <w:snapToGrid w:val="0"/>
          <w:sz w:val="24"/>
          <w:szCs w:val="24"/>
        </w:rPr>
      </w:pPr>
      <w:r>
        <w:rPr>
          <w:rFonts w:hint="eastAsia" w:ascii="宋体" w:hAnsi="宋体"/>
          <w:b/>
          <w:bCs/>
          <w:snapToGrid w:val="0"/>
          <w:sz w:val="24"/>
          <w:szCs w:val="24"/>
        </w:rPr>
        <w:t>项目名称：</w:t>
      </w:r>
      <w:r>
        <w:rPr>
          <w:rFonts w:hint="eastAsia" w:hAnsi="宋体"/>
          <w:b/>
          <w:bCs/>
          <w:color w:val="0D0D0D"/>
          <w:sz w:val="24"/>
          <w:szCs w:val="24"/>
          <w:u w:val="single"/>
        </w:rPr>
        <w:t>昂鹅等十</w:t>
      </w:r>
      <w:r>
        <w:rPr>
          <w:rFonts w:hAnsi="宋体"/>
          <w:b/>
          <w:bCs/>
          <w:color w:val="0D0D0D"/>
          <w:sz w:val="24"/>
          <w:szCs w:val="24"/>
          <w:u w:val="single"/>
        </w:rPr>
        <w:t>五</w:t>
      </w:r>
      <w:r>
        <w:rPr>
          <w:rFonts w:hint="eastAsia" w:hAnsi="宋体"/>
          <w:b/>
          <w:bCs/>
          <w:color w:val="0D0D0D"/>
          <w:sz w:val="24"/>
          <w:szCs w:val="24"/>
          <w:u w:val="single"/>
        </w:rPr>
        <w:t>个新项目税务咨询服务</w:t>
      </w:r>
    </w:p>
    <w:p>
      <w:pPr>
        <w:widowControl/>
        <w:spacing w:line="360" w:lineRule="auto"/>
        <w:rPr>
          <w:rFonts w:ascii="宋体" w:hAnsi="宋体"/>
        </w:rPr>
      </w:pPr>
    </w:p>
    <w:tbl>
      <w:tblPr>
        <w:tblStyle w:val="49"/>
        <w:tblW w:w="14907" w:type="dxa"/>
        <w:tblInd w:w="-57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Layout w:type="fixed"/>
        <w:tblCellMar>
          <w:top w:w="0" w:type="dxa"/>
          <w:left w:w="0" w:type="dxa"/>
          <w:bottom w:w="0" w:type="dxa"/>
          <w:right w:w="0" w:type="dxa"/>
        </w:tblCellMar>
      </w:tblPr>
      <w:tblGrid>
        <w:gridCol w:w="709"/>
        <w:gridCol w:w="1204"/>
        <w:gridCol w:w="6167"/>
        <w:gridCol w:w="1393"/>
        <w:gridCol w:w="1102"/>
        <w:gridCol w:w="992"/>
        <w:gridCol w:w="992"/>
        <w:gridCol w:w="1134"/>
        <w:gridCol w:w="121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195" w:hRule="atLeast"/>
          <w:tblHeader/>
        </w:trPr>
        <w:tc>
          <w:tcPr>
            <w:tcW w:w="709"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r>
              <w:rPr>
                <w:rFonts w:hint="eastAsia" w:ascii="宋体" w:hAnsi="宋体" w:cs="宋体"/>
                <w:b/>
                <w:bCs/>
                <w:szCs w:val="21"/>
                <w:lang w:val="zh-TW" w:eastAsia="zh-TW"/>
              </w:rPr>
              <w:t>编号</w:t>
            </w:r>
          </w:p>
        </w:tc>
        <w:tc>
          <w:tcPr>
            <w:tcW w:w="1204"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r>
              <w:rPr>
                <w:rFonts w:hint="eastAsia" w:ascii="宋体" w:hAnsi="宋体" w:cs="宋体"/>
                <w:b/>
                <w:bCs/>
                <w:szCs w:val="21"/>
                <w:lang w:val="zh-TW" w:eastAsia="zh-TW"/>
              </w:rPr>
              <w:t>比选项目</w:t>
            </w:r>
          </w:p>
        </w:tc>
        <w:tc>
          <w:tcPr>
            <w:tcW w:w="6167"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r>
              <w:rPr>
                <w:rFonts w:hint="eastAsia" w:ascii="宋体" w:hAnsi="宋体" w:cs="宋体"/>
                <w:b/>
                <w:bCs/>
                <w:szCs w:val="21"/>
                <w:lang w:val="zh-TW" w:eastAsia="zh-TW"/>
              </w:rPr>
              <w:t>评分标准</w:t>
            </w:r>
          </w:p>
        </w:tc>
        <w:tc>
          <w:tcPr>
            <w:tcW w:w="1393" w:type="dxa"/>
            <w:vMerge w:val="restart"/>
            <w:tcBorders>
              <w:top w:val="single" w:color="auto" w:sz="4" w:space="0"/>
              <w:left w:val="single" w:color="000000" w:sz="4" w:space="0"/>
              <w:right w:val="single" w:color="auto" w:sz="4" w:space="0"/>
            </w:tcBorders>
            <w:shd w:val="clear" w:color="auto" w:fill="auto"/>
          </w:tcPr>
          <w:p>
            <w:pPr>
              <w:spacing w:line="240" w:lineRule="exact"/>
              <w:jc w:val="center"/>
              <w:rPr>
                <w:rFonts w:ascii="宋体" w:hAnsi="宋体" w:cs="宋体"/>
                <w:szCs w:val="21"/>
              </w:rPr>
            </w:pPr>
            <w:r>
              <w:rPr>
                <w:rFonts w:hint="eastAsia" w:ascii="宋体" w:hAnsi="宋体" w:cs="宋体"/>
                <w:b/>
                <w:bCs/>
                <w:szCs w:val="21"/>
                <w:lang w:val="zh-TW" w:eastAsia="zh-TW"/>
              </w:rPr>
              <w:t>满分值</w:t>
            </w:r>
          </w:p>
        </w:tc>
        <w:tc>
          <w:tcPr>
            <w:tcW w:w="5434" w:type="dxa"/>
            <w:gridSpan w:val="5"/>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rPr>
            </w:pPr>
            <w:r>
              <w:rPr>
                <w:rFonts w:hint="eastAsia" w:ascii="宋体" w:hAnsi="宋体" w:cs="宋体"/>
                <w:b/>
                <w:bCs/>
                <w:szCs w:val="21"/>
                <w:lang w:val="zh-TW"/>
              </w:rPr>
              <w:t>参选人名称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95" w:hRule="atLeast"/>
          <w:tblHeader/>
        </w:trPr>
        <w:tc>
          <w:tcPr>
            <w:tcW w:w="709"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szCs w:val="21"/>
              </w:rPr>
            </w:pPr>
          </w:p>
        </w:tc>
        <w:tc>
          <w:tcPr>
            <w:tcW w:w="1204"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szCs w:val="21"/>
              </w:rPr>
            </w:pPr>
          </w:p>
        </w:tc>
        <w:tc>
          <w:tcPr>
            <w:tcW w:w="6167"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szCs w:val="21"/>
              </w:rPr>
            </w:pPr>
          </w:p>
        </w:tc>
        <w:tc>
          <w:tcPr>
            <w:tcW w:w="1393" w:type="dxa"/>
            <w:vMerge w:val="continue"/>
            <w:tcBorders>
              <w:left w:val="single" w:color="000000" w:sz="4" w:space="0"/>
              <w:bottom w:val="single" w:color="auto" w:sz="4" w:space="0"/>
              <w:right w:val="single" w:color="auto" w:sz="4" w:space="0"/>
            </w:tcBorders>
            <w:shd w:val="clear" w:color="auto" w:fill="auto"/>
          </w:tcPr>
          <w:p>
            <w:pPr>
              <w:spacing w:line="240" w:lineRule="exact"/>
              <w:jc w:val="center"/>
              <w:rPr>
                <w:szCs w:val="21"/>
              </w:rPr>
            </w:pP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eastAsia="zh-TW"/>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eastAsia="zh-TW"/>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spacing w:line="240" w:lineRule="exact"/>
              <w:jc w:val="center"/>
              <w:rPr>
                <w:rFonts w:ascii="宋体" w:hAnsi="宋体" w:cs="宋体"/>
                <w:b/>
                <w:bCs/>
                <w:szCs w:val="21"/>
                <w:lang w:val="zh-TW" w:eastAsia="zh-TW"/>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486" w:hRule="atLeast"/>
        </w:trPr>
        <w:tc>
          <w:tcPr>
            <w:tcW w:w="709"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204"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260" w:lineRule="exact"/>
              <w:jc w:val="center"/>
              <w:rPr>
                <w:rFonts w:ascii="宋体" w:hAnsi="宋体" w:cs="宋体"/>
                <w:szCs w:val="21"/>
                <w:lang w:val="zh-TW" w:eastAsia="zh-TW"/>
              </w:rPr>
            </w:pPr>
          </w:p>
          <w:p>
            <w:pPr>
              <w:spacing w:line="260" w:lineRule="exact"/>
              <w:jc w:val="center"/>
              <w:rPr>
                <w:rFonts w:ascii="宋体" w:hAnsi="宋体" w:cs="宋体"/>
                <w:szCs w:val="21"/>
                <w:lang w:val="zh-TW" w:eastAsia="zh-TW"/>
              </w:rPr>
            </w:pPr>
            <w:r>
              <w:rPr>
                <w:rFonts w:hint="eastAsia" w:ascii="宋体" w:hAnsi="宋体" w:cs="宋体"/>
                <w:szCs w:val="21"/>
                <w:lang w:val="zh-TW" w:eastAsia="zh-TW"/>
              </w:rPr>
              <w:t>机构实力与优势</w:t>
            </w:r>
          </w:p>
        </w:tc>
        <w:tc>
          <w:tcPr>
            <w:tcW w:w="6167"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pStyle w:val="237"/>
              <w:tabs>
                <w:tab w:val="left" w:pos="0"/>
              </w:tabs>
              <w:spacing w:line="260" w:lineRule="exact"/>
              <w:ind w:firstLine="0"/>
              <w:jc w:val="left"/>
              <w:rPr>
                <w:rFonts w:ascii="宋体" w:hAnsi="宋体" w:cs="宋体"/>
                <w:szCs w:val="21"/>
                <w:lang w:val="zh-TW" w:eastAsia="zh-TW"/>
              </w:rPr>
            </w:pPr>
            <w:r>
              <w:rPr>
                <w:rFonts w:hint="eastAsia" w:ascii="宋体" w:hAnsi="宋体" w:cs="宋体"/>
                <w:szCs w:val="21"/>
                <w:lang w:val="zh-TW" w:eastAsia="zh-TW"/>
              </w:rPr>
              <w:t>20</w:t>
            </w:r>
            <w:r>
              <w:rPr>
                <w:rFonts w:hint="eastAsia" w:ascii="宋体" w:hAnsi="宋体" w:cs="宋体"/>
                <w:szCs w:val="21"/>
              </w:rPr>
              <w:t>19</w:t>
            </w:r>
            <w:r>
              <w:rPr>
                <w:rFonts w:hint="eastAsia" w:ascii="宋体" w:hAnsi="宋体" w:cs="宋体"/>
                <w:szCs w:val="21"/>
                <w:lang w:val="zh-TW" w:eastAsia="zh-TW"/>
              </w:rPr>
              <w:t>年</w:t>
            </w:r>
            <w:r>
              <w:rPr>
                <w:rFonts w:hint="eastAsia" w:ascii="宋体" w:hAnsi="宋体" w:cs="宋体"/>
                <w:szCs w:val="21"/>
              </w:rPr>
              <w:t>11</w:t>
            </w:r>
            <w:r>
              <w:rPr>
                <w:rFonts w:hint="eastAsia" w:ascii="宋体" w:hAnsi="宋体" w:cs="宋体"/>
                <w:szCs w:val="21"/>
                <w:lang w:val="zh-TW" w:eastAsia="zh-TW"/>
              </w:rPr>
              <w:t>月1日至今</w:t>
            </w:r>
            <w:r>
              <w:rPr>
                <w:rFonts w:hint="eastAsia" w:ascii="宋体" w:hAnsi="宋体"/>
                <w:color w:val="0D0D0D"/>
                <w:kern w:val="0"/>
                <w:szCs w:val="21"/>
              </w:rPr>
              <w:t>(以</w:t>
            </w:r>
            <w:r>
              <w:rPr>
                <w:rFonts w:ascii="宋体" w:hAnsi="宋体"/>
                <w:color w:val="0D0D0D"/>
                <w:kern w:val="0"/>
                <w:szCs w:val="21"/>
              </w:rPr>
              <w:t>合同签</w:t>
            </w:r>
            <w:r>
              <w:rPr>
                <w:rFonts w:hint="eastAsia" w:ascii="宋体" w:hAnsi="宋体"/>
                <w:color w:val="0D0D0D"/>
                <w:kern w:val="0"/>
                <w:szCs w:val="21"/>
              </w:rPr>
              <w:t>约</w:t>
            </w:r>
            <w:r>
              <w:rPr>
                <w:rFonts w:ascii="宋体" w:hAnsi="宋体"/>
                <w:color w:val="0D0D0D"/>
                <w:kern w:val="0"/>
                <w:szCs w:val="21"/>
              </w:rPr>
              <w:t>日期</w:t>
            </w:r>
            <w:r>
              <w:rPr>
                <w:rFonts w:hint="eastAsia" w:ascii="宋体" w:hAnsi="宋体"/>
                <w:color w:val="0D0D0D"/>
                <w:kern w:val="0"/>
                <w:szCs w:val="21"/>
              </w:rPr>
              <w:t>为准)</w:t>
            </w:r>
            <w:r>
              <w:rPr>
                <w:rFonts w:hint="eastAsia" w:ascii="宋体" w:hAnsi="宋体" w:cs="宋体"/>
                <w:szCs w:val="21"/>
                <w:lang w:val="zh-TW" w:eastAsia="zh-TW"/>
              </w:rPr>
              <w:t>，为</w:t>
            </w:r>
            <w:r>
              <w:rPr>
                <w:rFonts w:hint="eastAsia" w:ascii="宋体" w:hAnsi="宋体" w:cs="宋体"/>
                <w:szCs w:val="21"/>
              </w:rPr>
              <w:t>落地深圳市的</w:t>
            </w:r>
            <w:r>
              <w:rPr>
                <w:rFonts w:hint="eastAsia" w:ascii="宋体" w:hAnsi="宋体" w:cs="宋体"/>
                <w:szCs w:val="21"/>
                <w:lang w:val="zh-TW" w:eastAsia="zh-TW"/>
              </w:rPr>
              <w:t>房地产</w:t>
            </w:r>
            <w:r>
              <w:rPr>
                <w:rFonts w:hint="eastAsia" w:ascii="宋体" w:hAnsi="宋体" w:cs="宋体"/>
                <w:szCs w:val="21"/>
              </w:rPr>
              <w:t>项目</w:t>
            </w:r>
            <w:r>
              <w:rPr>
                <w:rFonts w:hint="eastAsia" w:ascii="宋体" w:hAnsi="宋体" w:cs="宋体"/>
                <w:szCs w:val="21"/>
                <w:lang w:val="zh-TW" w:eastAsia="zh-TW"/>
              </w:rPr>
              <w:t>提供过税务咨询服务</w:t>
            </w:r>
            <w:r>
              <w:rPr>
                <w:rFonts w:hint="eastAsia" w:ascii="宋体" w:hAnsi="宋体" w:cs="宋体"/>
                <w:szCs w:val="21"/>
              </w:rPr>
              <w:t>5个以上</w:t>
            </w:r>
            <w:r>
              <w:rPr>
                <w:rFonts w:hint="eastAsia" w:ascii="宋体" w:hAnsi="宋体" w:cs="宋体"/>
                <w:szCs w:val="21"/>
                <w:lang w:val="zh-TW" w:eastAsia="zh-TW"/>
              </w:rPr>
              <w:t>，并提供合同复印件（需提供合同关键页）</w:t>
            </w:r>
            <w:r>
              <w:rPr>
                <w:rFonts w:hint="eastAsia" w:ascii="宋体" w:hAnsi="宋体" w:cs="宋体"/>
                <w:szCs w:val="21"/>
                <w:lang w:val="zh-TW"/>
              </w:rPr>
              <w:t>，</w:t>
            </w:r>
            <w:r>
              <w:rPr>
                <w:rFonts w:hint="eastAsia" w:ascii="宋体" w:hAnsi="宋体" w:cs="宋体"/>
                <w:szCs w:val="21"/>
              </w:rPr>
              <w:t>超过5个以上，第6个起</w:t>
            </w:r>
            <w:r>
              <w:rPr>
                <w:rFonts w:hint="eastAsia" w:ascii="宋体" w:hAnsi="宋体" w:cs="宋体"/>
                <w:szCs w:val="21"/>
                <w:lang w:val="zh-TW" w:eastAsia="zh-TW"/>
              </w:rPr>
              <w:t>每1个加</w:t>
            </w:r>
            <w:r>
              <w:rPr>
                <w:rFonts w:hint="eastAsia" w:ascii="宋体" w:hAnsi="宋体" w:cs="宋体"/>
                <w:szCs w:val="21"/>
              </w:rPr>
              <w:t>2</w:t>
            </w:r>
            <w:r>
              <w:rPr>
                <w:rFonts w:hint="eastAsia" w:ascii="宋体" w:hAnsi="宋体" w:cs="宋体"/>
                <w:szCs w:val="21"/>
                <w:lang w:val="zh-TW" w:eastAsia="zh-TW"/>
              </w:rPr>
              <w:t>分，最高</w:t>
            </w:r>
            <w:r>
              <w:rPr>
                <w:rFonts w:hint="eastAsia" w:ascii="宋体" w:hAnsi="宋体" w:cs="宋体"/>
                <w:szCs w:val="21"/>
              </w:rPr>
              <w:t>20</w:t>
            </w:r>
            <w:r>
              <w:rPr>
                <w:rFonts w:hint="eastAsia" w:ascii="宋体" w:hAnsi="宋体" w:cs="宋体"/>
                <w:szCs w:val="21"/>
                <w:lang w:val="zh-TW" w:eastAsia="zh-TW"/>
              </w:rPr>
              <w:t>分。</w:t>
            </w:r>
          </w:p>
        </w:tc>
        <w:tc>
          <w:tcPr>
            <w:tcW w:w="1393"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szCs w:val="21"/>
                <w:lang w:val="zh-TW" w:eastAsia="zh-TW"/>
              </w:rPr>
            </w:pPr>
          </w:p>
          <w:p>
            <w:pPr>
              <w:widowControl/>
              <w:spacing w:line="240" w:lineRule="exact"/>
              <w:jc w:val="center"/>
              <w:rPr>
                <w:rFonts w:ascii="宋体" w:hAnsi="宋体" w:cs="宋体"/>
                <w:szCs w:val="21"/>
                <w:lang w:val="zh-TW" w:eastAsia="zh-TW"/>
              </w:rPr>
            </w:pPr>
          </w:p>
          <w:p>
            <w:pPr>
              <w:widowControl/>
              <w:spacing w:line="240" w:lineRule="exact"/>
              <w:jc w:val="center"/>
              <w:rPr>
                <w:rFonts w:ascii="宋体" w:hAnsi="宋体" w:cs="宋体"/>
                <w:szCs w:val="21"/>
                <w:lang w:val="zh-TW" w:eastAsia="zh-TW"/>
              </w:rPr>
            </w:pPr>
            <w:r>
              <w:rPr>
                <w:rFonts w:hint="eastAsia" w:ascii="宋体" w:hAnsi="宋体" w:cs="宋体"/>
                <w:szCs w:val="21"/>
              </w:rPr>
              <w:t>20</w:t>
            </w:r>
            <w:r>
              <w:rPr>
                <w:rFonts w:hint="eastAsia" w:ascii="宋体" w:hAnsi="宋体" w:cs="宋体"/>
                <w:szCs w:val="21"/>
                <w:lang w:val="zh-TW" w:eastAsia="zh-TW"/>
              </w:rPr>
              <w:t>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486" w:hRule="atLeast"/>
        </w:trPr>
        <w:tc>
          <w:tcPr>
            <w:tcW w:w="709"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p>
        </w:tc>
        <w:tc>
          <w:tcPr>
            <w:tcW w:w="1204"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60" w:lineRule="exact"/>
              <w:jc w:val="center"/>
              <w:rPr>
                <w:rFonts w:ascii="宋体" w:hAnsi="宋体" w:cs="宋体"/>
                <w:szCs w:val="21"/>
                <w:lang w:val="zh-TW" w:eastAsia="zh-TW"/>
              </w:rPr>
            </w:pPr>
          </w:p>
        </w:tc>
        <w:tc>
          <w:tcPr>
            <w:tcW w:w="6167"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pStyle w:val="237"/>
              <w:tabs>
                <w:tab w:val="left" w:pos="0"/>
              </w:tabs>
              <w:spacing w:line="260" w:lineRule="exact"/>
              <w:ind w:firstLine="0"/>
              <w:jc w:val="left"/>
              <w:rPr>
                <w:rFonts w:ascii="宋体" w:hAnsi="宋体" w:cs="宋体"/>
                <w:szCs w:val="21"/>
                <w:lang w:val="zh-TW"/>
              </w:rPr>
            </w:pPr>
            <w:r>
              <w:rPr>
                <w:rFonts w:hint="eastAsia" w:ascii="宋体" w:hAnsi="宋体" w:cs="宋体"/>
                <w:szCs w:val="21"/>
                <w:lang w:val="zh-TW" w:eastAsia="zh-TW"/>
              </w:rPr>
              <w:t>结合以往的咨询案例，介绍房地产税务筹划方案建议</w:t>
            </w:r>
            <w:r>
              <w:rPr>
                <w:rFonts w:hint="eastAsia" w:ascii="宋体" w:hAnsi="宋体" w:cs="宋体"/>
                <w:szCs w:val="21"/>
              </w:rPr>
              <w:t>及</w:t>
            </w:r>
            <w:r>
              <w:rPr>
                <w:rFonts w:hint="eastAsia" w:ascii="宋体" w:hAnsi="宋体" w:cs="宋体"/>
                <w:szCs w:val="21"/>
                <w:lang w:val="zh-TW" w:eastAsia="zh-TW"/>
              </w:rPr>
              <w:t>房地产业务税务咨询服务经验优势（包括与</w:t>
            </w:r>
            <w:r>
              <w:rPr>
                <w:rFonts w:hint="eastAsia" w:ascii="宋体" w:hAnsi="宋体" w:cs="宋体"/>
                <w:szCs w:val="21"/>
              </w:rPr>
              <w:t>深圳各区</w:t>
            </w:r>
            <w:r>
              <w:rPr>
                <w:rFonts w:hint="eastAsia" w:ascii="宋体" w:hAnsi="宋体" w:cs="宋体"/>
                <w:szCs w:val="21"/>
                <w:lang w:val="zh-TW" w:eastAsia="zh-TW"/>
              </w:rPr>
              <w:t>税务局等的沟通经验等）</w:t>
            </w:r>
            <w:r>
              <w:rPr>
                <w:rFonts w:hint="eastAsia" w:ascii="宋体" w:hAnsi="宋体" w:cs="宋体"/>
                <w:szCs w:val="21"/>
                <w:lang w:val="zh-TW"/>
              </w:rPr>
              <w:t>：</w:t>
            </w:r>
          </w:p>
          <w:p>
            <w:pPr>
              <w:pStyle w:val="237"/>
              <w:tabs>
                <w:tab w:val="left" w:pos="0"/>
              </w:tabs>
              <w:spacing w:line="260" w:lineRule="exact"/>
              <w:ind w:firstLineChars="200"/>
              <w:jc w:val="left"/>
              <w:rPr>
                <w:rFonts w:ascii="宋体" w:hAnsi="宋体" w:cs="宋体"/>
                <w:szCs w:val="21"/>
                <w:lang w:val="zh-TW"/>
              </w:rPr>
            </w:pPr>
            <w:r>
              <w:rPr>
                <w:rFonts w:hint="eastAsia" w:ascii="宋体" w:hAnsi="宋体" w:cs="宋体"/>
                <w:szCs w:val="21"/>
              </w:rPr>
              <w:t>1.</w:t>
            </w:r>
            <w:r>
              <w:rPr>
                <w:rFonts w:hint="eastAsia" w:ascii="宋体" w:hAnsi="宋体" w:cs="宋体"/>
                <w:szCs w:val="21"/>
                <w:lang w:val="zh-TW"/>
              </w:rPr>
              <w:t>房地产企业税务筹划</w:t>
            </w:r>
            <w:r>
              <w:rPr>
                <w:rFonts w:hint="eastAsia" w:ascii="宋体" w:hAnsi="宋体" w:cs="宋体"/>
                <w:szCs w:val="21"/>
              </w:rPr>
              <w:t>方案</w:t>
            </w:r>
            <w:r>
              <w:rPr>
                <w:rFonts w:hint="eastAsia" w:ascii="宋体" w:hAnsi="宋体" w:cs="宋体"/>
                <w:szCs w:val="21"/>
                <w:lang w:val="zh-TW"/>
              </w:rPr>
              <w:t>的深度和广度：对房地产企业从不同方面进行税务筹划的方案建议书的质量：</w:t>
            </w:r>
          </w:p>
          <w:p>
            <w:pPr>
              <w:pStyle w:val="237"/>
              <w:tabs>
                <w:tab w:val="left" w:pos="0"/>
              </w:tabs>
              <w:spacing w:line="260" w:lineRule="exact"/>
              <w:ind w:firstLine="0"/>
              <w:jc w:val="left"/>
              <w:rPr>
                <w:rFonts w:ascii="宋体" w:hAnsi="宋体" w:cs="宋体"/>
                <w:szCs w:val="21"/>
                <w:lang w:val="zh-TW"/>
              </w:rPr>
            </w:pPr>
            <w:r>
              <w:rPr>
                <w:rFonts w:hint="eastAsia" w:ascii="宋体" w:hAnsi="宋体" w:cs="宋体"/>
                <w:szCs w:val="21"/>
                <w:lang w:val="zh-TW"/>
              </w:rPr>
              <w:t>（1）方案表述清晰、完整，理论上具有可行性，实操中初判可以落地执行的，8-1</w:t>
            </w:r>
            <w:r>
              <w:rPr>
                <w:rFonts w:ascii="宋体" w:hAnsi="宋体" w:eastAsia="PMingLiU" w:cs="宋体"/>
                <w:szCs w:val="21"/>
                <w:lang w:val="zh-TW" w:eastAsia="zh-TW"/>
              </w:rPr>
              <w:t>0</w:t>
            </w:r>
            <w:r>
              <w:rPr>
                <w:rFonts w:hint="eastAsia" w:ascii="宋体" w:hAnsi="宋体" w:cs="宋体"/>
                <w:szCs w:val="21"/>
                <w:lang w:val="zh-TW"/>
              </w:rPr>
              <w:t>分；</w:t>
            </w:r>
          </w:p>
          <w:p>
            <w:pPr>
              <w:pStyle w:val="237"/>
              <w:tabs>
                <w:tab w:val="left" w:pos="0"/>
              </w:tabs>
              <w:spacing w:line="260" w:lineRule="exact"/>
              <w:ind w:firstLine="0"/>
              <w:jc w:val="left"/>
              <w:rPr>
                <w:rFonts w:ascii="宋体" w:hAnsi="宋体" w:cs="宋体"/>
                <w:szCs w:val="21"/>
                <w:lang w:val="zh-TW"/>
              </w:rPr>
            </w:pPr>
            <w:r>
              <w:rPr>
                <w:rFonts w:hint="eastAsia" w:ascii="宋体" w:hAnsi="宋体" w:cs="宋体"/>
                <w:szCs w:val="21"/>
                <w:lang w:val="zh-TW"/>
              </w:rPr>
              <w:t>（2）方案表述简洁、合理，理论上具有可行性，实操中初判执行具有较大难度的，4-7分；</w:t>
            </w:r>
          </w:p>
          <w:p>
            <w:pPr>
              <w:pStyle w:val="237"/>
              <w:tabs>
                <w:tab w:val="left" w:pos="0"/>
              </w:tabs>
              <w:spacing w:line="260" w:lineRule="exact"/>
              <w:ind w:firstLine="0"/>
              <w:jc w:val="left"/>
              <w:rPr>
                <w:rFonts w:ascii="宋体" w:hAnsi="宋体" w:cs="宋体"/>
                <w:szCs w:val="21"/>
              </w:rPr>
            </w:pPr>
            <w:r>
              <w:rPr>
                <w:rFonts w:hint="eastAsia" w:ascii="宋体" w:hAnsi="宋体" w:cs="宋体"/>
                <w:szCs w:val="21"/>
                <w:lang w:val="zh-TW"/>
              </w:rPr>
              <w:t>（3）方案表述复杂、难以判断合理性、可行性及执行性的，0-3分。</w:t>
            </w:r>
          </w:p>
          <w:p>
            <w:pPr>
              <w:pStyle w:val="237"/>
              <w:tabs>
                <w:tab w:val="left" w:pos="0"/>
              </w:tabs>
              <w:spacing w:line="260" w:lineRule="exact"/>
              <w:ind w:firstLineChars="200"/>
              <w:jc w:val="left"/>
              <w:rPr>
                <w:rFonts w:ascii="宋体" w:hAnsi="宋体" w:cs="宋体"/>
                <w:szCs w:val="21"/>
              </w:rPr>
            </w:pPr>
            <w:r>
              <w:rPr>
                <w:rFonts w:hint="eastAsia" w:ascii="宋体" w:hAnsi="宋体" w:cs="宋体"/>
                <w:szCs w:val="21"/>
              </w:rPr>
              <w:t>2.房地产业务税务咨询服务经验及优势自评价（包括与深圳各区税务局等单位的沟通经验等）：</w:t>
            </w:r>
          </w:p>
          <w:p>
            <w:pPr>
              <w:pStyle w:val="237"/>
              <w:tabs>
                <w:tab w:val="left" w:pos="0"/>
              </w:tabs>
              <w:spacing w:line="260" w:lineRule="exact"/>
              <w:ind w:firstLine="0"/>
              <w:jc w:val="left"/>
              <w:rPr>
                <w:rFonts w:ascii="宋体" w:hAnsi="宋体" w:cs="宋体"/>
                <w:szCs w:val="21"/>
              </w:rPr>
            </w:pPr>
            <w:r>
              <w:rPr>
                <w:rFonts w:hint="eastAsia" w:ascii="宋体" w:hAnsi="宋体" w:cs="宋体"/>
                <w:szCs w:val="21"/>
              </w:rPr>
              <w:t>（1）相关经验丰富，极具说服力与可信度的，5-8分；</w:t>
            </w:r>
          </w:p>
          <w:p>
            <w:pPr>
              <w:pStyle w:val="237"/>
              <w:tabs>
                <w:tab w:val="left" w:pos="0"/>
              </w:tabs>
              <w:spacing w:line="260" w:lineRule="exact"/>
              <w:ind w:firstLine="0"/>
              <w:jc w:val="left"/>
              <w:rPr>
                <w:rFonts w:ascii="宋体" w:hAnsi="宋体" w:cs="宋体"/>
                <w:szCs w:val="21"/>
              </w:rPr>
            </w:pPr>
            <w:r>
              <w:rPr>
                <w:rFonts w:hint="eastAsia" w:ascii="宋体" w:hAnsi="宋体" w:cs="宋体"/>
                <w:szCs w:val="21"/>
              </w:rPr>
              <w:t>（2）相关经验丰富，具有一定说服力的，3-4分；</w:t>
            </w:r>
          </w:p>
          <w:p>
            <w:pPr>
              <w:pStyle w:val="237"/>
              <w:tabs>
                <w:tab w:val="left" w:pos="0"/>
              </w:tabs>
              <w:spacing w:line="260" w:lineRule="exact"/>
              <w:ind w:firstLine="0"/>
              <w:jc w:val="left"/>
              <w:rPr>
                <w:rFonts w:ascii="宋体" w:hAnsi="宋体" w:cs="宋体"/>
                <w:szCs w:val="21"/>
              </w:rPr>
            </w:pPr>
            <w:r>
              <w:rPr>
                <w:rFonts w:hint="eastAsia" w:ascii="宋体" w:hAnsi="宋体" w:cs="宋体"/>
                <w:szCs w:val="21"/>
              </w:rPr>
              <w:t>（3）自评价相关经验一般或不足的，0-2分。</w:t>
            </w:r>
          </w:p>
        </w:tc>
        <w:tc>
          <w:tcPr>
            <w:tcW w:w="1393"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r>
              <w:rPr>
                <w:rFonts w:hint="eastAsia" w:ascii="宋体" w:hAnsi="宋体" w:cs="宋体"/>
                <w:szCs w:val="21"/>
              </w:rPr>
              <w:t>18分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486"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120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60" w:lineRule="exact"/>
              <w:jc w:val="center"/>
              <w:rPr>
                <w:rFonts w:ascii="宋体" w:hAnsi="宋体" w:cs="宋体"/>
                <w:szCs w:val="21"/>
                <w:lang w:val="zh-TW"/>
              </w:rPr>
            </w:pPr>
          </w:p>
          <w:p>
            <w:pPr>
              <w:spacing w:line="260" w:lineRule="exact"/>
              <w:jc w:val="center"/>
              <w:rPr>
                <w:rFonts w:ascii="宋体" w:hAnsi="宋体" w:cs="宋体"/>
                <w:szCs w:val="21"/>
                <w:lang w:val="zh-TW"/>
              </w:rPr>
            </w:pPr>
            <w:r>
              <w:rPr>
                <w:rFonts w:hint="eastAsia" w:ascii="宋体" w:hAnsi="宋体" w:cs="宋体"/>
                <w:szCs w:val="21"/>
                <w:lang w:val="zh-TW"/>
              </w:rPr>
              <w:t>团队成员配置</w:t>
            </w:r>
          </w:p>
          <w:p>
            <w:pPr>
              <w:spacing w:line="260" w:lineRule="exact"/>
              <w:jc w:val="center"/>
              <w:rPr>
                <w:rFonts w:ascii="宋体" w:hAnsi="宋体" w:cs="宋体"/>
                <w:szCs w:val="21"/>
                <w:lang w:val="zh-TW" w:eastAsia="zh-TW"/>
              </w:rPr>
            </w:pPr>
          </w:p>
        </w:tc>
        <w:tc>
          <w:tcPr>
            <w:tcW w:w="6167"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pStyle w:val="237"/>
              <w:numPr>
                <w:ilvl w:val="0"/>
                <w:numId w:val="10"/>
              </w:numPr>
              <w:tabs>
                <w:tab w:val="left" w:pos="0"/>
              </w:tabs>
              <w:spacing w:line="260" w:lineRule="exact"/>
              <w:ind w:left="317" w:hanging="317"/>
              <w:jc w:val="left"/>
              <w:rPr>
                <w:rFonts w:ascii="宋体" w:hAnsi="宋体" w:cs="宋体"/>
                <w:szCs w:val="21"/>
                <w:lang w:val="zh-TW" w:eastAsia="zh-TW"/>
              </w:rPr>
            </w:pPr>
            <w:r>
              <w:rPr>
                <w:rFonts w:hint="eastAsia" w:ascii="宋体" w:hAnsi="宋体" w:cs="宋体"/>
                <w:szCs w:val="21"/>
                <w:lang w:val="zh-TW" w:eastAsia="zh-TW"/>
              </w:rPr>
              <w:t>人员资质要求</w:t>
            </w:r>
            <w:r>
              <w:rPr>
                <w:rFonts w:hint="eastAsia" w:ascii="宋体" w:hAnsi="宋体" w:cs="宋体"/>
                <w:szCs w:val="21"/>
                <w:lang w:val="zh-TW"/>
              </w:rPr>
              <w:t>：</w:t>
            </w:r>
            <w:r>
              <w:rPr>
                <w:rFonts w:hint="eastAsia" w:ascii="宋体" w:hAnsi="宋体" w:cs="宋体"/>
                <w:szCs w:val="21"/>
                <w:lang w:val="zh-TW" w:eastAsia="zh-TW"/>
              </w:rPr>
              <w:t>每配置1名注册会计师/注册税务师得1分，最高不超过4分。</w:t>
            </w:r>
          </w:p>
          <w:p>
            <w:pPr>
              <w:pStyle w:val="237"/>
              <w:numPr>
                <w:ilvl w:val="0"/>
                <w:numId w:val="10"/>
              </w:numPr>
              <w:tabs>
                <w:tab w:val="left" w:pos="0"/>
              </w:tabs>
              <w:spacing w:line="260" w:lineRule="exact"/>
              <w:ind w:left="317" w:hanging="317"/>
              <w:jc w:val="left"/>
              <w:rPr>
                <w:rFonts w:ascii="宋体" w:hAnsi="宋体" w:cs="宋体"/>
                <w:szCs w:val="21"/>
                <w:lang w:val="zh-TW" w:eastAsia="zh-TW"/>
              </w:rPr>
            </w:pPr>
            <w:r>
              <w:rPr>
                <w:rFonts w:hint="eastAsia" w:ascii="宋体" w:hAnsi="宋体" w:cs="宋体"/>
                <w:szCs w:val="21"/>
                <w:lang w:val="zh-TW" w:eastAsia="zh-TW"/>
              </w:rPr>
              <w:t>拟任项目经理人员</w:t>
            </w:r>
            <w:r>
              <w:rPr>
                <w:rFonts w:hint="eastAsia" w:ascii="宋体" w:hAnsi="宋体" w:cs="宋体"/>
                <w:szCs w:val="21"/>
                <w:lang w:val="zh-TW"/>
              </w:rPr>
              <w:t>：五年以上税务师事务所服务工作经验，满足此条件的得4分，不满足此条件的，得0分。（</w:t>
            </w:r>
            <w:r>
              <w:rPr>
                <w:rFonts w:hint="eastAsia" w:ascii="宋体" w:hAnsi="宋体" w:cs="宋体"/>
                <w:szCs w:val="21"/>
              </w:rPr>
              <w:t>可提供社保证明或纳税证明）</w:t>
            </w:r>
            <w:r>
              <w:rPr>
                <w:rFonts w:hint="eastAsia" w:ascii="宋体" w:hAnsi="宋体" w:cs="宋体"/>
                <w:szCs w:val="21"/>
                <w:lang w:val="zh-TW"/>
              </w:rPr>
              <w:t xml:space="preserve">       </w:t>
            </w:r>
          </w:p>
          <w:p>
            <w:pPr>
              <w:pStyle w:val="237"/>
              <w:numPr>
                <w:ilvl w:val="0"/>
                <w:numId w:val="10"/>
              </w:numPr>
              <w:tabs>
                <w:tab w:val="left" w:pos="0"/>
              </w:tabs>
              <w:spacing w:line="260" w:lineRule="exact"/>
              <w:ind w:left="317" w:hanging="317"/>
              <w:jc w:val="left"/>
              <w:rPr>
                <w:rFonts w:ascii="宋体" w:hAnsi="宋体" w:cs="宋体"/>
                <w:szCs w:val="21"/>
                <w:lang w:val="zh-TW" w:eastAsia="zh-TW"/>
              </w:rPr>
            </w:pPr>
            <w:r>
              <w:rPr>
                <w:rFonts w:hint="eastAsia" w:ascii="宋体" w:hAnsi="宋体" w:cs="宋体"/>
                <w:szCs w:val="21"/>
                <w:lang w:val="zh-TW"/>
              </w:rPr>
              <w:t>拟任项目团队成员： 两年以上税务师事务所服务工作经验，每配置1名满足此条件的得1分，满分4分。  （</w:t>
            </w:r>
            <w:r>
              <w:rPr>
                <w:rFonts w:hint="eastAsia" w:ascii="宋体" w:hAnsi="宋体" w:cs="宋体"/>
                <w:szCs w:val="21"/>
              </w:rPr>
              <w:t>可提供社保证明或纳税证明）</w:t>
            </w:r>
            <w:r>
              <w:rPr>
                <w:rFonts w:hint="eastAsia" w:ascii="宋体" w:hAnsi="宋体" w:cs="宋体"/>
                <w:szCs w:val="21"/>
                <w:lang w:val="zh-TW"/>
              </w:rPr>
              <w:t xml:space="preserve">           </w:t>
            </w:r>
          </w:p>
        </w:tc>
        <w:tc>
          <w:tcPr>
            <w:tcW w:w="1393"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p>
          <w:p>
            <w:pPr>
              <w:widowControl/>
              <w:spacing w:line="240" w:lineRule="exact"/>
              <w:jc w:val="center"/>
              <w:rPr>
                <w:rFonts w:ascii="宋体" w:hAnsi="宋体" w:cs="宋体"/>
                <w:szCs w:val="21"/>
              </w:rPr>
            </w:pPr>
            <w:r>
              <w:rPr>
                <w:rFonts w:hint="eastAsia" w:ascii="宋体" w:hAnsi="宋体" w:cs="宋体"/>
                <w:szCs w:val="21"/>
              </w:rPr>
              <w:t>12</w:t>
            </w:r>
            <w:r>
              <w:rPr>
                <w:rFonts w:hint="eastAsia" w:ascii="宋体" w:hAnsi="宋体" w:cs="宋体"/>
                <w:szCs w:val="21"/>
                <w:lang w:val="zh-TW" w:eastAsia="zh-TW"/>
              </w:rPr>
              <w:t>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ind w:firstLine="210" w:firstLineChars="100"/>
              <w:jc w:val="left"/>
              <w:rPr>
                <w:rFonts w:ascii="宋体" w:hAnsi="宋体" w:cs="宋体"/>
                <w:szCs w:val="21"/>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553" w:hRule="atLeast"/>
        </w:trPr>
        <w:tc>
          <w:tcPr>
            <w:tcW w:w="8080"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jc w:val="center"/>
              <w:rPr>
                <w:rFonts w:ascii="宋体" w:hAnsi="宋体" w:cs="宋体"/>
              </w:rPr>
            </w:pPr>
            <w:r>
              <w:rPr>
                <w:rFonts w:hint="eastAsia" w:ascii="宋体" w:hAnsi="宋体" w:cs="宋体"/>
              </w:rPr>
              <w:t>合计</w:t>
            </w:r>
          </w:p>
        </w:tc>
        <w:tc>
          <w:tcPr>
            <w:tcW w:w="1393"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r>
              <w:rPr>
                <w:rFonts w:ascii="宋体" w:hAnsi="宋体" w:cs="宋体"/>
              </w:rPr>
              <w:t>50</w:t>
            </w:r>
            <w:r>
              <w:rPr>
                <w:rFonts w:hint="eastAsia" w:ascii="宋体" w:hAnsi="宋体" w:cs="宋体"/>
              </w:rPr>
              <w:t>分</w:t>
            </w:r>
          </w:p>
        </w:tc>
        <w:tc>
          <w:tcPr>
            <w:tcW w:w="110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240" w:lineRule="exact"/>
              <w:jc w:val="center"/>
              <w:rPr>
                <w:rFonts w:ascii="宋体" w:hAnsi="宋体" w:cs="宋体"/>
              </w:rPr>
            </w:pPr>
          </w:p>
        </w:tc>
      </w:tr>
    </w:tbl>
    <w:p>
      <w:pPr>
        <w:tabs>
          <w:tab w:val="left" w:pos="0"/>
        </w:tabs>
        <w:snapToGrid w:val="0"/>
        <w:spacing w:line="360" w:lineRule="auto"/>
        <w:ind w:firstLine="422" w:firstLineChars="200"/>
        <w:rPr>
          <w:rFonts w:ascii="宋体" w:hAnsi="宋体" w:cs="宋体"/>
          <w:b/>
          <w:szCs w:val="21"/>
        </w:rPr>
      </w:pP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rPr>
          <w:rFonts w:ascii="宋体" w:hAnsi="宋体" w:cs="宋体"/>
          <w:b/>
          <w:szCs w:val="21"/>
        </w:rPr>
      </w:pPr>
    </w:p>
    <w:p>
      <w:pPr>
        <w:tabs>
          <w:tab w:val="left" w:pos="0"/>
        </w:tabs>
        <w:snapToGrid w:val="0"/>
        <w:spacing w:line="360" w:lineRule="auto"/>
        <w:ind w:firstLine="422" w:firstLineChars="200"/>
        <w:rPr>
          <w:rFonts w:ascii="宋体" w:hAnsi="宋体" w:cs="宋体"/>
          <w:b/>
          <w:szCs w:val="21"/>
        </w:rPr>
      </w:pP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rPr>
        <w:sectPr>
          <w:headerReference r:id="rId4" w:type="default"/>
          <w:pgSz w:w="16840" w:h="11907" w:orient="landscape"/>
          <w:pgMar w:top="1440" w:right="1440" w:bottom="1134" w:left="1440" w:header="720" w:footer="890" w:gutter="0"/>
          <w:cols w:space="720" w:num="1"/>
          <w:docGrid w:linePitch="312" w:charSpace="0"/>
        </w:sectPr>
      </w:pPr>
    </w:p>
    <w:tbl>
      <w:tblPr>
        <w:tblStyle w:val="49"/>
        <w:tblW w:w="13713" w:type="dxa"/>
        <w:jc w:val="center"/>
        <w:tblLayout w:type="fixed"/>
        <w:tblCellMar>
          <w:top w:w="0" w:type="dxa"/>
          <w:left w:w="0" w:type="dxa"/>
          <w:bottom w:w="0" w:type="dxa"/>
          <w:right w:w="0" w:type="dxa"/>
        </w:tblCellMar>
      </w:tblPr>
      <w:tblGrid>
        <w:gridCol w:w="610"/>
        <w:gridCol w:w="1074"/>
        <w:gridCol w:w="5129"/>
        <w:gridCol w:w="977"/>
        <w:gridCol w:w="1466"/>
        <w:gridCol w:w="28"/>
        <w:gridCol w:w="1438"/>
        <w:gridCol w:w="1494"/>
        <w:gridCol w:w="1497"/>
      </w:tblGrid>
      <w:tr>
        <w:tblPrEx>
          <w:tblCellMar>
            <w:top w:w="0" w:type="dxa"/>
            <w:left w:w="0" w:type="dxa"/>
            <w:bottom w:w="0" w:type="dxa"/>
            <w:right w:w="0" w:type="dxa"/>
          </w:tblCellMar>
        </w:tblPrEx>
        <w:trPr>
          <w:trHeight w:val="836" w:hRule="atLeast"/>
          <w:jc w:val="center"/>
        </w:trPr>
        <w:tc>
          <w:tcPr>
            <w:tcW w:w="610" w:type="dxa"/>
            <w:tcBorders>
              <w:top w:val="nil"/>
              <w:left w:val="nil"/>
              <w:bottom w:val="single" w:color="auto" w:sz="4" w:space="0"/>
              <w:right w:val="nil"/>
            </w:tcBorders>
          </w:tcPr>
          <w:p>
            <w:pPr>
              <w:spacing w:line="360" w:lineRule="auto"/>
              <w:rPr>
                <w:rFonts w:ascii="宋体" w:hAnsi="宋体" w:cs="宋体"/>
                <w:b/>
                <w:szCs w:val="21"/>
              </w:rPr>
            </w:pPr>
          </w:p>
        </w:tc>
        <w:tc>
          <w:tcPr>
            <w:tcW w:w="13103" w:type="dxa"/>
            <w:gridSpan w:val="8"/>
            <w:tcBorders>
              <w:top w:val="nil"/>
              <w:left w:val="nil"/>
              <w:bottom w:val="single" w:color="auto" w:sz="4" w:space="0"/>
              <w:right w:val="nil"/>
            </w:tcBorders>
          </w:tcPr>
          <w:p>
            <w:pPr>
              <w:spacing w:line="360" w:lineRule="auto"/>
              <w:rPr>
                <w:rFonts w:ascii="宋体" w:hAnsi="宋体" w:cs="宋体"/>
                <w:b/>
                <w:bCs/>
                <w:kern w:val="0"/>
                <w:szCs w:val="21"/>
              </w:rPr>
            </w:pPr>
            <w:bookmarkStart w:id="108" w:name="RANGE!A1:M11"/>
            <w:r>
              <w:rPr>
                <w:rFonts w:hint="eastAsia" w:ascii="宋体" w:hAnsi="宋体" w:cs="宋体"/>
                <w:b/>
                <w:szCs w:val="21"/>
              </w:rPr>
              <w:t>附表5：技术标详细评审结果汇总表</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技术标详细评审结果汇总表</w:t>
            </w:r>
          </w:p>
          <w:p>
            <w:pPr>
              <w:spacing w:line="360" w:lineRule="auto"/>
              <w:jc w:val="center"/>
              <w:rPr>
                <w:rFonts w:ascii="宋体" w:hAnsi="宋体" w:cs="宋体"/>
                <w:bCs/>
                <w:snapToGrid w:val="0"/>
                <w:szCs w:val="21"/>
              </w:rPr>
            </w:pPr>
          </w:p>
          <w:p>
            <w:pPr>
              <w:spacing w:line="360" w:lineRule="auto"/>
              <w:jc w:val="left"/>
              <w:rPr>
                <w:rFonts w:ascii="宋体" w:hAnsi="宋体" w:cs="宋体"/>
                <w:b/>
                <w:bCs/>
                <w:snapToGrid w:val="0"/>
                <w:szCs w:val="21"/>
              </w:rPr>
            </w:pPr>
            <w:r>
              <w:rPr>
                <w:rFonts w:hint="eastAsia" w:ascii="宋体" w:hAnsi="宋体" w:cs="宋体"/>
                <w:b/>
                <w:bCs/>
                <w:snapToGrid w:val="0"/>
                <w:szCs w:val="21"/>
              </w:rPr>
              <w:t>项目名称：</w:t>
            </w:r>
            <w:r>
              <w:rPr>
                <w:rFonts w:hint="eastAsia" w:hAnsi="宋体"/>
                <w:b/>
                <w:bCs/>
                <w:color w:val="0D0D0D"/>
                <w:sz w:val="24"/>
                <w:szCs w:val="24"/>
                <w:u w:val="single"/>
              </w:rPr>
              <w:t>昂鹅等</w:t>
            </w:r>
            <w:r>
              <w:rPr>
                <w:rFonts w:hint="eastAsia" w:hAnsi="宋体"/>
                <w:b/>
                <w:bCs/>
                <w:sz w:val="24"/>
                <w:szCs w:val="24"/>
                <w:u w:val="single"/>
              </w:rPr>
              <w:t>十</w:t>
            </w:r>
            <w:r>
              <w:rPr>
                <w:rFonts w:hAnsi="宋体"/>
                <w:b/>
                <w:bCs/>
                <w:sz w:val="24"/>
                <w:szCs w:val="24"/>
                <w:u w:val="single"/>
              </w:rPr>
              <w:t>五</w:t>
            </w:r>
            <w:r>
              <w:rPr>
                <w:rFonts w:hint="eastAsia" w:hAnsi="宋体"/>
                <w:b/>
                <w:bCs/>
                <w:color w:val="0D0D0D"/>
                <w:sz w:val="24"/>
                <w:szCs w:val="24"/>
                <w:u w:val="single"/>
              </w:rPr>
              <w:t>个新项目税务咨询服务</w:t>
            </w:r>
          </w:p>
          <w:tbl>
            <w:tblPr>
              <w:tblStyle w:val="49"/>
              <w:tblW w:w="12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5"/>
              <w:gridCol w:w="3720"/>
              <w:gridCol w:w="932"/>
              <w:gridCol w:w="933"/>
              <w:gridCol w:w="932"/>
              <w:gridCol w:w="933"/>
              <w:gridCol w:w="933"/>
              <w:gridCol w:w="932"/>
              <w:gridCol w:w="93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775"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3720" w:type="dxa"/>
                  <w:tcBorders>
                    <w:tl2br w:val="single" w:color="auto" w:sz="4" w:space="0"/>
                  </w:tcBorders>
                  <w:vAlign w:val="center"/>
                </w:tcPr>
                <w:p>
                  <w:pPr>
                    <w:spacing w:line="360" w:lineRule="auto"/>
                    <w:jc w:val="center"/>
                    <w:rPr>
                      <w:rFonts w:ascii="宋体" w:hAnsi="宋体" w:cs="宋体"/>
                      <w:b/>
                      <w:bCs/>
                      <w:kern w:val="0"/>
                      <w:szCs w:val="21"/>
                    </w:rPr>
                  </w:pPr>
                  <w:r>
                    <w:rPr>
                      <w:rFonts w:hint="eastAsia" w:ascii="宋体" w:hAnsi="宋体" w:cs="宋体"/>
                      <w:b/>
                      <w:bCs/>
                      <w:kern w:val="0"/>
                      <w:szCs w:val="21"/>
                    </w:rPr>
                    <w:t xml:space="preserve">                     评委</w:t>
                  </w:r>
                </w:p>
                <w:p>
                  <w:pPr>
                    <w:spacing w:line="360" w:lineRule="auto"/>
                    <w:jc w:val="left"/>
                    <w:rPr>
                      <w:rFonts w:ascii="宋体" w:hAnsi="宋体" w:cs="宋体"/>
                      <w:b/>
                      <w:bCs/>
                      <w:kern w:val="0"/>
                      <w:szCs w:val="21"/>
                    </w:rPr>
                  </w:pPr>
                  <w:r>
                    <w:rPr>
                      <w:rFonts w:hint="eastAsia" w:ascii="宋体" w:hAnsi="宋体" w:cs="宋体"/>
                      <w:b/>
                      <w:bCs/>
                      <w:kern w:val="0"/>
                      <w:szCs w:val="21"/>
                    </w:rPr>
                    <w:t xml:space="preserve">   参选人</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评委1</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评委2</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评委3</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评委4</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评委5</w:t>
                  </w:r>
                </w:p>
              </w:tc>
              <w:tc>
                <w:tcPr>
                  <w:tcW w:w="932"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评委6</w:t>
                  </w:r>
                </w:p>
              </w:tc>
              <w:tc>
                <w:tcPr>
                  <w:tcW w:w="933"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评委7</w:t>
                  </w:r>
                </w:p>
              </w:tc>
              <w:tc>
                <w:tcPr>
                  <w:tcW w:w="1155" w:type="dxa"/>
                  <w:vAlign w:val="center"/>
                </w:tcPr>
                <w:p>
                  <w:pPr>
                    <w:spacing w:line="360" w:lineRule="auto"/>
                    <w:jc w:val="center"/>
                    <w:rPr>
                      <w:rFonts w:ascii="宋体" w:hAnsi="宋体" w:cs="宋体"/>
                      <w:b/>
                      <w:bCs/>
                      <w:kern w:val="0"/>
                      <w:szCs w:val="21"/>
                    </w:rPr>
                  </w:pPr>
                  <w:r>
                    <w:rPr>
                      <w:rFonts w:hint="eastAsia" w:ascii="宋体" w:hAnsi="宋体" w:cs="宋体"/>
                      <w:b/>
                      <w:bCs/>
                      <w:kern w:val="0"/>
                      <w:szCs w:val="21"/>
                    </w:rPr>
                    <w:t>技术标得分</w:t>
                  </w:r>
                </w:p>
                <w:p>
                  <w:pPr>
                    <w:spacing w:line="360" w:lineRule="auto"/>
                    <w:jc w:val="center"/>
                    <w:rPr>
                      <w:rFonts w:ascii="宋体" w:hAnsi="宋体" w:cs="宋体"/>
                      <w:b/>
                      <w:bCs/>
                      <w:kern w:val="0"/>
                      <w:szCs w:val="21"/>
                    </w:rPr>
                  </w:pPr>
                  <w:r>
                    <w:rPr>
                      <w:rFonts w:hint="eastAsia" w:ascii="宋体" w:hAnsi="宋体" w:cs="宋体"/>
                      <w:b/>
                      <w:bCs/>
                      <w:kern w:val="0"/>
                      <w:szCs w:val="21"/>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1</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2</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3</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4</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5</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kern w:val="0"/>
                      <w:szCs w:val="21"/>
                    </w:rPr>
                  </w:pPr>
                  <w:r>
                    <w:rPr>
                      <w:rFonts w:hint="eastAsia" w:ascii="宋体" w:hAnsi="宋体" w:cs="宋体"/>
                      <w:kern w:val="0"/>
                      <w:szCs w:val="21"/>
                    </w:rPr>
                    <w:t>6</w:t>
                  </w:r>
                </w:p>
              </w:tc>
              <w:tc>
                <w:tcPr>
                  <w:tcW w:w="3720"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3" w:type="dxa"/>
                  <w:vAlign w:val="center"/>
                </w:tcPr>
                <w:p>
                  <w:pPr>
                    <w:spacing w:line="360" w:lineRule="auto"/>
                    <w:jc w:val="center"/>
                    <w:rPr>
                      <w:rFonts w:ascii="宋体" w:hAnsi="宋体" w:cs="宋体"/>
                      <w:kern w:val="0"/>
                      <w:szCs w:val="21"/>
                    </w:rPr>
                  </w:pPr>
                </w:p>
              </w:tc>
              <w:tc>
                <w:tcPr>
                  <w:tcW w:w="932" w:type="dxa"/>
                </w:tcPr>
                <w:p>
                  <w:pPr>
                    <w:spacing w:line="360" w:lineRule="auto"/>
                    <w:jc w:val="center"/>
                    <w:rPr>
                      <w:rFonts w:ascii="宋体" w:hAnsi="宋体" w:cs="宋体"/>
                      <w:kern w:val="0"/>
                      <w:szCs w:val="21"/>
                    </w:rPr>
                  </w:pPr>
                </w:p>
              </w:tc>
              <w:tc>
                <w:tcPr>
                  <w:tcW w:w="933" w:type="dxa"/>
                </w:tcPr>
                <w:p>
                  <w:pPr>
                    <w:spacing w:line="360" w:lineRule="auto"/>
                    <w:jc w:val="center"/>
                    <w:rPr>
                      <w:rFonts w:ascii="宋体" w:hAnsi="宋体" w:cs="宋体"/>
                      <w:kern w:val="0"/>
                      <w:szCs w:val="21"/>
                    </w:rPr>
                  </w:pPr>
                </w:p>
              </w:tc>
              <w:tc>
                <w:tcPr>
                  <w:tcW w:w="1155" w:type="dxa"/>
                  <w:vAlign w:val="center"/>
                </w:tcPr>
                <w:p>
                  <w:pPr>
                    <w:spacing w:line="360" w:lineRule="auto"/>
                    <w:jc w:val="center"/>
                    <w:rPr>
                      <w:rFonts w:ascii="宋体" w:hAnsi="宋体" w:cs="宋体"/>
                      <w:kern w:val="0"/>
                      <w:szCs w:val="21"/>
                    </w:rPr>
                  </w:pPr>
                </w:p>
              </w:tc>
            </w:tr>
          </w:tbl>
          <w:p>
            <w:pPr>
              <w:spacing w:line="360" w:lineRule="auto"/>
              <w:jc w:val="left"/>
              <w:rPr>
                <w:rFonts w:ascii="宋体" w:hAnsi="宋体" w:cs="宋体"/>
                <w:szCs w:val="21"/>
              </w:rPr>
            </w:pPr>
            <w:r>
              <w:rPr>
                <w:rFonts w:hint="eastAsia" w:ascii="宋体" w:hAnsi="宋体" w:cs="宋体"/>
                <w:szCs w:val="21"/>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Cs w:val="21"/>
              </w:rPr>
            </w:pPr>
            <w:r>
              <w:rPr>
                <w:rFonts w:hint="eastAsia" w:ascii="宋体" w:hAnsi="宋体" w:cs="宋体"/>
                <w:szCs w:val="21"/>
              </w:rPr>
              <w:t xml:space="preserve">       2、技术标得分的算术平均值保留小数点后两位数字，且四舍五入。</w:t>
            </w:r>
          </w:p>
          <w:p>
            <w:pPr>
              <w:pStyle w:val="21"/>
              <w:snapToGrid w:val="0"/>
              <w:rPr>
                <w:rFonts w:ascii="宋体" w:hAnsi="宋体" w:cs="宋体"/>
                <w:sz w:val="21"/>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r>
              <w:rPr>
                <w:rFonts w:hint="eastAsia" w:ascii="宋体" w:hAnsi="宋体" w:cs="宋体"/>
                <w:b/>
                <w:szCs w:val="21"/>
              </w:rPr>
              <w:t xml:space="preserve">监督（签名）：  </w:t>
            </w:r>
            <w:r>
              <w:rPr>
                <w:rFonts w:hint="eastAsia" w:ascii="宋体" w:hAnsi="宋体" w:cs="宋体"/>
                <w:szCs w:val="21"/>
              </w:rPr>
              <w:t xml:space="preserve">                                                                             </w:t>
            </w: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widowControl/>
              <w:spacing w:line="360" w:lineRule="auto"/>
              <w:rPr>
                <w:rFonts w:ascii="宋体" w:hAnsi="宋体" w:cs="宋体"/>
                <w:b/>
                <w:szCs w:val="21"/>
              </w:rPr>
            </w:pPr>
          </w:p>
          <w:p>
            <w:pPr>
              <w:spacing w:line="360" w:lineRule="auto"/>
              <w:jc w:val="left"/>
              <w:rPr>
                <w:rFonts w:ascii="宋体" w:hAnsi="宋体" w:cs="宋体"/>
                <w:b/>
                <w:szCs w:val="21"/>
              </w:rPr>
            </w:pPr>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360" w:lineRule="auto"/>
              <w:ind w:right="350"/>
              <w:jc w:val="center"/>
              <w:rPr>
                <w:rFonts w:ascii="宋体" w:hAnsi="宋体" w:cs="宋体"/>
                <w:b/>
                <w:kern w:val="0"/>
                <w:sz w:val="24"/>
                <w:szCs w:val="24"/>
              </w:rPr>
            </w:pPr>
            <w:r>
              <w:rPr>
                <w:rFonts w:hint="eastAsia" w:ascii="宋体" w:hAnsi="宋体" w:cs="宋体"/>
                <w:b/>
                <w:kern w:val="0"/>
                <w:sz w:val="24"/>
                <w:szCs w:val="24"/>
              </w:rPr>
              <w:t>商务标初步评审表</w:t>
            </w:r>
          </w:p>
          <w:p>
            <w:pPr>
              <w:spacing w:after="120" w:afterLines="50" w:line="360" w:lineRule="auto"/>
              <w:ind w:right="630"/>
              <w:rPr>
                <w:rFonts w:ascii="宋体" w:hAnsi="宋体" w:cs="宋体"/>
                <w:b/>
                <w:kern w:val="0"/>
                <w:szCs w:val="21"/>
              </w:rPr>
            </w:pPr>
            <w:r>
              <w:rPr>
                <w:rFonts w:hint="eastAsia" w:ascii="宋体" w:hAnsi="宋体" w:cs="宋体"/>
                <w:b/>
                <w:kern w:val="0"/>
                <w:szCs w:val="21"/>
              </w:rPr>
              <w:t>项目名称：</w:t>
            </w:r>
            <w:r>
              <w:rPr>
                <w:rFonts w:hint="eastAsia" w:hAnsi="宋体"/>
                <w:b/>
                <w:bCs/>
                <w:color w:val="0D0D0D"/>
                <w:sz w:val="24"/>
                <w:szCs w:val="24"/>
                <w:u w:val="single"/>
              </w:rPr>
              <w:t>昂鹅等</w:t>
            </w:r>
            <w:r>
              <w:rPr>
                <w:rFonts w:hint="eastAsia" w:hAnsi="宋体"/>
                <w:b/>
                <w:bCs/>
                <w:sz w:val="24"/>
                <w:szCs w:val="24"/>
                <w:u w:val="single"/>
              </w:rPr>
              <w:t>十</w:t>
            </w:r>
            <w:r>
              <w:rPr>
                <w:rFonts w:hAnsi="宋体"/>
                <w:b/>
                <w:bCs/>
                <w:sz w:val="24"/>
                <w:szCs w:val="24"/>
                <w:u w:val="single"/>
              </w:rPr>
              <w:t>五</w:t>
            </w:r>
            <w:r>
              <w:rPr>
                <w:rFonts w:hint="eastAsia" w:hAnsi="宋体"/>
                <w:b/>
                <w:bCs/>
                <w:color w:val="0D0D0D"/>
                <w:sz w:val="24"/>
                <w:szCs w:val="24"/>
                <w:u w:val="single"/>
              </w:rPr>
              <w:t>个新项目税务咨询服务</w:t>
            </w:r>
            <w:r>
              <w:rPr>
                <w:rFonts w:hint="eastAsia" w:ascii="宋体" w:hAnsi="宋体" w:cs="宋体"/>
                <w:b/>
                <w:color w:val="0D0D0D"/>
                <w:kern w:val="0"/>
                <w:sz w:val="24"/>
                <w:szCs w:val="24"/>
              </w:rPr>
              <w:t xml:space="preserve"> </w:t>
            </w:r>
          </w:p>
          <w:tbl>
            <w:tblPr>
              <w:tblStyle w:val="49"/>
              <w:tblW w:w="0" w:type="auto"/>
              <w:jc w:val="center"/>
              <w:tblLayout w:type="fixed"/>
              <w:tblCellMar>
                <w:top w:w="0" w:type="dxa"/>
                <w:left w:w="108" w:type="dxa"/>
                <w:bottom w:w="0" w:type="dxa"/>
                <w:right w:w="108" w:type="dxa"/>
              </w:tblCellMar>
            </w:tblPr>
            <w:tblGrid>
              <w:gridCol w:w="798"/>
              <w:gridCol w:w="5743"/>
              <w:gridCol w:w="977"/>
              <w:gridCol w:w="1099"/>
              <w:gridCol w:w="977"/>
              <w:gridCol w:w="887"/>
              <w:gridCol w:w="947"/>
            </w:tblGrid>
            <w:tr>
              <w:tblPrEx>
                <w:tblCellMar>
                  <w:top w:w="0" w:type="dxa"/>
                  <w:left w:w="108" w:type="dxa"/>
                  <w:bottom w:w="0" w:type="dxa"/>
                  <w:right w:w="108" w:type="dxa"/>
                </w:tblCellMar>
              </w:tblPrEx>
              <w:trPr>
                <w:trHeight w:val="218" w:hRule="atLeast"/>
                <w:jc w:val="center"/>
              </w:trPr>
              <w:tc>
                <w:tcPr>
                  <w:tcW w:w="7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序号</w:t>
                  </w:r>
                </w:p>
              </w:tc>
              <w:tc>
                <w:tcPr>
                  <w:tcW w:w="574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rPr>
                  </w:pPr>
                  <w:r>
                    <w:rPr>
                      <w:rFonts w:hint="eastAsia" w:ascii="宋体" w:hAnsi="宋体" w:cs="宋体"/>
                      <w:bCs/>
                      <w:kern w:val="0"/>
                      <w:szCs w:val="21"/>
                    </w:rPr>
                    <w:t xml:space="preserve">                                     参选人</w:t>
                  </w:r>
                  <w:r>
                    <w:rPr>
                      <w:rFonts w:hint="eastAsia" w:ascii="宋体" w:hAnsi="宋体" w:cs="宋体"/>
                      <w:bCs/>
                      <w:kern w:val="0"/>
                      <w:szCs w:val="21"/>
                    </w:rPr>
                    <w:br w:type="textWrapping"/>
                  </w:r>
                  <w:r>
                    <w:rPr>
                      <w:rFonts w:hint="eastAsia" w:ascii="宋体" w:hAnsi="宋体" w:cs="宋体"/>
                      <w:bCs/>
                      <w:kern w:val="0"/>
                      <w:szCs w:val="21"/>
                    </w:rPr>
                    <w:t xml:space="preserve">  项目名称</w:t>
                  </w:r>
                </w:p>
              </w:tc>
              <w:tc>
                <w:tcPr>
                  <w:tcW w:w="4887"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281" w:hRule="atLeast"/>
                <w:jc w:val="center"/>
              </w:trPr>
              <w:tc>
                <w:tcPr>
                  <w:tcW w:w="7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rPr>
                  </w:pPr>
                </w:p>
              </w:tc>
              <w:tc>
                <w:tcPr>
                  <w:tcW w:w="574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rPr>
                  </w:pPr>
                </w:p>
              </w:tc>
            </w:tr>
            <w:tr>
              <w:tblPrEx>
                <w:tblCellMar>
                  <w:top w:w="0" w:type="dxa"/>
                  <w:left w:w="108" w:type="dxa"/>
                  <w:bottom w:w="0" w:type="dxa"/>
                  <w:right w:w="108" w:type="dxa"/>
                </w:tblCellMar>
              </w:tblPrEx>
              <w:trPr>
                <w:trHeight w:val="510" w:hRule="atLeast"/>
                <w:jc w:val="center"/>
              </w:trPr>
              <w:tc>
                <w:tcPr>
                  <w:tcW w:w="798"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574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rPr>
                  </w:pPr>
                  <w:r>
                    <w:rPr>
                      <w:rFonts w:hint="eastAsia" w:ascii="宋体" w:hAnsi="宋体" w:cs="宋体"/>
                      <w:szCs w:val="21"/>
                    </w:rPr>
                    <w:t>商务标文件按要求加盖参选人公章</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47"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2</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《参选函》中的内容按比选文件的要求填写并签字盖章</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3</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参选人的报价不高于总控制价或分项控制价</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1240"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rPr>
                  </w:pPr>
                  <w:r>
                    <w:rPr>
                      <w:rFonts w:hint="eastAsia" w:ascii="宋体" w:hAnsi="宋体" w:cs="宋体"/>
                      <w:kern w:val="0"/>
                      <w:szCs w:val="21"/>
                    </w:rPr>
                    <w:t>4</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rPr>
                  </w:pPr>
                  <w:r>
                    <w:rPr>
                      <w:rFonts w:hint="eastAsia" w:ascii="宋体" w:hAnsi="宋体" w:cs="宋体"/>
                      <w:szCs w:val="21"/>
                    </w:rPr>
                    <w:t>参选人的参选报价不可变动价格的，未包含价格调整要求的，未</w:t>
                  </w:r>
                  <w:r>
                    <w:rPr>
                      <w:rFonts w:hint="eastAsia" w:ascii="宋体" w:hAnsi="宋体" w:cs="宋体"/>
                      <w:color w:val="000000"/>
                      <w:szCs w:val="21"/>
                    </w:rPr>
                    <w:t>递交两份或多份内容不同的报价文件，未在一份报价文件中对同一比选项目报有两个或多个报价</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r>
              <w:tblPrEx>
                <w:tblCellMar>
                  <w:top w:w="0" w:type="dxa"/>
                  <w:left w:w="108" w:type="dxa"/>
                  <w:bottom w:w="0" w:type="dxa"/>
                  <w:right w:w="108" w:type="dxa"/>
                </w:tblCellMar>
              </w:tblPrEx>
              <w:trPr>
                <w:trHeight w:val="636" w:hRule="atLeast"/>
                <w:jc w:val="center"/>
              </w:trPr>
              <w:tc>
                <w:tcPr>
                  <w:tcW w:w="65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 审 结 论</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rPr>
                  </w:pPr>
                </w:p>
              </w:tc>
            </w:tr>
          </w:tbl>
          <w:p>
            <w:pPr>
              <w:tabs>
                <w:tab w:val="left" w:pos="0"/>
              </w:tabs>
              <w:snapToGrid w:val="0"/>
              <w:spacing w:line="360" w:lineRule="auto"/>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rPr>
                <w:rFonts w:ascii="宋体" w:hAnsi="宋体" w:cs="宋体"/>
                <w:b/>
                <w:szCs w:val="21"/>
              </w:rPr>
            </w:pPr>
            <w:r>
              <w:rPr>
                <w:rFonts w:hint="eastAsia" w:ascii="宋体" w:hAnsi="宋体" w:cs="宋体"/>
                <w:b/>
                <w:szCs w:val="21"/>
              </w:rPr>
              <w:t>监督（签名）：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widowControl/>
              <w:spacing w:line="360" w:lineRule="auto"/>
              <w:rPr>
                <w:rFonts w:ascii="宋体" w:hAnsi="宋体" w:cs="宋体"/>
                <w:b/>
                <w:szCs w:val="21"/>
              </w:rPr>
            </w:pPr>
          </w:p>
          <w:p>
            <w:pPr>
              <w:widowControl/>
              <w:spacing w:line="360" w:lineRule="auto"/>
              <w:rPr>
                <w:rFonts w:ascii="宋体" w:hAnsi="宋体" w:cs="宋体"/>
                <w:b/>
                <w:szCs w:val="21"/>
              </w:rPr>
            </w:pPr>
          </w:p>
          <w:p>
            <w:pPr>
              <w:widowControl/>
              <w:spacing w:line="360" w:lineRule="auto"/>
              <w:rPr>
                <w:rFonts w:ascii="宋体" w:hAnsi="宋体" w:cs="宋体"/>
                <w:b/>
                <w:szCs w:val="21"/>
              </w:rPr>
            </w:pPr>
            <w:r>
              <w:rPr>
                <w:rFonts w:hint="eastAsia" w:ascii="宋体" w:hAnsi="宋体" w:cs="宋体"/>
                <w:b/>
                <w:szCs w:val="21"/>
              </w:rPr>
              <w:t>附表7：商务标详细评审表</w:t>
            </w:r>
          </w:p>
          <w:p>
            <w:pPr>
              <w:widowControl/>
              <w:spacing w:line="360" w:lineRule="auto"/>
              <w:jc w:val="center"/>
              <w:rPr>
                <w:rFonts w:ascii="宋体" w:hAnsi="宋体" w:cs="宋体"/>
                <w:b/>
                <w:bCs/>
                <w:kern w:val="0"/>
                <w:szCs w:val="21"/>
              </w:rPr>
            </w:pPr>
            <w:r>
              <w:rPr>
                <w:rFonts w:hint="eastAsia" w:ascii="宋体" w:hAnsi="宋体" w:cs="宋体"/>
                <w:b/>
                <w:bCs/>
                <w:kern w:val="0"/>
                <w:szCs w:val="21"/>
              </w:rPr>
              <w:t>商务标详细评审表</w:t>
            </w:r>
            <w:bookmarkEnd w:id="108"/>
          </w:p>
          <w:p>
            <w:pPr>
              <w:spacing w:after="120" w:afterLines="50" w:line="360" w:lineRule="auto"/>
              <w:ind w:right="630"/>
              <w:rPr>
                <w:rFonts w:ascii="宋体" w:hAnsi="宋体" w:cs="宋体"/>
                <w:b/>
                <w:kern w:val="0"/>
                <w:szCs w:val="21"/>
              </w:rPr>
            </w:pPr>
            <w:r>
              <w:rPr>
                <w:rFonts w:hint="eastAsia" w:ascii="宋体" w:hAnsi="宋体" w:cs="宋体"/>
                <w:b/>
                <w:bCs/>
                <w:snapToGrid w:val="0"/>
                <w:szCs w:val="21"/>
              </w:rPr>
              <w:t>项目名称：</w:t>
            </w:r>
            <w:r>
              <w:rPr>
                <w:rFonts w:hint="eastAsia" w:hAnsi="宋体"/>
                <w:b/>
                <w:bCs/>
                <w:color w:val="0D0D0D"/>
                <w:sz w:val="24"/>
                <w:szCs w:val="24"/>
                <w:u w:val="single"/>
              </w:rPr>
              <w:t>昂鹅等</w:t>
            </w:r>
            <w:r>
              <w:rPr>
                <w:rFonts w:hint="eastAsia" w:hAnsi="宋体"/>
                <w:b/>
                <w:bCs/>
                <w:sz w:val="24"/>
                <w:szCs w:val="24"/>
                <w:u w:val="single"/>
              </w:rPr>
              <w:t>十</w:t>
            </w:r>
            <w:r>
              <w:rPr>
                <w:rFonts w:hAnsi="宋体"/>
                <w:b/>
                <w:bCs/>
                <w:sz w:val="24"/>
                <w:szCs w:val="24"/>
                <w:u w:val="single"/>
              </w:rPr>
              <w:t>五</w:t>
            </w:r>
            <w:r>
              <w:rPr>
                <w:rFonts w:hint="eastAsia" w:hAnsi="宋体"/>
                <w:b/>
                <w:bCs/>
                <w:color w:val="0D0D0D"/>
                <w:sz w:val="24"/>
                <w:szCs w:val="24"/>
                <w:u w:val="single"/>
              </w:rPr>
              <w:t>个新项目税务咨询服务</w:t>
            </w:r>
            <w:r>
              <w:rPr>
                <w:rFonts w:hint="eastAsia" w:ascii="宋体" w:hAnsi="宋体" w:cs="宋体"/>
                <w:b/>
                <w:color w:val="0D0D0D"/>
                <w:kern w:val="0"/>
                <w:sz w:val="24"/>
                <w:szCs w:val="24"/>
              </w:rPr>
              <w:t xml:space="preserve"> </w:t>
            </w:r>
          </w:p>
        </w:tc>
      </w:tr>
      <w:tr>
        <w:tblPrEx>
          <w:tblCellMar>
            <w:top w:w="0" w:type="dxa"/>
            <w:left w:w="0" w:type="dxa"/>
            <w:bottom w:w="0" w:type="dxa"/>
            <w:right w:w="0" w:type="dxa"/>
          </w:tblCellMar>
        </w:tblPrEx>
        <w:trPr>
          <w:trHeight w:val="261" w:hRule="atLeast"/>
          <w:jc w:val="center"/>
        </w:trPr>
        <w:tc>
          <w:tcPr>
            <w:tcW w:w="610" w:type="dxa"/>
            <w:vMerge w:val="restart"/>
            <w:tcBorders>
              <w:top w:val="single" w:color="auto" w:sz="4" w:space="0"/>
              <w:left w:val="single" w:color="auto" w:sz="8"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1074" w:type="dxa"/>
            <w:vMerge w:val="restar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评审内容</w:t>
            </w:r>
          </w:p>
        </w:tc>
        <w:tc>
          <w:tcPr>
            <w:tcW w:w="5129"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评审标准</w:t>
            </w:r>
          </w:p>
        </w:tc>
        <w:tc>
          <w:tcPr>
            <w:tcW w:w="977"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基准价</w:t>
            </w:r>
          </w:p>
        </w:tc>
        <w:tc>
          <w:tcPr>
            <w:tcW w:w="1494" w:type="dxa"/>
            <w:gridSpan w:val="2"/>
            <w:tcBorders>
              <w:top w:val="single" w:color="auto" w:sz="4" w:space="0"/>
              <w:left w:val="nil"/>
              <w:right w:val="nil"/>
            </w:tcBorders>
          </w:tcPr>
          <w:p>
            <w:pPr>
              <w:widowControl/>
              <w:spacing w:line="360" w:lineRule="auto"/>
              <w:jc w:val="center"/>
              <w:rPr>
                <w:rFonts w:ascii="宋体" w:hAnsi="宋体" w:cs="宋体"/>
                <w:b/>
                <w:bCs/>
                <w:kern w:val="0"/>
                <w:szCs w:val="21"/>
              </w:rPr>
            </w:pPr>
          </w:p>
        </w:tc>
        <w:tc>
          <w:tcPr>
            <w:tcW w:w="4429" w:type="dxa"/>
            <w:gridSpan w:val="3"/>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261" w:hRule="atLeast"/>
          <w:jc w:val="center"/>
        </w:trPr>
        <w:tc>
          <w:tcPr>
            <w:tcW w:w="610" w:type="dxa"/>
            <w:vMerge w:val="continue"/>
            <w:tcBorders>
              <w:left w:val="single" w:color="auto" w:sz="8" w:space="0"/>
              <w:bottom w:val="single" w:color="auto" w:sz="4" w:space="0"/>
              <w:right w:val="single" w:color="auto" w:sz="4" w:space="0"/>
            </w:tcBorders>
            <w:vAlign w:val="center"/>
          </w:tcPr>
          <w:p>
            <w:pPr>
              <w:widowControl/>
              <w:spacing w:line="360" w:lineRule="auto"/>
              <w:jc w:val="center"/>
            </w:pPr>
          </w:p>
        </w:tc>
        <w:tc>
          <w:tcPr>
            <w:tcW w:w="1074" w:type="dxa"/>
            <w:vMerge w:val="continue"/>
            <w:tcBorders>
              <w:left w:val="single" w:color="auto" w:sz="4" w:space="0"/>
              <w:bottom w:val="single" w:color="auto" w:sz="4" w:space="0"/>
              <w:right w:val="single" w:color="auto" w:sz="4" w:space="0"/>
            </w:tcBorders>
            <w:vAlign w:val="center"/>
          </w:tcPr>
          <w:p>
            <w:pPr>
              <w:widowControl/>
              <w:spacing w:line="360" w:lineRule="auto"/>
              <w:jc w:val="center"/>
            </w:pPr>
          </w:p>
        </w:tc>
        <w:tc>
          <w:tcPr>
            <w:tcW w:w="5129" w:type="dxa"/>
            <w:vMerge w:val="continue"/>
            <w:tcBorders>
              <w:left w:val="nil"/>
              <w:bottom w:val="single" w:color="auto" w:sz="4" w:space="0"/>
              <w:right w:val="single" w:color="auto" w:sz="4" w:space="0"/>
            </w:tcBorders>
            <w:vAlign w:val="center"/>
          </w:tcPr>
          <w:p>
            <w:pPr>
              <w:widowControl/>
              <w:spacing w:line="360" w:lineRule="auto"/>
              <w:jc w:val="center"/>
            </w:pPr>
          </w:p>
        </w:tc>
        <w:tc>
          <w:tcPr>
            <w:tcW w:w="977" w:type="dxa"/>
            <w:vMerge w:val="continue"/>
            <w:tcBorders>
              <w:left w:val="nil"/>
              <w:bottom w:val="single" w:color="auto" w:sz="4" w:space="0"/>
              <w:right w:val="single" w:color="auto" w:sz="4" w:space="0"/>
            </w:tcBorders>
            <w:vAlign w:val="center"/>
          </w:tcPr>
          <w:p>
            <w:pPr>
              <w:widowControl/>
              <w:spacing w:line="360" w:lineRule="auto"/>
              <w:jc w:val="cente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466"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c>
          <w:tcPr>
            <w:tcW w:w="149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kern w:val="0"/>
                <w:szCs w:val="21"/>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rPr>
            </w:pPr>
          </w:p>
        </w:tc>
      </w:tr>
      <w:tr>
        <w:tblPrEx>
          <w:tblCellMar>
            <w:top w:w="0" w:type="dxa"/>
            <w:left w:w="0" w:type="dxa"/>
            <w:bottom w:w="0" w:type="dxa"/>
            <w:right w:w="0" w:type="dxa"/>
          </w:tblCellMar>
        </w:tblPrEx>
        <w:trPr>
          <w:trHeight w:val="2209" w:hRule="atLeast"/>
          <w:jc w:val="center"/>
        </w:trPr>
        <w:tc>
          <w:tcPr>
            <w:tcW w:w="610" w:type="dxa"/>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1</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报 价</w:t>
            </w:r>
          </w:p>
          <w:p>
            <w:pPr>
              <w:adjustRightInd w:val="0"/>
              <w:snapToGrid w:val="0"/>
              <w:spacing w:line="360" w:lineRule="auto"/>
              <w:jc w:val="center"/>
              <w:rPr>
                <w:rFonts w:ascii="宋体" w:hAnsi="宋体" w:cs="宋体"/>
                <w:szCs w:val="21"/>
              </w:rPr>
            </w:pPr>
            <w:r>
              <w:rPr>
                <w:rFonts w:hint="eastAsia" w:ascii="宋体" w:hAnsi="宋体" w:cs="宋体"/>
                <w:szCs w:val="21"/>
              </w:rPr>
              <w:t>（万元）</w:t>
            </w:r>
          </w:p>
        </w:tc>
        <w:tc>
          <w:tcPr>
            <w:tcW w:w="5129" w:type="dxa"/>
            <w:vMerge w:val="restart"/>
            <w:tcBorders>
              <w:top w:val="nil"/>
              <w:left w:val="single" w:color="auto" w:sz="4" w:space="0"/>
              <w:right w:val="single" w:color="auto" w:sz="4" w:space="0"/>
            </w:tcBorders>
            <w:vAlign w:val="center"/>
          </w:tcPr>
          <w:p>
            <w:pPr>
              <w:adjustRightInd w:val="0"/>
              <w:snapToGrid w:val="0"/>
              <w:spacing w:line="360" w:lineRule="auto"/>
              <w:jc w:val="left"/>
              <w:rPr>
                <w:rFonts w:ascii="宋体" w:hAnsi="宋体" w:cs="宋体"/>
                <w:szCs w:val="21"/>
              </w:rPr>
            </w:pPr>
            <w:r>
              <w:rPr>
                <w:rFonts w:hint="eastAsia" w:ascii="宋体" w:hAnsi="宋体" w:cs="宋体"/>
                <w:szCs w:val="21"/>
              </w:rPr>
              <w:t>（1）商务标根据参选人所报的报价评分。</w:t>
            </w:r>
          </w:p>
          <w:p>
            <w:pPr>
              <w:adjustRightInd w:val="0"/>
              <w:snapToGrid w:val="0"/>
              <w:spacing w:line="360" w:lineRule="auto"/>
              <w:jc w:val="left"/>
              <w:rPr>
                <w:rFonts w:ascii="宋体" w:hAnsi="宋体" w:cs="宋体"/>
                <w:szCs w:val="21"/>
              </w:rPr>
            </w:pPr>
            <w:r>
              <w:rPr>
                <w:rFonts w:hint="eastAsia" w:ascii="宋体" w:hAnsi="宋体" w:cs="宋体"/>
                <w:szCs w:val="21"/>
              </w:rPr>
              <w:t>（2）商务分的确定：以进入商务标环节的所有参选人所报的服务费</w:t>
            </w:r>
            <w:r>
              <w:rPr>
                <w:rFonts w:hint="eastAsia" w:ascii="宋体" w:hAnsi="宋体" w:cs="宋体"/>
                <w:szCs w:val="21"/>
                <w:lang w:val="en-US" w:eastAsia="zh-CN"/>
              </w:rPr>
              <w:t>最低价</w:t>
            </w:r>
            <w:r>
              <w:rPr>
                <w:rFonts w:hint="eastAsia" w:ascii="宋体" w:hAnsi="宋体" w:cs="宋体"/>
                <w:szCs w:val="21"/>
              </w:rPr>
              <w:t>为基准价且为满分(</w:t>
            </w:r>
            <w:r>
              <w:rPr>
                <w:rFonts w:ascii="宋体" w:hAnsi="宋体" w:cs="宋体"/>
                <w:szCs w:val="21"/>
              </w:rPr>
              <w:t>50</w:t>
            </w:r>
            <w:r>
              <w:rPr>
                <w:rFonts w:hint="eastAsia" w:ascii="宋体" w:hAnsi="宋体" w:cs="宋体"/>
                <w:szCs w:val="21"/>
              </w:rPr>
              <w:t>分)，按下列公式计算：</w:t>
            </w:r>
          </w:p>
          <w:p>
            <w:pPr>
              <w:adjustRightInd w:val="0"/>
              <w:snapToGrid w:val="0"/>
              <w:spacing w:line="360" w:lineRule="auto"/>
              <w:jc w:val="left"/>
              <w:rPr>
                <w:rFonts w:ascii="宋体" w:hAnsi="宋体" w:cs="宋体"/>
                <w:szCs w:val="21"/>
              </w:rPr>
            </w:pPr>
            <w:r>
              <w:rPr>
                <w:rFonts w:hint="eastAsia" w:ascii="宋体" w:hAnsi="宋体" w:cs="宋体"/>
                <w:szCs w:val="21"/>
              </w:rPr>
              <w:t>Fn=（</w:t>
            </w:r>
            <w:r>
              <w:rPr>
                <w:rFonts w:ascii="宋体" w:hAnsi="宋体" w:cs="宋体"/>
                <w:szCs w:val="21"/>
              </w:rPr>
              <w:t>50</w:t>
            </w:r>
            <w:r>
              <w:rPr>
                <w:rFonts w:hint="eastAsia" w:ascii="宋体" w:hAnsi="宋体" w:cs="宋体"/>
                <w:szCs w:val="21"/>
              </w:rPr>
              <w:t>-</w:t>
            </w:r>
            <w:r>
              <w:rPr>
                <w:rFonts w:ascii="宋体" w:hAnsi="宋体" w:cs="宋体"/>
                <w:szCs w:val="21"/>
              </w:rPr>
              <w:t>50</w:t>
            </w:r>
            <w:r>
              <w:rPr>
                <w:rFonts w:hint="eastAsia" w:ascii="宋体" w:hAnsi="宋体" w:cs="宋体"/>
                <w:szCs w:val="21"/>
              </w:rPr>
              <w:t xml:space="preserve">×│Sn-Sj│/Sj） </w:t>
            </w:r>
          </w:p>
          <w:p>
            <w:pPr>
              <w:adjustRightInd w:val="0"/>
              <w:snapToGrid w:val="0"/>
              <w:spacing w:line="360" w:lineRule="auto"/>
              <w:jc w:val="left"/>
              <w:rPr>
                <w:rFonts w:ascii="宋体" w:hAnsi="宋体" w:cs="宋体"/>
                <w:szCs w:val="21"/>
              </w:rPr>
            </w:pPr>
            <w:r>
              <w:rPr>
                <w:rFonts w:hint="eastAsia" w:ascii="宋体" w:hAnsi="宋体" w:cs="宋体"/>
                <w:szCs w:val="21"/>
              </w:rPr>
              <w:t>其中：Fn— 第n参选人的商务得分（当Sn大于服务费上限时，该参选人的商务得分按零分计）。</w:t>
            </w:r>
          </w:p>
          <w:p>
            <w:pPr>
              <w:adjustRightInd w:val="0"/>
              <w:snapToGrid w:val="0"/>
              <w:spacing w:line="360" w:lineRule="auto"/>
              <w:jc w:val="left"/>
              <w:rPr>
                <w:rFonts w:ascii="宋体" w:hAnsi="宋体" w:cs="宋体"/>
                <w:szCs w:val="21"/>
              </w:rPr>
            </w:pPr>
            <w:r>
              <w:rPr>
                <w:rFonts w:hint="eastAsia" w:ascii="宋体" w:hAnsi="宋体" w:cs="宋体"/>
                <w:szCs w:val="21"/>
              </w:rPr>
              <w:t>Sn— 第n 参选人的服务费</w:t>
            </w:r>
          </w:p>
          <w:p>
            <w:pPr>
              <w:adjustRightInd w:val="0"/>
              <w:snapToGrid w:val="0"/>
              <w:spacing w:line="360" w:lineRule="auto"/>
              <w:jc w:val="left"/>
              <w:rPr>
                <w:rFonts w:ascii="宋体" w:hAnsi="宋体" w:cs="宋体"/>
                <w:szCs w:val="21"/>
              </w:rPr>
            </w:pPr>
            <w:r>
              <w:rPr>
                <w:rFonts w:hint="eastAsia" w:ascii="宋体" w:hAnsi="宋体" w:cs="宋体"/>
                <w:szCs w:val="21"/>
              </w:rPr>
              <w:t>Sj—所有参选人所报的服务费</w:t>
            </w:r>
            <w:r>
              <w:rPr>
                <w:rFonts w:hint="eastAsia" w:ascii="宋体" w:hAnsi="宋体" w:cs="宋体"/>
                <w:szCs w:val="21"/>
                <w:lang w:eastAsia="zh-CN"/>
              </w:rPr>
              <w:t>最低价</w:t>
            </w: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r>
        <w:tblPrEx>
          <w:tblCellMar>
            <w:top w:w="0" w:type="dxa"/>
            <w:left w:w="0" w:type="dxa"/>
            <w:bottom w:w="0" w:type="dxa"/>
            <w:right w:w="0" w:type="dxa"/>
          </w:tblCellMar>
        </w:tblPrEx>
        <w:trPr>
          <w:trHeight w:val="3055" w:hRule="atLeast"/>
          <w:jc w:val="center"/>
        </w:trPr>
        <w:tc>
          <w:tcPr>
            <w:tcW w:w="610" w:type="dxa"/>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r>
              <w:rPr>
                <w:rFonts w:hint="eastAsia" w:ascii="宋体" w:hAnsi="宋体" w:cs="宋体"/>
                <w:szCs w:val="21"/>
              </w:rPr>
              <w:t>2</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center"/>
              <w:rPr>
                <w:rFonts w:ascii="宋体" w:hAnsi="宋体" w:cs="宋体"/>
                <w:szCs w:val="21"/>
              </w:rPr>
            </w:pPr>
            <w:r>
              <w:rPr>
                <w:rFonts w:hint="eastAsia" w:ascii="宋体" w:hAnsi="宋体" w:cs="宋体"/>
                <w:szCs w:val="21"/>
              </w:rPr>
              <w:t>得分</w:t>
            </w:r>
          </w:p>
          <w:p>
            <w:pPr>
              <w:adjustRightInd w:val="0"/>
              <w:snapToGrid w:val="0"/>
              <w:spacing w:line="360" w:lineRule="auto"/>
              <w:jc w:val="left"/>
              <w:rPr>
                <w:rFonts w:ascii="宋体" w:hAnsi="宋体" w:cs="宋体"/>
                <w:szCs w:val="21"/>
              </w:rPr>
            </w:pPr>
          </w:p>
        </w:tc>
        <w:tc>
          <w:tcPr>
            <w:tcW w:w="512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szCs w:val="21"/>
              </w:rPr>
            </w:pPr>
          </w:p>
        </w:tc>
        <w:tc>
          <w:tcPr>
            <w:tcW w:w="146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b/>
          <w:sz w:val="24"/>
          <w:szCs w:val="24"/>
        </w:rPr>
      </w:pPr>
    </w:p>
    <w:p>
      <w:pPr>
        <w:widowControl/>
        <w:spacing w:line="360" w:lineRule="auto"/>
        <w:jc w:val="left"/>
        <w:rPr>
          <w:rFonts w:ascii="宋体" w:hAnsi="宋体"/>
          <w:b/>
          <w:sz w:val="24"/>
          <w:szCs w:val="24"/>
        </w:rPr>
      </w:pPr>
    </w:p>
    <w:p>
      <w:pPr>
        <w:widowControl/>
        <w:spacing w:line="360" w:lineRule="auto"/>
        <w:jc w:val="left"/>
        <w:rPr>
          <w:rFonts w:ascii="宋体" w:hAnsi="宋体" w:cs="宋体"/>
          <w:b/>
          <w:bCs/>
          <w:kern w:val="0"/>
          <w:sz w:val="24"/>
          <w:szCs w:val="24"/>
        </w:rPr>
      </w:pPr>
      <w:r>
        <w:rPr>
          <w:rFonts w:hint="eastAsia" w:ascii="宋体" w:hAnsi="宋体"/>
          <w:b/>
          <w:sz w:val="24"/>
          <w:szCs w:val="24"/>
        </w:rPr>
        <w:t>附表8：最终得分结果汇总表</w:t>
      </w:r>
    </w:p>
    <w:p>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overflowPunct w:val="0"/>
        <w:autoSpaceDE w:val="0"/>
        <w:autoSpaceDN w:val="0"/>
        <w:adjustRightInd w:val="0"/>
        <w:spacing w:line="360" w:lineRule="auto"/>
        <w:ind w:firstLine="454"/>
        <w:jc w:val="left"/>
        <w:textAlignment w:val="baseline"/>
        <w:rPr>
          <w:rFonts w:ascii="宋体" w:hAnsi="宋体" w:cs="宋体"/>
          <w:b/>
          <w:bCs/>
          <w:snapToGrid w:val="0"/>
          <w:kern w:val="0"/>
          <w:szCs w:val="21"/>
        </w:rPr>
      </w:pPr>
      <w:r>
        <w:rPr>
          <w:rFonts w:hint="eastAsia" w:ascii="宋体" w:hAnsi="宋体" w:cs="宋体"/>
          <w:b/>
          <w:bCs/>
          <w:snapToGrid w:val="0"/>
          <w:szCs w:val="21"/>
        </w:rPr>
        <w:t>项目名称：</w:t>
      </w:r>
      <w:r>
        <w:rPr>
          <w:rFonts w:hint="eastAsia" w:hAnsi="宋体"/>
          <w:b/>
          <w:bCs/>
          <w:color w:val="0D0D0D"/>
          <w:sz w:val="24"/>
          <w:szCs w:val="24"/>
          <w:u w:val="single"/>
        </w:rPr>
        <w:t>昂鹅等</w:t>
      </w:r>
      <w:r>
        <w:rPr>
          <w:rFonts w:hint="eastAsia" w:hAnsi="宋体"/>
          <w:b/>
          <w:bCs/>
          <w:sz w:val="24"/>
          <w:szCs w:val="24"/>
          <w:u w:val="single"/>
        </w:rPr>
        <w:t>十</w:t>
      </w:r>
      <w:r>
        <w:rPr>
          <w:rFonts w:hAnsi="宋体"/>
          <w:b/>
          <w:bCs/>
          <w:sz w:val="24"/>
          <w:szCs w:val="24"/>
          <w:u w:val="single"/>
        </w:rPr>
        <w:t>五</w:t>
      </w:r>
      <w:r>
        <w:rPr>
          <w:rFonts w:hint="eastAsia" w:hAnsi="宋体"/>
          <w:b/>
          <w:bCs/>
          <w:color w:val="0D0D0D"/>
          <w:sz w:val="24"/>
          <w:szCs w:val="24"/>
          <w:u w:val="single"/>
        </w:rPr>
        <w:t>个新项目税务咨询服务</w:t>
      </w:r>
      <w:r>
        <w:rPr>
          <w:rFonts w:hint="eastAsia" w:ascii="宋体" w:hAnsi="宋体" w:cs="宋体"/>
          <w:b/>
          <w:color w:val="0D0D0D"/>
          <w:kern w:val="0"/>
          <w:sz w:val="24"/>
          <w:szCs w:val="24"/>
        </w:rPr>
        <w:t xml:space="preserve"> </w:t>
      </w:r>
    </w:p>
    <w:tbl>
      <w:tblPr>
        <w:tblStyle w:val="49"/>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En</w:t>
            </w:r>
          </w:p>
          <w:p>
            <w:pPr>
              <w:spacing w:line="360" w:lineRule="auto"/>
              <w:jc w:val="center"/>
              <w:rPr>
                <w:rFonts w:ascii="宋体" w:hAnsi="宋体" w:cs="宋体"/>
                <w:b/>
                <w:bCs/>
                <w:szCs w:val="21"/>
              </w:rPr>
            </w:pPr>
            <w:r>
              <w:rPr>
                <w:rFonts w:hint="eastAsia" w:ascii="宋体" w:hAnsi="宋体" w:cs="宋体"/>
                <w:b/>
                <w:bCs/>
                <w:szCs w:val="21"/>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rPr>
            </w:pPr>
            <w:r>
              <w:rPr>
                <w:rFonts w:hint="eastAsia" w:ascii="宋体" w:hAnsi="宋体" w:cs="宋体"/>
                <w:b/>
                <w:bCs/>
                <w:szCs w:val="21"/>
              </w:rPr>
              <w:t>Fn</w:t>
            </w:r>
          </w:p>
          <w:p>
            <w:pPr>
              <w:spacing w:line="360" w:lineRule="auto"/>
              <w:jc w:val="center"/>
              <w:rPr>
                <w:rFonts w:ascii="宋体" w:hAnsi="宋体" w:cs="宋体"/>
                <w:b/>
                <w:bCs/>
                <w:szCs w:val="21"/>
              </w:rPr>
            </w:pPr>
            <w:r>
              <w:rPr>
                <w:rFonts w:hint="eastAsia" w:ascii="宋体" w:hAnsi="宋体" w:cs="宋体"/>
                <w:b/>
                <w:bCs/>
                <w:szCs w:val="21"/>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An</w:t>
            </w:r>
          </w:p>
          <w:p>
            <w:pPr>
              <w:spacing w:line="360" w:lineRule="auto"/>
              <w:jc w:val="center"/>
              <w:rPr>
                <w:rFonts w:ascii="宋体" w:hAnsi="宋体" w:cs="宋体"/>
                <w:b/>
                <w:bCs/>
                <w:szCs w:val="21"/>
              </w:rPr>
            </w:pPr>
            <w:r>
              <w:rPr>
                <w:rFonts w:hint="eastAsia" w:ascii="宋体" w:hAnsi="宋体" w:cs="宋体"/>
                <w:b/>
                <w:bCs/>
                <w:szCs w:val="21"/>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An=En+Fn</w:t>
            </w:r>
          </w:p>
          <w:p>
            <w:pPr>
              <w:spacing w:line="360" w:lineRule="auto"/>
              <w:jc w:val="center"/>
              <w:rPr>
                <w:rFonts w:ascii="宋体" w:hAnsi="宋体" w:cs="宋体"/>
                <w:szCs w:val="21"/>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注：最终得分保留小数点后两位数字，且四舍五入。</w:t>
      </w:r>
    </w:p>
    <w:p>
      <w:pPr>
        <w:spacing w:line="360" w:lineRule="auto"/>
        <w:rPr>
          <w:rFonts w:ascii="宋体" w:hAnsi="宋体" w:cs="宋体"/>
          <w:kern w:val="0"/>
          <w:szCs w:val="21"/>
        </w:rPr>
      </w:pPr>
    </w:p>
    <w:p>
      <w:pPr>
        <w:widowControl/>
        <w:spacing w:line="360" w:lineRule="auto"/>
        <w:rPr>
          <w:rFonts w:ascii="宋体" w:hAnsi="宋体" w:cs="宋体"/>
          <w:b/>
          <w:szCs w:val="21"/>
        </w:rPr>
      </w:pPr>
      <w:r>
        <w:rPr>
          <w:rFonts w:hint="eastAsia" w:ascii="宋体" w:hAnsi="宋体" w:cs="宋体"/>
          <w:b/>
          <w:szCs w:val="21"/>
        </w:rPr>
        <w:t>评委（签名）：</w:t>
      </w:r>
    </w:p>
    <w:p>
      <w:pPr>
        <w:widowControl/>
        <w:spacing w:line="360" w:lineRule="auto"/>
        <w:rPr>
          <w:rFonts w:ascii="宋体" w:hAnsi="宋体" w:cs="宋体"/>
          <w:b/>
          <w:szCs w:val="21"/>
        </w:rPr>
      </w:pPr>
    </w:p>
    <w:p>
      <w:pPr>
        <w:widowControl/>
        <w:spacing w:line="360" w:lineRule="auto"/>
        <w:rPr>
          <w:rFonts w:ascii="宋体" w:hAnsi="宋体" w:cs="宋体"/>
          <w:b/>
          <w:szCs w:val="21"/>
        </w:rPr>
      </w:pPr>
      <w:r>
        <w:rPr>
          <w:rFonts w:hint="eastAsia" w:ascii="宋体" w:hAnsi="宋体" w:cs="宋体"/>
          <w:b/>
          <w:szCs w:val="21"/>
        </w:rPr>
        <w:t>监督（签名）：</w:t>
      </w:r>
    </w:p>
    <w:p>
      <w:pPr>
        <w:widowControl/>
        <w:spacing w:line="360" w:lineRule="auto"/>
        <w:jc w:val="right"/>
        <w:rPr>
          <w:rFonts w:ascii="宋体" w:hAnsi="宋体" w:cs="宋体"/>
          <w:b/>
          <w:bCs/>
          <w:kern w:val="0"/>
          <w:szCs w:val="21"/>
        </w:rPr>
        <w:sectPr>
          <w:pgSz w:w="16840" w:h="11907" w:orient="landscape"/>
          <w:pgMar w:top="1440" w:right="1440" w:bottom="1134" w:left="1440" w:header="720" w:footer="890" w:gutter="0"/>
          <w:cols w:space="720" w:num="1"/>
          <w:docGrid w:linePitch="312" w:charSpace="0"/>
        </w:sectPr>
      </w:pPr>
      <w:r>
        <w:rPr>
          <w:rFonts w:hint="eastAsia" w:ascii="宋体" w:hAnsi="宋体" w:cs="宋体"/>
          <w:b/>
          <w:szCs w:val="21"/>
        </w:rPr>
        <w:t>日期：</w:t>
      </w:r>
      <w:r>
        <w:rPr>
          <w:rFonts w:hint="eastAsia" w:ascii="宋体" w:hAnsi="宋体" w:cs="宋体"/>
          <w:szCs w:val="21"/>
        </w:rPr>
        <w:t xml:space="preserve">     年    月    日</w:t>
      </w:r>
    </w:p>
    <w:tbl>
      <w:tblPr>
        <w:tblStyle w:val="49"/>
        <w:tblW w:w="9275" w:type="dxa"/>
        <w:tblInd w:w="7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rPr>
            </w:pPr>
            <w:r>
              <w:rPr>
                <w:rFonts w:hint="eastAsia" w:ascii="宋体" w:hAnsi="宋体" w:cs="宋体"/>
                <w:b/>
                <w:sz w:val="24"/>
                <w:szCs w:val="24"/>
              </w:rPr>
              <w:t>附表9：参选人最终得分排序表</w:t>
            </w:r>
          </w:p>
          <w:p>
            <w:pPr>
              <w:widowControl/>
              <w:spacing w:line="360" w:lineRule="auto"/>
              <w:jc w:val="center"/>
              <w:rPr>
                <w:rFonts w:ascii="宋体" w:hAnsi="宋体" w:cs="宋体"/>
                <w:b/>
                <w:bCs/>
                <w:kern w:val="0"/>
                <w:sz w:val="24"/>
                <w:szCs w:val="24"/>
              </w:rPr>
            </w:pPr>
          </w:p>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widowControl/>
              <w:spacing w:line="360" w:lineRule="auto"/>
              <w:jc w:val="center"/>
              <w:rPr>
                <w:rFonts w:ascii="宋体" w:hAnsi="宋体" w:cs="宋体"/>
                <w:b/>
                <w:bCs/>
                <w:kern w:val="0"/>
                <w:szCs w:val="21"/>
              </w:rPr>
            </w:pPr>
          </w:p>
          <w:p>
            <w:pPr>
              <w:widowControl/>
              <w:spacing w:line="360" w:lineRule="auto"/>
              <w:jc w:val="left"/>
              <w:rPr>
                <w:rFonts w:ascii="宋体" w:hAnsi="宋体" w:cs="宋体"/>
                <w:b/>
                <w:kern w:val="0"/>
                <w:szCs w:val="21"/>
              </w:rPr>
            </w:pPr>
            <w:r>
              <w:rPr>
                <w:rFonts w:hint="eastAsia" w:ascii="宋体" w:hAnsi="宋体" w:cs="宋体"/>
                <w:b/>
                <w:kern w:val="0"/>
                <w:szCs w:val="21"/>
              </w:rPr>
              <w:t>项目名称：</w:t>
            </w:r>
            <w:r>
              <w:rPr>
                <w:rFonts w:hint="eastAsia" w:hAnsi="宋体"/>
                <w:b/>
                <w:bCs/>
                <w:color w:val="0D0D0D"/>
                <w:sz w:val="24"/>
                <w:szCs w:val="24"/>
                <w:u w:val="single"/>
              </w:rPr>
              <w:t>昂鹅等</w:t>
            </w:r>
            <w:r>
              <w:rPr>
                <w:rFonts w:hint="eastAsia" w:hAnsi="宋体"/>
                <w:b/>
                <w:bCs/>
                <w:sz w:val="24"/>
                <w:szCs w:val="24"/>
                <w:u w:val="single"/>
              </w:rPr>
              <w:t>十</w:t>
            </w:r>
            <w:r>
              <w:rPr>
                <w:rFonts w:hAnsi="宋体"/>
                <w:b/>
                <w:bCs/>
                <w:sz w:val="24"/>
                <w:szCs w:val="24"/>
                <w:u w:val="single"/>
              </w:rPr>
              <w:t>五</w:t>
            </w:r>
            <w:r>
              <w:rPr>
                <w:rFonts w:hint="eastAsia" w:hAnsi="宋体"/>
                <w:b/>
                <w:bCs/>
                <w:color w:val="0D0D0D"/>
                <w:sz w:val="24"/>
                <w:szCs w:val="24"/>
                <w:u w:val="single"/>
              </w:rPr>
              <w:t>个新项目税务咨询服务</w:t>
            </w:r>
            <w:r>
              <w:rPr>
                <w:rFonts w:hint="eastAsia" w:ascii="宋体" w:hAnsi="宋体" w:cs="宋体"/>
                <w:b/>
                <w:color w:val="0D0D0D"/>
                <w:kern w:val="0"/>
                <w:sz w:val="24"/>
                <w:szCs w:val="24"/>
              </w:rPr>
              <w:t xml:space="preserve"> </w:t>
            </w:r>
          </w:p>
          <w:p>
            <w:pPr>
              <w:widowControl/>
              <w:spacing w:line="360" w:lineRule="auto"/>
              <w:jc w:val="right"/>
              <w:rPr>
                <w:rFonts w:ascii="宋体" w:hAnsi="宋体" w:cs="宋体"/>
                <w:b/>
                <w:bCs/>
                <w:kern w:val="0"/>
                <w:szCs w:val="21"/>
              </w:rPr>
            </w:pPr>
            <w:r>
              <w:rPr>
                <w:rFonts w:hint="eastAsia" w:ascii="宋体" w:hAnsi="宋体" w:cs="宋体"/>
                <w:kern w:val="0"/>
                <w:szCs w:val="21"/>
              </w:rPr>
              <w:t>评审日期：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szCs w:val="21"/>
              </w:rPr>
            </w:pPr>
            <w:r>
              <w:rPr>
                <w:rFonts w:hint="eastAsia" w:ascii="宋体" w:hAnsi="宋体" w:cs="宋体"/>
                <w:szCs w:val="21"/>
              </w:rPr>
              <w:t>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szCs w:val="21"/>
              </w:rPr>
            </w:pPr>
          </w:p>
        </w:tc>
      </w:tr>
      <w:tr>
        <w:tblPrEx>
          <w:tblCellMar>
            <w:top w:w="0" w:type="dxa"/>
            <w:left w:w="0" w:type="dxa"/>
            <w:bottom w:w="0" w:type="dxa"/>
            <w:right w:w="0" w:type="dxa"/>
          </w:tblCellMar>
        </w:tblPrEx>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rPr>
            </w:pPr>
          </w:p>
          <w:p>
            <w:pPr>
              <w:spacing w:line="360" w:lineRule="auto"/>
              <w:rPr>
                <w:rFonts w:ascii="宋体" w:hAnsi="宋体" w:cs="宋体"/>
                <w:szCs w:val="21"/>
              </w:rPr>
            </w:pPr>
            <w:r>
              <w:rPr>
                <w:rFonts w:hint="eastAsia" w:ascii="宋体" w:hAnsi="宋体" w:cs="宋体"/>
                <w:szCs w:val="21"/>
              </w:rPr>
              <w:t>评委(签名)：</w:t>
            </w:r>
          </w:p>
          <w:p>
            <w:pPr>
              <w:widowControl/>
              <w:spacing w:line="360" w:lineRule="auto"/>
              <w:ind w:left="424"/>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r>
              <w:rPr>
                <w:rFonts w:hint="eastAsia" w:ascii="宋体" w:hAnsi="宋体" w:cs="宋体"/>
                <w:kern w:val="0"/>
                <w:szCs w:val="21"/>
              </w:rPr>
              <w:t>监督（签名）：</w:t>
            </w:r>
          </w:p>
          <w:p>
            <w:pPr>
              <w:widowControl/>
              <w:spacing w:line="360" w:lineRule="auto"/>
              <w:ind w:left="424"/>
              <w:rPr>
                <w:rFonts w:ascii="宋体" w:hAnsi="宋体" w:cs="宋体"/>
                <w:kern w:val="0"/>
                <w:szCs w:val="21"/>
              </w:rPr>
            </w:pPr>
          </w:p>
        </w:tc>
      </w:tr>
    </w:tbl>
    <w:p>
      <w:pPr>
        <w:tabs>
          <w:tab w:val="left" w:pos="630"/>
        </w:tabs>
        <w:spacing w:line="360" w:lineRule="auto"/>
        <w:rPr>
          <w:rFonts w:ascii="宋体" w:hAnsi="宋体"/>
        </w:rPr>
      </w:pPr>
    </w:p>
    <w:p>
      <w:pPr>
        <w:tabs>
          <w:tab w:val="left" w:pos="630"/>
        </w:tabs>
        <w:spacing w:line="360" w:lineRule="auto"/>
        <w:rPr>
          <w:rFonts w:ascii="宋体" w:hAnsi="宋体"/>
        </w:rPr>
      </w:pPr>
    </w:p>
    <w:p>
      <w:pPr>
        <w:widowControl/>
        <w:spacing w:line="360" w:lineRule="auto"/>
        <w:jc w:val="left"/>
        <w:rPr>
          <w:rFonts w:ascii="宋体" w:hAnsi="宋体" w:cs="宋体"/>
          <w:b/>
          <w:sz w:val="24"/>
          <w:szCs w:val="24"/>
        </w:rPr>
      </w:pPr>
    </w:p>
    <w:p>
      <w:pPr>
        <w:widowControl/>
        <w:spacing w:line="360" w:lineRule="auto"/>
        <w:jc w:val="left"/>
        <w:rPr>
          <w:rFonts w:ascii="宋体" w:hAnsi="宋体" w:cs="宋体"/>
          <w:b/>
          <w:sz w:val="24"/>
          <w:szCs w:val="24"/>
        </w:rPr>
      </w:pPr>
    </w:p>
    <w:p>
      <w:pPr>
        <w:widowControl/>
        <w:spacing w:line="360" w:lineRule="auto"/>
        <w:jc w:val="left"/>
        <w:rPr>
          <w:rFonts w:ascii="宋体" w:hAnsi="宋体" w:cs="宋体"/>
          <w:b/>
          <w:sz w:val="24"/>
          <w:szCs w:val="24"/>
        </w:rPr>
      </w:pPr>
    </w:p>
    <w:p>
      <w:pPr>
        <w:widowControl/>
        <w:spacing w:line="360" w:lineRule="auto"/>
        <w:jc w:val="left"/>
        <w:rPr>
          <w:rFonts w:ascii="宋体" w:hAnsi="宋体" w:cs="宋体"/>
          <w:b/>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bCs/>
          <w:color w:val="0D0D0D"/>
          <w:kern w:val="0"/>
          <w:sz w:val="24"/>
          <w:szCs w:val="24"/>
        </w:rPr>
        <w:t xml:space="preserve"> </w:t>
      </w:r>
      <w:bookmarkStart w:id="109" w:name="_Toc518494147"/>
      <w:bookmarkStart w:id="110" w:name="_Toc57731985"/>
      <w:r>
        <w:rPr>
          <w:rFonts w:hint="eastAsia" w:ascii="宋体" w:hAnsi="宋体" w:cs="宋体"/>
          <w:b/>
          <w:sz w:val="24"/>
          <w:szCs w:val="24"/>
        </w:rPr>
        <w:t>附件10（此表由评委或参选人填写）</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spacing w:line="360" w:lineRule="auto"/>
        <w:rPr>
          <w:rFonts w:ascii="宋体" w:hAnsi="宋体"/>
          <w:b/>
          <w:bCs/>
          <w:snapToGrid w:val="0"/>
          <w:sz w:val="24"/>
          <w:szCs w:val="24"/>
        </w:rPr>
      </w:pPr>
    </w:p>
    <w:p>
      <w:pPr>
        <w:widowControl/>
        <w:spacing w:line="360" w:lineRule="auto"/>
        <w:jc w:val="left"/>
        <w:rPr>
          <w:rFonts w:hAnsi="宋体"/>
          <w:b/>
          <w:bCs/>
          <w:sz w:val="24"/>
          <w:szCs w:val="24"/>
          <w:u w:val="single"/>
        </w:rPr>
      </w:pPr>
      <w:r>
        <w:rPr>
          <w:rFonts w:hint="eastAsia" w:ascii="宋体" w:hAnsi="宋体"/>
          <w:sz w:val="24"/>
          <w:szCs w:val="24"/>
        </w:rPr>
        <w:t>项目名称：</w:t>
      </w:r>
      <w:r>
        <w:rPr>
          <w:rFonts w:hint="eastAsia" w:hAnsi="宋体"/>
          <w:b/>
          <w:bCs/>
          <w:sz w:val="24"/>
          <w:szCs w:val="24"/>
          <w:u w:val="single"/>
        </w:rPr>
        <w:t>昂鹅等十</w:t>
      </w:r>
      <w:r>
        <w:rPr>
          <w:rFonts w:hAnsi="宋体"/>
          <w:b/>
          <w:bCs/>
          <w:sz w:val="24"/>
          <w:szCs w:val="24"/>
          <w:u w:val="single"/>
        </w:rPr>
        <w:t>五</w:t>
      </w:r>
      <w:r>
        <w:rPr>
          <w:rFonts w:hint="eastAsia" w:hAnsi="宋体"/>
          <w:b/>
          <w:bCs/>
          <w:sz w:val="24"/>
          <w:szCs w:val="24"/>
          <w:u w:val="single"/>
        </w:rPr>
        <w:t>个新项目税务咨询服务</w:t>
      </w:r>
    </w:p>
    <w:p>
      <w:pPr>
        <w:spacing w:line="360" w:lineRule="auto"/>
        <w:jc w:val="left"/>
        <w:rPr>
          <w:rFonts w:ascii="宋体" w:hAnsi="宋体"/>
          <w:sz w:val="24"/>
          <w:szCs w:val="24"/>
        </w:rPr>
      </w:pPr>
      <w:r>
        <w:rPr>
          <w:rFonts w:hint="eastAsia" w:ascii="宋体" w:hAnsi="宋体"/>
          <w:sz w:val="24"/>
          <w:szCs w:val="24"/>
        </w:rPr>
        <w:t>日期：2022年  月  日</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需要说明的</w:t>
            </w:r>
          </w:p>
          <w:p>
            <w:pPr>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评委签字</w:t>
            </w:r>
          </w:p>
          <w:p>
            <w:pPr>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bl>
    <w:p>
      <w:pPr>
        <w:spacing w:line="360" w:lineRule="auto"/>
        <w:rPr>
          <w:rFonts w:ascii="宋体" w:hAnsi="宋体"/>
          <w:sz w:val="24"/>
          <w:szCs w:val="24"/>
        </w:rPr>
      </w:pPr>
    </w:p>
    <w:p>
      <w:pPr>
        <w:pStyle w:val="5"/>
        <w:spacing w:line="360" w:lineRule="auto"/>
        <w:rPr>
          <w:rFonts w:ascii="宋体" w:hAnsi="宋体"/>
          <w:b w:val="0"/>
          <w:sz w:val="44"/>
          <w:szCs w:val="44"/>
        </w:rPr>
      </w:pPr>
      <w:r>
        <w:rPr>
          <w:rFonts w:hint="eastAsia" w:ascii="宋体" w:hAnsi="宋体"/>
          <w:b w:val="0"/>
          <w:sz w:val="44"/>
          <w:szCs w:val="44"/>
        </w:rPr>
        <w:t>第二篇  参选文件格式</w:t>
      </w:r>
      <w:bookmarkEnd w:id="109"/>
      <w:bookmarkEnd w:id="110"/>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5"/>
        <w:spacing w:before="1440" w:beforeLines="600" w:line="360" w:lineRule="auto"/>
        <w:jc w:val="center"/>
        <w:rPr>
          <w:rFonts w:hAnsi="宋体"/>
          <w:b/>
          <w:color w:val="0D0D0D"/>
          <w:sz w:val="44"/>
          <w:szCs w:val="44"/>
        </w:rPr>
      </w:pPr>
      <w:r>
        <w:rPr>
          <w:rFonts w:hint="eastAsia" w:hAnsi="宋体"/>
          <w:b/>
          <w:color w:val="0D0D0D"/>
          <w:sz w:val="44"/>
          <w:szCs w:val="44"/>
        </w:rPr>
        <w:t>昂鹅等</w:t>
      </w:r>
      <w:r>
        <w:rPr>
          <w:rFonts w:hint="eastAsia" w:hAnsi="宋体"/>
          <w:b/>
          <w:bCs w:val="0"/>
          <w:color w:val="0D0D0D"/>
          <w:sz w:val="44"/>
          <w:szCs w:val="44"/>
          <w:u w:val="none"/>
        </w:rPr>
        <w:t>十</w:t>
      </w:r>
      <w:r>
        <w:rPr>
          <w:rFonts w:hAnsi="宋体"/>
          <w:b/>
          <w:bCs w:val="0"/>
          <w:color w:val="0D0D0D"/>
          <w:sz w:val="44"/>
          <w:szCs w:val="44"/>
          <w:u w:val="none"/>
        </w:rPr>
        <w:t>五</w:t>
      </w:r>
      <w:r>
        <w:rPr>
          <w:rFonts w:hint="eastAsia" w:hAnsi="宋体"/>
          <w:b/>
          <w:color w:val="0D0D0D"/>
          <w:sz w:val="44"/>
          <w:szCs w:val="44"/>
        </w:rPr>
        <w:t>个新项目税务咨询服务</w:t>
      </w:r>
    </w:p>
    <w:p>
      <w:pPr>
        <w:pStyle w:val="25"/>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5"/>
        <w:spacing w:line="360" w:lineRule="auto"/>
        <w:jc w:val="center"/>
        <w:rPr>
          <w:rFonts w:hAnsi="宋体"/>
          <w:b/>
          <w:color w:val="0D0D0D"/>
          <w:sz w:val="44"/>
          <w:szCs w:val="44"/>
        </w:rPr>
      </w:pPr>
      <w:r>
        <w:rPr>
          <w:rFonts w:hint="eastAsia" w:hAnsi="宋体"/>
          <w:b/>
          <w:color w:val="0D0D0D"/>
          <w:sz w:val="44"/>
          <w:szCs w:val="44"/>
        </w:rPr>
        <w:t>（</w:t>
      </w:r>
      <w:bookmarkStart w:id="111" w:name="_Toc92971375"/>
      <w:r>
        <w:rPr>
          <w:rFonts w:hint="eastAsia" w:hAnsi="宋体"/>
          <w:b/>
          <w:color w:val="0D0D0D"/>
          <w:sz w:val="44"/>
          <w:szCs w:val="44"/>
        </w:rPr>
        <w:t>技术标书</w:t>
      </w:r>
      <w:bookmarkEnd w:id="111"/>
      <w:r>
        <w:rPr>
          <w:rFonts w:hAnsi="宋体"/>
          <w:b/>
          <w:color w:val="0D0D0D"/>
          <w:sz w:val="44"/>
          <w:szCs w:val="44"/>
        </w:rPr>
        <w:t>）</w:t>
      </w:r>
    </w:p>
    <w:p>
      <w:pPr>
        <w:pStyle w:val="25"/>
        <w:spacing w:line="360" w:lineRule="auto"/>
        <w:rPr>
          <w:rFonts w:hAnsi="宋体"/>
          <w:color w:val="0D0D0D"/>
          <w:sz w:val="23"/>
          <w:szCs w:val="23"/>
        </w:rPr>
      </w:pPr>
    </w:p>
    <w:p>
      <w:pPr>
        <w:jc w:val="center"/>
        <w:rPr>
          <w:rFonts w:ascii="黑体" w:hAnsi="黑体" w:eastAsia="黑体"/>
          <w:sz w:val="84"/>
          <w:szCs w:val="84"/>
        </w:rPr>
      </w:pPr>
    </w:p>
    <w:p>
      <w:pPr>
        <w:ind w:left="420" w:leftChars="200" w:firstLine="482"/>
        <w:rPr>
          <w:bCs/>
          <w:sz w:val="24"/>
          <w:szCs w:val="24"/>
        </w:rPr>
      </w:pPr>
      <w:r>
        <w:rPr>
          <w:rFonts w:hint="eastAsia"/>
          <w:bCs/>
          <w:sz w:val="24"/>
          <w:szCs w:val="24"/>
        </w:rPr>
        <w:t>参选</w:t>
      </w:r>
      <w:r>
        <w:rPr>
          <w:bCs/>
          <w:sz w:val="24"/>
          <w:szCs w:val="24"/>
        </w:rPr>
        <w:t>人声明：</w:t>
      </w:r>
    </w:p>
    <w:p>
      <w:pPr>
        <w:ind w:left="420" w:leftChars="200" w:firstLine="482"/>
        <w:rPr>
          <w:bCs/>
          <w:sz w:val="24"/>
          <w:szCs w:val="24"/>
        </w:rPr>
      </w:pPr>
      <w:r>
        <w:rPr>
          <w:bCs/>
          <w:sz w:val="24"/>
          <w:szCs w:val="24"/>
        </w:rPr>
        <w:t>我司（单位）对本标书所提供文件的真实性、准确性、有效性负全部责任。</w:t>
      </w:r>
    </w:p>
    <w:p>
      <w:pPr>
        <w:pStyle w:val="25"/>
        <w:spacing w:before="360" w:beforeLines="150" w:after="360" w:afterLines="150" w:line="360" w:lineRule="auto"/>
        <w:rPr>
          <w:rFonts w:hAnsi="宋体"/>
          <w:b/>
          <w:bCs/>
          <w:color w:val="0D0D0D"/>
          <w:sz w:val="28"/>
          <w:szCs w:val="28"/>
        </w:rPr>
      </w:pP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spacing w:line="360" w:lineRule="auto"/>
        <w:jc w:val="right"/>
        <w:rPr>
          <w:sz w:val="28"/>
          <w:szCs w:val="28"/>
        </w:rPr>
      </w:pPr>
      <w:r>
        <w:rPr>
          <w:sz w:val="28"/>
          <w:szCs w:val="28"/>
        </w:rPr>
        <w:t>（本页须独立成页）</w:t>
      </w:r>
    </w:p>
    <w:p>
      <w:pPr>
        <w:jc w:val="left"/>
        <w:rPr>
          <w:sz w:val="28"/>
          <w:szCs w:val="28"/>
        </w:rPr>
      </w:pPr>
      <w:r>
        <w:rPr>
          <w:sz w:val="28"/>
          <w:szCs w:val="28"/>
        </w:rPr>
        <w:br w:type="page"/>
      </w:r>
    </w:p>
    <w:p>
      <w:pPr>
        <w:spacing w:line="360" w:lineRule="auto"/>
        <w:jc w:val="center"/>
        <w:rPr>
          <w:sz w:val="28"/>
          <w:szCs w:val="28"/>
        </w:rPr>
      </w:pPr>
    </w:p>
    <w:p>
      <w:pPr>
        <w:spacing w:line="360" w:lineRule="auto"/>
        <w:jc w:val="center"/>
        <w:rPr>
          <w:rFonts w:ascii="宋体" w:hAnsi="宋体"/>
          <w:b/>
          <w:bCs/>
          <w:color w:val="0D0D0D"/>
          <w:sz w:val="28"/>
          <w:szCs w:val="28"/>
        </w:rPr>
      </w:pPr>
    </w:p>
    <w:p>
      <w:pPr>
        <w:spacing w:line="360" w:lineRule="auto"/>
        <w:jc w:val="center"/>
        <w:rPr>
          <w:rFonts w:ascii="宋体" w:hAnsi="宋体"/>
          <w:color w:val="0D0D0D"/>
        </w:rPr>
      </w:pPr>
      <w:bookmarkStart w:id="112" w:name="_Toc19191474"/>
      <w:r>
        <w:rPr>
          <w:rFonts w:hint="eastAsia" w:ascii="宋体" w:hAnsi="宋体"/>
          <w:color w:val="0D0D0D"/>
          <w:sz w:val="52"/>
          <w:szCs w:val="52"/>
          <w:u w:val="single"/>
        </w:rPr>
        <w:t>技术标书目录</w:t>
      </w:r>
      <w:bookmarkEnd w:id="112"/>
    </w:p>
    <w:p>
      <w:pPr>
        <w:pStyle w:val="119"/>
        <w:numPr>
          <w:ilvl w:val="0"/>
          <w:numId w:val="11"/>
        </w:numPr>
        <w:spacing w:before="50" w:line="360" w:lineRule="auto"/>
        <w:ind w:hanging="652"/>
        <w:rPr>
          <w:rFonts w:ascii="Times New Roman" w:cs="Times New Roman"/>
          <w:b/>
          <w:color w:val="0D0D0D"/>
          <w:szCs w:val="28"/>
        </w:rPr>
      </w:pPr>
      <w:r>
        <w:rPr>
          <w:rFonts w:hint="eastAsia" w:ascii="Times New Roman" w:cs="Times New Roman"/>
          <w:b/>
          <w:color w:val="0D0D0D"/>
          <w:szCs w:val="28"/>
        </w:rPr>
        <w:t>参选人营业执照复印件（加盖公章）</w:t>
      </w:r>
    </w:p>
    <w:p>
      <w:pPr>
        <w:pStyle w:val="119"/>
        <w:numPr>
          <w:ilvl w:val="255"/>
          <w:numId w:val="0"/>
        </w:numPr>
        <w:spacing w:before="50" w:line="360" w:lineRule="auto"/>
        <w:ind w:left="426"/>
        <w:rPr>
          <w:rFonts w:ascii="Times New Roman" w:cs="Times New Roman"/>
          <w:b/>
          <w:color w:val="0D0D0D"/>
          <w:szCs w:val="28"/>
        </w:rPr>
      </w:pPr>
      <w:r>
        <w:rPr>
          <w:rFonts w:hint="eastAsia" w:ascii="宋体" w:hAnsi="宋体" w:eastAsia="宋体" w:cs="Times New Roman"/>
          <w:b/>
          <w:bCs/>
        </w:rPr>
        <w:t>（若参选人为分支机构，需提供总所/总公司的授权文件）</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二、法定代表人资格证明书原件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三、法定代表人身份证复印件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四、法定代表人授权委托书原件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五、被授权人身份证复印件（加盖公章）</w:t>
      </w:r>
    </w:p>
    <w:p>
      <w:pPr>
        <w:pStyle w:val="119"/>
        <w:spacing w:before="50" w:line="360" w:lineRule="auto"/>
        <w:ind w:left="426"/>
        <w:rPr>
          <w:rFonts w:ascii="Times New Roman" w:cs="Times New Roman"/>
          <w:b/>
          <w:color w:val="0D0D0D"/>
          <w:szCs w:val="28"/>
        </w:rPr>
      </w:pPr>
      <w:r>
        <w:rPr>
          <w:rFonts w:hint="eastAsia" w:ascii="Times New Roman" w:cs="Times New Roman"/>
          <w:b/>
          <w:color w:val="0D0D0D"/>
          <w:szCs w:val="28"/>
        </w:rPr>
        <w:t>六、资格审查所需证明材料：（清晰的复印件，加盖公章）</w:t>
      </w:r>
    </w:p>
    <w:p>
      <w:pPr>
        <w:pStyle w:val="113"/>
        <w:widowControl/>
        <w:numPr>
          <w:ilvl w:val="0"/>
          <w:numId w:val="12"/>
        </w:numPr>
        <w:overflowPunct w:val="0"/>
        <w:autoSpaceDE w:val="0"/>
        <w:autoSpaceDN w:val="0"/>
        <w:adjustRightInd w:val="0"/>
        <w:spacing w:line="360" w:lineRule="auto"/>
        <w:ind w:firstLineChars="0"/>
        <w:jc w:val="left"/>
        <w:textAlignment w:val="baseline"/>
        <w:rPr>
          <w:rFonts w:ascii="宋体" w:hAnsi="宋体" w:eastAsia="宋体" w:cs="Times New Roman"/>
          <w:sz w:val="24"/>
          <w:szCs w:val="24"/>
          <w:lang w:val="zh-CN"/>
        </w:rPr>
      </w:pPr>
      <w:r>
        <w:rPr>
          <w:rFonts w:hint="eastAsia" w:ascii="宋体" w:hAnsi="宋体" w:eastAsia="宋体" w:cs="Times New Roman"/>
          <w:sz w:val="24"/>
          <w:szCs w:val="24"/>
          <w:lang w:val="zh-CN"/>
        </w:rPr>
        <w:t>若参选人为税务师事务所，需提供注册税务师协会授予的AAA级以上（含AAA级）评级资格证书（20</w:t>
      </w:r>
      <w:r>
        <w:rPr>
          <w:rFonts w:hint="eastAsia" w:ascii="宋体" w:hAnsi="宋体" w:eastAsia="宋体" w:cs="Times New Roman"/>
          <w:sz w:val="24"/>
          <w:szCs w:val="24"/>
        </w:rPr>
        <w:t>20</w:t>
      </w:r>
      <w:r>
        <w:rPr>
          <w:rFonts w:hint="eastAsia" w:ascii="宋体" w:hAnsi="宋体" w:eastAsia="宋体" w:cs="Times New Roman"/>
          <w:sz w:val="24"/>
          <w:szCs w:val="24"/>
          <w:lang w:val="zh-CN"/>
        </w:rPr>
        <w:t>年1月1日后授予）（加盖公章）</w:t>
      </w:r>
    </w:p>
    <w:p>
      <w:pPr>
        <w:pStyle w:val="119"/>
        <w:numPr>
          <w:ilvl w:val="0"/>
          <w:numId w:val="12"/>
        </w:numPr>
        <w:spacing w:before="50" w:line="360" w:lineRule="auto"/>
        <w:rPr>
          <w:rFonts w:ascii="宋体" w:hAnsi="宋体" w:eastAsia="宋体" w:cs="Times New Roman"/>
          <w:color w:val="0D0D0D"/>
          <w:lang w:val="zh-CN"/>
        </w:rPr>
      </w:pP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119"/>
        <w:numPr>
          <w:ilvl w:val="0"/>
          <w:numId w:val="12"/>
        </w:numPr>
        <w:spacing w:before="50" w:line="360" w:lineRule="auto"/>
        <w:rPr>
          <w:rFonts w:hint="eastAsia" w:ascii="宋体" w:hAnsi="宋体" w:eastAsia="宋体" w:cs="Times New Roman"/>
          <w:color w:val="0D0D0D"/>
          <w:lang w:val="zh-CN"/>
        </w:rPr>
      </w:pPr>
      <w:r>
        <w:rPr>
          <w:rFonts w:hint="eastAsia" w:ascii="宋体" w:hAnsi="宋体" w:eastAsia="宋体" w:cs="Times New Roman"/>
          <w:color w:val="0D0D0D"/>
          <w:lang w:val="zh-CN"/>
        </w:rPr>
        <w:t>若投标人为税务师事务所</w:t>
      </w:r>
      <w:r>
        <w:rPr>
          <w:rFonts w:hint="eastAsia" w:ascii="宋体" w:hAnsi="宋体" w:eastAsia="宋体" w:cs="Times New Roman"/>
          <w:color w:val="0D0D0D"/>
          <w:lang w:val="en-US" w:eastAsia="zh-CN"/>
        </w:rPr>
        <w:t>,需提供</w:t>
      </w:r>
      <w:r>
        <w:rPr>
          <w:rFonts w:hint="eastAsia" w:ascii="宋体" w:hAnsi="宋体" w:eastAsia="宋体" w:cs="Times New Roman"/>
          <w:color w:val="0D0D0D"/>
          <w:lang w:val="zh-CN"/>
        </w:rPr>
        <w:t>2020-2022年无违规证明(以深圳市注册税务师协会出具的证明为准）（若投标人为税务师事务所）。</w:t>
      </w:r>
    </w:p>
    <w:p>
      <w:pPr>
        <w:pStyle w:val="119"/>
        <w:numPr>
          <w:ilvl w:val="255"/>
          <w:numId w:val="0"/>
        </w:numPr>
        <w:spacing w:before="50" w:line="360" w:lineRule="auto"/>
        <w:ind w:left="420"/>
        <w:rPr>
          <w:rFonts w:ascii="Times New Roman" w:cs="Times New Roman"/>
          <w:b/>
          <w:color w:val="0D0D0D"/>
          <w:szCs w:val="28"/>
        </w:rPr>
      </w:pPr>
      <w:r>
        <w:rPr>
          <w:rFonts w:hint="eastAsia" w:ascii="Times New Roman" w:cs="Times New Roman"/>
          <w:b/>
          <w:color w:val="0D0D0D"/>
          <w:szCs w:val="28"/>
        </w:rPr>
        <w:t>七、技术标评审所需证明材料（清晰的复印件，加盖公章）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一</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二</w:t>
      </w:r>
      <w:r>
        <w:rPr>
          <w:rFonts w:hint="eastAsia" w:ascii="宋体" w:hAnsi="宋体" w:eastAsia="宋体" w:cs="Times New Roman"/>
          <w:color w:val="0D0D0D"/>
          <w:lang w:val="zh-CN"/>
        </w:rPr>
        <w:t>）房地产企业税务筹划方案建议书及房地产业务税务咨询服务经验及优势自评价（需盖公章）</w:t>
      </w:r>
    </w:p>
    <w:p>
      <w:pPr>
        <w:pStyle w:val="119"/>
        <w:numPr>
          <w:ilvl w:val="255"/>
          <w:numId w:val="0"/>
        </w:numPr>
        <w:spacing w:before="50" w:line="360" w:lineRule="auto"/>
        <w:ind w:firstLine="420" w:firstLineChars="200"/>
        <w:rPr>
          <w:rFonts w:ascii="宋体" w:hAnsi="宋体" w:eastAsia="宋体" w:cs="Times New Roman"/>
          <w:color w:val="0D0D0D"/>
          <w:lang w:val="zh-CN"/>
        </w:rPr>
      </w:pPr>
      <w:r>
        <w:rPr>
          <w:rFonts w:hint="eastAsia" w:ascii="宋体" w:hAnsi="宋体" w:cs="宋体"/>
          <w:sz w:val="21"/>
          <w:szCs w:val="21"/>
          <w:lang w:val="zh-TW" w:eastAsia="zh-TW"/>
        </w:rPr>
        <w:t>介绍房地产税务筹划方案建议</w:t>
      </w:r>
      <w:r>
        <w:rPr>
          <w:rFonts w:hint="eastAsia" w:ascii="宋体" w:hAnsi="宋体" w:cs="宋体"/>
          <w:sz w:val="21"/>
          <w:szCs w:val="21"/>
        </w:rPr>
        <w:t>及</w:t>
      </w:r>
      <w:r>
        <w:rPr>
          <w:rFonts w:hint="eastAsia" w:ascii="宋体" w:hAnsi="宋体" w:cs="宋体"/>
          <w:sz w:val="21"/>
          <w:szCs w:val="21"/>
          <w:lang w:val="zh-TW" w:eastAsia="zh-TW"/>
        </w:rPr>
        <w:t>房地产业务税务咨询服务经验优势（包括与</w:t>
      </w:r>
      <w:r>
        <w:rPr>
          <w:rFonts w:hint="eastAsia" w:ascii="宋体" w:hAnsi="宋体" w:cs="宋体"/>
          <w:sz w:val="21"/>
          <w:szCs w:val="21"/>
        </w:rPr>
        <w:t>深圳各区</w:t>
      </w:r>
      <w:r>
        <w:rPr>
          <w:rFonts w:hint="eastAsia" w:ascii="宋体" w:hAnsi="宋体" w:cs="宋体"/>
          <w:sz w:val="21"/>
          <w:szCs w:val="21"/>
          <w:lang w:val="zh-TW" w:eastAsia="zh-TW"/>
        </w:rPr>
        <w:t>税务局等的沟通经验等）</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三</w:t>
      </w:r>
      <w:r>
        <w:rPr>
          <w:rFonts w:hint="eastAsia" w:ascii="宋体" w:hAnsi="宋体" w:eastAsia="宋体" w:cs="Times New Roman"/>
          <w:color w:val="0D0D0D"/>
          <w:lang w:val="zh-CN"/>
        </w:rPr>
        <w:t>）拟委派本项目的团队情况及资质、经验</w:t>
      </w:r>
      <w:r>
        <w:rPr>
          <w:rFonts w:ascii="宋体" w:hAnsi="宋体" w:eastAsia="宋体" w:cs="Times New Roman"/>
          <w:color w:val="0D0D0D"/>
          <w:lang w:val="zh-CN"/>
        </w:rPr>
        <w:t>证明</w:t>
      </w:r>
      <w:r>
        <w:rPr>
          <w:rFonts w:hint="eastAsia" w:ascii="宋体" w:hAnsi="宋体" w:eastAsia="宋体" w:cs="Times New Roman"/>
          <w:color w:val="0D0D0D"/>
          <w:lang w:val="zh-CN"/>
        </w:rPr>
        <w:t>（提供证书复印件，在税务师事务所服务的社保证明，均需盖公章）</w:t>
      </w:r>
    </w:p>
    <w:p>
      <w:pPr>
        <w:pStyle w:val="119"/>
        <w:spacing w:before="50" w:line="360" w:lineRule="auto"/>
        <w:ind w:firstLine="471" w:firstLineChars="196"/>
        <w:rPr>
          <w:rFonts w:ascii="Times New Roman" w:cs="Times New Roman"/>
          <w:b/>
          <w:color w:val="0D0D0D"/>
          <w:szCs w:val="28"/>
        </w:rPr>
      </w:pPr>
    </w:p>
    <w:p>
      <w:pPr>
        <w:pStyle w:val="119"/>
        <w:spacing w:before="50" w:line="360" w:lineRule="auto"/>
        <w:rPr>
          <w:rFonts w:ascii="Times New Roman" w:cs="Times New Roman"/>
          <w:b/>
          <w:color w:val="0D0D0D"/>
          <w:szCs w:val="28"/>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pStyle w:val="2"/>
        <w:ind w:firstLine="480"/>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pStyle w:val="7"/>
        <w:spacing w:line="360" w:lineRule="auto"/>
        <w:ind w:left="0" w:firstLine="0"/>
        <w:rPr>
          <w:rFonts w:ascii="宋体" w:hAnsi="宋体"/>
          <w:color w:val="0D0D0D"/>
          <w:sz w:val="24"/>
        </w:rPr>
      </w:pPr>
      <w:bookmarkStart w:id="113" w:name="_Toc53991862"/>
      <w:r>
        <w:rPr>
          <w:rFonts w:hint="eastAsia" w:ascii="宋体" w:hAnsi="宋体"/>
          <w:color w:val="0D0D0D"/>
          <w:sz w:val="24"/>
        </w:rPr>
        <w:t>一、参选人营业执照复印件（加盖公章）</w:t>
      </w:r>
      <w:bookmarkEnd w:id="113"/>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2"/>
        <w:rPr>
          <w:color w:val="0D0D0D"/>
        </w:rPr>
      </w:pPr>
    </w:p>
    <w:p>
      <w:pPr>
        <w:pStyle w:val="7"/>
        <w:numPr>
          <w:ilvl w:val="2"/>
          <w:numId w:val="0"/>
        </w:numPr>
        <w:spacing w:line="360" w:lineRule="auto"/>
        <w:rPr>
          <w:rFonts w:ascii="宋体" w:hAnsi="宋体"/>
          <w:color w:val="0D0D0D"/>
          <w:sz w:val="24"/>
        </w:rPr>
      </w:pPr>
      <w:bookmarkStart w:id="114" w:name="_Toc510187106"/>
      <w:bookmarkStart w:id="115" w:name="_Toc53991863"/>
      <w:r>
        <w:rPr>
          <w:rFonts w:hint="eastAsia" w:ascii="宋体" w:hAnsi="宋体"/>
          <w:color w:val="0D0D0D"/>
          <w:sz w:val="24"/>
        </w:rPr>
        <w:t>二</w:t>
      </w:r>
      <w:r>
        <w:rPr>
          <w:rFonts w:ascii="宋体" w:hAnsi="宋体"/>
          <w:color w:val="0D0D0D"/>
          <w:sz w:val="24"/>
        </w:rPr>
        <w:t>、法定代表人资格证明书</w:t>
      </w:r>
      <w:bookmarkEnd w:id="114"/>
      <w:bookmarkEnd w:id="115"/>
      <w:r>
        <w:rPr>
          <w:rFonts w:ascii="宋体" w:hAnsi="宋体"/>
          <w:color w:val="0D0D0D"/>
          <w:sz w:val="24"/>
        </w:rPr>
        <w:t>（加盖公章）</w:t>
      </w:r>
    </w:p>
    <w:p>
      <w:pPr>
        <w:spacing w:line="360" w:lineRule="auto"/>
        <w:ind w:firstLine="5651"/>
        <w:rPr>
          <w:rFonts w:eastAsia="华文中宋"/>
          <w:color w:val="0D0D0D"/>
          <w:sz w:val="24"/>
        </w:rPr>
      </w:pPr>
    </w:p>
    <w:p>
      <w:pPr>
        <w:pStyle w:val="25"/>
        <w:spacing w:after="120" w:afterLines="50" w:line="360" w:lineRule="auto"/>
        <w:jc w:val="center"/>
        <w:rPr>
          <w:rFonts w:ascii="Times New Roman" w:hAnsi="Times New Roman" w:eastAsia="华文细黑"/>
          <w:color w:val="0D0D0D"/>
          <w:sz w:val="44"/>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5"/>
        <w:spacing w:line="360" w:lineRule="auto"/>
        <w:ind w:firstLine="480" w:firstLineChars="200"/>
        <w:rPr>
          <w:rFonts w:ascii="Times New Roman" w:hAnsi="Times New Roman"/>
          <w:color w:val="0D0D0D"/>
          <w:sz w:val="24"/>
          <w:szCs w:val="24"/>
        </w:rPr>
      </w:pPr>
    </w:p>
    <w:p>
      <w:pPr>
        <w:pStyle w:val="25"/>
        <w:spacing w:line="360" w:lineRule="auto"/>
        <w:ind w:left="279" w:leftChars="133"/>
        <w:rPr>
          <w:rFonts w:ascii="Times New Roman" w:hAnsi="Times New Roman"/>
          <w:color w:val="0D0D0D"/>
          <w:sz w:val="24"/>
          <w:szCs w:val="24"/>
        </w:rPr>
      </w:pP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5"/>
        <w:spacing w:line="360" w:lineRule="auto"/>
        <w:ind w:left="359" w:leftChars="171"/>
        <w:rPr>
          <w:rFonts w:ascii="Times New Roman" w:hAnsi="Times New Roman"/>
          <w:color w:val="0D0D0D"/>
          <w:sz w:val="24"/>
          <w:szCs w:val="24"/>
        </w:rPr>
      </w:pPr>
    </w:p>
    <w:p>
      <w:pPr>
        <w:pStyle w:val="25"/>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left="133" w:firstLine="1260" w:firstLineChars="525"/>
        <w:rPr>
          <w:rFonts w:ascii="Times New Roman" w:hAnsi="Times New Roman"/>
          <w:color w:val="0D0D0D"/>
          <w:sz w:val="24"/>
          <w:szCs w:val="24"/>
          <w:u w:val="single"/>
        </w:rPr>
      </w:pPr>
    </w:p>
    <w:p>
      <w:pPr>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widowControl/>
        <w:spacing w:line="360" w:lineRule="auto"/>
        <w:jc w:val="left"/>
        <w:rPr>
          <w:color w:val="0D0D0D"/>
          <w:sz w:val="24"/>
          <w:szCs w:val="24"/>
        </w:rPr>
      </w:pPr>
      <w:r>
        <w:rPr>
          <w:color w:val="0D0D0D"/>
          <w:sz w:val="24"/>
          <w:szCs w:val="24"/>
        </w:rPr>
        <w:br w:type="page"/>
      </w:r>
    </w:p>
    <w:p>
      <w:pPr>
        <w:pStyle w:val="7"/>
        <w:tabs>
          <w:tab w:val="left" w:pos="0"/>
          <w:tab w:val="clear" w:pos="1260"/>
        </w:tabs>
        <w:spacing w:line="360" w:lineRule="auto"/>
        <w:ind w:left="0" w:firstLine="0"/>
        <w:rPr>
          <w:rFonts w:ascii="宋体" w:hAnsi="宋体"/>
          <w:color w:val="0D0D0D"/>
          <w:sz w:val="24"/>
        </w:rPr>
      </w:pPr>
      <w:bookmarkStart w:id="116" w:name="_Toc510187107"/>
      <w:bookmarkStart w:id="117" w:name="_Toc53991864"/>
      <w:r>
        <w:rPr>
          <w:rFonts w:hint="eastAsia" w:ascii="宋体" w:hAnsi="宋体"/>
          <w:color w:val="0D0D0D"/>
          <w:sz w:val="24"/>
        </w:rPr>
        <w:t>三、法定代表人身份证复印件</w:t>
      </w:r>
      <w:bookmarkEnd w:id="116"/>
      <w:bookmarkEnd w:id="117"/>
      <w:r>
        <w:rPr>
          <w:rFonts w:hint="eastAsia" w:ascii="宋体" w:hAnsi="宋体"/>
          <w:color w:val="0D0D0D"/>
          <w:sz w:val="24"/>
        </w:rPr>
        <w:t>（盖章）</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7"/>
        <w:tabs>
          <w:tab w:val="left" w:pos="0"/>
          <w:tab w:val="clear" w:pos="1260"/>
        </w:tabs>
        <w:spacing w:line="360" w:lineRule="auto"/>
        <w:ind w:left="0" w:firstLine="0"/>
        <w:rPr>
          <w:rFonts w:ascii="宋体" w:hAnsi="宋体"/>
          <w:color w:val="0D0D0D"/>
          <w:sz w:val="24"/>
        </w:rPr>
      </w:pPr>
      <w:bookmarkStart w:id="118" w:name="_Toc53991865"/>
      <w:bookmarkStart w:id="119" w:name="_Toc510187108"/>
      <w:r>
        <w:rPr>
          <w:rFonts w:hint="eastAsia" w:ascii="宋体" w:hAnsi="宋体"/>
          <w:color w:val="0D0D0D"/>
          <w:sz w:val="24"/>
        </w:rPr>
        <w:t>四、</w:t>
      </w:r>
      <w:r>
        <w:rPr>
          <w:rFonts w:ascii="宋体" w:hAnsi="宋体"/>
          <w:color w:val="0D0D0D"/>
          <w:sz w:val="24"/>
        </w:rPr>
        <w:t>法定代表人授权委托书</w:t>
      </w:r>
      <w:r>
        <w:rPr>
          <w:rFonts w:hint="eastAsia" w:ascii="宋体" w:hAnsi="宋体"/>
          <w:color w:val="0D0D0D"/>
          <w:sz w:val="24"/>
        </w:rPr>
        <w:t>（如有）</w:t>
      </w:r>
      <w:bookmarkEnd w:id="118"/>
      <w:bookmarkEnd w:id="119"/>
    </w:p>
    <w:p>
      <w:pPr>
        <w:spacing w:line="360" w:lineRule="auto"/>
        <w:jc w:val="center"/>
        <w:rPr>
          <w:b/>
          <w:color w:val="0D0D0D"/>
          <w:sz w:val="24"/>
          <w:szCs w:val="24"/>
        </w:rPr>
      </w:pPr>
    </w:p>
    <w:p>
      <w:pPr>
        <w:spacing w:line="360" w:lineRule="auto"/>
        <w:jc w:val="center"/>
        <w:rPr>
          <w:b/>
          <w:color w:val="0D0D0D"/>
          <w:sz w:val="24"/>
          <w:szCs w:val="24"/>
        </w:rPr>
      </w:pPr>
    </w:p>
    <w:p>
      <w:pPr>
        <w:pStyle w:val="16"/>
        <w:spacing w:line="360" w:lineRule="auto"/>
        <w:rPr>
          <w:color w:val="0D0D0D"/>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5"/>
        <w:spacing w:after="120" w:afterLines="50" w:line="360" w:lineRule="auto"/>
        <w:jc w:val="center"/>
        <w:rPr>
          <w:rFonts w:ascii="Times New Roman" w:hAnsi="Times New Roman" w:eastAsia="华文细黑"/>
          <w:color w:val="0D0D0D"/>
          <w:sz w:val="44"/>
        </w:rPr>
      </w:pP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widowControl/>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7"/>
        <w:tabs>
          <w:tab w:val="left" w:pos="0"/>
          <w:tab w:val="clear" w:pos="1260"/>
        </w:tabs>
        <w:spacing w:line="360" w:lineRule="auto"/>
        <w:ind w:left="0" w:firstLine="0"/>
        <w:rPr>
          <w:rFonts w:ascii="宋体" w:hAnsi="宋体"/>
          <w:bCs/>
          <w:color w:val="0D0D0D"/>
          <w:sz w:val="24"/>
          <w:szCs w:val="24"/>
        </w:rPr>
      </w:pPr>
      <w:bookmarkStart w:id="120" w:name="_Toc53991866"/>
      <w:bookmarkStart w:id="121" w:name="_Toc510187109"/>
      <w:r>
        <w:rPr>
          <w:rFonts w:hint="eastAsia" w:ascii="宋体" w:hAnsi="宋体"/>
          <w:color w:val="0D0D0D"/>
          <w:sz w:val="24"/>
        </w:rPr>
        <w:t>五、被授权人身份证复印件（如有）</w:t>
      </w:r>
      <w:bookmarkEnd w:id="120"/>
      <w:bookmarkEnd w:id="121"/>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numPr>
          <w:ilvl w:val="0"/>
          <w:numId w:val="4"/>
        </w:numPr>
        <w:adjustRightInd w:val="0"/>
        <w:snapToGrid w:val="0"/>
        <w:spacing w:line="360" w:lineRule="auto"/>
        <w:ind w:firstLine="480" w:firstLineChars="200"/>
        <w:rPr>
          <w:rFonts w:ascii="宋体" w:hAnsi="宋体"/>
          <w:bCs/>
          <w:sz w:val="24"/>
        </w:rPr>
      </w:pPr>
      <w:r>
        <w:rPr>
          <w:rFonts w:hint="eastAsia" w:ascii="宋体" w:hAnsi="宋体"/>
          <w:bCs/>
          <w:sz w:val="24"/>
        </w:rPr>
        <w:t>资格审查所需证明材料</w:t>
      </w:r>
    </w:p>
    <w:p>
      <w:pPr>
        <w:pStyle w:val="119"/>
        <w:spacing w:before="50" w:line="360" w:lineRule="auto"/>
        <w:ind w:firstLine="720" w:firstLineChars="300"/>
        <w:rPr>
          <w:rFonts w:ascii="Times New Roman" w:cs="Times New Roman"/>
          <w:b/>
          <w:color w:val="0D0D0D"/>
          <w:szCs w:val="28"/>
        </w:rPr>
      </w:pPr>
      <w:r>
        <w:rPr>
          <w:rFonts w:hint="eastAsia" w:ascii="Times New Roman" w:cs="Times New Roman"/>
          <w:b/>
          <w:color w:val="0D0D0D"/>
          <w:szCs w:val="28"/>
        </w:rPr>
        <w:t>（清晰的复印件，加盖公章）</w:t>
      </w:r>
    </w:p>
    <w:p>
      <w:pPr>
        <w:widowControl/>
        <w:numPr>
          <w:ilvl w:val="255"/>
          <w:numId w:val="0"/>
        </w:numPr>
        <w:overflowPunct w:val="0"/>
        <w:autoSpaceDE w:val="0"/>
        <w:autoSpaceDN w:val="0"/>
        <w:adjustRightInd w:val="0"/>
        <w:spacing w:line="360" w:lineRule="auto"/>
        <w:ind w:firstLine="480" w:firstLineChars="200"/>
        <w:jc w:val="left"/>
        <w:textAlignment w:val="baseline"/>
        <w:rPr>
          <w:rFonts w:ascii="宋体" w:hAnsi="宋体"/>
          <w:sz w:val="24"/>
          <w:szCs w:val="24"/>
          <w:lang w:val="zh-CN"/>
        </w:rPr>
      </w:pPr>
      <w:r>
        <w:rPr>
          <w:rFonts w:hint="eastAsia" w:ascii="宋体" w:hAnsi="宋体"/>
          <w:sz w:val="24"/>
          <w:szCs w:val="24"/>
          <w:lang w:val="zh-CN"/>
        </w:rPr>
        <w:t>（</w:t>
      </w:r>
      <w:r>
        <w:rPr>
          <w:rFonts w:hint="eastAsia" w:ascii="宋体" w:hAnsi="宋体"/>
          <w:sz w:val="24"/>
          <w:szCs w:val="24"/>
        </w:rPr>
        <w:t>一</w:t>
      </w:r>
      <w:r>
        <w:rPr>
          <w:rFonts w:hint="eastAsia" w:ascii="宋体" w:hAnsi="宋体"/>
          <w:sz w:val="24"/>
          <w:szCs w:val="24"/>
          <w:lang w:val="zh-CN"/>
        </w:rPr>
        <w:t>）若参选人为税务师事务所，需提供注册税务师协会授予的AAA级以上（含AAA级）评级资格证书（20</w:t>
      </w:r>
      <w:r>
        <w:rPr>
          <w:rFonts w:hint="eastAsia" w:ascii="宋体" w:hAnsi="宋体"/>
          <w:sz w:val="24"/>
          <w:szCs w:val="24"/>
        </w:rPr>
        <w:t>20</w:t>
      </w:r>
      <w:r>
        <w:rPr>
          <w:rFonts w:hint="eastAsia" w:ascii="宋体" w:hAnsi="宋体"/>
          <w:sz w:val="24"/>
          <w:szCs w:val="24"/>
          <w:lang w:val="zh-CN"/>
        </w:rPr>
        <w:t>年1月1日后授予）（加盖公章）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二</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四</w:t>
      </w:r>
      <w:r>
        <w:rPr>
          <w:rFonts w:hint="eastAsia" w:ascii="宋体" w:hAnsi="宋体" w:eastAsia="宋体" w:cs="Times New Roman"/>
          <w:color w:val="0D0D0D"/>
          <w:lang w:val="zh-CN"/>
        </w:rPr>
        <w:t>）若参选人为税务师事务所，2020-2022年无违规证明(以深圳市注册税务师协会出具的证明为准）。</w:t>
      </w:r>
    </w:p>
    <w:p>
      <w:pPr>
        <w:pStyle w:val="119"/>
        <w:numPr>
          <w:ilvl w:val="255"/>
          <w:numId w:val="0"/>
        </w:numPr>
        <w:spacing w:before="50" w:line="360" w:lineRule="auto"/>
        <w:ind w:firstLine="480" w:firstLineChars="200"/>
        <w:rPr>
          <w:rFonts w:ascii="Times New Roman" w:cs="Times New Roman"/>
          <w:b/>
          <w:color w:val="0D0D0D"/>
          <w:szCs w:val="28"/>
        </w:rPr>
      </w:pPr>
      <w:r>
        <w:rPr>
          <w:rFonts w:hint="eastAsia" w:ascii="宋体" w:hAnsi="宋体" w:eastAsia="宋体" w:cs="Times New Roman"/>
          <w:bCs/>
          <w:color w:val="auto"/>
          <w:kern w:val="2"/>
          <w:szCs w:val="20"/>
        </w:rPr>
        <w:t>七、技术标评审所需证明材料</w:t>
      </w:r>
      <w:r>
        <w:rPr>
          <w:rFonts w:hint="eastAsia" w:ascii="Times New Roman" w:cs="Times New Roman"/>
          <w:b/>
          <w:color w:val="0D0D0D"/>
          <w:szCs w:val="28"/>
        </w:rPr>
        <w:t>（清晰的复印件，加盖公章）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一</w:t>
      </w:r>
      <w:r>
        <w:rPr>
          <w:rFonts w:hint="eastAsia" w:ascii="宋体" w:hAnsi="宋体" w:eastAsia="宋体" w:cs="Times New Roman"/>
          <w:color w:val="0D0D0D"/>
          <w:lang w:val="zh-CN"/>
        </w:rPr>
        <w:t>）业绩证明材料：2019年11月1日以来(以合同签约日期为准)，具有税务咨询服务经验5个项目（须为落地深圳的房地产项目）以上。（证明材料需提供合同复印件，需包含合同关键页：服务内容、服务期限、盖章签署页等内容，均需盖公章）</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二</w:t>
      </w:r>
      <w:r>
        <w:rPr>
          <w:rFonts w:hint="eastAsia" w:ascii="宋体" w:hAnsi="宋体" w:eastAsia="宋体" w:cs="Times New Roman"/>
          <w:color w:val="0D0D0D"/>
          <w:lang w:val="zh-CN"/>
        </w:rPr>
        <w:t>）房地产企业税务筹划方案建议书及房地产业务税务咨询服务经验及优势自评价（需盖公章）</w:t>
      </w:r>
    </w:p>
    <w:p>
      <w:pPr>
        <w:pStyle w:val="119"/>
        <w:numPr>
          <w:ilvl w:val="255"/>
          <w:numId w:val="0"/>
        </w:numPr>
        <w:spacing w:before="50" w:line="360" w:lineRule="auto"/>
        <w:ind w:firstLine="420" w:firstLineChars="200"/>
        <w:rPr>
          <w:rFonts w:ascii="宋体" w:hAnsi="宋体" w:eastAsia="宋体" w:cs="Times New Roman"/>
          <w:color w:val="0D0D0D"/>
          <w:lang w:val="zh-CN"/>
        </w:rPr>
      </w:pPr>
      <w:r>
        <w:rPr>
          <w:rFonts w:hint="eastAsia" w:ascii="宋体" w:hAnsi="宋体" w:cs="宋体"/>
          <w:sz w:val="21"/>
          <w:szCs w:val="21"/>
          <w:lang w:val="zh-TW" w:eastAsia="zh-TW"/>
        </w:rPr>
        <w:t>介绍房地产税务筹划方案建议</w:t>
      </w:r>
      <w:r>
        <w:rPr>
          <w:rFonts w:hint="eastAsia" w:ascii="宋体" w:hAnsi="宋体" w:cs="宋体"/>
          <w:sz w:val="21"/>
          <w:szCs w:val="21"/>
        </w:rPr>
        <w:t>及</w:t>
      </w:r>
      <w:r>
        <w:rPr>
          <w:rFonts w:hint="eastAsia" w:ascii="宋体" w:hAnsi="宋体" w:cs="宋体"/>
          <w:sz w:val="21"/>
          <w:szCs w:val="21"/>
          <w:lang w:val="zh-TW" w:eastAsia="zh-TW"/>
        </w:rPr>
        <w:t>房地产业务税务咨询服务经验优势（包括与</w:t>
      </w:r>
      <w:r>
        <w:rPr>
          <w:rFonts w:hint="eastAsia" w:ascii="宋体" w:hAnsi="宋体" w:cs="宋体"/>
          <w:sz w:val="21"/>
          <w:szCs w:val="21"/>
        </w:rPr>
        <w:t>深圳各区</w:t>
      </w:r>
      <w:r>
        <w:rPr>
          <w:rFonts w:hint="eastAsia" w:ascii="宋体" w:hAnsi="宋体" w:cs="宋体"/>
          <w:sz w:val="21"/>
          <w:szCs w:val="21"/>
          <w:lang w:val="zh-TW" w:eastAsia="zh-TW"/>
        </w:rPr>
        <w:t>税务局等的沟通经验等）</w:t>
      </w:r>
    </w:p>
    <w:p>
      <w:pPr>
        <w:pStyle w:val="119"/>
        <w:numPr>
          <w:ilvl w:val="255"/>
          <w:numId w:val="0"/>
        </w:numPr>
        <w:spacing w:before="50" w:line="360" w:lineRule="auto"/>
        <w:ind w:firstLine="480" w:firstLineChars="200"/>
        <w:rPr>
          <w:rFonts w:ascii="宋体" w:hAnsi="宋体" w:eastAsia="宋体" w:cs="Times New Roman"/>
          <w:color w:val="0D0D0D"/>
          <w:lang w:val="zh-CN"/>
        </w:rPr>
      </w:pPr>
      <w:r>
        <w:rPr>
          <w:rFonts w:hint="eastAsia" w:ascii="宋体" w:hAnsi="宋体" w:eastAsia="宋体" w:cs="Times New Roman"/>
          <w:color w:val="0D0D0D"/>
          <w:lang w:val="zh-CN"/>
        </w:rPr>
        <w:t>（</w:t>
      </w:r>
      <w:r>
        <w:rPr>
          <w:rFonts w:hint="eastAsia" w:ascii="宋体" w:hAnsi="宋体" w:eastAsia="宋体" w:cs="Times New Roman"/>
          <w:color w:val="0D0D0D"/>
        </w:rPr>
        <w:t>三</w:t>
      </w:r>
      <w:r>
        <w:rPr>
          <w:rFonts w:hint="eastAsia" w:ascii="宋体" w:hAnsi="宋体" w:eastAsia="宋体" w:cs="Times New Roman"/>
          <w:color w:val="0D0D0D"/>
          <w:lang w:val="zh-CN"/>
        </w:rPr>
        <w:t>）拟委派本项目的团队情况及资质、经验</w:t>
      </w:r>
      <w:r>
        <w:rPr>
          <w:rFonts w:ascii="宋体" w:hAnsi="宋体" w:eastAsia="宋体" w:cs="Times New Roman"/>
          <w:color w:val="0D0D0D"/>
          <w:lang w:val="zh-CN"/>
        </w:rPr>
        <w:t>证明</w:t>
      </w:r>
      <w:r>
        <w:rPr>
          <w:rFonts w:hint="eastAsia" w:ascii="宋体" w:hAnsi="宋体" w:eastAsia="宋体" w:cs="Times New Roman"/>
          <w:color w:val="0D0D0D"/>
          <w:lang w:val="zh-CN"/>
        </w:rPr>
        <w:t>（提供证书复印件，在税务师事务所服务的社保证明，均需盖公章）</w:t>
      </w:r>
    </w:p>
    <w:p>
      <w:pPr>
        <w:numPr>
          <w:ilvl w:val="255"/>
          <w:numId w:val="0"/>
        </w:numPr>
        <w:snapToGrid w:val="0"/>
        <w:spacing w:line="360" w:lineRule="auto"/>
        <w:rPr>
          <w:rFonts w:ascii="宋体" w:hAnsi="宋体"/>
          <w:bCs/>
          <w:color w:val="0D0D0D"/>
          <w:sz w:val="24"/>
        </w:rPr>
      </w:pPr>
      <w:r>
        <w:rPr>
          <w:rFonts w:ascii="宋体" w:hAnsi="宋体"/>
          <w:bCs/>
          <w:color w:val="0D0D0D"/>
          <w:sz w:val="24"/>
        </w:rPr>
        <w:br w:type="page"/>
      </w:r>
    </w:p>
    <w:p>
      <w:pPr>
        <w:spacing w:line="360" w:lineRule="auto"/>
        <w:rPr>
          <w:rFonts w:ascii="宋体" w:hAnsi="宋体"/>
          <w:spacing w:val="36"/>
          <w:sz w:val="44"/>
          <w:szCs w:val="44"/>
        </w:rPr>
      </w:pP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ascii="宋体" w:hAnsi="宋体" w:cs="宋体"/>
          <w:b/>
          <w:sz w:val="44"/>
          <w:szCs w:val="44"/>
        </w:rPr>
      </w:pPr>
      <w:r>
        <w:rPr>
          <w:rFonts w:hint="eastAsia" w:ascii="宋体" w:hAnsi="宋体"/>
          <w:b/>
          <w:spacing w:val="36"/>
          <w:sz w:val="44"/>
          <w:szCs w:val="44"/>
        </w:rPr>
        <w:t>昂鹅等</w:t>
      </w:r>
      <w:r>
        <w:rPr>
          <w:rFonts w:hint="eastAsia" w:ascii="宋体" w:hAnsi="宋体"/>
          <w:b/>
          <w:bCs w:val="0"/>
          <w:spacing w:val="36"/>
          <w:sz w:val="44"/>
          <w:szCs w:val="44"/>
          <w:u w:val="none"/>
        </w:rPr>
        <w:t>十</w:t>
      </w:r>
      <w:r>
        <w:rPr>
          <w:rFonts w:ascii="宋体" w:hAnsi="宋体"/>
          <w:b/>
          <w:bCs w:val="0"/>
          <w:spacing w:val="36"/>
          <w:sz w:val="44"/>
          <w:szCs w:val="44"/>
          <w:u w:val="none"/>
        </w:rPr>
        <w:t>五</w:t>
      </w:r>
      <w:r>
        <w:rPr>
          <w:rFonts w:hint="eastAsia" w:ascii="宋体" w:hAnsi="宋体"/>
          <w:b/>
          <w:spacing w:val="36"/>
          <w:sz w:val="44"/>
          <w:szCs w:val="44"/>
        </w:rPr>
        <w:t>个新项目税务咨询服务</w:t>
      </w:r>
    </w:p>
    <w:p>
      <w:pPr>
        <w:spacing w:line="360" w:lineRule="auto"/>
        <w:jc w:val="center"/>
        <w:rPr>
          <w:rFonts w:ascii="宋体" w:hAnsi="宋体" w:cs="宋体"/>
          <w:b/>
          <w:sz w:val="44"/>
          <w:szCs w:val="44"/>
        </w:rPr>
      </w:pPr>
    </w:p>
    <w:p>
      <w:pPr>
        <w:spacing w:line="360" w:lineRule="auto"/>
        <w:ind w:firstLine="1824" w:firstLineChars="200"/>
        <w:rPr>
          <w:rFonts w:hAnsi="宋体"/>
          <w:bCs/>
          <w:kern w:val="10"/>
          <w:sz w:val="84"/>
          <w:szCs w:val="84"/>
        </w:rPr>
      </w:pPr>
      <w:r>
        <w:rPr>
          <w:rFonts w:hint="eastAsia" w:hAnsi="宋体"/>
          <w:bCs/>
          <w:spacing w:val="36"/>
          <w:kern w:val="10"/>
          <w:sz w:val="84"/>
          <w:szCs w:val="84"/>
        </w:rPr>
        <w:t>参 选 文 件</w:t>
      </w:r>
    </w:p>
    <w:p>
      <w:pPr>
        <w:pStyle w:val="25"/>
        <w:spacing w:line="360" w:lineRule="auto"/>
        <w:jc w:val="center"/>
        <w:rPr>
          <w:rFonts w:hAnsi="宋体"/>
          <w:bCs/>
          <w:sz w:val="17"/>
          <w:szCs w:val="17"/>
        </w:rPr>
      </w:pPr>
    </w:p>
    <w:p>
      <w:pPr>
        <w:pStyle w:val="25"/>
        <w:spacing w:line="360" w:lineRule="auto"/>
        <w:jc w:val="center"/>
        <w:rPr>
          <w:rFonts w:hAnsi="宋体"/>
          <w:b/>
          <w:bCs/>
          <w:sz w:val="52"/>
          <w:szCs w:val="52"/>
        </w:rPr>
      </w:pPr>
      <w:r>
        <w:rPr>
          <w:rFonts w:hint="eastAsia" w:hAnsi="宋体"/>
          <w:b/>
          <w:bCs/>
          <w:sz w:val="52"/>
          <w:szCs w:val="52"/>
        </w:rPr>
        <w:t>商务标书</w:t>
      </w:r>
    </w:p>
    <w:p>
      <w:pPr>
        <w:pStyle w:val="25"/>
        <w:spacing w:line="360" w:lineRule="auto"/>
        <w:jc w:val="center"/>
        <w:rPr>
          <w:rFonts w:hAnsi="宋体"/>
          <w:b/>
          <w:bCs/>
          <w:sz w:val="52"/>
          <w:szCs w:val="52"/>
        </w:rPr>
      </w:pPr>
    </w:p>
    <w:p>
      <w:pPr>
        <w:spacing w:line="520" w:lineRule="exact"/>
        <w:ind w:left="420" w:leftChars="200" w:firstLine="482"/>
        <w:rPr>
          <w:b/>
        </w:rPr>
      </w:pPr>
      <w:r>
        <w:rPr>
          <w:rFonts w:hint="eastAsia"/>
          <w:b/>
        </w:rPr>
        <w:t>参选</w:t>
      </w:r>
      <w:r>
        <w:rPr>
          <w:b/>
        </w:rPr>
        <w:t>人声明：</w:t>
      </w:r>
    </w:p>
    <w:p>
      <w:pPr>
        <w:spacing w:line="520" w:lineRule="exact"/>
        <w:ind w:left="420" w:leftChars="200" w:firstLine="482"/>
        <w:rPr>
          <w:b/>
        </w:rPr>
      </w:pPr>
      <w:r>
        <w:rPr>
          <w:b/>
        </w:rPr>
        <w:t>我司（单位）对本标书所提供文件的真实性、准确性、有效性负全部责任。</w:t>
      </w:r>
    </w:p>
    <w:p>
      <w:pPr>
        <w:pStyle w:val="25"/>
        <w:spacing w:line="360" w:lineRule="auto"/>
        <w:rPr>
          <w:rFonts w:hAnsi="宋体"/>
          <w:b/>
          <w:bCs/>
          <w:sz w:val="52"/>
          <w:szCs w:val="52"/>
        </w:rPr>
      </w:pP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期：2022年   月   日</w:t>
      </w:r>
    </w:p>
    <w:p>
      <w:pPr>
        <w:adjustRightInd w:val="0"/>
        <w:snapToGrid w:val="0"/>
        <w:spacing w:line="360" w:lineRule="auto"/>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rPr>
        <w:t xml:space="preserve"> </w:t>
      </w:r>
      <w:r>
        <w:rPr>
          <w:rFonts w:hint="eastAsia" w:ascii="宋体" w:hAnsi="宋体"/>
          <w:color w:val="0D0D0D"/>
          <w:sz w:val="52"/>
          <w:szCs w:val="52"/>
          <w:u w:val="single"/>
        </w:rPr>
        <w:t>商务标书目录</w:t>
      </w:r>
    </w:p>
    <w:p>
      <w:pPr>
        <w:numPr>
          <w:ilvl w:val="0"/>
          <w:numId w:val="13"/>
        </w:numPr>
        <w:adjustRightInd w:val="0"/>
        <w:snapToGrid w:val="0"/>
        <w:spacing w:before="240"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参选函（加盖公章）</w:t>
      </w:r>
    </w:p>
    <w:p>
      <w:pPr>
        <w:numPr>
          <w:ilvl w:val="0"/>
          <w:numId w:val="13"/>
        </w:numPr>
        <w:adjustRightInd w:val="0"/>
        <w:snapToGrid w:val="0"/>
        <w:spacing w:line="360" w:lineRule="auto"/>
        <w:ind w:left="0"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报价表（加盖公章）</w:t>
      </w:r>
    </w:p>
    <w:p>
      <w:pPr>
        <w:spacing w:line="360" w:lineRule="auto"/>
        <w:jc w:val="center"/>
        <w:rPr>
          <w:rFonts w:ascii="宋体" w:hAnsi="宋体"/>
          <w:b/>
          <w:bCs/>
          <w:sz w:val="28"/>
          <w:szCs w:val="28"/>
        </w:rPr>
      </w:pPr>
    </w:p>
    <w:p>
      <w:pPr>
        <w:pStyle w:val="25"/>
        <w:spacing w:line="360" w:lineRule="auto"/>
        <w:rPr>
          <w:rFonts w:hAnsi="宋体"/>
          <w:b/>
          <w:sz w:val="24"/>
          <w:szCs w:val="24"/>
          <w:highlight w:val="none"/>
        </w:rPr>
      </w:pPr>
      <w:r>
        <w:rPr>
          <w:rFonts w:hint="eastAsia" w:hAnsi="宋体"/>
          <w:sz w:val="24"/>
          <w:highlight w:val="none"/>
        </w:rPr>
        <w:br w:type="page"/>
      </w:r>
      <w:r>
        <w:rPr>
          <w:rFonts w:hint="eastAsia" w:hAnsi="宋体"/>
          <w:b/>
          <w:sz w:val="24"/>
          <w:szCs w:val="24"/>
          <w:highlight w:val="none"/>
        </w:rPr>
        <w:t>一、参选函格式</w:t>
      </w:r>
    </w:p>
    <w:p>
      <w:pPr>
        <w:pStyle w:val="25"/>
        <w:spacing w:before="120" w:beforeLines="50" w:line="360" w:lineRule="auto"/>
        <w:jc w:val="center"/>
        <w:rPr>
          <w:rFonts w:hAnsi="宋体"/>
          <w:b/>
          <w:sz w:val="44"/>
          <w:szCs w:val="44"/>
          <w:highlight w:val="none"/>
        </w:rPr>
      </w:pPr>
      <w:r>
        <w:rPr>
          <w:rFonts w:hint="eastAsia" w:hAnsi="宋体"/>
          <w:b/>
          <w:sz w:val="44"/>
          <w:szCs w:val="44"/>
          <w:highlight w:val="none"/>
        </w:rPr>
        <w:t>参选函</w:t>
      </w:r>
    </w:p>
    <w:p>
      <w:pPr>
        <w:spacing w:line="360" w:lineRule="auto"/>
        <w:ind w:firstLine="480" w:firstLineChars="200"/>
        <w:rPr>
          <w:rFonts w:ascii="宋体" w:hAnsi="宋体" w:cs="宋体"/>
          <w:sz w:val="24"/>
          <w:szCs w:val="24"/>
          <w:highlight w:val="none"/>
          <w:lang w:val="zh-CN"/>
        </w:rPr>
      </w:pPr>
    </w:p>
    <w:p>
      <w:pPr>
        <w:spacing w:line="360" w:lineRule="auto"/>
        <w:ind w:firstLine="480" w:firstLineChars="200"/>
        <w:rPr>
          <w:rFonts w:ascii="宋体" w:hAnsi="宋体" w:cs="宋体"/>
          <w:sz w:val="24"/>
          <w:szCs w:val="24"/>
          <w:highlight w:val="none"/>
          <w:lang w:val="zh-CN"/>
        </w:rPr>
      </w:pPr>
      <w:r>
        <w:rPr>
          <w:rFonts w:hint="eastAsia" w:ascii="宋体" w:hAnsi="宋体" w:cs="宋体"/>
          <w:sz w:val="24"/>
          <w:szCs w:val="24"/>
          <w:highlight w:val="none"/>
          <w:lang w:val="zh-CN"/>
        </w:rPr>
        <w:t>致：</w:t>
      </w:r>
      <w:r>
        <w:rPr>
          <w:rFonts w:hint="eastAsia" w:ascii="宋体" w:hAnsi="宋体" w:cs="宋体"/>
          <w:sz w:val="24"/>
          <w:szCs w:val="24"/>
          <w:highlight w:val="none"/>
        </w:rPr>
        <w:t>深圳置业集团有限公司</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1.经分析研究了贵司提供的比选文件，经研究后，我方愿以报价____万元（含税）（大写:_________）作为</w:t>
      </w:r>
      <w:r>
        <w:rPr>
          <w:rFonts w:hint="eastAsia" w:ascii="宋体" w:hAnsi="宋体" w:cs="宋体"/>
          <w:b/>
          <w:bCs/>
          <w:sz w:val="24"/>
          <w:szCs w:val="24"/>
          <w:highlight w:val="none"/>
          <w:u w:val="single"/>
        </w:rPr>
        <w:t>昂鹅等</w:t>
      </w:r>
      <w:r>
        <w:rPr>
          <w:rFonts w:hint="eastAsia" w:ascii="宋体" w:hAnsi="宋体" w:cs="宋体"/>
          <w:b/>
          <w:bCs/>
          <w:sz w:val="24"/>
          <w:szCs w:val="24"/>
          <w:highlight w:val="none"/>
          <w:u w:val="single"/>
          <w:lang w:val="en-US" w:eastAsia="zh-CN"/>
        </w:rPr>
        <w:t>十五</w:t>
      </w:r>
      <w:r>
        <w:rPr>
          <w:rFonts w:hint="eastAsia" w:ascii="宋体" w:hAnsi="宋体" w:cs="宋体"/>
          <w:b/>
          <w:bCs/>
          <w:sz w:val="24"/>
          <w:szCs w:val="24"/>
          <w:highlight w:val="none"/>
          <w:u w:val="single"/>
        </w:rPr>
        <w:t>个新项目税务咨询服务</w:t>
      </w:r>
      <w:r>
        <w:rPr>
          <w:rFonts w:hint="eastAsia" w:ascii="宋体" w:hAnsi="宋体" w:cs="宋体"/>
          <w:sz w:val="24"/>
          <w:szCs w:val="24"/>
          <w:highlight w:val="none"/>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2.我方对贵司比选文件中的合同条件无保留、无条件同意，特此声明及承诺。</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3.如果贵公司接受我方的参选，我方保证按合同规定的期限完成</w:t>
      </w:r>
      <w:r>
        <w:rPr>
          <w:rFonts w:hint="eastAsia" w:ascii="宋体" w:hAnsi="宋体" w:cs="宋体"/>
          <w:b/>
          <w:bCs/>
          <w:sz w:val="24"/>
          <w:szCs w:val="24"/>
          <w:highlight w:val="none"/>
          <w:u w:val="single"/>
        </w:rPr>
        <w:t>昂鹅等</w:t>
      </w:r>
      <w:r>
        <w:rPr>
          <w:rFonts w:hint="eastAsia" w:ascii="宋体" w:hAnsi="宋体" w:cs="宋体"/>
          <w:b/>
          <w:bCs/>
          <w:sz w:val="24"/>
          <w:szCs w:val="24"/>
          <w:highlight w:val="none"/>
          <w:u w:val="single"/>
          <w:lang w:val="en-US" w:eastAsia="zh-CN"/>
        </w:rPr>
        <w:t>十五</w:t>
      </w:r>
      <w:r>
        <w:rPr>
          <w:rFonts w:hint="eastAsia" w:ascii="宋体" w:hAnsi="宋体" w:cs="宋体"/>
          <w:b/>
          <w:bCs/>
          <w:sz w:val="24"/>
          <w:szCs w:val="24"/>
          <w:highlight w:val="none"/>
          <w:u w:val="single"/>
        </w:rPr>
        <w:t>个新项目税务咨询服务</w:t>
      </w:r>
      <w:r>
        <w:rPr>
          <w:rFonts w:hint="eastAsia" w:ascii="宋体" w:hAnsi="宋体" w:cs="宋体"/>
          <w:sz w:val="24"/>
          <w:szCs w:val="24"/>
          <w:highlight w:val="none"/>
        </w:rPr>
        <w:t>等相关工作。</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5.如果我方中选，我方保证在接到比选人通知中规定的日期内开始</w:t>
      </w:r>
      <w:r>
        <w:rPr>
          <w:rFonts w:hint="eastAsia" w:ascii="宋体" w:hAnsi="宋体" w:cs="宋体"/>
          <w:b/>
          <w:bCs/>
          <w:sz w:val="24"/>
          <w:szCs w:val="24"/>
          <w:highlight w:val="none"/>
          <w:u w:val="single"/>
        </w:rPr>
        <w:t>昂鹅等</w:t>
      </w:r>
      <w:r>
        <w:rPr>
          <w:rFonts w:hint="eastAsia" w:ascii="宋体" w:hAnsi="宋体" w:cs="宋体"/>
          <w:b/>
          <w:bCs/>
          <w:sz w:val="24"/>
          <w:szCs w:val="24"/>
          <w:highlight w:val="none"/>
          <w:u w:val="single"/>
          <w:lang w:val="en-US" w:eastAsia="zh-CN"/>
        </w:rPr>
        <w:t>十五</w:t>
      </w:r>
      <w:r>
        <w:rPr>
          <w:rFonts w:hint="eastAsia" w:ascii="宋体" w:hAnsi="宋体" w:cs="宋体"/>
          <w:b/>
          <w:bCs/>
          <w:sz w:val="24"/>
          <w:szCs w:val="24"/>
          <w:highlight w:val="none"/>
          <w:u w:val="single"/>
        </w:rPr>
        <w:t>个新项目税务咨询服务</w:t>
      </w:r>
      <w:r>
        <w:rPr>
          <w:rFonts w:hint="eastAsia" w:ascii="宋体" w:hAnsi="宋体" w:cs="宋体"/>
          <w:sz w:val="24"/>
          <w:szCs w:val="24"/>
          <w:highlight w:val="none"/>
          <w:u w:val="single"/>
        </w:rPr>
        <w:t>相关</w:t>
      </w:r>
      <w:r>
        <w:rPr>
          <w:rFonts w:hint="eastAsia" w:ascii="宋体" w:hAnsi="宋体" w:cs="宋体"/>
          <w:sz w:val="24"/>
          <w:szCs w:val="24"/>
          <w:highlight w:val="none"/>
        </w:rPr>
        <w:t>工作，并在规定的期限内提供相应的服务。</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highlight w:val="none"/>
        </w:rPr>
      </w:pPr>
      <w:r>
        <w:rPr>
          <w:rFonts w:hint="eastAsia" w:ascii="宋体" w:hAnsi="宋体" w:cs="宋体"/>
          <w:spacing w:val="-4"/>
          <w:kern w:val="0"/>
          <w:sz w:val="24"/>
          <w:szCs w:val="24"/>
          <w:highlight w:val="none"/>
        </w:rPr>
        <w:t>9.我方</w:t>
      </w:r>
      <w:r>
        <w:rPr>
          <w:rFonts w:hint="eastAsia" w:ascii="宋体" w:hAnsi="宋体" w:cs="宋体"/>
          <w:sz w:val="24"/>
          <w:szCs w:val="24"/>
          <w:highlight w:val="none"/>
        </w:rPr>
        <w:t>同意：比选人可以在参选有效期截止前，要求延长参选有效期并取得参选人或中标候选人同意。</w:t>
      </w:r>
    </w:p>
    <w:p>
      <w:pPr>
        <w:pStyle w:val="85"/>
        <w:widowControl/>
        <w:spacing w:line="360" w:lineRule="auto"/>
        <w:ind w:firstLine="480"/>
        <w:jc w:val="left"/>
        <w:rPr>
          <w:rFonts w:ascii="宋体" w:hAnsi="宋体" w:eastAsia="宋体" w:cs="宋体"/>
          <w:kern w:val="0"/>
          <w:sz w:val="24"/>
          <w:szCs w:val="24"/>
          <w:highlight w:val="none"/>
        </w:rPr>
      </w:pPr>
      <w:r>
        <w:rPr>
          <w:rFonts w:hint="eastAsia" w:ascii="宋体" w:hAnsi="宋体" w:eastAsia="宋体" w:cs="宋体"/>
          <w:sz w:val="24"/>
          <w:szCs w:val="24"/>
          <w:highlight w:val="none"/>
        </w:rPr>
        <w:t>10.我方同意：</w:t>
      </w:r>
      <w:r>
        <w:rPr>
          <w:rFonts w:hint="eastAsia" w:ascii="宋体" w:hAnsi="宋体" w:eastAsia="宋体" w:cs="宋体"/>
          <w:snapToGrid w:val="0"/>
          <w:sz w:val="24"/>
          <w:szCs w:val="24"/>
          <w:highlight w:val="none"/>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highlight w:val="none"/>
        </w:rPr>
      </w:pP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参选人：（盖章）         [参选人名称]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法人代表或授权委托代理人（签字或盖章）：                 联 系 人：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电    话：                                   传    真：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日    期：      年      月      日</w:t>
      </w:r>
    </w:p>
    <w:p>
      <w:pPr>
        <w:widowControl/>
        <w:spacing w:line="360" w:lineRule="auto"/>
        <w:jc w:val="left"/>
        <w:rPr>
          <w:rFonts w:ascii="宋体" w:hAnsi="宋体" w:cs="宋体"/>
          <w:sz w:val="24"/>
          <w:szCs w:val="24"/>
          <w:highlight w:val="none"/>
        </w:rPr>
        <w:sectPr>
          <w:headerReference r:id="rId5" w:type="default"/>
          <w:pgSz w:w="11907" w:h="16840"/>
          <w:pgMar w:top="1440" w:right="1440" w:bottom="1440" w:left="1440" w:header="720" w:footer="992" w:gutter="0"/>
          <w:cols w:space="720" w:num="1"/>
        </w:sectPr>
      </w:pPr>
    </w:p>
    <w:p>
      <w:pPr>
        <w:pStyle w:val="25"/>
        <w:numPr>
          <w:ilvl w:val="0"/>
          <w:numId w:val="11"/>
        </w:numPr>
        <w:spacing w:line="360" w:lineRule="auto"/>
        <w:ind w:hanging="652"/>
        <w:rPr>
          <w:rFonts w:hAnsi="宋体"/>
          <w:b/>
          <w:sz w:val="24"/>
          <w:szCs w:val="24"/>
          <w:highlight w:val="none"/>
        </w:rPr>
      </w:pPr>
      <w:r>
        <w:rPr>
          <w:rFonts w:hint="eastAsia" w:hAnsi="宋体"/>
          <w:b/>
          <w:sz w:val="24"/>
          <w:szCs w:val="24"/>
          <w:highlight w:val="none"/>
        </w:rPr>
        <w:t>报价单</w:t>
      </w:r>
      <w:bookmarkStart w:id="122" w:name="_Toc57731988"/>
      <w:r>
        <w:rPr>
          <w:rFonts w:hint="eastAsia" w:hAnsi="宋体"/>
          <w:b/>
          <w:sz w:val="24"/>
          <w:szCs w:val="24"/>
          <w:highlight w:val="none"/>
        </w:rPr>
        <w:t>（加盖公章）</w:t>
      </w:r>
    </w:p>
    <w:p>
      <w:pPr>
        <w:spacing w:after="120" w:line="360" w:lineRule="auto"/>
        <w:jc w:val="center"/>
        <w:rPr>
          <w:rFonts w:ascii="宋体" w:hAnsi="宋体"/>
          <w:b/>
          <w:sz w:val="32"/>
          <w:szCs w:val="32"/>
          <w:highlight w:val="none"/>
        </w:rPr>
      </w:pPr>
    </w:p>
    <w:p>
      <w:pPr>
        <w:spacing w:after="120" w:line="360" w:lineRule="auto"/>
        <w:jc w:val="center"/>
        <w:rPr>
          <w:rFonts w:ascii="宋体" w:hAnsi="宋体"/>
          <w:b/>
          <w:kern w:val="10"/>
          <w:sz w:val="24"/>
          <w:szCs w:val="24"/>
          <w:highlight w:val="none"/>
        </w:rPr>
      </w:pPr>
      <w:r>
        <w:rPr>
          <w:rFonts w:hint="eastAsia" w:ascii="宋体" w:hAnsi="宋体"/>
          <w:b/>
          <w:sz w:val="32"/>
          <w:szCs w:val="32"/>
          <w:highlight w:val="none"/>
        </w:rPr>
        <w:t>昂鹅等</w:t>
      </w:r>
      <w:r>
        <w:rPr>
          <w:rFonts w:hint="eastAsia" w:ascii="宋体" w:hAnsi="宋体"/>
          <w:b/>
          <w:sz w:val="32"/>
          <w:szCs w:val="32"/>
          <w:highlight w:val="none"/>
          <w:lang w:val="en-US" w:eastAsia="zh-CN"/>
        </w:rPr>
        <w:t>十五</w:t>
      </w:r>
      <w:r>
        <w:rPr>
          <w:rFonts w:hint="eastAsia" w:ascii="宋体" w:hAnsi="宋体"/>
          <w:b/>
          <w:sz w:val="32"/>
          <w:szCs w:val="32"/>
          <w:highlight w:val="none"/>
        </w:rPr>
        <w:t>个新项目税务咨询服务报价一览表</w:t>
      </w:r>
    </w:p>
    <w:p>
      <w:pPr>
        <w:adjustRightInd w:val="0"/>
        <w:snapToGrid w:val="0"/>
        <w:spacing w:line="360" w:lineRule="auto"/>
        <w:ind w:left="479" w:right="240"/>
        <w:jc w:val="right"/>
        <w:rPr>
          <w:rFonts w:ascii="宋体" w:hAnsi="宋体"/>
          <w:szCs w:val="21"/>
          <w:highlight w:val="none"/>
        </w:rPr>
      </w:pPr>
      <w:r>
        <w:rPr>
          <w:rFonts w:hint="eastAsia" w:ascii="宋体" w:hAnsi="宋体"/>
          <w:szCs w:val="21"/>
          <w:highlight w:val="none"/>
        </w:rPr>
        <w:t>货币单位：人民币（元）</w:t>
      </w:r>
    </w:p>
    <w:tbl>
      <w:tblPr>
        <w:tblStyle w:val="49"/>
        <w:tblpPr w:leftFromText="180" w:rightFromText="180" w:vertAnchor="text" w:horzAnchor="page" w:tblpX="503" w:tblpY="435"/>
        <w:tblOverlap w:val="never"/>
        <w:tblW w:w="10360" w:type="dxa"/>
        <w:tblInd w:w="0" w:type="dxa"/>
        <w:tblLayout w:type="fixed"/>
        <w:tblCellMar>
          <w:top w:w="0" w:type="dxa"/>
          <w:left w:w="0" w:type="dxa"/>
          <w:bottom w:w="0" w:type="dxa"/>
          <w:right w:w="0" w:type="dxa"/>
        </w:tblCellMar>
      </w:tblPr>
      <w:tblGrid>
        <w:gridCol w:w="2782"/>
        <w:gridCol w:w="841"/>
        <w:gridCol w:w="1095"/>
        <w:gridCol w:w="987"/>
        <w:gridCol w:w="2629"/>
        <w:gridCol w:w="2026"/>
      </w:tblGrid>
      <w:tr>
        <w:tblPrEx>
          <w:tblCellMar>
            <w:top w:w="0" w:type="dxa"/>
            <w:left w:w="0" w:type="dxa"/>
            <w:bottom w:w="0" w:type="dxa"/>
            <w:right w:w="0" w:type="dxa"/>
          </w:tblCellMar>
        </w:tblPrEx>
        <w:trPr>
          <w:trHeight w:val="909" w:hRule="atLeast"/>
        </w:trPr>
        <w:tc>
          <w:tcPr>
            <w:tcW w:w="2782" w:type="dxa"/>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项目</w:t>
            </w:r>
          </w:p>
        </w:tc>
        <w:tc>
          <w:tcPr>
            <w:tcW w:w="841"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不含税总价（元）</w:t>
            </w:r>
          </w:p>
        </w:tc>
        <w:tc>
          <w:tcPr>
            <w:tcW w:w="1095"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税率（%）</w:t>
            </w:r>
          </w:p>
        </w:tc>
        <w:tc>
          <w:tcPr>
            <w:tcW w:w="987"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增值税额（元）</w:t>
            </w:r>
          </w:p>
        </w:tc>
        <w:tc>
          <w:tcPr>
            <w:tcW w:w="2629"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含税总价（元）</w:t>
            </w:r>
          </w:p>
        </w:tc>
        <w:tc>
          <w:tcPr>
            <w:tcW w:w="2026"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备注</w:t>
            </w:r>
          </w:p>
        </w:tc>
      </w:tr>
      <w:tr>
        <w:tblPrEx>
          <w:tblCellMar>
            <w:top w:w="0" w:type="dxa"/>
            <w:left w:w="0" w:type="dxa"/>
            <w:bottom w:w="0" w:type="dxa"/>
            <w:right w:w="0" w:type="dxa"/>
          </w:tblCellMar>
        </w:tblPrEx>
        <w:trPr>
          <w:trHeight w:val="610" w:hRule="atLeast"/>
        </w:trPr>
        <w:tc>
          <w:tcPr>
            <w:tcW w:w="2782" w:type="dxa"/>
            <w:tcBorders>
              <w:top w:val="nil"/>
              <w:left w:val="single" w:color="000000" w:sz="8" w:space="0"/>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 xml:space="preserve">  昂鹅等</w:t>
            </w:r>
            <w:r>
              <w:rPr>
                <w:rFonts w:hint="eastAsia" w:ascii="宋体" w:hAnsi="宋体" w:cs="宋体"/>
                <w:color w:val="000000"/>
                <w:kern w:val="0"/>
                <w:sz w:val="24"/>
                <w:szCs w:val="24"/>
                <w:highlight w:val="none"/>
                <w:lang w:val="en-US" w:eastAsia="zh-CN" w:bidi="ar"/>
              </w:rPr>
              <w:t>十五</w:t>
            </w:r>
            <w:r>
              <w:rPr>
                <w:rFonts w:hint="eastAsia" w:ascii="宋体" w:hAnsi="宋体" w:cs="宋体"/>
                <w:color w:val="000000"/>
                <w:kern w:val="0"/>
                <w:sz w:val="24"/>
                <w:szCs w:val="24"/>
                <w:highlight w:val="none"/>
                <w:lang w:bidi="ar"/>
              </w:rPr>
              <w:t>个新项目税务咨询服务</w:t>
            </w:r>
          </w:p>
        </w:tc>
        <w:tc>
          <w:tcPr>
            <w:tcW w:w="841" w:type="dxa"/>
            <w:tcBorders>
              <w:top w:val="nil"/>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1095" w:type="dxa"/>
            <w:tcBorders>
              <w:top w:val="nil"/>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987" w:type="dxa"/>
            <w:tcBorders>
              <w:top w:val="nil"/>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2629" w:type="dxa"/>
            <w:tcBorders>
              <w:top w:val="nil"/>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2026" w:type="dxa"/>
            <w:tcBorders>
              <w:top w:val="nil"/>
              <w:left w:val="nil"/>
              <w:bottom w:val="single" w:color="000000" w:sz="8" w:space="0"/>
              <w:right w:val="single" w:color="000000" w:sz="8" w:space="0"/>
            </w:tcBorders>
            <w:noWrap/>
            <w:tcMar>
              <w:top w:w="12" w:type="dxa"/>
              <w:left w:w="12" w:type="dxa"/>
              <w:right w:w="12" w:type="dxa"/>
            </w:tcMar>
            <w:vAlign w:val="center"/>
          </w:tcPr>
          <w:p>
            <w:pPr>
              <w:rPr>
                <w:rFonts w:ascii="宋体" w:hAnsi="宋体" w:cs="宋体"/>
                <w:color w:val="000000"/>
                <w:sz w:val="22"/>
                <w:szCs w:val="22"/>
                <w:highlight w:val="none"/>
              </w:rPr>
            </w:pPr>
          </w:p>
        </w:tc>
      </w:tr>
      <w:tr>
        <w:tblPrEx>
          <w:tblCellMar>
            <w:top w:w="0" w:type="dxa"/>
            <w:left w:w="0" w:type="dxa"/>
            <w:bottom w:w="0" w:type="dxa"/>
            <w:right w:w="0" w:type="dxa"/>
          </w:tblCellMar>
        </w:tblPrEx>
        <w:trPr>
          <w:trHeight w:val="437" w:hRule="atLeast"/>
        </w:trPr>
        <w:tc>
          <w:tcPr>
            <w:tcW w:w="2782" w:type="dxa"/>
            <w:tcBorders>
              <w:top w:val="single" w:color="000000" w:sz="8" w:space="0"/>
              <w:left w:val="single" w:color="000000" w:sz="8" w:space="0"/>
              <w:bottom w:val="single" w:color="000000" w:sz="8" w:space="0"/>
              <w:right w:val="single" w:color="000000" w:sz="8" w:space="0"/>
            </w:tcBorders>
            <w:tcMar>
              <w:top w:w="12" w:type="dxa"/>
              <w:left w:w="12" w:type="dxa"/>
              <w:right w:w="12" w:type="dxa"/>
            </w:tcMar>
            <w:vAlign w:val="center"/>
          </w:tcPr>
          <w:p>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单个项目税务咨询服务</w:t>
            </w:r>
          </w:p>
        </w:tc>
        <w:tc>
          <w:tcPr>
            <w:tcW w:w="841"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1095"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987"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2629"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c>
          <w:tcPr>
            <w:tcW w:w="2026" w:type="dxa"/>
            <w:tcBorders>
              <w:top w:val="single" w:color="000000" w:sz="8" w:space="0"/>
              <w:left w:val="nil"/>
              <w:bottom w:val="single" w:color="000000" w:sz="8" w:space="0"/>
              <w:right w:val="single" w:color="000000" w:sz="8" w:space="0"/>
            </w:tcBorders>
            <w:tcMar>
              <w:top w:w="12" w:type="dxa"/>
              <w:left w:w="12" w:type="dxa"/>
              <w:right w:w="12" w:type="dxa"/>
            </w:tcMar>
            <w:vAlign w:val="center"/>
          </w:tcPr>
          <w:p>
            <w:pPr>
              <w:jc w:val="center"/>
              <w:rPr>
                <w:rFonts w:ascii="宋体" w:hAnsi="宋体" w:cs="宋体"/>
                <w:color w:val="000000"/>
                <w:sz w:val="24"/>
                <w:szCs w:val="24"/>
                <w:highlight w:val="none"/>
              </w:rPr>
            </w:pPr>
          </w:p>
        </w:tc>
      </w:tr>
    </w:tbl>
    <w:p>
      <w:pPr>
        <w:pStyle w:val="2"/>
        <w:rPr>
          <w:highlight w:val="none"/>
        </w:rPr>
      </w:pPr>
    </w:p>
    <w:p>
      <w:pPr>
        <w:adjustRightInd w:val="0"/>
        <w:snapToGrid w:val="0"/>
        <w:spacing w:before="240" w:line="360" w:lineRule="auto"/>
        <w:ind w:firstLine="420" w:firstLineChars="200"/>
        <w:rPr>
          <w:rFonts w:eastAsia="Times New Roman"/>
          <w:snapToGrid w:val="0"/>
          <w:szCs w:val="21"/>
          <w:highlight w:val="none"/>
        </w:rPr>
      </w:pPr>
      <w:r>
        <w:rPr>
          <w:rFonts w:hint="eastAsia" w:ascii="宋体" w:hAnsi="宋体" w:cs="宋体"/>
          <w:snapToGrid w:val="0"/>
          <w:szCs w:val="21"/>
          <w:highlight w:val="none"/>
        </w:rPr>
        <w:t>注：</w:t>
      </w:r>
    </w:p>
    <w:p>
      <w:pPr>
        <w:numPr>
          <w:ilvl w:val="0"/>
          <w:numId w:val="14"/>
        </w:numPr>
        <w:adjustRightInd w:val="0"/>
        <w:snapToGrid w:val="0"/>
        <w:spacing w:line="360" w:lineRule="auto"/>
        <w:ind w:left="0" w:firstLine="420" w:firstLineChars="200"/>
        <w:rPr>
          <w:rFonts w:eastAsia="Times New Roman"/>
          <w:snapToGrid w:val="0"/>
          <w:szCs w:val="21"/>
          <w:highlight w:val="none"/>
        </w:rPr>
      </w:pPr>
      <w:r>
        <w:rPr>
          <w:rFonts w:hint="eastAsia" w:ascii="宋体" w:hAnsi="宋体" w:cs="宋体"/>
          <w:snapToGrid w:val="0"/>
          <w:szCs w:val="21"/>
          <w:highlight w:val="none"/>
        </w:rPr>
        <w:t>报价采用人民币报价，报价保留至小数点后两位。</w:t>
      </w:r>
    </w:p>
    <w:p>
      <w:pPr>
        <w:numPr>
          <w:ilvl w:val="0"/>
          <w:numId w:val="14"/>
        </w:numPr>
        <w:adjustRightInd w:val="0"/>
        <w:snapToGrid w:val="0"/>
        <w:spacing w:line="360" w:lineRule="auto"/>
        <w:ind w:left="0" w:firstLine="420" w:firstLineChars="200"/>
        <w:rPr>
          <w:rFonts w:eastAsia="Times New Roman"/>
          <w:snapToGrid w:val="0"/>
          <w:szCs w:val="21"/>
          <w:highlight w:val="none"/>
        </w:rPr>
      </w:pPr>
      <w:r>
        <w:rPr>
          <w:rFonts w:hint="eastAsia" w:ascii="宋体" w:hAnsi="宋体" w:cs="宋体"/>
          <w:snapToGrid w:val="0"/>
          <w:szCs w:val="21"/>
          <w:highlight w:val="none"/>
        </w:rPr>
        <w:t>报价包含本采购文件所要求的完成本项目以及伴随服务等全过程产生的所有成本和费用以及一切税费。</w:t>
      </w:r>
    </w:p>
    <w:p>
      <w:pPr>
        <w:numPr>
          <w:ilvl w:val="0"/>
          <w:numId w:val="14"/>
        </w:numPr>
        <w:adjustRightInd w:val="0"/>
        <w:snapToGrid w:val="0"/>
        <w:spacing w:line="360" w:lineRule="auto"/>
        <w:ind w:left="0" w:firstLine="420" w:firstLineChars="200"/>
        <w:rPr>
          <w:rFonts w:eastAsia="Times New Roman"/>
          <w:snapToGrid w:val="0"/>
          <w:szCs w:val="21"/>
          <w:highlight w:val="none"/>
        </w:rPr>
      </w:pPr>
      <w:r>
        <w:rPr>
          <w:rFonts w:hint="eastAsia" w:ascii="宋体" w:hAnsi="宋体" w:cs="宋体"/>
          <w:snapToGrid w:val="0"/>
          <w:szCs w:val="21"/>
          <w:highlight w:val="none"/>
        </w:rPr>
        <w:t>所有供应商必须按采购文件要求逐项报价。如出现缺项、漏项、少报、错报时，相应的费用视为包含在报价的其他项目价格中，合同总价不予增加。</w:t>
      </w:r>
    </w:p>
    <w:p>
      <w:pPr>
        <w:numPr>
          <w:ilvl w:val="0"/>
          <w:numId w:val="14"/>
        </w:numPr>
        <w:adjustRightInd w:val="0"/>
        <w:snapToGrid w:val="0"/>
        <w:spacing w:line="360" w:lineRule="auto"/>
        <w:ind w:left="0" w:firstLine="420" w:firstLineChars="200"/>
        <w:rPr>
          <w:rFonts w:eastAsia="Times New Roman"/>
          <w:snapToGrid w:val="0"/>
          <w:szCs w:val="21"/>
          <w:highlight w:val="none"/>
        </w:rPr>
      </w:pPr>
      <w:r>
        <w:rPr>
          <w:rFonts w:hint="eastAsia" w:ascii="宋体" w:hAnsi="宋体" w:cs="宋体"/>
          <w:snapToGrid w:val="0"/>
          <w:szCs w:val="21"/>
          <w:highlight w:val="none"/>
        </w:rPr>
        <w:t>供应商必须提供增值税专用发票。</w:t>
      </w:r>
    </w:p>
    <w:p>
      <w:pPr>
        <w:numPr>
          <w:ilvl w:val="0"/>
          <w:numId w:val="14"/>
        </w:numPr>
        <w:adjustRightInd w:val="0"/>
        <w:snapToGrid w:val="0"/>
        <w:spacing w:line="360" w:lineRule="auto"/>
        <w:ind w:left="0" w:firstLine="420" w:firstLineChars="200"/>
        <w:rPr>
          <w:rFonts w:eastAsia="Times New Roman"/>
          <w:snapToGrid w:val="0"/>
          <w:szCs w:val="21"/>
          <w:highlight w:val="none"/>
        </w:rPr>
      </w:pPr>
      <w:r>
        <w:rPr>
          <w:rFonts w:hint="eastAsia" w:ascii="宋体" w:hAnsi="宋体" w:cs="宋体"/>
          <w:snapToGrid w:val="0"/>
          <w:szCs w:val="21"/>
          <w:highlight w:val="none"/>
        </w:rPr>
        <w:t>报价中的不含税单价在合同执行期间是固定的，不得以任何理由变更。合同的增值税率按照国家税收法规政策变动而调整。</w:t>
      </w:r>
    </w:p>
    <w:p>
      <w:pPr>
        <w:adjustRightInd w:val="0"/>
        <w:snapToGrid w:val="0"/>
        <w:spacing w:line="360" w:lineRule="auto"/>
        <w:rPr>
          <w:rFonts w:ascii="宋体" w:hAnsi="宋体"/>
          <w:sz w:val="24"/>
          <w:szCs w:val="24"/>
          <w:highlight w:val="none"/>
        </w:rPr>
      </w:pPr>
    </w:p>
    <w:p>
      <w:pPr>
        <w:adjustRightInd w:val="0"/>
        <w:snapToGrid w:val="0"/>
        <w:spacing w:line="360" w:lineRule="auto"/>
        <w:ind w:firstLine="480" w:firstLineChars="200"/>
        <w:rPr>
          <w:rFonts w:ascii="宋体" w:hAnsi="宋体"/>
          <w:kern w:val="10"/>
          <w:sz w:val="24"/>
          <w:szCs w:val="24"/>
          <w:highlight w:val="none"/>
          <w:u w:val="single"/>
        </w:rPr>
      </w:pPr>
      <w:r>
        <w:rPr>
          <w:rFonts w:ascii="宋体" w:hAnsi="宋体"/>
          <w:kern w:val="10"/>
          <w:sz w:val="24"/>
          <w:szCs w:val="24"/>
          <w:highlight w:val="none"/>
        </w:rPr>
        <w:t>参选人（盖章）：</w:t>
      </w:r>
      <w:r>
        <w:rPr>
          <w:rFonts w:ascii="宋体" w:hAnsi="宋体"/>
          <w:kern w:val="10"/>
          <w:sz w:val="24"/>
          <w:szCs w:val="24"/>
          <w:highlight w:val="none"/>
          <w:u w:val="single"/>
        </w:rPr>
        <w:t xml:space="preserve">           [参选人名称]              </w:t>
      </w:r>
    </w:p>
    <w:p>
      <w:pPr>
        <w:adjustRightInd w:val="0"/>
        <w:snapToGrid w:val="0"/>
        <w:spacing w:line="360" w:lineRule="auto"/>
        <w:ind w:firstLine="480" w:firstLineChars="200"/>
        <w:rPr>
          <w:rFonts w:ascii="宋体" w:hAnsi="宋体"/>
          <w:bCs/>
          <w:sz w:val="24"/>
          <w:szCs w:val="24"/>
          <w:highlight w:val="none"/>
        </w:rPr>
      </w:pPr>
      <w:r>
        <w:rPr>
          <w:rFonts w:hAnsi="宋体"/>
          <w:sz w:val="24"/>
          <w:szCs w:val="24"/>
          <w:highlight w:val="none"/>
        </w:rPr>
        <w:t>法定代表人（签字或盖章）：</w:t>
      </w:r>
      <w:r>
        <w:rPr>
          <w:rFonts w:hAnsi="宋体"/>
          <w:sz w:val="24"/>
          <w:szCs w:val="24"/>
          <w:highlight w:val="none"/>
          <w:u w:val="single"/>
        </w:rPr>
        <w:t xml:space="preserve">                           </w:t>
      </w:r>
    </w:p>
    <w:p>
      <w:pPr>
        <w:adjustRightInd w:val="0"/>
        <w:snapToGrid w:val="0"/>
        <w:spacing w:line="360" w:lineRule="auto"/>
        <w:ind w:firstLine="480" w:firstLineChars="200"/>
        <w:rPr>
          <w:rFonts w:ascii="宋体" w:hAnsi="宋体"/>
          <w:sz w:val="24"/>
          <w:szCs w:val="24"/>
          <w:highlight w:val="none"/>
          <w:u w:val="single"/>
        </w:rPr>
      </w:pPr>
      <w:r>
        <w:rPr>
          <w:rFonts w:hint="eastAsia" w:ascii="宋体" w:hAnsi="宋体"/>
          <w:bCs/>
          <w:sz w:val="24"/>
          <w:szCs w:val="24"/>
          <w:highlight w:val="none"/>
        </w:rPr>
        <w:t>日    期：</w:t>
      </w:r>
      <w:r>
        <w:rPr>
          <w:rFonts w:hint="eastAsia" w:ascii="宋体" w:hAnsi="宋体"/>
          <w:sz w:val="24"/>
          <w:szCs w:val="24"/>
          <w:highlight w:val="none"/>
          <w:u w:val="single"/>
        </w:rPr>
        <w:t xml:space="preserve"> 2022 </w:t>
      </w:r>
      <w:r>
        <w:rPr>
          <w:rFonts w:ascii="宋体" w:hAnsi="宋体"/>
          <w:sz w:val="24"/>
          <w:szCs w:val="24"/>
          <w:highlight w:val="none"/>
        </w:rPr>
        <w:t>年</w:t>
      </w:r>
      <w:r>
        <w:rPr>
          <w:rFonts w:hint="eastAsia" w:ascii="宋体" w:hAnsi="宋体"/>
          <w:sz w:val="24"/>
          <w:szCs w:val="24"/>
          <w:highlight w:val="none"/>
          <w:u w:val="single"/>
        </w:rPr>
        <w:t xml:space="preserve">    </w:t>
      </w:r>
      <w:r>
        <w:rPr>
          <w:rFonts w:ascii="宋体" w:hAnsi="宋体"/>
          <w:sz w:val="24"/>
          <w:szCs w:val="24"/>
          <w:highlight w:val="none"/>
        </w:rPr>
        <w:t>月</w:t>
      </w:r>
      <w:r>
        <w:rPr>
          <w:rFonts w:hint="eastAsia" w:ascii="宋体" w:hAnsi="宋体"/>
          <w:sz w:val="24"/>
          <w:szCs w:val="24"/>
          <w:highlight w:val="none"/>
          <w:u w:val="single"/>
        </w:rPr>
        <w:t xml:space="preserve">    日</w:t>
      </w:r>
    </w:p>
    <w:p>
      <w:pPr>
        <w:pStyle w:val="2"/>
        <w:ind w:firstLine="480"/>
        <w:rPr>
          <w:rFonts w:ascii="宋体" w:hAnsi="宋体"/>
          <w:sz w:val="24"/>
          <w:szCs w:val="24"/>
          <w:highlight w:val="none"/>
          <w:u w:val="single"/>
        </w:rPr>
      </w:pPr>
    </w:p>
    <w:p>
      <w:pPr>
        <w:pStyle w:val="2"/>
        <w:ind w:firstLine="480"/>
        <w:rPr>
          <w:rFonts w:ascii="宋体" w:hAnsi="宋体"/>
          <w:sz w:val="24"/>
          <w:szCs w:val="24"/>
          <w:highlight w:val="none"/>
          <w:u w:val="single"/>
        </w:rPr>
      </w:pPr>
    </w:p>
    <w:p>
      <w:pPr>
        <w:pStyle w:val="2"/>
        <w:ind w:firstLine="480"/>
        <w:rPr>
          <w:rFonts w:ascii="宋体" w:hAnsi="宋体"/>
          <w:sz w:val="24"/>
          <w:szCs w:val="24"/>
          <w:highlight w:val="none"/>
          <w:u w:val="single"/>
        </w:rPr>
      </w:pPr>
    </w:p>
    <w:p>
      <w:pPr>
        <w:pStyle w:val="2"/>
        <w:ind w:firstLine="480"/>
        <w:rPr>
          <w:rFonts w:ascii="宋体" w:hAnsi="宋体"/>
          <w:sz w:val="24"/>
          <w:szCs w:val="24"/>
          <w:highlight w:val="none"/>
          <w:u w:val="single"/>
        </w:rPr>
      </w:pPr>
    </w:p>
    <w:p>
      <w:pPr>
        <w:pStyle w:val="2"/>
        <w:ind w:firstLine="480"/>
        <w:rPr>
          <w:rFonts w:ascii="宋体" w:hAnsi="宋体"/>
          <w:sz w:val="24"/>
          <w:szCs w:val="24"/>
          <w:highlight w:val="none"/>
          <w:u w:val="single"/>
        </w:rPr>
      </w:pPr>
    </w:p>
    <w:p>
      <w:pPr>
        <w:pStyle w:val="5"/>
        <w:spacing w:line="360" w:lineRule="auto"/>
        <w:rPr>
          <w:b w:val="0"/>
          <w:sz w:val="44"/>
          <w:szCs w:val="44"/>
          <w:highlight w:val="none"/>
        </w:rPr>
      </w:pPr>
      <w:r>
        <w:rPr>
          <w:rFonts w:hint="eastAsia"/>
          <w:b w:val="0"/>
          <w:sz w:val="44"/>
          <w:szCs w:val="44"/>
          <w:highlight w:val="none"/>
        </w:rPr>
        <w:t>第三篇 合同</w:t>
      </w:r>
    </w:p>
    <w:p>
      <w:pPr>
        <w:jc w:val="both"/>
        <w:rPr>
          <w:rFonts w:cs="宋体"/>
          <w:b/>
          <w:bCs/>
          <w:sz w:val="40"/>
          <w:szCs w:val="52"/>
          <w:highlight w:val="none"/>
        </w:rPr>
      </w:pPr>
      <w:r>
        <w:rPr>
          <w:rFonts w:hint="eastAsia" w:ascii="仿宋_GB2312" w:hAnsi="仿宋_GB2312" w:eastAsia="仿宋_GB2312" w:cs="Calibri"/>
          <w:sz w:val="28"/>
          <w:szCs w:val="28"/>
          <w:highlight w:val="none"/>
        </w:rPr>
        <w:t>后续</w:t>
      </w:r>
      <w:r>
        <w:rPr>
          <w:rFonts w:hint="eastAsia" w:ascii="仿宋_GB2312" w:hAnsi="仿宋_GB2312" w:eastAsia="仿宋_GB2312" w:cs="Calibri"/>
          <w:sz w:val="28"/>
          <w:szCs w:val="28"/>
          <w:highlight w:val="none"/>
          <w:lang w:val="en-US" w:eastAsia="zh-CN"/>
        </w:rPr>
        <w:t>已确定项目开发主体的项目，由</w:t>
      </w:r>
      <w:r>
        <w:rPr>
          <w:rFonts w:hint="eastAsia" w:ascii="仿宋_GB2312" w:hAnsi="仿宋_GB2312" w:eastAsia="仿宋_GB2312" w:cs="Calibri"/>
          <w:sz w:val="28"/>
          <w:szCs w:val="28"/>
          <w:highlight w:val="none"/>
        </w:rPr>
        <w:t>中选人与实际项目开发主体签订合同；</w:t>
      </w:r>
      <w:r>
        <w:rPr>
          <w:rFonts w:hint="eastAsia" w:ascii="仿宋_GB2312" w:hAnsi="仿宋_GB2312" w:eastAsia="仿宋_GB2312" w:cs="仿宋_GB2312"/>
          <w:sz w:val="28"/>
          <w:szCs w:val="28"/>
          <w:highlight w:val="none"/>
        </w:rPr>
        <w:t>考虑到后续新项目</w:t>
      </w:r>
      <w:r>
        <w:rPr>
          <w:rFonts w:hint="eastAsia" w:ascii="仿宋_GB2312" w:hAnsi="仿宋_GB2312" w:eastAsia="仿宋_GB2312" w:cs="仿宋_GB2312"/>
          <w:sz w:val="28"/>
          <w:szCs w:val="28"/>
          <w:highlight w:val="none"/>
          <w:lang w:val="en-US" w:eastAsia="zh-CN"/>
        </w:rPr>
        <w:t>开发</w:t>
      </w:r>
      <w:r>
        <w:rPr>
          <w:rFonts w:hint="eastAsia" w:ascii="仿宋_GB2312" w:hAnsi="仿宋_GB2312" w:eastAsia="仿宋_GB2312" w:cs="仿宋_GB2312"/>
          <w:sz w:val="28"/>
          <w:szCs w:val="28"/>
          <w:highlight w:val="none"/>
        </w:rPr>
        <w:t>主体的不确定性</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剩余</w:t>
      </w:r>
      <w:r>
        <w:rPr>
          <w:rFonts w:hint="eastAsia" w:ascii="仿宋_GB2312" w:hAnsi="仿宋_GB2312" w:eastAsia="仿宋_GB2312" w:cs="Calibri"/>
          <w:sz w:val="28"/>
          <w:szCs w:val="28"/>
          <w:highlight w:val="none"/>
        </w:rPr>
        <w:t>未确定开发主体的项目，由中选人与</w:t>
      </w:r>
      <w:r>
        <w:rPr>
          <w:rFonts w:hint="eastAsia" w:ascii="仿宋_GB2312" w:hAnsi="仿宋_GB2312" w:eastAsia="仿宋_GB2312" w:cs="仿宋_GB2312"/>
          <w:sz w:val="28"/>
          <w:szCs w:val="28"/>
          <w:highlight w:val="none"/>
        </w:rPr>
        <w:t>深圳地铁集团有限公司、深圳地铁置业集团有限公司</w:t>
      </w:r>
      <w:r>
        <w:rPr>
          <w:rFonts w:hint="eastAsia" w:ascii="仿宋_GB2312" w:hAnsi="仿宋_GB2312" w:eastAsia="仿宋_GB2312" w:cs="仿宋_GB2312"/>
          <w:sz w:val="28"/>
          <w:szCs w:val="28"/>
          <w:highlight w:val="none"/>
          <w:lang w:val="en-US" w:eastAsia="zh-CN"/>
        </w:rPr>
        <w:t>或</w:t>
      </w:r>
      <w:r>
        <w:rPr>
          <w:rFonts w:hint="eastAsia" w:ascii="仿宋_GB2312" w:hAnsi="仿宋_GB2312" w:eastAsia="仿宋_GB2312" w:cs="仿宋_GB2312"/>
          <w:sz w:val="28"/>
          <w:szCs w:val="28"/>
          <w:highlight w:val="none"/>
        </w:rPr>
        <w:t>深圳地铁前海国际发展有限公司</w:t>
      </w:r>
      <w:r>
        <w:rPr>
          <w:rFonts w:hint="eastAsia" w:ascii="仿宋_GB2312" w:hAnsi="仿宋_GB2312" w:eastAsia="仿宋_GB2312" w:cs="仿宋_GB2312"/>
          <w:sz w:val="28"/>
          <w:szCs w:val="28"/>
          <w:highlight w:val="none"/>
          <w:lang w:val="en-US" w:eastAsia="zh-CN"/>
        </w:rPr>
        <w:t>3个开发主体共同</w:t>
      </w:r>
      <w:r>
        <w:rPr>
          <w:rFonts w:hint="eastAsia" w:ascii="仿宋_GB2312" w:hAnsi="仿宋_GB2312" w:eastAsia="仿宋_GB2312" w:cs="仿宋_GB2312"/>
          <w:sz w:val="28"/>
          <w:szCs w:val="28"/>
          <w:highlight w:val="none"/>
        </w:rPr>
        <w:t>签定</w:t>
      </w:r>
      <w:r>
        <w:rPr>
          <w:rFonts w:hint="eastAsia" w:ascii="仿宋_GB2312" w:hAnsi="仿宋_GB2312" w:eastAsia="仿宋_GB2312" w:cs="仿宋_GB2312"/>
          <w:sz w:val="28"/>
          <w:szCs w:val="28"/>
          <w:highlight w:val="none"/>
          <w:lang w:val="en-US" w:eastAsia="zh-CN"/>
        </w:rPr>
        <w:t>四方协议</w:t>
      </w:r>
      <w:r>
        <w:rPr>
          <w:rFonts w:hint="eastAsia" w:ascii="仿宋_GB2312" w:hAnsi="仿宋_GB2312" w:eastAsia="仿宋_GB2312" w:cs="仿宋_GB2312"/>
          <w:sz w:val="28"/>
          <w:szCs w:val="28"/>
          <w:highlight w:val="none"/>
        </w:rPr>
        <w:t>。</w:t>
      </w:r>
    </w:p>
    <w:p>
      <w:pPr>
        <w:jc w:val="center"/>
        <w:rPr>
          <w:rFonts w:cs="宋体"/>
          <w:b/>
          <w:bCs/>
          <w:sz w:val="40"/>
          <w:szCs w:val="52"/>
          <w:highlight w:val="none"/>
        </w:rPr>
      </w:pPr>
      <w:r>
        <w:rPr>
          <w:rFonts w:hint="eastAsia" w:cs="宋体"/>
          <w:b/>
          <w:bCs/>
          <w:sz w:val="40"/>
          <w:szCs w:val="52"/>
          <w:highlight w:val="none"/>
          <w:lang w:val="en-US" w:eastAsia="zh-CN"/>
        </w:rPr>
        <w:t>XX</w:t>
      </w:r>
      <w:r>
        <w:rPr>
          <w:rFonts w:hint="eastAsia" w:cs="宋体"/>
          <w:b/>
          <w:bCs/>
          <w:sz w:val="40"/>
          <w:szCs w:val="52"/>
          <w:highlight w:val="none"/>
        </w:rPr>
        <w:t>新项目税务咨询服务业务合同</w:t>
      </w:r>
    </w:p>
    <w:p>
      <w:pPr>
        <w:spacing w:line="360" w:lineRule="auto"/>
        <w:ind w:firstLine="883"/>
        <w:jc w:val="center"/>
        <w:rPr>
          <w:rFonts w:ascii="宋体"/>
          <w:b/>
          <w:sz w:val="44"/>
          <w:szCs w:val="44"/>
          <w:highlight w:val="none"/>
        </w:rPr>
      </w:pPr>
    </w:p>
    <w:p>
      <w:pPr>
        <w:spacing w:line="360" w:lineRule="auto"/>
        <w:jc w:val="center"/>
        <w:rPr>
          <w:rFonts w:ascii="宋体"/>
          <w:b/>
          <w:sz w:val="30"/>
          <w:szCs w:val="30"/>
          <w:highlight w:val="none"/>
        </w:rPr>
      </w:pPr>
      <w:r>
        <w:rPr>
          <w:rFonts w:hint="eastAsia" w:ascii="宋体"/>
          <w:b/>
          <w:sz w:val="30"/>
          <w:szCs w:val="30"/>
          <w:highlight w:val="none"/>
        </w:rPr>
        <w:t>合同编号：</w:t>
      </w:r>
    </w:p>
    <w:p>
      <w:pPr>
        <w:spacing w:line="360" w:lineRule="auto"/>
        <w:jc w:val="both"/>
        <w:rPr>
          <w:rFonts w:ascii="宋体" w:hAnsi="宋体"/>
          <w:b/>
          <w:sz w:val="36"/>
          <w:szCs w:val="36"/>
          <w:highlight w:val="none"/>
        </w:rPr>
      </w:pPr>
    </w:p>
    <w:p>
      <w:pPr>
        <w:spacing w:line="360" w:lineRule="auto"/>
        <w:ind w:firstLine="723"/>
        <w:jc w:val="center"/>
        <w:rPr>
          <w:rFonts w:ascii="宋体" w:hAnsi="宋体"/>
          <w:b/>
          <w:sz w:val="36"/>
          <w:szCs w:val="36"/>
          <w:highlight w:val="none"/>
        </w:rPr>
      </w:pPr>
    </w:p>
    <w:p>
      <w:pPr>
        <w:spacing w:line="360" w:lineRule="auto"/>
        <w:ind w:firstLine="723"/>
        <w:jc w:val="center"/>
        <w:rPr>
          <w:rFonts w:ascii="宋体" w:hAnsi="宋体"/>
          <w:b/>
          <w:sz w:val="36"/>
          <w:szCs w:val="36"/>
          <w:highlight w:val="none"/>
        </w:rPr>
      </w:pPr>
    </w:p>
    <w:tbl>
      <w:tblPr>
        <w:tblStyle w:val="49"/>
        <w:tblW w:w="0" w:type="auto"/>
        <w:jc w:val="center"/>
        <w:tblLayout w:type="fixed"/>
        <w:tblCellMar>
          <w:top w:w="0" w:type="dxa"/>
          <w:left w:w="108" w:type="dxa"/>
          <w:bottom w:w="0" w:type="dxa"/>
          <w:right w:w="108" w:type="dxa"/>
        </w:tblCellMar>
      </w:tblPr>
      <w:tblGrid>
        <w:gridCol w:w="1418"/>
        <w:gridCol w:w="4390"/>
      </w:tblGrid>
      <w:tr>
        <w:tblPrEx>
          <w:tblCellMar>
            <w:top w:w="0" w:type="dxa"/>
            <w:left w:w="108" w:type="dxa"/>
            <w:bottom w:w="0" w:type="dxa"/>
            <w:right w:w="108" w:type="dxa"/>
          </w:tblCellMar>
        </w:tblPrEx>
        <w:trPr>
          <w:trHeight w:val="748" w:hRule="atLeast"/>
          <w:jc w:val="center"/>
        </w:trPr>
        <w:tc>
          <w:tcPr>
            <w:tcW w:w="1418" w:type="dxa"/>
          </w:tcPr>
          <w:p>
            <w:pPr>
              <w:rPr>
                <w:sz w:val="32"/>
                <w:szCs w:val="32"/>
                <w:highlight w:val="none"/>
              </w:rPr>
            </w:pPr>
            <w:r>
              <w:rPr>
                <w:rFonts w:hint="eastAsia"/>
                <w:sz w:val="32"/>
                <w:szCs w:val="32"/>
                <w:highlight w:val="none"/>
              </w:rPr>
              <w:t>甲方：</w:t>
            </w:r>
          </w:p>
        </w:tc>
        <w:tc>
          <w:tcPr>
            <w:tcW w:w="4390" w:type="dxa"/>
          </w:tcPr>
          <w:p>
            <w:pPr>
              <w:rPr>
                <w:sz w:val="32"/>
                <w:szCs w:val="32"/>
                <w:highlight w:val="none"/>
                <w:u w:val="single"/>
              </w:rPr>
            </w:pPr>
            <w:r>
              <w:rPr>
                <w:rFonts w:hint="eastAsia" w:hAnsi="宋体"/>
                <w:b/>
                <w:bCs/>
                <w:color w:val="0D0D0D"/>
                <w:sz w:val="36"/>
                <w:szCs w:val="36"/>
                <w:highlight w:val="none"/>
                <w:u w:val="single"/>
              </w:rPr>
              <w:t>深圳地铁置业集团有限公司</w:t>
            </w:r>
          </w:p>
        </w:tc>
      </w:tr>
      <w:tr>
        <w:tblPrEx>
          <w:tblCellMar>
            <w:top w:w="0" w:type="dxa"/>
            <w:left w:w="108" w:type="dxa"/>
            <w:bottom w:w="0" w:type="dxa"/>
            <w:right w:w="108" w:type="dxa"/>
          </w:tblCellMar>
        </w:tblPrEx>
        <w:trPr>
          <w:jc w:val="center"/>
        </w:trPr>
        <w:tc>
          <w:tcPr>
            <w:tcW w:w="1418" w:type="dxa"/>
          </w:tcPr>
          <w:p>
            <w:pPr>
              <w:rPr>
                <w:sz w:val="32"/>
                <w:szCs w:val="32"/>
                <w:highlight w:val="none"/>
              </w:rPr>
            </w:pPr>
            <w:r>
              <w:rPr>
                <w:rFonts w:hint="eastAsia"/>
                <w:sz w:val="32"/>
                <w:szCs w:val="32"/>
                <w:highlight w:val="none"/>
              </w:rPr>
              <w:t>乙方：</w:t>
            </w:r>
          </w:p>
        </w:tc>
        <w:tc>
          <w:tcPr>
            <w:tcW w:w="4390" w:type="dxa"/>
          </w:tcPr>
          <w:p>
            <w:pPr>
              <w:rPr>
                <w:sz w:val="32"/>
                <w:szCs w:val="32"/>
                <w:highlight w:val="none"/>
                <w:u w:val="single"/>
              </w:rPr>
            </w:pPr>
          </w:p>
        </w:tc>
      </w:tr>
    </w:tbl>
    <w:p>
      <w:pPr>
        <w:spacing w:line="360" w:lineRule="auto"/>
        <w:ind w:firstLine="723"/>
        <w:jc w:val="center"/>
        <w:rPr>
          <w:rFonts w:ascii="宋体" w:hAnsi="宋体"/>
          <w:b/>
          <w:sz w:val="36"/>
          <w:szCs w:val="36"/>
          <w:highlight w:val="none"/>
        </w:rPr>
      </w:pPr>
    </w:p>
    <w:p>
      <w:pPr>
        <w:spacing w:line="360" w:lineRule="auto"/>
        <w:ind w:firstLine="560"/>
        <w:jc w:val="center"/>
        <w:rPr>
          <w:rFonts w:ascii="宋体" w:hAnsi="宋体"/>
          <w:szCs w:val="28"/>
          <w:highlight w:val="none"/>
        </w:rPr>
      </w:pPr>
    </w:p>
    <w:p>
      <w:pPr>
        <w:spacing w:line="360" w:lineRule="auto"/>
        <w:ind w:firstLine="560"/>
        <w:jc w:val="center"/>
        <w:rPr>
          <w:rFonts w:ascii="宋体" w:hAnsi="宋体"/>
          <w:szCs w:val="28"/>
          <w:highlight w:val="none"/>
        </w:rPr>
      </w:pPr>
    </w:p>
    <w:p>
      <w:pPr>
        <w:spacing w:line="360" w:lineRule="auto"/>
        <w:ind w:firstLine="560"/>
        <w:jc w:val="center"/>
        <w:rPr>
          <w:rFonts w:ascii="宋体" w:hAnsi="宋体"/>
          <w:szCs w:val="28"/>
          <w:highlight w:val="none"/>
        </w:rPr>
      </w:pPr>
    </w:p>
    <w:p>
      <w:pPr>
        <w:spacing w:line="360" w:lineRule="auto"/>
        <w:ind w:firstLine="560"/>
        <w:jc w:val="center"/>
        <w:rPr>
          <w:rFonts w:ascii="宋体" w:hAnsi="宋体"/>
          <w:sz w:val="32"/>
          <w:szCs w:val="32"/>
          <w:highlight w:val="none"/>
        </w:rPr>
      </w:pPr>
      <w:r>
        <w:rPr>
          <w:rFonts w:hint="eastAsia" w:ascii="宋体" w:hAnsi="宋体"/>
          <w:sz w:val="32"/>
          <w:szCs w:val="32"/>
          <w:highlight w:val="none"/>
        </w:rPr>
        <w:t>二〇二二年   月</w:t>
      </w:r>
    </w:p>
    <w:p>
      <w:pPr>
        <w:adjustRightInd w:val="0"/>
        <w:snapToGrid w:val="0"/>
        <w:spacing w:line="360" w:lineRule="auto"/>
        <w:jc w:val="left"/>
        <w:rPr>
          <w:rFonts w:ascii="宋体" w:hAnsi="宋体"/>
          <w:sz w:val="24"/>
          <w:highlight w:val="none"/>
        </w:rPr>
      </w:pPr>
    </w:p>
    <w:p>
      <w:pPr>
        <w:spacing w:line="360" w:lineRule="auto"/>
        <w:ind w:right="210"/>
        <w:rPr>
          <w:rFonts w:ascii="仿宋_GB2312" w:hAnsi="宋体" w:eastAsia="仿宋_GB2312"/>
          <w:sz w:val="28"/>
          <w:highlight w:val="none"/>
        </w:rPr>
      </w:pPr>
    </w:p>
    <w:p>
      <w:pPr>
        <w:spacing w:line="360" w:lineRule="auto"/>
        <w:ind w:right="210" w:firstLine="420" w:firstLineChars="150"/>
        <w:rPr>
          <w:rFonts w:ascii="仿宋_GB2312" w:hAnsi="宋体" w:eastAsia="仿宋_GB2312"/>
          <w:sz w:val="28"/>
          <w:highlight w:val="none"/>
          <w:u w:val="single"/>
        </w:rPr>
      </w:pPr>
      <w:r>
        <w:rPr>
          <w:rFonts w:hint="eastAsia" w:ascii="仿宋_GB2312" w:hAnsi="宋体" w:eastAsia="仿宋_GB2312"/>
          <w:sz w:val="28"/>
          <w:highlight w:val="none"/>
        </w:rPr>
        <w:t>委托方（甲方）：</w:t>
      </w:r>
      <w:r>
        <w:rPr>
          <w:rFonts w:hint="eastAsia" w:ascii="仿宋_GB2312" w:hAnsi="宋体" w:eastAsia="仿宋_GB2312"/>
          <w:sz w:val="28"/>
          <w:highlight w:val="none"/>
          <w:u w:val="single"/>
        </w:rPr>
        <w:t xml:space="preserve"> </w:t>
      </w:r>
    </w:p>
    <w:p>
      <w:pPr>
        <w:spacing w:line="360" w:lineRule="auto"/>
        <w:ind w:left="420" w:right="210"/>
        <w:rPr>
          <w:rFonts w:ascii="仿宋_GB2312" w:hAnsi="宋体" w:eastAsia="仿宋_GB2312"/>
          <w:sz w:val="28"/>
          <w:highlight w:val="none"/>
          <w:u w:val="single"/>
        </w:rPr>
      </w:pPr>
      <w:r>
        <w:rPr>
          <w:rFonts w:hint="eastAsia" w:ascii="仿宋_GB2312" w:hAnsi="宋体" w:eastAsia="仿宋_GB2312"/>
          <w:sz w:val="28"/>
          <w:highlight w:val="none"/>
        </w:rPr>
        <w:t>受托方（乙方）：</w:t>
      </w:r>
    </w:p>
    <w:p>
      <w:pPr>
        <w:spacing w:line="360" w:lineRule="auto"/>
        <w:ind w:right="-50" w:rightChars="-24" w:firstLine="560" w:firstLineChars="200"/>
        <w:jc w:val="left"/>
        <w:rPr>
          <w:rFonts w:ascii="仿宋_GB2312" w:eastAsia="仿宋_GB2312"/>
          <w:sz w:val="28"/>
          <w:szCs w:val="28"/>
          <w:highlight w:val="none"/>
        </w:rPr>
      </w:pPr>
      <w:r>
        <w:rPr>
          <w:rFonts w:hint="eastAsia" w:ascii="仿宋_GB2312" w:hAnsi="宋体" w:eastAsia="仿宋_GB2312"/>
          <w:color w:val="000000"/>
          <w:sz w:val="28"/>
          <w:highlight w:val="none"/>
        </w:rPr>
        <w:t>本合同甲方委托乙方完成</w:t>
      </w:r>
      <w:r>
        <w:rPr>
          <w:rFonts w:hint="eastAsia" w:ascii="仿宋_GB2312" w:hAnsi="宋体" w:eastAsia="仿宋_GB2312"/>
          <w:color w:val="000000"/>
          <w:sz w:val="28"/>
          <w:highlight w:val="none"/>
          <w:u w:val="single"/>
          <w:lang w:val="en-US" w:eastAsia="zh-CN"/>
        </w:rPr>
        <w:t xml:space="preserve">       </w:t>
      </w:r>
      <w:r>
        <w:rPr>
          <w:rFonts w:hint="eastAsia" w:ascii="仿宋_GB2312" w:hAnsi="宋体" w:eastAsia="仿宋_GB2312"/>
          <w:color w:val="000000"/>
          <w:sz w:val="28"/>
          <w:highlight w:val="none"/>
          <w:u w:val="single"/>
        </w:rPr>
        <w:t>项目税务咨询服务</w:t>
      </w:r>
      <w:r>
        <w:rPr>
          <w:rFonts w:hint="eastAsia" w:ascii="仿宋_GB2312" w:hAnsi="宋体" w:eastAsia="仿宋_GB2312"/>
          <w:color w:val="000000"/>
          <w:sz w:val="28"/>
          <w:highlight w:val="none"/>
        </w:rPr>
        <w:t>，并支付咨询费用。双方经过平等协商，在真实、充分地表达各自意愿的基础上，根据《中华人民共和国民法典》及相关法律、法规的规定，达成如下协议，并由双方共同恪守。</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并由双方共同恪守。</w:t>
      </w:r>
    </w:p>
    <w:p>
      <w:pPr>
        <w:spacing w:line="360" w:lineRule="auto"/>
        <w:ind w:right="210" w:firstLine="562" w:firstLineChars="200"/>
        <w:jc w:val="left"/>
        <w:rPr>
          <w:rFonts w:ascii="仿宋_GB2312" w:eastAsia="仿宋_GB2312"/>
          <w:b/>
          <w:color w:val="000000"/>
          <w:sz w:val="28"/>
          <w:szCs w:val="28"/>
          <w:highlight w:val="none"/>
        </w:rPr>
      </w:pPr>
      <w:r>
        <w:rPr>
          <w:rFonts w:hint="eastAsia" w:ascii="仿宋_GB2312" w:eastAsia="仿宋_GB2312"/>
          <w:b/>
          <w:color w:val="000000"/>
          <w:sz w:val="28"/>
          <w:szCs w:val="28"/>
          <w:highlight w:val="none"/>
        </w:rPr>
        <w:t>第一条  工作内容</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乙方为甲方提供以下范围税务服务，具体包括但不限于：</w:t>
      </w:r>
    </w:p>
    <w:p>
      <w:pPr>
        <w:spacing w:line="360" w:lineRule="auto"/>
        <w:ind w:right="210" w:firstLine="560" w:firstLineChars="200"/>
        <w:rPr>
          <w:rFonts w:ascii="仿宋_GB2312" w:eastAsia="仿宋_GB2312"/>
          <w:color w:val="000000"/>
          <w:sz w:val="28"/>
          <w:szCs w:val="28"/>
          <w:highlight w:val="none"/>
        </w:rPr>
      </w:pPr>
      <w:r>
        <w:rPr>
          <w:rFonts w:ascii="仿宋_GB2312" w:eastAsia="仿宋_GB2312"/>
          <w:color w:val="000000"/>
          <w:sz w:val="28"/>
          <w:szCs w:val="28"/>
          <w:highlight w:val="none"/>
        </w:rPr>
        <w:t>1、</w:t>
      </w:r>
      <w:r>
        <w:rPr>
          <w:rFonts w:hint="eastAsia" w:ascii="仿宋_GB2312" w:eastAsia="仿宋_GB2312"/>
          <w:color w:val="000000"/>
          <w:sz w:val="28"/>
          <w:szCs w:val="28"/>
          <w:highlight w:val="none"/>
        </w:rPr>
        <w:t>自发出每个项目的任务启动通知单之日起，根据项目的可行性研究报告，编制整体及专项税务测算及管理建议，对未来经营方案出具专项建议报告，该报告于发出通知单日起</w:t>
      </w:r>
      <w:r>
        <w:rPr>
          <w:rFonts w:ascii="仿宋_GB2312" w:eastAsia="仿宋_GB2312"/>
          <w:color w:val="000000"/>
          <w:sz w:val="28"/>
          <w:szCs w:val="28"/>
          <w:highlight w:val="none"/>
        </w:rPr>
        <w:t>30</w:t>
      </w:r>
      <w:r>
        <w:rPr>
          <w:rFonts w:hint="eastAsia" w:ascii="仿宋_GB2312" w:eastAsia="仿宋_GB2312"/>
          <w:color w:val="000000"/>
          <w:sz w:val="28"/>
          <w:szCs w:val="28"/>
          <w:highlight w:val="none"/>
        </w:rPr>
        <w:t>天内完成。每个项目服务期限为半年，如方案根据实际情况或者甲方要求需修改、完善的，亦应在每个项目的任务启动通知日起一个月内完成相关的调整、修改、完善等工作；</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2、税务测算方案的实施提出具体建议书，如甲方采纳乙方建议，乙方应指导甲方财务人员规范实施建议；</w:t>
      </w:r>
    </w:p>
    <w:p>
      <w:pPr>
        <w:spacing w:line="360" w:lineRule="auto"/>
        <w:ind w:right="210" w:firstLine="560" w:firstLineChars="200"/>
        <w:rPr>
          <w:rFonts w:ascii="仿宋_GB2312" w:eastAsia="仿宋_GB2312"/>
          <w:color w:val="000000"/>
          <w:sz w:val="28"/>
          <w:szCs w:val="28"/>
          <w:highlight w:val="none"/>
        </w:rPr>
      </w:pPr>
      <w:r>
        <w:rPr>
          <w:rFonts w:ascii="仿宋_GB2312" w:eastAsia="仿宋_GB2312"/>
          <w:color w:val="000000"/>
          <w:sz w:val="28"/>
          <w:szCs w:val="28"/>
          <w:highlight w:val="none"/>
        </w:rPr>
        <w:t>3、</w:t>
      </w:r>
      <w:r>
        <w:rPr>
          <w:rFonts w:hint="eastAsia" w:ascii="仿宋_GB2312" w:eastAsia="仿宋_GB2312"/>
          <w:color w:val="000000"/>
          <w:sz w:val="28"/>
          <w:szCs w:val="28"/>
          <w:highlight w:val="none"/>
        </w:rPr>
        <w:t>指导甲方进行合同涉税条款的订立、修改，并提出相应的涉税建议；</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4、指导甲方有关涉税法律文书制作、修改，并提出相应的涉税建议；</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5、如甲方需要乙方指派专职人员到指定地点进行现场指导，乙方应根据甲方所涉及的税务问题复杂程度，指派完全能胜任工作的注册税务师提供税务顾问咨询服务，乙方派出人员现场服务产生的相关费用均已包含在本合同总价中，甲方不再另行支付。</w:t>
      </w:r>
    </w:p>
    <w:p>
      <w:pPr>
        <w:spacing w:line="360" w:lineRule="auto"/>
        <w:ind w:right="210"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第二条  合同价款</w:t>
      </w:r>
    </w:p>
    <w:p>
      <w:pPr>
        <w:spacing w:line="360" w:lineRule="auto"/>
        <w:ind w:right="210"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本合同为综合单价合同</w:t>
      </w:r>
      <w:r>
        <w:rPr>
          <w:rFonts w:ascii="仿宋_GB2312" w:eastAsia="仿宋_GB2312"/>
          <w:color w:val="000000"/>
          <w:sz w:val="28"/>
          <w:szCs w:val="28"/>
          <w:highlight w:val="none"/>
        </w:rPr>
        <w:t>，</w:t>
      </w:r>
      <w:r>
        <w:rPr>
          <w:rFonts w:hint="eastAsia" w:ascii="仿宋_GB2312" w:eastAsia="仿宋_GB2312"/>
          <w:color w:val="000000"/>
          <w:sz w:val="28"/>
          <w:szCs w:val="28"/>
          <w:highlight w:val="none"/>
        </w:rPr>
        <w:t>合同含税总价暂定为人民币    万元整（￥   元）</w:t>
      </w:r>
      <w:r>
        <w:rPr>
          <w:rFonts w:ascii="仿宋_GB2312" w:eastAsia="仿宋_GB2312"/>
          <w:color w:val="000000"/>
          <w:sz w:val="28"/>
          <w:szCs w:val="28"/>
          <w:highlight w:val="none"/>
        </w:rPr>
        <w:t>，</w:t>
      </w:r>
      <w:r>
        <w:rPr>
          <w:rFonts w:hint="eastAsia" w:ascii="仿宋_GB2312" w:eastAsia="仿宋_GB2312"/>
          <w:color w:val="000000"/>
          <w:sz w:val="28"/>
          <w:szCs w:val="28"/>
          <w:highlight w:val="none"/>
        </w:rPr>
        <w:t xml:space="preserve">其中不含税价   </w:t>
      </w:r>
      <w:r>
        <w:rPr>
          <w:rFonts w:ascii="仿宋_GB2312" w:eastAsia="仿宋_GB2312"/>
          <w:color w:val="000000"/>
          <w:sz w:val="28"/>
          <w:szCs w:val="28"/>
          <w:highlight w:val="none"/>
        </w:rPr>
        <w:t>元，增值税税额</w:t>
      </w:r>
      <w:r>
        <w:rPr>
          <w:rFonts w:hint="eastAsia" w:ascii="仿宋_GB2312" w:eastAsia="仿宋_GB2312"/>
          <w:color w:val="000000"/>
          <w:sz w:val="28"/>
          <w:szCs w:val="28"/>
          <w:highlight w:val="none"/>
        </w:rPr>
        <w:t xml:space="preserve">   </w:t>
      </w:r>
      <w:r>
        <w:rPr>
          <w:rFonts w:ascii="仿宋_GB2312" w:eastAsia="仿宋_GB2312"/>
          <w:color w:val="000000"/>
          <w:sz w:val="28"/>
          <w:szCs w:val="28"/>
          <w:highlight w:val="none"/>
        </w:rPr>
        <w:t>元，税率</w:t>
      </w:r>
      <w:r>
        <w:rPr>
          <w:rFonts w:hint="eastAsia" w:ascii="仿宋_GB2312" w:eastAsia="仿宋_GB2312"/>
          <w:color w:val="000000"/>
          <w:sz w:val="28"/>
          <w:szCs w:val="28"/>
          <w:highlight w:val="none"/>
        </w:rPr>
        <w:t>6</w:t>
      </w:r>
      <w:r>
        <w:rPr>
          <w:rFonts w:ascii="仿宋_GB2312" w:eastAsia="仿宋_GB2312"/>
          <w:color w:val="000000"/>
          <w:sz w:val="28"/>
          <w:szCs w:val="28"/>
          <w:highlight w:val="none"/>
        </w:rPr>
        <w:t>%。合同</w:t>
      </w:r>
      <w:r>
        <w:rPr>
          <w:rFonts w:hint="eastAsia" w:ascii="仿宋_GB2312" w:eastAsia="仿宋_GB2312"/>
          <w:color w:val="000000"/>
          <w:sz w:val="28"/>
          <w:szCs w:val="28"/>
          <w:highlight w:val="none"/>
        </w:rPr>
        <w:t>价款</w:t>
      </w:r>
      <w:r>
        <w:rPr>
          <w:rFonts w:ascii="仿宋_GB2312" w:eastAsia="仿宋_GB2312"/>
          <w:color w:val="000000"/>
          <w:sz w:val="28"/>
          <w:szCs w:val="28"/>
          <w:highlight w:val="none"/>
        </w:rPr>
        <w:t>增值税率根据国家税收法规政策变动而调整，不含税价不随增值税率的变化进行调整。</w:t>
      </w:r>
      <w:r>
        <w:rPr>
          <w:rFonts w:hint="eastAsia" w:ascii="仿宋_GB2312" w:eastAsia="仿宋_GB2312"/>
          <w:color w:val="000000"/>
          <w:sz w:val="28"/>
          <w:szCs w:val="28"/>
          <w:highlight w:val="none"/>
        </w:rPr>
        <w:t>每个项目服务费为人民币  万元整（￥   元），以实际完成的项目咨询服务据实结算。单个项目的合同价格为包干价，含人工费、资料费、差旅费、税费等所有费用。</w:t>
      </w:r>
    </w:p>
    <w:p>
      <w:pPr>
        <w:spacing w:line="360" w:lineRule="auto"/>
        <w:ind w:right="210" w:firstLine="568" w:firstLineChars="202"/>
        <w:rPr>
          <w:rFonts w:ascii="仿宋_GB2312" w:hAnsi="仿宋" w:eastAsia="仿宋_GB2312"/>
          <w:b/>
          <w:sz w:val="28"/>
          <w:szCs w:val="28"/>
          <w:highlight w:val="none"/>
        </w:rPr>
      </w:pPr>
      <w:r>
        <w:rPr>
          <w:rFonts w:hint="eastAsia" w:ascii="仿宋_GB2312" w:hAnsi="仿宋" w:eastAsia="仿宋_GB2312"/>
          <w:b/>
          <w:sz w:val="28"/>
          <w:szCs w:val="28"/>
          <w:highlight w:val="none"/>
        </w:rPr>
        <w:t>第三条</w:t>
      </w:r>
      <w:r>
        <w:rPr>
          <w:rFonts w:hint="eastAsia" w:ascii="仿宋_GB2312" w:hAnsi="仿宋" w:eastAsia="仿宋_GB2312"/>
          <w:sz w:val="28"/>
          <w:szCs w:val="28"/>
          <w:highlight w:val="none"/>
        </w:rPr>
        <w:t xml:space="preserve">  合同支付</w:t>
      </w:r>
    </w:p>
    <w:p>
      <w:pPr>
        <w:numPr>
          <w:ilvl w:val="255"/>
          <w:numId w:val="0"/>
        </w:numPr>
        <w:adjustRightInd w:val="0"/>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本合同服务费按项目分次支付，</w:t>
      </w:r>
      <w:r>
        <w:rPr>
          <w:rFonts w:ascii="仿宋_GB2312" w:hAnsi="仿宋" w:eastAsia="仿宋_GB2312"/>
          <w:sz w:val="28"/>
          <w:szCs w:val="28"/>
          <w:highlight w:val="none"/>
        </w:rPr>
        <w:t>乙方</w:t>
      </w:r>
      <w:r>
        <w:rPr>
          <w:rFonts w:hint="eastAsia" w:ascii="仿宋_GB2312" w:hAnsi="仿宋" w:eastAsia="仿宋_GB2312"/>
          <w:sz w:val="28"/>
          <w:szCs w:val="28"/>
          <w:highlight w:val="none"/>
        </w:rPr>
        <w:t>每</w:t>
      </w:r>
      <w:r>
        <w:rPr>
          <w:rFonts w:ascii="仿宋_GB2312" w:hAnsi="仿宋" w:eastAsia="仿宋_GB2312"/>
          <w:sz w:val="28"/>
          <w:szCs w:val="28"/>
          <w:highlight w:val="none"/>
        </w:rPr>
        <w:t>出具</w:t>
      </w:r>
      <w:r>
        <w:rPr>
          <w:rFonts w:hint="eastAsia" w:ascii="仿宋_GB2312" w:hAnsi="仿宋" w:eastAsia="仿宋_GB2312"/>
          <w:sz w:val="28"/>
          <w:szCs w:val="28"/>
          <w:highlight w:val="none"/>
        </w:rPr>
        <w:t>一份项目税务专项建议报告（终稿</w:t>
      </w:r>
      <w:r>
        <w:rPr>
          <w:rFonts w:ascii="仿宋_GB2312" w:hAnsi="仿宋" w:eastAsia="仿宋_GB2312"/>
          <w:sz w:val="28"/>
          <w:szCs w:val="28"/>
          <w:highlight w:val="none"/>
        </w:rPr>
        <w:t>）</w:t>
      </w:r>
      <w:r>
        <w:rPr>
          <w:rFonts w:hint="eastAsia" w:ascii="仿宋_GB2312" w:hAnsi="仿宋" w:eastAsia="仿宋_GB2312"/>
          <w:sz w:val="28"/>
          <w:szCs w:val="28"/>
          <w:highlight w:val="none"/>
        </w:rPr>
        <w:t>，且完成服务期内甲方要求的该项目全部工作并得到甲方验收确认后，由乙方根据合同规定向甲方提出书面付款申请，经甲方审核通过后的二十一个工作日内支付。由项目主体支付服务费。</w:t>
      </w:r>
    </w:p>
    <w:p>
      <w:pPr>
        <w:adjustRightInd w:val="0"/>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最后一笔支付需在合同结算完成后支付。</w:t>
      </w:r>
    </w:p>
    <w:p>
      <w:pPr>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乙方需按项目主体开具</w:t>
      </w:r>
      <w:r>
        <w:rPr>
          <w:rFonts w:ascii="仿宋_GB2312" w:hAnsi="仿宋" w:eastAsia="仿宋_GB2312"/>
          <w:sz w:val="28"/>
          <w:szCs w:val="28"/>
          <w:highlight w:val="none"/>
        </w:rPr>
        <w:t>符合国家税务规定</w:t>
      </w:r>
      <w:r>
        <w:rPr>
          <w:rFonts w:hint="eastAsia" w:ascii="仿宋_GB2312" w:hAnsi="仿宋" w:eastAsia="仿宋_GB2312"/>
          <w:sz w:val="28"/>
          <w:szCs w:val="28"/>
          <w:highlight w:val="none"/>
        </w:rPr>
        <w:t>的增值税专用发票，由项目主体支付服务费（包括但不限于下列项目主体）。即：</w:t>
      </w:r>
    </w:p>
    <w:tbl>
      <w:tblPr>
        <w:tblStyle w:val="49"/>
        <w:tblpPr w:leftFromText="180" w:rightFromText="180" w:vertAnchor="text" w:horzAnchor="page" w:tblpXSpec="center" w:tblpY="550"/>
        <w:tblOverlap w:val="never"/>
        <w:tblW w:w="7239" w:type="dxa"/>
        <w:jc w:val="center"/>
        <w:tblLayout w:type="autofit"/>
        <w:tblCellMar>
          <w:top w:w="0" w:type="dxa"/>
          <w:left w:w="108" w:type="dxa"/>
          <w:bottom w:w="0" w:type="dxa"/>
          <w:right w:w="108" w:type="dxa"/>
        </w:tblCellMar>
      </w:tblPr>
      <w:tblGrid>
        <w:gridCol w:w="1094"/>
        <w:gridCol w:w="6145"/>
      </w:tblGrid>
      <w:tr>
        <w:tblPrEx>
          <w:tblCellMar>
            <w:top w:w="0" w:type="dxa"/>
            <w:left w:w="108" w:type="dxa"/>
            <w:bottom w:w="0" w:type="dxa"/>
            <w:right w:w="108" w:type="dxa"/>
          </w:tblCellMar>
        </w:tblPrEx>
        <w:trPr>
          <w:trHeight w:val="488"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 w:hAnsi="仿宋" w:eastAsia="仿宋" w:cs="仿宋"/>
                <w:b/>
                <w:bCs/>
                <w:color w:val="000000"/>
                <w:kern w:val="0"/>
                <w:sz w:val="22"/>
                <w:highlight w:val="none"/>
              </w:rPr>
            </w:pPr>
            <w:r>
              <w:rPr>
                <w:rFonts w:hint="eastAsia" w:ascii="仿宋" w:hAnsi="仿宋" w:eastAsia="仿宋" w:cs="仿宋"/>
                <w:b/>
                <w:bCs/>
                <w:color w:val="000000"/>
                <w:kern w:val="0"/>
                <w:sz w:val="22"/>
                <w:highlight w:val="none"/>
              </w:rPr>
              <w:t>序号</w:t>
            </w:r>
          </w:p>
        </w:tc>
        <w:tc>
          <w:tcPr>
            <w:tcW w:w="614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仿宋" w:hAnsi="仿宋" w:eastAsia="仿宋" w:cs="仿宋"/>
                <w:b/>
                <w:bCs/>
                <w:color w:val="000000"/>
                <w:kern w:val="0"/>
                <w:sz w:val="22"/>
                <w:highlight w:val="none"/>
              </w:rPr>
            </w:pPr>
            <w:r>
              <w:rPr>
                <w:rFonts w:hint="eastAsia" w:ascii="仿宋" w:hAnsi="仿宋" w:eastAsia="仿宋" w:cs="仿宋"/>
                <w:b/>
                <w:bCs/>
                <w:color w:val="000000"/>
                <w:kern w:val="0"/>
                <w:sz w:val="22"/>
                <w:highlight w:val="none"/>
              </w:rPr>
              <w:t>项目主体</w:t>
            </w:r>
          </w:p>
        </w:tc>
      </w:tr>
      <w:tr>
        <w:tblPrEx>
          <w:tblCellMar>
            <w:top w:w="0" w:type="dxa"/>
            <w:left w:w="108" w:type="dxa"/>
            <w:bottom w:w="0" w:type="dxa"/>
            <w:right w:w="108" w:type="dxa"/>
          </w:tblCellMar>
        </w:tblPrEx>
        <w:trPr>
          <w:trHeight w:val="378"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kern w:val="0"/>
                <w:sz w:val="22"/>
                <w:highlight w:val="none"/>
              </w:rPr>
            </w:pPr>
            <w:r>
              <w:rPr>
                <w:rFonts w:hint="eastAsia" w:ascii="仿宋" w:hAnsi="仿宋" w:eastAsia="仿宋" w:cs="仿宋"/>
                <w:color w:val="000000"/>
                <w:kern w:val="0"/>
                <w:sz w:val="24"/>
                <w:szCs w:val="24"/>
                <w:highlight w:val="none"/>
              </w:rPr>
              <w:t>1</w:t>
            </w:r>
          </w:p>
        </w:tc>
        <w:tc>
          <w:tcPr>
            <w:tcW w:w="614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深圳市地铁集团有限公司</w:t>
            </w:r>
          </w:p>
        </w:tc>
      </w:tr>
      <w:tr>
        <w:tblPrEx>
          <w:tblCellMar>
            <w:top w:w="0" w:type="dxa"/>
            <w:left w:w="108" w:type="dxa"/>
            <w:bottom w:w="0" w:type="dxa"/>
            <w:right w:w="108" w:type="dxa"/>
          </w:tblCellMar>
        </w:tblPrEx>
        <w:trPr>
          <w:trHeight w:val="378"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kern w:val="0"/>
                <w:sz w:val="22"/>
                <w:highlight w:val="none"/>
              </w:rPr>
            </w:pPr>
            <w:r>
              <w:rPr>
                <w:rFonts w:hint="eastAsia" w:ascii="仿宋" w:hAnsi="仿宋" w:eastAsia="仿宋" w:cs="仿宋"/>
                <w:color w:val="000000"/>
                <w:kern w:val="0"/>
                <w:sz w:val="22"/>
                <w:highlight w:val="none"/>
              </w:rPr>
              <w:t>2</w:t>
            </w:r>
          </w:p>
        </w:tc>
        <w:tc>
          <w:tcPr>
            <w:tcW w:w="614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深圳地铁前海国际发展有限公司</w:t>
            </w:r>
          </w:p>
        </w:tc>
      </w:tr>
      <w:tr>
        <w:tblPrEx>
          <w:tblCellMar>
            <w:top w:w="0" w:type="dxa"/>
            <w:left w:w="108" w:type="dxa"/>
            <w:bottom w:w="0" w:type="dxa"/>
            <w:right w:w="108" w:type="dxa"/>
          </w:tblCellMar>
        </w:tblPrEx>
        <w:trPr>
          <w:trHeight w:val="398"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w:t>
            </w:r>
          </w:p>
        </w:tc>
        <w:tc>
          <w:tcPr>
            <w:tcW w:w="614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深圳地铁置业集团有限公司</w:t>
            </w:r>
          </w:p>
        </w:tc>
      </w:tr>
    </w:tbl>
    <w:p>
      <w:pPr>
        <w:spacing w:line="360" w:lineRule="auto"/>
        <w:ind w:left="1121" w:leftChars="304" w:right="88" w:rightChars="42" w:hanging="483" w:hangingChars="172"/>
        <w:rPr>
          <w:rFonts w:ascii="仿宋_GB2312" w:hAnsi="仿宋" w:eastAsia="仿宋_GB2312"/>
          <w:sz w:val="28"/>
          <w:szCs w:val="28"/>
          <w:highlight w:val="none"/>
        </w:rPr>
      </w:pPr>
      <w:r>
        <w:rPr>
          <w:rFonts w:hint="eastAsia" w:ascii="仿宋_GB2312" w:hAnsi="仿宋" w:eastAsia="仿宋_GB2312"/>
          <w:b/>
          <w:sz w:val="28"/>
          <w:szCs w:val="28"/>
          <w:highlight w:val="none"/>
        </w:rPr>
        <w:t xml:space="preserve">第四条 </w:t>
      </w:r>
      <w:r>
        <w:rPr>
          <w:rFonts w:hint="eastAsia" w:ascii="仿宋_GB2312" w:hAnsi="仿宋" w:eastAsia="仿宋_GB2312"/>
          <w:sz w:val="28"/>
          <w:szCs w:val="28"/>
          <w:highlight w:val="none"/>
        </w:rPr>
        <w:t xml:space="preserve"> 服务期限</w:t>
      </w:r>
      <w:r>
        <w:rPr>
          <w:rFonts w:ascii="仿宋_GB2312" w:hAnsi="仿宋" w:eastAsia="仿宋_GB2312"/>
          <w:sz w:val="28"/>
          <w:szCs w:val="28"/>
          <w:highlight w:val="none"/>
        </w:rPr>
        <w:t xml:space="preserve"> </w:t>
      </w:r>
    </w:p>
    <w:p>
      <w:pPr>
        <w:rPr>
          <w:rFonts w:ascii="仿宋_GB2312" w:hAnsi="仿宋" w:eastAsia="仿宋_GB2312"/>
          <w:sz w:val="28"/>
          <w:szCs w:val="28"/>
          <w:highlight w:val="none"/>
        </w:rPr>
      </w:pPr>
      <w:r>
        <w:rPr>
          <w:rFonts w:hint="eastAsia" w:ascii="仿宋_GB2312" w:hAnsi="仿宋" w:eastAsia="仿宋_GB2312"/>
          <w:sz w:val="28"/>
          <w:szCs w:val="28"/>
          <w:highlight w:val="none"/>
        </w:rPr>
        <w:t>服务期暂定为3年，自合同签订之日起至乙方配合甲方完成合同约定所有项目税务咨询服务之日止。每个项目的服务期限分别自发出项目任务启动通知单之日起半年内，</w:t>
      </w:r>
      <w:r>
        <w:rPr>
          <w:rFonts w:hint="eastAsia" w:ascii="仿宋_GB2312" w:hAnsi="宋体" w:eastAsia="仿宋_GB2312"/>
          <w:sz w:val="28"/>
          <w:szCs w:val="28"/>
          <w:highlight w:val="none"/>
        </w:rPr>
        <w:t>以实际工作需求为准。</w:t>
      </w:r>
    </w:p>
    <w:p>
      <w:pPr>
        <w:spacing w:line="360" w:lineRule="auto"/>
        <w:ind w:left="2" w:right="210" w:firstLine="565" w:firstLineChars="201"/>
        <w:rPr>
          <w:rFonts w:ascii="仿宋_GB2312" w:hAnsi="宋体" w:eastAsia="仿宋_GB2312"/>
          <w:color w:val="000000"/>
          <w:sz w:val="28"/>
          <w:highlight w:val="none"/>
        </w:rPr>
      </w:pPr>
      <w:r>
        <w:rPr>
          <w:rFonts w:hint="eastAsia" w:ascii="仿宋_GB2312" w:hAnsi="宋体" w:eastAsia="仿宋_GB2312"/>
          <w:b/>
          <w:color w:val="000000"/>
          <w:sz w:val="28"/>
          <w:highlight w:val="none"/>
        </w:rPr>
        <w:t>第</w:t>
      </w:r>
      <w:r>
        <w:rPr>
          <w:rFonts w:hint="eastAsia" w:ascii="仿宋_GB2312" w:eastAsia="仿宋_GB2312"/>
          <w:b/>
          <w:sz w:val="28"/>
          <w:szCs w:val="28"/>
          <w:highlight w:val="none"/>
        </w:rPr>
        <w:t>五</w:t>
      </w:r>
      <w:r>
        <w:rPr>
          <w:rFonts w:hint="eastAsia" w:ascii="仿宋_GB2312" w:hAnsi="宋体" w:eastAsia="仿宋_GB2312"/>
          <w:b/>
          <w:color w:val="000000"/>
          <w:sz w:val="28"/>
          <w:highlight w:val="none"/>
        </w:rPr>
        <w:t>条</w:t>
      </w:r>
      <w:r>
        <w:rPr>
          <w:rFonts w:hint="eastAsia" w:ascii="仿宋_GB2312" w:hAnsi="宋体" w:eastAsia="仿宋_GB2312"/>
          <w:color w:val="000000"/>
          <w:sz w:val="28"/>
          <w:highlight w:val="none"/>
        </w:rPr>
        <w:t xml:space="preserve">  乙方的开户银行、名称和</w:t>
      </w:r>
      <w:r>
        <w:rPr>
          <w:rFonts w:hint="eastAsia" w:ascii="仿宋_GB2312" w:hAnsi="宋体" w:eastAsia="仿宋_GB2312"/>
          <w:color w:val="000000"/>
          <w:sz w:val="28"/>
          <w:highlight w:val="none"/>
          <w:lang w:val="en-US" w:eastAsia="zh-CN"/>
        </w:rPr>
        <w:t>账</w:t>
      </w:r>
      <w:r>
        <w:rPr>
          <w:rFonts w:hint="eastAsia" w:ascii="仿宋_GB2312" w:hAnsi="宋体" w:eastAsia="仿宋_GB2312"/>
          <w:color w:val="000000"/>
          <w:sz w:val="28"/>
          <w:highlight w:val="none"/>
        </w:rPr>
        <w:t>号</w:t>
      </w:r>
    </w:p>
    <w:p>
      <w:pPr>
        <w:spacing w:line="360" w:lineRule="auto"/>
        <w:ind w:left="2" w:right="210" w:firstLine="562" w:firstLineChars="201"/>
        <w:rPr>
          <w:rFonts w:ascii="仿宋_GB2312" w:hAnsi="宋体" w:eastAsia="仿宋_GB2312"/>
          <w:color w:val="000000"/>
          <w:sz w:val="28"/>
          <w:highlight w:val="none"/>
        </w:rPr>
      </w:pPr>
      <w:r>
        <w:rPr>
          <w:rFonts w:hint="eastAsia" w:ascii="仿宋_GB2312" w:hAnsi="宋体" w:eastAsia="仿宋_GB2312"/>
          <w:color w:val="000000"/>
          <w:sz w:val="28"/>
          <w:highlight w:val="none"/>
        </w:rPr>
        <w:t xml:space="preserve">开户名称： </w:t>
      </w:r>
    </w:p>
    <w:p>
      <w:pPr>
        <w:spacing w:line="360" w:lineRule="auto"/>
        <w:ind w:left="2" w:right="210" w:firstLine="562" w:firstLineChars="201"/>
        <w:rPr>
          <w:rFonts w:ascii="仿宋_GB2312" w:hAnsi="宋体" w:eastAsia="仿宋_GB2312"/>
          <w:color w:val="000000"/>
          <w:sz w:val="28"/>
          <w:highlight w:val="none"/>
        </w:rPr>
      </w:pPr>
      <w:r>
        <w:rPr>
          <w:rFonts w:hint="eastAsia" w:ascii="仿宋_GB2312" w:hAnsi="宋体" w:eastAsia="仿宋_GB2312"/>
          <w:color w:val="000000"/>
          <w:sz w:val="28"/>
          <w:highlight w:val="none"/>
        </w:rPr>
        <w:t xml:space="preserve">开户银行： </w:t>
      </w:r>
    </w:p>
    <w:p>
      <w:pPr>
        <w:overflowPunct w:val="0"/>
        <w:autoSpaceDE w:val="0"/>
        <w:autoSpaceDN w:val="0"/>
        <w:adjustRightInd w:val="0"/>
        <w:snapToGrid w:val="0"/>
        <w:spacing w:line="360" w:lineRule="auto"/>
        <w:ind w:right="210" w:firstLine="562" w:firstLineChars="201"/>
        <w:jc w:val="left"/>
        <w:textAlignment w:val="bottom"/>
        <w:rPr>
          <w:rFonts w:ascii="仿宋_GB2312" w:hAnsi="宋体" w:eastAsia="仿宋_GB2312"/>
          <w:color w:val="000000"/>
          <w:sz w:val="28"/>
          <w:highlight w:val="none"/>
        </w:rPr>
      </w:pPr>
      <w:r>
        <w:rPr>
          <w:rFonts w:hint="eastAsia" w:ascii="仿宋_GB2312" w:hAnsi="宋体" w:eastAsia="仿宋_GB2312"/>
          <w:color w:val="000000"/>
          <w:sz w:val="28"/>
          <w:highlight w:val="none"/>
        </w:rPr>
        <w:t>银行</w:t>
      </w:r>
      <w:r>
        <w:rPr>
          <w:rFonts w:hint="eastAsia" w:ascii="仿宋_GB2312" w:hAnsi="宋体" w:eastAsia="仿宋_GB2312"/>
          <w:color w:val="000000"/>
          <w:sz w:val="28"/>
          <w:highlight w:val="none"/>
          <w:lang w:val="en-US" w:eastAsia="zh-CN"/>
        </w:rPr>
        <w:t>账</w:t>
      </w:r>
      <w:bookmarkStart w:id="123" w:name="_GoBack"/>
      <w:bookmarkEnd w:id="123"/>
      <w:r>
        <w:rPr>
          <w:rFonts w:hint="eastAsia" w:ascii="仿宋_GB2312" w:hAnsi="宋体" w:eastAsia="仿宋_GB2312"/>
          <w:color w:val="000000"/>
          <w:sz w:val="28"/>
          <w:highlight w:val="none"/>
        </w:rPr>
        <w:t xml:space="preserve">号： </w:t>
      </w:r>
    </w:p>
    <w:p>
      <w:pPr>
        <w:overflowPunct w:val="0"/>
        <w:autoSpaceDE w:val="0"/>
        <w:autoSpaceDN w:val="0"/>
        <w:adjustRightInd w:val="0"/>
        <w:snapToGrid w:val="0"/>
        <w:spacing w:line="360" w:lineRule="auto"/>
        <w:ind w:right="210" w:firstLine="565" w:firstLineChars="201"/>
        <w:jc w:val="left"/>
        <w:textAlignment w:val="bottom"/>
        <w:rPr>
          <w:rFonts w:ascii="仿宋_GB2312" w:hAnsi="宋体" w:eastAsia="仿宋_GB2312"/>
          <w:color w:val="000000"/>
          <w:sz w:val="28"/>
          <w:highlight w:val="none"/>
        </w:rPr>
      </w:pPr>
      <w:r>
        <w:rPr>
          <w:rFonts w:hint="eastAsia" w:ascii="仿宋_GB2312" w:eastAsia="仿宋_GB2312"/>
          <w:b/>
          <w:sz w:val="28"/>
          <w:szCs w:val="28"/>
          <w:highlight w:val="none"/>
        </w:rPr>
        <w:t>第</w:t>
      </w:r>
      <w:r>
        <w:rPr>
          <w:rFonts w:hint="eastAsia" w:ascii="仿宋_GB2312" w:hAnsi="宋体" w:eastAsia="仿宋_GB2312"/>
          <w:b/>
          <w:color w:val="000000"/>
          <w:sz w:val="28"/>
          <w:highlight w:val="none"/>
        </w:rPr>
        <w:t>六</w:t>
      </w:r>
      <w:r>
        <w:rPr>
          <w:rFonts w:hint="eastAsia" w:ascii="仿宋_GB2312" w:eastAsia="仿宋_GB2312"/>
          <w:b/>
          <w:sz w:val="28"/>
          <w:szCs w:val="28"/>
          <w:highlight w:val="none"/>
        </w:rPr>
        <w:t>条</w:t>
      </w:r>
      <w:r>
        <w:rPr>
          <w:rFonts w:hint="eastAsia" w:ascii="仿宋_GB2312" w:eastAsia="仿宋_GB2312"/>
          <w:sz w:val="28"/>
          <w:szCs w:val="28"/>
          <w:highlight w:val="none"/>
        </w:rPr>
        <w:t xml:space="preserve">  </w:t>
      </w:r>
      <w:r>
        <w:rPr>
          <w:rFonts w:hint="eastAsia" w:ascii="仿宋_GB2312" w:hAnsi="宋体" w:eastAsia="仿宋_GB2312"/>
          <w:color w:val="000000"/>
          <w:sz w:val="28"/>
          <w:highlight w:val="none"/>
        </w:rPr>
        <w:t>双方确定，按以下标准和方式对乙方完成的税务咨询工作成果进行提交:</w:t>
      </w:r>
    </w:p>
    <w:p>
      <w:pPr>
        <w:overflowPunct w:val="0"/>
        <w:autoSpaceDE w:val="0"/>
        <w:autoSpaceDN w:val="0"/>
        <w:adjustRightInd w:val="0"/>
        <w:snapToGrid w:val="0"/>
        <w:spacing w:line="360" w:lineRule="auto"/>
        <w:ind w:right="210" w:firstLine="560" w:firstLineChars="200"/>
        <w:jc w:val="left"/>
        <w:textAlignment w:val="bottom"/>
        <w:rPr>
          <w:rFonts w:ascii="仿宋_GB2312" w:hAnsi="宋体" w:eastAsia="仿宋_GB2312"/>
          <w:color w:val="000000"/>
          <w:sz w:val="28"/>
          <w:highlight w:val="none"/>
        </w:rPr>
      </w:pPr>
      <w:r>
        <w:rPr>
          <w:rFonts w:hint="eastAsia" w:ascii="仿宋_GB2312" w:hAnsi="宋体" w:eastAsia="仿宋_GB2312"/>
          <w:color w:val="000000"/>
          <w:sz w:val="28"/>
          <w:highlight w:val="none"/>
        </w:rPr>
        <w:t>1、乙方提交</w:t>
      </w:r>
      <w:r>
        <w:rPr>
          <w:rFonts w:hint="eastAsia" w:ascii="仿宋_GB2312" w:hAnsi="仿宋" w:eastAsia="仿宋_GB2312"/>
          <w:sz w:val="28"/>
          <w:szCs w:val="28"/>
          <w:highlight w:val="none"/>
        </w:rPr>
        <w:t>税务测算及管理建议方案</w:t>
      </w:r>
      <w:r>
        <w:rPr>
          <w:rFonts w:hint="eastAsia" w:ascii="仿宋_GB2312" w:hAnsi="宋体" w:eastAsia="仿宋_GB2312"/>
          <w:color w:val="000000"/>
          <w:sz w:val="28"/>
          <w:highlight w:val="none"/>
        </w:rPr>
        <w:t>形式：</w:t>
      </w:r>
      <w:r>
        <w:rPr>
          <w:rFonts w:hint="eastAsia" w:ascii="仿宋_GB2312" w:hAnsi="仿宋" w:eastAsia="仿宋_GB2312"/>
          <w:sz w:val="28"/>
          <w:szCs w:val="28"/>
          <w:highlight w:val="none"/>
        </w:rPr>
        <w:t>乙方完成</w:t>
      </w:r>
      <w:r>
        <w:rPr>
          <w:rFonts w:hint="eastAsia" w:ascii="仿宋_GB2312" w:hAnsi="宋体" w:eastAsia="仿宋_GB2312"/>
          <w:color w:val="000000"/>
          <w:sz w:val="28"/>
          <w:highlight w:val="none"/>
        </w:rPr>
        <w:t>赤湾等新项目</w:t>
      </w:r>
      <w:r>
        <w:rPr>
          <w:rFonts w:hint="eastAsia" w:ascii="仿宋_GB2312" w:hAnsi="仿宋" w:eastAsia="仿宋_GB2312"/>
          <w:sz w:val="28"/>
          <w:szCs w:val="28"/>
          <w:highlight w:val="none"/>
        </w:rPr>
        <w:t>税务测算及管理建议，应向甲方提交税务测算方案及管理建议（乙方审核并盖章），</w:t>
      </w:r>
      <w:r>
        <w:rPr>
          <w:rFonts w:hint="eastAsia" w:ascii="仿宋_GB2312" w:hAnsi="宋体" w:eastAsia="仿宋_GB2312"/>
          <w:color w:val="000000"/>
          <w:sz w:val="28"/>
          <w:highlight w:val="none"/>
        </w:rPr>
        <w:t>内容可拷贝的电子文本（PDF、WORD、EXCEL格式）。</w:t>
      </w:r>
    </w:p>
    <w:p>
      <w:pPr>
        <w:overflowPunct w:val="0"/>
        <w:autoSpaceDE w:val="0"/>
        <w:autoSpaceDN w:val="0"/>
        <w:adjustRightInd w:val="0"/>
        <w:snapToGrid w:val="0"/>
        <w:spacing w:line="360" w:lineRule="auto"/>
        <w:ind w:right="210" w:firstLine="560" w:firstLineChars="200"/>
        <w:jc w:val="left"/>
        <w:textAlignment w:val="bottom"/>
        <w:rPr>
          <w:rFonts w:ascii="仿宋_GB2312" w:hAnsi="宋体" w:eastAsia="仿宋_GB2312"/>
          <w:color w:val="000000"/>
          <w:sz w:val="28"/>
          <w:highlight w:val="none"/>
        </w:rPr>
      </w:pPr>
      <w:r>
        <w:rPr>
          <w:rFonts w:hint="eastAsia" w:ascii="仿宋_GB2312" w:hAnsi="宋体" w:eastAsia="仿宋_GB2312"/>
          <w:color w:val="000000"/>
          <w:sz w:val="28"/>
          <w:highlight w:val="none"/>
        </w:rPr>
        <w:t>2、工作成果提交的时间和地点：依工作进度，深圳市。</w:t>
      </w:r>
    </w:p>
    <w:p>
      <w:pPr>
        <w:spacing w:line="360" w:lineRule="auto"/>
        <w:ind w:right="210" w:firstLine="568" w:firstLineChars="202"/>
        <w:rPr>
          <w:rFonts w:ascii="仿宋_GB2312" w:hAnsi="宋体" w:eastAsia="仿宋_GB2312"/>
          <w:color w:val="000000"/>
          <w:sz w:val="28"/>
          <w:szCs w:val="28"/>
          <w:highlight w:val="none"/>
        </w:rPr>
      </w:pPr>
      <w:r>
        <w:rPr>
          <w:rFonts w:hint="eastAsia" w:ascii="仿宋_GB2312" w:hAnsi="宋体" w:eastAsia="仿宋_GB2312"/>
          <w:b/>
          <w:color w:val="000000"/>
          <w:sz w:val="28"/>
          <w:highlight w:val="none"/>
        </w:rPr>
        <w:t>第七条</w:t>
      </w:r>
      <w:r>
        <w:rPr>
          <w:rFonts w:hint="eastAsia" w:ascii="仿宋_GB2312" w:hAnsi="宋体" w:eastAsia="仿宋_GB2312"/>
          <w:color w:val="000000"/>
          <w:sz w:val="28"/>
          <w:highlight w:val="none"/>
        </w:rPr>
        <w:t xml:space="preserve">  </w:t>
      </w:r>
      <w:r>
        <w:rPr>
          <w:rFonts w:hint="eastAsia" w:ascii="仿宋_GB2312" w:hAnsi="宋体" w:eastAsia="仿宋_GB2312"/>
          <w:color w:val="000000"/>
          <w:sz w:val="28"/>
          <w:szCs w:val="28"/>
          <w:highlight w:val="none"/>
        </w:rPr>
        <w:t>知识产权</w:t>
      </w:r>
    </w:p>
    <w:p>
      <w:pPr>
        <w:widowControl/>
        <w:adjustRightInd w:val="0"/>
        <w:snapToGrid w:val="0"/>
        <w:spacing w:line="360" w:lineRule="auto"/>
        <w:ind w:right="210" w:firstLine="565" w:firstLineChars="202"/>
        <w:jc w:val="left"/>
        <w:rPr>
          <w:rFonts w:ascii="仿宋_GB2312" w:eastAsia="仿宋_GB2312"/>
          <w:color w:val="000000"/>
          <w:sz w:val="28"/>
          <w:szCs w:val="28"/>
          <w:highlight w:val="none"/>
        </w:rPr>
      </w:pPr>
      <w:r>
        <w:rPr>
          <w:rFonts w:ascii="仿宋_GB2312" w:eastAsia="仿宋_GB2312"/>
          <w:color w:val="000000"/>
          <w:sz w:val="28"/>
          <w:szCs w:val="28"/>
          <w:highlight w:val="none"/>
        </w:rPr>
        <w:t>1</w:t>
      </w:r>
      <w:r>
        <w:rPr>
          <w:rFonts w:hint="eastAsia" w:ascii="仿宋_GB2312" w:eastAsia="仿宋_GB2312"/>
          <w:color w:val="000000"/>
          <w:sz w:val="28"/>
          <w:szCs w:val="28"/>
          <w:highlight w:val="none"/>
        </w:rPr>
        <w:t>、因履行本合同所产生的研究成果及其相关知识产权权利归属甲方所有，乙方未经甲方书面允许不得擅自使用或提供给第三方。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widowControl/>
        <w:adjustRightInd w:val="0"/>
        <w:snapToGrid w:val="0"/>
        <w:spacing w:line="360" w:lineRule="auto"/>
        <w:ind w:left="2" w:right="210" w:firstLine="562" w:firstLineChars="201"/>
        <w:jc w:val="left"/>
        <w:rPr>
          <w:rFonts w:ascii="仿宋_GB2312" w:eastAsia="仿宋_GB2312"/>
          <w:color w:val="000000"/>
          <w:sz w:val="28"/>
          <w:szCs w:val="28"/>
          <w:highlight w:val="none"/>
        </w:rPr>
      </w:pPr>
      <w:r>
        <w:rPr>
          <w:rFonts w:hint="eastAsia" w:ascii="仿宋_GB2312" w:hAnsi="宋体" w:eastAsia="仿宋_GB2312"/>
          <w:color w:val="000000"/>
          <w:sz w:val="28"/>
          <w:szCs w:val="28"/>
          <w:highlight w:val="none"/>
        </w:rPr>
        <w:t>2、</w:t>
      </w:r>
      <w:r>
        <w:rPr>
          <w:rFonts w:hint="eastAsia" w:ascii="仿宋_GB2312" w:eastAsia="仿宋_GB2312"/>
          <w:color w:val="000000"/>
          <w:sz w:val="28"/>
          <w:szCs w:val="28"/>
          <w:highlight w:val="none"/>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委托方提交未使用第三人知识产权的《承诺书》。</w:t>
      </w:r>
    </w:p>
    <w:p>
      <w:pPr>
        <w:widowControl/>
        <w:adjustRightInd w:val="0"/>
        <w:snapToGrid w:val="0"/>
        <w:spacing w:line="360" w:lineRule="auto"/>
        <w:ind w:left="2" w:right="210" w:firstLine="562" w:firstLineChars="201"/>
        <w:jc w:val="left"/>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widowControl/>
        <w:adjustRightInd w:val="0"/>
        <w:snapToGrid w:val="0"/>
        <w:spacing w:line="360" w:lineRule="auto"/>
        <w:ind w:left="2" w:right="210" w:firstLine="562" w:firstLineChars="201"/>
        <w:jc w:val="left"/>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4、在甲方遵守本合同规定的前提下，因乙方提交的成果或服务导致第三人的任何专利、</w:t>
      </w:r>
      <w:r>
        <w:rPr>
          <w:rFonts w:hint="eastAsia" w:ascii="仿宋_GB2312" w:eastAsia="仿宋_GB2312"/>
          <w:color w:val="000000"/>
          <w:sz w:val="28"/>
          <w:szCs w:val="28"/>
          <w:highlight w:val="none"/>
        </w:rPr>
        <w:t>专有技术、技术秘密、商业秘密、著作权、商标权</w:t>
      </w:r>
      <w:r>
        <w:rPr>
          <w:rFonts w:hint="eastAsia" w:ascii="仿宋_GB2312" w:hAnsi="宋体" w:eastAsia="仿宋_GB2312"/>
          <w:color w:val="000000"/>
          <w:sz w:val="28"/>
          <w:szCs w:val="28"/>
          <w:highlight w:val="none"/>
        </w:rPr>
        <w:t>等知识产权及其他相关权利受到侵犯或声称受到侵犯，乙方应保证甲方免受第三人追偿。因乙方侵犯第三人权利导致甲方的任何利益损失，乙方承诺予以偿还。</w:t>
      </w:r>
    </w:p>
    <w:p>
      <w:pPr>
        <w:spacing w:line="360" w:lineRule="auto"/>
        <w:ind w:left="2" w:right="210" w:firstLine="562" w:firstLineChars="201"/>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5、乙方违反上述条款有关约定的，单次违约应当向甲方支付合同价款</w:t>
      </w:r>
      <w:r>
        <w:rPr>
          <w:rFonts w:ascii="仿宋_GB2312" w:hAnsi="宋体" w:eastAsia="仿宋_GB2312"/>
          <w:color w:val="000000"/>
          <w:sz w:val="28"/>
          <w:szCs w:val="28"/>
          <w:highlight w:val="none"/>
        </w:rPr>
        <w:t>20%</w:t>
      </w:r>
      <w:r>
        <w:rPr>
          <w:rFonts w:hint="eastAsia" w:ascii="仿宋_GB2312" w:hAnsi="宋体" w:eastAsia="仿宋_GB2312"/>
          <w:color w:val="000000"/>
          <w:sz w:val="28"/>
          <w:szCs w:val="28"/>
          <w:highlight w:val="none"/>
        </w:rPr>
        <w:t>的违约金。</w:t>
      </w:r>
    </w:p>
    <w:p>
      <w:pPr>
        <w:spacing w:line="360" w:lineRule="auto"/>
        <w:ind w:left="2" w:right="210" w:firstLine="565" w:firstLineChars="201"/>
        <w:rPr>
          <w:rFonts w:ascii="仿宋_GB2312" w:hAnsi="宋体" w:eastAsia="仿宋_GB2312"/>
          <w:color w:val="000000"/>
          <w:sz w:val="28"/>
          <w:highlight w:val="none"/>
        </w:rPr>
      </w:pPr>
      <w:r>
        <w:rPr>
          <w:rFonts w:hint="eastAsia" w:ascii="仿宋_GB2312" w:hAnsi="宋体" w:eastAsia="仿宋_GB2312"/>
          <w:b/>
          <w:color w:val="000000"/>
          <w:sz w:val="28"/>
          <w:highlight w:val="none"/>
        </w:rPr>
        <w:t>第八条</w:t>
      </w:r>
      <w:r>
        <w:rPr>
          <w:rFonts w:hint="eastAsia" w:ascii="仿宋_GB2312" w:hAnsi="宋体" w:eastAsia="仿宋_GB2312"/>
          <w:color w:val="000000"/>
          <w:sz w:val="28"/>
          <w:highlight w:val="none"/>
        </w:rPr>
        <w:t xml:space="preserve">   保密条款</w:t>
      </w:r>
    </w:p>
    <w:p>
      <w:pPr>
        <w:spacing w:line="360" w:lineRule="auto"/>
        <w:ind w:left="2" w:right="210" w:firstLine="562" w:firstLineChars="201"/>
        <w:rPr>
          <w:rFonts w:ascii="仿宋_GB2312" w:hAnsi="宋体" w:eastAsia="仿宋_GB2312"/>
          <w:color w:val="000000"/>
          <w:sz w:val="28"/>
          <w:highlight w:val="none"/>
        </w:rPr>
      </w:pPr>
      <w:r>
        <w:rPr>
          <w:rFonts w:hint="eastAsia" w:ascii="仿宋_GB2312" w:hAnsi="宋体" w:eastAsia="仿宋_GB2312"/>
          <w:color w:val="000000"/>
          <w:sz w:val="28"/>
          <w:highlight w:val="none"/>
        </w:rPr>
        <w:t xml:space="preserve">乙方应当妥善保管甲方提供的资料，保守甲方的各项秘密。未经甲方同意，不得利用知悉的属于甲方的成果和资料为自己或第三方谋取利益。 </w:t>
      </w:r>
    </w:p>
    <w:p>
      <w:pPr>
        <w:spacing w:line="360" w:lineRule="auto"/>
        <w:ind w:left="2" w:right="210" w:firstLine="565" w:firstLineChars="201"/>
        <w:rPr>
          <w:rFonts w:ascii="仿宋_GB2312" w:hAnsi="宋体" w:eastAsia="仿宋_GB2312"/>
          <w:b/>
          <w:color w:val="000000"/>
          <w:sz w:val="28"/>
          <w:highlight w:val="none"/>
        </w:rPr>
      </w:pPr>
      <w:r>
        <w:rPr>
          <w:rFonts w:hint="eastAsia" w:ascii="仿宋_GB2312" w:hAnsi="宋体" w:eastAsia="仿宋_GB2312"/>
          <w:b/>
          <w:color w:val="000000"/>
          <w:sz w:val="28"/>
          <w:highlight w:val="none"/>
        </w:rPr>
        <w:t>第九条</w:t>
      </w:r>
      <w:r>
        <w:rPr>
          <w:rFonts w:hint="eastAsia" w:ascii="仿宋_GB2312" w:hAnsi="宋体" w:eastAsia="仿宋_GB2312"/>
          <w:color w:val="000000"/>
          <w:sz w:val="28"/>
          <w:highlight w:val="none"/>
        </w:rPr>
        <w:t xml:space="preserve">  本合同变更必须由双方协商一致，并以书面形式确定。</w:t>
      </w:r>
    </w:p>
    <w:p>
      <w:pPr>
        <w:tabs>
          <w:tab w:val="left" w:pos="2127"/>
        </w:tabs>
        <w:spacing w:line="360" w:lineRule="auto"/>
        <w:ind w:left="2" w:right="210" w:firstLine="565" w:firstLineChars="201"/>
        <w:rPr>
          <w:rFonts w:ascii="仿宋_GB2312" w:hAnsi="宋体" w:eastAsia="仿宋_GB2312"/>
          <w:color w:val="000000"/>
          <w:sz w:val="32"/>
          <w:highlight w:val="none"/>
        </w:rPr>
      </w:pPr>
      <w:r>
        <w:rPr>
          <w:rFonts w:hint="eastAsia" w:ascii="仿宋_GB2312" w:hAnsi="宋体" w:eastAsia="仿宋_GB2312"/>
          <w:b/>
          <w:color w:val="000000"/>
          <w:sz w:val="28"/>
          <w:highlight w:val="none"/>
        </w:rPr>
        <w:t>第十条</w:t>
      </w:r>
      <w:r>
        <w:rPr>
          <w:rFonts w:hint="eastAsia" w:ascii="仿宋_GB2312" w:hAnsi="宋体" w:eastAsia="仿宋_GB2312"/>
          <w:color w:val="000000"/>
          <w:sz w:val="32"/>
          <w:highlight w:val="none"/>
        </w:rPr>
        <w:t xml:space="preserve">  违</w:t>
      </w:r>
      <w:r>
        <w:rPr>
          <w:rFonts w:ascii="仿宋_GB2312" w:hAnsi="宋体" w:eastAsia="仿宋_GB2312"/>
          <w:color w:val="000000"/>
          <w:sz w:val="32"/>
          <w:highlight w:val="none"/>
        </w:rPr>
        <w:t>约责任</w:t>
      </w:r>
    </w:p>
    <w:p>
      <w:pPr>
        <w:tabs>
          <w:tab w:val="left" w:pos="2127"/>
        </w:tabs>
        <w:spacing w:line="360" w:lineRule="auto"/>
        <w:ind w:left="2" w:right="210" w:firstLine="565" w:firstLineChars="201"/>
        <w:rPr>
          <w:rFonts w:ascii="仿宋_GB2312" w:hAnsi="宋体" w:eastAsia="仿宋_GB2312"/>
          <w:b/>
          <w:color w:val="000000"/>
          <w:sz w:val="28"/>
          <w:highlight w:val="none"/>
        </w:rPr>
      </w:pPr>
      <w:r>
        <w:rPr>
          <w:rFonts w:hint="eastAsia" w:ascii="仿宋_GB2312" w:hAnsi="宋体" w:eastAsia="仿宋_GB2312"/>
          <w:b/>
          <w:color w:val="000000"/>
          <w:sz w:val="28"/>
          <w:highlight w:val="none"/>
        </w:rPr>
        <w:t>（</w:t>
      </w:r>
      <w:r>
        <w:rPr>
          <w:rFonts w:ascii="仿宋_GB2312" w:hAnsi="宋体" w:eastAsia="仿宋_GB2312"/>
          <w:b/>
          <w:color w:val="000000"/>
          <w:sz w:val="28"/>
          <w:highlight w:val="none"/>
        </w:rPr>
        <w:t>一）</w:t>
      </w:r>
      <w:r>
        <w:rPr>
          <w:rFonts w:hint="eastAsia" w:ascii="仿宋_GB2312" w:hAnsi="宋体" w:eastAsia="仿宋_GB2312"/>
          <w:color w:val="000000"/>
          <w:sz w:val="28"/>
          <w:highlight w:val="none"/>
        </w:rPr>
        <w:t>双方确定：任何一方违反本协议约定，造成咨询工作停滞、延误或终止的，按以下约定承担违约责任：</w:t>
      </w:r>
    </w:p>
    <w:p>
      <w:pPr>
        <w:spacing w:line="360" w:lineRule="auto"/>
        <w:ind w:left="2" w:right="210" w:firstLine="562" w:firstLineChars="201"/>
        <w:rPr>
          <w:rFonts w:ascii="仿宋_GB2312" w:hAnsi="宋体" w:eastAsia="仿宋_GB2312"/>
          <w:sz w:val="28"/>
          <w:highlight w:val="none"/>
        </w:rPr>
      </w:pPr>
      <w:r>
        <w:rPr>
          <w:rFonts w:hint="eastAsia" w:ascii="仿宋_GB2312" w:hAnsi="宋体" w:eastAsia="仿宋_GB2312"/>
          <w:sz w:val="28"/>
          <w:highlight w:val="none"/>
        </w:rPr>
        <w:t>1、甲方违反本合同规定的，单次违约应当支付合同额5%违约金。</w:t>
      </w:r>
    </w:p>
    <w:p>
      <w:pPr>
        <w:spacing w:line="360" w:lineRule="auto"/>
        <w:ind w:left="2" w:right="210" w:firstLine="562" w:firstLineChars="201"/>
        <w:rPr>
          <w:rFonts w:ascii="仿宋_GB2312" w:hAnsi="宋体" w:eastAsia="仿宋_GB2312"/>
          <w:color w:val="000000"/>
          <w:sz w:val="28"/>
          <w:highlight w:val="none"/>
        </w:rPr>
      </w:pPr>
      <w:r>
        <w:rPr>
          <w:rFonts w:hint="eastAsia" w:ascii="仿宋_GB2312" w:hAnsi="宋体" w:eastAsia="仿宋_GB2312"/>
          <w:sz w:val="28"/>
          <w:highlight w:val="none"/>
        </w:rPr>
        <w:t>2、乙方违反本合同规定的，单次违约应当支付合同额5%违约金。</w:t>
      </w:r>
    </w:p>
    <w:p>
      <w:pPr>
        <w:spacing w:line="360" w:lineRule="auto"/>
        <w:ind w:left="2" w:right="210" w:firstLine="562" w:firstLineChars="201"/>
        <w:rPr>
          <w:rFonts w:ascii="仿宋_GB2312" w:hAnsi="宋体" w:eastAsia="仿宋_GB2312"/>
          <w:color w:val="000000"/>
          <w:sz w:val="28"/>
          <w:highlight w:val="none"/>
        </w:rPr>
      </w:pPr>
      <w:r>
        <w:rPr>
          <w:rFonts w:hint="eastAsia" w:ascii="仿宋_GB2312" w:hAnsi="宋体" w:eastAsia="仿宋_GB2312"/>
          <w:color w:val="000000"/>
          <w:sz w:val="28"/>
          <w:szCs w:val="28"/>
          <w:highlight w:val="none"/>
        </w:rPr>
        <w:t>3、乙方所有的违约金由甲方在应支付的服务费中扣除，违约金</w:t>
      </w:r>
      <w:r>
        <w:rPr>
          <w:rFonts w:hint="eastAsia" w:ascii="仿宋_GB2312" w:hAnsi="宋体" w:eastAsia="仿宋_GB2312"/>
          <w:color w:val="000000"/>
          <w:sz w:val="28"/>
          <w:highlight w:val="none"/>
        </w:rPr>
        <w:t>额不超过甲方已支付给乙方的咨询服务费用。</w:t>
      </w:r>
    </w:p>
    <w:p>
      <w:pPr>
        <w:pStyle w:val="2"/>
        <w:spacing w:line="360" w:lineRule="auto"/>
        <w:ind w:left="0" w:leftChars="0" w:right="210" w:firstLine="562" w:firstLineChars="201"/>
        <w:rPr>
          <w:rFonts w:hint="eastAsia" w:ascii="仿宋_GB2312" w:hAnsi="宋体" w:eastAsia="仿宋_GB2312"/>
          <w:color w:val="000000"/>
          <w:sz w:val="28"/>
          <w:highlight w:val="none"/>
        </w:rPr>
      </w:pPr>
      <w:r>
        <w:rPr>
          <w:rFonts w:hint="eastAsia" w:ascii="仿宋_GB2312" w:hAnsi="宋体" w:eastAsia="仿宋_GB2312"/>
          <w:sz w:val="28"/>
          <w:highlight w:val="none"/>
        </w:rPr>
        <w:t>（</w:t>
      </w:r>
      <w:r>
        <w:rPr>
          <w:rFonts w:ascii="仿宋_GB2312" w:hAnsi="宋体" w:eastAsia="仿宋_GB2312"/>
          <w:sz w:val="28"/>
          <w:highlight w:val="none"/>
        </w:rPr>
        <w:t>二）</w:t>
      </w:r>
      <w:r>
        <w:rPr>
          <w:rFonts w:hint="eastAsia" w:ascii="仿宋_GB2312" w:hAnsi="宋体" w:eastAsia="仿宋_GB2312" w:cs="Calibri"/>
          <w:sz w:val="28"/>
          <w:szCs w:val="32"/>
          <w:highlight w:val="none"/>
        </w:rPr>
        <w:t>因乙方</w:t>
      </w:r>
      <w:r>
        <w:rPr>
          <w:rFonts w:hint="eastAsia" w:ascii="仿宋_GB2312" w:hAnsi="宋体" w:eastAsia="仿宋_GB2312"/>
          <w:sz w:val="28"/>
          <w:highlight w:val="none"/>
        </w:rPr>
        <w:t>无正当理由单方解除合同，或因乙方无正当理由不提供本合同约定的</w:t>
      </w:r>
      <w:r>
        <w:rPr>
          <w:rFonts w:hint="eastAsia" w:ascii="仿宋_GB2312" w:hAnsi="宋体" w:eastAsia="仿宋_GB2312" w:cs="Calibri"/>
          <w:sz w:val="28"/>
          <w:szCs w:val="32"/>
          <w:highlight w:val="none"/>
        </w:rPr>
        <w:t>服务或者违反本合同约定的义务，导致甲方解除合同的，甲方有权要求乙方退还尚未提供的服务的费用，同时乙方还应按合同总额的10%向甲方支付违约金。</w:t>
      </w:r>
    </w:p>
    <w:p>
      <w:pPr>
        <w:spacing w:line="360" w:lineRule="auto"/>
        <w:ind w:left="2" w:right="210" w:firstLine="565" w:firstLineChars="201"/>
        <w:rPr>
          <w:rFonts w:ascii="仿宋_GB2312" w:hAnsi="宋体" w:eastAsia="仿宋_GB2312"/>
          <w:color w:val="000000"/>
          <w:sz w:val="28"/>
          <w:highlight w:val="none"/>
        </w:rPr>
      </w:pPr>
      <w:r>
        <w:rPr>
          <w:rFonts w:hint="eastAsia" w:ascii="仿宋_GB2312" w:hAnsi="宋体" w:eastAsia="仿宋_GB2312"/>
          <w:b/>
          <w:color w:val="000000"/>
          <w:sz w:val="28"/>
          <w:highlight w:val="none"/>
        </w:rPr>
        <w:t>第十一条</w:t>
      </w:r>
      <w:r>
        <w:rPr>
          <w:rFonts w:hint="eastAsia" w:ascii="仿宋_GB2312" w:hAnsi="宋体" w:eastAsia="仿宋_GB2312"/>
          <w:color w:val="000000"/>
          <w:sz w:val="28"/>
          <w:highlight w:val="none"/>
        </w:rPr>
        <w:t xml:space="preserve">  双方确定，因发生不可抗力致使本协议的履行成为不必要或不可能的，双方应及时协商解决。本条所指不可抗力包括因战争、动乱或其他非甲乙方责任造成的爆炸、火灾及其他不能预见、不能避免并不能克服的客观情况。</w:t>
      </w:r>
    </w:p>
    <w:p>
      <w:pPr>
        <w:pStyle w:val="21"/>
        <w:ind w:firstLine="480"/>
        <w:rPr>
          <w:rFonts w:ascii="仿宋_GB2312" w:hAnsi="宋体" w:eastAsia="仿宋_GB2312"/>
          <w:color w:val="000000"/>
          <w:sz w:val="28"/>
          <w:highlight w:val="none"/>
        </w:rPr>
      </w:pPr>
      <w:r>
        <w:rPr>
          <w:rFonts w:hint="eastAsia" w:ascii="仿宋_GB2312" w:hAnsi="宋体" w:eastAsia="仿宋_GB2312"/>
          <w:b/>
          <w:color w:val="000000"/>
          <w:sz w:val="28"/>
          <w:highlight w:val="none"/>
        </w:rPr>
        <w:t xml:space="preserve">第十二条 </w:t>
      </w:r>
      <w:r>
        <w:rPr>
          <w:rFonts w:hint="eastAsia" w:ascii="仿宋_GB2312" w:hAnsi="宋体" w:eastAsia="仿宋_GB2312"/>
          <w:color w:val="000000"/>
          <w:sz w:val="28"/>
          <w:highlight w:val="none"/>
        </w:rPr>
        <w:t>就本约定书和服务一般而言，乙方及其现任或前任合伙人、主管、总监、员工、代理人和分包人，对任何索赔责任（无论以任何形式，也不管是否有合约、或因疏忽或者任何其他理由提出）都不应超过乙方收到相关的服务费。另外，甲方应该就乙方及乙方人员因乙方在本约定书下的服务在任何时候、以任何方式所导致或与该等服务有关对乙方造成的、由乙方支付或使乙方产生的任何索赔、债务、成本以及开支（包括但不仅限于律师费以及乙方涉及人员的工时费）进行补偿并使其不受损害。此限制不适用于最终被确定为由乙方故意违反专业操守或者欺诈而导致的任何索赔、损失或损害部分。而且，乙方对于任何特定的、必然的、附带的或是惩戒性的赔偿或者损失（或任何利润损失、税金、利息、罚金及存款损失或失去商务机会）均不予承担责任，即使乙方已事先被告知该等潜在损害。以上条款在本约定书委托服务结束后仍然有效存续。</w:t>
      </w:r>
    </w:p>
    <w:p>
      <w:pPr>
        <w:pStyle w:val="21"/>
        <w:ind w:firstLine="480"/>
        <w:rPr>
          <w:rFonts w:ascii="仿宋_GB2312" w:hAnsi="宋体" w:eastAsia="仿宋_GB2312"/>
          <w:color w:val="000000"/>
          <w:sz w:val="28"/>
          <w:highlight w:val="none"/>
        </w:rPr>
      </w:pPr>
      <w:r>
        <w:rPr>
          <w:rFonts w:hint="eastAsia" w:ascii="仿宋_GB2312" w:hAnsi="宋体" w:eastAsia="仿宋_GB2312"/>
          <w:color w:val="000000"/>
          <w:sz w:val="28"/>
          <w:highlight w:val="none"/>
        </w:rPr>
        <w:t>第十三条  本项目由深圳地铁置业集团有限公司、深圳地铁前海国际发展有限公司、深圳市地铁集团有限公司在服务期限内根据提供税务咨询项目的实际数量向乙方据实结算，不设预付款项。</w:t>
      </w:r>
    </w:p>
    <w:p>
      <w:pPr>
        <w:pStyle w:val="25"/>
        <w:spacing w:line="460" w:lineRule="exact"/>
        <w:ind w:firstLine="562" w:firstLineChars="200"/>
        <w:rPr>
          <w:rFonts w:ascii="Times New Roman" w:hAnsi="Times New Roman"/>
          <w:sz w:val="24"/>
          <w:highlight w:val="none"/>
        </w:rPr>
      </w:pPr>
      <w:r>
        <w:rPr>
          <w:rFonts w:hint="eastAsia" w:ascii="仿宋_GB2312" w:hAnsi="宋体" w:eastAsia="仿宋_GB2312"/>
          <w:b/>
          <w:color w:val="000000"/>
          <w:sz w:val="28"/>
          <w:highlight w:val="none"/>
        </w:rPr>
        <w:t>第十四条</w:t>
      </w:r>
      <w:r>
        <w:rPr>
          <w:rFonts w:hint="eastAsia" w:ascii="仿宋_GB2312" w:hAnsi="宋体" w:eastAsia="仿宋_GB2312"/>
          <w:color w:val="000000"/>
          <w:sz w:val="28"/>
          <w:highlight w:val="none"/>
        </w:rPr>
        <w:t xml:space="preserve">  双方因履行本协议而发生的争议，应协商、调解解决。协商、调解不成的，</w:t>
      </w:r>
      <w:r>
        <w:rPr>
          <w:rFonts w:ascii="仿宋_GB2312" w:hAnsi="宋体" w:eastAsia="仿宋_GB2312"/>
          <w:color w:val="000000"/>
          <w:sz w:val="28"/>
          <w:highlight w:val="none"/>
        </w:rPr>
        <w:t>双方同意向</w:t>
      </w:r>
      <w:r>
        <w:rPr>
          <w:rFonts w:hint="eastAsia" w:ascii="仿宋_GB2312" w:hAnsi="宋体" w:eastAsia="仿宋_GB2312"/>
          <w:color w:val="000000"/>
          <w:sz w:val="28"/>
          <w:highlight w:val="none"/>
        </w:rPr>
        <w:t>甲</w:t>
      </w:r>
      <w:r>
        <w:rPr>
          <w:rFonts w:ascii="仿宋_GB2312" w:hAnsi="宋体" w:eastAsia="仿宋_GB2312"/>
          <w:color w:val="000000"/>
          <w:sz w:val="28"/>
          <w:highlight w:val="none"/>
        </w:rPr>
        <w:t>方所在地法院提起诉讼解决。</w:t>
      </w:r>
    </w:p>
    <w:p>
      <w:pPr>
        <w:spacing w:line="360" w:lineRule="auto"/>
        <w:ind w:left="2" w:right="210" w:firstLine="565" w:firstLineChars="201"/>
        <w:rPr>
          <w:rFonts w:ascii="仿宋_GB2312" w:hAnsi="宋体" w:eastAsia="仿宋_GB2312"/>
          <w:color w:val="000000"/>
          <w:sz w:val="28"/>
          <w:highlight w:val="none"/>
        </w:rPr>
      </w:pPr>
      <w:r>
        <w:rPr>
          <w:rFonts w:hint="eastAsia" w:ascii="仿宋_GB2312" w:hAnsi="宋体" w:eastAsia="仿宋_GB2312"/>
          <w:b/>
          <w:color w:val="000000"/>
          <w:sz w:val="28"/>
          <w:highlight w:val="none"/>
        </w:rPr>
        <w:t>第十五条</w:t>
      </w:r>
      <w:r>
        <w:rPr>
          <w:rFonts w:hint="eastAsia" w:ascii="仿宋_GB2312" w:hAnsi="宋体" w:eastAsia="仿宋_GB2312"/>
          <w:color w:val="000000"/>
          <w:sz w:val="28"/>
          <w:highlight w:val="none"/>
        </w:rPr>
        <w:t xml:space="preserve">  本协议正本一式贰份，甲乙双方各执壹份；副本一式拾份，甲方执玖份，乙方执壹份。正本与副本具有同等法律效力。</w:t>
      </w:r>
    </w:p>
    <w:p>
      <w:pPr>
        <w:spacing w:line="360" w:lineRule="auto"/>
        <w:ind w:left="2" w:right="210" w:firstLine="565" w:firstLineChars="201"/>
        <w:rPr>
          <w:rFonts w:ascii="仿宋_GB2312" w:hAnsi="宋体" w:eastAsia="仿宋_GB2312"/>
          <w:color w:val="000000"/>
          <w:sz w:val="28"/>
          <w:highlight w:val="none"/>
        </w:rPr>
      </w:pPr>
      <w:r>
        <w:rPr>
          <w:rFonts w:hint="eastAsia" w:ascii="仿宋_GB2312" w:hAnsi="宋体" w:eastAsia="仿宋_GB2312"/>
          <w:b/>
          <w:color w:val="000000"/>
          <w:sz w:val="28"/>
          <w:highlight w:val="none"/>
        </w:rPr>
        <w:t>第十六条</w:t>
      </w:r>
      <w:r>
        <w:rPr>
          <w:rFonts w:hint="eastAsia" w:ascii="仿宋_GB2312" w:hAnsi="宋体" w:eastAsia="仿宋_GB2312"/>
          <w:color w:val="000000"/>
          <w:sz w:val="28"/>
          <w:highlight w:val="none"/>
        </w:rPr>
        <w:t xml:space="preserve">  本协议经双方签字盖章后生效至合同费用结清为止。</w:t>
      </w:r>
    </w:p>
    <w:p>
      <w:pPr>
        <w:spacing w:line="360" w:lineRule="auto"/>
        <w:ind w:left="2" w:right="210" w:firstLine="562" w:firstLineChars="201"/>
        <w:rPr>
          <w:rFonts w:ascii="仿宋_GB2312" w:hAnsi="宋体" w:eastAsia="仿宋_GB2312"/>
          <w:color w:val="000000"/>
          <w:sz w:val="28"/>
          <w:highlight w:val="none"/>
        </w:rPr>
      </w:pPr>
    </w:p>
    <w:tbl>
      <w:tblPr>
        <w:tblStyle w:val="49"/>
        <w:tblW w:w="10065" w:type="dxa"/>
        <w:tblInd w:w="-318" w:type="dxa"/>
        <w:tblLayout w:type="fixed"/>
        <w:tblCellMar>
          <w:top w:w="0" w:type="dxa"/>
          <w:left w:w="108" w:type="dxa"/>
          <w:bottom w:w="0" w:type="dxa"/>
          <w:right w:w="108" w:type="dxa"/>
        </w:tblCellMar>
      </w:tblPr>
      <w:tblGrid>
        <w:gridCol w:w="2269"/>
        <w:gridCol w:w="2835"/>
        <w:gridCol w:w="1985"/>
        <w:gridCol w:w="1309"/>
        <w:gridCol w:w="1134"/>
        <w:gridCol w:w="533"/>
      </w:tblGrid>
      <w:tr>
        <w:tblPrEx>
          <w:tblCellMar>
            <w:top w:w="0" w:type="dxa"/>
            <w:left w:w="108" w:type="dxa"/>
            <w:bottom w:w="0" w:type="dxa"/>
            <w:right w:w="108" w:type="dxa"/>
          </w:tblCellMar>
        </w:tblPrEx>
        <w:trPr>
          <w:trHeight w:val="1201" w:hRule="exact"/>
        </w:trPr>
        <w:tc>
          <w:tcPr>
            <w:tcW w:w="2269" w:type="dxa"/>
          </w:tcPr>
          <w:p>
            <w:pPr>
              <w:rPr>
                <w:rFonts w:ascii="宋体" w:hAnsi="宋体"/>
                <w:b/>
                <w:sz w:val="30"/>
                <w:szCs w:val="30"/>
                <w:highlight w:val="none"/>
              </w:rPr>
            </w:pPr>
            <w:r>
              <w:rPr>
                <w:rFonts w:hint="eastAsia" w:ascii="宋体" w:hAnsi="宋体"/>
                <w:b/>
                <w:sz w:val="30"/>
                <w:szCs w:val="30"/>
                <w:highlight w:val="none"/>
              </w:rPr>
              <w:t>甲方</w:t>
            </w:r>
            <w:r>
              <w:rPr>
                <w:rFonts w:ascii="宋体" w:hAnsi="宋体"/>
                <w:b/>
                <w:sz w:val="30"/>
                <w:szCs w:val="30"/>
                <w:highlight w:val="none"/>
              </w:rPr>
              <w:t>(</w:t>
            </w:r>
            <w:r>
              <w:rPr>
                <w:rFonts w:hint="eastAsia" w:ascii="宋体" w:hAnsi="宋体"/>
                <w:b/>
                <w:sz w:val="30"/>
                <w:szCs w:val="30"/>
                <w:highlight w:val="none"/>
              </w:rPr>
              <w:t>盖</w:t>
            </w:r>
            <w:r>
              <w:rPr>
                <w:rFonts w:ascii="宋体" w:hAnsi="宋体"/>
                <w:b/>
                <w:sz w:val="30"/>
                <w:szCs w:val="30"/>
                <w:highlight w:val="none"/>
              </w:rPr>
              <w:t>章)：</w:t>
            </w:r>
          </w:p>
        </w:tc>
        <w:tc>
          <w:tcPr>
            <w:tcW w:w="2835" w:type="dxa"/>
          </w:tcPr>
          <w:p>
            <w:pPr>
              <w:spacing w:before="25" w:line="240" w:lineRule="atLeast"/>
              <w:rPr>
                <w:rFonts w:ascii="宋体" w:hAnsi="宋体"/>
                <w:b/>
                <w:sz w:val="28"/>
                <w:szCs w:val="28"/>
                <w:highlight w:val="none"/>
              </w:rPr>
            </w:pPr>
          </w:p>
        </w:tc>
        <w:tc>
          <w:tcPr>
            <w:tcW w:w="1985" w:type="dxa"/>
          </w:tcPr>
          <w:p>
            <w:pPr>
              <w:spacing w:line="240" w:lineRule="atLeast"/>
              <w:rPr>
                <w:rFonts w:ascii="宋体" w:hAnsi="宋体"/>
                <w:b/>
                <w:sz w:val="28"/>
                <w:szCs w:val="28"/>
                <w:highlight w:val="none"/>
              </w:rPr>
            </w:pPr>
            <w:r>
              <w:rPr>
                <w:rFonts w:ascii="宋体" w:hAnsi="宋体"/>
                <w:b/>
                <w:sz w:val="28"/>
                <w:szCs w:val="28"/>
                <w:highlight w:val="none"/>
              </w:rPr>
              <w:t>法定代表人</w:t>
            </w:r>
            <w:r>
              <w:rPr>
                <w:rFonts w:hint="eastAsia" w:ascii="宋体" w:hAnsi="宋体"/>
                <w:b/>
                <w:sz w:val="28"/>
                <w:szCs w:val="28"/>
                <w:highlight w:val="none"/>
              </w:rPr>
              <w:t>或授权代表</w:t>
            </w:r>
            <w:r>
              <w:rPr>
                <w:rFonts w:ascii="宋体" w:hAnsi="宋体"/>
                <w:b/>
                <w:sz w:val="28"/>
                <w:szCs w:val="28"/>
                <w:highlight w:val="none"/>
              </w:rPr>
              <w:t>：</w:t>
            </w:r>
          </w:p>
        </w:tc>
        <w:tc>
          <w:tcPr>
            <w:tcW w:w="2976" w:type="dxa"/>
            <w:gridSpan w:val="3"/>
          </w:tcPr>
          <w:p>
            <w:pPr>
              <w:rPr>
                <w:rFonts w:ascii="宋体" w:hAnsi="宋体"/>
                <w:sz w:val="24"/>
                <w:highlight w:val="none"/>
              </w:rPr>
            </w:pPr>
          </w:p>
        </w:tc>
      </w:tr>
      <w:tr>
        <w:tblPrEx>
          <w:tblCellMar>
            <w:top w:w="0" w:type="dxa"/>
            <w:left w:w="108" w:type="dxa"/>
            <w:bottom w:w="0" w:type="dxa"/>
            <w:right w:w="108" w:type="dxa"/>
          </w:tblCellMar>
        </w:tblPrEx>
        <w:trPr>
          <w:trHeight w:val="861" w:hRule="exact"/>
        </w:trPr>
        <w:tc>
          <w:tcPr>
            <w:tcW w:w="2269" w:type="dxa"/>
          </w:tcPr>
          <w:p>
            <w:pPr>
              <w:rPr>
                <w:rFonts w:ascii="宋体" w:hAnsi="宋体"/>
                <w:szCs w:val="21"/>
                <w:highlight w:val="none"/>
              </w:rPr>
            </w:pPr>
            <w:r>
              <w:rPr>
                <w:rFonts w:ascii="宋体" w:hAnsi="宋体"/>
                <w:szCs w:val="21"/>
                <w:highlight w:val="none"/>
              </w:rPr>
              <w:t>住    所：</w:t>
            </w:r>
          </w:p>
        </w:tc>
        <w:tc>
          <w:tcPr>
            <w:tcW w:w="2835" w:type="dxa"/>
          </w:tcPr>
          <w:p>
            <w:pPr>
              <w:rPr>
                <w:rFonts w:ascii="宋体" w:hAnsi="宋体"/>
                <w:szCs w:val="21"/>
                <w:highlight w:val="none"/>
              </w:rPr>
            </w:pPr>
          </w:p>
        </w:tc>
        <w:tc>
          <w:tcPr>
            <w:tcW w:w="1985" w:type="dxa"/>
          </w:tcPr>
          <w:p>
            <w:pPr>
              <w:rPr>
                <w:rFonts w:ascii="宋体" w:hAnsi="宋体"/>
                <w:szCs w:val="21"/>
                <w:highlight w:val="none"/>
              </w:rPr>
            </w:pP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717" w:hRule="exact"/>
        </w:trPr>
        <w:tc>
          <w:tcPr>
            <w:tcW w:w="2269" w:type="dxa"/>
          </w:tcPr>
          <w:p>
            <w:pPr>
              <w:rPr>
                <w:rFonts w:ascii="宋体" w:hAnsi="宋体"/>
                <w:szCs w:val="21"/>
                <w:highlight w:val="none"/>
              </w:rPr>
            </w:pPr>
            <w:r>
              <w:rPr>
                <w:rFonts w:ascii="宋体" w:hAnsi="宋体"/>
                <w:szCs w:val="21"/>
                <w:highlight w:val="none"/>
              </w:rPr>
              <w:t>电    话：</w:t>
            </w:r>
          </w:p>
        </w:tc>
        <w:tc>
          <w:tcPr>
            <w:tcW w:w="2835" w:type="dxa"/>
          </w:tcPr>
          <w:p>
            <w:pPr>
              <w:rPr>
                <w:rFonts w:ascii="宋体" w:hAnsi="宋体"/>
                <w:szCs w:val="21"/>
                <w:highlight w:val="none"/>
              </w:rPr>
            </w:pPr>
          </w:p>
        </w:tc>
        <w:tc>
          <w:tcPr>
            <w:tcW w:w="1985" w:type="dxa"/>
          </w:tcPr>
          <w:p>
            <w:pPr>
              <w:rPr>
                <w:rFonts w:ascii="宋体" w:hAnsi="宋体"/>
                <w:szCs w:val="21"/>
                <w:highlight w:val="none"/>
              </w:rPr>
            </w:pPr>
            <w:r>
              <w:rPr>
                <w:rFonts w:ascii="宋体" w:hAnsi="宋体"/>
                <w:szCs w:val="21"/>
                <w:highlight w:val="none"/>
              </w:rPr>
              <w:t>传    真：</w:t>
            </w: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729" w:hRule="exact"/>
        </w:trPr>
        <w:tc>
          <w:tcPr>
            <w:tcW w:w="2269" w:type="dxa"/>
          </w:tcPr>
          <w:p>
            <w:pPr>
              <w:rPr>
                <w:rFonts w:ascii="宋体" w:hAnsi="宋体"/>
                <w:szCs w:val="21"/>
                <w:highlight w:val="none"/>
              </w:rPr>
            </w:pPr>
            <w:r>
              <w:rPr>
                <w:rFonts w:ascii="宋体" w:hAnsi="宋体"/>
                <w:szCs w:val="21"/>
                <w:highlight w:val="none"/>
              </w:rPr>
              <w:t>开户银行：</w:t>
            </w:r>
          </w:p>
        </w:tc>
        <w:tc>
          <w:tcPr>
            <w:tcW w:w="2835" w:type="dxa"/>
          </w:tcPr>
          <w:p>
            <w:pPr>
              <w:rPr>
                <w:rFonts w:ascii="宋体" w:hAnsi="宋体"/>
                <w:szCs w:val="21"/>
                <w:highlight w:val="none"/>
              </w:rPr>
            </w:pPr>
          </w:p>
        </w:tc>
        <w:tc>
          <w:tcPr>
            <w:tcW w:w="1985" w:type="dxa"/>
          </w:tcPr>
          <w:p>
            <w:pPr>
              <w:rPr>
                <w:rFonts w:ascii="宋体" w:hAnsi="宋体"/>
                <w:szCs w:val="21"/>
                <w:highlight w:val="none"/>
              </w:rPr>
            </w:pPr>
            <w:r>
              <w:rPr>
                <w:rFonts w:ascii="宋体" w:hAnsi="宋体"/>
                <w:szCs w:val="21"/>
                <w:highlight w:val="none"/>
              </w:rPr>
              <w:t>开户全名：</w:t>
            </w: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822" w:hRule="exact"/>
        </w:trPr>
        <w:tc>
          <w:tcPr>
            <w:tcW w:w="2269" w:type="dxa"/>
          </w:tcPr>
          <w:p>
            <w:pPr>
              <w:jc w:val="left"/>
              <w:rPr>
                <w:rFonts w:ascii="宋体" w:hAnsi="宋体"/>
                <w:szCs w:val="21"/>
                <w:highlight w:val="none"/>
              </w:rPr>
            </w:pPr>
            <w:r>
              <w:rPr>
                <w:rFonts w:ascii="宋体" w:hAnsi="宋体"/>
                <w:szCs w:val="21"/>
                <w:highlight w:val="none"/>
              </w:rPr>
              <w:t xml:space="preserve">账  </w:t>
            </w:r>
            <w:r>
              <w:rPr>
                <w:rFonts w:hint="eastAsia" w:ascii="宋体" w:hAnsi="宋体"/>
                <w:szCs w:val="21"/>
                <w:highlight w:val="none"/>
              </w:rPr>
              <w:t xml:space="preserve">     </w:t>
            </w:r>
            <w:r>
              <w:rPr>
                <w:rFonts w:ascii="宋体" w:hAnsi="宋体"/>
                <w:szCs w:val="21"/>
                <w:highlight w:val="none"/>
              </w:rPr>
              <w:t xml:space="preserve">  号</w:t>
            </w:r>
            <w:r>
              <w:rPr>
                <w:rFonts w:hint="eastAsia" w:ascii="宋体" w:hAnsi="宋体"/>
                <w:szCs w:val="21"/>
                <w:highlight w:val="none"/>
              </w:rPr>
              <w:t>：</w:t>
            </w:r>
          </w:p>
        </w:tc>
        <w:tc>
          <w:tcPr>
            <w:tcW w:w="2835" w:type="dxa"/>
          </w:tcPr>
          <w:p>
            <w:pPr>
              <w:rPr>
                <w:rFonts w:ascii="宋体" w:hAnsi="宋体"/>
                <w:szCs w:val="21"/>
                <w:highlight w:val="none"/>
              </w:rPr>
            </w:pPr>
          </w:p>
        </w:tc>
        <w:tc>
          <w:tcPr>
            <w:tcW w:w="1985" w:type="dxa"/>
          </w:tcPr>
          <w:p>
            <w:pPr>
              <w:rPr>
                <w:rFonts w:ascii="宋体" w:hAnsi="宋体"/>
                <w:szCs w:val="21"/>
                <w:highlight w:val="none"/>
              </w:rPr>
            </w:pPr>
            <w:r>
              <w:rPr>
                <w:rFonts w:ascii="宋体" w:hAnsi="宋体"/>
                <w:szCs w:val="21"/>
                <w:highlight w:val="none"/>
              </w:rPr>
              <w:t>邮政编码：</w:t>
            </w:r>
          </w:p>
        </w:tc>
        <w:tc>
          <w:tcPr>
            <w:tcW w:w="2976" w:type="dxa"/>
            <w:gridSpan w:val="3"/>
          </w:tcPr>
          <w:p>
            <w:pPr>
              <w:rPr>
                <w:rFonts w:ascii="宋体" w:hAnsi="宋体"/>
                <w:szCs w:val="21"/>
                <w:highlight w:val="none"/>
              </w:rPr>
            </w:pPr>
            <w:r>
              <w:rPr>
                <w:rFonts w:hint="eastAsia" w:ascii="宋体" w:hAnsi="宋体"/>
                <w:szCs w:val="21"/>
                <w:highlight w:val="none"/>
              </w:rPr>
              <w:t>5</w:t>
            </w:r>
            <w:r>
              <w:rPr>
                <w:rFonts w:ascii="宋体" w:hAnsi="宋体"/>
                <w:szCs w:val="21"/>
                <w:highlight w:val="none"/>
              </w:rPr>
              <w:t>18035</w:t>
            </w:r>
          </w:p>
        </w:tc>
      </w:tr>
      <w:tr>
        <w:tblPrEx>
          <w:tblCellMar>
            <w:top w:w="0" w:type="dxa"/>
            <w:left w:w="108" w:type="dxa"/>
            <w:bottom w:w="0" w:type="dxa"/>
            <w:right w:w="108" w:type="dxa"/>
          </w:tblCellMar>
        </w:tblPrEx>
        <w:trPr>
          <w:trHeight w:val="998" w:hRule="exact"/>
        </w:trPr>
        <w:tc>
          <w:tcPr>
            <w:tcW w:w="2269" w:type="dxa"/>
          </w:tcPr>
          <w:p>
            <w:pPr>
              <w:tabs>
                <w:tab w:val="center" w:pos="4153"/>
                <w:tab w:val="right" w:pos="8306"/>
              </w:tabs>
              <w:snapToGrid w:val="0"/>
              <w:rPr>
                <w:rFonts w:ascii="宋体" w:hAnsi="宋体"/>
                <w:szCs w:val="21"/>
                <w:highlight w:val="none"/>
              </w:rPr>
            </w:pPr>
            <w:r>
              <w:rPr>
                <w:rFonts w:hint="eastAsia" w:ascii="宋体" w:hAnsi="宋体"/>
                <w:szCs w:val="21"/>
                <w:highlight w:val="none"/>
              </w:rPr>
              <w:t>项目主管部门经办人及电话：</w:t>
            </w:r>
          </w:p>
        </w:tc>
        <w:tc>
          <w:tcPr>
            <w:tcW w:w="2835" w:type="dxa"/>
          </w:tcPr>
          <w:p>
            <w:pPr>
              <w:tabs>
                <w:tab w:val="center" w:pos="4153"/>
                <w:tab w:val="right" w:pos="8306"/>
              </w:tabs>
              <w:snapToGrid w:val="0"/>
              <w:rPr>
                <w:rFonts w:ascii="宋体" w:hAnsi="宋体"/>
                <w:szCs w:val="21"/>
                <w:highlight w:val="none"/>
              </w:rPr>
            </w:pPr>
          </w:p>
        </w:tc>
        <w:tc>
          <w:tcPr>
            <w:tcW w:w="1985" w:type="dxa"/>
          </w:tcPr>
          <w:p>
            <w:pPr>
              <w:tabs>
                <w:tab w:val="center" w:pos="4153"/>
                <w:tab w:val="right" w:pos="8306"/>
              </w:tabs>
              <w:snapToGrid w:val="0"/>
              <w:rPr>
                <w:rFonts w:ascii="宋体" w:hAnsi="宋体"/>
                <w:szCs w:val="21"/>
                <w:highlight w:val="none"/>
              </w:rPr>
            </w:pPr>
            <w:r>
              <w:rPr>
                <w:rFonts w:hint="eastAsia" w:ascii="宋体" w:hAnsi="宋体"/>
                <w:szCs w:val="21"/>
                <w:highlight w:val="none"/>
              </w:rPr>
              <w:t>项目主管部门审核人：</w:t>
            </w: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1402" w:hRule="exact"/>
        </w:trPr>
        <w:tc>
          <w:tcPr>
            <w:tcW w:w="2269" w:type="dxa"/>
          </w:tcPr>
          <w:p>
            <w:pPr>
              <w:tabs>
                <w:tab w:val="center" w:pos="4153"/>
                <w:tab w:val="right" w:pos="8306"/>
              </w:tabs>
              <w:snapToGrid w:val="0"/>
              <w:rPr>
                <w:rFonts w:ascii="宋体" w:hAnsi="宋体"/>
                <w:szCs w:val="21"/>
                <w:highlight w:val="none"/>
              </w:rPr>
            </w:pPr>
            <w:r>
              <w:rPr>
                <w:rFonts w:hint="eastAsia" w:ascii="宋体" w:hAnsi="宋体"/>
                <w:szCs w:val="21"/>
                <w:highlight w:val="none"/>
              </w:rPr>
              <w:t>合约部门经办人及电话</w:t>
            </w:r>
            <w:r>
              <w:rPr>
                <w:rFonts w:ascii="宋体" w:hAnsi="宋体"/>
                <w:szCs w:val="21"/>
                <w:highlight w:val="none"/>
              </w:rPr>
              <w:t>:</w:t>
            </w:r>
          </w:p>
        </w:tc>
        <w:tc>
          <w:tcPr>
            <w:tcW w:w="2835" w:type="dxa"/>
          </w:tcPr>
          <w:p>
            <w:pPr>
              <w:rPr>
                <w:rFonts w:ascii="宋体" w:hAnsi="宋体"/>
                <w:szCs w:val="21"/>
                <w:highlight w:val="none"/>
              </w:rPr>
            </w:pPr>
          </w:p>
        </w:tc>
        <w:tc>
          <w:tcPr>
            <w:tcW w:w="1985" w:type="dxa"/>
          </w:tcPr>
          <w:p>
            <w:pPr>
              <w:tabs>
                <w:tab w:val="center" w:pos="4153"/>
                <w:tab w:val="right" w:pos="8306"/>
              </w:tabs>
              <w:snapToGrid w:val="0"/>
              <w:rPr>
                <w:rFonts w:ascii="宋体" w:hAnsi="宋体"/>
                <w:szCs w:val="21"/>
                <w:highlight w:val="none"/>
              </w:rPr>
            </w:pPr>
            <w:r>
              <w:rPr>
                <w:rFonts w:hint="eastAsia" w:ascii="宋体" w:hAnsi="宋体"/>
                <w:szCs w:val="21"/>
                <w:highlight w:val="none"/>
              </w:rPr>
              <w:t>合约部门审核人：</w:t>
            </w: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1112" w:hRule="exact"/>
        </w:trPr>
        <w:tc>
          <w:tcPr>
            <w:tcW w:w="2269" w:type="dxa"/>
          </w:tcPr>
          <w:p>
            <w:pPr>
              <w:rPr>
                <w:rFonts w:ascii="宋体" w:hAnsi="宋体"/>
                <w:b/>
                <w:sz w:val="24"/>
                <w:szCs w:val="24"/>
                <w:highlight w:val="none"/>
              </w:rPr>
            </w:pPr>
            <w:r>
              <w:rPr>
                <w:rFonts w:hint="eastAsia" w:ascii="宋体" w:hAnsi="宋体"/>
                <w:b/>
                <w:sz w:val="24"/>
                <w:szCs w:val="24"/>
                <w:highlight w:val="none"/>
              </w:rPr>
              <w:t>乙方</w:t>
            </w:r>
            <w:r>
              <w:rPr>
                <w:rFonts w:ascii="宋体" w:hAnsi="宋体"/>
                <w:b/>
                <w:sz w:val="24"/>
                <w:szCs w:val="24"/>
                <w:highlight w:val="none"/>
              </w:rPr>
              <w:t>(</w:t>
            </w:r>
            <w:r>
              <w:rPr>
                <w:rFonts w:hint="eastAsia" w:ascii="宋体" w:hAnsi="宋体"/>
                <w:b/>
                <w:sz w:val="24"/>
                <w:szCs w:val="24"/>
                <w:highlight w:val="none"/>
              </w:rPr>
              <w:t>盖</w:t>
            </w:r>
            <w:r>
              <w:rPr>
                <w:rFonts w:ascii="宋体" w:hAnsi="宋体"/>
                <w:b/>
                <w:sz w:val="24"/>
                <w:szCs w:val="24"/>
                <w:highlight w:val="none"/>
              </w:rPr>
              <w:t xml:space="preserve">章)： </w:t>
            </w:r>
          </w:p>
        </w:tc>
        <w:tc>
          <w:tcPr>
            <w:tcW w:w="2835" w:type="dxa"/>
          </w:tcPr>
          <w:p>
            <w:pPr>
              <w:rPr>
                <w:rFonts w:ascii="宋体" w:hAnsi="宋体"/>
                <w:b/>
                <w:sz w:val="24"/>
                <w:szCs w:val="24"/>
                <w:highlight w:val="none"/>
              </w:rPr>
            </w:pPr>
          </w:p>
        </w:tc>
        <w:tc>
          <w:tcPr>
            <w:tcW w:w="1985" w:type="dxa"/>
          </w:tcPr>
          <w:p>
            <w:pPr>
              <w:rPr>
                <w:rFonts w:ascii="宋体" w:hAnsi="宋体"/>
                <w:b/>
                <w:sz w:val="28"/>
                <w:szCs w:val="28"/>
                <w:highlight w:val="none"/>
              </w:rPr>
            </w:pPr>
            <w:r>
              <w:rPr>
                <w:rFonts w:ascii="宋体" w:hAnsi="宋体"/>
                <w:b/>
                <w:sz w:val="24"/>
                <w:szCs w:val="24"/>
                <w:highlight w:val="none"/>
              </w:rPr>
              <w:t>法定代表人</w:t>
            </w:r>
            <w:r>
              <w:rPr>
                <w:rFonts w:hint="eastAsia" w:ascii="宋体" w:hAnsi="宋体"/>
                <w:b/>
                <w:sz w:val="24"/>
                <w:szCs w:val="24"/>
                <w:highlight w:val="none"/>
              </w:rPr>
              <w:t>或授权代表</w:t>
            </w:r>
            <w:r>
              <w:rPr>
                <w:rFonts w:ascii="宋体" w:hAnsi="宋体"/>
                <w:b/>
                <w:sz w:val="24"/>
                <w:szCs w:val="24"/>
                <w:highlight w:val="none"/>
              </w:rPr>
              <w:t>：</w:t>
            </w: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881" w:hRule="exact"/>
        </w:trPr>
        <w:tc>
          <w:tcPr>
            <w:tcW w:w="2269" w:type="dxa"/>
          </w:tcPr>
          <w:p>
            <w:pPr>
              <w:rPr>
                <w:rFonts w:ascii="宋体" w:hAnsi="宋体"/>
                <w:sz w:val="24"/>
                <w:highlight w:val="none"/>
              </w:rPr>
            </w:pPr>
            <w:r>
              <w:rPr>
                <w:rFonts w:ascii="宋体" w:hAnsi="宋体"/>
                <w:sz w:val="24"/>
                <w:highlight w:val="none"/>
              </w:rPr>
              <w:t>住    所：</w:t>
            </w:r>
          </w:p>
        </w:tc>
        <w:tc>
          <w:tcPr>
            <w:tcW w:w="2835" w:type="dxa"/>
          </w:tcPr>
          <w:p>
            <w:pPr>
              <w:rPr>
                <w:rFonts w:ascii="宋体" w:hAnsi="宋体"/>
                <w:szCs w:val="21"/>
                <w:highlight w:val="none"/>
              </w:rPr>
            </w:pPr>
          </w:p>
        </w:tc>
        <w:tc>
          <w:tcPr>
            <w:tcW w:w="4428" w:type="dxa"/>
            <w:gridSpan w:val="3"/>
          </w:tcPr>
          <w:p>
            <w:pPr>
              <w:rPr>
                <w:rFonts w:ascii="宋体" w:hAnsi="宋体"/>
                <w:sz w:val="24"/>
                <w:highlight w:val="none"/>
              </w:rPr>
            </w:pPr>
          </w:p>
        </w:tc>
        <w:tc>
          <w:tcPr>
            <w:tcW w:w="533" w:type="dxa"/>
          </w:tcPr>
          <w:p>
            <w:pPr>
              <w:rPr>
                <w:rFonts w:ascii="宋体" w:hAnsi="宋体"/>
                <w:szCs w:val="21"/>
                <w:highlight w:val="none"/>
              </w:rPr>
            </w:pPr>
          </w:p>
        </w:tc>
      </w:tr>
      <w:tr>
        <w:tblPrEx>
          <w:tblCellMar>
            <w:top w:w="0" w:type="dxa"/>
            <w:left w:w="108" w:type="dxa"/>
            <w:bottom w:w="0" w:type="dxa"/>
            <w:right w:w="108" w:type="dxa"/>
          </w:tblCellMar>
        </w:tblPrEx>
        <w:trPr>
          <w:trHeight w:val="717" w:hRule="exact"/>
        </w:trPr>
        <w:tc>
          <w:tcPr>
            <w:tcW w:w="2269" w:type="dxa"/>
          </w:tcPr>
          <w:p>
            <w:pPr>
              <w:rPr>
                <w:rFonts w:ascii="宋体" w:hAnsi="宋体"/>
                <w:sz w:val="24"/>
                <w:highlight w:val="none"/>
              </w:rPr>
            </w:pPr>
            <w:r>
              <w:rPr>
                <w:rFonts w:ascii="宋体" w:hAnsi="宋体"/>
                <w:sz w:val="24"/>
                <w:highlight w:val="none"/>
              </w:rPr>
              <w:t>电    话：</w:t>
            </w:r>
          </w:p>
        </w:tc>
        <w:tc>
          <w:tcPr>
            <w:tcW w:w="2835" w:type="dxa"/>
          </w:tcPr>
          <w:p>
            <w:pPr>
              <w:rPr>
                <w:rFonts w:ascii="宋体" w:hAnsi="宋体"/>
                <w:szCs w:val="21"/>
                <w:highlight w:val="none"/>
              </w:rPr>
            </w:pPr>
          </w:p>
        </w:tc>
        <w:tc>
          <w:tcPr>
            <w:tcW w:w="4428" w:type="dxa"/>
            <w:gridSpan w:val="3"/>
          </w:tcPr>
          <w:p>
            <w:pPr>
              <w:rPr>
                <w:rFonts w:ascii="宋体" w:hAnsi="宋体"/>
                <w:sz w:val="24"/>
                <w:highlight w:val="none"/>
              </w:rPr>
            </w:pPr>
            <w:r>
              <w:rPr>
                <w:rFonts w:ascii="宋体" w:hAnsi="宋体"/>
                <w:sz w:val="24"/>
                <w:highlight w:val="none"/>
              </w:rPr>
              <w:t>传    真：</w:t>
            </w:r>
          </w:p>
        </w:tc>
        <w:tc>
          <w:tcPr>
            <w:tcW w:w="533" w:type="dxa"/>
          </w:tcPr>
          <w:p>
            <w:pPr>
              <w:rPr>
                <w:rFonts w:ascii="宋体" w:hAnsi="宋体"/>
                <w:szCs w:val="21"/>
                <w:highlight w:val="none"/>
              </w:rPr>
            </w:pPr>
          </w:p>
        </w:tc>
      </w:tr>
      <w:tr>
        <w:tblPrEx>
          <w:tblCellMar>
            <w:top w:w="0" w:type="dxa"/>
            <w:left w:w="108" w:type="dxa"/>
            <w:bottom w:w="0" w:type="dxa"/>
            <w:right w:w="108" w:type="dxa"/>
          </w:tblCellMar>
        </w:tblPrEx>
        <w:trPr>
          <w:trHeight w:val="699" w:hRule="exact"/>
        </w:trPr>
        <w:tc>
          <w:tcPr>
            <w:tcW w:w="2269" w:type="dxa"/>
          </w:tcPr>
          <w:p>
            <w:pPr>
              <w:rPr>
                <w:rFonts w:ascii="宋体" w:hAnsi="宋体"/>
                <w:sz w:val="24"/>
                <w:highlight w:val="none"/>
              </w:rPr>
            </w:pPr>
            <w:r>
              <w:rPr>
                <w:rFonts w:ascii="宋体" w:hAnsi="宋体"/>
                <w:sz w:val="24"/>
                <w:highlight w:val="none"/>
              </w:rPr>
              <w:t>开户银行：</w:t>
            </w:r>
          </w:p>
        </w:tc>
        <w:tc>
          <w:tcPr>
            <w:tcW w:w="2835" w:type="dxa"/>
          </w:tcPr>
          <w:p>
            <w:pPr>
              <w:rPr>
                <w:rFonts w:ascii="宋体" w:hAnsi="宋体"/>
                <w:szCs w:val="21"/>
                <w:highlight w:val="none"/>
              </w:rPr>
            </w:pPr>
          </w:p>
        </w:tc>
        <w:tc>
          <w:tcPr>
            <w:tcW w:w="4428" w:type="dxa"/>
            <w:gridSpan w:val="3"/>
          </w:tcPr>
          <w:p>
            <w:pPr>
              <w:ind w:left="1164" w:hanging="1164"/>
              <w:rPr>
                <w:rFonts w:ascii="宋体" w:hAnsi="宋体"/>
                <w:sz w:val="24"/>
                <w:highlight w:val="none"/>
              </w:rPr>
            </w:pPr>
            <w:r>
              <w:rPr>
                <w:rFonts w:ascii="宋体" w:hAnsi="宋体"/>
                <w:sz w:val="24"/>
                <w:highlight w:val="none"/>
              </w:rPr>
              <w:t>开户全名：</w:t>
            </w:r>
          </w:p>
        </w:tc>
        <w:tc>
          <w:tcPr>
            <w:tcW w:w="533" w:type="dxa"/>
          </w:tcPr>
          <w:p>
            <w:pPr>
              <w:rPr>
                <w:rFonts w:ascii="宋体" w:hAnsi="宋体"/>
                <w:szCs w:val="21"/>
                <w:highlight w:val="none"/>
              </w:rPr>
            </w:pPr>
          </w:p>
        </w:tc>
      </w:tr>
      <w:tr>
        <w:tblPrEx>
          <w:tblCellMar>
            <w:top w:w="0" w:type="dxa"/>
            <w:left w:w="108" w:type="dxa"/>
            <w:bottom w:w="0" w:type="dxa"/>
            <w:right w:w="108" w:type="dxa"/>
          </w:tblCellMar>
        </w:tblPrEx>
        <w:trPr>
          <w:trHeight w:val="709" w:hRule="exact"/>
        </w:trPr>
        <w:tc>
          <w:tcPr>
            <w:tcW w:w="2269" w:type="dxa"/>
          </w:tcPr>
          <w:p>
            <w:pPr>
              <w:rPr>
                <w:rFonts w:ascii="宋体" w:hAnsi="宋体"/>
                <w:sz w:val="24"/>
                <w:highlight w:val="none"/>
              </w:rPr>
            </w:pPr>
            <w:r>
              <w:rPr>
                <w:rFonts w:ascii="宋体" w:hAnsi="宋体"/>
                <w:sz w:val="24"/>
                <w:highlight w:val="none"/>
              </w:rPr>
              <w:t>账    号</w:t>
            </w:r>
            <w:r>
              <w:rPr>
                <w:rFonts w:hint="eastAsia" w:ascii="宋体" w:hAnsi="宋体"/>
                <w:sz w:val="24"/>
                <w:highlight w:val="none"/>
              </w:rPr>
              <w:t>：</w:t>
            </w:r>
          </w:p>
        </w:tc>
        <w:tc>
          <w:tcPr>
            <w:tcW w:w="2835" w:type="dxa"/>
          </w:tcPr>
          <w:p>
            <w:pPr>
              <w:rPr>
                <w:rFonts w:ascii="宋体" w:hAnsi="宋体"/>
                <w:szCs w:val="21"/>
                <w:highlight w:val="none"/>
              </w:rPr>
            </w:pPr>
          </w:p>
        </w:tc>
        <w:tc>
          <w:tcPr>
            <w:tcW w:w="3294" w:type="dxa"/>
            <w:gridSpan w:val="2"/>
          </w:tcPr>
          <w:p>
            <w:pPr>
              <w:rPr>
                <w:rFonts w:ascii="宋体" w:hAnsi="宋体"/>
                <w:sz w:val="24"/>
                <w:highlight w:val="none"/>
              </w:rPr>
            </w:pPr>
            <w:r>
              <w:rPr>
                <w:rFonts w:ascii="宋体" w:hAnsi="宋体"/>
                <w:sz w:val="24"/>
                <w:highlight w:val="none"/>
              </w:rPr>
              <w:t>邮政编码：</w:t>
            </w:r>
          </w:p>
        </w:tc>
        <w:tc>
          <w:tcPr>
            <w:tcW w:w="1667" w:type="dxa"/>
            <w:gridSpan w:val="2"/>
          </w:tcPr>
          <w:p>
            <w:pPr>
              <w:rPr>
                <w:rFonts w:ascii="宋体" w:hAnsi="宋体"/>
                <w:szCs w:val="21"/>
                <w:highlight w:val="none"/>
              </w:rPr>
            </w:pPr>
          </w:p>
        </w:tc>
      </w:tr>
      <w:tr>
        <w:tblPrEx>
          <w:tblCellMar>
            <w:top w:w="0" w:type="dxa"/>
            <w:left w:w="108" w:type="dxa"/>
            <w:bottom w:w="0" w:type="dxa"/>
            <w:right w:w="108" w:type="dxa"/>
          </w:tblCellMar>
        </w:tblPrEx>
        <w:trPr>
          <w:trHeight w:val="855" w:hRule="exact"/>
        </w:trPr>
        <w:tc>
          <w:tcPr>
            <w:tcW w:w="2269" w:type="dxa"/>
          </w:tcPr>
          <w:p>
            <w:pPr>
              <w:rPr>
                <w:rFonts w:ascii="宋体" w:hAnsi="宋体"/>
                <w:sz w:val="24"/>
                <w:highlight w:val="none"/>
              </w:rPr>
            </w:pPr>
            <w:r>
              <w:rPr>
                <w:rFonts w:hint="eastAsia" w:ascii="宋体" w:hAnsi="宋体"/>
                <w:sz w:val="24"/>
                <w:highlight w:val="none"/>
              </w:rPr>
              <w:t>乙方经办人：</w:t>
            </w:r>
          </w:p>
        </w:tc>
        <w:tc>
          <w:tcPr>
            <w:tcW w:w="2835" w:type="dxa"/>
          </w:tcPr>
          <w:p>
            <w:pPr>
              <w:rPr>
                <w:rFonts w:ascii="宋体" w:hAnsi="宋体"/>
                <w:szCs w:val="21"/>
                <w:highlight w:val="none"/>
              </w:rPr>
            </w:pPr>
          </w:p>
        </w:tc>
        <w:tc>
          <w:tcPr>
            <w:tcW w:w="1985" w:type="dxa"/>
          </w:tcPr>
          <w:p>
            <w:pPr>
              <w:rPr>
                <w:rFonts w:ascii="宋体" w:hAnsi="宋体"/>
                <w:sz w:val="24"/>
                <w:highlight w:val="none"/>
              </w:rPr>
            </w:pPr>
            <w:r>
              <w:rPr>
                <w:rFonts w:hint="eastAsia" w:ascii="宋体" w:hAnsi="宋体"/>
                <w:sz w:val="24"/>
                <w:highlight w:val="none"/>
              </w:rPr>
              <w:t>乙方经办人电话：</w:t>
            </w:r>
          </w:p>
        </w:tc>
        <w:tc>
          <w:tcPr>
            <w:tcW w:w="2976" w:type="dxa"/>
            <w:gridSpan w:val="3"/>
          </w:tcPr>
          <w:p>
            <w:pPr>
              <w:rPr>
                <w:rFonts w:ascii="宋体" w:hAnsi="宋体"/>
                <w:sz w:val="24"/>
                <w:highlight w:val="none"/>
              </w:rPr>
            </w:pPr>
          </w:p>
        </w:tc>
      </w:tr>
      <w:tr>
        <w:tblPrEx>
          <w:tblCellMar>
            <w:top w:w="0" w:type="dxa"/>
            <w:left w:w="108" w:type="dxa"/>
            <w:bottom w:w="0" w:type="dxa"/>
            <w:right w:w="108" w:type="dxa"/>
          </w:tblCellMar>
        </w:tblPrEx>
        <w:trPr>
          <w:trHeight w:val="570" w:hRule="exact"/>
        </w:trPr>
        <w:tc>
          <w:tcPr>
            <w:tcW w:w="2269" w:type="dxa"/>
          </w:tcPr>
          <w:p>
            <w:pPr>
              <w:rPr>
                <w:rFonts w:ascii="宋体" w:hAnsi="宋体"/>
                <w:b/>
                <w:sz w:val="24"/>
                <w:highlight w:val="none"/>
              </w:rPr>
            </w:pPr>
            <w:r>
              <w:rPr>
                <w:rFonts w:hint="eastAsia" w:ascii="宋体" w:hAnsi="宋体"/>
                <w:b/>
                <w:sz w:val="24"/>
                <w:highlight w:val="none"/>
              </w:rPr>
              <w:t>合同签署地点：</w:t>
            </w:r>
          </w:p>
        </w:tc>
        <w:tc>
          <w:tcPr>
            <w:tcW w:w="2835" w:type="dxa"/>
          </w:tcPr>
          <w:p>
            <w:pPr>
              <w:rPr>
                <w:rFonts w:ascii="宋体" w:hAnsi="宋体"/>
                <w:b/>
                <w:szCs w:val="21"/>
                <w:highlight w:val="none"/>
              </w:rPr>
            </w:pPr>
            <w:r>
              <w:rPr>
                <w:rFonts w:hint="eastAsia" w:ascii="宋体" w:hAnsi="宋体"/>
                <w:b/>
                <w:szCs w:val="21"/>
                <w:highlight w:val="none"/>
              </w:rPr>
              <w:t>深   圳</w:t>
            </w:r>
          </w:p>
        </w:tc>
        <w:tc>
          <w:tcPr>
            <w:tcW w:w="1985" w:type="dxa"/>
          </w:tcPr>
          <w:p>
            <w:pPr>
              <w:rPr>
                <w:rFonts w:ascii="宋体" w:hAnsi="宋体"/>
                <w:sz w:val="24"/>
                <w:highlight w:val="none"/>
              </w:rPr>
            </w:pPr>
          </w:p>
        </w:tc>
        <w:tc>
          <w:tcPr>
            <w:tcW w:w="2976" w:type="dxa"/>
            <w:gridSpan w:val="3"/>
          </w:tcPr>
          <w:p>
            <w:pPr>
              <w:rPr>
                <w:rFonts w:ascii="宋体" w:hAnsi="宋体"/>
                <w:szCs w:val="21"/>
                <w:highlight w:val="none"/>
              </w:rPr>
            </w:pPr>
          </w:p>
        </w:tc>
      </w:tr>
      <w:tr>
        <w:tblPrEx>
          <w:tblCellMar>
            <w:top w:w="0" w:type="dxa"/>
            <w:left w:w="108" w:type="dxa"/>
            <w:bottom w:w="0" w:type="dxa"/>
            <w:right w:w="108" w:type="dxa"/>
          </w:tblCellMar>
        </w:tblPrEx>
        <w:trPr>
          <w:trHeight w:val="566" w:hRule="exact"/>
        </w:trPr>
        <w:tc>
          <w:tcPr>
            <w:tcW w:w="2269" w:type="dxa"/>
          </w:tcPr>
          <w:p>
            <w:pPr>
              <w:rPr>
                <w:rFonts w:ascii="宋体" w:hAnsi="宋体"/>
                <w:b/>
                <w:sz w:val="24"/>
                <w:highlight w:val="none"/>
              </w:rPr>
            </w:pPr>
            <w:r>
              <w:rPr>
                <w:rFonts w:hint="eastAsia" w:ascii="宋体" w:hAnsi="宋体"/>
                <w:b/>
                <w:sz w:val="24"/>
                <w:highlight w:val="none"/>
              </w:rPr>
              <w:t>时      间：</w:t>
            </w:r>
          </w:p>
        </w:tc>
        <w:tc>
          <w:tcPr>
            <w:tcW w:w="2835" w:type="dxa"/>
          </w:tcPr>
          <w:p>
            <w:pPr>
              <w:rPr>
                <w:rFonts w:ascii="宋体" w:hAnsi="宋体"/>
                <w:b/>
                <w:szCs w:val="21"/>
                <w:highlight w:val="none"/>
              </w:rPr>
            </w:pPr>
            <w:r>
              <w:rPr>
                <w:rFonts w:hint="eastAsia" w:ascii="宋体" w:hAnsi="宋体"/>
                <w:b/>
                <w:szCs w:val="21"/>
                <w:highlight w:val="none"/>
              </w:rPr>
              <w:t>20</w:t>
            </w:r>
            <w:r>
              <w:rPr>
                <w:rFonts w:ascii="宋体" w:hAnsi="宋体"/>
                <w:b/>
                <w:szCs w:val="21"/>
                <w:highlight w:val="none"/>
              </w:rPr>
              <w:t>21</w:t>
            </w:r>
            <w:r>
              <w:rPr>
                <w:rFonts w:hint="eastAsia" w:ascii="宋体" w:hAnsi="宋体"/>
                <w:b/>
                <w:szCs w:val="21"/>
                <w:highlight w:val="none"/>
              </w:rPr>
              <w:t>年   月    日</w:t>
            </w:r>
          </w:p>
        </w:tc>
        <w:tc>
          <w:tcPr>
            <w:tcW w:w="1985" w:type="dxa"/>
          </w:tcPr>
          <w:p>
            <w:pPr>
              <w:rPr>
                <w:rFonts w:ascii="宋体" w:hAnsi="宋体"/>
                <w:sz w:val="24"/>
                <w:highlight w:val="none"/>
              </w:rPr>
            </w:pPr>
          </w:p>
        </w:tc>
        <w:tc>
          <w:tcPr>
            <w:tcW w:w="2976" w:type="dxa"/>
            <w:gridSpan w:val="3"/>
          </w:tcPr>
          <w:p>
            <w:pPr>
              <w:rPr>
                <w:rFonts w:ascii="宋体" w:hAnsi="宋体"/>
                <w:szCs w:val="21"/>
                <w:highlight w:val="none"/>
              </w:rPr>
            </w:pPr>
          </w:p>
        </w:tc>
      </w:tr>
    </w:tbl>
    <w:p>
      <w:pPr>
        <w:spacing w:line="360" w:lineRule="auto"/>
      </w:pPr>
    </w:p>
    <w:p>
      <w:pPr>
        <w:pStyle w:val="2"/>
        <w:ind w:firstLine="480"/>
        <w:rPr>
          <w:rFonts w:ascii="宋体" w:hAnsi="宋体"/>
          <w:sz w:val="24"/>
          <w:szCs w:val="24"/>
          <w:u w:val="single"/>
        </w:rPr>
      </w:pPr>
    </w:p>
    <w:bookmarkEnd w:id="122"/>
    <w:p>
      <w:pPr>
        <w:pStyle w:val="2"/>
        <w:ind w:firstLine="480"/>
        <w:rPr>
          <w:rFonts w:ascii="宋体" w:hAnsi="宋体"/>
          <w:sz w:val="24"/>
          <w:szCs w:val="24"/>
          <w:u w:val="single"/>
        </w:rPr>
      </w:pPr>
    </w:p>
    <w:sectPr>
      <w:head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Microsoft YaHei UI Light"/>
    <w:panose1 w:val="00000000000000000000"/>
    <w:charset w:val="50"/>
    <w:family w:val="auto"/>
    <w:pitch w:val="default"/>
    <w:sig w:usb0="00000000" w:usb1="00000000" w:usb2="00000000" w:usb3="00000000" w:csb0="2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auto"/>
    <w:pitch w:val="default"/>
    <w:sig w:usb0="80000287" w:usb1="2ACF001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2"/>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A07FAAEC"/>
    <w:multiLevelType w:val="singleLevel"/>
    <w:tmpl w:val="A07FAAEC"/>
    <w:lvl w:ilvl="0" w:tentative="0">
      <w:start w:val="1"/>
      <w:numFmt w:val="decimal"/>
      <w:suff w:val="nothing"/>
      <w:lvlText w:val="%1、"/>
      <w:lvlJc w:val="left"/>
    </w:lvl>
  </w:abstractNum>
  <w:abstractNum w:abstractNumId="2">
    <w:nsid w:val="A094A7DE"/>
    <w:multiLevelType w:val="singleLevel"/>
    <w:tmpl w:val="A094A7DE"/>
    <w:lvl w:ilvl="0" w:tentative="0">
      <w:start w:val="2"/>
      <w:numFmt w:val="chineseCounting"/>
      <w:suff w:val="nothing"/>
      <w:lvlText w:val="（%1）"/>
      <w:lvlJc w:val="left"/>
      <w:rPr>
        <w:rFonts w:hint="eastAsia"/>
      </w:rPr>
    </w:lvl>
  </w:abstractNum>
  <w:abstractNum w:abstractNumId="3">
    <w:nsid w:val="CE81ABE0"/>
    <w:multiLevelType w:val="singleLevel"/>
    <w:tmpl w:val="CE81ABE0"/>
    <w:lvl w:ilvl="0" w:tentative="0">
      <w:start w:val="1"/>
      <w:numFmt w:val="chineseCounting"/>
      <w:suff w:val="nothing"/>
      <w:lvlText w:val="（%1）"/>
      <w:lvlJc w:val="left"/>
      <w:pPr>
        <w:ind w:left="0" w:firstLine="420"/>
      </w:pPr>
      <w:rPr>
        <w:rFonts w:hint="eastAsia"/>
      </w:rPr>
    </w:lvl>
  </w:abstractNum>
  <w:abstractNum w:abstractNumId="4">
    <w:nsid w:val="DADDB84E"/>
    <w:multiLevelType w:val="singleLevel"/>
    <w:tmpl w:val="DADDB84E"/>
    <w:lvl w:ilvl="0" w:tentative="0">
      <w:start w:val="2"/>
      <w:numFmt w:val="chineseCounting"/>
      <w:suff w:val="nothing"/>
      <w:lvlText w:val="%1、"/>
      <w:lvlJc w:val="left"/>
      <w:pPr>
        <w:ind w:left="0" w:firstLine="0"/>
      </w:pPr>
    </w:lvl>
  </w:abstractNum>
  <w:abstractNum w:abstractNumId="5">
    <w:nsid w:val="F2C37B99"/>
    <w:multiLevelType w:val="singleLevel"/>
    <w:tmpl w:val="F2C37B99"/>
    <w:lvl w:ilvl="0" w:tentative="0">
      <w:start w:val="1"/>
      <w:numFmt w:val="chineseCounting"/>
      <w:suff w:val="nothing"/>
      <w:lvlText w:val="（%1）"/>
      <w:lvlJc w:val="left"/>
      <w:pPr>
        <w:ind w:left="0" w:firstLine="420"/>
      </w:pPr>
      <w:rPr>
        <w:rFonts w:hint="eastAsia"/>
      </w:rPr>
    </w:lvl>
  </w:abstractNum>
  <w:abstractNum w:abstractNumId="6">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7">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0F907BD"/>
    <w:multiLevelType w:val="singleLevel"/>
    <w:tmpl w:val="40F907BD"/>
    <w:lvl w:ilvl="0" w:tentative="0">
      <w:start w:val="2"/>
      <w:numFmt w:val="chineseCounting"/>
      <w:suff w:val="nothing"/>
      <w:lvlText w:val="%1、"/>
      <w:lvlJc w:val="left"/>
      <w:rPr>
        <w:rFonts w:hint="eastAsia"/>
      </w:rPr>
    </w:lvl>
  </w:abstractNum>
  <w:abstractNum w:abstractNumId="9">
    <w:nsid w:val="43C650FB"/>
    <w:multiLevelType w:val="multilevel"/>
    <w:tmpl w:val="43C650FB"/>
    <w:lvl w:ilvl="0" w:tentative="0">
      <w:start w:val="1"/>
      <w:numFmt w:val="chineseCountingThousand"/>
      <w:lvlText w:val="第%1条"/>
      <w:lvlJc w:val="left"/>
      <w:pPr>
        <w:tabs>
          <w:tab w:val="left" w:pos="851"/>
        </w:tabs>
        <w:ind w:left="851" w:hanging="851"/>
      </w:pPr>
      <w:rPr>
        <w:rFonts w:hint="eastAsia"/>
        <w:lang w:val="en-US"/>
      </w:rPr>
    </w:lvl>
    <w:lvl w:ilvl="1" w:tentative="0">
      <w:start w:val="1"/>
      <w:numFmt w:val="decimal"/>
      <w:pStyle w:val="236"/>
      <w:isLgl/>
      <w:lvlText w:val="%1.%2"/>
      <w:lvlJc w:val="left"/>
      <w:pPr>
        <w:tabs>
          <w:tab w:val="left" w:pos="851"/>
        </w:tabs>
        <w:ind w:left="851" w:hanging="851"/>
      </w:pPr>
      <w:rPr>
        <w:rFonts w:hint="eastAsia"/>
      </w:rPr>
    </w:lvl>
    <w:lvl w:ilvl="2" w:tentative="0">
      <w:start w:val="1"/>
      <w:numFmt w:val="decimal"/>
      <w:isLgl/>
      <w:lvlText w:val="%1.%2.%3"/>
      <w:lvlJc w:val="left"/>
      <w:pPr>
        <w:tabs>
          <w:tab w:val="left" w:pos="2268"/>
        </w:tabs>
        <w:ind w:left="2268" w:hanging="1134"/>
      </w:pPr>
      <w:rPr>
        <w:rFonts w:hint="eastAsia"/>
      </w:rPr>
    </w:lvl>
    <w:lvl w:ilvl="3" w:tentative="0">
      <w:start w:val="1"/>
      <w:numFmt w:val="decimal"/>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462F4836"/>
    <w:multiLevelType w:val="multilevel"/>
    <w:tmpl w:val="462F4836"/>
    <w:lvl w:ilvl="0" w:tentative="0">
      <w:start w:val="1"/>
      <w:numFmt w:val="decimal"/>
      <w:lvlText w:val="%1."/>
      <w:lvlJc w:val="left"/>
      <w:pPr>
        <w:ind w:left="315" w:hanging="3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2">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73BFF8B0"/>
    <w:multiLevelType w:val="singleLevel"/>
    <w:tmpl w:val="73BFF8B0"/>
    <w:lvl w:ilvl="0" w:tentative="0">
      <w:start w:val="1"/>
      <w:numFmt w:val="chineseCounting"/>
      <w:suff w:val="nothing"/>
      <w:lvlText w:val="（%1）"/>
      <w:lvlJc w:val="left"/>
      <w:pPr>
        <w:ind w:left="630" w:firstLine="420"/>
      </w:pPr>
      <w:rPr>
        <w:rFonts w:hint="eastAsia"/>
      </w:rPr>
    </w:lvl>
  </w:abstractNum>
  <w:num w:numId="1">
    <w:abstractNumId w:val="9"/>
  </w:num>
  <w:num w:numId="2">
    <w:abstractNumId w:val="7"/>
  </w:num>
  <w:num w:numId="3">
    <w:abstractNumId w:val="8"/>
  </w:num>
  <w:num w:numId="4">
    <w:abstractNumId w:val="0"/>
  </w:num>
  <w:num w:numId="5">
    <w:abstractNumId w:val="13"/>
  </w:num>
  <w:num w:numId="6">
    <w:abstractNumId w:val="4"/>
    <w:lvlOverride w:ilvl="0">
      <w:startOverride w:val="2"/>
    </w:lvlOverride>
  </w:num>
  <w:num w:numId="7">
    <w:abstractNumId w:val="2"/>
  </w:num>
  <w:num w:numId="8">
    <w:abstractNumId w:val="3"/>
  </w:num>
  <w:num w:numId="9">
    <w:abstractNumId w:val="1"/>
  </w:num>
  <w:num w:numId="10">
    <w:abstractNumId w:val="10"/>
  </w:num>
  <w:num w:numId="11">
    <w:abstractNumId w:val="6"/>
  </w:num>
  <w:num w:numId="12">
    <w:abstractNumId w:val="5"/>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3033"/>
    <w:rsid w:val="000216E2"/>
    <w:rsid w:val="00034BAB"/>
    <w:rsid w:val="00043044"/>
    <w:rsid w:val="00053EDD"/>
    <w:rsid w:val="000B0F6B"/>
    <w:rsid w:val="000C5AD8"/>
    <w:rsid w:val="000D136E"/>
    <w:rsid w:val="000E0D88"/>
    <w:rsid w:val="000F043F"/>
    <w:rsid w:val="000F6F66"/>
    <w:rsid w:val="001669D4"/>
    <w:rsid w:val="0017576E"/>
    <w:rsid w:val="001A5692"/>
    <w:rsid w:val="001A5C24"/>
    <w:rsid w:val="001B5007"/>
    <w:rsid w:val="001B66FA"/>
    <w:rsid w:val="001F08B4"/>
    <w:rsid w:val="001F2DD1"/>
    <w:rsid w:val="00200523"/>
    <w:rsid w:val="00205320"/>
    <w:rsid w:val="00227BD1"/>
    <w:rsid w:val="00241DDB"/>
    <w:rsid w:val="00243419"/>
    <w:rsid w:val="00245448"/>
    <w:rsid w:val="00260BA7"/>
    <w:rsid w:val="00263767"/>
    <w:rsid w:val="0027705F"/>
    <w:rsid w:val="002A18B6"/>
    <w:rsid w:val="002D695C"/>
    <w:rsid w:val="002F43AE"/>
    <w:rsid w:val="002F4E2A"/>
    <w:rsid w:val="00314208"/>
    <w:rsid w:val="0031446C"/>
    <w:rsid w:val="0032322D"/>
    <w:rsid w:val="00355952"/>
    <w:rsid w:val="003611EC"/>
    <w:rsid w:val="00364EBD"/>
    <w:rsid w:val="00395243"/>
    <w:rsid w:val="003A2EA1"/>
    <w:rsid w:val="003B0D8F"/>
    <w:rsid w:val="003C7FA6"/>
    <w:rsid w:val="003D311D"/>
    <w:rsid w:val="003D3273"/>
    <w:rsid w:val="003D3838"/>
    <w:rsid w:val="003D5D5E"/>
    <w:rsid w:val="003E413C"/>
    <w:rsid w:val="003F5107"/>
    <w:rsid w:val="004346F0"/>
    <w:rsid w:val="004428BD"/>
    <w:rsid w:val="004749C9"/>
    <w:rsid w:val="00477C8C"/>
    <w:rsid w:val="00485A5D"/>
    <w:rsid w:val="004A6675"/>
    <w:rsid w:val="004D4ED9"/>
    <w:rsid w:val="004F33C7"/>
    <w:rsid w:val="004F5608"/>
    <w:rsid w:val="00515C27"/>
    <w:rsid w:val="0052618B"/>
    <w:rsid w:val="00540211"/>
    <w:rsid w:val="0054080E"/>
    <w:rsid w:val="00561D56"/>
    <w:rsid w:val="005A4927"/>
    <w:rsid w:val="005B0A6E"/>
    <w:rsid w:val="005C2DE9"/>
    <w:rsid w:val="005C52DC"/>
    <w:rsid w:val="005D1B8E"/>
    <w:rsid w:val="005D2633"/>
    <w:rsid w:val="005D581F"/>
    <w:rsid w:val="00600660"/>
    <w:rsid w:val="00604F1C"/>
    <w:rsid w:val="00607E3F"/>
    <w:rsid w:val="006102A3"/>
    <w:rsid w:val="006157E7"/>
    <w:rsid w:val="006165F0"/>
    <w:rsid w:val="006216E2"/>
    <w:rsid w:val="00635539"/>
    <w:rsid w:val="00650E5B"/>
    <w:rsid w:val="00652DCE"/>
    <w:rsid w:val="0066284B"/>
    <w:rsid w:val="00665CBF"/>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12907"/>
    <w:rsid w:val="00921B52"/>
    <w:rsid w:val="00944AA2"/>
    <w:rsid w:val="00945032"/>
    <w:rsid w:val="009526AD"/>
    <w:rsid w:val="00970C9B"/>
    <w:rsid w:val="009757D9"/>
    <w:rsid w:val="00980999"/>
    <w:rsid w:val="00983D59"/>
    <w:rsid w:val="00984021"/>
    <w:rsid w:val="00991392"/>
    <w:rsid w:val="00993A89"/>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E5AE2"/>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8DC"/>
    <w:rsid w:val="00C60A99"/>
    <w:rsid w:val="00C657F9"/>
    <w:rsid w:val="00C65A28"/>
    <w:rsid w:val="00C95A82"/>
    <w:rsid w:val="00CA2076"/>
    <w:rsid w:val="00CA3563"/>
    <w:rsid w:val="00CC5AFA"/>
    <w:rsid w:val="00CD7EA4"/>
    <w:rsid w:val="00CE513F"/>
    <w:rsid w:val="00CF71EF"/>
    <w:rsid w:val="00D02321"/>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60576D"/>
    <w:rsid w:val="016729E7"/>
    <w:rsid w:val="01B851DF"/>
    <w:rsid w:val="01D92217"/>
    <w:rsid w:val="02287A18"/>
    <w:rsid w:val="031B6BA2"/>
    <w:rsid w:val="032E4D47"/>
    <w:rsid w:val="03895E19"/>
    <w:rsid w:val="0406204A"/>
    <w:rsid w:val="05590B54"/>
    <w:rsid w:val="057F05BD"/>
    <w:rsid w:val="065A3F7A"/>
    <w:rsid w:val="068421C8"/>
    <w:rsid w:val="073A38EF"/>
    <w:rsid w:val="07731F5F"/>
    <w:rsid w:val="07841B34"/>
    <w:rsid w:val="082B5628"/>
    <w:rsid w:val="0889420E"/>
    <w:rsid w:val="08A80FE4"/>
    <w:rsid w:val="08F33B1E"/>
    <w:rsid w:val="09302C8E"/>
    <w:rsid w:val="0A2C15E1"/>
    <w:rsid w:val="0A5F1A8C"/>
    <w:rsid w:val="0C224DD1"/>
    <w:rsid w:val="0CC82852"/>
    <w:rsid w:val="0D841421"/>
    <w:rsid w:val="0D84767A"/>
    <w:rsid w:val="0E1A031E"/>
    <w:rsid w:val="0EB425E7"/>
    <w:rsid w:val="0F1F177E"/>
    <w:rsid w:val="0F503C2D"/>
    <w:rsid w:val="10354394"/>
    <w:rsid w:val="10535CFF"/>
    <w:rsid w:val="113B7241"/>
    <w:rsid w:val="11524677"/>
    <w:rsid w:val="116154F9"/>
    <w:rsid w:val="11977352"/>
    <w:rsid w:val="11EA4B82"/>
    <w:rsid w:val="12CA1F6A"/>
    <w:rsid w:val="134E0C3A"/>
    <w:rsid w:val="13B15654"/>
    <w:rsid w:val="142775FE"/>
    <w:rsid w:val="14857B1E"/>
    <w:rsid w:val="153D3EA6"/>
    <w:rsid w:val="154148ED"/>
    <w:rsid w:val="16443415"/>
    <w:rsid w:val="167378DE"/>
    <w:rsid w:val="17992D80"/>
    <w:rsid w:val="17C80E13"/>
    <w:rsid w:val="187377D0"/>
    <w:rsid w:val="187D53EA"/>
    <w:rsid w:val="1892E405"/>
    <w:rsid w:val="19492209"/>
    <w:rsid w:val="19846B6B"/>
    <w:rsid w:val="19B0563A"/>
    <w:rsid w:val="19C31ED3"/>
    <w:rsid w:val="19C9185E"/>
    <w:rsid w:val="1AE74234"/>
    <w:rsid w:val="1B80312D"/>
    <w:rsid w:val="1C8F595E"/>
    <w:rsid w:val="1CE94904"/>
    <w:rsid w:val="1D1F2F14"/>
    <w:rsid w:val="1D8A4831"/>
    <w:rsid w:val="1D9B2613"/>
    <w:rsid w:val="1DC47E64"/>
    <w:rsid w:val="1DE56E33"/>
    <w:rsid w:val="1E814254"/>
    <w:rsid w:val="1E9062B3"/>
    <w:rsid w:val="1F5F5687"/>
    <w:rsid w:val="208C1D22"/>
    <w:rsid w:val="209C728D"/>
    <w:rsid w:val="20AC4F15"/>
    <w:rsid w:val="20B93720"/>
    <w:rsid w:val="21194658"/>
    <w:rsid w:val="211E2898"/>
    <w:rsid w:val="21D8405F"/>
    <w:rsid w:val="223236E9"/>
    <w:rsid w:val="22AF6AE8"/>
    <w:rsid w:val="239610B4"/>
    <w:rsid w:val="23BE3486"/>
    <w:rsid w:val="243B61F5"/>
    <w:rsid w:val="247578DE"/>
    <w:rsid w:val="24A84414"/>
    <w:rsid w:val="254909EB"/>
    <w:rsid w:val="25592D3B"/>
    <w:rsid w:val="25654EF0"/>
    <w:rsid w:val="256C6A29"/>
    <w:rsid w:val="2672343A"/>
    <w:rsid w:val="26B91CE3"/>
    <w:rsid w:val="26DF6A52"/>
    <w:rsid w:val="27D441DE"/>
    <w:rsid w:val="284F23DA"/>
    <w:rsid w:val="2897327F"/>
    <w:rsid w:val="28FF7D52"/>
    <w:rsid w:val="293B7259"/>
    <w:rsid w:val="294670FF"/>
    <w:rsid w:val="29B96FF4"/>
    <w:rsid w:val="29ED1ABB"/>
    <w:rsid w:val="2A81244C"/>
    <w:rsid w:val="2A86581E"/>
    <w:rsid w:val="2B2D41DB"/>
    <w:rsid w:val="2BC6617C"/>
    <w:rsid w:val="2C1E78EF"/>
    <w:rsid w:val="2CBF3847"/>
    <w:rsid w:val="2CD63EA5"/>
    <w:rsid w:val="2CE1B07E"/>
    <w:rsid w:val="2D5269E7"/>
    <w:rsid w:val="2D5D0F3D"/>
    <w:rsid w:val="2DD5742E"/>
    <w:rsid w:val="2E8F0FD2"/>
    <w:rsid w:val="2EF733E4"/>
    <w:rsid w:val="2F1165C0"/>
    <w:rsid w:val="30063319"/>
    <w:rsid w:val="306E0644"/>
    <w:rsid w:val="323D2BEE"/>
    <w:rsid w:val="33B643A0"/>
    <w:rsid w:val="34122A4E"/>
    <w:rsid w:val="341B1908"/>
    <w:rsid w:val="348376D6"/>
    <w:rsid w:val="352D3822"/>
    <w:rsid w:val="35B20725"/>
    <w:rsid w:val="3638050E"/>
    <w:rsid w:val="366D1437"/>
    <w:rsid w:val="368051C0"/>
    <w:rsid w:val="371049C3"/>
    <w:rsid w:val="377121D0"/>
    <w:rsid w:val="381F574B"/>
    <w:rsid w:val="3862000E"/>
    <w:rsid w:val="38635A90"/>
    <w:rsid w:val="38B63592"/>
    <w:rsid w:val="394C5A0D"/>
    <w:rsid w:val="39A86127"/>
    <w:rsid w:val="39E83776"/>
    <w:rsid w:val="3A1E03A8"/>
    <w:rsid w:val="3ADF6AA3"/>
    <w:rsid w:val="3C125DD4"/>
    <w:rsid w:val="3C99647A"/>
    <w:rsid w:val="3CA01523"/>
    <w:rsid w:val="3DB977AE"/>
    <w:rsid w:val="3DE33BDC"/>
    <w:rsid w:val="3E374C21"/>
    <w:rsid w:val="3F7710D4"/>
    <w:rsid w:val="3FAF5707"/>
    <w:rsid w:val="3FBB7192"/>
    <w:rsid w:val="3FFB2624"/>
    <w:rsid w:val="3FFF7D64"/>
    <w:rsid w:val="41016908"/>
    <w:rsid w:val="413D1A37"/>
    <w:rsid w:val="434268E8"/>
    <w:rsid w:val="44316F05"/>
    <w:rsid w:val="449255AF"/>
    <w:rsid w:val="45392BCE"/>
    <w:rsid w:val="454F3145"/>
    <w:rsid w:val="45901792"/>
    <w:rsid w:val="45AF3EB4"/>
    <w:rsid w:val="468C2B4D"/>
    <w:rsid w:val="4706715A"/>
    <w:rsid w:val="47141BE2"/>
    <w:rsid w:val="47DB39F7"/>
    <w:rsid w:val="482E7CFA"/>
    <w:rsid w:val="483025F1"/>
    <w:rsid w:val="48A74206"/>
    <w:rsid w:val="493E00E4"/>
    <w:rsid w:val="49A14359"/>
    <w:rsid w:val="49DB6B60"/>
    <w:rsid w:val="4A4059B5"/>
    <w:rsid w:val="4B963335"/>
    <w:rsid w:val="4CC93A0F"/>
    <w:rsid w:val="4D383F40"/>
    <w:rsid w:val="4D41569F"/>
    <w:rsid w:val="4D41759F"/>
    <w:rsid w:val="4DA57729"/>
    <w:rsid w:val="4DCF7B29"/>
    <w:rsid w:val="4E036E8C"/>
    <w:rsid w:val="4E2B3DA5"/>
    <w:rsid w:val="4E4B4F9B"/>
    <w:rsid w:val="4E8B5AEB"/>
    <w:rsid w:val="4ECC6A24"/>
    <w:rsid w:val="4FC41ECE"/>
    <w:rsid w:val="4FF62C75"/>
    <w:rsid w:val="5000150E"/>
    <w:rsid w:val="50B64B03"/>
    <w:rsid w:val="50CB601A"/>
    <w:rsid w:val="51394DBE"/>
    <w:rsid w:val="513E53EB"/>
    <w:rsid w:val="51FF0996"/>
    <w:rsid w:val="5202754E"/>
    <w:rsid w:val="52CD6993"/>
    <w:rsid w:val="53C848CE"/>
    <w:rsid w:val="54DB111B"/>
    <w:rsid w:val="552C2ED2"/>
    <w:rsid w:val="55307107"/>
    <w:rsid w:val="5565188F"/>
    <w:rsid w:val="55F96668"/>
    <w:rsid w:val="564A221E"/>
    <w:rsid w:val="56B91027"/>
    <w:rsid w:val="56FF3BC2"/>
    <w:rsid w:val="579447BF"/>
    <w:rsid w:val="57BD2100"/>
    <w:rsid w:val="57E802A9"/>
    <w:rsid w:val="58350237"/>
    <w:rsid w:val="58771D8E"/>
    <w:rsid w:val="5A8B15BD"/>
    <w:rsid w:val="5AB47BDF"/>
    <w:rsid w:val="5AF6727A"/>
    <w:rsid w:val="5B147DF5"/>
    <w:rsid w:val="5B813AB0"/>
    <w:rsid w:val="5BDC0D8A"/>
    <w:rsid w:val="5C4E7981"/>
    <w:rsid w:val="5C5E1F11"/>
    <w:rsid w:val="5D2E11ED"/>
    <w:rsid w:val="5D335675"/>
    <w:rsid w:val="5D801A07"/>
    <w:rsid w:val="5E5D76E0"/>
    <w:rsid w:val="5EDD1D0C"/>
    <w:rsid w:val="5F3A7F20"/>
    <w:rsid w:val="5F7D2E3A"/>
    <w:rsid w:val="5F7F7B41"/>
    <w:rsid w:val="5FBED4DA"/>
    <w:rsid w:val="5FE845C0"/>
    <w:rsid w:val="5FFE7D6C"/>
    <w:rsid w:val="601B6BDB"/>
    <w:rsid w:val="61DE21D7"/>
    <w:rsid w:val="61E35D28"/>
    <w:rsid w:val="62A62707"/>
    <w:rsid w:val="62B17737"/>
    <w:rsid w:val="62C45016"/>
    <w:rsid w:val="63436BE9"/>
    <w:rsid w:val="63676BA3"/>
    <w:rsid w:val="63895D01"/>
    <w:rsid w:val="63BC515B"/>
    <w:rsid w:val="645D3FE6"/>
    <w:rsid w:val="64867B56"/>
    <w:rsid w:val="665011EC"/>
    <w:rsid w:val="66AB23FE"/>
    <w:rsid w:val="670504D8"/>
    <w:rsid w:val="67BF1BD1"/>
    <w:rsid w:val="68567630"/>
    <w:rsid w:val="68A529B7"/>
    <w:rsid w:val="68B17459"/>
    <w:rsid w:val="68B46056"/>
    <w:rsid w:val="6A541EFF"/>
    <w:rsid w:val="6BD35BF3"/>
    <w:rsid w:val="6BEE3769"/>
    <w:rsid w:val="6C955CB1"/>
    <w:rsid w:val="6DEFA775"/>
    <w:rsid w:val="6DFE5FFB"/>
    <w:rsid w:val="6E085B93"/>
    <w:rsid w:val="6E1F2086"/>
    <w:rsid w:val="6FBD7C19"/>
    <w:rsid w:val="6FF420B8"/>
    <w:rsid w:val="70165BBC"/>
    <w:rsid w:val="70553D01"/>
    <w:rsid w:val="70D34129"/>
    <w:rsid w:val="723A7641"/>
    <w:rsid w:val="737E50D1"/>
    <w:rsid w:val="73AA230D"/>
    <w:rsid w:val="73E379C8"/>
    <w:rsid w:val="74B23A90"/>
    <w:rsid w:val="74CE55B2"/>
    <w:rsid w:val="74F3CBC9"/>
    <w:rsid w:val="7509538E"/>
    <w:rsid w:val="75377DCD"/>
    <w:rsid w:val="753B598B"/>
    <w:rsid w:val="75DF705D"/>
    <w:rsid w:val="75E64D79"/>
    <w:rsid w:val="762635E5"/>
    <w:rsid w:val="7678680B"/>
    <w:rsid w:val="76984C2E"/>
    <w:rsid w:val="76CE4E95"/>
    <w:rsid w:val="76FFBD27"/>
    <w:rsid w:val="77FEF074"/>
    <w:rsid w:val="784D39C8"/>
    <w:rsid w:val="78F41CD4"/>
    <w:rsid w:val="791C0615"/>
    <w:rsid w:val="793741EC"/>
    <w:rsid w:val="7A7A024A"/>
    <w:rsid w:val="7A953F53"/>
    <w:rsid w:val="7A9A1C23"/>
    <w:rsid w:val="7BCD4926"/>
    <w:rsid w:val="7BFE8FAA"/>
    <w:rsid w:val="7C1F350C"/>
    <w:rsid w:val="7CAB7003"/>
    <w:rsid w:val="7CFFD089"/>
    <w:rsid w:val="7D066A1B"/>
    <w:rsid w:val="7D5F2738"/>
    <w:rsid w:val="7D694362"/>
    <w:rsid w:val="7D6E0A21"/>
    <w:rsid w:val="7D7B66C4"/>
    <w:rsid w:val="7D7D0F6E"/>
    <w:rsid w:val="7DE86CAD"/>
    <w:rsid w:val="7DF30921"/>
    <w:rsid w:val="7E9FE2BE"/>
    <w:rsid w:val="7EDFB2AF"/>
    <w:rsid w:val="7EFA1665"/>
    <w:rsid w:val="7F6DFFAE"/>
    <w:rsid w:val="7F7A7C6D"/>
    <w:rsid w:val="7FBF4E91"/>
    <w:rsid w:val="7FBFE0DA"/>
    <w:rsid w:val="7FE37B5A"/>
    <w:rsid w:val="7FEF083D"/>
    <w:rsid w:val="7FF19B46"/>
    <w:rsid w:val="7FF7B9E9"/>
    <w:rsid w:val="A7DB4FFA"/>
    <w:rsid w:val="B5BE1BBF"/>
    <w:rsid w:val="B6FD58E3"/>
    <w:rsid w:val="BE57CEDF"/>
    <w:rsid w:val="DBF5CFAA"/>
    <w:rsid w:val="DFEB3FF7"/>
    <w:rsid w:val="DFFCB07F"/>
    <w:rsid w:val="E4330BC4"/>
    <w:rsid w:val="EB5C33A4"/>
    <w:rsid w:val="EBF6CE66"/>
    <w:rsid w:val="EBF749E2"/>
    <w:rsid w:val="F6F5C200"/>
    <w:rsid w:val="F73F19AC"/>
    <w:rsid w:val="F7A73012"/>
    <w:rsid w:val="F7CF9D3C"/>
    <w:rsid w:val="F7DF61A9"/>
    <w:rsid w:val="F7FB644C"/>
    <w:rsid w:val="FBF613C0"/>
    <w:rsid w:val="FE7FAD23"/>
    <w:rsid w:val="FEAF8AB6"/>
    <w:rsid w:val="FED776A3"/>
    <w:rsid w:val="FF7FC629"/>
    <w:rsid w:val="FFABF1C9"/>
    <w:rsid w:val="FFDDD25C"/>
    <w:rsid w:val="FFFDCCF8"/>
    <w:rsid w:val="FFFF9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qFormat="1" w:uiPriority="0"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9"/>
    <w:qFormat/>
    <w:uiPriority w:val="0"/>
    <w:pPr>
      <w:keepNext/>
      <w:keepLines/>
      <w:adjustRightInd w:val="0"/>
      <w:spacing w:before="340" w:after="330" w:line="578" w:lineRule="atLeast"/>
      <w:jc w:val="center"/>
      <w:outlineLvl w:val="0"/>
    </w:pPr>
    <w:rPr>
      <w:b/>
      <w:kern w:val="44"/>
      <w:sz w:val="20"/>
    </w:rPr>
  </w:style>
  <w:style w:type="paragraph" w:styleId="6">
    <w:name w:val="heading 2"/>
    <w:basedOn w:val="1"/>
    <w:next w:val="1"/>
    <w:link w:val="60"/>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7">
    <w:name w:val="heading 3"/>
    <w:basedOn w:val="1"/>
    <w:next w:val="1"/>
    <w:link w:val="61"/>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8">
    <w:name w:val="heading 4"/>
    <w:basedOn w:val="1"/>
    <w:next w:val="1"/>
    <w:link w:val="62"/>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9">
    <w:name w:val="heading 5"/>
    <w:basedOn w:val="1"/>
    <w:next w:val="1"/>
    <w:link w:val="63"/>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10">
    <w:name w:val="heading 6"/>
    <w:basedOn w:val="1"/>
    <w:next w:val="1"/>
    <w:link w:val="64"/>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1">
    <w:name w:val="heading 7"/>
    <w:basedOn w:val="1"/>
    <w:next w:val="1"/>
    <w:link w:val="65"/>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2">
    <w:name w:val="heading 8"/>
    <w:basedOn w:val="1"/>
    <w:next w:val="1"/>
    <w:link w:val="66"/>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3">
    <w:name w:val="heading 9"/>
    <w:basedOn w:val="1"/>
    <w:next w:val="1"/>
    <w:link w:val="67"/>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9"/>
    <w:unhideWhenUsed/>
    <w:qFormat/>
    <w:uiPriority w:val="99"/>
    <w:pPr>
      <w:ind w:firstLine="420" w:firstLineChars="200"/>
    </w:pPr>
  </w:style>
  <w:style w:type="paragraph" w:styleId="3">
    <w:name w:val="Body Text Indent"/>
    <w:basedOn w:val="1"/>
    <w:next w:val="4"/>
    <w:link w:val="68"/>
    <w:unhideWhenUsed/>
    <w:qFormat/>
    <w:uiPriority w:val="99"/>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14">
    <w:name w:val="toc 7"/>
    <w:basedOn w:val="1"/>
    <w:next w:val="1"/>
    <w:unhideWhenUsed/>
    <w:qFormat/>
    <w:uiPriority w:val="99"/>
    <w:pPr>
      <w:ind w:left="2520"/>
    </w:pPr>
  </w:style>
  <w:style w:type="paragraph" w:styleId="15">
    <w:name w:val="index 8"/>
    <w:basedOn w:val="1"/>
    <w:next w:val="1"/>
    <w:unhideWhenUsed/>
    <w:qFormat/>
    <w:uiPriority w:val="99"/>
    <w:pPr>
      <w:ind w:left="2940"/>
    </w:pPr>
  </w:style>
  <w:style w:type="paragraph" w:styleId="16">
    <w:name w:val="Normal Indent"/>
    <w:basedOn w:val="1"/>
    <w:unhideWhenUsed/>
    <w:qFormat/>
    <w:uiPriority w:val="99"/>
    <w:pPr>
      <w:ind w:firstLine="420"/>
    </w:pPr>
  </w:style>
  <w:style w:type="paragraph" w:styleId="17">
    <w:name w:val="index 5"/>
    <w:basedOn w:val="1"/>
    <w:next w:val="1"/>
    <w:unhideWhenUsed/>
    <w:qFormat/>
    <w:uiPriority w:val="99"/>
    <w:pPr>
      <w:ind w:left="1680"/>
    </w:pPr>
  </w:style>
  <w:style w:type="paragraph" w:styleId="18">
    <w:name w:val="Document Map"/>
    <w:basedOn w:val="1"/>
    <w:link w:val="78"/>
    <w:unhideWhenUsed/>
    <w:qFormat/>
    <w:uiPriority w:val="99"/>
    <w:pPr>
      <w:shd w:val="clear" w:color="auto" w:fill="000080"/>
    </w:pPr>
    <w:rPr>
      <w:kern w:val="0"/>
      <w:sz w:val="20"/>
    </w:rPr>
  </w:style>
  <w:style w:type="paragraph" w:styleId="19">
    <w:name w:val="annotation text"/>
    <w:basedOn w:val="1"/>
    <w:link w:val="183"/>
    <w:unhideWhenUsed/>
    <w:qFormat/>
    <w:uiPriority w:val="99"/>
    <w:pPr>
      <w:jc w:val="left"/>
    </w:pPr>
  </w:style>
  <w:style w:type="paragraph" w:styleId="20">
    <w:name w:val="index 6"/>
    <w:basedOn w:val="1"/>
    <w:next w:val="1"/>
    <w:unhideWhenUsed/>
    <w:qFormat/>
    <w:uiPriority w:val="99"/>
    <w:pPr>
      <w:ind w:left="2100"/>
    </w:pPr>
  </w:style>
  <w:style w:type="paragraph" w:styleId="21">
    <w:name w:val="Body Text"/>
    <w:basedOn w:val="1"/>
    <w:next w:val="1"/>
    <w:link w:val="74"/>
    <w:unhideWhenUsed/>
    <w:qFormat/>
    <w:uiPriority w:val="99"/>
    <w:pPr>
      <w:spacing w:line="360" w:lineRule="auto"/>
    </w:pPr>
    <w:rPr>
      <w:kern w:val="0"/>
      <w:sz w:val="20"/>
    </w:rPr>
  </w:style>
  <w:style w:type="paragraph" w:styleId="22">
    <w:name w:val="index 4"/>
    <w:basedOn w:val="1"/>
    <w:next w:val="1"/>
    <w:unhideWhenUsed/>
    <w:qFormat/>
    <w:uiPriority w:val="99"/>
    <w:pPr>
      <w:ind w:left="1260"/>
    </w:pPr>
  </w:style>
  <w:style w:type="paragraph" w:styleId="23">
    <w:name w:val="toc 5"/>
    <w:basedOn w:val="1"/>
    <w:next w:val="1"/>
    <w:unhideWhenUsed/>
    <w:qFormat/>
    <w:uiPriority w:val="99"/>
    <w:pPr>
      <w:ind w:left="1680"/>
    </w:pPr>
  </w:style>
  <w:style w:type="paragraph" w:styleId="24">
    <w:name w:val="toc 3"/>
    <w:basedOn w:val="1"/>
    <w:next w:val="1"/>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9"/>
    <w:unhideWhenUsed/>
    <w:qFormat/>
    <w:uiPriority w:val="0"/>
    <w:pPr>
      <w:adjustRightInd w:val="0"/>
      <w:spacing w:line="312" w:lineRule="atLeast"/>
    </w:pPr>
    <w:rPr>
      <w:rFonts w:ascii="宋体" w:hAnsi="Courier New"/>
      <w:kern w:val="0"/>
      <w:sz w:val="20"/>
    </w:rPr>
  </w:style>
  <w:style w:type="paragraph" w:styleId="26">
    <w:name w:val="toc 8"/>
    <w:basedOn w:val="1"/>
    <w:next w:val="1"/>
    <w:unhideWhenUsed/>
    <w:qFormat/>
    <w:uiPriority w:val="99"/>
    <w:pPr>
      <w:ind w:left="2940"/>
    </w:pPr>
  </w:style>
  <w:style w:type="paragraph" w:styleId="27">
    <w:name w:val="index 3"/>
    <w:basedOn w:val="1"/>
    <w:next w:val="1"/>
    <w:unhideWhenUsed/>
    <w:qFormat/>
    <w:uiPriority w:val="99"/>
    <w:pPr>
      <w:ind w:left="840"/>
    </w:pPr>
  </w:style>
  <w:style w:type="paragraph" w:styleId="28">
    <w:name w:val="Date"/>
    <w:basedOn w:val="1"/>
    <w:next w:val="1"/>
    <w:link w:val="75"/>
    <w:unhideWhenUsed/>
    <w:qFormat/>
    <w:uiPriority w:val="99"/>
    <w:rPr>
      <w:kern w:val="0"/>
      <w:sz w:val="28"/>
    </w:rPr>
  </w:style>
  <w:style w:type="paragraph" w:styleId="29">
    <w:name w:val="Body Text Indent 2"/>
    <w:basedOn w:val="1"/>
    <w:link w:val="76"/>
    <w:unhideWhenUsed/>
    <w:qFormat/>
    <w:uiPriority w:val="99"/>
    <w:pPr>
      <w:ind w:left="840"/>
    </w:pPr>
    <w:rPr>
      <w:kern w:val="0"/>
      <w:sz w:val="20"/>
    </w:rPr>
  </w:style>
  <w:style w:type="paragraph" w:styleId="30">
    <w:name w:val="Balloon Text"/>
    <w:basedOn w:val="1"/>
    <w:link w:val="81"/>
    <w:unhideWhenUsed/>
    <w:qFormat/>
    <w:uiPriority w:val="99"/>
    <w:rPr>
      <w:kern w:val="0"/>
      <w:sz w:val="18"/>
      <w:szCs w:val="18"/>
    </w:rPr>
  </w:style>
  <w:style w:type="paragraph" w:styleId="31">
    <w:name w:val="footer"/>
    <w:basedOn w:val="1"/>
    <w:link w:val="58"/>
    <w:unhideWhenUsed/>
    <w:qFormat/>
    <w:uiPriority w:val="99"/>
    <w:pPr>
      <w:tabs>
        <w:tab w:val="center" w:pos="4153"/>
        <w:tab w:val="right" w:pos="8306"/>
      </w:tabs>
      <w:snapToGrid w:val="0"/>
      <w:jc w:val="left"/>
    </w:pPr>
    <w:rPr>
      <w:sz w:val="18"/>
      <w:szCs w:val="18"/>
    </w:rPr>
  </w:style>
  <w:style w:type="paragraph" w:styleId="32">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unhideWhenUsed/>
    <w:qFormat/>
    <w:uiPriority w:val="99"/>
    <w:pPr>
      <w:ind w:left="1260"/>
    </w:pPr>
  </w:style>
  <w:style w:type="paragraph" w:styleId="35">
    <w:name w:val="index heading"/>
    <w:basedOn w:val="1"/>
    <w:next w:val="36"/>
    <w:unhideWhenUsed/>
    <w:qFormat/>
    <w:uiPriority w:val="99"/>
  </w:style>
  <w:style w:type="paragraph" w:styleId="36">
    <w:name w:val="index 1"/>
    <w:basedOn w:val="1"/>
    <w:next w:val="1"/>
    <w:unhideWhenUsed/>
    <w:qFormat/>
    <w:uiPriority w:val="99"/>
  </w:style>
  <w:style w:type="paragraph" w:styleId="37">
    <w:name w:val="toc 6"/>
    <w:basedOn w:val="1"/>
    <w:next w:val="1"/>
    <w:unhideWhenUsed/>
    <w:qFormat/>
    <w:uiPriority w:val="99"/>
    <w:pPr>
      <w:ind w:left="2100"/>
    </w:pPr>
  </w:style>
  <w:style w:type="paragraph" w:styleId="38">
    <w:name w:val="Body Text Indent 3"/>
    <w:basedOn w:val="1"/>
    <w:link w:val="77"/>
    <w:unhideWhenUsed/>
    <w:qFormat/>
    <w:uiPriority w:val="99"/>
    <w:pPr>
      <w:spacing w:line="400" w:lineRule="atLeast"/>
      <w:ind w:left="360" w:firstLine="410" w:firstLineChars="171"/>
    </w:pPr>
    <w:rPr>
      <w:kern w:val="0"/>
      <w:sz w:val="20"/>
    </w:rPr>
  </w:style>
  <w:style w:type="paragraph" w:styleId="39">
    <w:name w:val="index 7"/>
    <w:basedOn w:val="1"/>
    <w:next w:val="1"/>
    <w:unhideWhenUsed/>
    <w:qFormat/>
    <w:uiPriority w:val="99"/>
    <w:pPr>
      <w:ind w:left="2520"/>
    </w:pPr>
  </w:style>
  <w:style w:type="paragraph" w:styleId="40">
    <w:name w:val="index 9"/>
    <w:basedOn w:val="1"/>
    <w:next w:val="1"/>
    <w:unhideWhenUsed/>
    <w:qFormat/>
    <w:uiPriority w:val="99"/>
    <w:pPr>
      <w:ind w:left="3360"/>
    </w:pPr>
  </w:style>
  <w:style w:type="paragraph" w:styleId="41">
    <w:name w:val="toc 2"/>
    <w:basedOn w:val="1"/>
    <w:next w:val="1"/>
    <w:unhideWhenUsed/>
    <w:qFormat/>
    <w:uiPriority w:val="39"/>
    <w:pPr>
      <w:snapToGrid w:val="0"/>
      <w:spacing w:line="480" w:lineRule="exact"/>
      <w:ind w:firstLine="300" w:firstLineChars="300"/>
    </w:pPr>
    <w:rPr>
      <w:sz w:val="24"/>
      <w:szCs w:val="24"/>
    </w:rPr>
  </w:style>
  <w:style w:type="paragraph" w:styleId="42">
    <w:name w:val="toc 9"/>
    <w:basedOn w:val="1"/>
    <w:next w:val="1"/>
    <w:unhideWhenUsed/>
    <w:qFormat/>
    <w:uiPriority w:val="99"/>
    <w:pPr>
      <w:ind w:left="3360"/>
    </w:pPr>
  </w:style>
  <w:style w:type="paragraph" w:styleId="43">
    <w:name w:val="Body Text 2"/>
    <w:basedOn w:val="1"/>
    <w:qFormat/>
    <w:uiPriority w:val="0"/>
    <w:pPr>
      <w:spacing w:line="480" w:lineRule="auto"/>
    </w:pPr>
  </w:style>
  <w:style w:type="paragraph" w:styleId="44">
    <w:name w:val="HTML Preformatted"/>
    <w:basedOn w:val="1"/>
    <w:link w:val="7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5">
    <w:name w:val="Normal (Web)"/>
    <w:basedOn w:val="1"/>
    <w:unhideWhenUsed/>
    <w:qFormat/>
    <w:uiPriority w:val="99"/>
    <w:rPr>
      <w:sz w:val="24"/>
      <w:szCs w:val="24"/>
    </w:rPr>
  </w:style>
  <w:style w:type="paragraph" w:styleId="46">
    <w:name w:val="index 2"/>
    <w:basedOn w:val="1"/>
    <w:next w:val="1"/>
    <w:unhideWhenUsed/>
    <w:qFormat/>
    <w:uiPriority w:val="99"/>
    <w:pPr>
      <w:ind w:left="420"/>
    </w:pPr>
  </w:style>
  <w:style w:type="paragraph" w:styleId="47">
    <w:name w:val="Title"/>
    <w:link w:val="73"/>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8">
    <w:name w:val="annotation subject"/>
    <w:basedOn w:val="19"/>
    <w:next w:val="19"/>
    <w:link w:val="80"/>
    <w:unhideWhenUsed/>
    <w:qFormat/>
    <w:uiPriority w:val="99"/>
    <w:rPr>
      <w:b/>
      <w:bCs/>
      <w:kern w:val="0"/>
      <w:sz w:val="20"/>
    </w:rPr>
  </w:style>
  <w:style w:type="table" w:styleId="50">
    <w:name w:val="Table Grid"/>
    <w:basedOn w:val="4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page number"/>
    <w:unhideWhenUsed/>
    <w:qFormat/>
    <w:uiPriority w:val="0"/>
    <w:rPr>
      <w:rFonts w:hint="default" w:ascii="Times New Roman" w:hAnsi="Times New Roman" w:eastAsia="宋体" w:cs="Times New Roman"/>
      <w:lang w:val="en-US" w:eastAsia="zh-CN" w:bidi="ar-SA"/>
    </w:rPr>
  </w:style>
  <w:style w:type="character" w:styleId="53">
    <w:name w:val="FollowedHyperlink"/>
    <w:unhideWhenUsed/>
    <w:qFormat/>
    <w:uiPriority w:val="99"/>
    <w:rPr>
      <w:rFonts w:hint="default" w:ascii="Times New Roman" w:hAnsi="Times New Roman" w:eastAsia="宋体" w:cs="Times New Roman"/>
      <w:color w:val="800080"/>
      <w:u w:val="single"/>
      <w:lang w:val="en-US" w:eastAsia="zh-CN" w:bidi="ar-SA"/>
    </w:rPr>
  </w:style>
  <w:style w:type="character" w:styleId="54">
    <w:name w:val="HTML Typewriter"/>
    <w:unhideWhenUsed/>
    <w:qFormat/>
    <w:uiPriority w:val="0"/>
    <w:rPr>
      <w:rFonts w:hint="default" w:ascii="Courier New" w:hAnsi="Courier New" w:eastAsia="宋体" w:cs="Courier New"/>
      <w:sz w:val="24"/>
      <w:szCs w:val="24"/>
      <w:lang w:val="en-US" w:eastAsia="zh-CN" w:bidi="ar-SA"/>
    </w:rPr>
  </w:style>
  <w:style w:type="character" w:styleId="55">
    <w:name w:val="Hyperlink"/>
    <w:unhideWhenUsed/>
    <w:qFormat/>
    <w:uiPriority w:val="99"/>
    <w:rPr>
      <w:rFonts w:hint="default" w:ascii="Times New Roman" w:hAnsi="Times New Roman" w:eastAsia="宋体" w:cs="Times New Roman"/>
      <w:color w:val="0000FF"/>
      <w:u w:val="single"/>
      <w:lang w:val="en-US" w:eastAsia="zh-CN" w:bidi="ar-SA"/>
    </w:rPr>
  </w:style>
  <w:style w:type="character" w:styleId="56">
    <w:name w:val="annotation reference"/>
    <w:unhideWhenUsed/>
    <w:qFormat/>
    <w:uiPriority w:val="99"/>
    <w:rPr>
      <w:rFonts w:hint="default" w:ascii="Times New Roman" w:hAnsi="Times New Roman" w:eastAsia="宋体" w:cs="Times New Roman"/>
      <w:sz w:val="21"/>
      <w:szCs w:val="21"/>
      <w:lang w:val="en-US" w:eastAsia="zh-CN" w:bidi="ar-SA"/>
    </w:rPr>
  </w:style>
  <w:style w:type="character" w:customStyle="1" w:styleId="57">
    <w:name w:val="页眉 Char"/>
    <w:basedOn w:val="51"/>
    <w:link w:val="32"/>
    <w:qFormat/>
    <w:uiPriority w:val="99"/>
    <w:rPr>
      <w:sz w:val="18"/>
      <w:szCs w:val="18"/>
    </w:rPr>
  </w:style>
  <w:style w:type="character" w:customStyle="1" w:styleId="58">
    <w:name w:val="页脚 Char"/>
    <w:basedOn w:val="51"/>
    <w:link w:val="31"/>
    <w:qFormat/>
    <w:uiPriority w:val="99"/>
    <w:rPr>
      <w:sz w:val="18"/>
      <w:szCs w:val="18"/>
    </w:rPr>
  </w:style>
  <w:style w:type="character" w:customStyle="1" w:styleId="59">
    <w:name w:val="标题 1 Char"/>
    <w:basedOn w:val="51"/>
    <w:link w:val="5"/>
    <w:qFormat/>
    <w:uiPriority w:val="0"/>
    <w:rPr>
      <w:rFonts w:ascii="Times New Roman" w:hAnsi="Times New Roman" w:eastAsia="宋体" w:cs="Times New Roman"/>
      <w:b/>
      <w:kern w:val="44"/>
      <w:sz w:val="20"/>
      <w:szCs w:val="20"/>
    </w:rPr>
  </w:style>
  <w:style w:type="character" w:customStyle="1" w:styleId="60">
    <w:name w:val="标题 2 Char"/>
    <w:basedOn w:val="51"/>
    <w:link w:val="6"/>
    <w:semiHidden/>
    <w:qFormat/>
    <w:uiPriority w:val="0"/>
    <w:rPr>
      <w:rFonts w:ascii="黑体" w:hAnsi="Arial" w:eastAsia="黑体" w:cs="宋体"/>
      <w:kern w:val="0"/>
      <w:sz w:val="28"/>
      <w:szCs w:val="20"/>
    </w:rPr>
  </w:style>
  <w:style w:type="character" w:customStyle="1" w:styleId="61">
    <w:name w:val="标题 3 Char"/>
    <w:basedOn w:val="51"/>
    <w:link w:val="7"/>
    <w:semiHidden/>
    <w:qFormat/>
    <w:uiPriority w:val="0"/>
    <w:rPr>
      <w:rFonts w:ascii="Times New Roman" w:hAnsi="Times New Roman" w:eastAsia="宋体" w:cs="Times New Roman"/>
      <w:b/>
      <w:kern w:val="0"/>
      <w:sz w:val="32"/>
      <w:szCs w:val="20"/>
    </w:rPr>
  </w:style>
  <w:style w:type="character" w:customStyle="1" w:styleId="62">
    <w:name w:val="标题 4 Char"/>
    <w:basedOn w:val="51"/>
    <w:link w:val="8"/>
    <w:semiHidden/>
    <w:qFormat/>
    <w:uiPriority w:val="0"/>
    <w:rPr>
      <w:rFonts w:ascii="Arial" w:hAnsi="Arial" w:eastAsia="黑体" w:cs="Times New Roman"/>
      <w:b/>
      <w:kern w:val="0"/>
      <w:sz w:val="28"/>
      <w:szCs w:val="20"/>
    </w:rPr>
  </w:style>
  <w:style w:type="character" w:customStyle="1" w:styleId="63">
    <w:name w:val="标题 5 Char"/>
    <w:basedOn w:val="51"/>
    <w:link w:val="9"/>
    <w:semiHidden/>
    <w:qFormat/>
    <w:uiPriority w:val="0"/>
    <w:rPr>
      <w:rFonts w:ascii="Times New Roman" w:hAnsi="Times New Roman" w:eastAsia="宋体" w:cs="Times New Roman"/>
      <w:b/>
      <w:kern w:val="0"/>
      <w:sz w:val="28"/>
      <w:szCs w:val="20"/>
    </w:rPr>
  </w:style>
  <w:style w:type="character" w:customStyle="1" w:styleId="64">
    <w:name w:val="标题 6 Char"/>
    <w:basedOn w:val="51"/>
    <w:link w:val="10"/>
    <w:semiHidden/>
    <w:qFormat/>
    <w:uiPriority w:val="0"/>
    <w:rPr>
      <w:rFonts w:ascii="Arial" w:hAnsi="Arial" w:eastAsia="黑体" w:cs="Times New Roman"/>
      <w:b/>
      <w:kern w:val="0"/>
      <w:sz w:val="20"/>
      <w:szCs w:val="20"/>
    </w:rPr>
  </w:style>
  <w:style w:type="character" w:customStyle="1" w:styleId="65">
    <w:name w:val="标题 7 Char"/>
    <w:basedOn w:val="51"/>
    <w:link w:val="11"/>
    <w:semiHidden/>
    <w:qFormat/>
    <w:uiPriority w:val="99"/>
    <w:rPr>
      <w:rFonts w:ascii="Times New Roman" w:hAnsi="Times New Roman" w:eastAsia="宋体" w:cs="Times New Roman"/>
      <w:b/>
      <w:kern w:val="0"/>
      <w:sz w:val="20"/>
      <w:szCs w:val="20"/>
    </w:rPr>
  </w:style>
  <w:style w:type="character" w:customStyle="1" w:styleId="66">
    <w:name w:val="标题 8 Char"/>
    <w:basedOn w:val="51"/>
    <w:link w:val="12"/>
    <w:semiHidden/>
    <w:qFormat/>
    <w:uiPriority w:val="99"/>
    <w:rPr>
      <w:rFonts w:ascii="Arial" w:hAnsi="Arial" w:eastAsia="黑体" w:cs="Times New Roman"/>
      <w:kern w:val="0"/>
      <w:sz w:val="20"/>
      <w:szCs w:val="20"/>
    </w:rPr>
  </w:style>
  <w:style w:type="character" w:customStyle="1" w:styleId="67">
    <w:name w:val="标题 9 Char"/>
    <w:basedOn w:val="51"/>
    <w:link w:val="13"/>
    <w:semiHidden/>
    <w:qFormat/>
    <w:uiPriority w:val="99"/>
    <w:rPr>
      <w:rFonts w:ascii="Arial" w:hAnsi="Arial" w:eastAsia="黑体" w:cs="Times New Roman"/>
      <w:kern w:val="0"/>
      <w:szCs w:val="20"/>
    </w:rPr>
  </w:style>
  <w:style w:type="character" w:customStyle="1" w:styleId="68">
    <w:name w:val="正文文本缩进 Char"/>
    <w:basedOn w:val="51"/>
    <w:link w:val="3"/>
    <w:qFormat/>
    <w:uiPriority w:val="99"/>
    <w:rPr>
      <w:rFonts w:ascii="Times New Roman" w:hAnsi="Times New Roman" w:eastAsia="宋体" w:cs="Times New Roman"/>
      <w:szCs w:val="20"/>
    </w:rPr>
  </w:style>
  <w:style w:type="character" w:customStyle="1" w:styleId="69">
    <w:name w:val="正文首行缩进 2 Char"/>
    <w:basedOn w:val="68"/>
    <w:link w:val="2"/>
    <w:qFormat/>
    <w:uiPriority w:val="99"/>
    <w:rPr>
      <w:rFonts w:ascii="Times New Roman" w:hAnsi="Times New Roman" w:eastAsia="宋体" w:cs="Times New Roman"/>
      <w:szCs w:val="20"/>
    </w:rPr>
  </w:style>
  <w:style w:type="character" w:customStyle="1" w:styleId="70">
    <w:name w:val="HTML 预设格式 Char"/>
    <w:basedOn w:val="51"/>
    <w:link w:val="44"/>
    <w:semiHidden/>
    <w:qFormat/>
    <w:uiPriority w:val="0"/>
    <w:rPr>
      <w:rFonts w:ascii="宋体" w:hAnsi="宋体" w:eastAsia="宋体" w:cs="宋体"/>
      <w:kern w:val="0"/>
      <w:sz w:val="20"/>
      <w:szCs w:val="20"/>
    </w:rPr>
  </w:style>
  <w:style w:type="paragraph" w:customStyle="1" w:styleId="71">
    <w:name w:val="msonormal"/>
    <w:basedOn w:val="1"/>
    <w:qFormat/>
    <w:uiPriority w:val="0"/>
    <w:rPr>
      <w:sz w:val="24"/>
      <w:szCs w:val="24"/>
    </w:rPr>
  </w:style>
  <w:style w:type="character" w:customStyle="1" w:styleId="72">
    <w:name w:val="批注文字 字符"/>
    <w:basedOn w:val="51"/>
    <w:semiHidden/>
    <w:qFormat/>
    <w:uiPriority w:val="99"/>
    <w:rPr>
      <w:rFonts w:ascii="Times New Roman" w:hAnsi="Times New Roman" w:eastAsia="宋体" w:cs="Times New Roman"/>
      <w:szCs w:val="20"/>
    </w:rPr>
  </w:style>
  <w:style w:type="character" w:customStyle="1" w:styleId="73">
    <w:name w:val="标题 Char"/>
    <w:basedOn w:val="51"/>
    <w:link w:val="47"/>
    <w:qFormat/>
    <w:uiPriority w:val="99"/>
    <w:rPr>
      <w:rFonts w:ascii="Times New Roman" w:hAnsi="Times New Roman" w:eastAsia="仿宋_GB2312" w:cs="Cambria"/>
      <w:b/>
      <w:bCs/>
      <w:kern w:val="0"/>
      <w:sz w:val="32"/>
      <w:szCs w:val="32"/>
    </w:rPr>
  </w:style>
  <w:style w:type="character" w:customStyle="1" w:styleId="74">
    <w:name w:val="正文文本 Char"/>
    <w:basedOn w:val="51"/>
    <w:link w:val="21"/>
    <w:semiHidden/>
    <w:qFormat/>
    <w:uiPriority w:val="99"/>
    <w:rPr>
      <w:rFonts w:ascii="Times New Roman" w:hAnsi="Times New Roman" w:eastAsia="宋体" w:cs="Times New Roman"/>
      <w:kern w:val="0"/>
      <w:sz w:val="20"/>
      <w:szCs w:val="20"/>
    </w:rPr>
  </w:style>
  <w:style w:type="character" w:customStyle="1" w:styleId="75">
    <w:name w:val="日期 Char"/>
    <w:basedOn w:val="51"/>
    <w:link w:val="28"/>
    <w:semiHidden/>
    <w:qFormat/>
    <w:uiPriority w:val="99"/>
    <w:rPr>
      <w:rFonts w:ascii="Times New Roman" w:hAnsi="Times New Roman" w:eastAsia="宋体" w:cs="Times New Roman"/>
      <w:kern w:val="0"/>
      <w:sz w:val="28"/>
      <w:szCs w:val="20"/>
    </w:rPr>
  </w:style>
  <w:style w:type="character" w:customStyle="1" w:styleId="76">
    <w:name w:val="正文文本缩进 2 Char"/>
    <w:basedOn w:val="51"/>
    <w:link w:val="29"/>
    <w:semiHidden/>
    <w:qFormat/>
    <w:uiPriority w:val="99"/>
    <w:rPr>
      <w:rFonts w:ascii="Times New Roman" w:hAnsi="Times New Roman" w:eastAsia="宋体" w:cs="Times New Roman"/>
      <w:kern w:val="0"/>
      <w:sz w:val="20"/>
      <w:szCs w:val="20"/>
    </w:rPr>
  </w:style>
  <w:style w:type="character" w:customStyle="1" w:styleId="77">
    <w:name w:val="正文文本缩进 3 Char"/>
    <w:basedOn w:val="51"/>
    <w:link w:val="38"/>
    <w:semiHidden/>
    <w:qFormat/>
    <w:uiPriority w:val="99"/>
    <w:rPr>
      <w:rFonts w:ascii="Times New Roman" w:hAnsi="Times New Roman" w:eastAsia="宋体" w:cs="Times New Roman"/>
      <w:kern w:val="0"/>
      <w:sz w:val="20"/>
      <w:szCs w:val="20"/>
    </w:rPr>
  </w:style>
  <w:style w:type="character" w:customStyle="1" w:styleId="78">
    <w:name w:val="文档结构图 Char"/>
    <w:basedOn w:val="51"/>
    <w:link w:val="18"/>
    <w:semiHidden/>
    <w:qFormat/>
    <w:uiPriority w:val="99"/>
    <w:rPr>
      <w:rFonts w:ascii="Times New Roman" w:hAnsi="Times New Roman" w:eastAsia="宋体" w:cs="Times New Roman"/>
      <w:kern w:val="0"/>
      <w:sz w:val="20"/>
      <w:szCs w:val="20"/>
      <w:shd w:val="clear" w:color="auto" w:fill="000080"/>
    </w:rPr>
  </w:style>
  <w:style w:type="character" w:customStyle="1" w:styleId="79">
    <w:name w:val="纯文本 Char"/>
    <w:basedOn w:val="51"/>
    <w:link w:val="25"/>
    <w:qFormat/>
    <w:uiPriority w:val="0"/>
    <w:rPr>
      <w:rFonts w:ascii="宋体" w:hAnsi="Courier New" w:eastAsia="宋体" w:cs="Times New Roman"/>
      <w:kern w:val="0"/>
      <w:sz w:val="20"/>
      <w:szCs w:val="20"/>
    </w:rPr>
  </w:style>
  <w:style w:type="character" w:customStyle="1" w:styleId="80">
    <w:name w:val="批注主题 Char"/>
    <w:basedOn w:val="72"/>
    <w:link w:val="48"/>
    <w:semiHidden/>
    <w:qFormat/>
    <w:uiPriority w:val="99"/>
    <w:rPr>
      <w:rFonts w:ascii="Times New Roman" w:hAnsi="Times New Roman" w:eastAsia="宋体" w:cs="Times New Roman"/>
      <w:b/>
      <w:bCs/>
      <w:kern w:val="0"/>
      <w:sz w:val="20"/>
      <w:szCs w:val="20"/>
    </w:rPr>
  </w:style>
  <w:style w:type="character" w:customStyle="1" w:styleId="81">
    <w:name w:val="批注框文本 Char"/>
    <w:basedOn w:val="51"/>
    <w:link w:val="30"/>
    <w:semiHidden/>
    <w:qFormat/>
    <w:uiPriority w:val="99"/>
    <w:rPr>
      <w:rFonts w:ascii="Times New Roman" w:hAnsi="Times New Roman" w:eastAsia="宋体" w:cs="Times New Roman"/>
      <w:kern w:val="0"/>
      <w:sz w:val="18"/>
      <w:szCs w:val="18"/>
    </w:rPr>
  </w:style>
  <w:style w:type="paragraph" w:customStyle="1" w:styleId="8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3">
    <w:name w:val="修订1"/>
    <w:semiHidden/>
    <w:qFormat/>
    <w:uiPriority w:val="71"/>
    <w:rPr>
      <w:rFonts w:ascii="Times New Roman" w:hAnsi="Times New Roman" w:eastAsia="宋体" w:cs="Times New Roman"/>
      <w:kern w:val="2"/>
      <w:sz w:val="21"/>
      <w:lang w:val="en-US" w:eastAsia="zh-CN" w:bidi="ar-SA"/>
    </w:rPr>
  </w:style>
  <w:style w:type="character" w:customStyle="1" w:styleId="84">
    <w:name w:val="列表段落 字符"/>
    <w:link w:val="85"/>
    <w:qFormat/>
    <w:locked/>
    <w:uiPriority w:val="34"/>
    <w:rPr>
      <w:rFonts w:ascii="Calibri" w:hAnsi="Calibri" w:cs="Calibri"/>
    </w:rPr>
  </w:style>
  <w:style w:type="paragraph" w:customStyle="1" w:styleId="85">
    <w:name w:val="列表段落1"/>
    <w:basedOn w:val="1"/>
    <w:link w:val="84"/>
    <w:qFormat/>
    <w:uiPriority w:val="34"/>
    <w:pPr>
      <w:ind w:firstLine="420" w:firstLineChars="200"/>
    </w:pPr>
    <w:rPr>
      <w:rFonts w:ascii="Calibri" w:hAnsi="Calibri" w:cs="Calibri" w:eastAsiaTheme="minorEastAsia"/>
      <w:szCs w:val="22"/>
    </w:rPr>
  </w:style>
  <w:style w:type="paragraph" w:customStyle="1" w:styleId="86">
    <w:name w:val="TOC 标题1"/>
    <w:basedOn w:val="5"/>
    <w:next w:val="1"/>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7">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8">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9">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3">
    <w:name w:val="列出段落1"/>
    <w:basedOn w:val="1"/>
    <w:qFormat/>
    <w:uiPriority w:val="34"/>
    <w:pPr>
      <w:ind w:firstLine="420" w:firstLineChars="200"/>
    </w:pPr>
  </w:style>
  <w:style w:type="paragraph" w:customStyle="1" w:styleId="94">
    <w:name w:val="默认段落字体 Para Char Char Char Char"/>
    <w:basedOn w:val="1"/>
    <w:qFormat/>
    <w:uiPriority w:val="99"/>
    <w:rPr>
      <w:szCs w:val="21"/>
    </w:rPr>
  </w:style>
  <w:style w:type="paragraph" w:customStyle="1" w:styleId="95">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6">
    <w:name w:val="修订版本号1"/>
    <w:qFormat/>
    <w:uiPriority w:val="99"/>
    <w:rPr>
      <w:rFonts w:ascii="Times New Roman" w:hAnsi="Times New Roman" w:eastAsia="宋体" w:cs="Times New Roman"/>
      <w:kern w:val="2"/>
      <w:sz w:val="21"/>
      <w:lang w:val="en-US" w:eastAsia="zh-CN" w:bidi="ar-SA"/>
    </w:rPr>
  </w:style>
  <w:style w:type="paragraph" w:customStyle="1" w:styleId="97">
    <w:name w:val="默认段落字体 Para Char Char Char Char Char Char Char"/>
    <w:basedOn w:val="1"/>
    <w:qFormat/>
    <w:uiPriority w:val="99"/>
    <w:rPr>
      <w:rFonts w:ascii="Tahoma" w:hAnsi="Tahoma"/>
      <w:sz w:val="24"/>
    </w:rPr>
  </w:style>
  <w:style w:type="paragraph" w:customStyle="1" w:styleId="98">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9">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100">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1">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2">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3">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4">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7">
    <w:name w:val="正文文本缩进1"/>
    <w:basedOn w:val="1"/>
    <w:qFormat/>
    <w:uiPriority w:val="99"/>
    <w:pPr>
      <w:spacing w:line="360" w:lineRule="auto"/>
      <w:ind w:left="540" w:leftChars="257" w:firstLine="360" w:firstLineChars="150"/>
    </w:pPr>
    <w:rPr>
      <w:sz w:val="24"/>
    </w:rPr>
  </w:style>
  <w:style w:type="paragraph" w:customStyle="1" w:styleId="108">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9">
    <w:name w:val="投标书格式"/>
    <w:basedOn w:val="7"/>
    <w:qFormat/>
    <w:uiPriority w:val="99"/>
    <w:pPr>
      <w:widowControl/>
      <w:adjustRightInd/>
      <w:spacing w:before="360" w:line="240" w:lineRule="auto"/>
      <w:ind w:left="0" w:firstLine="0"/>
      <w:jc w:val="center"/>
    </w:pPr>
    <w:rPr>
      <w:rFonts w:eastAsia="黑体"/>
      <w:sz w:val="30"/>
    </w:rPr>
  </w:style>
  <w:style w:type="paragraph" w:customStyle="1" w:styleId="110">
    <w:name w:val="Char Char1 Char Char Char Char Char Char Char Char Char Char Char Char"/>
    <w:basedOn w:val="1"/>
    <w:qFormat/>
    <w:uiPriority w:val="99"/>
    <w:rPr>
      <w:szCs w:val="24"/>
    </w:rPr>
  </w:style>
  <w:style w:type="paragraph" w:customStyle="1" w:styleId="111">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2">
    <w:name w:val="彩色列表 - 着色 1 Char"/>
    <w:link w:val="113"/>
    <w:qFormat/>
    <w:locked/>
    <w:uiPriority w:val="34"/>
  </w:style>
  <w:style w:type="paragraph" w:customStyle="1" w:styleId="113">
    <w:name w:val="彩色列表 - 着色 12"/>
    <w:basedOn w:val="1"/>
    <w:link w:val="112"/>
    <w:qFormat/>
    <w:uiPriority w:val="34"/>
    <w:pPr>
      <w:ind w:firstLine="420" w:firstLineChars="200"/>
    </w:pPr>
    <w:rPr>
      <w:rFonts w:asciiTheme="minorHAnsi" w:hAnsiTheme="minorHAnsi" w:eastAsiaTheme="minorEastAsia" w:cstheme="minorBidi"/>
      <w:szCs w:val="22"/>
    </w:rPr>
  </w:style>
  <w:style w:type="paragraph" w:customStyle="1" w:styleId="114">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5">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6">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7">
    <w:name w:val="正文（首行缩进两字）"/>
    <w:basedOn w:val="1"/>
    <w:qFormat/>
    <w:uiPriority w:val="99"/>
  </w:style>
  <w:style w:type="paragraph" w:customStyle="1" w:styleId="11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0">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1">
    <w:name w:val="样式1"/>
    <w:basedOn w:val="1"/>
    <w:qFormat/>
    <w:uiPriority w:val="99"/>
    <w:pPr>
      <w:adjustRightInd w:val="0"/>
      <w:spacing w:before="120" w:after="120" w:line="120" w:lineRule="exact"/>
    </w:pPr>
    <w:rPr>
      <w:color w:val="FF00FF"/>
      <w:kern w:val="0"/>
      <w:sz w:val="24"/>
    </w:rPr>
  </w:style>
  <w:style w:type="paragraph" w:customStyle="1" w:styleId="122">
    <w:name w:val="Char Char Char Char Char Char Char Char Char Char"/>
    <w:basedOn w:val="1"/>
    <w:qFormat/>
    <w:uiPriority w:val="99"/>
    <w:rPr>
      <w:rFonts w:ascii="Tahoma" w:hAnsi="Tahoma" w:cs="Tahoma"/>
      <w:sz w:val="24"/>
      <w:szCs w:val="24"/>
    </w:rPr>
  </w:style>
  <w:style w:type="paragraph" w:customStyle="1" w:styleId="123">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4">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合同格式"/>
    <w:basedOn w:val="7"/>
    <w:qFormat/>
    <w:uiPriority w:val="99"/>
    <w:pPr>
      <w:widowControl/>
      <w:adjustRightInd/>
      <w:spacing w:before="360" w:line="240" w:lineRule="auto"/>
      <w:ind w:left="0" w:firstLine="0"/>
      <w:jc w:val="center"/>
    </w:pPr>
    <w:rPr>
      <w:rFonts w:eastAsia="黑体"/>
      <w:sz w:val="30"/>
    </w:rPr>
  </w:style>
  <w:style w:type="paragraph" w:customStyle="1" w:styleId="127">
    <w:name w:val="网格表 31"/>
    <w:basedOn w:val="5"/>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8">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9">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0">
    <w:name w:val="字元 字元"/>
    <w:basedOn w:val="1"/>
    <w:qFormat/>
    <w:uiPriority w:val="99"/>
    <w:rPr>
      <w:rFonts w:ascii="仿宋_GB2312" w:eastAsia="仿宋_GB2312"/>
      <w:b/>
      <w:sz w:val="32"/>
      <w:szCs w:val="32"/>
    </w:rPr>
  </w:style>
  <w:style w:type="paragraph" w:customStyle="1" w:styleId="131">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
    <w:name w:val="font7"/>
    <w:basedOn w:val="1"/>
    <w:qFormat/>
    <w:uiPriority w:val="99"/>
    <w:pPr>
      <w:widowControl/>
      <w:spacing w:before="100" w:beforeAutospacing="1" w:after="100" w:afterAutospacing="1"/>
      <w:jc w:val="left"/>
    </w:pPr>
    <w:rPr>
      <w:b/>
      <w:bCs/>
      <w:kern w:val="0"/>
      <w:sz w:val="32"/>
      <w:szCs w:val="32"/>
    </w:rPr>
  </w:style>
  <w:style w:type="paragraph" w:customStyle="1" w:styleId="134">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6">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7">
    <w:name w:val="无间隔 Char"/>
    <w:link w:val="138"/>
    <w:qFormat/>
    <w:locked/>
    <w:uiPriority w:val="0"/>
    <w:rPr>
      <w:sz w:val="22"/>
    </w:rPr>
  </w:style>
  <w:style w:type="paragraph" w:customStyle="1" w:styleId="138">
    <w:name w:val="无间距1"/>
    <w:link w:val="137"/>
    <w:qFormat/>
    <w:uiPriority w:val="0"/>
    <w:rPr>
      <w:rFonts w:asciiTheme="minorHAnsi" w:hAnsiTheme="minorHAnsi" w:eastAsiaTheme="minorEastAsia" w:cstheme="minorBidi"/>
      <w:kern w:val="2"/>
      <w:sz w:val="22"/>
      <w:szCs w:val="22"/>
      <w:lang w:val="en-US" w:eastAsia="zh-CN" w:bidi="ar-SA"/>
    </w:rPr>
  </w:style>
  <w:style w:type="paragraph" w:customStyle="1" w:styleId="139">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40">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1">
    <w:name w:val="彩色列表 - 着色 11"/>
    <w:basedOn w:val="1"/>
    <w:qFormat/>
    <w:uiPriority w:val="99"/>
    <w:pPr>
      <w:ind w:firstLine="420" w:firstLineChars="200"/>
    </w:pPr>
  </w:style>
  <w:style w:type="paragraph" w:customStyle="1" w:styleId="14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4">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5">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6">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7">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8">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9">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0">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1">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2">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3">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4">
    <w:name w:val="文档结构图 字符1"/>
    <w:semiHidden/>
    <w:qFormat/>
    <w:uiPriority w:val="99"/>
    <w:rPr>
      <w:rFonts w:hint="eastAsia" w:ascii="Heiti SC Light" w:hAnsi="Times New Roman" w:eastAsia="Heiti SC Light" w:cs="Times New Roman"/>
    </w:rPr>
  </w:style>
  <w:style w:type="character" w:customStyle="1" w:styleId="155">
    <w:name w:val="序号前置"/>
    <w:qFormat/>
    <w:uiPriority w:val="0"/>
    <w:rPr>
      <w:rFonts w:hint="eastAsia" w:ascii="宋体" w:hAnsi="宋体" w:eastAsia="宋体"/>
    </w:rPr>
  </w:style>
  <w:style w:type="character" w:customStyle="1" w:styleId="156">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7">
    <w:name w:val="纯文本 Char1"/>
    <w:qFormat/>
    <w:uiPriority w:val="0"/>
    <w:rPr>
      <w:rFonts w:hint="eastAsia" w:ascii="宋体" w:hAnsi="Courier New" w:eastAsia="宋体" w:cs="Courier New"/>
      <w:kern w:val="2"/>
      <w:sz w:val="21"/>
      <w:szCs w:val="21"/>
      <w:lang w:val="en-US" w:eastAsia="zh-CN" w:bidi="ar-SA"/>
    </w:rPr>
  </w:style>
  <w:style w:type="character" w:customStyle="1" w:styleId="158">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9">
    <w:name w:val="批注框文本字符1"/>
    <w:semiHidden/>
    <w:qFormat/>
    <w:uiPriority w:val="99"/>
    <w:rPr>
      <w:rFonts w:hint="eastAsia" w:ascii="Heiti SC Light" w:hAnsi="Times New Roman" w:eastAsia="Heiti SC Light" w:cs="Times New Roman"/>
      <w:sz w:val="18"/>
      <w:szCs w:val="18"/>
    </w:rPr>
  </w:style>
  <w:style w:type="character" w:customStyle="1" w:styleId="160">
    <w:name w:val="批注主题字符1"/>
    <w:semiHidden/>
    <w:qFormat/>
    <w:uiPriority w:val="99"/>
    <w:rPr>
      <w:rFonts w:hint="default" w:ascii="Times New Roman" w:hAnsi="Times New Roman" w:eastAsia="宋体" w:cs="Times New Roman"/>
      <w:b/>
      <w:bCs/>
      <w:sz w:val="21"/>
      <w:szCs w:val="20"/>
    </w:rPr>
  </w:style>
  <w:style w:type="character" w:customStyle="1" w:styleId="161">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2">
    <w:name w:val="日期字符1"/>
    <w:semiHidden/>
    <w:qFormat/>
    <w:uiPriority w:val="99"/>
    <w:rPr>
      <w:rFonts w:hint="default" w:ascii="Times New Roman" w:hAnsi="Times New Roman" w:eastAsia="宋体" w:cs="Times New Roman"/>
      <w:sz w:val="21"/>
      <w:szCs w:val="20"/>
    </w:rPr>
  </w:style>
  <w:style w:type="character" w:customStyle="1" w:styleId="163">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4">
    <w:name w:val="正文文本缩进 3字符1"/>
    <w:semiHidden/>
    <w:qFormat/>
    <w:uiPriority w:val="99"/>
    <w:rPr>
      <w:rFonts w:hint="default" w:ascii="Times New Roman" w:hAnsi="Times New Roman" w:eastAsia="宋体" w:cs="Times New Roman"/>
      <w:sz w:val="16"/>
      <w:szCs w:val="16"/>
    </w:rPr>
  </w:style>
  <w:style w:type="character" w:customStyle="1" w:styleId="165">
    <w:name w:val="font01"/>
    <w:qFormat/>
    <w:uiPriority w:val="0"/>
    <w:rPr>
      <w:rFonts w:hint="eastAsia" w:ascii="宋体" w:hAnsi="宋体" w:eastAsia="宋体" w:cs="宋体"/>
      <w:color w:val="000000"/>
      <w:sz w:val="22"/>
      <w:szCs w:val="22"/>
      <w:u w:val="none"/>
    </w:rPr>
  </w:style>
  <w:style w:type="character" w:customStyle="1" w:styleId="166">
    <w:name w:val="正文文本缩进字符1"/>
    <w:semiHidden/>
    <w:qFormat/>
    <w:uiPriority w:val="99"/>
    <w:rPr>
      <w:rFonts w:hint="default" w:ascii="Times New Roman" w:hAnsi="Times New Roman" w:eastAsia="宋体" w:cs="Times New Roman"/>
      <w:sz w:val="21"/>
      <w:szCs w:val="20"/>
    </w:rPr>
  </w:style>
  <w:style w:type="character" w:customStyle="1" w:styleId="167">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8">
    <w:name w:val="日期 Char1"/>
    <w:qFormat/>
    <w:uiPriority w:val="0"/>
    <w:rPr>
      <w:rFonts w:hint="default" w:ascii="Times New Roman" w:hAnsi="Times New Roman" w:eastAsia="宋体" w:cs="Times New Roman"/>
      <w:kern w:val="2"/>
      <w:sz w:val="21"/>
      <w:lang w:val="en-US" w:eastAsia="zh-CN" w:bidi="ar-SA"/>
    </w:rPr>
  </w:style>
  <w:style w:type="character" w:customStyle="1" w:styleId="169">
    <w:name w:val="apple-converted-space"/>
    <w:qFormat/>
    <w:uiPriority w:val="0"/>
    <w:rPr>
      <w:rFonts w:hint="default" w:ascii="Times New Roman" w:hAnsi="Times New Roman" w:eastAsia="宋体" w:cs="Times New Roman"/>
      <w:lang w:val="en-US" w:eastAsia="zh-CN" w:bidi="ar-SA"/>
    </w:rPr>
  </w:style>
  <w:style w:type="character" w:customStyle="1" w:styleId="170">
    <w:name w:val="页脚字符1"/>
    <w:semiHidden/>
    <w:qFormat/>
    <w:uiPriority w:val="99"/>
    <w:rPr>
      <w:rFonts w:hint="default" w:ascii="Times New Roman" w:hAnsi="Times New Roman" w:eastAsia="宋体" w:cs="Times New Roman"/>
      <w:sz w:val="18"/>
      <w:szCs w:val="18"/>
    </w:rPr>
  </w:style>
  <w:style w:type="character" w:customStyle="1" w:styleId="171">
    <w:name w:val="页眉字符1"/>
    <w:semiHidden/>
    <w:qFormat/>
    <w:uiPriority w:val="99"/>
    <w:rPr>
      <w:rFonts w:hint="default" w:ascii="Times New Roman" w:hAnsi="Times New Roman" w:eastAsia="宋体" w:cs="Times New Roman"/>
      <w:sz w:val="18"/>
      <w:szCs w:val="18"/>
    </w:rPr>
  </w:style>
  <w:style w:type="character" w:customStyle="1" w:styleId="172">
    <w:name w:val="正文文本缩进 2字符1"/>
    <w:semiHidden/>
    <w:qFormat/>
    <w:uiPriority w:val="99"/>
    <w:rPr>
      <w:rFonts w:hint="default" w:ascii="Times New Roman" w:hAnsi="Times New Roman" w:eastAsia="宋体" w:cs="Times New Roman"/>
      <w:sz w:val="21"/>
      <w:szCs w:val="20"/>
    </w:rPr>
  </w:style>
  <w:style w:type="character" w:customStyle="1" w:styleId="173">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4">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5">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6">
    <w:name w:val="页码1"/>
    <w:qFormat/>
    <w:uiPriority w:val="0"/>
    <w:rPr>
      <w:rFonts w:hint="default" w:ascii="Times New Roman" w:hAnsi="Times New Roman" w:eastAsia="宋体" w:cs="Times New Roman"/>
      <w:lang w:val="en-US" w:eastAsia="zh-CN" w:bidi="ar-SA"/>
    </w:rPr>
  </w:style>
  <w:style w:type="character" w:customStyle="1" w:styleId="177">
    <w:name w:val="纯文本字符1"/>
    <w:semiHidden/>
    <w:qFormat/>
    <w:uiPriority w:val="99"/>
    <w:rPr>
      <w:rFonts w:hint="eastAsia" w:ascii="宋体" w:hAnsi="Courier" w:eastAsia="宋体" w:cs="Times New Roman"/>
    </w:rPr>
  </w:style>
  <w:style w:type="character" w:customStyle="1" w:styleId="178">
    <w:name w:val="批注文字 Char"/>
    <w:qFormat/>
    <w:uiPriority w:val="99"/>
    <w:rPr>
      <w:rFonts w:hint="default" w:ascii="Times New Roman" w:hAnsi="Times New Roman" w:eastAsia="宋体" w:cs="Times New Roman"/>
      <w:szCs w:val="20"/>
      <w:lang w:val="en-US" w:eastAsia="zh-CN" w:bidi="ar-SA"/>
    </w:rPr>
  </w:style>
  <w:style w:type="character" w:customStyle="1" w:styleId="179">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80">
    <w:name w:val="正文文本字符1"/>
    <w:semiHidden/>
    <w:qFormat/>
    <w:uiPriority w:val="99"/>
    <w:rPr>
      <w:rFonts w:hint="default" w:ascii="Times New Roman" w:hAnsi="Times New Roman" w:eastAsia="宋体" w:cs="Times New Roman"/>
      <w:sz w:val="21"/>
      <w:szCs w:val="20"/>
    </w:rPr>
  </w:style>
  <w:style w:type="character" w:customStyle="1" w:styleId="181">
    <w:name w:val="正文文本缩进 3 字符1"/>
    <w:basedOn w:val="51"/>
    <w:semiHidden/>
    <w:qFormat/>
    <w:uiPriority w:val="99"/>
    <w:rPr>
      <w:kern w:val="2"/>
      <w:sz w:val="16"/>
      <w:szCs w:val="16"/>
    </w:rPr>
  </w:style>
  <w:style w:type="character" w:customStyle="1" w:styleId="182">
    <w:name w:val="纯文本 字符1"/>
    <w:basedOn w:val="51"/>
    <w:semiHidden/>
    <w:qFormat/>
    <w:uiPriority w:val="99"/>
    <w:rPr>
      <w:rFonts w:hint="eastAsia" w:hAnsi="Courier New" w:cs="Courier New" w:asciiTheme="minorEastAsia" w:eastAsiaTheme="minorEastAsia"/>
      <w:kern w:val="2"/>
      <w:sz w:val="21"/>
    </w:rPr>
  </w:style>
  <w:style w:type="character" w:customStyle="1" w:styleId="183">
    <w:name w:val="批注文字 Char1"/>
    <w:basedOn w:val="51"/>
    <w:link w:val="19"/>
    <w:semiHidden/>
    <w:qFormat/>
    <w:locked/>
    <w:uiPriority w:val="99"/>
    <w:rPr>
      <w:rFonts w:ascii="Times New Roman" w:hAnsi="Times New Roman" w:eastAsia="宋体" w:cs="Times New Roman"/>
      <w:szCs w:val="20"/>
    </w:rPr>
  </w:style>
  <w:style w:type="character" w:customStyle="1" w:styleId="184">
    <w:name w:val="批注主题 字符1"/>
    <w:basedOn w:val="183"/>
    <w:semiHidden/>
    <w:qFormat/>
    <w:uiPriority w:val="99"/>
    <w:rPr>
      <w:rFonts w:ascii="Times New Roman" w:hAnsi="Times New Roman" w:eastAsia="宋体" w:cs="Times New Roman"/>
      <w:b/>
      <w:bCs/>
      <w:szCs w:val="20"/>
    </w:rPr>
  </w:style>
  <w:style w:type="character" w:customStyle="1" w:styleId="185">
    <w:name w:val="页眉 字符1"/>
    <w:basedOn w:val="51"/>
    <w:semiHidden/>
    <w:qFormat/>
    <w:uiPriority w:val="99"/>
    <w:rPr>
      <w:kern w:val="2"/>
      <w:sz w:val="18"/>
      <w:szCs w:val="18"/>
    </w:rPr>
  </w:style>
  <w:style w:type="character" w:customStyle="1" w:styleId="186">
    <w:name w:val="文档结构图 字符2"/>
    <w:basedOn w:val="51"/>
    <w:semiHidden/>
    <w:qFormat/>
    <w:uiPriority w:val="99"/>
    <w:rPr>
      <w:rFonts w:hint="eastAsia" w:ascii="Microsoft YaHei UI" w:hAnsi="Microsoft YaHei UI" w:eastAsia="Microsoft YaHei UI"/>
      <w:kern w:val="2"/>
      <w:sz w:val="18"/>
      <w:szCs w:val="18"/>
    </w:rPr>
  </w:style>
  <w:style w:type="character" w:customStyle="1" w:styleId="187">
    <w:name w:val="正文文本缩进 2 字符1"/>
    <w:basedOn w:val="51"/>
    <w:semiHidden/>
    <w:qFormat/>
    <w:uiPriority w:val="99"/>
    <w:rPr>
      <w:kern w:val="2"/>
      <w:sz w:val="21"/>
    </w:rPr>
  </w:style>
  <w:style w:type="character" w:customStyle="1" w:styleId="188">
    <w:name w:val="批注框文本 字符1"/>
    <w:basedOn w:val="51"/>
    <w:semiHidden/>
    <w:qFormat/>
    <w:uiPriority w:val="99"/>
    <w:rPr>
      <w:kern w:val="2"/>
      <w:sz w:val="18"/>
      <w:szCs w:val="18"/>
    </w:rPr>
  </w:style>
  <w:style w:type="character" w:customStyle="1" w:styleId="189">
    <w:name w:val="正文文本 字符1"/>
    <w:basedOn w:val="51"/>
    <w:semiHidden/>
    <w:qFormat/>
    <w:uiPriority w:val="99"/>
    <w:rPr>
      <w:kern w:val="2"/>
      <w:sz w:val="21"/>
    </w:rPr>
  </w:style>
  <w:style w:type="character" w:customStyle="1" w:styleId="190">
    <w:name w:val="标题 字符1"/>
    <w:basedOn w:val="51"/>
    <w:qFormat/>
    <w:uiPriority w:val="10"/>
    <w:rPr>
      <w:rFonts w:hint="eastAsia" w:asciiTheme="majorHAnsi" w:hAnsiTheme="majorHAnsi" w:eastAsiaTheme="majorEastAsia" w:cstheme="majorBidi"/>
      <w:b/>
      <w:bCs/>
      <w:kern w:val="2"/>
      <w:sz w:val="32"/>
      <w:szCs w:val="32"/>
    </w:rPr>
  </w:style>
  <w:style w:type="character" w:customStyle="1" w:styleId="191">
    <w:name w:val="HTML 预设格式 字符1"/>
    <w:basedOn w:val="51"/>
    <w:semiHidden/>
    <w:qFormat/>
    <w:uiPriority w:val="99"/>
    <w:rPr>
      <w:rFonts w:hint="default" w:ascii="Courier New" w:hAnsi="Courier New" w:cs="Courier New"/>
      <w:kern w:val="2"/>
    </w:rPr>
  </w:style>
  <w:style w:type="character" w:customStyle="1" w:styleId="192">
    <w:name w:val="页脚 字符1"/>
    <w:basedOn w:val="51"/>
    <w:semiHidden/>
    <w:qFormat/>
    <w:uiPriority w:val="99"/>
    <w:rPr>
      <w:kern w:val="2"/>
      <w:sz w:val="18"/>
      <w:szCs w:val="18"/>
    </w:rPr>
  </w:style>
  <w:style w:type="character" w:customStyle="1" w:styleId="193">
    <w:name w:val="日期 字符1"/>
    <w:basedOn w:val="51"/>
    <w:semiHidden/>
    <w:qFormat/>
    <w:uiPriority w:val="99"/>
    <w:rPr>
      <w:kern w:val="2"/>
      <w:sz w:val="21"/>
    </w:rPr>
  </w:style>
  <w:style w:type="paragraph" w:customStyle="1" w:styleId="194">
    <w:name w:val="资料表"/>
    <w:basedOn w:val="108"/>
    <w:qFormat/>
    <w:uiPriority w:val="0"/>
    <w:rPr>
      <w:rFonts w:ascii="Times New Roman"/>
    </w:rPr>
  </w:style>
  <w:style w:type="paragraph" w:customStyle="1" w:styleId="195">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6">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7">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8">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9">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0">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2">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7">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8">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0">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2">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4">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6">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7">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9">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2">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3">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5">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1">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4">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5">
    <w:name w:val="修订2"/>
    <w:hidden/>
    <w:semiHidden/>
    <w:qFormat/>
    <w:uiPriority w:val="99"/>
    <w:rPr>
      <w:rFonts w:ascii="Times New Roman" w:hAnsi="Times New Roman" w:eastAsia="宋体" w:cs="Times New Roman"/>
      <w:kern w:val="2"/>
      <w:sz w:val="21"/>
      <w:lang w:val="en-US" w:eastAsia="zh-CN" w:bidi="ar-SA"/>
    </w:rPr>
  </w:style>
  <w:style w:type="paragraph" w:customStyle="1" w:styleId="236">
    <w:name w:val="B1二级标题"/>
    <w:basedOn w:val="1"/>
    <w:qFormat/>
    <w:uiPriority w:val="99"/>
    <w:pPr>
      <w:numPr>
        <w:ilvl w:val="1"/>
        <w:numId w:val="1"/>
      </w:numPr>
      <w:spacing w:before="156" w:beforeLines="50" w:after="156" w:afterLines="50" w:line="360" w:lineRule="auto"/>
      <w:jc w:val="left"/>
      <w:outlineLvl w:val="1"/>
    </w:pPr>
    <w:rPr>
      <w:sz w:val="24"/>
    </w:rPr>
  </w:style>
  <w:style w:type="paragraph" w:styleId="237">
    <w:name w:val="List Paragraph"/>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56</Pages>
  <Words>3790</Words>
  <Characters>21606</Characters>
  <Lines>180</Lines>
  <Paragraphs>50</Paragraphs>
  <TotalTime>0</TotalTime>
  <ScaleCrop>false</ScaleCrop>
  <LinksUpToDate>false</LinksUpToDate>
  <CharactersWithSpaces>25346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2022-11-16T10:41:00Z</dcterms:created>
  <dc:creator>xs</dc:creator>
  <cp:lastModifiedBy>Administrator</cp:lastModifiedBy>
  <cp:lastPrinted>2022-05-18T23:49:00Z</cp:lastPrinted>
  <dcterms:modified xsi:type="dcterms:W3CDTF">2023-03-16T07:09:41Z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1E6210A484C14A66A66C949030DEC76C</vt:lpwstr>
  </property>
</Properties>
</file>