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D3C0" w14:textId="77777777" w:rsidR="00BB74E3" w:rsidRDefault="00BB74E3" w:rsidP="00BB74E3">
      <w:pPr>
        <w:tabs>
          <w:tab w:val="left" w:pos="540"/>
          <w:tab w:val="left" w:pos="900"/>
          <w:tab w:val="left" w:pos="2340"/>
          <w:tab w:val="left" w:pos="4032"/>
        </w:tabs>
        <w:spacing w:before="120" w:after="156" w:line="276" w:lineRule="auto"/>
        <w:ind w:left="359"/>
        <w:outlineLvl w:val="1"/>
        <w:rPr>
          <w:rFonts w:ascii="Calibri" w:eastAsia="宋体" w:hAnsi="Calibri" w:cs="Times New Roman"/>
          <w:b/>
          <w:bCs/>
          <w:szCs w:val="32"/>
        </w:rPr>
      </w:pPr>
      <w:r>
        <w:rPr>
          <w:rFonts w:ascii="Calibri" w:eastAsia="宋体" w:hAnsi="Calibri" w:cs="Times New Roman" w:hint="eastAsia"/>
          <w:b/>
          <w:bCs/>
          <w:szCs w:val="32"/>
        </w:rPr>
        <w:t>泛光照明界面划分</w:t>
      </w:r>
    </w:p>
    <w:p w14:paraId="55506625" w14:textId="0FD032BA" w:rsidR="00BB74E3" w:rsidRPr="00BB74E3" w:rsidRDefault="00BB74E3" w:rsidP="00BB74E3">
      <w:pPr>
        <w:tabs>
          <w:tab w:val="left" w:pos="540"/>
          <w:tab w:val="left" w:pos="900"/>
          <w:tab w:val="left" w:pos="2340"/>
          <w:tab w:val="left" w:pos="4032"/>
        </w:tabs>
        <w:spacing w:before="120" w:after="156" w:line="276" w:lineRule="auto"/>
        <w:ind w:left="359"/>
        <w:outlineLvl w:val="1"/>
        <w:rPr>
          <w:rFonts w:ascii="Calibri" w:eastAsia="宋体" w:hAnsi="Calibri" w:cs="Times New Roman"/>
          <w:b/>
          <w:bCs/>
          <w:szCs w:val="32"/>
        </w:rPr>
      </w:pPr>
      <w:r w:rsidRPr="00BB74E3">
        <w:rPr>
          <w:rFonts w:ascii="Calibri" w:eastAsia="宋体" w:hAnsi="Calibri" w:cs="Times New Roman" w:hint="eastAsia"/>
          <w:b/>
          <w:bCs/>
          <w:szCs w:val="32"/>
        </w:rPr>
        <w:t>三、</w:t>
      </w:r>
      <w:r w:rsidRPr="00BB74E3">
        <w:rPr>
          <w:rFonts w:ascii="Calibri" w:eastAsia="宋体" w:hAnsi="Calibri" w:cs="Times New Roman"/>
          <w:b/>
          <w:bCs/>
          <w:szCs w:val="32"/>
        </w:rPr>
        <w:t>与总承包及其他专业承包工程的接口及工作界面</w:t>
      </w:r>
    </w:p>
    <w:p w14:paraId="086B7BD3" w14:textId="77777777" w:rsidR="00BB74E3" w:rsidRPr="00BB74E3" w:rsidRDefault="00BB74E3" w:rsidP="00BB74E3">
      <w:pPr>
        <w:widowControl/>
        <w:tabs>
          <w:tab w:val="left" w:pos="360"/>
        </w:tabs>
        <w:snapToGrid w:val="0"/>
        <w:spacing w:line="360" w:lineRule="auto"/>
        <w:ind w:firstLineChars="200" w:firstLine="420"/>
        <w:jc w:val="left"/>
        <w:rPr>
          <w:rFonts w:ascii="Calibri" w:eastAsia="宋体" w:hAnsi="Calibri" w:cs="Times New Roman"/>
          <w:bCs/>
        </w:rPr>
      </w:pPr>
      <w:r w:rsidRPr="00BB74E3">
        <w:rPr>
          <w:rFonts w:ascii="Calibri" w:eastAsia="宋体" w:hAnsi="Calibri" w:cs="Times New Roman" w:hint="eastAsia"/>
          <w:bCs/>
        </w:rPr>
        <w:t>工程界面划分应结合招标界面划分图、图纸、工程量清单、工程界面划分、工作内容及招标文件中其它相关内容综合理解。如果上述内容中存在冲突或者不能相互解释情况，以招标人修改、补充确定的界面划分为准。</w:t>
      </w:r>
    </w:p>
    <w:p w14:paraId="1E7A1416" w14:textId="77777777" w:rsidR="00BB74E3" w:rsidRPr="00BB74E3" w:rsidRDefault="00BB74E3" w:rsidP="00BB74E3">
      <w:pPr>
        <w:tabs>
          <w:tab w:val="left" w:pos="540"/>
          <w:tab w:val="left" w:pos="900"/>
          <w:tab w:val="left" w:pos="2340"/>
          <w:tab w:val="left" w:pos="4032"/>
        </w:tabs>
        <w:spacing w:before="120" w:after="156" w:line="276" w:lineRule="auto"/>
        <w:ind w:left="359"/>
        <w:outlineLvl w:val="1"/>
        <w:rPr>
          <w:rFonts w:ascii="Calibri" w:eastAsia="宋体" w:hAnsi="Calibri" w:cs="Times New Roman"/>
          <w:b/>
          <w:bCs/>
          <w:szCs w:val="32"/>
        </w:rPr>
      </w:pPr>
      <w:r w:rsidRPr="00BB74E3">
        <w:rPr>
          <w:rFonts w:ascii="Calibri" w:eastAsia="宋体" w:hAnsi="Calibri" w:cs="Times New Roman" w:hint="eastAsia"/>
          <w:b/>
          <w:bCs/>
          <w:szCs w:val="32"/>
        </w:rPr>
        <w:t>（一）、关于施工界面划分的一般约定</w:t>
      </w:r>
    </w:p>
    <w:p w14:paraId="4C615FF1" w14:textId="77777777" w:rsidR="00BB74E3" w:rsidRPr="00BB74E3" w:rsidRDefault="00BB74E3" w:rsidP="00BB74E3">
      <w:pPr>
        <w:spacing w:after="200" w:line="360" w:lineRule="auto"/>
        <w:ind w:firstLineChars="100" w:firstLine="210"/>
        <w:rPr>
          <w:rFonts w:ascii="Calibri" w:eastAsia="宋体" w:hAnsi="Calibri" w:cs="Times New Roman"/>
          <w:bCs/>
        </w:rPr>
      </w:pPr>
      <w:r w:rsidRPr="00BB74E3">
        <w:rPr>
          <w:rFonts w:ascii="Calibri" w:eastAsia="宋体" w:hAnsi="Calibri" w:cs="Times New Roman" w:hint="eastAsia"/>
          <w:bCs/>
        </w:rPr>
        <w:t>1</w:t>
      </w:r>
      <w:r w:rsidRPr="00BB74E3">
        <w:rPr>
          <w:rFonts w:ascii="Calibri" w:eastAsia="宋体" w:hAnsi="Calibri" w:cs="Times New Roman" w:hint="eastAsia"/>
          <w:bCs/>
        </w:rPr>
        <w:t>、针对工程界面划分具体条款的理解，发包人与承包人存在争议时，发包人有最终解释权，承包人须无条件服从，针对工程界面划分可能存在遗漏时，由发包人依据现场实际情况，从有利于工程质量控制、安全管理、投资控制、进度控制等角度合理确定并补充施工界面划分，承包人须无条件服从。</w:t>
      </w:r>
    </w:p>
    <w:p w14:paraId="4EAA731F" w14:textId="77777777" w:rsidR="00BB74E3" w:rsidRPr="00BB74E3" w:rsidRDefault="00BB74E3" w:rsidP="00BB74E3">
      <w:pPr>
        <w:spacing w:after="200" w:line="360" w:lineRule="auto"/>
        <w:ind w:firstLineChars="100" w:firstLine="210"/>
        <w:rPr>
          <w:rFonts w:ascii="Calibri" w:eastAsia="宋体" w:hAnsi="Calibri" w:cs="Times New Roman"/>
          <w:bCs/>
        </w:rPr>
      </w:pPr>
      <w:r w:rsidRPr="00BB74E3">
        <w:rPr>
          <w:rFonts w:ascii="Calibri" w:eastAsia="宋体" w:hAnsi="Calibri" w:cs="Times New Roman" w:hint="eastAsia"/>
          <w:bCs/>
        </w:rPr>
        <w:t>2</w:t>
      </w:r>
      <w:r w:rsidRPr="00BB74E3">
        <w:rPr>
          <w:rFonts w:ascii="Calibri" w:eastAsia="宋体" w:hAnsi="Calibri" w:cs="Times New Roman" w:hint="eastAsia"/>
          <w:bCs/>
        </w:rPr>
        <w:t>、当具体工程界面划分与工程量清单或设计文件或其他承包人范围等存在相互不一致时，发包人有权基于保证工程实施，清晰界定责任等角度出发，重新调整界面划分，或删减或增加承包人承包范围内某些清单项目等，承包人须无条件服从。</w:t>
      </w:r>
    </w:p>
    <w:p w14:paraId="7C0F4C8B" w14:textId="77777777" w:rsidR="00BB74E3" w:rsidRPr="00BB74E3" w:rsidRDefault="00BB74E3" w:rsidP="00BB74E3">
      <w:pPr>
        <w:spacing w:after="200" w:line="360" w:lineRule="auto"/>
        <w:ind w:firstLineChars="100" w:firstLine="210"/>
        <w:rPr>
          <w:rFonts w:ascii="Calibri" w:eastAsia="宋体" w:hAnsi="Calibri" w:cs="Times New Roman"/>
          <w:bCs/>
        </w:rPr>
      </w:pPr>
      <w:r w:rsidRPr="00BB74E3">
        <w:rPr>
          <w:rFonts w:ascii="Calibri" w:eastAsia="宋体" w:hAnsi="Calibri" w:cs="Times New Roman" w:hint="eastAsia"/>
          <w:bCs/>
        </w:rPr>
        <w:t>3</w:t>
      </w:r>
      <w:r w:rsidRPr="00BB74E3">
        <w:rPr>
          <w:rFonts w:ascii="Calibri" w:eastAsia="宋体" w:hAnsi="Calibri" w:cs="Times New Roman" w:hint="eastAsia"/>
          <w:bCs/>
        </w:rPr>
        <w:t>、承包人的深化设计不得改变工程界面划分。</w:t>
      </w:r>
    </w:p>
    <w:p w14:paraId="71F859FE" w14:textId="77777777" w:rsidR="00BB74E3" w:rsidRPr="00BB74E3" w:rsidRDefault="00BB74E3" w:rsidP="00BB74E3">
      <w:pPr>
        <w:spacing w:after="200" w:line="360" w:lineRule="auto"/>
        <w:ind w:firstLineChars="100" w:firstLine="210"/>
        <w:rPr>
          <w:rFonts w:ascii="Calibri" w:eastAsia="宋体" w:hAnsi="Calibri" w:cs="Times New Roman"/>
          <w:bCs/>
        </w:rPr>
      </w:pPr>
      <w:r w:rsidRPr="00BB74E3">
        <w:rPr>
          <w:rFonts w:ascii="Calibri" w:eastAsia="宋体" w:hAnsi="Calibri" w:cs="Times New Roman" w:hint="eastAsia"/>
          <w:bCs/>
        </w:rPr>
        <w:t>4</w:t>
      </w:r>
      <w:r w:rsidRPr="00BB74E3">
        <w:rPr>
          <w:rFonts w:ascii="Calibri" w:eastAsia="宋体" w:hAnsi="Calibri" w:cs="Times New Roman" w:hint="eastAsia"/>
          <w:bCs/>
        </w:rPr>
        <w:t>、除招标文件及工程量清单中计取的费用外，本工程界面划分所涉及的明示或隐含的工作（义务）均应综合考虑在投标报价中，发包人不另行计量支付。</w:t>
      </w:r>
    </w:p>
    <w:p w14:paraId="5FA15BE2" w14:textId="77777777" w:rsidR="00BB74E3" w:rsidRPr="00BB74E3" w:rsidRDefault="00BB74E3" w:rsidP="00BB74E3">
      <w:pPr>
        <w:spacing w:after="200" w:line="360" w:lineRule="auto"/>
        <w:ind w:firstLineChars="100" w:firstLine="210"/>
        <w:rPr>
          <w:rFonts w:ascii="Calibri" w:eastAsia="宋体" w:hAnsi="Calibri" w:cs="Times New Roman"/>
          <w:bCs/>
        </w:rPr>
      </w:pPr>
      <w:r w:rsidRPr="00BB74E3">
        <w:rPr>
          <w:rFonts w:ascii="Calibri" w:eastAsia="宋体" w:hAnsi="Calibri" w:cs="Times New Roman" w:hint="eastAsia"/>
          <w:bCs/>
        </w:rPr>
        <w:t>5</w:t>
      </w:r>
      <w:r w:rsidRPr="00BB74E3">
        <w:rPr>
          <w:rFonts w:ascii="Calibri" w:eastAsia="宋体" w:hAnsi="Calibri" w:cs="Times New Roman" w:hint="eastAsia"/>
          <w:bCs/>
        </w:rPr>
        <w:t>、承包人须与发包人自行招标的总包及其他专业工程承包商按下列划定的工程接口及工作界面完成，并对招标文件中描述错、漏的事项与发包人及其他专业承包商友好协商，确保工程顺利完成。</w:t>
      </w:r>
    </w:p>
    <w:p w14:paraId="4C4EDB9F" w14:textId="77777777" w:rsidR="00BB74E3" w:rsidRPr="00BB74E3" w:rsidRDefault="00BB74E3" w:rsidP="00BB74E3">
      <w:pPr>
        <w:tabs>
          <w:tab w:val="left" w:pos="540"/>
          <w:tab w:val="left" w:pos="900"/>
          <w:tab w:val="left" w:pos="2340"/>
          <w:tab w:val="left" w:pos="4032"/>
        </w:tabs>
        <w:spacing w:before="120" w:after="156" w:line="276" w:lineRule="auto"/>
        <w:ind w:left="359"/>
        <w:outlineLvl w:val="1"/>
        <w:rPr>
          <w:rFonts w:ascii="Calibri" w:eastAsia="宋体" w:hAnsi="Calibri" w:cs="Times New Roman"/>
          <w:b/>
          <w:bCs/>
          <w:szCs w:val="32"/>
        </w:rPr>
      </w:pP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二</w:t>
      </w: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承包人工作内容（包括但不限于）：</w:t>
      </w:r>
    </w:p>
    <w:p w14:paraId="084C3988"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1、负责完成合同承包范围里所有工程并达到合同约定的质量标准，包括但不限于深化设计、设备材料供货、安装、检验、检测、调试、验收等。深化设计时应充分注意和保证整体美观，积极配合总承包单位获取相关奖项。</w:t>
      </w:r>
    </w:p>
    <w:p w14:paraId="6F47D6EB"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2、负责进场后至项目竣工验收并移交给使用单位前的整个时间段、承包范围内的安全文明施工管理，并符合工发包人的管理规定。</w:t>
      </w:r>
    </w:p>
    <w:p w14:paraId="320CDE46"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3、负责为顺利完成本工程而进行的一切必要的准备工作（含与设计院的及时沟通协调、制作施工样板、提供便于查验的条件等）。</w:t>
      </w:r>
    </w:p>
    <w:p w14:paraId="32B7E24C"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lastRenderedPageBreak/>
        <w:t>4、承包人应根据施工组织设计和工程进展的不同阶段编制成品、半成品保护方案，全面负责本工程在竣工交付前的看管、巡检、维护、保养等工作。承包人除负责自身的成品、半成品保护工作外，应在施工过程中不损坏其他单位（包括发包人指定的其他专业工程承包单位）的成品、半成品，若因承包人原因发生的损坏，由承包人负责。</w:t>
      </w:r>
    </w:p>
    <w:p w14:paraId="5371404B"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5、视现场实际工况（包括但不限于现场施工进度及工作面移交情况等），按发包人或监理人批准的施工组织方案搭设本工程施工所需的施工设施（如脚手架等）。</w:t>
      </w:r>
    </w:p>
    <w:p w14:paraId="3ABC7069"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6、及时清运承包范围内的施工垃圾至施工总承包单位现场垃圾指定堆放位置，并服从施工总承包单位的管理。</w:t>
      </w:r>
    </w:p>
    <w:p w14:paraId="6A314CF3"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7、负责施工材料的送检和检验，其中包括泛光照明工程验收必需的检测及试验工作，负责所有泛光照明及相关产品要求的第三方检测等费用。</w:t>
      </w:r>
    </w:p>
    <w:p w14:paraId="0061FA32"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9、配合施工总承包单位及其他单位（包括发包人指定的其他专业工程承包单位）进行相关的调试及验收工作（包括提供相关资料）。负责编制泛光照明工程调试验收方案，负责完成工程调试验收。</w:t>
      </w:r>
    </w:p>
    <w:p w14:paraId="49C80391"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9、配合建设单位向各有关部门申请并获取与本工程有关的一切申报、审批许可及竣工验收等手续，并提供相关工程验收合格证书。</w:t>
      </w:r>
    </w:p>
    <w:p w14:paraId="193D9C62"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 xml:space="preserve">10、负责泛光照明灯具及电源控制箱、电源和联动控制所需的桥架、线槽和管线、泛光照明灯具支架等的采购和安装，以及电缆电线的连接； </w:t>
      </w:r>
    </w:p>
    <w:p w14:paraId="6BA52122"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11、负责泛光照明系统所需的防雷和保护接地系统施工。</w:t>
      </w:r>
    </w:p>
    <w:p w14:paraId="38F504C5" w14:textId="77777777" w:rsidR="00BB74E3" w:rsidRPr="00BB74E3" w:rsidRDefault="00BB74E3" w:rsidP="00BB74E3">
      <w:pPr>
        <w:widowControl/>
        <w:snapToGrid w:val="0"/>
        <w:spacing w:line="360" w:lineRule="auto"/>
        <w:ind w:firstLineChars="200" w:firstLine="400"/>
        <w:jc w:val="left"/>
        <w:rPr>
          <w:rFonts w:ascii="宋体" w:eastAsia="宋体" w:hAnsi="宋体" w:cs="宋体"/>
          <w:bCs/>
          <w:kern w:val="0"/>
          <w:sz w:val="24"/>
          <w:szCs w:val="21"/>
        </w:rPr>
      </w:pPr>
      <w:r w:rsidRPr="00BB74E3">
        <w:rPr>
          <w:rFonts w:ascii="宋体" w:eastAsia="宋体" w:hAnsi="宋体" w:cs="Courier New" w:hint="eastAsia"/>
          <w:kern w:val="0"/>
          <w:sz w:val="20"/>
          <w:szCs w:val="20"/>
        </w:rPr>
        <w:t>12、负责编制本工程的使用说明书（书面文档不少于四份，电子文档一份），并对相关人员提供培训及指导。</w:t>
      </w:r>
    </w:p>
    <w:p w14:paraId="2AC4D74E" w14:textId="150A6C7E" w:rsidR="00BB74E3" w:rsidRPr="00BB74E3" w:rsidRDefault="00BB74E3" w:rsidP="00BB74E3">
      <w:pPr>
        <w:widowControl/>
        <w:spacing w:line="360" w:lineRule="auto"/>
        <w:ind w:firstLineChars="200" w:firstLine="480"/>
        <w:jc w:val="left"/>
        <w:rPr>
          <w:rFonts w:ascii="宋体" w:eastAsia="宋体" w:hAnsi="宋体" w:cs="宋体"/>
          <w:kern w:val="0"/>
          <w:sz w:val="24"/>
          <w:szCs w:val="24"/>
        </w:rPr>
      </w:pPr>
      <w:r w:rsidRPr="00BB74E3">
        <w:rPr>
          <w:rFonts w:ascii="宋体" w:eastAsia="宋体" w:hAnsi="宋体" w:cs="宋体" w:hint="eastAsia"/>
          <w:kern w:val="0"/>
          <w:sz w:val="24"/>
          <w:szCs w:val="24"/>
        </w:rPr>
        <w:t>注：所有的细目详见工程招标图纸、工程量清单及合同条款。</w:t>
      </w:r>
    </w:p>
    <w:p w14:paraId="5C8487BA" w14:textId="77777777" w:rsidR="00BB74E3" w:rsidRPr="00BB74E3" w:rsidRDefault="00BB74E3" w:rsidP="00BB74E3">
      <w:pPr>
        <w:tabs>
          <w:tab w:val="left" w:pos="540"/>
          <w:tab w:val="left" w:pos="900"/>
          <w:tab w:val="left" w:pos="2340"/>
          <w:tab w:val="left" w:pos="4032"/>
        </w:tabs>
        <w:spacing w:before="120" w:after="156" w:line="276" w:lineRule="auto"/>
        <w:ind w:left="359"/>
        <w:outlineLvl w:val="1"/>
        <w:rPr>
          <w:rFonts w:ascii="Calibri" w:eastAsia="宋体" w:hAnsi="Calibri" w:cs="Times New Roman"/>
          <w:b/>
          <w:bCs/>
          <w:szCs w:val="32"/>
        </w:rPr>
      </w:pP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三</w:t>
      </w: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、施工总承包单位职责</w:t>
      </w:r>
    </w:p>
    <w:p w14:paraId="6357D3D8"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1、根据需要及时向承包人移交作业面。</w:t>
      </w:r>
    </w:p>
    <w:p w14:paraId="3B66E72D"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2、施工总承包单位负责为承包人提供材料装卸及临时加工场地、材料仓库及现场材料堆放等（库存现场的材料由承包人自行负责保护）、外架防护、外架通道等，并保证施工道路畅通。施工总承包单位负责为承包人的顺利施工提供便利条件及保障。</w:t>
      </w:r>
    </w:p>
    <w:p w14:paraId="75BF7DCA"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3、施工总承包单位负责配合承包人做好施工过程中的成品保护。</w:t>
      </w:r>
    </w:p>
    <w:p w14:paraId="7A0F3595" w14:textId="0470506E" w:rsidR="00BB74E3" w:rsidRPr="00BB74E3" w:rsidRDefault="00BB74E3" w:rsidP="00830E4A">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4、施工总承包单位负责完成楼宇泛光照明的</w:t>
      </w:r>
      <w:r w:rsidR="00830E4A">
        <w:rPr>
          <w:rFonts w:ascii="宋体" w:eastAsia="宋体" w:hAnsi="宋体" w:cs="Courier New" w:hint="eastAsia"/>
          <w:kern w:val="0"/>
          <w:sz w:val="20"/>
          <w:szCs w:val="20"/>
        </w:rPr>
        <w:t>二级</w:t>
      </w:r>
      <w:r w:rsidRPr="00BB74E3">
        <w:rPr>
          <w:rFonts w:ascii="宋体" w:eastAsia="宋体" w:hAnsi="宋体" w:cs="Courier New" w:hint="eastAsia"/>
          <w:kern w:val="0"/>
          <w:sz w:val="20"/>
          <w:szCs w:val="20"/>
        </w:rPr>
        <w:t>电箱安装、供电。</w:t>
      </w:r>
    </w:p>
    <w:p w14:paraId="34877CAE" w14:textId="77777777" w:rsidR="00BB74E3" w:rsidRPr="00830E4A" w:rsidRDefault="00BB74E3" w:rsidP="00BB74E3">
      <w:pPr>
        <w:widowControl/>
        <w:snapToGrid w:val="0"/>
        <w:spacing w:line="360" w:lineRule="auto"/>
        <w:ind w:firstLineChars="200" w:firstLine="400"/>
        <w:jc w:val="left"/>
        <w:rPr>
          <w:rFonts w:ascii="宋体" w:eastAsia="宋体" w:hAnsi="宋体" w:cs="Courier New"/>
          <w:color w:val="FF0000"/>
          <w:kern w:val="0"/>
          <w:sz w:val="20"/>
          <w:szCs w:val="20"/>
        </w:rPr>
      </w:pPr>
      <w:r w:rsidRPr="00830E4A">
        <w:rPr>
          <w:rFonts w:ascii="宋体" w:eastAsia="宋体" w:hAnsi="宋体" w:cs="Courier New" w:hint="eastAsia"/>
          <w:color w:val="FF0000"/>
          <w:kern w:val="0"/>
          <w:sz w:val="20"/>
          <w:szCs w:val="20"/>
        </w:rPr>
        <w:t>6、外墙、柱、屋面、地面隐蔽部分的配管及穿线，预留检修口。</w:t>
      </w:r>
    </w:p>
    <w:p w14:paraId="4CC6FA40" w14:textId="77777777" w:rsidR="00BB74E3" w:rsidRPr="00BB74E3" w:rsidRDefault="00BB74E3" w:rsidP="00BB74E3">
      <w:pPr>
        <w:tabs>
          <w:tab w:val="left" w:pos="540"/>
          <w:tab w:val="left" w:pos="900"/>
          <w:tab w:val="left" w:pos="2340"/>
          <w:tab w:val="left" w:pos="4032"/>
        </w:tabs>
        <w:spacing w:before="120" w:after="156" w:line="276" w:lineRule="auto"/>
        <w:ind w:left="359"/>
        <w:outlineLvl w:val="1"/>
        <w:rPr>
          <w:rFonts w:ascii="Calibri" w:eastAsia="宋体" w:hAnsi="Calibri" w:cs="Times New Roman"/>
          <w:b/>
          <w:bCs/>
          <w:szCs w:val="32"/>
        </w:rPr>
      </w:pP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四</w:t>
      </w: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、承包人精装及园林承包单位协调与配合</w:t>
      </w:r>
    </w:p>
    <w:p w14:paraId="087B3754"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1、装修及园林工程施工完毕并经验收合格移交后，承包人负责施工期间工作范围里的成品保护工作，因承包人保护不当造成的损失（含防水层等）由承包人负责。承包人若需在外墙、柱、屋面地面上进行埋板、固定等可能破坏装修的相关工作，则由承包人委托装修、园林（含防水层等）工程专业承包单位修复，修复费用由承包人自行承担。</w:t>
      </w:r>
    </w:p>
    <w:p w14:paraId="7A064F54"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lastRenderedPageBreak/>
        <w:t>2、承包人在进行承包范围内的外墙、柱、屋面、地面等泛光照明安装时应采取铺贴隔离保护措施对已完工的上道工序的成品保护（若有），费用由承包人承担。</w:t>
      </w:r>
    </w:p>
    <w:p w14:paraId="5F1E4419" w14:textId="77777777" w:rsidR="00BB74E3" w:rsidRPr="00BB74E3" w:rsidRDefault="00BB74E3" w:rsidP="00BB74E3">
      <w:pPr>
        <w:tabs>
          <w:tab w:val="left" w:pos="540"/>
          <w:tab w:val="left" w:pos="900"/>
          <w:tab w:val="left" w:pos="2340"/>
          <w:tab w:val="left" w:pos="4032"/>
        </w:tabs>
        <w:spacing w:before="120" w:after="156" w:line="276" w:lineRule="auto"/>
        <w:ind w:left="359"/>
        <w:outlineLvl w:val="1"/>
        <w:rPr>
          <w:rFonts w:ascii="Calibri" w:eastAsia="宋体" w:hAnsi="Calibri" w:cs="Times New Roman"/>
          <w:b/>
          <w:bCs/>
          <w:szCs w:val="32"/>
        </w:rPr>
      </w:pP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五</w:t>
      </w: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、承包人与幕墙工程专业承包单位协调与配合</w:t>
      </w:r>
    </w:p>
    <w:p w14:paraId="27275338"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1、承包人应与幕墙工程专业承包单位相互配合，并制定承包范围内的成品保护措施（包括自己的产品和他人产品），并严格执行，防止损坏、损伤或污损成品。</w:t>
      </w:r>
    </w:p>
    <w:p w14:paraId="2AB0408B" w14:textId="4ED5F0B1"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2、承包人应与幕墙专业承包单位及时沟通，承包人须在幕墙提供泛光照明工程相关的预留孔洞需求，幕墙上的孔洞由幕墙工程专业承包单位在生产时负责预留、配合开孔等工作。</w:t>
      </w:r>
    </w:p>
    <w:p w14:paraId="46A8ECFC"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3、承包人与幕墙工程专业承包单位在同一区域的施工安排需由双方共同协商，并经现场监理及发包人批准，当双方存在争议时，由现场监理及发包人裁定。</w:t>
      </w:r>
    </w:p>
    <w:p w14:paraId="59986D3E"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4、承包人与幕墙工程专业承包单位工序有交叉的部分，工序在后的承包单位须无条件配合工序在先的承包单位完成其工作后，方可进行下一道工序的施工。</w:t>
      </w:r>
    </w:p>
    <w:p w14:paraId="47A3BA5D" w14:textId="77777777" w:rsidR="00BB74E3" w:rsidRPr="00BB74E3" w:rsidRDefault="00BB74E3" w:rsidP="00BB74E3">
      <w:pPr>
        <w:tabs>
          <w:tab w:val="left" w:pos="540"/>
          <w:tab w:val="left" w:pos="900"/>
          <w:tab w:val="left" w:pos="2340"/>
          <w:tab w:val="left" w:pos="4032"/>
        </w:tabs>
        <w:spacing w:before="120" w:after="156" w:line="276" w:lineRule="auto"/>
        <w:ind w:left="359"/>
        <w:outlineLvl w:val="1"/>
        <w:rPr>
          <w:rFonts w:ascii="Calibri" w:eastAsia="宋体" w:hAnsi="Calibri" w:cs="Times New Roman"/>
          <w:b/>
          <w:bCs/>
          <w:szCs w:val="32"/>
        </w:rPr>
      </w:pP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六</w:t>
      </w:r>
      <w:r w:rsidRPr="00BB74E3">
        <w:rPr>
          <w:rFonts w:ascii="Calibri" w:eastAsia="宋体" w:hAnsi="Calibri" w:cs="Times New Roman" w:hint="eastAsia"/>
          <w:b/>
          <w:bCs/>
          <w:szCs w:val="32"/>
        </w:rPr>
        <w:t>)</w:t>
      </w:r>
      <w:r w:rsidRPr="00BB74E3">
        <w:rPr>
          <w:rFonts w:ascii="Calibri" w:eastAsia="宋体" w:hAnsi="Calibri" w:cs="Times New Roman" w:hint="eastAsia"/>
          <w:b/>
          <w:bCs/>
          <w:szCs w:val="32"/>
        </w:rPr>
        <w:t>、承包人与智能化工程专业承包单位协调与配合</w:t>
      </w:r>
    </w:p>
    <w:p w14:paraId="6F316FA1"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1、承包人与智能化专业承包单位协调以进行及完成所需的安装工作，双方的交接驳口需按图纸施工或按工地情况议定准确的位置及双方的工作界面。</w:t>
      </w:r>
    </w:p>
    <w:p w14:paraId="56945844"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2、承包人三箱箱体预留孔洞，便于智能化单位穿线,箱里内需为电力智能仪表、智能照明（如有）、漏电火灾监控等模块预留一定空间并安装。</w:t>
      </w:r>
    </w:p>
    <w:p w14:paraId="140B0E62" w14:textId="77777777" w:rsidR="00BB74E3" w:rsidRPr="00BB74E3" w:rsidRDefault="00BB74E3" w:rsidP="00BB74E3">
      <w:pPr>
        <w:widowControl/>
        <w:snapToGrid w:val="0"/>
        <w:spacing w:line="360" w:lineRule="auto"/>
        <w:ind w:firstLineChars="200" w:firstLine="400"/>
        <w:jc w:val="left"/>
        <w:rPr>
          <w:rFonts w:ascii="宋体" w:eastAsia="宋体" w:hAnsi="宋体" w:cs="Courier New"/>
          <w:kern w:val="0"/>
          <w:sz w:val="20"/>
          <w:szCs w:val="20"/>
        </w:rPr>
      </w:pPr>
      <w:r w:rsidRPr="00BB74E3">
        <w:rPr>
          <w:rFonts w:ascii="宋体" w:eastAsia="宋体" w:hAnsi="宋体" w:cs="Courier New" w:hint="eastAsia"/>
          <w:kern w:val="0"/>
          <w:sz w:val="20"/>
          <w:szCs w:val="20"/>
        </w:rPr>
        <w:t>3、按照智能化设计要求，为智能化系统预留接线端子。</w:t>
      </w:r>
    </w:p>
    <w:p w14:paraId="07338BBD" w14:textId="77777777" w:rsidR="00BB74E3" w:rsidRPr="00BB74E3" w:rsidRDefault="00BB74E3" w:rsidP="00BB74E3">
      <w:pPr>
        <w:widowControl/>
        <w:snapToGrid w:val="0"/>
        <w:spacing w:line="360" w:lineRule="auto"/>
        <w:ind w:firstLineChars="200" w:firstLine="400"/>
        <w:jc w:val="left"/>
        <w:rPr>
          <w:rFonts w:ascii="宋体" w:eastAsia="宋体" w:hAnsi="宋体" w:cs="宋体"/>
          <w:kern w:val="0"/>
          <w:sz w:val="24"/>
          <w:szCs w:val="24"/>
        </w:rPr>
      </w:pPr>
      <w:r w:rsidRPr="00BB74E3">
        <w:rPr>
          <w:rFonts w:ascii="宋体" w:eastAsia="宋体" w:hAnsi="宋体" w:cs="Courier New" w:hint="eastAsia"/>
          <w:kern w:val="0"/>
          <w:sz w:val="20"/>
          <w:szCs w:val="20"/>
        </w:rPr>
        <w:t>4、在实现上述功能后，承包人所提供的“三箱”需根据智能化单位的需求，引出供智能化监控专用的接线端子。</w:t>
      </w:r>
    </w:p>
    <w:p w14:paraId="5F8485BC" w14:textId="77777777" w:rsidR="00BB74E3" w:rsidRPr="00BB74E3" w:rsidRDefault="00BB74E3" w:rsidP="00BB74E3">
      <w:pPr>
        <w:widowControl/>
        <w:snapToGrid w:val="0"/>
        <w:spacing w:line="360" w:lineRule="auto"/>
        <w:ind w:firstLineChars="200" w:firstLine="402"/>
        <w:jc w:val="left"/>
        <w:rPr>
          <w:rFonts w:ascii="宋体" w:eastAsia="宋体" w:hAnsi="宋体" w:cs="Courier New"/>
          <w:kern w:val="0"/>
          <w:sz w:val="20"/>
          <w:szCs w:val="20"/>
        </w:rPr>
      </w:pPr>
      <w:r w:rsidRPr="00BB74E3">
        <w:rPr>
          <w:rFonts w:ascii="宋体" w:eastAsia="宋体" w:hAnsi="宋体" w:cs="Courier New" w:hint="eastAsia"/>
          <w:b/>
          <w:bCs/>
          <w:kern w:val="0"/>
          <w:sz w:val="20"/>
          <w:szCs w:val="20"/>
        </w:rPr>
        <w:t>泛光照明专业承包单位与其他承包单位之间的协调与配合包括但不限于上述专业。</w:t>
      </w:r>
      <w:r w:rsidRPr="00BB74E3">
        <w:rPr>
          <w:rFonts w:ascii="宋体" w:eastAsia="宋体" w:hAnsi="宋体" w:cs="Courier New" w:hint="eastAsia"/>
          <w:kern w:val="0"/>
          <w:sz w:val="20"/>
          <w:szCs w:val="20"/>
        </w:rPr>
        <w:t>为了确保工程的完满竣工，泛光照明专业承包单位有责任与其他承包商单位协调和合作。如果因泛光照明专业承包单位原因，导致其他已安装工程的拆卸、修订及重新安装，因此而引致工期延误及所引起的一切费用损失等全由泛光照明专业承包单位负责。</w:t>
      </w:r>
    </w:p>
    <w:p w14:paraId="261C7E2F" w14:textId="3EB262C6" w:rsidR="004464D4" w:rsidRPr="00575D4E" w:rsidRDefault="00BB74E3" w:rsidP="00575D4E">
      <w:pPr>
        <w:widowControl/>
        <w:spacing w:line="360" w:lineRule="auto"/>
        <w:ind w:firstLineChars="200" w:firstLine="422"/>
        <w:jc w:val="left"/>
        <w:rPr>
          <w:rFonts w:ascii="Calibri" w:eastAsia="宋体" w:hAnsi="Calibri" w:cs="Times New Roman" w:hint="eastAsia"/>
          <w:b/>
          <w:bCs/>
          <w:szCs w:val="32"/>
        </w:rPr>
      </w:pPr>
      <w:r w:rsidRPr="00BB74E3">
        <w:rPr>
          <w:rFonts w:ascii="Calibri" w:eastAsia="宋体" w:hAnsi="Calibri" w:cs="Times New Roman" w:hint="eastAsia"/>
          <w:b/>
          <w:bCs/>
          <w:szCs w:val="32"/>
        </w:rPr>
        <w:t>以上工程界面划分是发包人依据招标图纸及其他边界条件确定的，最终解释权归发包人所有。发包人有权根据相关规定以及本项目建设进度、质量和安全需要，合理调整承包人的工程界面，承包人须无条件服从。</w:t>
      </w:r>
    </w:p>
    <w:sectPr w:rsidR="004464D4" w:rsidRPr="00575D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F4D2A" w14:textId="77777777" w:rsidR="00B22045" w:rsidRDefault="00B22045" w:rsidP="00BB74E3">
      <w:r>
        <w:separator/>
      </w:r>
    </w:p>
  </w:endnote>
  <w:endnote w:type="continuationSeparator" w:id="0">
    <w:p w14:paraId="1C85D3FC" w14:textId="77777777" w:rsidR="00B22045" w:rsidRDefault="00B22045" w:rsidP="00BB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E97C7" w14:textId="77777777" w:rsidR="00B22045" w:rsidRDefault="00B22045" w:rsidP="00BB74E3">
      <w:r>
        <w:separator/>
      </w:r>
    </w:p>
  </w:footnote>
  <w:footnote w:type="continuationSeparator" w:id="0">
    <w:p w14:paraId="55A0DF2F" w14:textId="77777777" w:rsidR="00B22045" w:rsidRDefault="00B22045" w:rsidP="00BB74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87B"/>
    <w:rsid w:val="000E788F"/>
    <w:rsid w:val="0021587B"/>
    <w:rsid w:val="00383F57"/>
    <w:rsid w:val="004464D4"/>
    <w:rsid w:val="00575D4E"/>
    <w:rsid w:val="00830E4A"/>
    <w:rsid w:val="008C2B3D"/>
    <w:rsid w:val="00B22045"/>
    <w:rsid w:val="00BB74E3"/>
    <w:rsid w:val="00C40D53"/>
    <w:rsid w:val="00CB6A2B"/>
    <w:rsid w:val="00FD0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FB019"/>
  <w15:chartTrackingRefBased/>
  <w15:docId w15:val="{F848303E-B656-4222-AA23-6C7D7F85C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74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74E3"/>
    <w:rPr>
      <w:sz w:val="18"/>
      <w:szCs w:val="18"/>
    </w:rPr>
  </w:style>
  <w:style w:type="paragraph" w:styleId="a5">
    <w:name w:val="footer"/>
    <w:basedOn w:val="a"/>
    <w:link w:val="a6"/>
    <w:uiPriority w:val="99"/>
    <w:unhideWhenUsed/>
    <w:rsid w:val="00BB74E3"/>
    <w:pPr>
      <w:tabs>
        <w:tab w:val="center" w:pos="4153"/>
        <w:tab w:val="right" w:pos="8306"/>
      </w:tabs>
      <w:snapToGrid w:val="0"/>
      <w:jc w:val="left"/>
    </w:pPr>
    <w:rPr>
      <w:sz w:val="18"/>
      <w:szCs w:val="18"/>
    </w:rPr>
  </w:style>
  <w:style w:type="character" w:customStyle="1" w:styleId="a6">
    <w:name w:val="页脚 字符"/>
    <w:basedOn w:val="a0"/>
    <w:link w:val="a5"/>
    <w:uiPriority w:val="99"/>
    <w:rsid w:val="00BB74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8615889505932</dc:creator>
  <cp:keywords/>
  <dc:description/>
  <cp:lastModifiedBy>8615889505932</cp:lastModifiedBy>
  <cp:revision>4</cp:revision>
  <dcterms:created xsi:type="dcterms:W3CDTF">2022-08-15T06:17:00Z</dcterms:created>
  <dcterms:modified xsi:type="dcterms:W3CDTF">2022-08-15T07:07:00Z</dcterms:modified>
</cp:coreProperties>
</file>