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7"/>
        <w:spacing w:line="360" w:lineRule="auto"/>
        <w:jc w:val="center"/>
        <w:rPr>
          <w:rFonts w:ascii="黑体" w:hAnsi="宋体" w:eastAsia="黑体"/>
          <w:b/>
          <w:color w:val="auto"/>
          <w:spacing w:val="26"/>
          <w:sz w:val="48"/>
          <w:szCs w:val="48"/>
          <w:highlight w:val="none"/>
        </w:rPr>
      </w:pPr>
    </w:p>
    <w:p>
      <w:pPr>
        <w:pStyle w:val="77"/>
        <w:spacing w:line="360" w:lineRule="auto"/>
        <w:rPr>
          <w:rFonts w:ascii="黑体" w:hAnsi="宋体" w:eastAsia="黑体"/>
          <w:b/>
          <w:color w:val="auto"/>
          <w:spacing w:val="26"/>
          <w:sz w:val="48"/>
          <w:szCs w:val="48"/>
          <w:highlight w:val="none"/>
        </w:rPr>
      </w:pPr>
    </w:p>
    <w:p>
      <w:pPr>
        <w:pStyle w:val="77"/>
        <w:spacing w:line="360" w:lineRule="auto"/>
        <w:rPr>
          <w:rFonts w:ascii="黑体" w:hAnsi="宋体" w:eastAsia="黑体"/>
          <w:b/>
          <w:color w:val="auto"/>
          <w:spacing w:val="26"/>
          <w:sz w:val="48"/>
          <w:szCs w:val="48"/>
          <w:highlight w:val="none"/>
        </w:rPr>
      </w:pPr>
    </w:p>
    <w:p>
      <w:pPr>
        <w:pStyle w:val="77"/>
        <w:spacing w:line="360" w:lineRule="auto"/>
        <w:jc w:val="center"/>
        <w:rPr>
          <w:rFonts w:hint="eastAsia" w:ascii="黑体" w:hAnsi="宋体" w:eastAsia="黑体"/>
          <w:b/>
          <w:color w:val="auto"/>
          <w:spacing w:val="26"/>
          <w:sz w:val="48"/>
          <w:szCs w:val="48"/>
          <w:highlight w:val="none"/>
        </w:rPr>
      </w:pPr>
      <w:r>
        <w:rPr>
          <w:rFonts w:hint="eastAsia" w:ascii="黑体" w:hAnsi="宋体" w:eastAsia="黑体"/>
          <w:b/>
          <w:color w:val="auto"/>
          <w:spacing w:val="26"/>
          <w:sz w:val="48"/>
          <w:szCs w:val="48"/>
          <w:highlight w:val="none"/>
        </w:rPr>
        <w:t>深铁珑境（一期）泛光照明工程</w:t>
      </w:r>
    </w:p>
    <w:p>
      <w:pPr>
        <w:pStyle w:val="77"/>
        <w:spacing w:line="360" w:lineRule="auto"/>
        <w:jc w:val="center"/>
        <w:rPr>
          <w:rFonts w:ascii="黑体" w:hAnsi="宋体" w:eastAsia="黑体"/>
          <w:b/>
          <w:color w:val="auto"/>
          <w:spacing w:val="26"/>
          <w:sz w:val="48"/>
          <w:szCs w:val="48"/>
          <w:highlight w:val="none"/>
        </w:rPr>
      </w:pPr>
      <w:r>
        <w:rPr>
          <w:rFonts w:hint="eastAsia" w:ascii="黑体" w:hAnsi="宋体" w:eastAsia="黑体"/>
          <w:b/>
          <w:color w:val="auto"/>
          <w:spacing w:val="26"/>
          <w:sz w:val="48"/>
          <w:szCs w:val="48"/>
          <w:highlight w:val="none"/>
        </w:rPr>
        <w:t>比选文件</w:t>
      </w:r>
    </w:p>
    <w:p>
      <w:pPr>
        <w:pStyle w:val="77"/>
        <w:spacing w:line="360" w:lineRule="auto"/>
        <w:jc w:val="center"/>
        <w:rPr>
          <w:rFonts w:ascii="黑体" w:hAnsi="宋体" w:eastAsia="黑体"/>
          <w:b/>
          <w:color w:val="auto"/>
          <w:spacing w:val="26"/>
          <w:sz w:val="48"/>
          <w:szCs w:val="48"/>
          <w:highlight w:val="none"/>
        </w:rPr>
      </w:pPr>
    </w:p>
    <w:p>
      <w:pPr>
        <w:pStyle w:val="77"/>
        <w:spacing w:line="360" w:lineRule="auto"/>
        <w:jc w:val="center"/>
        <w:rPr>
          <w:rFonts w:ascii="黑体" w:hAnsi="宋体" w:eastAsia="黑体"/>
          <w:b/>
          <w:color w:val="auto"/>
          <w:spacing w:val="26"/>
          <w:sz w:val="48"/>
          <w:szCs w:val="48"/>
          <w:highlight w:val="none"/>
        </w:rPr>
      </w:pPr>
    </w:p>
    <w:p>
      <w:pPr>
        <w:pStyle w:val="77"/>
        <w:spacing w:line="360" w:lineRule="auto"/>
        <w:jc w:val="center"/>
        <w:rPr>
          <w:rFonts w:ascii="黑体" w:hAnsi="宋体" w:eastAsia="黑体"/>
          <w:b/>
          <w:color w:val="auto"/>
          <w:spacing w:val="26"/>
          <w:sz w:val="48"/>
          <w:szCs w:val="48"/>
          <w:highlight w:val="none"/>
        </w:rPr>
      </w:pPr>
    </w:p>
    <w:p>
      <w:pPr>
        <w:pStyle w:val="77"/>
        <w:tabs>
          <w:tab w:val="left" w:pos="5007"/>
        </w:tabs>
        <w:spacing w:line="360" w:lineRule="auto"/>
        <w:jc w:val="left"/>
        <w:rPr>
          <w:rFonts w:ascii="黑体" w:hAnsi="宋体" w:eastAsia="黑体"/>
          <w:b/>
          <w:color w:val="auto"/>
          <w:spacing w:val="26"/>
          <w:sz w:val="48"/>
          <w:szCs w:val="48"/>
          <w:highlight w:val="none"/>
        </w:rPr>
      </w:pPr>
      <w:r>
        <w:rPr>
          <w:rFonts w:ascii="黑体" w:hAnsi="宋体" w:eastAsia="黑体"/>
          <w:b/>
          <w:color w:val="auto"/>
          <w:spacing w:val="26"/>
          <w:sz w:val="48"/>
          <w:szCs w:val="48"/>
          <w:highlight w:val="none"/>
        </w:rPr>
        <w:tab/>
      </w:r>
    </w:p>
    <w:p>
      <w:pPr>
        <w:pStyle w:val="77"/>
        <w:spacing w:line="360" w:lineRule="auto"/>
        <w:rPr>
          <w:rFonts w:ascii="黑体" w:hAnsi="宋体" w:eastAsia="黑体"/>
          <w:b/>
          <w:color w:val="auto"/>
          <w:spacing w:val="26"/>
          <w:sz w:val="48"/>
          <w:szCs w:val="48"/>
          <w:highlight w:val="none"/>
        </w:rPr>
      </w:pPr>
    </w:p>
    <w:p>
      <w:pPr>
        <w:spacing w:line="360" w:lineRule="auto"/>
        <w:jc w:val="center"/>
        <w:rPr>
          <w:b/>
          <w:bCs/>
          <w:color w:val="auto"/>
          <w:sz w:val="36"/>
          <w:highlight w:val="none"/>
        </w:rPr>
      </w:pPr>
      <w:r>
        <w:rPr>
          <w:rFonts w:hint="eastAsia"/>
          <w:b/>
          <w:bCs/>
          <w:color w:val="auto"/>
          <w:sz w:val="36"/>
          <w:highlight w:val="none"/>
        </w:rPr>
        <w:t>深圳市地铁集团有限公司</w:t>
      </w:r>
    </w:p>
    <w:p>
      <w:pPr>
        <w:spacing w:line="300" w:lineRule="exact"/>
        <w:jc w:val="center"/>
        <w:rPr>
          <w:b/>
          <w:bCs/>
          <w:color w:val="auto"/>
          <w:sz w:val="36"/>
          <w:highlight w:val="none"/>
        </w:rPr>
      </w:pPr>
    </w:p>
    <w:p>
      <w:pPr>
        <w:spacing w:line="360" w:lineRule="auto"/>
        <w:jc w:val="center"/>
        <w:rPr>
          <w:b/>
          <w:color w:val="auto"/>
          <w:sz w:val="36"/>
          <w:highlight w:val="none"/>
        </w:rPr>
      </w:pPr>
      <w:r>
        <w:rPr>
          <w:rFonts w:hint="eastAsia" w:ascii="黑体" w:eastAsia="黑体"/>
          <w:b/>
          <w:bCs/>
          <w:color w:val="auto"/>
          <w:sz w:val="32"/>
          <w:szCs w:val="32"/>
          <w:highlight w:val="none"/>
        </w:rPr>
        <w:t>二〇二</w:t>
      </w:r>
      <w:r>
        <w:rPr>
          <w:rFonts w:hint="eastAsia" w:ascii="黑体" w:eastAsia="黑体"/>
          <w:b/>
          <w:bCs/>
          <w:color w:val="auto"/>
          <w:sz w:val="32"/>
          <w:szCs w:val="32"/>
          <w:highlight w:val="none"/>
          <w:lang w:val="en-US" w:eastAsia="zh-CN"/>
        </w:rPr>
        <w:t>二</w:t>
      </w:r>
      <w:r>
        <w:rPr>
          <w:rFonts w:hint="eastAsia" w:ascii="黑体" w:eastAsia="黑体"/>
          <w:b/>
          <w:bCs/>
          <w:color w:val="auto"/>
          <w:sz w:val="32"/>
          <w:szCs w:val="32"/>
          <w:highlight w:val="none"/>
        </w:rPr>
        <w:t>年十月</w:t>
      </w:r>
      <w:bookmarkStart w:id="0" w:name="_Toc188623169"/>
      <w:r>
        <w:rPr>
          <w:b/>
          <w:color w:val="auto"/>
          <w:sz w:val="36"/>
          <w:highlight w:val="none"/>
        </w:rPr>
        <w:t xml:space="preserve"> </w:t>
      </w:r>
    </w:p>
    <w:bookmarkEnd w:id="0"/>
    <w:p>
      <w:pPr>
        <w:widowControl/>
        <w:jc w:val="left"/>
        <w:rPr>
          <w:rFonts w:ascii="黑体" w:hAnsi="黑体" w:eastAsia="黑体"/>
          <w:b/>
          <w:bCs/>
          <w:color w:val="auto"/>
          <w:sz w:val="36"/>
          <w:szCs w:val="36"/>
          <w:highlight w:val="none"/>
        </w:rPr>
        <w:sectPr>
          <w:footerReference r:id="rId6" w:type="first"/>
          <w:headerReference r:id="rId3" w:type="default"/>
          <w:footerReference r:id="rId4" w:type="default"/>
          <w:footerReference r:id="rId5" w:type="even"/>
          <w:pgSz w:w="11906" w:h="16838"/>
          <w:pgMar w:top="1440" w:right="1800" w:bottom="1440" w:left="1800" w:header="851" w:footer="992" w:gutter="0"/>
          <w:cols w:space="720" w:num="1"/>
          <w:docGrid w:linePitch="312" w:charSpace="0"/>
        </w:sectPr>
      </w:pPr>
    </w:p>
    <w:p>
      <w:pPr>
        <w:pStyle w:val="31"/>
        <w:tabs>
          <w:tab w:val="right" w:leader="dot" w:pos="8312"/>
        </w:tabs>
        <w:jc w:val="center"/>
        <w:rPr>
          <w:rFonts w:ascii="黑体" w:hAnsi="黑体" w:eastAsia="黑体"/>
          <w:b/>
          <w:bCs/>
          <w:color w:val="auto"/>
          <w:sz w:val="36"/>
          <w:szCs w:val="36"/>
          <w:highlight w:val="none"/>
        </w:rPr>
      </w:pPr>
      <w:r>
        <w:rPr>
          <w:rFonts w:hint="eastAsia" w:ascii="黑体" w:hAnsi="黑体" w:eastAsia="黑体"/>
          <w:b/>
          <w:bCs/>
          <w:color w:val="auto"/>
          <w:sz w:val="36"/>
          <w:szCs w:val="36"/>
          <w:highlight w:val="none"/>
        </w:rPr>
        <w:t>目  录</w:t>
      </w:r>
    </w:p>
    <w:p>
      <w:pPr>
        <w:rPr>
          <w:color w:val="auto"/>
          <w:sz w:val="30"/>
          <w:szCs w:val="30"/>
          <w:highlight w:val="none"/>
        </w:rPr>
      </w:pP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"_Toc65054219" </w:instrText>
      </w:r>
      <w:r>
        <w:rPr>
          <w:color w:val="auto"/>
          <w:highlight w:val="none"/>
        </w:rPr>
        <w:fldChar w:fldCharType="separate"/>
      </w:r>
      <w:r>
        <w:rPr>
          <w:rStyle w:val="55"/>
          <w:rFonts w:hint="eastAsia"/>
          <w:color w:val="auto"/>
          <w:highlight w:val="none"/>
        </w:rPr>
        <w:t>第一章</w:t>
      </w:r>
      <w:r>
        <w:rPr>
          <w:rStyle w:val="55"/>
          <w:color w:val="auto"/>
          <w:highlight w:val="none"/>
        </w:rPr>
        <w:t xml:space="preserve">  </w:t>
      </w:r>
      <w:r>
        <w:rPr>
          <w:rStyle w:val="55"/>
          <w:rFonts w:hint="eastAsia"/>
          <w:color w:val="auto"/>
          <w:highlight w:val="none"/>
        </w:rPr>
        <w:t>致参选人</w:t>
      </w:r>
      <w:r>
        <w:rPr>
          <w:color w:val="auto"/>
          <w:highlight w:val="none"/>
        </w:rPr>
        <w:tab/>
      </w:r>
      <w:r>
        <w:rPr>
          <w:color w:val="auto"/>
          <w:highlight w:val="none"/>
        </w:rPr>
        <w:fldChar w:fldCharType="begin"/>
      </w:r>
      <w:r>
        <w:rPr>
          <w:color w:val="auto"/>
          <w:highlight w:val="none"/>
        </w:rPr>
        <w:instrText xml:space="preserve"> PAGEREF _Toc65054219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"_Toc65054220" </w:instrText>
      </w:r>
      <w:r>
        <w:rPr>
          <w:color w:val="auto"/>
          <w:highlight w:val="none"/>
        </w:rPr>
        <w:fldChar w:fldCharType="separate"/>
      </w:r>
      <w:r>
        <w:rPr>
          <w:rStyle w:val="55"/>
          <w:rFonts w:hint="eastAsia"/>
          <w:color w:val="auto"/>
          <w:highlight w:val="none"/>
        </w:rPr>
        <w:t>第二章</w:t>
      </w:r>
      <w:r>
        <w:rPr>
          <w:rStyle w:val="55"/>
          <w:color w:val="auto"/>
          <w:highlight w:val="none"/>
        </w:rPr>
        <w:t xml:space="preserve">  </w:t>
      </w:r>
      <w:r>
        <w:rPr>
          <w:rStyle w:val="55"/>
          <w:rFonts w:hint="eastAsia"/>
          <w:color w:val="auto"/>
          <w:highlight w:val="none"/>
        </w:rPr>
        <w:t>参选须知</w:t>
      </w:r>
      <w:r>
        <w:rPr>
          <w:color w:val="auto"/>
          <w:highlight w:val="none"/>
        </w:rPr>
        <w:tab/>
      </w:r>
      <w:r>
        <w:rPr>
          <w:color w:val="auto"/>
          <w:highlight w:val="none"/>
        </w:rPr>
        <w:fldChar w:fldCharType="begin"/>
      </w:r>
      <w:r>
        <w:rPr>
          <w:color w:val="auto"/>
          <w:highlight w:val="none"/>
        </w:rPr>
        <w:instrText xml:space="preserve"> PAGEREF _Toc65054220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39"/>
        <w:tabs>
          <w:tab w:val="right" w:leader="dot" w:pos="8296"/>
        </w:tabs>
        <w:rPr>
          <w:color w:val="auto"/>
          <w:highlight w:val="none"/>
        </w:rPr>
      </w:pPr>
      <w:r>
        <w:rPr>
          <w:color w:val="auto"/>
          <w:highlight w:val="none"/>
        </w:rPr>
        <w:fldChar w:fldCharType="begin"/>
      </w:r>
      <w:r>
        <w:rPr>
          <w:color w:val="auto"/>
          <w:highlight w:val="none"/>
        </w:rPr>
        <w:instrText xml:space="preserve"> HYPERLINK \l "_Toc65054221" </w:instrText>
      </w:r>
      <w:r>
        <w:rPr>
          <w:color w:val="auto"/>
          <w:highlight w:val="none"/>
        </w:rPr>
        <w:fldChar w:fldCharType="separate"/>
      </w:r>
      <w:r>
        <w:rPr>
          <w:rStyle w:val="55"/>
          <w:rFonts w:hint="eastAsia" w:ascii="黑体" w:hAnsi="宋体"/>
          <w:color w:val="auto"/>
          <w:highlight w:val="none"/>
        </w:rPr>
        <w:t>第一节</w:t>
      </w:r>
      <w:r>
        <w:rPr>
          <w:rStyle w:val="55"/>
          <w:rFonts w:ascii="黑体" w:hAnsi="宋体"/>
          <w:color w:val="auto"/>
          <w:highlight w:val="none"/>
        </w:rPr>
        <w:t xml:space="preserve"> </w:t>
      </w:r>
      <w:r>
        <w:rPr>
          <w:rStyle w:val="55"/>
          <w:rFonts w:hint="eastAsia" w:ascii="黑体" w:hAnsi="宋体"/>
          <w:color w:val="auto"/>
          <w:highlight w:val="none"/>
        </w:rPr>
        <w:t>参选须知前附表</w:t>
      </w:r>
      <w:r>
        <w:rPr>
          <w:color w:val="auto"/>
          <w:highlight w:val="none"/>
        </w:rPr>
        <w:tab/>
      </w:r>
      <w:r>
        <w:rPr>
          <w:color w:val="auto"/>
          <w:highlight w:val="none"/>
        </w:rPr>
        <w:fldChar w:fldCharType="begin"/>
      </w:r>
      <w:r>
        <w:rPr>
          <w:color w:val="auto"/>
          <w:highlight w:val="none"/>
        </w:rPr>
        <w:instrText xml:space="preserve"> PAGEREF _Toc65054221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pPr>
        <w:pStyle w:val="39"/>
        <w:tabs>
          <w:tab w:val="right" w:leader="dot" w:pos="8296"/>
        </w:tabs>
        <w:rPr>
          <w:color w:val="auto"/>
          <w:highlight w:val="none"/>
        </w:rPr>
      </w:pPr>
      <w:r>
        <w:rPr>
          <w:color w:val="auto"/>
          <w:highlight w:val="none"/>
        </w:rPr>
        <w:fldChar w:fldCharType="begin"/>
      </w:r>
      <w:r>
        <w:rPr>
          <w:color w:val="auto"/>
          <w:highlight w:val="none"/>
        </w:rPr>
        <w:instrText xml:space="preserve"> HYPERLINK \l "_Toc65054222" </w:instrText>
      </w:r>
      <w:r>
        <w:rPr>
          <w:color w:val="auto"/>
          <w:highlight w:val="none"/>
        </w:rPr>
        <w:fldChar w:fldCharType="separate"/>
      </w:r>
      <w:r>
        <w:rPr>
          <w:rStyle w:val="55"/>
          <w:rFonts w:hint="eastAsia" w:ascii="黑体" w:hAnsi="宋体"/>
          <w:color w:val="auto"/>
          <w:highlight w:val="none"/>
        </w:rPr>
        <w:t>第二节</w:t>
      </w:r>
      <w:r>
        <w:rPr>
          <w:rStyle w:val="55"/>
          <w:rFonts w:ascii="黑体" w:hAnsi="宋体"/>
          <w:color w:val="auto"/>
          <w:highlight w:val="none"/>
        </w:rPr>
        <w:t xml:space="preserve"> </w:t>
      </w:r>
      <w:r>
        <w:rPr>
          <w:rStyle w:val="55"/>
          <w:rFonts w:hint="eastAsia" w:ascii="黑体" w:hAnsi="宋体"/>
          <w:color w:val="auto"/>
          <w:highlight w:val="none"/>
        </w:rPr>
        <w:t>否决性条款摘要</w:t>
      </w:r>
      <w:r>
        <w:rPr>
          <w:color w:val="auto"/>
          <w:highlight w:val="none"/>
        </w:rPr>
        <w:tab/>
      </w:r>
      <w:r>
        <w:rPr>
          <w:color w:val="auto"/>
          <w:highlight w:val="none"/>
        </w:rPr>
        <w:fldChar w:fldCharType="begin"/>
      </w:r>
      <w:r>
        <w:rPr>
          <w:color w:val="auto"/>
          <w:highlight w:val="none"/>
        </w:rPr>
        <w:instrText xml:space="preserve"> PAGEREF _Toc65054222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pPr>
        <w:pStyle w:val="39"/>
        <w:tabs>
          <w:tab w:val="right" w:leader="dot" w:pos="8296"/>
        </w:tabs>
        <w:rPr>
          <w:color w:val="auto"/>
          <w:highlight w:val="none"/>
        </w:rPr>
      </w:pPr>
      <w:r>
        <w:rPr>
          <w:color w:val="auto"/>
          <w:highlight w:val="none"/>
        </w:rPr>
        <w:fldChar w:fldCharType="begin"/>
      </w:r>
      <w:r>
        <w:rPr>
          <w:color w:val="auto"/>
          <w:highlight w:val="none"/>
        </w:rPr>
        <w:instrText xml:space="preserve"> HYPERLINK \l "_Toc65054223" </w:instrText>
      </w:r>
      <w:r>
        <w:rPr>
          <w:color w:val="auto"/>
          <w:highlight w:val="none"/>
        </w:rPr>
        <w:fldChar w:fldCharType="separate"/>
      </w:r>
      <w:r>
        <w:rPr>
          <w:rStyle w:val="55"/>
          <w:rFonts w:hint="eastAsia" w:ascii="黑体" w:hAnsi="宋体"/>
          <w:color w:val="auto"/>
          <w:highlight w:val="none"/>
        </w:rPr>
        <w:t>第三节</w:t>
      </w:r>
      <w:r>
        <w:rPr>
          <w:rStyle w:val="55"/>
          <w:rFonts w:ascii="黑体" w:hAnsi="宋体"/>
          <w:color w:val="auto"/>
          <w:highlight w:val="none"/>
        </w:rPr>
        <w:t xml:space="preserve"> </w:t>
      </w:r>
      <w:r>
        <w:rPr>
          <w:rStyle w:val="55"/>
          <w:rFonts w:hint="eastAsia" w:ascii="黑体" w:hAnsi="宋体"/>
          <w:color w:val="auto"/>
          <w:highlight w:val="none"/>
        </w:rPr>
        <w:t>分段限时投诉的规定</w:t>
      </w:r>
      <w:r>
        <w:rPr>
          <w:color w:val="auto"/>
          <w:highlight w:val="none"/>
        </w:rPr>
        <w:tab/>
      </w:r>
      <w:r>
        <w:rPr>
          <w:color w:val="auto"/>
          <w:highlight w:val="none"/>
        </w:rPr>
        <w:fldChar w:fldCharType="begin"/>
      </w:r>
      <w:r>
        <w:rPr>
          <w:color w:val="auto"/>
          <w:highlight w:val="none"/>
        </w:rPr>
        <w:instrText xml:space="preserve"> PAGEREF _Toc65054223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9"/>
        <w:tabs>
          <w:tab w:val="right" w:leader="dot" w:pos="8296"/>
        </w:tabs>
        <w:rPr>
          <w:color w:val="auto"/>
          <w:highlight w:val="none"/>
        </w:rPr>
      </w:pPr>
      <w:r>
        <w:rPr>
          <w:color w:val="auto"/>
          <w:highlight w:val="none"/>
        </w:rPr>
        <w:fldChar w:fldCharType="begin"/>
      </w:r>
      <w:r>
        <w:rPr>
          <w:color w:val="auto"/>
          <w:highlight w:val="none"/>
        </w:rPr>
        <w:instrText xml:space="preserve"> HYPERLINK \l "_Toc65054226" </w:instrText>
      </w:r>
      <w:r>
        <w:rPr>
          <w:color w:val="auto"/>
          <w:highlight w:val="none"/>
        </w:rPr>
        <w:fldChar w:fldCharType="separate"/>
      </w:r>
      <w:r>
        <w:rPr>
          <w:rStyle w:val="55"/>
          <w:rFonts w:hint="eastAsia" w:ascii="黑体" w:hAnsi="宋体"/>
          <w:color w:val="auto"/>
          <w:highlight w:val="none"/>
        </w:rPr>
        <w:t>第</w:t>
      </w:r>
      <w:r>
        <w:rPr>
          <w:rStyle w:val="55"/>
          <w:rFonts w:hint="eastAsia" w:ascii="黑体" w:hAnsi="宋体"/>
          <w:color w:val="auto"/>
          <w:highlight w:val="none"/>
          <w:lang w:val="en-US" w:eastAsia="zh-CN"/>
        </w:rPr>
        <w:t>四</w:t>
      </w:r>
      <w:r>
        <w:rPr>
          <w:rStyle w:val="55"/>
          <w:rFonts w:hint="eastAsia" w:ascii="黑体" w:hAnsi="宋体"/>
          <w:color w:val="auto"/>
          <w:highlight w:val="none"/>
        </w:rPr>
        <w:t>节</w:t>
      </w:r>
      <w:r>
        <w:rPr>
          <w:rStyle w:val="55"/>
          <w:rFonts w:ascii="黑体" w:hAnsi="宋体"/>
          <w:color w:val="auto"/>
          <w:highlight w:val="none"/>
        </w:rPr>
        <w:t xml:space="preserve"> </w:t>
      </w:r>
      <w:r>
        <w:rPr>
          <w:rStyle w:val="55"/>
          <w:rFonts w:hint="eastAsia" w:ascii="黑体" w:hAnsi="宋体"/>
          <w:color w:val="auto"/>
          <w:highlight w:val="none"/>
        </w:rPr>
        <w:t>符合性审查</w:t>
      </w:r>
      <w:r>
        <w:rPr>
          <w:color w:val="auto"/>
          <w:highlight w:val="none"/>
        </w:rPr>
        <w:tab/>
      </w:r>
      <w:r>
        <w:rPr>
          <w:color w:val="auto"/>
          <w:highlight w:val="none"/>
        </w:rPr>
        <w:fldChar w:fldCharType="begin"/>
      </w:r>
      <w:r>
        <w:rPr>
          <w:color w:val="auto"/>
          <w:highlight w:val="none"/>
        </w:rPr>
        <w:instrText xml:space="preserve"> PAGEREF _Toc65054226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39"/>
        <w:tabs>
          <w:tab w:val="right" w:leader="dot" w:pos="8296"/>
        </w:tabs>
        <w:rPr>
          <w:color w:val="auto"/>
          <w:highlight w:val="none"/>
        </w:rPr>
      </w:pPr>
      <w:r>
        <w:rPr>
          <w:color w:val="auto"/>
          <w:highlight w:val="none"/>
        </w:rPr>
        <w:fldChar w:fldCharType="begin"/>
      </w:r>
      <w:r>
        <w:rPr>
          <w:color w:val="auto"/>
          <w:highlight w:val="none"/>
        </w:rPr>
        <w:instrText xml:space="preserve"> HYPERLINK \l "_Toc65054227" </w:instrText>
      </w:r>
      <w:r>
        <w:rPr>
          <w:color w:val="auto"/>
          <w:highlight w:val="none"/>
        </w:rPr>
        <w:fldChar w:fldCharType="separate"/>
      </w:r>
      <w:r>
        <w:rPr>
          <w:rStyle w:val="55"/>
          <w:rFonts w:hint="eastAsia" w:ascii="黑体" w:hAnsi="宋体"/>
          <w:color w:val="auto"/>
          <w:highlight w:val="none"/>
        </w:rPr>
        <w:t>第</w:t>
      </w:r>
      <w:r>
        <w:rPr>
          <w:rStyle w:val="55"/>
          <w:rFonts w:hint="eastAsia" w:ascii="黑体" w:hAnsi="宋体"/>
          <w:color w:val="auto"/>
          <w:highlight w:val="none"/>
          <w:lang w:val="en-US" w:eastAsia="zh-CN"/>
        </w:rPr>
        <w:t>五</w:t>
      </w:r>
      <w:r>
        <w:rPr>
          <w:rStyle w:val="55"/>
          <w:rFonts w:hint="eastAsia" w:ascii="黑体" w:hAnsi="宋体"/>
          <w:color w:val="auto"/>
          <w:highlight w:val="none"/>
        </w:rPr>
        <w:t>节</w:t>
      </w:r>
      <w:r>
        <w:rPr>
          <w:rStyle w:val="55"/>
          <w:rFonts w:ascii="黑体" w:hAnsi="宋体"/>
          <w:color w:val="auto"/>
          <w:highlight w:val="none"/>
        </w:rPr>
        <w:t xml:space="preserve"> </w:t>
      </w:r>
      <w:r>
        <w:rPr>
          <w:rStyle w:val="55"/>
          <w:rFonts w:hint="eastAsia" w:ascii="黑体" w:hAnsi="宋体"/>
          <w:color w:val="auto"/>
          <w:highlight w:val="none"/>
        </w:rPr>
        <w:t>评标</w:t>
      </w:r>
      <w:r>
        <w:rPr>
          <w:color w:val="auto"/>
          <w:highlight w:val="none"/>
        </w:rPr>
        <w:tab/>
      </w:r>
      <w:r>
        <w:rPr>
          <w:color w:val="auto"/>
          <w:highlight w:val="none"/>
        </w:rPr>
        <w:fldChar w:fldCharType="begin"/>
      </w:r>
      <w:r>
        <w:rPr>
          <w:color w:val="auto"/>
          <w:highlight w:val="none"/>
        </w:rPr>
        <w:instrText xml:space="preserve"> PAGEREF _Toc65054227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39"/>
        <w:tabs>
          <w:tab w:val="right" w:leader="dot" w:pos="8296"/>
        </w:tabs>
        <w:rPr>
          <w:color w:val="auto"/>
          <w:highlight w:val="none"/>
        </w:rPr>
      </w:pPr>
      <w:r>
        <w:rPr>
          <w:color w:val="auto"/>
          <w:highlight w:val="none"/>
        </w:rPr>
        <w:fldChar w:fldCharType="begin"/>
      </w:r>
      <w:r>
        <w:rPr>
          <w:color w:val="auto"/>
          <w:highlight w:val="none"/>
        </w:rPr>
        <w:instrText xml:space="preserve"> HYPERLINK \l "_Toc65054228" </w:instrText>
      </w:r>
      <w:r>
        <w:rPr>
          <w:color w:val="auto"/>
          <w:highlight w:val="none"/>
        </w:rPr>
        <w:fldChar w:fldCharType="separate"/>
      </w:r>
      <w:r>
        <w:rPr>
          <w:rStyle w:val="55"/>
          <w:rFonts w:hint="eastAsia" w:ascii="黑体" w:hAnsi="宋体"/>
          <w:color w:val="auto"/>
          <w:highlight w:val="none"/>
        </w:rPr>
        <w:t>第</w:t>
      </w:r>
      <w:r>
        <w:rPr>
          <w:rStyle w:val="55"/>
          <w:rFonts w:hint="eastAsia" w:ascii="黑体" w:hAnsi="宋体"/>
          <w:color w:val="auto"/>
          <w:highlight w:val="none"/>
          <w:lang w:val="en-US" w:eastAsia="zh-CN"/>
        </w:rPr>
        <w:t>六</w:t>
      </w:r>
      <w:r>
        <w:rPr>
          <w:rStyle w:val="55"/>
          <w:rFonts w:hint="eastAsia" w:ascii="黑体" w:hAnsi="宋体"/>
          <w:color w:val="auto"/>
          <w:highlight w:val="none"/>
        </w:rPr>
        <w:t>节</w:t>
      </w:r>
      <w:r>
        <w:rPr>
          <w:rStyle w:val="55"/>
          <w:rFonts w:ascii="黑体" w:hAnsi="宋体"/>
          <w:color w:val="auto"/>
          <w:highlight w:val="none"/>
        </w:rPr>
        <w:t xml:space="preserve"> </w:t>
      </w:r>
      <w:r>
        <w:rPr>
          <w:rStyle w:val="55"/>
          <w:rFonts w:hint="eastAsia" w:ascii="黑体" w:hAnsi="宋体"/>
          <w:color w:val="auto"/>
          <w:highlight w:val="none"/>
        </w:rPr>
        <w:t>参选文件格式</w:t>
      </w:r>
      <w:r>
        <w:rPr>
          <w:color w:val="auto"/>
          <w:highlight w:val="none"/>
        </w:rPr>
        <w:tab/>
      </w:r>
      <w:r>
        <w:rPr>
          <w:color w:val="auto"/>
          <w:highlight w:val="none"/>
        </w:rPr>
        <w:fldChar w:fldCharType="begin"/>
      </w:r>
      <w:r>
        <w:rPr>
          <w:color w:val="auto"/>
          <w:highlight w:val="none"/>
        </w:rPr>
        <w:instrText xml:space="preserve"> PAGEREF _Toc65054228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"_Toc65054233" </w:instrText>
      </w:r>
      <w:r>
        <w:rPr>
          <w:color w:val="auto"/>
          <w:highlight w:val="none"/>
        </w:rPr>
        <w:fldChar w:fldCharType="separate"/>
      </w:r>
      <w:r>
        <w:rPr>
          <w:rStyle w:val="55"/>
          <w:rFonts w:hint="eastAsia"/>
          <w:color w:val="auto"/>
          <w:highlight w:val="none"/>
        </w:rPr>
        <w:t>第三章</w:t>
      </w:r>
      <w:r>
        <w:rPr>
          <w:rStyle w:val="55"/>
          <w:color w:val="auto"/>
          <w:highlight w:val="none"/>
        </w:rPr>
        <w:t xml:space="preserve">  </w:t>
      </w:r>
      <w:r>
        <w:rPr>
          <w:rStyle w:val="55"/>
          <w:rFonts w:hint="eastAsia"/>
          <w:color w:val="auto"/>
          <w:highlight w:val="none"/>
        </w:rPr>
        <w:t>合同部分</w:t>
      </w:r>
      <w:r>
        <w:rPr>
          <w:color w:val="auto"/>
          <w:highlight w:val="none"/>
        </w:rPr>
        <w:tab/>
      </w:r>
      <w:r>
        <w:rPr>
          <w:color w:val="auto"/>
          <w:highlight w:val="none"/>
        </w:rPr>
        <w:t>2</w:t>
      </w:r>
      <w:r>
        <w:rPr>
          <w:color w:val="auto"/>
          <w:highlight w:val="none"/>
        </w:rPr>
        <w:fldChar w:fldCharType="begin"/>
      </w:r>
      <w:r>
        <w:rPr>
          <w:color w:val="auto"/>
          <w:highlight w:val="none"/>
        </w:rPr>
        <w:instrText xml:space="preserve"> PAGEREF _Toc65054233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"_Toc65054234" </w:instrText>
      </w:r>
      <w:r>
        <w:rPr>
          <w:color w:val="auto"/>
          <w:highlight w:val="none"/>
        </w:rPr>
        <w:fldChar w:fldCharType="separate"/>
      </w:r>
      <w:r>
        <w:rPr>
          <w:rStyle w:val="55"/>
          <w:rFonts w:hint="eastAsia" w:ascii="宋体" w:hAnsi="宋体" w:cs="宋体"/>
          <w:color w:val="auto"/>
          <w:highlight w:val="none"/>
        </w:rPr>
        <w:t>一、项目概况</w:t>
      </w:r>
      <w:r>
        <w:rPr>
          <w:color w:val="auto"/>
          <w:highlight w:val="none"/>
        </w:rPr>
        <w:tab/>
      </w:r>
      <w:r>
        <w:rPr>
          <w:color w:val="auto"/>
          <w:highlight w:val="none"/>
        </w:rPr>
        <w:t>2</w:t>
      </w:r>
      <w:r>
        <w:rPr>
          <w:color w:val="auto"/>
          <w:highlight w:val="none"/>
        </w:rPr>
        <w:fldChar w:fldCharType="begin"/>
      </w:r>
      <w:r>
        <w:rPr>
          <w:color w:val="auto"/>
          <w:highlight w:val="none"/>
        </w:rPr>
        <w:instrText xml:space="preserve"> PAGEREF _Toc65054234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"_Toc65054235" </w:instrText>
      </w:r>
      <w:r>
        <w:rPr>
          <w:color w:val="auto"/>
          <w:highlight w:val="none"/>
        </w:rPr>
        <w:fldChar w:fldCharType="separate"/>
      </w:r>
      <w:r>
        <w:rPr>
          <w:rStyle w:val="55"/>
          <w:rFonts w:hint="eastAsia" w:ascii="宋体" w:hAnsi="宋体" w:cs="宋体"/>
          <w:color w:val="auto"/>
          <w:highlight w:val="none"/>
        </w:rPr>
        <w:t>二、工程范围</w:t>
      </w:r>
      <w:r>
        <w:rPr>
          <w:color w:val="auto"/>
          <w:highlight w:val="none"/>
        </w:rPr>
        <w:tab/>
      </w:r>
      <w:r>
        <w:rPr>
          <w:color w:val="auto"/>
          <w:highlight w:val="none"/>
        </w:rPr>
        <w:t>2</w:t>
      </w:r>
      <w:r>
        <w:rPr>
          <w:color w:val="auto"/>
          <w:highlight w:val="none"/>
        </w:rPr>
        <w:fldChar w:fldCharType="begin"/>
      </w:r>
      <w:r>
        <w:rPr>
          <w:color w:val="auto"/>
          <w:highlight w:val="none"/>
        </w:rPr>
        <w:instrText xml:space="preserve"> PAGEREF _Toc65054235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"_Toc65054236" </w:instrText>
      </w:r>
      <w:r>
        <w:rPr>
          <w:color w:val="auto"/>
          <w:highlight w:val="none"/>
        </w:rPr>
        <w:fldChar w:fldCharType="separate"/>
      </w:r>
      <w:r>
        <w:rPr>
          <w:rStyle w:val="55"/>
          <w:rFonts w:hint="eastAsia" w:ascii="宋体" w:hAnsi="宋体" w:cs="宋体"/>
          <w:color w:val="auto"/>
          <w:highlight w:val="none"/>
        </w:rPr>
        <w:t>三、合同价款</w:t>
      </w:r>
      <w:r>
        <w:rPr>
          <w:color w:val="auto"/>
          <w:highlight w:val="none"/>
        </w:rPr>
        <w:tab/>
      </w:r>
      <w:r>
        <w:rPr>
          <w:color w:val="auto"/>
          <w:highlight w:val="none"/>
        </w:rPr>
        <w:t>2</w:t>
      </w:r>
      <w:r>
        <w:rPr>
          <w:color w:val="auto"/>
          <w:highlight w:val="none"/>
        </w:rPr>
        <w:fldChar w:fldCharType="begin"/>
      </w:r>
      <w:r>
        <w:rPr>
          <w:color w:val="auto"/>
          <w:highlight w:val="none"/>
        </w:rPr>
        <w:instrText xml:space="preserve"> PAGEREF _Toc65054236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"_Toc65054237" </w:instrText>
      </w:r>
      <w:r>
        <w:rPr>
          <w:color w:val="auto"/>
          <w:highlight w:val="none"/>
        </w:rPr>
        <w:fldChar w:fldCharType="separate"/>
      </w:r>
      <w:r>
        <w:rPr>
          <w:rStyle w:val="55"/>
          <w:rFonts w:hint="eastAsia" w:ascii="宋体" w:hAnsi="宋体" w:cs="宋体"/>
          <w:color w:val="auto"/>
          <w:highlight w:val="none"/>
        </w:rPr>
        <w:t>四、工期与质量</w:t>
      </w:r>
      <w:r>
        <w:rPr>
          <w:color w:val="auto"/>
          <w:highlight w:val="none"/>
        </w:rPr>
        <w:tab/>
      </w:r>
      <w:r>
        <w:rPr>
          <w:color w:val="auto"/>
          <w:highlight w:val="none"/>
        </w:rPr>
        <w:t>2</w:t>
      </w:r>
      <w:r>
        <w:rPr>
          <w:color w:val="auto"/>
          <w:highlight w:val="none"/>
        </w:rPr>
        <w:fldChar w:fldCharType="begin"/>
      </w:r>
      <w:r>
        <w:rPr>
          <w:color w:val="auto"/>
          <w:highlight w:val="none"/>
        </w:rPr>
        <w:instrText xml:space="preserve"> PAGEREF _Toc65054237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"_Toc65054238" </w:instrText>
      </w:r>
      <w:r>
        <w:rPr>
          <w:color w:val="auto"/>
          <w:highlight w:val="none"/>
        </w:rPr>
        <w:fldChar w:fldCharType="separate"/>
      </w:r>
      <w:r>
        <w:rPr>
          <w:rStyle w:val="55"/>
          <w:rFonts w:hint="eastAsia" w:ascii="宋体" w:hAnsi="宋体" w:cs="宋体"/>
          <w:color w:val="auto"/>
          <w:highlight w:val="none"/>
        </w:rPr>
        <w:t>五、技术要求</w:t>
      </w:r>
      <w:r>
        <w:rPr>
          <w:color w:val="auto"/>
          <w:highlight w:val="none"/>
        </w:rPr>
        <w:tab/>
      </w:r>
      <w:r>
        <w:rPr>
          <w:color w:val="auto"/>
          <w:highlight w:val="none"/>
        </w:rPr>
        <w:t>2</w:t>
      </w:r>
      <w:r>
        <w:rPr>
          <w:color w:val="auto"/>
          <w:highlight w:val="none"/>
        </w:rPr>
        <w:fldChar w:fldCharType="begin"/>
      </w:r>
      <w:r>
        <w:rPr>
          <w:color w:val="auto"/>
          <w:highlight w:val="none"/>
        </w:rPr>
        <w:instrText xml:space="preserve"> PAGEREF _Toc65054238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"_Toc65054250" </w:instrText>
      </w:r>
      <w:r>
        <w:rPr>
          <w:color w:val="auto"/>
          <w:highlight w:val="none"/>
        </w:rPr>
        <w:fldChar w:fldCharType="separate"/>
      </w:r>
      <w:r>
        <w:rPr>
          <w:rStyle w:val="55"/>
          <w:rFonts w:hint="eastAsia" w:ascii="宋体" w:hAnsi="宋体" w:cs="宋体"/>
          <w:color w:val="auto"/>
          <w:highlight w:val="none"/>
        </w:rPr>
        <w:t>六、管理要求</w:t>
      </w:r>
      <w:r>
        <w:rPr>
          <w:color w:val="auto"/>
          <w:highlight w:val="none"/>
        </w:rPr>
        <w:tab/>
      </w:r>
      <w:r>
        <w:rPr>
          <w:color w:val="auto"/>
          <w:highlight w:val="none"/>
        </w:rPr>
        <w:fldChar w:fldCharType="begin"/>
      </w:r>
      <w:r>
        <w:rPr>
          <w:color w:val="auto"/>
          <w:highlight w:val="none"/>
        </w:rPr>
        <w:instrText xml:space="preserve"> PAGEREF _Toc65054250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"_Toc65054295" </w:instrText>
      </w:r>
      <w:r>
        <w:rPr>
          <w:color w:val="auto"/>
          <w:highlight w:val="none"/>
        </w:rPr>
        <w:fldChar w:fldCharType="separate"/>
      </w:r>
      <w:r>
        <w:rPr>
          <w:rStyle w:val="55"/>
          <w:rFonts w:hint="eastAsia" w:ascii="宋体" w:hAnsi="宋体" w:cs="宋体"/>
          <w:color w:val="auto"/>
          <w:highlight w:val="none"/>
        </w:rPr>
        <w:t>七、工程变更</w:t>
      </w:r>
      <w:r>
        <w:rPr>
          <w:color w:val="auto"/>
          <w:highlight w:val="none"/>
        </w:rPr>
        <w:tab/>
      </w:r>
      <w:r>
        <w:rPr>
          <w:color w:val="auto"/>
          <w:highlight w:val="none"/>
        </w:rPr>
        <w:fldChar w:fldCharType="begin"/>
      </w:r>
      <w:r>
        <w:rPr>
          <w:color w:val="auto"/>
          <w:highlight w:val="none"/>
        </w:rPr>
        <w:instrText xml:space="preserve"> PAGEREF _Toc65054295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"_Toc65054296" </w:instrText>
      </w:r>
      <w:r>
        <w:rPr>
          <w:color w:val="auto"/>
          <w:highlight w:val="none"/>
        </w:rPr>
        <w:fldChar w:fldCharType="separate"/>
      </w:r>
      <w:r>
        <w:rPr>
          <w:rStyle w:val="55"/>
          <w:rFonts w:hint="eastAsia" w:ascii="宋体" w:hAnsi="宋体" w:cs="宋体"/>
          <w:color w:val="auto"/>
          <w:highlight w:val="none"/>
        </w:rPr>
        <w:t>八、竣工验收</w:t>
      </w:r>
      <w:r>
        <w:rPr>
          <w:color w:val="auto"/>
          <w:highlight w:val="none"/>
        </w:rPr>
        <w:tab/>
      </w:r>
      <w:r>
        <w:rPr>
          <w:color w:val="auto"/>
          <w:highlight w:val="none"/>
        </w:rPr>
        <w:fldChar w:fldCharType="begin"/>
      </w:r>
      <w:r>
        <w:rPr>
          <w:color w:val="auto"/>
          <w:highlight w:val="none"/>
        </w:rPr>
        <w:instrText xml:space="preserve"> PAGEREF _Toc65054296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"_Toc65054297" </w:instrText>
      </w:r>
      <w:r>
        <w:rPr>
          <w:color w:val="auto"/>
          <w:highlight w:val="none"/>
        </w:rPr>
        <w:fldChar w:fldCharType="separate"/>
      </w:r>
      <w:r>
        <w:rPr>
          <w:rStyle w:val="55"/>
          <w:rFonts w:hint="eastAsia" w:ascii="宋体" w:hAnsi="宋体" w:cs="宋体"/>
          <w:color w:val="auto"/>
          <w:highlight w:val="none"/>
        </w:rPr>
        <w:t>九、工程款支付</w:t>
      </w:r>
      <w:r>
        <w:rPr>
          <w:color w:val="auto"/>
          <w:highlight w:val="none"/>
        </w:rPr>
        <w:tab/>
      </w:r>
      <w:r>
        <w:rPr>
          <w:color w:val="auto"/>
          <w:highlight w:val="none"/>
        </w:rPr>
        <w:fldChar w:fldCharType="begin"/>
      </w:r>
      <w:r>
        <w:rPr>
          <w:color w:val="auto"/>
          <w:highlight w:val="none"/>
        </w:rPr>
        <w:instrText xml:space="preserve"> PAGEREF _Toc65054297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"_Toc65054298" </w:instrText>
      </w:r>
      <w:r>
        <w:rPr>
          <w:color w:val="auto"/>
          <w:highlight w:val="none"/>
        </w:rPr>
        <w:fldChar w:fldCharType="separate"/>
      </w:r>
      <w:r>
        <w:rPr>
          <w:rStyle w:val="55"/>
          <w:rFonts w:hint="eastAsia" w:ascii="宋体" w:hAnsi="宋体" w:cs="宋体"/>
          <w:color w:val="auto"/>
          <w:highlight w:val="none"/>
        </w:rPr>
        <w:t>十、工程结算</w:t>
      </w:r>
      <w:r>
        <w:rPr>
          <w:color w:val="auto"/>
          <w:highlight w:val="none"/>
        </w:rPr>
        <w:tab/>
      </w:r>
      <w:r>
        <w:rPr>
          <w:color w:val="auto"/>
          <w:highlight w:val="none"/>
        </w:rPr>
        <w:fldChar w:fldCharType="begin"/>
      </w:r>
      <w:r>
        <w:rPr>
          <w:color w:val="auto"/>
          <w:highlight w:val="none"/>
        </w:rPr>
        <w:instrText xml:space="preserve"> PAGEREF _Toc65054298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"_Toc65054299" </w:instrText>
      </w:r>
      <w:r>
        <w:rPr>
          <w:color w:val="auto"/>
          <w:highlight w:val="none"/>
        </w:rPr>
        <w:fldChar w:fldCharType="separate"/>
      </w:r>
      <w:r>
        <w:rPr>
          <w:rStyle w:val="55"/>
          <w:rFonts w:hint="eastAsia" w:ascii="宋体" w:hAnsi="宋体" w:cs="宋体"/>
          <w:color w:val="auto"/>
          <w:highlight w:val="none"/>
        </w:rPr>
        <w:t>十一、违约与争议解决</w:t>
      </w:r>
      <w:r>
        <w:rPr>
          <w:color w:val="auto"/>
          <w:highlight w:val="none"/>
        </w:rPr>
        <w:tab/>
      </w:r>
      <w:r>
        <w:rPr>
          <w:color w:val="auto"/>
          <w:highlight w:val="none"/>
        </w:rPr>
        <w:fldChar w:fldCharType="begin"/>
      </w:r>
      <w:r>
        <w:rPr>
          <w:color w:val="auto"/>
          <w:highlight w:val="none"/>
        </w:rPr>
        <w:instrText xml:space="preserve"> PAGEREF _Toc65054299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"_Toc65054300" </w:instrText>
      </w:r>
      <w:r>
        <w:rPr>
          <w:color w:val="auto"/>
          <w:highlight w:val="none"/>
        </w:rPr>
        <w:fldChar w:fldCharType="separate"/>
      </w:r>
      <w:r>
        <w:rPr>
          <w:rStyle w:val="55"/>
          <w:rFonts w:hint="eastAsia" w:ascii="宋体" w:hAnsi="宋体" w:cs="宋体"/>
          <w:color w:val="auto"/>
          <w:highlight w:val="none"/>
        </w:rPr>
        <w:t>十二、其他约定</w:t>
      </w:r>
      <w:r>
        <w:rPr>
          <w:color w:val="auto"/>
          <w:highlight w:val="none"/>
        </w:rPr>
        <w:tab/>
      </w:r>
      <w:r>
        <w:rPr>
          <w:color w:val="auto"/>
          <w:highlight w:val="none"/>
        </w:rPr>
        <w:fldChar w:fldCharType="begin"/>
      </w:r>
      <w:r>
        <w:rPr>
          <w:color w:val="auto"/>
          <w:highlight w:val="none"/>
        </w:rPr>
        <w:instrText xml:space="preserve"> PAGEREF _Toc65054300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"_Toc65054301" </w:instrText>
      </w:r>
      <w:r>
        <w:rPr>
          <w:color w:val="auto"/>
          <w:highlight w:val="none"/>
        </w:rPr>
        <w:fldChar w:fldCharType="separate"/>
      </w:r>
      <w:r>
        <w:rPr>
          <w:rStyle w:val="55"/>
          <w:rFonts w:hint="eastAsia" w:ascii="宋体" w:hAnsi="宋体" w:cs="宋体"/>
          <w:color w:val="auto"/>
          <w:highlight w:val="none"/>
        </w:rPr>
        <w:t>十三、合同份数</w:t>
      </w:r>
      <w:r>
        <w:rPr>
          <w:color w:val="auto"/>
          <w:highlight w:val="none"/>
        </w:rPr>
        <w:tab/>
      </w:r>
      <w:r>
        <w:rPr>
          <w:color w:val="auto"/>
          <w:highlight w:val="none"/>
        </w:rPr>
        <w:fldChar w:fldCharType="begin"/>
      </w:r>
      <w:r>
        <w:rPr>
          <w:color w:val="auto"/>
          <w:highlight w:val="none"/>
        </w:rPr>
        <w:instrText xml:space="preserve"> PAGEREF _Toc65054301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pStyle w:val="31"/>
        <w:tabs>
          <w:tab w:val="right" w:leader="dot" w:pos="8296"/>
        </w:tabs>
        <w:rPr>
          <w:rFonts w:ascii="Calibri" w:hAnsi="Calibri"/>
          <w:color w:val="auto"/>
          <w:szCs w:val="22"/>
          <w:highlight w:val="none"/>
        </w:rPr>
      </w:pPr>
      <w:r>
        <w:rPr>
          <w:color w:val="auto"/>
          <w:highlight w:val="none"/>
        </w:rPr>
        <w:fldChar w:fldCharType="begin"/>
      </w:r>
      <w:r>
        <w:rPr>
          <w:color w:val="auto"/>
          <w:highlight w:val="none"/>
        </w:rPr>
        <w:instrText xml:space="preserve"> HYPERLINK \l "_Toc65054302" </w:instrText>
      </w:r>
      <w:r>
        <w:rPr>
          <w:color w:val="auto"/>
          <w:highlight w:val="none"/>
        </w:rPr>
        <w:fldChar w:fldCharType="separate"/>
      </w:r>
      <w:r>
        <w:rPr>
          <w:rStyle w:val="55"/>
          <w:rFonts w:hint="eastAsia" w:ascii="宋体" w:hAnsi="宋体" w:cs="宋体"/>
          <w:color w:val="auto"/>
          <w:highlight w:val="none"/>
        </w:rPr>
        <w:t>十四、附件</w:t>
      </w:r>
      <w:r>
        <w:rPr>
          <w:color w:val="auto"/>
          <w:highlight w:val="none"/>
        </w:rPr>
        <w:tab/>
      </w:r>
      <w:r>
        <w:rPr>
          <w:color w:val="auto"/>
          <w:highlight w:val="none"/>
        </w:rPr>
        <w:fldChar w:fldCharType="begin"/>
      </w:r>
      <w:r>
        <w:rPr>
          <w:color w:val="auto"/>
          <w:highlight w:val="none"/>
        </w:rPr>
        <w:instrText xml:space="preserve"> PAGEREF _Toc65054302 \h </w:instrText>
      </w:r>
      <w:r>
        <w:rPr>
          <w:color w:val="auto"/>
          <w:highlight w:val="none"/>
        </w:rPr>
        <w:fldChar w:fldCharType="separate"/>
      </w:r>
      <w:r>
        <w:rPr>
          <w:color w:val="auto"/>
          <w:highlight w:val="none"/>
        </w:rPr>
        <w:t>24</w:t>
      </w:r>
      <w:r>
        <w:rPr>
          <w:color w:val="auto"/>
          <w:highlight w:val="none"/>
        </w:rPr>
        <w:fldChar w:fldCharType="end"/>
      </w:r>
      <w:r>
        <w:rPr>
          <w:color w:val="auto"/>
          <w:highlight w:val="none"/>
        </w:rPr>
        <w:fldChar w:fldCharType="end"/>
      </w:r>
    </w:p>
    <w:p>
      <w:pPr>
        <w:rPr>
          <w:color w:val="auto"/>
          <w:highlight w:val="none"/>
        </w:rPr>
      </w:pPr>
      <w:r>
        <w:rPr>
          <w:color w:val="auto"/>
          <w:highlight w:val="none"/>
        </w:rPr>
        <w:fldChar w:fldCharType="end"/>
      </w:r>
    </w:p>
    <w:p>
      <w:pPr>
        <w:rPr>
          <w:color w:val="auto"/>
          <w:sz w:val="30"/>
          <w:szCs w:val="30"/>
          <w:highlight w:val="none"/>
        </w:rPr>
      </w:pPr>
    </w:p>
    <w:p>
      <w:pPr>
        <w:rPr>
          <w:color w:val="auto"/>
          <w:sz w:val="30"/>
          <w:szCs w:val="30"/>
          <w:highlight w:val="none"/>
        </w:rPr>
        <w:sectPr>
          <w:headerReference r:id="rId7" w:type="default"/>
          <w:footerReference r:id="rId8" w:type="default"/>
          <w:pgSz w:w="11906" w:h="16838"/>
          <w:pgMar w:top="1440" w:right="1800" w:bottom="1440" w:left="1800" w:header="851" w:footer="992" w:gutter="0"/>
          <w:pgNumType w:start="1"/>
          <w:cols w:space="720" w:num="1"/>
          <w:docGrid w:linePitch="312" w:charSpace="0"/>
        </w:sectPr>
      </w:pPr>
    </w:p>
    <w:p>
      <w:pPr>
        <w:widowControl/>
        <w:jc w:val="left"/>
        <w:rPr>
          <w:color w:val="auto"/>
          <w:sz w:val="30"/>
          <w:szCs w:val="30"/>
          <w:highlight w:val="none"/>
        </w:rPr>
      </w:pPr>
    </w:p>
    <w:p>
      <w:pPr>
        <w:pStyle w:val="3"/>
        <w:rPr>
          <w:color w:val="auto"/>
          <w:highlight w:val="none"/>
        </w:rPr>
      </w:pPr>
      <w:bookmarkStart w:id="1" w:name="_Toc31286"/>
      <w:bookmarkStart w:id="2" w:name="_Toc382294275"/>
      <w:bookmarkStart w:id="3" w:name="_Toc65054219"/>
      <w:r>
        <w:rPr>
          <w:rFonts w:hint="eastAsia"/>
          <w:color w:val="auto"/>
          <w:highlight w:val="none"/>
        </w:rPr>
        <w:t xml:space="preserve">第一章  </w:t>
      </w:r>
      <w:bookmarkEnd w:id="1"/>
      <w:bookmarkEnd w:id="2"/>
      <w:r>
        <w:rPr>
          <w:rFonts w:hint="eastAsia"/>
          <w:color w:val="auto"/>
          <w:highlight w:val="none"/>
        </w:rPr>
        <w:t>致参选人</w:t>
      </w:r>
      <w:bookmarkEnd w:id="3"/>
    </w:p>
    <w:p>
      <w:pPr>
        <w:rPr>
          <w:color w:val="auto"/>
          <w:highlight w:val="none"/>
        </w:rPr>
      </w:pPr>
    </w:p>
    <w:p>
      <w:pPr>
        <w:pStyle w:val="23"/>
        <w:spacing w:before="60" w:beforeLines="25" w:after="60" w:afterLines="25" w:line="500" w:lineRule="exact"/>
        <w:ind w:firstLine="480" w:firstLineChars="2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本比选文件是依据有关招标投标的法律、法规、规章和规范性文件的规定，根据本比选项目的特点和需要编制的。</w:t>
      </w:r>
    </w:p>
    <w:p>
      <w:pPr>
        <w:pStyle w:val="23"/>
        <w:spacing w:before="60" w:beforeLines="25" w:after="60" w:afterLines="25" w:line="500" w:lineRule="exact"/>
        <w:ind w:firstLine="480" w:firstLineChars="2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比选文件的编制遵循公开、公平、公正和诚实信用的原则，比选文件的内容已清楚地反映了</w:t>
      </w:r>
      <w:r>
        <w:rPr>
          <w:rFonts w:hint="eastAsia" w:ascii="Times New Roman" w:hAnsi="Times New Roman"/>
          <w:b/>
          <w:bCs/>
          <w:color w:val="auto"/>
          <w:sz w:val="24"/>
          <w:szCs w:val="24"/>
          <w:highlight w:val="none"/>
          <w:u w:val="single"/>
          <w:lang w:val="en-US" w:eastAsia="zh-CN"/>
        </w:rPr>
        <w:t>深铁珑境（一期）泛光照明工程施工范围和内容等</w:t>
      </w:r>
      <w:r>
        <w:rPr>
          <w:rFonts w:hint="eastAsia" w:ascii="Times New Roman" w:hAnsi="Times New Roman"/>
          <w:color w:val="auto"/>
          <w:sz w:val="24"/>
          <w:szCs w:val="24"/>
          <w:highlight w:val="none"/>
        </w:rPr>
        <w:t>要求。我们要求参选人必须完全响应本比选文件的实质性内容。</w:t>
      </w:r>
    </w:p>
    <w:p>
      <w:pPr>
        <w:pStyle w:val="23"/>
        <w:spacing w:before="60" w:beforeLines="25" w:after="60" w:afterLines="25" w:line="500" w:lineRule="exact"/>
        <w:ind w:firstLine="480" w:firstLineChars="200"/>
        <w:rPr>
          <w:rFonts w:ascii="Times New Roman" w:hAnsi="Times New Roman"/>
          <w:color w:val="auto"/>
          <w:sz w:val="24"/>
          <w:szCs w:val="24"/>
          <w:highlight w:val="none"/>
        </w:rPr>
      </w:pPr>
      <w:r>
        <w:rPr>
          <w:rFonts w:hint="eastAsia" w:ascii="Times New Roman" w:hAnsi="Times New Roman"/>
          <w:color w:val="auto"/>
          <w:sz w:val="24"/>
          <w:szCs w:val="24"/>
          <w:highlight w:val="none"/>
        </w:rPr>
        <w:t>领取了本比选文件的参选人，请随时查看“深圳地铁官网”、“深铁招采网”、“国资委阳光采购平台”、“深铁置业微信订阅号”中有关该项目补遗文件的信息。否则，由此导致的不利后果由参选人自负。</w:t>
      </w:r>
      <w:r>
        <w:rPr>
          <w:rFonts w:ascii="Times New Roman" w:hAnsi="Times New Roman"/>
          <w:color w:val="auto"/>
          <w:sz w:val="24"/>
          <w:szCs w:val="24"/>
          <w:highlight w:val="none"/>
        </w:rPr>
        <w:t xml:space="preserve">   </w:t>
      </w:r>
    </w:p>
    <w:p>
      <w:pPr>
        <w:pStyle w:val="23"/>
        <w:spacing w:before="60" w:beforeLines="25" w:after="60" w:afterLines="25" w:line="500" w:lineRule="exact"/>
        <w:ind w:firstLine="480" w:firstLineChars="200"/>
        <w:rPr>
          <w:rFonts w:ascii="Times New Roman" w:hAnsi="Times New Roman"/>
          <w:color w:val="auto"/>
          <w:sz w:val="24"/>
          <w:szCs w:val="24"/>
          <w:highlight w:val="none"/>
        </w:rPr>
      </w:pPr>
    </w:p>
    <w:p>
      <w:pPr>
        <w:pStyle w:val="23"/>
        <w:spacing w:before="60" w:beforeLines="25" w:after="60" w:afterLines="25" w:line="500" w:lineRule="exact"/>
        <w:ind w:firstLine="480" w:firstLineChars="200"/>
        <w:rPr>
          <w:rFonts w:ascii="Times New Roman" w:hAnsi="Times New Roman"/>
          <w:color w:val="auto"/>
          <w:sz w:val="24"/>
          <w:szCs w:val="24"/>
          <w:highlight w:val="none"/>
        </w:rPr>
      </w:pPr>
    </w:p>
    <w:p>
      <w:pPr>
        <w:pStyle w:val="23"/>
        <w:spacing w:before="60" w:beforeLines="25" w:after="60" w:afterLines="25" w:line="500" w:lineRule="exact"/>
        <w:ind w:firstLine="480" w:firstLineChars="200"/>
        <w:rPr>
          <w:rFonts w:ascii="Times New Roman" w:hAnsi="Times New Roman"/>
          <w:color w:val="auto"/>
          <w:sz w:val="24"/>
          <w:szCs w:val="24"/>
          <w:highlight w:val="none"/>
        </w:rPr>
      </w:pPr>
    </w:p>
    <w:p>
      <w:pPr>
        <w:pStyle w:val="23"/>
        <w:spacing w:before="60" w:beforeLines="25" w:after="60" w:afterLines="25" w:line="500" w:lineRule="exact"/>
        <w:ind w:firstLine="480" w:firstLineChars="200"/>
        <w:rPr>
          <w:rFonts w:ascii="Times New Roman" w:hAnsi="Times New Roman"/>
          <w:color w:val="auto"/>
          <w:sz w:val="24"/>
          <w:szCs w:val="24"/>
          <w:highlight w:val="none"/>
        </w:rPr>
      </w:pPr>
    </w:p>
    <w:p>
      <w:pPr>
        <w:pStyle w:val="23"/>
        <w:spacing w:before="60" w:beforeLines="25" w:after="60" w:afterLines="25" w:line="500" w:lineRule="exact"/>
        <w:ind w:firstLine="480" w:firstLineChars="200"/>
        <w:rPr>
          <w:rFonts w:ascii="Times New Roman" w:hAnsi="Times New Roman"/>
          <w:color w:val="auto"/>
          <w:sz w:val="24"/>
          <w:szCs w:val="24"/>
          <w:highlight w:val="none"/>
        </w:rPr>
      </w:pPr>
    </w:p>
    <w:p>
      <w:pPr>
        <w:pStyle w:val="23"/>
        <w:spacing w:before="60" w:beforeLines="25" w:after="60" w:afterLines="25" w:line="500" w:lineRule="exact"/>
        <w:ind w:firstLine="480" w:firstLineChars="200"/>
        <w:rPr>
          <w:rFonts w:ascii="Times New Roman" w:hAnsi="Times New Roman"/>
          <w:color w:val="auto"/>
          <w:sz w:val="24"/>
          <w:szCs w:val="24"/>
          <w:highlight w:val="none"/>
        </w:rPr>
      </w:pPr>
      <w:r>
        <w:rPr>
          <w:rFonts w:ascii="Times New Roman" w:hAnsi="Times New Roman"/>
          <w:color w:val="auto"/>
          <w:sz w:val="24"/>
          <w:szCs w:val="24"/>
          <w:highlight w:val="none"/>
        </w:rPr>
        <w:t xml:space="preserve">   </w:t>
      </w:r>
    </w:p>
    <w:p>
      <w:pPr>
        <w:pStyle w:val="23"/>
        <w:spacing w:line="480" w:lineRule="auto"/>
        <w:ind w:firstLine="420" w:firstLineChars="175"/>
        <w:rPr>
          <w:rFonts w:ascii="Times New Roman" w:hAnsi="Times New Roman"/>
          <w:color w:val="auto"/>
          <w:sz w:val="24"/>
          <w:szCs w:val="24"/>
          <w:highlight w:val="none"/>
        </w:rPr>
      </w:pPr>
      <w:r>
        <w:rPr>
          <w:rFonts w:hint="eastAsia" w:ascii="Times New Roman" w:hAnsi="Times New Roman"/>
          <w:color w:val="auto"/>
          <w:sz w:val="24"/>
          <w:szCs w:val="24"/>
          <w:highlight w:val="none"/>
        </w:rPr>
        <w:t>比选</w:t>
      </w:r>
      <w:r>
        <w:rPr>
          <w:rFonts w:ascii="Times New Roman" w:hAnsi="Times New Roman"/>
          <w:color w:val="auto"/>
          <w:sz w:val="24"/>
          <w:szCs w:val="24"/>
          <w:highlight w:val="none"/>
        </w:rPr>
        <w:t>人（盖章）：深圳市地铁</w:t>
      </w:r>
      <w:r>
        <w:rPr>
          <w:rFonts w:hint="eastAsia" w:ascii="Times New Roman" w:hAnsi="Times New Roman"/>
          <w:color w:val="auto"/>
          <w:sz w:val="24"/>
          <w:szCs w:val="24"/>
          <w:highlight w:val="none"/>
        </w:rPr>
        <w:t>集团</w:t>
      </w:r>
      <w:r>
        <w:rPr>
          <w:rFonts w:ascii="Times New Roman" w:hAnsi="Times New Roman"/>
          <w:color w:val="auto"/>
          <w:sz w:val="24"/>
          <w:szCs w:val="24"/>
          <w:highlight w:val="none"/>
        </w:rPr>
        <w:t>有限公司</w:t>
      </w:r>
    </w:p>
    <w:p>
      <w:pPr>
        <w:pStyle w:val="23"/>
        <w:spacing w:line="480" w:lineRule="auto"/>
        <w:ind w:firstLine="420" w:firstLineChars="175"/>
        <w:rPr>
          <w:rFonts w:ascii="Times New Roman" w:hAnsi="Times New Roman"/>
          <w:color w:val="auto"/>
          <w:sz w:val="24"/>
          <w:szCs w:val="24"/>
          <w:highlight w:val="none"/>
        </w:rPr>
      </w:pPr>
      <w:r>
        <w:rPr>
          <w:rFonts w:hint="eastAsia" w:ascii="Times New Roman" w:hAnsi="Times New Roman"/>
          <w:color w:val="auto"/>
          <w:sz w:val="24"/>
          <w:szCs w:val="24"/>
          <w:highlight w:val="none"/>
        </w:rPr>
        <w:t>比选人</w:t>
      </w:r>
      <w:r>
        <w:rPr>
          <w:rFonts w:ascii="Times New Roman" w:hAnsi="Times New Roman"/>
          <w:color w:val="auto"/>
          <w:sz w:val="24"/>
          <w:szCs w:val="24"/>
          <w:highlight w:val="none"/>
        </w:rPr>
        <w:t>地址：深圳市福田区</w:t>
      </w:r>
      <w:r>
        <w:rPr>
          <w:rFonts w:hint="eastAsia" w:ascii="Times New Roman" w:hAnsi="Times New Roman"/>
          <w:color w:val="auto"/>
          <w:sz w:val="24"/>
          <w:szCs w:val="24"/>
          <w:highlight w:val="none"/>
        </w:rPr>
        <w:t>福中一路</w:t>
      </w:r>
      <w:r>
        <w:rPr>
          <w:rFonts w:ascii="Times New Roman" w:hAnsi="Times New Roman"/>
          <w:color w:val="auto"/>
          <w:sz w:val="24"/>
          <w:szCs w:val="24"/>
          <w:highlight w:val="none"/>
        </w:rPr>
        <w:t>1016号地铁大厦</w:t>
      </w:r>
      <w:r>
        <w:rPr>
          <w:rFonts w:hint="eastAsia" w:ascii="Times New Roman" w:hAnsi="Times New Roman"/>
          <w:color w:val="auto"/>
          <w:sz w:val="24"/>
          <w:szCs w:val="24"/>
          <w:highlight w:val="none"/>
        </w:rPr>
        <w:t>一</w:t>
      </w:r>
      <w:r>
        <w:rPr>
          <w:rFonts w:ascii="Times New Roman" w:hAnsi="Times New Roman"/>
          <w:color w:val="auto"/>
          <w:sz w:val="24"/>
          <w:szCs w:val="24"/>
          <w:highlight w:val="none"/>
        </w:rPr>
        <w:t>楼</w:t>
      </w:r>
      <w:r>
        <w:rPr>
          <w:rFonts w:hint="eastAsia" w:ascii="Times New Roman" w:hAnsi="Times New Roman"/>
          <w:color w:val="auto"/>
          <w:sz w:val="24"/>
          <w:szCs w:val="24"/>
          <w:highlight w:val="none"/>
        </w:rPr>
        <w:t>评定标室</w:t>
      </w:r>
    </w:p>
    <w:p>
      <w:pPr>
        <w:pStyle w:val="23"/>
        <w:spacing w:line="480" w:lineRule="auto"/>
        <w:ind w:firstLine="420" w:firstLineChars="175"/>
        <w:rPr>
          <w:rFonts w:ascii="Times New Roman" w:hAnsi="Times New Roman"/>
          <w:color w:val="auto"/>
          <w:sz w:val="24"/>
          <w:szCs w:val="24"/>
          <w:highlight w:val="none"/>
        </w:rPr>
      </w:pPr>
      <w:r>
        <w:rPr>
          <w:rFonts w:ascii="Times New Roman" w:hAnsi="Times New Roman"/>
          <w:color w:val="auto"/>
          <w:sz w:val="24"/>
          <w:szCs w:val="24"/>
          <w:highlight w:val="none"/>
        </w:rPr>
        <w:t>邮政编码：5180</w:t>
      </w:r>
      <w:r>
        <w:rPr>
          <w:rFonts w:hint="eastAsia" w:ascii="Times New Roman" w:hAnsi="Times New Roman"/>
          <w:color w:val="auto"/>
          <w:sz w:val="24"/>
          <w:szCs w:val="24"/>
          <w:highlight w:val="none"/>
        </w:rPr>
        <w:t>26</w:t>
      </w:r>
    </w:p>
    <w:p>
      <w:pPr>
        <w:pStyle w:val="23"/>
        <w:spacing w:line="560" w:lineRule="exact"/>
        <w:ind w:firstLine="420" w:firstLineChars="175"/>
        <w:rPr>
          <w:rFonts w:ascii="Times New Roman" w:hAnsi="Times New Roman"/>
          <w:color w:val="auto"/>
          <w:sz w:val="24"/>
          <w:szCs w:val="24"/>
          <w:highlight w:val="none"/>
        </w:rPr>
      </w:pPr>
      <w:r>
        <w:rPr>
          <w:rFonts w:ascii="Times New Roman" w:hAnsi="Times New Roman"/>
          <w:color w:val="auto"/>
          <w:sz w:val="24"/>
          <w:szCs w:val="24"/>
          <w:highlight w:val="none"/>
        </w:rPr>
        <w:t>传    真：</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p>
    <w:p>
      <w:pPr>
        <w:pStyle w:val="23"/>
        <w:spacing w:line="560" w:lineRule="exact"/>
        <w:ind w:firstLine="420" w:firstLineChars="175"/>
        <w:rPr>
          <w:rFonts w:ascii="Times New Roman" w:hAnsi="Times New Roman"/>
          <w:color w:val="auto"/>
          <w:sz w:val="24"/>
          <w:szCs w:val="24"/>
          <w:highlight w:val="none"/>
        </w:rPr>
      </w:pPr>
      <w:r>
        <w:rPr>
          <w:rFonts w:ascii="Times New Roman" w:hAnsi="Times New Roman"/>
          <w:color w:val="auto"/>
          <w:sz w:val="24"/>
          <w:szCs w:val="24"/>
          <w:highlight w:val="none"/>
        </w:rPr>
        <w:t>联 系 人：</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 </w:t>
      </w:r>
    </w:p>
    <w:p>
      <w:pPr>
        <w:pStyle w:val="23"/>
        <w:spacing w:line="560" w:lineRule="exact"/>
        <w:ind w:firstLine="420" w:firstLineChars="175"/>
        <w:rPr>
          <w:rFonts w:ascii="Times New Roman" w:hAnsi="Times New Roman"/>
          <w:color w:val="auto"/>
          <w:sz w:val="24"/>
          <w:szCs w:val="24"/>
          <w:highlight w:val="none"/>
          <w:u w:val="single"/>
        </w:rPr>
      </w:pPr>
      <w:r>
        <w:rPr>
          <w:rFonts w:ascii="Times New Roman" w:hAnsi="Times New Roman"/>
          <w:color w:val="auto"/>
          <w:sz w:val="24"/>
          <w:szCs w:val="24"/>
          <w:highlight w:val="none"/>
        </w:rPr>
        <w:t>联系电话：</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p>
    <w:p>
      <w:pPr>
        <w:pStyle w:val="23"/>
        <w:spacing w:line="560" w:lineRule="exact"/>
        <w:ind w:firstLine="420" w:firstLineChars="175"/>
        <w:rPr>
          <w:rFonts w:ascii="Times New Roman" w:hAnsi="Times New Roman"/>
          <w:color w:val="auto"/>
          <w:sz w:val="24"/>
          <w:szCs w:val="24"/>
          <w:highlight w:val="none"/>
        </w:rPr>
      </w:pPr>
      <w:r>
        <w:rPr>
          <w:rFonts w:hint="eastAsia" w:ascii="Times New Roman" w:hAnsi="Times New Roman"/>
          <w:color w:val="auto"/>
          <w:sz w:val="24"/>
          <w:szCs w:val="24"/>
          <w:highlight w:val="none"/>
        </w:rPr>
        <w:t>E-mail：</w:t>
      </w:r>
      <w:r>
        <w:rPr>
          <w:rFonts w:hint="eastAsia" w:ascii="Times New Roman" w:hAnsi="Times New Roman"/>
          <w:color w:val="auto"/>
          <w:sz w:val="24"/>
          <w:szCs w:val="24"/>
          <w:highlight w:val="none"/>
          <w:u w:val="single"/>
        </w:rPr>
        <w:t xml:space="preserve">                           </w:t>
      </w:r>
    </w:p>
    <w:p>
      <w:pPr>
        <w:spacing w:line="560" w:lineRule="exact"/>
        <w:ind w:firstLine="420" w:firstLineChars="175"/>
        <w:rPr>
          <w:rFonts w:ascii="宋体" w:hAnsi="宋体"/>
          <w:color w:val="auto"/>
          <w:sz w:val="28"/>
          <w:szCs w:val="28"/>
          <w:highlight w:val="none"/>
        </w:rPr>
      </w:pPr>
      <w:r>
        <w:rPr>
          <w:rFonts w:ascii="Times New Roman" w:hAnsi="Times New Roman"/>
          <w:color w:val="auto"/>
          <w:sz w:val="24"/>
          <w:szCs w:val="24"/>
          <w:highlight w:val="none"/>
        </w:rPr>
        <w:t>日    期：</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p>
    <w:p>
      <w:pPr>
        <w:widowControl/>
        <w:jc w:val="left"/>
        <w:rPr>
          <w:color w:val="auto"/>
          <w:highlight w:val="none"/>
        </w:rPr>
      </w:pPr>
      <w:r>
        <w:rPr>
          <w:color w:val="auto"/>
          <w:highlight w:val="none"/>
        </w:rPr>
        <w:br w:type="page"/>
      </w: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widowControl/>
        <w:jc w:val="left"/>
        <w:rPr>
          <w:color w:val="auto"/>
          <w:highlight w:val="none"/>
        </w:rPr>
      </w:pPr>
    </w:p>
    <w:p>
      <w:pPr>
        <w:pStyle w:val="3"/>
        <w:rPr>
          <w:color w:val="auto"/>
          <w:highlight w:val="none"/>
        </w:rPr>
      </w:pPr>
      <w:bookmarkStart w:id="4" w:name="_Toc65054220"/>
      <w:r>
        <w:rPr>
          <w:rFonts w:hint="eastAsia"/>
          <w:color w:val="auto"/>
          <w:highlight w:val="none"/>
        </w:rPr>
        <w:t>第二章  参选须知</w:t>
      </w:r>
      <w:bookmarkEnd w:id="4"/>
    </w:p>
    <w:p>
      <w:pPr>
        <w:rPr>
          <w:color w:val="auto"/>
          <w:highlight w:val="none"/>
        </w:rPr>
      </w:pPr>
    </w:p>
    <w:p>
      <w:pPr>
        <w:rPr>
          <w:color w:val="auto"/>
          <w:highlight w:val="none"/>
        </w:rPr>
        <w:sectPr>
          <w:pgSz w:w="11906" w:h="16838"/>
          <w:pgMar w:top="1440" w:right="1800" w:bottom="1440" w:left="1800" w:header="851" w:footer="992" w:gutter="0"/>
          <w:pgNumType w:start="1"/>
          <w:cols w:space="720" w:num="1"/>
          <w:docGrid w:linePitch="312" w:charSpace="0"/>
        </w:sectPr>
      </w:pPr>
    </w:p>
    <w:p>
      <w:pPr>
        <w:pStyle w:val="4"/>
        <w:spacing w:before="240" w:beforeLines="100" w:after="360" w:afterLines="150" w:line="480" w:lineRule="exact"/>
        <w:ind w:left="420"/>
        <w:jc w:val="center"/>
        <w:rPr>
          <w:rFonts w:ascii="宋体" w:hAnsi="宋体"/>
          <w:color w:val="auto"/>
          <w:sz w:val="28"/>
          <w:szCs w:val="28"/>
          <w:highlight w:val="none"/>
        </w:rPr>
      </w:pPr>
      <w:bookmarkStart w:id="5" w:name="_Toc316481580"/>
      <w:bookmarkStart w:id="6" w:name="_Toc318811018"/>
      <w:bookmarkStart w:id="7" w:name="_Toc65054221"/>
      <w:r>
        <w:rPr>
          <w:rFonts w:hint="eastAsia" w:ascii="黑体" w:hAnsi="宋体"/>
          <w:color w:val="auto"/>
          <w:sz w:val="36"/>
          <w:szCs w:val="36"/>
          <w:highlight w:val="none"/>
        </w:rPr>
        <w:t>第一节 参选须知前</w:t>
      </w:r>
      <w:bookmarkEnd w:id="5"/>
      <w:bookmarkEnd w:id="6"/>
      <w:bookmarkStart w:id="8" w:name="_Toc239094405"/>
      <w:bookmarkStart w:id="9" w:name="_Toc238732073"/>
      <w:bookmarkStart w:id="10" w:name="_Toc246221343"/>
      <w:bookmarkStart w:id="11" w:name="_Toc239127929"/>
      <w:bookmarkStart w:id="12" w:name="_Toc38943415"/>
      <w:bookmarkStart w:id="13" w:name="_Toc42392970"/>
      <w:bookmarkStart w:id="14" w:name="_Toc239127711"/>
      <w:bookmarkStart w:id="15" w:name="_Toc310334711"/>
      <w:bookmarkStart w:id="16" w:name="_Toc239310474"/>
      <w:bookmarkStart w:id="17" w:name="_Toc238742122"/>
      <w:r>
        <w:rPr>
          <w:rFonts w:hint="eastAsia" w:ascii="黑体" w:hAnsi="宋体"/>
          <w:color w:val="auto"/>
          <w:sz w:val="36"/>
          <w:szCs w:val="36"/>
          <w:highlight w:val="none"/>
        </w:rPr>
        <w:t>附表</w:t>
      </w:r>
      <w:bookmarkEnd w:id="7"/>
      <w:bookmarkEnd w:id="8"/>
      <w:bookmarkEnd w:id="9"/>
      <w:bookmarkEnd w:id="10"/>
      <w:bookmarkEnd w:id="11"/>
      <w:bookmarkEnd w:id="12"/>
      <w:bookmarkEnd w:id="13"/>
      <w:bookmarkEnd w:id="14"/>
      <w:bookmarkEnd w:id="15"/>
      <w:bookmarkEnd w:id="16"/>
      <w:bookmarkEnd w:id="17"/>
    </w:p>
    <w:tbl>
      <w:tblPr>
        <w:tblStyle w:val="47"/>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2"/>
        <w:gridCol w:w="1532"/>
        <w:gridCol w:w="7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blHeader/>
          <w:jc w:val="center"/>
        </w:trPr>
        <w:tc>
          <w:tcPr>
            <w:tcW w:w="792" w:type="dxa"/>
            <w:vAlign w:val="center"/>
          </w:tcPr>
          <w:p>
            <w:pPr>
              <w:jc w:val="center"/>
              <w:rPr>
                <w:rFonts w:ascii="宋体" w:hAnsi="宋体"/>
                <w:b/>
                <w:color w:val="auto"/>
                <w:sz w:val="28"/>
                <w:szCs w:val="28"/>
                <w:highlight w:val="none"/>
              </w:rPr>
            </w:pPr>
            <w:r>
              <w:rPr>
                <w:rFonts w:hint="eastAsia" w:ascii="宋体" w:hAnsi="宋体"/>
                <w:b/>
                <w:color w:val="auto"/>
                <w:sz w:val="28"/>
                <w:szCs w:val="28"/>
                <w:highlight w:val="none"/>
              </w:rPr>
              <w:t>序号</w:t>
            </w:r>
          </w:p>
        </w:tc>
        <w:tc>
          <w:tcPr>
            <w:tcW w:w="1532" w:type="dxa"/>
            <w:vAlign w:val="center"/>
          </w:tcPr>
          <w:p>
            <w:pPr>
              <w:jc w:val="center"/>
              <w:rPr>
                <w:rFonts w:ascii="宋体" w:hAnsi="宋体"/>
                <w:b/>
                <w:color w:val="auto"/>
                <w:sz w:val="28"/>
                <w:szCs w:val="28"/>
                <w:highlight w:val="none"/>
              </w:rPr>
            </w:pPr>
            <w:r>
              <w:rPr>
                <w:rFonts w:hint="eastAsia" w:ascii="宋体" w:hAnsi="宋体"/>
                <w:b/>
                <w:color w:val="auto"/>
                <w:sz w:val="28"/>
                <w:szCs w:val="28"/>
                <w:highlight w:val="none"/>
              </w:rPr>
              <w:t>内容</w:t>
            </w:r>
          </w:p>
        </w:tc>
        <w:tc>
          <w:tcPr>
            <w:tcW w:w="7241" w:type="dxa"/>
            <w:vAlign w:val="center"/>
          </w:tcPr>
          <w:p>
            <w:pPr>
              <w:jc w:val="center"/>
              <w:rPr>
                <w:rFonts w:ascii="宋体" w:hAnsi="宋体"/>
                <w:b/>
                <w:color w:val="auto"/>
                <w:sz w:val="28"/>
                <w:szCs w:val="28"/>
                <w:highlight w:val="none"/>
              </w:rPr>
            </w:pPr>
            <w:r>
              <w:rPr>
                <w:rFonts w:hint="eastAsia" w:ascii="宋体" w:hAnsi="宋体"/>
                <w:b/>
                <w:color w:val="auto"/>
                <w:sz w:val="28"/>
                <w:szCs w:val="28"/>
                <w:highlight w:val="none"/>
              </w:rPr>
              <w:t>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项目名称</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深铁珑境（一期）泛光照明工程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项目地点</w:t>
            </w:r>
          </w:p>
        </w:tc>
        <w:tc>
          <w:tcPr>
            <w:tcW w:w="7241" w:type="dxa"/>
            <w:vAlign w:val="center"/>
          </w:tcPr>
          <w:p>
            <w:pPr>
              <w:keepNext/>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深圳市</w:t>
            </w:r>
            <w:r>
              <w:rPr>
                <w:rFonts w:hint="eastAsia" w:ascii="宋体" w:hAnsi="宋体"/>
                <w:color w:val="auto"/>
                <w:sz w:val="24"/>
                <w:szCs w:val="24"/>
                <w:highlight w:val="none"/>
                <w:lang w:val="en-US" w:eastAsia="zh-CN"/>
              </w:rPr>
              <w:t>龙华区大浪街道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比选范围</w:t>
            </w:r>
          </w:p>
        </w:tc>
        <w:tc>
          <w:tcPr>
            <w:tcW w:w="7241" w:type="dxa"/>
            <w:vAlign w:val="center"/>
          </w:tcPr>
          <w:p>
            <w:pPr>
              <w:keepNext/>
              <w:jc w:val="left"/>
              <w:rPr>
                <w:rFonts w:hint="eastAsia" w:ascii="宋体" w:hAnsi="宋体"/>
                <w:color w:val="auto"/>
                <w:sz w:val="24"/>
                <w:szCs w:val="24"/>
                <w:highlight w:val="none"/>
              </w:rPr>
            </w:pPr>
            <w:r>
              <w:rPr>
                <w:rFonts w:hint="eastAsia" w:ascii="宋体" w:hAnsi="宋体"/>
                <w:color w:val="auto"/>
                <w:sz w:val="24"/>
                <w:szCs w:val="24"/>
                <w:highlight w:val="none"/>
              </w:rPr>
              <w:t>比选范围包括但不限于：深铁珑境（一期）室外公共区域泛光照明；泛光照明与建筑、幕墙、景观等工程交接区域的收边、收口等；二次机电安装工程等。</w:t>
            </w:r>
          </w:p>
          <w:p>
            <w:pPr>
              <w:keepNext/>
              <w:jc w:val="left"/>
              <w:rPr>
                <w:rFonts w:ascii="宋体" w:hAnsi="宋体"/>
                <w:color w:val="auto"/>
                <w:sz w:val="24"/>
                <w:szCs w:val="24"/>
                <w:highlight w:val="none"/>
              </w:rPr>
            </w:pPr>
            <w:r>
              <w:rPr>
                <w:rFonts w:hint="eastAsia" w:ascii="宋体" w:hAnsi="宋体"/>
                <w:color w:val="auto"/>
                <w:sz w:val="24"/>
                <w:szCs w:val="24"/>
                <w:highlight w:val="none"/>
              </w:rPr>
              <w:t>具体范围以比选文件、图纸和工程量清单为准。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资金来源</w:t>
            </w:r>
          </w:p>
        </w:tc>
        <w:tc>
          <w:tcPr>
            <w:tcW w:w="7241" w:type="dxa"/>
            <w:vAlign w:val="center"/>
          </w:tcPr>
          <w:p>
            <w:pPr>
              <w:keepNext/>
              <w:jc w:val="left"/>
              <w:rPr>
                <w:rFonts w:ascii="宋体" w:hAnsi="宋体"/>
                <w:color w:val="auto"/>
                <w:sz w:val="24"/>
                <w:szCs w:val="24"/>
                <w:highlight w:val="none"/>
              </w:rPr>
            </w:pPr>
            <w:r>
              <w:rPr>
                <w:rFonts w:ascii="宋体" w:hAnsi="宋体"/>
                <w:color w:val="auto"/>
                <w:sz w:val="24"/>
                <w:szCs w:val="24"/>
                <w:highlight w:val="none"/>
              </w:rPr>
              <w:t>自筹100%</w:t>
            </w:r>
            <w:r>
              <w:rPr>
                <w:rFonts w:cs="Courier New"/>
                <w:bCs/>
                <w:color w:val="auto"/>
                <w:szCs w:val="21"/>
                <w:highlight w:val="none"/>
                <w:u w:val="single"/>
              </w:rPr>
              <w:fldChar w:fldCharType="begin"/>
            </w:r>
            <w:r>
              <w:rPr>
                <w:rFonts w:cs="Courier New"/>
                <w:bCs/>
                <w:color w:val="auto"/>
                <w:szCs w:val="21"/>
                <w:highlight w:val="none"/>
                <w:u w:val="single"/>
              </w:rPr>
              <w:instrText xml:space="preserve"> AUTOTEXT  input368 \* MERGEFORMAT </w:instrText>
            </w:r>
            <w:r>
              <w:rPr>
                <w:rFonts w:cs="Courier New"/>
                <w:bCs/>
                <w:color w:val="auto"/>
                <w:szCs w:val="21"/>
                <w:highlight w:val="none"/>
                <w:u w:val="singl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采用的币种</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人民币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工程质量</w:t>
            </w:r>
          </w:p>
        </w:tc>
        <w:tc>
          <w:tcPr>
            <w:tcW w:w="7241" w:type="dxa"/>
            <w:vAlign w:val="center"/>
          </w:tcPr>
          <w:p>
            <w:pPr>
              <w:keepNext/>
              <w:jc w:val="left"/>
              <w:rPr>
                <w:rFonts w:ascii="宋体" w:hAnsi="宋体"/>
                <w:color w:val="auto"/>
                <w:sz w:val="24"/>
                <w:szCs w:val="24"/>
                <w:highlight w:val="none"/>
              </w:rPr>
            </w:pPr>
            <w:r>
              <w:rPr>
                <w:rFonts w:ascii="宋体" w:hAnsi="宋体"/>
                <w:color w:val="auto"/>
                <w:sz w:val="24"/>
                <w:szCs w:val="24"/>
                <w:highlight w:val="none"/>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cs="Courier New"/>
                <w:color w:val="auto"/>
                <w:szCs w:val="21"/>
                <w:highlight w:val="none"/>
              </w:rPr>
              <w:t>工期要求</w:t>
            </w:r>
          </w:p>
        </w:tc>
        <w:tc>
          <w:tcPr>
            <w:tcW w:w="7241" w:type="dxa"/>
            <w:vAlign w:val="center"/>
          </w:tcPr>
          <w:p>
            <w:pPr>
              <w:rPr>
                <w:color w:val="auto"/>
                <w:highlight w:val="none"/>
              </w:rPr>
            </w:pPr>
            <w:r>
              <w:rPr>
                <w:rFonts w:hint="eastAsia"/>
                <w:color w:val="auto"/>
                <w:highlight w:val="none"/>
              </w:rPr>
              <w:t>暂定自</w:t>
            </w:r>
            <w:r>
              <w:rPr>
                <w:rFonts w:hint="eastAsia"/>
                <w:color w:val="auto"/>
                <w:highlight w:val="none"/>
                <w:lang w:val="en-US" w:eastAsia="zh-CN"/>
              </w:rPr>
              <w:t>2022</w:t>
            </w:r>
            <w:r>
              <w:rPr>
                <w:rFonts w:hint="eastAsia"/>
                <w:color w:val="auto"/>
                <w:highlight w:val="none"/>
              </w:rPr>
              <w:t>年</w:t>
            </w:r>
            <w:r>
              <w:rPr>
                <w:rFonts w:hint="eastAsia"/>
                <w:color w:val="auto"/>
                <w:highlight w:val="none"/>
                <w:lang w:val="en-US" w:eastAsia="zh-CN"/>
              </w:rPr>
              <w:t>11</w:t>
            </w:r>
            <w:r>
              <w:rPr>
                <w:rFonts w:hint="eastAsia"/>
                <w:color w:val="auto"/>
                <w:highlight w:val="none"/>
              </w:rPr>
              <w:t>月</w:t>
            </w:r>
            <w:r>
              <w:rPr>
                <w:rFonts w:hint="eastAsia"/>
                <w:color w:val="auto"/>
                <w:highlight w:val="none"/>
                <w:lang w:val="en-US" w:eastAsia="zh-CN"/>
              </w:rPr>
              <w:t>1</w:t>
            </w:r>
            <w:r>
              <w:rPr>
                <w:rFonts w:hint="eastAsia"/>
                <w:color w:val="auto"/>
                <w:highlight w:val="none"/>
              </w:rPr>
              <w:t>日至</w:t>
            </w:r>
            <w:r>
              <w:rPr>
                <w:rFonts w:hint="eastAsia"/>
                <w:color w:val="auto"/>
                <w:highlight w:val="none"/>
                <w:lang w:val="en-US" w:eastAsia="zh-CN"/>
              </w:rPr>
              <w:t>2023</w:t>
            </w:r>
            <w:r>
              <w:rPr>
                <w:rFonts w:hint="eastAsia"/>
                <w:color w:val="auto"/>
                <w:highlight w:val="none"/>
              </w:rPr>
              <w:t>年</w:t>
            </w:r>
            <w:r>
              <w:rPr>
                <w:rFonts w:hint="eastAsia"/>
                <w:color w:val="auto"/>
                <w:highlight w:val="none"/>
                <w:lang w:val="en-US" w:eastAsia="zh-CN"/>
              </w:rPr>
              <w:t>6</w:t>
            </w:r>
            <w:r>
              <w:rPr>
                <w:rFonts w:hint="eastAsia"/>
                <w:color w:val="auto"/>
                <w:highlight w:val="none"/>
              </w:rPr>
              <w:t>月</w:t>
            </w:r>
            <w:r>
              <w:rPr>
                <w:rFonts w:hint="eastAsia"/>
                <w:color w:val="auto"/>
                <w:highlight w:val="none"/>
                <w:lang w:val="en-US" w:eastAsia="zh-CN"/>
              </w:rPr>
              <w:t>1</w:t>
            </w:r>
            <w:r>
              <w:rPr>
                <w:rFonts w:hint="eastAsia"/>
                <w:color w:val="auto"/>
                <w:highlight w:val="none"/>
              </w:rPr>
              <w:t>日（具体以开工令为准），共</w:t>
            </w:r>
            <w:r>
              <w:rPr>
                <w:rFonts w:hint="eastAsia"/>
                <w:color w:val="auto"/>
                <w:highlight w:val="none"/>
                <w:lang w:val="en-US" w:eastAsia="zh-CN"/>
              </w:rPr>
              <w:t>212</w:t>
            </w:r>
            <w:r>
              <w:rPr>
                <w:rFonts w:hint="eastAsia"/>
                <w:color w:val="auto"/>
                <w:highlight w:val="none"/>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cs="Courier New"/>
                <w:color w:val="auto"/>
                <w:szCs w:val="21"/>
                <w:highlight w:val="none"/>
              </w:rPr>
            </w:pPr>
            <w:r>
              <w:rPr>
                <w:rFonts w:hint="eastAsia" w:ascii="宋体" w:hAnsi="宋体"/>
                <w:color w:val="auto"/>
                <w:sz w:val="24"/>
                <w:szCs w:val="24"/>
                <w:highlight w:val="none"/>
              </w:rPr>
              <w:t>参选人资格要求</w:t>
            </w:r>
          </w:p>
        </w:tc>
        <w:tc>
          <w:tcPr>
            <w:tcW w:w="7241" w:type="dxa"/>
            <w:vAlign w:val="center"/>
          </w:tcPr>
          <w:p>
            <w:pPr>
              <w:ind w:right="-296" w:rightChars="-141"/>
              <w:rPr>
                <w:rFonts w:hint="eastAsia" w:eastAsia="宋体"/>
                <w:color w:val="auto"/>
                <w:sz w:val="24"/>
                <w:szCs w:val="24"/>
                <w:highlight w:val="none"/>
                <w:lang w:eastAsia="zh-CN"/>
              </w:rPr>
            </w:pPr>
            <w:r>
              <w:rPr>
                <w:color w:val="auto"/>
                <w:sz w:val="24"/>
                <w:szCs w:val="24"/>
                <w:highlight w:val="none"/>
              </w:rPr>
              <w:t>资质等级：城市及道路照明工程专业承包资质三级及以上；</w:t>
            </w:r>
          </w:p>
          <w:p>
            <w:pPr>
              <w:ind w:right="-296" w:rightChars="-141"/>
              <w:rPr>
                <w:color w:val="auto"/>
                <w:sz w:val="24"/>
                <w:szCs w:val="24"/>
                <w:highlight w:val="none"/>
              </w:rPr>
            </w:pPr>
            <w:r>
              <w:rPr>
                <w:color w:val="auto"/>
                <w:sz w:val="24"/>
                <w:szCs w:val="24"/>
                <w:highlight w:val="none"/>
              </w:rPr>
              <w:t xml:space="preserve">其他要求： </w:t>
            </w:r>
          </w:p>
          <w:p>
            <w:pPr>
              <w:numPr>
                <w:ilvl w:val="0"/>
                <w:numId w:val="0"/>
              </w:numPr>
              <w:ind w:right="-296" w:rightChars="-141"/>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不接受联合体参选。</w:t>
            </w:r>
          </w:p>
          <w:p>
            <w:pPr>
              <w:pStyle w:val="2"/>
              <w:numPr>
                <w:ilvl w:val="0"/>
                <w:numId w:val="0"/>
              </w:numPr>
              <w:rPr>
                <w:rFonts w:hint="default"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2.参选人必须是在中华人民共和国境内注册的独立法人。</w:t>
            </w:r>
          </w:p>
          <w:p>
            <w:pPr>
              <w:ind w:right="-296" w:rightChars="-141"/>
              <w:rPr>
                <w:rFonts w:hint="eastAsia" w:ascii="宋体" w:hAnsi="宋体" w:eastAsia="宋体"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3</w:t>
            </w:r>
            <w:r>
              <w:rPr>
                <w:rFonts w:hint="eastAsia" w:ascii="宋体" w:hAnsi="宋体" w:eastAsia="宋体" w:cs="Times New Roman"/>
                <w:color w:val="auto"/>
                <w:kern w:val="2"/>
                <w:sz w:val="24"/>
                <w:szCs w:val="24"/>
                <w:highlight w:val="none"/>
                <w:lang w:val="en-US" w:eastAsia="zh-CN" w:bidi="ar-SA"/>
              </w:rPr>
              <w:t>.不接受联合体投标，母、子公司只允许一家公司参与报价；同一法人代表，只接受一家投标。</w:t>
            </w:r>
          </w:p>
          <w:p>
            <w:pPr>
              <w:ind w:right="-296" w:rightChars="-141"/>
              <w:rPr>
                <w:rFonts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.本项目不接受在深圳市地铁集团有限公司或其下属直管单位存在不良行为记录或违约行为或在合同履约评价考核为D的参选人。</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input429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r>
              <w:rPr>
                <w:rFonts w:hint="eastAsia" w:ascii="宋体" w:hAnsi="宋体"/>
                <w:color w:val="auto"/>
                <w:sz w:val="24"/>
                <w:szCs w:val="24"/>
                <w:highlight w:val="none"/>
              </w:rPr>
              <w:t>/</w:t>
            </w: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参选人项目经理</w:t>
            </w:r>
          </w:p>
          <w:p>
            <w:pPr>
              <w:keepNext/>
              <w:jc w:val="center"/>
              <w:rPr>
                <w:rFonts w:ascii="宋体" w:hAnsi="宋体"/>
                <w:color w:val="auto"/>
                <w:sz w:val="24"/>
                <w:szCs w:val="24"/>
                <w:highlight w:val="none"/>
              </w:rPr>
            </w:pPr>
            <w:r>
              <w:rPr>
                <w:rFonts w:hint="eastAsia" w:ascii="宋体" w:hAnsi="宋体"/>
                <w:color w:val="auto"/>
                <w:sz w:val="24"/>
                <w:szCs w:val="24"/>
                <w:highlight w:val="none"/>
              </w:rPr>
              <w:t>（建造师）要求</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项目经理：</w:t>
            </w:r>
            <w:r>
              <w:rPr>
                <w:rFonts w:ascii="宋体" w:hAnsi="宋体"/>
                <w:color w:val="auto"/>
                <w:sz w:val="24"/>
                <w:szCs w:val="24"/>
                <w:highlight w:val="none"/>
              </w:rPr>
              <w:t>注册二级建造师（</w:t>
            </w:r>
            <w:r>
              <w:rPr>
                <w:rFonts w:hint="eastAsia" w:ascii="宋体" w:hAnsi="宋体"/>
                <w:color w:val="auto"/>
                <w:sz w:val="24"/>
                <w:szCs w:val="24"/>
                <w:highlight w:val="none"/>
              </w:rPr>
              <w:t>机电</w:t>
            </w:r>
            <w:r>
              <w:rPr>
                <w:rFonts w:ascii="宋体" w:hAnsi="宋体"/>
                <w:color w:val="auto"/>
                <w:sz w:val="24"/>
                <w:szCs w:val="24"/>
                <w:highlight w:val="none"/>
              </w:rPr>
              <w:t>工程类</w:t>
            </w:r>
            <w:r>
              <w:rPr>
                <w:rFonts w:hint="eastAsia" w:ascii="宋体" w:hAnsi="宋体"/>
                <w:color w:val="auto"/>
                <w:sz w:val="24"/>
                <w:szCs w:val="24"/>
                <w:highlight w:val="none"/>
              </w:rPr>
              <w:t>）及以上</w:t>
            </w:r>
            <w:r>
              <w:rPr>
                <w:rFonts w:ascii="宋体" w:hAnsi="宋体"/>
                <w:color w:val="auto"/>
                <w:sz w:val="24"/>
                <w:szCs w:val="24"/>
                <w:highlight w:val="none"/>
              </w:rPr>
              <w:fldChar w:fldCharType="begin"/>
            </w:r>
            <w:r>
              <w:rPr>
                <w:rFonts w:ascii="宋体" w:hAnsi="宋体"/>
                <w:color w:val="auto"/>
                <w:sz w:val="24"/>
                <w:szCs w:val="24"/>
                <w:highlight w:val="none"/>
              </w:rPr>
              <w:instrText xml:space="preserve"> AUTOTEXT  input377 \* MERGEFORMAT </w:instrText>
            </w:r>
            <w:r>
              <w:rPr>
                <w:rFonts w:ascii="宋体" w:hAnsi="宋体"/>
                <w:color w:val="auto"/>
                <w:sz w:val="24"/>
                <w:szCs w:val="24"/>
                <w:highlight w:val="none"/>
              </w:rPr>
              <w:fldChar w:fldCharType="end"/>
            </w:r>
          </w:p>
          <w:p>
            <w:pPr>
              <w:keepNext/>
              <w:jc w:val="left"/>
              <w:rPr>
                <w:rFonts w:ascii="宋体" w:hAnsi="宋体"/>
                <w:color w:val="auto"/>
                <w:sz w:val="24"/>
                <w:szCs w:val="24"/>
                <w:highlight w:val="none"/>
              </w:rPr>
            </w:pPr>
            <w:r>
              <w:rPr>
                <w:rFonts w:hint="eastAsia" w:ascii="宋体" w:hAnsi="宋体"/>
                <w:color w:val="auto"/>
                <w:sz w:val="24"/>
                <w:szCs w:val="24"/>
                <w:highlight w:val="none"/>
              </w:rPr>
              <w:t>其他：</w:t>
            </w:r>
            <w:r>
              <w:rPr>
                <w:rFonts w:ascii="宋体" w:hAnsi="宋体"/>
                <w:color w:val="auto"/>
                <w:sz w:val="24"/>
                <w:szCs w:val="24"/>
                <w:highlight w:val="none"/>
              </w:rPr>
              <w:t xml:space="preserve"> </w:t>
            </w:r>
            <w:r>
              <w:rPr>
                <w:rFonts w:hint="eastAsia" w:ascii="宋体" w:hAnsi="宋体"/>
                <w:color w:val="auto"/>
                <w:sz w:val="24"/>
                <w:szCs w:val="24"/>
                <w:highlight w:val="none"/>
              </w:rPr>
              <w:t>/</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input432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input432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资格审查方式</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资格后审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工程量的确定方法</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《建设工程工程量清单计价规范》（GB50500-2013）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工程计价方法</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综合单价法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参选报价要求</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投标报价上限为：</w:t>
            </w:r>
          </w:p>
          <w:p>
            <w:pPr>
              <w:keepNext/>
              <w:jc w:val="left"/>
              <w:rPr>
                <w:rFonts w:ascii="宋体" w:hAnsi="宋体"/>
                <w:color w:val="auto"/>
                <w:sz w:val="24"/>
                <w:szCs w:val="24"/>
                <w:highlight w:val="none"/>
              </w:rPr>
            </w:pPr>
            <w:r>
              <w:rPr>
                <w:rFonts w:ascii="宋体" w:hAnsi="宋体"/>
                <w:color w:val="auto"/>
                <w:sz w:val="24"/>
                <w:szCs w:val="24"/>
                <w:highlight w:val="none"/>
              </w:rPr>
              <w:t>□</w:t>
            </w:r>
            <w:r>
              <w:rPr>
                <w:rFonts w:ascii="宋体" w:hAnsi="宋体"/>
                <w:color w:val="auto"/>
                <w:sz w:val="24"/>
                <w:szCs w:val="24"/>
                <w:highlight w:val="none"/>
              </w:rPr>
              <w:fldChar w:fldCharType="begin"/>
            </w:r>
            <w:r>
              <w:rPr>
                <w:rFonts w:ascii="宋体" w:hAnsi="宋体"/>
                <w:color w:val="auto"/>
                <w:sz w:val="24"/>
                <w:szCs w:val="24"/>
                <w:highlight w:val="none"/>
              </w:rPr>
              <w:instrText xml:space="preserve"> AUTOTEXT  input378 \* MERGEFORMAT </w:instrTex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ascii="宋体" w:hAnsi="宋体"/>
                <w:color w:val="auto"/>
                <w:sz w:val="24"/>
                <w:szCs w:val="24"/>
                <w:highlight w:val="none"/>
              </w:rPr>
              <w:fldChar w:fldCharType="begin"/>
            </w:r>
            <w:r>
              <w:rPr>
                <w:rFonts w:ascii="宋体" w:hAnsi="宋体"/>
                <w:color w:val="auto"/>
                <w:sz w:val="24"/>
                <w:szCs w:val="24"/>
                <w:highlight w:val="none"/>
              </w:rPr>
              <w:instrText xml:space="preserve"> AUTOTEXT  input379 \* MERGEFORMAT </w:instrTex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万元  </w:t>
            </w:r>
            <w:r>
              <w:rPr>
                <w:rFonts w:ascii="Segoe UI Symbol" w:hAnsi="Segoe UI Symbol" w:cs="Segoe UI Symbol"/>
                <w:color w:val="auto"/>
                <w:sz w:val="24"/>
                <w:szCs w:val="24"/>
                <w:highlight w:val="none"/>
              </w:rPr>
              <w:t>☑</w:t>
            </w: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AUTOTEXT  input380 \* MERGEFORMAT </w:instrText>
            </w:r>
            <w:r>
              <w:rPr>
                <w:rFonts w:ascii="宋体" w:hAnsi="宋体"/>
                <w:b/>
                <w:bCs/>
                <w:color w:val="auto"/>
                <w:sz w:val="24"/>
                <w:szCs w:val="24"/>
                <w:highlight w:val="none"/>
              </w:rPr>
              <w:fldChar w:fldCharType="end"/>
            </w:r>
            <w:r>
              <w:rPr>
                <w:rFonts w:hint="eastAsia" w:ascii="宋体" w:hAnsi="宋体"/>
                <w:b/>
                <w:bCs/>
                <w:color w:val="auto"/>
                <w:sz w:val="24"/>
                <w:szCs w:val="24"/>
                <w:highlight w:val="none"/>
              </w:rPr>
              <w:t>公示招标控制价净下浮</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10</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rPr>
              <w:fldChar w:fldCharType="begin"/>
            </w:r>
            <w:r>
              <w:rPr>
                <w:rFonts w:ascii="宋体" w:hAnsi="宋体"/>
                <w:b/>
                <w:bCs/>
                <w:color w:val="auto"/>
                <w:sz w:val="24"/>
                <w:szCs w:val="24"/>
                <w:highlight w:val="none"/>
              </w:rPr>
              <w:instrText xml:space="preserve"> AUTOTEXT  input381 \* MERGEFORMAT </w:instrText>
            </w:r>
            <w:r>
              <w:rPr>
                <w:rFonts w:ascii="宋体" w:hAnsi="宋体"/>
                <w:b/>
                <w:bCs/>
                <w:color w:val="auto"/>
                <w:sz w:val="24"/>
                <w:szCs w:val="24"/>
                <w:highlight w:val="none"/>
              </w:rPr>
              <w:fldChar w:fldCharType="end"/>
            </w:r>
            <w:r>
              <w:rPr>
                <w:rFonts w:hint="eastAsia" w:ascii="宋体" w:hAnsi="宋体"/>
                <w:b/>
                <w:bCs/>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参选文件要求</w:t>
            </w:r>
          </w:p>
        </w:tc>
        <w:tc>
          <w:tcPr>
            <w:tcW w:w="7241" w:type="dxa"/>
            <w:vAlign w:val="center"/>
          </w:tcPr>
          <w:p>
            <w:pPr>
              <w:keepNext/>
              <w:jc w:val="left"/>
              <w:rPr>
                <w:rFonts w:ascii="宋体" w:hAnsi="宋体"/>
                <w:color w:val="auto"/>
                <w:sz w:val="24"/>
                <w:szCs w:val="24"/>
                <w:highlight w:val="none"/>
              </w:rPr>
            </w:pPr>
            <w:r>
              <w:rPr>
                <w:rFonts w:asciiTheme="minorEastAsia" w:hAnsiTheme="minorEastAsia" w:eastAsiaTheme="minorEastAsia"/>
                <w:color w:val="auto"/>
                <w:sz w:val="24"/>
                <w:szCs w:val="24"/>
                <w:highlight w:val="none"/>
              </w:rPr>
              <w:t>必须参照</w:t>
            </w:r>
            <w:r>
              <w:rPr>
                <w:rFonts w:hint="eastAsia" w:asciiTheme="minorEastAsia" w:hAnsiTheme="minorEastAsia" w:eastAsiaTheme="minorEastAsia"/>
                <w:color w:val="auto"/>
                <w:sz w:val="24"/>
                <w:szCs w:val="24"/>
                <w:highlight w:val="none"/>
              </w:rPr>
              <w:t>比选文件的</w:t>
            </w:r>
            <w:r>
              <w:rPr>
                <w:rFonts w:asciiTheme="minorEastAsia" w:hAnsiTheme="minorEastAsia" w:eastAsiaTheme="minorEastAsia"/>
                <w:color w:val="auto"/>
                <w:sz w:val="24"/>
                <w:szCs w:val="24"/>
                <w:highlight w:val="none"/>
              </w:rPr>
              <w:t>格式要求、顺序编制</w:t>
            </w:r>
            <w:r>
              <w:rPr>
                <w:rFonts w:hint="eastAsia" w:asciiTheme="minorEastAsia" w:hAnsiTheme="minorEastAsia" w:eastAsiaTheme="minorEastAsia"/>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踏勘现场</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详细地点：深圳市</w:t>
            </w:r>
            <w:r>
              <w:rPr>
                <w:rFonts w:hint="eastAsia" w:ascii="宋体" w:hAnsi="宋体"/>
                <w:color w:val="auto"/>
                <w:sz w:val="24"/>
                <w:szCs w:val="24"/>
                <w:highlight w:val="none"/>
                <w:lang w:val="en-US" w:eastAsia="zh-CN"/>
              </w:rPr>
              <w:t>龙华区大浪街道龙胜地铁站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AUTOTEXT  input409 \* MERGEFORMAT </w:instrText>
            </w:r>
            <w:r>
              <w:rPr>
                <w:rFonts w:ascii="宋体" w:hAnsi="宋体"/>
                <w:color w:val="auto"/>
                <w:sz w:val="24"/>
                <w:szCs w:val="24"/>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shd w:val="clear" w:color="auto" w:fill="auto"/>
            <w:vAlign w:val="center"/>
          </w:tcPr>
          <w:p>
            <w:pPr>
              <w:numPr>
                <w:ilvl w:val="0"/>
                <w:numId w:val="1"/>
              </w:numPr>
              <w:jc w:val="center"/>
              <w:rPr>
                <w:rFonts w:ascii="宋体" w:hAnsi="宋体"/>
                <w:color w:val="auto"/>
                <w:sz w:val="24"/>
                <w:szCs w:val="24"/>
                <w:highlight w:val="none"/>
              </w:rPr>
            </w:pPr>
          </w:p>
        </w:tc>
        <w:tc>
          <w:tcPr>
            <w:tcW w:w="1532" w:type="dxa"/>
            <w:shd w:val="clear" w:color="auto" w:fill="auto"/>
            <w:vAlign w:val="center"/>
          </w:tcPr>
          <w:p>
            <w:pPr>
              <w:keepNext/>
              <w:jc w:val="center"/>
              <w:rPr>
                <w:rFonts w:cs="Courier New"/>
                <w:color w:val="auto"/>
                <w:szCs w:val="21"/>
                <w:highlight w:val="none"/>
              </w:rPr>
            </w:pPr>
            <w:r>
              <w:rPr>
                <w:rFonts w:hint="eastAsia" w:cs="Courier New"/>
                <w:color w:val="auto"/>
                <w:sz w:val="24"/>
                <w:szCs w:val="24"/>
                <w:highlight w:val="none"/>
              </w:rPr>
              <w:t>比选文件下载地址</w:t>
            </w:r>
          </w:p>
        </w:tc>
        <w:tc>
          <w:tcPr>
            <w:tcW w:w="7241" w:type="dxa"/>
            <w:shd w:val="clear" w:color="auto" w:fill="auto"/>
            <w:vAlign w:val="center"/>
          </w:tcPr>
          <w:p>
            <w:pPr>
              <w:spacing w:line="360" w:lineRule="auto"/>
              <w:rPr>
                <w:rFonts w:ascii="宋体" w:hAnsi="宋体"/>
                <w:color w:val="auto"/>
                <w:sz w:val="24"/>
                <w:szCs w:val="24"/>
                <w:highlight w:val="none"/>
              </w:rPr>
            </w:pPr>
            <w:r>
              <w:rPr>
                <w:rFonts w:ascii="宋体" w:hAnsi="宋体"/>
                <w:color w:val="auto"/>
                <w:sz w:val="24"/>
                <w:szCs w:val="24"/>
                <w:highlight w:val="none"/>
              </w:rPr>
              <w:t>网上获取电子文件，</w:t>
            </w:r>
          </w:p>
          <w:p>
            <w:pPr>
              <w:spacing w:line="360" w:lineRule="auto"/>
              <w:rPr>
                <w:rFonts w:ascii="宋体" w:hAnsi="宋体"/>
                <w:color w:val="auto"/>
                <w:sz w:val="24"/>
                <w:szCs w:val="24"/>
                <w:highlight w:val="none"/>
              </w:rPr>
            </w:pPr>
            <w:r>
              <w:rPr>
                <w:rFonts w:ascii="宋体" w:hAnsi="宋体"/>
                <w:color w:val="auto"/>
                <w:sz w:val="24"/>
                <w:szCs w:val="24"/>
                <w:highlight w:val="none"/>
              </w:rPr>
              <w:t>深圳地铁官网（https://www.szmc.net/）</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深圳地铁智能招采管理平台</w:t>
            </w:r>
            <w:r>
              <w:rPr>
                <w:color w:val="auto"/>
                <w:highlight w:val="none"/>
              </w:rPr>
              <w:fldChar w:fldCharType="begin"/>
            </w:r>
            <w:r>
              <w:rPr>
                <w:color w:val="auto"/>
                <w:highlight w:val="none"/>
              </w:rPr>
              <w:instrText xml:space="preserve"> HYPERLINK "https://cg.shenzhenmc.com/" </w:instrText>
            </w:r>
            <w:r>
              <w:rPr>
                <w:color w:val="auto"/>
                <w:highlight w:val="none"/>
              </w:rPr>
              <w:fldChar w:fldCharType="separate"/>
            </w:r>
            <w:r>
              <w:rPr>
                <w:color w:val="auto"/>
                <w:highlight w:val="none"/>
              </w:rPr>
              <w:t>https://cg.shenzhenmc.com/</w:t>
            </w:r>
            <w:r>
              <w:rPr>
                <w:color w:val="auto"/>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参选文件递交</w:t>
            </w:r>
          </w:p>
        </w:tc>
        <w:tc>
          <w:tcPr>
            <w:tcW w:w="7241" w:type="dxa"/>
            <w:vAlign w:val="center"/>
          </w:tcPr>
          <w:p>
            <w:pPr>
              <w:keepNext/>
              <w:jc w:val="lef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电子版上传到深圳地铁智能招采管理平台</w:t>
            </w:r>
          </w:p>
          <w:p>
            <w:pPr>
              <w:keepNext/>
              <w:jc w:val="left"/>
              <w:rPr>
                <w:rFonts w:ascii="宋体" w:hAnsi="宋体"/>
                <w:color w:val="auto"/>
                <w:sz w:val="24"/>
                <w:szCs w:val="24"/>
                <w:highlight w:val="none"/>
              </w:rPr>
            </w:pPr>
            <w:r>
              <w:rPr>
                <w:rFonts w:hint="eastAsia" w:asciiTheme="minorEastAsia" w:hAnsiTheme="minorEastAsia" w:eastAsiaTheme="minorEastAsia"/>
                <w:color w:val="auto"/>
                <w:sz w:val="24"/>
                <w:szCs w:val="24"/>
                <w:highlight w:val="none"/>
              </w:rPr>
              <w:t>https://cg.shenzhenmc.com/szmccg/ananymous/jyzt/zc/gyszc</w:t>
            </w:r>
            <w:r>
              <w:rPr>
                <w:rFonts w:ascii="宋体" w:hAnsi="宋体"/>
                <w:color w:val="auto"/>
                <w:sz w:val="24"/>
                <w:szCs w:val="24"/>
                <w:highlight w:val="none"/>
              </w:rPr>
              <w:t xml:space="preserve"> </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input434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r>
              <w:rPr>
                <w:rFonts w:ascii="宋体" w:hAnsi="宋体"/>
                <w:color w:val="auto"/>
                <w:sz w:val="24"/>
                <w:szCs w:val="24"/>
                <w:highlight w:val="none"/>
              </w:rPr>
              <w:t xml:space="preserve"> </w:t>
            </w:r>
          </w:p>
          <w:p>
            <w:pPr>
              <w:keepNext/>
              <w:jc w:val="left"/>
              <w:rPr>
                <w:rFonts w:ascii="宋体" w:hAnsi="宋体"/>
                <w:color w:val="auto"/>
                <w:sz w:val="24"/>
                <w:szCs w:val="24"/>
                <w:highlight w:val="none"/>
              </w:rPr>
            </w:pPr>
            <w:r>
              <w:rPr>
                <w:rFonts w:hint="eastAsia" w:ascii="宋体" w:hAnsi="宋体"/>
                <w:color w:val="auto"/>
                <w:sz w:val="24"/>
                <w:szCs w:val="24"/>
                <w:highlight w:val="none"/>
              </w:rPr>
              <w:t>截止时间： 详见比选</w:t>
            </w:r>
            <w:r>
              <w:rPr>
                <w:rFonts w:ascii="宋体" w:hAnsi="宋体"/>
                <w:color w:val="auto"/>
                <w:sz w:val="24"/>
                <w:szCs w:val="24"/>
                <w:highlight w:val="none"/>
              </w:rPr>
              <w:t>公告</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input435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参选文件有效期</w:t>
            </w:r>
          </w:p>
        </w:tc>
        <w:tc>
          <w:tcPr>
            <w:tcW w:w="7241" w:type="dxa"/>
            <w:vAlign w:val="center"/>
          </w:tcPr>
          <w:p>
            <w:pPr>
              <w:keepNext/>
              <w:jc w:val="left"/>
              <w:rPr>
                <w:rFonts w:ascii="宋体" w:hAnsi="宋体"/>
                <w:color w:val="auto"/>
                <w:sz w:val="24"/>
                <w:szCs w:val="24"/>
                <w:highlight w:val="none"/>
              </w:rPr>
            </w:pPr>
            <w:r>
              <w:rPr>
                <w:rFonts w:ascii="宋体" w:hAnsi="宋体"/>
                <w:color w:val="auto"/>
                <w:sz w:val="24"/>
                <w:szCs w:val="24"/>
                <w:highlight w:val="none"/>
              </w:rPr>
              <w:t>120</w:t>
            </w:r>
            <w:r>
              <w:rPr>
                <w:rFonts w:hint="eastAsia" w:ascii="宋体" w:hAnsi="宋体"/>
                <w:color w:val="auto"/>
                <w:sz w:val="24"/>
                <w:szCs w:val="24"/>
                <w:highlight w:val="none"/>
              </w:rPr>
              <w:t>个日历天，从参选文件递交截止之日算起。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22"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开标时间及地点</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时间： 详见比选</w:t>
            </w:r>
            <w:r>
              <w:rPr>
                <w:rFonts w:ascii="宋体" w:hAnsi="宋体"/>
                <w:color w:val="auto"/>
                <w:sz w:val="24"/>
                <w:szCs w:val="24"/>
                <w:highlight w:val="none"/>
              </w:rPr>
              <w:t>公告</w:t>
            </w:r>
          </w:p>
          <w:p>
            <w:pPr>
              <w:keepNext/>
              <w:jc w:val="left"/>
              <w:rPr>
                <w:rFonts w:ascii="宋体" w:hAnsi="宋体"/>
                <w:color w:val="auto"/>
                <w:sz w:val="24"/>
                <w:szCs w:val="24"/>
                <w:highlight w:val="none"/>
              </w:rPr>
            </w:pPr>
            <w:r>
              <w:rPr>
                <w:rFonts w:hint="eastAsia" w:ascii="宋体" w:hAnsi="宋体"/>
                <w:color w:val="auto"/>
                <w:sz w:val="24"/>
                <w:szCs w:val="24"/>
                <w:highlight w:val="none"/>
              </w:rPr>
              <w:t>开标地点：</w:t>
            </w:r>
            <w:r>
              <w:rPr>
                <w:rFonts w:ascii="Times New Roman" w:hAnsi="Times New Roman"/>
                <w:color w:val="auto"/>
                <w:sz w:val="24"/>
                <w:szCs w:val="24"/>
                <w:highlight w:val="none"/>
              </w:rPr>
              <w:t>深圳市福田区</w:t>
            </w:r>
            <w:r>
              <w:rPr>
                <w:rFonts w:hint="eastAsia" w:ascii="Times New Roman" w:hAnsi="Times New Roman"/>
                <w:color w:val="auto"/>
                <w:sz w:val="24"/>
                <w:szCs w:val="24"/>
                <w:highlight w:val="none"/>
              </w:rPr>
              <w:t>福中一路</w:t>
            </w:r>
            <w:r>
              <w:rPr>
                <w:rFonts w:ascii="Times New Roman" w:hAnsi="Times New Roman"/>
                <w:color w:val="auto"/>
                <w:sz w:val="24"/>
                <w:szCs w:val="24"/>
                <w:highlight w:val="none"/>
              </w:rPr>
              <w:t>1016号地铁大厦</w:t>
            </w:r>
            <w:r>
              <w:rPr>
                <w:rFonts w:hint="eastAsia" w:ascii="Times New Roman" w:hAnsi="Times New Roman"/>
                <w:color w:val="auto"/>
                <w:sz w:val="24"/>
                <w:szCs w:val="24"/>
                <w:highlight w:val="none"/>
              </w:rPr>
              <w:t>一</w:t>
            </w:r>
            <w:r>
              <w:rPr>
                <w:rFonts w:ascii="Times New Roman" w:hAnsi="Times New Roman"/>
                <w:color w:val="auto"/>
                <w:sz w:val="24"/>
                <w:szCs w:val="24"/>
                <w:highlight w:val="none"/>
              </w:rPr>
              <w:t>楼</w:t>
            </w:r>
            <w:r>
              <w:rPr>
                <w:rFonts w:hint="eastAsia" w:ascii="Times New Roman" w:hAnsi="Times New Roman"/>
                <w:color w:val="auto"/>
                <w:sz w:val="24"/>
                <w:szCs w:val="24"/>
                <w:highlight w:val="none"/>
              </w:rPr>
              <w:t>评定标室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合格参选人数量要求</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提交合格参选文件的参选人原则上不少于3家。少于3家时，比选失败，比选人有权重新组织比选或采取其他方式确定服务单位。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评审方法</w:t>
            </w:r>
          </w:p>
        </w:tc>
        <w:tc>
          <w:tcPr>
            <w:tcW w:w="7241" w:type="dxa"/>
            <w:vAlign w:val="center"/>
          </w:tcPr>
          <w:p>
            <w:pPr>
              <w:keepNext/>
              <w:jc w:val="left"/>
              <w:rPr>
                <w:rFonts w:ascii="宋体" w:hAnsi="宋体"/>
                <w:color w:val="auto"/>
                <w:sz w:val="24"/>
                <w:szCs w:val="24"/>
                <w:highlight w:val="none"/>
              </w:rPr>
            </w:pPr>
            <w:r>
              <w:rPr>
                <w:rFonts w:ascii="宋体" w:hAnsi="宋体"/>
                <w:color w:val="auto"/>
                <w:sz w:val="24"/>
                <w:szCs w:val="24"/>
                <w:highlight w:val="none"/>
              </w:rPr>
              <w:t>☑</w:t>
            </w:r>
            <w:r>
              <w:rPr>
                <w:rFonts w:ascii="宋体" w:hAnsi="宋体"/>
                <w:color w:val="auto"/>
                <w:sz w:val="24"/>
                <w:szCs w:val="24"/>
                <w:highlight w:val="none"/>
              </w:rPr>
              <w:fldChar w:fldCharType="begin"/>
            </w:r>
            <w:r>
              <w:rPr>
                <w:rFonts w:ascii="宋体" w:hAnsi="宋体"/>
                <w:color w:val="auto"/>
                <w:sz w:val="24"/>
                <w:szCs w:val="24"/>
                <w:highlight w:val="none"/>
              </w:rPr>
              <w:instrText xml:space="preserve"> AUTOTEXT  input556 \* MERGEFORMAT </w:instrText>
            </w:r>
            <w:r>
              <w:rPr>
                <w:rFonts w:ascii="宋体" w:hAnsi="宋体"/>
                <w:color w:val="auto"/>
                <w:sz w:val="24"/>
                <w:szCs w:val="24"/>
                <w:highlight w:val="none"/>
              </w:rPr>
              <w:fldChar w:fldCharType="end"/>
            </w:r>
            <w:r>
              <w:rPr>
                <w:rFonts w:hint="eastAsia" w:ascii="宋体" w:hAnsi="宋体"/>
                <w:color w:val="auto"/>
                <w:sz w:val="24"/>
                <w:szCs w:val="24"/>
                <w:highlight w:val="none"/>
              </w:rPr>
              <w:t>综合评估法</w:t>
            </w:r>
          </w:p>
          <w:p>
            <w:pPr>
              <w:keepNext/>
              <w:jc w:val="left"/>
              <w:rPr>
                <w:rFonts w:ascii="宋体" w:hAnsi="宋体"/>
                <w:color w:val="auto"/>
                <w:sz w:val="24"/>
                <w:szCs w:val="24"/>
                <w:highlight w:val="none"/>
              </w:rPr>
            </w:pPr>
            <w:r>
              <w:rPr>
                <w:rFonts w:hint="eastAsia" w:ascii="宋体" w:hAnsi="宋体"/>
                <w:color w:val="auto"/>
                <w:sz w:val="24"/>
                <w:szCs w:val="24"/>
                <w:highlight w:val="none"/>
              </w:rPr>
              <w:t>□最低价法</w:t>
            </w:r>
          </w:p>
          <w:p>
            <w:pPr>
              <w:keepNext/>
              <w:jc w:val="left"/>
              <w:rPr>
                <w:rFonts w:ascii="宋体" w:hAnsi="宋体"/>
                <w:color w:val="auto"/>
                <w:sz w:val="24"/>
                <w:szCs w:val="24"/>
                <w:highlight w:val="none"/>
              </w:rPr>
            </w:pPr>
            <w:r>
              <w:rPr>
                <w:rFonts w:hint="eastAsia" w:ascii="宋体" w:hAnsi="宋体"/>
                <w:color w:val="auto"/>
                <w:sz w:val="24"/>
                <w:szCs w:val="24"/>
                <w:highlight w:val="none"/>
              </w:rPr>
              <w:t>□抽签法</w:t>
            </w:r>
          </w:p>
          <w:p>
            <w:pPr>
              <w:keepNext/>
              <w:jc w:val="left"/>
              <w:rPr>
                <w:rFonts w:ascii="宋体" w:hAnsi="宋体"/>
                <w:color w:val="auto"/>
                <w:sz w:val="24"/>
                <w:szCs w:val="24"/>
                <w:highlight w:val="none"/>
              </w:rPr>
            </w:pPr>
            <w:r>
              <w:rPr>
                <w:rFonts w:hint="eastAsia" w:ascii="宋体" w:hAnsi="宋体"/>
                <w:color w:val="auto"/>
                <w:sz w:val="24"/>
                <w:szCs w:val="24"/>
                <w:highlight w:val="none"/>
              </w:rPr>
              <w:t xml:space="preserve">□其他：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blHeader/>
          <w:jc w:val="center"/>
        </w:trPr>
        <w:tc>
          <w:tcPr>
            <w:tcW w:w="792" w:type="dxa"/>
            <w:vMerge w:val="restart"/>
            <w:vAlign w:val="center"/>
          </w:tcPr>
          <w:p>
            <w:pPr>
              <w:numPr>
                <w:ilvl w:val="0"/>
                <w:numId w:val="1"/>
              </w:numPr>
              <w:jc w:val="center"/>
              <w:rPr>
                <w:rFonts w:ascii="宋体" w:hAnsi="宋体"/>
                <w:color w:val="auto"/>
                <w:sz w:val="24"/>
                <w:szCs w:val="24"/>
                <w:highlight w:val="none"/>
              </w:rPr>
            </w:pPr>
          </w:p>
        </w:tc>
        <w:tc>
          <w:tcPr>
            <w:tcW w:w="1532" w:type="dxa"/>
            <w:vMerge w:val="restart"/>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履约担保</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金额：</w:t>
            </w:r>
            <w:r>
              <w:rPr>
                <w:rFonts w:ascii="宋体" w:hAnsi="宋体"/>
                <w:color w:val="auto"/>
                <w:sz w:val="24"/>
                <w:szCs w:val="24"/>
                <w:highlight w:val="none"/>
              </w:rPr>
              <w:t>中标价的10%</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input437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 w:hRule="atLeast"/>
          <w:tblHeader/>
          <w:jc w:val="center"/>
        </w:trPr>
        <w:tc>
          <w:tcPr>
            <w:tcW w:w="792" w:type="dxa"/>
            <w:vMerge w:val="continue"/>
            <w:vAlign w:val="center"/>
          </w:tcPr>
          <w:p>
            <w:pPr>
              <w:numPr>
                <w:ilvl w:val="0"/>
                <w:numId w:val="1"/>
              </w:numPr>
              <w:jc w:val="center"/>
              <w:rPr>
                <w:rFonts w:ascii="宋体" w:hAnsi="宋体"/>
                <w:color w:val="auto"/>
                <w:sz w:val="24"/>
                <w:szCs w:val="24"/>
                <w:highlight w:val="none"/>
              </w:rPr>
            </w:pPr>
          </w:p>
        </w:tc>
        <w:tc>
          <w:tcPr>
            <w:tcW w:w="1532" w:type="dxa"/>
            <w:vMerge w:val="continue"/>
            <w:vAlign w:val="center"/>
          </w:tcPr>
          <w:p>
            <w:pPr>
              <w:keepNext/>
              <w:jc w:val="center"/>
              <w:rPr>
                <w:rFonts w:ascii="宋体" w:hAnsi="宋体"/>
                <w:color w:val="auto"/>
                <w:sz w:val="24"/>
                <w:szCs w:val="24"/>
                <w:highlight w:val="none"/>
              </w:rPr>
            </w:pP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担保形式：</w:t>
            </w:r>
          </w:p>
          <w:p>
            <w:pPr>
              <w:keepNext/>
              <w:jc w:val="left"/>
              <w:rPr>
                <w:rFonts w:ascii="宋体" w:hAnsi="宋体"/>
                <w:color w:val="auto"/>
                <w:sz w:val="24"/>
                <w:szCs w:val="24"/>
                <w:highlight w:val="none"/>
              </w:rPr>
            </w:pPr>
            <w:r>
              <w:rPr>
                <w:rFonts w:hint="eastAsia" w:ascii="宋体" w:hAnsi="宋体"/>
                <w:color w:val="auto"/>
                <w:sz w:val="24"/>
                <w:szCs w:val="24"/>
                <w:highlight w:val="none"/>
              </w:rPr>
              <w:t>由</w:t>
            </w:r>
            <w:r>
              <w:rPr>
                <w:rFonts w:ascii="宋体" w:hAnsi="宋体"/>
                <w:color w:val="auto"/>
                <w:sz w:val="24"/>
                <w:szCs w:val="24"/>
                <w:highlight w:val="none"/>
              </w:rPr>
              <w:t>☑</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input438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r>
              <w:rPr>
                <w:rFonts w:hint="eastAsia" w:ascii="宋体" w:hAnsi="宋体"/>
                <w:color w:val="auto"/>
                <w:sz w:val="24"/>
                <w:szCs w:val="24"/>
                <w:highlight w:val="none"/>
              </w:rPr>
              <w:t>银行</w:t>
            </w:r>
            <w:r>
              <w:rPr>
                <w:rFonts w:ascii="宋体" w:hAnsi="宋体"/>
                <w:color w:val="auto"/>
                <w:sz w:val="24"/>
                <w:szCs w:val="24"/>
                <w:highlight w:val="none"/>
              </w:rPr>
              <w:t xml:space="preserve"> □</w:t>
            </w:r>
            <w:r>
              <w:rPr>
                <w:rFonts w:ascii="宋体" w:hAnsi="宋体"/>
                <w:color w:val="auto"/>
                <w:sz w:val="24"/>
                <w:szCs w:val="24"/>
                <w:highlight w:val="none"/>
              </w:rPr>
              <w:fldChar w:fldCharType="begin"/>
            </w:r>
            <w:r>
              <w:rPr>
                <w:rFonts w:ascii="宋体" w:hAnsi="宋体"/>
                <w:color w:val="auto"/>
                <w:sz w:val="24"/>
                <w:szCs w:val="24"/>
                <w:highlight w:val="none"/>
              </w:rPr>
              <w:instrText xml:space="preserve"> </w:instrText>
            </w:r>
            <w:r>
              <w:rPr>
                <w:rFonts w:hint="eastAsia" w:ascii="宋体" w:hAnsi="宋体"/>
                <w:color w:val="auto"/>
                <w:sz w:val="24"/>
                <w:szCs w:val="24"/>
                <w:highlight w:val="none"/>
              </w:rPr>
              <w:instrText xml:space="preserve">AUTOTEXT  input439 \* MERGEFORMAT</w:instrText>
            </w:r>
            <w:r>
              <w:rPr>
                <w:rFonts w:ascii="宋体" w:hAnsi="宋体"/>
                <w:color w:val="auto"/>
                <w:sz w:val="24"/>
                <w:szCs w:val="24"/>
                <w:highlight w:val="none"/>
              </w:rPr>
              <w:instrText xml:space="preserve"> </w:instrText>
            </w:r>
            <w:r>
              <w:rPr>
                <w:rFonts w:ascii="宋体" w:hAnsi="宋体"/>
                <w:color w:val="auto"/>
                <w:sz w:val="24"/>
                <w:szCs w:val="24"/>
                <w:highlight w:val="none"/>
              </w:rPr>
              <w:fldChar w:fldCharType="end"/>
            </w:r>
            <w:r>
              <w:rPr>
                <w:rFonts w:ascii="宋体" w:hAnsi="宋体"/>
                <w:color w:val="auto"/>
                <w:sz w:val="24"/>
                <w:szCs w:val="24"/>
                <w:highlight w:val="none"/>
              </w:rPr>
              <w:t>专业担保公司出具的保函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22"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发出中标通知书及签订合同</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中标结果公示期满后</w:t>
            </w:r>
            <w:r>
              <w:rPr>
                <w:rFonts w:ascii="宋体" w:hAnsi="宋体"/>
                <w:color w:val="auto"/>
                <w:sz w:val="24"/>
                <w:szCs w:val="24"/>
                <w:highlight w:val="none"/>
              </w:rPr>
              <w:t>30日内（因投诉暂停的除外）。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比选文件的质疑</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参选单位如对比选文件有质疑，需在截标前</w:t>
            </w:r>
            <w:r>
              <w:rPr>
                <w:rFonts w:hint="eastAsia" w:ascii="宋体" w:hAnsi="宋体"/>
                <w:color w:val="auto"/>
                <w:sz w:val="24"/>
                <w:szCs w:val="24"/>
                <w:highlight w:val="none"/>
                <w:u w:val="single"/>
              </w:rPr>
              <w:t>1</w:t>
            </w:r>
            <w:r>
              <w:rPr>
                <w:rFonts w:ascii="宋体" w:hAnsi="宋体"/>
                <w:color w:val="auto"/>
                <w:sz w:val="24"/>
                <w:szCs w:val="24"/>
                <w:highlight w:val="none"/>
                <w:u w:val="single"/>
              </w:rPr>
              <w:t>0</w:t>
            </w:r>
            <w:r>
              <w:rPr>
                <w:rFonts w:hint="eastAsia" w:ascii="宋体" w:hAnsi="宋体"/>
                <w:color w:val="auto"/>
                <w:sz w:val="24"/>
                <w:szCs w:val="24"/>
                <w:highlight w:val="none"/>
              </w:rPr>
              <w:t>天提出。过期比选人有权不再处理。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Header/>
          <w:jc w:val="center"/>
        </w:trPr>
        <w:tc>
          <w:tcPr>
            <w:tcW w:w="792" w:type="dxa"/>
            <w:vAlign w:val="center"/>
          </w:tcPr>
          <w:p>
            <w:pPr>
              <w:numPr>
                <w:ilvl w:val="0"/>
                <w:numId w:val="1"/>
              </w:numPr>
              <w:jc w:val="center"/>
              <w:rPr>
                <w:rFonts w:ascii="宋体" w:hAnsi="宋体"/>
                <w:color w:val="auto"/>
                <w:sz w:val="24"/>
                <w:szCs w:val="24"/>
                <w:highlight w:val="none"/>
              </w:rPr>
            </w:pPr>
          </w:p>
        </w:tc>
        <w:tc>
          <w:tcPr>
            <w:tcW w:w="1532" w:type="dxa"/>
            <w:vAlign w:val="center"/>
          </w:tcPr>
          <w:p>
            <w:pPr>
              <w:keepNext/>
              <w:jc w:val="center"/>
              <w:rPr>
                <w:rFonts w:ascii="宋体" w:hAnsi="宋体"/>
                <w:color w:val="auto"/>
                <w:sz w:val="24"/>
                <w:szCs w:val="24"/>
                <w:highlight w:val="none"/>
              </w:rPr>
            </w:pPr>
            <w:r>
              <w:rPr>
                <w:rFonts w:hint="eastAsia" w:ascii="宋体" w:hAnsi="宋体"/>
                <w:color w:val="auto"/>
                <w:sz w:val="24"/>
                <w:szCs w:val="24"/>
                <w:highlight w:val="none"/>
              </w:rPr>
              <w:t>比选文件的修改</w:t>
            </w:r>
          </w:p>
        </w:tc>
        <w:tc>
          <w:tcPr>
            <w:tcW w:w="7241" w:type="dxa"/>
            <w:vAlign w:val="center"/>
          </w:tcPr>
          <w:p>
            <w:pPr>
              <w:keepNext/>
              <w:jc w:val="left"/>
              <w:rPr>
                <w:rFonts w:ascii="宋体" w:hAnsi="宋体"/>
                <w:color w:val="auto"/>
                <w:sz w:val="24"/>
                <w:szCs w:val="24"/>
                <w:highlight w:val="none"/>
              </w:rPr>
            </w:pPr>
            <w:r>
              <w:rPr>
                <w:rFonts w:hint="eastAsia" w:ascii="宋体" w:hAnsi="宋体"/>
                <w:color w:val="auto"/>
                <w:sz w:val="24"/>
                <w:szCs w:val="24"/>
                <w:highlight w:val="none"/>
              </w:rPr>
              <w:t>比选人如认为比选文件需要修改，应在截标时间前5天内告知所有参选单位。</w:t>
            </w:r>
          </w:p>
        </w:tc>
      </w:tr>
    </w:tbl>
    <w:p>
      <w:pPr>
        <w:snapToGrid w:val="0"/>
        <w:spacing w:line="480" w:lineRule="exact"/>
        <w:rPr>
          <w:color w:val="auto"/>
          <w:highlight w:val="none"/>
        </w:rPr>
        <w:sectPr>
          <w:pgSz w:w="11906" w:h="16838"/>
          <w:pgMar w:top="1440" w:right="1800" w:bottom="1440" w:left="1800" w:header="851" w:footer="992" w:gutter="0"/>
          <w:pgNumType w:start="1"/>
          <w:cols w:space="720" w:num="1"/>
          <w:docGrid w:linePitch="312" w:charSpace="0"/>
        </w:sectPr>
      </w:pPr>
    </w:p>
    <w:p>
      <w:pPr>
        <w:pStyle w:val="4"/>
        <w:spacing w:before="240" w:beforeLines="100" w:after="360" w:afterLines="150" w:line="480" w:lineRule="exact"/>
        <w:ind w:left="420"/>
        <w:jc w:val="center"/>
        <w:rPr>
          <w:rFonts w:asciiTheme="minorEastAsia" w:hAnsiTheme="minorEastAsia" w:eastAsiaTheme="minorEastAsia"/>
          <w:color w:val="auto"/>
          <w:sz w:val="36"/>
          <w:szCs w:val="36"/>
          <w:highlight w:val="none"/>
        </w:rPr>
      </w:pPr>
      <w:bookmarkStart w:id="18" w:name="_Toc52096184"/>
      <w:bookmarkStart w:id="19" w:name="_Toc65054222"/>
      <w:r>
        <w:rPr>
          <w:rFonts w:asciiTheme="minorEastAsia" w:hAnsiTheme="minorEastAsia" w:eastAsiaTheme="minorEastAsia"/>
          <w:color w:val="auto"/>
          <w:sz w:val="36"/>
          <w:szCs w:val="36"/>
          <w:highlight w:val="none"/>
        </w:rPr>
        <w:t>第二节</w:t>
      </w:r>
      <w:r>
        <w:rPr>
          <w:rFonts w:hint="eastAsia" w:asciiTheme="minorEastAsia" w:hAnsiTheme="minorEastAsia" w:eastAsiaTheme="minorEastAsia"/>
          <w:color w:val="auto"/>
          <w:sz w:val="36"/>
          <w:szCs w:val="36"/>
          <w:highlight w:val="none"/>
        </w:rPr>
        <w:t xml:space="preserve"> </w:t>
      </w:r>
      <w:r>
        <w:rPr>
          <w:rFonts w:asciiTheme="minorEastAsia" w:hAnsiTheme="minorEastAsia" w:eastAsiaTheme="minorEastAsia"/>
          <w:color w:val="auto"/>
          <w:sz w:val="36"/>
          <w:szCs w:val="36"/>
          <w:highlight w:val="none"/>
        </w:rPr>
        <w:t>比选公告</w:t>
      </w:r>
      <w:bookmarkEnd w:id="18"/>
    </w:p>
    <w:p>
      <w:pPr>
        <w:spacing w:line="360" w:lineRule="auto"/>
        <w:jc w:val="lef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一、项目信息</w:t>
      </w:r>
    </w:p>
    <w:p>
      <w:pPr>
        <w:spacing w:line="360" w:lineRule="auto"/>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招标方式：公开比选</w:t>
      </w:r>
    </w:p>
    <w:p>
      <w:pPr>
        <w:spacing w:line="360" w:lineRule="auto"/>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建设单位：深圳市地铁集团有限公司</w:t>
      </w:r>
    </w:p>
    <w:p>
      <w:pPr>
        <w:spacing w:line="360" w:lineRule="auto"/>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 xml:space="preserve">招标工程名称: </w:t>
      </w:r>
      <w:r>
        <w:rPr>
          <w:rFonts w:hint="eastAsia" w:asciiTheme="minorEastAsia" w:hAnsiTheme="minorEastAsia" w:eastAsiaTheme="minorEastAsia"/>
          <w:bCs/>
          <w:color w:val="auto"/>
          <w:sz w:val="28"/>
          <w:szCs w:val="28"/>
          <w:highlight w:val="none"/>
          <w:u w:val="single"/>
        </w:rPr>
        <w:t>深铁珑境（一期）泛光照明工程</w:t>
      </w:r>
    </w:p>
    <w:p>
      <w:pPr>
        <w:spacing w:line="360" w:lineRule="auto"/>
        <w:jc w:val="lef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二、</w:t>
      </w:r>
      <w:r>
        <w:rPr>
          <w:rFonts w:hint="eastAsia" w:asciiTheme="minorEastAsia" w:hAnsiTheme="minorEastAsia" w:eastAsiaTheme="minorEastAsia"/>
          <w:b/>
          <w:color w:val="auto"/>
          <w:sz w:val="28"/>
          <w:szCs w:val="28"/>
          <w:highlight w:val="none"/>
        </w:rPr>
        <w:t>项目概况</w:t>
      </w:r>
      <w:r>
        <w:rPr>
          <w:rFonts w:asciiTheme="minorEastAsia" w:hAnsiTheme="minorEastAsia" w:eastAsiaTheme="minorEastAsia"/>
          <w:b/>
          <w:color w:val="auto"/>
          <w:sz w:val="28"/>
          <w:szCs w:val="28"/>
          <w:highlight w:val="none"/>
        </w:rPr>
        <w:t>及工程范围</w:t>
      </w:r>
    </w:p>
    <w:p>
      <w:pPr>
        <w:spacing w:line="360" w:lineRule="auto"/>
        <w:ind w:firstLine="560" w:firstLineChars="200"/>
        <w:jc w:val="lef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t>项目概况：</w:t>
      </w:r>
      <w:r>
        <w:rPr>
          <w:rFonts w:hint="eastAsia" w:asciiTheme="minorEastAsia" w:hAnsiTheme="minorEastAsia" w:eastAsiaTheme="minorEastAsia"/>
          <w:bCs/>
          <w:color w:val="auto"/>
          <w:sz w:val="28"/>
          <w:szCs w:val="28"/>
          <w:highlight w:val="none"/>
        </w:rPr>
        <w:t>深铁珑境项目紧靠深圳北站商务区，北侧紧邻大浪商业，西侧具有羊台山景观资源；东侧龙岗坂田已扩容为坂雪岗科技城，区位条件优越。地铁四号线直接通达福田中心造产城示范区；向西依托地铁五号线。深铁珑境（一期）商品房包括10栋小高层商品房、20栋4层商品房、公共配套工程及架空车库等,总</w:t>
      </w:r>
      <w:r>
        <w:rPr>
          <w:rFonts w:asciiTheme="minorEastAsia" w:hAnsiTheme="minorEastAsia" w:eastAsiaTheme="minorEastAsia"/>
          <w:bCs/>
          <w:color w:val="auto"/>
          <w:sz w:val="28"/>
          <w:szCs w:val="28"/>
          <w:highlight w:val="none"/>
        </w:rPr>
        <w:t>面积约为</w:t>
      </w:r>
      <w:r>
        <w:rPr>
          <w:rFonts w:hint="eastAsia" w:asciiTheme="minorEastAsia" w:hAnsiTheme="minorEastAsia" w:eastAsiaTheme="minorEastAsia"/>
          <w:bCs/>
          <w:color w:val="auto"/>
          <w:sz w:val="28"/>
          <w:szCs w:val="28"/>
          <w:highlight w:val="none"/>
        </w:rPr>
        <w:t>7.4万</w:t>
      </w:r>
      <w:r>
        <w:rPr>
          <w:rFonts w:asciiTheme="minorEastAsia" w:hAnsiTheme="minorEastAsia" w:eastAsiaTheme="minorEastAsia"/>
          <w:bCs/>
          <w:color w:val="auto"/>
          <w:sz w:val="28"/>
          <w:szCs w:val="28"/>
          <w:highlight w:val="none"/>
        </w:rPr>
        <w:t>平米</w:t>
      </w:r>
      <w:r>
        <w:rPr>
          <w:rFonts w:hint="eastAsia" w:asciiTheme="minorEastAsia" w:hAnsiTheme="minorEastAsia" w:eastAsiaTheme="minorEastAsia"/>
          <w:bCs/>
          <w:color w:val="auto"/>
          <w:sz w:val="28"/>
          <w:szCs w:val="28"/>
          <w:highlight w:val="none"/>
        </w:rPr>
        <w:t>；办学规模为36班的九年一贯制学校，由1栋8层综合楼（含教职工宿舍）及体育馆、多功能厅组成，总建筑面积约为38557.92㎡；幼儿园总建筑面积约5000㎡，建设规模为18班幼儿园。</w:t>
      </w:r>
    </w:p>
    <w:p>
      <w:pPr>
        <w:spacing w:line="360" w:lineRule="auto"/>
        <w:ind w:firstLine="560" w:firstLineChars="200"/>
        <w:jc w:val="left"/>
        <w:rPr>
          <w:rFonts w:hint="eastAsia"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深铁珑境（一期）泛光照明工程包括但不限于室外公共区域泛光照明；泛光照明与建筑、幕墙、景观等工程交接区域的收边、收口等；二次机电安装工程等。</w:t>
      </w:r>
    </w:p>
    <w:p>
      <w:pPr>
        <w:spacing w:line="360" w:lineRule="auto"/>
        <w:ind w:firstLine="560" w:firstLineChars="200"/>
        <w:jc w:val="left"/>
        <w:rPr>
          <w:rFonts w:hint="eastAsia"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具体范围以</w:t>
      </w:r>
      <w:r>
        <w:rPr>
          <w:rFonts w:hint="eastAsia" w:asciiTheme="minorEastAsia" w:hAnsiTheme="minorEastAsia" w:eastAsiaTheme="minorEastAsia"/>
          <w:bCs/>
          <w:color w:val="auto"/>
          <w:sz w:val="28"/>
          <w:szCs w:val="28"/>
          <w:highlight w:val="none"/>
          <w:lang w:eastAsia="zh-CN"/>
        </w:rPr>
        <w:t>比选</w:t>
      </w:r>
      <w:r>
        <w:rPr>
          <w:rFonts w:hint="eastAsia" w:asciiTheme="minorEastAsia" w:hAnsiTheme="minorEastAsia" w:eastAsiaTheme="minorEastAsia"/>
          <w:bCs/>
          <w:color w:val="auto"/>
          <w:sz w:val="28"/>
          <w:szCs w:val="28"/>
          <w:highlight w:val="none"/>
        </w:rPr>
        <w:t>文件、图纸和工程量清单为准。</w:t>
      </w:r>
    </w:p>
    <w:p>
      <w:pPr>
        <w:spacing w:line="360" w:lineRule="auto"/>
        <w:rPr>
          <w:rFonts w:asciiTheme="minorEastAsia" w:hAnsiTheme="minorEastAsia" w:eastAsiaTheme="minorEastAsia"/>
          <w:b/>
          <w:color w:val="auto"/>
          <w:sz w:val="28"/>
          <w:szCs w:val="28"/>
          <w:highlight w:val="none"/>
          <w:lang w:eastAsia="zh-TW"/>
        </w:rPr>
      </w:pPr>
      <w:r>
        <w:rPr>
          <w:rFonts w:asciiTheme="minorEastAsia" w:hAnsiTheme="minorEastAsia" w:eastAsiaTheme="minorEastAsia"/>
          <w:b/>
          <w:color w:val="auto"/>
          <w:sz w:val="28"/>
          <w:szCs w:val="28"/>
          <w:highlight w:val="none"/>
        </w:rPr>
        <w:t>三、现场踏勘</w:t>
      </w:r>
    </w:p>
    <w:p>
      <w:pPr>
        <w:spacing w:line="360" w:lineRule="auto"/>
        <w:ind w:firstLine="560" w:firstLineChars="200"/>
        <w:rPr>
          <w:rFonts w:asciiTheme="minorEastAsia" w:hAnsiTheme="minorEastAsia" w:eastAsiaTheme="minorEastAsia"/>
          <w:bCs/>
          <w:color w:val="auto"/>
          <w:sz w:val="28"/>
          <w:szCs w:val="28"/>
          <w:highlight w:val="none"/>
          <w:lang w:eastAsia="zh-TW"/>
        </w:rPr>
      </w:pPr>
      <w:r>
        <w:rPr>
          <w:rFonts w:asciiTheme="minorEastAsia" w:hAnsiTheme="minorEastAsia" w:eastAsiaTheme="minorEastAsia"/>
          <w:bCs/>
          <w:color w:val="auto"/>
          <w:sz w:val="28"/>
          <w:szCs w:val="28"/>
          <w:highlight w:val="none"/>
        </w:rPr>
        <w:t>本工程不设现场踏</w:t>
      </w:r>
      <w:r>
        <w:rPr>
          <w:rFonts w:hint="eastAsia" w:cs="Courier New" w:asciiTheme="minorEastAsia" w:hAnsiTheme="minorEastAsia" w:eastAsiaTheme="minorEastAsia"/>
          <w:bCs/>
          <w:color w:val="auto"/>
          <w:sz w:val="28"/>
          <w:szCs w:val="28"/>
          <w:highlight w:val="none"/>
        </w:rPr>
        <w:t>勘，请参选人自行现场踏勘。</w:t>
      </w:r>
    </w:p>
    <w:p>
      <w:pPr>
        <w:spacing w:line="360" w:lineRule="auto"/>
        <w:rPr>
          <w:rFonts w:asciiTheme="minorEastAsia" w:hAnsiTheme="minorEastAsia" w:eastAsiaTheme="minorEastAsia"/>
          <w:b/>
          <w:color w:val="auto"/>
          <w:sz w:val="28"/>
          <w:szCs w:val="28"/>
          <w:highlight w:val="none"/>
          <w:lang w:eastAsia="zh-TW"/>
        </w:rPr>
      </w:pPr>
      <w:r>
        <w:rPr>
          <w:rFonts w:asciiTheme="minorEastAsia" w:hAnsiTheme="minorEastAsia" w:eastAsiaTheme="minorEastAsia"/>
          <w:b/>
          <w:color w:val="auto"/>
          <w:sz w:val="28"/>
          <w:szCs w:val="28"/>
          <w:highlight w:val="none"/>
        </w:rPr>
        <w:t>四、预计开工、完工时间</w:t>
      </w:r>
    </w:p>
    <w:p>
      <w:pPr>
        <w:spacing w:line="360" w:lineRule="auto"/>
        <w:ind w:firstLine="560" w:firstLineChars="200"/>
        <w:rPr>
          <w:rFonts w:hint="eastAsia" w:asciiTheme="minorEastAsia" w:hAnsiTheme="minorEastAsia" w:eastAsiaTheme="minorEastAsia"/>
          <w:bCs/>
          <w:color w:val="auto"/>
          <w:sz w:val="28"/>
          <w:szCs w:val="28"/>
          <w:highlight w:val="none"/>
        </w:rPr>
      </w:pPr>
      <w:r>
        <w:rPr>
          <w:rFonts w:hint="eastAsia" w:asciiTheme="minorEastAsia" w:hAnsiTheme="minorEastAsia" w:eastAsiaTheme="minorEastAsia"/>
          <w:bCs/>
          <w:color w:val="auto"/>
          <w:sz w:val="28"/>
          <w:szCs w:val="28"/>
          <w:highlight w:val="none"/>
        </w:rPr>
        <w:t>暂定自</w:t>
      </w:r>
      <w:r>
        <w:rPr>
          <w:rFonts w:hint="eastAsia" w:asciiTheme="minorEastAsia" w:hAnsiTheme="minorEastAsia" w:eastAsiaTheme="minorEastAsia"/>
          <w:bCs/>
          <w:color w:val="auto"/>
          <w:sz w:val="28"/>
          <w:szCs w:val="28"/>
          <w:highlight w:val="none"/>
          <w:lang w:val="en-US" w:eastAsia="zh-CN"/>
        </w:rPr>
        <w:t>2022</w:t>
      </w:r>
      <w:r>
        <w:rPr>
          <w:rFonts w:hint="eastAsia" w:asciiTheme="minorEastAsia" w:hAnsiTheme="minorEastAsia" w:eastAsiaTheme="minorEastAsia"/>
          <w:bCs/>
          <w:color w:val="auto"/>
          <w:sz w:val="28"/>
          <w:szCs w:val="28"/>
          <w:highlight w:val="none"/>
        </w:rPr>
        <w:t>年</w:t>
      </w:r>
      <w:r>
        <w:rPr>
          <w:rFonts w:hint="eastAsia" w:asciiTheme="minorEastAsia" w:hAnsiTheme="minorEastAsia" w:eastAsiaTheme="minorEastAsia"/>
          <w:bCs/>
          <w:color w:val="auto"/>
          <w:sz w:val="28"/>
          <w:szCs w:val="28"/>
          <w:highlight w:val="none"/>
          <w:lang w:val="en-US" w:eastAsia="zh-CN"/>
        </w:rPr>
        <w:t>11</w:t>
      </w:r>
      <w:r>
        <w:rPr>
          <w:rFonts w:hint="eastAsia" w:asciiTheme="minorEastAsia" w:hAnsiTheme="minorEastAsia" w:eastAsiaTheme="minorEastAsia"/>
          <w:bCs/>
          <w:color w:val="auto"/>
          <w:sz w:val="28"/>
          <w:szCs w:val="28"/>
          <w:highlight w:val="none"/>
        </w:rPr>
        <w:t>月</w:t>
      </w:r>
      <w:r>
        <w:rPr>
          <w:rFonts w:hint="eastAsia" w:asciiTheme="minorEastAsia" w:hAnsiTheme="minorEastAsia" w:eastAsiaTheme="minorEastAsia"/>
          <w:bCs/>
          <w:color w:val="auto"/>
          <w:sz w:val="28"/>
          <w:szCs w:val="28"/>
          <w:highlight w:val="none"/>
          <w:lang w:val="en-US" w:eastAsia="zh-CN"/>
        </w:rPr>
        <w:t>1</w:t>
      </w:r>
      <w:r>
        <w:rPr>
          <w:rFonts w:hint="eastAsia" w:asciiTheme="minorEastAsia" w:hAnsiTheme="minorEastAsia" w:eastAsiaTheme="minorEastAsia"/>
          <w:bCs/>
          <w:color w:val="auto"/>
          <w:sz w:val="28"/>
          <w:szCs w:val="28"/>
          <w:highlight w:val="none"/>
        </w:rPr>
        <w:t>日至</w:t>
      </w:r>
      <w:r>
        <w:rPr>
          <w:rFonts w:hint="eastAsia" w:asciiTheme="minorEastAsia" w:hAnsiTheme="minorEastAsia" w:eastAsiaTheme="minorEastAsia"/>
          <w:bCs/>
          <w:color w:val="auto"/>
          <w:sz w:val="28"/>
          <w:szCs w:val="28"/>
          <w:highlight w:val="none"/>
          <w:lang w:val="en-US" w:eastAsia="zh-CN"/>
        </w:rPr>
        <w:t>2023</w:t>
      </w:r>
      <w:r>
        <w:rPr>
          <w:rFonts w:hint="eastAsia" w:asciiTheme="minorEastAsia" w:hAnsiTheme="minorEastAsia" w:eastAsiaTheme="minorEastAsia"/>
          <w:bCs/>
          <w:color w:val="auto"/>
          <w:sz w:val="28"/>
          <w:szCs w:val="28"/>
          <w:highlight w:val="none"/>
        </w:rPr>
        <w:t>年</w:t>
      </w:r>
      <w:r>
        <w:rPr>
          <w:rFonts w:hint="eastAsia" w:asciiTheme="minorEastAsia" w:hAnsiTheme="minorEastAsia" w:eastAsiaTheme="minorEastAsia"/>
          <w:bCs/>
          <w:color w:val="auto"/>
          <w:sz w:val="28"/>
          <w:szCs w:val="28"/>
          <w:highlight w:val="none"/>
          <w:lang w:val="en-US" w:eastAsia="zh-CN"/>
        </w:rPr>
        <w:t>6</w:t>
      </w:r>
      <w:r>
        <w:rPr>
          <w:rFonts w:hint="eastAsia" w:asciiTheme="minorEastAsia" w:hAnsiTheme="minorEastAsia" w:eastAsiaTheme="minorEastAsia"/>
          <w:bCs/>
          <w:color w:val="auto"/>
          <w:sz w:val="28"/>
          <w:szCs w:val="28"/>
          <w:highlight w:val="none"/>
        </w:rPr>
        <w:t>月</w:t>
      </w:r>
      <w:r>
        <w:rPr>
          <w:rFonts w:hint="eastAsia" w:asciiTheme="minorEastAsia" w:hAnsiTheme="minorEastAsia" w:eastAsiaTheme="minorEastAsia"/>
          <w:bCs/>
          <w:color w:val="auto"/>
          <w:sz w:val="28"/>
          <w:szCs w:val="28"/>
          <w:highlight w:val="none"/>
          <w:lang w:val="en-US" w:eastAsia="zh-CN"/>
        </w:rPr>
        <w:t>1</w:t>
      </w:r>
      <w:r>
        <w:rPr>
          <w:rFonts w:hint="eastAsia" w:asciiTheme="minorEastAsia" w:hAnsiTheme="minorEastAsia" w:eastAsiaTheme="minorEastAsia"/>
          <w:bCs/>
          <w:color w:val="auto"/>
          <w:sz w:val="28"/>
          <w:szCs w:val="28"/>
          <w:highlight w:val="none"/>
        </w:rPr>
        <w:t>日（具体以开工令为准），共</w:t>
      </w:r>
      <w:r>
        <w:rPr>
          <w:rFonts w:hint="eastAsia" w:asciiTheme="minorEastAsia" w:hAnsiTheme="minorEastAsia" w:eastAsiaTheme="minorEastAsia"/>
          <w:bCs/>
          <w:color w:val="auto"/>
          <w:sz w:val="28"/>
          <w:szCs w:val="28"/>
          <w:highlight w:val="none"/>
          <w:lang w:val="en-US" w:eastAsia="zh-CN"/>
        </w:rPr>
        <w:t>212</w:t>
      </w:r>
      <w:r>
        <w:rPr>
          <w:rFonts w:hint="eastAsia" w:asciiTheme="minorEastAsia" w:hAnsiTheme="minorEastAsia" w:eastAsiaTheme="minorEastAsia"/>
          <w:bCs/>
          <w:color w:val="auto"/>
          <w:sz w:val="28"/>
          <w:szCs w:val="28"/>
          <w:highlight w:val="none"/>
        </w:rPr>
        <w:t>日历天</w:t>
      </w:r>
    </w:p>
    <w:p>
      <w:pPr>
        <w:spacing w:line="360" w:lineRule="auto"/>
        <w:rPr>
          <w:rFonts w:asciiTheme="minorEastAsia" w:hAnsiTheme="minorEastAsia" w:eastAsiaTheme="minorEastAsia"/>
          <w:b/>
          <w:color w:val="auto"/>
          <w:sz w:val="28"/>
          <w:szCs w:val="28"/>
          <w:highlight w:val="none"/>
          <w:lang w:eastAsia="zh-TW"/>
        </w:rPr>
      </w:pPr>
      <w:r>
        <w:rPr>
          <w:rFonts w:hint="eastAsia" w:asciiTheme="minorEastAsia" w:hAnsiTheme="minorEastAsia" w:eastAsiaTheme="minorEastAsia"/>
          <w:b/>
          <w:color w:val="auto"/>
          <w:sz w:val="28"/>
          <w:szCs w:val="28"/>
          <w:highlight w:val="none"/>
        </w:rPr>
        <w:t>五</w:t>
      </w:r>
      <w:r>
        <w:rPr>
          <w:rFonts w:asciiTheme="minorEastAsia" w:hAnsiTheme="minorEastAsia" w:eastAsiaTheme="minorEastAsia"/>
          <w:b/>
          <w:color w:val="auto"/>
          <w:sz w:val="28"/>
          <w:szCs w:val="28"/>
          <w:highlight w:val="none"/>
        </w:rPr>
        <w:t>、参选人资质要求</w:t>
      </w:r>
    </w:p>
    <w:p>
      <w:pPr>
        <w:spacing w:line="360" w:lineRule="auto"/>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w:t>
      </w:r>
      <w:r>
        <w:rPr>
          <w:rFonts w:hint="eastAsia" w:asciiTheme="minorEastAsia" w:hAnsiTheme="minorEastAsia" w:eastAsiaTheme="minorEastAsia"/>
          <w:color w:val="auto"/>
          <w:sz w:val="28"/>
          <w:szCs w:val="28"/>
          <w:highlight w:val="none"/>
        </w:rPr>
        <w:t>参选单位：</w:t>
      </w:r>
      <w:r>
        <w:rPr>
          <w:rFonts w:hint="eastAsia" w:asciiTheme="minorEastAsia" w:hAnsiTheme="minorEastAsia" w:eastAsiaTheme="minorEastAsia"/>
          <w:color w:val="auto"/>
          <w:sz w:val="28"/>
          <w:szCs w:val="28"/>
          <w:highlight w:val="none"/>
          <w:u w:val="single"/>
        </w:rPr>
        <w:t>城市及道路照明工程专业承包资质三级及以上</w:t>
      </w:r>
    </w:p>
    <w:p>
      <w:pPr>
        <w:spacing w:line="360" w:lineRule="auto"/>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2.拟派项目经理(或建造师)</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u w:val="single"/>
        </w:rPr>
        <w:t>二级建造师（机电工程类</w:t>
      </w:r>
      <w:r>
        <w:rPr>
          <w:rFonts w:hint="eastAsia" w:asciiTheme="minorEastAsia" w:hAnsiTheme="minorEastAsia" w:eastAsiaTheme="minorEastAsia"/>
          <w:color w:val="auto"/>
          <w:sz w:val="28"/>
          <w:szCs w:val="28"/>
          <w:highlight w:val="none"/>
          <w:u w:val="single"/>
        </w:rPr>
        <w:t>）及以上</w:t>
      </w:r>
    </w:p>
    <w:p>
      <w:pPr>
        <w:spacing w:line="360" w:lineRule="auto"/>
        <w:ind w:firstLine="560" w:firstLineChars="200"/>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w:t>
      </w:r>
      <w:r>
        <w:rPr>
          <w:rFonts w:hint="eastAsia" w:asciiTheme="minorEastAsia" w:hAnsiTheme="minorEastAsia" w:eastAsiaTheme="minorEastAsia"/>
          <w:color w:val="auto"/>
          <w:sz w:val="28"/>
          <w:szCs w:val="28"/>
          <w:highlight w:val="none"/>
        </w:rPr>
        <w:t>其他要求：</w:t>
      </w:r>
    </w:p>
    <w:p>
      <w:pPr>
        <w:spacing w:line="360" w:lineRule="auto"/>
        <w:ind w:firstLine="560" w:firstLineChars="200"/>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（1）</w:t>
      </w:r>
      <w:r>
        <w:rPr>
          <w:rFonts w:hint="eastAsia" w:asciiTheme="minorEastAsia" w:hAnsiTheme="minorEastAsia" w:eastAsiaTheme="minorEastAsia"/>
          <w:color w:val="auto"/>
          <w:sz w:val="28"/>
          <w:szCs w:val="28"/>
          <w:highlight w:val="none"/>
        </w:rPr>
        <w:t>不接受联合体参选。</w:t>
      </w:r>
    </w:p>
    <w:p>
      <w:pPr>
        <w:spacing w:line="360" w:lineRule="auto"/>
        <w:ind w:firstLine="560" w:firstLineChars="200"/>
        <w:rPr>
          <w:rFonts w:hint="default" w:asciiTheme="minorEastAsia" w:hAnsiTheme="minorEastAsia" w:eastAsiaTheme="minorEastAsia"/>
          <w:color w:val="auto"/>
          <w:sz w:val="28"/>
          <w:szCs w:val="28"/>
          <w:highlight w:val="none"/>
          <w:lang w:val="en-US" w:eastAsia="zh-CN"/>
        </w:rPr>
      </w:pPr>
      <w:r>
        <w:rPr>
          <w:rFonts w:hint="eastAsia" w:asciiTheme="minorEastAsia" w:hAnsiTheme="minorEastAsia" w:eastAsiaTheme="minorEastAsia"/>
          <w:color w:val="auto"/>
          <w:sz w:val="28"/>
          <w:szCs w:val="28"/>
          <w:highlight w:val="none"/>
          <w:lang w:val="en-US" w:eastAsia="zh-CN"/>
        </w:rPr>
        <w:t>（2）参选人必须是在中华人民共和国境内注册的独立法人。</w:t>
      </w:r>
    </w:p>
    <w:p>
      <w:pPr>
        <w:spacing w:line="360" w:lineRule="auto"/>
        <w:ind w:firstLine="560" w:firstLineChars="200"/>
        <w:rPr>
          <w:rFonts w:hint="eastAsia" w:asciiTheme="minorEastAsia" w:hAnsiTheme="minorEastAsia" w:eastAsiaTheme="minorEastAsia"/>
          <w:color w:val="auto"/>
          <w:sz w:val="28"/>
          <w:szCs w:val="28"/>
          <w:highlight w:val="none"/>
          <w:lang w:val="en-US" w:eastAsia="zh-CN"/>
        </w:rPr>
      </w:pPr>
      <w:r>
        <w:rPr>
          <w:rFonts w:hint="eastAsia" w:asciiTheme="minorEastAsia" w:hAnsiTheme="minorEastAsia" w:eastAsiaTheme="minorEastAsia"/>
          <w:color w:val="auto"/>
          <w:sz w:val="28"/>
          <w:szCs w:val="28"/>
          <w:highlight w:val="none"/>
          <w:lang w:val="en-US" w:eastAsia="zh-CN"/>
        </w:rPr>
        <w:t>（3）不接受联合体投标，母、子公司只允许一家公司参与报价；同一法人代表，只接受一家投标。</w:t>
      </w:r>
    </w:p>
    <w:p>
      <w:pPr>
        <w:spacing w:line="360" w:lineRule="auto"/>
        <w:ind w:firstLine="560" w:firstLineChars="200"/>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（4）</w:t>
      </w:r>
      <w:r>
        <w:rPr>
          <w:rFonts w:hint="eastAsia" w:asciiTheme="minorEastAsia" w:hAnsiTheme="minorEastAsia" w:eastAsiaTheme="minorEastAsia"/>
          <w:color w:val="auto"/>
          <w:sz w:val="28"/>
          <w:szCs w:val="28"/>
          <w:highlight w:val="none"/>
        </w:rPr>
        <w:t>本项目不接受在深圳市地铁集团有限公司或其下属直管单位存在不良行为记录或违约行为或在合同履约评价考核为D的参选人。</w:t>
      </w:r>
    </w:p>
    <w:p>
      <w:pP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六</w:t>
      </w:r>
      <w:r>
        <w:rPr>
          <w:rFonts w:asciiTheme="minorEastAsia" w:hAnsiTheme="minorEastAsia" w:eastAsiaTheme="minorEastAsia"/>
          <w:b/>
          <w:color w:val="auto"/>
          <w:sz w:val="28"/>
          <w:szCs w:val="28"/>
          <w:highlight w:val="none"/>
        </w:rPr>
        <w:t>、评定标方法</w:t>
      </w:r>
    </w:p>
    <w:p>
      <w:pPr>
        <w:spacing w:line="360" w:lineRule="auto"/>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拟采用的评标方法：</w:t>
      </w:r>
      <w:r>
        <w:rPr>
          <w:rFonts w:hint="eastAsia" w:asciiTheme="minorEastAsia" w:hAnsiTheme="minorEastAsia" w:eastAsiaTheme="minorEastAsia"/>
          <w:color w:val="auto"/>
          <w:sz w:val="28"/>
          <w:szCs w:val="28"/>
          <w:highlight w:val="none"/>
        </w:rPr>
        <w:t>综合评估法。</w:t>
      </w:r>
    </w:p>
    <w:p>
      <w:pP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七</w:t>
      </w:r>
      <w:r>
        <w:rPr>
          <w:rFonts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rPr>
        <w:t>截标</w:t>
      </w:r>
      <w:r>
        <w:rPr>
          <w:rFonts w:asciiTheme="minorEastAsia" w:hAnsiTheme="minorEastAsia" w:eastAsiaTheme="minorEastAsia"/>
          <w:b/>
          <w:color w:val="auto"/>
          <w:sz w:val="28"/>
          <w:szCs w:val="28"/>
          <w:highlight w:val="none"/>
        </w:rPr>
        <w:t>时间及地点</w:t>
      </w:r>
    </w:p>
    <w:p>
      <w:pPr>
        <w:spacing w:line="360" w:lineRule="auto"/>
        <w:ind w:firstLine="560" w:firstLineChars="200"/>
        <w:rPr>
          <w:rFonts w:cs="Courier New" w:asciiTheme="minorEastAsia" w:hAnsiTheme="minorEastAsia" w:eastAsiaTheme="minorEastAsia"/>
          <w:color w:val="auto"/>
          <w:sz w:val="28"/>
          <w:szCs w:val="28"/>
          <w:highlight w:val="none"/>
        </w:rPr>
      </w:pPr>
      <w:r>
        <w:rPr>
          <w:rFonts w:hint="eastAsia" w:asciiTheme="minorEastAsia" w:hAnsiTheme="minorEastAsia" w:eastAsiaTheme="minorEastAsia"/>
          <w:bCs/>
          <w:color w:val="auto"/>
          <w:sz w:val="28"/>
          <w:szCs w:val="28"/>
          <w:highlight w:val="none"/>
        </w:rPr>
        <w:t>截标</w:t>
      </w:r>
      <w:r>
        <w:rPr>
          <w:rFonts w:asciiTheme="minorEastAsia" w:hAnsiTheme="minorEastAsia" w:eastAsiaTheme="minorEastAsia"/>
          <w:bCs/>
          <w:color w:val="auto"/>
          <w:sz w:val="28"/>
          <w:szCs w:val="28"/>
          <w:highlight w:val="none"/>
        </w:rPr>
        <w:t>时间：</w:t>
      </w:r>
      <w:r>
        <w:rPr>
          <w:rFonts w:hint="eastAsia" w:ascii="宋体" w:hAnsi="宋体"/>
          <w:color w:val="auto"/>
          <w:sz w:val="24"/>
          <w:szCs w:val="24"/>
          <w:highlight w:val="none"/>
        </w:rPr>
        <w:t>详见比选</w:t>
      </w:r>
      <w:r>
        <w:rPr>
          <w:rFonts w:ascii="宋体" w:hAnsi="宋体"/>
          <w:color w:val="auto"/>
          <w:sz w:val="24"/>
          <w:szCs w:val="24"/>
          <w:highlight w:val="none"/>
        </w:rPr>
        <w:t>公告</w:t>
      </w:r>
    </w:p>
    <w:p>
      <w:pPr>
        <w:spacing w:line="360" w:lineRule="auto"/>
        <w:ind w:firstLine="560" w:firstLineChars="200"/>
        <w:rPr>
          <w:rFonts w:cs="Courier New" w:asciiTheme="minorEastAsia" w:hAnsiTheme="minorEastAsia" w:eastAsiaTheme="minorEastAsia"/>
          <w:color w:val="auto"/>
          <w:sz w:val="28"/>
          <w:szCs w:val="28"/>
          <w:highlight w:val="none"/>
        </w:rPr>
      </w:pPr>
      <w:r>
        <w:rPr>
          <w:rFonts w:cs="Courier New" w:asciiTheme="minorEastAsia" w:hAnsiTheme="minorEastAsia" w:eastAsiaTheme="minorEastAsia"/>
          <w:color w:val="auto"/>
          <w:sz w:val="28"/>
          <w:szCs w:val="28"/>
          <w:highlight w:val="none"/>
        </w:rPr>
        <w:t>参选文件（电子版）递交平台：</w:t>
      </w:r>
      <w:r>
        <w:rPr>
          <w:rFonts w:hint="eastAsia" w:cs="Courier New" w:asciiTheme="minorEastAsia" w:hAnsiTheme="minorEastAsia" w:eastAsiaTheme="minorEastAsia"/>
          <w:color w:val="auto"/>
          <w:sz w:val="28"/>
          <w:szCs w:val="28"/>
          <w:highlight w:val="none"/>
        </w:rPr>
        <w:t>深圳地铁智能招采管理平台</w:t>
      </w:r>
      <w:r>
        <w:rPr>
          <w:rFonts w:ascii="宋体" w:hAnsi="宋体" w:cs="宋体"/>
          <w:color w:val="auto"/>
          <w:sz w:val="24"/>
          <w:szCs w:val="24"/>
          <w:highlight w:val="none"/>
        </w:rPr>
        <w:t>https://cg.shenzhenmc.com/</w:t>
      </w:r>
    </w:p>
    <w:p>
      <w:pPr>
        <w:spacing w:line="360" w:lineRule="auto"/>
        <w:ind w:firstLine="560" w:firstLineChars="200"/>
        <w:rPr>
          <w:rFonts w:hint="default" w:asciiTheme="minorEastAsia" w:hAnsiTheme="minorEastAsia" w:eastAsiaTheme="minorEastAsia"/>
          <w:color w:val="auto"/>
          <w:sz w:val="28"/>
          <w:szCs w:val="28"/>
          <w:highlight w:val="none"/>
          <w:lang w:val="en-US" w:eastAsia="zh-CN"/>
        </w:rPr>
      </w:pPr>
      <w:r>
        <w:rPr>
          <w:rFonts w:asciiTheme="minorEastAsia" w:hAnsiTheme="minorEastAsia" w:eastAsiaTheme="minorEastAsia"/>
          <w:color w:val="auto"/>
          <w:sz w:val="28"/>
          <w:szCs w:val="28"/>
          <w:highlight w:val="none"/>
        </w:rPr>
        <w:t>联系人：</w:t>
      </w:r>
      <w:r>
        <w:rPr>
          <w:rFonts w:hint="eastAsia" w:ascii="宋体" w:hAnsi="宋体"/>
          <w:color w:val="auto"/>
          <w:sz w:val="28"/>
          <w:szCs w:val="28"/>
          <w:highlight w:val="none"/>
        </w:rPr>
        <w:t>彭工13510241221</w:t>
      </w:r>
      <w:r>
        <w:rPr>
          <w:rFonts w:hint="eastAsia" w:asciiTheme="minorEastAsia" w:hAnsiTheme="minorEastAsia" w:eastAsiaTheme="minorEastAsia"/>
          <w:color w:val="auto"/>
          <w:sz w:val="28"/>
          <w:szCs w:val="28"/>
          <w:highlight w:val="none"/>
        </w:rPr>
        <w:t xml:space="preserve"> </w:t>
      </w:r>
      <w:r>
        <w:rPr>
          <w:rFonts w:hint="eastAsia" w:asciiTheme="minorEastAsia" w:hAnsiTheme="minorEastAsia" w:eastAsiaTheme="minorEastAsia"/>
          <w:color w:val="auto"/>
          <w:sz w:val="28"/>
          <w:szCs w:val="28"/>
          <w:highlight w:val="none"/>
          <w:lang w:val="en-US" w:eastAsia="zh-CN"/>
        </w:rPr>
        <w:t>王</w:t>
      </w:r>
      <w:r>
        <w:rPr>
          <w:rFonts w:asciiTheme="minorEastAsia" w:hAnsiTheme="minorEastAsia" w:eastAsiaTheme="minorEastAsia"/>
          <w:color w:val="auto"/>
          <w:sz w:val="28"/>
          <w:szCs w:val="28"/>
          <w:highlight w:val="none"/>
        </w:rPr>
        <w:t>工</w:t>
      </w:r>
      <w:r>
        <w:rPr>
          <w:rFonts w:hint="eastAsia" w:asciiTheme="minorEastAsia" w:hAnsiTheme="minorEastAsia" w:eastAsiaTheme="minorEastAsia"/>
          <w:color w:val="auto"/>
          <w:sz w:val="28"/>
          <w:szCs w:val="28"/>
          <w:highlight w:val="none"/>
          <w:lang w:val="en-US" w:eastAsia="zh-CN"/>
        </w:rPr>
        <w:t>15219508865</w:t>
      </w:r>
    </w:p>
    <w:p>
      <w:pPr>
        <w:snapToGrid w:val="0"/>
        <w:spacing w:line="360" w:lineRule="auto"/>
        <w:ind w:firstLine="560" w:firstLineChars="200"/>
        <w:jc w:val="left"/>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招采系统信息管理人员</w:t>
      </w:r>
      <w:r>
        <w:rPr>
          <w:rFonts w:hint="eastAsia" w:ascii="宋体" w:hAnsi="宋体"/>
          <w:color w:val="auto"/>
          <w:sz w:val="28"/>
          <w:szCs w:val="28"/>
          <w:highlight w:val="none"/>
        </w:rPr>
        <w:t xml:space="preserve">胡工18574840142 </w:t>
      </w:r>
    </w:p>
    <w:p>
      <w:pPr>
        <w:spacing w:line="360" w:lineRule="auto"/>
        <w:rPr>
          <w:rFonts w:asciiTheme="minorEastAsia" w:hAnsiTheme="minorEastAsia" w:eastAsiaTheme="minorEastAsia"/>
          <w:b/>
          <w:color w:val="auto"/>
          <w:sz w:val="28"/>
          <w:szCs w:val="28"/>
          <w:highlight w:val="none"/>
        </w:rPr>
      </w:pPr>
      <w:r>
        <w:rPr>
          <w:rFonts w:hint="eastAsia" w:cs="Courier New" w:asciiTheme="minorEastAsia" w:hAnsiTheme="minorEastAsia" w:eastAsiaTheme="minorEastAsia"/>
          <w:b/>
          <w:color w:val="auto"/>
          <w:sz w:val="28"/>
          <w:szCs w:val="28"/>
          <w:highlight w:val="none"/>
        </w:rPr>
        <w:t>八、</w:t>
      </w:r>
      <w:r>
        <w:rPr>
          <w:rFonts w:hint="eastAsia" w:asciiTheme="minorEastAsia" w:hAnsiTheme="minorEastAsia" w:eastAsiaTheme="minorEastAsia"/>
          <w:b/>
          <w:color w:val="auto"/>
          <w:sz w:val="28"/>
          <w:szCs w:val="28"/>
          <w:highlight w:val="none"/>
          <w:lang w:eastAsia="zh-CN"/>
        </w:rPr>
        <w:t>比选</w:t>
      </w:r>
      <w:r>
        <w:rPr>
          <w:rFonts w:asciiTheme="minorEastAsia" w:hAnsiTheme="minorEastAsia" w:eastAsiaTheme="minorEastAsia"/>
          <w:b/>
          <w:color w:val="auto"/>
          <w:sz w:val="28"/>
          <w:szCs w:val="28"/>
          <w:highlight w:val="none"/>
        </w:rPr>
        <w:t>文件</w:t>
      </w:r>
    </w:p>
    <w:p>
      <w:pPr>
        <w:spacing w:line="360" w:lineRule="auto"/>
        <w:ind w:left="420" w:leftChars="200" w:firstLine="280" w:firstLineChars="100"/>
        <w:rPr>
          <w:rFonts w:cs="Courier New" w:asciiTheme="minorEastAsia" w:hAnsiTheme="minorEastAsia" w:eastAsiaTheme="minorEastAsia"/>
          <w:color w:val="auto"/>
          <w:sz w:val="28"/>
          <w:szCs w:val="28"/>
          <w:highlight w:val="none"/>
        </w:rPr>
      </w:pPr>
      <w:r>
        <w:rPr>
          <w:rFonts w:cs="Courier New" w:asciiTheme="minorEastAsia" w:hAnsiTheme="minorEastAsia" w:eastAsiaTheme="minorEastAsia"/>
          <w:color w:val="auto"/>
          <w:sz w:val="28"/>
          <w:szCs w:val="28"/>
          <w:highlight w:val="none"/>
        </w:rPr>
        <w:t>深圳地铁官网（https://www.szmc.net/）</w:t>
      </w:r>
    </w:p>
    <w:p>
      <w:pPr>
        <w:spacing w:line="360" w:lineRule="auto"/>
        <w:ind w:firstLine="840" w:firstLineChars="300"/>
        <w:rPr>
          <w:rFonts w:ascii="宋体" w:hAnsi="宋体" w:cs="宋体"/>
          <w:color w:val="auto"/>
          <w:sz w:val="24"/>
          <w:szCs w:val="24"/>
          <w:highlight w:val="none"/>
        </w:rPr>
      </w:pPr>
      <w:r>
        <w:rPr>
          <w:rFonts w:hint="eastAsia" w:cs="Courier New" w:asciiTheme="minorEastAsia" w:hAnsiTheme="minorEastAsia" w:eastAsiaTheme="minorEastAsia"/>
          <w:color w:val="auto"/>
          <w:sz w:val="28"/>
          <w:szCs w:val="28"/>
          <w:highlight w:val="none"/>
        </w:rPr>
        <w:t>深圳地铁智能招采管理平台</w:t>
      </w:r>
      <w:r>
        <w:rPr>
          <w:color w:val="auto"/>
          <w:highlight w:val="none"/>
        </w:rPr>
        <w:fldChar w:fldCharType="begin"/>
      </w:r>
      <w:r>
        <w:rPr>
          <w:color w:val="auto"/>
          <w:highlight w:val="none"/>
        </w:rPr>
        <w:instrText xml:space="preserve"> HYPERLINK "https://cg.shenzhenmc.com/" </w:instrText>
      </w:r>
      <w:r>
        <w:rPr>
          <w:color w:val="auto"/>
          <w:highlight w:val="none"/>
        </w:rPr>
        <w:fldChar w:fldCharType="separate"/>
      </w:r>
      <w:r>
        <w:rPr>
          <w:rStyle w:val="55"/>
          <w:rFonts w:ascii="宋体" w:hAnsi="宋体" w:cs="宋体"/>
          <w:color w:val="auto"/>
          <w:sz w:val="24"/>
          <w:szCs w:val="24"/>
          <w:highlight w:val="none"/>
        </w:rPr>
        <w:t>https://cg.shenzhenmc.com/</w:t>
      </w:r>
      <w:r>
        <w:rPr>
          <w:rStyle w:val="55"/>
          <w:rFonts w:ascii="宋体" w:hAnsi="宋体" w:cs="宋体"/>
          <w:color w:val="auto"/>
          <w:sz w:val="24"/>
          <w:szCs w:val="24"/>
          <w:highlight w:val="none"/>
        </w:rPr>
        <w:fldChar w:fldCharType="end"/>
      </w:r>
    </w:p>
    <w:p>
      <w:pPr>
        <w:spacing w:line="360" w:lineRule="auto"/>
        <w:rPr>
          <w:rFonts w:asciiTheme="minorEastAsia" w:hAnsiTheme="minorEastAsia" w:eastAsiaTheme="minorEastAsia"/>
          <w:b/>
          <w:color w:val="auto"/>
          <w:sz w:val="28"/>
          <w:szCs w:val="28"/>
          <w:highlight w:val="none"/>
          <w:lang w:eastAsia="zh-TW"/>
        </w:rPr>
      </w:pPr>
      <w:r>
        <w:rPr>
          <w:rFonts w:hint="eastAsia" w:asciiTheme="minorEastAsia" w:hAnsiTheme="minorEastAsia" w:eastAsiaTheme="minorEastAsia"/>
          <w:b/>
          <w:color w:val="auto"/>
          <w:sz w:val="28"/>
          <w:szCs w:val="28"/>
          <w:highlight w:val="none"/>
        </w:rPr>
        <w:t>九</w:t>
      </w:r>
      <w:r>
        <w:rPr>
          <w:rFonts w:asciiTheme="minorEastAsia" w:hAnsiTheme="minorEastAsia" w:eastAsiaTheme="minorEastAsia"/>
          <w:b/>
          <w:color w:val="auto"/>
          <w:sz w:val="28"/>
          <w:szCs w:val="28"/>
          <w:highlight w:val="none"/>
        </w:rPr>
        <w:t>、其他投标条件要求：</w:t>
      </w:r>
    </w:p>
    <w:p>
      <w:pPr>
        <w:spacing w:line="360" w:lineRule="auto"/>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1.在招投标活动中有串通投标、弄虚作假不良行为记录被暂停投标资格期间或涉嫌串通投标、弄虚作假并正在接受主管部门调查的投标申请人不被接受；</w:t>
      </w:r>
    </w:p>
    <w:p>
      <w:pPr>
        <w:spacing w:line="360" w:lineRule="auto"/>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2.因违反工程建设法律法规和安全生产管理规定而受到建设行政主管部门红色警示的企业，在红色警示期间，不接受其参与本次</w:t>
      </w:r>
      <w:r>
        <w:rPr>
          <w:rFonts w:hint="eastAsia" w:asciiTheme="minorEastAsia" w:hAnsiTheme="minorEastAsia" w:eastAsiaTheme="minorEastAsia"/>
          <w:color w:val="auto"/>
          <w:sz w:val="28"/>
          <w:szCs w:val="28"/>
          <w:highlight w:val="none"/>
          <w:lang w:eastAsia="zh-CN"/>
        </w:rPr>
        <w:t>比选</w:t>
      </w:r>
      <w:r>
        <w:rPr>
          <w:rFonts w:asciiTheme="minorEastAsia" w:hAnsiTheme="minorEastAsia" w:eastAsiaTheme="minorEastAsia"/>
          <w:color w:val="auto"/>
          <w:sz w:val="28"/>
          <w:szCs w:val="28"/>
          <w:highlight w:val="none"/>
        </w:rPr>
        <w:t>工程的投标；</w:t>
      </w:r>
    </w:p>
    <w:p>
      <w:pPr>
        <w:spacing w:line="360" w:lineRule="auto"/>
        <w:ind w:firstLine="560" w:firstLineChars="20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3.根据法院的《司法建议函》，列入名单的施工企业不得承接政府投资工程。</w:t>
      </w:r>
    </w:p>
    <w:p>
      <w:pPr>
        <w:spacing w:line="360" w:lineRule="auto"/>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温馨提示：</w:t>
      </w:r>
    </w:p>
    <w:p>
      <w:pPr>
        <w:spacing w:line="360" w:lineRule="auto"/>
        <w:ind w:firstLine="560" w:firstLineChars="200"/>
        <w:jc w:val="lef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投标人在递交</w:t>
      </w:r>
      <w:r>
        <w:rPr>
          <w:rFonts w:hint="eastAsia" w:asciiTheme="minorEastAsia" w:hAnsiTheme="minorEastAsia" w:eastAsiaTheme="minorEastAsia"/>
          <w:color w:val="auto"/>
          <w:sz w:val="28"/>
          <w:szCs w:val="28"/>
          <w:highlight w:val="none"/>
          <w:lang w:val="en-US" w:eastAsia="zh-CN"/>
        </w:rPr>
        <w:t>参选文件</w:t>
      </w:r>
      <w:r>
        <w:rPr>
          <w:rFonts w:asciiTheme="minorEastAsia" w:hAnsiTheme="minorEastAsia" w:eastAsiaTheme="minorEastAsia"/>
          <w:color w:val="auto"/>
          <w:sz w:val="28"/>
          <w:szCs w:val="28"/>
          <w:highlight w:val="none"/>
        </w:rPr>
        <w:t>时，须在</w:t>
      </w:r>
      <w:r>
        <w:rPr>
          <w:rFonts w:hint="eastAsia" w:asciiTheme="minorEastAsia" w:hAnsiTheme="minorEastAsia" w:eastAsiaTheme="minorEastAsia"/>
          <w:color w:val="auto"/>
          <w:sz w:val="28"/>
          <w:szCs w:val="28"/>
          <w:highlight w:val="none"/>
          <w:lang w:val="en-US" w:eastAsia="zh-CN"/>
        </w:rPr>
        <w:t>比选</w:t>
      </w:r>
      <w:r>
        <w:rPr>
          <w:rFonts w:asciiTheme="minorEastAsia" w:hAnsiTheme="minorEastAsia" w:eastAsiaTheme="minorEastAsia"/>
          <w:color w:val="auto"/>
          <w:sz w:val="28"/>
          <w:szCs w:val="28"/>
          <w:highlight w:val="none"/>
        </w:rPr>
        <w:t>截止时间前，按要求到</w:t>
      </w:r>
      <w:r>
        <w:rPr>
          <w:rFonts w:hint="eastAsia" w:asciiTheme="minorEastAsia" w:hAnsiTheme="minorEastAsia" w:eastAsiaTheme="minorEastAsia"/>
          <w:color w:val="auto"/>
          <w:sz w:val="28"/>
          <w:szCs w:val="28"/>
          <w:highlight w:val="none"/>
          <w:lang w:eastAsia="zh-CN"/>
        </w:rPr>
        <w:t>比选</w:t>
      </w:r>
      <w:r>
        <w:rPr>
          <w:rFonts w:asciiTheme="minorEastAsia" w:hAnsiTheme="minorEastAsia" w:eastAsiaTheme="minorEastAsia"/>
          <w:color w:val="auto"/>
          <w:sz w:val="28"/>
          <w:szCs w:val="28"/>
          <w:highlight w:val="none"/>
        </w:rPr>
        <w:t>公告指定的</w:t>
      </w:r>
      <w:r>
        <w:rPr>
          <w:rFonts w:hint="eastAsia" w:asciiTheme="minorEastAsia" w:hAnsiTheme="minorEastAsia" w:eastAsiaTheme="minorEastAsia"/>
          <w:color w:val="auto"/>
          <w:sz w:val="28"/>
          <w:szCs w:val="28"/>
          <w:highlight w:val="none"/>
          <w:lang w:val="en-US" w:eastAsia="zh-CN"/>
        </w:rPr>
        <w:t>网址</w:t>
      </w:r>
      <w:r>
        <w:rPr>
          <w:rFonts w:hint="eastAsia" w:asciiTheme="minorEastAsia" w:hAnsiTheme="minorEastAsia" w:eastAsiaTheme="minorEastAsia"/>
          <w:color w:val="auto"/>
          <w:sz w:val="28"/>
          <w:szCs w:val="28"/>
          <w:highlight w:val="none"/>
          <w:lang w:eastAsia="zh-CN"/>
        </w:rPr>
        <w:t>（</w:t>
      </w:r>
      <w:r>
        <w:rPr>
          <w:rFonts w:hint="eastAsia" w:cs="Courier New" w:asciiTheme="minorEastAsia" w:hAnsiTheme="minorEastAsia" w:eastAsiaTheme="minorEastAsia"/>
          <w:color w:val="auto"/>
          <w:sz w:val="28"/>
          <w:szCs w:val="28"/>
          <w:highlight w:val="none"/>
        </w:rPr>
        <w:t>深圳地铁智能招采管理平台</w:t>
      </w:r>
      <w:r>
        <w:rPr>
          <w:rFonts w:hint="eastAsia" w:asciiTheme="minorEastAsia" w:hAnsiTheme="minorEastAsia" w:eastAsiaTheme="minorEastAsia"/>
          <w:color w:val="auto"/>
          <w:sz w:val="28"/>
          <w:szCs w:val="28"/>
          <w:highlight w:val="none"/>
          <w:lang w:eastAsia="zh-CN"/>
        </w:rPr>
        <w:t>）</w:t>
      </w:r>
      <w:r>
        <w:rPr>
          <w:rFonts w:asciiTheme="minorEastAsia" w:hAnsiTheme="minorEastAsia" w:eastAsiaTheme="minorEastAsia"/>
          <w:color w:val="auto"/>
          <w:sz w:val="28"/>
          <w:szCs w:val="28"/>
          <w:highlight w:val="none"/>
        </w:rPr>
        <w:t>办理</w:t>
      </w:r>
      <w:r>
        <w:rPr>
          <w:rFonts w:hint="eastAsia" w:asciiTheme="minorEastAsia" w:hAnsiTheme="minorEastAsia" w:eastAsiaTheme="minorEastAsia"/>
          <w:color w:val="auto"/>
          <w:sz w:val="28"/>
          <w:szCs w:val="28"/>
          <w:highlight w:val="none"/>
          <w:lang w:val="en-US" w:eastAsia="zh-CN"/>
        </w:rPr>
        <w:t>供应商注册</w:t>
      </w:r>
      <w:r>
        <w:rPr>
          <w:rFonts w:asciiTheme="minorEastAsia" w:hAnsiTheme="minorEastAsia" w:eastAsiaTheme="minorEastAsia"/>
          <w:color w:val="auto"/>
          <w:sz w:val="28"/>
          <w:szCs w:val="28"/>
          <w:highlight w:val="none"/>
        </w:rPr>
        <w:t>手续</w:t>
      </w:r>
      <w:r>
        <w:rPr>
          <w:rFonts w:hint="eastAsia" w:asciiTheme="minorEastAsia" w:hAnsiTheme="minorEastAsia" w:eastAsiaTheme="minorEastAsia"/>
          <w:color w:val="auto"/>
          <w:sz w:val="28"/>
          <w:szCs w:val="28"/>
          <w:highlight w:val="none"/>
          <w:lang w:eastAsia="zh-CN"/>
        </w:rPr>
        <w:t>，</w:t>
      </w:r>
      <w:r>
        <w:rPr>
          <w:rFonts w:hint="eastAsia" w:asciiTheme="minorEastAsia" w:hAnsiTheme="minorEastAsia" w:eastAsiaTheme="minorEastAsia"/>
          <w:color w:val="auto"/>
          <w:sz w:val="28"/>
          <w:szCs w:val="28"/>
          <w:highlight w:val="none"/>
          <w:lang w:val="en-US" w:eastAsia="zh-CN"/>
        </w:rPr>
        <w:t>线上递交参选文件</w:t>
      </w:r>
      <w:r>
        <w:rPr>
          <w:rFonts w:hint="eastAsia" w:asciiTheme="minorEastAsia" w:hAnsiTheme="minorEastAsia" w:eastAsiaTheme="minorEastAsia"/>
          <w:color w:val="auto"/>
          <w:sz w:val="28"/>
          <w:szCs w:val="28"/>
          <w:highlight w:val="none"/>
        </w:rPr>
        <w:t>：</w:t>
      </w: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pStyle w:val="2"/>
        <w:rPr>
          <w:rFonts w:asciiTheme="minorEastAsia" w:hAnsiTheme="minorEastAsia" w:eastAsiaTheme="minorEastAsia"/>
          <w:color w:val="auto"/>
          <w:sz w:val="28"/>
          <w:szCs w:val="28"/>
          <w:highlight w:val="none"/>
        </w:rPr>
      </w:pPr>
    </w:p>
    <w:p>
      <w:pPr>
        <w:pStyle w:val="2"/>
        <w:rPr>
          <w:rFonts w:asciiTheme="minorEastAsia" w:hAnsiTheme="minorEastAsia" w:eastAsiaTheme="minorEastAsia"/>
          <w:color w:val="auto"/>
          <w:sz w:val="28"/>
          <w:szCs w:val="28"/>
          <w:highlight w:val="none"/>
        </w:rPr>
      </w:pPr>
    </w:p>
    <w:p>
      <w:pPr>
        <w:pStyle w:val="2"/>
        <w:rPr>
          <w:rFonts w:asciiTheme="minorEastAsia" w:hAnsiTheme="minorEastAsia" w:eastAsiaTheme="minorEastAsia"/>
          <w:color w:val="auto"/>
          <w:sz w:val="28"/>
          <w:szCs w:val="28"/>
          <w:highlight w:val="none"/>
        </w:rPr>
      </w:pPr>
    </w:p>
    <w:p>
      <w:pPr>
        <w:pStyle w:val="2"/>
        <w:rPr>
          <w:rFonts w:asciiTheme="minorEastAsia" w:hAnsiTheme="minorEastAsia" w:eastAsiaTheme="minorEastAsia"/>
          <w:color w:val="auto"/>
          <w:sz w:val="28"/>
          <w:szCs w:val="28"/>
          <w:highlight w:val="none"/>
        </w:rPr>
      </w:pPr>
    </w:p>
    <w:p>
      <w:pPr>
        <w:pStyle w:val="2"/>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spacing w:line="360" w:lineRule="auto"/>
        <w:jc w:val="left"/>
        <w:rPr>
          <w:rFonts w:asciiTheme="minorEastAsia" w:hAnsiTheme="minorEastAsia" w:eastAsiaTheme="minorEastAsia"/>
          <w:color w:val="auto"/>
          <w:sz w:val="28"/>
          <w:szCs w:val="28"/>
          <w:highlight w:val="none"/>
        </w:rPr>
      </w:pPr>
    </w:p>
    <w:p>
      <w:pPr>
        <w:rPr>
          <w:color w:val="auto"/>
          <w:highlight w:val="none"/>
        </w:rPr>
      </w:pPr>
    </w:p>
    <w:p>
      <w:pPr>
        <w:pStyle w:val="2"/>
        <w:rPr>
          <w:color w:val="auto"/>
        </w:rPr>
      </w:pPr>
    </w:p>
    <w:p>
      <w:pPr>
        <w:pStyle w:val="4"/>
        <w:spacing w:before="240" w:beforeLines="100" w:after="360" w:afterLines="150" w:line="480" w:lineRule="exact"/>
        <w:ind w:left="420"/>
        <w:jc w:val="center"/>
        <w:rPr>
          <w:rFonts w:ascii="黑体" w:hAnsi="宋体"/>
          <w:color w:val="auto"/>
          <w:sz w:val="36"/>
          <w:szCs w:val="36"/>
          <w:highlight w:val="none"/>
        </w:rPr>
      </w:pPr>
      <w:r>
        <w:rPr>
          <w:rFonts w:hint="eastAsia" w:ascii="黑体" w:hAnsi="宋体"/>
          <w:color w:val="auto"/>
          <w:sz w:val="36"/>
          <w:szCs w:val="36"/>
          <w:highlight w:val="none"/>
        </w:rPr>
        <w:t>第三节 否决性条款摘要</w:t>
      </w:r>
      <w:bookmarkEnd w:id="19"/>
    </w:p>
    <w:p>
      <w:pPr>
        <w:autoSpaceDE w:val="0"/>
        <w:autoSpaceDN w:val="0"/>
        <w:adjustRightInd w:val="0"/>
        <w:spacing w:line="360" w:lineRule="auto"/>
        <w:ind w:firstLine="560" w:firstLineChars="200"/>
        <w:rPr>
          <w:rFonts w:eastAsia="PMingLiU" w:asciiTheme="minorEastAsia" w:hAnsiTheme="minorEastAsia"/>
          <w:color w:val="auto"/>
          <w:sz w:val="28"/>
          <w:szCs w:val="28"/>
          <w:highlight w:val="none"/>
        </w:rPr>
      </w:pPr>
      <w:r>
        <w:rPr>
          <w:rFonts w:asciiTheme="minorEastAsia" w:hAnsiTheme="minorEastAsia" w:eastAsiaTheme="minorEastAsia"/>
          <w:color w:val="auto"/>
          <w:sz w:val="28"/>
          <w:szCs w:val="28"/>
          <w:highlight w:val="none"/>
        </w:rPr>
        <w:t>本章节是本项目比选文件(含比标文件的澄清、答疑、补充文件等)中涉及的所有否决性条款的摘要，否决性条款包括：参选文件不予受理、无效标、废标条款。除出现以下情形外，比选文件的其他任何情形均不得作否决处理。比选文件中有关否决性条款的阐述与本章节不一致的，以本章节内容为准。</w:t>
      </w:r>
    </w:p>
    <w:p>
      <w:pPr>
        <w:autoSpaceDE w:val="0"/>
        <w:autoSpaceDN w:val="0"/>
        <w:adjustRightInd w:val="0"/>
        <w:spacing w:line="360" w:lineRule="auto"/>
        <w:rPr>
          <w:rFonts w:asciiTheme="minorEastAsia" w:hAnsiTheme="minorEastAsia" w:eastAsiaTheme="minorEastAsia"/>
          <w:b/>
          <w:color w:val="auto"/>
          <w:sz w:val="28"/>
          <w:szCs w:val="28"/>
          <w:highlight w:val="none"/>
          <w:lang w:eastAsia="zh-TW"/>
        </w:rPr>
      </w:pPr>
      <w:r>
        <w:rPr>
          <w:rFonts w:asciiTheme="minorEastAsia" w:hAnsiTheme="minorEastAsia" w:eastAsiaTheme="minorEastAsia"/>
          <w:b/>
          <w:color w:val="auto"/>
          <w:sz w:val="28"/>
          <w:szCs w:val="28"/>
          <w:highlight w:val="none"/>
        </w:rPr>
        <w:t>一、参选文</w:t>
      </w:r>
      <w:r>
        <w:rPr>
          <w:rFonts w:hint="eastAsia" w:asciiTheme="minorEastAsia" w:hAnsiTheme="minorEastAsia" w:eastAsiaTheme="minorEastAsia"/>
          <w:b/>
          <w:color w:val="auto"/>
          <w:sz w:val="28"/>
          <w:szCs w:val="28"/>
          <w:highlight w:val="none"/>
        </w:rPr>
        <w:t>件不予受理的情形</w:t>
      </w:r>
      <w:r>
        <w:rPr>
          <w:rFonts w:asciiTheme="minorEastAsia" w:hAnsiTheme="minorEastAsia" w:eastAsiaTheme="minorEastAsia"/>
          <w:b/>
          <w:color w:val="auto"/>
          <w:sz w:val="28"/>
          <w:szCs w:val="28"/>
          <w:highlight w:val="none"/>
        </w:rPr>
        <w:t>（由比选人的工作人员</w:t>
      </w:r>
      <w:r>
        <w:rPr>
          <w:rFonts w:hint="eastAsia" w:asciiTheme="minorEastAsia" w:hAnsiTheme="minorEastAsia" w:eastAsiaTheme="minorEastAsia"/>
          <w:b/>
          <w:color w:val="auto"/>
          <w:sz w:val="28"/>
          <w:szCs w:val="28"/>
          <w:highlight w:val="none"/>
        </w:rPr>
        <w:t>判定）</w:t>
      </w:r>
    </w:p>
    <w:p>
      <w:pPr>
        <w:spacing w:line="360" w:lineRule="auto"/>
        <w:ind w:left="560" w:hanging="560" w:hangingChars="200"/>
        <w:rPr>
          <w:rStyle w:val="63"/>
          <w:rFonts w:hint="eastAsia"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1.</w:t>
      </w:r>
      <w:r>
        <w:rPr>
          <w:rStyle w:val="63"/>
          <w:rFonts w:hint="eastAsia" w:ascii="宋体" w:hAnsi="宋体" w:eastAsia="宋体"/>
          <w:color w:val="auto"/>
          <w:sz w:val="28"/>
          <w:szCs w:val="28"/>
        </w:rPr>
        <w:t>逾期提交参选文件的；</w:t>
      </w:r>
    </w:p>
    <w:p>
      <w:pPr>
        <w:autoSpaceDE w:val="0"/>
        <w:autoSpaceDN w:val="0"/>
        <w:adjustRightInd w:val="0"/>
        <w:spacing w:line="360" w:lineRule="auto"/>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二、</w:t>
      </w:r>
      <w:r>
        <w:rPr>
          <w:rFonts w:asciiTheme="minorEastAsia" w:hAnsiTheme="minorEastAsia" w:eastAsiaTheme="minorEastAsia"/>
          <w:b/>
          <w:bCs/>
          <w:color w:val="auto"/>
          <w:sz w:val="28"/>
          <w:szCs w:val="28"/>
          <w:highlight w:val="none"/>
        </w:rPr>
        <w:t>无效标情形（由评标委员会判定）</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1.资格</w:t>
      </w:r>
      <w:r>
        <w:rPr>
          <w:rStyle w:val="63"/>
          <w:rFonts w:hint="eastAsia" w:asciiTheme="minorEastAsia" w:hAnsiTheme="minorEastAsia" w:eastAsiaTheme="minorEastAsia"/>
          <w:color w:val="auto"/>
          <w:sz w:val="28"/>
          <w:szCs w:val="28"/>
          <w:highlight w:val="none"/>
          <w:lang w:val="en-US" w:eastAsia="zh-CN"/>
        </w:rPr>
        <w:t>/符合性</w:t>
      </w:r>
      <w:r>
        <w:rPr>
          <w:rStyle w:val="63"/>
          <w:rFonts w:hint="eastAsia" w:asciiTheme="minorEastAsia" w:hAnsiTheme="minorEastAsia" w:eastAsiaTheme="minorEastAsia"/>
          <w:color w:val="auto"/>
          <w:sz w:val="28"/>
          <w:szCs w:val="28"/>
          <w:highlight w:val="none"/>
        </w:rPr>
        <w:t>审查不合格的；</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2.《承诺函》未按比选文件要求填写</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3.参选人提交的电子标书格式不符合比选文件要求或开标后无法在平台读取导入的；</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4.相互间有直接控股关系或法定代表人为同一人的两个或两个以上的法人提交参选文件的，在资格审查阶段，当部分相关单位自愿退出后仍有两家或两家以上要求继续进入后续招投标环节的；</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5.参选文件承诺的工期超过比选文件中工期要求的；</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6.依法应当拒绝投标的其他情形；</w:t>
      </w:r>
    </w:p>
    <w:p>
      <w:pPr>
        <w:autoSpaceDE w:val="0"/>
        <w:autoSpaceDN w:val="0"/>
        <w:adjustRightInd w:val="0"/>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三、</w:t>
      </w:r>
      <w:r>
        <w:rPr>
          <w:rFonts w:asciiTheme="minorEastAsia" w:hAnsiTheme="minorEastAsia" w:eastAsiaTheme="minorEastAsia"/>
          <w:b/>
          <w:color w:val="auto"/>
          <w:sz w:val="28"/>
          <w:szCs w:val="28"/>
          <w:highlight w:val="none"/>
        </w:rPr>
        <w:t>废标的情形（由评标委员会判定）</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1、参选人拒不按照要求对参选文件进行澄清、说明、补正，或不接受对参选文件的计算错误进行修正后的投标报价；</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2、参选单位的投标承诺函不符合必选文件要求的；</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3、 参选文件未按规定的格式填写或前后内容不一致或关键词迹模糊、无法辨认的；</w:t>
      </w:r>
    </w:p>
    <w:p>
      <w:pPr>
        <w:spacing w:line="360" w:lineRule="auto"/>
        <w:ind w:left="560" w:hanging="560" w:hangingChars="200"/>
        <w:rPr>
          <w:rStyle w:val="63"/>
          <w:rFonts w:asciiTheme="minorEastAsia" w:hAnsiTheme="minorEastAsia" w:eastAsiaTheme="minorEastAsia"/>
          <w:color w:val="auto"/>
          <w:sz w:val="28"/>
          <w:szCs w:val="28"/>
          <w:highlight w:val="none"/>
        </w:rPr>
      </w:pPr>
      <w:r>
        <w:rPr>
          <w:rStyle w:val="63"/>
          <w:rFonts w:hint="eastAsia" w:asciiTheme="minorEastAsia" w:hAnsiTheme="minorEastAsia" w:eastAsiaTheme="minorEastAsia"/>
          <w:color w:val="auto"/>
          <w:sz w:val="28"/>
          <w:szCs w:val="28"/>
          <w:highlight w:val="none"/>
        </w:rPr>
        <w:t>4、违反国家有关法律、法规和有关要求的</w:t>
      </w:r>
    </w:p>
    <w:p>
      <w:pPr>
        <w:autoSpaceDE w:val="0"/>
        <w:autoSpaceDN w:val="0"/>
        <w:adjustRightInd w:val="0"/>
        <w:spacing w:line="56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t>四、其他不予受理、无效标、废标情形</w:t>
      </w:r>
    </w:p>
    <w:p>
      <w:pPr>
        <w:autoSpaceDE w:val="0"/>
        <w:autoSpaceDN w:val="0"/>
        <w:adjustRightInd w:val="0"/>
        <w:spacing w:line="560" w:lineRule="exact"/>
        <w:rPr>
          <w:rFonts w:asciiTheme="minorEastAsia" w:hAnsiTheme="minorEastAsia" w:eastAsiaTheme="minorEastAsia"/>
          <w:color w:val="auto"/>
          <w:sz w:val="28"/>
          <w:szCs w:val="28"/>
          <w:highlight w:val="none"/>
          <w:u w:val="single"/>
        </w:rPr>
      </w:pPr>
      <w:r>
        <w:rPr>
          <w:rStyle w:val="63"/>
          <w:rFonts w:hint="eastAsia" w:asciiTheme="minorEastAsia" w:hAnsiTheme="minorEastAsia" w:eastAsiaTheme="minorEastAsia"/>
          <w:color w:val="auto"/>
          <w:sz w:val="28"/>
          <w:szCs w:val="28"/>
          <w:highlight w:val="none"/>
          <w:u w:val="single"/>
          <w:lang w:val="en-US" w:eastAsia="zh-CN"/>
        </w:rPr>
        <w:t>参选人在比选人的</w:t>
      </w:r>
      <w:r>
        <w:rPr>
          <w:rStyle w:val="63"/>
          <w:rFonts w:hint="eastAsia" w:asciiTheme="minorEastAsia" w:hAnsiTheme="minorEastAsia" w:eastAsiaTheme="minorEastAsia"/>
          <w:color w:val="auto"/>
          <w:sz w:val="28"/>
          <w:szCs w:val="28"/>
          <w:highlight w:val="none"/>
          <w:u w:val="single"/>
        </w:rPr>
        <w:t>年度履约评价为不合格的单位，属于比选时不予受理情形之一，评定标时不予考虑</w:t>
      </w:r>
      <w:r>
        <w:rPr>
          <w:rFonts w:hint="eastAsia" w:asciiTheme="minorEastAsia" w:hAnsiTheme="minorEastAsia" w:eastAsiaTheme="minorEastAsia"/>
          <w:color w:val="auto"/>
          <w:sz w:val="28"/>
          <w:szCs w:val="28"/>
          <w:highlight w:val="none"/>
          <w:u w:val="single"/>
        </w:rPr>
        <w:t xml:space="preserve">     </w:t>
      </w:r>
      <w:r>
        <w:rPr>
          <w:rFonts w:hint="eastAsia" w:asciiTheme="minorEastAsia" w:hAnsiTheme="minorEastAsia" w:eastAsiaTheme="minorEastAsia"/>
          <w:color w:val="auto"/>
          <w:sz w:val="28"/>
          <w:szCs w:val="28"/>
          <w:highlight w:val="none"/>
          <w:u w:val="none"/>
        </w:rPr>
        <w:t xml:space="preserve">                             </w:t>
      </w:r>
      <w:r>
        <w:rPr>
          <w:rFonts w:hint="eastAsia" w:asciiTheme="minorEastAsia" w:hAnsiTheme="minorEastAsia" w:eastAsiaTheme="minorEastAsia"/>
          <w:color w:val="auto"/>
          <w:sz w:val="28"/>
          <w:szCs w:val="28"/>
          <w:highlight w:val="none"/>
          <w:u w:val="single"/>
        </w:rPr>
        <w:t xml:space="preserve">                </w:t>
      </w:r>
    </w:p>
    <w:p>
      <w:pPr>
        <w:pStyle w:val="4"/>
        <w:spacing w:before="240" w:beforeLines="100" w:after="360" w:afterLines="150" w:line="480" w:lineRule="exact"/>
        <w:jc w:val="center"/>
        <w:rPr>
          <w:rFonts w:ascii="黑体" w:hAnsi="宋体"/>
          <w:color w:val="auto"/>
          <w:sz w:val="36"/>
          <w:szCs w:val="36"/>
          <w:highlight w:val="none"/>
        </w:rPr>
      </w:pPr>
      <w:r>
        <w:rPr>
          <w:rFonts w:ascii="宋体" w:hAnsi="宋体"/>
          <w:color w:val="auto"/>
          <w:sz w:val="28"/>
          <w:szCs w:val="28"/>
          <w:highlight w:val="none"/>
          <w:u w:val="single"/>
        </w:rPr>
        <w:br w:type="page"/>
      </w:r>
      <w:bookmarkStart w:id="20" w:name="_Toc65054223"/>
      <w:r>
        <w:rPr>
          <w:rFonts w:hint="eastAsia" w:ascii="黑体" w:hAnsi="宋体"/>
          <w:color w:val="auto"/>
          <w:sz w:val="36"/>
          <w:szCs w:val="36"/>
          <w:highlight w:val="none"/>
        </w:rPr>
        <w:t>第四节 分段限时投诉的规定</w:t>
      </w:r>
      <w:bookmarkEnd w:id="20"/>
    </w:p>
    <w:p>
      <w:pPr>
        <w:pStyle w:val="46"/>
        <w:spacing w:after="0" w:line="560" w:lineRule="exact"/>
        <w:ind w:firstLine="565" w:firstLineChars="202"/>
        <w:rPr>
          <w:rStyle w:val="63"/>
          <w:rFonts w:ascii="宋体" w:hAnsi="宋体" w:eastAsia="宋体"/>
          <w:color w:val="auto"/>
          <w:sz w:val="28"/>
          <w:szCs w:val="28"/>
          <w:highlight w:val="none"/>
        </w:rPr>
      </w:pPr>
      <w:r>
        <w:rPr>
          <w:rFonts w:hint="eastAsia" w:ascii="宋体" w:hAnsi="宋体"/>
          <w:color w:val="auto"/>
          <w:sz w:val="28"/>
          <w:szCs w:val="28"/>
          <w:highlight w:val="none"/>
        </w:rPr>
        <w:t>为保证比选参选活动廉洁高效，打击比选参选活动中违反法规行为，维护比选参选活动中各当事人的合法权益，特提醒各参选人注意 “分段限时投诉的规定”，本项目比选参选各阶段的投诉超过该规定要求投诉时效的，比选人或主管部门将不受理。下面是“比选参选分段限时投诉的规定”。</w:t>
      </w:r>
    </w:p>
    <w:p>
      <w:pPr>
        <w:spacing w:line="560" w:lineRule="exact"/>
        <w:ind w:firstLine="565" w:firstLineChars="202"/>
        <w:rPr>
          <w:rStyle w:val="63"/>
          <w:rFonts w:ascii="宋体" w:hAnsi="宋体" w:eastAsia="宋体"/>
          <w:color w:val="auto"/>
          <w:sz w:val="28"/>
          <w:szCs w:val="28"/>
          <w:highlight w:val="none"/>
        </w:rPr>
      </w:pPr>
      <w:r>
        <w:rPr>
          <w:rStyle w:val="63"/>
          <w:rFonts w:hint="eastAsia" w:ascii="宋体" w:hAnsi="宋体" w:eastAsia="宋体"/>
          <w:color w:val="auto"/>
          <w:sz w:val="28"/>
          <w:szCs w:val="28"/>
          <w:highlight w:val="none"/>
        </w:rPr>
        <w:t>一、对比选文件内容的投诉时限：比选文件发布后五日内；补遗或答疑文件发出后的下一个工作日内。</w:t>
      </w:r>
    </w:p>
    <w:p>
      <w:pPr>
        <w:spacing w:line="560" w:lineRule="exact"/>
        <w:ind w:firstLine="565" w:firstLineChars="202"/>
        <w:rPr>
          <w:rStyle w:val="63"/>
          <w:rFonts w:ascii="宋体" w:hAnsi="宋体" w:eastAsia="宋体"/>
          <w:color w:val="auto"/>
          <w:sz w:val="28"/>
          <w:szCs w:val="28"/>
          <w:highlight w:val="none"/>
        </w:rPr>
      </w:pPr>
      <w:r>
        <w:rPr>
          <w:rStyle w:val="63"/>
          <w:rFonts w:hint="eastAsia" w:ascii="宋体" w:hAnsi="宋体" w:eastAsia="宋体"/>
          <w:color w:val="auto"/>
          <w:sz w:val="28"/>
          <w:szCs w:val="28"/>
          <w:highlight w:val="none"/>
        </w:rPr>
        <w:t>二、对资格后审/符合性</w:t>
      </w:r>
      <w:r>
        <w:rPr>
          <w:rStyle w:val="63"/>
          <w:rFonts w:hint="eastAsia" w:ascii="宋体" w:hAnsi="宋体"/>
          <w:color w:val="auto"/>
          <w:sz w:val="28"/>
          <w:szCs w:val="28"/>
          <w:highlight w:val="none"/>
          <w:lang w:val="en-US" w:eastAsia="zh-CN"/>
        </w:rPr>
        <w:t>审查</w:t>
      </w:r>
      <w:r>
        <w:rPr>
          <w:rStyle w:val="63"/>
          <w:rFonts w:hint="eastAsia" w:ascii="宋体" w:hAnsi="宋体" w:eastAsia="宋体"/>
          <w:color w:val="auto"/>
          <w:sz w:val="28"/>
          <w:szCs w:val="28"/>
          <w:highlight w:val="none"/>
        </w:rPr>
        <w:t>结果和开标结果的投诉时限：开标结束前当场向现场监管人员提出，可以口头投诉方式。</w:t>
      </w:r>
    </w:p>
    <w:p>
      <w:pPr>
        <w:spacing w:line="560" w:lineRule="exact"/>
        <w:ind w:firstLine="565" w:firstLineChars="202"/>
        <w:rPr>
          <w:rStyle w:val="63"/>
          <w:rFonts w:ascii="宋体" w:hAnsi="宋体" w:eastAsia="宋体"/>
          <w:color w:val="auto"/>
          <w:sz w:val="28"/>
          <w:szCs w:val="28"/>
          <w:highlight w:val="none"/>
        </w:rPr>
      </w:pPr>
      <w:r>
        <w:rPr>
          <w:rStyle w:val="63"/>
          <w:rFonts w:hint="eastAsia" w:ascii="宋体" w:hAnsi="宋体" w:eastAsia="宋体"/>
          <w:color w:val="auto"/>
          <w:sz w:val="28"/>
          <w:szCs w:val="28"/>
          <w:highlight w:val="none"/>
        </w:rPr>
        <w:t>三、对评审结果投诉时限：确认中选人前。</w:t>
      </w:r>
    </w:p>
    <w:p>
      <w:pPr>
        <w:snapToGrid w:val="0"/>
        <w:spacing w:line="560" w:lineRule="exact"/>
        <w:ind w:firstLine="565" w:firstLineChars="202"/>
        <w:rPr>
          <w:rStyle w:val="63"/>
          <w:rFonts w:ascii="宋体" w:hAnsi="宋体" w:eastAsia="宋体"/>
          <w:color w:val="auto"/>
          <w:sz w:val="28"/>
          <w:szCs w:val="28"/>
          <w:highlight w:val="none"/>
        </w:rPr>
      </w:pPr>
      <w:r>
        <w:rPr>
          <w:rStyle w:val="63"/>
          <w:rFonts w:hint="eastAsia" w:ascii="宋体" w:hAnsi="宋体" w:eastAsia="宋体"/>
          <w:color w:val="auto"/>
          <w:sz w:val="28"/>
          <w:szCs w:val="28"/>
          <w:highlight w:val="none"/>
        </w:rPr>
        <w:t>四、对合同签订过程的投诉时限：合同签订前。</w:t>
      </w:r>
    </w:p>
    <w:p>
      <w:pPr>
        <w:snapToGrid w:val="0"/>
        <w:spacing w:line="560" w:lineRule="exact"/>
        <w:ind w:firstLine="565" w:firstLineChars="202"/>
        <w:rPr>
          <w:rFonts w:ascii="宋体" w:hAnsi="宋体"/>
          <w:color w:val="auto"/>
          <w:sz w:val="28"/>
          <w:szCs w:val="28"/>
          <w:highlight w:val="none"/>
        </w:rPr>
      </w:pPr>
      <w:r>
        <w:rPr>
          <w:rStyle w:val="63"/>
          <w:rFonts w:hint="eastAsia" w:ascii="宋体" w:hAnsi="宋体" w:eastAsia="宋体"/>
          <w:color w:val="auto"/>
          <w:sz w:val="28"/>
          <w:szCs w:val="28"/>
          <w:highlight w:val="none"/>
        </w:rPr>
        <w:t>对违反招标投标法律、法规规定，对串通参选，或者参选人以他人名义参选或者以其他方式弄虚作假，骗取中选，或者参选人以向比选人或者评标委员会成员行贿的手段谋取中选，或者比选人在评标委员会依法推荐的合格参选人以外确定中选人，或者重大项目以及其他严重损害国家利益、社会公共利益或者当事人合法权益的投诉，不受上述时限的限制；当事人应当在知道或者应当知道其权益受到侵害之日起10内提出书面投诉。</w:t>
      </w:r>
    </w:p>
    <w:p>
      <w:pPr>
        <w:pStyle w:val="4"/>
        <w:spacing w:before="240" w:beforeLines="100" w:after="360" w:afterLines="150" w:line="480" w:lineRule="exact"/>
        <w:rPr>
          <w:rFonts w:ascii="宋体" w:hAnsi="宋体"/>
          <w:color w:val="auto"/>
          <w:sz w:val="28"/>
          <w:szCs w:val="28"/>
          <w:highlight w:val="none"/>
        </w:rPr>
      </w:pPr>
      <w:r>
        <w:rPr>
          <w:rFonts w:ascii="宋体" w:hAnsi="宋体"/>
          <w:color w:val="auto"/>
          <w:sz w:val="28"/>
          <w:szCs w:val="28"/>
          <w:highlight w:val="none"/>
        </w:rPr>
        <w:t xml:space="preserve"> </w:t>
      </w:r>
    </w:p>
    <w:p>
      <w:pPr>
        <w:rPr>
          <w:color w:val="auto"/>
        </w:rPr>
      </w:pPr>
    </w:p>
    <w:p>
      <w:pPr>
        <w:pStyle w:val="4"/>
        <w:spacing w:before="240" w:beforeLines="100" w:after="360" w:afterLines="150" w:line="480" w:lineRule="exact"/>
        <w:jc w:val="center"/>
        <w:rPr>
          <w:rFonts w:ascii="黑体" w:hAnsi="宋体"/>
          <w:color w:val="auto"/>
          <w:sz w:val="36"/>
          <w:szCs w:val="36"/>
          <w:highlight w:val="none"/>
        </w:rPr>
      </w:pPr>
      <w:bookmarkStart w:id="21" w:name="_Toc65054226"/>
      <w:r>
        <w:rPr>
          <w:rFonts w:hint="eastAsia" w:ascii="黑体" w:hAnsi="宋体"/>
          <w:color w:val="auto"/>
          <w:sz w:val="36"/>
          <w:szCs w:val="36"/>
          <w:highlight w:val="none"/>
        </w:rPr>
        <w:t>第</w:t>
      </w:r>
      <w:r>
        <w:rPr>
          <w:rFonts w:hint="eastAsia" w:ascii="黑体" w:hAnsi="宋体"/>
          <w:color w:val="auto"/>
          <w:sz w:val="36"/>
          <w:szCs w:val="36"/>
          <w:highlight w:val="none"/>
          <w:lang w:val="en-US" w:eastAsia="zh-CN"/>
        </w:rPr>
        <w:t>五</w:t>
      </w:r>
      <w:r>
        <w:rPr>
          <w:rFonts w:hint="eastAsia" w:ascii="黑体" w:hAnsi="宋体"/>
          <w:color w:val="auto"/>
          <w:sz w:val="36"/>
          <w:szCs w:val="36"/>
          <w:highlight w:val="none"/>
        </w:rPr>
        <w:t xml:space="preserve">节 </w:t>
      </w:r>
      <w:r>
        <w:rPr>
          <w:rFonts w:hint="eastAsia" w:ascii="黑体" w:hAnsi="宋体"/>
          <w:color w:val="auto"/>
          <w:sz w:val="36"/>
          <w:szCs w:val="36"/>
          <w:highlight w:val="none"/>
          <w:lang w:val="en-US" w:eastAsia="zh-CN"/>
        </w:rPr>
        <w:t>资格/</w:t>
      </w:r>
      <w:r>
        <w:rPr>
          <w:rFonts w:hint="eastAsia" w:ascii="黑体" w:hAnsi="宋体"/>
          <w:color w:val="auto"/>
          <w:sz w:val="36"/>
          <w:szCs w:val="36"/>
          <w:highlight w:val="none"/>
        </w:rPr>
        <w:t>符合性审查</w:t>
      </w:r>
      <w:bookmarkEnd w:id="21"/>
    </w:p>
    <w:p>
      <w:pPr>
        <w:spacing w:line="560" w:lineRule="exact"/>
        <w:ind w:firstLine="565" w:firstLineChars="202"/>
        <w:rPr>
          <w:rStyle w:val="63"/>
          <w:rFonts w:hint="eastAsia" w:ascii="宋体" w:hAnsi="宋体" w:eastAsia="宋体"/>
          <w:color w:val="auto"/>
          <w:sz w:val="28"/>
          <w:highlight w:val="none"/>
        </w:rPr>
      </w:pPr>
      <w:r>
        <w:rPr>
          <w:rFonts w:hint="eastAsia" w:ascii="宋体" w:hAnsi="宋体"/>
          <w:color w:val="auto"/>
          <w:sz w:val="28"/>
          <w:szCs w:val="28"/>
          <w:highlight w:val="none"/>
        </w:rPr>
        <w:t>由</w:t>
      </w:r>
      <w:r>
        <w:rPr>
          <w:rFonts w:hint="eastAsia" w:ascii="宋体" w:hAnsi="宋体"/>
          <w:color w:val="auto"/>
          <w:sz w:val="28"/>
          <w:szCs w:val="28"/>
          <w:highlight w:val="none"/>
          <w:lang w:val="en-US" w:eastAsia="zh-CN"/>
        </w:rPr>
        <w:t>评审</w:t>
      </w:r>
      <w:r>
        <w:rPr>
          <w:rFonts w:hint="eastAsia" w:ascii="宋体" w:hAnsi="宋体"/>
          <w:color w:val="auto"/>
          <w:sz w:val="28"/>
          <w:szCs w:val="28"/>
          <w:highlight w:val="none"/>
        </w:rPr>
        <w:t>委员会负责</w:t>
      </w:r>
      <w:r>
        <w:rPr>
          <w:rStyle w:val="63"/>
          <w:rFonts w:hint="eastAsia" w:ascii="宋体" w:hAnsi="宋体" w:eastAsia="宋体"/>
          <w:color w:val="auto"/>
          <w:sz w:val="28"/>
          <w:highlight w:val="none"/>
        </w:rPr>
        <w:t>对各家参选人的文件进行符合性审查，具体审查内容如下：</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参选文件按要求加盖参选人公章</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参选文件经法定代表人或其委托代理人签字，或由委托代理人签字并随参选文件一起提供“法定代表人授权书”</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参选人的报价不高于报价上限</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参选人城市及道路照明工程专业承包资质三级</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参选人营业执照</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拟派项目经理的注册二级建造师（机电工程类）</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年度履约评价是否合格（对于在比选人的年度履约评价为不合格的单位，评定标时不予考虑）</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参选文件承诺的工期不超过比选文件中工期要求</w:t>
      </w:r>
    </w:p>
    <w:p>
      <w:pPr>
        <w:spacing w:line="560" w:lineRule="exact"/>
        <w:ind w:firstLine="565" w:firstLineChars="202"/>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9</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《承诺函》格式按照比选文件要求</w:t>
      </w:r>
    </w:p>
    <w:p>
      <w:pPr>
        <w:snapToGrid w:val="0"/>
        <w:spacing w:line="560" w:lineRule="exact"/>
        <w:ind w:firstLine="565" w:firstLineChars="202"/>
        <w:rPr>
          <w:rStyle w:val="63"/>
          <w:rFonts w:hint="eastAsia" w:ascii="宋体" w:hAnsi="宋体" w:eastAsia="宋体" w:cs="宋体"/>
          <w:color w:val="auto"/>
          <w:sz w:val="28"/>
          <w:szCs w:val="28"/>
          <w:highlight w:val="none"/>
        </w:rPr>
      </w:pPr>
      <w:r>
        <w:rPr>
          <w:rStyle w:val="63"/>
          <w:rFonts w:hint="eastAsia" w:ascii="宋体" w:hAnsi="宋体" w:eastAsia="宋体" w:cs="宋体"/>
          <w:color w:val="auto"/>
          <w:sz w:val="28"/>
          <w:szCs w:val="28"/>
          <w:highlight w:val="none"/>
        </w:rPr>
        <w:t>参选人提供的比选文件中有上述任意一项情形为“否”的，视为符合性审查不合格，参选人的参选文件不被比选人受理。</w:t>
      </w:r>
    </w:p>
    <w:p>
      <w:pPr>
        <w:tabs>
          <w:tab w:val="left" w:pos="0"/>
        </w:tabs>
        <w:spacing w:line="520" w:lineRule="exact"/>
        <w:ind w:left="567"/>
        <w:rPr>
          <w:rFonts w:ascii="宋体" w:hAnsi="宋体"/>
          <w:color w:val="auto"/>
          <w:sz w:val="28"/>
          <w:szCs w:val="28"/>
          <w:highlight w:val="none"/>
        </w:rPr>
      </w:pPr>
    </w:p>
    <w:p>
      <w:pPr>
        <w:pStyle w:val="4"/>
        <w:spacing w:before="240" w:beforeLines="100" w:after="360" w:afterLines="150" w:line="480" w:lineRule="exact"/>
        <w:jc w:val="center"/>
        <w:rPr>
          <w:rFonts w:ascii="黑体" w:hAnsi="宋体"/>
          <w:color w:val="auto"/>
          <w:sz w:val="36"/>
          <w:szCs w:val="36"/>
          <w:highlight w:val="none"/>
        </w:rPr>
      </w:pPr>
      <w:bookmarkStart w:id="22" w:name="_Toc65054227"/>
      <w:r>
        <w:rPr>
          <w:rFonts w:hint="eastAsia" w:ascii="黑体" w:hAnsi="宋体"/>
          <w:color w:val="auto"/>
          <w:sz w:val="36"/>
          <w:szCs w:val="36"/>
          <w:highlight w:val="none"/>
        </w:rPr>
        <w:t>第</w:t>
      </w:r>
      <w:r>
        <w:rPr>
          <w:rFonts w:hint="eastAsia" w:ascii="黑体" w:hAnsi="宋体"/>
          <w:color w:val="auto"/>
          <w:sz w:val="36"/>
          <w:szCs w:val="36"/>
          <w:highlight w:val="none"/>
          <w:lang w:val="en-US" w:eastAsia="zh-CN"/>
        </w:rPr>
        <w:t>六</w:t>
      </w:r>
      <w:r>
        <w:rPr>
          <w:rFonts w:hint="eastAsia" w:ascii="黑体" w:hAnsi="宋体"/>
          <w:color w:val="auto"/>
          <w:sz w:val="36"/>
          <w:szCs w:val="36"/>
          <w:highlight w:val="none"/>
        </w:rPr>
        <w:t>节 评标</w:t>
      </w:r>
      <w:bookmarkEnd w:id="22"/>
    </w:p>
    <w:p>
      <w:pPr>
        <w:autoSpaceDE w:val="0"/>
        <w:autoSpaceDN w:val="0"/>
        <w:adjustRightInd w:val="0"/>
        <w:spacing w:line="560" w:lineRule="exact"/>
        <w:ind w:firstLine="565" w:firstLineChars="201"/>
        <w:rPr>
          <w:rFonts w:ascii="宋体" w:hAnsi="宋体"/>
          <w:b/>
          <w:color w:val="auto"/>
          <w:sz w:val="28"/>
          <w:szCs w:val="28"/>
          <w:highlight w:val="none"/>
        </w:rPr>
      </w:pPr>
      <w:r>
        <w:rPr>
          <w:rFonts w:hint="eastAsia" w:ascii="宋体" w:hAnsi="宋体"/>
          <w:b/>
          <w:color w:val="auto"/>
          <w:sz w:val="28"/>
          <w:szCs w:val="28"/>
          <w:highlight w:val="none"/>
        </w:rPr>
        <w:t>（一）总则</w:t>
      </w:r>
    </w:p>
    <w:p>
      <w:pPr>
        <w:autoSpaceDE w:val="0"/>
        <w:autoSpaceDN w:val="0"/>
        <w:adjustRightInd w:val="0"/>
        <w:spacing w:line="560" w:lineRule="exact"/>
        <w:ind w:firstLine="562" w:firstLineChars="201"/>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、为保证项目评审工作的公开、公平和公正，使评审工作规范化、标准化、科学化，选择有经验、有实力、信誉好的单位承办本工作，特制定本评审细则。</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2、提交合格参选文件的参选人原则上不少于3家。少于3家时，比选失败，比选人有权重新组织比选或采取其他方式确定单位。</w:t>
      </w:r>
    </w:p>
    <w:p>
      <w:pPr>
        <w:autoSpaceDE w:val="0"/>
        <w:autoSpaceDN w:val="0"/>
        <w:adjustRightInd w:val="0"/>
        <w:spacing w:line="560" w:lineRule="exact"/>
        <w:ind w:firstLine="565" w:firstLineChars="201"/>
        <w:rPr>
          <w:rFonts w:ascii="宋体" w:hAnsi="宋体"/>
          <w:b/>
          <w:color w:val="auto"/>
          <w:sz w:val="28"/>
          <w:szCs w:val="28"/>
          <w:highlight w:val="none"/>
        </w:rPr>
      </w:pPr>
      <w:r>
        <w:rPr>
          <w:rFonts w:hint="eastAsia" w:ascii="宋体" w:hAnsi="宋体"/>
          <w:b/>
          <w:color w:val="auto"/>
          <w:sz w:val="28"/>
          <w:szCs w:val="28"/>
          <w:highlight w:val="none"/>
        </w:rPr>
        <w:t>（二）综合评估法</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1、在开标前由比选人根据本比选文件组建评标委员会。评标委员会由</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7</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名评审专家组成。</w:t>
      </w:r>
    </w:p>
    <w:p>
      <w:pPr>
        <w:autoSpaceDE w:val="0"/>
        <w:autoSpaceDN w:val="0"/>
        <w:adjustRightInd w:val="0"/>
        <w:spacing w:line="560" w:lineRule="exact"/>
        <w:ind w:firstLine="562" w:firstLineChars="201"/>
        <w:rPr>
          <w:rFonts w:ascii="宋体" w:hAnsi="宋体"/>
          <w:color w:val="auto"/>
          <w:sz w:val="28"/>
          <w:szCs w:val="28"/>
          <w:highlight w:val="none"/>
        </w:rPr>
      </w:pPr>
      <w:r>
        <w:rPr>
          <w:rFonts w:ascii="宋体" w:hAnsi="宋体"/>
          <w:color w:val="auto"/>
          <w:sz w:val="28"/>
          <w:szCs w:val="28"/>
          <w:highlight w:val="none"/>
        </w:rPr>
        <w:t>2</w:t>
      </w:r>
      <w:r>
        <w:rPr>
          <w:rFonts w:hint="eastAsia" w:ascii="宋体" w:hAnsi="宋体"/>
          <w:color w:val="auto"/>
          <w:sz w:val="28"/>
          <w:szCs w:val="28"/>
          <w:highlight w:val="none"/>
        </w:rPr>
        <w:t>、评审原则：对参选人的技术标、商务标等进行综合评审，以“综合评估法”推荐1家中选候选人。</w:t>
      </w:r>
    </w:p>
    <w:p>
      <w:pPr>
        <w:autoSpaceDE w:val="0"/>
        <w:autoSpaceDN w:val="0"/>
        <w:adjustRightInd w:val="0"/>
        <w:spacing w:line="560" w:lineRule="exact"/>
        <w:ind w:firstLine="562" w:firstLineChars="201"/>
        <w:rPr>
          <w:rFonts w:ascii="宋体" w:hAnsi="宋体"/>
          <w:color w:val="auto"/>
          <w:sz w:val="28"/>
          <w:szCs w:val="28"/>
          <w:highlight w:val="none"/>
        </w:rPr>
      </w:pPr>
      <w:r>
        <w:rPr>
          <w:rFonts w:ascii="宋体" w:hAnsi="宋体"/>
          <w:color w:val="auto"/>
          <w:sz w:val="28"/>
          <w:szCs w:val="28"/>
          <w:highlight w:val="none"/>
        </w:rPr>
        <w:t>2</w:t>
      </w:r>
      <w:r>
        <w:rPr>
          <w:rFonts w:hint="eastAsia" w:ascii="宋体" w:hAnsi="宋体"/>
          <w:color w:val="auto"/>
          <w:sz w:val="28"/>
          <w:szCs w:val="28"/>
          <w:highlight w:val="none"/>
        </w:rPr>
        <w:t>、评标委员会职责</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1</w:t>
      </w:r>
      <w:r>
        <w:rPr>
          <w:rFonts w:hint="eastAsia" w:ascii="宋体" w:hAnsi="宋体"/>
          <w:color w:val="auto"/>
          <w:sz w:val="28"/>
          <w:szCs w:val="28"/>
          <w:highlight w:val="none"/>
        </w:rPr>
        <w:t>）按本评审细则对参选人的参选文件进行客观、公正的评审。</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w:t>
      </w:r>
      <w:r>
        <w:rPr>
          <w:rFonts w:ascii="宋体" w:hAnsi="宋体"/>
          <w:color w:val="auto"/>
          <w:sz w:val="28"/>
          <w:szCs w:val="28"/>
          <w:highlight w:val="none"/>
        </w:rPr>
        <w:t>2</w:t>
      </w:r>
      <w:r>
        <w:rPr>
          <w:rFonts w:hint="eastAsia" w:ascii="宋体" w:hAnsi="宋体"/>
          <w:color w:val="auto"/>
          <w:sz w:val="28"/>
          <w:szCs w:val="28"/>
          <w:highlight w:val="none"/>
        </w:rPr>
        <w:t>）向深圳市地铁集团公司呈报评选结果。</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3、评审细则</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评标委员会对通过</w:t>
      </w:r>
      <w:r>
        <w:rPr>
          <w:rFonts w:hint="eastAsia" w:ascii="宋体" w:hAnsi="宋体"/>
          <w:color w:val="auto"/>
          <w:sz w:val="28"/>
          <w:szCs w:val="28"/>
          <w:highlight w:val="none"/>
          <w:lang w:val="en-US" w:eastAsia="zh-CN"/>
        </w:rPr>
        <w:t>资格/</w:t>
      </w:r>
      <w:r>
        <w:rPr>
          <w:rFonts w:hint="eastAsia" w:ascii="宋体" w:hAnsi="宋体"/>
          <w:color w:val="auto"/>
          <w:sz w:val="28"/>
          <w:szCs w:val="28"/>
          <w:highlight w:val="none"/>
        </w:rPr>
        <w:t>符合性审查的各参选人的技术、商务进行综合评比，最后评审委员会以综合评分方式确定中选候选人。</w:t>
      </w:r>
      <w:r>
        <w:rPr>
          <w:rFonts w:ascii="宋体" w:hAnsi="宋体"/>
          <w:color w:val="auto"/>
          <w:sz w:val="28"/>
          <w:szCs w:val="28"/>
          <w:highlight w:val="none"/>
        </w:rPr>
        <w:t xml:space="preserve"> </w:t>
      </w:r>
    </w:p>
    <w:p>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本项目开标后，经审查合格的参选文件分两阶段评审：</w:t>
      </w:r>
    </w:p>
    <w:p>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第一阶段技术标</w:t>
      </w:r>
      <w:r>
        <w:rPr>
          <w:rFonts w:ascii="宋体" w:hAnsi="宋体"/>
          <w:color w:val="auto"/>
          <w:sz w:val="28"/>
          <w:szCs w:val="28"/>
          <w:highlight w:val="none"/>
        </w:rPr>
        <w:t>评审：</w:t>
      </w:r>
      <w:r>
        <w:rPr>
          <w:rFonts w:hint="eastAsia" w:ascii="宋体" w:hAnsi="宋体"/>
          <w:color w:val="auto"/>
          <w:sz w:val="28"/>
          <w:szCs w:val="28"/>
          <w:highlight w:val="none"/>
        </w:rPr>
        <w:t>评标委员会对合格参选文件的技术标进行评审</w:t>
      </w:r>
      <w:r>
        <w:rPr>
          <w:rFonts w:ascii="宋体" w:hAnsi="宋体"/>
          <w:color w:val="auto"/>
          <w:sz w:val="28"/>
          <w:szCs w:val="28"/>
          <w:highlight w:val="none"/>
        </w:rPr>
        <w:t>，</w:t>
      </w:r>
      <w:r>
        <w:rPr>
          <w:rFonts w:hint="eastAsia" w:ascii="宋体" w:hAnsi="宋体"/>
          <w:color w:val="auto"/>
          <w:sz w:val="28"/>
          <w:szCs w:val="28"/>
          <w:highlight w:val="none"/>
        </w:rPr>
        <w:t>经评审后，技术标得分前</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名的有效参选人方可进入下一阶段商务标的评审（若出现得分并列导致大于</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家的情况，则并列的有效参选人共同进入下一阶段商务标的评审）；</w:t>
      </w:r>
    </w:p>
    <w:p>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第二阶段商务标</w:t>
      </w:r>
      <w:r>
        <w:rPr>
          <w:rFonts w:ascii="宋体" w:hAnsi="宋体"/>
          <w:color w:val="auto"/>
          <w:sz w:val="28"/>
          <w:szCs w:val="28"/>
          <w:highlight w:val="none"/>
        </w:rPr>
        <w:t>评审：</w:t>
      </w:r>
      <w:r>
        <w:rPr>
          <w:rFonts w:hint="eastAsia" w:ascii="宋体" w:hAnsi="宋体"/>
          <w:color w:val="auto"/>
          <w:sz w:val="28"/>
          <w:szCs w:val="28"/>
          <w:highlight w:val="none"/>
        </w:rPr>
        <w:t>技术标评审</w:t>
      </w:r>
      <w:r>
        <w:rPr>
          <w:rFonts w:ascii="宋体" w:hAnsi="宋体"/>
          <w:color w:val="auto"/>
          <w:sz w:val="28"/>
          <w:szCs w:val="28"/>
          <w:highlight w:val="none"/>
        </w:rPr>
        <w:t>结束后，</w:t>
      </w:r>
      <w:r>
        <w:rPr>
          <w:rFonts w:hint="eastAsia" w:ascii="宋体" w:hAnsi="宋体"/>
          <w:color w:val="auto"/>
          <w:sz w:val="28"/>
          <w:szCs w:val="28"/>
          <w:highlight w:val="none"/>
        </w:rPr>
        <w:t>将技术标前</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rPr>
        <w:t>名</w:t>
      </w:r>
      <w:r>
        <w:rPr>
          <w:rFonts w:ascii="宋体" w:hAnsi="宋体"/>
          <w:color w:val="auto"/>
          <w:sz w:val="28"/>
          <w:szCs w:val="28"/>
          <w:highlight w:val="none"/>
        </w:rPr>
        <w:t>参选人的商务标移</w:t>
      </w:r>
      <w:r>
        <w:rPr>
          <w:rFonts w:hint="eastAsia" w:ascii="宋体" w:hAnsi="宋体"/>
          <w:color w:val="auto"/>
          <w:sz w:val="28"/>
          <w:szCs w:val="28"/>
          <w:highlight w:val="none"/>
        </w:rPr>
        <w:t>交至评标委员会，评标委员会对参选报价进行评审，同时汇总各参选人技术标及商务标分值。若有效参选人不足3家，则从技术标得分排名第5名参选人起由高至低进行商务标递补。</w:t>
      </w:r>
    </w:p>
    <w:p>
      <w:pPr>
        <w:spacing w:line="560"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汇总完成后，评委按照</w:t>
      </w:r>
      <w:r>
        <w:rPr>
          <w:rFonts w:ascii="宋体" w:hAnsi="宋体"/>
          <w:color w:val="auto"/>
          <w:sz w:val="28"/>
          <w:szCs w:val="28"/>
          <w:highlight w:val="none"/>
        </w:rPr>
        <w:t>参选人的最终得分值由高到低排列名次。若最终得分相同的，以技术标得分高者排在先</w:t>
      </w:r>
      <w:r>
        <w:rPr>
          <w:rFonts w:hint="eastAsia" w:ascii="宋体" w:hAnsi="宋体"/>
          <w:color w:val="auto"/>
          <w:sz w:val="28"/>
          <w:szCs w:val="28"/>
          <w:highlight w:val="none"/>
        </w:rPr>
        <w:t>；若技术标得分相同的（以保留小数点后两位且四舍五入为准），以商务标报价低者排在先；若报价相同的，以抽签的形式确定中选候选人。最终，评委推荐一名中选候选人。</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评委从技术标和商务标进行综合评分，满分为100分。</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（1）技术标，结合工程实际进行技术方案评分，总分</w:t>
      </w:r>
      <w:r>
        <w:rPr>
          <w:rFonts w:ascii="宋体" w:hAnsi="宋体"/>
          <w:color w:val="auto"/>
          <w:sz w:val="28"/>
          <w:szCs w:val="28"/>
          <w:highlight w:val="none"/>
        </w:rPr>
        <w:t>5</w:t>
      </w:r>
      <w:r>
        <w:rPr>
          <w:rFonts w:hint="eastAsia" w:ascii="宋体" w:hAnsi="宋体"/>
          <w:color w:val="auto"/>
          <w:sz w:val="28"/>
          <w:szCs w:val="28"/>
          <w:highlight w:val="none"/>
        </w:rPr>
        <w:t>0分。</w:t>
      </w:r>
    </w:p>
    <w:p>
      <w:pPr>
        <w:jc w:val="center"/>
        <w:rPr>
          <w:rFonts w:ascii="宋体" w:hAnsi="宋体"/>
          <w:b/>
          <w:color w:val="auto"/>
          <w:sz w:val="30"/>
          <w:szCs w:val="30"/>
          <w:highlight w:val="none"/>
        </w:rPr>
      </w:pP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 </w:t>
      </w:r>
      <w:r>
        <w:rPr>
          <w:rFonts w:ascii="宋体" w:hAnsi="宋体"/>
          <w:b/>
          <w:color w:val="auto"/>
          <w:sz w:val="30"/>
          <w:szCs w:val="30"/>
          <w:highlight w:val="none"/>
        </w:rPr>
        <w:t xml:space="preserve">       </w:t>
      </w:r>
      <w:r>
        <w:rPr>
          <w:rFonts w:hint="eastAsia" w:ascii="宋体" w:hAnsi="宋体"/>
          <w:b/>
          <w:color w:val="auto"/>
          <w:sz w:val="30"/>
          <w:szCs w:val="30"/>
          <w:highlight w:val="none"/>
        </w:rPr>
        <w:t>技术评分表</w:t>
      </w:r>
    </w:p>
    <w:tbl>
      <w:tblPr>
        <w:tblStyle w:val="47"/>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956"/>
        <w:gridCol w:w="4446"/>
        <w:gridCol w:w="915"/>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blHeader/>
        </w:trPr>
        <w:tc>
          <w:tcPr>
            <w:tcW w:w="672" w:type="dxa"/>
            <w:tcBorders>
              <w:top w:val="single" w:color="auto" w:sz="4" w:space="0"/>
              <w:left w:val="single" w:color="auto" w:sz="4" w:space="0"/>
              <w:right w:val="single" w:color="auto" w:sz="4" w:space="0"/>
            </w:tcBorders>
            <w:vAlign w:val="center"/>
          </w:tcPr>
          <w:p>
            <w:pPr>
              <w:adjustRightInd w:val="0"/>
              <w:snapToGrid w:val="0"/>
              <w:spacing w:line="34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序号</w:t>
            </w:r>
          </w:p>
        </w:tc>
        <w:tc>
          <w:tcPr>
            <w:tcW w:w="1956" w:type="dxa"/>
            <w:tcBorders>
              <w:top w:val="single" w:color="auto" w:sz="4" w:space="0"/>
              <w:left w:val="single" w:color="auto" w:sz="4" w:space="0"/>
              <w:right w:val="single" w:color="auto" w:sz="4" w:space="0"/>
            </w:tcBorders>
            <w:vAlign w:val="center"/>
          </w:tcPr>
          <w:p>
            <w:pPr>
              <w:adjustRightInd w:val="0"/>
              <w:snapToGrid w:val="0"/>
              <w:spacing w:line="34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评审项目</w:t>
            </w:r>
          </w:p>
        </w:tc>
        <w:tc>
          <w:tcPr>
            <w:tcW w:w="4446" w:type="dxa"/>
            <w:tcBorders>
              <w:top w:val="single" w:color="auto" w:sz="4" w:space="0"/>
              <w:left w:val="single" w:color="auto" w:sz="4" w:space="0"/>
              <w:right w:val="single" w:color="auto" w:sz="4" w:space="0"/>
            </w:tcBorders>
            <w:vAlign w:val="center"/>
          </w:tcPr>
          <w:p>
            <w:pPr>
              <w:adjustRightInd w:val="0"/>
              <w:snapToGrid w:val="0"/>
              <w:spacing w:line="34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评审内容</w:t>
            </w:r>
          </w:p>
        </w:tc>
        <w:tc>
          <w:tcPr>
            <w:tcW w:w="915" w:type="dxa"/>
            <w:tcBorders>
              <w:top w:val="single" w:color="auto" w:sz="4" w:space="0"/>
              <w:left w:val="single" w:color="auto" w:sz="4" w:space="0"/>
              <w:right w:val="single" w:color="auto" w:sz="12" w:space="0"/>
            </w:tcBorders>
            <w:vAlign w:val="center"/>
          </w:tcPr>
          <w:p>
            <w:pPr>
              <w:adjustRightInd w:val="0"/>
              <w:snapToGrid w:val="0"/>
              <w:spacing w:line="34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分数</w:t>
            </w:r>
          </w:p>
        </w:tc>
        <w:tc>
          <w:tcPr>
            <w:tcW w:w="930" w:type="dxa"/>
            <w:tcBorders>
              <w:top w:val="single" w:color="auto" w:sz="4" w:space="0"/>
              <w:left w:val="single" w:color="auto" w:sz="12" w:space="0"/>
              <w:right w:val="single" w:color="auto" w:sz="4" w:space="0"/>
            </w:tcBorders>
            <w:vAlign w:val="center"/>
          </w:tcPr>
          <w:p>
            <w:pPr>
              <w:adjustRightInd w:val="0"/>
              <w:snapToGrid w:val="0"/>
              <w:spacing w:line="340" w:lineRule="exact"/>
              <w:jc w:val="center"/>
              <w:rPr>
                <w:rFonts w:hint="eastAsia" w:asciiTheme="minorEastAsia" w:hAnsiTheme="minorEastAsia" w:eastAsiaTheme="minorEastAsia" w:cstheme="minorEastAsia"/>
                <w:b/>
                <w:color w:val="auto"/>
                <w:kern w:val="0"/>
                <w:sz w:val="24"/>
                <w:szCs w:val="24"/>
                <w:highlight w:val="none"/>
              </w:rPr>
            </w:pPr>
            <w:r>
              <w:rPr>
                <w:rFonts w:hint="eastAsia" w:asciiTheme="minorEastAsia" w:hAnsiTheme="minorEastAsia" w:eastAsiaTheme="minorEastAsia" w:cstheme="minorEastAsia"/>
                <w:b/>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5" w:hRule="atLeast"/>
          <w:tblHeader/>
        </w:trPr>
        <w:tc>
          <w:tcPr>
            <w:tcW w:w="672" w:type="dxa"/>
            <w:tcBorders>
              <w:top w:val="single" w:color="auto" w:sz="4" w:space="0"/>
              <w:left w:val="single" w:color="auto" w:sz="4" w:space="0"/>
              <w:right w:val="single" w:color="auto" w:sz="4"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1</w:t>
            </w:r>
          </w:p>
        </w:tc>
        <w:tc>
          <w:tcPr>
            <w:tcW w:w="1956" w:type="dxa"/>
            <w:tcBorders>
              <w:top w:val="single" w:color="auto" w:sz="4" w:space="0"/>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企业资质</w:t>
            </w:r>
          </w:p>
        </w:tc>
        <w:tc>
          <w:tcPr>
            <w:tcW w:w="4446" w:type="dxa"/>
            <w:tcBorders>
              <w:top w:val="single" w:color="auto" w:sz="4" w:space="0"/>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具有城市及道路照明工程专业承包资质三级，得1分，城市及道路照明工程专业承包资质二级，得3分，具有城市及道路照明工程专业承包资质一级，得5分</w:t>
            </w:r>
            <w:r>
              <w:rPr>
                <w:rFonts w:hint="eastAsia" w:asciiTheme="minorEastAsia" w:hAnsiTheme="minorEastAsia" w:eastAsiaTheme="minorEastAsia" w:cstheme="minorEastAsia"/>
                <w:color w:val="auto"/>
                <w:kern w:val="0"/>
                <w:sz w:val="24"/>
                <w:szCs w:val="24"/>
                <w:lang w:eastAsia="zh-CN"/>
              </w:rPr>
              <w:t>。</w:t>
            </w:r>
          </w:p>
        </w:tc>
        <w:tc>
          <w:tcPr>
            <w:tcW w:w="915" w:type="dxa"/>
            <w:tcBorders>
              <w:top w:val="single" w:color="auto" w:sz="4" w:space="0"/>
              <w:left w:val="single" w:color="auto" w:sz="4" w:space="0"/>
              <w:right w:val="single" w:color="auto" w:sz="12"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w:t>
            </w:r>
          </w:p>
        </w:tc>
        <w:tc>
          <w:tcPr>
            <w:tcW w:w="930" w:type="dxa"/>
            <w:tcBorders>
              <w:top w:val="single" w:color="auto" w:sz="4" w:space="0"/>
              <w:left w:val="single" w:color="auto" w:sz="12"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3" w:hRule="atLeast"/>
          <w:tblHeader/>
        </w:trPr>
        <w:tc>
          <w:tcPr>
            <w:tcW w:w="672" w:type="dxa"/>
            <w:tcBorders>
              <w:top w:val="single" w:color="auto" w:sz="4" w:space="0"/>
              <w:left w:val="single" w:color="auto" w:sz="4" w:space="0"/>
              <w:right w:val="single" w:color="auto" w:sz="4"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2</w:t>
            </w:r>
          </w:p>
        </w:tc>
        <w:tc>
          <w:tcPr>
            <w:tcW w:w="1956" w:type="dxa"/>
            <w:tcBorders>
              <w:top w:val="single" w:color="auto" w:sz="4" w:space="0"/>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企业业绩</w:t>
            </w:r>
          </w:p>
        </w:tc>
        <w:tc>
          <w:tcPr>
            <w:tcW w:w="4446" w:type="dxa"/>
            <w:tcBorders>
              <w:top w:val="single" w:color="auto" w:sz="4" w:space="0"/>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eastAsiaTheme="minorEastAsia" w:cstheme="minorEastAsia"/>
                <w:color w:val="auto"/>
                <w:kern w:val="0"/>
                <w:sz w:val="24"/>
                <w:szCs w:val="24"/>
              </w:rPr>
              <w:t>参选人提供近三年（</w:t>
            </w:r>
            <w:r>
              <w:rPr>
                <w:rFonts w:hint="eastAsia" w:asciiTheme="minorEastAsia" w:hAnsiTheme="minorEastAsia" w:eastAsiaTheme="minorEastAsia" w:cstheme="minorEastAsia"/>
                <w:color w:val="auto"/>
                <w:kern w:val="0"/>
                <w:sz w:val="24"/>
                <w:szCs w:val="24"/>
                <w:lang w:val="en-US" w:eastAsia="zh-CN"/>
              </w:rPr>
              <w:t>自2019年10月1日至今，</w:t>
            </w:r>
            <w:r>
              <w:rPr>
                <w:rFonts w:hint="eastAsia" w:asciiTheme="minorEastAsia" w:hAnsiTheme="minorEastAsia" w:eastAsiaTheme="minorEastAsia" w:cstheme="minorEastAsia"/>
                <w:color w:val="auto"/>
                <w:kern w:val="0"/>
                <w:sz w:val="24"/>
                <w:szCs w:val="24"/>
              </w:rPr>
              <w:t>以合同签订时间为准）泛光照明工程业绩，合同金额200万以上，每个得5分，合同金额200万以下，每个得2分， 合计不超过10分。</w:t>
            </w:r>
          </w:p>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备注：业绩证明材料须提供合同关键页复印件。</w:t>
            </w:r>
          </w:p>
        </w:tc>
        <w:tc>
          <w:tcPr>
            <w:tcW w:w="915" w:type="dxa"/>
            <w:tcBorders>
              <w:top w:val="single" w:color="auto" w:sz="4" w:space="0"/>
              <w:left w:val="single" w:color="auto" w:sz="4" w:space="0"/>
              <w:right w:val="single" w:color="auto" w:sz="12"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w:t>
            </w:r>
          </w:p>
        </w:tc>
        <w:tc>
          <w:tcPr>
            <w:tcW w:w="930" w:type="dxa"/>
            <w:tcBorders>
              <w:top w:val="single" w:color="auto" w:sz="4" w:space="0"/>
              <w:left w:val="single" w:color="auto" w:sz="12"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2" w:hRule="atLeast"/>
        </w:trPr>
        <w:tc>
          <w:tcPr>
            <w:tcW w:w="672" w:type="dxa"/>
            <w:tcBorders>
              <w:left w:val="single" w:color="auto" w:sz="4" w:space="0"/>
              <w:right w:val="single" w:color="auto" w:sz="4"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3</w:t>
            </w:r>
          </w:p>
        </w:tc>
        <w:tc>
          <w:tcPr>
            <w:tcW w:w="1956" w:type="dxa"/>
            <w:tcBorders>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项目负责人基本情况</w:t>
            </w:r>
          </w:p>
        </w:tc>
        <w:tc>
          <w:tcPr>
            <w:tcW w:w="4446" w:type="dxa"/>
            <w:tcBorders>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lang w:val="en-US" w:eastAsia="zh-CN"/>
              </w:rPr>
              <w:t>1.</w:t>
            </w:r>
            <w:r>
              <w:rPr>
                <w:rFonts w:hint="eastAsia" w:asciiTheme="minorEastAsia" w:hAnsiTheme="minorEastAsia" w:eastAsiaTheme="minorEastAsia" w:cstheme="minorEastAsia"/>
                <w:color w:val="auto"/>
                <w:kern w:val="0"/>
                <w:sz w:val="24"/>
                <w:szCs w:val="24"/>
              </w:rPr>
              <w:t>项目负责人具有中级职称或二级建造师（机电工程类），得2分，具有高级职称或一级建造师资格证书，得4分；</w:t>
            </w:r>
          </w:p>
          <w:p>
            <w:pPr>
              <w:adjustRightInd w:val="0"/>
              <w:snapToGrid w:val="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lang w:val="en-US" w:eastAsia="zh-CN"/>
              </w:rPr>
              <w:t>2.</w:t>
            </w:r>
            <w:r>
              <w:rPr>
                <w:rFonts w:hint="eastAsia" w:asciiTheme="minorEastAsia" w:hAnsiTheme="minorEastAsia" w:eastAsiaTheme="minorEastAsia" w:cstheme="minorEastAsia"/>
                <w:color w:val="auto"/>
                <w:kern w:val="0"/>
                <w:sz w:val="24"/>
                <w:szCs w:val="24"/>
              </w:rPr>
              <w:t>提供近三年（</w:t>
            </w:r>
            <w:r>
              <w:rPr>
                <w:rFonts w:hint="eastAsia" w:asciiTheme="minorEastAsia" w:hAnsiTheme="minorEastAsia" w:eastAsiaTheme="minorEastAsia" w:cstheme="minorEastAsia"/>
                <w:color w:val="auto"/>
                <w:kern w:val="0"/>
                <w:sz w:val="24"/>
                <w:szCs w:val="24"/>
                <w:lang w:val="en-US" w:eastAsia="zh-CN"/>
              </w:rPr>
              <w:t>自2019年10月1日至今，</w:t>
            </w:r>
            <w:r>
              <w:rPr>
                <w:rFonts w:hint="eastAsia" w:asciiTheme="minorEastAsia" w:hAnsiTheme="minorEastAsia" w:eastAsiaTheme="minorEastAsia" w:cstheme="minorEastAsia"/>
                <w:color w:val="auto"/>
                <w:kern w:val="0"/>
                <w:sz w:val="24"/>
                <w:szCs w:val="24"/>
              </w:rPr>
              <w:t>以合同签订时间为准）泛光照明工程业绩</w:t>
            </w:r>
            <w:r>
              <w:rPr>
                <w:rFonts w:hint="eastAsia" w:asciiTheme="minorEastAsia" w:hAnsiTheme="minorEastAsia" w:eastAsiaTheme="minorEastAsia" w:cstheme="minorEastAsia"/>
                <w:color w:val="auto"/>
                <w:kern w:val="0"/>
                <w:sz w:val="24"/>
                <w:szCs w:val="24"/>
                <w:lang w:val="en-US" w:eastAsia="zh-CN"/>
              </w:rPr>
              <w:t>(</w:t>
            </w:r>
            <w:r>
              <w:rPr>
                <w:rFonts w:hint="eastAsia" w:asciiTheme="minorEastAsia" w:hAnsiTheme="minorEastAsia" w:eastAsiaTheme="minorEastAsia" w:cstheme="minorEastAsia"/>
                <w:color w:val="auto"/>
                <w:kern w:val="0"/>
                <w:sz w:val="24"/>
                <w:szCs w:val="24"/>
              </w:rPr>
              <w:t>合同金额</w:t>
            </w:r>
            <w:r>
              <w:rPr>
                <w:rFonts w:hint="eastAsia" w:asciiTheme="minorEastAsia" w:hAnsiTheme="minorEastAsia" w:eastAsiaTheme="minorEastAsia" w:cstheme="minorEastAsia"/>
                <w:color w:val="auto"/>
                <w:kern w:val="0"/>
                <w:sz w:val="24"/>
                <w:szCs w:val="24"/>
                <w:lang w:val="en-US" w:eastAsia="zh-CN"/>
              </w:rPr>
              <w:t>1</w:t>
            </w:r>
            <w:r>
              <w:rPr>
                <w:rFonts w:hint="eastAsia" w:asciiTheme="minorEastAsia" w:hAnsiTheme="minorEastAsia" w:eastAsiaTheme="minorEastAsia" w:cstheme="minorEastAsia"/>
                <w:color w:val="auto"/>
                <w:kern w:val="0"/>
                <w:sz w:val="24"/>
                <w:szCs w:val="24"/>
              </w:rPr>
              <w:t>00万以上）</w:t>
            </w:r>
            <w:r>
              <w:rPr>
                <w:rFonts w:hint="eastAsia" w:asciiTheme="minorEastAsia" w:hAnsiTheme="minorEastAsia" w:eastAsiaTheme="minorEastAsia" w:cstheme="minorEastAsia"/>
                <w:color w:val="auto"/>
                <w:kern w:val="0"/>
                <w:sz w:val="24"/>
                <w:szCs w:val="24"/>
                <w:lang w:val="en-US" w:eastAsia="zh-CN"/>
              </w:rPr>
              <w:t>,</w:t>
            </w:r>
            <w:r>
              <w:rPr>
                <w:rFonts w:hint="eastAsia" w:asciiTheme="minorEastAsia" w:hAnsiTheme="minorEastAsia" w:eastAsiaTheme="minorEastAsia" w:cstheme="minorEastAsia"/>
                <w:color w:val="auto"/>
                <w:kern w:val="0"/>
                <w:sz w:val="24"/>
                <w:szCs w:val="24"/>
              </w:rPr>
              <w:t>每个3分，</w:t>
            </w:r>
            <w:r>
              <w:rPr>
                <w:rFonts w:hint="eastAsia" w:asciiTheme="minorEastAsia" w:hAnsiTheme="minorEastAsia" w:eastAsiaTheme="minorEastAsia" w:cstheme="minorEastAsia"/>
                <w:color w:val="auto"/>
                <w:kern w:val="0"/>
                <w:sz w:val="24"/>
                <w:szCs w:val="24"/>
                <w:lang w:val="en-US" w:eastAsia="zh-CN"/>
              </w:rPr>
              <w:t>最高</w:t>
            </w:r>
            <w:r>
              <w:rPr>
                <w:rFonts w:hint="eastAsia" w:asciiTheme="minorEastAsia" w:hAnsiTheme="minorEastAsia" w:eastAsiaTheme="minorEastAsia" w:cstheme="minorEastAsia"/>
                <w:color w:val="auto"/>
                <w:kern w:val="0"/>
                <w:sz w:val="24"/>
                <w:szCs w:val="24"/>
              </w:rPr>
              <w:t>6分。</w:t>
            </w:r>
          </w:p>
          <w:p>
            <w:pPr>
              <w:adjustRightInd w:val="0"/>
              <w:snapToGrid w:val="0"/>
              <w:jc w:val="left"/>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rPr>
              <w:t>备注</w:t>
            </w:r>
            <w:r>
              <w:rPr>
                <w:rFonts w:hint="eastAsia" w:asciiTheme="minorEastAsia" w:hAnsiTheme="minorEastAsia" w:eastAsiaTheme="minorEastAsia" w:cstheme="minorEastAsia"/>
                <w:color w:val="auto"/>
                <w:kern w:val="0"/>
                <w:sz w:val="24"/>
                <w:szCs w:val="24"/>
                <w:lang w:val="en-US" w:eastAsia="zh-CN"/>
              </w:rPr>
              <w:t>：（1）提供职称证书复印件或建造师执业证书复印件；</w:t>
            </w:r>
          </w:p>
          <w:p>
            <w:pPr>
              <w:adjustRightInd w:val="0"/>
              <w:snapToGrid w:val="0"/>
              <w:jc w:val="left"/>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kern w:val="0"/>
                <w:sz w:val="24"/>
                <w:szCs w:val="24"/>
                <w:lang w:val="en-US" w:eastAsia="zh-CN"/>
              </w:rPr>
              <w:t>（2）业绩证明材料须提供合同关键页复印件;</w:t>
            </w:r>
          </w:p>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lang w:val="en-US" w:eastAsia="zh-CN"/>
              </w:rPr>
              <w:t>（3）提供近6个月（自2022年4月1日至今）社保证明资料。</w:t>
            </w:r>
          </w:p>
        </w:tc>
        <w:tc>
          <w:tcPr>
            <w:tcW w:w="915" w:type="dxa"/>
            <w:tcBorders>
              <w:top w:val="single" w:color="auto" w:sz="4" w:space="0"/>
              <w:left w:val="single" w:color="auto" w:sz="4" w:space="0"/>
              <w:bottom w:val="single" w:color="auto" w:sz="4" w:space="0"/>
              <w:right w:val="single" w:color="auto" w:sz="12"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10</w:t>
            </w:r>
          </w:p>
        </w:tc>
        <w:tc>
          <w:tcPr>
            <w:tcW w:w="930" w:type="dxa"/>
            <w:tcBorders>
              <w:top w:val="single" w:color="auto" w:sz="4" w:space="0"/>
              <w:left w:val="single" w:color="auto" w:sz="12" w:space="0"/>
              <w:bottom w:val="single" w:color="auto" w:sz="4" w:space="0"/>
              <w:right w:val="single" w:color="auto" w:sz="2"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trPr>
        <w:tc>
          <w:tcPr>
            <w:tcW w:w="672" w:type="dxa"/>
            <w:tcBorders>
              <w:left w:val="single" w:color="auto" w:sz="4" w:space="0"/>
              <w:right w:val="single" w:color="auto" w:sz="4"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4</w:t>
            </w:r>
          </w:p>
        </w:tc>
        <w:tc>
          <w:tcPr>
            <w:tcW w:w="1956" w:type="dxa"/>
            <w:tcBorders>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lang w:val="en-US" w:eastAsia="zh-CN"/>
              </w:rPr>
              <w:t>施工方案</w:t>
            </w:r>
          </w:p>
        </w:tc>
        <w:tc>
          <w:tcPr>
            <w:tcW w:w="4446" w:type="dxa"/>
            <w:tcBorders>
              <w:left w:val="single" w:color="auto" w:sz="4" w:space="0"/>
              <w:right w:val="single" w:color="auto" w:sz="4" w:space="0"/>
            </w:tcBorders>
            <w:vAlign w:val="center"/>
          </w:tcPr>
          <w:p>
            <w:pPr>
              <w:adjustRightInd w:val="0"/>
              <w:snapToGrid w:val="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lang w:val="en-US" w:eastAsia="zh-CN"/>
              </w:rPr>
              <w:t>根据现场及图纸情况编制施工方案</w:t>
            </w:r>
            <w:r>
              <w:rPr>
                <w:rFonts w:hint="eastAsia" w:asciiTheme="minorEastAsia" w:hAnsiTheme="minorEastAsia" w:eastAsiaTheme="minorEastAsia" w:cstheme="minorEastAsia"/>
                <w:color w:val="auto"/>
                <w:kern w:val="0"/>
                <w:sz w:val="24"/>
                <w:szCs w:val="24"/>
              </w:rPr>
              <w:t>（含安装方案、安全措施、工期排布、与总包、幕墙等单位的界面协调</w:t>
            </w: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lang w:val="en-US" w:eastAsia="zh-CN"/>
              </w:rPr>
              <w:t>图纸深化</w:t>
            </w:r>
            <w:r>
              <w:rPr>
                <w:rFonts w:hint="eastAsia" w:asciiTheme="minorEastAsia" w:hAnsiTheme="minorEastAsia" w:eastAsiaTheme="minorEastAsia" w:cstheme="minorEastAsia"/>
                <w:color w:val="auto"/>
                <w:kern w:val="0"/>
                <w:sz w:val="24"/>
                <w:szCs w:val="24"/>
              </w:rPr>
              <w:t>等内容）</w:t>
            </w:r>
          </w:p>
          <w:p>
            <w:pPr>
              <w:adjustRightInd w:val="0"/>
              <w:snapToGrid w:val="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方案合理、针对性强、专业性高17-25分；</w:t>
            </w:r>
          </w:p>
          <w:p>
            <w:pPr>
              <w:adjustRightInd w:val="0"/>
              <w:snapToGrid w:val="0"/>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方案一般8-16；</w:t>
            </w:r>
          </w:p>
          <w:p>
            <w:pPr>
              <w:adjustRightInd w:val="0"/>
              <w:snapToGrid w:val="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rPr>
              <w:t>方案差或无方案0-7分</w:t>
            </w:r>
            <w:r>
              <w:rPr>
                <w:rFonts w:hint="eastAsia" w:asciiTheme="minorEastAsia" w:hAnsiTheme="minorEastAsia" w:eastAsiaTheme="minorEastAsia" w:cstheme="minorEastAsia"/>
                <w:color w:val="auto"/>
                <w:kern w:val="0"/>
                <w:sz w:val="24"/>
                <w:szCs w:val="24"/>
                <w:lang w:eastAsia="zh-CN"/>
              </w:rPr>
              <w:t>。</w:t>
            </w:r>
          </w:p>
        </w:tc>
        <w:tc>
          <w:tcPr>
            <w:tcW w:w="915" w:type="dxa"/>
            <w:tcBorders>
              <w:top w:val="single" w:color="auto" w:sz="4" w:space="0"/>
              <w:left w:val="single" w:color="auto" w:sz="4" w:space="0"/>
              <w:bottom w:val="single" w:color="auto" w:sz="4" w:space="0"/>
              <w:right w:val="single" w:color="auto" w:sz="12"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25</w:t>
            </w:r>
          </w:p>
        </w:tc>
        <w:tc>
          <w:tcPr>
            <w:tcW w:w="930" w:type="dxa"/>
            <w:tcBorders>
              <w:top w:val="single" w:color="auto" w:sz="4" w:space="0"/>
              <w:left w:val="single" w:color="auto" w:sz="12" w:space="0"/>
              <w:bottom w:val="single" w:color="auto" w:sz="4"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4" w:hRule="atLeast"/>
        </w:trPr>
        <w:tc>
          <w:tcPr>
            <w:tcW w:w="672" w:type="dxa"/>
            <w:tcBorders>
              <w:top w:val="single" w:color="auto" w:sz="4" w:space="0"/>
              <w:left w:val="single" w:color="auto" w:sz="4" w:space="0"/>
              <w:right w:val="single" w:color="auto" w:sz="4" w:space="0"/>
            </w:tcBorders>
            <w:vAlign w:val="center"/>
          </w:tcPr>
          <w:p>
            <w:pPr>
              <w:jc w:val="center"/>
              <w:rPr>
                <w:rFonts w:ascii="宋体" w:hAnsi="宋体"/>
                <w:color w:val="auto"/>
                <w:sz w:val="24"/>
                <w:szCs w:val="24"/>
                <w:highlight w:val="none"/>
              </w:rPr>
            </w:pPr>
          </w:p>
        </w:tc>
        <w:tc>
          <w:tcPr>
            <w:tcW w:w="1956" w:type="dxa"/>
            <w:tcBorders>
              <w:top w:val="single" w:color="auto" w:sz="4" w:space="0"/>
              <w:left w:val="single" w:color="auto" w:sz="4" w:space="0"/>
              <w:right w:val="single" w:color="auto" w:sz="4" w:space="0"/>
            </w:tcBorders>
            <w:vAlign w:val="center"/>
          </w:tcPr>
          <w:p>
            <w:pPr>
              <w:tabs>
                <w:tab w:val="left" w:pos="307"/>
              </w:tabs>
              <w:jc w:val="center"/>
              <w:rPr>
                <w:rFonts w:ascii="宋体" w:hAnsi="宋体"/>
                <w:b/>
                <w:bCs/>
                <w:color w:val="auto"/>
                <w:sz w:val="24"/>
                <w:szCs w:val="24"/>
                <w:highlight w:val="none"/>
              </w:rPr>
            </w:pPr>
            <w:r>
              <w:rPr>
                <w:rFonts w:hint="eastAsia" w:ascii="宋体" w:hAnsi="宋体"/>
                <w:b/>
                <w:bCs/>
                <w:color w:val="auto"/>
                <w:sz w:val="24"/>
                <w:szCs w:val="24"/>
                <w:highlight w:val="none"/>
              </w:rPr>
              <w:t>总分</w:t>
            </w:r>
          </w:p>
        </w:tc>
        <w:tc>
          <w:tcPr>
            <w:tcW w:w="4446" w:type="dxa"/>
            <w:tcBorders>
              <w:top w:val="single" w:color="auto" w:sz="4" w:space="0"/>
              <w:left w:val="single" w:color="auto" w:sz="4" w:space="0"/>
              <w:right w:val="single" w:color="auto" w:sz="4" w:space="0"/>
            </w:tcBorders>
            <w:vAlign w:val="center"/>
          </w:tcPr>
          <w:p>
            <w:pPr>
              <w:jc w:val="center"/>
              <w:rPr>
                <w:rFonts w:ascii="仿宋" w:hAnsi="仿宋" w:eastAsia="仿宋"/>
                <w:b/>
                <w:bCs/>
                <w:color w:val="auto"/>
                <w:sz w:val="24"/>
                <w:szCs w:val="24"/>
                <w:highlight w:val="none"/>
              </w:rPr>
            </w:pPr>
          </w:p>
        </w:tc>
        <w:tc>
          <w:tcPr>
            <w:tcW w:w="915" w:type="dxa"/>
            <w:tcBorders>
              <w:top w:val="single" w:color="auto" w:sz="4" w:space="0"/>
              <w:left w:val="single" w:color="auto" w:sz="4" w:space="0"/>
              <w:bottom w:val="single" w:color="auto" w:sz="4" w:space="0"/>
              <w:right w:val="single" w:color="auto" w:sz="12" w:space="0"/>
            </w:tcBorders>
            <w:vAlign w:val="center"/>
          </w:tcPr>
          <w:p>
            <w:pPr>
              <w:jc w:val="center"/>
              <w:rPr>
                <w:rFonts w:ascii="仿宋" w:hAnsi="仿宋" w:eastAsia="仿宋"/>
                <w:color w:val="auto"/>
                <w:sz w:val="24"/>
                <w:szCs w:val="24"/>
                <w:highlight w:val="none"/>
              </w:rPr>
            </w:pPr>
            <w:r>
              <w:rPr>
                <w:rFonts w:hint="eastAsia" w:ascii="仿宋" w:hAnsi="仿宋" w:eastAsia="仿宋"/>
                <w:b/>
                <w:bCs/>
                <w:color w:val="auto"/>
                <w:sz w:val="24"/>
                <w:szCs w:val="24"/>
                <w:highlight w:val="none"/>
              </w:rPr>
              <w:t>50</w:t>
            </w:r>
          </w:p>
        </w:tc>
        <w:tc>
          <w:tcPr>
            <w:tcW w:w="930" w:type="dxa"/>
            <w:tcBorders>
              <w:top w:val="single" w:color="auto" w:sz="4" w:space="0"/>
              <w:left w:val="single" w:color="auto" w:sz="12" w:space="0"/>
              <w:right w:val="single" w:color="auto" w:sz="4" w:space="0"/>
            </w:tcBorders>
          </w:tcPr>
          <w:p>
            <w:pPr>
              <w:tabs>
                <w:tab w:val="left" w:pos="244"/>
              </w:tabs>
              <w:jc w:val="center"/>
              <w:rPr>
                <w:rFonts w:ascii="宋体" w:hAnsi="宋体"/>
                <w:color w:val="auto"/>
                <w:sz w:val="24"/>
                <w:szCs w:val="24"/>
                <w:highlight w:val="none"/>
              </w:rPr>
            </w:pPr>
          </w:p>
        </w:tc>
      </w:tr>
    </w:tbl>
    <w:p>
      <w:pPr>
        <w:rPr>
          <w:rFonts w:hint="eastAsia" w:ascii="Arial" w:hAnsi="Arial" w:cs="Arial"/>
          <w:bCs/>
          <w:color w:val="auto"/>
          <w:sz w:val="24"/>
          <w:szCs w:val="24"/>
          <w:highlight w:val="none"/>
        </w:rPr>
      </w:pP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各评委评出各有效参选文件的得分后，算术平均后计算出各参选人技术标书评审得分。技术标得分前</w:t>
      </w:r>
      <w:r>
        <w:rPr>
          <w:rFonts w:hint="eastAsia" w:ascii="宋体" w:hAnsi="宋体"/>
          <w:color w:val="auto"/>
          <w:sz w:val="28"/>
          <w:szCs w:val="28"/>
          <w:highlight w:val="none"/>
          <w:u w:val="single"/>
          <w:lang w:val="en-US" w:eastAsia="zh-CN"/>
        </w:rPr>
        <w:t>4</w:t>
      </w:r>
      <w:r>
        <w:rPr>
          <w:rFonts w:hint="eastAsia" w:ascii="宋体" w:hAnsi="宋体"/>
          <w:color w:val="auto"/>
          <w:sz w:val="28"/>
          <w:szCs w:val="28"/>
          <w:highlight w:val="none"/>
        </w:rPr>
        <w:t>名的合格参选人方可进入下一阶段商务标的评审（若出现得分并列导致大于</w:t>
      </w:r>
      <w:r>
        <w:rPr>
          <w:rFonts w:hint="eastAsia" w:ascii="宋体" w:hAnsi="宋体"/>
          <w:color w:val="auto"/>
          <w:sz w:val="28"/>
          <w:szCs w:val="28"/>
          <w:highlight w:val="none"/>
          <w:u w:val="single"/>
          <w:lang w:val="en-US" w:eastAsia="zh-CN"/>
        </w:rPr>
        <w:t>4</w:t>
      </w:r>
      <w:r>
        <w:rPr>
          <w:rFonts w:hint="eastAsia" w:ascii="宋体" w:hAnsi="宋体"/>
          <w:color w:val="auto"/>
          <w:sz w:val="28"/>
          <w:szCs w:val="28"/>
          <w:highlight w:val="none"/>
        </w:rPr>
        <w:t>家的情况，则并列的合格参选人共同进入下一阶段商务标的评审）</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（2）商务标，总分为</w:t>
      </w:r>
      <w:r>
        <w:rPr>
          <w:rFonts w:ascii="宋体" w:hAnsi="宋体"/>
          <w:color w:val="auto"/>
          <w:sz w:val="28"/>
          <w:szCs w:val="28"/>
          <w:highlight w:val="none"/>
        </w:rPr>
        <w:t>5</w:t>
      </w:r>
      <w:r>
        <w:rPr>
          <w:rFonts w:hint="eastAsia" w:ascii="宋体" w:hAnsi="宋体"/>
          <w:color w:val="auto"/>
          <w:sz w:val="28"/>
          <w:szCs w:val="28"/>
          <w:highlight w:val="none"/>
        </w:rPr>
        <w:t>0分，以</w:t>
      </w:r>
      <w:r>
        <w:rPr>
          <w:rFonts w:hint="eastAsia" w:ascii="仿宋_GB2312" w:hAnsi="仿宋_GB2312" w:eastAsia="仿宋_GB2312" w:cs="仿宋_GB2312"/>
          <w:color w:val="auto"/>
          <w:sz w:val="32"/>
          <w:szCs w:val="32"/>
          <w:highlight w:val="none"/>
          <w:lang w:val="zh-TW" w:eastAsia="zh-TW"/>
        </w:rPr>
        <w:t>进入商务标环节的</w:t>
      </w:r>
      <w:r>
        <w:rPr>
          <w:rFonts w:hint="eastAsia" w:ascii="宋体" w:hAnsi="宋体"/>
          <w:color w:val="auto"/>
          <w:sz w:val="28"/>
          <w:szCs w:val="28"/>
          <w:highlight w:val="none"/>
        </w:rPr>
        <w:t>参选人所报的“次低价”为满分且为基准价，若进入商务标环节的参选人仅3家，则以最低价为基准价且满分。若次低价同时为次高价或最高价，则以最低价为基准价且为满分，按下列公式计算：</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Fn=50-50×│Sn-Sj│/Sj</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其中：Fn— 第n参选人的商务得分</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Sn— 第n 参选人的报价</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Sj—进入</w:t>
      </w:r>
      <w:r>
        <w:rPr>
          <w:rFonts w:ascii="宋体" w:hAnsi="宋体"/>
          <w:color w:val="auto"/>
          <w:sz w:val="28"/>
          <w:szCs w:val="28"/>
          <w:highlight w:val="none"/>
        </w:rPr>
        <w:t>商务标环节所有</w:t>
      </w:r>
      <w:r>
        <w:rPr>
          <w:rFonts w:hint="eastAsia" w:ascii="宋体" w:hAnsi="宋体"/>
          <w:color w:val="auto"/>
          <w:sz w:val="28"/>
          <w:szCs w:val="28"/>
          <w:highlight w:val="none"/>
        </w:rPr>
        <w:t>参选人投标报价的</w:t>
      </w:r>
      <w:r>
        <w:rPr>
          <w:rFonts w:ascii="宋体" w:hAnsi="宋体"/>
          <w:color w:val="auto"/>
          <w:sz w:val="28"/>
          <w:szCs w:val="28"/>
          <w:highlight w:val="none"/>
        </w:rPr>
        <w:t>次低价</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当报价的数字与中文大写不一致时，以价低者为准。</w:t>
      </w:r>
      <w:r>
        <w:rPr>
          <w:rFonts w:ascii="宋体" w:hAnsi="宋体"/>
          <w:color w:val="auto"/>
          <w:sz w:val="28"/>
          <w:szCs w:val="28"/>
          <w:highlight w:val="none"/>
        </w:rPr>
        <w:t>若各参选人的报价，如出现税率不一致的情况，则以不含税总价作为参选人的报价进行商务标分数计算；若税率一致，则以含税总价作为参选人的报价进行商务标分数计算。</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（3）按参选人的最终得分值由高到低排列名次，排名第一的推荐为中选候选人。若最终得分相同的，以技术标得分高者排在先；</w:t>
      </w:r>
      <w:r>
        <w:rPr>
          <w:rFonts w:ascii="宋体" w:hAnsi="宋体"/>
          <w:color w:val="auto"/>
          <w:sz w:val="28"/>
          <w:szCs w:val="28"/>
          <w:highlight w:val="none"/>
        </w:rPr>
        <w:t>技术标得分相同的</w:t>
      </w:r>
      <w:r>
        <w:rPr>
          <w:rFonts w:hint="eastAsia" w:ascii="宋体" w:hAnsi="宋体"/>
          <w:color w:val="auto"/>
          <w:sz w:val="28"/>
          <w:szCs w:val="28"/>
          <w:highlight w:val="none"/>
        </w:rPr>
        <w:t>，则以报价低者为先；若报价仍一致，</w:t>
      </w:r>
      <w:r>
        <w:rPr>
          <w:rFonts w:ascii="宋体" w:hAnsi="宋体"/>
          <w:color w:val="auto"/>
          <w:sz w:val="28"/>
          <w:szCs w:val="28"/>
          <w:highlight w:val="none"/>
        </w:rPr>
        <w:t>再抽签确定</w:t>
      </w:r>
      <w:r>
        <w:rPr>
          <w:rFonts w:hint="eastAsia" w:ascii="宋体" w:hAnsi="宋体"/>
          <w:color w:val="auto"/>
          <w:sz w:val="28"/>
          <w:szCs w:val="28"/>
          <w:highlight w:val="none"/>
        </w:rPr>
        <w:t>中选候选人。</w:t>
      </w:r>
    </w:p>
    <w:p>
      <w:pPr>
        <w:autoSpaceDE w:val="0"/>
        <w:autoSpaceDN w:val="0"/>
        <w:adjustRightInd w:val="0"/>
        <w:spacing w:line="560" w:lineRule="exact"/>
        <w:ind w:firstLine="562" w:firstLineChars="201"/>
        <w:rPr>
          <w:rFonts w:ascii="宋体" w:hAnsi="宋体" w:cs="宋体"/>
          <w:color w:val="auto"/>
          <w:sz w:val="28"/>
          <w:szCs w:val="28"/>
          <w:highlight w:val="none"/>
        </w:rPr>
      </w:pPr>
      <w:r>
        <w:rPr>
          <w:rFonts w:hint="eastAsia" w:ascii="宋体" w:hAnsi="宋体"/>
          <w:color w:val="auto"/>
          <w:sz w:val="28"/>
          <w:szCs w:val="28"/>
          <w:highlight w:val="none"/>
        </w:rPr>
        <w:t>（4）评分分数出现小数点，保留小数点后二位，第三位小数四舍五入。</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（5）参选文件有比选</w:t>
      </w:r>
      <w:r>
        <w:rPr>
          <w:rFonts w:ascii="宋体" w:hAnsi="宋体"/>
          <w:color w:val="auto"/>
          <w:sz w:val="28"/>
          <w:szCs w:val="28"/>
          <w:highlight w:val="none"/>
        </w:rPr>
        <w:t>文件第</w:t>
      </w:r>
      <w:r>
        <w:rPr>
          <w:rFonts w:hint="eastAsia" w:ascii="宋体" w:hAnsi="宋体"/>
          <w:color w:val="auto"/>
          <w:sz w:val="28"/>
          <w:szCs w:val="28"/>
          <w:highlight w:val="none"/>
        </w:rPr>
        <w:t>三</w:t>
      </w:r>
      <w:r>
        <w:rPr>
          <w:rFonts w:ascii="宋体" w:hAnsi="宋体"/>
          <w:color w:val="auto"/>
          <w:sz w:val="28"/>
          <w:szCs w:val="28"/>
          <w:highlight w:val="none"/>
        </w:rPr>
        <w:t>章“</w:t>
      </w:r>
      <w:r>
        <w:rPr>
          <w:rFonts w:hint="eastAsia" w:ascii="宋体" w:hAnsi="宋体"/>
          <w:color w:val="auto"/>
          <w:sz w:val="28"/>
          <w:szCs w:val="28"/>
          <w:highlight w:val="none"/>
        </w:rPr>
        <w:t>否决性条款</w:t>
      </w:r>
      <w:r>
        <w:rPr>
          <w:rFonts w:ascii="宋体" w:hAnsi="宋体"/>
          <w:color w:val="auto"/>
          <w:sz w:val="28"/>
          <w:szCs w:val="28"/>
          <w:highlight w:val="none"/>
        </w:rPr>
        <w:t>”第</w:t>
      </w:r>
      <w:r>
        <w:rPr>
          <w:rFonts w:hint="eastAsia" w:ascii="宋体" w:hAnsi="宋体"/>
          <w:color w:val="auto"/>
          <w:sz w:val="28"/>
          <w:szCs w:val="28"/>
          <w:highlight w:val="none"/>
        </w:rPr>
        <w:t>三</w:t>
      </w:r>
      <w:r>
        <w:rPr>
          <w:rFonts w:ascii="宋体" w:hAnsi="宋体"/>
          <w:color w:val="auto"/>
          <w:sz w:val="28"/>
          <w:szCs w:val="28"/>
          <w:highlight w:val="none"/>
        </w:rPr>
        <w:t>条</w:t>
      </w:r>
      <w:r>
        <w:rPr>
          <w:rFonts w:hint="eastAsia" w:ascii="宋体" w:hAnsi="宋体"/>
          <w:color w:val="auto"/>
          <w:sz w:val="28"/>
          <w:szCs w:val="28"/>
          <w:highlight w:val="none"/>
        </w:rPr>
        <w:t>规定情形之一的，按废标处理。</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（三）最低价法</w:t>
      </w:r>
    </w:p>
    <w:p>
      <w:pPr>
        <w:autoSpaceDE w:val="0"/>
        <w:autoSpaceDN w:val="0"/>
        <w:adjustRightInd w:val="0"/>
        <w:spacing w:line="560" w:lineRule="exact"/>
        <w:ind w:firstLine="565" w:firstLineChars="201"/>
        <w:rPr>
          <w:rFonts w:ascii="宋体" w:hAnsi="宋体"/>
          <w:color w:val="auto"/>
          <w:sz w:val="28"/>
          <w:szCs w:val="28"/>
          <w:highlight w:val="none"/>
        </w:rPr>
      </w:pPr>
      <w:r>
        <w:rPr>
          <w:rFonts w:hint="eastAsia" w:ascii="宋体" w:hAnsi="宋体" w:cs="宋体"/>
          <w:b/>
          <w:bCs/>
          <w:color w:val="auto"/>
          <w:sz w:val="28"/>
          <w:szCs w:val="28"/>
          <w:highlight w:val="none"/>
          <w:u w:val="single"/>
        </w:rPr>
        <w:t xml:space="preserve">    /                                              </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（四）抽签法</w:t>
      </w:r>
    </w:p>
    <w:p>
      <w:pPr>
        <w:autoSpaceDE w:val="0"/>
        <w:autoSpaceDN w:val="0"/>
        <w:adjustRightInd w:val="0"/>
        <w:spacing w:line="560" w:lineRule="exact"/>
        <w:ind w:firstLine="565" w:firstLineChars="201"/>
        <w:rPr>
          <w:rFonts w:ascii="宋体" w:hAnsi="宋体"/>
          <w:color w:val="auto"/>
          <w:sz w:val="28"/>
          <w:szCs w:val="28"/>
          <w:highlight w:val="none"/>
        </w:rPr>
      </w:pPr>
      <w:r>
        <w:rPr>
          <w:rFonts w:hint="eastAsia" w:ascii="宋体" w:hAnsi="宋体" w:cs="宋体"/>
          <w:b/>
          <w:bCs/>
          <w:color w:val="auto"/>
          <w:sz w:val="28"/>
          <w:szCs w:val="28"/>
          <w:highlight w:val="none"/>
          <w:u w:val="single"/>
        </w:rPr>
        <w:t xml:space="preserve">    /                                               </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（五）其他</w:t>
      </w:r>
    </w:p>
    <w:p>
      <w:pPr>
        <w:autoSpaceDE w:val="0"/>
        <w:autoSpaceDN w:val="0"/>
        <w:adjustRightInd w:val="0"/>
        <w:spacing w:line="560" w:lineRule="exact"/>
        <w:ind w:firstLine="565" w:firstLineChars="201"/>
        <w:rPr>
          <w:rFonts w:ascii="宋体" w:hAnsi="宋体"/>
          <w:color w:val="auto"/>
          <w:sz w:val="28"/>
          <w:szCs w:val="28"/>
          <w:highlight w:val="none"/>
        </w:rPr>
      </w:pPr>
      <w:r>
        <w:rPr>
          <w:rFonts w:hint="eastAsia" w:ascii="宋体" w:hAnsi="宋体" w:cs="宋体"/>
          <w:b/>
          <w:bCs/>
          <w:color w:val="auto"/>
          <w:sz w:val="28"/>
          <w:szCs w:val="28"/>
          <w:highlight w:val="none"/>
          <w:u w:val="single"/>
        </w:rPr>
        <w:t xml:space="preserve">    /                                                </w:t>
      </w:r>
    </w:p>
    <w:p>
      <w:pPr>
        <w:autoSpaceDE w:val="0"/>
        <w:autoSpaceDN w:val="0"/>
        <w:adjustRightInd w:val="0"/>
        <w:spacing w:line="560" w:lineRule="exact"/>
        <w:ind w:firstLine="565" w:firstLineChars="201"/>
        <w:rPr>
          <w:rFonts w:ascii="宋体" w:hAnsi="宋体"/>
          <w:b/>
          <w:color w:val="auto"/>
          <w:sz w:val="28"/>
          <w:szCs w:val="28"/>
          <w:highlight w:val="none"/>
        </w:rPr>
      </w:pPr>
      <w:r>
        <w:rPr>
          <w:rFonts w:hint="eastAsia" w:ascii="宋体" w:hAnsi="宋体"/>
          <w:b/>
          <w:color w:val="auto"/>
          <w:sz w:val="28"/>
          <w:szCs w:val="28"/>
          <w:highlight w:val="none"/>
        </w:rPr>
        <w:t>四、评选报告</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评审委员会负责编制评标报告，评标报告应包括以下内容：</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（1）评审工作情况；</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（2）评审结果；</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（3）评审委员会签字；</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（4）监督人员签字。</w:t>
      </w:r>
    </w:p>
    <w:p>
      <w:pPr>
        <w:autoSpaceDE w:val="0"/>
        <w:autoSpaceDN w:val="0"/>
        <w:adjustRightInd w:val="0"/>
        <w:spacing w:line="560" w:lineRule="exact"/>
        <w:ind w:firstLine="565" w:firstLineChars="201"/>
        <w:rPr>
          <w:rFonts w:ascii="宋体" w:hAnsi="宋体"/>
          <w:b/>
          <w:color w:val="auto"/>
          <w:sz w:val="28"/>
          <w:szCs w:val="28"/>
          <w:highlight w:val="none"/>
        </w:rPr>
      </w:pPr>
      <w:r>
        <w:rPr>
          <w:rFonts w:hint="eastAsia" w:ascii="宋体" w:hAnsi="宋体"/>
          <w:b/>
          <w:color w:val="auto"/>
          <w:sz w:val="28"/>
          <w:szCs w:val="28"/>
          <w:highlight w:val="none"/>
        </w:rPr>
        <w:t>五、中选结果</w:t>
      </w:r>
    </w:p>
    <w:p>
      <w:pPr>
        <w:autoSpaceDE w:val="0"/>
        <w:autoSpaceDN w:val="0"/>
        <w:adjustRightInd w:val="0"/>
        <w:spacing w:line="560" w:lineRule="exact"/>
        <w:ind w:firstLine="562" w:firstLineChars="201"/>
        <w:rPr>
          <w:rFonts w:ascii="宋体" w:hAnsi="宋体"/>
          <w:color w:val="auto"/>
          <w:sz w:val="28"/>
          <w:szCs w:val="28"/>
          <w:highlight w:val="none"/>
        </w:rPr>
      </w:pPr>
      <w:r>
        <w:rPr>
          <w:rFonts w:hint="eastAsia" w:ascii="宋体" w:hAnsi="宋体"/>
          <w:color w:val="auto"/>
          <w:sz w:val="28"/>
          <w:szCs w:val="28"/>
          <w:highlight w:val="none"/>
        </w:rPr>
        <w:t>经评审确定的中选候选人将按比选人内部程序上报审批通过后，将与中选候选人签订合同，未中选单位不另行通知。</w:t>
      </w:r>
    </w:p>
    <w:p>
      <w:pPr>
        <w:autoSpaceDE w:val="0"/>
        <w:autoSpaceDN w:val="0"/>
        <w:adjustRightInd w:val="0"/>
        <w:spacing w:line="560" w:lineRule="exact"/>
        <w:ind w:firstLine="565" w:firstLineChars="201"/>
        <w:rPr>
          <w:rFonts w:ascii="宋体" w:hAnsi="宋体"/>
          <w:b/>
          <w:color w:val="auto"/>
          <w:sz w:val="28"/>
          <w:szCs w:val="28"/>
          <w:highlight w:val="none"/>
        </w:rPr>
      </w:pPr>
      <w:bookmarkStart w:id="23" w:name="_Toc402782177"/>
      <w:r>
        <w:rPr>
          <w:rFonts w:hint="eastAsia" w:ascii="宋体" w:hAnsi="宋体"/>
          <w:b/>
          <w:color w:val="auto"/>
          <w:sz w:val="28"/>
          <w:szCs w:val="28"/>
          <w:highlight w:val="none"/>
        </w:rPr>
        <w:t>六、合同</w:t>
      </w:r>
      <w:bookmarkEnd w:id="23"/>
      <w:r>
        <w:rPr>
          <w:rFonts w:hint="eastAsia" w:ascii="宋体" w:hAnsi="宋体"/>
          <w:b/>
          <w:color w:val="auto"/>
          <w:sz w:val="28"/>
          <w:szCs w:val="28"/>
          <w:highlight w:val="none"/>
        </w:rPr>
        <w:t>签订</w:t>
      </w:r>
    </w:p>
    <w:p>
      <w:pPr>
        <w:autoSpaceDE w:val="0"/>
        <w:autoSpaceDN w:val="0"/>
        <w:adjustRightInd w:val="0"/>
        <w:spacing w:line="560" w:lineRule="exact"/>
        <w:ind w:firstLine="562" w:firstLineChars="201"/>
        <w:rPr>
          <w:rFonts w:ascii="宋体" w:hAnsi="宋体"/>
          <w:color w:val="auto"/>
          <w:sz w:val="28"/>
          <w:szCs w:val="28"/>
          <w:highlight w:val="none"/>
        </w:rPr>
      </w:pPr>
      <w:r>
        <w:rPr>
          <w:rFonts w:ascii="宋体" w:hAnsi="宋体"/>
          <w:color w:val="auto"/>
          <w:sz w:val="28"/>
          <w:szCs w:val="28"/>
          <w:highlight w:val="none"/>
        </w:rPr>
        <w:t>比选人</w:t>
      </w:r>
      <w:r>
        <w:rPr>
          <w:rFonts w:hint="eastAsia" w:ascii="宋体" w:hAnsi="宋体"/>
          <w:color w:val="auto"/>
          <w:sz w:val="28"/>
          <w:szCs w:val="28"/>
          <w:highlight w:val="none"/>
        </w:rPr>
        <w:t>确定中选人后，将按照本比选文件的合同条件，与中选人签订合同，如中选</w:t>
      </w:r>
      <w:r>
        <w:rPr>
          <w:rFonts w:ascii="宋体" w:hAnsi="宋体"/>
          <w:color w:val="auto"/>
          <w:sz w:val="28"/>
          <w:szCs w:val="28"/>
          <w:highlight w:val="none"/>
        </w:rPr>
        <w:t>人不按规定与比选人签订合同，则比选人将有充分的理由废除中选</w:t>
      </w:r>
      <w:r>
        <w:rPr>
          <w:rFonts w:hint="eastAsia" w:ascii="宋体" w:hAnsi="宋体"/>
          <w:color w:val="auto"/>
          <w:sz w:val="28"/>
          <w:szCs w:val="28"/>
          <w:highlight w:val="none"/>
        </w:rPr>
        <w:t>，保留要求中选人赔偿损失、承担相应法律责任的权力</w:t>
      </w:r>
      <w:r>
        <w:rPr>
          <w:rFonts w:ascii="宋体" w:hAnsi="宋体"/>
          <w:color w:val="auto"/>
          <w:sz w:val="28"/>
          <w:szCs w:val="28"/>
          <w:highlight w:val="none"/>
        </w:rPr>
        <w:t>。</w:t>
      </w:r>
    </w:p>
    <w:p>
      <w:pPr>
        <w:autoSpaceDE w:val="0"/>
        <w:autoSpaceDN w:val="0"/>
        <w:adjustRightInd w:val="0"/>
        <w:spacing w:line="560" w:lineRule="exact"/>
        <w:ind w:firstLine="565" w:firstLineChars="201"/>
        <w:rPr>
          <w:rFonts w:ascii="宋体" w:hAnsi="宋体"/>
          <w:b/>
          <w:color w:val="auto"/>
          <w:sz w:val="28"/>
          <w:szCs w:val="28"/>
          <w:highlight w:val="none"/>
        </w:rPr>
      </w:pPr>
      <w:r>
        <w:rPr>
          <w:rFonts w:hint="eastAsia" w:ascii="宋体" w:hAnsi="宋体"/>
          <w:b/>
          <w:color w:val="auto"/>
          <w:sz w:val="28"/>
          <w:szCs w:val="28"/>
          <w:highlight w:val="none"/>
        </w:rPr>
        <w:t>七、其它</w:t>
      </w:r>
    </w:p>
    <w:p>
      <w:pPr>
        <w:autoSpaceDE w:val="0"/>
        <w:autoSpaceDN w:val="0"/>
        <w:adjustRightInd w:val="0"/>
        <w:spacing w:line="560" w:lineRule="exact"/>
        <w:ind w:firstLine="562" w:firstLineChars="201"/>
        <w:rPr>
          <w:rFonts w:ascii="宋体" w:hAnsi="宋体"/>
          <w:color w:val="auto"/>
          <w:sz w:val="28"/>
          <w:szCs w:val="28"/>
          <w:highlight w:val="none"/>
        </w:rPr>
        <w:sectPr>
          <w:pgSz w:w="11906" w:h="16838"/>
          <w:pgMar w:top="1440" w:right="1800" w:bottom="1440" w:left="1800" w:header="720" w:footer="891" w:gutter="0"/>
          <w:cols w:space="720" w:num="1"/>
        </w:sectPr>
      </w:pPr>
    </w:p>
    <w:p>
      <w:pPr>
        <w:jc w:val="left"/>
        <w:rPr>
          <w:color w:val="auto"/>
          <w:highlight w:val="none"/>
        </w:rPr>
      </w:pPr>
      <w:r>
        <w:rPr>
          <w:rFonts w:hint="eastAsia" w:ascii="宋体"/>
          <w:b/>
          <w:bCs/>
          <w:color w:val="auto"/>
          <w:sz w:val="32"/>
          <w:highlight w:val="none"/>
        </w:rPr>
        <w:t xml:space="preserve">                                                   </w:t>
      </w:r>
    </w:p>
    <w:p>
      <w:pPr>
        <w:spacing w:line="360" w:lineRule="auto"/>
        <w:jc w:val="left"/>
        <w:rPr>
          <w:rFonts w:ascii="楷体_GB2312" w:hAnsi="宋体" w:eastAsia="楷体_GB2312" w:cs="宋体"/>
          <w:b/>
          <w:bCs/>
          <w:color w:val="auto"/>
          <w:kern w:val="0"/>
          <w:sz w:val="24"/>
          <w:szCs w:val="24"/>
          <w:highlight w:val="none"/>
        </w:rPr>
      </w:pPr>
      <w:r>
        <w:rPr>
          <w:rFonts w:hint="eastAsia" w:ascii="宋体" w:hAnsi="宋体"/>
          <w:b/>
          <w:color w:val="auto"/>
          <w:sz w:val="24"/>
          <w:szCs w:val="24"/>
          <w:highlight w:val="none"/>
        </w:rPr>
        <w:t>表</w:t>
      </w:r>
      <w:r>
        <w:rPr>
          <w:rFonts w:hint="eastAsia" w:ascii="宋体" w:hAnsi="宋体"/>
          <w:b/>
          <w:color w:val="auto"/>
          <w:sz w:val="24"/>
          <w:szCs w:val="24"/>
          <w:highlight w:val="none"/>
          <w:lang w:val="en-US" w:eastAsia="zh-CN"/>
        </w:rPr>
        <w:t>1</w:t>
      </w:r>
      <w:r>
        <w:rPr>
          <w:rFonts w:hint="eastAsia" w:ascii="楷体_GB2312" w:hAnsi="宋体" w:eastAsia="楷体_GB2312" w:cs="宋体"/>
          <w:b/>
          <w:bCs/>
          <w:color w:val="auto"/>
          <w:kern w:val="0"/>
          <w:sz w:val="24"/>
          <w:szCs w:val="24"/>
          <w:highlight w:val="none"/>
        </w:rPr>
        <w:t xml:space="preserve">：                            </w:t>
      </w:r>
      <w:r>
        <w:rPr>
          <w:rFonts w:hint="eastAsia" w:ascii="宋体" w:hAnsi="宋体"/>
          <w:b/>
          <w:bCs/>
          <w:color w:val="auto"/>
          <w:sz w:val="30"/>
          <w:szCs w:val="30"/>
          <w:highlight w:val="none"/>
        </w:rPr>
        <w:t xml:space="preserve">     </w:t>
      </w:r>
      <w:r>
        <w:rPr>
          <w:rFonts w:ascii="宋体" w:hAnsi="宋体"/>
          <w:b/>
          <w:bCs/>
          <w:color w:val="auto"/>
          <w:sz w:val="30"/>
          <w:szCs w:val="30"/>
          <w:highlight w:val="none"/>
        </w:rPr>
        <w:t xml:space="preserve">          </w:t>
      </w:r>
      <w:r>
        <w:rPr>
          <w:rFonts w:hint="eastAsia" w:ascii="宋体" w:hAnsi="宋体"/>
          <w:b/>
          <w:bCs/>
          <w:color w:val="auto"/>
          <w:sz w:val="30"/>
          <w:szCs w:val="30"/>
          <w:highlight w:val="none"/>
        </w:rPr>
        <w:t>符合性审查表</w:t>
      </w:r>
    </w:p>
    <w:p>
      <w:pPr>
        <w:pStyle w:val="23"/>
        <w:spacing w:line="360" w:lineRule="auto"/>
        <w:ind w:firstLine="422" w:firstLineChars="200"/>
        <w:rPr>
          <w:rFonts w:ascii="Times New Roman" w:hAnsi="Times New Roman"/>
          <w:color w:val="auto"/>
          <w:sz w:val="21"/>
          <w:szCs w:val="21"/>
          <w:highlight w:val="none"/>
        </w:rPr>
      </w:pPr>
      <w:r>
        <w:rPr>
          <w:rFonts w:hint="eastAsia" w:hAnsi="宋体" w:cs="宋体"/>
          <w:b/>
          <w:color w:val="auto"/>
          <w:sz w:val="21"/>
          <w:szCs w:val="21"/>
          <w:highlight w:val="none"/>
        </w:rPr>
        <w:t>项目名称：</w:t>
      </w:r>
      <w:r>
        <w:rPr>
          <w:rFonts w:ascii="Times New Roman" w:hAnsi="Times New Roman"/>
          <w:color w:val="auto"/>
          <w:sz w:val="21"/>
          <w:szCs w:val="21"/>
          <w:highlight w:val="none"/>
        </w:rPr>
        <w:t xml:space="preserve"> </w:t>
      </w:r>
    </w:p>
    <w:tbl>
      <w:tblPr>
        <w:tblStyle w:val="47"/>
        <w:tblW w:w="13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2"/>
        <w:gridCol w:w="5950"/>
        <w:gridCol w:w="1295"/>
        <w:gridCol w:w="1407"/>
        <w:gridCol w:w="1340"/>
        <w:gridCol w:w="1340"/>
        <w:gridCol w:w="1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842" w:type="dxa"/>
            <w:vMerge w:val="restart"/>
            <w:vAlign w:val="center"/>
          </w:tcPr>
          <w:p>
            <w:pPr>
              <w:spacing w:line="360" w:lineRule="auto"/>
              <w:jc w:val="center"/>
              <w:rPr>
                <w:bCs/>
                <w:color w:val="auto"/>
                <w:szCs w:val="21"/>
                <w:highlight w:val="none"/>
              </w:rPr>
            </w:pPr>
            <w:r>
              <w:rPr>
                <w:rFonts w:hint="eastAsia"/>
                <w:bCs/>
                <w:color w:val="auto"/>
                <w:szCs w:val="21"/>
                <w:highlight w:val="none"/>
              </w:rPr>
              <w:t>序号</w:t>
            </w:r>
          </w:p>
        </w:tc>
        <w:tc>
          <w:tcPr>
            <w:tcW w:w="5950" w:type="dxa"/>
            <w:vMerge w:val="restart"/>
            <w:tcBorders>
              <w:tl2br w:val="single" w:color="auto" w:sz="4" w:space="0"/>
            </w:tcBorders>
            <w:vAlign w:val="center"/>
          </w:tcPr>
          <w:p>
            <w:pPr>
              <w:spacing w:line="360" w:lineRule="auto"/>
              <w:jc w:val="center"/>
              <w:rPr>
                <w:bCs/>
                <w:color w:val="auto"/>
                <w:szCs w:val="21"/>
                <w:highlight w:val="none"/>
              </w:rPr>
            </w:pPr>
            <w:r>
              <w:rPr>
                <w:rFonts w:hint="eastAsia"/>
                <w:bCs/>
                <w:color w:val="auto"/>
                <w:szCs w:val="21"/>
                <w:highlight w:val="none"/>
              </w:rPr>
              <w:t>项目名称                       参选人</w:t>
            </w:r>
          </w:p>
        </w:tc>
        <w:tc>
          <w:tcPr>
            <w:tcW w:w="6787" w:type="dxa"/>
            <w:gridSpan w:val="5"/>
          </w:tcPr>
          <w:p>
            <w:pPr>
              <w:spacing w:line="360" w:lineRule="auto"/>
              <w:jc w:val="center"/>
              <w:rPr>
                <w:bCs/>
                <w:color w:val="auto"/>
                <w:szCs w:val="21"/>
                <w:highlight w:val="none"/>
              </w:rPr>
            </w:pPr>
            <w:r>
              <w:rPr>
                <w:rFonts w:hint="eastAsia"/>
                <w:bCs/>
                <w:color w:val="auto"/>
                <w:szCs w:val="21"/>
                <w:highlight w:val="none"/>
              </w:rPr>
              <w:t>参选人名称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842" w:type="dxa"/>
            <w:vMerge w:val="continue"/>
            <w:vAlign w:val="center"/>
          </w:tcPr>
          <w:p>
            <w:pPr>
              <w:spacing w:line="360" w:lineRule="auto"/>
              <w:jc w:val="center"/>
              <w:rPr>
                <w:b/>
                <w:bCs/>
                <w:color w:val="auto"/>
                <w:szCs w:val="21"/>
                <w:highlight w:val="none"/>
              </w:rPr>
            </w:pPr>
          </w:p>
        </w:tc>
        <w:tc>
          <w:tcPr>
            <w:tcW w:w="5950" w:type="dxa"/>
            <w:vMerge w:val="continue"/>
            <w:vAlign w:val="center"/>
          </w:tcPr>
          <w:p>
            <w:pPr>
              <w:spacing w:line="360" w:lineRule="auto"/>
              <w:jc w:val="center"/>
              <w:rPr>
                <w:b/>
                <w:bCs/>
                <w:color w:val="auto"/>
                <w:szCs w:val="21"/>
                <w:highlight w:val="none"/>
              </w:rPr>
            </w:pPr>
          </w:p>
        </w:tc>
        <w:tc>
          <w:tcPr>
            <w:tcW w:w="1295" w:type="dxa"/>
            <w:vAlign w:val="center"/>
          </w:tcPr>
          <w:p>
            <w:pPr>
              <w:spacing w:line="360" w:lineRule="auto"/>
              <w:jc w:val="center"/>
              <w:rPr>
                <w:rFonts w:ascii="宋体" w:hAnsi="宋体"/>
                <w:color w:val="auto"/>
                <w:szCs w:val="21"/>
                <w:highlight w:val="none"/>
              </w:rPr>
            </w:pPr>
          </w:p>
        </w:tc>
        <w:tc>
          <w:tcPr>
            <w:tcW w:w="1407" w:type="dxa"/>
            <w:vAlign w:val="center"/>
          </w:tcPr>
          <w:p>
            <w:pPr>
              <w:spacing w:line="360" w:lineRule="auto"/>
              <w:jc w:val="center"/>
              <w:rPr>
                <w:rFonts w:ascii="宋体" w:hAnsi="宋体"/>
                <w:color w:val="auto"/>
                <w:szCs w:val="21"/>
                <w:highlight w:val="none"/>
              </w:rPr>
            </w:pPr>
          </w:p>
        </w:tc>
        <w:tc>
          <w:tcPr>
            <w:tcW w:w="1340" w:type="dxa"/>
          </w:tcPr>
          <w:p>
            <w:pPr>
              <w:spacing w:line="360" w:lineRule="auto"/>
              <w:jc w:val="center"/>
              <w:rPr>
                <w:rFonts w:ascii="宋体" w:hAnsi="宋体"/>
                <w:color w:val="auto"/>
                <w:szCs w:val="21"/>
                <w:highlight w:val="none"/>
              </w:rPr>
            </w:pPr>
          </w:p>
        </w:tc>
        <w:tc>
          <w:tcPr>
            <w:tcW w:w="1340" w:type="dxa"/>
            <w:vAlign w:val="center"/>
          </w:tcPr>
          <w:p>
            <w:pPr>
              <w:spacing w:line="360" w:lineRule="auto"/>
              <w:jc w:val="center"/>
              <w:rPr>
                <w:rFonts w:ascii="宋体" w:hAnsi="宋体"/>
                <w:color w:val="auto"/>
                <w:szCs w:val="21"/>
                <w:highlight w:val="none"/>
              </w:rPr>
            </w:pPr>
          </w:p>
        </w:tc>
        <w:tc>
          <w:tcPr>
            <w:tcW w:w="1405" w:type="dxa"/>
            <w:vAlign w:val="center"/>
          </w:tcPr>
          <w:p>
            <w:pPr>
              <w:spacing w:line="360" w:lineRule="auto"/>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842" w:type="dxa"/>
            <w:vAlign w:val="center"/>
          </w:tcPr>
          <w:p>
            <w:pPr>
              <w:spacing w:line="360" w:lineRule="auto"/>
              <w:jc w:val="center"/>
              <w:rPr>
                <w:color w:val="auto"/>
                <w:szCs w:val="21"/>
                <w:highlight w:val="none"/>
              </w:rPr>
            </w:pPr>
            <w:r>
              <w:rPr>
                <w:rFonts w:hint="eastAsia"/>
                <w:color w:val="auto"/>
                <w:szCs w:val="21"/>
                <w:highlight w:val="none"/>
              </w:rPr>
              <w:t>1</w:t>
            </w:r>
          </w:p>
        </w:tc>
        <w:tc>
          <w:tcPr>
            <w:tcW w:w="5950" w:type="dxa"/>
            <w:vAlign w:val="center"/>
          </w:tcPr>
          <w:p>
            <w:pPr>
              <w:spacing w:line="360" w:lineRule="auto"/>
              <w:rPr>
                <w:color w:val="auto"/>
                <w:szCs w:val="21"/>
                <w:highlight w:val="none"/>
              </w:rPr>
            </w:pPr>
            <w:r>
              <w:rPr>
                <w:rFonts w:hint="eastAsia" w:ascii="宋体" w:hAnsi="宋体"/>
                <w:color w:val="auto"/>
                <w:szCs w:val="21"/>
                <w:highlight w:val="none"/>
              </w:rPr>
              <w:t>参选文件按要求加盖参选人公章</w:t>
            </w:r>
          </w:p>
        </w:tc>
        <w:tc>
          <w:tcPr>
            <w:tcW w:w="1295" w:type="dxa"/>
            <w:vAlign w:val="center"/>
          </w:tcPr>
          <w:p>
            <w:pPr>
              <w:spacing w:line="360" w:lineRule="auto"/>
              <w:jc w:val="center"/>
              <w:rPr>
                <w:rFonts w:ascii="宋体" w:hAnsi="宋体"/>
                <w:color w:val="auto"/>
                <w:szCs w:val="21"/>
                <w:highlight w:val="none"/>
              </w:rPr>
            </w:pPr>
          </w:p>
        </w:tc>
        <w:tc>
          <w:tcPr>
            <w:tcW w:w="1407" w:type="dxa"/>
            <w:vAlign w:val="center"/>
          </w:tcPr>
          <w:p>
            <w:pPr>
              <w:spacing w:line="360" w:lineRule="auto"/>
              <w:jc w:val="center"/>
              <w:rPr>
                <w:rFonts w:ascii="宋体" w:hAnsi="宋体"/>
                <w:color w:val="auto"/>
                <w:szCs w:val="21"/>
                <w:highlight w:val="none"/>
              </w:rPr>
            </w:pPr>
          </w:p>
        </w:tc>
        <w:tc>
          <w:tcPr>
            <w:tcW w:w="1340" w:type="dxa"/>
          </w:tcPr>
          <w:p>
            <w:pPr>
              <w:spacing w:line="360" w:lineRule="auto"/>
              <w:jc w:val="center"/>
              <w:rPr>
                <w:rFonts w:ascii="宋体" w:hAnsi="宋体"/>
                <w:color w:val="auto"/>
                <w:szCs w:val="21"/>
                <w:highlight w:val="none"/>
              </w:rPr>
            </w:pPr>
          </w:p>
        </w:tc>
        <w:tc>
          <w:tcPr>
            <w:tcW w:w="1340" w:type="dxa"/>
            <w:vAlign w:val="center"/>
          </w:tcPr>
          <w:p>
            <w:pPr>
              <w:spacing w:line="360" w:lineRule="auto"/>
              <w:jc w:val="center"/>
              <w:rPr>
                <w:rFonts w:ascii="宋体" w:hAnsi="宋体"/>
                <w:color w:val="auto"/>
                <w:szCs w:val="21"/>
                <w:highlight w:val="none"/>
              </w:rPr>
            </w:pPr>
          </w:p>
        </w:tc>
        <w:tc>
          <w:tcPr>
            <w:tcW w:w="1405" w:type="dxa"/>
            <w:vAlign w:val="center"/>
          </w:tcPr>
          <w:p>
            <w:pPr>
              <w:spacing w:line="360" w:lineRule="auto"/>
              <w:jc w:val="center"/>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jc w:val="center"/>
        </w:trPr>
        <w:tc>
          <w:tcPr>
            <w:tcW w:w="842" w:type="dxa"/>
            <w:vAlign w:val="center"/>
          </w:tcPr>
          <w:p>
            <w:pPr>
              <w:spacing w:line="360" w:lineRule="auto"/>
              <w:jc w:val="center"/>
              <w:rPr>
                <w:color w:val="auto"/>
                <w:szCs w:val="21"/>
                <w:highlight w:val="none"/>
              </w:rPr>
            </w:pPr>
            <w:r>
              <w:rPr>
                <w:rFonts w:hint="eastAsia"/>
                <w:color w:val="auto"/>
                <w:szCs w:val="21"/>
                <w:highlight w:val="none"/>
              </w:rPr>
              <w:t>2</w:t>
            </w:r>
          </w:p>
        </w:tc>
        <w:tc>
          <w:tcPr>
            <w:tcW w:w="5950" w:type="dxa"/>
            <w:vAlign w:val="center"/>
          </w:tcPr>
          <w:p>
            <w:pPr>
              <w:spacing w:line="360" w:lineRule="auto"/>
              <w:jc w:val="left"/>
              <w:rPr>
                <w:rFonts w:ascii="宋体" w:hAnsi="宋体"/>
                <w:color w:val="auto"/>
                <w:szCs w:val="21"/>
                <w:highlight w:val="none"/>
              </w:rPr>
            </w:pPr>
            <w:r>
              <w:rPr>
                <w:rFonts w:hint="eastAsia" w:ascii="宋体" w:hAnsi="宋体"/>
                <w:color w:val="auto"/>
                <w:szCs w:val="21"/>
                <w:highlight w:val="none"/>
              </w:rPr>
              <w:t>参选文件经法定代表人或其委托代理人签字，或由委托代理人签字并随参选文件一起提供“法定代表人授权书”原件</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842" w:type="dxa"/>
            <w:vAlign w:val="center"/>
          </w:tcPr>
          <w:p>
            <w:pPr>
              <w:spacing w:line="360" w:lineRule="auto"/>
              <w:jc w:val="center"/>
              <w:rPr>
                <w:color w:val="auto"/>
                <w:szCs w:val="21"/>
                <w:highlight w:val="none"/>
              </w:rPr>
            </w:pPr>
            <w:r>
              <w:rPr>
                <w:rFonts w:hint="eastAsia"/>
                <w:color w:val="auto"/>
                <w:szCs w:val="21"/>
                <w:highlight w:val="none"/>
              </w:rPr>
              <w:t>3</w:t>
            </w:r>
          </w:p>
        </w:tc>
        <w:tc>
          <w:tcPr>
            <w:tcW w:w="5950" w:type="dxa"/>
            <w:vAlign w:val="center"/>
          </w:tcPr>
          <w:p>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参选</w:t>
            </w:r>
            <w:r>
              <w:rPr>
                <w:rFonts w:ascii="宋体" w:hAnsi="宋体"/>
                <w:color w:val="auto"/>
                <w:szCs w:val="21"/>
                <w:highlight w:val="none"/>
              </w:rPr>
              <w:t>人的</w:t>
            </w:r>
            <w:r>
              <w:rPr>
                <w:rFonts w:hint="eastAsia" w:ascii="宋体" w:hAnsi="宋体"/>
                <w:color w:val="auto"/>
                <w:szCs w:val="21"/>
                <w:highlight w:val="none"/>
              </w:rPr>
              <w:t>报价不高于报价上限</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842" w:type="dxa"/>
            <w:vAlign w:val="center"/>
          </w:tcPr>
          <w:p>
            <w:pPr>
              <w:spacing w:line="360" w:lineRule="auto"/>
              <w:jc w:val="center"/>
              <w:rPr>
                <w:rFonts w:hint="eastAsia" w:eastAsia="宋体"/>
                <w:color w:val="auto"/>
                <w:szCs w:val="21"/>
                <w:highlight w:val="none"/>
                <w:lang w:val="en-US" w:eastAsia="zh-CN"/>
              </w:rPr>
            </w:pPr>
            <w:r>
              <w:rPr>
                <w:rFonts w:hint="eastAsia"/>
                <w:color w:val="auto"/>
                <w:szCs w:val="21"/>
                <w:highlight w:val="none"/>
                <w:lang w:val="en-US" w:eastAsia="zh-CN"/>
              </w:rPr>
              <w:t>4</w:t>
            </w:r>
          </w:p>
        </w:tc>
        <w:tc>
          <w:tcPr>
            <w:tcW w:w="5950" w:type="dxa"/>
            <w:vAlign w:val="center"/>
          </w:tcPr>
          <w:p>
            <w:pPr>
              <w:adjustRightInd w:val="0"/>
              <w:snapToGrid w:val="0"/>
              <w:spacing w:line="360" w:lineRule="auto"/>
              <w:rPr>
                <w:rFonts w:hint="eastAsia" w:ascii="宋体" w:hAnsi="宋体"/>
                <w:color w:val="auto"/>
                <w:szCs w:val="21"/>
                <w:highlight w:val="none"/>
              </w:rPr>
            </w:pPr>
            <w:r>
              <w:rPr>
                <w:rFonts w:hint="eastAsia" w:ascii="宋体" w:hAnsi="宋体"/>
                <w:color w:val="auto"/>
                <w:szCs w:val="21"/>
                <w:highlight w:val="none"/>
              </w:rPr>
              <w:t>参选人城市及道路照明工程专业承包资质三级</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jc w:val="center"/>
        </w:trPr>
        <w:tc>
          <w:tcPr>
            <w:tcW w:w="842" w:type="dxa"/>
            <w:vAlign w:val="center"/>
          </w:tcPr>
          <w:p>
            <w:pPr>
              <w:spacing w:line="360" w:lineRule="auto"/>
              <w:jc w:val="center"/>
              <w:rPr>
                <w:rFonts w:hint="eastAsia" w:eastAsia="宋体"/>
                <w:color w:val="auto"/>
                <w:szCs w:val="21"/>
                <w:highlight w:val="none"/>
                <w:lang w:val="en-US" w:eastAsia="zh-CN"/>
              </w:rPr>
            </w:pPr>
            <w:r>
              <w:rPr>
                <w:rFonts w:hint="eastAsia"/>
                <w:color w:val="auto"/>
                <w:szCs w:val="21"/>
                <w:highlight w:val="none"/>
                <w:lang w:val="en-US" w:eastAsia="zh-CN"/>
              </w:rPr>
              <w:t>5</w:t>
            </w:r>
          </w:p>
        </w:tc>
        <w:tc>
          <w:tcPr>
            <w:tcW w:w="5950" w:type="dxa"/>
            <w:vAlign w:val="center"/>
          </w:tcPr>
          <w:p>
            <w:pPr>
              <w:adjustRightInd w:val="0"/>
              <w:snapToGrid w:val="0"/>
              <w:spacing w:line="360" w:lineRule="auto"/>
              <w:rPr>
                <w:rFonts w:hint="eastAsia" w:ascii="宋体" w:hAnsi="宋体"/>
                <w:color w:val="auto"/>
                <w:szCs w:val="21"/>
                <w:highlight w:val="none"/>
              </w:rPr>
            </w:pPr>
            <w:r>
              <w:rPr>
                <w:rFonts w:hint="eastAsia"/>
                <w:b/>
                <w:color w:val="auto"/>
                <w:sz w:val="18"/>
                <w:szCs w:val="18"/>
                <w:highlight w:val="none"/>
              </w:rPr>
              <w:t>参选人</w:t>
            </w:r>
            <w:r>
              <w:rPr>
                <w:rFonts w:hint="eastAsia"/>
                <w:b/>
                <w:color w:val="auto"/>
                <w:sz w:val="18"/>
                <w:szCs w:val="18"/>
                <w:highlight w:val="none"/>
                <w:lang w:val="en-US" w:eastAsia="zh-CN"/>
              </w:rPr>
              <w:t>营业执照</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842" w:type="dxa"/>
            <w:vAlign w:val="center"/>
          </w:tcPr>
          <w:p>
            <w:pPr>
              <w:spacing w:line="360" w:lineRule="auto"/>
              <w:jc w:val="center"/>
              <w:rPr>
                <w:rFonts w:hint="eastAsia" w:eastAsia="宋体"/>
                <w:color w:val="auto"/>
                <w:szCs w:val="21"/>
                <w:highlight w:val="none"/>
                <w:lang w:val="en-US" w:eastAsia="zh-CN"/>
              </w:rPr>
            </w:pPr>
            <w:r>
              <w:rPr>
                <w:rFonts w:hint="eastAsia"/>
                <w:color w:val="auto"/>
                <w:szCs w:val="21"/>
                <w:highlight w:val="none"/>
                <w:lang w:val="en-US" w:eastAsia="zh-CN"/>
              </w:rPr>
              <w:t>6</w:t>
            </w:r>
          </w:p>
        </w:tc>
        <w:tc>
          <w:tcPr>
            <w:tcW w:w="5950" w:type="dxa"/>
            <w:vAlign w:val="center"/>
          </w:tcPr>
          <w:p>
            <w:pPr>
              <w:rPr>
                <w:rFonts w:hint="eastAsia" w:ascii="宋体" w:hAnsi="宋体"/>
                <w:color w:val="auto"/>
                <w:szCs w:val="21"/>
                <w:highlight w:val="none"/>
              </w:rPr>
            </w:pPr>
            <w:r>
              <w:rPr>
                <w:rFonts w:hint="eastAsia"/>
                <w:b/>
                <w:color w:val="auto"/>
                <w:sz w:val="18"/>
                <w:szCs w:val="18"/>
                <w:highlight w:val="none"/>
              </w:rPr>
              <w:t>拟派项目经理的</w:t>
            </w:r>
            <w:r>
              <w:rPr>
                <w:b/>
                <w:color w:val="auto"/>
                <w:sz w:val="18"/>
                <w:szCs w:val="18"/>
                <w:highlight w:val="none"/>
              </w:rPr>
              <w:t>注册二级建造师（</w:t>
            </w:r>
            <w:r>
              <w:rPr>
                <w:rFonts w:hint="eastAsia"/>
                <w:b/>
                <w:color w:val="auto"/>
                <w:sz w:val="18"/>
                <w:szCs w:val="18"/>
                <w:highlight w:val="none"/>
              </w:rPr>
              <w:t>机电</w:t>
            </w:r>
            <w:r>
              <w:rPr>
                <w:b/>
                <w:color w:val="auto"/>
                <w:sz w:val="18"/>
                <w:szCs w:val="18"/>
                <w:highlight w:val="none"/>
              </w:rPr>
              <w:t>工程类</w:t>
            </w:r>
            <w:r>
              <w:rPr>
                <w:rFonts w:hint="eastAsia"/>
                <w:b/>
                <w:color w:val="auto"/>
                <w:sz w:val="18"/>
                <w:szCs w:val="18"/>
                <w:highlight w:val="none"/>
              </w:rPr>
              <w:t>）</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jc w:val="center"/>
        </w:trPr>
        <w:tc>
          <w:tcPr>
            <w:tcW w:w="842" w:type="dxa"/>
            <w:vAlign w:val="center"/>
          </w:tcPr>
          <w:p>
            <w:pPr>
              <w:spacing w:line="360" w:lineRule="auto"/>
              <w:jc w:val="center"/>
              <w:rPr>
                <w:rFonts w:hint="eastAsia" w:eastAsia="宋体"/>
                <w:color w:val="auto"/>
                <w:szCs w:val="21"/>
                <w:highlight w:val="none"/>
                <w:lang w:val="en-US" w:eastAsia="zh-CN"/>
              </w:rPr>
            </w:pPr>
            <w:r>
              <w:rPr>
                <w:rFonts w:hint="eastAsia"/>
                <w:color w:val="auto"/>
                <w:szCs w:val="21"/>
                <w:highlight w:val="none"/>
                <w:lang w:val="en-US" w:eastAsia="zh-CN"/>
              </w:rPr>
              <w:t>7</w:t>
            </w:r>
          </w:p>
        </w:tc>
        <w:tc>
          <w:tcPr>
            <w:tcW w:w="5950" w:type="dxa"/>
            <w:vAlign w:val="center"/>
          </w:tcPr>
          <w:p>
            <w:pPr>
              <w:adjustRightInd w:val="0"/>
              <w:snapToGrid w:val="0"/>
              <w:spacing w:line="360" w:lineRule="auto"/>
              <w:rPr>
                <w:b/>
                <w:color w:val="auto"/>
                <w:sz w:val="18"/>
                <w:szCs w:val="18"/>
                <w:highlight w:val="none"/>
              </w:rPr>
            </w:pPr>
            <w:r>
              <w:rPr>
                <w:rFonts w:hint="eastAsia" w:ascii="Times New Roman" w:hAnsi="Times New Roman"/>
                <w:b/>
                <w:color w:val="auto"/>
                <w:sz w:val="18"/>
                <w:szCs w:val="18"/>
                <w:highlight w:val="none"/>
                <w:lang w:val="en-US" w:eastAsia="zh-CN"/>
              </w:rPr>
              <w:t>年度履约评价是否合格</w:t>
            </w:r>
            <w:r>
              <w:rPr>
                <w:rFonts w:hint="eastAsia" w:ascii="Times New Roman" w:hAnsi="Times New Roman"/>
                <w:b/>
                <w:color w:val="auto"/>
                <w:sz w:val="21"/>
                <w:szCs w:val="21"/>
                <w:highlight w:val="none"/>
                <w:lang w:val="en-US" w:eastAsia="zh-CN"/>
              </w:rPr>
              <w:t>（</w:t>
            </w:r>
            <w:r>
              <w:rPr>
                <w:rFonts w:ascii="宋体" w:hAnsi="宋体" w:eastAsia="宋体" w:cs="宋体"/>
                <w:color w:val="auto"/>
                <w:sz w:val="21"/>
                <w:szCs w:val="21"/>
                <w:highlight w:val="none"/>
              </w:rPr>
              <w:t>对于</w:t>
            </w:r>
            <w:r>
              <w:rPr>
                <w:rFonts w:hint="eastAsia" w:ascii="宋体" w:hAnsi="宋体" w:cs="宋体"/>
                <w:color w:val="auto"/>
                <w:sz w:val="21"/>
                <w:szCs w:val="21"/>
                <w:highlight w:val="none"/>
                <w:lang w:val="en-US" w:eastAsia="zh-CN"/>
              </w:rPr>
              <w:t>在比选人的</w:t>
            </w:r>
            <w:r>
              <w:rPr>
                <w:rFonts w:ascii="宋体" w:hAnsi="宋体" w:eastAsia="宋体" w:cs="宋体"/>
                <w:color w:val="auto"/>
                <w:sz w:val="21"/>
                <w:szCs w:val="21"/>
                <w:highlight w:val="none"/>
              </w:rPr>
              <w:t>年度履约评价为不合格的单位，评定标时不予考虑</w:t>
            </w:r>
            <w:r>
              <w:rPr>
                <w:rFonts w:hint="eastAsia" w:ascii="Times New Roman" w:hAnsi="Times New Roman"/>
                <w:b/>
                <w:color w:val="auto"/>
                <w:sz w:val="21"/>
                <w:szCs w:val="21"/>
                <w:highlight w:val="none"/>
                <w:lang w:val="en-US" w:eastAsia="zh-CN"/>
              </w:rPr>
              <w:t>）</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842" w:type="dxa"/>
            <w:vAlign w:val="center"/>
          </w:tcPr>
          <w:p>
            <w:pPr>
              <w:spacing w:line="360" w:lineRule="auto"/>
              <w:jc w:val="center"/>
              <w:rPr>
                <w:rFonts w:hint="eastAsia" w:eastAsia="宋体"/>
                <w:color w:val="auto"/>
                <w:szCs w:val="21"/>
                <w:highlight w:val="none"/>
                <w:lang w:eastAsia="zh-CN"/>
              </w:rPr>
            </w:pPr>
            <w:r>
              <w:rPr>
                <w:rFonts w:hint="eastAsia"/>
                <w:color w:val="auto"/>
                <w:szCs w:val="21"/>
                <w:highlight w:val="none"/>
                <w:lang w:val="en-US" w:eastAsia="zh-CN"/>
              </w:rPr>
              <w:t>8</w:t>
            </w:r>
          </w:p>
        </w:tc>
        <w:tc>
          <w:tcPr>
            <w:tcW w:w="5950" w:type="dxa"/>
            <w:vAlign w:val="center"/>
          </w:tcPr>
          <w:p>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参选文件承诺的工期不超过比选文件中工期要求</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842" w:type="dxa"/>
            <w:vAlign w:val="center"/>
          </w:tcPr>
          <w:p>
            <w:pPr>
              <w:spacing w:line="360" w:lineRule="auto"/>
              <w:jc w:val="center"/>
              <w:rPr>
                <w:rFonts w:hint="eastAsia" w:eastAsia="宋体"/>
                <w:color w:val="auto"/>
                <w:szCs w:val="21"/>
                <w:highlight w:val="none"/>
                <w:lang w:eastAsia="zh-CN"/>
              </w:rPr>
            </w:pPr>
            <w:r>
              <w:rPr>
                <w:rFonts w:hint="eastAsia"/>
                <w:color w:val="auto"/>
                <w:szCs w:val="21"/>
                <w:highlight w:val="none"/>
                <w:lang w:val="en-US" w:eastAsia="zh-CN"/>
              </w:rPr>
              <w:t>9</w:t>
            </w:r>
          </w:p>
        </w:tc>
        <w:tc>
          <w:tcPr>
            <w:tcW w:w="5950" w:type="dxa"/>
            <w:vAlign w:val="center"/>
          </w:tcPr>
          <w:p>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《承诺函》格式按照比选文件要求</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jc w:val="center"/>
        </w:trPr>
        <w:tc>
          <w:tcPr>
            <w:tcW w:w="6792" w:type="dxa"/>
            <w:gridSpan w:val="2"/>
            <w:vAlign w:val="center"/>
          </w:tcPr>
          <w:p>
            <w:pPr>
              <w:spacing w:line="360" w:lineRule="auto"/>
              <w:jc w:val="center"/>
              <w:rPr>
                <w:color w:val="auto"/>
                <w:szCs w:val="21"/>
                <w:highlight w:val="none"/>
              </w:rPr>
            </w:pPr>
            <w:r>
              <w:rPr>
                <w:rFonts w:hint="eastAsia"/>
                <w:b/>
                <w:bCs/>
                <w:color w:val="auto"/>
                <w:szCs w:val="21"/>
                <w:highlight w:val="none"/>
              </w:rPr>
              <w:t>评审结论：</w:t>
            </w:r>
          </w:p>
        </w:tc>
        <w:tc>
          <w:tcPr>
            <w:tcW w:w="1295" w:type="dxa"/>
            <w:vAlign w:val="center"/>
          </w:tcPr>
          <w:p>
            <w:pPr>
              <w:spacing w:line="360" w:lineRule="auto"/>
              <w:jc w:val="center"/>
              <w:rPr>
                <w:color w:val="auto"/>
                <w:szCs w:val="21"/>
                <w:highlight w:val="none"/>
              </w:rPr>
            </w:pPr>
          </w:p>
        </w:tc>
        <w:tc>
          <w:tcPr>
            <w:tcW w:w="1407" w:type="dxa"/>
            <w:vAlign w:val="center"/>
          </w:tcPr>
          <w:p>
            <w:pPr>
              <w:spacing w:line="360" w:lineRule="auto"/>
              <w:jc w:val="center"/>
              <w:rPr>
                <w:color w:val="auto"/>
                <w:szCs w:val="21"/>
                <w:highlight w:val="none"/>
              </w:rPr>
            </w:pPr>
          </w:p>
        </w:tc>
        <w:tc>
          <w:tcPr>
            <w:tcW w:w="1340" w:type="dxa"/>
          </w:tcPr>
          <w:p>
            <w:pPr>
              <w:spacing w:line="360" w:lineRule="auto"/>
              <w:jc w:val="center"/>
              <w:rPr>
                <w:color w:val="auto"/>
                <w:szCs w:val="21"/>
                <w:highlight w:val="none"/>
              </w:rPr>
            </w:pPr>
          </w:p>
        </w:tc>
        <w:tc>
          <w:tcPr>
            <w:tcW w:w="1340" w:type="dxa"/>
            <w:vAlign w:val="center"/>
          </w:tcPr>
          <w:p>
            <w:pPr>
              <w:spacing w:line="360" w:lineRule="auto"/>
              <w:jc w:val="center"/>
              <w:rPr>
                <w:color w:val="auto"/>
                <w:szCs w:val="21"/>
                <w:highlight w:val="none"/>
              </w:rPr>
            </w:pPr>
          </w:p>
        </w:tc>
        <w:tc>
          <w:tcPr>
            <w:tcW w:w="1405" w:type="dxa"/>
            <w:vAlign w:val="center"/>
          </w:tcPr>
          <w:p>
            <w:pPr>
              <w:spacing w:line="360" w:lineRule="auto"/>
              <w:jc w:val="center"/>
              <w:rPr>
                <w:color w:val="auto"/>
                <w:szCs w:val="21"/>
                <w:highlight w:val="none"/>
              </w:rPr>
            </w:pPr>
          </w:p>
        </w:tc>
      </w:tr>
    </w:tbl>
    <w:p>
      <w:pPr>
        <w:tabs>
          <w:tab w:val="left" w:pos="0"/>
        </w:tabs>
        <w:snapToGrid w:val="0"/>
        <w:spacing w:line="360" w:lineRule="auto"/>
        <w:ind w:firstLine="422" w:firstLineChars="200"/>
        <w:rPr>
          <w:rFonts w:ascii="宋体" w:hAnsi="宋体"/>
          <w:color w:val="auto"/>
          <w:szCs w:val="21"/>
          <w:highlight w:val="none"/>
        </w:rPr>
      </w:pPr>
      <w:r>
        <w:rPr>
          <w:rFonts w:hint="eastAsia" w:ascii="宋体" w:hAnsi="宋体"/>
          <w:b/>
          <w:color w:val="auto"/>
          <w:szCs w:val="21"/>
          <w:highlight w:val="none"/>
        </w:rPr>
        <w:t>说明：</w:t>
      </w:r>
      <w:r>
        <w:rPr>
          <w:rFonts w:hint="eastAsia" w:ascii="宋体" w:hAnsi="宋体"/>
          <w:color w:val="auto"/>
          <w:szCs w:val="21"/>
          <w:highlight w:val="none"/>
        </w:rPr>
        <w:t>1、评审通过的用“√”表示，未通过的用“×”表示。结论用“合格”或“不合格”表示。</w:t>
      </w:r>
    </w:p>
    <w:p>
      <w:pPr>
        <w:tabs>
          <w:tab w:val="left" w:pos="0"/>
        </w:tabs>
        <w:snapToGrid w:val="0"/>
        <w:spacing w:line="360" w:lineRule="auto"/>
        <w:ind w:firstLine="1050" w:firstLineChars="500"/>
        <w:rPr>
          <w:rFonts w:ascii="宋体" w:hAnsi="宋体"/>
          <w:color w:val="auto"/>
          <w:szCs w:val="21"/>
          <w:highlight w:val="none"/>
        </w:rPr>
      </w:pPr>
      <w:r>
        <w:rPr>
          <w:rFonts w:hint="eastAsia" w:ascii="宋体" w:hAnsi="宋体"/>
          <w:color w:val="auto"/>
          <w:szCs w:val="21"/>
          <w:highlight w:val="none"/>
        </w:rPr>
        <w:t>2、只有以上项目全部通过，评审结论为“合格”，否则结论为“不合格”。</w:t>
      </w:r>
    </w:p>
    <w:p>
      <w:pPr>
        <w:widowControl/>
        <w:spacing w:line="360" w:lineRule="auto"/>
        <w:rPr>
          <w:rFonts w:ascii="宋体" w:hAnsi="宋体"/>
          <w:b/>
          <w:color w:val="auto"/>
          <w:szCs w:val="21"/>
          <w:highlight w:val="none"/>
        </w:rPr>
      </w:pPr>
      <w:r>
        <w:rPr>
          <w:rFonts w:hint="eastAsia"/>
          <w:b/>
          <w:color w:val="auto"/>
          <w:sz w:val="24"/>
          <w:szCs w:val="24"/>
          <w:highlight w:val="none"/>
        </w:rPr>
        <w:t>评委</w:t>
      </w:r>
      <w:r>
        <w:rPr>
          <w:rFonts w:hint="eastAsia" w:ascii="宋体" w:hAnsi="宋体"/>
          <w:b/>
          <w:color w:val="auto"/>
          <w:szCs w:val="21"/>
          <w:highlight w:val="none"/>
        </w:rPr>
        <w:t xml:space="preserve">（签名）：  </w:t>
      </w:r>
    </w:p>
    <w:p>
      <w:pPr>
        <w:widowControl/>
        <w:spacing w:line="360" w:lineRule="auto"/>
        <w:rPr>
          <w:rFonts w:ascii="宋体" w:hAnsi="宋体"/>
          <w:color w:val="auto"/>
          <w:szCs w:val="21"/>
          <w:highlight w:val="none"/>
        </w:rPr>
      </w:pPr>
      <w:r>
        <w:rPr>
          <w:rFonts w:hint="eastAsia" w:ascii="宋体" w:hAnsi="宋体"/>
          <w:b/>
          <w:color w:val="auto"/>
          <w:szCs w:val="21"/>
          <w:highlight w:val="none"/>
        </w:rPr>
        <w:t>监督（签名）：                                                        日期：</w:t>
      </w:r>
      <w:r>
        <w:rPr>
          <w:rFonts w:hint="eastAsia" w:ascii="宋体" w:hAnsi="宋体"/>
          <w:color w:val="auto"/>
          <w:szCs w:val="21"/>
          <w:highlight w:val="none"/>
        </w:rPr>
        <w:t xml:space="preserve">     年    月    日</w:t>
      </w:r>
    </w:p>
    <w:p>
      <w:pPr>
        <w:jc w:val="left"/>
        <w:rPr>
          <w:rFonts w:ascii="宋体" w:hAnsi="宋体"/>
          <w:b/>
          <w:color w:val="auto"/>
          <w:szCs w:val="21"/>
          <w:highlight w:val="none"/>
        </w:rPr>
      </w:pPr>
    </w:p>
    <w:p>
      <w:pPr>
        <w:jc w:val="left"/>
        <w:rPr>
          <w:rFonts w:ascii="宋体" w:hAnsi="宋体"/>
          <w:b/>
          <w:color w:val="auto"/>
          <w:szCs w:val="21"/>
          <w:highlight w:val="none"/>
        </w:rPr>
      </w:pPr>
    </w:p>
    <w:p>
      <w:pPr>
        <w:jc w:val="left"/>
        <w:rPr>
          <w:rFonts w:ascii="宋体" w:hAnsi="宋体"/>
          <w:b/>
          <w:color w:val="auto"/>
          <w:szCs w:val="21"/>
          <w:highlight w:val="none"/>
        </w:rPr>
      </w:pPr>
    </w:p>
    <w:p>
      <w:pPr>
        <w:jc w:val="left"/>
        <w:rPr>
          <w:rFonts w:ascii="宋体" w:hAnsi="宋体"/>
          <w:b/>
          <w:color w:val="auto"/>
          <w:szCs w:val="21"/>
          <w:highlight w:val="none"/>
        </w:rPr>
      </w:pPr>
      <w:r>
        <w:rPr>
          <w:rFonts w:hint="eastAsia" w:ascii="宋体" w:hAnsi="宋体"/>
          <w:b/>
          <w:color w:val="auto"/>
          <w:szCs w:val="21"/>
          <w:highlight w:val="none"/>
        </w:rPr>
        <w:t>表</w:t>
      </w:r>
      <w:r>
        <w:rPr>
          <w:rFonts w:hint="eastAsia" w:ascii="宋体" w:hAnsi="宋体"/>
          <w:b/>
          <w:color w:val="auto"/>
          <w:szCs w:val="21"/>
          <w:highlight w:val="none"/>
          <w:lang w:val="en-US" w:eastAsia="zh-CN"/>
        </w:rPr>
        <w:t>2</w:t>
      </w:r>
      <w:r>
        <w:rPr>
          <w:rFonts w:hint="eastAsia" w:ascii="宋体" w:hAnsi="宋体"/>
          <w:b/>
          <w:color w:val="auto"/>
          <w:szCs w:val="21"/>
          <w:highlight w:val="none"/>
        </w:rPr>
        <w:t>.综合评分汇总表</w:t>
      </w:r>
    </w:p>
    <w:p>
      <w:pPr>
        <w:spacing w:before="120" w:beforeLines="50"/>
        <w:jc w:val="center"/>
        <w:rPr>
          <w:rFonts w:ascii="宋体" w:hAnsi="宋体"/>
          <w:b/>
          <w:color w:val="auto"/>
          <w:sz w:val="28"/>
          <w:szCs w:val="28"/>
          <w:highlight w:val="none"/>
        </w:rPr>
      </w:pPr>
      <w:r>
        <w:rPr>
          <w:rFonts w:hint="eastAsia" w:ascii="宋体" w:hAnsi="宋体"/>
          <w:b/>
          <w:color w:val="auto"/>
          <w:sz w:val="28"/>
          <w:szCs w:val="28"/>
          <w:highlight w:val="none"/>
          <w:u w:val="single"/>
        </w:rPr>
        <w:t xml:space="preserve">                   项目</w:t>
      </w:r>
      <w:r>
        <w:rPr>
          <w:rFonts w:hint="eastAsia" w:ascii="宋体" w:hAnsi="宋体"/>
          <w:b/>
          <w:color w:val="auto"/>
          <w:sz w:val="28"/>
          <w:szCs w:val="28"/>
          <w:highlight w:val="none"/>
        </w:rPr>
        <w:t>综合评分汇总表</w:t>
      </w:r>
    </w:p>
    <w:p>
      <w:pPr>
        <w:spacing w:before="120" w:beforeLines="50"/>
        <w:jc w:val="left"/>
        <w:rPr>
          <w:rFonts w:ascii="宋体" w:hAnsi="宋体"/>
          <w:b/>
          <w:color w:val="auto"/>
          <w:sz w:val="28"/>
          <w:szCs w:val="28"/>
          <w:highlight w:val="none"/>
          <w:u w:val="single"/>
        </w:rPr>
      </w:pPr>
    </w:p>
    <w:tbl>
      <w:tblPr>
        <w:tblStyle w:val="47"/>
        <w:tblW w:w="13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2479"/>
        <w:gridCol w:w="1763"/>
        <w:gridCol w:w="1980"/>
        <w:gridCol w:w="1971"/>
        <w:gridCol w:w="876"/>
        <w:gridCol w:w="2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66" w:type="dxa"/>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2479" w:type="dxa"/>
            <w:noWrap/>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参选人</w:t>
            </w:r>
          </w:p>
        </w:tc>
        <w:tc>
          <w:tcPr>
            <w:tcW w:w="1763" w:type="dxa"/>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技术评分</w:t>
            </w:r>
          </w:p>
        </w:tc>
        <w:tc>
          <w:tcPr>
            <w:tcW w:w="1980" w:type="dxa"/>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商务评分</w:t>
            </w:r>
          </w:p>
        </w:tc>
        <w:tc>
          <w:tcPr>
            <w:tcW w:w="1971" w:type="dxa"/>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综合评分</w:t>
            </w:r>
          </w:p>
        </w:tc>
        <w:tc>
          <w:tcPr>
            <w:tcW w:w="876" w:type="dxa"/>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排序</w:t>
            </w:r>
          </w:p>
        </w:tc>
        <w:tc>
          <w:tcPr>
            <w:tcW w:w="2913" w:type="dxa"/>
            <w:noWrap/>
            <w:vAlign w:val="center"/>
          </w:tcPr>
          <w:p>
            <w:pPr>
              <w:jc w:val="center"/>
              <w:rPr>
                <w:rFonts w:ascii="宋体" w:hAnsi="宋体"/>
                <w:color w:val="auto"/>
                <w:sz w:val="24"/>
                <w:szCs w:val="24"/>
                <w:highlight w:val="none"/>
              </w:rPr>
            </w:pPr>
            <w:r>
              <w:rPr>
                <w:rFonts w:hint="eastAsia" w:ascii="宋体" w:hAnsi="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66" w:type="dxa"/>
            <w:noWrap/>
            <w:vAlign w:val="center"/>
          </w:tcPr>
          <w:p>
            <w:pPr>
              <w:jc w:val="center"/>
              <w:rPr>
                <w:color w:val="auto"/>
                <w:sz w:val="24"/>
                <w:szCs w:val="24"/>
                <w:highlight w:val="none"/>
              </w:rPr>
            </w:pPr>
            <w:r>
              <w:rPr>
                <w:color w:val="auto"/>
                <w:sz w:val="24"/>
                <w:szCs w:val="24"/>
                <w:highlight w:val="none"/>
              </w:rPr>
              <w:t>1</w:t>
            </w:r>
          </w:p>
        </w:tc>
        <w:tc>
          <w:tcPr>
            <w:tcW w:w="2479" w:type="dxa"/>
            <w:noWrap/>
            <w:vAlign w:val="bottom"/>
          </w:tcPr>
          <w:p>
            <w:pPr>
              <w:jc w:val="left"/>
              <w:rPr>
                <w:color w:val="auto"/>
                <w:sz w:val="24"/>
                <w:szCs w:val="24"/>
                <w:highlight w:val="none"/>
              </w:rPr>
            </w:pPr>
          </w:p>
        </w:tc>
        <w:tc>
          <w:tcPr>
            <w:tcW w:w="1763" w:type="dxa"/>
            <w:noWrap/>
            <w:vAlign w:val="bottom"/>
          </w:tcPr>
          <w:p>
            <w:pPr>
              <w:jc w:val="left"/>
              <w:rPr>
                <w:color w:val="auto"/>
                <w:sz w:val="24"/>
                <w:szCs w:val="24"/>
                <w:highlight w:val="none"/>
              </w:rPr>
            </w:pPr>
          </w:p>
        </w:tc>
        <w:tc>
          <w:tcPr>
            <w:tcW w:w="1980" w:type="dxa"/>
            <w:noWrap/>
            <w:vAlign w:val="bottom"/>
          </w:tcPr>
          <w:p>
            <w:pPr>
              <w:jc w:val="left"/>
              <w:rPr>
                <w:color w:val="auto"/>
                <w:sz w:val="24"/>
                <w:szCs w:val="24"/>
                <w:highlight w:val="none"/>
              </w:rPr>
            </w:pPr>
          </w:p>
        </w:tc>
        <w:tc>
          <w:tcPr>
            <w:tcW w:w="1971" w:type="dxa"/>
            <w:noWrap/>
            <w:vAlign w:val="bottom"/>
          </w:tcPr>
          <w:p>
            <w:pPr>
              <w:jc w:val="left"/>
              <w:rPr>
                <w:color w:val="auto"/>
                <w:sz w:val="24"/>
                <w:szCs w:val="24"/>
                <w:highlight w:val="none"/>
              </w:rPr>
            </w:pPr>
          </w:p>
        </w:tc>
        <w:tc>
          <w:tcPr>
            <w:tcW w:w="876" w:type="dxa"/>
            <w:noWrap/>
            <w:vAlign w:val="bottom"/>
          </w:tcPr>
          <w:p>
            <w:pPr>
              <w:jc w:val="left"/>
              <w:rPr>
                <w:color w:val="auto"/>
                <w:sz w:val="24"/>
                <w:szCs w:val="24"/>
                <w:highlight w:val="none"/>
              </w:rPr>
            </w:pPr>
          </w:p>
        </w:tc>
        <w:tc>
          <w:tcPr>
            <w:tcW w:w="2913" w:type="dxa"/>
            <w:vMerge w:val="restart"/>
            <w:vAlign w:val="center"/>
          </w:tcPr>
          <w:p>
            <w:pPr>
              <w:jc w:val="left"/>
              <w:rPr>
                <w:rFonts w:ascii="宋体" w:hAnsi="宋体"/>
                <w:color w:val="auto"/>
                <w:sz w:val="24"/>
                <w:szCs w:val="24"/>
                <w:highlight w:val="none"/>
              </w:rPr>
            </w:pPr>
            <w:r>
              <w:rPr>
                <w:rFonts w:hint="eastAsia" w:ascii="宋体" w:hAnsi="宋体"/>
                <w:color w:val="auto"/>
                <w:sz w:val="24"/>
                <w:szCs w:val="24"/>
                <w:highlight w:val="none"/>
              </w:rPr>
              <w:t>综合评分=技术评分×技术权重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+商务评分×经济权重</w:t>
            </w:r>
            <w:r>
              <w:rPr>
                <w:rFonts w:hint="eastAsia" w:ascii="宋体" w:hAnsi="宋体"/>
                <w:color w:val="auto"/>
                <w:sz w:val="24"/>
                <w:szCs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66" w:type="dxa"/>
            <w:noWrap/>
            <w:vAlign w:val="center"/>
          </w:tcPr>
          <w:p>
            <w:pPr>
              <w:jc w:val="center"/>
              <w:rPr>
                <w:color w:val="auto"/>
                <w:sz w:val="24"/>
                <w:szCs w:val="24"/>
                <w:highlight w:val="none"/>
              </w:rPr>
            </w:pPr>
            <w:r>
              <w:rPr>
                <w:color w:val="auto"/>
                <w:sz w:val="24"/>
                <w:szCs w:val="24"/>
                <w:highlight w:val="none"/>
              </w:rPr>
              <w:t>2</w:t>
            </w:r>
          </w:p>
        </w:tc>
        <w:tc>
          <w:tcPr>
            <w:tcW w:w="2479" w:type="dxa"/>
            <w:noWrap/>
            <w:vAlign w:val="bottom"/>
          </w:tcPr>
          <w:p>
            <w:pPr>
              <w:jc w:val="left"/>
              <w:rPr>
                <w:color w:val="auto"/>
                <w:sz w:val="24"/>
                <w:szCs w:val="24"/>
                <w:highlight w:val="none"/>
              </w:rPr>
            </w:pPr>
          </w:p>
        </w:tc>
        <w:tc>
          <w:tcPr>
            <w:tcW w:w="1763" w:type="dxa"/>
            <w:noWrap/>
            <w:vAlign w:val="bottom"/>
          </w:tcPr>
          <w:p>
            <w:pPr>
              <w:jc w:val="left"/>
              <w:rPr>
                <w:color w:val="auto"/>
                <w:sz w:val="24"/>
                <w:szCs w:val="24"/>
                <w:highlight w:val="none"/>
              </w:rPr>
            </w:pPr>
          </w:p>
        </w:tc>
        <w:tc>
          <w:tcPr>
            <w:tcW w:w="1980" w:type="dxa"/>
            <w:noWrap/>
            <w:vAlign w:val="bottom"/>
          </w:tcPr>
          <w:p>
            <w:pPr>
              <w:jc w:val="left"/>
              <w:rPr>
                <w:color w:val="auto"/>
                <w:sz w:val="24"/>
                <w:szCs w:val="24"/>
                <w:highlight w:val="none"/>
              </w:rPr>
            </w:pPr>
          </w:p>
        </w:tc>
        <w:tc>
          <w:tcPr>
            <w:tcW w:w="1971" w:type="dxa"/>
            <w:noWrap/>
            <w:vAlign w:val="bottom"/>
          </w:tcPr>
          <w:p>
            <w:pPr>
              <w:jc w:val="left"/>
              <w:rPr>
                <w:color w:val="auto"/>
                <w:sz w:val="24"/>
                <w:szCs w:val="24"/>
                <w:highlight w:val="none"/>
              </w:rPr>
            </w:pPr>
          </w:p>
        </w:tc>
        <w:tc>
          <w:tcPr>
            <w:tcW w:w="876" w:type="dxa"/>
            <w:noWrap/>
            <w:vAlign w:val="bottom"/>
          </w:tcPr>
          <w:p>
            <w:pPr>
              <w:jc w:val="left"/>
              <w:rPr>
                <w:color w:val="auto"/>
                <w:sz w:val="24"/>
                <w:szCs w:val="24"/>
                <w:highlight w:val="none"/>
              </w:rPr>
            </w:pPr>
          </w:p>
        </w:tc>
        <w:tc>
          <w:tcPr>
            <w:tcW w:w="2913" w:type="dxa"/>
            <w:vMerge w:val="continue"/>
            <w:vAlign w:val="center"/>
          </w:tcPr>
          <w:p>
            <w:pPr>
              <w:jc w:val="left"/>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66" w:type="dxa"/>
            <w:noWrap/>
            <w:vAlign w:val="center"/>
          </w:tcPr>
          <w:p>
            <w:pPr>
              <w:jc w:val="center"/>
              <w:rPr>
                <w:color w:val="auto"/>
                <w:sz w:val="24"/>
                <w:szCs w:val="24"/>
                <w:highlight w:val="none"/>
              </w:rPr>
            </w:pPr>
            <w:r>
              <w:rPr>
                <w:color w:val="auto"/>
                <w:sz w:val="24"/>
                <w:szCs w:val="24"/>
                <w:highlight w:val="none"/>
              </w:rPr>
              <w:t>3</w:t>
            </w:r>
          </w:p>
        </w:tc>
        <w:tc>
          <w:tcPr>
            <w:tcW w:w="2479" w:type="dxa"/>
            <w:noWrap/>
            <w:vAlign w:val="bottom"/>
          </w:tcPr>
          <w:p>
            <w:pPr>
              <w:jc w:val="left"/>
              <w:rPr>
                <w:color w:val="auto"/>
                <w:sz w:val="24"/>
                <w:szCs w:val="24"/>
                <w:highlight w:val="none"/>
              </w:rPr>
            </w:pPr>
          </w:p>
        </w:tc>
        <w:tc>
          <w:tcPr>
            <w:tcW w:w="1763" w:type="dxa"/>
            <w:noWrap/>
            <w:vAlign w:val="bottom"/>
          </w:tcPr>
          <w:p>
            <w:pPr>
              <w:jc w:val="left"/>
              <w:rPr>
                <w:color w:val="auto"/>
                <w:sz w:val="24"/>
                <w:szCs w:val="24"/>
                <w:highlight w:val="none"/>
              </w:rPr>
            </w:pPr>
          </w:p>
        </w:tc>
        <w:tc>
          <w:tcPr>
            <w:tcW w:w="1980" w:type="dxa"/>
            <w:noWrap/>
            <w:vAlign w:val="bottom"/>
          </w:tcPr>
          <w:p>
            <w:pPr>
              <w:jc w:val="left"/>
              <w:rPr>
                <w:color w:val="auto"/>
                <w:sz w:val="24"/>
                <w:szCs w:val="24"/>
                <w:highlight w:val="none"/>
              </w:rPr>
            </w:pPr>
          </w:p>
        </w:tc>
        <w:tc>
          <w:tcPr>
            <w:tcW w:w="1971" w:type="dxa"/>
            <w:noWrap/>
            <w:vAlign w:val="bottom"/>
          </w:tcPr>
          <w:p>
            <w:pPr>
              <w:jc w:val="left"/>
              <w:rPr>
                <w:color w:val="auto"/>
                <w:sz w:val="24"/>
                <w:szCs w:val="24"/>
                <w:highlight w:val="none"/>
              </w:rPr>
            </w:pPr>
          </w:p>
        </w:tc>
        <w:tc>
          <w:tcPr>
            <w:tcW w:w="876" w:type="dxa"/>
            <w:noWrap/>
            <w:vAlign w:val="bottom"/>
          </w:tcPr>
          <w:p>
            <w:pPr>
              <w:jc w:val="left"/>
              <w:rPr>
                <w:color w:val="auto"/>
                <w:sz w:val="24"/>
                <w:szCs w:val="24"/>
                <w:highlight w:val="none"/>
              </w:rPr>
            </w:pPr>
          </w:p>
        </w:tc>
        <w:tc>
          <w:tcPr>
            <w:tcW w:w="2913" w:type="dxa"/>
            <w:vMerge w:val="continue"/>
            <w:vAlign w:val="center"/>
          </w:tcPr>
          <w:p>
            <w:pPr>
              <w:jc w:val="left"/>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66" w:type="dxa"/>
            <w:noWrap/>
            <w:vAlign w:val="center"/>
          </w:tcPr>
          <w:p>
            <w:pPr>
              <w:jc w:val="center"/>
              <w:rPr>
                <w:color w:val="auto"/>
                <w:sz w:val="24"/>
                <w:szCs w:val="24"/>
                <w:highlight w:val="none"/>
              </w:rPr>
            </w:pPr>
            <w:r>
              <w:rPr>
                <w:color w:val="auto"/>
                <w:sz w:val="24"/>
                <w:szCs w:val="24"/>
                <w:highlight w:val="none"/>
              </w:rPr>
              <w:t>4</w:t>
            </w:r>
          </w:p>
        </w:tc>
        <w:tc>
          <w:tcPr>
            <w:tcW w:w="2479" w:type="dxa"/>
            <w:noWrap/>
            <w:vAlign w:val="bottom"/>
          </w:tcPr>
          <w:p>
            <w:pPr>
              <w:jc w:val="left"/>
              <w:rPr>
                <w:color w:val="auto"/>
                <w:sz w:val="24"/>
                <w:szCs w:val="24"/>
                <w:highlight w:val="none"/>
              </w:rPr>
            </w:pPr>
          </w:p>
        </w:tc>
        <w:tc>
          <w:tcPr>
            <w:tcW w:w="1763" w:type="dxa"/>
            <w:noWrap/>
            <w:vAlign w:val="bottom"/>
          </w:tcPr>
          <w:p>
            <w:pPr>
              <w:jc w:val="left"/>
              <w:rPr>
                <w:color w:val="auto"/>
                <w:sz w:val="24"/>
                <w:szCs w:val="24"/>
                <w:highlight w:val="none"/>
              </w:rPr>
            </w:pPr>
          </w:p>
        </w:tc>
        <w:tc>
          <w:tcPr>
            <w:tcW w:w="1980" w:type="dxa"/>
            <w:noWrap/>
            <w:vAlign w:val="bottom"/>
          </w:tcPr>
          <w:p>
            <w:pPr>
              <w:jc w:val="left"/>
              <w:rPr>
                <w:color w:val="auto"/>
                <w:sz w:val="24"/>
                <w:szCs w:val="24"/>
                <w:highlight w:val="none"/>
              </w:rPr>
            </w:pPr>
          </w:p>
        </w:tc>
        <w:tc>
          <w:tcPr>
            <w:tcW w:w="1971" w:type="dxa"/>
            <w:noWrap/>
            <w:vAlign w:val="bottom"/>
          </w:tcPr>
          <w:p>
            <w:pPr>
              <w:jc w:val="left"/>
              <w:rPr>
                <w:color w:val="auto"/>
                <w:sz w:val="24"/>
                <w:szCs w:val="24"/>
                <w:highlight w:val="none"/>
              </w:rPr>
            </w:pPr>
          </w:p>
        </w:tc>
        <w:tc>
          <w:tcPr>
            <w:tcW w:w="876" w:type="dxa"/>
            <w:noWrap/>
            <w:vAlign w:val="bottom"/>
          </w:tcPr>
          <w:p>
            <w:pPr>
              <w:jc w:val="left"/>
              <w:rPr>
                <w:color w:val="auto"/>
                <w:sz w:val="24"/>
                <w:szCs w:val="24"/>
                <w:highlight w:val="none"/>
              </w:rPr>
            </w:pPr>
          </w:p>
        </w:tc>
        <w:tc>
          <w:tcPr>
            <w:tcW w:w="2913" w:type="dxa"/>
            <w:vMerge w:val="continue"/>
            <w:vAlign w:val="center"/>
          </w:tcPr>
          <w:p>
            <w:pPr>
              <w:jc w:val="left"/>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66" w:type="dxa"/>
            <w:noWrap/>
            <w:vAlign w:val="center"/>
          </w:tcPr>
          <w:p>
            <w:pPr>
              <w:jc w:val="center"/>
              <w:rPr>
                <w:color w:val="auto"/>
                <w:sz w:val="24"/>
                <w:szCs w:val="24"/>
                <w:highlight w:val="none"/>
              </w:rPr>
            </w:pPr>
            <w:r>
              <w:rPr>
                <w:rFonts w:hint="eastAsia"/>
                <w:color w:val="auto"/>
                <w:sz w:val="24"/>
                <w:szCs w:val="24"/>
                <w:highlight w:val="none"/>
              </w:rPr>
              <w:t>5</w:t>
            </w:r>
          </w:p>
        </w:tc>
        <w:tc>
          <w:tcPr>
            <w:tcW w:w="2479" w:type="dxa"/>
            <w:noWrap/>
            <w:vAlign w:val="bottom"/>
          </w:tcPr>
          <w:p>
            <w:pPr>
              <w:jc w:val="left"/>
              <w:rPr>
                <w:color w:val="auto"/>
                <w:sz w:val="24"/>
                <w:szCs w:val="24"/>
                <w:highlight w:val="none"/>
              </w:rPr>
            </w:pPr>
          </w:p>
        </w:tc>
        <w:tc>
          <w:tcPr>
            <w:tcW w:w="1763" w:type="dxa"/>
            <w:noWrap/>
            <w:vAlign w:val="bottom"/>
          </w:tcPr>
          <w:p>
            <w:pPr>
              <w:jc w:val="left"/>
              <w:rPr>
                <w:color w:val="auto"/>
                <w:sz w:val="24"/>
                <w:szCs w:val="24"/>
                <w:highlight w:val="none"/>
              </w:rPr>
            </w:pPr>
          </w:p>
        </w:tc>
        <w:tc>
          <w:tcPr>
            <w:tcW w:w="1980" w:type="dxa"/>
            <w:noWrap/>
            <w:vAlign w:val="bottom"/>
          </w:tcPr>
          <w:p>
            <w:pPr>
              <w:jc w:val="left"/>
              <w:rPr>
                <w:color w:val="auto"/>
                <w:sz w:val="24"/>
                <w:szCs w:val="24"/>
                <w:highlight w:val="none"/>
              </w:rPr>
            </w:pPr>
          </w:p>
        </w:tc>
        <w:tc>
          <w:tcPr>
            <w:tcW w:w="1971" w:type="dxa"/>
            <w:noWrap/>
            <w:vAlign w:val="bottom"/>
          </w:tcPr>
          <w:p>
            <w:pPr>
              <w:jc w:val="left"/>
              <w:rPr>
                <w:color w:val="auto"/>
                <w:sz w:val="24"/>
                <w:szCs w:val="24"/>
                <w:highlight w:val="none"/>
              </w:rPr>
            </w:pPr>
          </w:p>
        </w:tc>
        <w:tc>
          <w:tcPr>
            <w:tcW w:w="876" w:type="dxa"/>
            <w:noWrap/>
            <w:vAlign w:val="bottom"/>
          </w:tcPr>
          <w:p>
            <w:pPr>
              <w:jc w:val="left"/>
              <w:rPr>
                <w:color w:val="auto"/>
                <w:sz w:val="24"/>
                <w:szCs w:val="24"/>
                <w:highlight w:val="none"/>
              </w:rPr>
            </w:pPr>
          </w:p>
        </w:tc>
        <w:tc>
          <w:tcPr>
            <w:tcW w:w="2913" w:type="dxa"/>
            <w:vMerge w:val="continue"/>
            <w:vAlign w:val="center"/>
          </w:tcPr>
          <w:p>
            <w:pPr>
              <w:jc w:val="left"/>
              <w:rPr>
                <w:rFonts w:ascii="宋体" w:hAnsi="宋体"/>
                <w:color w:val="auto"/>
                <w:sz w:val="24"/>
                <w:szCs w:val="24"/>
                <w:highlight w:val="none"/>
              </w:rPr>
            </w:pPr>
          </w:p>
        </w:tc>
      </w:tr>
    </w:tbl>
    <w:p>
      <w:pPr>
        <w:ind w:right="480"/>
        <w:rPr>
          <w:b/>
          <w:color w:val="auto"/>
          <w:sz w:val="24"/>
          <w:szCs w:val="24"/>
          <w:highlight w:val="none"/>
        </w:rPr>
      </w:pPr>
    </w:p>
    <w:p>
      <w:pPr>
        <w:ind w:right="480"/>
        <w:rPr>
          <w:b/>
          <w:color w:val="auto"/>
          <w:sz w:val="24"/>
          <w:szCs w:val="24"/>
          <w:highlight w:val="none"/>
        </w:rPr>
      </w:pPr>
    </w:p>
    <w:p>
      <w:pPr>
        <w:ind w:right="480"/>
        <w:rPr>
          <w:color w:val="auto"/>
          <w:sz w:val="24"/>
          <w:szCs w:val="24"/>
          <w:highlight w:val="none"/>
          <w:u w:val="single"/>
        </w:rPr>
      </w:pPr>
      <w:r>
        <w:rPr>
          <w:rFonts w:hint="eastAsia"/>
          <w:b/>
          <w:color w:val="auto"/>
          <w:sz w:val="24"/>
          <w:szCs w:val="24"/>
          <w:highlight w:val="none"/>
        </w:rPr>
        <w:t xml:space="preserve">评委签名：                                                   日期： </w:t>
      </w:r>
      <w:r>
        <w:rPr>
          <w:rFonts w:hint="eastAsia"/>
          <w:color w:val="auto"/>
          <w:sz w:val="24"/>
          <w:szCs w:val="24"/>
          <w:highlight w:val="none"/>
          <w:u w:val="single"/>
        </w:rPr>
        <w:t xml:space="preserve">              </w:t>
      </w:r>
    </w:p>
    <w:p>
      <w:pPr>
        <w:ind w:right="480"/>
        <w:rPr>
          <w:color w:val="auto"/>
          <w:sz w:val="24"/>
          <w:szCs w:val="24"/>
          <w:highlight w:val="none"/>
          <w:u w:val="single"/>
        </w:rPr>
      </w:pPr>
    </w:p>
    <w:p>
      <w:pPr>
        <w:ind w:right="480"/>
        <w:rPr>
          <w:color w:val="auto"/>
          <w:sz w:val="24"/>
          <w:szCs w:val="24"/>
          <w:highlight w:val="none"/>
          <w:u w:val="single"/>
        </w:rPr>
      </w:pPr>
    </w:p>
    <w:p>
      <w:pPr>
        <w:ind w:right="480"/>
        <w:rPr>
          <w:color w:val="auto"/>
          <w:sz w:val="24"/>
          <w:szCs w:val="24"/>
          <w:highlight w:val="none"/>
          <w:u w:val="single"/>
        </w:rPr>
      </w:pPr>
    </w:p>
    <w:p>
      <w:pPr>
        <w:ind w:right="480"/>
        <w:rPr>
          <w:color w:val="auto"/>
          <w:sz w:val="24"/>
          <w:szCs w:val="24"/>
          <w:highlight w:val="none"/>
          <w:u w:val="single"/>
        </w:rPr>
      </w:pPr>
    </w:p>
    <w:p>
      <w:pPr>
        <w:ind w:right="480"/>
        <w:rPr>
          <w:color w:val="auto"/>
          <w:sz w:val="24"/>
          <w:szCs w:val="24"/>
          <w:highlight w:val="none"/>
          <w:u w:val="single"/>
        </w:rPr>
      </w:pPr>
      <w:r>
        <w:rPr>
          <w:rFonts w:hint="eastAsia"/>
          <w:b/>
          <w:color w:val="auto"/>
          <w:sz w:val="24"/>
          <w:szCs w:val="24"/>
          <w:highlight w:val="none"/>
        </w:rPr>
        <w:t xml:space="preserve">监督人员签名：                                               日期： </w:t>
      </w:r>
      <w:r>
        <w:rPr>
          <w:rFonts w:hint="eastAsia"/>
          <w:color w:val="auto"/>
          <w:sz w:val="24"/>
          <w:szCs w:val="24"/>
          <w:highlight w:val="none"/>
          <w:u w:val="single"/>
        </w:rPr>
        <w:t xml:space="preserve">              </w:t>
      </w:r>
    </w:p>
    <w:p>
      <w:pPr>
        <w:ind w:right="480"/>
        <w:rPr>
          <w:color w:val="auto"/>
          <w:sz w:val="24"/>
          <w:szCs w:val="24"/>
          <w:highlight w:val="none"/>
          <w:u w:val="single"/>
        </w:rPr>
      </w:pPr>
    </w:p>
    <w:p>
      <w:pPr>
        <w:widowControl/>
        <w:spacing w:line="360" w:lineRule="auto"/>
        <w:rPr>
          <w:rFonts w:ascii="宋体" w:hAnsi="宋体"/>
          <w:b/>
          <w:color w:val="auto"/>
          <w:szCs w:val="21"/>
          <w:highlight w:val="none"/>
        </w:rPr>
        <w:sectPr>
          <w:pgSz w:w="16838" w:h="11906" w:orient="landscape"/>
          <w:pgMar w:top="1440" w:right="1800" w:bottom="1440" w:left="1800" w:header="720" w:footer="891" w:gutter="0"/>
          <w:cols w:space="720" w:num="1"/>
          <w:docGrid w:linePitch="286" w:charSpace="0"/>
        </w:sectPr>
      </w:pPr>
    </w:p>
    <w:p>
      <w:pPr>
        <w:widowControl/>
        <w:spacing w:line="360" w:lineRule="auto"/>
        <w:rPr>
          <w:rFonts w:ascii="宋体" w:hAnsi="宋体"/>
          <w:b/>
          <w:color w:val="auto"/>
          <w:szCs w:val="21"/>
          <w:highlight w:val="none"/>
        </w:rPr>
      </w:pPr>
      <w:r>
        <w:rPr>
          <w:rFonts w:hint="eastAsia" w:ascii="宋体" w:hAnsi="宋体"/>
          <w:b/>
          <w:color w:val="auto"/>
          <w:szCs w:val="21"/>
          <w:highlight w:val="none"/>
        </w:rPr>
        <w:t>表</w:t>
      </w:r>
      <w:r>
        <w:rPr>
          <w:rFonts w:hint="eastAsia" w:ascii="宋体" w:hAnsi="宋体"/>
          <w:b/>
          <w:color w:val="auto"/>
          <w:szCs w:val="21"/>
          <w:highlight w:val="none"/>
          <w:lang w:val="en-US" w:eastAsia="zh-CN"/>
        </w:rPr>
        <w:t>3</w:t>
      </w:r>
      <w:r>
        <w:rPr>
          <w:rFonts w:hint="eastAsia" w:ascii="宋体" w:hAnsi="宋体"/>
          <w:b/>
          <w:color w:val="auto"/>
          <w:szCs w:val="21"/>
          <w:highlight w:val="none"/>
        </w:rPr>
        <w:t>.</w:t>
      </w:r>
      <w:r>
        <w:rPr>
          <w:rFonts w:hint="eastAsia" w:ascii="宋体" w:hAnsi="宋体"/>
          <w:b/>
          <w:color w:val="auto"/>
          <w:sz w:val="28"/>
          <w:szCs w:val="28"/>
          <w:highlight w:val="none"/>
        </w:rPr>
        <w:t xml:space="preserve"> </w:t>
      </w:r>
      <w:r>
        <w:rPr>
          <w:rFonts w:hint="eastAsia" w:ascii="宋体" w:hAnsi="宋体"/>
          <w:b/>
          <w:color w:val="auto"/>
          <w:szCs w:val="21"/>
          <w:highlight w:val="none"/>
        </w:rPr>
        <w:t>技术标评分表</w:t>
      </w:r>
    </w:p>
    <w:p>
      <w:pPr>
        <w:widowControl/>
        <w:spacing w:line="360" w:lineRule="auto"/>
        <w:jc w:val="center"/>
        <w:rPr>
          <w:rFonts w:ascii="宋体" w:hAnsi="宋体"/>
          <w:b/>
          <w:color w:val="auto"/>
          <w:szCs w:val="21"/>
          <w:highlight w:val="none"/>
        </w:rPr>
      </w:pPr>
      <w:r>
        <w:rPr>
          <w:rFonts w:hint="eastAsia" w:ascii="宋体" w:hAnsi="宋体"/>
          <w:b/>
          <w:color w:val="auto"/>
          <w:sz w:val="28"/>
          <w:szCs w:val="28"/>
          <w:highlight w:val="none"/>
        </w:rPr>
        <w:t>技术标评分表</w:t>
      </w:r>
    </w:p>
    <w:tbl>
      <w:tblPr>
        <w:tblStyle w:val="47"/>
        <w:tblpPr w:leftFromText="180" w:rightFromText="180" w:vertAnchor="text" w:horzAnchor="margin" w:tblpY="86"/>
        <w:tblOverlap w:val="never"/>
        <w:tblW w:w="8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567"/>
        <w:gridCol w:w="3263"/>
        <w:gridCol w:w="709"/>
        <w:gridCol w:w="334"/>
        <w:gridCol w:w="524"/>
        <w:gridCol w:w="524"/>
        <w:gridCol w:w="524"/>
        <w:gridCol w:w="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665" w:type="dxa"/>
            <w:vMerge w:val="restart"/>
            <w:vAlign w:val="center"/>
          </w:tcPr>
          <w:p>
            <w:pPr>
              <w:adjustRightInd w:val="0"/>
              <w:snapToGrid w:val="0"/>
              <w:spacing w:line="340" w:lineRule="exact"/>
              <w:jc w:val="center"/>
              <w:rPr>
                <w:rFonts w:ascii="宋体" w:hAnsi="宋体"/>
                <w:b/>
                <w:color w:val="auto"/>
                <w:kern w:val="0"/>
                <w:szCs w:val="21"/>
                <w:highlight w:val="none"/>
              </w:rPr>
            </w:pPr>
            <w:r>
              <w:rPr>
                <w:rFonts w:hint="eastAsia" w:ascii="宋体" w:hAnsi="宋体"/>
                <w:b/>
                <w:color w:val="auto"/>
                <w:kern w:val="0"/>
                <w:szCs w:val="21"/>
                <w:highlight w:val="none"/>
              </w:rPr>
              <w:t>序号</w:t>
            </w:r>
          </w:p>
        </w:tc>
        <w:tc>
          <w:tcPr>
            <w:tcW w:w="1567" w:type="dxa"/>
            <w:vMerge w:val="restart"/>
            <w:vAlign w:val="center"/>
          </w:tcPr>
          <w:p>
            <w:pPr>
              <w:adjustRightInd w:val="0"/>
              <w:snapToGrid w:val="0"/>
              <w:spacing w:line="340" w:lineRule="exact"/>
              <w:jc w:val="center"/>
              <w:rPr>
                <w:rFonts w:ascii="宋体" w:hAnsi="宋体"/>
                <w:b/>
                <w:color w:val="auto"/>
                <w:kern w:val="0"/>
                <w:szCs w:val="21"/>
                <w:highlight w:val="none"/>
              </w:rPr>
            </w:pPr>
            <w:r>
              <w:rPr>
                <w:rFonts w:hint="eastAsia" w:ascii="宋体" w:hAnsi="宋体"/>
                <w:b/>
                <w:color w:val="auto"/>
                <w:kern w:val="0"/>
                <w:szCs w:val="21"/>
                <w:highlight w:val="none"/>
              </w:rPr>
              <w:t>评审项目</w:t>
            </w:r>
          </w:p>
        </w:tc>
        <w:tc>
          <w:tcPr>
            <w:tcW w:w="3263" w:type="dxa"/>
            <w:vMerge w:val="restart"/>
            <w:vAlign w:val="center"/>
          </w:tcPr>
          <w:p>
            <w:pPr>
              <w:adjustRightInd w:val="0"/>
              <w:snapToGrid w:val="0"/>
              <w:spacing w:line="340" w:lineRule="exact"/>
              <w:jc w:val="center"/>
              <w:rPr>
                <w:rFonts w:ascii="宋体" w:hAnsi="宋体"/>
                <w:b/>
                <w:color w:val="auto"/>
                <w:kern w:val="0"/>
                <w:szCs w:val="21"/>
                <w:highlight w:val="none"/>
              </w:rPr>
            </w:pPr>
            <w:r>
              <w:rPr>
                <w:rFonts w:hint="eastAsia" w:ascii="宋体" w:hAnsi="宋体"/>
                <w:b/>
                <w:color w:val="auto"/>
                <w:kern w:val="0"/>
                <w:szCs w:val="21"/>
                <w:highlight w:val="none"/>
              </w:rPr>
              <w:t>评审内容</w:t>
            </w:r>
          </w:p>
        </w:tc>
        <w:tc>
          <w:tcPr>
            <w:tcW w:w="709" w:type="dxa"/>
            <w:vMerge w:val="restart"/>
            <w:vAlign w:val="center"/>
          </w:tcPr>
          <w:p>
            <w:pPr>
              <w:adjustRightInd w:val="0"/>
              <w:snapToGrid w:val="0"/>
              <w:spacing w:line="340" w:lineRule="exact"/>
              <w:jc w:val="center"/>
              <w:rPr>
                <w:rFonts w:ascii="宋体" w:hAnsi="宋体"/>
                <w:b/>
                <w:color w:val="auto"/>
                <w:kern w:val="0"/>
                <w:szCs w:val="21"/>
                <w:highlight w:val="none"/>
              </w:rPr>
            </w:pPr>
            <w:r>
              <w:rPr>
                <w:rFonts w:hint="eastAsia" w:ascii="宋体" w:hAnsi="宋体"/>
                <w:b/>
                <w:color w:val="auto"/>
                <w:kern w:val="0"/>
                <w:szCs w:val="21"/>
                <w:highlight w:val="none"/>
              </w:rPr>
              <w:t>分数</w:t>
            </w:r>
          </w:p>
        </w:tc>
        <w:tc>
          <w:tcPr>
            <w:tcW w:w="2430" w:type="dxa"/>
            <w:gridSpan w:val="5"/>
            <w:vAlign w:val="center"/>
          </w:tcPr>
          <w:p>
            <w:pPr>
              <w:tabs>
                <w:tab w:val="left" w:pos="244"/>
              </w:tabs>
              <w:spacing w:line="276" w:lineRule="auto"/>
              <w:jc w:val="center"/>
              <w:rPr>
                <w:rFonts w:ascii="宋体" w:hAnsi="宋体"/>
                <w:b/>
                <w:bCs/>
                <w:color w:val="auto"/>
                <w:szCs w:val="21"/>
                <w:highlight w:val="none"/>
              </w:rPr>
            </w:pPr>
            <w:r>
              <w:rPr>
                <w:rFonts w:hint="eastAsia" w:ascii="宋体" w:hAnsi="宋体"/>
                <w:b/>
                <w:bCs/>
                <w:color w:val="auto"/>
                <w:szCs w:val="21"/>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65" w:type="dxa"/>
            <w:vMerge w:val="continue"/>
            <w:vAlign w:val="center"/>
          </w:tcPr>
          <w:p>
            <w:pPr>
              <w:spacing w:line="276" w:lineRule="auto"/>
              <w:jc w:val="center"/>
              <w:rPr>
                <w:rFonts w:ascii="宋体" w:hAnsi="宋体"/>
                <w:b/>
                <w:bCs/>
                <w:color w:val="auto"/>
                <w:szCs w:val="21"/>
                <w:highlight w:val="none"/>
              </w:rPr>
            </w:pPr>
          </w:p>
        </w:tc>
        <w:tc>
          <w:tcPr>
            <w:tcW w:w="1567" w:type="dxa"/>
            <w:vMerge w:val="continue"/>
            <w:vAlign w:val="center"/>
          </w:tcPr>
          <w:p>
            <w:pPr>
              <w:spacing w:line="276" w:lineRule="auto"/>
              <w:jc w:val="center"/>
              <w:rPr>
                <w:rFonts w:ascii="宋体" w:hAnsi="宋体"/>
                <w:b/>
                <w:bCs/>
                <w:color w:val="auto"/>
                <w:szCs w:val="21"/>
                <w:highlight w:val="none"/>
              </w:rPr>
            </w:pPr>
          </w:p>
        </w:tc>
        <w:tc>
          <w:tcPr>
            <w:tcW w:w="3263" w:type="dxa"/>
            <w:vMerge w:val="continue"/>
            <w:vAlign w:val="center"/>
          </w:tcPr>
          <w:p>
            <w:pPr>
              <w:tabs>
                <w:tab w:val="left" w:pos="244"/>
              </w:tabs>
              <w:spacing w:line="276" w:lineRule="auto"/>
              <w:jc w:val="center"/>
              <w:rPr>
                <w:rFonts w:ascii="宋体" w:hAnsi="宋体"/>
                <w:b/>
                <w:bCs/>
                <w:color w:val="auto"/>
                <w:szCs w:val="21"/>
                <w:highlight w:val="none"/>
              </w:rPr>
            </w:pPr>
          </w:p>
        </w:tc>
        <w:tc>
          <w:tcPr>
            <w:tcW w:w="709" w:type="dxa"/>
            <w:vMerge w:val="continue"/>
            <w:vAlign w:val="center"/>
          </w:tcPr>
          <w:p>
            <w:pPr>
              <w:tabs>
                <w:tab w:val="left" w:pos="244"/>
              </w:tabs>
              <w:spacing w:line="276" w:lineRule="auto"/>
              <w:jc w:val="center"/>
              <w:rPr>
                <w:rFonts w:ascii="宋体" w:hAnsi="宋体"/>
                <w:b/>
                <w:bCs/>
                <w:color w:val="auto"/>
                <w:szCs w:val="21"/>
                <w:highlight w:val="none"/>
              </w:rPr>
            </w:pPr>
          </w:p>
        </w:tc>
        <w:tc>
          <w:tcPr>
            <w:tcW w:w="334" w:type="dxa"/>
            <w:vAlign w:val="center"/>
          </w:tcPr>
          <w:p>
            <w:pPr>
              <w:tabs>
                <w:tab w:val="left" w:pos="244"/>
              </w:tabs>
              <w:spacing w:line="276" w:lineRule="auto"/>
              <w:jc w:val="center"/>
              <w:rPr>
                <w:rFonts w:ascii="宋体" w:hAnsi="宋体"/>
                <w:b/>
                <w:bCs/>
                <w:color w:val="auto"/>
                <w:szCs w:val="21"/>
                <w:highlight w:val="none"/>
              </w:rPr>
            </w:pPr>
            <w:r>
              <w:rPr>
                <w:rFonts w:hint="eastAsia" w:ascii="宋体" w:hAnsi="宋体"/>
                <w:b/>
                <w:bCs/>
                <w:color w:val="auto"/>
                <w:szCs w:val="21"/>
                <w:highlight w:val="none"/>
              </w:rPr>
              <w:t>1</w:t>
            </w:r>
          </w:p>
        </w:tc>
        <w:tc>
          <w:tcPr>
            <w:tcW w:w="524" w:type="dxa"/>
            <w:vAlign w:val="center"/>
          </w:tcPr>
          <w:p>
            <w:pPr>
              <w:tabs>
                <w:tab w:val="left" w:pos="244"/>
              </w:tabs>
              <w:spacing w:line="276" w:lineRule="auto"/>
              <w:jc w:val="center"/>
              <w:rPr>
                <w:rFonts w:ascii="宋体" w:hAnsi="宋体"/>
                <w:b/>
                <w:bCs/>
                <w:color w:val="auto"/>
                <w:szCs w:val="21"/>
                <w:highlight w:val="none"/>
              </w:rPr>
            </w:pPr>
            <w:r>
              <w:rPr>
                <w:rFonts w:hint="eastAsia" w:ascii="宋体" w:hAnsi="宋体"/>
                <w:b/>
                <w:bCs/>
                <w:color w:val="auto"/>
                <w:szCs w:val="21"/>
                <w:highlight w:val="none"/>
              </w:rPr>
              <w:t>2</w:t>
            </w:r>
          </w:p>
        </w:tc>
        <w:tc>
          <w:tcPr>
            <w:tcW w:w="524" w:type="dxa"/>
            <w:vAlign w:val="center"/>
          </w:tcPr>
          <w:p>
            <w:pPr>
              <w:tabs>
                <w:tab w:val="left" w:pos="244"/>
              </w:tabs>
              <w:spacing w:line="276" w:lineRule="auto"/>
              <w:jc w:val="center"/>
              <w:rPr>
                <w:rFonts w:ascii="宋体" w:hAnsi="宋体"/>
                <w:b/>
                <w:bCs/>
                <w:color w:val="auto"/>
                <w:szCs w:val="21"/>
                <w:highlight w:val="none"/>
              </w:rPr>
            </w:pPr>
            <w:r>
              <w:rPr>
                <w:rFonts w:hint="eastAsia" w:ascii="宋体" w:hAnsi="宋体"/>
                <w:b/>
                <w:bCs/>
                <w:color w:val="auto"/>
                <w:szCs w:val="21"/>
                <w:highlight w:val="none"/>
              </w:rPr>
              <w:t>3</w:t>
            </w:r>
          </w:p>
        </w:tc>
        <w:tc>
          <w:tcPr>
            <w:tcW w:w="524" w:type="dxa"/>
            <w:vAlign w:val="center"/>
          </w:tcPr>
          <w:p>
            <w:pPr>
              <w:tabs>
                <w:tab w:val="left" w:pos="244"/>
              </w:tabs>
              <w:spacing w:line="276" w:lineRule="auto"/>
              <w:jc w:val="center"/>
              <w:rPr>
                <w:rFonts w:ascii="宋体" w:hAnsi="宋体"/>
                <w:b/>
                <w:bCs/>
                <w:color w:val="auto"/>
                <w:szCs w:val="21"/>
                <w:highlight w:val="none"/>
              </w:rPr>
            </w:pPr>
            <w:r>
              <w:rPr>
                <w:rFonts w:hint="eastAsia" w:ascii="宋体" w:hAnsi="宋体"/>
                <w:b/>
                <w:bCs/>
                <w:color w:val="auto"/>
                <w:szCs w:val="21"/>
                <w:highlight w:val="none"/>
              </w:rPr>
              <w:t>4</w:t>
            </w:r>
          </w:p>
        </w:tc>
        <w:tc>
          <w:tcPr>
            <w:tcW w:w="524" w:type="dxa"/>
            <w:vAlign w:val="center"/>
          </w:tcPr>
          <w:p>
            <w:pPr>
              <w:tabs>
                <w:tab w:val="left" w:pos="244"/>
              </w:tabs>
              <w:spacing w:line="276" w:lineRule="auto"/>
              <w:jc w:val="center"/>
              <w:rPr>
                <w:rFonts w:ascii="宋体" w:hAnsi="宋体"/>
                <w:b/>
                <w:bCs/>
                <w:color w:val="auto"/>
                <w:szCs w:val="21"/>
                <w:highlight w:val="none"/>
              </w:rPr>
            </w:pPr>
            <w:r>
              <w:rPr>
                <w:rFonts w:hint="eastAsia" w:ascii="宋体" w:hAnsi="宋体"/>
                <w:b/>
                <w:bCs/>
                <w:color w:val="auto"/>
                <w:szCs w:val="21"/>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665"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1</w:t>
            </w:r>
          </w:p>
        </w:tc>
        <w:tc>
          <w:tcPr>
            <w:tcW w:w="1567" w:type="dxa"/>
            <w:vAlign w:val="center"/>
          </w:tcPr>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企业资质</w:t>
            </w:r>
          </w:p>
        </w:tc>
        <w:tc>
          <w:tcPr>
            <w:tcW w:w="3263" w:type="dxa"/>
            <w:vAlign w:val="center"/>
          </w:tcPr>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具有城市及道路照明工程专业承包资质三级，得1分，城市及道路照明工程专业承包资质二级，得3分，具有城市及道路照明工程专业承包资质一级，得5分</w:t>
            </w:r>
            <w:r>
              <w:rPr>
                <w:rFonts w:hint="eastAsia" w:asciiTheme="minorEastAsia" w:hAnsiTheme="minorEastAsia" w:eastAsiaTheme="minorEastAsia" w:cstheme="minorEastAsia"/>
                <w:color w:val="auto"/>
                <w:kern w:val="0"/>
                <w:sz w:val="21"/>
                <w:szCs w:val="21"/>
                <w:lang w:eastAsia="zh-CN"/>
              </w:rPr>
              <w:t>。</w:t>
            </w:r>
          </w:p>
        </w:tc>
        <w:tc>
          <w:tcPr>
            <w:tcW w:w="709"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5</w:t>
            </w:r>
          </w:p>
        </w:tc>
        <w:tc>
          <w:tcPr>
            <w:tcW w:w="33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2</w:t>
            </w:r>
          </w:p>
        </w:tc>
        <w:tc>
          <w:tcPr>
            <w:tcW w:w="1567" w:type="dxa"/>
            <w:vAlign w:val="center"/>
          </w:tcPr>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企业业绩</w:t>
            </w:r>
          </w:p>
        </w:tc>
        <w:tc>
          <w:tcPr>
            <w:tcW w:w="3263" w:type="dxa"/>
            <w:vAlign w:val="center"/>
          </w:tcPr>
          <w:p>
            <w:pPr>
              <w:adjustRightInd w:val="0"/>
              <w:snapToGrid w:val="0"/>
              <w:jc w:val="left"/>
              <w:rPr>
                <w:rFonts w:hint="eastAsia" w:asciiTheme="minorEastAsia" w:hAnsiTheme="minorEastAsia" w:eastAsiaTheme="minorEastAsia" w:cstheme="minorEastAsia"/>
                <w:color w:val="auto"/>
                <w:kern w:val="0"/>
                <w:sz w:val="21"/>
                <w:szCs w:val="21"/>
                <w:lang w:eastAsia="zh-CN"/>
              </w:rPr>
            </w:pPr>
            <w:r>
              <w:rPr>
                <w:rFonts w:hint="eastAsia" w:asciiTheme="minorEastAsia" w:hAnsiTheme="minorEastAsia" w:eastAsiaTheme="minorEastAsia" w:cstheme="minorEastAsia"/>
                <w:color w:val="auto"/>
                <w:kern w:val="0"/>
                <w:sz w:val="21"/>
                <w:szCs w:val="21"/>
              </w:rPr>
              <w:t>参选人提供近三年（</w:t>
            </w:r>
            <w:r>
              <w:rPr>
                <w:rFonts w:hint="eastAsia" w:asciiTheme="minorEastAsia" w:hAnsiTheme="minorEastAsia" w:eastAsiaTheme="minorEastAsia" w:cstheme="minorEastAsia"/>
                <w:color w:val="auto"/>
                <w:kern w:val="0"/>
                <w:sz w:val="21"/>
                <w:szCs w:val="21"/>
                <w:lang w:val="en-US" w:eastAsia="zh-CN"/>
              </w:rPr>
              <w:t>自2019年10月1日至今，</w:t>
            </w:r>
            <w:r>
              <w:rPr>
                <w:rFonts w:hint="eastAsia" w:asciiTheme="minorEastAsia" w:hAnsiTheme="minorEastAsia" w:eastAsiaTheme="minorEastAsia" w:cstheme="minorEastAsia"/>
                <w:color w:val="auto"/>
                <w:kern w:val="0"/>
                <w:sz w:val="21"/>
                <w:szCs w:val="21"/>
              </w:rPr>
              <w:t>以合同签订时间为准）泛光照明工程业绩，合同金额200万以上，每个得5分，合同金额200万以下，每个得2分， 合计不超过10分。</w:t>
            </w:r>
          </w:p>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备注：业绩证明材料须提供合同关键页复印件。</w:t>
            </w:r>
          </w:p>
        </w:tc>
        <w:tc>
          <w:tcPr>
            <w:tcW w:w="709"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10</w:t>
            </w:r>
          </w:p>
        </w:tc>
        <w:tc>
          <w:tcPr>
            <w:tcW w:w="33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3</w:t>
            </w:r>
          </w:p>
        </w:tc>
        <w:tc>
          <w:tcPr>
            <w:tcW w:w="1567" w:type="dxa"/>
            <w:vAlign w:val="center"/>
          </w:tcPr>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项目负责人基本情况</w:t>
            </w:r>
          </w:p>
        </w:tc>
        <w:tc>
          <w:tcPr>
            <w:tcW w:w="3263" w:type="dxa"/>
            <w:vAlign w:val="center"/>
          </w:tcPr>
          <w:p>
            <w:pPr>
              <w:adjustRightInd w:val="0"/>
              <w:snapToGri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rPr>
              <w:t>项目负责人具有中级职称或二级建造师（机电工程类），得2分，具有高级职称或一级建造师资格证书，得4分；</w:t>
            </w:r>
          </w:p>
          <w:p>
            <w:pPr>
              <w:adjustRightInd w:val="0"/>
              <w:snapToGri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lang w:val="en-US" w:eastAsia="zh-CN"/>
              </w:rPr>
              <w:t>2.</w:t>
            </w:r>
            <w:r>
              <w:rPr>
                <w:rFonts w:hint="eastAsia" w:asciiTheme="minorEastAsia" w:hAnsiTheme="minorEastAsia" w:eastAsiaTheme="minorEastAsia" w:cstheme="minorEastAsia"/>
                <w:color w:val="auto"/>
                <w:kern w:val="0"/>
                <w:sz w:val="21"/>
                <w:szCs w:val="21"/>
              </w:rPr>
              <w:t>提供近三年（</w:t>
            </w:r>
            <w:r>
              <w:rPr>
                <w:rFonts w:hint="eastAsia" w:asciiTheme="minorEastAsia" w:hAnsiTheme="minorEastAsia" w:eastAsiaTheme="minorEastAsia" w:cstheme="minorEastAsia"/>
                <w:color w:val="auto"/>
                <w:kern w:val="0"/>
                <w:sz w:val="21"/>
                <w:szCs w:val="21"/>
                <w:lang w:val="en-US" w:eastAsia="zh-CN"/>
              </w:rPr>
              <w:t>自2019年10月1日至今，</w:t>
            </w:r>
            <w:r>
              <w:rPr>
                <w:rFonts w:hint="eastAsia" w:asciiTheme="minorEastAsia" w:hAnsiTheme="minorEastAsia" w:eastAsiaTheme="minorEastAsia" w:cstheme="minorEastAsia"/>
                <w:color w:val="auto"/>
                <w:kern w:val="0"/>
                <w:sz w:val="21"/>
                <w:szCs w:val="21"/>
              </w:rPr>
              <w:t>以合同签订时间为准）泛光照明工程业绩</w:t>
            </w:r>
            <w:r>
              <w:rPr>
                <w:rFonts w:hint="eastAsia" w:asciiTheme="minorEastAsia" w:hAnsiTheme="minorEastAsia" w:eastAsiaTheme="minorEastAsia" w:cstheme="minorEastAsia"/>
                <w:color w:val="auto"/>
                <w:kern w:val="0"/>
                <w:sz w:val="21"/>
                <w:szCs w:val="21"/>
                <w:lang w:val="en-US" w:eastAsia="zh-CN"/>
              </w:rPr>
              <w:t>(</w:t>
            </w:r>
            <w:r>
              <w:rPr>
                <w:rFonts w:hint="eastAsia" w:asciiTheme="minorEastAsia" w:hAnsiTheme="minorEastAsia" w:eastAsiaTheme="minorEastAsia" w:cstheme="minorEastAsia"/>
                <w:color w:val="auto"/>
                <w:kern w:val="0"/>
                <w:sz w:val="21"/>
                <w:szCs w:val="21"/>
              </w:rPr>
              <w:t>合同金额</w:t>
            </w:r>
            <w:r>
              <w:rPr>
                <w:rFonts w:hint="eastAsia" w:asciiTheme="minorEastAsia" w:hAnsiTheme="minorEastAsia" w:eastAsiaTheme="minorEastAsia" w:cstheme="minorEastAsia"/>
                <w:color w:val="auto"/>
                <w:kern w:val="0"/>
                <w:sz w:val="21"/>
                <w:szCs w:val="21"/>
                <w:lang w:val="en-US" w:eastAsia="zh-CN"/>
              </w:rPr>
              <w:t>1</w:t>
            </w:r>
            <w:r>
              <w:rPr>
                <w:rFonts w:hint="eastAsia" w:asciiTheme="minorEastAsia" w:hAnsiTheme="minorEastAsia" w:eastAsiaTheme="minorEastAsia" w:cstheme="minorEastAsia"/>
                <w:color w:val="auto"/>
                <w:kern w:val="0"/>
                <w:sz w:val="21"/>
                <w:szCs w:val="21"/>
              </w:rPr>
              <w:t>00万以上）</w:t>
            </w:r>
            <w:r>
              <w:rPr>
                <w:rFonts w:hint="eastAsia" w:asciiTheme="minorEastAsia" w:hAnsiTheme="minorEastAsia" w:eastAsiaTheme="minorEastAsia" w:cstheme="minorEastAsia"/>
                <w:color w:val="auto"/>
                <w:kern w:val="0"/>
                <w:sz w:val="21"/>
                <w:szCs w:val="21"/>
                <w:lang w:val="en-US" w:eastAsia="zh-CN"/>
              </w:rPr>
              <w:t>,</w:t>
            </w:r>
            <w:r>
              <w:rPr>
                <w:rFonts w:hint="eastAsia" w:asciiTheme="minorEastAsia" w:hAnsiTheme="minorEastAsia" w:eastAsiaTheme="minorEastAsia" w:cstheme="minorEastAsia"/>
                <w:color w:val="auto"/>
                <w:kern w:val="0"/>
                <w:sz w:val="21"/>
                <w:szCs w:val="21"/>
              </w:rPr>
              <w:t>每个3分，</w:t>
            </w:r>
            <w:r>
              <w:rPr>
                <w:rFonts w:hint="eastAsia" w:asciiTheme="minorEastAsia" w:hAnsiTheme="minorEastAsia" w:eastAsiaTheme="minorEastAsia" w:cstheme="minorEastAsia"/>
                <w:color w:val="auto"/>
                <w:kern w:val="0"/>
                <w:sz w:val="21"/>
                <w:szCs w:val="21"/>
                <w:lang w:val="en-US" w:eastAsia="zh-CN"/>
              </w:rPr>
              <w:t>最高</w:t>
            </w:r>
            <w:r>
              <w:rPr>
                <w:rFonts w:hint="eastAsia" w:asciiTheme="minorEastAsia" w:hAnsiTheme="minorEastAsia" w:eastAsiaTheme="minorEastAsia" w:cstheme="minorEastAsia"/>
                <w:color w:val="auto"/>
                <w:kern w:val="0"/>
                <w:sz w:val="21"/>
                <w:szCs w:val="21"/>
              </w:rPr>
              <w:t>6分。</w:t>
            </w:r>
          </w:p>
          <w:p>
            <w:pPr>
              <w:adjustRightInd w:val="0"/>
              <w:snapToGrid w:val="0"/>
              <w:jc w:val="left"/>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rPr>
              <w:t>备注</w:t>
            </w:r>
            <w:r>
              <w:rPr>
                <w:rFonts w:hint="eastAsia" w:asciiTheme="minorEastAsia" w:hAnsiTheme="minorEastAsia" w:eastAsiaTheme="minorEastAsia" w:cstheme="minorEastAsia"/>
                <w:color w:val="auto"/>
                <w:kern w:val="0"/>
                <w:sz w:val="21"/>
                <w:szCs w:val="21"/>
                <w:lang w:val="en-US" w:eastAsia="zh-CN"/>
              </w:rPr>
              <w:t>：（1）提供职称证书复印件或建造师执业证书复印件；</w:t>
            </w:r>
          </w:p>
          <w:p>
            <w:pPr>
              <w:adjustRightInd w:val="0"/>
              <w:snapToGrid w:val="0"/>
              <w:jc w:val="left"/>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（2）业绩证明材料须提供合同关键页复印件;</w:t>
            </w:r>
          </w:p>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lang w:val="en-US" w:eastAsia="zh-CN"/>
              </w:rPr>
              <w:t>（3）提供近6个月（自2022年4月1日至今）社保证明资料。</w:t>
            </w:r>
          </w:p>
        </w:tc>
        <w:tc>
          <w:tcPr>
            <w:tcW w:w="709"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10</w:t>
            </w:r>
          </w:p>
        </w:tc>
        <w:tc>
          <w:tcPr>
            <w:tcW w:w="33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5"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4</w:t>
            </w:r>
          </w:p>
        </w:tc>
        <w:tc>
          <w:tcPr>
            <w:tcW w:w="1567" w:type="dxa"/>
            <w:vAlign w:val="center"/>
          </w:tcPr>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lang w:val="en-US" w:eastAsia="zh-CN"/>
              </w:rPr>
              <w:t>施工方案</w:t>
            </w:r>
          </w:p>
        </w:tc>
        <w:tc>
          <w:tcPr>
            <w:tcW w:w="3263" w:type="dxa"/>
            <w:vAlign w:val="center"/>
          </w:tcPr>
          <w:p>
            <w:pPr>
              <w:adjustRightInd w:val="0"/>
              <w:snapToGri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lang w:val="en-US" w:eastAsia="zh-CN"/>
              </w:rPr>
              <w:t>根据现场及图纸情况编制施工方案</w:t>
            </w:r>
            <w:r>
              <w:rPr>
                <w:rFonts w:hint="eastAsia" w:asciiTheme="minorEastAsia" w:hAnsiTheme="minorEastAsia" w:eastAsiaTheme="minorEastAsia" w:cstheme="minorEastAsia"/>
                <w:color w:val="auto"/>
                <w:kern w:val="0"/>
                <w:sz w:val="21"/>
                <w:szCs w:val="21"/>
              </w:rPr>
              <w:t>（含安装方案、安全措施、工期排布、与总包、幕墙等单位的界面协调</w:t>
            </w:r>
            <w:r>
              <w:rPr>
                <w:rFonts w:hint="eastAsia" w:asciiTheme="minorEastAsia" w:hAnsiTheme="minorEastAsia" w:eastAsiaTheme="minorEastAsia" w:cstheme="minorEastAsia"/>
                <w:color w:val="auto"/>
                <w:kern w:val="0"/>
                <w:sz w:val="21"/>
                <w:szCs w:val="21"/>
                <w:lang w:eastAsia="zh-CN"/>
              </w:rPr>
              <w:t>、</w:t>
            </w:r>
            <w:r>
              <w:rPr>
                <w:rFonts w:hint="eastAsia" w:asciiTheme="minorEastAsia" w:hAnsiTheme="minorEastAsia" w:eastAsiaTheme="minorEastAsia" w:cstheme="minorEastAsia"/>
                <w:color w:val="auto"/>
                <w:kern w:val="0"/>
                <w:sz w:val="21"/>
                <w:szCs w:val="21"/>
                <w:lang w:val="en-US" w:eastAsia="zh-CN"/>
              </w:rPr>
              <w:t>图纸深化</w:t>
            </w:r>
            <w:r>
              <w:rPr>
                <w:rFonts w:hint="eastAsia" w:asciiTheme="minorEastAsia" w:hAnsiTheme="minorEastAsia" w:eastAsiaTheme="minorEastAsia" w:cstheme="minorEastAsia"/>
                <w:color w:val="auto"/>
                <w:kern w:val="0"/>
                <w:sz w:val="21"/>
                <w:szCs w:val="21"/>
              </w:rPr>
              <w:t>等内容）</w:t>
            </w:r>
          </w:p>
          <w:p>
            <w:pPr>
              <w:adjustRightInd w:val="0"/>
              <w:snapToGri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方案合理、针对性强、专业性高17-25分；</w:t>
            </w:r>
          </w:p>
          <w:p>
            <w:pPr>
              <w:adjustRightInd w:val="0"/>
              <w:snapToGrid w:val="0"/>
              <w:jc w:val="left"/>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方案一般8-16；</w:t>
            </w:r>
          </w:p>
          <w:p>
            <w:pPr>
              <w:adjustRightInd w:val="0"/>
              <w:snapToGrid w:val="0"/>
              <w:jc w:val="left"/>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rPr>
              <w:t>方案差或无方案0-7分</w:t>
            </w:r>
            <w:r>
              <w:rPr>
                <w:rFonts w:hint="eastAsia" w:asciiTheme="minorEastAsia" w:hAnsiTheme="minorEastAsia" w:eastAsiaTheme="minorEastAsia" w:cstheme="minorEastAsia"/>
                <w:color w:val="auto"/>
                <w:kern w:val="0"/>
                <w:sz w:val="21"/>
                <w:szCs w:val="21"/>
                <w:lang w:eastAsia="zh-CN"/>
              </w:rPr>
              <w:t>。</w:t>
            </w:r>
          </w:p>
        </w:tc>
        <w:tc>
          <w:tcPr>
            <w:tcW w:w="709" w:type="dxa"/>
            <w:vAlign w:val="center"/>
          </w:tcPr>
          <w:p>
            <w:pPr>
              <w:adjustRightInd w:val="0"/>
              <w:snapToGrid w:val="0"/>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25</w:t>
            </w:r>
          </w:p>
        </w:tc>
        <w:tc>
          <w:tcPr>
            <w:tcW w:w="33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65" w:type="dxa"/>
            <w:vAlign w:val="center"/>
          </w:tcPr>
          <w:p>
            <w:pPr>
              <w:spacing w:line="276" w:lineRule="auto"/>
              <w:jc w:val="center"/>
              <w:rPr>
                <w:rFonts w:hint="eastAsia" w:asciiTheme="minorEastAsia" w:hAnsiTheme="minorEastAsia" w:eastAsiaTheme="minorEastAsia" w:cstheme="minorEastAsia"/>
                <w:b/>
                <w:bCs/>
                <w:color w:val="auto"/>
                <w:sz w:val="21"/>
                <w:szCs w:val="21"/>
                <w:highlight w:val="none"/>
              </w:rPr>
            </w:pPr>
          </w:p>
        </w:tc>
        <w:tc>
          <w:tcPr>
            <w:tcW w:w="1567" w:type="dxa"/>
            <w:vAlign w:val="center"/>
          </w:tcPr>
          <w:p>
            <w:pPr>
              <w:spacing w:line="276" w:lineRule="auto"/>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总 得 分</w:t>
            </w:r>
          </w:p>
        </w:tc>
        <w:tc>
          <w:tcPr>
            <w:tcW w:w="3263" w:type="dxa"/>
            <w:vAlign w:val="center"/>
          </w:tcPr>
          <w:p>
            <w:pPr>
              <w:tabs>
                <w:tab w:val="left" w:pos="244"/>
              </w:tabs>
              <w:spacing w:line="276" w:lineRule="auto"/>
              <w:rPr>
                <w:rFonts w:hint="eastAsia" w:asciiTheme="minorEastAsia" w:hAnsiTheme="minorEastAsia" w:eastAsiaTheme="minorEastAsia" w:cstheme="minorEastAsia"/>
                <w:bCs/>
                <w:color w:val="auto"/>
                <w:sz w:val="21"/>
                <w:szCs w:val="21"/>
                <w:highlight w:val="none"/>
              </w:rPr>
            </w:pPr>
          </w:p>
        </w:tc>
        <w:tc>
          <w:tcPr>
            <w:tcW w:w="709" w:type="dxa"/>
          </w:tcPr>
          <w:p>
            <w:pPr>
              <w:tabs>
                <w:tab w:val="left" w:pos="244"/>
              </w:tabs>
              <w:spacing w:line="276" w:lineRule="auto"/>
              <w:jc w:val="center"/>
              <w:rPr>
                <w:rFonts w:hint="default"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50</w:t>
            </w:r>
          </w:p>
        </w:tc>
        <w:tc>
          <w:tcPr>
            <w:tcW w:w="33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c>
          <w:tcPr>
            <w:tcW w:w="524" w:type="dxa"/>
          </w:tcPr>
          <w:p>
            <w:pPr>
              <w:tabs>
                <w:tab w:val="left" w:pos="244"/>
              </w:tabs>
              <w:spacing w:line="276" w:lineRule="auto"/>
              <w:jc w:val="center"/>
              <w:rPr>
                <w:rFonts w:hint="eastAsia" w:asciiTheme="minorEastAsia" w:hAnsiTheme="minorEastAsia" w:eastAsiaTheme="minorEastAsia" w:cstheme="minorEastAsia"/>
                <w:bCs/>
                <w:color w:val="auto"/>
                <w:sz w:val="21"/>
                <w:szCs w:val="21"/>
                <w:highlight w:val="none"/>
              </w:rPr>
            </w:pPr>
          </w:p>
        </w:tc>
      </w:tr>
    </w:tbl>
    <w:p>
      <w:pPr>
        <w:rPr>
          <w:rFonts w:hint="eastAsia" w:asciiTheme="minorEastAsia" w:hAnsiTheme="minorEastAsia" w:eastAsiaTheme="minorEastAsia" w:cstheme="minorEastAsia"/>
          <w:color w:val="auto"/>
          <w:sz w:val="21"/>
          <w:szCs w:val="21"/>
          <w:highlight w:val="none"/>
        </w:rPr>
      </w:pPr>
    </w:p>
    <w:p>
      <w:pPr>
        <w:rPr>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ascii="宋体"/>
          <w:b/>
          <w:bCs/>
          <w:color w:val="auto"/>
          <w:sz w:val="32"/>
          <w:highlight w:val="none"/>
        </w:rPr>
      </w:pPr>
      <w:r>
        <w:rPr>
          <w:rFonts w:hint="eastAsia"/>
          <w:color w:val="auto"/>
          <w:highlight w:val="none"/>
        </w:rPr>
        <w:t>评委签名：</w:t>
      </w:r>
      <w:r>
        <w:rPr>
          <w:rFonts w:ascii="宋体"/>
          <w:b/>
          <w:bCs/>
          <w:color w:val="auto"/>
          <w:sz w:val="32"/>
          <w:highlight w:val="none"/>
        </w:rPr>
        <w:t xml:space="preserve"> </w:t>
      </w:r>
    </w:p>
    <w:p>
      <w:pPr>
        <w:rPr>
          <w:rFonts w:ascii="宋体"/>
          <w:b/>
          <w:bCs/>
          <w:color w:val="auto"/>
          <w:sz w:val="32"/>
          <w:highlight w:val="none"/>
        </w:rPr>
      </w:pPr>
    </w:p>
    <w:p>
      <w:pPr>
        <w:rPr>
          <w:rFonts w:hint="eastAsia"/>
          <w:color w:val="auto"/>
          <w:highlight w:val="none"/>
        </w:rPr>
      </w:pPr>
      <w:r>
        <w:rPr>
          <w:rFonts w:hint="eastAsia"/>
          <w:color w:val="auto"/>
          <w:highlight w:val="none"/>
        </w:rPr>
        <w:t>监督签名：                                        日期：        年    月    日</w:t>
      </w:r>
    </w:p>
    <w:p>
      <w:pPr>
        <w:pStyle w:val="2"/>
        <w:rPr>
          <w:color w:val="auto"/>
        </w:rPr>
      </w:pPr>
    </w:p>
    <w:p>
      <w:pPr>
        <w:pStyle w:val="2"/>
        <w:rPr>
          <w:color w:val="auto"/>
        </w:rPr>
      </w:pPr>
    </w:p>
    <w:p>
      <w:pPr>
        <w:widowControl/>
        <w:spacing w:line="360" w:lineRule="auto"/>
        <w:rPr>
          <w:rFonts w:ascii="宋体" w:hAnsi="宋体"/>
          <w:b/>
          <w:color w:val="auto"/>
          <w:szCs w:val="21"/>
          <w:highlight w:val="none"/>
        </w:rPr>
      </w:pPr>
      <w:r>
        <w:rPr>
          <w:rFonts w:hint="eastAsia" w:ascii="宋体" w:hAnsi="宋体"/>
          <w:b/>
          <w:color w:val="auto"/>
          <w:szCs w:val="21"/>
          <w:highlight w:val="none"/>
        </w:rPr>
        <w:t>表</w:t>
      </w:r>
      <w:r>
        <w:rPr>
          <w:rFonts w:hint="eastAsia" w:ascii="宋体" w:hAnsi="宋体"/>
          <w:b/>
          <w:color w:val="auto"/>
          <w:szCs w:val="21"/>
          <w:highlight w:val="none"/>
          <w:lang w:val="en-US" w:eastAsia="zh-CN"/>
        </w:rPr>
        <w:t>4</w:t>
      </w:r>
      <w:r>
        <w:rPr>
          <w:rFonts w:hint="eastAsia" w:ascii="宋体" w:hAnsi="宋体"/>
          <w:b/>
          <w:color w:val="auto"/>
          <w:szCs w:val="21"/>
          <w:highlight w:val="none"/>
        </w:rPr>
        <w:t>.</w:t>
      </w:r>
      <w:r>
        <w:rPr>
          <w:rFonts w:hint="eastAsia" w:ascii="宋体" w:hAnsi="宋体"/>
          <w:b/>
          <w:color w:val="auto"/>
          <w:sz w:val="28"/>
          <w:szCs w:val="28"/>
          <w:highlight w:val="none"/>
        </w:rPr>
        <w:t xml:space="preserve"> </w:t>
      </w:r>
      <w:r>
        <w:rPr>
          <w:rFonts w:hint="eastAsia" w:ascii="宋体" w:hAnsi="宋体"/>
          <w:b/>
          <w:color w:val="auto"/>
          <w:szCs w:val="21"/>
          <w:highlight w:val="none"/>
          <w:lang w:val="en-US" w:eastAsia="zh-CN"/>
        </w:rPr>
        <w:t>商务</w:t>
      </w:r>
      <w:r>
        <w:rPr>
          <w:rFonts w:hint="eastAsia" w:ascii="宋体" w:hAnsi="宋体"/>
          <w:b/>
          <w:color w:val="auto"/>
          <w:szCs w:val="21"/>
          <w:highlight w:val="none"/>
        </w:rPr>
        <w:t>标评分表</w:t>
      </w:r>
    </w:p>
    <w:p>
      <w:pPr>
        <w:widowControl/>
        <w:spacing w:line="360" w:lineRule="auto"/>
        <w:jc w:val="center"/>
        <w:rPr>
          <w:rFonts w:hint="eastAsia" w:ascii="宋体" w:hAnsi="宋体" w:cs="Times New Roman"/>
          <w:b/>
          <w:color w:val="auto"/>
          <w:sz w:val="28"/>
          <w:szCs w:val="28"/>
          <w:highlight w:val="none"/>
        </w:rPr>
      </w:pPr>
    </w:p>
    <w:p>
      <w:pPr>
        <w:widowControl/>
        <w:spacing w:line="360" w:lineRule="auto"/>
        <w:jc w:val="center"/>
        <w:rPr>
          <w:rFonts w:hint="eastAsia" w:ascii="宋体" w:hAnsi="宋体" w:cs="Times New Roman"/>
          <w:b/>
          <w:color w:val="auto"/>
          <w:sz w:val="28"/>
          <w:szCs w:val="28"/>
          <w:highlight w:val="none"/>
        </w:rPr>
      </w:pPr>
      <w:r>
        <w:rPr>
          <w:rFonts w:hint="eastAsia" w:ascii="宋体" w:hAnsi="宋体" w:cs="Times New Roman"/>
          <w:b/>
          <w:color w:val="auto"/>
          <w:sz w:val="28"/>
          <w:szCs w:val="28"/>
          <w:highlight w:val="none"/>
        </w:rPr>
        <w:t>商务标详细评审表</w:t>
      </w:r>
    </w:p>
    <w:tbl>
      <w:tblPr>
        <w:tblStyle w:val="47"/>
        <w:tblpPr w:leftFromText="180" w:rightFromText="180" w:vertAnchor="text" w:horzAnchor="page" w:tblpX="1329" w:tblpY="258"/>
        <w:tblOverlap w:val="never"/>
        <w:tblW w:w="9043" w:type="dxa"/>
        <w:tblInd w:w="0" w:type="dxa"/>
        <w:tblLayout w:type="fixed"/>
        <w:tblCellMar>
          <w:top w:w="0" w:type="dxa"/>
          <w:left w:w="0" w:type="dxa"/>
          <w:bottom w:w="0" w:type="dxa"/>
          <w:right w:w="0" w:type="dxa"/>
        </w:tblCellMar>
      </w:tblPr>
      <w:tblGrid>
        <w:gridCol w:w="633"/>
        <w:gridCol w:w="746"/>
        <w:gridCol w:w="3914"/>
        <w:gridCol w:w="690"/>
        <w:gridCol w:w="675"/>
        <w:gridCol w:w="735"/>
        <w:gridCol w:w="765"/>
        <w:gridCol w:w="885"/>
      </w:tblGrid>
      <w:tr>
        <w:tblPrEx>
          <w:tblCellMar>
            <w:top w:w="0" w:type="dxa"/>
            <w:left w:w="0" w:type="dxa"/>
            <w:bottom w:w="0" w:type="dxa"/>
            <w:right w:w="0" w:type="dxa"/>
          </w:tblCellMar>
        </w:tblPrEx>
        <w:trPr>
          <w:trHeight w:val="910" w:hRule="atLeast"/>
        </w:trPr>
        <w:tc>
          <w:tcPr>
            <w:tcW w:w="633" w:type="dxa"/>
            <w:vMerge w:val="restart"/>
            <w:tcBorders>
              <w:top w:val="single" w:color="auto" w:sz="4" w:space="0"/>
              <w:left w:val="single" w:color="auto" w:sz="8" w:space="0"/>
              <w:right w:val="single" w:color="auto" w:sz="4" w:space="0"/>
            </w:tcBorders>
            <w:vAlign w:val="center"/>
          </w:tcPr>
          <w:p>
            <w:pPr>
              <w:widowControl/>
              <w:spacing w:line="300" w:lineRule="exact"/>
              <w:jc w:val="center"/>
              <w:rPr>
                <w:rFonts w:ascii="宋体" w:hAnsi="宋体" w:cs="宋体"/>
                <w:b/>
                <w:bCs/>
                <w:color w:val="auto"/>
                <w:kern w:val="0"/>
                <w:szCs w:val="24"/>
              </w:rPr>
            </w:pPr>
            <w:r>
              <w:rPr>
                <w:rFonts w:hint="eastAsia" w:ascii="宋体" w:hAnsi="宋体" w:cs="宋体"/>
                <w:b/>
                <w:bCs/>
                <w:color w:val="auto"/>
                <w:kern w:val="0"/>
                <w:szCs w:val="24"/>
              </w:rPr>
              <w:t>序号</w:t>
            </w:r>
          </w:p>
        </w:tc>
        <w:tc>
          <w:tcPr>
            <w:tcW w:w="746" w:type="dxa"/>
            <w:vMerge w:val="restart"/>
            <w:tcBorders>
              <w:top w:val="single" w:color="auto" w:sz="4" w:space="0"/>
              <w:left w:val="single" w:color="auto" w:sz="4" w:space="0"/>
              <w:right w:val="single" w:color="auto" w:sz="4" w:space="0"/>
            </w:tcBorders>
            <w:vAlign w:val="center"/>
          </w:tcPr>
          <w:p>
            <w:pPr>
              <w:widowControl/>
              <w:spacing w:line="300" w:lineRule="exact"/>
              <w:jc w:val="center"/>
              <w:rPr>
                <w:rFonts w:ascii="宋体" w:hAnsi="宋体" w:cs="宋体"/>
                <w:b/>
                <w:bCs/>
                <w:color w:val="auto"/>
                <w:kern w:val="0"/>
                <w:szCs w:val="24"/>
              </w:rPr>
            </w:pPr>
            <w:r>
              <w:rPr>
                <w:rFonts w:hint="eastAsia" w:ascii="宋体" w:hAnsi="宋体" w:cs="宋体"/>
                <w:b/>
                <w:bCs/>
                <w:color w:val="auto"/>
                <w:kern w:val="0"/>
                <w:szCs w:val="24"/>
              </w:rPr>
              <w:t>评审内容</w:t>
            </w:r>
          </w:p>
        </w:tc>
        <w:tc>
          <w:tcPr>
            <w:tcW w:w="3914" w:type="dxa"/>
            <w:vMerge w:val="restart"/>
            <w:tcBorders>
              <w:top w:val="single" w:color="auto" w:sz="4" w:space="0"/>
              <w:left w:val="nil"/>
              <w:right w:val="single" w:color="auto" w:sz="4" w:space="0"/>
            </w:tcBorders>
            <w:vAlign w:val="center"/>
          </w:tcPr>
          <w:p>
            <w:pPr>
              <w:widowControl/>
              <w:spacing w:line="300" w:lineRule="exact"/>
              <w:jc w:val="center"/>
              <w:rPr>
                <w:rFonts w:ascii="宋体" w:hAnsi="宋体" w:cs="宋体"/>
                <w:b/>
                <w:bCs/>
                <w:color w:val="auto"/>
                <w:kern w:val="0"/>
                <w:szCs w:val="24"/>
              </w:rPr>
            </w:pPr>
            <w:r>
              <w:rPr>
                <w:rFonts w:hint="eastAsia" w:ascii="宋体" w:hAnsi="宋体" w:cs="宋体"/>
                <w:b/>
                <w:bCs/>
                <w:color w:val="auto"/>
                <w:kern w:val="0"/>
                <w:szCs w:val="24"/>
              </w:rPr>
              <w:t>评审标准</w:t>
            </w:r>
          </w:p>
        </w:tc>
        <w:tc>
          <w:tcPr>
            <w:tcW w:w="690" w:type="dxa"/>
            <w:vMerge w:val="restart"/>
            <w:tcBorders>
              <w:top w:val="single" w:color="auto" w:sz="4" w:space="0"/>
              <w:left w:val="nil"/>
              <w:right w:val="single" w:color="auto" w:sz="4" w:space="0"/>
            </w:tcBorders>
            <w:vAlign w:val="center"/>
          </w:tcPr>
          <w:p>
            <w:pPr>
              <w:widowControl/>
              <w:spacing w:after="120" w:afterLines="50" w:line="520" w:lineRule="exact"/>
              <w:jc w:val="center"/>
              <w:rPr>
                <w:rFonts w:ascii="宋体" w:hAnsi="宋体" w:cs="宋体"/>
                <w:b/>
                <w:bCs/>
                <w:color w:val="auto"/>
                <w:kern w:val="0"/>
                <w:szCs w:val="24"/>
              </w:rPr>
            </w:pPr>
            <w:r>
              <w:rPr>
                <w:rFonts w:hint="eastAsia" w:ascii="宋体" w:hAnsi="宋体" w:cs="宋体"/>
                <w:b/>
                <w:bCs/>
                <w:color w:val="auto"/>
                <w:kern w:val="0"/>
                <w:szCs w:val="24"/>
              </w:rPr>
              <w:t>基准价</w:t>
            </w:r>
          </w:p>
        </w:tc>
        <w:tc>
          <w:tcPr>
            <w:tcW w:w="3060" w:type="dxa"/>
            <w:gridSpan w:val="4"/>
            <w:tcBorders>
              <w:top w:val="single" w:color="auto" w:sz="4" w:space="0"/>
              <w:left w:val="nil"/>
              <w:bottom w:val="single" w:color="auto" w:sz="4" w:space="0"/>
              <w:right w:val="single" w:color="auto" w:sz="4" w:space="0"/>
            </w:tcBorders>
            <w:vAlign w:val="center"/>
          </w:tcPr>
          <w:p>
            <w:pPr>
              <w:widowControl/>
              <w:spacing w:after="120" w:afterLines="50" w:line="520" w:lineRule="exact"/>
              <w:jc w:val="center"/>
              <w:rPr>
                <w:rFonts w:ascii="宋体" w:hAnsi="宋体" w:cs="宋体"/>
                <w:b/>
                <w:bCs/>
                <w:color w:val="auto"/>
                <w:kern w:val="0"/>
                <w:szCs w:val="24"/>
              </w:rPr>
            </w:pPr>
            <w:r>
              <w:rPr>
                <w:rFonts w:hint="eastAsia" w:ascii="宋体" w:hAnsi="宋体" w:cs="宋体"/>
                <w:b/>
                <w:bCs/>
                <w:color w:val="auto"/>
                <w:kern w:val="0"/>
                <w:szCs w:val="21"/>
              </w:rPr>
              <w:t>参选人名称</w:t>
            </w:r>
          </w:p>
        </w:tc>
      </w:tr>
      <w:tr>
        <w:tblPrEx>
          <w:tblCellMar>
            <w:top w:w="0" w:type="dxa"/>
            <w:left w:w="0" w:type="dxa"/>
            <w:bottom w:w="0" w:type="dxa"/>
            <w:right w:w="0" w:type="dxa"/>
          </w:tblCellMar>
        </w:tblPrEx>
        <w:trPr>
          <w:trHeight w:val="910" w:hRule="atLeast"/>
        </w:trPr>
        <w:tc>
          <w:tcPr>
            <w:tcW w:w="633" w:type="dxa"/>
            <w:vMerge w:val="continue"/>
            <w:tcBorders>
              <w:left w:val="single" w:color="auto" w:sz="8" w:space="0"/>
              <w:bottom w:val="single" w:color="auto" w:sz="4" w:space="0"/>
              <w:right w:val="single" w:color="auto" w:sz="4" w:space="0"/>
            </w:tcBorders>
            <w:vAlign w:val="center"/>
          </w:tcPr>
          <w:p>
            <w:pPr>
              <w:widowControl/>
              <w:spacing w:line="300" w:lineRule="exact"/>
              <w:jc w:val="center"/>
              <w:rPr>
                <w:rFonts w:eastAsia="黑体"/>
                <w:b/>
                <w:color w:val="auto"/>
              </w:rPr>
            </w:pPr>
          </w:p>
        </w:tc>
        <w:tc>
          <w:tcPr>
            <w:tcW w:w="746" w:type="dxa"/>
            <w:vMerge w:val="continue"/>
            <w:tcBorders>
              <w:left w:val="single" w:color="auto" w:sz="4" w:space="0"/>
              <w:bottom w:val="single" w:color="auto" w:sz="4" w:space="0"/>
              <w:right w:val="single" w:color="auto" w:sz="4" w:space="0"/>
            </w:tcBorders>
            <w:vAlign w:val="center"/>
          </w:tcPr>
          <w:p>
            <w:pPr>
              <w:widowControl/>
              <w:spacing w:line="300" w:lineRule="exact"/>
              <w:jc w:val="center"/>
              <w:rPr>
                <w:rFonts w:eastAsia="黑体"/>
                <w:b/>
                <w:color w:val="auto"/>
              </w:rPr>
            </w:pPr>
          </w:p>
        </w:tc>
        <w:tc>
          <w:tcPr>
            <w:tcW w:w="3914" w:type="dxa"/>
            <w:vMerge w:val="continue"/>
            <w:tcBorders>
              <w:left w:val="nil"/>
              <w:bottom w:val="single" w:color="auto" w:sz="4" w:space="0"/>
              <w:right w:val="single" w:color="auto" w:sz="4" w:space="0"/>
            </w:tcBorders>
            <w:vAlign w:val="center"/>
          </w:tcPr>
          <w:p>
            <w:pPr>
              <w:widowControl/>
              <w:spacing w:line="300" w:lineRule="exact"/>
              <w:jc w:val="center"/>
              <w:rPr>
                <w:rFonts w:eastAsia="黑体"/>
                <w:b/>
                <w:color w:val="auto"/>
              </w:rPr>
            </w:pPr>
          </w:p>
        </w:tc>
        <w:tc>
          <w:tcPr>
            <w:tcW w:w="690" w:type="dxa"/>
            <w:vMerge w:val="continue"/>
            <w:tcBorders>
              <w:left w:val="nil"/>
              <w:bottom w:val="single" w:color="auto" w:sz="4" w:space="0"/>
              <w:right w:val="single" w:color="auto" w:sz="4" w:space="0"/>
            </w:tcBorders>
            <w:vAlign w:val="center"/>
          </w:tcPr>
          <w:p>
            <w:pPr>
              <w:widowControl/>
              <w:spacing w:after="120" w:afterLines="50" w:line="520" w:lineRule="exact"/>
              <w:jc w:val="center"/>
              <w:rPr>
                <w:rFonts w:eastAsia="黑体"/>
                <w:b/>
                <w:color w:val="auto"/>
              </w:rPr>
            </w:pPr>
          </w:p>
        </w:tc>
        <w:tc>
          <w:tcPr>
            <w:tcW w:w="675" w:type="dxa"/>
            <w:tcBorders>
              <w:top w:val="single" w:color="auto" w:sz="4" w:space="0"/>
              <w:left w:val="nil"/>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bCs/>
                <w:color w:val="auto"/>
                <w:kern w:val="0"/>
                <w:szCs w:val="24"/>
              </w:rPr>
            </w:pPr>
          </w:p>
        </w:tc>
        <w:tc>
          <w:tcPr>
            <w:tcW w:w="735" w:type="dxa"/>
            <w:tcBorders>
              <w:top w:val="single" w:color="auto" w:sz="4" w:space="0"/>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bCs/>
                <w:color w:val="auto"/>
                <w:kern w:val="0"/>
                <w:szCs w:val="24"/>
              </w:rPr>
            </w:pPr>
          </w:p>
        </w:tc>
        <w:tc>
          <w:tcPr>
            <w:tcW w:w="765" w:type="dxa"/>
            <w:tcBorders>
              <w:top w:val="single" w:color="auto" w:sz="4" w:space="0"/>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bCs/>
                <w:color w:val="auto"/>
                <w:kern w:val="0"/>
                <w:szCs w:val="24"/>
              </w:rPr>
            </w:pPr>
          </w:p>
        </w:tc>
        <w:tc>
          <w:tcPr>
            <w:tcW w:w="885" w:type="dxa"/>
            <w:tcBorders>
              <w:top w:val="single" w:color="auto" w:sz="4" w:space="0"/>
              <w:left w:val="nil"/>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bCs/>
                <w:color w:val="auto"/>
                <w:kern w:val="0"/>
                <w:szCs w:val="24"/>
              </w:rPr>
            </w:pPr>
          </w:p>
        </w:tc>
      </w:tr>
      <w:tr>
        <w:tblPrEx>
          <w:tblCellMar>
            <w:top w:w="0" w:type="dxa"/>
            <w:left w:w="0" w:type="dxa"/>
            <w:bottom w:w="0" w:type="dxa"/>
            <w:right w:w="0" w:type="dxa"/>
          </w:tblCellMar>
        </w:tblPrEx>
        <w:trPr>
          <w:trHeight w:val="2928" w:hRule="atLeast"/>
        </w:trPr>
        <w:tc>
          <w:tcPr>
            <w:tcW w:w="633" w:type="dxa"/>
            <w:tcBorders>
              <w:top w:val="nil"/>
              <w:left w:val="single" w:color="auto" w:sz="8" w:space="0"/>
              <w:bottom w:val="single" w:color="auto" w:sz="4" w:space="0"/>
              <w:right w:val="single" w:color="auto" w:sz="4" w:space="0"/>
            </w:tcBorders>
            <w:vAlign w:val="center"/>
          </w:tcPr>
          <w:p>
            <w:pPr>
              <w:widowControl/>
              <w:spacing w:line="300" w:lineRule="exact"/>
              <w:jc w:val="center"/>
              <w:rPr>
                <w:rFonts w:ascii="宋体" w:hAnsi="宋体" w:cs="宋体"/>
                <w:color w:val="auto"/>
                <w:kern w:val="0"/>
                <w:szCs w:val="24"/>
              </w:rPr>
            </w:pPr>
            <w:r>
              <w:rPr>
                <w:rFonts w:hint="eastAsia" w:ascii="宋体" w:hAnsi="宋体" w:cs="宋体"/>
                <w:color w:val="auto"/>
                <w:kern w:val="0"/>
                <w:szCs w:val="24"/>
              </w:rPr>
              <w:t>1</w:t>
            </w:r>
          </w:p>
        </w:tc>
        <w:tc>
          <w:tcPr>
            <w:tcW w:w="746" w:type="dxa"/>
            <w:tcBorders>
              <w:top w:val="nil"/>
              <w:left w:val="single" w:color="auto" w:sz="4" w:space="0"/>
              <w:bottom w:val="single" w:color="auto" w:sz="4" w:space="0"/>
              <w:right w:val="single" w:color="000000" w:sz="4" w:space="0"/>
            </w:tcBorders>
            <w:vAlign w:val="center"/>
          </w:tcPr>
          <w:p>
            <w:pPr>
              <w:spacing w:line="300" w:lineRule="exact"/>
              <w:jc w:val="center"/>
              <w:rPr>
                <w:rFonts w:ascii="宋体" w:hAnsi="宋体" w:cs="宋体"/>
                <w:color w:val="auto"/>
                <w:kern w:val="0"/>
                <w:szCs w:val="24"/>
              </w:rPr>
            </w:pPr>
            <w:r>
              <w:rPr>
                <w:rFonts w:hint="eastAsia" w:ascii="宋体" w:hAnsi="宋体" w:cs="宋体"/>
                <w:color w:val="auto"/>
                <w:kern w:val="0"/>
                <w:szCs w:val="24"/>
              </w:rPr>
              <w:t>报 价</w:t>
            </w:r>
          </w:p>
          <w:p>
            <w:pPr>
              <w:spacing w:line="300" w:lineRule="exact"/>
              <w:jc w:val="center"/>
              <w:rPr>
                <w:rFonts w:ascii="宋体" w:hAnsi="宋体" w:cs="宋体"/>
                <w:color w:val="auto"/>
                <w:kern w:val="0"/>
                <w:szCs w:val="24"/>
              </w:rPr>
            </w:pPr>
            <w:r>
              <w:rPr>
                <w:rFonts w:hint="eastAsia" w:ascii="宋体" w:hAnsi="宋体" w:cs="宋体"/>
                <w:color w:val="auto"/>
                <w:kern w:val="0"/>
                <w:szCs w:val="24"/>
              </w:rPr>
              <w:t>（万元）</w:t>
            </w:r>
          </w:p>
        </w:tc>
        <w:tc>
          <w:tcPr>
            <w:tcW w:w="3914" w:type="dxa"/>
            <w:vMerge w:val="restart"/>
            <w:tcBorders>
              <w:top w:val="nil"/>
              <w:left w:val="single" w:color="auto" w:sz="4" w:space="0"/>
              <w:right w:val="single" w:color="auto" w:sz="4" w:space="0"/>
            </w:tcBorders>
            <w:vAlign w:val="center"/>
          </w:tcPr>
          <w:p>
            <w:pPr>
              <w:rPr>
                <w:color w:val="auto"/>
              </w:rPr>
            </w:pPr>
            <w:r>
              <w:rPr>
                <w:rFonts w:hint="eastAsia"/>
                <w:color w:val="auto"/>
              </w:rPr>
              <w:t>商务分的确定：以进入</w:t>
            </w:r>
            <w:r>
              <w:rPr>
                <w:color w:val="auto"/>
              </w:rPr>
              <w:t>商务标环节的</w:t>
            </w:r>
            <w:r>
              <w:rPr>
                <w:rFonts w:hint="eastAsia"/>
                <w:color w:val="auto"/>
              </w:rPr>
              <w:t>所有参选人所报的</w:t>
            </w:r>
            <w:r>
              <w:rPr>
                <w:color w:val="auto"/>
              </w:rPr>
              <w:t>服务费</w:t>
            </w:r>
            <w:r>
              <w:rPr>
                <w:rFonts w:hint="eastAsia"/>
                <w:color w:val="auto"/>
              </w:rPr>
              <w:t>次低价为基准价且为满分50分。若进入商务标环节的参选人仅3家，则以最低价为基准价且满分。若次低价同时为最高价或</w:t>
            </w:r>
            <w:r>
              <w:rPr>
                <w:color w:val="auto"/>
              </w:rPr>
              <w:t>次高价</w:t>
            </w:r>
            <w:r>
              <w:rPr>
                <w:rFonts w:hint="eastAsia"/>
                <w:color w:val="auto"/>
              </w:rPr>
              <w:t>，则以最低价为基准价且为满分。商务标得分按下列公式计算：</w:t>
            </w:r>
          </w:p>
          <w:p>
            <w:pPr>
              <w:rPr>
                <w:color w:val="auto"/>
              </w:rPr>
            </w:pPr>
            <w:r>
              <w:rPr>
                <w:rFonts w:hint="eastAsia"/>
                <w:color w:val="auto"/>
              </w:rPr>
              <w:t>F</w:t>
            </w:r>
            <w:r>
              <w:rPr>
                <w:color w:val="auto"/>
              </w:rPr>
              <w:t>n</w:t>
            </w:r>
            <w:r>
              <w:rPr>
                <w:rFonts w:hint="eastAsia"/>
                <w:color w:val="auto"/>
              </w:rPr>
              <w:t xml:space="preserve"> =5</w:t>
            </w:r>
            <w:r>
              <w:rPr>
                <w:color w:val="auto"/>
              </w:rPr>
              <w:t>0</w:t>
            </w:r>
            <w:r>
              <w:rPr>
                <w:rFonts w:hint="eastAsia"/>
                <w:color w:val="auto"/>
              </w:rPr>
              <w:t>-5</w:t>
            </w:r>
            <w:r>
              <w:rPr>
                <w:color w:val="auto"/>
              </w:rPr>
              <w:t>0</w:t>
            </w:r>
            <w:r>
              <w:rPr>
                <w:rFonts w:hint="eastAsia"/>
                <w:color w:val="auto"/>
              </w:rPr>
              <w:t>×│Sn- S</w:t>
            </w:r>
            <w:r>
              <w:rPr>
                <w:color w:val="auto"/>
              </w:rPr>
              <w:t>j</w:t>
            </w:r>
            <w:r>
              <w:rPr>
                <w:rFonts w:hint="eastAsia"/>
                <w:color w:val="auto"/>
              </w:rPr>
              <w:t>│/ S</w:t>
            </w:r>
            <w:r>
              <w:rPr>
                <w:color w:val="auto"/>
              </w:rPr>
              <w:t>j</w:t>
            </w:r>
          </w:p>
          <w:p>
            <w:pPr>
              <w:rPr>
                <w:color w:val="auto"/>
              </w:rPr>
            </w:pPr>
            <w:r>
              <w:rPr>
                <w:rFonts w:hint="eastAsia"/>
                <w:color w:val="auto"/>
              </w:rPr>
              <w:t>其中：F</w:t>
            </w:r>
            <w:r>
              <w:rPr>
                <w:color w:val="auto"/>
              </w:rPr>
              <w:t>n</w:t>
            </w:r>
            <w:r>
              <w:rPr>
                <w:rFonts w:hint="eastAsia"/>
                <w:color w:val="auto"/>
              </w:rPr>
              <w:t>— 第n参选人的商务得分。若计算所得Fn ≤0，则该参选人的商务得分定为0分。</w:t>
            </w:r>
          </w:p>
          <w:p>
            <w:pPr>
              <w:rPr>
                <w:color w:val="auto"/>
              </w:rPr>
            </w:pPr>
            <w:r>
              <w:rPr>
                <w:rFonts w:hint="eastAsia"/>
                <w:color w:val="auto"/>
              </w:rPr>
              <w:t>S</w:t>
            </w:r>
            <w:r>
              <w:rPr>
                <w:color w:val="auto"/>
              </w:rPr>
              <w:t>n</w:t>
            </w:r>
            <w:r>
              <w:rPr>
                <w:rFonts w:hint="eastAsia"/>
                <w:color w:val="auto"/>
              </w:rPr>
              <w:t>— 第n 参选人的服务费</w:t>
            </w:r>
          </w:p>
          <w:p>
            <w:pPr>
              <w:rPr>
                <w:color w:val="auto"/>
              </w:rPr>
            </w:pPr>
            <w:r>
              <w:rPr>
                <w:rFonts w:hint="eastAsia"/>
                <w:color w:val="auto"/>
              </w:rPr>
              <w:t>S</w:t>
            </w:r>
            <w:r>
              <w:rPr>
                <w:color w:val="auto"/>
              </w:rPr>
              <w:t>j</w:t>
            </w:r>
            <w:r>
              <w:rPr>
                <w:rFonts w:hint="eastAsia"/>
                <w:color w:val="auto"/>
              </w:rPr>
              <w:t>— 以进入商务标环节的所有参选人所报次低价为基准价</w:t>
            </w:r>
          </w:p>
          <w:p>
            <w:pPr>
              <w:spacing w:line="560" w:lineRule="exact"/>
              <w:ind w:left="163" w:right="132" w:rightChars="63" w:hanging="165" w:hangingChars="79"/>
              <w:jc w:val="left"/>
              <w:rPr>
                <w:rFonts w:hint="eastAsia" w:ascii="宋体" w:hAnsi="宋体" w:eastAsia="宋体"/>
                <w:color w:val="auto"/>
                <w:szCs w:val="24"/>
                <w:lang w:eastAsia="zh-CN"/>
              </w:rPr>
            </w:pPr>
            <w:r>
              <w:rPr>
                <w:rFonts w:hint="eastAsia" w:ascii="宋体" w:hAnsi="宋体"/>
                <w:color w:val="auto"/>
                <w:szCs w:val="24"/>
              </w:rPr>
              <w:t>备注：</w:t>
            </w:r>
          </w:p>
          <w:p>
            <w:pPr>
              <w:spacing w:line="300" w:lineRule="exact"/>
              <w:rPr>
                <w:b/>
                <w:color w:val="auto"/>
              </w:rPr>
            </w:pPr>
            <w:r>
              <w:rPr>
                <w:rFonts w:hint="eastAsia" w:ascii="宋体" w:hAnsi="宋体"/>
                <w:color w:val="auto"/>
                <w:szCs w:val="24"/>
              </w:rPr>
              <w:t>若各参选人的报价，如出现税率不一致的情况，则以不含税总价作为参选人的报价进行商务标分数计算；若税率一致，则以含税总价作为参选人的报价进行商务标分数计算。</w:t>
            </w:r>
          </w:p>
        </w:tc>
        <w:tc>
          <w:tcPr>
            <w:tcW w:w="690"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cs="宋体"/>
                <w:b/>
                <w:color w:val="auto"/>
                <w:kern w:val="0"/>
                <w:szCs w:val="24"/>
              </w:rPr>
            </w:pPr>
          </w:p>
        </w:tc>
        <w:tc>
          <w:tcPr>
            <w:tcW w:w="67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cs="宋体"/>
                <w:b/>
                <w:color w:val="auto"/>
                <w:kern w:val="0"/>
                <w:szCs w:val="24"/>
              </w:rPr>
            </w:pPr>
          </w:p>
        </w:tc>
        <w:tc>
          <w:tcPr>
            <w:tcW w:w="73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cs="宋体"/>
                <w:b/>
                <w:color w:val="auto"/>
                <w:kern w:val="0"/>
                <w:szCs w:val="24"/>
              </w:rPr>
            </w:pPr>
          </w:p>
        </w:tc>
        <w:tc>
          <w:tcPr>
            <w:tcW w:w="76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cs="宋体"/>
                <w:b/>
                <w:color w:val="auto"/>
                <w:kern w:val="0"/>
                <w:szCs w:val="24"/>
              </w:rPr>
            </w:pPr>
          </w:p>
        </w:tc>
        <w:tc>
          <w:tcPr>
            <w:tcW w:w="88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cs="宋体"/>
                <w:b/>
                <w:color w:val="auto"/>
                <w:kern w:val="0"/>
                <w:szCs w:val="24"/>
              </w:rPr>
            </w:pPr>
          </w:p>
        </w:tc>
      </w:tr>
      <w:tr>
        <w:tblPrEx>
          <w:tblCellMar>
            <w:top w:w="0" w:type="dxa"/>
            <w:left w:w="0" w:type="dxa"/>
            <w:bottom w:w="0" w:type="dxa"/>
            <w:right w:w="0" w:type="dxa"/>
          </w:tblCellMar>
        </w:tblPrEx>
        <w:trPr>
          <w:trHeight w:val="2181" w:hRule="atLeast"/>
        </w:trPr>
        <w:tc>
          <w:tcPr>
            <w:tcW w:w="633" w:type="dxa"/>
            <w:tcBorders>
              <w:top w:val="nil"/>
              <w:left w:val="single" w:color="auto" w:sz="8" w:space="0"/>
              <w:bottom w:val="single" w:color="auto" w:sz="4" w:space="0"/>
              <w:right w:val="single" w:color="auto" w:sz="4" w:space="0"/>
            </w:tcBorders>
            <w:vAlign w:val="center"/>
          </w:tcPr>
          <w:p>
            <w:pPr>
              <w:widowControl/>
              <w:spacing w:after="120" w:afterLines="50" w:line="520" w:lineRule="exact"/>
              <w:jc w:val="center"/>
              <w:rPr>
                <w:rFonts w:ascii="宋体" w:hAnsi="宋体" w:cs="宋体"/>
                <w:color w:val="auto"/>
                <w:kern w:val="0"/>
                <w:szCs w:val="24"/>
              </w:rPr>
            </w:pPr>
            <w:r>
              <w:rPr>
                <w:rFonts w:hint="eastAsia" w:ascii="宋体" w:hAnsi="宋体" w:cs="宋体"/>
                <w:color w:val="auto"/>
                <w:kern w:val="0"/>
                <w:szCs w:val="24"/>
              </w:rPr>
              <w:t>2</w:t>
            </w:r>
          </w:p>
        </w:tc>
        <w:tc>
          <w:tcPr>
            <w:tcW w:w="746" w:type="dxa"/>
            <w:tcBorders>
              <w:top w:val="nil"/>
              <w:left w:val="single" w:color="auto" w:sz="4" w:space="0"/>
              <w:bottom w:val="single" w:color="auto" w:sz="4" w:space="0"/>
              <w:right w:val="single" w:color="000000" w:sz="4" w:space="0"/>
            </w:tcBorders>
            <w:vAlign w:val="center"/>
          </w:tcPr>
          <w:p>
            <w:pPr>
              <w:spacing w:after="120" w:afterLines="50" w:line="520" w:lineRule="exact"/>
              <w:jc w:val="center"/>
              <w:rPr>
                <w:b/>
                <w:bCs/>
                <w:color w:val="auto"/>
              </w:rPr>
            </w:pPr>
            <w:r>
              <w:rPr>
                <w:rFonts w:hint="eastAsia" w:ascii="宋体" w:hAnsi="宋体" w:cs="宋体"/>
                <w:color w:val="auto"/>
                <w:kern w:val="0"/>
                <w:szCs w:val="24"/>
              </w:rPr>
              <w:t>得分</w:t>
            </w:r>
          </w:p>
          <w:p>
            <w:pPr>
              <w:spacing w:after="120" w:afterLines="50" w:line="520" w:lineRule="exact"/>
              <w:jc w:val="center"/>
              <w:rPr>
                <w:rFonts w:ascii="宋体" w:hAnsi="宋体" w:eastAsia="黑体" w:cs="宋体"/>
                <w:b/>
                <w:color w:val="auto"/>
                <w:kern w:val="0"/>
                <w:szCs w:val="24"/>
              </w:rPr>
            </w:pPr>
          </w:p>
        </w:tc>
        <w:tc>
          <w:tcPr>
            <w:tcW w:w="3914" w:type="dxa"/>
            <w:vMerge w:val="continue"/>
            <w:tcBorders>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color w:val="auto"/>
                <w:kern w:val="0"/>
                <w:szCs w:val="24"/>
              </w:rPr>
            </w:pPr>
          </w:p>
        </w:tc>
        <w:tc>
          <w:tcPr>
            <w:tcW w:w="690"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color w:val="auto"/>
                <w:kern w:val="0"/>
                <w:szCs w:val="24"/>
              </w:rPr>
            </w:pPr>
          </w:p>
        </w:tc>
        <w:tc>
          <w:tcPr>
            <w:tcW w:w="67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color w:val="auto"/>
                <w:kern w:val="0"/>
                <w:szCs w:val="24"/>
              </w:rPr>
            </w:pPr>
          </w:p>
        </w:tc>
        <w:tc>
          <w:tcPr>
            <w:tcW w:w="73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color w:val="auto"/>
                <w:kern w:val="0"/>
                <w:szCs w:val="24"/>
              </w:rPr>
            </w:pPr>
          </w:p>
        </w:tc>
        <w:tc>
          <w:tcPr>
            <w:tcW w:w="76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color w:val="auto"/>
                <w:kern w:val="0"/>
                <w:szCs w:val="24"/>
              </w:rPr>
            </w:pPr>
          </w:p>
        </w:tc>
        <w:tc>
          <w:tcPr>
            <w:tcW w:w="885" w:type="dxa"/>
            <w:tcBorders>
              <w:top w:val="nil"/>
              <w:left w:val="single" w:color="auto" w:sz="4" w:space="0"/>
              <w:bottom w:val="single" w:color="auto" w:sz="4" w:space="0"/>
              <w:right w:val="single" w:color="auto" w:sz="4" w:space="0"/>
            </w:tcBorders>
            <w:vAlign w:val="center"/>
          </w:tcPr>
          <w:p>
            <w:pPr>
              <w:widowControl/>
              <w:spacing w:after="120" w:afterLines="50" w:line="520" w:lineRule="exact"/>
              <w:jc w:val="center"/>
              <w:rPr>
                <w:rFonts w:ascii="宋体" w:hAnsi="宋体" w:eastAsia="黑体" w:cs="宋体"/>
                <w:b/>
                <w:color w:val="auto"/>
                <w:kern w:val="0"/>
                <w:szCs w:val="24"/>
              </w:rPr>
            </w:pPr>
          </w:p>
        </w:tc>
      </w:tr>
    </w:tbl>
    <w:p>
      <w:pPr>
        <w:widowControl/>
        <w:spacing w:after="120" w:afterLines="50" w:line="520" w:lineRule="exact"/>
        <w:jc w:val="left"/>
        <w:rPr>
          <w:rFonts w:ascii="楷体_GB2312" w:hAnsi="宋体" w:eastAsia="楷体_GB2312" w:cs="宋体"/>
          <w:b/>
          <w:bCs/>
          <w:color w:val="auto"/>
          <w:kern w:val="0"/>
          <w:sz w:val="32"/>
          <w:szCs w:val="32"/>
        </w:rPr>
      </w:pPr>
      <w:r>
        <w:rPr>
          <w:rFonts w:hint="eastAsia"/>
          <w:color w:val="auto"/>
        </w:rPr>
        <w:t>注：商务</w:t>
      </w:r>
      <w:r>
        <w:rPr>
          <w:color w:val="auto"/>
        </w:rPr>
        <w:t>标得分值</w:t>
      </w:r>
      <w:r>
        <w:rPr>
          <w:rFonts w:hint="eastAsia"/>
          <w:color w:val="auto"/>
        </w:rPr>
        <w:t>四舍五入</w:t>
      </w:r>
      <w:r>
        <w:rPr>
          <w:color w:val="auto"/>
        </w:rPr>
        <w:t>保留小数点后两位数字。</w:t>
      </w:r>
    </w:p>
    <w:p>
      <w:pPr>
        <w:widowControl/>
        <w:spacing w:after="120" w:afterLines="50" w:line="520" w:lineRule="exact"/>
        <w:rPr>
          <w:rFonts w:ascii="楷体_GB2312" w:hAnsi="宋体" w:eastAsia="楷体_GB2312" w:cs="宋体"/>
          <w:b/>
          <w:bCs/>
          <w:color w:val="auto"/>
          <w:kern w:val="0"/>
          <w:sz w:val="32"/>
          <w:szCs w:val="32"/>
        </w:rPr>
      </w:pPr>
      <w:r>
        <w:rPr>
          <w:rFonts w:hint="eastAsia" w:ascii="宋体" w:hAnsi="宋体"/>
          <w:b/>
          <w:color w:val="auto"/>
          <w:szCs w:val="24"/>
        </w:rPr>
        <w:t>评委（签名）：                                                                  日期：</w:t>
      </w:r>
      <w:r>
        <w:rPr>
          <w:rFonts w:hint="eastAsia" w:ascii="宋体" w:hAnsi="宋体"/>
          <w:color w:val="auto"/>
          <w:szCs w:val="24"/>
        </w:rPr>
        <w:t xml:space="preserve">     年    月    日</w:t>
      </w:r>
    </w:p>
    <w:p>
      <w:pPr>
        <w:widowControl/>
        <w:spacing w:after="120" w:afterLines="50" w:line="520" w:lineRule="exact"/>
        <w:jc w:val="left"/>
        <w:rPr>
          <w:rFonts w:ascii="宋体" w:hAnsi="宋体"/>
          <w:b/>
          <w:color w:val="auto"/>
        </w:rPr>
        <w:sectPr>
          <w:headerReference r:id="rId9" w:type="default"/>
          <w:pgSz w:w="11907" w:h="16840"/>
          <w:pgMar w:top="1440" w:right="1134" w:bottom="1440" w:left="1440" w:header="720" w:footer="890" w:gutter="0"/>
          <w:cols w:space="720" w:num="1"/>
          <w:docGrid w:linePitch="312" w:charSpace="0"/>
        </w:sectPr>
      </w:pPr>
      <w:r>
        <w:rPr>
          <w:rFonts w:hint="eastAsia" w:ascii="宋体" w:hAnsi="宋体"/>
          <w:b/>
          <w:color w:val="auto"/>
          <w:szCs w:val="24"/>
        </w:rPr>
        <w:t>监督（签名）：</w:t>
      </w:r>
    </w:p>
    <w:p>
      <w:pPr>
        <w:pStyle w:val="4"/>
        <w:spacing w:before="240" w:beforeLines="100" w:after="360" w:afterLines="150" w:line="480" w:lineRule="exact"/>
        <w:jc w:val="center"/>
        <w:rPr>
          <w:rFonts w:ascii="黑体" w:hAnsi="宋体"/>
          <w:color w:val="auto"/>
          <w:sz w:val="36"/>
          <w:szCs w:val="36"/>
          <w:highlight w:val="none"/>
        </w:rPr>
      </w:pPr>
      <w:bookmarkStart w:id="24" w:name="_Toc382294280"/>
      <w:bookmarkStart w:id="25" w:name="_Toc65054228"/>
      <w:bookmarkStart w:id="26" w:name="_Toc27468"/>
      <w:r>
        <w:rPr>
          <w:rFonts w:hint="eastAsia" w:ascii="黑体" w:hAnsi="宋体"/>
          <w:color w:val="auto"/>
          <w:sz w:val="36"/>
          <w:szCs w:val="36"/>
          <w:highlight w:val="none"/>
        </w:rPr>
        <w:t>第七节 参选文件格式</w:t>
      </w:r>
      <w:bookmarkEnd w:id="24"/>
      <w:bookmarkEnd w:id="25"/>
      <w:bookmarkEnd w:id="26"/>
    </w:p>
    <w:p>
      <w:pPr>
        <w:rPr>
          <w:rFonts w:ascii="Arial" w:hAnsi="Arial" w:cs="Arial"/>
          <w:b/>
          <w:color w:val="auto"/>
          <w:highlight w:val="none"/>
        </w:rPr>
      </w:pPr>
    </w:p>
    <w:p>
      <w:pPr>
        <w:rPr>
          <w:rFonts w:ascii="Arial" w:hAnsi="Arial" w:cs="Arial"/>
          <w:b/>
          <w:color w:val="auto"/>
          <w:highlight w:val="none"/>
        </w:rPr>
      </w:pPr>
    </w:p>
    <w:p>
      <w:pPr>
        <w:rPr>
          <w:rFonts w:ascii="Arial" w:hAnsi="Arial" w:cs="Arial"/>
          <w:b/>
          <w:color w:val="auto"/>
          <w:highlight w:val="none"/>
        </w:rPr>
      </w:pPr>
    </w:p>
    <w:p>
      <w:pPr>
        <w:rPr>
          <w:rFonts w:ascii="Arial" w:hAnsi="Arial" w:cs="Arial"/>
          <w:b/>
          <w:color w:val="auto"/>
          <w:highlight w:val="none"/>
        </w:rPr>
      </w:pPr>
    </w:p>
    <w:p>
      <w:pPr>
        <w:rPr>
          <w:rFonts w:ascii="Arial" w:hAnsi="Arial" w:cs="Arial"/>
          <w:b/>
          <w:color w:val="auto"/>
          <w:highlight w:val="none"/>
        </w:rPr>
      </w:pPr>
    </w:p>
    <w:p>
      <w:pPr>
        <w:rPr>
          <w:rFonts w:ascii="Arial" w:hAnsi="Arial" w:cs="Arial"/>
          <w:b/>
          <w:color w:val="auto"/>
          <w:highlight w:val="none"/>
        </w:rPr>
      </w:pPr>
    </w:p>
    <w:p>
      <w:pPr>
        <w:jc w:val="center"/>
        <w:rPr>
          <w:rFonts w:ascii="黑体" w:hAnsi="黑体" w:eastAsia="黑体"/>
          <w:b/>
          <w:color w:val="auto"/>
          <w:sz w:val="36"/>
          <w:szCs w:val="36"/>
          <w:highlight w:val="none"/>
        </w:rPr>
      </w:pPr>
    </w:p>
    <w:p>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深铁珑境（一期）泛光照明工程参选文件</w:t>
      </w: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参选人：(公章)</w:t>
      </w:r>
      <w:r>
        <w:rPr>
          <w:rFonts w:hint="eastAsia" w:ascii="宋体" w:hAnsi="宋体"/>
          <w:b/>
          <w:color w:val="auto"/>
          <w:sz w:val="28"/>
          <w:szCs w:val="28"/>
          <w:highlight w:val="none"/>
          <w:u w:val="single"/>
        </w:rPr>
        <w:t xml:space="preserve">                           </w:t>
      </w:r>
    </w:p>
    <w:p>
      <w:pPr>
        <w:rPr>
          <w:rFonts w:ascii="宋体" w:hAnsi="宋体"/>
          <w:b/>
          <w:color w:val="auto"/>
          <w:szCs w:val="21"/>
          <w:highlight w:val="none"/>
        </w:rPr>
      </w:pPr>
    </w:p>
    <w:p>
      <w:pPr>
        <w:rPr>
          <w:rFonts w:ascii="宋体" w:hAnsi="宋体"/>
          <w:b/>
          <w:color w:val="auto"/>
          <w:sz w:val="28"/>
          <w:szCs w:val="28"/>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法定代表人或其授权代表签字：</w:t>
      </w:r>
      <w:r>
        <w:rPr>
          <w:rFonts w:hint="eastAsia" w:ascii="宋体" w:hAnsi="宋体"/>
          <w:b/>
          <w:color w:val="auto"/>
          <w:sz w:val="28"/>
          <w:szCs w:val="28"/>
          <w:highlight w:val="none"/>
          <w:u w:val="single"/>
        </w:rPr>
        <w:t xml:space="preserve">                </w:t>
      </w:r>
    </w:p>
    <w:p>
      <w:pPr>
        <w:rPr>
          <w:rFonts w:ascii="宋体" w:hAnsi="宋体"/>
          <w:b/>
          <w:color w:val="auto"/>
          <w:sz w:val="28"/>
          <w:szCs w:val="28"/>
          <w:highlight w:val="none"/>
        </w:rPr>
      </w:pPr>
    </w:p>
    <w:p>
      <w:pPr>
        <w:rPr>
          <w:rFonts w:ascii="宋体" w:hAnsi="宋体"/>
          <w:b/>
          <w:color w:val="auto"/>
          <w:sz w:val="28"/>
          <w:szCs w:val="28"/>
          <w:highlight w:val="none"/>
        </w:rPr>
      </w:pPr>
    </w:p>
    <w:p>
      <w:pPr>
        <w:rPr>
          <w:rFonts w:ascii="宋体" w:hAnsi="宋体"/>
          <w:b/>
          <w:color w:val="auto"/>
          <w:sz w:val="28"/>
          <w:szCs w:val="28"/>
          <w:highlight w:val="none"/>
        </w:rPr>
      </w:pPr>
      <w:r>
        <w:rPr>
          <w:rFonts w:hint="eastAsia" w:ascii="宋体" w:hAnsi="宋体"/>
          <w:b/>
          <w:color w:val="auto"/>
          <w:sz w:val="28"/>
          <w:szCs w:val="28"/>
          <w:highlight w:val="none"/>
        </w:rPr>
        <w:t xml:space="preserve">日期：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月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日</w:t>
      </w:r>
    </w:p>
    <w:p>
      <w:pPr>
        <w:rPr>
          <w:rFonts w:ascii="宋体" w:hAnsi="宋体"/>
          <w:b/>
          <w:color w:val="auto"/>
          <w:szCs w:val="21"/>
          <w:highlight w:val="none"/>
        </w:rPr>
      </w:pPr>
    </w:p>
    <w:p>
      <w:pPr>
        <w:rPr>
          <w:rFonts w:ascii="宋体" w:hAnsi="宋体"/>
          <w:b/>
          <w:color w:val="auto"/>
          <w:szCs w:val="21"/>
          <w:highlight w:val="none"/>
        </w:rPr>
      </w:pPr>
      <w:r>
        <w:rPr>
          <w:rFonts w:hint="eastAsia" w:ascii="宋体" w:hAnsi="宋体"/>
          <w:b/>
          <w:color w:val="auto"/>
          <w:szCs w:val="21"/>
          <w:highlight w:val="none"/>
        </w:rPr>
        <w:t>参选单位郑重承诺：对本参选文件所提供资料的真实性、准确性、有效性负全部责任</w:t>
      </w:r>
    </w:p>
    <w:p>
      <w:pPr>
        <w:spacing w:line="360" w:lineRule="auto"/>
        <w:jc w:val="center"/>
        <w:rPr>
          <w:b/>
          <w:color w:val="auto"/>
          <w:sz w:val="32"/>
          <w:szCs w:val="32"/>
          <w:highlight w:val="none"/>
        </w:rPr>
      </w:pPr>
      <w:r>
        <w:rPr>
          <w:rFonts w:ascii="黑体" w:eastAsia="黑体"/>
          <w:b/>
          <w:color w:val="auto"/>
          <w:sz w:val="36"/>
          <w:szCs w:val="36"/>
          <w:highlight w:val="none"/>
        </w:rPr>
        <w:br w:type="page"/>
      </w:r>
      <w:bookmarkStart w:id="27" w:name="_Toc402782195"/>
      <w:r>
        <w:rPr>
          <w:rFonts w:hint="eastAsia"/>
          <w:b/>
          <w:color w:val="auto"/>
          <w:sz w:val="32"/>
          <w:szCs w:val="32"/>
          <w:highlight w:val="none"/>
        </w:rPr>
        <w:t>目录</w:t>
      </w:r>
      <w:bookmarkEnd w:id="27"/>
    </w:p>
    <w:p>
      <w:pPr>
        <w:rPr>
          <w:rFonts w:ascii="宋体" w:hAnsi="宋体"/>
          <w:b/>
          <w:color w:val="auto"/>
          <w:sz w:val="28"/>
          <w:szCs w:val="28"/>
          <w:highlight w:val="none"/>
        </w:rPr>
      </w:pPr>
      <w:bookmarkStart w:id="28" w:name="_Toc513044584"/>
      <w:r>
        <w:rPr>
          <w:rFonts w:hint="eastAsia" w:ascii="宋体" w:hAnsi="宋体"/>
          <w:b/>
          <w:color w:val="auto"/>
          <w:sz w:val="28"/>
          <w:szCs w:val="28"/>
          <w:highlight w:val="none"/>
        </w:rPr>
        <w:t>一、</w:t>
      </w:r>
      <w:r>
        <w:rPr>
          <w:rFonts w:hint="eastAsia" w:ascii="宋体" w:hAnsi="宋体"/>
          <w:b/>
          <w:color w:val="auto"/>
          <w:sz w:val="28"/>
          <w:szCs w:val="28"/>
          <w:highlight w:val="none"/>
          <w:lang w:val="en-US" w:eastAsia="zh-CN"/>
        </w:rPr>
        <w:t>符合性</w:t>
      </w:r>
      <w:r>
        <w:rPr>
          <w:rFonts w:hint="eastAsia" w:ascii="宋体" w:hAnsi="宋体"/>
          <w:b/>
          <w:color w:val="auto"/>
          <w:sz w:val="28"/>
          <w:szCs w:val="28"/>
          <w:highlight w:val="none"/>
        </w:rPr>
        <w:t>审查文件</w:t>
      </w:r>
    </w:p>
    <w:p>
      <w:pPr>
        <w:pStyle w:val="66"/>
        <w:widowControl/>
        <w:numPr>
          <w:ilvl w:val="0"/>
          <w:numId w:val="2"/>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参选文件按要求加盖参选人公章</w:t>
      </w:r>
      <w:r>
        <w:rPr>
          <w:rFonts w:hint="eastAsia" w:ascii="宋体" w:hAnsi="宋体"/>
          <w:color w:val="auto"/>
          <w:sz w:val="28"/>
          <w:szCs w:val="28"/>
          <w:highlight w:val="none"/>
          <w:lang w:eastAsia="zh-CN"/>
        </w:rPr>
        <w:t>、</w:t>
      </w:r>
      <w:r>
        <w:rPr>
          <w:rFonts w:hint="eastAsia" w:ascii="宋体" w:hAnsi="宋体"/>
          <w:color w:val="auto"/>
          <w:sz w:val="28"/>
          <w:szCs w:val="28"/>
          <w:highlight w:val="none"/>
        </w:rPr>
        <w:t>参选文件经法定代表人或其委托代理人签字</w:t>
      </w:r>
    </w:p>
    <w:p>
      <w:pPr>
        <w:pStyle w:val="66"/>
        <w:widowControl/>
        <w:numPr>
          <w:ilvl w:val="0"/>
          <w:numId w:val="2"/>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法定代表人资格证明书原件</w:t>
      </w:r>
      <w:r>
        <w:rPr>
          <w:rFonts w:hint="eastAsia" w:ascii="宋体" w:hAnsi="宋体"/>
          <w:color w:val="auto"/>
          <w:sz w:val="28"/>
          <w:szCs w:val="28"/>
          <w:highlight w:val="none"/>
          <w:lang w:eastAsia="zh-CN"/>
        </w:rPr>
        <w:t>、</w:t>
      </w:r>
      <w:r>
        <w:rPr>
          <w:rFonts w:hint="eastAsia" w:ascii="宋体" w:hAnsi="宋体"/>
          <w:color w:val="auto"/>
          <w:sz w:val="28"/>
          <w:szCs w:val="28"/>
          <w:highlight w:val="none"/>
        </w:rPr>
        <w:t>法定代表人授权委托书原件（若有）</w:t>
      </w:r>
    </w:p>
    <w:p>
      <w:pPr>
        <w:pStyle w:val="66"/>
        <w:widowControl/>
        <w:numPr>
          <w:ilvl w:val="0"/>
          <w:numId w:val="2"/>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参选人的报价不高于报价上限</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参选人的报价需在承诺函中填写，且与商标标书的报价需保持一致</w:t>
      </w:r>
      <w:r>
        <w:rPr>
          <w:rFonts w:hint="eastAsia" w:ascii="宋体" w:hAnsi="宋体"/>
          <w:color w:val="auto"/>
          <w:sz w:val="28"/>
          <w:szCs w:val="28"/>
          <w:highlight w:val="none"/>
          <w:lang w:eastAsia="zh-CN"/>
        </w:rPr>
        <w:t>）</w:t>
      </w:r>
    </w:p>
    <w:p>
      <w:pPr>
        <w:pStyle w:val="66"/>
        <w:widowControl/>
        <w:numPr>
          <w:ilvl w:val="0"/>
          <w:numId w:val="2"/>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参选人有效的资质证书复印件（参选人城市及道路照明工程专业承包资质三级</w:t>
      </w:r>
      <w:r>
        <w:rPr>
          <w:rFonts w:hint="eastAsia" w:ascii="宋体" w:hAnsi="宋体"/>
          <w:color w:val="auto"/>
          <w:sz w:val="28"/>
          <w:szCs w:val="28"/>
          <w:highlight w:val="none"/>
          <w:lang w:eastAsia="zh-CN"/>
        </w:rPr>
        <w:t>，</w:t>
      </w:r>
      <w:r>
        <w:rPr>
          <w:rFonts w:hint="eastAsia" w:ascii="宋体" w:hAnsi="宋体"/>
          <w:color w:val="auto"/>
          <w:sz w:val="28"/>
          <w:szCs w:val="28"/>
          <w:highlight w:val="none"/>
        </w:rPr>
        <w:t>加盖公章）</w:t>
      </w:r>
    </w:p>
    <w:p>
      <w:pPr>
        <w:pStyle w:val="66"/>
        <w:widowControl/>
        <w:numPr>
          <w:ilvl w:val="0"/>
          <w:numId w:val="2"/>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参选人营业执照复印件（加盖公章）</w:t>
      </w:r>
    </w:p>
    <w:p>
      <w:pPr>
        <w:pStyle w:val="66"/>
        <w:widowControl/>
        <w:numPr>
          <w:ilvl w:val="0"/>
          <w:numId w:val="2"/>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拟派项目负责人有效的资格证书复印件（注册二级建造师（机电工程类）</w:t>
      </w:r>
      <w:r>
        <w:rPr>
          <w:rFonts w:hint="eastAsia" w:ascii="宋体" w:hAnsi="宋体"/>
          <w:color w:val="auto"/>
          <w:sz w:val="28"/>
          <w:szCs w:val="28"/>
          <w:highlight w:val="none"/>
          <w:lang w:eastAsia="zh-CN"/>
        </w:rPr>
        <w:t>，</w:t>
      </w:r>
      <w:r>
        <w:rPr>
          <w:rFonts w:hint="eastAsia" w:ascii="宋体" w:hAnsi="宋体"/>
          <w:color w:val="auto"/>
          <w:sz w:val="28"/>
          <w:szCs w:val="28"/>
          <w:highlight w:val="none"/>
        </w:rPr>
        <w:t>注册建造师电子证书</w:t>
      </w:r>
      <w:r>
        <w:rPr>
          <w:rFonts w:hint="eastAsia" w:ascii="宋体" w:hAnsi="宋体"/>
          <w:color w:val="auto"/>
          <w:sz w:val="28"/>
          <w:szCs w:val="28"/>
          <w:highlight w:val="none"/>
          <w:lang w:val="en-US" w:eastAsia="zh-CN"/>
        </w:rPr>
        <w:t>需</w:t>
      </w:r>
      <w:r>
        <w:rPr>
          <w:rFonts w:hint="eastAsia" w:ascii="宋体" w:hAnsi="宋体"/>
          <w:color w:val="auto"/>
          <w:sz w:val="28"/>
          <w:szCs w:val="28"/>
          <w:highlight w:val="none"/>
        </w:rPr>
        <w:t>按要求签名）</w:t>
      </w:r>
    </w:p>
    <w:p>
      <w:pPr>
        <w:pStyle w:val="66"/>
        <w:widowControl/>
        <w:numPr>
          <w:ilvl w:val="0"/>
          <w:numId w:val="2"/>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ascii="宋体" w:hAnsi="宋体" w:eastAsia="宋体" w:cs="宋体"/>
          <w:color w:val="auto"/>
          <w:sz w:val="24"/>
          <w:szCs w:val="24"/>
          <w:highlight w:val="none"/>
        </w:rPr>
        <w:t>年度履约评价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此项参选人不用提供，由比选人核实</w:t>
      </w:r>
      <w:r>
        <w:rPr>
          <w:rFonts w:hint="eastAsia" w:ascii="宋体" w:hAnsi="宋体" w:cs="宋体"/>
          <w:color w:val="auto"/>
          <w:sz w:val="24"/>
          <w:szCs w:val="24"/>
          <w:highlight w:val="none"/>
          <w:lang w:eastAsia="zh-CN"/>
        </w:rPr>
        <w:t>）</w:t>
      </w:r>
    </w:p>
    <w:p>
      <w:pPr>
        <w:pStyle w:val="66"/>
        <w:widowControl/>
        <w:numPr>
          <w:ilvl w:val="0"/>
          <w:numId w:val="2"/>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ascii="宋体" w:hAnsi="宋体" w:eastAsia="宋体" w:cs="宋体"/>
          <w:color w:val="auto"/>
          <w:sz w:val="24"/>
          <w:szCs w:val="24"/>
          <w:highlight w:val="none"/>
        </w:rPr>
        <w:t>参选文件承诺的工期不超过比选文件中工期要求</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在承诺函中填写）</w:t>
      </w:r>
    </w:p>
    <w:p>
      <w:pPr>
        <w:pStyle w:val="66"/>
        <w:widowControl/>
        <w:numPr>
          <w:ilvl w:val="0"/>
          <w:numId w:val="2"/>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承诺函（按比选文件格式）</w:t>
      </w:r>
    </w:p>
    <w:p>
      <w:pPr>
        <w:rPr>
          <w:rFonts w:ascii="宋体" w:hAnsi="宋体"/>
          <w:b/>
          <w:color w:val="auto"/>
          <w:sz w:val="28"/>
          <w:szCs w:val="28"/>
          <w:highlight w:val="none"/>
        </w:rPr>
      </w:pPr>
    </w:p>
    <w:p>
      <w:pPr>
        <w:rPr>
          <w:rFonts w:ascii="宋体" w:hAnsi="宋体"/>
          <w:b/>
          <w:color w:val="auto"/>
          <w:sz w:val="28"/>
          <w:szCs w:val="28"/>
          <w:highlight w:val="none"/>
        </w:rPr>
      </w:pPr>
      <w:r>
        <w:rPr>
          <w:rFonts w:hint="eastAsia" w:ascii="宋体" w:hAnsi="宋体"/>
          <w:b/>
          <w:color w:val="auto"/>
          <w:sz w:val="28"/>
          <w:szCs w:val="28"/>
          <w:highlight w:val="none"/>
        </w:rPr>
        <w:t>三、技术标书</w:t>
      </w:r>
      <w:bookmarkEnd w:id="28"/>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企业法人营业执照复印件（加盖公章）</w:t>
      </w:r>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企业资质证书复印件（加盖公章）（若有）</w:t>
      </w:r>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项目团队架构及人员配置（加盖公章）</w:t>
      </w:r>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项目负责人资格证书复印件（加盖公章）</w:t>
      </w:r>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项目负责人工作年限及业绩证明（加盖公章）</w:t>
      </w:r>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项目团队主要人员简历（加盖公章）</w:t>
      </w:r>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公司业绩（加盖公章）</w:t>
      </w:r>
    </w:p>
    <w:p>
      <w:pPr>
        <w:pStyle w:val="66"/>
        <w:widowControl/>
        <w:numPr>
          <w:ilvl w:val="0"/>
          <w:numId w:val="3"/>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技术方案（加盖公章）</w:t>
      </w:r>
    </w:p>
    <w:p>
      <w:pPr>
        <w:rPr>
          <w:color w:val="auto"/>
          <w:sz w:val="32"/>
          <w:szCs w:val="32"/>
          <w:highlight w:val="none"/>
        </w:rPr>
      </w:pPr>
    </w:p>
    <w:p>
      <w:pPr>
        <w:rPr>
          <w:rFonts w:ascii="宋体" w:hAnsi="宋体"/>
          <w:b/>
          <w:color w:val="auto"/>
          <w:sz w:val="28"/>
          <w:szCs w:val="28"/>
          <w:highlight w:val="none"/>
        </w:rPr>
      </w:pPr>
      <w:bookmarkStart w:id="29" w:name="_Toc513044585"/>
      <w:r>
        <w:rPr>
          <w:rFonts w:hint="eastAsia" w:ascii="宋体" w:hAnsi="宋体"/>
          <w:b/>
          <w:color w:val="auto"/>
          <w:sz w:val="28"/>
          <w:szCs w:val="28"/>
          <w:highlight w:val="none"/>
        </w:rPr>
        <w:t>四、商务标书</w:t>
      </w:r>
      <w:bookmarkEnd w:id="29"/>
    </w:p>
    <w:p>
      <w:pPr>
        <w:pStyle w:val="66"/>
        <w:widowControl/>
        <w:overflowPunct w:val="0"/>
        <w:autoSpaceDE w:val="0"/>
        <w:autoSpaceDN w:val="0"/>
        <w:adjustRightInd w:val="0"/>
        <w:spacing w:line="360" w:lineRule="auto"/>
        <w:ind w:firstLine="840" w:firstLineChars="300"/>
        <w:textAlignment w:val="baseline"/>
        <w:rPr>
          <w:rFonts w:ascii="宋体" w:hAnsi="宋体"/>
          <w:color w:val="auto"/>
          <w:sz w:val="28"/>
          <w:szCs w:val="28"/>
          <w:highlight w:val="none"/>
        </w:rPr>
      </w:pPr>
      <w:r>
        <w:rPr>
          <w:rFonts w:hint="eastAsia" w:ascii="宋体" w:hAnsi="宋体"/>
          <w:color w:val="auto"/>
          <w:sz w:val="28"/>
          <w:szCs w:val="28"/>
          <w:highlight w:val="none"/>
        </w:rPr>
        <w:t>价格清单（加盖公章）</w:t>
      </w:r>
    </w:p>
    <w:p>
      <w:pPr>
        <w:rPr>
          <w:rFonts w:ascii="Arial" w:hAnsi="Arial" w:cs="Arial"/>
          <w:b/>
          <w:color w:val="auto"/>
          <w:highlight w:val="none"/>
        </w:rPr>
      </w:pPr>
      <w:r>
        <w:rPr>
          <w:rFonts w:ascii="Arial" w:hAnsi="Arial" w:cs="Arial"/>
          <w:b/>
          <w:color w:val="auto"/>
          <w:highlight w:val="none"/>
        </w:rPr>
        <w:br w:type="page"/>
      </w:r>
    </w:p>
    <w:p>
      <w:pPr>
        <w:pStyle w:val="5"/>
        <w:spacing w:before="0" w:after="0" w:line="360" w:lineRule="auto"/>
        <w:jc w:val="center"/>
        <w:rPr>
          <w:b w:val="0"/>
          <w:color w:val="auto"/>
          <w:highlight w:val="none"/>
        </w:rPr>
      </w:pPr>
      <w:bookmarkStart w:id="30" w:name="_Toc65054229"/>
      <w:r>
        <w:rPr>
          <w:rFonts w:hint="eastAsia"/>
          <w:color w:val="auto"/>
          <w:highlight w:val="none"/>
        </w:rPr>
        <w:t>一、</w:t>
      </w:r>
      <w:r>
        <w:rPr>
          <w:rFonts w:hint="eastAsia"/>
          <w:color w:val="auto"/>
          <w:highlight w:val="none"/>
          <w:lang w:val="en-US" w:eastAsia="zh-CN"/>
        </w:rPr>
        <w:t>资格/</w:t>
      </w:r>
      <w:bookmarkStart w:id="109" w:name="_GoBack"/>
      <w:bookmarkEnd w:id="109"/>
      <w:r>
        <w:rPr>
          <w:rFonts w:hint="eastAsia"/>
          <w:color w:val="auto"/>
          <w:highlight w:val="none"/>
          <w:lang w:val="en-US" w:eastAsia="zh-CN"/>
        </w:rPr>
        <w:t>符合性审查</w:t>
      </w:r>
      <w:r>
        <w:rPr>
          <w:rFonts w:hint="eastAsia"/>
          <w:color w:val="auto"/>
          <w:highlight w:val="none"/>
        </w:rPr>
        <w:t>文件格式</w:t>
      </w:r>
      <w:bookmarkEnd w:id="30"/>
    </w:p>
    <w:p>
      <w:pPr>
        <w:jc w:val="center"/>
        <w:rPr>
          <w:b/>
          <w:color w:val="auto"/>
          <w:highlight w:val="none"/>
        </w:rPr>
      </w:pPr>
    </w:p>
    <w:p>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深铁珑境（一期）泛光照明工程参选文件</w:t>
      </w:r>
    </w:p>
    <w:p>
      <w:pPr>
        <w:rPr>
          <w:rFonts w:ascii="宋体" w:hAnsi="宋体"/>
          <w:b/>
          <w:color w:val="auto"/>
          <w:szCs w:val="21"/>
          <w:highlight w:val="none"/>
        </w:rPr>
      </w:pPr>
    </w:p>
    <w:p>
      <w:pPr>
        <w:jc w:val="center"/>
        <w:rPr>
          <w:rFonts w:ascii="宋体" w:hAnsi="宋体"/>
          <w:b/>
          <w:color w:val="auto"/>
          <w:szCs w:val="21"/>
          <w:highlight w:val="none"/>
        </w:rPr>
      </w:pPr>
      <w:r>
        <w:rPr>
          <w:rFonts w:hint="eastAsia" w:hAnsi="宋体"/>
          <w:b/>
          <w:bCs/>
          <w:color w:val="auto"/>
          <w:sz w:val="52"/>
          <w:szCs w:val="52"/>
          <w:highlight w:val="none"/>
          <w:lang w:val="en-US" w:eastAsia="zh-CN"/>
        </w:rPr>
        <w:t>符合性审查</w:t>
      </w:r>
      <w:r>
        <w:rPr>
          <w:rFonts w:hint="eastAsia" w:hAnsi="宋体"/>
          <w:b/>
          <w:bCs/>
          <w:color w:val="auto"/>
          <w:sz w:val="52"/>
          <w:szCs w:val="52"/>
          <w:highlight w:val="none"/>
        </w:rPr>
        <w:t>文件</w:t>
      </w: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参选人：(公章)</w:t>
      </w:r>
      <w:r>
        <w:rPr>
          <w:rFonts w:hint="eastAsia" w:ascii="宋体" w:hAnsi="宋体"/>
          <w:b/>
          <w:color w:val="auto"/>
          <w:sz w:val="28"/>
          <w:szCs w:val="28"/>
          <w:highlight w:val="none"/>
          <w:u w:val="single"/>
        </w:rPr>
        <w:t xml:space="preserve">                           </w:t>
      </w:r>
    </w:p>
    <w:p>
      <w:pPr>
        <w:rPr>
          <w:rFonts w:ascii="宋体" w:hAnsi="宋体"/>
          <w:b/>
          <w:color w:val="auto"/>
          <w:szCs w:val="21"/>
          <w:highlight w:val="none"/>
        </w:rPr>
      </w:pPr>
    </w:p>
    <w:p>
      <w:pPr>
        <w:rPr>
          <w:rFonts w:ascii="宋体" w:hAnsi="宋体"/>
          <w:b/>
          <w:color w:val="auto"/>
          <w:sz w:val="28"/>
          <w:szCs w:val="28"/>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法定代表人或其授权代表签字：</w:t>
      </w:r>
      <w:r>
        <w:rPr>
          <w:rFonts w:hint="eastAsia" w:ascii="宋体" w:hAnsi="宋体"/>
          <w:b/>
          <w:color w:val="auto"/>
          <w:sz w:val="28"/>
          <w:szCs w:val="28"/>
          <w:highlight w:val="none"/>
          <w:u w:val="single"/>
        </w:rPr>
        <w:t xml:space="preserve">                </w:t>
      </w:r>
    </w:p>
    <w:p>
      <w:pPr>
        <w:rPr>
          <w:rFonts w:ascii="宋体" w:hAnsi="宋体"/>
          <w:b/>
          <w:color w:val="auto"/>
          <w:sz w:val="28"/>
          <w:szCs w:val="28"/>
          <w:highlight w:val="none"/>
        </w:rPr>
      </w:pPr>
    </w:p>
    <w:p>
      <w:pPr>
        <w:rPr>
          <w:rFonts w:ascii="宋体" w:hAnsi="宋体"/>
          <w:b/>
          <w:color w:val="auto"/>
          <w:sz w:val="28"/>
          <w:szCs w:val="28"/>
          <w:highlight w:val="none"/>
        </w:rPr>
      </w:pPr>
    </w:p>
    <w:p>
      <w:pPr>
        <w:rPr>
          <w:rFonts w:ascii="宋体" w:hAnsi="宋体"/>
          <w:b/>
          <w:color w:val="auto"/>
          <w:sz w:val="28"/>
          <w:szCs w:val="28"/>
          <w:highlight w:val="none"/>
        </w:rPr>
      </w:pPr>
      <w:r>
        <w:rPr>
          <w:rFonts w:hint="eastAsia" w:ascii="宋体" w:hAnsi="宋体"/>
          <w:b/>
          <w:color w:val="auto"/>
          <w:sz w:val="28"/>
          <w:szCs w:val="28"/>
          <w:highlight w:val="none"/>
        </w:rPr>
        <w:t xml:space="preserve">日期：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月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日</w:t>
      </w:r>
    </w:p>
    <w:p>
      <w:pPr>
        <w:rPr>
          <w:rFonts w:ascii="宋体" w:hAnsi="宋体"/>
          <w:b/>
          <w:color w:val="auto"/>
          <w:szCs w:val="21"/>
          <w:highlight w:val="none"/>
        </w:rPr>
      </w:pPr>
    </w:p>
    <w:p>
      <w:pPr>
        <w:rPr>
          <w:rFonts w:ascii="宋体" w:hAnsi="宋体"/>
          <w:b/>
          <w:color w:val="auto"/>
          <w:szCs w:val="21"/>
          <w:highlight w:val="none"/>
        </w:rPr>
      </w:pPr>
      <w:r>
        <w:rPr>
          <w:rFonts w:hint="eastAsia" w:ascii="宋体" w:hAnsi="宋体"/>
          <w:b/>
          <w:color w:val="auto"/>
          <w:szCs w:val="21"/>
          <w:highlight w:val="none"/>
        </w:rPr>
        <w:t>参选单位郑重承诺：对本参选文件所提供资料的真实性、准确性、有效性负全部责任</w:t>
      </w:r>
    </w:p>
    <w:p>
      <w:pPr>
        <w:spacing w:line="360" w:lineRule="auto"/>
        <w:jc w:val="center"/>
        <w:rPr>
          <w:b/>
          <w:color w:val="auto"/>
          <w:highlight w:val="none"/>
        </w:rPr>
      </w:pPr>
      <w:r>
        <w:rPr>
          <w:rFonts w:ascii="黑体" w:eastAsia="黑体"/>
          <w:b/>
          <w:color w:val="auto"/>
          <w:sz w:val="36"/>
          <w:szCs w:val="36"/>
          <w:highlight w:val="none"/>
        </w:rPr>
        <w:br w:type="page"/>
      </w:r>
    </w:p>
    <w:p>
      <w:pPr>
        <w:spacing w:line="360" w:lineRule="auto"/>
        <w:jc w:val="center"/>
        <w:rPr>
          <w:b/>
          <w:color w:val="auto"/>
          <w:sz w:val="28"/>
          <w:szCs w:val="28"/>
          <w:highlight w:val="none"/>
        </w:rPr>
      </w:pPr>
      <w:r>
        <w:rPr>
          <w:rFonts w:hint="eastAsia"/>
          <w:b/>
          <w:color w:val="auto"/>
          <w:sz w:val="28"/>
          <w:szCs w:val="28"/>
          <w:highlight w:val="none"/>
        </w:rPr>
        <w:t>目录</w:t>
      </w:r>
    </w:p>
    <w:p>
      <w:pPr>
        <w:pStyle w:val="66"/>
        <w:widowControl/>
        <w:numPr>
          <w:ilvl w:val="0"/>
          <w:numId w:val="4"/>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参选人营业执照复印件（加盖公章）</w:t>
      </w:r>
    </w:p>
    <w:p>
      <w:pPr>
        <w:pStyle w:val="66"/>
        <w:widowControl/>
        <w:numPr>
          <w:ilvl w:val="0"/>
          <w:numId w:val="4"/>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参选人有效的资质证书复印件（加盖公章）</w:t>
      </w:r>
    </w:p>
    <w:p>
      <w:pPr>
        <w:pStyle w:val="66"/>
        <w:widowControl/>
        <w:numPr>
          <w:ilvl w:val="0"/>
          <w:numId w:val="4"/>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拟派项目负责人有效的资格证书复印件（加盖公章）</w:t>
      </w:r>
    </w:p>
    <w:p>
      <w:pPr>
        <w:pStyle w:val="66"/>
        <w:widowControl/>
        <w:numPr>
          <w:ilvl w:val="0"/>
          <w:numId w:val="4"/>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承诺函（按比选文件格式</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需填写报价、工期</w:t>
      </w:r>
      <w:r>
        <w:rPr>
          <w:rFonts w:hint="eastAsia" w:ascii="宋体" w:hAnsi="宋体"/>
          <w:color w:val="auto"/>
          <w:sz w:val="28"/>
          <w:szCs w:val="28"/>
          <w:highlight w:val="none"/>
        </w:rPr>
        <w:t>）</w:t>
      </w:r>
    </w:p>
    <w:p>
      <w:pPr>
        <w:pStyle w:val="66"/>
        <w:widowControl/>
        <w:numPr>
          <w:ilvl w:val="0"/>
          <w:numId w:val="4"/>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法定代表人资格证明书原件</w:t>
      </w:r>
    </w:p>
    <w:p>
      <w:pPr>
        <w:pStyle w:val="66"/>
        <w:widowControl/>
        <w:numPr>
          <w:ilvl w:val="0"/>
          <w:numId w:val="4"/>
        </w:numPr>
        <w:overflowPunct w:val="0"/>
        <w:autoSpaceDE w:val="0"/>
        <w:autoSpaceDN w:val="0"/>
        <w:adjustRightInd w:val="0"/>
        <w:spacing w:line="360" w:lineRule="auto"/>
        <w:ind w:firstLineChars="0"/>
        <w:jc w:val="left"/>
        <w:textAlignment w:val="baseline"/>
        <w:rPr>
          <w:rFonts w:hint="eastAsia" w:ascii="宋体" w:hAnsi="宋体"/>
          <w:color w:val="auto"/>
          <w:sz w:val="28"/>
          <w:szCs w:val="28"/>
          <w:highlight w:val="none"/>
        </w:rPr>
      </w:pPr>
      <w:r>
        <w:rPr>
          <w:rFonts w:hint="eastAsia" w:ascii="宋体" w:hAnsi="宋体"/>
          <w:color w:val="auto"/>
          <w:sz w:val="28"/>
          <w:szCs w:val="28"/>
          <w:highlight w:val="none"/>
        </w:rPr>
        <w:t>法定代表人授权委托书原件（若有）</w:t>
      </w:r>
    </w:p>
    <w:p>
      <w:pPr>
        <w:pStyle w:val="66"/>
        <w:widowControl/>
        <w:numPr>
          <w:ilvl w:val="0"/>
          <w:numId w:val="4"/>
        </w:numPr>
        <w:overflowPunct w:val="0"/>
        <w:autoSpaceDE w:val="0"/>
        <w:autoSpaceDN w:val="0"/>
        <w:adjustRightInd w:val="0"/>
        <w:spacing w:line="360" w:lineRule="auto"/>
        <w:ind w:firstLineChars="0"/>
        <w:jc w:val="left"/>
        <w:textAlignment w:val="baseline"/>
        <w:rPr>
          <w:b/>
          <w:color w:val="auto"/>
          <w:highlight w:val="none"/>
        </w:rPr>
      </w:pPr>
      <w:r>
        <w:rPr>
          <w:b/>
          <w:color w:val="auto"/>
          <w:highlight w:val="none"/>
        </w:rPr>
        <w:br w:type="page"/>
      </w:r>
    </w:p>
    <w:p>
      <w:pPr>
        <w:spacing w:line="360" w:lineRule="auto"/>
        <w:rPr>
          <w:rFonts w:ascii="宋体" w:hAnsi="宋体"/>
          <w:b/>
          <w:bCs/>
          <w:color w:val="auto"/>
          <w:sz w:val="28"/>
          <w:szCs w:val="28"/>
          <w:highlight w:val="none"/>
        </w:rPr>
      </w:pPr>
      <w:r>
        <w:rPr>
          <w:rFonts w:hint="eastAsia"/>
          <w:color w:val="auto"/>
          <w:sz w:val="28"/>
          <w:szCs w:val="28"/>
          <w:highlight w:val="none"/>
        </w:rPr>
        <w:t>1、 参选人营业执照复印件（加盖公章）</w:t>
      </w:r>
    </w:p>
    <w:p>
      <w:pPr>
        <w:jc w:val="center"/>
        <w:rPr>
          <w:b/>
          <w:color w:val="auto"/>
          <w:highlight w:val="none"/>
        </w:rPr>
      </w:pPr>
    </w:p>
    <w:p>
      <w:pPr>
        <w:pStyle w:val="66"/>
        <w:overflowPunct w:val="0"/>
        <w:autoSpaceDE w:val="0"/>
        <w:autoSpaceDN w:val="0"/>
        <w:adjustRightInd w:val="0"/>
        <w:ind w:left="2" w:firstLine="0" w:firstLineChars="0"/>
        <w:textAlignment w:val="baseline"/>
        <w:rPr>
          <w:rFonts w:ascii="宋体" w:hAnsi="宋体"/>
          <w:color w:val="auto"/>
          <w:sz w:val="28"/>
          <w:szCs w:val="28"/>
          <w:highlight w:val="none"/>
        </w:rPr>
        <w:sectPr>
          <w:pgSz w:w="11906" w:h="16838"/>
          <w:pgMar w:top="1440" w:right="1797" w:bottom="1440" w:left="1797" w:header="851" w:footer="992" w:gutter="0"/>
          <w:cols w:space="720" w:num="1"/>
          <w:docGrid w:linePitch="312" w:charSpace="0"/>
        </w:sect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r>
        <w:rPr>
          <w:rFonts w:hint="eastAsia" w:ascii="宋体" w:hAnsi="宋体"/>
          <w:color w:val="auto"/>
          <w:sz w:val="28"/>
          <w:szCs w:val="28"/>
          <w:highlight w:val="none"/>
        </w:rPr>
        <w:t>2、参选人有效的资质证书复印件（加盖公章）</w:t>
      </w:r>
    </w:p>
    <w:p>
      <w:pPr>
        <w:pStyle w:val="66"/>
        <w:widowControl/>
        <w:overflowPunct w:val="0"/>
        <w:autoSpaceDE w:val="0"/>
        <w:autoSpaceDN w:val="0"/>
        <w:adjustRightInd w:val="0"/>
        <w:spacing w:line="360" w:lineRule="auto"/>
        <w:ind w:firstLine="0" w:firstLineChars="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jc w:val="left"/>
        <w:textAlignment w:val="baseline"/>
        <w:rPr>
          <w:rFonts w:hint="eastAsia" w:ascii="宋体" w:hAnsi="宋体" w:eastAsia="宋体" w:cs="Times New Roman"/>
          <w:color w:val="auto"/>
          <w:kern w:val="2"/>
          <w:sz w:val="28"/>
          <w:szCs w:val="28"/>
          <w:highlight w:val="none"/>
          <w:lang w:val="en-US" w:eastAsia="zh-CN" w:bidi="ar-SA"/>
        </w:rPr>
      </w:pPr>
      <w:r>
        <w:rPr>
          <w:rFonts w:ascii="宋体" w:hAnsi="宋体"/>
          <w:color w:val="auto"/>
          <w:sz w:val="28"/>
          <w:szCs w:val="28"/>
          <w:highlight w:val="none"/>
        </w:rPr>
        <w:br w:type="page"/>
      </w:r>
      <w:bookmarkStart w:id="31" w:name="_Toc65054230"/>
      <w:r>
        <w:rPr>
          <w:rFonts w:hint="eastAsia" w:ascii="宋体" w:hAnsi="宋体" w:cs="Times New Roman"/>
          <w:color w:val="auto"/>
          <w:kern w:val="2"/>
          <w:sz w:val="28"/>
          <w:szCs w:val="28"/>
          <w:highlight w:val="none"/>
          <w:lang w:val="en-US" w:eastAsia="zh-CN" w:bidi="ar-SA"/>
        </w:rPr>
        <w:t>3、</w:t>
      </w:r>
      <w:r>
        <w:rPr>
          <w:rFonts w:hint="eastAsia" w:ascii="宋体" w:hAnsi="宋体" w:eastAsia="宋体" w:cs="Times New Roman"/>
          <w:color w:val="auto"/>
          <w:kern w:val="2"/>
          <w:sz w:val="28"/>
          <w:szCs w:val="28"/>
          <w:highlight w:val="none"/>
          <w:lang w:val="en-US" w:eastAsia="zh-CN" w:bidi="ar-SA"/>
        </w:rPr>
        <w:t>拟派项目负责人有效的资格证书复印件（加盖公章）</w:t>
      </w: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p>
    <w:p>
      <w:pPr>
        <w:pStyle w:val="5"/>
        <w:spacing w:before="0" w:after="0" w:line="360" w:lineRule="auto"/>
        <w:jc w:val="left"/>
        <w:rPr>
          <w:color w:val="auto"/>
          <w:highlight w:val="none"/>
        </w:rPr>
      </w:pPr>
      <w:r>
        <w:rPr>
          <w:rFonts w:hint="eastAsia"/>
          <w:color w:val="auto"/>
          <w:highlight w:val="none"/>
          <w:lang w:val="en-US" w:eastAsia="zh-CN"/>
        </w:rPr>
        <w:t>4、</w:t>
      </w:r>
      <w:r>
        <w:rPr>
          <w:rFonts w:hint="eastAsia"/>
          <w:color w:val="auto"/>
          <w:highlight w:val="none"/>
        </w:rPr>
        <w:t>承诺函格式</w:t>
      </w:r>
      <w:bookmarkEnd w:id="31"/>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承诺函</w:t>
      </w:r>
    </w:p>
    <w:p>
      <w:pPr>
        <w:jc w:val="center"/>
        <w:rPr>
          <w:rFonts w:ascii="黑体" w:hAnsi="黑体" w:eastAsia="黑体"/>
          <w:b/>
          <w:color w:val="auto"/>
          <w:sz w:val="30"/>
          <w:szCs w:val="30"/>
          <w:highlight w:val="none"/>
        </w:rPr>
      </w:pPr>
    </w:p>
    <w:p>
      <w:pPr>
        <w:spacing w:line="400" w:lineRule="exact"/>
        <w:rPr>
          <w:rFonts w:ascii="宋体" w:hAnsi="宋体"/>
          <w:color w:val="auto"/>
          <w:highlight w:val="none"/>
        </w:rPr>
      </w:pPr>
      <w:r>
        <w:rPr>
          <w:rFonts w:hint="eastAsia" w:ascii="宋体" w:hAnsi="宋体"/>
          <w:color w:val="auto"/>
          <w:highlight w:val="none"/>
        </w:rPr>
        <w:t>致：深圳市地铁集团有限公司</w:t>
      </w:r>
    </w:p>
    <w:p>
      <w:pPr>
        <w:spacing w:line="400" w:lineRule="exact"/>
        <w:rPr>
          <w:rFonts w:ascii="宋体" w:hAnsi="宋体"/>
          <w:color w:val="auto"/>
          <w:highlight w:val="none"/>
        </w:rPr>
      </w:pPr>
      <w:r>
        <w:rPr>
          <w:rFonts w:hint="eastAsia" w:ascii="宋体" w:hAnsi="宋体"/>
          <w:color w:val="auto"/>
          <w:highlight w:val="none"/>
        </w:rPr>
        <w:t>　　1、经分析研究了贵司提供的“</w:t>
      </w:r>
      <w:r>
        <w:rPr>
          <w:rFonts w:hint="eastAsia" w:ascii="宋体" w:hAnsi="宋体"/>
          <w:color w:val="auto"/>
          <w:highlight w:val="none"/>
          <w:u w:val="single"/>
        </w:rPr>
        <w:t xml:space="preserve"> </w:t>
      </w:r>
      <w:r>
        <w:rPr>
          <w:rFonts w:hint="eastAsia" w:ascii="宋体" w:hAnsi="宋体"/>
          <w:b/>
          <w:color w:val="auto"/>
          <w:sz w:val="24"/>
          <w:szCs w:val="24"/>
          <w:highlight w:val="none"/>
          <w:u w:val="single"/>
        </w:rPr>
        <w:t xml:space="preserve"> 深铁珑境（一期）泛光照明工程  </w:t>
      </w:r>
      <w:r>
        <w:rPr>
          <w:rFonts w:hint="eastAsia" w:ascii="宋体" w:hAnsi="宋体"/>
          <w:color w:val="auto"/>
          <w:highlight w:val="none"/>
          <w:u w:val="single"/>
        </w:rPr>
        <w:t xml:space="preserve">     </w:t>
      </w:r>
      <w:r>
        <w:rPr>
          <w:rFonts w:hint="eastAsia" w:ascii="宋体" w:hAnsi="宋体"/>
          <w:color w:val="auto"/>
          <w:highlight w:val="none"/>
        </w:rPr>
        <w:t>”比选文件，我方愿以投标总报价</w:t>
      </w:r>
      <w:r>
        <w:rPr>
          <w:rFonts w:hint="eastAsia" w:ascii="宋体" w:hAnsi="宋体"/>
          <w:b/>
          <w:color w:val="auto"/>
          <w:sz w:val="28"/>
          <w:szCs w:val="28"/>
          <w:highlight w:val="none"/>
          <w:u w:val="single"/>
        </w:rPr>
        <w:t xml:space="preserve">                </w:t>
      </w:r>
      <w:r>
        <w:rPr>
          <w:rFonts w:hint="eastAsia" w:ascii="宋体" w:hAnsi="宋体"/>
          <w:color w:val="auto"/>
          <w:highlight w:val="none"/>
        </w:rPr>
        <w:t>元(小写￥</w:t>
      </w:r>
      <w:r>
        <w:rPr>
          <w:rFonts w:hint="eastAsia" w:ascii="宋体" w:hAnsi="宋体"/>
          <w:color w:val="auto"/>
          <w:highlight w:val="none"/>
          <w:u w:val="single"/>
        </w:rPr>
        <w:t xml:space="preserve">          </w:t>
      </w:r>
      <w:r>
        <w:rPr>
          <w:rFonts w:hint="eastAsia" w:ascii="宋体" w:hAnsi="宋体"/>
          <w:color w:val="auto"/>
          <w:highlight w:val="none"/>
        </w:rPr>
        <w:t>)为贵司提供服务，并按比选文件以及国家和地方有关规定的要求，承担并完成本项目的任务。</w:t>
      </w:r>
    </w:p>
    <w:p>
      <w:pPr>
        <w:spacing w:line="400" w:lineRule="exact"/>
        <w:rPr>
          <w:rFonts w:ascii="宋体" w:hAnsi="宋体"/>
          <w:color w:val="auto"/>
          <w:highlight w:val="none"/>
        </w:rPr>
      </w:pPr>
      <w:r>
        <w:rPr>
          <w:rFonts w:hint="eastAsia" w:ascii="宋体" w:hAnsi="宋体"/>
          <w:color w:val="auto"/>
          <w:highlight w:val="none"/>
        </w:rPr>
        <w:t>　　2、如果贵司接受我方的参选文件，我方保证按贵司要求完成</w:t>
      </w:r>
      <w:r>
        <w:rPr>
          <w:rFonts w:hint="eastAsia" w:ascii="宋体" w:hAnsi="宋体"/>
          <w:color w:val="auto"/>
          <w:highlight w:val="none"/>
          <w:u w:val="single"/>
        </w:rPr>
        <w:t xml:space="preserve">  </w:t>
      </w:r>
      <w:r>
        <w:rPr>
          <w:rFonts w:hint="eastAsia" w:ascii="宋体" w:hAnsi="宋体"/>
          <w:b/>
          <w:color w:val="auto"/>
          <w:sz w:val="24"/>
          <w:szCs w:val="24"/>
          <w:highlight w:val="none"/>
          <w:u w:val="single"/>
        </w:rPr>
        <w:t xml:space="preserve"> 深铁珑境（一期）泛光照明工程  </w:t>
      </w:r>
      <w:r>
        <w:rPr>
          <w:rFonts w:hint="eastAsia" w:ascii="宋体" w:hAnsi="宋体"/>
          <w:color w:val="auto"/>
          <w:highlight w:val="none"/>
          <w:u w:val="single"/>
        </w:rPr>
        <w:t xml:space="preserve"> </w:t>
      </w:r>
      <w:r>
        <w:rPr>
          <w:rFonts w:hint="eastAsia" w:ascii="宋体" w:hAnsi="宋体"/>
          <w:color w:val="auto"/>
          <w:highlight w:val="none"/>
        </w:rPr>
        <w:t>比选文件要求的各项工作。</w:t>
      </w:r>
    </w:p>
    <w:p>
      <w:pPr>
        <w:spacing w:line="400" w:lineRule="exact"/>
        <w:rPr>
          <w:rFonts w:ascii="宋体" w:hAnsi="宋体"/>
          <w:color w:val="auto"/>
          <w:highlight w:val="none"/>
        </w:rPr>
      </w:pPr>
      <w:r>
        <w:rPr>
          <w:rFonts w:hint="eastAsia" w:ascii="宋体" w:hAnsi="宋体"/>
          <w:color w:val="auto"/>
          <w:highlight w:val="none"/>
        </w:rPr>
        <w:t>　　3、我方同意在规定的递交参选文件截止之日起180天内遵守本次比选。在该期限期满之前，本报价对我方始终有约束力，并可随时被接受。</w:t>
      </w:r>
    </w:p>
    <w:p>
      <w:pPr>
        <w:spacing w:line="400" w:lineRule="exact"/>
        <w:ind w:firstLine="480"/>
        <w:rPr>
          <w:rFonts w:ascii="宋体" w:hAnsi="宋体"/>
          <w:color w:val="auto"/>
          <w:highlight w:val="none"/>
        </w:rPr>
      </w:pPr>
      <w:r>
        <w:rPr>
          <w:rFonts w:hint="eastAsia" w:ascii="宋体" w:hAnsi="宋体"/>
          <w:color w:val="auto"/>
          <w:highlight w:val="none"/>
        </w:rPr>
        <w:t>4、如果我方中选，我方保证在</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比选文件</w:t>
      </w:r>
      <w:r>
        <w:rPr>
          <w:rFonts w:ascii="宋体" w:hAnsi="宋体"/>
          <w:color w:val="auto"/>
          <w:highlight w:val="none"/>
          <w:u w:val="single"/>
        </w:rPr>
        <w:t>规定的时间</w:t>
      </w:r>
      <w:r>
        <w:rPr>
          <w:rFonts w:hint="eastAsia" w:ascii="宋体" w:hAnsi="宋体"/>
          <w:color w:val="auto"/>
          <w:highlight w:val="none"/>
          <w:u w:val="single"/>
          <w:lang w:val="en-US" w:eastAsia="zh-CN"/>
        </w:rPr>
        <w:t>之</w:t>
      </w:r>
      <w:r>
        <w:rPr>
          <w:rFonts w:hint="eastAsia" w:ascii="宋体" w:hAnsi="宋体"/>
          <w:color w:val="auto"/>
          <w:highlight w:val="none"/>
          <w:u w:val="single"/>
        </w:rPr>
        <w:t xml:space="preserve"> </w:t>
      </w:r>
      <w:r>
        <w:rPr>
          <w:rFonts w:hint="eastAsia" w:ascii="宋体" w:hAnsi="宋体"/>
          <w:color w:val="auto"/>
          <w:highlight w:val="none"/>
        </w:rPr>
        <w:t>日即可开始为本项目提供服务，并在贵司规定的期限内提供相应的成果文件。</w:t>
      </w:r>
    </w:p>
    <w:p>
      <w:pPr>
        <w:spacing w:line="400" w:lineRule="exact"/>
        <w:ind w:firstLine="480"/>
        <w:rPr>
          <w:rFonts w:ascii="宋体" w:hAnsi="宋体"/>
          <w:color w:val="auto"/>
          <w:highlight w:val="none"/>
        </w:rPr>
      </w:pPr>
      <w:r>
        <w:rPr>
          <w:rFonts w:hint="eastAsia" w:ascii="宋体" w:hAnsi="宋体"/>
          <w:color w:val="auto"/>
          <w:highlight w:val="none"/>
        </w:rPr>
        <w:t>5、我方保证在</w:t>
      </w:r>
      <w:r>
        <w:rPr>
          <w:rFonts w:hint="eastAsia" w:ascii="宋体" w:hAnsi="宋体"/>
          <w:color w:val="auto"/>
          <w:highlight w:val="none"/>
          <w:u w:val="single"/>
        </w:rPr>
        <w:t xml:space="preserve"> </w:t>
      </w:r>
      <w:r>
        <w:rPr>
          <w:rFonts w:hint="eastAsia" w:ascii="宋体" w:hAnsi="宋体"/>
          <w:b/>
          <w:bCs/>
          <w:color w:val="auto"/>
          <w:highlight w:val="none"/>
          <w:u w:val="single"/>
          <w:lang w:val="en-US" w:eastAsia="zh-CN"/>
        </w:rPr>
        <w:t>212</w:t>
      </w:r>
      <w:r>
        <w:rPr>
          <w:rFonts w:hint="eastAsia" w:ascii="宋体" w:hAnsi="宋体"/>
          <w:b/>
          <w:bCs/>
          <w:color w:val="auto"/>
          <w:highlight w:val="none"/>
          <w:u w:val="single"/>
        </w:rPr>
        <w:t xml:space="preserve"> 日内</w:t>
      </w:r>
      <w:r>
        <w:rPr>
          <w:rFonts w:hint="eastAsia" w:ascii="宋体" w:hAnsi="宋体"/>
          <w:b/>
          <w:bCs/>
          <w:color w:val="auto"/>
          <w:highlight w:val="none"/>
        </w:rPr>
        <w:t>（或</w:t>
      </w:r>
      <w:r>
        <w:rPr>
          <w:rFonts w:hint="eastAsia" w:ascii="宋体" w:hAnsi="宋体"/>
          <w:b/>
          <w:bCs/>
          <w:color w:val="auto"/>
          <w:highlight w:val="none"/>
          <w:lang w:val="en-US" w:eastAsia="zh-CN"/>
        </w:rPr>
        <w:t>2023</w:t>
      </w:r>
      <w:r>
        <w:rPr>
          <w:rFonts w:hint="eastAsia" w:ascii="宋体" w:hAnsi="宋体"/>
          <w:b/>
          <w:bCs/>
          <w:color w:val="auto"/>
          <w:highlight w:val="none"/>
        </w:rPr>
        <w:t xml:space="preserve"> 年</w:t>
      </w:r>
      <w:r>
        <w:rPr>
          <w:rFonts w:hint="eastAsia" w:ascii="宋体" w:hAnsi="宋体"/>
          <w:b/>
          <w:bCs/>
          <w:color w:val="auto"/>
          <w:highlight w:val="none"/>
          <w:lang w:val="en-US" w:eastAsia="zh-CN"/>
        </w:rPr>
        <w:t>6</w:t>
      </w:r>
      <w:r>
        <w:rPr>
          <w:rFonts w:hint="eastAsia" w:ascii="宋体" w:hAnsi="宋体"/>
          <w:b/>
          <w:bCs/>
          <w:color w:val="auto"/>
          <w:highlight w:val="none"/>
        </w:rPr>
        <w:t>月</w:t>
      </w:r>
      <w:r>
        <w:rPr>
          <w:rFonts w:hint="eastAsia" w:ascii="宋体" w:hAnsi="宋体"/>
          <w:b/>
          <w:bCs/>
          <w:color w:val="auto"/>
          <w:highlight w:val="none"/>
          <w:lang w:val="en-US" w:eastAsia="zh-CN"/>
        </w:rPr>
        <w:t>1</w:t>
      </w:r>
      <w:r>
        <w:rPr>
          <w:rFonts w:hint="eastAsia" w:ascii="宋体" w:hAnsi="宋体"/>
          <w:b/>
          <w:bCs/>
          <w:color w:val="auto"/>
          <w:highlight w:val="none"/>
        </w:rPr>
        <w:t xml:space="preserve"> 日前）</w:t>
      </w:r>
      <w:r>
        <w:rPr>
          <w:rFonts w:hint="eastAsia" w:ascii="宋体" w:hAnsi="宋体"/>
          <w:color w:val="auto"/>
          <w:highlight w:val="none"/>
        </w:rPr>
        <w:t>完成并移交本工程（非我方造成的工期延误除外）。</w:t>
      </w:r>
    </w:p>
    <w:p>
      <w:pPr>
        <w:spacing w:line="400" w:lineRule="exact"/>
        <w:rPr>
          <w:rFonts w:ascii="宋体" w:hAnsi="宋体"/>
          <w:color w:val="auto"/>
          <w:highlight w:val="none"/>
        </w:rPr>
      </w:pPr>
      <w:r>
        <w:rPr>
          <w:rFonts w:hint="eastAsia" w:ascii="宋体" w:hAnsi="宋体"/>
          <w:color w:val="auto"/>
          <w:highlight w:val="none"/>
        </w:rPr>
        <w:t>　　6、我方保证：在参选过程中，我方严守国家法律、法规，本着诚实守信的原则，无互相串通参选报价、无排挤其它参选人的合法权益、无向参选人或评委成员行贿谋取中、无以他人名义参与参选或以其它方式弄虚作假骗取比选中选的不良行为。</w:t>
      </w:r>
    </w:p>
    <w:p>
      <w:pPr>
        <w:spacing w:line="400" w:lineRule="exact"/>
        <w:ind w:firstLine="420"/>
        <w:rPr>
          <w:rFonts w:ascii="宋体" w:hAnsi="宋体"/>
          <w:color w:val="auto"/>
          <w:szCs w:val="21"/>
          <w:highlight w:val="none"/>
        </w:rPr>
      </w:pPr>
      <w:r>
        <w:rPr>
          <w:rFonts w:hint="eastAsia" w:ascii="宋体" w:hAnsi="宋体"/>
          <w:color w:val="auto"/>
          <w:highlight w:val="none"/>
        </w:rPr>
        <w:t>7、</w:t>
      </w:r>
      <w:r>
        <w:rPr>
          <w:rFonts w:hint="eastAsia" w:ascii="宋体" w:hAnsi="宋体"/>
          <w:color w:val="auto"/>
          <w:szCs w:val="21"/>
          <w:highlight w:val="none"/>
        </w:rPr>
        <w:t>我方理解，贵司不一定接受最低价的报价或可能接受其他任何报价；同时也理解，贵司不负担我方参加本次</w:t>
      </w:r>
      <w:r>
        <w:rPr>
          <w:rFonts w:hint="eastAsia" w:ascii="宋体" w:hAnsi="宋体"/>
          <w:color w:val="auto"/>
          <w:highlight w:val="none"/>
        </w:rPr>
        <w:t>比选</w:t>
      </w:r>
      <w:r>
        <w:rPr>
          <w:rFonts w:hint="eastAsia" w:ascii="宋体" w:hAnsi="宋体"/>
          <w:color w:val="auto"/>
          <w:szCs w:val="21"/>
          <w:highlight w:val="none"/>
        </w:rPr>
        <w:t>活动所发生的任何成本或费用。</w:t>
      </w:r>
    </w:p>
    <w:p>
      <w:pPr>
        <w:spacing w:line="400" w:lineRule="exact"/>
        <w:ind w:firstLine="420"/>
        <w:rPr>
          <w:rFonts w:ascii="宋体" w:hAnsi="宋体"/>
          <w:color w:val="auto"/>
          <w:szCs w:val="21"/>
          <w:highlight w:val="none"/>
        </w:rPr>
      </w:pPr>
      <w:r>
        <w:rPr>
          <w:rFonts w:hint="eastAsia" w:ascii="宋体" w:hAnsi="宋体"/>
          <w:color w:val="auto"/>
          <w:szCs w:val="21"/>
          <w:highlight w:val="none"/>
        </w:rPr>
        <w:t>8、我方承诺无条件服从条款：“比选人在签订合同之前任何时候均有权宣布终止比选程序，对受影响的参选单位不承担任何责任，也无义务向受影响的参选单位作出解释。</w:t>
      </w:r>
      <w:r>
        <w:rPr>
          <w:rFonts w:hint="eastAsia" w:ascii="宋体" w:hAnsi="宋体"/>
          <w:color w:val="auto"/>
          <w:highlight w:val="none"/>
        </w:rPr>
        <w:t>”</w:t>
      </w:r>
    </w:p>
    <w:p>
      <w:pPr>
        <w:spacing w:line="400" w:lineRule="exact"/>
        <w:ind w:left="420"/>
        <w:rPr>
          <w:rFonts w:ascii="宋体" w:hAnsi="宋体"/>
          <w:color w:val="auto"/>
          <w:szCs w:val="21"/>
          <w:highlight w:val="none"/>
        </w:rPr>
      </w:pPr>
      <w:r>
        <w:rPr>
          <w:rFonts w:hint="eastAsia" w:ascii="宋体" w:hAnsi="宋体"/>
          <w:color w:val="auto"/>
          <w:highlight w:val="none"/>
        </w:rPr>
        <w:t>与本参选文件有关的正式通讯地址为：</w:t>
      </w:r>
    </w:p>
    <w:p>
      <w:pPr>
        <w:pStyle w:val="23"/>
        <w:spacing w:line="400" w:lineRule="exact"/>
        <w:ind w:firstLine="420"/>
        <w:rPr>
          <w:rFonts w:hAnsi="宋体"/>
          <w:color w:val="auto"/>
          <w:highlight w:val="none"/>
        </w:rPr>
      </w:pPr>
      <w:r>
        <w:rPr>
          <w:rFonts w:hint="eastAsia" w:hAnsi="宋体"/>
          <w:color w:val="auto"/>
          <w:highlight w:val="none"/>
        </w:rPr>
        <w:t>地址：</w:t>
      </w:r>
      <w:r>
        <w:rPr>
          <w:rFonts w:hint="eastAsia" w:hAnsi="宋体"/>
          <w:color w:val="auto"/>
          <w:highlight w:val="none"/>
          <w:u w:val="single"/>
        </w:rPr>
        <w:t xml:space="preserve">                                </w:t>
      </w:r>
      <w:r>
        <w:rPr>
          <w:rFonts w:hint="eastAsia" w:hAnsi="宋体"/>
          <w:color w:val="auto"/>
          <w:highlight w:val="none"/>
        </w:rPr>
        <w:t xml:space="preserve"> 邮政编码：</w:t>
      </w:r>
      <w:r>
        <w:rPr>
          <w:rFonts w:hint="eastAsia" w:hAnsi="宋体"/>
          <w:color w:val="auto"/>
          <w:highlight w:val="none"/>
          <w:u w:val="single"/>
        </w:rPr>
        <w:t xml:space="preserve">             </w:t>
      </w:r>
    </w:p>
    <w:p>
      <w:pPr>
        <w:pStyle w:val="23"/>
        <w:spacing w:line="400" w:lineRule="exact"/>
        <w:ind w:firstLine="420"/>
        <w:rPr>
          <w:rFonts w:hAnsi="宋体"/>
          <w:color w:val="auto"/>
          <w:highlight w:val="none"/>
          <w:u w:val="single"/>
        </w:rPr>
      </w:pPr>
      <w:r>
        <w:rPr>
          <w:rFonts w:hint="eastAsia" w:hAnsi="宋体"/>
          <w:color w:val="auto"/>
          <w:highlight w:val="none"/>
        </w:rPr>
        <w:t>电话：</w:t>
      </w:r>
      <w:r>
        <w:rPr>
          <w:rFonts w:hint="eastAsia" w:hAnsi="宋体"/>
          <w:color w:val="auto"/>
          <w:highlight w:val="none"/>
          <w:u w:val="single"/>
        </w:rPr>
        <w:t xml:space="preserve">                                      　　　　　　　　　</w:t>
      </w:r>
    </w:p>
    <w:p>
      <w:pPr>
        <w:pStyle w:val="23"/>
        <w:spacing w:line="400" w:lineRule="exact"/>
        <w:ind w:firstLine="420"/>
        <w:rPr>
          <w:rFonts w:hAnsi="宋体"/>
          <w:color w:val="auto"/>
          <w:highlight w:val="none"/>
        </w:rPr>
      </w:pPr>
      <w:r>
        <w:rPr>
          <w:rFonts w:hint="eastAsia" w:hAnsi="宋体"/>
          <w:color w:val="auto"/>
          <w:highlight w:val="none"/>
        </w:rPr>
        <w:t>传真：</w:t>
      </w:r>
      <w:r>
        <w:rPr>
          <w:rFonts w:hint="eastAsia" w:hAnsi="宋体"/>
          <w:color w:val="auto"/>
          <w:highlight w:val="none"/>
          <w:u w:val="single"/>
        </w:rPr>
        <w:t>　　　　　　　　　　　　　　　　　　　　　　　　　　　　</w:t>
      </w:r>
    </w:p>
    <w:p>
      <w:pPr>
        <w:pStyle w:val="23"/>
        <w:spacing w:line="400" w:lineRule="exact"/>
        <w:ind w:firstLine="420"/>
        <w:rPr>
          <w:rFonts w:hAnsi="宋体"/>
          <w:color w:val="auto"/>
          <w:highlight w:val="none"/>
          <w:u w:val="single"/>
        </w:rPr>
      </w:pPr>
      <w:r>
        <w:rPr>
          <w:rFonts w:hint="eastAsia" w:hAnsi="宋体"/>
          <w:color w:val="auto"/>
          <w:highlight w:val="none"/>
        </w:rPr>
        <w:t>开户名称：</w:t>
      </w:r>
      <w:r>
        <w:rPr>
          <w:rFonts w:hint="eastAsia" w:hAnsi="宋体"/>
          <w:color w:val="auto"/>
          <w:highlight w:val="none"/>
          <w:u w:val="single"/>
        </w:rPr>
        <w:t xml:space="preserve">                                                    </w:t>
      </w:r>
    </w:p>
    <w:p>
      <w:pPr>
        <w:pStyle w:val="23"/>
        <w:spacing w:line="400" w:lineRule="exact"/>
        <w:ind w:firstLine="420"/>
        <w:rPr>
          <w:rFonts w:hAnsi="宋体"/>
          <w:color w:val="auto"/>
          <w:highlight w:val="none"/>
          <w:u w:val="single"/>
        </w:rPr>
      </w:pPr>
      <w:r>
        <w:rPr>
          <w:rFonts w:hint="eastAsia" w:hAnsi="宋体"/>
          <w:color w:val="auto"/>
          <w:highlight w:val="none"/>
        </w:rPr>
        <w:t>开户银行：</w:t>
      </w:r>
      <w:r>
        <w:rPr>
          <w:rFonts w:hint="eastAsia" w:hAnsi="宋体"/>
          <w:color w:val="auto"/>
          <w:highlight w:val="none"/>
          <w:u w:val="single"/>
        </w:rPr>
        <w:t xml:space="preserve">                                                    </w:t>
      </w:r>
    </w:p>
    <w:p>
      <w:pPr>
        <w:pStyle w:val="23"/>
        <w:spacing w:line="400" w:lineRule="exact"/>
        <w:ind w:firstLine="420"/>
        <w:rPr>
          <w:rFonts w:hAnsi="宋体"/>
          <w:color w:val="auto"/>
          <w:highlight w:val="none"/>
          <w:u w:val="single"/>
        </w:rPr>
      </w:pPr>
      <w:r>
        <w:rPr>
          <w:rFonts w:hint="eastAsia" w:hAnsi="宋体"/>
          <w:color w:val="auto"/>
          <w:highlight w:val="none"/>
        </w:rPr>
        <w:t>帐    号：</w:t>
      </w:r>
      <w:r>
        <w:rPr>
          <w:rFonts w:hint="eastAsia" w:hAnsi="宋体"/>
          <w:color w:val="auto"/>
          <w:highlight w:val="none"/>
          <w:u w:val="single"/>
        </w:rPr>
        <w:t xml:space="preserve">                                                    </w:t>
      </w:r>
    </w:p>
    <w:p>
      <w:pPr>
        <w:pStyle w:val="23"/>
        <w:spacing w:line="400" w:lineRule="exact"/>
        <w:ind w:firstLine="420"/>
        <w:rPr>
          <w:rFonts w:hAnsi="宋体"/>
          <w:color w:val="auto"/>
          <w:highlight w:val="none"/>
        </w:rPr>
      </w:pPr>
      <w:r>
        <w:rPr>
          <w:rFonts w:hint="eastAsia" w:hAnsi="宋体"/>
          <w:color w:val="auto"/>
          <w:highlight w:val="none"/>
        </w:rPr>
        <w:t>法定代表人或其</w:t>
      </w:r>
      <w:r>
        <w:rPr>
          <w:rFonts w:hint="eastAsia"/>
          <w:bCs/>
          <w:color w:val="auto"/>
          <w:highlight w:val="none"/>
        </w:rPr>
        <w:t>授权代表</w:t>
      </w:r>
      <w:r>
        <w:rPr>
          <w:rFonts w:hint="eastAsia" w:hAnsi="宋体"/>
          <w:color w:val="auto"/>
          <w:highlight w:val="none"/>
        </w:rPr>
        <w:t>签名(或盖章)：</w:t>
      </w:r>
      <w:r>
        <w:rPr>
          <w:rFonts w:hint="eastAsia" w:hAnsi="宋体"/>
          <w:color w:val="auto"/>
          <w:highlight w:val="none"/>
          <w:u w:val="single"/>
        </w:rPr>
        <w:t xml:space="preserve">                       </w:t>
      </w:r>
    </w:p>
    <w:p>
      <w:pPr>
        <w:pStyle w:val="23"/>
        <w:spacing w:line="400" w:lineRule="exact"/>
        <w:ind w:firstLine="420"/>
        <w:rPr>
          <w:rFonts w:hAnsi="宋体"/>
          <w:color w:val="auto"/>
          <w:highlight w:val="none"/>
        </w:rPr>
      </w:pPr>
      <w:r>
        <w:rPr>
          <w:rFonts w:hint="eastAsia" w:hAnsi="宋体"/>
          <w:color w:val="auto"/>
          <w:highlight w:val="none"/>
        </w:rPr>
        <w:t>参选单位盖公章：</w:t>
      </w:r>
      <w:r>
        <w:rPr>
          <w:rFonts w:hint="eastAsia" w:hAnsi="宋体"/>
          <w:color w:val="auto"/>
          <w:highlight w:val="none"/>
          <w:u w:val="single"/>
        </w:rPr>
        <w:t xml:space="preserve">                                                </w:t>
      </w:r>
    </w:p>
    <w:p>
      <w:pPr>
        <w:pStyle w:val="23"/>
        <w:spacing w:line="400" w:lineRule="exact"/>
        <w:ind w:firstLine="400" w:firstLineChars="200"/>
        <w:rPr>
          <w:rFonts w:hAnsi="宋体"/>
          <w:color w:val="auto"/>
          <w:highlight w:val="none"/>
          <w:u w:val="single"/>
        </w:rPr>
      </w:pPr>
      <w:r>
        <w:rPr>
          <w:rFonts w:hint="eastAsia" w:hAnsi="宋体"/>
          <w:color w:val="auto"/>
          <w:highlight w:val="none"/>
        </w:rPr>
        <w:t>参选日期：</w:t>
      </w:r>
      <w:r>
        <w:rPr>
          <w:rFonts w:hint="eastAsia" w:hAnsi="宋体"/>
          <w:color w:val="auto"/>
          <w:highlight w:val="none"/>
          <w:u w:val="single"/>
        </w:rPr>
        <w:t xml:space="preserve">                                                    </w:t>
      </w:r>
    </w:p>
    <w:p>
      <w:pPr>
        <w:overflowPunct w:val="0"/>
        <w:autoSpaceDE w:val="0"/>
        <w:autoSpaceDN w:val="0"/>
        <w:adjustRightInd w:val="0"/>
        <w:spacing w:line="480" w:lineRule="auto"/>
        <w:textAlignment w:val="baseline"/>
        <w:rPr>
          <w:rFonts w:hint="eastAsia" w:hAnsi="宋体"/>
          <w:b/>
          <w:bCs/>
          <w:color w:val="auto"/>
          <w:highlight w:val="none"/>
        </w:rPr>
      </w:pPr>
    </w:p>
    <w:p>
      <w:pPr>
        <w:overflowPunct w:val="0"/>
        <w:autoSpaceDE w:val="0"/>
        <w:autoSpaceDN w:val="0"/>
        <w:adjustRightInd w:val="0"/>
        <w:spacing w:line="480" w:lineRule="auto"/>
        <w:textAlignment w:val="baseline"/>
        <w:rPr>
          <w:rFonts w:hAnsi="宋体"/>
          <w:b/>
          <w:bCs/>
          <w:color w:val="auto"/>
          <w:highlight w:val="none"/>
        </w:rPr>
      </w:pPr>
      <w:r>
        <w:rPr>
          <w:rFonts w:hint="eastAsia" w:hAnsi="宋体"/>
          <w:b/>
          <w:bCs/>
          <w:color w:val="auto"/>
          <w:highlight w:val="none"/>
        </w:rPr>
        <w:t>【注： 请注意承诺函价格与价格清单一致，不一致时参选人的参选文件将不被比选人受理。】</w:t>
      </w:r>
    </w:p>
    <w:p>
      <w:pPr>
        <w:pStyle w:val="23"/>
        <w:spacing w:line="360" w:lineRule="auto"/>
        <w:rPr>
          <w:b/>
          <w:color w:val="auto"/>
          <w:highlight w:val="none"/>
        </w:rPr>
      </w:pPr>
    </w:p>
    <w:p>
      <w:pPr>
        <w:pStyle w:val="23"/>
        <w:spacing w:line="360" w:lineRule="auto"/>
        <w:rPr>
          <w:b/>
          <w:color w:val="auto"/>
          <w:highlight w:val="none"/>
        </w:rPr>
      </w:pPr>
      <w:r>
        <w:rPr>
          <w:rFonts w:hint="eastAsia"/>
          <w:b/>
          <w:color w:val="auto"/>
          <w:highlight w:val="none"/>
          <w:lang w:val="en-US" w:eastAsia="zh-CN"/>
        </w:rPr>
        <w:t>5</w:t>
      </w:r>
      <w:r>
        <w:rPr>
          <w:b/>
          <w:color w:val="auto"/>
          <w:highlight w:val="none"/>
        </w:rPr>
        <w:t>、法定代表人资格证明书</w:t>
      </w:r>
      <w:r>
        <w:rPr>
          <w:rFonts w:hint="eastAsia"/>
          <w:b/>
          <w:color w:val="auto"/>
          <w:highlight w:val="none"/>
        </w:rPr>
        <w:t>原件</w:t>
      </w:r>
    </w:p>
    <w:p>
      <w:pPr>
        <w:spacing w:line="360" w:lineRule="auto"/>
        <w:ind w:firstLine="5651"/>
        <w:rPr>
          <w:rFonts w:eastAsia="华文中宋"/>
          <w:color w:val="auto"/>
          <w:sz w:val="24"/>
          <w:highlight w:val="none"/>
        </w:rPr>
      </w:pPr>
    </w:p>
    <w:p>
      <w:pPr>
        <w:pStyle w:val="23"/>
        <w:spacing w:after="120" w:afterLines="50" w:line="360" w:lineRule="auto"/>
        <w:jc w:val="center"/>
        <w:rPr>
          <w:rFonts w:ascii="Times New Roman" w:hAnsi="Times New Roman" w:eastAsia="华文细黑"/>
          <w:color w:val="auto"/>
          <w:sz w:val="44"/>
          <w:highlight w:val="none"/>
        </w:rPr>
      </w:pPr>
    </w:p>
    <w:p>
      <w:pPr>
        <w:pStyle w:val="18"/>
        <w:spacing w:line="480" w:lineRule="auto"/>
        <w:ind w:firstLine="1274" w:firstLineChars="455"/>
        <w:rPr>
          <w:color w:val="auto"/>
          <w:sz w:val="28"/>
          <w:szCs w:val="28"/>
          <w:highlight w:val="none"/>
        </w:rPr>
      </w:pPr>
    </w:p>
    <w:p>
      <w:pPr>
        <w:pStyle w:val="23"/>
        <w:spacing w:after="120" w:afterLines="50" w:line="440" w:lineRule="exact"/>
        <w:jc w:val="center"/>
        <w:rPr>
          <w:rFonts w:ascii="Times New Roman" w:hAnsi="Times New Roman"/>
          <w:color w:val="auto"/>
          <w:sz w:val="44"/>
          <w:highlight w:val="none"/>
        </w:rPr>
      </w:pPr>
      <w:r>
        <w:rPr>
          <w:rFonts w:hint="eastAsia" w:ascii="Times New Roman" w:hAnsi="Times New Roman"/>
          <w:color w:val="auto"/>
          <w:sz w:val="44"/>
          <w:highlight w:val="none"/>
        </w:rPr>
        <w:t>法定代表人资格证明书</w:t>
      </w:r>
    </w:p>
    <w:p>
      <w:pPr>
        <w:pStyle w:val="23"/>
        <w:ind w:firstLine="480" w:firstLineChars="200"/>
        <w:rPr>
          <w:rFonts w:ascii="Times New Roman" w:hAnsi="Times New Roman"/>
          <w:color w:val="auto"/>
          <w:sz w:val="24"/>
          <w:highlight w:val="none"/>
        </w:rPr>
      </w:pPr>
    </w:p>
    <w:p>
      <w:pPr>
        <w:pStyle w:val="23"/>
        <w:ind w:left="279" w:leftChars="133"/>
        <w:rPr>
          <w:rFonts w:ascii="Times New Roman" w:hAnsi="Times New Roman"/>
          <w:color w:val="auto"/>
          <w:sz w:val="28"/>
          <w:highlight w:val="none"/>
        </w:rPr>
      </w:pPr>
    </w:p>
    <w:p>
      <w:pPr>
        <w:pStyle w:val="23"/>
        <w:spacing w:line="480" w:lineRule="auto"/>
        <w:ind w:left="279" w:leftChars="133"/>
        <w:rPr>
          <w:rFonts w:ascii="Times New Roman" w:hAnsi="Times New Roman"/>
          <w:color w:val="auto"/>
          <w:sz w:val="24"/>
          <w:highlight w:val="none"/>
          <w:u w:val="single"/>
        </w:rPr>
      </w:pPr>
      <w:r>
        <w:rPr>
          <w:rFonts w:hint="eastAsia" w:ascii="Times New Roman" w:hAnsi="Times New Roman"/>
          <w:color w:val="auto"/>
          <w:sz w:val="24"/>
          <w:highlight w:val="none"/>
        </w:rPr>
        <w:t>单位名称：</w:t>
      </w:r>
      <w:r>
        <w:rPr>
          <w:rFonts w:ascii="Times New Roman" w:hAnsi="Times New Roman"/>
          <w:color w:val="auto"/>
          <w:sz w:val="24"/>
          <w:highlight w:val="none"/>
          <w:u w:val="single"/>
        </w:rPr>
        <w:t xml:space="preserve">                                                      </w:t>
      </w:r>
    </w:p>
    <w:p>
      <w:pPr>
        <w:pStyle w:val="23"/>
        <w:spacing w:line="480" w:lineRule="auto"/>
        <w:ind w:left="279" w:leftChars="133"/>
        <w:rPr>
          <w:rFonts w:ascii="Times New Roman" w:hAnsi="Times New Roman"/>
          <w:color w:val="auto"/>
          <w:sz w:val="24"/>
          <w:highlight w:val="none"/>
          <w:u w:val="single"/>
        </w:rPr>
      </w:pPr>
      <w:r>
        <w:rPr>
          <w:rFonts w:hint="eastAsia" w:ascii="Times New Roman" w:hAnsi="Times New Roman"/>
          <w:color w:val="auto"/>
          <w:sz w:val="24"/>
          <w:highlight w:val="none"/>
        </w:rPr>
        <w:t>地</w:t>
      </w:r>
      <w:r>
        <w:rPr>
          <w:rFonts w:ascii="Times New Roman" w:hAnsi="Times New Roman"/>
          <w:color w:val="auto"/>
          <w:sz w:val="24"/>
          <w:highlight w:val="none"/>
        </w:rPr>
        <w:t xml:space="preserve">    </w:t>
      </w:r>
      <w:r>
        <w:rPr>
          <w:rFonts w:hint="eastAsia" w:ascii="Times New Roman" w:hAnsi="Times New Roman"/>
          <w:color w:val="auto"/>
          <w:sz w:val="24"/>
          <w:highlight w:val="none"/>
        </w:rPr>
        <w:t>址：</w:t>
      </w:r>
      <w:r>
        <w:rPr>
          <w:rFonts w:ascii="Times New Roman" w:hAnsi="Times New Roman"/>
          <w:color w:val="auto"/>
          <w:sz w:val="24"/>
          <w:highlight w:val="none"/>
          <w:u w:val="single"/>
        </w:rPr>
        <w:t xml:space="preserve">                                                      </w:t>
      </w:r>
    </w:p>
    <w:p>
      <w:pPr>
        <w:pStyle w:val="23"/>
        <w:spacing w:line="480" w:lineRule="auto"/>
        <w:ind w:left="279" w:leftChars="133"/>
        <w:rPr>
          <w:rFonts w:ascii="Times New Roman" w:hAnsi="Times New Roman"/>
          <w:color w:val="auto"/>
          <w:sz w:val="24"/>
          <w:highlight w:val="none"/>
          <w:u w:val="single"/>
        </w:rPr>
      </w:pPr>
      <w:r>
        <w:rPr>
          <w:rFonts w:hint="eastAsia" w:ascii="Times New Roman" w:hAnsi="Times New Roman"/>
          <w:color w:val="auto"/>
          <w:sz w:val="24"/>
          <w:highlight w:val="none"/>
        </w:rPr>
        <w:t>姓名：</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性别：</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年龄：</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职务：</w:t>
      </w:r>
      <w:r>
        <w:rPr>
          <w:rFonts w:ascii="Times New Roman" w:hAnsi="Times New Roman"/>
          <w:color w:val="auto"/>
          <w:sz w:val="24"/>
          <w:highlight w:val="none"/>
          <w:u w:val="single"/>
        </w:rPr>
        <w:t xml:space="preserve">               </w:t>
      </w:r>
    </w:p>
    <w:p>
      <w:pPr>
        <w:pStyle w:val="23"/>
        <w:spacing w:line="480" w:lineRule="auto"/>
        <w:ind w:left="279" w:leftChars="133"/>
        <w:rPr>
          <w:rFonts w:ascii="Times New Roman" w:hAnsi="Times New Roman"/>
          <w:color w:val="auto"/>
          <w:sz w:val="24"/>
          <w:highlight w:val="none"/>
        </w:rPr>
      </w:pPr>
      <w:r>
        <w:rPr>
          <w:rFonts w:hint="eastAsia" w:ascii="Times New Roman" w:hAnsi="Times New Roman"/>
          <w:color w:val="auto"/>
          <w:sz w:val="24"/>
          <w:highlight w:val="none"/>
        </w:rPr>
        <w:t>系</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的法定代表人。</w:t>
      </w:r>
    </w:p>
    <w:p>
      <w:pPr>
        <w:pStyle w:val="23"/>
        <w:spacing w:line="480" w:lineRule="auto"/>
        <w:ind w:left="359" w:leftChars="171"/>
        <w:rPr>
          <w:rFonts w:ascii="Times New Roman" w:hAnsi="Times New Roman"/>
          <w:color w:val="auto"/>
          <w:sz w:val="24"/>
          <w:highlight w:val="none"/>
        </w:rPr>
      </w:pPr>
    </w:p>
    <w:p>
      <w:pPr>
        <w:pStyle w:val="23"/>
        <w:spacing w:line="480" w:lineRule="auto"/>
        <w:ind w:left="359" w:leftChars="171"/>
        <w:rPr>
          <w:rFonts w:ascii="Times New Roman" w:hAnsi="Times New Roman"/>
          <w:color w:val="auto"/>
          <w:sz w:val="24"/>
          <w:highlight w:val="none"/>
        </w:rPr>
      </w:pPr>
      <w:r>
        <w:rPr>
          <w:rFonts w:hint="eastAsia" w:ascii="Times New Roman" w:hAnsi="Times New Roman"/>
          <w:color w:val="auto"/>
          <w:sz w:val="24"/>
          <w:highlight w:val="none"/>
        </w:rPr>
        <w:t>特此证明。</w:t>
      </w:r>
    </w:p>
    <w:p>
      <w:pPr>
        <w:pStyle w:val="23"/>
        <w:spacing w:line="480" w:lineRule="auto"/>
        <w:ind w:left="133" w:firstLine="1260" w:firstLineChars="525"/>
        <w:rPr>
          <w:rFonts w:ascii="Times New Roman" w:hAnsi="Times New Roman"/>
          <w:color w:val="auto"/>
          <w:sz w:val="24"/>
          <w:highlight w:val="none"/>
        </w:rPr>
      </w:pPr>
    </w:p>
    <w:p>
      <w:pPr>
        <w:pStyle w:val="23"/>
        <w:spacing w:line="480" w:lineRule="auto"/>
        <w:ind w:left="133" w:firstLine="1260" w:firstLineChars="525"/>
        <w:rPr>
          <w:rFonts w:ascii="Times New Roman" w:hAnsi="Times New Roman"/>
          <w:color w:val="auto"/>
          <w:sz w:val="24"/>
          <w:highlight w:val="none"/>
        </w:rPr>
      </w:pPr>
    </w:p>
    <w:p>
      <w:pPr>
        <w:pStyle w:val="23"/>
        <w:spacing w:line="480" w:lineRule="auto"/>
        <w:ind w:left="133" w:firstLine="1260" w:firstLineChars="525"/>
        <w:rPr>
          <w:rFonts w:ascii="Times New Roman" w:hAnsi="Times New Roman"/>
          <w:color w:val="auto"/>
          <w:sz w:val="24"/>
          <w:highlight w:val="none"/>
          <w:u w:val="single"/>
        </w:rPr>
      </w:pPr>
      <w:r>
        <w:rPr>
          <w:rFonts w:hint="eastAsia" w:ascii="Times New Roman" w:hAnsi="Times New Roman"/>
          <w:color w:val="auto"/>
          <w:sz w:val="24"/>
          <w:highlight w:val="none"/>
        </w:rPr>
        <w:t>参选单位(盖章)：</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参选单位名称</w:t>
      </w:r>
      <w:r>
        <w:rPr>
          <w:rFonts w:ascii="Times New Roman" w:hAnsi="Times New Roman"/>
          <w:color w:val="auto"/>
          <w:sz w:val="24"/>
          <w:highlight w:val="none"/>
          <w:u w:val="single"/>
        </w:rPr>
        <w:t xml:space="preserve">]                </w:t>
      </w:r>
    </w:p>
    <w:p>
      <w:pPr>
        <w:pStyle w:val="23"/>
        <w:spacing w:line="480" w:lineRule="auto"/>
        <w:ind w:left="133" w:firstLine="1260" w:firstLineChars="525"/>
        <w:rPr>
          <w:rFonts w:ascii="Times New Roman" w:hAnsi="Times New Roman"/>
          <w:color w:val="auto"/>
          <w:sz w:val="24"/>
          <w:highlight w:val="none"/>
          <w:u w:val="single"/>
        </w:rPr>
      </w:pPr>
    </w:p>
    <w:p>
      <w:pPr>
        <w:pStyle w:val="23"/>
        <w:spacing w:line="480" w:lineRule="auto"/>
        <w:ind w:left="133" w:firstLine="1260" w:firstLineChars="525"/>
        <w:rPr>
          <w:rFonts w:ascii="Times New Roman" w:hAnsi="Times New Roman"/>
          <w:color w:val="auto"/>
          <w:sz w:val="24"/>
          <w:highlight w:val="none"/>
        </w:rPr>
      </w:pPr>
      <w:r>
        <w:rPr>
          <w:rFonts w:hint="eastAsia" w:ascii="Times New Roman" w:hAnsi="Times New Roman"/>
          <w:color w:val="auto"/>
          <w:sz w:val="24"/>
          <w:highlight w:val="none"/>
        </w:rPr>
        <w:t>日</w:t>
      </w:r>
      <w:r>
        <w:rPr>
          <w:rFonts w:ascii="Times New Roman" w:hAnsi="Times New Roman"/>
          <w:color w:val="auto"/>
          <w:sz w:val="24"/>
          <w:highlight w:val="none"/>
        </w:rPr>
        <w:t xml:space="preserve">         </w:t>
      </w:r>
      <w:r>
        <w:rPr>
          <w:rFonts w:hint="eastAsia" w:ascii="Times New Roman" w:hAnsi="Times New Roman"/>
          <w:color w:val="auto"/>
          <w:sz w:val="24"/>
          <w:highlight w:val="none"/>
        </w:rPr>
        <w:t>期：</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年</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月</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日</w:t>
      </w:r>
    </w:p>
    <w:p>
      <w:pPr>
        <w:pStyle w:val="23"/>
        <w:spacing w:line="360" w:lineRule="auto"/>
        <w:rPr>
          <w:rFonts w:ascii="Times New Roman" w:hAnsi="Times New Roman"/>
          <w:color w:val="auto"/>
          <w:highlight w:val="none"/>
        </w:rPr>
      </w:pPr>
    </w:p>
    <w:p>
      <w:pPr>
        <w:pStyle w:val="23"/>
        <w:spacing w:line="360" w:lineRule="auto"/>
        <w:rPr>
          <w:rFonts w:ascii="Times New Roman" w:hAnsi="Times New Roman"/>
          <w:color w:val="auto"/>
          <w:highlight w:val="none"/>
        </w:rPr>
      </w:pPr>
    </w:p>
    <w:p>
      <w:pPr>
        <w:pStyle w:val="23"/>
        <w:spacing w:line="360" w:lineRule="auto"/>
        <w:rPr>
          <w:rFonts w:ascii="Times New Roman" w:hAnsi="Times New Roman"/>
          <w:color w:val="auto"/>
          <w:highlight w:val="none"/>
        </w:rPr>
        <w:sectPr>
          <w:headerReference r:id="rId10" w:type="first"/>
          <w:pgSz w:w="11906" w:h="16838"/>
          <w:pgMar w:top="1440" w:right="987" w:bottom="1440" w:left="1440" w:header="720" w:footer="891" w:gutter="0"/>
          <w:cols w:space="720" w:num="1"/>
        </w:sectPr>
      </w:pPr>
    </w:p>
    <w:p>
      <w:pPr>
        <w:pStyle w:val="23"/>
        <w:spacing w:line="360" w:lineRule="auto"/>
        <w:rPr>
          <w:b/>
          <w:color w:val="auto"/>
          <w:highlight w:val="none"/>
        </w:rPr>
      </w:pPr>
      <w:r>
        <w:rPr>
          <w:rFonts w:hint="eastAsia"/>
          <w:b/>
          <w:color w:val="auto"/>
          <w:highlight w:val="none"/>
          <w:lang w:val="en-US" w:eastAsia="zh-CN"/>
        </w:rPr>
        <w:t>6</w:t>
      </w:r>
      <w:r>
        <w:rPr>
          <w:b/>
          <w:color w:val="auto"/>
          <w:highlight w:val="none"/>
        </w:rPr>
        <w:t>、法人代表授权委托书</w:t>
      </w:r>
      <w:r>
        <w:rPr>
          <w:rFonts w:hint="eastAsia"/>
          <w:b/>
          <w:color w:val="auto"/>
          <w:highlight w:val="none"/>
        </w:rPr>
        <w:t>原件（若有）</w:t>
      </w:r>
    </w:p>
    <w:p>
      <w:pPr>
        <w:spacing w:line="360" w:lineRule="auto"/>
        <w:jc w:val="center"/>
        <w:rPr>
          <w:b/>
          <w:color w:val="auto"/>
          <w:sz w:val="24"/>
          <w:szCs w:val="24"/>
          <w:highlight w:val="none"/>
        </w:rPr>
      </w:pPr>
    </w:p>
    <w:p>
      <w:pPr>
        <w:pStyle w:val="23"/>
        <w:spacing w:after="120" w:afterLines="50" w:line="440" w:lineRule="exact"/>
        <w:jc w:val="center"/>
        <w:rPr>
          <w:rFonts w:ascii="Times New Roman" w:hAnsi="Times New Roman"/>
          <w:color w:val="auto"/>
          <w:sz w:val="44"/>
          <w:highlight w:val="none"/>
        </w:rPr>
      </w:pPr>
    </w:p>
    <w:p>
      <w:pPr>
        <w:pStyle w:val="23"/>
        <w:spacing w:after="120" w:afterLines="50" w:line="440" w:lineRule="exact"/>
        <w:jc w:val="center"/>
        <w:rPr>
          <w:rFonts w:ascii="Times New Roman" w:hAnsi="Times New Roman"/>
          <w:color w:val="auto"/>
          <w:sz w:val="44"/>
          <w:highlight w:val="none"/>
        </w:rPr>
      </w:pPr>
      <w:r>
        <w:rPr>
          <w:rFonts w:hint="eastAsia" w:ascii="Times New Roman" w:hAnsi="Times New Roman"/>
          <w:color w:val="auto"/>
          <w:sz w:val="44"/>
          <w:highlight w:val="none"/>
        </w:rPr>
        <w:t>法人代表授</w:t>
      </w:r>
      <w:r>
        <w:rPr>
          <w:rFonts w:hint="eastAsia" w:ascii="Times New Roman" w:hAnsi="Times New Roman"/>
          <w:color w:val="auto"/>
          <w:sz w:val="44"/>
          <w:szCs w:val="52"/>
          <w:highlight w:val="none"/>
        </w:rPr>
        <w:t>权</w:t>
      </w:r>
      <w:r>
        <w:rPr>
          <w:rFonts w:hint="eastAsia" w:ascii="Times New Roman" w:hAnsi="Times New Roman"/>
          <w:color w:val="auto"/>
          <w:sz w:val="44"/>
          <w:highlight w:val="none"/>
        </w:rPr>
        <w:t>委托</w:t>
      </w:r>
      <w:r>
        <w:rPr>
          <w:rFonts w:hint="eastAsia" w:ascii="Times New Roman" w:hAnsi="Times New Roman"/>
          <w:color w:val="auto"/>
          <w:sz w:val="44"/>
          <w:szCs w:val="52"/>
          <w:highlight w:val="none"/>
        </w:rPr>
        <w:t>书</w:t>
      </w:r>
    </w:p>
    <w:p>
      <w:pPr>
        <w:pStyle w:val="23"/>
        <w:spacing w:after="120" w:afterLines="50" w:line="440" w:lineRule="exact"/>
        <w:jc w:val="center"/>
        <w:rPr>
          <w:rFonts w:ascii="Times New Roman" w:hAnsi="Times New Roman" w:eastAsia="华文细黑"/>
          <w:color w:val="auto"/>
          <w:sz w:val="44"/>
          <w:highlight w:val="none"/>
        </w:rPr>
      </w:pPr>
    </w:p>
    <w:p>
      <w:pPr>
        <w:pStyle w:val="23"/>
        <w:spacing w:line="480" w:lineRule="auto"/>
        <w:ind w:left="178" w:firstLine="480"/>
        <w:rPr>
          <w:rFonts w:hAnsi="宋体"/>
          <w:color w:val="auto"/>
          <w:sz w:val="24"/>
          <w:highlight w:val="none"/>
          <w:u w:val="single"/>
        </w:rPr>
      </w:pPr>
      <w:r>
        <w:rPr>
          <w:rFonts w:hint="eastAsia" w:hAnsi="宋体"/>
          <w:color w:val="auto"/>
          <w:sz w:val="24"/>
          <w:highlight w:val="none"/>
        </w:rPr>
        <w:t>本授权委托书声明：我</w:t>
      </w:r>
      <w:r>
        <w:rPr>
          <w:rFonts w:hint="eastAsia" w:hAnsi="宋体"/>
          <w:color w:val="auto"/>
          <w:sz w:val="24"/>
          <w:highlight w:val="none"/>
          <w:u w:val="single"/>
        </w:rPr>
        <w:t xml:space="preserve">            </w:t>
      </w:r>
      <w:r>
        <w:rPr>
          <w:rFonts w:hint="eastAsia" w:hAnsi="宋体"/>
          <w:color w:val="auto"/>
          <w:sz w:val="24"/>
          <w:highlight w:val="none"/>
        </w:rPr>
        <w:t>(姓名)系</w:t>
      </w:r>
      <w:r>
        <w:rPr>
          <w:rFonts w:hint="eastAsia" w:hAnsi="宋体"/>
          <w:color w:val="auto"/>
          <w:sz w:val="24"/>
          <w:highlight w:val="none"/>
          <w:u w:val="single"/>
        </w:rPr>
        <w:t xml:space="preserve">                           </w:t>
      </w:r>
    </w:p>
    <w:p>
      <w:pPr>
        <w:pStyle w:val="23"/>
        <w:spacing w:line="480" w:lineRule="auto"/>
        <w:ind w:left="181"/>
        <w:rPr>
          <w:rFonts w:hAnsi="宋体"/>
          <w:color w:val="auto"/>
          <w:sz w:val="24"/>
          <w:highlight w:val="none"/>
        </w:rPr>
      </w:pPr>
      <w:r>
        <w:rPr>
          <w:rFonts w:hint="eastAsia" w:hAnsi="宋体"/>
          <w:color w:val="auto"/>
          <w:sz w:val="24"/>
          <w:highlight w:val="none"/>
          <w:u w:val="single"/>
        </w:rPr>
        <w:t xml:space="preserve">                          </w:t>
      </w:r>
      <w:r>
        <w:rPr>
          <w:rFonts w:hint="eastAsia" w:hAnsi="宋体"/>
          <w:color w:val="auto"/>
          <w:sz w:val="24"/>
          <w:highlight w:val="none"/>
        </w:rPr>
        <w:t>(参选单位名称)的法定代表人，现授权委托</w:t>
      </w:r>
      <w:r>
        <w:rPr>
          <w:rFonts w:hint="eastAsia" w:hAnsi="宋体"/>
          <w:color w:val="auto"/>
          <w:sz w:val="24"/>
          <w:highlight w:val="none"/>
          <w:u w:val="single"/>
        </w:rPr>
        <w:t xml:space="preserve">               </w:t>
      </w:r>
      <w:r>
        <w:rPr>
          <w:rFonts w:hint="eastAsia" w:hAnsi="宋体"/>
          <w:color w:val="auto"/>
          <w:sz w:val="24"/>
          <w:highlight w:val="none"/>
        </w:rPr>
        <w:t xml:space="preserve">(姓名)为本公司参加  </w:t>
      </w:r>
      <w:r>
        <w:rPr>
          <w:rFonts w:hint="eastAsia" w:ascii="宋体" w:hAnsi="宋体"/>
          <w:b/>
          <w:color w:val="auto"/>
          <w:sz w:val="24"/>
          <w:szCs w:val="24"/>
          <w:highlight w:val="none"/>
          <w:u w:val="single"/>
        </w:rPr>
        <w:t xml:space="preserve">深铁珑境（一期）泛光照明工程  </w:t>
      </w:r>
      <w:r>
        <w:rPr>
          <w:rFonts w:hint="eastAsia" w:hAnsi="宋体"/>
          <w:color w:val="auto"/>
          <w:sz w:val="24"/>
          <w:highlight w:val="none"/>
          <w:u w:val="single"/>
        </w:rPr>
        <w:t xml:space="preserve"> </w:t>
      </w:r>
      <w:r>
        <w:rPr>
          <w:rFonts w:hint="eastAsia" w:hAnsi="宋体"/>
          <w:b/>
          <w:color w:val="auto"/>
          <w:sz w:val="24"/>
          <w:highlight w:val="none"/>
          <w:u w:val="single"/>
        </w:rPr>
        <w:t xml:space="preserve"> </w:t>
      </w:r>
      <w:r>
        <w:rPr>
          <w:rFonts w:hint="eastAsia" w:hAnsi="宋体"/>
          <w:color w:val="auto"/>
          <w:sz w:val="24"/>
          <w:highlight w:val="none"/>
        </w:rPr>
        <w:t>项目比选的代理人，我承认代理人全权代表我所签署的比选文件内容，并以本公司名义处理一切与之有关的事宜。</w:t>
      </w:r>
    </w:p>
    <w:p>
      <w:pPr>
        <w:pStyle w:val="23"/>
        <w:spacing w:line="480" w:lineRule="auto"/>
        <w:ind w:left="178" w:firstLine="480"/>
        <w:rPr>
          <w:rFonts w:hAnsi="宋体"/>
          <w:color w:val="auto"/>
          <w:sz w:val="24"/>
          <w:highlight w:val="none"/>
        </w:rPr>
      </w:pPr>
      <w:r>
        <w:rPr>
          <w:rFonts w:hint="eastAsia" w:hAnsi="宋体"/>
          <w:color w:val="auto"/>
          <w:sz w:val="24"/>
          <w:highlight w:val="none"/>
        </w:rPr>
        <w:t>代理人无转委托权，特此委托。</w:t>
      </w:r>
    </w:p>
    <w:p>
      <w:pPr>
        <w:pStyle w:val="23"/>
        <w:spacing w:line="480" w:lineRule="auto"/>
        <w:ind w:firstLine="600" w:firstLineChars="250"/>
        <w:rPr>
          <w:rFonts w:hAnsi="宋体"/>
          <w:color w:val="auto"/>
          <w:sz w:val="24"/>
          <w:highlight w:val="none"/>
        </w:rPr>
      </w:pPr>
      <w:r>
        <w:rPr>
          <w:rFonts w:hint="eastAsia" w:hAnsi="宋体"/>
          <w:color w:val="auto"/>
          <w:sz w:val="24"/>
          <w:highlight w:val="none"/>
        </w:rPr>
        <w:t>本授权书自签发之日起180日内有效。</w:t>
      </w:r>
    </w:p>
    <w:p>
      <w:pPr>
        <w:pStyle w:val="23"/>
        <w:spacing w:line="480" w:lineRule="auto"/>
        <w:ind w:left="85" w:firstLine="720"/>
        <w:rPr>
          <w:rFonts w:hAnsi="宋体"/>
          <w:color w:val="auto"/>
          <w:sz w:val="24"/>
          <w:highlight w:val="none"/>
        </w:rPr>
      </w:pPr>
    </w:p>
    <w:p>
      <w:pPr>
        <w:pStyle w:val="23"/>
        <w:spacing w:line="480" w:lineRule="auto"/>
        <w:ind w:left="85" w:firstLine="720"/>
        <w:rPr>
          <w:rFonts w:hAnsi="宋体"/>
          <w:color w:val="auto"/>
          <w:sz w:val="24"/>
          <w:highlight w:val="none"/>
        </w:rPr>
      </w:pPr>
    </w:p>
    <w:p>
      <w:pPr>
        <w:pStyle w:val="23"/>
        <w:spacing w:line="480" w:lineRule="auto"/>
        <w:ind w:left="85" w:firstLine="720"/>
        <w:rPr>
          <w:rFonts w:hAnsi="宋体"/>
          <w:color w:val="auto"/>
          <w:sz w:val="24"/>
          <w:highlight w:val="none"/>
        </w:rPr>
      </w:pPr>
    </w:p>
    <w:p>
      <w:pPr>
        <w:pStyle w:val="23"/>
        <w:spacing w:line="480" w:lineRule="auto"/>
        <w:ind w:left="84" w:firstLine="480"/>
        <w:rPr>
          <w:rFonts w:hAnsi="宋体"/>
          <w:color w:val="auto"/>
          <w:sz w:val="24"/>
          <w:highlight w:val="none"/>
          <w:u w:val="single"/>
        </w:rPr>
      </w:pPr>
      <w:r>
        <w:rPr>
          <w:rFonts w:hint="eastAsia" w:hAnsi="宋体"/>
          <w:color w:val="auto"/>
          <w:sz w:val="24"/>
          <w:highlight w:val="none"/>
        </w:rPr>
        <w:t>代理人：</w:t>
      </w:r>
      <w:r>
        <w:rPr>
          <w:rFonts w:hint="eastAsia" w:hAnsi="宋体"/>
          <w:color w:val="auto"/>
          <w:sz w:val="24"/>
          <w:highlight w:val="none"/>
          <w:u w:val="single"/>
        </w:rPr>
        <w:t xml:space="preserve">                </w:t>
      </w:r>
      <w:r>
        <w:rPr>
          <w:rFonts w:hint="eastAsia" w:hAnsi="宋体"/>
          <w:color w:val="auto"/>
          <w:sz w:val="24"/>
          <w:highlight w:val="none"/>
        </w:rPr>
        <w:t xml:space="preserve">  性别：</w:t>
      </w:r>
      <w:r>
        <w:rPr>
          <w:rFonts w:hint="eastAsia" w:hAnsi="宋体"/>
          <w:color w:val="auto"/>
          <w:sz w:val="24"/>
          <w:highlight w:val="none"/>
          <w:u w:val="single"/>
        </w:rPr>
        <w:t xml:space="preserve">          </w:t>
      </w:r>
      <w:r>
        <w:rPr>
          <w:rFonts w:hint="eastAsia" w:hAnsi="宋体"/>
          <w:color w:val="auto"/>
          <w:sz w:val="24"/>
          <w:highlight w:val="none"/>
        </w:rPr>
        <w:t xml:space="preserve">  年龄：</w:t>
      </w:r>
      <w:r>
        <w:rPr>
          <w:rFonts w:hint="eastAsia" w:hAnsi="宋体"/>
          <w:color w:val="auto"/>
          <w:sz w:val="24"/>
          <w:highlight w:val="none"/>
          <w:u w:val="single"/>
        </w:rPr>
        <w:t xml:space="preserve">             </w:t>
      </w:r>
    </w:p>
    <w:p>
      <w:pPr>
        <w:pStyle w:val="23"/>
        <w:spacing w:line="480" w:lineRule="auto"/>
        <w:ind w:left="84" w:firstLine="480"/>
        <w:rPr>
          <w:rFonts w:hAnsi="宋体"/>
          <w:color w:val="auto"/>
          <w:sz w:val="24"/>
          <w:highlight w:val="none"/>
          <w:u w:val="single"/>
        </w:rPr>
      </w:pPr>
      <w:r>
        <w:rPr>
          <w:rFonts w:hint="eastAsia" w:hAnsi="宋体"/>
          <w:color w:val="auto"/>
          <w:sz w:val="24"/>
          <w:highlight w:val="none"/>
        </w:rPr>
        <w:t>身份证号码：</w:t>
      </w:r>
      <w:r>
        <w:rPr>
          <w:rFonts w:hint="eastAsia" w:hAnsi="宋体"/>
          <w:color w:val="auto"/>
          <w:sz w:val="24"/>
          <w:highlight w:val="none"/>
          <w:u w:val="single"/>
        </w:rPr>
        <w:t xml:space="preserve">                          </w:t>
      </w:r>
      <w:r>
        <w:rPr>
          <w:rFonts w:hint="eastAsia" w:hAnsi="宋体"/>
          <w:color w:val="auto"/>
          <w:sz w:val="24"/>
          <w:highlight w:val="none"/>
        </w:rPr>
        <w:t xml:space="preserve">  职务：</w:t>
      </w:r>
      <w:r>
        <w:rPr>
          <w:rFonts w:hint="eastAsia" w:hAnsi="宋体"/>
          <w:color w:val="auto"/>
          <w:sz w:val="24"/>
          <w:highlight w:val="none"/>
          <w:u w:val="single"/>
        </w:rPr>
        <w:t xml:space="preserve">                 </w:t>
      </w:r>
    </w:p>
    <w:p>
      <w:pPr>
        <w:pStyle w:val="23"/>
        <w:spacing w:line="480" w:lineRule="auto"/>
        <w:ind w:left="84" w:firstLine="480"/>
        <w:rPr>
          <w:rFonts w:hAnsi="宋体"/>
          <w:color w:val="auto"/>
          <w:sz w:val="24"/>
          <w:highlight w:val="none"/>
          <w:u w:val="single"/>
        </w:rPr>
      </w:pPr>
      <w:r>
        <w:rPr>
          <w:rFonts w:hint="eastAsia" w:hAnsi="宋体"/>
          <w:color w:val="auto"/>
          <w:sz w:val="24"/>
          <w:highlight w:val="none"/>
        </w:rPr>
        <w:t>参选单位(盖章)：</w:t>
      </w:r>
      <w:r>
        <w:rPr>
          <w:rFonts w:hint="eastAsia" w:hAnsi="宋体"/>
          <w:color w:val="auto"/>
          <w:sz w:val="24"/>
          <w:highlight w:val="none"/>
          <w:u w:val="single"/>
        </w:rPr>
        <w:t xml:space="preserve">                                                </w:t>
      </w:r>
    </w:p>
    <w:p>
      <w:pPr>
        <w:pStyle w:val="23"/>
        <w:spacing w:line="480" w:lineRule="auto"/>
        <w:ind w:left="84" w:firstLine="480"/>
        <w:rPr>
          <w:rFonts w:hAnsi="宋体"/>
          <w:color w:val="auto"/>
          <w:sz w:val="24"/>
          <w:highlight w:val="none"/>
        </w:rPr>
      </w:pPr>
      <w:r>
        <w:rPr>
          <w:rFonts w:hint="eastAsia" w:hAnsi="宋体"/>
          <w:color w:val="auto"/>
          <w:sz w:val="24"/>
          <w:highlight w:val="none"/>
        </w:rPr>
        <w:t>法定代表人(签字或盖章)：</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23"/>
        <w:spacing w:line="480" w:lineRule="auto"/>
        <w:ind w:left="84" w:firstLine="480"/>
        <w:rPr>
          <w:color w:val="auto"/>
          <w:highlight w:val="none"/>
        </w:rPr>
      </w:pPr>
      <w:r>
        <w:rPr>
          <w:rFonts w:hint="eastAsia" w:hAnsi="宋体"/>
          <w:color w:val="auto"/>
          <w:sz w:val="24"/>
          <w:highlight w:val="none"/>
        </w:rPr>
        <w:t>授权委托日期：</w:t>
      </w:r>
      <w:r>
        <w:rPr>
          <w:rFonts w:hint="eastAsia" w:hAnsi="宋体"/>
          <w:color w:val="auto"/>
          <w:sz w:val="24"/>
          <w:highlight w:val="none"/>
          <w:u w:val="single"/>
        </w:rPr>
        <w:t xml:space="preserve">             </w:t>
      </w:r>
      <w:r>
        <w:rPr>
          <w:rFonts w:hint="eastAsia" w:hAnsi="宋体"/>
          <w:color w:val="auto"/>
          <w:sz w:val="24"/>
          <w:highlight w:val="none"/>
        </w:rPr>
        <w:t>年</w:t>
      </w:r>
      <w:r>
        <w:rPr>
          <w:rFonts w:hint="eastAsia" w:hAnsi="宋体"/>
          <w:color w:val="auto"/>
          <w:sz w:val="24"/>
          <w:highlight w:val="none"/>
          <w:u w:val="single"/>
        </w:rPr>
        <w:t xml:space="preserve">       </w:t>
      </w:r>
      <w:r>
        <w:rPr>
          <w:rFonts w:hint="eastAsia" w:hAnsi="宋体"/>
          <w:color w:val="auto"/>
          <w:sz w:val="24"/>
          <w:highlight w:val="none"/>
        </w:rPr>
        <w:t>月</w:t>
      </w:r>
      <w:r>
        <w:rPr>
          <w:rFonts w:hint="eastAsia" w:hAnsi="宋体"/>
          <w:color w:val="auto"/>
          <w:sz w:val="24"/>
          <w:highlight w:val="none"/>
          <w:u w:val="single"/>
        </w:rPr>
        <w:t xml:space="preserve">       </w:t>
      </w:r>
      <w:r>
        <w:rPr>
          <w:rFonts w:hint="eastAsia" w:hAnsi="宋体"/>
          <w:color w:val="auto"/>
          <w:sz w:val="24"/>
          <w:highlight w:val="none"/>
        </w:rPr>
        <w:t>日</w:t>
      </w:r>
    </w:p>
    <w:p>
      <w:pPr>
        <w:pStyle w:val="18"/>
        <w:spacing w:line="480" w:lineRule="auto"/>
        <w:ind w:firstLine="1274" w:firstLineChars="455"/>
        <w:rPr>
          <w:color w:val="auto"/>
          <w:sz w:val="28"/>
          <w:szCs w:val="28"/>
          <w:highlight w:val="none"/>
        </w:rPr>
      </w:pPr>
    </w:p>
    <w:p>
      <w:pPr>
        <w:pStyle w:val="23"/>
        <w:spacing w:line="360" w:lineRule="auto"/>
        <w:rPr>
          <w:rFonts w:hAnsi="宋体"/>
          <w:b/>
          <w:color w:val="auto"/>
          <w:sz w:val="36"/>
          <w:szCs w:val="36"/>
          <w:highlight w:val="none"/>
        </w:rPr>
      </w:pPr>
      <w:r>
        <w:rPr>
          <w:rFonts w:hint="eastAsia" w:hAnsi="宋体"/>
          <w:b/>
          <w:color w:val="auto"/>
          <w:sz w:val="36"/>
          <w:szCs w:val="36"/>
          <w:highlight w:val="none"/>
        </w:rPr>
        <w:t>备注：（报价文件若非法定代表人签字的，必须提供）</w:t>
      </w:r>
    </w:p>
    <w:p>
      <w:pPr>
        <w:pStyle w:val="5"/>
        <w:spacing w:before="0" w:after="0" w:line="360" w:lineRule="auto"/>
        <w:jc w:val="center"/>
        <w:rPr>
          <w:rFonts w:ascii="宋体" w:hAnsi="宋体"/>
          <w:color w:val="auto"/>
          <w:sz w:val="28"/>
          <w:szCs w:val="28"/>
          <w:highlight w:val="none"/>
        </w:rPr>
      </w:pPr>
      <w:bookmarkStart w:id="32" w:name="_Toc65054231"/>
      <w:r>
        <w:rPr>
          <w:rFonts w:hint="eastAsia"/>
          <w:color w:val="auto"/>
          <w:highlight w:val="none"/>
        </w:rPr>
        <w:t>三、技术标书格式</w:t>
      </w:r>
      <w:bookmarkEnd w:id="32"/>
    </w:p>
    <w:p>
      <w:pPr>
        <w:jc w:val="center"/>
        <w:rPr>
          <w:rFonts w:ascii="黑体" w:hAnsi="黑体" w:eastAsia="黑体"/>
          <w:b/>
          <w:color w:val="auto"/>
          <w:sz w:val="36"/>
          <w:szCs w:val="36"/>
          <w:highlight w:val="none"/>
        </w:rPr>
      </w:pPr>
    </w:p>
    <w:p>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u w:val="single"/>
        </w:rPr>
        <w:t xml:space="preserve">深铁珑境（一期）泛光照明工程 </w:t>
      </w:r>
      <w:r>
        <w:rPr>
          <w:rFonts w:hint="eastAsia" w:ascii="宋体" w:hAnsi="宋体"/>
          <w:b/>
          <w:color w:val="auto"/>
          <w:sz w:val="24"/>
          <w:szCs w:val="24"/>
          <w:highlight w:val="none"/>
          <w:u w:val="single"/>
        </w:rPr>
        <w:t xml:space="preserve"> </w:t>
      </w:r>
      <w:r>
        <w:rPr>
          <w:rFonts w:hint="eastAsia" w:ascii="黑体" w:hAnsi="黑体" w:eastAsia="黑体"/>
          <w:b/>
          <w:color w:val="auto"/>
          <w:sz w:val="36"/>
          <w:szCs w:val="36"/>
          <w:highlight w:val="none"/>
        </w:rPr>
        <w:t>参选文件</w:t>
      </w:r>
    </w:p>
    <w:p>
      <w:pPr>
        <w:rPr>
          <w:rFonts w:ascii="宋体" w:hAnsi="宋体"/>
          <w:b/>
          <w:color w:val="auto"/>
          <w:szCs w:val="21"/>
          <w:highlight w:val="none"/>
        </w:rPr>
      </w:pPr>
    </w:p>
    <w:p>
      <w:pPr>
        <w:jc w:val="center"/>
        <w:rPr>
          <w:rFonts w:ascii="宋体" w:hAnsi="宋体"/>
          <w:b/>
          <w:color w:val="auto"/>
          <w:szCs w:val="21"/>
          <w:highlight w:val="none"/>
        </w:rPr>
      </w:pPr>
      <w:r>
        <w:rPr>
          <w:rFonts w:hint="eastAsia" w:hAnsi="宋体"/>
          <w:b/>
          <w:bCs/>
          <w:color w:val="auto"/>
          <w:sz w:val="52"/>
          <w:szCs w:val="52"/>
          <w:highlight w:val="none"/>
        </w:rPr>
        <w:t>技术标书</w:t>
      </w: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参选人：(公章)</w:t>
      </w:r>
      <w:r>
        <w:rPr>
          <w:rFonts w:hint="eastAsia" w:ascii="宋体" w:hAnsi="宋体"/>
          <w:b/>
          <w:color w:val="auto"/>
          <w:sz w:val="28"/>
          <w:szCs w:val="28"/>
          <w:highlight w:val="none"/>
          <w:u w:val="single"/>
        </w:rPr>
        <w:t xml:space="preserve">                           </w:t>
      </w:r>
    </w:p>
    <w:p>
      <w:pPr>
        <w:rPr>
          <w:rFonts w:ascii="宋体" w:hAnsi="宋体"/>
          <w:b/>
          <w:color w:val="auto"/>
          <w:szCs w:val="21"/>
          <w:highlight w:val="none"/>
        </w:rPr>
      </w:pPr>
    </w:p>
    <w:p>
      <w:pPr>
        <w:rPr>
          <w:rFonts w:ascii="宋体" w:hAnsi="宋体"/>
          <w:b/>
          <w:color w:val="auto"/>
          <w:sz w:val="28"/>
          <w:szCs w:val="28"/>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法定代表人或其授权代表签字：</w:t>
      </w:r>
      <w:r>
        <w:rPr>
          <w:rFonts w:hint="eastAsia" w:ascii="宋体" w:hAnsi="宋体"/>
          <w:b/>
          <w:color w:val="auto"/>
          <w:sz w:val="28"/>
          <w:szCs w:val="28"/>
          <w:highlight w:val="none"/>
          <w:u w:val="single"/>
        </w:rPr>
        <w:t xml:space="preserve">                </w:t>
      </w:r>
    </w:p>
    <w:p>
      <w:pPr>
        <w:rPr>
          <w:rFonts w:ascii="宋体" w:hAnsi="宋体"/>
          <w:b/>
          <w:color w:val="auto"/>
          <w:sz w:val="28"/>
          <w:szCs w:val="28"/>
          <w:highlight w:val="none"/>
        </w:rPr>
      </w:pPr>
    </w:p>
    <w:p>
      <w:pPr>
        <w:rPr>
          <w:rFonts w:ascii="宋体" w:hAnsi="宋体"/>
          <w:b/>
          <w:color w:val="auto"/>
          <w:sz w:val="28"/>
          <w:szCs w:val="28"/>
          <w:highlight w:val="none"/>
        </w:rPr>
      </w:pPr>
    </w:p>
    <w:p>
      <w:pPr>
        <w:rPr>
          <w:rFonts w:ascii="宋体" w:hAnsi="宋体"/>
          <w:b/>
          <w:color w:val="auto"/>
          <w:sz w:val="28"/>
          <w:szCs w:val="28"/>
          <w:highlight w:val="none"/>
        </w:rPr>
      </w:pPr>
      <w:r>
        <w:rPr>
          <w:rFonts w:hint="eastAsia" w:ascii="宋体" w:hAnsi="宋体"/>
          <w:b/>
          <w:color w:val="auto"/>
          <w:sz w:val="28"/>
          <w:szCs w:val="28"/>
          <w:highlight w:val="none"/>
        </w:rPr>
        <w:t xml:space="preserve">日期：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月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日</w:t>
      </w:r>
    </w:p>
    <w:p>
      <w:pPr>
        <w:rPr>
          <w:rFonts w:ascii="宋体" w:hAnsi="宋体"/>
          <w:b/>
          <w:color w:val="auto"/>
          <w:szCs w:val="21"/>
          <w:highlight w:val="none"/>
        </w:rPr>
      </w:pPr>
    </w:p>
    <w:p>
      <w:pPr>
        <w:rPr>
          <w:rFonts w:ascii="宋体" w:hAnsi="宋体"/>
          <w:b/>
          <w:color w:val="auto"/>
          <w:szCs w:val="21"/>
          <w:highlight w:val="none"/>
        </w:rPr>
      </w:pPr>
      <w:r>
        <w:rPr>
          <w:rFonts w:hint="eastAsia" w:ascii="宋体" w:hAnsi="宋体"/>
          <w:b/>
          <w:color w:val="auto"/>
          <w:szCs w:val="21"/>
          <w:highlight w:val="none"/>
        </w:rPr>
        <w:t>参选单位郑重承诺：对本参选文件所提供资料的真实性、准确性、有效性负全部责任</w:t>
      </w:r>
    </w:p>
    <w:p>
      <w:pPr>
        <w:spacing w:line="360" w:lineRule="auto"/>
        <w:jc w:val="center"/>
        <w:rPr>
          <w:b/>
          <w:color w:val="auto"/>
          <w:highlight w:val="none"/>
        </w:rPr>
      </w:pPr>
      <w:r>
        <w:rPr>
          <w:rFonts w:ascii="黑体" w:eastAsia="黑体"/>
          <w:b/>
          <w:color w:val="auto"/>
          <w:sz w:val="36"/>
          <w:szCs w:val="36"/>
          <w:highlight w:val="none"/>
        </w:rPr>
        <w:br w:type="page"/>
      </w:r>
    </w:p>
    <w:p>
      <w:pPr>
        <w:spacing w:line="360" w:lineRule="auto"/>
        <w:jc w:val="center"/>
        <w:rPr>
          <w:rFonts w:hint="eastAsia"/>
          <w:b/>
          <w:color w:val="auto"/>
          <w:highlight w:val="none"/>
        </w:rPr>
      </w:pPr>
      <w:r>
        <w:rPr>
          <w:rFonts w:hint="eastAsia"/>
          <w:b/>
          <w:color w:val="auto"/>
          <w:highlight w:val="none"/>
        </w:rPr>
        <w:t>目录</w:t>
      </w:r>
    </w:p>
    <w:p>
      <w:pPr>
        <w:pStyle w:val="2"/>
        <w:rPr>
          <w:color w:val="auto"/>
        </w:rPr>
      </w:pPr>
    </w:p>
    <w:p>
      <w:pPr>
        <w:pStyle w:val="66"/>
        <w:widowControl/>
        <w:numPr>
          <w:ilvl w:val="0"/>
          <w:numId w:val="5"/>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企业法人营业执照复印件（加盖公章）</w:t>
      </w:r>
    </w:p>
    <w:p>
      <w:pPr>
        <w:pStyle w:val="66"/>
        <w:widowControl/>
        <w:numPr>
          <w:ilvl w:val="0"/>
          <w:numId w:val="5"/>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企业资质证书复印件（加盖公章）</w:t>
      </w:r>
    </w:p>
    <w:p>
      <w:pPr>
        <w:pStyle w:val="66"/>
        <w:widowControl/>
        <w:numPr>
          <w:ilvl w:val="0"/>
          <w:numId w:val="5"/>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项目负责人</w:t>
      </w:r>
      <w:r>
        <w:rPr>
          <w:rFonts w:hint="eastAsia" w:ascii="宋体" w:hAnsi="宋体"/>
          <w:color w:val="auto"/>
          <w:sz w:val="28"/>
          <w:szCs w:val="28"/>
          <w:highlight w:val="none"/>
          <w:lang w:val="en-US" w:eastAsia="zh-CN"/>
        </w:rPr>
        <w:t>基本情况</w:t>
      </w:r>
      <w:r>
        <w:rPr>
          <w:rFonts w:hint="eastAsia" w:ascii="宋体" w:hAnsi="宋体"/>
          <w:color w:val="auto"/>
          <w:sz w:val="28"/>
          <w:szCs w:val="28"/>
          <w:highlight w:val="none"/>
        </w:rPr>
        <w:t>（加盖公章）</w:t>
      </w:r>
    </w:p>
    <w:p>
      <w:pPr>
        <w:pStyle w:val="66"/>
        <w:widowControl/>
        <w:numPr>
          <w:ilvl w:val="0"/>
          <w:numId w:val="5"/>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rPr>
        <w:t>公司业绩（加盖公章）</w:t>
      </w:r>
    </w:p>
    <w:p>
      <w:pPr>
        <w:pStyle w:val="66"/>
        <w:widowControl/>
        <w:numPr>
          <w:ilvl w:val="0"/>
          <w:numId w:val="5"/>
        </w:numPr>
        <w:overflowPunct w:val="0"/>
        <w:autoSpaceDE w:val="0"/>
        <w:autoSpaceDN w:val="0"/>
        <w:adjustRightInd w:val="0"/>
        <w:spacing w:line="360" w:lineRule="auto"/>
        <w:ind w:firstLineChars="0"/>
        <w:jc w:val="left"/>
        <w:textAlignment w:val="baseline"/>
        <w:rPr>
          <w:rFonts w:ascii="宋体" w:hAnsi="宋体"/>
          <w:color w:val="auto"/>
          <w:sz w:val="28"/>
          <w:szCs w:val="28"/>
          <w:highlight w:val="none"/>
        </w:rPr>
      </w:pPr>
      <w:r>
        <w:rPr>
          <w:rFonts w:hint="eastAsia" w:ascii="宋体" w:hAnsi="宋体"/>
          <w:color w:val="auto"/>
          <w:sz w:val="28"/>
          <w:szCs w:val="28"/>
          <w:highlight w:val="none"/>
          <w:lang w:val="en-US" w:eastAsia="zh-CN"/>
        </w:rPr>
        <w:t>施工</w:t>
      </w:r>
      <w:r>
        <w:rPr>
          <w:rFonts w:hint="eastAsia" w:ascii="宋体" w:hAnsi="宋体"/>
          <w:color w:val="auto"/>
          <w:sz w:val="28"/>
          <w:szCs w:val="28"/>
          <w:highlight w:val="none"/>
        </w:rPr>
        <w:t>方案（加盖公章）</w:t>
      </w:r>
    </w:p>
    <w:p>
      <w:pPr>
        <w:spacing w:line="360" w:lineRule="auto"/>
        <w:jc w:val="center"/>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pStyle w:val="2"/>
        <w:rPr>
          <w:b/>
          <w:color w:val="auto"/>
          <w:sz w:val="24"/>
          <w:szCs w:val="24"/>
          <w:highlight w:val="none"/>
        </w:rPr>
      </w:pPr>
    </w:p>
    <w:p>
      <w:pPr>
        <w:spacing w:line="360" w:lineRule="auto"/>
        <w:rPr>
          <w:rFonts w:ascii="宋体" w:hAnsi="宋体"/>
          <w:b/>
          <w:bCs/>
          <w:color w:val="auto"/>
          <w:sz w:val="28"/>
          <w:szCs w:val="28"/>
          <w:highlight w:val="none"/>
        </w:rPr>
      </w:pPr>
      <w:r>
        <w:rPr>
          <w:rFonts w:hint="eastAsia"/>
          <w:color w:val="auto"/>
          <w:sz w:val="28"/>
          <w:szCs w:val="28"/>
          <w:highlight w:val="none"/>
          <w:lang w:val="en-US" w:eastAsia="zh-CN"/>
        </w:rPr>
        <w:t>1、</w:t>
      </w:r>
      <w:r>
        <w:rPr>
          <w:rFonts w:hint="eastAsia"/>
          <w:color w:val="auto"/>
          <w:sz w:val="28"/>
          <w:szCs w:val="28"/>
          <w:highlight w:val="none"/>
        </w:rPr>
        <w:t>参选人营业执照复印件（加盖公章）</w:t>
      </w:r>
    </w:p>
    <w:p>
      <w:pPr>
        <w:jc w:val="center"/>
        <w:rPr>
          <w:b/>
          <w:color w:val="auto"/>
          <w:highlight w:val="none"/>
        </w:rPr>
      </w:pPr>
    </w:p>
    <w:p>
      <w:pPr>
        <w:pStyle w:val="66"/>
        <w:overflowPunct w:val="0"/>
        <w:autoSpaceDE w:val="0"/>
        <w:autoSpaceDN w:val="0"/>
        <w:adjustRightInd w:val="0"/>
        <w:ind w:left="2" w:firstLine="0" w:firstLineChars="0"/>
        <w:textAlignment w:val="baseline"/>
        <w:rPr>
          <w:rFonts w:ascii="宋体" w:hAnsi="宋体"/>
          <w:color w:val="auto"/>
          <w:sz w:val="28"/>
          <w:szCs w:val="28"/>
          <w:highlight w:val="none"/>
        </w:rPr>
        <w:sectPr>
          <w:pgSz w:w="11906" w:h="16838"/>
          <w:pgMar w:top="1440" w:right="1797" w:bottom="1440" w:left="1797" w:header="851" w:footer="992" w:gutter="0"/>
          <w:cols w:space="720" w:num="1"/>
          <w:docGrid w:linePitch="312" w:charSpace="0"/>
        </w:sectPr>
      </w:pPr>
    </w:p>
    <w:p>
      <w:pPr>
        <w:widowControl/>
        <w:overflowPunct w:val="0"/>
        <w:autoSpaceDE w:val="0"/>
        <w:autoSpaceDN w:val="0"/>
        <w:adjustRightInd w:val="0"/>
        <w:spacing w:line="360" w:lineRule="auto"/>
        <w:ind w:left="360"/>
        <w:jc w:val="left"/>
        <w:textAlignment w:val="baseline"/>
        <w:rPr>
          <w:rFonts w:ascii="宋体" w:hAnsi="宋体"/>
          <w:color w:val="auto"/>
          <w:sz w:val="28"/>
          <w:szCs w:val="28"/>
          <w:highlight w:val="none"/>
        </w:rPr>
      </w:pPr>
      <w:r>
        <w:rPr>
          <w:rFonts w:hint="eastAsia" w:ascii="宋体" w:hAnsi="宋体"/>
          <w:color w:val="auto"/>
          <w:sz w:val="28"/>
          <w:szCs w:val="28"/>
          <w:highlight w:val="none"/>
        </w:rPr>
        <w:t>2、参选人有效的资质证书复印件（加盖公章）</w:t>
      </w:r>
    </w:p>
    <w:p>
      <w:pPr>
        <w:pStyle w:val="66"/>
        <w:widowControl/>
        <w:overflowPunct w:val="0"/>
        <w:autoSpaceDE w:val="0"/>
        <w:autoSpaceDN w:val="0"/>
        <w:adjustRightInd w:val="0"/>
        <w:spacing w:line="360" w:lineRule="auto"/>
        <w:ind w:firstLine="0" w:firstLineChars="0"/>
        <w:jc w:val="left"/>
        <w:textAlignment w:val="baseline"/>
        <w:rPr>
          <w:rFonts w:ascii="宋体" w:hAnsi="宋体"/>
          <w:color w:val="auto"/>
          <w:sz w:val="28"/>
          <w:szCs w:val="28"/>
          <w:highlight w:val="none"/>
        </w:rPr>
      </w:pPr>
    </w:p>
    <w:p>
      <w:pPr>
        <w:widowControl/>
        <w:overflowPunct w:val="0"/>
        <w:autoSpaceDE w:val="0"/>
        <w:autoSpaceDN w:val="0"/>
        <w:adjustRightInd w:val="0"/>
        <w:spacing w:line="360" w:lineRule="auto"/>
        <w:jc w:val="left"/>
        <w:textAlignment w:val="baseline"/>
        <w:rPr>
          <w:rFonts w:ascii="宋体" w:hAnsi="宋体"/>
          <w:color w:val="auto"/>
          <w:sz w:val="28"/>
          <w:szCs w:val="28"/>
          <w:highlight w:val="none"/>
        </w:rPr>
      </w:pPr>
      <w:r>
        <w:rPr>
          <w:rFonts w:ascii="宋体" w:hAnsi="宋体"/>
          <w:color w:val="auto"/>
          <w:sz w:val="28"/>
          <w:szCs w:val="28"/>
          <w:highlight w:val="none"/>
        </w:rPr>
        <w:br w:type="page"/>
      </w:r>
      <w:r>
        <w:rPr>
          <w:rFonts w:hint="eastAsia"/>
          <w:color w:val="auto"/>
          <w:sz w:val="28"/>
          <w:szCs w:val="28"/>
          <w:highlight w:val="none"/>
          <w:lang w:val="en-US" w:eastAsia="zh-CN"/>
        </w:rPr>
        <w:t>3</w:t>
      </w:r>
      <w:r>
        <w:rPr>
          <w:rFonts w:hint="eastAsia"/>
          <w:color w:val="auto"/>
          <w:sz w:val="28"/>
          <w:szCs w:val="28"/>
          <w:highlight w:val="none"/>
        </w:rPr>
        <w:t xml:space="preserve">、 </w:t>
      </w:r>
      <w:r>
        <w:rPr>
          <w:rFonts w:hint="eastAsia" w:ascii="宋体" w:hAnsi="宋体"/>
          <w:color w:val="auto"/>
          <w:sz w:val="28"/>
          <w:szCs w:val="28"/>
          <w:highlight w:val="none"/>
        </w:rPr>
        <w:t>项目负责人</w:t>
      </w:r>
      <w:r>
        <w:rPr>
          <w:rFonts w:hint="eastAsia" w:ascii="宋体" w:hAnsi="宋体"/>
          <w:color w:val="auto"/>
          <w:sz w:val="28"/>
          <w:szCs w:val="28"/>
          <w:highlight w:val="none"/>
          <w:lang w:val="en-US" w:eastAsia="zh-CN"/>
        </w:rPr>
        <w:t>基本情况</w:t>
      </w:r>
      <w:r>
        <w:rPr>
          <w:rFonts w:hint="eastAsia" w:ascii="宋体" w:hAnsi="宋体"/>
          <w:color w:val="auto"/>
          <w:sz w:val="28"/>
          <w:szCs w:val="28"/>
          <w:highlight w:val="none"/>
        </w:rPr>
        <w:t>(加盖公章)</w:t>
      </w:r>
    </w:p>
    <w:tbl>
      <w:tblPr>
        <w:tblStyle w:val="47"/>
        <w:tblW w:w="92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580"/>
        <w:gridCol w:w="470"/>
        <w:gridCol w:w="835"/>
        <w:gridCol w:w="165"/>
        <w:gridCol w:w="1476"/>
        <w:gridCol w:w="1975"/>
        <w:gridCol w:w="970"/>
        <w:gridCol w:w="496"/>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8"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姓名</w:t>
            </w:r>
          </w:p>
        </w:tc>
        <w:tc>
          <w:tcPr>
            <w:tcW w:w="1885" w:type="dxa"/>
            <w:gridSpan w:val="3"/>
            <w:vAlign w:val="center"/>
          </w:tcPr>
          <w:p>
            <w:pPr>
              <w:adjustRightInd w:val="0"/>
              <w:snapToGrid w:val="0"/>
              <w:ind w:left="-107" w:leftChars="-51" w:right="-107" w:rightChars="-51"/>
              <w:rPr>
                <w:rFonts w:ascii="宋体" w:hAnsi="宋体" w:cs="Courier New"/>
                <w:b/>
                <w:bCs/>
                <w:color w:val="auto"/>
                <w:kern w:val="0"/>
                <w:szCs w:val="21"/>
                <w:highlight w:val="none"/>
              </w:rPr>
            </w:pPr>
          </w:p>
        </w:tc>
        <w:tc>
          <w:tcPr>
            <w:tcW w:w="1641" w:type="dxa"/>
            <w:gridSpan w:val="2"/>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性  别</w:t>
            </w:r>
          </w:p>
        </w:tc>
        <w:tc>
          <w:tcPr>
            <w:tcW w:w="1975" w:type="dxa"/>
            <w:vAlign w:val="center"/>
          </w:tcPr>
          <w:p>
            <w:pPr>
              <w:adjustRightInd w:val="0"/>
              <w:snapToGrid w:val="0"/>
              <w:ind w:left="-107" w:leftChars="-51" w:right="-107" w:rightChars="-51"/>
              <w:rPr>
                <w:rFonts w:ascii="宋体" w:hAnsi="宋体" w:cs="Courier New"/>
                <w:b/>
                <w:bCs/>
                <w:color w:val="auto"/>
                <w:kern w:val="0"/>
                <w:szCs w:val="21"/>
                <w:highlight w:val="none"/>
              </w:rPr>
            </w:pPr>
          </w:p>
        </w:tc>
        <w:tc>
          <w:tcPr>
            <w:tcW w:w="970"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年  龄</w:t>
            </w:r>
          </w:p>
        </w:tc>
        <w:tc>
          <w:tcPr>
            <w:tcW w:w="1850" w:type="dxa"/>
            <w:gridSpan w:val="2"/>
            <w:vAlign w:val="center"/>
          </w:tcPr>
          <w:p>
            <w:pPr>
              <w:adjustRightInd w:val="0"/>
              <w:snapToGrid w:val="0"/>
              <w:ind w:left="-107" w:leftChars="-51" w:right="-107" w:rightChars="-51"/>
              <w:rPr>
                <w:rFonts w:ascii="宋体" w:hAnsi="宋体" w:cs="Courier New"/>
                <w:b/>
                <w:bCs/>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68"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职务</w:t>
            </w:r>
          </w:p>
        </w:tc>
        <w:tc>
          <w:tcPr>
            <w:tcW w:w="1885" w:type="dxa"/>
            <w:gridSpan w:val="3"/>
            <w:vAlign w:val="center"/>
          </w:tcPr>
          <w:p>
            <w:pPr>
              <w:adjustRightInd w:val="0"/>
              <w:snapToGrid w:val="0"/>
              <w:ind w:left="-107" w:leftChars="-51" w:right="-107" w:rightChars="-51"/>
              <w:rPr>
                <w:rFonts w:ascii="宋体" w:hAnsi="宋体" w:cs="Courier New"/>
                <w:b/>
                <w:bCs/>
                <w:color w:val="auto"/>
                <w:kern w:val="0"/>
                <w:szCs w:val="21"/>
                <w:highlight w:val="none"/>
              </w:rPr>
            </w:pPr>
          </w:p>
        </w:tc>
        <w:tc>
          <w:tcPr>
            <w:tcW w:w="1641" w:type="dxa"/>
            <w:gridSpan w:val="2"/>
            <w:vAlign w:val="center"/>
          </w:tcPr>
          <w:p>
            <w:pPr>
              <w:adjustRightInd w:val="0"/>
              <w:snapToGrid w:val="0"/>
              <w:ind w:left="-107" w:leftChars="-51" w:right="-107" w:rightChars="-51"/>
              <w:jc w:val="center"/>
              <w:rPr>
                <w:rFonts w:hint="default" w:ascii="宋体" w:hAnsi="宋体" w:eastAsia="宋体" w:cs="Courier New"/>
                <w:b/>
                <w:bCs/>
                <w:color w:val="auto"/>
                <w:kern w:val="0"/>
                <w:szCs w:val="21"/>
                <w:highlight w:val="none"/>
                <w:lang w:val="en-US" w:eastAsia="zh-CN"/>
              </w:rPr>
            </w:pPr>
            <w:r>
              <w:rPr>
                <w:rFonts w:hint="eastAsia" w:ascii="宋体" w:hAnsi="宋体" w:cs="Courier New"/>
                <w:b/>
                <w:bCs/>
                <w:color w:val="auto"/>
                <w:kern w:val="0"/>
                <w:szCs w:val="21"/>
                <w:highlight w:val="none"/>
              </w:rPr>
              <w:t>职  称</w:t>
            </w:r>
            <w:r>
              <w:rPr>
                <w:rFonts w:hint="eastAsia" w:ascii="宋体" w:hAnsi="宋体" w:cs="Courier New"/>
                <w:b/>
                <w:bCs/>
                <w:color w:val="auto"/>
                <w:kern w:val="0"/>
                <w:szCs w:val="21"/>
                <w:highlight w:val="none"/>
                <w:lang w:val="en-US" w:eastAsia="zh-CN"/>
              </w:rPr>
              <w:t>/执业资格</w:t>
            </w:r>
          </w:p>
        </w:tc>
        <w:tc>
          <w:tcPr>
            <w:tcW w:w="1975" w:type="dxa"/>
            <w:vAlign w:val="center"/>
          </w:tcPr>
          <w:p>
            <w:pPr>
              <w:adjustRightInd w:val="0"/>
              <w:snapToGrid w:val="0"/>
              <w:ind w:left="-107" w:leftChars="-51" w:right="-107" w:rightChars="-51"/>
              <w:rPr>
                <w:rFonts w:ascii="宋体" w:hAnsi="宋体" w:cs="Courier New"/>
                <w:b/>
                <w:bCs/>
                <w:color w:val="auto"/>
                <w:kern w:val="0"/>
                <w:szCs w:val="21"/>
                <w:highlight w:val="none"/>
              </w:rPr>
            </w:pPr>
          </w:p>
        </w:tc>
        <w:tc>
          <w:tcPr>
            <w:tcW w:w="970"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学  历</w:t>
            </w:r>
          </w:p>
        </w:tc>
        <w:tc>
          <w:tcPr>
            <w:tcW w:w="1850" w:type="dxa"/>
            <w:gridSpan w:val="2"/>
            <w:vAlign w:val="center"/>
          </w:tcPr>
          <w:p>
            <w:pPr>
              <w:adjustRightInd w:val="0"/>
              <w:snapToGrid w:val="0"/>
              <w:ind w:left="-107" w:leftChars="-51" w:right="-107" w:rightChars="-51"/>
              <w:rPr>
                <w:rFonts w:ascii="宋体" w:hAnsi="宋体" w:cs="Courier New"/>
                <w:b/>
                <w:bCs/>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2018" w:type="dxa"/>
            <w:gridSpan w:val="3"/>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lang w:val="en-US" w:eastAsia="zh-CN"/>
              </w:rPr>
              <w:t>在公司</w:t>
            </w:r>
            <w:r>
              <w:rPr>
                <w:rFonts w:hint="eastAsia" w:ascii="宋体" w:hAnsi="宋体" w:cs="Courier New"/>
                <w:b/>
                <w:bCs/>
                <w:color w:val="auto"/>
                <w:kern w:val="0"/>
                <w:szCs w:val="21"/>
                <w:highlight w:val="none"/>
              </w:rPr>
              <w:t>工作时间</w:t>
            </w:r>
          </w:p>
        </w:tc>
        <w:tc>
          <w:tcPr>
            <w:tcW w:w="2476" w:type="dxa"/>
            <w:gridSpan w:val="3"/>
            <w:vAlign w:val="center"/>
          </w:tcPr>
          <w:p>
            <w:pPr>
              <w:adjustRightInd w:val="0"/>
              <w:snapToGrid w:val="0"/>
              <w:ind w:left="-107" w:leftChars="-51" w:right="-107" w:rightChars="-51"/>
              <w:rPr>
                <w:rFonts w:ascii="宋体" w:hAnsi="宋体" w:cs="Courier New"/>
                <w:b/>
                <w:bCs/>
                <w:color w:val="auto"/>
                <w:kern w:val="0"/>
                <w:szCs w:val="21"/>
                <w:highlight w:val="none"/>
              </w:rPr>
            </w:pPr>
          </w:p>
        </w:tc>
        <w:tc>
          <w:tcPr>
            <w:tcW w:w="2945" w:type="dxa"/>
            <w:gridSpan w:val="2"/>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从事项目负责人年限</w:t>
            </w:r>
          </w:p>
        </w:tc>
        <w:tc>
          <w:tcPr>
            <w:tcW w:w="1850" w:type="dxa"/>
            <w:gridSpan w:val="2"/>
            <w:vAlign w:val="center"/>
          </w:tcPr>
          <w:p>
            <w:pPr>
              <w:adjustRightInd w:val="0"/>
              <w:snapToGrid w:val="0"/>
              <w:ind w:left="-107" w:leftChars="-51" w:right="-107" w:rightChars="-51"/>
              <w:rPr>
                <w:rFonts w:ascii="宋体" w:hAnsi="宋体" w:cs="Courier New"/>
                <w:b/>
                <w:bCs/>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9" w:type="dxa"/>
            <w:gridSpan w:val="10"/>
            <w:vAlign w:val="center"/>
          </w:tcPr>
          <w:p>
            <w:pPr>
              <w:adjustRightInd w:val="0"/>
              <w:snapToGrid w:val="0"/>
              <w:ind w:left="-107" w:leftChars="-51" w:right="-107" w:rightChars="-51"/>
              <w:jc w:val="center"/>
              <w:rPr>
                <w:rFonts w:hint="eastAsia" w:ascii="宋体" w:hAnsi="宋体" w:cs="Courier New"/>
                <w:b/>
                <w:bCs/>
                <w:color w:val="auto"/>
                <w:kern w:val="0"/>
                <w:szCs w:val="21"/>
                <w:highlight w:val="none"/>
              </w:rPr>
            </w:pPr>
            <w:r>
              <w:rPr>
                <w:rFonts w:hint="eastAsia" w:ascii="宋体" w:hAnsi="宋体" w:cs="Courier New"/>
                <w:b/>
                <w:bCs/>
                <w:color w:val="auto"/>
                <w:kern w:val="0"/>
                <w:szCs w:val="21"/>
                <w:highlight w:val="none"/>
              </w:rPr>
              <w:t>提供近三年（自2019年10月1日至今，以合同签订时间为准）泛光照明工程业绩</w:t>
            </w:r>
          </w:p>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(合同金额100万以上）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548" w:type="dxa"/>
            <w:gridSpan w:val="2"/>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序号</w:t>
            </w:r>
          </w:p>
        </w:tc>
        <w:tc>
          <w:tcPr>
            <w:tcW w:w="1470" w:type="dxa"/>
            <w:gridSpan w:val="3"/>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lang w:val="en-US" w:eastAsia="zh-CN"/>
              </w:rPr>
              <w:t>合同名称</w:t>
            </w:r>
          </w:p>
        </w:tc>
        <w:tc>
          <w:tcPr>
            <w:tcW w:w="1476"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lang w:val="en-US" w:eastAsia="zh-CN"/>
              </w:rPr>
              <w:t>合同范围</w:t>
            </w:r>
          </w:p>
        </w:tc>
        <w:tc>
          <w:tcPr>
            <w:tcW w:w="1975"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合同金额</w:t>
            </w:r>
          </w:p>
        </w:tc>
        <w:tc>
          <w:tcPr>
            <w:tcW w:w="1466" w:type="dxa"/>
            <w:gridSpan w:val="2"/>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在建或已完成</w:t>
            </w:r>
          </w:p>
        </w:tc>
        <w:tc>
          <w:tcPr>
            <w:tcW w:w="1354"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48" w:type="dxa"/>
            <w:gridSpan w:val="2"/>
            <w:vAlign w:val="center"/>
          </w:tcPr>
          <w:p>
            <w:pPr>
              <w:adjustRightInd w:val="0"/>
              <w:snapToGrid w:val="0"/>
              <w:rPr>
                <w:rFonts w:ascii="宋体" w:hAnsi="宋体" w:cs="Courier New"/>
                <w:color w:val="auto"/>
                <w:kern w:val="0"/>
                <w:sz w:val="24"/>
                <w:highlight w:val="none"/>
              </w:rPr>
            </w:pPr>
          </w:p>
        </w:tc>
        <w:tc>
          <w:tcPr>
            <w:tcW w:w="1470" w:type="dxa"/>
            <w:gridSpan w:val="3"/>
            <w:vAlign w:val="center"/>
          </w:tcPr>
          <w:p>
            <w:pPr>
              <w:adjustRightInd w:val="0"/>
              <w:snapToGrid w:val="0"/>
              <w:rPr>
                <w:rFonts w:ascii="宋体" w:hAnsi="宋体" w:cs="Courier New"/>
                <w:color w:val="auto"/>
                <w:kern w:val="0"/>
                <w:sz w:val="24"/>
                <w:highlight w:val="none"/>
              </w:rPr>
            </w:pPr>
          </w:p>
        </w:tc>
        <w:tc>
          <w:tcPr>
            <w:tcW w:w="1476" w:type="dxa"/>
            <w:vAlign w:val="center"/>
          </w:tcPr>
          <w:p>
            <w:pPr>
              <w:adjustRightInd w:val="0"/>
              <w:snapToGrid w:val="0"/>
              <w:rPr>
                <w:rFonts w:ascii="宋体" w:hAnsi="宋体" w:cs="Courier New"/>
                <w:color w:val="auto"/>
                <w:kern w:val="0"/>
                <w:sz w:val="24"/>
                <w:highlight w:val="none"/>
              </w:rPr>
            </w:pPr>
          </w:p>
        </w:tc>
        <w:tc>
          <w:tcPr>
            <w:tcW w:w="1975" w:type="dxa"/>
            <w:vAlign w:val="center"/>
          </w:tcPr>
          <w:p>
            <w:pPr>
              <w:adjustRightInd w:val="0"/>
              <w:snapToGrid w:val="0"/>
              <w:rPr>
                <w:rFonts w:ascii="宋体" w:hAnsi="宋体" w:cs="Courier New"/>
                <w:color w:val="auto"/>
                <w:kern w:val="0"/>
                <w:sz w:val="24"/>
                <w:highlight w:val="none"/>
              </w:rPr>
            </w:pPr>
          </w:p>
        </w:tc>
        <w:tc>
          <w:tcPr>
            <w:tcW w:w="1466" w:type="dxa"/>
            <w:gridSpan w:val="2"/>
            <w:vAlign w:val="center"/>
          </w:tcPr>
          <w:p>
            <w:pPr>
              <w:adjustRightInd w:val="0"/>
              <w:snapToGrid w:val="0"/>
              <w:rPr>
                <w:rFonts w:ascii="宋体" w:hAnsi="宋体" w:cs="Courier New"/>
                <w:color w:val="auto"/>
                <w:kern w:val="0"/>
                <w:sz w:val="24"/>
                <w:highlight w:val="none"/>
              </w:rPr>
            </w:pPr>
          </w:p>
        </w:tc>
        <w:tc>
          <w:tcPr>
            <w:tcW w:w="1354" w:type="dxa"/>
            <w:vAlign w:val="center"/>
          </w:tcPr>
          <w:p>
            <w:pPr>
              <w:adjustRightInd w:val="0"/>
              <w:snapToGrid w:val="0"/>
              <w:rPr>
                <w:rFonts w:ascii="宋体" w:hAnsi="宋体" w:cs="Courier New"/>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548" w:type="dxa"/>
            <w:gridSpan w:val="2"/>
            <w:vAlign w:val="center"/>
          </w:tcPr>
          <w:p>
            <w:pPr>
              <w:adjustRightInd w:val="0"/>
              <w:snapToGrid w:val="0"/>
              <w:rPr>
                <w:rFonts w:ascii="宋体" w:hAnsi="宋体" w:cs="Courier New"/>
                <w:color w:val="auto"/>
                <w:kern w:val="0"/>
                <w:sz w:val="24"/>
                <w:highlight w:val="none"/>
              </w:rPr>
            </w:pPr>
          </w:p>
        </w:tc>
        <w:tc>
          <w:tcPr>
            <w:tcW w:w="1470" w:type="dxa"/>
            <w:gridSpan w:val="3"/>
            <w:vAlign w:val="center"/>
          </w:tcPr>
          <w:p>
            <w:pPr>
              <w:adjustRightInd w:val="0"/>
              <w:snapToGrid w:val="0"/>
              <w:rPr>
                <w:rFonts w:ascii="宋体" w:hAnsi="宋体" w:cs="Courier New"/>
                <w:color w:val="auto"/>
                <w:kern w:val="0"/>
                <w:sz w:val="24"/>
                <w:highlight w:val="none"/>
              </w:rPr>
            </w:pPr>
          </w:p>
        </w:tc>
        <w:tc>
          <w:tcPr>
            <w:tcW w:w="1476" w:type="dxa"/>
            <w:vAlign w:val="center"/>
          </w:tcPr>
          <w:p>
            <w:pPr>
              <w:adjustRightInd w:val="0"/>
              <w:snapToGrid w:val="0"/>
              <w:rPr>
                <w:rFonts w:ascii="宋体" w:hAnsi="宋体" w:cs="Courier New"/>
                <w:color w:val="auto"/>
                <w:kern w:val="0"/>
                <w:sz w:val="24"/>
                <w:highlight w:val="none"/>
              </w:rPr>
            </w:pPr>
          </w:p>
        </w:tc>
        <w:tc>
          <w:tcPr>
            <w:tcW w:w="1975" w:type="dxa"/>
            <w:vAlign w:val="center"/>
          </w:tcPr>
          <w:p>
            <w:pPr>
              <w:adjustRightInd w:val="0"/>
              <w:snapToGrid w:val="0"/>
              <w:rPr>
                <w:rFonts w:ascii="宋体" w:hAnsi="宋体" w:cs="Courier New"/>
                <w:color w:val="auto"/>
                <w:kern w:val="0"/>
                <w:sz w:val="24"/>
                <w:highlight w:val="none"/>
              </w:rPr>
            </w:pPr>
          </w:p>
        </w:tc>
        <w:tc>
          <w:tcPr>
            <w:tcW w:w="1466" w:type="dxa"/>
            <w:gridSpan w:val="2"/>
            <w:vAlign w:val="center"/>
          </w:tcPr>
          <w:p>
            <w:pPr>
              <w:adjustRightInd w:val="0"/>
              <w:snapToGrid w:val="0"/>
              <w:rPr>
                <w:rFonts w:ascii="宋体" w:hAnsi="宋体" w:cs="Courier New"/>
                <w:color w:val="auto"/>
                <w:kern w:val="0"/>
                <w:sz w:val="24"/>
                <w:highlight w:val="none"/>
              </w:rPr>
            </w:pPr>
          </w:p>
        </w:tc>
        <w:tc>
          <w:tcPr>
            <w:tcW w:w="1354" w:type="dxa"/>
            <w:vAlign w:val="center"/>
          </w:tcPr>
          <w:p>
            <w:pPr>
              <w:adjustRightInd w:val="0"/>
              <w:snapToGrid w:val="0"/>
              <w:rPr>
                <w:rFonts w:ascii="宋体" w:hAnsi="宋体" w:cs="Courier New"/>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548" w:type="dxa"/>
            <w:gridSpan w:val="2"/>
            <w:vAlign w:val="center"/>
          </w:tcPr>
          <w:p>
            <w:pPr>
              <w:adjustRightInd w:val="0"/>
              <w:snapToGrid w:val="0"/>
              <w:rPr>
                <w:rFonts w:ascii="宋体" w:hAnsi="宋体" w:cs="Courier New"/>
                <w:color w:val="auto"/>
                <w:kern w:val="0"/>
                <w:sz w:val="24"/>
                <w:highlight w:val="none"/>
              </w:rPr>
            </w:pPr>
          </w:p>
        </w:tc>
        <w:tc>
          <w:tcPr>
            <w:tcW w:w="1470" w:type="dxa"/>
            <w:gridSpan w:val="3"/>
            <w:vAlign w:val="center"/>
          </w:tcPr>
          <w:p>
            <w:pPr>
              <w:adjustRightInd w:val="0"/>
              <w:snapToGrid w:val="0"/>
              <w:rPr>
                <w:rFonts w:ascii="宋体" w:hAnsi="宋体" w:cs="Courier New"/>
                <w:color w:val="auto"/>
                <w:kern w:val="0"/>
                <w:sz w:val="24"/>
                <w:highlight w:val="none"/>
              </w:rPr>
            </w:pPr>
          </w:p>
        </w:tc>
        <w:tc>
          <w:tcPr>
            <w:tcW w:w="1476" w:type="dxa"/>
            <w:vAlign w:val="center"/>
          </w:tcPr>
          <w:p>
            <w:pPr>
              <w:adjustRightInd w:val="0"/>
              <w:snapToGrid w:val="0"/>
              <w:rPr>
                <w:rFonts w:ascii="宋体" w:hAnsi="宋体" w:cs="Courier New"/>
                <w:color w:val="auto"/>
                <w:kern w:val="0"/>
                <w:sz w:val="24"/>
                <w:highlight w:val="none"/>
              </w:rPr>
            </w:pPr>
          </w:p>
        </w:tc>
        <w:tc>
          <w:tcPr>
            <w:tcW w:w="1975" w:type="dxa"/>
            <w:vAlign w:val="center"/>
          </w:tcPr>
          <w:p>
            <w:pPr>
              <w:adjustRightInd w:val="0"/>
              <w:snapToGrid w:val="0"/>
              <w:rPr>
                <w:rFonts w:ascii="宋体" w:hAnsi="宋体" w:cs="Courier New"/>
                <w:color w:val="auto"/>
                <w:kern w:val="0"/>
                <w:sz w:val="24"/>
                <w:highlight w:val="none"/>
              </w:rPr>
            </w:pPr>
          </w:p>
        </w:tc>
        <w:tc>
          <w:tcPr>
            <w:tcW w:w="1466" w:type="dxa"/>
            <w:gridSpan w:val="2"/>
            <w:vAlign w:val="center"/>
          </w:tcPr>
          <w:p>
            <w:pPr>
              <w:adjustRightInd w:val="0"/>
              <w:snapToGrid w:val="0"/>
              <w:rPr>
                <w:rFonts w:ascii="宋体" w:hAnsi="宋体" w:cs="Courier New"/>
                <w:color w:val="auto"/>
                <w:kern w:val="0"/>
                <w:sz w:val="24"/>
                <w:highlight w:val="none"/>
              </w:rPr>
            </w:pPr>
          </w:p>
        </w:tc>
        <w:tc>
          <w:tcPr>
            <w:tcW w:w="1354" w:type="dxa"/>
            <w:vAlign w:val="center"/>
          </w:tcPr>
          <w:p>
            <w:pPr>
              <w:adjustRightInd w:val="0"/>
              <w:snapToGrid w:val="0"/>
              <w:rPr>
                <w:rFonts w:ascii="宋体" w:hAnsi="宋体" w:cs="Courier New"/>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548" w:type="dxa"/>
            <w:gridSpan w:val="2"/>
            <w:vAlign w:val="center"/>
          </w:tcPr>
          <w:p>
            <w:pPr>
              <w:adjustRightInd w:val="0"/>
              <w:snapToGrid w:val="0"/>
              <w:rPr>
                <w:rFonts w:ascii="宋体" w:hAnsi="宋体" w:cs="Courier New"/>
                <w:color w:val="auto"/>
                <w:kern w:val="0"/>
                <w:sz w:val="24"/>
                <w:highlight w:val="none"/>
              </w:rPr>
            </w:pPr>
          </w:p>
        </w:tc>
        <w:tc>
          <w:tcPr>
            <w:tcW w:w="1470" w:type="dxa"/>
            <w:gridSpan w:val="3"/>
            <w:vAlign w:val="center"/>
          </w:tcPr>
          <w:p>
            <w:pPr>
              <w:adjustRightInd w:val="0"/>
              <w:snapToGrid w:val="0"/>
              <w:rPr>
                <w:rFonts w:ascii="宋体" w:hAnsi="宋体" w:cs="Courier New"/>
                <w:color w:val="auto"/>
                <w:kern w:val="0"/>
                <w:sz w:val="24"/>
                <w:highlight w:val="none"/>
              </w:rPr>
            </w:pPr>
          </w:p>
        </w:tc>
        <w:tc>
          <w:tcPr>
            <w:tcW w:w="1476" w:type="dxa"/>
            <w:vAlign w:val="center"/>
          </w:tcPr>
          <w:p>
            <w:pPr>
              <w:adjustRightInd w:val="0"/>
              <w:snapToGrid w:val="0"/>
              <w:rPr>
                <w:rFonts w:ascii="宋体" w:hAnsi="宋体" w:cs="Courier New"/>
                <w:color w:val="auto"/>
                <w:kern w:val="0"/>
                <w:sz w:val="24"/>
                <w:highlight w:val="none"/>
              </w:rPr>
            </w:pPr>
          </w:p>
        </w:tc>
        <w:tc>
          <w:tcPr>
            <w:tcW w:w="1975" w:type="dxa"/>
            <w:vAlign w:val="center"/>
          </w:tcPr>
          <w:p>
            <w:pPr>
              <w:adjustRightInd w:val="0"/>
              <w:snapToGrid w:val="0"/>
              <w:rPr>
                <w:rFonts w:ascii="宋体" w:hAnsi="宋体" w:cs="Courier New"/>
                <w:color w:val="auto"/>
                <w:kern w:val="0"/>
                <w:sz w:val="24"/>
                <w:highlight w:val="none"/>
              </w:rPr>
            </w:pPr>
          </w:p>
        </w:tc>
        <w:tc>
          <w:tcPr>
            <w:tcW w:w="1466" w:type="dxa"/>
            <w:gridSpan w:val="2"/>
            <w:vAlign w:val="center"/>
          </w:tcPr>
          <w:p>
            <w:pPr>
              <w:adjustRightInd w:val="0"/>
              <w:snapToGrid w:val="0"/>
              <w:rPr>
                <w:rFonts w:ascii="宋体" w:hAnsi="宋体" w:cs="Courier New"/>
                <w:color w:val="auto"/>
                <w:kern w:val="0"/>
                <w:sz w:val="24"/>
                <w:highlight w:val="none"/>
              </w:rPr>
            </w:pPr>
          </w:p>
        </w:tc>
        <w:tc>
          <w:tcPr>
            <w:tcW w:w="1354" w:type="dxa"/>
            <w:vAlign w:val="center"/>
          </w:tcPr>
          <w:p>
            <w:pPr>
              <w:adjustRightInd w:val="0"/>
              <w:snapToGrid w:val="0"/>
              <w:rPr>
                <w:rFonts w:ascii="宋体" w:hAnsi="宋体" w:cs="Courier New"/>
                <w:color w:val="auto"/>
                <w:kern w:val="0"/>
                <w:sz w:val="24"/>
                <w:highlight w:val="none"/>
              </w:rPr>
            </w:pPr>
          </w:p>
        </w:tc>
      </w:tr>
    </w:tbl>
    <w:p>
      <w:pPr>
        <w:overflowPunct w:val="0"/>
        <w:autoSpaceDE w:val="0"/>
        <w:autoSpaceDN w:val="0"/>
        <w:adjustRightInd w:val="0"/>
        <w:spacing w:line="480" w:lineRule="auto"/>
        <w:textAlignment w:val="baseline"/>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备注：</w:t>
      </w:r>
    </w:p>
    <w:p>
      <w:pPr>
        <w:overflowPunct w:val="0"/>
        <w:autoSpaceDE w:val="0"/>
        <w:autoSpaceDN w:val="0"/>
        <w:adjustRightInd w:val="0"/>
        <w:spacing w:line="480" w:lineRule="auto"/>
        <w:textAlignment w:val="baseline"/>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（1）提供职称证书复印件或执业证书复印件</w:t>
      </w:r>
      <w:r>
        <w:rPr>
          <w:rFonts w:hint="eastAsia" w:ascii="宋体" w:hAnsi="宋体"/>
          <w:color w:val="auto"/>
          <w:sz w:val="28"/>
          <w:szCs w:val="28"/>
          <w:highlight w:val="none"/>
        </w:rPr>
        <w:t>并加盖公章</w:t>
      </w:r>
      <w:r>
        <w:rPr>
          <w:rFonts w:hint="eastAsia" w:ascii="宋体" w:hAnsi="宋体"/>
          <w:color w:val="auto"/>
          <w:sz w:val="28"/>
          <w:szCs w:val="28"/>
          <w:highlight w:val="none"/>
          <w:lang w:val="en-US" w:eastAsia="zh-CN"/>
        </w:rPr>
        <w:t>；</w:t>
      </w:r>
    </w:p>
    <w:p>
      <w:pPr>
        <w:overflowPunct w:val="0"/>
        <w:autoSpaceDE w:val="0"/>
        <w:autoSpaceDN w:val="0"/>
        <w:adjustRightInd w:val="0"/>
        <w:spacing w:line="480" w:lineRule="auto"/>
        <w:textAlignment w:val="baseline"/>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（2）业绩证明材料须提供合同关键页复印件</w:t>
      </w:r>
      <w:r>
        <w:rPr>
          <w:rFonts w:hint="eastAsia" w:ascii="宋体" w:hAnsi="宋体"/>
          <w:color w:val="auto"/>
          <w:sz w:val="28"/>
          <w:szCs w:val="28"/>
          <w:highlight w:val="none"/>
        </w:rPr>
        <w:t>并加盖公章</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合同关键页必须包括合同名称、合同范围、合同金额等关键信息，时间以合同签订时间为准;</w:t>
      </w:r>
    </w:p>
    <w:p>
      <w:pPr>
        <w:overflowPunct w:val="0"/>
        <w:autoSpaceDE w:val="0"/>
        <w:autoSpaceDN w:val="0"/>
        <w:adjustRightInd w:val="0"/>
        <w:spacing w:line="480" w:lineRule="auto"/>
        <w:textAlignment w:val="baseline"/>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（3）至少提供近6个月（自2022年4月1日至今）社保证明资料</w:t>
      </w:r>
      <w:r>
        <w:rPr>
          <w:rFonts w:hint="eastAsia" w:ascii="宋体" w:hAnsi="宋体"/>
          <w:color w:val="auto"/>
          <w:sz w:val="28"/>
          <w:szCs w:val="28"/>
          <w:highlight w:val="none"/>
        </w:rPr>
        <w:t>并加盖公章</w:t>
      </w:r>
      <w:r>
        <w:rPr>
          <w:rFonts w:hint="eastAsia" w:ascii="宋体" w:hAnsi="宋体"/>
          <w:color w:val="auto"/>
          <w:sz w:val="28"/>
          <w:szCs w:val="28"/>
          <w:highlight w:val="none"/>
          <w:lang w:val="en-US" w:eastAsia="zh-CN"/>
        </w:rPr>
        <w:t>。</w:t>
      </w:r>
    </w:p>
    <w:p>
      <w:pPr>
        <w:spacing w:line="400" w:lineRule="exact"/>
        <w:rPr>
          <w:color w:val="auto"/>
          <w:szCs w:val="21"/>
          <w:highlight w:val="none"/>
        </w:rPr>
      </w:pPr>
    </w:p>
    <w:p>
      <w:pPr>
        <w:pStyle w:val="18"/>
        <w:widowControl/>
        <w:numPr>
          <w:ilvl w:val="0"/>
          <w:numId w:val="0"/>
        </w:numPr>
        <w:spacing w:line="480" w:lineRule="auto"/>
        <w:ind w:left="360" w:leftChars="0"/>
        <w:jc w:val="left"/>
        <w:rPr>
          <w:rFonts w:hint="eastAsia"/>
          <w:color w:val="auto"/>
          <w:sz w:val="28"/>
          <w:szCs w:val="28"/>
          <w:highlight w:val="none"/>
          <w:lang w:val="en-US" w:eastAsia="zh-CN"/>
        </w:rPr>
      </w:pPr>
    </w:p>
    <w:p>
      <w:pPr>
        <w:pStyle w:val="18"/>
        <w:widowControl/>
        <w:numPr>
          <w:ilvl w:val="0"/>
          <w:numId w:val="0"/>
        </w:numPr>
        <w:spacing w:line="480" w:lineRule="auto"/>
        <w:ind w:left="360" w:leftChars="0"/>
        <w:jc w:val="left"/>
        <w:rPr>
          <w:rFonts w:hint="eastAsia"/>
          <w:color w:val="auto"/>
          <w:sz w:val="28"/>
          <w:szCs w:val="28"/>
          <w:highlight w:val="none"/>
          <w:lang w:val="en-US" w:eastAsia="zh-CN"/>
        </w:rPr>
      </w:pPr>
    </w:p>
    <w:p>
      <w:pPr>
        <w:pStyle w:val="18"/>
        <w:widowControl/>
        <w:numPr>
          <w:ilvl w:val="0"/>
          <w:numId w:val="0"/>
        </w:numPr>
        <w:spacing w:line="480" w:lineRule="auto"/>
        <w:ind w:left="360" w:leftChars="0"/>
        <w:jc w:val="left"/>
        <w:rPr>
          <w:rFonts w:hint="eastAsia"/>
          <w:color w:val="auto"/>
          <w:sz w:val="28"/>
          <w:szCs w:val="28"/>
          <w:highlight w:val="none"/>
          <w:lang w:val="en-US" w:eastAsia="zh-CN"/>
        </w:rPr>
      </w:pPr>
    </w:p>
    <w:p>
      <w:pPr>
        <w:pStyle w:val="18"/>
        <w:widowControl/>
        <w:numPr>
          <w:ilvl w:val="0"/>
          <w:numId w:val="0"/>
        </w:numPr>
        <w:spacing w:line="480" w:lineRule="auto"/>
        <w:ind w:left="360" w:leftChars="0"/>
        <w:jc w:val="left"/>
        <w:rPr>
          <w:rFonts w:hint="eastAsia"/>
          <w:color w:val="auto"/>
          <w:sz w:val="28"/>
          <w:szCs w:val="28"/>
          <w:highlight w:val="none"/>
          <w:lang w:val="en-US" w:eastAsia="zh-CN"/>
        </w:rPr>
      </w:pPr>
    </w:p>
    <w:p>
      <w:pPr>
        <w:pStyle w:val="18"/>
        <w:widowControl/>
        <w:numPr>
          <w:ilvl w:val="0"/>
          <w:numId w:val="0"/>
        </w:numPr>
        <w:spacing w:line="480" w:lineRule="auto"/>
        <w:ind w:left="360" w:leftChars="0"/>
        <w:jc w:val="left"/>
        <w:rPr>
          <w:rFonts w:hint="eastAsia"/>
          <w:color w:val="auto"/>
          <w:sz w:val="28"/>
          <w:szCs w:val="28"/>
          <w:highlight w:val="none"/>
          <w:lang w:val="en-US" w:eastAsia="zh-CN"/>
        </w:rPr>
      </w:pPr>
    </w:p>
    <w:p>
      <w:pPr>
        <w:pStyle w:val="18"/>
        <w:widowControl/>
        <w:numPr>
          <w:ilvl w:val="0"/>
          <w:numId w:val="0"/>
        </w:numPr>
        <w:spacing w:line="480" w:lineRule="auto"/>
        <w:ind w:left="360" w:leftChars="0"/>
        <w:jc w:val="left"/>
        <w:rPr>
          <w:rFonts w:hint="eastAsia" w:ascii="宋体" w:hAnsi="宋体"/>
          <w:color w:val="auto"/>
          <w:sz w:val="28"/>
          <w:szCs w:val="28"/>
          <w:highlight w:val="none"/>
        </w:rPr>
      </w:pPr>
      <w:r>
        <w:rPr>
          <w:rFonts w:hint="eastAsia"/>
          <w:color w:val="auto"/>
          <w:sz w:val="28"/>
          <w:szCs w:val="28"/>
          <w:highlight w:val="none"/>
          <w:lang w:val="en-US" w:eastAsia="zh-CN"/>
        </w:rPr>
        <w:t>4、</w:t>
      </w:r>
      <w:r>
        <w:rPr>
          <w:rFonts w:hint="eastAsia"/>
          <w:color w:val="auto"/>
          <w:sz w:val="28"/>
          <w:szCs w:val="28"/>
          <w:highlight w:val="none"/>
        </w:rPr>
        <w:t>公司业绩</w:t>
      </w:r>
      <w:r>
        <w:rPr>
          <w:rFonts w:hint="eastAsia" w:ascii="宋体" w:hAnsi="宋体"/>
          <w:color w:val="auto"/>
          <w:sz w:val="28"/>
          <w:szCs w:val="28"/>
          <w:highlight w:val="none"/>
        </w:rPr>
        <w:t>（加盖公章）</w:t>
      </w:r>
    </w:p>
    <w:p>
      <w:pPr>
        <w:keepNext w:val="0"/>
        <w:keepLines w:val="0"/>
        <w:pageBreakBefore w:val="0"/>
        <w:widowControl w:val="0"/>
        <w:kinsoku/>
        <w:wordWrap/>
        <w:overflowPunct w:val="0"/>
        <w:topLinePunct w:val="0"/>
        <w:autoSpaceDE w:val="0"/>
        <w:autoSpaceDN w:val="0"/>
        <w:bidi w:val="0"/>
        <w:adjustRightInd w:val="0"/>
        <w:snapToGrid/>
        <w:spacing w:line="480" w:lineRule="auto"/>
        <w:ind w:firstLine="560" w:firstLineChars="200"/>
        <w:jc w:val="center"/>
        <w:textAlignment w:val="baseline"/>
        <w:rPr>
          <w:rFonts w:ascii="宋体" w:hAnsi="宋体"/>
          <w:color w:val="auto"/>
          <w:sz w:val="28"/>
          <w:szCs w:val="28"/>
          <w:highlight w:val="none"/>
        </w:rPr>
      </w:pPr>
      <w:r>
        <w:rPr>
          <w:rFonts w:ascii="宋体" w:hAnsi="宋体"/>
          <w:color w:val="auto"/>
          <w:sz w:val="28"/>
          <w:szCs w:val="28"/>
          <w:highlight w:val="none"/>
        </w:rPr>
        <w:t>近三年（</w:t>
      </w:r>
      <w:r>
        <w:rPr>
          <w:rFonts w:hint="eastAsia" w:ascii="宋体" w:hAnsi="宋体"/>
          <w:color w:val="auto"/>
          <w:sz w:val="28"/>
          <w:szCs w:val="28"/>
          <w:highlight w:val="none"/>
          <w:lang w:val="en-US" w:eastAsia="zh-CN"/>
        </w:rPr>
        <w:t>自2019年10月1日至今，</w:t>
      </w:r>
      <w:r>
        <w:rPr>
          <w:rFonts w:ascii="宋体" w:hAnsi="宋体"/>
          <w:color w:val="auto"/>
          <w:sz w:val="28"/>
          <w:szCs w:val="28"/>
          <w:highlight w:val="none"/>
        </w:rPr>
        <w:t>以合同签订时间为准）</w:t>
      </w:r>
    </w:p>
    <w:p>
      <w:pPr>
        <w:keepNext w:val="0"/>
        <w:keepLines w:val="0"/>
        <w:pageBreakBefore w:val="0"/>
        <w:widowControl w:val="0"/>
        <w:kinsoku/>
        <w:wordWrap/>
        <w:overflowPunct w:val="0"/>
        <w:topLinePunct w:val="0"/>
        <w:autoSpaceDE w:val="0"/>
        <w:autoSpaceDN w:val="0"/>
        <w:bidi w:val="0"/>
        <w:adjustRightInd w:val="0"/>
        <w:snapToGrid/>
        <w:spacing w:line="480" w:lineRule="auto"/>
        <w:ind w:firstLine="560" w:firstLineChars="200"/>
        <w:jc w:val="center"/>
        <w:textAlignment w:val="baseline"/>
        <w:rPr>
          <w:rFonts w:ascii="宋体" w:hAnsi="宋体"/>
          <w:color w:val="auto"/>
          <w:sz w:val="28"/>
          <w:szCs w:val="28"/>
          <w:highlight w:val="none"/>
        </w:rPr>
      </w:pPr>
      <w:r>
        <w:rPr>
          <w:rFonts w:ascii="宋体" w:hAnsi="宋体"/>
          <w:color w:val="auto"/>
          <w:sz w:val="28"/>
          <w:szCs w:val="28"/>
          <w:highlight w:val="none"/>
        </w:rPr>
        <w:t>泛光照明工程业绩</w:t>
      </w:r>
      <w:r>
        <w:rPr>
          <w:rFonts w:hint="eastAsia" w:ascii="宋体" w:hAnsi="宋体"/>
          <w:color w:val="auto"/>
          <w:sz w:val="28"/>
          <w:szCs w:val="28"/>
          <w:highlight w:val="none"/>
        </w:rPr>
        <w:t>一览表</w:t>
      </w:r>
    </w:p>
    <w:tbl>
      <w:tblPr>
        <w:tblStyle w:val="47"/>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1764"/>
        <w:gridCol w:w="1397"/>
        <w:gridCol w:w="1759"/>
        <w:gridCol w:w="1682"/>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3"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序号</w:t>
            </w:r>
          </w:p>
        </w:tc>
        <w:tc>
          <w:tcPr>
            <w:tcW w:w="1764" w:type="dxa"/>
            <w:vAlign w:val="center"/>
          </w:tcPr>
          <w:p>
            <w:pPr>
              <w:adjustRightInd w:val="0"/>
              <w:snapToGrid w:val="0"/>
              <w:ind w:left="-107" w:leftChars="-51" w:right="-107" w:rightChars="-51"/>
              <w:jc w:val="center"/>
              <w:rPr>
                <w:rFonts w:hint="default" w:ascii="宋体" w:hAnsi="宋体" w:eastAsia="宋体" w:cs="Courier New"/>
                <w:b/>
                <w:bCs/>
                <w:color w:val="auto"/>
                <w:kern w:val="0"/>
                <w:szCs w:val="21"/>
                <w:highlight w:val="none"/>
                <w:lang w:val="en-US" w:eastAsia="zh-CN"/>
              </w:rPr>
            </w:pPr>
            <w:r>
              <w:rPr>
                <w:rFonts w:hint="eastAsia" w:ascii="宋体" w:hAnsi="宋体" w:cs="Courier New"/>
                <w:b/>
                <w:bCs/>
                <w:color w:val="auto"/>
                <w:kern w:val="0"/>
                <w:szCs w:val="21"/>
                <w:highlight w:val="none"/>
                <w:lang w:val="en-US" w:eastAsia="zh-CN"/>
              </w:rPr>
              <w:t>合同名称</w:t>
            </w:r>
          </w:p>
        </w:tc>
        <w:tc>
          <w:tcPr>
            <w:tcW w:w="1397" w:type="dxa"/>
            <w:vAlign w:val="center"/>
          </w:tcPr>
          <w:p>
            <w:pPr>
              <w:adjustRightInd w:val="0"/>
              <w:snapToGrid w:val="0"/>
              <w:ind w:left="-107" w:leftChars="-51" w:right="-107" w:rightChars="-51"/>
              <w:jc w:val="center"/>
              <w:rPr>
                <w:rFonts w:hint="default" w:ascii="宋体" w:hAnsi="宋体" w:eastAsia="宋体" w:cs="Courier New"/>
                <w:b/>
                <w:bCs/>
                <w:color w:val="auto"/>
                <w:kern w:val="0"/>
                <w:szCs w:val="21"/>
                <w:highlight w:val="none"/>
                <w:lang w:val="en-US" w:eastAsia="zh-CN"/>
              </w:rPr>
            </w:pPr>
            <w:r>
              <w:rPr>
                <w:rFonts w:hint="eastAsia" w:ascii="宋体" w:hAnsi="宋体" w:cs="Courier New"/>
                <w:b/>
                <w:bCs/>
                <w:color w:val="auto"/>
                <w:kern w:val="0"/>
                <w:szCs w:val="21"/>
                <w:highlight w:val="none"/>
                <w:lang w:val="en-US" w:eastAsia="zh-CN"/>
              </w:rPr>
              <w:t>合同范围</w:t>
            </w:r>
          </w:p>
        </w:tc>
        <w:tc>
          <w:tcPr>
            <w:tcW w:w="1759"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合同金额</w:t>
            </w:r>
          </w:p>
        </w:tc>
        <w:tc>
          <w:tcPr>
            <w:tcW w:w="1682"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在建或已完成</w:t>
            </w:r>
          </w:p>
        </w:tc>
        <w:tc>
          <w:tcPr>
            <w:tcW w:w="1354" w:type="dxa"/>
            <w:vAlign w:val="center"/>
          </w:tcPr>
          <w:p>
            <w:pPr>
              <w:adjustRightInd w:val="0"/>
              <w:snapToGrid w:val="0"/>
              <w:ind w:left="-107" w:leftChars="-51" w:right="-107" w:rightChars="-51"/>
              <w:jc w:val="center"/>
              <w:rPr>
                <w:rFonts w:ascii="宋体" w:hAnsi="宋体" w:cs="Courier New"/>
                <w:b/>
                <w:bCs/>
                <w:color w:val="auto"/>
                <w:kern w:val="0"/>
                <w:szCs w:val="21"/>
                <w:highlight w:val="none"/>
              </w:rPr>
            </w:pPr>
            <w:r>
              <w:rPr>
                <w:rFonts w:hint="eastAsia" w:ascii="宋体" w:hAnsi="宋体" w:cs="Courier New"/>
                <w:b/>
                <w:bCs/>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3" w:type="dxa"/>
            <w:vAlign w:val="center"/>
          </w:tcPr>
          <w:p>
            <w:pPr>
              <w:adjustRightInd w:val="0"/>
              <w:snapToGrid w:val="0"/>
              <w:jc w:val="center"/>
              <w:rPr>
                <w:rFonts w:hint="eastAsia" w:ascii="宋体" w:hAnsi="宋体" w:eastAsia="宋体" w:cs="Courier New"/>
                <w:color w:val="auto"/>
                <w:kern w:val="0"/>
                <w:sz w:val="24"/>
                <w:highlight w:val="none"/>
                <w:lang w:val="en-US" w:eastAsia="zh-CN"/>
              </w:rPr>
            </w:pPr>
            <w:r>
              <w:rPr>
                <w:rFonts w:hint="eastAsia" w:ascii="宋体" w:hAnsi="宋体" w:cs="Courier New"/>
                <w:color w:val="auto"/>
                <w:kern w:val="0"/>
                <w:sz w:val="24"/>
                <w:highlight w:val="none"/>
                <w:lang w:val="en-US" w:eastAsia="zh-CN"/>
              </w:rPr>
              <w:t>1</w:t>
            </w:r>
          </w:p>
        </w:tc>
        <w:tc>
          <w:tcPr>
            <w:tcW w:w="1764" w:type="dxa"/>
            <w:vAlign w:val="center"/>
          </w:tcPr>
          <w:p>
            <w:pPr>
              <w:adjustRightInd w:val="0"/>
              <w:snapToGrid w:val="0"/>
              <w:jc w:val="center"/>
              <w:rPr>
                <w:rFonts w:ascii="宋体" w:hAnsi="宋体" w:cs="Courier New"/>
                <w:color w:val="auto"/>
                <w:kern w:val="0"/>
                <w:sz w:val="24"/>
                <w:highlight w:val="none"/>
              </w:rPr>
            </w:pPr>
          </w:p>
        </w:tc>
        <w:tc>
          <w:tcPr>
            <w:tcW w:w="1397" w:type="dxa"/>
            <w:vAlign w:val="center"/>
          </w:tcPr>
          <w:p>
            <w:pPr>
              <w:adjustRightInd w:val="0"/>
              <w:snapToGrid w:val="0"/>
              <w:jc w:val="center"/>
              <w:rPr>
                <w:rFonts w:ascii="宋体" w:hAnsi="宋体" w:cs="Courier New"/>
                <w:color w:val="auto"/>
                <w:kern w:val="0"/>
                <w:sz w:val="24"/>
                <w:highlight w:val="none"/>
              </w:rPr>
            </w:pPr>
          </w:p>
        </w:tc>
        <w:tc>
          <w:tcPr>
            <w:tcW w:w="1759" w:type="dxa"/>
            <w:vAlign w:val="center"/>
          </w:tcPr>
          <w:p>
            <w:pPr>
              <w:adjustRightInd w:val="0"/>
              <w:snapToGrid w:val="0"/>
              <w:jc w:val="center"/>
              <w:rPr>
                <w:rFonts w:ascii="宋体" w:hAnsi="宋体" w:cs="Courier New"/>
                <w:color w:val="auto"/>
                <w:kern w:val="0"/>
                <w:sz w:val="24"/>
                <w:highlight w:val="none"/>
              </w:rPr>
            </w:pPr>
          </w:p>
        </w:tc>
        <w:tc>
          <w:tcPr>
            <w:tcW w:w="1682" w:type="dxa"/>
            <w:vAlign w:val="center"/>
          </w:tcPr>
          <w:p>
            <w:pPr>
              <w:adjustRightInd w:val="0"/>
              <w:snapToGrid w:val="0"/>
              <w:jc w:val="center"/>
              <w:rPr>
                <w:rFonts w:ascii="宋体" w:hAnsi="宋体" w:cs="Courier New"/>
                <w:color w:val="auto"/>
                <w:kern w:val="0"/>
                <w:sz w:val="24"/>
                <w:highlight w:val="none"/>
              </w:rPr>
            </w:pPr>
          </w:p>
        </w:tc>
        <w:tc>
          <w:tcPr>
            <w:tcW w:w="1354" w:type="dxa"/>
            <w:vAlign w:val="center"/>
          </w:tcPr>
          <w:p>
            <w:pPr>
              <w:adjustRightInd w:val="0"/>
              <w:snapToGrid w:val="0"/>
              <w:jc w:val="center"/>
              <w:rPr>
                <w:rFonts w:ascii="宋体" w:hAnsi="宋体" w:cs="Courier New"/>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3" w:type="dxa"/>
            <w:vAlign w:val="center"/>
          </w:tcPr>
          <w:p>
            <w:pPr>
              <w:adjustRightInd w:val="0"/>
              <w:snapToGrid w:val="0"/>
              <w:jc w:val="center"/>
              <w:rPr>
                <w:rFonts w:hint="eastAsia" w:ascii="宋体" w:hAnsi="宋体" w:eastAsia="宋体" w:cs="Courier New"/>
                <w:color w:val="auto"/>
                <w:kern w:val="0"/>
                <w:sz w:val="24"/>
                <w:highlight w:val="none"/>
                <w:lang w:val="en-US" w:eastAsia="zh-CN"/>
              </w:rPr>
            </w:pPr>
            <w:r>
              <w:rPr>
                <w:rFonts w:hint="eastAsia" w:ascii="宋体" w:hAnsi="宋体" w:cs="Courier New"/>
                <w:color w:val="auto"/>
                <w:kern w:val="0"/>
                <w:sz w:val="24"/>
                <w:highlight w:val="none"/>
                <w:lang w:val="en-US" w:eastAsia="zh-CN"/>
              </w:rPr>
              <w:t>2</w:t>
            </w:r>
          </w:p>
        </w:tc>
        <w:tc>
          <w:tcPr>
            <w:tcW w:w="1764" w:type="dxa"/>
            <w:vAlign w:val="center"/>
          </w:tcPr>
          <w:p>
            <w:pPr>
              <w:adjustRightInd w:val="0"/>
              <w:snapToGrid w:val="0"/>
              <w:jc w:val="center"/>
              <w:rPr>
                <w:rFonts w:ascii="宋体" w:hAnsi="宋体" w:cs="Courier New"/>
                <w:color w:val="auto"/>
                <w:kern w:val="0"/>
                <w:sz w:val="24"/>
                <w:highlight w:val="none"/>
              </w:rPr>
            </w:pPr>
          </w:p>
        </w:tc>
        <w:tc>
          <w:tcPr>
            <w:tcW w:w="1397" w:type="dxa"/>
            <w:vAlign w:val="center"/>
          </w:tcPr>
          <w:p>
            <w:pPr>
              <w:adjustRightInd w:val="0"/>
              <w:snapToGrid w:val="0"/>
              <w:jc w:val="center"/>
              <w:rPr>
                <w:rFonts w:ascii="宋体" w:hAnsi="宋体" w:cs="Courier New"/>
                <w:color w:val="auto"/>
                <w:kern w:val="0"/>
                <w:sz w:val="24"/>
                <w:highlight w:val="none"/>
              </w:rPr>
            </w:pPr>
          </w:p>
        </w:tc>
        <w:tc>
          <w:tcPr>
            <w:tcW w:w="1759" w:type="dxa"/>
            <w:vAlign w:val="center"/>
          </w:tcPr>
          <w:p>
            <w:pPr>
              <w:adjustRightInd w:val="0"/>
              <w:snapToGrid w:val="0"/>
              <w:jc w:val="center"/>
              <w:rPr>
                <w:rFonts w:ascii="宋体" w:hAnsi="宋体" w:cs="Courier New"/>
                <w:color w:val="auto"/>
                <w:kern w:val="0"/>
                <w:sz w:val="24"/>
                <w:highlight w:val="none"/>
              </w:rPr>
            </w:pPr>
          </w:p>
        </w:tc>
        <w:tc>
          <w:tcPr>
            <w:tcW w:w="1682" w:type="dxa"/>
            <w:vAlign w:val="center"/>
          </w:tcPr>
          <w:p>
            <w:pPr>
              <w:adjustRightInd w:val="0"/>
              <w:snapToGrid w:val="0"/>
              <w:jc w:val="center"/>
              <w:rPr>
                <w:rFonts w:ascii="宋体" w:hAnsi="宋体" w:cs="Courier New"/>
                <w:color w:val="auto"/>
                <w:kern w:val="0"/>
                <w:sz w:val="24"/>
                <w:highlight w:val="none"/>
              </w:rPr>
            </w:pPr>
          </w:p>
        </w:tc>
        <w:tc>
          <w:tcPr>
            <w:tcW w:w="1354" w:type="dxa"/>
            <w:vAlign w:val="center"/>
          </w:tcPr>
          <w:p>
            <w:pPr>
              <w:adjustRightInd w:val="0"/>
              <w:snapToGrid w:val="0"/>
              <w:jc w:val="center"/>
              <w:rPr>
                <w:rFonts w:ascii="宋体" w:hAnsi="宋体" w:cs="Courier New"/>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3" w:type="dxa"/>
            <w:vAlign w:val="center"/>
          </w:tcPr>
          <w:p>
            <w:pPr>
              <w:adjustRightInd w:val="0"/>
              <w:snapToGrid w:val="0"/>
              <w:jc w:val="center"/>
              <w:rPr>
                <w:rFonts w:hint="eastAsia" w:ascii="宋体" w:hAnsi="宋体" w:eastAsia="宋体" w:cs="Courier New"/>
                <w:color w:val="auto"/>
                <w:kern w:val="0"/>
                <w:sz w:val="24"/>
                <w:highlight w:val="none"/>
                <w:lang w:val="en-US" w:eastAsia="zh-CN"/>
              </w:rPr>
            </w:pPr>
            <w:r>
              <w:rPr>
                <w:rFonts w:hint="eastAsia" w:ascii="宋体" w:hAnsi="宋体" w:cs="Courier New"/>
                <w:color w:val="auto"/>
                <w:kern w:val="0"/>
                <w:sz w:val="24"/>
                <w:highlight w:val="none"/>
                <w:lang w:val="en-US" w:eastAsia="zh-CN"/>
              </w:rPr>
              <w:t>3</w:t>
            </w:r>
          </w:p>
        </w:tc>
        <w:tc>
          <w:tcPr>
            <w:tcW w:w="1764" w:type="dxa"/>
            <w:vAlign w:val="center"/>
          </w:tcPr>
          <w:p>
            <w:pPr>
              <w:adjustRightInd w:val="0"/>
              <w:snapToGrid w:val="0"/>
              <w:jc w:val="center"/>
              <w:rPr>
                <w:rFonts w:ascii="宋体" w:hAnsi="宋体" w:cs="Courier New"/>
                <w:color w:val="auto"/>
                <w:kern w:val="0"/>
                <w:sz w:val="24"/>
                <w:highlight w:val="none"/>
              </w:rPr>
            </w:pPr>
          </w:p>
        </w:tc>
        <w:tc>
          <w:tcPr>
            <w:tcW w:w="1397" w:type="dxa"/>
            <w:vAlign w:val="center"/>
          </w:tcPr>
          <w:p>
            <w:pPr>
              <w:adjustRightInd w:val="0"/>
              <w:snapToGrid w:val="0"/>
              <w:jc w:val="center"/>
              <w:rPr>
                <w:rFonts w:ascii="宋体" w:hAnsi="宋体" w:cs="Courier New"/>
                <w:color w:val="auto"/>
                <w:kern w:val="0"/>
                <w:sz w:val="24"/>
                <w:highlight w:val="none"/>
              </w:rPr>
            </w:pPr>
          </w:p>
        </w:tc>
        <w:tc>
          <w:tcPr>
            <w:tcW w:w="1759" w:type="dxa"/>
            <w:vAlign w:val="center"/>
          </w:tcPr>
          <w:p>
            <w:pPr>
              <w:adjustRightInd w:val="0"/>
              <w:snapToGrid w:val="0"/>
              <w:jc w:val="center"/>
              <w:rPr>
                <w:rFonts w:ascii="宋体" w:hAnsi="宋体" w:cs="Courier New"/>
                <w:color w:val="auto"/>
                <w:kern w:val="0"/>
                <w:sz w:val="24"/>
                <w:highlight w:val="none"/>
              </w:rPr>
            </w:pPr>
          </w:p>
        </w:tc>
        <w:tc>
          <w:tcPr>
            <w:tcW w:w="1682" w:type="dxa"/>
            <w:vAlign w:val="center"/>
          </w:tcPr>
          <w:p>
            <w:pPr>
              <w:adjustRightInd w:val="0"/>
              <w:snapToGrid w:val="0"/>
              <w:jc w:val="center"/>
              <w:rPr>
                <w:rFonts w:ascii="宋体" w:hAnsi="宋体" w:cs="Courier New"/>
                <w:color w:val="auto"/>
                <w:kern w:val="0"/>
                <w:sz w:val="24"/>
                <w:highlight w:val="none"/>
              </w:rPr>
            </w:pPr>
          </w:p>
        </w:tc>
        <w:tc>
          <w:tcPr>
            <w:tcW w:w="1354" w:type="dxa"/>
            <w:vAlign w:val="center"/>
          </w:tcPr>
          <w:p>
            <w:pPr>
              <w:adjustRightInd w:val="0"/>
              <w:snapToGrid w:val="0"/>
              <w:jc w:val="center"/>
              <w:rPr>
                <w:rFonts w:ascii="宋体" w:hAnsi="宋体" w:cs="Courier New"/>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3" w:type="dxa"/>
            <w:vAlign w:val="center"/>
          </w:tcPr>
          <w:p>
            <w:pPr>
              <w:adjustRightInd w:val="0"/>
              <w:snapToGrid w:val="0"/>
              <w:jc w:val="center"/>
              <w:rPr>
                <w:rFonts w:hint="eastAsia" w:ascii="宋体" w:hAnsi="宋体" w:eastAsia="宋体" w:cs="Courier New"/>
                <w:color w:val="auto"/>
                <w:kern w:val="0"/>
                <w:sz w:val="24"/>
                <w:highlight w:val="none"/>
                <w:lang w:val="en-US" w:eastAsia="zh-CN"/>
              </w:rPr>
            </w:pPr>
            <w:r>
              <w:rPr>
                <w:rFonts w:hint="eastAsia" w:ascii="宋体" w:hAnsi="宋体" w:cs="Courier New"/>
                <w:color w:val="auto"/>
                <w:kern w:val="0"/>
                <w:sz w:val="24"/>
                <w:highlight w:val="none"/>
                <w:lang w:val="en-US" w:eastAsia="zh-CN"/>
              </w:rPr>
              <w:t>4</w:t>
            </w:r>
          </w:p>
        </w:tc>
        <w:tc>
          <w:tcPr>
            <w:tcW w:w="1764" w:type="dxa"/>
            <w:vAlign w:val="center"/>
          </w:tcPr>
          <w:p>
            <w:pPr>
              <w:adjustRightInd w:val="0"/>
              <w:snapToGrid w:val="0"/>
              <w:jc w:val="center"/>
              <w:rPr>
                <w:rFonts w:ascii="宋体" w:hAnsi="宋体" w:cs="Courier New"/>
                <w:color w:val="auto"/>
                <w:kern w:val="0"/>
                <w:sz w:val="24"/>
                <w:highlight w:val="none"/>
              </w:rPr>
            </w:pPr>
          </w:p>
        </w:tc>
        <w:tc>
          <w:tcPr>
            <w:tcW w:w="1397" w:type="dxa"/>
            <w:vAlign w:val="center"/>
          </w:tcPr>
          <w:p>
            <w:pPr>
              <w:adjustRightInd w:val="0"/>
              <w:snapToGrid w:val="0"/>
              <w:jc w:val="center"/>
              <w:rPr>
                <w:rFonts w:ascii="宋体" w:hAnsi="宋体" w:cs="Courier New"/>
                <w:color w:val="auto"/>
                <w:kern w:val="0"/>
                <w:sz w:val="24"/>
                <w:highlight w:val="none"/>
              </w:rPr>
            </w:pPr>
          </w:p>
        </w:tc>
        <w:tc>
          <w:tcPr>
            <w:tcW w:w="1759" w:type="dxa"/>
            <w:vAlign w:val="center"/>
          </w:tcPr>
          <w:p>
            <w:pPr>
              <w:adjustRightInd w:val="0"/>
              <w:snapToGrid w:val="0"/>
              <w:jc w:val="center"/>
              <w:rPr>
                <w:rFonts w:ascii="宋体" w:hAnsi="宋体" w:cs="Courier New"/>
                <w:color w:val="auto"/>
                <w:kern w:val="0"/>
                <w:sz w:val="24"/>
                <w:highlight w:val="none"/>
              </w:rPr>
            </w:pPr>
          </w:p>
        </w:tc>
        <w:tc>
          <w:tcPr>
            <w:tcW w:w="1682" w:type="dxa"/>
            <w:vAlign w:val="center"/>
          </w:tcPr>
          <w:p>
            <w:pPr>
              <w:adjustRightInd w:val="0"/>
              <w:snapToGrid w:val="0"/>
              <w:jc w:val="center"/>
              <w:rPr>
                <w:rFonts w:ascii="宋体" w:hAnsi="宋体" w:cs="Courier New"/>
                <w:color w:val="auto"/>
                <w:kern w:val="0"/>
                <w:sz w:val="24"/>
                <w:highlight w:val="none"/>
              </w:rPr>
            </w:pPr>
          </w:p>
        </w:tc>
        <w:tc>
          <w:tcPr>
            <w:tcW w:w="1354" w:type="dxa"/>
            <w:vAlign w:val="center"/>
          </w:tcPr>
          <w:p>
            <w:pPr>
              <w:adjustRightInd w:val="0"/>
              <w:snapToGrid w:val="0"/>
              <w:jc w:val="center"/>
              <w:rPr>
                <w:rFonts w:ascii="宋体" w:hAnsi="宋体" w:cs="Courier New"/>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3" w:type="dxa"/>
            <w:vAlign w:val="center"/>
          </w:tcPr>
          <w:p>
            <w:pPr>
              <w:adjustRightInd w:val="0"/>
              <w:snapToGrid w:val="0"/>
              <w:jc w:val="center"/>
              <w:rPr>
                <w:rFonts w:hint="eastAsia"/>
                <w:color w:val="auto"/>
                <w:lang w:val="en-US" w:eastAsia="zh-CN"/>
              </w:rPr>
            </w:pPr>
            <w:r>
              <w:rPr>
                <w:rFonts w:hint="eastAsia"/>
                <w:color w:val="auto"/>
                <w:lang w:val="en-US" w:eastAsia="zh-CN"/>
              </w:rPr>
              <w:t>......</w:t>
            </w:r>
          </w:p>
          <w:p>
            <w:pPr>
              <w:pStyle w:val="2"/>
              <w:jc w:val="center"/>
              <w:rPr>
                <w:rFonts w:hint="default"/>
                <w:color w:val="auto"/>
                <w:lang w:val="en-US" w:eastAsia="zh-CN"/>
              </w:rPr>
            </w:pPr>
          </w:p>
        </w:tc>
        <w:tc>
          <w:tcPr>
            <w:tcW w:w="1764" w:type="dxa"/>
            <w:vAlign w:val="center"/>
          </w:tcPr>
          <w:p>
            <w:pPr>
              <w:adjustRightInd w:val="0"/>
              <w:snapToGrid w:val="0"/>
              <w:jc w:val="center"/>
              <w:rPr>
                <w:rFonts w:ascii="宋体" w:hAnsi="宋体" w:cs="Courier New"/>
                <w:color w:val="auto"/>
                <w:kern w:val="0"/>
                <w:sz w:val="24"/>
                <w:highlight w:val="none"/>
              </w:rPr>
            </w:pPr>
          </w:p>
        </w:tc>
        <w:tc>
          <w:tcPr>
            <w:tcW w:w="1397" w:type="dxa"/>
            <w:vAlign w:val="center"/>
          </w:tcPr>
          <w:p>
            <w:pPr>
              <w:adjustRightInd w:val="0"/>
              <w:snapToGrid w:val="0"/>
              <w:jc w:val="center"/>
              <w:rPr>
                <w:rFonts w:ascii="宋体" w:hAnsi="宋体" w:cs="Courier New"/>
                <w:color w:val="auto"/>
                <w:kern w:val="0"/>
                <w:sz w:val="24"/>
                <w:highlight w:val="none"/>
              </w:rPr>
            </w:pPr>
          </w:p>
        </w:tc>
        <w:tc>
          <w:tcPr>
            <w:tcW w:w="1759" w:type="dxa"/>
            <w:vAlign w:val="center"/>
          </w:tcPr>
          <w:p>
            <w:pPr>
              <w:adjustRightInd w:val="0"/>
              <w:snapToGrid w:val="0"/>
              <w:jc w:val="center"/>
              <w:rPr>
                <w:rFonts w:ascii="宋体" w:hAnsi="宋体" w:cs="Courier New"/>
                <w:color w:val="auto"/>
                <w:kern w:val="0"/>
                <w:sz w:val="24"/>
                <w:highlight w:val="none"/>
              </w:rPr>
            </w:pPr>
          </w:p>
        </w:tc>
        <w:tc>
          <w:tcPr>
            <w:tcW w:w="1682" w:type="dxa"/>
            <w:vAlign w:val="center"/>
          </w:tcPr>
          <w:p>
            <w:pPr>
              <w:adjustRightInd w:val="0"/>
              <w:snapToGrid w:val="0"/>
              <w:jc w:val="center"/>
              <w:rPr>
                <w:rFonts w:ascii="宋体" w:hAnsi="宋体" w:cs="Courier New"/>
                <w:color w:val="auto"/>
                <w:kern w:val="0"/>
                <w:sz w:val="24"/>
                <w:highlight w:val="none"/>
              </w:rPr>
            </w:pPr>
          </w:p>
        </w:tc>
        <w:tc>
          <w:tcPr>
            <w:tcW w:w="1354" w:type="dxa"/>
            <w:vAlign w:val="center"/>
          </w:tcPr>
          <w:p>
            <w:pPr>
              <w:adjustRightInd w:val="0"/>
              <w:snapToGrid w:val="0"/>
              <w:jc w:val="center"/>
              <w:rPr>
                <w:rFonts w:ascii="宋体" w:hAnsi="宋体" w:cs="Courier New"/>
                <w:color w:val="auto"/>
                <w:kern w:val="0"/>
                <w:sz w:val="24"/>
                <w:highlight w:val="none"/>
              </w:rPr>
            </w:pPr>
          </w:p>
        </w:tc>
      </w:tr>
    </w:tbl>
    <w:p>
      <w:pPr>
        <w:keepNext w:val="0"/>
        <w:keepLines w:val="0"/>
        <w:pageBreakBefore w:val="0"/>
        <w:widowControl w:val="0"/>
        <w:kinsoku/>
        <w:wordWrap/>
        <w:overflowPunct w:val="0"/>
        <w:topLinePunct w:val="0"/>
        <w:autoSpaceDE w:val="0"/>
        <w:autoSpaceDN w:val="0"/>
        <w:bidi w:val="0"/>
        <w:adjustRightInd w:val="0"/>
        <w:snapToGrid/>
        <w:spacing w:line="480" w:lineRule="auto"/>
        <w:ind w:firstLine="560" w:firstLineChars="200"/>
        <w:textAlignment w:val="baseline"/>
        <w:rPr>
          <w:rFonts w:hint="eastAsia" w:ascii="宋体" w:hAnsi="宋体"/>
          <w:color w:val="auto"/>
          <w:sz w:val="28"/>
          <w:szCs w:val="28"/>
          <w:highlight w:val="none"/>
          <w:lang w:val="zh-TW" w:eastAsia="zh-TW"/>
        </w:rPr>
      </w:pPr>
    </w:p>
    <w:p>
      <w:pPr>
        <w:overflowPunct w:val="0"/>
        <w:autoSpaceDE w:val="0"/>
        <w:autoSpaceDN w:val="0"/>
        <w:adjustRightInd w:val="0"/>
        <w:spacing w:line="480" w:lineRule="auto"/>
        <w:textAlignment w:val="baseline"/>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备注：业绩证明材料须提供合同关键页复印件</w:t>
      </w:r>
      <w:r>
        <w:rPr>
          <w:rFonts w:hint="eastAsia" w:ascii="宋体" w:hAnsi="宋体"/>
          <w:color w:val="auto"/>
          <w:sz w:val="28"/>
          <w:szCs w:val="28"/>
          <w:highlight w:val="none"/>
        </w:rPr>
        <w:t>并加盖公章</w:t>
      </w:r>
      <w:r>
        <w:rPr>
          <w:rFonts w:hint="eastAsia" w:ascii="宋体" w:hAnsi="宋体"/>
          <w:color w:val="auto"/>
          <w:sz w:val="28"/>
          <w:szCs w:val="28"/>
          <w:highlight w:val="none"/>
          <w:lang w:val="en-US" w:eastAsia="zh-CN"/>
        </w:rPr>
        <w:t>；合同关键页必须包括合同名称、合同范围、合同金额等关键信息，时间以合同签订时间为准。</w:t>
      </w:r>
    </w:p>
    <w:p>
      <w:pPr>
        <w:pStyle w:val="2"/>
        <w:rPr>
          <w:rFonts w:hint="eastAsia" w:ascii="宋体" w:hAnsi="宋体"/>
          <w:color w:val="auto"/>
          <w:sz w:val="28"/>
          <w:szCs w:val="28"/>
          <w:highlight w:val="none"/>
          <w:lang w:val="en-US" w:eastAsia="zh-CN"/>
        </w:rPr>
      </w:pPr>
    </w:p>
    <w:p>
      <w:pPr>
        <w:pStyle w:val="2"/>
        <w:rPr>
          <w:rFonts w:hint="eastAsia" w:ascii="宋体" w:hAnsi="宋体"/>
          <w:color w:val="auto"/>
          <w:sz w:val="28"/>
          <w:szCs w:val="28"/>
          <w:highlight w:val="none"/>
          <w:lang w:val="en-US" w:eastAsia="zh-CN"/>
        </w:rPr>
      </w:pPr>
    </w:p>
    <w:p>
      <w:pPr>
        <w:pStyle w:val="2"/>
        <w:rPr>
          <w:rFonts w:hint="eastAsia" w:ascii="宋体" w:hAnsi="宋体"/>
          <w:color w:val="auto"/>
          <w:sz w:val="28"/>
          <w:szCs w:val="28"/>
          <w:highlight w:val="none"/>
          <w:lang w:val="en-US" w:eastAsia="zh-CN"/>
        </w:rPr>
      </w:pPr>
    </w:p>
    <w:p>
      <w:pPr>
        <w:overflowPunct w:val="0"/>
        <w:autoSpaceDE w:val="0"/>
        <w:autoSpaceDN w:val="0"/>
        <w:adjustRightInd w:val="0"/>
        <w:spacing w:line="480" w:lineRule="auto"/>
        <w:textAlignment w:val="baseline"/>
        <w:rPr>
          <w:rFonts w:hint="eastAsia"/>
          <w:color w:val="auto"/>
          <w:sz w:val="28"/>
          <w:szCs w:val="28"/>
          <w:highlight w:val="none"/>
          <w:lang w:val="en-US" w:eastAsia="zh-CN"/>
        </w:rPr>
      </w:pPr>
    </w:p>
    <w:p>
      <w:pPr>
        <w:overflowPunct w:val="0"/>
        <w:autoSpaceDE w:val="0"/>
        <w:autoSpaceDN w:val="0"/>
        <w:adjustRightInd w:val="0"/>
        <w:spacing w:line="480" w:lineRule="auto"/>
        <w:textAlignment w:val="baseline"/>
        <w:rPr>
          <w:rFonts w:hint="eastAsia"/>
          <w:color w:val="auto"/>
          <w:sz w:val="28"/>
          <w:szCs w:val="28"/>
          <w:highlight w:val="none"/>
          <w:lang w:val="en-US" w:eastAsia="zh-CN"/>
        </w:rPr>
      </w:pPr>
    </w:p>
    <w:p>
      <w:pPr>
        <w:overflowPunct w:val="0"/>
        <w:autoSpaceDE w:val="0"/>
        <w:autoSpaceDN w:val="0"/>
        <w:adjustRightInd w:val="0"/>
        <w:spacing w:line="480" w:lineRule="auto"/>
        <w:textAlignment w:val="baseline"/>
        <w:rPr>
          <w:rFonts w:hint="eastAsia"/>
          <w:color w:val="auto"/>
          <w:sz w:val="28"/>
          <w:szCs w:val="28"/>
          <w:highlight w:val="none"/>
          <w:lang w:val="en-US" w:eastAsia="zh-CN"/>
        </w:rPr>
      </w:pPr>
    </w:p>
    <w:p>
      <w:pPr>
        <w:overflowPunct w:val="0"/>
        <w:autoSpaceDE w:val="0"/>
        <w:autoSpaceDN w:val="0"/>
        <w:adjustRightInd w:val="0"/>
        <w:spacing w:line="480" w:lineRule="auto"/>
        <w:textAlignment w:val="baseline"/>
        <w:rPr>
          <w:rFonts w:hint="eastAsia"/>
          <w:color w:val="auto"/>
          <w:sz w:val="28"/>
          <w:szCs w:val="28"/>
          <w:highlight w:val="none"/>
          <w:lang w:val="en-US" w:eastAsia="zh-CN"/>
        </w:rPr>
      </w:pPr>
    </w:p>
    <w:p>
      <w:pPr>
        <w:overflowPunct w:val="0"/>
        <w:autoSpaceDE w:val="0"/>
        <w:autoSpaceDN w:val="0"/>
        <w:adjustRightInd w:val="0"/>
        <w:spacing w:line="480" w:lineRule="auto"/>
        <w:textAlignment w:val="baseline"/>
        <w:rPr>
          <w:rFonts w:hint="eastAsia"/>
          <w:color w:val="auto"/>
          <w:sz w:val="28"/>
          <w:szCs w:val="28"/>
          <w:highlight w:val="none"/>
          <w:lang w:val="en-US" w:eastAsia="zh-CN"/>
        </w:rPr>
      </w:pPr>
    </w:p>
    <w:p>
      <w:pPr>
        <w:overflowPunct w:val="0"/>
        <w:autoSpaceDE w:val="0"/>
        <w:autoSpaceDN w:val="0"/>
        <w:adjustRightInd w:val="0"/>
        <w:spacing w:line="480" w:lineRule="auto"/>
        <w:textAlignment w:val="baseline"/>
        <w:rPr>
          <w:rFonts w:hint="eastAsia"/>
          <w:color w:val="auto"/>
          <w:sz w:val="28"/>
          <w:szCs w:val="28"/>
          <w:highlight w:val="none"/>
          <w:lang w:val="en-US" w:eastAsia="zh-CN"/>
        </w:rPr>
      </w:pPr>
    </w:p>
    <w:p>
      <w:pPr>
        <w:overflowPunct w:val="0"/>
        <w:autoSpaceDE w:val="0"/>
        <w:autoSpaceDN w:val="0"/>
        <w:adjustRightInd w:val="0"/>
        <w:spacing w:line="480" w:lineRule="auto"/>
        <w:textAlignment w:val="baseline"/>
        <w:rPr>
          <w:color w:val="auto"/>
          <w:sz w:val="28"/>
          <w:szCs w:val="28"/>
          <w:highlight w:val="none"/>
        </w:rPr>
      </w:pPr>
      <w:r>
        <w:rPr>
          <w:rFonts w:hint="eastAsia"/>
          <w:color w:val="auto"/>
          <w:sz w:val="28"/>
          <w:szCs w:val="28"/>
          <w:highlight w:val="none"/>
          <w:lang w:val="en-US" w:eastAsia="zh-CN"/>
        </w:rPr>
        <w:t>5、施工</w:t>
      </w:r>
      <w:r>
        <w:rPr>
          <w:rFonts w:hint="eastAsia"/>
          <w:color w:val="auto"/>
          <w:sz w:val="28"/>
          <w:szCs w:val="28"/>
          <w:highlight w:val="none"/>
        </w:rPr>
        <w:t>方案</w:t>
      </w:r>
      <w:r>
        <w:rPr>
          <w:rFonts w:hint="eastAsia" w:ascii="宋体" w:hAnsi="宋体"/>
          <w:color w:val="auto"/>
          <w:sz w:val="28"/>
          <w:szCs w:val="28"/>
          <w:highlight w:val="none"/>
        </w:rPr>
        <w:t>（加盖公章）</w:t>
      </w:r>
    </w:p>
    <w:p>
      <w:pPr>
        <w:overflowPunct w:val="0"/>
        <w:autoSpaceDE w:val="0"/>
        <w:autoSpaceDN w:val="0"/>
        <w:adjustRightInd w:val="0"/>
        <w:spacing w:line="480" w:lineRule="auto"/>
        <w:textAlignment w:val="baseline"/>
        <w:rPr>
          <w:rFonts w:hint="eastAsia"/>
          <w:color w:val="auto"/>
          <w:sz w:val="28"/>
          <w:szCs w:val="28"/>
          <w:highlight w:val="none"/>
          <w:lang w:val="en-US" w:eastAsia="zh-CN"/>
        </w:rPr>
      </w:pPr>
      <w:r>
        <w:rPr>
          <w:rFonts w:hint="eastAsia"/>
          <w:color w:val="auto"/>
          <w:sz w:val="28"/>
          <w:szCs w:val="28"/>
          <w:highlight w:val="none"/>
          <w:lang w:val="en-US" w:eastAsia="zh-CN"/>
        </w:rPr>
        <w:t>根据现场及图纸情况编制施工方案（含安装方案、安全措施、工期排布、与总包、幕墙等单位的界面协调、图纸深化等内容）</w:t>
      </w:r>
    </w:p>
    <w:p>
      <w:pPr>
        <w:rPr>
          <w:color w:val="auto"/>
          <w:highlight w:val="none"/>
        </w:rPr>
      </w:pPr>
    </w:p>
    <w:p>
      <w:pPr>
        <w:rPr>
          <w:color w:val="auto"/>
          <w:highlight w:val="none"/>
        </w:rPr>
      </w:pPr>
    </w:p>
    <w:p>
      <w:pPr>
        <w:rPr>
          <w:color w:val="auto"/>
          <w:sz w:val="30"/>
          <w:szCs w:val="30"/>
          <w:highlight w:val="none"/>
        </w:rPr>
        <w:sectPr>
          <w:headerReference r:id="rId11" w:type="default"/>
          <w:footerReference r:id="rId12" w:type="default"/>
          <w:pgSz w:w="11906" w:h="16838"/>
          <w:pgMar w:top="1440" w:right="1800" w:bottom="1440" w:left="1800" w:header="851" w:footer="992" w:gutter="0"/>
          <w:pgNumType w:start="1"/>
          <w:cols w:space="720" w:num="1"/>
          <w:docGrid w:linePitch="312" w:charSpace="0"/>
        </w:sectPr>
      </w:pPr>
    </w:p>
    <w:p>
      <w:pPr>
        <w:pStyle w:val="5"/>
        <w:spacing w:before="0" w:after="0" w:line="360" w:lineRule="auto"/>
        <w:jc w:val="center"/>
        <w:rPr>
          <w:color w:val="auto"/>
          <w:highlight w:val="none"/>
        </w:rPr>
      </w:pPr>
      <w:bookmarkStart w:id="33" w:name="_Toc65054232"/>
      <w:r>
        <w:rPr>
          <w:rFonts w:hint="eastAsia"/>
          <w:color w:val="auto"/>
          <w:highlight w:val="none"/>
        </w:rPr>
        <w:t>四、商务标书格式</w:t>
      </w:r>
      <w:bookmarkEnd w:id="33"/>
    </w:p>
    <w:p>
      <w:pPr>
        <w:jc w:val="center"/>
        <w:rPr>
          <w:rFonts w:ascii="黑体" w:hAnsi="黑体" w:eastAsia="黑体"/>
          <w:b/>
          <w:color w:val="auto"/>
          <w:sz w:val="36"/>
          <w:szCs w:val="36"/>
          <w:highlight w:val="none"/>
        </w:rPr>
      </w:pPr>
    </w:p>
    <w:p>
      <w:pPr>
        <w:jc w:val="center"/>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 深铁珑境（一期）泛光照明工程 </w:t>
      </w:r>
      <w:r>
        <w:rPr>
          <w:rFonts w:hint="eastAsia" w:ascii="宋体" w:hAnsi="宋体"/>
          <w:b/>
          <w:color w:val="auto"/>
          <w:sz w:val="24"/>
          <w:szCs w:val="24"/>
          <w:highlight w:val="none"/>
          <w:u w:val="single"/>
        </w:rPr>
        <w:t xml:space="preserve"> </w:t>
      </w:r>
      <w:r>
        <w:rPr>
          <w:rFonts w:hint="eastAsia" w:ascii="宋体" w:hAnsi="宋体"/>
          <w:color w:val="auto"/>
          <w:highlight w:val="none"/>
          <w:u w:val="single"/>
        </w:rPr>
        <w:t xml:space="preserve"> </w:t>
      </w:r>
      <w:r>
        <w:rPr>
          <w:rFonts w:hint="eastAsia" w:ascii="黑体" w:hAnsi="黑体" w:eastAsia="黑体"/>
          <w:b/>
          <w:color w:val="auto"/>
          <w:sz w:val="36"/>
          <w:szCs w:val="36"/>
          <w:highlight w:val="none"/>
        </w:rPr>
        <w:t>参选文件</w:t>
      </w:r>
    </w:p>
    <w:p>
      <w:pPr>
        <w:rPr>
          <w:rFonts w:ascii="宋体" w:hAnsi="宋体"/>
          <w:b/>
          <w:color w:val="auto"/>
          <w:szCs w:val="21"/>
          <w:highlight w:val="none"/>
        </w:rPr>
      </w:pPr>
    </w:p>
    <w:p>
      <w:pPr>
        <w:jc w:val="center"/>
        <w:rPr>
          <w:rFonts w:ascii="宋体" w:hAnsi="宋体"/>
          <w:b/>
          <w:color w:val="auto"/>
          <w:szCs w:val="21"/>
          <w:highlight w:val="none"/>
        </w:rPr>
      </w:pPr>
      <w:r>
        <w:rPr>
          <w:rFonts w:hint="eastAsia" w:hAnsi="宋体"/>
          <w:b/>
          <w:bCs/>
          <w:color w:val="auto"/>
          <w:sz w:val="52"/>
          <w:szCs w:val="52"/>
          <w:highlight w:val="none"/>
        </w:rPr>
        <w:t>商务标书</w:t>
      </w: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Cs w:val="21"/>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参选人(公章)：</w:t>
      </w:r>
      <w:r>
        <w:rPr>
          <w:rFonts w:hint="eastAsia" w:ascii="宋体" w:hAnsi="宋体"/>
          <w:b/>
          <w:color w:val="auto"/>
          <w:sz w:val="28"/>
          <w:szCs w:val="28"/>
          <w:highlight w:val="none"/>
          <w:u w:val="single"/>
        </w:rPr>
        <w:t xml:space="preserve">                           </w:t>
      </w:r>
    </w:p>
    <w:p>
      <w:pPr>
        <w:rPr>
          <w:rFonts w:ascii="宋体" w:hAnsi="宋体"/>
          <w:b/>
          <w:color w:val="auto"/>
          <w:szCs w:val="21"/>
          <w:highlight w:val="none"/>
        </w:rPr>
      </w:pPr>
    </w:p>
    <w:p>
      <w:pPr>
        <w:rPr>
          <w:rFonts w:ascii="宋体" w:hAnsi="宋体"/>
          <w:b/>
          <w:color w:val="auto"/>
          <w:sz w:val="28"/>
          <w:szCs w:val="28"/>
          <w:highlight w:val="none"/>
        </w:rPr>
      </w:pPr>
    </w:p>
    <w:p>
      <w:pPr>
        <w:rPr>
          <w:rFonts w:ascii="宋体" w:hAnsi="宋体"/>
          <w:b/>
          <w:color w:val="auto"/>
          <w:sz w:val="28"/>
          <w:szCs w:val="28"/>
          <w:highlight w:val="none"/>
          <w:u w:val="single"/>
        </w:rPr>
      </w:pPr>
      <w:r>
        <w:rPr>
          <w:rFonts w:hint="eastAsia" w:ascii="宋体" w:hAnsi="宋体"/>
          <w:b/>
          <w:color w:val="auto"/>
          <w:sz w:val="28"/>
          <w:szCs w:val="28"/>
          <w:highlight w:val="none"/>
        </w:rPr>
        <w:t>法定代表人或其授权代表签字：</w:t>
      </w:r>
      <w:r>
        <w:rPr>
          <w:rFonts w:hint="eastAsia" w:ascii="宋体" w:hAnsi="宋体"/>
          <w:b/>
          <w:color w:val="auto"/>
          <w:sz w:val="28"/>
          <w:szCs w:val="28"/>
          <w:highlight w:val="none"/>
          <w:u w:val="single"/>
        </w:rPr>
        <w:t xml:space="preserve">                </w:t>
      </w:r>
    </w:p>
    <w:p>
      <w:pPr>
        <w:rPr>
          <w:rFonts w:ascii="宋体" w:hAnsi="宋体"/>
          <w:b/>
          <w:color w:val="auto"/>
          <w:sz w:val="28"/>
          <w:szCs w:val="28"/>
          <w:highlight w:val="none"/>
        </w:rPr>
      </w:pPr>
    </w:p>
    <w:p>
      <w:pPr>
        <w:rPr>
          <w:rFonts w:ascii="宋体" w:hAnsi="宋体"/>
          <w:b/>
          <w:color w:val="auto"/>
          <w:sz w:val="28"/>
          <w:szCs w:val="28"/>
          <w:highlight w:val="none"/>
        </w:rPr>
      </w:pPr>
    </w:p>
    <w:p>
      <w:pPr>
        <w:rPr>
          <w:rFonts w:ascii="宋体" w:hAnsi="宋体"/>
          <w:b/>
          <w:color w:val="auto"/>
          <w:sz w:val="28"/>
          <w:szCs w:val="28"/>
          <w:highlight w:val="none"/>
        </w:rPr>
      </w:pPr>
      <w:r>
        <w:rPr>
          <w:rFonts w:hint="eastAsia" w:ascii="宋体" w:hAnsi="宋体"/>
          <w:b/>
          <w:color w:val="auto"/>
          <w:sz w:val="28"/>
          <w:szCs w:val="28"/>
          <w:highlight w:val="none"/>
        </w:rPr>
        <w:t xml:space="preserve">日期：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年</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月 </w:t>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 xml:space="preserve"> 日</w:t>
      </w:r>
    </w:p>
    <w:p>
      <w:pPr>
        <w:rPr>
          <w:rFonts w:ascii="宋体" w:hAnsi="宋体"/>
          <w:b/>
          <w:color w:val="auto"/>
          <w:szCs w:val="21"/>
          <w:highlight w:val="none"/>
        </w:rPr>
      </w:pPr>
    </w:p>
    <w:p>
      <w:pPr>
        <w:rPr>
          <w:rFonts w:ascii="宋体" w:hAnsi="宋体"/>
          <w:b/>
          <w:color w:val="auto"/>
          <w:szCs w:val="21"/>
          <w:highlight w:val="none"/>
        </w:rPr>
      </w:pPr>
      <w:r>
        <w:rPr>
          <w:rFonts w:hint="eastAsia" w:ascii="宋体" w:hAnsi="宋体"/>
          <w:b/>
          <w:color w:val="auto"/>
          <w:szCs w:val="21"/>
          <w:highlight w:val="none"/>
        </w:rPr>
        <w:t>参选单位郑重承诺：对本参选文件所提供资料的真实性、准确性、有效性负全部责任</w:t>
      </w:r>
    </w:p>
    <w:p>
      <w:pPr>
        <w:overflowPunct w:val="0"/>
        <w:autoSpaceDE w:val="0"/>
        <w:autoSpaceDN w:val="0"/>
        <w:adjustRightInd w:val="0"/>
        <w:spacing w:line="480" w:lineRule="exact"/>
        <w:jc w:val="center"/>
        <w:textAlignment w:val="baseline"/>
        <w:rPr>
          <w:color w:val="auto"/>
          <w:szCs w:val="32"/>
          <w:highlight w:val="none"/>
        </w:rPr>
      </w:pPr>
      <w:r>
        <w:rPr>
          <w:rFonts w:ascii="黑体" w:eastAsia="黑体"/>
          <w:b/>
          <w:color w:val="auto"/>
          <w:sz w:val="36"/>
          <w:szCs w:val="36"/>
          <w:highlight w:val="none"/>
        </w:rPr>
        <w:br w:type="page"/>
      </w:r>
      <w:r>
        <w:rPr>
          <w:rFonts w:hint="eastAsia"/>
          <w:b/>
          <w:color w:val="auto"/>
          <w:sz w:val="32"/>
          <w:szCs w:val="32"/>
          <w:highlight w:val="none"/>
        </w:rPr>
        <w:t>商务标书目录</w:t>
      </w:r>
    </w:p>
    <w:p>
      <w:pPr>
        <w:overflowPunct w:val="0"/>
        <w:autoSpaceDE w:val="0"/>
        <w:autoSpaceDN w:val="0"/>
        <w:adjustRightInd w:val="0"/>
        <w:spacing w:line="560" w:lineRule="exact"/>
        <w:textAlignment w:val="baseline"/>
        <w:rPr>
          <w:rFonts w:ascii="宋体" w:hAnsi="宋体"/>
          <w:bCs/>
          <w:color w:val="auto"/>
          <w:sz w:val="24"/>
          <w:highlight w:val="none"/>
        </w:rPr>
      </w:pPr>
      <w:r>
        <w:rPr>
          <w:rFonts w:hint="eastAsia" w:ascii="宋体" w:hAnsi="宋体"/>
          <w:bCs/>
          <w:color w:val="auto"/>
          <w:sz w:val="24"/>
          <w:highlight w:val="none"/>
        </w:rPr>
        <w:t>1、价格清单格式</w:t>
      </w:r>
    </w:p>
    <w:p>
      <w:pPr>
        <w:rPr>
          <w:rFonts w:ascii="宋体" w:hAnsi="宋体"/>
          <w:bCs/>
          <w:color w:val="auto"/>
          <w:sz w:val="24"/>
          <w:szCs w:val="24"/>
          <w:highlight w:val="none"/>
        </w:rPr>
      </w:pPr>
    </w:p>
    <w:p>
      <w:pPr>
        <w:tabs>
          <w:tab w:val="left" w:pos="8364"/>
        </w:tabs>
        <w:snapToGrid w:val="0"/>
        <w:ind w:right="32"/>
        <w:jc w:val="right"/>
        <w:rPr>
          <w:rFonts w:ascii="宋体" w:hAnsi="宋体"/>
          <w:color w:val="auto"/>
          <w:sz w:val="24"/>
          <w:highlight w:val="none"/>
          <w:u w:val="single"/>
        </w:rPr>
      </w:pPr>
    </w:p>
    <w:p>
      <w:pPr>
        <w:rPr>
          <w:rFonts w:ascii="宋体" w:hAnsi="宋体" w:cs="宋体-18030"/>
          <w:color w:val="auto"/>
          <w:sz w:val="24"/>
          <w:szCs w:val="24"/>
          <w:highlight w:val="none"/>
        </w:rPr>
      </w:pPr>
    </w:p>
    <w:p>
      <w:pPr>
        <w:pStyle w:val="23"/>
        <w:spacing w:after="120" w:afterLines="50" w:line="440" w:lineRule="exact"/>
        <w:jc w:val="center"/>
        <w:rPr>
          <w:rFonts w:ascii="Times New Roman" w:hAnsi="Times New Roman" w:eastAsia="华文细黑"/>
          <w:color w:val="auto"/>
          <w:sz w:val="44"/>
          <w:highlight w:val="none"/>
        </w:rPr>
      </w:pPr>
    </w:p>
    <w:p>
      <w:pPr>
        <w:tabs>
          <w:tab w:val="center" w:pos="4153"/>
        </w:tabs>
        <w:spacing w:line="400" w:lineRule="exact"/>
        <w:rPr>
          <w:rFonts w:ascii="宋体" w:hAnsi="宋体" w:cs="宋体-18030"/>
          <w:b/>
          <w:bCs/>
          <w:color w:val="auto"/>
          <w:sz w:val="24"/>
          <w:szCs w:val="24"/>
          <w:highlight w:val="none"/>
        </w:rPr>
      </w:pPr>
      <w:r>
        <w:rPr>
          <w:rFonts w:hint="eastAsia" w:ascii="宋体" w:hAnsi="宋体" w:cs="宋体-18030"/>
          <w:b/>
          <w:bCs/>
          <w:color w:val="auto"/>
          <w:sz w:val="24"/>
          <w:szCs w:val="24"/>
          <w:highlight w:val="none"/>
          <w:lang w:val="en-US" w:eastAsia="zh-CN"/>
        </w:rPr>
        <w:t>注：</w:t>
      </w:r>
      <w:r>
        <w:rPr>
          <w:rFonts w:hint="eastAsia" w:ascii="宋体" w:hAnsi="宋体" w:cs="宋体-18030"/>
          <w:b/>
          <w:bCs/>
          <w:color w:val="auto"/>
          <w:sz w:val="24"/>
          <w:szCs w:val="24"/>
          <w:highlight w:val="none"/>
        </w:rPr>
        <w:t>按附件工程量清单格式填报</w:t>
      </w:r>
      <w:r>
        <w:rPr>
          <w:rFonts w:hint="eastAsia" w:ascii="宋体" w:hAnsi="宋体" w:cs="宋体"/>
          <w:b/>
          <w:bCs/>
          <w:color w:val="auto"/>
          <w:kern w:val="0"/>
          <w:sz w:val="24"/>
          <w:szCs w:val="24"/>
          <w:highlight w:val="none"/>
          <w:lang w:eastAsia="zh-CN"/>
        </w:rPr>
        <w:t>，</w:t>
      </w:r>
      <w:r>
        <w:rPr>
          <w:rFonts w:ascii="宋体" w:hAnsi="宋体" w:cs="宋体"/>
          <w:b/>
          <w:bCs/>
          <w:color w:val="auto"/>
          <w:kern w:val="0"/>
          <w:sz w:val="24"/>
          <w:szCs w:val="24"/>
          <w:highlight w:val="none"/>
        </w:rPr>
        <w:tab/>
      </w:r>
      <w:r>
        <w:rPr>
          <w:rFonts w:hint="eastAsia" w:ascii="宋体" w:hAnsi="宋体" w:cs="宋体"/>
          <w:b/>
          <w:bCs/>
          <w:color w:val="auto"/>
          <w:kern w:val="0"/>
          <w:sz w:val="24"/>
          <w:szCs w:val="24"/>
          <w:highlight w:val="none"/>
        </w:rPr>
        <w:t>其中:暂列金额按发包人提供的金额填写不得改动。</w:t>
      </w:r>
    </w:p>
    <w:p>
      <w:pPr>
        <w:rPr>
          <w:rFonts w:ascii="宋体" w:hAnsi="宋体" w:cs="宋体-18030"/>
          <w:color w:val="auto"/>
          <w:sz w:val="24"/>
          <w:szCs w:val="24"/>
          <w:highlight w:val="none"/>
        </w:rPr>
      </w:pPr>
    </w:p>
    <w:p>
      <w:pPr>
        <w:rPr>
          <w:rFonts w:ascii="宋体" w:hAnsi="宋体" w:cs="宋体-18030"/>
          <w:color w:val="auto"/>
          <w:sz w:val="24"/>
          <w:szCs w:val="24"/>
          <w:highlight w:val="none"/>
        </w:rPr>
      </w:pPr>
    </w:p>
    <w:p>
      <w:pPr>
        <w:rPr>
          <w:rFonts w:ascii="宋体" w:hAnsi="宋体" w:cs="宋体-18030"/>
          <w:color w:val="auto"/>
          <w:sz w:val="24"/>
          <w:szCs w:val="24"/>
          <w:highlight w:val="none"/>
        </w:rPr>
      </w:pPr>
    </w:p>
    <w:p>
      <w:pPr>
        <w:spacing w:line="560" w:lineRule="exact"/>
        <w:rPr>
          <w:rFonts w:ascii="宋体" w:hAnsi="宋体"/>
          <w:color w:val="auto"/>
          <w:sz w:val="24"/>
          <w:highlight w:val="none"/>
        </w:rPr>
      </w:pPr>
    </w:p>
    <w:p>
      <w:pPr>
        <w:spacing w:line="560" w:lineRule="exact"/>
        <w:rPr>
          <w:rFonts w:ascii="宋体" w:hAnsi="宋体"/>
          <w:color w:val="auto"/>
          <w:sz w:val="24"/>
          <w:highlight w:val="none"/>
        </w:rPr>
      </w:pPr>
    </w:p>
    <w:p>
      <w:pPr>
        <w:spacing w:line="560" w:lineRule="exact"/>
        <w:rPr>
          <w:rFonts w:ascii="宋体" w:hAnsi="宋体"/>
          <w:color w:val="auto"/>
          <w:sz w:val="24"/>
          <w:highlight w:val="none"/>
        </w:rPr>
      </w:pP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参选人：（盖章）</w:t>
      </w:r>
      <w:r>
        <w:rPr>
          <w:rFonts w:hint="eastAsia" w:ascii="宋体" w:hAnsi="宋体"/>
          <w:color w:val="auto"/>
          <w:sz w:val="24"/>
          <w:highlight w:val="none"/>
          <w:u w:val="single"/>
        </w:rPr>
        <w:t xml:space="preserve">         [参选人名称]                   </w:t>
      </w:r>
    </w:p>
    <w:p>
      <w:pPr>
        <w:spacing w:line="560" w:lineRule="exact"/>
        <w:ind w:firstLine="480" w:firstLineChars="200"/>
        <w:rPr>
          <w:rFonts w:ascii="宋体" w:hAnsi="宋体"/>
          <w:color w:val="auto"/>
          <w:sz w:val="24"/>
          <w:highlight w:val="none"/>
          <w:u w:val="single"/>
        </w:rPr>
      </w:pPr>
      <w:r>
        <w:rPr>
          <w:rFonts w:hint="eastAsia" w:ascii="宋体" w:hAnsi="宋体"/>
          <w:color w:val="auto"/>
          <w:sz w:val="24"/>
          <w:highlight w:val="none"/>
        </w:rPr>
        <w:t>法定代表人或授权代理人（</w:t>
      </w:r>
      <w:r>
        <w:rPr>
          <w:rFonts w:hint="eastAsia" w:ascii="宋体" w:hAnsi="宋体"/>
          <w:color w:val="auto"/>
          <w:sz w:val="24"/>
          <w:highlight w:val="none"/>
          <w:lang w:val="en-US" w:eastAsia="zh-CN"/>
        </w:rPr>
        <w:t>签字或盖章</w:t>
      </w:r>
      <w:r>
        <w:rPr>
          <w:rFonts w:hint="eastAsia" w:ascii="宋体" w:hAnsi="宋体"/>
          <w:color w:val="auto"/>
          <w:sz w:val="24"/>
          <w:highlight w:val="none"/>
        </w:rPr>
        <w:t>）：</w:t>
      </w:r>
    </w:p>
    <w:p>
      <w:pPr>
        <w:spacing w:before="312" w:after="468" w:line="560" w:lineRule="exact"/>
        <w:ind w:firstLine="1440" w:firstLineChars="600"/>
        <w:rPr>
          <w:rFonts w:ascii="宋体" w:hAnsi="宋体"/>
          <w:color w:val="auto"/>
          <w:sz w:val="24"/>
          <w:highlight w:val="none"/>
        </w:rPr>
      </w:pPr>
    </w:p>
    <w:p>
      <w:pPr>
        <w:spacing w:before="312" w:after="468" w:line="560" w:lineRule="exact"/>
        <w:ind w:firstLine="1440" w:firstLineChars="600"/>
        <w:rPr>
          <w:rFonts w:ascii="宋体" w:hAnsi="宋体"/>
          <w:color w:val="auto"/>
          <w:sz w:val="24"/>
          <w:highlight w:val="none"/>
        </w:rPr>
      </w:pPr>
      <w:r>
        <w:rPr>
          <w:rFonts w:hint="eastAsia" w:ascii="宋体" w:hAnsi="宋体"/>
          <w:color w:val="auto"/>
          <w:sz w:val="24"/>
          <w:highlight w:val="none"/>
        </w:rPr>
        <w:t>日</w:t>
      </w:r>
      <w:r>
        <w:rPr>
          <w:rFonts w:ascii="宋体" w:hAnsi="宋体"/>
          <w:color w:val="auto"/>
          <w:sz w:val="24"/>
          <w:highlight w:val="none"/>
        </w:rPr>
        <w:t xml:space="preserve">  期：     年    月     </w:t>
      </w:r>
      <w:r>
        <w:rPr>
          <w:rFonts w:hint="eastAsia" w:ascii="宋体" w:hAnsi="宋体"/>
          <w:color w:val="auto"/>
          <w:sz w:val="24"/>
          <w:highlight w:val="none"/>
        </w:rPr>
        <w:t>日</w:t>
      </w:r>
    </w:p>
    <w:p>
      <w:pPr>
        <w:spacing w:before="312" w:after="468" w:line="560" w:lineRule="exact"/>
        <w:ind w:firstLine="1440" w:firstLineChars="600"/>
        <w:rPr>
          <w:rFonts w:ascii="宋体" w:hAnsi="宋体"/>
          <w:color w:val="auto"/>
          <w:sz w:val="24"/>
          <w:highlight w:val="none"/>
        </w:rPr>
      </w:pPr>
    </w:p>
    <w:p>
      <w:pPr>
        <w:spacing w:before="312" w:after="468" w:line="560" w:lineRule="exact"/>
        <w:ind w:firstLine="1440" w:firstLineChars="600"/>
        <w:rPr>
          <w:rFonts w:ascii="宋体" w:hAnsi="宋体"/>
          <w:color w:val="auto"/>
          <w:sz w:val="24"/>
          <w:highlight w:val="none"/>
        </w:rPr>
      </w:pPr>
    </w:p>
    <w:p>
      <w:pPr>
        <w:spacing w:before="312" w:after="468" w:line="560" w:lineRule="exact"/>
        <w:ind w:firstLine="1440" w:firstLineChars="600"/>
        <w:rPr>
          <w:rFonts w:ascii="宋体" w:hAnsi="宋体"/>
          <w:color w:val="auto"/>
          <w:sz w:val="24"/>
          <w:highlight w:val="none"/>
        </w:rPr>
      </w:pPr>
    </w:p>
    <w:p>
      <w:pPr>
        <w:spacing w:before="312" w:after="468" w:line="560" w:lineRule="exact"/>
        <w:ind w:firstLine="1446" w:firstLineChars="600"/>
        <w:rPr>
          <w:rFonts w:ascii="宋体" w:hAnsi="宋体"/>
          <w:b/>
          <w:bCs/>
          <w:color w:val="auto"/>
          <w:sz w:val="24"/>
          <w:highlight w:val="none"/>
        </w:rPr>
      </w:pPr>
    </w:p>
    <w:p>
      <w:pPr>
        <w:pStyle w:val="3"/>
        <w:rPr>
          <w:color w:val="auto"/>
          <w:highlight w:val="none"/>
        </w:rPr>
      </w:pPr>
      <w:bookmarkStart w:id="34" w:name="_Toc65054233"/>
      <w:r>
        <w:rPr>
          <w:rFonts w:hint="eastAsia"/>
          <w:color w:val="auto"/>
          <w:highlight w:val="none"/>
        </w:rPr>
        <w:t>第三章  合同部分</w:t>
      </w:r>
      <w:bookmarkEnd w:id="34"/>
    </w:p>
    <w:p>
      <w:pPr>
        <w:spacing w:line="520" w:lineRule="exact"/>
        <w:rPr>
          <w:color w:val="auto"/>
          <w:highlight w:val="none"/>
        </w:rPr>
      </w:pPr>
    </w:p>
    <w:p>
      <w:pPr>
        <w:rPr>
          <w:b/>
          <w:color w:val="auto"/>
          <w:sz w:val="44"/>
          <w:szCs w:val="44"/>
          <w:highlight w:val="none"/>
        </w:rPr>
      </w:pPr>
      <w:r>
        <w:rPr>
          <w:rFonts w:hint="eastAsia"/>
          <w:b/>
          <w:color w:val="auto"/>
          <w:sz w:val="28"/>
          <w:szCs w:val="28"/>
          <w:highlight w:val="none"/>
        </w:rPr>
        <w:t xml:space="preserve">            </w:t>
      </w:r>
      <w:r>
        <w:rPr>
          <w:rFonts w:hint="eastAsia"/>
          <w:b/>
          <w:color w:val="auto"/>
          <w:sz w:val="24"/>
          <w:highlight w:val="none"/>
        </w:rPr>
        <w:t xml:space="preserve">                </w:t>
      </w:r>
    </w:p>
    <w:p>
      <w:pPr>
        <w:tabs>
          <w:tab w:val="left" w:pos="5719"/>
        </w:tabs>
        <w:jc w:val="center"/>
        <w:rPr>
          <w:b/>
          <w:color w:val="auto"/>
          <w:sz w:val="44"/>
          <w:szCs w:val="44"/>
          <w:highlight w:val="none"/>
        </w:rPr>
      </w:pPr>
    </w:p>
    <w:p>
      <w:pPr>
        <w:jc w:val="center"/>
        <w:rPr>
          <w:b/>
          <w:color w:val="auto"/>
          <w:sz w:val="44"/>
          <w:szCs w:val="44"/>
          <w:highlight w:val="none"/>
        </w:rPr>
      </w:pPr>
    </w:p>
    <w:p>
      <w:pPr>
        <w:jc w:val="center"/>
        <w:rPr>
          <w:b/>
          <w:color w:val="auto"/>
          <w:sz w:val="44"/>
          <w:szCs w:val="44"/>
          <w:highlight w:val="none"/>
        </w:rPr>
      </w:pPr>
    </w:p>
    <w:p>
      <w:pPr>
        <w:jc w:val="center"/>
        <w:rPr>
          <w:rFonts w:cs="宋体"/>
          <w:b/>
          <w:bCs/>
          <w:color w:val="auto"/>
          <w:sz w:val="52"/>
          <w:szCs w:val="52"/>
          <w:highlight w:val="none"/>
        </w:rPr>
      </w:pPr>
      <w:r>
        <w:rPr>
          <w:rFonts w:hint="eastAsia" w:cs="宋体"/>
          <w:b/>
          <w:bCs/>
          <w:color w:val="auto"/>
          <w:sz w:val="52"/>
          <w:szCs w:val="52"/>
          <w:highlight w:val="none"/>
        </w:rPr>
        <w:t xml:space="preserve"> 深铁珑境（一期）泛光照明工程合同</w:t>
      </w:r>
    </w:p>
    <w:p>
      <w:pPr>
        <w:ind w:firstLine="883"/>
        <w:jc w:val="center"/>
        <w:rPr>
          <w:rFonts w:ascii="宋体"/>
          <w:b/>
          <w:color w:val="auto"/>
          <w:sz w:val="44"/>
          <w:szCs w:val="44"/>
          <w:highlight w:val="none"/>
        </w:rPr>
      </w:pPr>
    </w:p>
    <w:p>
      <w:pPr>
        <w:ind w:firstLine="602"/>
        <w:jc w:val="center"/>
        <w:rPr>
          <w:rFonts w:ascii="宋体"/>
          <w:b/>
          <w:color w:val="auto"/>
          <w:sz w:val="30"/>
          <w:szCs w:val="30"/>
          <w:highlight w:val="none"/>
        </w:rPr>
      </w:pPr>
      <w:r>
        <w:rPr>
          <w:rFonts w:hint="eastAsia" w:ascii="宋体"/>
          <w:b/>
          <w:color w:val="auto"/>
          <w:sz w:val="30"/>
          <w:szCs w:val="30"/>
          <w:highlight w:val="none"/>
        </w:rPr>
        <w:t>合同编号：</w:t>
      </w:r>
    </w:p>
    <w:p>
      <w:pPr>
        <w:ind w:firstLine="723"/>
        <w:jc w:val="center"/>
        <w:rPr>
          <w:rFonts w:ascii="宋体" w:hAnsi="宋体"/>
          <w:b/>
          <w:color w:val="auto"/>
          <w:sz w:val="36"/>
          <w:szCs w:val="36"/>
          <w:highlight w:val="none"/>
        </w:rPr>
      </w:pPr>
    </w:p>
    <w:p>
      <w:pPr>
        <w:ind w:firstLine="723"/>
        <w:jc w:val="center"/>
        <w:rPr>
          <w:rFonts w:ascii="宋体" w:hAnsi="宋体"/>
          <w:b/>
          <w:color w:val="auto"/>
          <w:sz w:val="36"/>
          <w:szCs w:val="36"/>
          <w:highlight w:val="none"/>
        </w:rPr>
      </w:pPr>
    </w:p>
    <w:p>
      <w:pPr>
        <w:pStyle w:val="2"/>
        <w:rPr>
          <w:rFonts w:ascii="宋体" w:hAnsi="宋体"/>
          <w:b/>
          <w:color w:val="auto"/>
          <w:sz w:val="36"/>
          <w:szCs w:val="36"/>
          <w:highlight w:val="none"/>
        </w:rPr>
      </w:pPr>
    </w:p>
    <w:p>
      <w:pPr>
        <w:pStyle w:val="2"/>
        <w:rPr>
          <w:rFonts w:ascii="宋体" w:hAnsi="宋体"/>
          <w:b/>
          <w:color w:val="auto"/>
          <w:sz w:val="36"/>
          <w:szCs w:val="36"/>
          <w:highlight w:val="none"/>
        </w:rPr>
      </w:pPr>
    </w:p>
    <w:p>
      <w:pPr>
        <w:pStyle w:val="2"/>
        <w:rPr>
          <w:rFonts w:ascii="宋体" w:hAnsi="宋体"/>
          <w:b/>
          <w:color w:val="auto"/>
          <w:sz w:val="36"/>
          <w:szCs w:val="36"/>
          <w:highlight w:val="none"/>
        </w:rPr>
      </w:pPr>
    </w:p>
    <w:p>
      <w:pPr>
        <w:ind w:firstLine="723"/>
        <w:jc w:val="center"/>
        <w:rPr>
          <w:rFonts w:ascii="宋体" w:hAnsi="宋体"/>
          <w:b/>
          <w:color w:val="auto"/>
          <w:sz w:val="36"/>
          <w:szCs w:val="36"/>
          <w:highlight w:val="none"/>
        </w:rPr>
      </w:pPr>
    </w:p>
    <w:p>
      <w:pPr>
        <w:ind w:firstLine="723"/>
        <w:jc w:val="center"/>
        <w:rPr>
          <w:rFonts w:ascii="宋体" w:hAnsi="宋体"/>
          <w:b/>
          <w:color w:val="auto"/>
          <w:sz w:val="36"/>
          <w:szCs w:val="36"/>
          <w:highlight w:val="none"/>
        </w:rPr>
      </w:pPr>
    </w:p>
    <w:p>
      <w:pPr>
        <w:ind w:firstLine="723"/>
        <w:jc w:val="center"/>
        <w:rPr>
          <w:rFonts w:ascii="宋体" w:hAnsi="宋体"/>
          <w:b/>
          <w:color w:val="auto"/>
          <w:sz w:val="36"/>
          <w:szCs w:val="36"/>
          <w:highlight w:val="none"/>
        </w:rPr>
      </w:pPr>
    </w:p>
    <w:p>
      <w:pPr>
        <w:ind w:firstLine="723"/>
        <w:jc w:val="center"/>
        <w:rPr>
          <w:rFonts w:ascii="宋体" w:hAnsi="宋体"/>
          <w:b/>
          <w:color w:val="auto"/>
          <w:sz w:val="36"/>
          <w:szCs w:val="36"/>
          <w:highlight w:val="none"/>
        </w:rPr>
      </w:pPr>
    </w:p>
    <w:tbl>
      <w:tblPr>
        <w:tblStyle w:val="47"/>
        <w:tblW w:w="0" w:type="auto"/>
        <w:jc w:val="center"/>
        <w:tblLayout w:type="fixed"/>
        <w:tblCellMar>
          <w:top w:w="0" w:type="dxa"/>
          <w:left w:w="108" w:type="dxa"/>
          <w:bottom w:w="0" w:type="dxa"/>
          <w:right w:w="108" w:type="dxa"/>
        </w:tblCellMar>
      </w:tblPr>
      <w:tblGrid>
        <w:gridCol w:w="1547"/>
        <w:gridCol w:w="4261"/>
      </w:tblGrid>
      <w:tr>
        <w:tblPrEx>
          <w:tblCellMar>
            <w:top w:w="0" w:type="dxa"/>
            <w:left w:w="108" w:type="dxa"/>
            <w:bottom w:w="0" w:type="dxa"/>
            <w:right w:w="108" w:type="dxa"/>
          </w:tblCellMar>
        </w:tblPrEx>
        <w:trPr>
          <w:trHeight w:val="748" w:hRule="atLeast"/>
          <w:jc w:val="center"/>
        </w:trPr>
        <w:tc>
          <w:tcPr>
            <w:tcW w:w="1547" w:type="dxa"/>
          </w:tcPr>
          <w:p>
            <w:pPr>
              <w:rPr>
                <w:color w:val="auto"/>
                <w:sz w:val="32"/>
                <w:szCs w:val="32"/>
                <w:highlight w:val="none"/>
              </w:rPr>
            </w:pPr>
            <w:r>
              <w:rPr>
                <w:rFonts w:hint="eastAsia"/>
                <w:color w:val="auto"/>
                <w:sz w:val="32"/>
                <w:szCs w:val="32"/>
                <w:highlight w:val="none"/>
              </w:rPr>
              <w:t>发包人：</w:t>
            </w:r>
          </w:p>
        </w:tc>
        <w:tc>
          <w:tcPr>
            <w:tcW w:w="4261" w:type="dxa"/>
          </w:tcPr>
          <w:p>
            <w:pPr>
              <w:ind w:firstLine="640"/>
              <w:rPr>
                <w:color w:val="auto"/>
                <w:sz w:val="32"/>
                <w:szCs w:val="32"/>
                <w:highlight w:val="none"/>
              </w:rPr>
            </w:pPr>
            <w:r>
              <w:rPr>
                <w:rFonts w:hint="eastAsia"/>
                <w:color w:val="auto"/>
                <w:sz w:val="32"/>
                <w:szCs w:val="32"/>
                <w:highlight w:val="none"/>
                <w:u w:val="single"/>
              </w:rPr>
              <w:t xml:space="preserve">                        </w:t>
            </w:r>
          </w:p>
        </w:tc>
      </w:tr>
      <w:tr>
        <w:tblPrEx>
          <w:tblCellMar>
            <w:top w:w="0" w:type="dxa"/>
            <w:left w:w="108" w:type="dxa"/>
            <w:bottom w:w="0" w:type="dxa"/>
            <w:right w:w="108" w:type="dxa"/>
          </w:tblCellMar>
        </w:tblPrEx>
        <w:trPr>
          <w:jc w:val="center"/>
        </w:trPr>
        <w:tc>
          <w:tcPr>
            <w:tcW w:w="1547" w:type="dxa"/>
          </w:tcPr>
          <w:p>
            <w:pPr>
              <w:rPr>
                <w:color w:val="auto"/>
                <w:sz w:val="32"/>
                <w:szCs w:val="32"/>
                <w:highlight w:val="none"/>
              </w:rPr>
            </w:pPr>
            <w:r>
              <w:rPr>
                <w:rFonts w:hint="eastAsia"/>
                <w:color w:val="auto"/>
                <w:sz w:val="32"/>
                <w:szCs w:val="32"/>
                <w:highlight w:val="none"/>
              </w:rPr>
              <w:t>承包人：</w:t>
            </w:r>
          </w:p>
        </w:tc>
        <w:tc>
          <w:tcPr>
            <w:tcW w:w="4261" w:type="dxa"/>
          </w:tcPr>
          <w:p>
            <w:pPr>
              <w:ind w:firstLine="640"/>
              <w:rPr>
                <w:color w:val="auto"/>
                <w:sz w:val="32"/>
                <w:szCs w:val="32"/>
                <w:highlight w:val="none"/>
              </w:rPr>
            </w:pPr>
            <w:r>
              <w:rPr>
                <w:rFonts w:hint="eastAsia"/>
                <w:color w:val="auto"/>
                <w:sz w:val="32"/>
                <w:szCs w:val="32"/>
                <w:highlight w:val="none"/>
                <w:u w:val="single"/>
              </w:rPr>
              <w:t xml:space="preserve">                        </w:t>
            </w:r>
          </w:p>
        </w:tc>
      </w:tr>
    </w:tbl>
    <w:p>
      <w:pPr>
        <w:ind w:firstLine="723"/>
        <w:jc w:val="center"/>
        <w:rPr>
          <w:rFonts w:ascii="宋体" w:hAnsi="宋体"/>
          <w:b/>
          <w:color w:val="auto"/>
          <w:sz w:val="36"/>
          <w:szCs w:val="36"/>
          <w:highlight w:val="none"/>
        </w:rPr>
      </w:pPr>
    </w:p>
    <w:p>
      <w:pPr>
        <w:ind w:firstLine="560"/>
        <w:jc w:val="center"/>
        <w:rPr>
          <w:rFonts w:ascii="宋体" w:hAnsi="宋体"/>
          <w:color w:val="auto"/>
          <w:szCs w:val="28"/>
          <w:highlight w:val="none"/>
        </w:rPr>
      </w:pPr>
    </w:p>
    <w:p>
      <w:pPr>
        <w:ind w:firstLine="560"/>
        <w:jc w:val="center"/>
        <w:rPr>
          <w:rFonts w:ascii="宋体" w:hAnsi="宋体"/>
          <w:color w:val="auto"/>
          <w:szCs w:val="28"/>
          <w:highlight w:val="none"/>
        </w:rPr>
      </w:pPr>
    </w:p>
    <w:p>
      <w:pPr>
        <w:ind w:firstLine="560"/>
        <w:jc w:val="center"/>
        <w:rPr>
          <w:rFonts w:ascii="宋体" w:hAnsi="宋体"/>
          <w:color w:val="auto"/>
          <w:szCs w:val="28"/>
          <w:highlight w:val="none"/>
        </w:rPr>
      </w:pPr>
      <w:r>
        <w:rPr>
          <w:rFonts w:hint="eastAsia" w:ascii="宋体" w:hAnsi="宋体"/>
          <w:color w:val="auto"/>
          <w:szCs w:val="28"/>
          <w:highlight w:val="none"/>
        </w:rPr>
        <w:t>二〇二一年    月</w:t>
      </w:r>
    </w:p>
    <w:p>
      <w:pPr>
        <w:adjustRightInd w:val="0"/>
        <w:snapToGrid w:val="0"/>
        <w:rPr>
          <w:rFonts w:ascii="宋体" w:hAnsi="宋体"/>
          <w:color w:val="auto"/>
          <w:sz w:val="24"/>
          <w:highlight w:val="none"/>
        </w:rPr>
      </w:pPr>
    </w:p>
    <w:p>
      <w:pPr>
        <w:adjustRightInd w:val="0"/>
        <w:snapToGrid w:val="0"/>
        <w:rPr>
          <w:rFonts w:ascii="宋体" w:hAnsi="宋体"/>
          <w:color w:val="auto"/>
          <w:sz w:val="24"/>
          <w:highlight w:val="none"/>
        </w:rPr>
      </w:pPr>
    </w:p>
    <w:p>
      <w:pPr>
        <w:adjustRightInd w:val="0"/>
        <w:snapToGrid w:val="0"/>
        <w:rPr>
          <w:rFonts w:ascii="宋体" w:hAnsi="宋体"/>
          <w:color w:val="auto"/>
          <w:sz w:val="24"/>
          <w:highlight w:val="none"/>
        </w:rPr>
      </w:pPr>
      <w:r>
        <w:rPr>
          <w:rFonts w:ascii="宋体" w:hAnsi="宋体"/>
          <w:color w:val="auto"/>
          <w:sz w:val="24"/>
          <w:highlight w:val="none"/>
        </w:rPr>
        <w:br w:type="page"/>
      </w:r>
    </w:p>
    <w:p>
      <w:pPr>
        <w:adjustRightInd w:val="0"/>
        <w:snapToGrid w:val="0"/>
        <w:spacing w:line="360" w:lineRule="auto"/>
        <w:ind w:firstLine="643" w:firstLineChars="200"/>
        <w:jc w:val="center"/>
        <w:rPr>
          <w:rFonts w:hint="eastAsia" w:ascii="宋体" w:hAnsi="宋体"/>
          <w:b/>
          <w:bCs/>
          <w:color w:val="auto"/>
          <w:sz w:val="32"/>
          <w:szCs w:val="32"/>
          <w:highlight w:val="none"/>
        </w:rPr>
      </w:pPr>
      <w:r>
        <w:rPr>
          <w:rFonts w:hint="eastAsia" w:ascii="宋体" w:hAnsi="宋体"/>
          <w:b/>
          <w:bCs/>
          <w:color w:val="auto"/>
          <w:sz w:val="32"/>
          <w:szCs w:val="32"/>
          <w:highlight w:val="none"/>
        </w:rPr>
        <w:t>深铁珑境（一期）泛光照明工程合同</w:t>
      </w:r>
    </w:p>
    <w:p>
      <w:pPr>
        <w:pStyle w:val="2"/>
        <w:rPr>
          <w:rFonts w:hint="eastAsia"/>
          <w:color w:val="auto"/>
        </w:rPr>
      </w:pP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本合同发包人委托承包人完成</w:t>
      </w:r>
      <w:r>
        <w:rPr>
          <w:rFonts w:hint="eastAsia"/>
          <w:color w:val="auto"/>
          <w:sz w:val="24"/>
          <w:szCs w:val="24"/>
          <w:highlight w:val="none"/>
          <w:u w:val="single"/>
        </w:rPr>
        <w:t>深铁珑境（一期）泛光照明工程</w:t>
      </w:r>
      <w:r>
        <w:rPr>
          <w:rFonts w:hint="eastAsia" w:ascii="宋体" w:hAnsi="宋体"/>
          <w:color w:val="auto"/>
          <w:sz w:val="24"/>
          <w:highlight w:val="none"/>
        </w:rPr>
        <w:t>的工作(以下简称“本项目”)，并支付费用。双方经过平等协商，在真实、充分地表达各自意愿的基础上，根据《中华人民共和国合同法》及相关法律、法规的规定，签订本合同，并由双方共同恪守。</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hAnsi="宋体"/>
          <w:color w:val="auto"/>
          <w:kern w:val="2"/>
          <w:sz w:val="24"/>
          <w:szCs w:val="22"/>
          <w:highlight w:val="none"/>
          <w:u w:val="single"/>
        </w:rPr>
      </w:pPr>
      <w:bookmarkStart w:id="35" w:name="_Toc65054234"/>
      <w:r>
        <w:rPr>
          <w:rFonts w:hint="eastAsia" w:ascii="宋体" w:hAnsi="宋体" w:cs="宋体"/>
          <w:color w:val="auto"/>
          <w:sz w:val="28"/>
          <w:szCs w:val="28"/>
          <w:highlight w:val="none"/>
        </w:rPr>
        <w:t>一、项目概况</w:t>
      </w:r>
      <w:bookmarkEnd w:id="35"/>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olor w:val="auto"/>
          <w:sz w:val="24"/>
          <w:highlight w:val="none"/>
        </w:rPr>
      </w:pPr>
      <w:r>
        <w:rPr>
          <w:rFonts w:hint="eastAsia" w:ascii="宋体" w:hAnsi="宋体"/>
          <w:color w:val="auto"/>
          <w:sz w:val="24"/>
          <w:highlight w:val="none"/>
        </w:rPr>
        <w:t>深铁珑境项目紧靠深圳北站商务区，北侧紧邻大浪商业，西侧具有羊台山景观资源；东侧龙岗坂田已扩容为坂雪岗科技城，区位条件优越。地铁四号线直接通达福田中心造产城示范区；向西依托地铁五号线。深铁珑境（一期）商品房包括10栋小高层商品房、20栋4层商品房、公共配套工程及架空车库等,总面积约为7.4万平米；办学规模为36班的九年一贯制学校，由1栋8层综合楼（含教职工宿舍）及体育馆、多功能厅组成，总建筑面积约为38557.92㎡；幼儿园总建筑面积约5000㎡，建设规模为18班幼儿园。</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36" w:name="_Toc65054235"/>
      <w:r>
        <w:rPr>
          <w:rFonts w:hint="eastAsia" w:ascii="宋体" w:hAnsi="宋体" w:cs="宋体"/>
          <w:color w:val="auto"/>
          <w:sz w:val="28"/>
          <w:szCs w:val="28"/>
          <w:highlight w:val="none"/>
        </w:rPr>
        <w:t>二、工程范围</w:t>
      </w:r>
      <w:bookmarkEnd w:id="36"/>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ascii="宋体" w:hAnsi="宋体"/>
          <w:color w:val="auto"/>
          <w:sz w:val="24"/>
          <w:highlight w:val="none"/>
        </w:rPr>
      </w:pPr>
      <w:r>
        <w:rPr>
          <w:rFonts w:hint="eastAsia" w:ascii="宋体" w:hAnsi="宋体"/>
          <w:color w:val="auto"/>
          <w:sz w:val="24"/>
          <w:highlight w:val="none"/>
        </w:rPr>
        <w:t>范围及要求如下</w:t>
      </w:r>
      <w:r>
        <w:rPr>
          <w:rFonts w:ascii="宋体" w:hAnsi="宋体"/>
          <w:color w:val="auto"/>
          <w:sz w:val="24"/>
          <w:highlight w:val="none"/>
        </w:rPr>
        <w:t>：</w:t>
      </w:r>
    </w:p>
    <w:p>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深铁珑境（一期）泛光照明工程包括但不限于室外公共区域泛光照明；泛光照明与建筑、幕墙、景观等工程交接区域的收边、收口等；二次机电安装工程等。具体范围以</w:t>
      </w:r>
      <w:r>
        <w:rPr>
          <w:rFonts w:hint="eastAsia" w:ascii="宋体" w:hAnsi="宋体"/>
          <w:color w:val="auto"/>
          <w:sz w:val="24"/>
          <w:highlight w:val="none"/>
          <w:lang w:eastAsia="zh-CN"/>
        </w:rPr>
        <w:t>比选</w:t>
      </w:r>
      <w:r>
        <w:rPr>
          <w:rFonts w:hint="eastAsia" w:ascii="宋体" w:hAnsi="宋体"/>
          <w:color w:val="auto"/>
          <w:sz w:val="24"/>
          <w:highlight w:val="none"/>
        </w:rPr>
        <w:t>文件、图纸和工程量清单为准；</w:t>
      </w:r>
    </w:p>
    <w:p>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textAlignment w:val="auto"/>
        <w:rPr>
          <w:rFonts w:ascii="宋体" w:hAnsi="宋体"/>
          <w:color w:val="auto"/>
          <w:sz w:val="24"/>
          <w:highlight w:val="none"/>
        </w:rPr>
      </w:pPr>
      <w:r>
        <w:rPr>
          <w:rFonts w:hint="eastAsia" w:ascii="宋体" w:hAnsi="宋体"/>
          <w:color w:val="auto"/>
          <w:sz w:val="24"/>
          <w:highlight w:val="none"/>
        </w:rPr>
        <w:t>2、具备可兼容性，无条件免费提供系统开放接口协议，可能涉及的不同品牌或系统的兼容、接口开发、整体调试、所需辅材等不可预见因素，使整个项目泛光工程实现整体设计效果</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如需）</w:t>
      </w: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textAlignment w:val="auto"/>
        <w:rPr>
          <w:rFonts w:ascii="宋体" w:hAnsi="宋体"/>
          <w:color w:val="auto"/>
          <w:sz w:val="24"/>
          <w:highlight w:val="none"/>
        </w:rPr>
      </w:pPr>
      <w:r>
        <w:rPr>
          <w:rFonts w:hint="eastAsia" w:ascii="宋体" w:hAnsi="宋体"/>
          <w:color w:val="auto"/>
          <w:sz w:val="24"/>
          <w:highlight w:val="none"/>
        </w:rPr>
        <w:t>3、安装过程涉及的总包、幕墙、标识单位的协调配合等工作；</w:t>
      </w:r>
    </w:p>
    <w:p>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textAlignment w:val="auto"/>
        <w:rPr>
          <w:rFonts w:ascii="宋体" w:hAnsi="宋体"/>
          <w:color w:val="auto"/>
          <w:sz w:val="24"/>
          <w:highlight w:val="none"/>
        </w:rPr>
      </w:pPr>
      <w:r>
        <w:rPr>
          <w:rFonts w:hint="eastAsia" w:ascii="宋体" w:hAnsi="宋体"/>
          <w:color w:val="auto"/>
          <w:sz w:val="24"/>
          <w:highlight w:val="none"/>
        </w:rPr>
        <w:t>4、具体范围以必选文件、图纸和工程量清单为准。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ascii="宋体" w:hAnsi="宋体"/>
          <w:color w:val="auto"/>
          <w:sz w:val="24"/>
          <w:highlight w:val="none"/>
        </w:rPr>
        <w:t>清单</w:t>
      </w:r>
      <w:r>
        <w:rPr>
          <w:rFonts w:hint="eastAsia" w:ascii="宋体" w:hAnsi="宋体"/>
          <w:color w:val="auto"/>
          <w:sz w:val="24"/>
          <w:highlight w:val="none"/>
        </w:rPr>
        <w:t>报价已包</w:t>
      </w:r>
      <w:r>
        <w:rPr>
          <w:rFonts w:ascii="宋体" w:hAnsi="宋体"/>
          <w:color w:val="auto"/>
          <w:sz w:val="24"/>
          <w:highlight w:val="none"/>
        </w:rPr>
        <w:t>含深化设计费</w:t>
      </w:r>
      <w:r>
        <w:rPr>
          <w:rFonts w:hint="eastAsia" w:ascii="宋体" w:hAnsi="宋体"/>
          <w:color w:val="auto"/>
          <w:sz w:val="24"/>
          <w:highlight w:val="none"/>
        </w:rPr>
        <w:t>、</w:t>
      </w:r>
      <w:r>
        <w:rPr>
          <w:rFonts w:ascii="宋体" w:hAnsi="宋体"/>
          <w:color w:val="auto"/>
          <w:sz w:val="24"/>
          <w:highlight w:val="none"/>
        </w:rPr>
        <w:t>施工措施费（含安全文明施工费）、物料的搬运费、节假日加班费、分期拆除的多次设备进场费、</w:t>
      </w:r>
      <w:r>
        <w:rPr>
          <w:rFonts w:hint="eastAsia" w:ascii="宋体" w:hAnsi="宋体"/>
          <w:color w:val="auto"/>
          <w:sz w:val="24"/>
          <w:highlight w:val="none"/>
        </w:rPr>
        <w:t>前期预留问题整改</w:t>
      </w:r>
      <w:r>
        <w:rPr>
          <w:rFonts w:ascii="宋体" w:hAnsi="宋体"/>
          <w:color w:val="auto"/>
          <w:sz w:val="24"/>
          <w:highlight w:val="none"/>
        </w:rPr>
        <w:t>、税金</w:t>
      </w:r>
      <w:r>
        <w:rPr>
          <w:rFonts w:hint="eastAsia" w:ascii="宋体" w:hAnsi="宋体"/>
          <w:color w:val="auto"/>
          <w:sz w:val="24"/>
          <w:highlight w:val="none"/>
        </w:rPr>
        <w:t>、</w:t>
      </w:r>
      <w:r>
        <w:rPr>
          <w:rFonts w:ascii="宋体" w:hAnsi="宋体"/>
          <w:color w:val="auto"/>
          <w:sz w:val="24"/>
          <w:highlight w:val="none"/>
        </w:rPr>
        <w:t>总包配合费等可能造成成本增加的其它费用</w:t>
      </w:r>
      <w:r>
        <w:rPr>
          <w:rFonts w:hint="eastAsia" w:ascii="宋体" w:hAnsi="宋体"/>
          <w:color w:val="auto"/>
          <w:sz w:val="24"/>
          <w:highlight w:val="none"/>
        </w:rPr>
        <w:t>。</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37" w:name="_Toc65054236"/>
      <w:r>
        <w:rPr>
          <w:rFonts w:hint="eastAsia" w:ascii="宋体" w:hAnsi="宋体" w:cs="宋体"/>
          <w:color w:val="auto"/>
          <w:sz w:val="28"/>
          <w:szCs w:val="28"/>
          <w:highlight w:val="none"/>
        </w:rPr>
        <w:t>三、合同价款</w:t>
      </w:r>
      <w:bookmarkEnd w:id="37"/>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u w:val="single"/>
        </w:rPr>
      </w:pPr>
      <w:r>
        <w:rPr>
          <w:rFonts w:hint="eastAsia" w:ascii="宋体" w:hAnsi="宋体"/>
          <w:color w:val="auto"/>
          <w:sz w:val="24"/>
          <w:highlight w:val="none"/>
          <w:u w:val="single"/>
        </w:rPr>
        <w:t>1、合同类型：固定综合单价、措施费总价包干。</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u w:val="single"/>
        </w:rPr>
      </w:pPr>
      <w:r>
        <w:rPr>
          <w:rFonts w:hint="eastAsia" w:ascii="宋体" w:hAnsi="宋体"/>
          <w:color w:val="auto"/>
          <w:sz w:val="24"/>
          <w:highlight w:val="none"/>
          <w:u w:val="single"/>
        </w:rPr>
        <w:t>（1）综合单价包干内容：包括但不限于完成本工程所有的材料费、人工费、机械费、检验试验费、施工水电费、材料设备场内多次转运、装卸费、成品保护费、工程建设标准和技术规范要求的费用、施工方案论证、施工图深化设计、技术处理费、缺陷修复费、验收移交、联合调试、对本工程相关的各专业工程提供协调及配合服务、合同工期内的赶工费、与知识产权相关的费用，治安、消防、安全、环保等主管部门因进行工程所规定应由施工单位所交纳的任何收费，民扰及扰民费，管理费、利润、各种施工风险、变更风险、市场风险、其他为按时按质完成本合同所规定工作的除措施费外所有直接和间接费用（不论图纸、规范、工程技术要求、工程量清单报价书中有没有说明），及本合同虽未提及但承包人在完成本工程过程中必须支付的与本工程相关的其他费用。除本合同另有约定，该固定单价不作调整。</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olor w:val="auto"/>
          <w:sz w:val="24"/>
          <w:highlight w:val="none"/>
          <w:u w:val="single"/>
        </w:rPr>
      </w:pPr>
      <w:r>
        <w:rPr>
          <w:rFonts w:hint="eastAsia" w:ascii="宋体" w:hAnsi="宋体"/>
          <w:color w:val="auto"/>
          <w:sz w:val="24"/>
          <w:highlight w:val="none"/>
          <w:u w:val="single"/>
        </w:rPr>
        <w:t>（2）措施费总价包干，且不因工程变更等任何原因而作调整。该项工作发生费用由承包人在投标报价中根据施工图及现场情况自行考虑，如无报价的项目，发包人视为该项费用已包含在其他投标报价中，承包人可根据工程的实际需要，自行添加措施项目，一旦中标后，措施费不因任何原因进行调整。</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u w:val="single"/>
        </w:rPr>
      </w:pPr>
      <w:r>
        <w:rPr>
          <w:rFonts w:hint="eastAsia" w:ascii="宋体" w:hAnsi="宋体"/>
          <w:color w:val="auto"/>
          <w:sz w:val="24"/>
          <w:highlight w:val="none"/>
          <w:u w:val="single"/>
        </w:rPr>
        <w:t>（3）总承包服务</w:t>
      </w:r>
      <w:r>
        <w:rPr>
          <w:rFonts w:ascii="宋体" w:hAnsi="宋体"/>
          <w:color w:val="auto"/>
          <w:sz w:val="24"/>
          <w:highlight w:val="none"/>
          <w:u w:val="single"/>
        </w:rPr>
        <w:t>费</w:t>
      </w:r>
      <w:r>
        <w:rPr>
          <w:rFonts w:hint="eastAsia" w:ascii="宋体" w:hAnsi="宋体"/>
          <w:color w:val="auto"/>
          <w:sz w:val="24"/>
          <w:highlight w:val="none"/>
          <w:u w:val="single"/>
        </w:rPr>
        <w:t>为本工程建安工程造价×</w:t>
      </w:r>
      <w:r>
        <w:rPr>
          <w:rFonts w:ascii="宋体" w:hAnsi="宋体"/>
          <w:color w:val="auto"/>
          <w:sz w:val="24"/>
          <w:highlight w:val="none"/>
          <w:u w:val="single"/>
        </w:rPr>
        <w:t>总</w:t>
      </w:r>
      <w:r>
        <w:rPr>
          <w:rFonts w:hint="eastAsia" w:ascii="宋体" w:hAnsi="宋体"/>
          <w:color w:val="auto"/>
          <w:sz w:val="24"/>
          <w:highlight w:val="none"/>
          <w:u w:val="single"/>
        </w:rPr>
        <w:t>承包服务</w:t>
      </w:r>
      <w:r>
        <w:rPr>
          <w:rFonts w:ascii="宋体" w:hAnsi="宋体"/>
          <w:color w:val="auto"/>
          <w:sz w:val="24"/>
          <w:highlight w:val="none"/>
          <w:u w:val="single"/>
        </w:rPr>
        <w:t>费</w:t>
      </w:r>
      <w:r>
        <w:rPr>
          <w:rFonts w:hint="eastAsia" w:ascii="宋体" w:hAnsi="宋体"/>
          <w:color w:val="auto"/>
          <w:sz w:val="24"/>
          <w:highlight w:val="none"/>
          <w:u w:val="single"/>
        </w:rPr>
        <w:t>费率1%,</w:t>
      </w:r>
      <w:r>
        <w:rPr>
          <w:rFonts w:ascii="宋体" w:hAnsi="宋体"/>
          <w:color w:val="auto"/>
          <w:sz w:val="24"/>
          <w:highlight w:val="none"/>
          <w:u w:val="single"/>
        </w:rPr>
        <w:t>包含在合同总价</w:t>
      </w:r>
      <w:r>
        <w:rPr>
          <w:rFonts w:hint="eastAsia" w:ascii="宋体" w:hAnsi="宋体"/>
          <w:color w:val="auto"/>
          <w:sz w:val="24"/>
          <w:highlight w:val="none"/>
          <w:u w:val="single"/>
        </w:rPr>
        <w:t>中，由承包人自行支付給总包</w:t>
      </w:r>
      <w:r>
        <w:rPr>
          <w:rFonts w:ascii="宋体" w:hAnsi="宋体"/>
          <w:color w:val="auto"/>
          <w:sz w:val="24"/>
          <w:highlight w:val="none"/>
          <w:u w:val="single"/>
        </w:rPr>
        <w:t>单位</w:t>
      </w:r>
      <w:r>
        <w:rPr>
          <w:rFonts w:hint="eastAsia" w:ascii="宋体" w:hAnsi="宋体"/>
          <w:color w:val="auto"/>
          <w:sz w:val="24"/>
          <w:highlight w:val="none"/>
          <w:u w:val="single"/>
        </w:rPr>
        <w:t>。总承包服务费费率为固定费率，不</w:t>
      </w:r>
      <w:r>
        <w:rPr>
          <w:rFonts w:ascii="宋体" w:hAnsi="宋体"/>
          <w:color w:val="auto"/>
          <w:sz w:val="24"/>
          <w:highlight w:val="none"/>
          <w:u w:val="single"/>
        </w:rPr>
        <w:t>可</w:t>
      </w:r>
      <w:r>
        <w:rPr>
          <w:rFonts w:hint="eastAsia" w:ascii="宋体" w:hAnsi="宋体"/>
          <w:color w:val="auto"/>
          <w:sz w:val="24"/>
          <w:highlight w:val="none"/>
          <w:u w:val="single"/>
        </w:rPr>
        <w:t>变动。</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hint="eastAsia" w:ascii="宋体" w:hAnsi="宋体"/>
          <w:color w:val="auto"/>
          <w:sz w:val="24"/>
          <w:highlight w:val="none"/>
          <w:u w:val="single"/>
        </w:rPr>
      </w:pPr>
      <w:r>
        <w:rPr>
          <w:rFonts w:hint="eastAsia" w:ascii="宋体" w:hAnsi="宋体"/>
          <w:color w:val="auto"/>
          <w:sz w:val="24"/>
          <w:highlight w:val="none"/>
          <w:u w:val="single"/>
        </w:rPr>
        <w:t>本</w:t>
      </w:r>
      <w:r>
        <w:rPr>
          <w:rFonts w:ascii="宋体" w:hAnsi="宋体"/>
          <w:color w:val="auto"/>
          <w:sz w:val="24"/>
          <w:highlight w:val="none"/>
          <w:u w:val="single"/>
        </w:rPr>
        <w:t>工程</w:t>
      </w:r>
      <w:r>
        <w:rPr>
          <w:rFonts w:hint="eastAsia"/>
          <w:color w:val="auto"/>
          <w:sz w:val="24"/>
          <w:szCs w:val="24"/>
          <w:highlight w:val="none"/>
          <w:u w:val="single"/>
        </w:rPr>
        <w:t>总承包服务费的支付：以承包人的每月验工计价金额为基数，按约定包干费率计价的80%进行支付给承包</w:t>
      </w:r>
      <w:r>
        <w:rPr>
          <w:color w:val="auto"/>
          <w:sz w:val="24"/>
          <w:szCs w:val="24"/>
          <w:highlight w:val="none"/>
          <w:u w:val="single"/>
        </w:rPr>
        <w:t>人</w:t>
      </w:r>
      <w:r>
        <w:rPr>
          <w:rFonts w:hint="eastAsia"/>
          <w:color w:val="auto"/>
          <w:sz w:val="24"/>
          <w:szCs w:val="24"/>
          <w:highlight w:val="none"/>
          <w:u w:val="single"/>
        </w:rPr>
        <w:t>，竣工验收合格后全部支付完。</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u w:val="single"/>
        </w:rPr>
      </w:pPr>
      <w:r>
        <w:rPr>
          <w:rFonts w:hint="eastAsia" w:ascii="宋体" w:hAnsi="宋体"/>
          <w:color w:val="auto"/>
          <w:sz w:val="24"/>
          <w:highlight w:val="none"/>
          <w:u w:val="single"/>
        </w:rPr>
        <w:t>2、合同总价款为人民币          元整(小写：RMB        元)，不含税价    元，增值税税额（增值税税率9</w:t>
      </w:r>
      <w:r>
        <w:rPr>
          <w:rFonts w:ascii="宋体" w:hAnsi="宋体"/>
          <w:color w:val="auto"/>
          <w:sz w:val="24"/>
          <w:highlight w:val="none"/>
          <w:u w:val="single"/>
        </w:rPr>
        <w:t>%）</w:t>
      </w:r>
      <w:r>
        <w:rPr>
          <w:rFonts w:hint="eastAsia" w:ascii="宋体" w:hAnsi="宋体"/>
          <w:color w:val="auto"/>
          <w:sz w:val="24"/>
          <w:highlight w:val="none"/>
          <w:u w:val="single"/>
        </w:rPr>
        <w:t xml:space="preserve">    元。</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u w:val="single"/>
        </w:rPr>
      </w:pPr>
      <w:r>
        <w:rPr>
          <w:rFonts w:ascii="宋体" w:hAnsi="宋体"/>
          <w:color w:val="auto"/>
          <w:sz w:val="24"/>
          <w:highlight w:val="none"/>
          <w:u w:val="single"/>
        </w:rPr>
        <w:t>3</w:t>
      </w:r>
      <w:r>
        <w:rPr>
          <w:rFonts w:hint="eastAsia" w:ascii="宋体" w:hAnsi="宋体"/>
          <w:color w:val="auto"/>
          <w:sz w:val="24"/>
          <w:highlight w:val="none"/>
          <w:u w:val="single"/>
        </w:rPr>
        <w:t>、合同的增值税率根据国家税收法规政策变动而调整，不含税价不随增值税率的变化进行调整。</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38" w:name="_Toc65054237"/>
      <w:r>
        <w:rPr>
          <w:rFonts w:hint="eastAsia" w:ascii="宋体" w:hAnsi="宋体" w:cs="宋体"/>
          <w:color w:val="auto"/>
          <w:sz w:val="28"/>
          <w:szCs w:val="28"/>
          <w:highlight w:val="none"/>
        </w:rPr>
        <w:t>四、工期与质量</w:t>
      </w:r>
      <w:bookmarkEnd w:id="38"/>
    </w:p>
    <w:p>
      <w:pPr>
        <w:keepLines w:val="0"/>
        <w:pageBreakBefore w:val="0"/>
        <w:kinsoku/>
        <w:wordWrap/>
        <w:overflowPunct/>
        <w:topLinePunct w:val="0"/>
        <w:autoSpaceDE/>
        <w:autoSpaceDN/>
        <w:bidi w:val="0"/>
        <w:adjustRightInd w:val="0"/>
        <w:snapToGrid w:val="0"/>
        <w:spacing w:line="360" w:lineRule="auto"/>
        <w:ind w:left="0" w:leftChars="0" w:right="0" w:rightChars="0" w:firstLine="420" w:firstLineChars="200"/>
        <w:rPr>
          <w:rFonts w:ascii="宋体" w:hAnsi="宋体"/>
          <w:color w:val="auto"/>
          <w:sz w:val="24"/>
          <w:highlight w:val="none"/>
        </w:rPr>
      </w:pPr>
      <w:r>
        <w:rPr>
          <w:rFonts w:hint="eastAsia"/>
          <w:color w:val="auto"/>
          <w:highlight w:val="none"/>
        </w:rPr>
        <w:t>1</w:t>
      </w:r>
      <w:r>
        <w:rPr>
          <w:rFonts w:hint="eastAsia" w:ascii="宋体" w:hAnsi="宋体"/>
          <w:color w:val="auto"/>
          <w:sz w:val="24"/>
          <w:highlight w:val="none"/>
        </w:rPr>
        <w:t>、质量：合格。</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2、工期：暂定自</w:t>
      </w:r>
      <w:r>
        <w:rPr>
          <w:rFonts w:hint="eastAsia" w:ascii="宋体" w:hAnsi="宋体"/>
          <w:color w:val="auto"/>
          <w:sz w:val="24"/>
          <w:highlight w:val="none"/>
          <w:lang w:val="en-US" w:eastAsia="zh-CN"/>
        </w:rPr>
        <w:t>2022</w:t>
      </w:r>
      <w:r>
        <w:rPr>
          <w:rFonts w:hint="eastAsia" w:ascii="宋体" w:hAnsi="宋体"/>
          <w:color w:val="auto"/>
          <w:sz w:val="24"/>
          <w:highlight w:val="none"/>
        </w:rPr>
        <w:t>年</w:t>
      </w:r>
      <w:r>
        <w:rPr>
          <w:rFonts w:hint="eastAsia" w:ascii="宋体" w:hAnsi="宋体"/>
          <w:color w:val="auto"/>
          <w:sz w:val="24"/>
          <w:highlight w:val="none"/>
          <w:lang w:val="en-US" w:eastAsia="zh-CN"/>
        </w:rPr>
        <w:t>11</w:t>
      </w:r>
      <w:r>
        <w:rPr>
          <w:rFonts w:hint="eastAsia" w:ascii="宋体" w:hAnsi="宋体"/>
          <w:color w:val="auto"/>
          <w:sz w:val="24"/>
          <w:highlight w:val="none"/>
        </w:rPr>
        <w:t>月</w:t>
      </w:r>
      <w:r>
        <w:rPr>
          <w:rFonts w:hint="eastAsia" w:ascii="宋体" w:hAnsi="宋体"/>
          <w:color w:val="auto"/>
          <w:sz w:val="24"/>
          <w:highlight w:val="none"/>
          <w:lang w:val="en-US" w:eastAsia="zh-CN"/>
        </w:rPr>
        <w:t>1</w:t>
      </w:r>
      <w:r>
        <w:rPr>
          <w:rFonts w:hint="eastAsia" w:ascii="宋体" w:hAnsi="宋体"/>
          <w:color w:val="auto"/>
          <w:sz w:val="24"/>
          <w:highlight w:val="none"/>
        </w:rPr>
        <w:t xml:space="preserve"> 日至</w:t>
      </w:r>
      <w:r>
        <w:rPr>
          <w:rFonts w:hint="eastAsia" w:ascii="宋体" w:hAnsi="宋体"/>
          <w:color w:val="auto"/>
          <w:sz w:val="24"/>
          <w:highlight w:val="none"/>
          <w:lang w:val="en-US" w:eastAsia="zh-CN"/>
        </w:rPr>
        <w:t>2023</w:t>
      </w:r>
      <w:r>
        <w:rPr>
          <w:rFonts w:hint="eastAsia" w:ascii="宋体" w:hAnsi="宋体"/>
          <w:color w:val="auto"/>
          <w:sz w:val="24"/>
          <w:highlight w:val="none"/>
        </w:rPr>
        <w:t>年</w:t>
      </w:r>
      <w:r>
        <w:rPr>
          <w:rFonts w:hint="eastAsia" w:ascii="宋体" w:hAnsi="宋体"/>
          <w:color w:val="auto"/>
          <w:sz w:val="24"/>
          <w:highlight w:val="none"/>
          <w:lang w:val="en-US" w:eastAsia="zh-CN"/>
        </w:rPr>
        <w:t>6</w:t>
      </w:r>
      <w:r>
        <w:rPr>
          <w:rFonts w:hint="eastAsia" w:ascii="宋体" w:hAnsi="宋体"/>
          <w:color w:val="auto"/>
          <w:sz w:val="24"/>
          <w:highlight w:val="none"/>
        </w:rPr>
        <w:t>月</w:t>
      </w:r>
      <w:r>
        <w:rPr>
          <w:rFonts w:hint="eastAsia" w:ascii="宋体" w:hAnsi="宋体"/>
          <w:color w:val="auto"/>
          <w:sz w:val="24"/>
          <w:highlight w:val="none"/>
          <w:lang w:val="en-US" w:eastAsia="zh-CN"/>
        </w:rPr>
        <w:t>1</w:t>
      </w:r>
      <w:r>
        <w:rPr>
          <w:rFonts w:hint="eastAsia" w:ascii="宋体" w:hAnsi="宋体"/>
          <w:color w:val="auto"/>
          <w:sz w:val="24"/>
          <w:highlight w:val="none"/>
        </w:rPr>
        <w:t>日，共</w:t>
      </w:r>
      <w:r>
        <w:rPr>
          <w:rFonts w:hint="eastAsia" w:ascii="宋体" w:hAnsi="宋体" w:cs="宋体"/>
          <w:color w:val="auto"/>
          <w:sz w:val="24"/>
          <w:szCs w:val="24"/>
          <w:highlight w:val="none"/>
          <w:lang w:val="en-US" w:eastAsia="zh-CN"/>
        </w:rPr>
        <w:t>212</w:t>
      </w:r>
      <w:r>
        <w:rPr>
          <w:rFonts w:hint="eastAsia" w:ascii="宋体" w:hAnsi="宋体"/>
          <w:color w:val="auto"/>
          <w:sz w:val="24"/>
          <w:highlight w:val="none"/>
        </w:rPr>
        <w:t>日历天</w:t>
      </w:r>
      <w:r>
        <w:rPr>
          <w:rFonts w:hint="eastAsia" w:hAnsi="宋体"/>
          <w:color w:val="auto"/>
          <w:sz w:val="24"/>
          <w:szCs w:val="24"/>
          <w:highlight w:val="none"/>
        </w:rPr>
        <w:t>（以发包人实际通知入场为准）</w:t>
      </w:r>
      <w:r>
        <w:rPr>
          <w:rFonts w:hint="eastAsia" w:ascii="宋体" w:hAnsi="宋体"/>
          <w:color w:val="auto"/>
          <w:sz w:val="24"/>
          <w:highlight w:val="none"/>
        </w:rPr>
        <w:t>。</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3、质保期：竣工验收</w:t>
      </w:r>
      <w:r>
        <w:rPr>
          <w:rFonts w:hint="eastAsia" w:ascii="宋体" w:hAnsi="宋体"/>
          <w:color w:val="auto"/>
          <w:sz w:val="24"/>
          <w:highlight w:val="none"/>
          <w:lang w:val="en-US" w:eastAsia="zh-CN"/>
        </w:rPr>
        <w:t>合格</w:t>
      </w:r>
      <w:r>
        <w:rPr>
          <w:rFonts w:hint="eastAsia" w:ascii="宋体" w:hAnsi="宋体"/>
          <w:color w:val="auto"/>
          <w:sz w:val="24"/>
          <w:highlight w:val="none"/>
        </w:rPr>
        <w:t>并移交后</w:t>
      </w:r>
      <w:r>
        <w:rPr>
          <w:rFonts w:ascii="宋体" w:hAnsi="宋体"/>
          <w:color w:val="auto"/>
          <w:sz w:val="24"/>
          <w:highlight w:val="none"/>
        </w:rPr>
        <w:t>2</w:t>
      </w:r>
      <w:r>
        <w:rPr>
          <w:rFonts w:hint="eastAsia" w:ascii="宋体" w:hAnsi="宋体"/>
          <w:color w:val="auto"/>
          <w:sz w:val="24"/>
          <w:highlight w:val="none"/>
        </w:rPr>
        <w:t>年。</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39" w:name="_Toc65054238"/>
      <w:r>
        <w:rPr>
          <w:rFonts w:ascii="宋体" w:hAnsi="宋体" w:cs="宋体"/>
          <w:color w:val="auto"/>
          <w:sz w:val="28"/>
          <w:szCs w:val="28"/>
          <w:highlight w:val="none"/>
        </w:rPr>
        <w:t>五</w:t>
      </w:r>
      <w:r>
        <w:rPr>
          <w:rFonts w:hint="eastAsia" w:ascii="宋体" w:hAnsi="宋体" w:cs="宋体"/>
          <w:color w:val="auto"/>
          <w:sz w:val="28"/>
          <w:szCs w:val="28"/>
          <w:highlight w:val="none"/>
        </w:rPr>
        <w:t>、</w:t>
      </w:r>
      <w:r>
        <w:rPr>
          <w:rFonts w:ascii="宋体" w:hAnsi="宋体" w:cs="宋体"/>
          <w:color w:val="auto"/>
          <w:sz w:val="28"/>
          <w:szCs w:val="28"/>
          <w:highlight w:val="none"/>
        </w:rPr>
        <w:t>技术要求</w:t>
      </w:r>
      <w:bookmarkEnd w:id="39"/>
      <w:bookmarkStart w:id="40" w:name="_Toc405299905"/>
      <w:bookmarkStart w:id="41" w:name="_Toc342310526"/>
    </w:p>
    <w:p>
      <w:pPr>
        <w:keepLines w:val="0"/>
        <w:pageBreakBefore w:val="0"/>
        <w:widowControl/>
        <w:shd w:val="clear" w:color="auto" w:fill="FFFFFF"/>
        <w:kinsoku/>
        <w:wordWrap/>
        <w:overflowPunct/>
        <w:topLinePunct w:val="0"/>
        <w:autoSpaceDE/>
        <w:autoSpaceDN/>
        <w:bidi w:val="0"/>
        <w:spacing w:line="360" w:lineRule="auto"/>
        <w:ind w:left="0" w:leftChars="0" w:right="0" w:rightChars="0" w:firstLine="480" w:firstLineChars="200"/>
        <w:jc w:val="left"/>
        <w:rPr>
          <w:rFonts w:ascii="宋体" w:hAnsi="宋体" w:cs="Arial"/>
          <w:color w:val="auto"/>
          <w:kern w:val="0"/>
          <w:sz w:val="24"/>
          <w:szCs w:val="24"/>
          <w:highlight w:val="none"/>
          <w:shd w:val="clear" w:color="auto" w:fill="FFFFFF"/>
        </w:rPr>
      </w:pPr>
      <w:r>
        <w:rPr>
          <w:rFonts w:hint="eastAsia" w:ascii="宋体" w:hAnsi="宋体" w:cs="Arial"/>
          <w:color w:val="auto"/>
          <w:kern w:val="0"/>
          <w:sz w:val="24"/>
          <w:szCs w:val="24"/>
          <w:highlight w:val="none"/>
          <w:shd w:val="clear" w:color="auto" w:fill="FFFFFF"/>
        </w:rPr>
        <w:t>详见附件</w:t>
      </w:r>
    </w:p>
    <w:bookmarkEnd w:id="40"/>
    <w:bookmarkEnd w:id="41"/>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42" w:name="定义"/>
      <w:bookmarkEnd w:id="42"/>
      <w:bookmarkStart w:id="43" w:name="_Toc24535109"/>
      <w:bookmarkStart w:id="44" w:name="_Toc13994"/>
      <w:bookmarkStart w:id="45" w:name="_Toc65054250"/>
      <w:bookmarkStart w:id="46" w:name="_Toc8075"/>
      <w:r>
        <w:rPr>
          <w:rFonts w:hint="eastAsia" w:ascii="宋体" w:hAnsi="宋体" w:cs="宋体"/>
          <w:color w:val="auto"/>
          <w:sz w:val="28"/>
          <w:szCs w:val="28"/>
          <w:highlight w:val="none"/>
        </w:rPr>
        <w:t>六、</w:t>
      </w:r>
      <w:bookmarkEnd w:id="43"/>
      <w:bookmarkEnd w:id="44"/>
      <w:r>
        <w:rPr>
          <w:rFonts w:hint="eastAsia" w:ascii="宋体" w:hAnsi="宋体" w:cs="宋体"/>
          <w:color w:val="auto"/>
          <w:sz w:val="28"/>
          <w:szCs w:val="28"/>
          <w:highlight w:val="none"/>
        </w:rPr>
        <w:t>管理要求</w:t>
      </w:r>
      <w:bookmarkEnd w:id="45"/>
    </w:p>
    <w:p>
      <w:pPr>
        <w:pStyle w:val="181"/>
        <w:keepLines w:val="0"/>
        <w:pageBreakBefore w:val="0"/>
        <w:kinsoku/>
        <w:wordWrap/>
        <w:overflowPunct/>
        <w:topLinePunct w:val="0"/>
        <w:autoSpaceDE/>
        <w:autoSpaceDN/>
        <w:bidi w:val="0"/>
        <w:spacing w:line="360" w:lineRule="auto"/>
        <w:ind w:left="0" w:leftChars="0" w:right="0" w:rightChars="0" w:firstLine="482" w:firstLineChars="200"/>
        <w:rPr>
          <w:rFonts w:ascii="宋体" w:hAnsi="宋体" w:cs="Courier New"/>
          <w:b/>
          <w:color w:val="auto"/>
          <w:sz w:val="24"/>
          <w:highlight w:val="none"/>
        </w:rPr>
      </w:pPr>
      <w:r>
        <w:rPr>
          <w:rFonts w:hint="eastAsia" w:ascii="宋体" w:hAnsi="宋体"/>
          <w:b/>
          <w:color w:val="auto"/>
          <w:sz w:val="24"/>
          <w:highlight w:val="none"/>
        </w:rPr>
        <w:t>（一）对承包人</w:t>
      </w:r>
      <w:r>
        <w:rPr>
          <w:rFonts w:ascii="宋体" w:hAnsi="宋体"/>
          <w:b/>
          <w:color w:val="auto"/>
          <w:sz w:val="24"/>
          <w:highlight w:val="none"/>
        </w:rPr>
        <w:t>的要求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、项目机构管理要求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承包人根据招参选文件和承包合同约定，并按照法规、发包人的要求，配备足够数量的各专业现场技术管理人员。如承包方的项目管理机构在履约期间出现以下情况，发包</w:t>
      </w:r>
      <w:r>
        <w:rPr>
          <w:rFonts w:ascii="宋体" w:hAnsi="宋体"/>
          <w:bCs/>
          <w:color w:val="auto"/>
          <w:sz w:val="24"/>
          <w:highlight w:val="none"/>
        </w:rPr>
        <w:t>人</w:t>
      </w:r>
      <w:r>
        <w:rPr>
          <w:rFonts w:hint="eastAsia" w:ascii="宋体" w:hAnsi="宋体"/>
          <w:bCs/>
          <w:color w:val="auto"/>
          <w:sz w:val="24"/>
          <w:highlight w:val="none"/>
        </w:rPr>
        <w:t>有权按如下要求处理：</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）中标后，</w:t>
      </w:r>
      <w:r>
        <w:rPr>
          <w:rFonts w:ascii="宋体" w:hAnsi="宋体"/>
          <w:bCs/>
          <w:color w:val="auto"/>
          <w:sz w:val="24"/>
          <w:highlight w:val="none"/>
        </w:rPr>
        <w:t>如</w:t>
      </w:r>
      <w:r>
        <w:rPr>
          <w:rFonts w:hint="eastAsia" w:ascii="宋体" w:hAnsi="宋体"/>
          <w:bCs/>
          <w:color w:val="auto"/>
          <w:sz w:val="24"/>
          <w:highlight w:val="none"/>
        </w:rPr>
        <w:t>满足《关于建设工程招标投标改革的若干规定》（深府</w:t>
      </w:r>
      <w:r>
        <w:rPr>
          <w:rFonts w:ascii="宋体" w:hAnsi="宋体"/>
          <w:bCs/>
          <w:color w:val="auto"/>
          <w:sz w:val="24"/>
          <w:highlight w:val="none"/>
        </w:rPr>
        <w:t>[2015]73号，以下简称“73号文”）</w:t>
      </w:r>
      <w:r>
        <w:rPr>
          <w:rFonts w:hint="eastAsia" w:ascii="宋体" w:hAnsi="宋体"/>
          <w:bCs/>
          <w:color w:val="auto"/>
          <w:sz w:val="24"/>
          <w:highlight w:val="none"/>
        </w:rPr>
        <w:t>的除外情形</w:t>
      </w:r>
      <w:r>
        <w:rPr>
          <w:rFonts w:ascii="宋体" w:hAnsi="宋体"/>
          <w:bCs/>
          <w:color w:val="auto"/>
          <w:sz w:val="24"/>
          <w:highlight w:val="none"/>
        </w:rPr>
        <w:t>，需更换</w:t>
      </w:r>
      <w:r>
        <w:rPr>
          <w:rFonts w:hint="eastAsia" w:ascii="宋体" w:hAnsi="宋体"/>
          <w:bCs/>
          <w:color w:val="auto"/>
          <w:sz w:val="24"/>
          <w:highlight w:val="none"/>
        </w:rPr>
        <w:t>管理人员</w:t>
      </w:r>
      <w:r>
        <w:rPr>
          <w:rFonts w:ascii="宋体" w:hAnsi="宋体"/>
          <w:bCs/>
          <w:color w:val="auto"/>
          <w:sz w:val="24"/>
          <w:highlight w:val="none"/>
        </w:rPr>
        <w:t>，</w:t>
      </w:r>
      <w:r>
        <w:rPr>
          <w:rFonts w:hint="eastAsia" w:ascii="宋体" w:hAnsi="宋体"/>
          <w:bCs/>
          <w:color w:val="auto"/>
          <w:sz w:val="24"/>
          <w:highlight w:val="none"/>
        </w:rPr>
        <w:t>不要求缴纳违约金，但</w:t>
      </w:r>
      <w:r>
        <w:rPr>
          <w:rFonts w:ascii="宋体" w:hAnsi="宋体"/>
          <w:bCs/>
          <w:color w:val="auto"/>
          <w:sz w:val="24"/>
          <w:highlight w:val="none"/>
        </w:rPr>
        <w:t>须</w:t>
      </w:r>
      <w:r>
        <w:rPr>
          <w:rFonts w:hint="eastAsia" w:ascii="宋体" w:hAnsi="宋体"/>
          <w:bCs/>
          <w:color w:val="auto"/>
          <w:sz w:val="24"/>
          <w:highlight w:val="none"/>
        </w:rPr>
        <w:t>承包人提前</w:t>
      </w:r>
      <w:r>
        <w:rPr>
          <w:rFonts w:ascii="宋体" w:hAnsi="宋体"/>
          <w:bCs/>
          <w:color w:val="auto"/>
          <w:sz w:val="24"/>
          <w:highlight w:val="none"/>
        </w:rPr>
        <w:t>书面通知发包人，</w:t>
      </w:r>
      <w:r>
        <w:rPr>
          <w:rFonts w:hint="eastAsia" w:ascii="宋体" w:hAnsi="宋体"/>
          <w:bCs/>
          <w:color w:val="auto"/>
          <w:sz w:val="24"/>
          <w:highlight w:val="none"/>
        </w:rPr>
        <w:t>并</w:t>
      </w:r>
      <w:r>
        <w:rPr>
          <w:rFonts w:ascii="宋体" w:hAnsi="宋体"/>
          <w:bCs/>
          <w:color w:val="auto"/>
          <w:sz w:val="24"/>
          <w:highlight w:val="none"/>
        </w:rPr>
        <w:t>经发包人同意后方可更换</w:t>
      </w:r>
      <w:r>
        <w:rPr>
          <w:rFonts w:hint="eastAsia" w:ascii="宋体" w:hAnsi="宋体"/>
          <w:bCs/>
          <w:color w:val="auto"/>
          <w:sz w:val="24"/>
          <w:highlight w:val="none"/>
        </w:rPr>
        <w:t>，</w:t>
      </w:r>
      <w:r>
        <w:rPr>
          <w:rFonts w:ascii="宋体" w:hAnsi="宋体"/>
          <w:bCs/>
          <w:color w:val="auto"/>
          <w:sz w:val="24"/>
          <w:highlight w:val="none"/>
        </w:rPr>
        <w:t>新人员（</w:t>
      </w:r>
      <w:r>
        <w:rPr>
          <w:rFonts w:hint="eastAsia" w:ascii="宋体" w:hAnsi="宋体"/>
          <w:bCs/>
          <w:color w:val="auto"/>
          <w:sz w:val="24"/>
          <w:highlight w:val="none"/>
        </w:rPr>
        <w:t>条件不得低于必选文件的要求</w:t>
      </w:r>
      <w:r>
        <w:rPr>
          <w:rFonts w:ascii="宋体" w:hAnsi="宋体"/>
          <w:bCs/>
          <w:color w:val="auto"/>
          <w:sz w:val="24"/>
          <w:highlight w:val="none"/>
        </w:rPr>
        <w:t>）须重新面试，面试通过后方可上岗</w:t>
      </w:r>
      <w:r>
        <w:rPr>
          <w:rFonts w:hint="eastAsia" w:ascii="宋体" w:hAnsi="宋体"/>
          <w:bCs/>
          <w:color w:val="auto"/>
          <w:sz w:val="24"/>
          <w:highlight w:val="none"/>
        </w:rPr>
        <w:t>。除此之外，承包人要求变更项目机构主要人员的，均视为违约，按项目负责人每次支付违约金</w:t>
      </w:r>
      <w:r>
        <w:rPr>
          <w:rFonts w:ascii="宋体" w:hAnsi="宋体"/>
          <w:bCs/>
          <w:color w:val="auto"/>
          <w:sz w:val="24"/>
          <w:highlight w:val="none"/>
        </w:rPr>
        <w:t>5万，</w:t>
      </w:r>
      <w:r>
        <w:rPr>
          <w:rFonts w:hint="eastAsia" w:ascii="宋体" w:hAnsi="宋体"/>
          <w:bCs/>
          <w:color w:val="auto"/>
          <w:sz w:val="24"/>
          <w:highlight w:val="none"/>
        </w:rPr>
        <w:t>其他人员每次支付违约金</w:t>
      </w:r>
      <w:r>
        <w:rPr>
          <w:rFonts w:ascii="宋体" w:hAnsi="宋体"/>
          <w:bCs/>
          <w:color w:val="auto"/>
          <w:sz w:val="24"/>
          <w:highlight w:val="none"/>
        </w:rPr>
        <w:t>1万元。</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）承包人的项目机构主要人员不到位或不在岗时，则按项目负责人每次支付违约金</w:t>
      </w:r>
      <w:r>
        <w:rPr>
          <w:rFonts w:ascii="宋体" w:hAnsi="宋体"/>
          <w:bCs/>
          <w:color w:val="auto"/>
          <w:sz w:val="24"/>
          <w:highlight w:val="none"/>
        </w:rPr>
        <w:t>1</w:t>
      </w:r>
      <w:r>
        <w:rPr>
          <w:rFonts w:hint="eastAsia" w:ascii="宋体" w:hAnsi="宋体"/>
          <w:bCs/>
          <w:color w:val="auto"/>
          <w:sz w:val="24"/>
          <w:highlight w:val="none"/>
        </w:rPr>
        <w:t>000元，其他人员每次支付违约金200元。</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）未经发包人批准，擅自更换主要管理人员，则按项目负责人每次支付违约金</w:t>
      </w:r>
      <w:r>
        <w:rPr>
          <w:rFonts w:ascii="宋体" w:hAnsi="宋体"/>
          <w:bCs/>
          <w:color w:val="auto"/>
          <w:sz w:val="24"/>
          <w:highlight w:val="none"/>
        </w:rPr>
        <w:t>5</w:t>
      </w:r>
      <w:r>
        <w:rPr>
          <w:rFonts w:hint="eastAsia" w:ascii="宋体" w:hAnsi="宋体"/>
          <w:bCs/>
          <w:color w:val="auto"/>
          <w:sz w:val="24"/>
          <w:highlight w:val="none"/>
        </w:rPr>
        <w:t>万元，其他人员每次支付违约金1万元。</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4</w:t>
      </w:r>
      <w:r>
        <w:rPr>
          <w:rFonts w:hint="eastAsia" w:ascii="宋体" w:hAnsi="宋体"/>
          <w:bCs/>
          <w:color w:val="auto"/>
          <w:sz w:val="24"/>
          <w:highlight w:val="none"/>
        </w:rPr>
        <w:t>）发包人或监理要求承包人替换项目机构中的不称职人员，而承包人不予替换的，则至监理发出更换人员通知之日起，按项目负责人每天支付违约金</w:t>
      </w:r>
      <w:r>
        <w:rPr>
          <w:rFonts w:ascii="宋体" w:hAnsi="宋体"/>
          <w:bCs/>
          <w:color w:val="auto"/>
          <w:sz w:val="24"/>
          <w:highlight w:val="none"/>
        </w:rPr>
        <w:t>3</w:t>
      </w:r>
      <w:r>
        <w:rPr>
          <w:rFonts w:hint="eastAsia" w:ascii="宋体" w:hAnsi="宋体"/>
          <w:bCs/>
          <w:color w:val="auto"/>
          <w:sz w:val="24"/>
          <w:highlight w:val="none"/>
        </w:rPr>
        <w:t>000元，其他人员每天支付违约金500元。</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5</w:t>
      </w:r>
      <w:r>
        <w:rPr>
          <w:rFonts w:hint="eastAsia" w:ascii="宋体" w:hAnsi="宋体"/>
          <w:bCs/>
          <w:color w:val="auto"/>
          <w:sz w:val="24"/>
          <w:highlight w:val="none"/>
        </w:rPr>
        <w:t>）项目负责人等主要管理人员必须参加每周工程例会，若确实无法参加必须向项目组请假，无故缺席者每次支付违约金500元，无故迟到者每次支付违约金100元。</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ascii="宋体" w:hAnsi="宋体"/>
          <w:bCs/>
          <w:color w:val="auto"/>
          <w:sz w:val="24"/>
          <w:highlight w:val="none"/>
        </w:rPr>
        <w:t>2</w:t>
      </w:r>
      <w:r>
        <w:rPr>
          <w:rFonts w:hint="eastAsia" w:ascii="宋体" w:hAnsi="宋体"/>
          <w:bCs/>
          <w:color w:val="auto"/>
          <w:sz w:val="24"/>
          <w:highlight w:val="none"/>
        </w:rPr>
        <w:t>、其他管理要求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47" w:name="_Toc65054251"/>
      <w:r>
        <w:rPr>
          <w:rFonts w:hint="eastAsia" w:ascii="宋体" w:hAnsi="宋体" w:cs="Courier New"/>
          <w:color w:val="auto"/>
          <w:sz w:val="24"/>
          <w:highlight w:val="none"/>
        </w:rPr>
        <w:t>（1）承包人须与总包单位签订安全配合协议，服从总包单位的现场管理，包括不限于安全、文明施工、进度安排、场地交接等，并按要求交纳水、电、设备、临设使用费用和押金等。</w:t>
      </w:r>
      <w:bookmarkEnd w:id="47"/>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48" w:name="_Toc65054252"/>
      <w:r>
        <w:rPr>
          <w:rFonts w:hint="eastAsia" w:ascii="宋体" w:hAnsi="宋体" w:cs="Courier New"/>
          <w:color w:val="auto"/>
          <w:sz w:val="24"/>
          <w:highlight w:val="none"/>
        </w:rPr>
        <w:t>（2）承包人须积极主动与总包单位协调解决临时场地、临时用水、临时用电、垂直水平运输等问题，并及时交纳相关费用及押金，费用已包含在合同价中，发包人不再另行支付。</w:t>
      </w:r>
      <w:bookmarkEnd w:id="48"/>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49" w:name="_Toc65054253"/>
      <w:r>
        <w:rPr>
          <w:rFonts w:hint="eastAsia" w:ascii="宋体" w:hAnsi="宋体" w:cs="Courier New"/>
          <w:color w:val="auto"/>
          <w:sz w:val="24"/>
          <w:highlight w:val="none"/>
        </w:rPr>
        <w:t>（3）承包人应遵守工程建设安全生产有关管理规定，严格按安全标准组织施工，并随时接受安全检查人员依法实施的监督检查，采取必要的安全防护措施（此项费用已计入合同价），消除事故隐患。由于承包人安全措施不力造成事故的责任和因此发生的费用，由承包人承担。</w:t>
      </w:r>
      <w:bookmarkEnd w:id="49"/>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0" w:name="_Toc65054254"/>
      <w:r>
        <w:rPr>
          <w:rFonts w:hint="eastAsia" w:ascii="宋体" w:hAnsi="宋体" w:cs="Courier New"/>
          <w:color w:val="auto"/>
          <w:sz w:val="24"/>
          <w:highlight w:val="none"/>
        </w:rPr>
        <w:t>（4）本工程在各方面均须与其他工程有所配合和协调。承包人已清楚明了此项，并保证会在发包人的指示下全面与有关单位配合和协调。</w:t>
      </w:r>
      <w:bookmarkEnd w:id="50"/>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1" w:name="_Toc65054255"/>
      <w:r>
        <w:rPr>
          <w:rFonts w:hint="eastAsia" w:ascii="宋体" w:hAnsi="宋体" w:cs="Courier New"/>
          <w:color w:val="auto"/>
          <w:sz w:val="24"/>
          <w:highlight w:val="none"/>
        </w:rPr>
        <w:t>（5）每月</w:t>
      </w:r>
      <w:r>
        <w:rPr>
          <w:rFonts w:ascii="宋体" w:hAnsi="宋体" w:cs="Courier New"/>
          <w:color w:val="auto"/>
          <w:sz w:val="24"/>
          <w:highlight w:val="none"/>
        </w:rPr>
        <w:t>25</w:t>
      </w:r>
      <w:r>
        <w:rPr>
          <w:rFonts w:hint="eastAsia" w:ascii="宋体" w:hAnsi="宋体" w:cs="Courier New"/>
          <w:color w:val="auto"/>
          <w:sz w:val="24"/>
          <w:highlight w:val="none"/>
        </w:rPr>
        <w:t>日前向发包人、监理书面报送《工程月报》，下月施工计划必须具体、详细，包括人力安排、增加人力的来源、工程量等。</w:t>
      </w:r>
      <w:bookmarkEnd w:id="51"/>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2" w:name="_Toc65054256"/>
      <w:r>
        <w:rPr>
          <w:rFonts w:hint="eastAsia" w:ascii="宋体" w:hAnsi="宋体" w:cs="Courier New"/>
          <w:color w:val="auto"/>
          <w:sz w:val="24"/>
          <w:highlight w:val="none"/>
        </w:rPr>
        <w:t>（6）承包人须与包括农民工在内的所有工人签订劳动合同，明确劳动报酬等内容，并严格履行，及时足额支付工资等劳动报酬。对发包人支付的工程款，承包人须优先用于支付工人劳动报酬。</w:t>
      </w:r>
      <w:bookmarkEnd w:id="52"/>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3" w:name="_Toc65054257"/>
      <w:r>
        <w:rPr>
          <w:rFonts w:hint="eastAsia" w:ascii="宋体" w:hAnsi="宋体" w:cs="Courier New"/>
          <w:color w:val="auto"/>
          <w:sz w:val="24"/>
          <w:highlight w:val="none"/>
        </w:rPr>
        <w:t>（7）承包人必须服从监理工程师的指挥，按监理工程师的指令、设计图纸和技术规范进行施工。如有违反，监理工程师有权提出停工或责令被中标人返工，由此造成的损失概由承包人负责。</w:t>
      </w:r>
      <w:bookmarkEnd w:id="53"/>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4" w:name="_Toc65054258"/>
      <w:r>
        <w:rPr>
          <w:rFonts w:hint="eastAsia" w:ascii="宋体" w:hAnsi="宋体" w:cs="Courier New"/>
          <w:color w:val="auto"/>
          <w:sz w:val="24"/>
          <w:highlight w:val="none"/>
        </w:rPr>
        <w:t>（8）承包人应根据发包人及监理工程师的指令，向发包人提供应由承包人供应的材料(设备)的样品，样品经发包人审定后应置放于样品室内，监理工程师将按照此样品检查承包人施工时实际使用的材料（设备）是否符合发包人的要求，承包人提供材料（设备）样品的费用已包含在合同总价中。</w:t>
      </w:r>
      <w:bookmarkEnd w:id="54"/>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5" w:name="_Toc65054259"/>
      <w:r>
        <w:rPr>
          <w:rFonts w:hint="eastAsia" w:ascii="宋体" w:hAnsi="宋体" w:cs="Courier New"/>
          <w:color w:val="auto"/>
          <w:sz w:val="24"/>
          <w:highlight w:val="none"/>
        </w:rPr>
        <w:t>（9）承包人应按合同规定的承包范围及图纸、规范、标准、合同的要求保质保量按期完成规定的工程内容。施工过程中承包人须按监理工程师依据合同发出的指令施工，随时接受监理工程师的检查，为检查提供便利条件。</w:t>
      </w:r>
      <w:bookmarkEnd w:id="55"/>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6" w:name="_Toc65054260"/>
      <w:r>
        <w:rPr>
          <w:rFonts w:hint="eastAsia" w:ascii="宋体" w:hAnsi="宋体" w:cs="Courier New"/>
          <w:color w:val="auto"/>
          <w:sz w:val="24"/>
          <w:highlight w:val="none"/>
        </w:rPr>
        <w:t>（1</w:t>
      </w:r>
      <w:r>
        <w:rPr>
          <w:rFonts w:ascii="宋体" w:hAnsi="宋体" w:cs="Courier New"/>
          <w:color w:val="auto"/>
          <w:sz w:val="24"/>
          <w:highlight w:val="none"/>
        </w:rPr>
        <w:t>0</w:t>
      </w:r>
      <w:r>
        <w:rPr>
          <w:rFonts w:hint="eastAsia" w:ascii="宋体" w:hAnsi="宋体" w:cs="Courier New"/>
          <w:color w:val="auto"/>
          <w:sz w:val="24"/>
          <w:highlight w:val="none"/>
        </w:rPr>
        <w:t>）在开工前编制施工组织设计或施工方案，施工总进度计划，设备、施工组织一览表、材料、半成品进场计划，报送监理工程师及发包人。提前</w:t>
      </w:r>
      <w:r>
        <w:rPr>
          <w:rFonts w:ascii="宋体" w:hAnsi="宋体" w:cs="Courier New"/>
          <w:color w:val="auto"/>
          <w:sz w:val="24"/>
          <w:highlight w:val="none"/>
        </w:rPr>
        <w:t>30</w:t>
      </w:r>
      <w:r>
        <w:rPr>
          <w:rFonts w:hint="eastAsia" w:ascii="宋体" w:hAnsi="宋体" w:cs="Courier New"/>
          <w:color w:val="auto"/>
          <w:sz w:val="24"/>
          <w:highlight w:val="none"/>
        </w:rPr>
        <w:t>天向发包人书面明确发包人分包进场时间，提前</w:t>
      </w:r>
      <w:r>
        <w:rPr>
          <w:rFonts w:ascii="宋体" w:hAnsi="宋体" w:cs="Courier New"/>
          <w:color w:val="auto"/>
          <w:sz w:val="24"/>
          <w:highlight w:val="none"/>
        </w:rPr>
        <w:t>30</w:t>
      </w:r>
      <w:r>
        <w:rPr>
          <w:rFonts w:hint="eastAsia" w:ascii="宋体" w:hAnsi="宋体" w:cs="Courier New"/>
          <w:color w:val="auto"/>
          <w:sz w:val="24"/>
          <w:highlight w:val="none"/>
        </w:rPr>
        <w:t>天向发包人书面提交甲供材料数量及进场时间计划。</w:t>
      </w:r>
      <w:bookmarkEnd w:id="56"/>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57" w:name="_Toc65054261"/>
      <w:r>
        <w:rPr>
          <w:rFonts w:hint="eastAsia" w:ascii="宋体" w:hAnsi="宋体" w:cs="Courier New"/>
          <w:color w:val="auto"/>
          <w:sz w:val="24"/>
          <w:highlight w:val="none"/>
        </w:rPr>
        <w:t>（1</w:t>
      </w:r>
      <w:r>
        <w:rPr>
          <w:rFonts w:ascii="宋体" w:hAnsi="宋体" w:cs="Courier New"/>
          <w:color w:val="auto"/>
          <w:sz w:val="24"/>
          <w:highlight w:val="none"/>
        </w:rPr>
        <w:t>1</w:t>
      </w:r>
      <w:r>
        <w:rPr>
          <w:rFonts w:hint="eastAsia" w:ascii="宋体" w:hAnsi="宋体" w:cs="Courier New"/>
          <w:color w:val="auto"/>
          <w:sz w:val="24"/>
          <w:highlight w:val="none"/>
        </w:rPr>
        <w:t>）承包人必须服从工程师的指挥，按工程师的指令、设计图纸和技术规范进行施工。如有违反，工程师有权提出停工或责令承包人返工，由此造成的损失概由承包人负责。</w:t>
      </w:r>
      <w:bookmarkEnd w:id="57"/>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cs="Courier New"/>
          <w:color w:val="auto"/>
          <w:sz w:val="24"/>
          <w:highlight w:val="none"/>
        </w:rPr>
      </w:pPr>
      <w:bookmarkStart w:id="58" w:name="_Toc65054262"/>
      <w:r>
        <w:rPr>
          <w:rFonts w:hint="eastAsia" w:ascii="宋体" w:hAnsi="宋体" w:cs="Courier New"/>
          <w:color w:val="auto"/>
          <w:sz w:val="24"/>
          <w:highlight w:val="none"/>
        </w:rPr>
        <w:t>（1</w:t>
      </w:r>
      <w:r>
        <w:rPr>
          <w:rFonts w:ascii="宋体" w:hAnsi="宋体" w:cs="Courier New"/>
          <w:color w:val="auto"/>
          <w:sz w:val="24"/>
          <w:highlight w:val="none"/>
        </w:rPr>
        <w:t>2</w:t>
      </w:r>
      <w:r>
        <w:rPr>
          <w:rFonts w:hint="eastAsia" w:ascii="宋体" w:hAnsi="宋体" w:cs="Courier New"/>
          <w:color w:val="auto"/>
          <w:sz w:val="24"/>
          <w:highlight w:val="none"/>
        </w:rPr>
        <w:t>）负责协调本单位和总包单位及各分包单位之间的工作。</w:t>
      </w:r>
      <w:bookmarkEnd w:id="58"/>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cs="Courier New"/>
          <w:color w:val="auto"/>
          <w:sz w:val="24"/>
          <w:highlight w:val="none"/>
        </w:rPr>
      </w:pPr>
      <w:bookmarkStart w:id="59" w:name="_Toc65054263"/>
      <w:r>
        <w:rPr>
          <w:rFonts w:hint="eastAsia" w:ascii="宋体" w:hAnsi="宋体" w:cs="Courier New"/>
          <w:color w:val="auto"/>
          <w:sz w:val="24"/>
          <w:highlight w:val="none"/>
        </w:rPr>
        <w:t>（1</w:t>
      </w:r>
      <w:r>
        <w:rPr>
          <w:rFonts w:ascii="宋体" w:hAnsi="宋体" w:cs="Courier New"/>
          <w:color w:val="auto"/>
          <w:sz w:val="24"/>
          <w:highlight w:val="none"/>
        </w:rPr>
        <w:t>3</w:t>
      </w:r>
      <w:r>
        <w:rPr>
          <w:rFonts w:hint="eastAsia" w:ascii="宋体" w:hAnsi="宋体" w:cs="Courier New"/>
          <w:color w:val="auto"/>
          <w:sz w:val="24"/>
          <w:highlight w:val="none"/>
        </w:rPr>
        <w:t>）承包人的配合费用涉及工作包括但不仅限于如下所述：</w:t>
      </w:r>
      <w:bookmarkEnd w:id="59"/>
      <w:r>
        <w:rPr>
          <w:rFonts w:ascii="宋体" w:cs="Courier New"/>
          <w:color w:val="auto"/>
          <w:sz w:val="24"/>
          <w:highlight w:val="none"/>
        </w:rPr>
        <w:t> </w:t>
      </w:r>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cs="Courier New"/>
          <w:color w:val="auto"/>
          <w:sz w:val="24"/>
          <w:highlight w:val="none"/>
        </w:rPr>
      </w:pPr>
      <w:bookmarkStart w:id="60" w:name="_Toc65054264"/>
      <w:r>
        <w:rPr>
          <w:rFonts w:hint="eastAsia" w:ascii="宋体" w:hAnsi="宋体" w:cs="Courier New"/>
          <w:color w:val="auto"/>
          <w:sz w:val="24"/>
          <w:highlight w:val="none"/>
        </w:rPr>
        <w:t>（14）施工现场垃圾清理与场地保洁：从总包移交工作面后至竣工交付前这段时间内场地内所有垃圾（包括分包产生的垃圾）由承包人统一清理。</w:t>
      </w:r>
      <w:bookmarkEnd w:id="60"/>
      <w:r>
        <w:rPr>
          <w:rFonts w:ascii="宋体" w:cs="Courier New"/>
          <w:color w:val="auto"/>
          <w:sz w:val="24"/>
          <w:highlight w:val="none"/>
        </w:rPr>
        <w:t> </w:t>
      </w:r>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cs="Courier New"/>
          <w:color w:val="auto"/>
          <w:sz w:val="24"/>
          <w:highlight w:val="none"/>
        </w:rPr>
      </w:pPr>
      <w:bookmarkStart w:id="61" w:name="_Toc65054265"/>
      <w:r>
        <w:rPr>
          <w:rFonts w:hint="eastAsia" w:ascii="宋体" w:hAnsi="宋体" w:cs="Courier New"/>
          <w:color w:val="auto"/>
          <w:sz w:val="24"/>
          <w:highlight w:val="none"/>
        </w:rPr>
        <w:t>（15）安全文明施工管理：包括场地内分包单位工人的判别（工牌），施工过程中监控督促本承包人的工人规范用电用水，场地内临时厕所的设立及严防随地大小便，场地内墙面玻璃无乱涂乱划，场地内无违规住人。</w:t>
      </w:r>
      <w:bookmarkEnd w:id="61"/>
      <w:r>
        <w:rPr>
          <w:rFonts w:ascii="宋体" w:cs="Courier New"/>
          <w:color w:val="auto"/>
          <w:sz w:val="24"/>
          <w:highlight w:val="none"/>
        </w:rPr>
        <w:t> </w:t>
      </w:r>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62" w:name="_Toc65054266"/>
      <w:r>
        <w:rPr>
          <w:rFonts w:hint="eastAsia" w:ascii="宋体" w:hAnsi="宋体" w:cs="Courier New"/>
          <w:color w:val="auto"/>
          <w:sz w:val="24"/>
          <w:highlight w:val="none"/>
        </w:rPr>
        <w:t>承包人应按照本市相关要求和根据工程性质规模，建立现场视频采集系统，开展实时监控。承包人应当按照建筑从业人员实名制管理的相关要求，利用人脸、虹膜等生物活体信息技术，在工地出入口设立实名闸机通道，实行联网运行。</w:t>
      </w:r>
      <w:bookmarkEnd w:id="62"/>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63" w:name="_Toc65054267"/>
      <w:r>
        <w:rPr>
          <w:rFonts w:hint="eastAsia" w:ascii="宋体" w:hAnsi="宋体" w:cs="Courier New"/>
          <w:color w:val="auto"/>
          <w:sz w:val="24"/>
          <w:highlight w:val="none"/>
        </w:rPr>
        <w:t>承包人必须使用符合《在用非道路移动机械用柴油机排气烟度排放限值及测量方法》（SZJG49-2015）特区技术规范要求的非道路移动机械。</w:t>
      </w:r>
      <w:bookmarkEnd w:id="63"/>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cs="Courier New"/>
          <w:color w:val="auto"/>
          <w:sz w:val="24"/>
          <w:highlight w:val="none"/>
        </w:rPr>
      </w:pPr>
      <w:bookmarkStart w:id="64" w:name="_Toc65054268"/>
      <w:r>
        <w:rPr>
          <w:rFonts w:hint="eastAsia" w:ascii="宋体" w:hAnsi="宋体" w:cs="Courier New"/>
          <w:color w:val="auto"/>
          <w:sz w:val="24"/>
          <w:highlight w:val="none"/>
        </w:rPr>
        <w:t>（16）成品保护：在工程完工并做好自身成品保护措施后做好成品保护巡查和现场工人教育，对成品被破坏负保护不力责任。</w:t>
      </w:r>
      <w:bookmarkEnd w:id="64"/>
      <w:r>
        <w:rPr>
          <w:rFonts w:ascii="宋体" w:cs="Courier New"/>
          <w:color w:val="auto"/>
          <w:sz w:val="24"/>
          <w:highlight w:val="none"/>
        </w:rPr>
        <w:t> </w:t>
      </w:r>
    </w:p>
    <w:p>
      <w:pPr>
        <w:pStyle w:val="181"/>
        <w:keepLines w:val="0"/>
        <w:pageBreakBefore w:val="0"/>
        <w:kinsoku/>
        <w:wordWrap/>
        <w:overflowPunct/>
        <w:topLinePunct w:val="0"/>
        <w:autoSpaceDE/>
        <w:autoSpaceDN/>
        <w:bidi w:val="0"/>
        <w:spacing w:line="360" w:lineRule="auto"/>
        <w:ind w:left="0" w:leftChars="0" w:right="0" w:rightChars="0" w:firstLine="482" w:firstLineChars="200"/>
        <w:rPr>
          <w:rFonts w:ascii="宋体" w:hAnsi="宋体"/>
          <w:b/>
          <w:color w:val="auto"/>
          <w:sz w:val="24"/>
          <w:highlight w:val="none"/>
        </w:rPr>
      </w:pPr>
      <w:r>
        <w:rPr>
          <w:rFonts w:hint="eastAsia" w:ascii="宋体" w:hAnsi="宋体"/>
          <w:b/>
          <w:color w:val="auto"/>
          <w:sz w:val="24"/>
          <w:highlight w:val="none"/>
        </w:rPr>
        <w:t>（二）</w:t>
      </w:r>
      <w:r>
        <w:rPr>
          <w:rFonts w:ascii="宋体" w:hAnsi="宋体"/>
          <w:b/>
          <w:color w:val="auto"/>
          <w:sz w:val="24"/>
          <w:highlight w:val="none"/>
        </w:rPr>
        <w:t>工期管理要求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65" w:name="_Toc65054269"/>
      <w:r>
        <w:rPr>
          <w:rFonts w:hint="eastAsia" w:ascii="宋体" w:hAnsi="宋体" w:cs="Courier New"/>
          <w:color w:val="auto"/>
          <w:sz w:val="24"/>
          <w:highlight w:val="none"/>
        </w:rPr>
        <w:t>1、工期管理</w:t>
      </w:r>
      <w:bookmarkEnd w:id="65"/>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66" w:name="_Toc65054270"/>
      <w:r>
        <w:rPr>
          <w:rFonts w:hint="eastAsia" w:ascii="宋体" w:hAnsi="宋体" w:cs="Courier New"/>
          <w:color w:val="auto"/>
          <w:sz w:val="24"/>
          <w:highlight w:val="none"/>
        </w:rPr>
        <w:t>（1）暂定自2022年11月1日至2023年6月1日（具体以开工令为准），共212日历天。</w:t>
      </w:r>
      <w:bookmarkEnd w:id="66"/>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67" w:name="_Toc65054271"/>
      <w:r>
        <w:rPr>
          <w:rFonts w:hint="eastAsia" w:ascii="宋体" w:hAnsi="宋体" w:cs="Courier New"/>
          <w:color w:val="auto"/>
          <w:sz w:val="24"/>
          <w:highlight w:val="none"/>
        </w:rPr>
        <w:t>（</w:t>
      </w:r>
      <w:r>
        <w:rPr>
          <w:rFonts w:ascii="宋体" w:hAnsi="宋体" w:cs="Courier New"/>
          <w:color w:val="auto"/>
          <w:sz w:val="24"/>
          <w:highlight w:val="none"/>
        </w:rPr>
        <w:t>2</w:t>
      </w:r>
      <w:r>
        <w:rPr>
          <w:rFonts w:hint="eastAsia" w:ascii="宋体" w:hAnsi="宋体" w:cs="Courier New"/>
          <w:color w:val="auto"/>
          <w:sz w:val="24"/>
          <w:highlight w:val="none"/>
        </w:rPr>
        <w:t>）承包人理解现场施工对本</w:t>
      </w:r>
      <w:r>
        <w:rPr>
          <w:rFonts w:hint="eastAsia" w:ascii="宋体" w:hAnsi="宋体" w:cs="Courier New"/>
          <w:color w:val="auto"/>
          <w:sz w:val="24"/>
          <w:highlight w:val="none"/>
          <w:lang w:eastAsia="zh-CN"/>
        </w:rPr>
        <w:t>比选</w:t>
      </w:r>
      <w:r>
        <w:rPr>
          <w:rFonts w:hint="eastAsia" w:ascii="宋体" w:hAnsi="宋体" w:cs="Courier New"/>
          <w:color w:val="auto"/>
          <w:sz w:val="24"/>
          <w:highlight w:val="none"/>
        </w:rPr>
        <w:t>工程施工区域、施工顺序、施工相关节点的影响。并承诺：在投标阶段已经充分考虑施工区域的调整、交叉施工对工期影响的风险，可能出现的各种规模的下雨、台风、高温天气、停水、停电、节假日（包含元旦、春节等法定长假）、发包人分包工程的合理工期、设计变更对工期的影响、劳务市场变化的影响、政府大型活动对工期的影响、工地及周边环境等影响因素；并已经采取积极措施，保证按</w:t>
      </w:r>
      <w:r>
        <w:rPr>
          <w:rFonts w:hint="eastAsia" w:ascii="宋体" w:hAnsi="宋体" w:cs="Courier New"/>
          <w:color w:val="auto"/>
          <w:sz w:val="24"/>
          <w:highlight w:val="none"/>
          <w:lang w:eastAsia="zh-CN"/>
        </w:rPr>
        <w:t>比选</w:t>
      </w:r>
      <w:r>
        <w:rPr>
          <w:rFonts w:hint="eastAsia" w:ascii="宋体" w:hAnsi="宋体" w:cs="Courier New"/>
          <w:color w:val="auto"/>
          <w:sz w:val="24"/>
          <w:highlight w:val="none"/>
        </w:rPr>
        <w:t>/合同约定工期、质量要求移交交付物。</w:t>
      </w:r>
      <w:bookmarkEnd w:id="67"/>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68" w:name="_Toc65054272"/>
      <w:r>
        <w:rPr>
          <w:rFonts w:hint="eastAsia" w:ascii="宋体" w:hAnsi="宋体" w:cs="Courier New"/>
          <w:color w:val="auto"/>
          <w:sz w:val="24"/>
          <w:highlight w:val="none"/>
        </w:rPr>
        <w:t>（3）承包人须与本项目其他施工单位协调，使有关的工程能配合工程进度。因缺少沟通协调而造成的一切后果如延误工期等，将由承包人负责。</w:t>
      </w:r>
      <w:bookmarkEnd w:id="68"/>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69" w:name="_Toc65054273"/>
      <w:r>
        <w:rPr>
          <w:rFonts w:hint="eastAsia" w:ascii="宋体" w:hAnsi="宋体" w:cs="Courier New"/>
          <w:color w:val="auto"/>
          <w:sz w:val="24"/>
          <w:highlight w:val="none"/>
        </w:rPr>
        <w:t>（4）发包人可能根据现场工程进展实际状况，对施工工期做调整。承包人须无条件配合、执行，并按照有关约定按期、保质的完成施工任务。</w:t>
      </w:r>
      <w:bookmarkEnd w:id="69"/>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0" w:name="_Toc65054274"/>
      <w:r>
        <w:rPr>
          <w:rFonts w:hint="eastAsia" w:ascii="宋体" w:hAnsi="宋体" w:cs="Courier New"/>
          <w:color w:val="auto"/>
          <w:sz w:val="24"/>
          <w:highlight w:val="none"/>
        </w:rPr>
        <w:t>（5）要求承包人在收到中标通知 7天内上报编写切实可行的总体进度计划、月进度计划、周进度计划，并对进度计划的完成情况定期进行检讨，如因月实际进度无法按计划完成，发包人有权力暂扣当月部分额度进度款或暂缓当月进度款的支付。</w:t>
      </w:r>
      <w:bookmarkEnd w:id="70"/>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1" w:name="_Toc65054275"/>
      <w:r>
        <w:rPr>
          <w:rFonts w:hint="eastAsia" w:ascii="宋体" w:hAnsi="宋体" w:cs="Courier New"/>
          <w:color w:val="auto"/>
          <w:sz w:val="24"/>
          <w:highlight w:val="none"/>
        </w:rPr>
        <w:t>（6）由于现场施工作业面的限制，发包人可能不能一次性提交所有</w:t>
      </w:r>
      <w:r>
        <w:rPr>
          <w:rFonts w:hint="eastAsia" w:ascii="宋体" w:hAnsi="宋体" w:cs="Courier New"/>
          <w:color w:val="auto"/>
          <w:sz w:val="24"/>
          <w:highlight w:val="none"/>
          <w:lang w:eastAsia="zh-CN"/>
        </w:rPr>
        <w:t>比选</w:t>
      </w:r>
      <w:r>
        <w:rPr>
          <w:rFonts w:hint="eastAsia" w:ascii="宋体" w:hAnsi="宋体" w:cs="Courier New"/>
          <w:color w:val="auto"/>
          <w:sz w:val="24"/>
          <w:highlight w:val="none"/>
        </w:rPr>
        <w:t>范围内作业面，承包人须根据现场的实际情况，及时调整平面布置以及人、机、料的安排，以确保竣工日期目标的实现，承包人不应就此提出任何的工期及费用索偿。同时，发包人要求的总进度计划并不完全保证承包人能按所定的进度计划连续不断的施工，假若因实际施工情况而需要对有关进度计划作出修改时，承包人须予以配合及不能为此而作出任何的索赔。</w:t>
      </w:r>
      <w:bookmarkEnd w:id="71"/>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2" w:name="_Toc65054276"/>
      <w:r>
        <w:rPr>
          <w:rFonts w:hint="eastAsia" w:ascii="宋体" w:hAnsi="宋体" w:cs="Courier New"/>
          <w:color w:val="auto"/>
          <w:sz w:val="24"/>
          <w:highlight w:val="none"/>
        </w:rPr>
        <w:t>（</w:t>
      </w:r>
      <w:r>
        <w:rPr>
          <w:rFonts w:ascii="宋体" w:hAnsi="宋体" w:cs="Courier New"/>
          <w:color w:val="auto"/>
          <w:sz w:val="24"/>
          <w:highlight w:val="none"/>
        </w:rPr>
        <w:t>7</w:t>
      </w:r>
      <w:r>
        <w:rPr>
          <w:rFonts w:hint="eastAsia" w:ascii="宋体" w:hAnsi="宋体" w:cs="Courier New"/>
          <w:color w:val="auto"/>
          <w:sz w:val="24"/>
          <w:highlight w:val="none"/>
        </w:rPr>
        <w:t>）承包人须按照合同约定的工期进行施工。若总包工期有所调整，承包人承诺及时跟进调整，因工期调整发生的相关费用已经包含在合同价格中，发包人不另行支付任何费用。</w:t>
      </w:r>
      <w:bookmarkEnd w:id="72"/>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3" w:name="_Toc65054277"/>
      <w:r>
        <w:rPr>
          <w:rFonts w:hint="eastAsia" w:ascii="宋体" w:hAnsi="宋体" w:cs="Courier New"/>
          <w:color w:val="auto"/>
          <w:sz w:val="24"/>
          <w:highlight w:val="none"/>
        </w:rPr>
        <w:t>（8）根据现场的施工进度情况准确制定甲供、甲控乙购材料进场计划，并对其排产、到货起到监督作用。</w:t>
      </w:r>
      <w:bookmarkEnd w:id="73"/>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4" w:name="_Toc65054278"/>
      <w:r>
        <w:rPr>
          <w:rFonts w:hint="eastAsia" w:ascii="宋体" w:hAnsi="宋体" w:cs="Courier New"/>
          <w:color w:val="auto"/>
          <w:sz w:val="24"/>
          <w:highlight w:val="none"/>
        </w:rPr>
        <w:t>（</w:t>
      </w:r>
      <w:r>
        <w:rPr>
          <w:rFonts w:ascii="宋体" w:hAnsi="宋体" w:cs="Courier New"/>
          <w:color w:val="auto"/>
          <w:sz w:val="24"/>
          <w:highlight w:val="none"/>
        </w:rPr>
        <w:t>9</w:t>
      </w:r>
      <w:r>
        <w:rPr>
          <w:rFonts w:hint="eastAsia" w:ascii="宋体" w:hAnsi="宋体" w:cs="Courier New"/>
          <w:color w:val="auto"/>
          <w:sz w:val="24"/>
          <w:highlight w:val="none"/>
        </w:rPr>
        <w:t>）对于所有在承包范围内作业的各分包单位之间，包括与总承包的土建机电穿插施工、消防等，应积极、主动地协调工序衔接问题，采取行之有效的措施对其进度进行推动、促进、监督，使之不影响中标单位各个相关工序施工进度要求以及总体施工计划。</w:t>
      </w:r>
      <w:bookmarkEnd w:id="74"/>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5" w:name="_Toc65054279"/>
      <w:r>
        <w:rPr>
          <w:rFonts w:hint="eastAsia" w:ascii="宋体" w:hAnsi="宋体" w:cs="Courier New"/>
          <w:color w:val="auto"/>
          <w:sz w:val="24"/>
          <w:highlight w:val="none"/>
        </w:rPr>
        <w:t>2、具体进度管理</w:t>
      </w:r>
      <w:bookmarkEnd w:id="75"/>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6" w:name="_Toc65054280"/>
      <w:r>
        <w:rPr>
          <w:rFonts w:hint="eastAsia" w:ascii="宋体" w:hAnsi="宋体" w:cs="Courier New"/>
          <w:color w:val="auto"/>
          <w:sz w:val="24"/>
          <w:highlight w:val="none"/>
        </w:rPr>
        <w:t>（1）进度计划表</w:t>
      </w:r>
      <w:bookmarkEnd w:id="76"/>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7" w:name="_Toc65054281"/>
      <w:r>
        <w:rPr>
          <w:rFonts w:ascii="宋体" w:hAnsi="宋体" w:cs="Courier New"/>
          <w:color w:val="auto"/>
          <w:sz w:val="24"/>
          <w:highlight w:val="none"/>
        </w:rPr>
        <w:t>1.1</w:t>
      </w:r>
      <w:r>
        <w:rPr>
          <w:rFonts w:hint="eastAsia" w:ascii="宋体" w:hAnsi="宋体" w:cs="Courier New"/>
          <w:color w:val="auto"/>
          <w:sz w:val="24"/>
          <w:highlight w:val="none"/>
        </w:rPr>
        <w:t>进度计划表和施工组织设计须在监理要求的时间内提交。</w:t>
      </w:r>
      <w:bookmarkEnd w:id="77"/>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8" w:name="_Toc65054282"/>
      <w:r>
        <w:rPr>
          <w:rFonts w:ascii="宋体" w:hAnsi="宋体" w:cs="Courier New"/>
          <w:color w:val="auto"/>
          <w:sz w:val="24"/>
          <w:highlight w:val="none"/>
        </w:rPr>
        <w:t>1.2</w:t>
      </w:r>
      <w:r>
        <w:rPr>
          <w:rFonts w:hint="eastAsia" w:ascii="宋体" w:hAnsi="宋体" w:cs="Courier New"/>
          <w:color w:val="auto"/>
          <w:sz w:val="24"/>
          <w:highlight w:val="none"/>
        </w:rPr>
        <w:t>承包人应将发包人的进度要求和专业分包的进度纳入施工进度计划中，分别设定合理的施工工期、进场施工的合理节点时间，提供进场施工的必要条件。未按此要求制定施工总进度计划，造成施工总工期延误的，由承包人承担责任。</w:t>
      </w:r>
      <w:bookmarkEnd w:id="78"/>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79" w:name="_Toc65054283"/>
      <w:r>
        <w:rPr>
          <w:rFonts w:ascii="宋体" w:hAnsi="宋体" w:cs="Courier New"/>
          <w:color w:val="auto"/>
          <w:sz w:val="24"/>
          <w:highlight w:val="none"/>
        </w:rPr>
        <w:t>1.3</w:t>
      </w:r>
      <w:r>
        <w:rPr>
          <w:rFonts w:hint="eastAsia" w:ascii="宋体" w:hAnsi="宋体" w:cs="Courier New"/>
          <w:color w:val="auto"/>
          <w:sz w:val="24"/>
          <w:highlight w:val="none"/>
        </w:rPr>
        <w:t>在施工期间，若与进度计划有较大的偏离而须调整原定的工序，承包人须提交反映实际进度的更新和修正的进度计划表给监理审批。若承包人未能按时完成工作，承包人须采取所有必需的步骤使工作能恢复按照原核准的计划。</w:t>
      </w:r>
      <w:bookmarkEnd w:id="79"/>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0" w:name="_Toc65054284"/>
      <w:r>
        <w:rPr>
          <w:rFonts w:ascii="宋体" w:hAnsi="宋体" w:cs="Courier New"/>
          <w:color w:val="auto"/>
          <w:sz w:val="24"/>
          <w:highlight w:val="none"/>
        </w:rPr>
        <w:t>1.4</w:t>
      </w:r>
      <w:r>
        <w:rPr>
          <w:rFonts w:hint="eastAsia" w:ascii="宋体" w:hAnsi="宋体" w:cs="Courier New"/>
          <w:color w:val="auto"/>
          <w:sz w:val="24"/>
          <w:highlight w:val="none"/>
        </w:rPr>
        <w:t>若在合同执行期间发生特殊情况，监理认为需要调整进度计划表时，承包人须按监理的要求，修改其进度计划表。承包人须遵从监理的指令，承包人亦不会因此等指令而获得工期延长及费用上的补偿。</w:t>
      </w:r>
      <w:bookmarkEnd w:id="80"/>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1" w:name="_Toc65054285"/>
      <w:r>
        <w:rPr>
          <w:rFonts w:ascii="宋体" w:hAnsi="宋体" w:cs="Courier New"/>
          <w:color w:val="auto"/>
          <w:sz w:val="24"/>
          <w:highlight w:val="none"/>
        </w:rPr>
        <w:t>1.5</w:t>
      </w:r>
      <w:r>
        <w:rPr>
          <w:rFonts w:hint="eastAsia" w:ascii="宋体" w:hAnsi="宋体" w:cs="Courier New"/>
          <w:color w:val="auto"/>
          <w:sz w:val="24"/>
          <w:highlight w:val="none"/>
        </w:rPr>
        <w:t>承包人须按发包人或监理的要求，每月</w:t>
      </w:r>
      <w:r>
        <w:rPr>
          <w:rFonts w:ascii="宋体" w:hAnsi="宋体" w:cs="Courier New"/>
          <w:color w:val="auto"/>
          <w:sz w:val="24"/>
          <w:highlight w:val="none"/>
        </w:rPr>
        <w:t>25日向</w:t>
      </w:r>
      <w:r>
        <w:rPr>
          <w:rFonts w:hint="eastAsia" w:ascii="宋体" w:hAnsi="宋体" w:cs="Courier New"/>
          <w:color w:val="auto"/>
          <w:sz w:val="24"/>
          <w:highlight w:val="none"/>
        </w:rPr>
        <w:t>监理提交当月完成的投资额、进度报告以及其他与进度控制相关的资料，详细说明工程的实际进度与计划进度的偏差等。</w:t>
      </w:r>
      <w:bookmarkEnd w:id="81"/>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2" w:name="_Toc65054286"/>
      <w:r>
        <w:rPr>
          <w:rFonts w:hint="eastAsia" w:ascii="宋体" w:hAnsi="宋体" w:cs="Courier New"/>
          <w:color w:val="auto"/>
          <w:sz w:val="24"/>
          <w:highlight w:val="none"/>
        </w:rPr>
        <w:t>（2）周报和日报</w:t>
      </w:r>
      <w:bookmarkEnd w:id="82"/>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3" w:name="_Toc65054287"/>
      <w:r>
        <w:rPr>
          <w:rFonts w:ascii="宋体" w:hAnsi="宋体" w:cs="Courier New"/>
          <w:color w:val="auto"/>
          <w:sz w:val="24"/>
          <w:highlight w:val="none"/>
        </w:rPr>
        <w:t>2.1</w:t>
      </w:r>
      <w:r>
        <w:rPr>
          <w:rFonts w:hint="eastAsia" w:ascii="宋体" w:hAnsi="宋体" w:cs="Courier New"/>
          <w:color w:val="auto"/>
          <w:sz w:val="24"/>
          <w:highlight w:val="none"/>
        </w:rPr>
        <w:t>每周报告的格式和内容模板，要在工程开始时前，提交监理批准。</w:t>
      </w:r>
      <w:bookmarkEnd w:id="83"/>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4" w:name="_Toc65054288"/>
      <w:r>
        <w:rPr>
          <w:rFonts w:ascii="宋体" w:hAnsi="宋体" w:cs="Courier New"/>
          <w:color w:val="auto"/>
          <w:sz w:val="24"/>
          <w:highlight w:val="none"/>
        </w:rPr>
        <w:t>2.2</w:t>
      </w:r>
      <w:r>
        <w:rPr>
          <w:rFonts w:hint="eastAsia" w:ascii="宋体" w:hAnsi="宋体" w:cs="Courier New"/>
          <w:color w:val="auto"/>
          <w:sz w:val="24"/>
          <w:highlight w:val="none"/>
        </w:rPr>
        <w:t>每周报告需项目负责人签字，并要经监理代表审阅和签字。</w:t>
      </w:r>
      <w:bookmarkEnd w:id="84"/>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5" w:name="_Toc65054289"/>
      <w:r>
        <w:rPr>
          <w:rFonts w:ascii="宋体" w:hAnsi="宋体" w:cs="Courier New"/>
          <w:color w:val="auto"/>
          <w:sz w:val="24"/>
          <w:highlight w:val="none"/>
        </w:rPr>
        <w:t>2.3</w:t>
      </w:r>
      <w:r>
        <w:rPr>
          <w:rFonts w:hint="eastAsia" w:ascii="宋体" w:hAnsi="宋体" w:cs="Courier New"/>
          <w:color w:val="auto"/>
          <w:sz w:val="24"/>
          <w:highlight w:val="none"/>
        </w:rPr>
        <w:t>视工程实际情况，承包人有责任按监理要求提交每天的进度报告，必要时随时报告。</w:t>
      </w:r>
      <w:bookmarkEnd w:id="85"/>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6" w:name="_Toc65054290"/>
      <w:r>
        <w:rPr>
          <w:rFonts w:hint="eastAsia" w:ascii="宋体" w:hAnsi="宋体" w:cs="Courier New"/>
          <w:color w:val="auto"/>
          <w:sz w:val="24"/>
          <w:highlight w:val="none"/>
        </w:rPr>
        <w:t>（3）进度照片</w:t>
      </w:r>
      <w:bookmarkEnd w:id="86"/>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7" w:name="_Toc65054291"/>
      <w:r>
        <w:rPr>
          <w:rFonts w:hint="eastAsia" w:ascii="宋体" w:hAnsi="宋体" w:cs="Courier New"/>
          <w:color w:val="auto"/>
          <w:sz w:val="24"/>
          <w:highlight w:val="none"/>
        </w:rPr>
        <w:t>承包人须在每月底25日前，拍摄足够数量彩色照片给监理表示工程进度，需包含每天的照片，且包含航拍的照片，照相机的位置由监理指定，相关费用包含在合同价格中。</w:t>
      </w:r>
      <w:bookmarkEnd w:id="87"/>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8" w:name="_Toc65054292"/>
      <w:r>
        <w:rPr>
          <w:rFonts w:hint="eastAsia" w:ascii="宋体" w:hAnsi="宋体" w:cs="Courier New"/>
          <w:color w:val="auto"/>
          <w:sz w:val="24"/>
          <w:highlight w:val="none"/>
        </w:rPr>
        <w:t>（4）违约责任</w:t>
      </w:r>
      <w:bookmarkEnd w:id="88"/>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89" w:name="_Toc65054293"/>
      <w:r>
        <w:rPr>
          <w:rFonts w:ascii="宋体" w:hAnsi="宋体" w:cs="Courier New"/>
          <w:color w:val="auto"/>
          <w:sz w:val="24"/>
          <w:highlight w:val="none"/>
        </w:rPr>
        <w:t>4.1</w:t>
      </w:r>
      <w:r>
        <w:rPr>
          <w:rFonts w:hint="eastAsia" w:ascii="宋体" w:hAnsi="宋体" w:cs="Courier New"/>
          <w:color w:val="auto"/>
          <w:sz w:val="24"/>
          <w:highlight w:val="none"/>
        </w:rPr>
        <w:t>由于承包人的原因，承包人未按发包人和监理的要求（包括时限和质量）申报和提交施工计划表、周报、日报或进度照片的，承包人需向发包人每次支付违约金500元。</w:t>
      </w:r>
      <w:bookmarkEnd w:id="89"/>
    </w:p>
    <w:p>
      <w:pPr>
        <w:pStyle w:val="181"/>
        <w:keepLines w:val="0"/>
        <w:pageBreakBefore w:val="0"/>
        <w:kinsoku/>
        <w:wordWrap/>
        <w:overflowPunct/>
        <w:topLinePunct w:val="0"/>
        <w:autoSpaceDE/>
        <w:autoSpaceDN/>
        <w:bidi w:val="0"/>
        <w:spacing w:line="360" w:lineRule="auto"/>
        <w:ind w:left="0" w:leftChars="0" w:right="0" w:rightChars="0" w:firstLine="480" w:firstLineChars="200"/>
        <w:outlineLvl w:val="0"/>
        <w:rPr>
          <w:rFonts w:ascii="宋体" w:hAnsi="宋体" w:cs="Courier New"/>
          <w:color w:val="auto"/>
          <w:sz w:val="24"/>
          <w:highlight w:val="none"/>
        </w:rPr>
      </w:pPr>
      <w:bookmarkStart w:id="90" w:name="_Toc65054294"/>
      <w:r>
        <w:rPr>
          <w:rFonts w:ascii="宋体" w:hAnsi="宋体" w:cs="Courier New"/>
          <w:color w:val="auto"/>
          <w:sz w:val="24"/>
          <w:highlight w:val="none"/>
        </w:rPr>
        <w:t>4.2</w:t>
      </w:r>
      <w:r>
        <w:rPr>
          <w:rFonts w:hint="eastAsia" w:ascii="宋体" w:hAnsi="宋体" w:cs="Courier New"/>
          <w:color w:val="auto"/>
          <w:sz w:val="24"/>
          <w:highlight w:val="none"/>
        </w:rPr>
        <w:t>关键节点指开工</w:t>
      </w:r>
      <w:r>
        <w:rPr>
          <w:rFonts w:ascii="宋体" w:hAnsi="宋体" w:cs="Courier New"/>
          <w:color w:val="auto"/>
          <w:sz w:val="24"/>
          <w:highlight w:val="none"/>
        </w:rPr>
        <w:t>、</w:t>
      </w:r>
      <w:r>
        <w:rPr>
          <w:rFonts w:hint="eastAsia" w:ascii="宋体" w:hAnsi="宋体" w:cs="Courier New"/>
          <w:color w:val="auto"/>
          <w:sz w:val="24"/>
          <w:highlight w:val="none"/>
        </w:rPr>
        <w:t>设计联络、设备到货、联调、验收等（以</w:t>
      </w:r>
      <w:r>
        <w:rPr>
          <w:rFonts w:ascii="宋体" w:hAnsi="宋体" w:cs="Courier New"/>
          <w:color w:val="auto"/>
          <w:sz w:val="24"/>
          <w:highlight w:val="none"/>
        </w:rPr>
        <w:t>发包人审批的施工进度计划为准</w:t>
      </w:r>
      <w:r>
        <w:rPr>
          <w:rFonts w:hint="eastAsia" w:ascii="宋体" w:hAnsi="宋体" w:cs="Courier New"/>
          <w:color w:val="auto"/>
          <w:sz w:val="24"/>
          <w:highlight w:val="none"/>
        </w:rPr>
        <w:t>），以上</w:t>
      </w:r>
      <w:r>
        <w:rPr>
          <w:rFonts w:ascii="宋体" w:hAnsi="宋体" w:cs="Courier New"/>
          <w:color w:val="auto"/>
          <w:sz w:val="24"/>
          <w:highlight w:val="none"/>
        </w:rPr>
        <w:t>节点每延误一天</w:t>
      </w:r>
      <w:r>
        <w:rPr>
          <w:rFonts w:hint="eastAsia" w:ascii="宋体" w:hAnsi="宋体" w:cs="Courier New"/>
          <w:color w:val="auto"/>
          <w:sz w:val="24"/>
          <w:highlight w:val="none"/>
        </w:rPr>
        <w:t>，</w:t>
      </w:r>
      <w:r>
        <w:rPr>
          <w:rFonts w:ascii="宋体" w:hAnsi="宋体" w:cs="Courier New"/>
          <w:color w:val="auto"/>
          <w:sz w:val="24"/>
          <w:highlight w:val="none"/>
        </w:rPr>
        <w:t>发</w:t>
      </w:r>
      <w:r>
        <w:rPr>
          <w:rFonts w:hint="eastAsia" w:ascii="宋体" w:hAnsi="宋体" w:cs="Courier New"/>
          <w:color w:val="auto"/>
          <w:sz w:val="24"/>
          <w:highlight w:val="none"/>
        </w:rPr>
        <w:t>包</w:t>
      </w:r>
      <w:r>
        <w:rPr>
          <w:rFonts w:ascii="宋体" w:hAnsi="宋体" w:cs="Courier New"/>
          <w:color w:val="auto"/>
          <w:sz w:val="24"/>
          <w:highlight w:val="none"/>
        </w:rPr>
        <w:t>人</w:t>
      </w:r>
      <w:r>
        <w:rPr>
          <w:rFonts w:hint="eastAsia" w:ascii="宋体" w:hAnsi="宋体" w:cs="Courier New"/>
          <w:color w:val="auto"/>
          <w:sz w:val="24"/>
          <w:highlight w:val="none"/>
        </w:rPr>
        <w:t>有权对</w:t>
      </w:r>
      <w:r>
        <w:rPr>
          <w:rFonts w:ascii="宋体" w:hAnsi="宋体" w:cs="Courier New"/>
          <w:color w:val="auto"/>
          <w:sz w:val="24"/>
          <w:highlight w:val="none"/>
        </w:rPr>
        <w:t>承包人</w:t>
      </w:r>
      <w:r>
        <w:rPr>
          <w:rFonts w:hint="eastAsia" w:ascii="宋体" w:hAnsi="宋体" w:cs="Courier New"/>
          <w:color w:val="auto"/>
          <w:sz w:val="24"/>
          <w:highlight w:val="none"/>
        </w:rPr>
        <w:t>收取违约金</w:t>
      </w:r>
      <w:r>
        <w:rPr>
          <w:rFonts w:ascii="宋体" w:hAnsi="宋体" w:cs="Courier New"/>
          <w:color w:val="auto"/>
          <w:sz w:val="24"/>
          <w:highlight w:val="none"/>
        </w:rPr>
        <w:t>1</w:t>
      </w:r>
      <w:r>
        <w:rPr>
          <w:rFonts w:hint="eastAsia" w:ascii="宋体" w:hAnsi="宋体" w:cs="Courier New"/>
          <w:color w:val="auto"/>
          <w:sz w:val="24"/>
          <w:highlight w:val="none"/>
        </w:rPr>
        <w:t>万元。</w:t>
      </w:r>
      <w:bookmarkEnd w:id="90"/>
    </w:p>
    <w:p>
      <w:pPr>
        <w:pStyle w:val="181"/>
        <w:keepLines w:val="0"/>
        <w:pageBreakBefore w:val="0"/>
        <w:kinsoku/>
        <w:wordWrap/>
        <w:overflowPunct/>
        <w:topLinePunct w:val="0"/>
        <w:autoSpaceDE/>
        <w:autoSpaceDN/>
        <w:bidi w:val="0"/>
        <w:spacing w:line="360" w:lineRule="auto"/>
        <w:ind w:left="0" w:leftChars="0" w:right="0" w:rightChars="0" w:firstLine="482" w:firstLineChars="200"/>
        <w:rPr>
          <w:rFonts w:ascii="宋体" w:hAnsi="宋体"/>
          <w:b/>
          <w:color w:val="auto"/>
          <w:sz w:val="24"/>
          <w:highlight w:val="none"/>
        </w:rPr>
      </w:pPr>
      <w:r>
        <w:rPr>
          <w:rFonts w:hint="eastAsia" w:ascii="宋体" w:hAnsi="宋体"/>
          <w:b/>
          <w:color w:val="auto"/>
          <w:sz w:val="24"/>
          <w:highlight w:val="none"/>
        </w:rPr>
        <w:t>（三）质量管理要求</w:t>
      </w:r>
    </w:p>
    <w:p>
      <w:pPr>
        <w:pStyle w:val="181"/>
        <w:keepLines w:val="0"/>
        <w:pageBreakBefore w:val="0"/>
        <w:kinsoku/>
        <w:wordWrap/>
        <w:overflowPunct/>
        <w:topLinePunct w:val="0"/>
        <w:autoSpaceDE/>
        <w:autoSpaceDN/>
        <w:bidi w:val="0"/>
        <w:spacing w:line="360" w:lineRule="auto"/>
        <w:ind w:left="0" w:leftChars="0" w:right="0" w:rightChars="0" w:firstLine="482" w:firstLineChars="200"/>
        <w:rPr>
          <w:rFonts w:ascii="宋体" w:hAnsi="宋体"/>
          <w:b/>
          <w:bCs/>
          <w:color w:val="auto"/>
          <w:sz w:val="24"/>
          <w:highlight w:val="none"/>
        </w:rPr>
      </w:pPr>
      <w:r>
        <w:rPr>
          <w:rFonts w:hint="eastAsia" w:ascii="宋体" w:hAnsi="宋体"/>
          <w:b/>
          <w:bCs/>
          <w:color w:val="auto"/>
          <w:sz w:val="24"/>
          <w:highlight w:val="none"/>
        </w:rPr>
        <w:t>1、设计图纸管理</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（1）深化设计要求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.1</w:t>
      </w:r>
      <w:r>
        <w:rPr>
          <w:rFonts w:hint="eastAsia" w:ascii="宋体" w:hAnsi="宋体"/>
          <w:bCs/>
          <w:color w:val="auto"/>
          <w:sz w:val="24"/>
          <w:highlight w:val="none"/>
        </w:rPr>
        <w:t>施工图深化设计文件应符合国家规范标准规程、相关行业制造标准、施工方案和发包人提供的设计成果的要求，施工图深化设计文件完成后应经发包人审核同意后，方可用于本项目，如未经过发包人审批，视为承包人不按图施工，按相应规定处理。</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2承包人对施工图深化设计的质量负责，承包人应详细了解和掌握设计文件的设计标准、设计要求、设计思路并进行施工过程的验算，并充分考虑施工过程中各专业的协调以及相关设备、构件加工、运输的需要。如各方在施工图深化设计文件中发现错误、遗漏、含糊及不一致、不适当、不符合规范要求或其它缺陷之处，承包人应进行修改，承包人不会因此而获得工期顺延及费用补偿。</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w:t>
      </w:r>
      <w:r>
        <w:rPr>
          <w:rFonts w:hint="eastAsia" w:ascii="宋体" w:hAnsi="宋体"/>
          <w:bCs/>
          <w:color w:val="auto"/>
          <w:sz w:val="24"/>
          <w:highlight w:val="none"/>
        </w:rPr>
        <w:t>3承包人应按本项目的进度合理安排施工图深化设计的进度，在其施工图深化设计周期内需预留14天的发包人审核时间，发包人在审核过程中发现施工图深化设计文件与本合同文件的要求及设计文件的意图不符或存在其它问题，承包人必须在接到通知后14天内进行修正，如不能按时修正，每延误一天视对项目影响程度，</w:t>
      </w:r>
      <w:r>
        <w:rPr>
          <w:rFonts w:ascii="宋体" w:hAnsi="宋体"/>
          <w:bCs/>
          <w:color w:val="auto"/>
          <w:sz w:val="24"/>
          <w:highlight w:val="none"/>
        </w:rPr>
        <w:t>发</w:t>
      </w:r>
      <w:r>
        <w:rPr>
          <w:rFonts w:hint="eastAsia" w:ascii="宋体" w:hAnsi="宋体"/>
          <w:bCs/>
          <w:color w:val="auto"/>
          <w:sz w:val="24"/>
          <w:highlight w:val="none"/>
        </w:rPr>
        <w:t>包</w:t>
      </w:r>
      <w:r>
        <w:rPr>
          <w:rFonts w:ascii="宋体" w:hAnsi="宋体"/>
          <w:bCs/>
          <w:color w:val="auto"/>
          <w:sz w:val="24"/>
          <w:highlight w:val="none"/>
        </w:rPr>
        <w:t>人</w:t>
      </w:r>
      <w:r>
        <w:rPr>
          <w:rFonts w:hint="eastAsia" w:ascii="宋体" w:hAnsi="宋体"/>
          <w:bCs/>
          <w:color w:val="auto"/>
          <w:sz w:val="24"/>
          <w:highlight w:val="none"/>
        </w:rPr>
        <w:t>有权对</w:t>
      </w:r>
      <w:r>
        <w:rPr>
          <w:rFonts w:ascii="宋体" w:hAnsi="宋体"/>
          <w:bCs/>
          <w:color w:val="auto"/>
          <w:sz w:val="24"/>
          <w:highlight w:val="none"/>
        </w:rPr>
        <w:t>承包人</w:t>
      </w:r>
      <w:r>
        <w:rPr>
          <w:rFonts w:hint="eastAsia" w:ascii="宋体" w:hAnsi="宋体"/>
          <w:bCs/>
          <w:color w:val="auto"/>
          <w:sz w:val="24"/>
          <w:highlight w:val="none"/>
        </w:rPr>
        <w:t>收取违约金1000元/天。</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（2）图纸会审要求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2</w:t>
      </w:r>
      <w:r>
        <w:rPr>
          <w:rFonts w:ascii="宋体" w:hAnsi="宋体"/>
          <w:bCs/>
          <w:color w:val="auto"/>
          <w:sz w:val="24"/>
          <w:highlight w:val="none"/>
        </w:rPr>
        <w:t>.1</w:t>
      </w:r>
      <w:r>
        <w:rPr>
          <w:rFonts w:hint="eastAsia" w:ascii="宋体" w:hAnsi="宋体"/>
          <w:bCs/>
          <w:color w:val="auto"/>
          <w:sz w:val="24"/>
          <w:highlight w:val="none"/>
        </w:rPr>
        <w:t>承包人需严格按照发包人的要求参加法定的图纸会审，按发包人的时间要求提出会审意见，委派技术负责人参加图纸会审，如不能提出会审意见，视为承包人对设计文件质量的最终认可。</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ascii="宋体" w:hAnsi="宋体"/>
          <w:bCs/>
          <w:color w:val="auto"/>
          <w:sz w:val="24"/>
          <w:highlight w:val="none"/>
        </w:rPr>
        <w:t>2.2</w:t>
      </w:r>
      <w:r>
        <w:rPr>
          <w:rFonts w:hint="eastAsia" w:ascii="宋体" w:hAnsi="宋体"/>
          <w:bCs/>
          <w:color w:val="auto"/>
          <w:sz w:val="24"/>
          <w:highlight w:val="none"/>
        </w:rPr>
        <w:t>承包人需每月定期针对下个月需施工内容的图纸组织图纸会审和技术交底，各专业班组参加，针对设计文件的错、漏、碰、缺及时提出，如不能及时提出，</w:t>
      </w:r>
      <w:r>
        <w:rPr>
          <w:rFonts w:ascii="宋体" w:hAnsi="宋体"/>
          <w:bCs/>
          <w:color w:val="auto"/>
          <w:sz w:val="24"/>
          <w:highlight w:val="none"/>
        </w:rPr>
        <w:t>由此引起的后果承包人自行承担</w:t>
      </w:r>
      <w:r>
        <w:rPr>
          <w:rFonts w:hint="eastAsia" w:ascii="宋体" w:hAnsi="宋体"/>
          <w:bCs/>
          <w:color w:val="auto"/>
          <w:sz w:val="24"/>
          <w:highlight w:val="none"/>
        </w:rPr>
        <w:t>，且工期不予以顺延。</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ascii="宋体" w:hAnsi="宋体"/>
          <w:bCs/>
          <w:color w:val="auto"/>
          <w:sz w:val="24"/>
          <w:highlight w:val="none"/>
        </w:rPr>
        <w:t>2.3</w:t>
      </w:r>
      <w:r>
        <w:rPr>
          <w:rFonts w:hint="eastAsia" w:ascii="宋体" w:hAnsi="宋体"/>
          <w:bCs/>
          <w:color w:val="auto"/>
          <w:sz w:val="24"/>
          <w:highlight w:val="none"/>
        </w:rPr>
        <w:t>承包人在收到设计图纸，设计院完成交底后需集中进行各专业的图纸会审，对于相关设计疑问、错漏碰缺，无法满足工艺工法要求的问题需一次性提出。</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（3）设计管理</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3</w:t>
      </w:r>
      <w:r>
        <w:rPr>
          <w:rFonts w:ascii="宋体" w:hAnsi="宋体"/>
          <w:bCs/>
          <w:color w:val="auto"/>
          <w:sz w:val="24"/>
          <w:highlight w:val="none"/>
        </w:rPr>
        <w:t>.1</w:t>
      </w:r>
      <w:r>
        <w:rPr>
          <w:rFonts w:hint="eastAsia" w:ascii="宋体" w:hAnsi="宋体"/>
          <w:bCs/>
          <w:color w:val="auto"/>
          <w:sz w:val="24"/>
          <w:highlight w:val="none"/>
        </w:rPr>
        <w:t>对现场实际情况与图纸不符合情况，必须告知发包人，否则按照不按图施工相关</w:t>
      </w:r>
      <w:r>
        <w:rPr>
          <w:rFonts w:ascii="宋体" w:hAnsi="宋体"/>
          <w:bCs/>
          <w:color w:val="auto"/>
          <w:sz w:val="24"/>
          <w:highlight w:val="none"/>
        </w:rPr>
        <w:t>条款</w:t>
      </w:r>
      <w:r>
        <w:rPr>
          <w:rFonts w:hint="eastAsia" w:ascii="宋体" w:hAnsi="宋体"/>
          <w:bCs/>
          <w:color w:val="auto"/>
          <w:sz w:val="24"/>
          <w:highlight w:val="none"/>
        </w:rPr>
        <w:t>进行</w:t>
      </w:r>
      <w:r>
        <w:rPr>
          <w:rFonts w:ascii="宋体" w:hAnsi="宋体"/>
          <w:bCs/>
          <w:color w:val="auto"/>
          <w:sz w:val="24"/>
          <w:highlight w:val="none"/>
        </w:rPr>
        <w:t>处罚</w:t>
      </w:r>
      <w:r>
        <w:rPr>
          <w:rFonts w:hint="eastAsia" w:ascii="宋体" w:hAnsi="宋体"/>
          <w:bCs/>
          <w:color w:val="auto"/>
          <w:sz w:val="24"/>
          <w:highlight w:val="none"/>
        </w:rPr>
        <w:t>。</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3</w:t>
      </w:r>
      <w:r>
        <w:rPr>
          <w:rFonts w:ascii="宋体" w:hAnsi="宋体"/>
          <w:bCs/>
          <w:color w:val="auto"/>
          <w:sz w:val="24"/>
          <w:highlight w:val="none"/>
        </w:rPr>
        <w:t>.2</w:t>
      </w:r>
      <w:r>
        <w:rPr>
          <w:rFonts w:hint="eastAsia" w:ascii="宋体" w:hAnsi="宋体"/>
          <w:bCs/>
          <w:color w:val="auto"/>
          <w:sz w:val="24"/>
          <w:highlight w:val="none"/>
        </w:rPr>
        <w:t>对现场实际情况引发的设计调整，施工方需提出调整建议和相应成本估算，</w:t>
      </w:r>
      <w:r>
        <w:rPr>
          <w:rFonts w:ascii="宋体" w:hAnsi="宋体"/>
          <w:bCs/>
          <w:color w:val="auto"/>
          <w:sz w:val="24"/>
          <w:highlight w:val="none"/>
        </w:rPr>
        <w:t>否则</w:t>
      </w:r>
      <w:r>
        <w:rPr>
          <w:rFonts w:hint="eastAsia" w:ascii="宋体" w:hAnsi="宋体"/>
          <w:bCs/>
          <w:color w:val="auto"/>
          <w:sz w:val="24"/>
          <w:highlight w:val="none"/>
        </w:rPr>
        <w:t>发包人</w:t>
      </w:r>
      <w:r>
        <w:rPr>
          <w:rFonts w:ascii="宋体" w:hAnsi="宋体"/>
          <w:bCs/>
          <w:color w:val="auto"/>
          <w:sz w:val="24"/>
          <w:highlight w:val="none"/>
        </w:rPr>
        <w:t>不予受理，由此引起的后果承包人自行承担</w:t>
      </w:r>
      <w:r>
        <w:rPr>
          <w:rFonts w:hint="eastAsia" w:ascii="宋体" w:hAnsi="宋体"/>
          <w:bCs/>
          <w:color w:val="auto"/>
          <w:sz w:val="24"/>
          <w:highlight w:val="none"/>
        </w:rPr>
        <w:t>。</w:t>
      </w:r>
    </w:p>
    <w:p>
      <w:pPr>
        <w:pStyle w:val="181"/>
        <w:keepLines w:val="0"/>
        <w:pageBreakBefore w:val="0"/>
        <w:kinsoku/>
        <w:wordWrap/>
        <w:overflowPunct/>
        <w:topLinePunct w:val="0"/>
        <w:autoSpaceDE/>
        <w:autoSpaceDN/>
        <w:bidi w:val="0"/>
        <w:spacing w:line="360" w:lineRule="auto"/>
        <w:ind w:left="0" w:leftChars="0" w:right="0" w:rightChars="0" w:firstLine="482" w:firstLineChars="200"/>
        <w:rPr>
          <w:rFonts w:ascii="宋体" w:hAnsi="宋体"/>
          <w:b/>
          <w:bCs/>
          <w:color w:val="auto"/>
          <w:sz w:val="24"/>
          <w:highlight w:val="none"/>
        </w:rPr>
      </w:pPr>
      <w:r>
        <w:rPr>
          <w:rFonts w:hint="eastAsia" w:ascii="宋体" w:hAnsi="宋体"/>
          <w:b/>
          <w:bCs/>
          <w:color w:val="auto"/>
          <w:sz w:val="24"/>
          <w:highlight w:val="none"/>
        </w:rPr>
        <w:t>2、材料管理</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（1）材料进场前的要求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对重要的材料、构配件及设备在订货前必须征得监理同意报发包人备案方可订货。</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承包人按合同约定，施工前</w:t>
      </w:r>
      <w:r>
        <w:rPr>
          <w:rFonts w:ascii="宋体" w:hAnsi="宋体"/>
          <w:bCs/>
          <w:color w:val="auto"/>
          <w:sz w:val="24"/>
          <w:highlight w:val="none"/>
        </w:rPr>
        <w:t>1个月提供主要材料的品牌和厂家报监理</w:t>
      </w:r>
      <w:r>
        <w:rPr>
          <w:rFonts w:hint="eastAsia" w:ascii="宋体" w:hAnsi="宋体"/>
          <w:bCs/>
          <w:color w:val="auto"/>
          <w:sz w:val="24"/>
          <w:highlight w:val="none"/>
        </w:rPr>
        <w:t>和发包人，如需要考察，由发包人确定种类，考察费用由承包人承担。凡未经审批或备案同意进场的材料，一律不得进场。否则，凡由此造成纠纷，影响工程质量、工期的由承包人承担全部责任。</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主要设备（材料）出厂前，发包人、监理将组织人员赴供货厂家进行出厂检验，出厂检验所发生的费用由承包人负责，参加检验的发包人、监理的食宿、交通费用由承包人承担。</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（2）材料进场时的要求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物单必须相符。如有任何一项不符，应进行退货或要求供应商进一步提供材料的相关资料。进入施工现场的各种原材料、半成品、构配件都必须有相应的质量保证资料。相关材料都必须盖有单位的红章并标明出厂日期、生产批号或产品编号。</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（3）材料进场后的要求</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3</w:t>
      </w:r>
      <w:r>
        <w:rPr>
          <w:rFonts w:ascii="宋体" w:hAnsi="宋体"/>
          <w:bCs/>
          <w:color w:val="auto"/>
          <w:sz w:val="24"/>
          <w:highlight w:val="none"/>
        </w:rPr>
        <w:t>.1</w:t>
      </w:r>
      <w:r>
        <w:rPr>
          <w:rFonts w:hint="eastAsia" w:ascii="宋体" w:hAnsi="宋体"/>
          <w:bCs/>
          <w:color w:val="auto"/>
          <w:sz w:val="24"/>
          <w:highlight w:val="none"/>
        </w:rPr>
        <w:t>工程上使用的所有原材料、半成品、构配件及设备，都必须事先经监理审批后方可进入施工现场，不然，由此引起的损失或影响，均由承包人负责。</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3</w:t>
      </w:r>
      <w:r>
        <w:rPr>
          <w:rFonts w:ascii="宋体" w:hAnsi="宋体"/>
          <w:bCs/>
          <w:color w:val="auto"/>
          <w:sz w:val="24"/>
          <w:highlight w:val="none"/>
        </w:rPr>
        <w:t>.2</w:t>
      </w:r>
      <w:r>
        <w:rPr>
          <w:rFonts w:hint="eastAsia" w:ascii="宋体" w:hAnsi="宋体"/>
          <w:bCs/>
          <w:color w:val="auto"/>
          <w:sz w:val="24"/>
          <w:highlight w:val="none"/>
        </w:rPr>
        <w:t>所有进入现场的原材料与提交的资料在规格、型号、品种、编号上必须一致。</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bookmarkStart w:id="91" w:name="_Toc459906746"/>
      <w:r>
        <w:rPr>
          <w:rFonts w:hint="eastAsia" w:ascii="宋体" w:hAnsi="宋体"/>
          <w:bCs/>
          <w:color w:val="auto"/>
          <w:sz w:val="24"/>
          <w:highlight w:val="none"/>
        </w:rPr>
        <w:t>（4）材料技术要求</w:t>
      </w:r>
      <w:bookmarkEnd w:id="91"/>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4</w:t>
      </w:r>
      <w:r>
        <w:rPr>
          <w:rFonts w:ascii="宋体" w:hAnsi="宋体"/>
          <w:bCs/>
          <w:color w:val="auto"/>
          <w:sz w:val="24"/>
          <w:highlight w:val="none"/>
        </w:rPr>
        <w:t>.1</w:t>
      </w:r>
      <w:r>
        <w:rPr>
          <w:rFonts w:hint="eastAsia" w:ascii="宋体" w:hAnsi="宋体"/>
          <w:bCs/>
          <w:color w:val="auto"/>
          <w:sz w:val="24"/>
          <w:highlight w:val="none"/>
        </w:rPr>
        <w:t>承包人根据施工图、技术规格及相关规范要求提供材料、设备。如承包人提供的材料、设备与设施图、技术规格及相关规范要求所述不符时，发包人有权要求承包人更改并提供符合技术规格要求所述的设备及材料，而不作任何费用变更。</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4</w:t>
      </w:r>
      <w:r>
        <w:rPr>
          <w:rFonts w:ascii="宋体" w:hAnsi="宋体"/>
          <w:bCs/>
          <w:color w:val="auto"/>
          <w:sz w:val="24"/>
          <w:highlight w:val="none"/>
        </w:rPr>
        <w:t>.2</w:t>
      </w:r>
      <w:r>
        <w:rPr>
          <w:rFonts w:hint="eastAsia" w:ascii="宋体" w:hAnsi="宋体"/>
          <w:bCs/>
          <w:color w:val="auto"/>
          <w:sz w:val="24"/>
          <w:highlight w:val="none"/>
        </w:rPr>
        <w:t>材料进场前必须履行报验手续，进行下道工序施工前必须通知监理验收，验收合格后方可进行下道工序施工。</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4</w:t>
      </w:r>
      <w:r>
        <w:rPr>
          <w:rFonts w:ascii="宋体" w:hAnsi="宋体"/>
          <w:bCs/>
          <w:color w:val="auto"/>
          <w:sz w:val="24"/>
          <w:highlight w:val="none"/>
        </w:rPr>
        <w:t>.3</w:t>
      </w:r>
      <w:r>
        <w:rPr>
          <w:rFonts w:hint="eastAsia" w:ascii="宋体" w:hAnsi="宋体"/>
          <w:bCs/>
          <w:color w:val="auto"/>
          <w:sz w:val="24"/>
          <w:highlight w:val="none"/>
        </w:rPr>
        <w:t>在发包人或监理提出要求时，配合发包人或监理在生产过程中对原材料、半成品、成品及加工过程进行抽查，此费用包含在合同价款中。发包人有权对承包人采购的材料、设备及施工成品、半成品另行进行质量检测和试验，对检测和试验不能满足要求的，承包人应承担全部检测和试验费用，并返工整改直至合格。</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4</w:t>
      </w:r>
      <w:r>
        <w:rPr>
          <w:rFonts w:ascii="宋体" w:hAnsi="宋体"/>
          <w:bCs/>
          <w:color w:val="auto"/>
          <w:sz w:val="24"/>
          <w:highlight w:val="none"/>
        </w:rPr>
        <w:t>.4</w:t>
      </w:r>
      <w:r>
        <w:rPr>
          <w:rFonts w:hint="eastAsia" w:ascii="宋体" w:hAnsi="宋体"/>
          <w:bCs/>
          <w:color w:val="auto"/>
          <w:sz w:val="24"/>
          <w:highlight w:val="none"/>
        </w:rPr>
        <w:t>承包商根据相关规范要求进行材料、设备送检，送检机构执行地铁最新入库的名单</w:t>
      </w:r>
      <w:r>
        <w:rPr>
          <w:rFonts w:ascii="宋体" w:hAnsi="宋体"/>
          <w:bCs/>
          <w:color w:val="auto"/>
          <w:sz w:val="24"/>
          <w:highlight w:val="none"/>
        </w:rPr>
        <w:t>。</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4</w:t>
      </w:r>
      <w:r>
        <w:rPr>
          <w:rFonts w:ascii="宋体" w:hAnsi="宋体"/>
          <w:bCs/>
          <w:color w:val="auto"/>
          <w:sz w:val="24"/>
          <w:highlight w:val="none"/>
        </w:rPr>
        <w:t>.5</w:t>
      </w:r>
      <w:r>
        <w:rPr>
          <w:rFonts w:hint="eastAsia" w:ascii="宋体" w:hAnsi="宋体"/>
          <w:bCs/>
          <w:color w:val="auto"/>
          <w:sz w:val="24"/>
          <w:highlight w:val="none"/>
        </w:rPr>
        <w:t>发包人认定样板或品牌的材料和设备，进货时按样板质量验收，如发现不符合样板质量或未按照批准的品牌进行采购，发包人有权要求承包人清退、更换该材料或设备，并处以按材料款的20%向发包人支付违约金。</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bCs/>
          <w:color w:val="auto"/>
          <w:sz w:val="24"/>
          <w:highlight w:val="none"/>
        </w:rPr>
      </w:pPr>
      <w:r>
        <w:rPr>
          <w:rFonts w:hint="eastAsia" w:ascii="宋体" w:hAnsi="宋体"/>
          <w:bCs/>
          <w:color w:val="auto"/>
          <w:sz w:val="24"/>
          <w:highlight w:val="none"/>
        </w:rPr>
        <w:t>4</w:t>
      </w:r>
      <w:r>
        <w:rPr>
          <w:rFonts w:ascii="宋体" w:hAnsi="宋体"/>
          <w:bCs/>
          <w:color w:val="auto"/>
          <w:sz w:val="24"/>
          <w:highlight w:val="none"/>
        </w:rPr>
        <w:t>.6</w:t>
      </w:r>
      <w:r>
        <w:rPr>
          <w:rFonts w:hint="eastAsia" w:ascii="宋体" w:hAnsi="宋体"/>
          <w:bCs/>
          <w:color w:val="auto"/>
          <w:sz w:val="24"/>
          <w:highlight w:val="none"/>
        </w:rPr>
        <w:t>为加强材料进场管理，杜绝“假冒伪劣”、“货不对板”、“以次充好”、“质量不达标”的材料部品进入本项目，一经发现，对违约行为的处罚原则及标准明确如下：</w:t>
      </w:r>
    </w:p>
    <w:tbl>
      <w:tblPr>
        <w:tblStyle w:val="47"/>
        <w:tblW w:w="907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1843"/>
        <w:gridCol w:w="1984"/>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387" w:type="dxa"/>
            <w:gridSpan w:val="3"/>
            <w:tcBorders>
              <w:bottom w:val="single" w:color="auto" w:sz="4" w:space="0"/>
            </w:tcBorders>
            <w:shd w:val="clear" w:color="000000" w:fill="auto"/>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材料使用违规分类</w:t>
            </w:r>
          </w:p>
        </w:tc>
        <w:tc>
          <w:tcPr>
            <w:tcW w:w="3686" w:type="dxa"/>
            <w:vMerge w:val="restart"/>
            <w:shd w:val="clear" w:color="000000" w:fill="auto"/>
            <w:noWrap/>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违约金规定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560"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违约行为</w:t>
            </w:r>
          </w:p>
        </w:tc>
        <w:tc>
          <w:tcPr>
            <w:tcW w:w="1843"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影响/后果</w:t>
            </w:r>
          </w:p>
        </w:tc>
        <w:tc>
          <w:tcPr>
            <w:tcW w:w="1984"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状态</w:t>
            </w:r>
          </w:p>
        </w:tc>
        <w:tc>
          <w:tcPr>
            <w:tcW w:w="3686" w:type="dxa"/>
            <w:vMerge w:val="continue"/>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560" w:type="dxa"/>
            <w:vMerge w:val="restart"/>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货不对版</w:t>
            </w:r>
          </w:p>
        </w:tc>
        <w:tc>
          <w:tcPr>
            <w:tcW w:w="1843" w:type="dxa"/>
            <w:vMerge w:val="restart"/>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品牌档次下降</w:t>
            </w:r>
          </w:p>
        </w:tc>
        <w:tc>
          <w:tcPr>
            <w:tcW w:w="1984"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已到场，未安装</w:t>
            </w:r>
          </w:p>
        </w:tc>
        <w:tc>
          <w:tcPr>
            <w:tcW w:w="3686"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材料退场，违约金额：</w:t>
            </w:r>
            <w:r>
              <w:rPr>
                <w:rFonts w:ascii="宋体" w:hAnsi="宋体"/>
                <w:bCs/>
                <w:color w:val="auto"/>
                <w:sz w:val="24"/>
                <w:highlight w:val="none"/>
              </w:rPr>
              <w:t>10</w:t>
            </w:r>
            <w:r>
              <w:rPr>
                <w:rFonts w:hint="eastAsia" w:ascii="宋体" w:hAnsi="宋体"/>
                <w:bCs/>
                <w:color w:val="auto"/>
                <w:sz w:val="24"/>
                <w:highlight w:val="none"/>
              </w:rPr>
              <w:t>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560" w:type="dxa"/>
            <w:vMerge w:val="continue"/>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p>
        </w:tc>
        <w:tc>
          <w:tcPr>
            <w:tcW w:w="1843" w:type="dxa"/>
            <w:vMerge w:val="continue"/>
            <w:shd w:val="clear" w:color="auto" w:fill="auto"/>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p>
        </w:tc>
        <w:tc>
          <w:tcPr>
            <w:tcW w:w="1984"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已使用，无法拆除</w:t>
            </w:r>
          </w:p>
        </w:tc>
        <w:tc>
          <w:tcPr>
            <w:tcW w:w="3686"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补救确保合格，赔偿损失，违约金额：</w:t>
            </w:r>
            <w:r>
              <w:rPr>
                <w:rFonts w:ascii="宋体" w:hAnsi="宋体"/>
                <w:bCs/>
                <w:color w:val="auto"/>
                <w:sz w:val="24"/>
                <w:highlight w:val="none"/>
              </w:rPr>
              <w:t>20</w:t>
            </w:r>
            <w:r>
              <w:rPr>
                <w:rFonts w:hint="eastAsia" w:ascii="宋体" w:hAnsi="宋体"/>
                <w:bCs/>
                <w:color w:val="auto"/>
                <w:sz w:val="24"/>
                <w:highlight w:val="none"/>
              </w:rPr>
              <w:t>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560" w:type="dxa"/>
            <w:vMerge w:val="restart"/>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偷工减料</w:t>
            </w:r>
          </w:p>
        </w:tc>
        <w:tc>
          <w:tcPr>
            <w:tcW w:w="1843" w:type="dxa"/>
            <w:vMerge w:val="restart"/>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材料、设备相关技术参数（如厚度、等级等）低于合同约定</w:t>
            </w:r>
          </w:p>
        </w:tc>
        <w:tc>
          <w:tcPr>
            <w:tcW w:w="1984"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已到场，未安装</w:t>
            </w:r>
          </w:p>
        </w:tc>
        <w:tc>
          <w:tcPr>
            <w:tcW w:w="3686"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材料退场，违约金额：</w:t>
            </w:r>
            <w:r>
              <w:rPr>
                <w:rFonts w:ascii="宋体" w:hAnsi="宋体"/>
                <w:bCs/>
                <w:color w:val="auto"/>
                <w:sz w:val="24"/>
                <w:highlight w:val="none"/>
              </w:rPr>
              <w:t>10</w:t>
            </w:r>
            <w:r>
              <w:rPr>
                <w:rFonts w:hint="eastAsia" w:ascii="宋体" w:hAnsi="宋体"/>
                <w:bCs/>
                <w:color w:val="auto"/>
                <w:sz w:val="24"/>
                <w:highlight w:val="none"/>
              </w:rPr>
              <w:t>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560" w:type="dxa"/>
            <w:vMerge w:val="continue"/>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p>
        </w:tc>
        <w:tc>
          <w:tcPr>
            <w:tcW w:w="1843" w:type="dxa"/>
            <w:vMerge w:val="continue"/>
            <w:shd w:val="clear" w:color="auto" w:fill="auto"/>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p>
        </w:tc>
        <w:tc>
          <w:tcPr>
            <w:tcW w:w="1984"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已使用，无法拆除</w:t>
            </w:r>
          </w:p>
        </w:tc>
        <w:tc>
          <w:tcPr>
            <w:tcW w:w="3686"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补救确保合格，赔偿损失，违约金额：</w:t>
            </w:r>
            <w:r>
              <w:rPr>
                <w:rFonts w:ascii="宋体" w:hAnsi="宋体"/>
                <w:bCs/>
                <w:color w:val="auto"/>
                <w:sz w:val="24"/>
                <w:highlight w:val="none"/>
              </w:rPr>
              <w:t>20</w:t>
            </w:r>
            <w:r>
              <w:rPr>
                <w:rFonts w:hint="eastAsia" w:ascii="宋体" w:hAnsi="宋体"/>
                <w:bCs/>
                <w:color w:val="auto"/>
                <w:sz w:val="24"/>
                <w:highlight w:val="none"/>
              </w:rPr>
              <w:t>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560" w:type="dxa"/>
            <w:vMerge w:val="restart"/>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弄虚作假</w:t>
            </w:r>
          </w:p>
        </w:tc>
        <w:tc>
          <w:tcPr>
            <w:tcW w:w="1843" w:type="dxa"/>
            <w:vMerge w:val="restart"/>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设置虚假标识等欺诈行为</w:t>
            </w:r>
          </w:p>
        </w:tc>
        <w:tc>
          <w:tcPr>
            <w:tcW w:w="1984"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已到场，未安装</w:t>
            </w:r>
          </w:p>
        </w:tc>
        <w:tc>
          <w:tcPr>
            <w:tcW w:w="3686"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材料退场，违约金额：10万/次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560" w:type="dxa"/>
            <w:vMerge w:val="continue"/>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p>
        </w:tc>
        <w:tc>
          <w:tcPr>
            <w:tcW w:w="1843" w:type="dxa"/>
            <w:vMerge w:val="continue"/>
            <w:shd w:val="clear" w:color="auto" w:fill="auto"/>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p>
        </w:tc>
        <w:tc>
          <w:tcPr>
            <w:tcW w:w="1984"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已使用，无法拆除</w:t>
            </w:r>
          </w:p>
        </w:tc>
        <w:tc>
          <w:tcPr>
            <w:tcW w:w="3686" w:type="dxa"/>
            <w:shd w:val="clear" w:color="auto" w:fill="auto"/>
            <w:vAlign w:val="center"/>
          </w:tcPr>
          <w:p>
            <w:pPr>
              <w:pStyle w:val="181"/>
              <w:keepLines w:val="0"/>
              <w:pageBreakBefore w:val="0"/>
              <w:kinsoku/>
              <w:wordWrap/>
              <w:overflowPunct/>
              <w:topLinePunct w:val="0"/>
              <w:autoSpaceDE/>
              <w:autoSpaceDN/>
              <w:bidi w:val="0"/>
              <w:spacing w:line="360" w:lineRule="auto"/>
              <w:ind w:left="0" w:leftChars="0" w:right="0" w:rightChars="0" w:firstLine="480" w:firstLineChars="200"/>
              <w:jc w:val="center"/>
              <w:rPr>
                <w:rFonts w:ascii="宋体" w:hAnsi="宋体"/>
                <w:bCs/>
                <w:color w:val="auto"/>
                <w:sz w:val="24"/>
                <w:highlight w:val="none"/>
              </w:rPr>
            </w:pPr>
            <w:r>
              <w:rPr>
                <w:rFonts w:hint="eastAsia" w:ascii="宋体" w:hAnsi="宋体"/>
                <w:bCs/>
                <w:color w:val="auto"/>
                <w:sz w:val="24"/>
                <w:highlight w:val="none"/>
              </w:rPr>
              <w:t>补救确保合格，赔偿损失，违约金额：</w:t>
            </w:r>
            <w:r>
              <w:rPr>
                <w:rFonts w:ascii="宋体" w:hAnsi="宋体"/>
                <w:bCs/>
                <w:color w:val="auto"/>
                <w:sz w:val="24"/>
                <w:highlight w:val="none"/>
              </w:rPr>
              <w:t>20</w:t>
            </w:r>
            <w:r>
              <w:rPr>
                <w:rFonts w:hint="eastAsia" w:ascii="宋体" w:hAnsi="宋体"/>
                <w:bCs/>
                <w:color w:val="auto"/>
                <w:sz w:val="24"/>
                <w:highlight w:val="none"/>
              </w:rPr>
              <w:t>万</w:t>
            </w:r>
          </w:p>
        </w:tc>
      </w:tr>
    </w:tbl>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bCs/>
          <w:color w:val="auto"/>
          <w:sz w:val="24"/>
          <w:highlight w:val="none"/>
        </w:rPr>
      </w:pPr>
    </w:p>
    <w:p>
      <w:pPr>
        <w:pStyle w:val="181"/>
        <w:keepLines w:val="0"/>
        <w:pageBreakBefore w:val="0"/>
        <w:widowControl/>
        <w:kinsoku/>
        <w:wordWrap/>
        <w:overflowPunct/>
        <w:topLinePunct w:val="0"/>
        <w:autoSpaceDE/>
        <w:autoSpaceDN/>
        <w:bidi w:val="0"/>
        <w:spacing w:line="360" w:lineRule="auto"/>
        <w:ind w:left="0" w:leftChars="0" w:right="0" w:rightChars="0" w:firstLine="482" w:firstLineChars="200"/>
        <w:jc w:val="left"/>
        <w:rPr>
          <w:rFonts w:ascii="宋体" w:hAnsi="宋体"/>
          <w:b/>
          <w:bCs/>
          <w:color w:val="auto"/>
          <w:sz w:val="24"/>
          <w:highlight w:val="none"/>
        </w:rPr>
      </w:pPr>
      <w:r>
        <w:rPr>
          <w:rFonts w:hint="eastAsia" w:ascii="宋体" w:hAnsi="宋体"/>
          <w:b/>
          <w:bCs/>
          <w:color w:val="auto"/>
          <w:sz w:val="24"/>
          <w:highlight w:val="none"/>
        </w:rPr>
        <w:t>3、品牌管理</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承包人根据技术规格及相关规范要求提供设备/材料。如承包人提供的设备/材料与技术规格要求所述不符时，发包人有权要求承包人更改并提供符合技术规格要求所述的设备及材料，而不作任何费用（包括供货、安装及运送）变更。本项目不接受OEM（贴牌）设备/材料。</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olor w:val="auto"/>
          <w:sz w:val="24"/>
          <w:highlight w:val="none"/>
          <w:u w:val="single"/>
        </w:rPr>
        <w:t>设备材料品牌表</w:t>
      </w:r>
      <w:r>
        <w:rPr>
          <w:rFonts w:hint="eastAsia" w:ascii="宋体" w:hAnsi="宋体" w:cs="宋体"/>
          <w:color w:val="auto"/>
          <w:kern w:val="0"/>
          <w:sz w:val="24"/>
          <w:highlight w:val="none"/>
        </w:rPr>
        <w:t>”中的推荐品牌，承包人可以在其中自行选择报价，但并不代表承包人可以不提供必选文件中所要求提供之其它技术资料或提供不符合标书要求的设备/材料。进场施工的设备/材料须通过发包人及工程师的审核和批准。</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非承包人原因引起须使用品牌表中所列之外设备/材料时，承包人需按照相同档次设备/材料重新进行申报，并通过发包人及监理工程师的审核和批准，不作任何费用（包括供货、安装及运送等）调整；若无相同档次的设备/材料供选择时，承包人经发包人同意可以按相近档次设备/材料进行申报，通过发包人及监理工程师的审核和批准后，材料费用做相应调整。</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w:t>
      </w:r>
      <w:r>
        <w:rPr>
          <w:rFonts w:hint="eastAsia" w:ascii="宋体" w:hAnsi="宋体"/>
          <w:color w:val="auto"/>
          <w:sz w:val="24"/>
          <w:highlight w:val="none"/>
          <w:u w:val="single"/>
        </w:rPr>
        <w:t>设备材料品牌表</w:t>
      </w:r>
      <w:r>
        <w:rPr>
          <w:rFonts w:hint="eastAsia" w:ascii="宋体" w:hAnsi="宋体" w:cs="宋体"/>
          <w:color w:val="auto"/>
          <w:kern w:val="0"/>
          <w:sz w:val="24"/>
          <w:highlight w:val="none"/>
        </w:rPr>
        <w:t>中有明确参考品牌的，承包人投标时必须在发包人提供的“</w:t>
      </w:r>
      <w:r>
        <w:rPr>
          <w:rFonts w:hint="eastAsia" w:ascii="宋体" w:hAnsi="宋体"/>
          <w:color w:val="auto"/>
          <w:sz w:val="24"/>
          <w:highlight w:val="none"/>
          <w:u w:val="single"/>
        </w:rPr>
        <w:t>设备材料品牌表</w:t>
      </w:r>
      <w:r>
        <w:rPr>
          <w:rFonts w:hint="eastAsia" w:ascii="宋体" w:hAnsi="宋体" w:cs="宋体"/>
          <w:color w:val="auto"/>
          <w:kern w:val="0"/>
          <w:sz w:val="24"/>
          <w:highlight w:val="none"/>
        </w:rPr>
        <w:t>”中选择明确的品牌及系列（需填报系列的，如不填报系列的则按投报品牌的最高要求为准），并根据所选的品牌进行报价。</w:t>
      </w:r>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（5）发包人有权在承包人中标后或合同履行期间，在不改变</w:t>
      </w:r>
      <w:r>
        <w:rPr>
          <w:rFonts w:hint="eastAsia" w:ascii="宋体" w:hAnsi="宋体"/>
          <w:color w:val="auto"/>
          <w:sz w:val="24"/>
          <w:highlight w:val="none"/>
          <w:u w:val="single"/>
        </w:rPr>
        <w:t>设备材料品牌表的</w:t>
      </w:r>
      <w:r>
        <w:rPr>
          <w:rFonts w:hint="eastAsia" w:ascii="宋体" w:hAnsi="宋体" w:cs="宋体"/>
          <w:color w:val="auto"/>
          <w:kern w:val="0"/>
          <w:sz w:val="24"/>
          <w:highlight w:val="none"/>
        </w:rPr>
        <w:t>设备材料品牌档次基础上，对品牌表中的设备材料品牌或规格型号进行补充或调整。</w:t>
      </w:r>
      <w:bookmarkStart w:id="92" w:name="_Toc65054249"/>
    </w:p>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hint="eastAsia" w:cs="宋体"/>
          <w:color w:val="auto"/>
          <w:sz w:val="24"/>
          <w:highlight w:val="none"/>
        </w:rPr>
      </w:pPr>
      <w:r>
        <w:rPr>
          <w:rFonts w:hint="eastAsia" w:ascii="宋体" w:hAnsi="宋体" w:cs="宋体"/>
          <w:color w:val="auto"/>
          <w:kern w:val="0"/>
          <w:sz w:val="24"/>
          <w:highlight w:val="none"/>
        </w:rPr>
        <w:t>（6）</w:t>
      </w:r>
      <w:r>
        <w:rPr>
          <w:rFonts w:hint="eastAsia" w:ascii="宋体" w:hAnsi="宋体"/>
          <w:color w:val="auto"/>
          <w:sz w:val="24"/>
          <w:highlight w:val="none"/>
          <w:u w:val="single"/>
        </w:rPr>
        <w:t>设备材料品牌表</w:t>
      </w:r>
      <w:r>
        <w:rPr>
          <w:rFonts w:hint="eastAsia" w:cs="宋体"/>
          <w:color w:val="auto"/>
          <w:sz w:val="24"/>
          <w:highlight w:val="none"/>
        </w:rPr>
        <w:t>：</w:t>
      </w:r>
      <w:bookmarkEnd w:id="92"/>
    </w:p>
    <w:tbl>
      <w:tblPr>
        <w:tblStyle w:val="47"/>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2054"/>
        <w:gridCol w:w="4396"/>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jc w:val="both"/>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序号</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设备材料</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both"/>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参考品牌</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both"/>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配电箱元器件（断路器等）</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ABB、施耐德、西门子</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LED灯具</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三雄极光、欧普、佛山照明、</w:t>
            </w:r>
            <w:r>
              <w:rPr>
                <w:rFonts w:ascii="宋体" w:hAnsi="宋体" w:eastAsia="宋体" w:cs="宋体"/>
                <w:color w:val="auto"/>
                <w:kern w:val="0"/>
                <w:sz w:val="24"/>
                <w:szCs w:val="24"/>
                <w:highlight w:val="none"/>
                <w:lang w:bidi="ar"/>
              </w:rPr>
              <w:t>TCL</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jc w:val="both"/>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或其他同等档次品牌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光源（芯片）</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科锐、欧司朗、流明</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4</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电线、电缆</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金龙羽、成天泰、奔达康、金环宇</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5</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电线（弱电）</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jc w:val="both"/>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广东长江、亨通光电、联嘉祥、嘉信、华亿、讯道、标顶、金环宇、</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6</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热镀锌钢管</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both"/>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泰丰侨、珠江、银河、华通</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1"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adjustRightInd w:val="0"/>
              <w:snapToGrid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7</w:t>
            </w:r>
          </w:p>
        </w:tc>
        <w:tc>
          <w:tcPr>
            <w:tcW w:w="205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工作站、服务器</w:t>
            </w:r>
          </w:p>
        </w:tc>
        <w:tc>
          <w:tcPr>
            <w:tcW w:w="4396"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right="0" w:rightChars="0"/>
              <w:jc w:val="both"/>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HP（惠普）、LENOVO（联想）、DELL（戴尔）</w:t>
            </w:r>
          </w:p>
        </w:tc>
        <w:tc>
          <w:tcPr>
            <w:tcW w:w="1484" w:type="dxa"/>
            <w:tcBorders>
              <w:top w:val="single" w:color="auto" w:sz="4" w:space="0"/>
              <w:left w:val="single" w:color="auto" w:sz="4" w:space="0"/>
              <w:bottom w:val="single" w:color="auto" w:sz="4" w:space="0"/>
              <w:right w:val="single" w:color="auto" w:sz="4" w:space="0"/>
            </w:tcBorders>
            <w:vAlign w:val="center"/>
          </w:tcPr>
          <w:p>
            <w:pPr>
              <w:keepLines w:val="0"/>
              <w:pageBreakBefore w:val="0"/>
              <w:widowControl/>
              <w:kinsoku/>
              <w:wordWrap/>
              <w:overflowPunct/>
              <w:topLinePunct w:val="0"/>
              <w:autoSpaceDE/>
              <w:autoSpaceDN/>
              <w:bidi w:val="0"/>
              <w:spacing w:line="360" w:lineRule="auto"/>
              <w:ind w:left="0" w:leftChars="0" w:right="0" w:rightChars="0" w:firstLine="480" w:firstLineChars="200"/>
              <w:jc w:val="center"/>
              <w:rPr>
                <w:rFonts w:ascii="宋体" w:hAnsi="宋体" w:eastAsia="宋体" w:cs="宋体"/>
                <w:color w:val="auto"/>
                <w:kern w:val="0"/>
                <w:sz w:val="24"/>
                <w:szCs w:val="24"/>
                <w:highlight w:val="none"/>
                <w:lang w:bidi="ar"/>
              </w:rPr>
            </w:pPr>
          </w:p>
        </w:tc>
      </w:tr>
    </w:tbl>
    <w:p>
      <w:pPr>
        <w:pStyle w:val="181"/>
        <w:keepLines w:val="0"/>
        <w:pageBreakBefore w:val="0"/>
        <w:kinsoku/>
        <w:wordWrap/>
        <w:overflowPunct/>
        <w:topLinePunct w:val="0"/>
        <w:autoSpaceDE/>
        <w:autoSpaceDN/>
        <w:bidi w:val="0"/>
        <w:spacing w:line="360" w:lineRule="auto"/>
        <w:ind w:left="0" w:leftChars="0" w:right="0" w:rightChars="0" w:firstLine="480" w:firstLineChars="200"/>
        <w:rPr>
          <w:rFonts w:hint="eastAsia" w:cs="宋体"/>
          <w:color w:val="auto"/>
          <w:sz w:val="24"/>
          <w:highlight w:val="none"/>
        </w:rPr>
      </w:pPr>
    </w:p>
    <w:p>
      <w:pPr>
        <w:keepLines w:val="0"/>
        <w:pageBreakBefore w:val="0"/>
        <w:kinsoku/>
        <w:wordWrap/>
        <w:overflowPunct/>
        <w:topLinePunct w:val="0"/>
        <w:autoSpaceDE/>
        <w:autoSpaceDN/>
        <w:bidi w:val="0"/>
        <w:spacing w:line="360" w:lineRule="auto"/>
        <w:ind w:left="0" w:leftChars="0" w:right="0" w:rightChars="0"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注：（1）承包人必须严格遵照甲控品牌，深入了解各类品牌的规格型号、性能参数、安装条件；</w:t>
      </w:r>
    </w:p>
    <w:p>
      <w:pPr>
        <w:keepLines w:val="0"/>
        <w:pageBreakBefore w:val="0"/>
        <w:kinsoku/>
        <w:wordWrap/>
        <w:overflowPunct/>
        <w:topLinePunct w:val="0"/>
        <w:autoSpaceDE/>
        <w:autoSpaceDN/>
        <w:bidi w:val="0"/>
        <w:spacing w:line="360" w:lineRule="auto"/>
        <w:ind w:left="0" w:leftChars="0" w:right="0" w:rightChars="0"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（2）对未列推荐品牌的子系统或设备/材料，承包人可按照技术要求自行选择品牌。但</w:t>
      </w:r>
      <w:r>
        <w:rPr>
          <w:rFonts w:hint="eastAsia" w:ascii="宋体" w:hAnsi="宋体"/>
          <w:color w:val="auto"/>
          <w:sz w:val="24"/>
          <w:szCs w:val="24"/>
          <w:highlight w:val="none"/>
          <w:lang w:eastAsia="zh-CN"/>
        </w:rPr>
        <w:t>比选</w:t>
      </w:r>
      <w:r>
        <w:rPr>
          <w:rFonts w:hint="eastAsia" w:ascii="宋体" w:hAnsi="宋体"/>
          <w:color w:val="auto"/>
          <w:sz w:val="24"/>
          <w:szCs w:val="24"/>
          <w:highlight w:val="none"/>
        </w:rPr>
        <w:t>方对投标方选择的品牌存疑时，有权要求投标方在指定时间内追加提供所选品牌的以下证明材料（包含但不限于）：有效的营业执照，要求企业成立3年以上，注册资金≥10×该品牌投标总价，且不得低于200万。政府有关部门颁发的技术证书或检测报告，属计量器具的，还需提供相应的计量许可证。其它资质证明文件。如投标方无法按时提交上述材料，或提交的材料经审核不符合要求，</w:t>
      </w:r>
      <w:r>
        <w:rPr>
          <w:rFonts w:hint="eastAsia" w:ascii="宋体" w:hAnsi="宋体"/>
          <w:color w:val="auto"/>
          <w:sz w:val="24"/>
          <w:szCs w:val="24"/>
          <w:highlight w:val="none"/>
          <w:lang w:eastAsia="zh-CN"/>
        </w:rPr>
        <w:t>比选</w:t>
      </w:r>
      <w:r>
        <w:rPr>
          <w:rFonts w:hint="eastAsia" w:ascii="宋体" w:hAnsi="宋体"/>
          <w:color w:val="auto"/>
          <w:sz w:val="24"/>
          <w:szCs w:val="24"/>
          <w:highlight w:val="none"/>
        </w:rPr>
        <w:t>方有权要求投标方在不提高投标价格的前提下将所选品牌修正为</w:t>
      </w:r>
      <w:r>
        <w:rPr>
          <w:rFonts w:hint="eastAsia" w:ascii="宋体" w:hAnsi="宋体"/>
          <w:color w:val="auto"/>
          <w:sz w:val="24"/>
          <w:szCs w:val="24"/>
          <w:highlight w:val="none"/>
          <w:lang w:eastAsia="zh-CN"/>
        </w:rPr>
        <w:t>比选</w:t>
      </w:r>
      <w:r>
        <w:rPr>
          <w:rFonts w:hint="eastAsia" w:ascii="宋体" w:hAnsi="宋体"/>
          <w:color w:val="auto"/>
          <w:sz w:val="24"/>
          <w:szCs w:val="24"/>
          <w:highlight w:val="none"/>
        </w:rPr>
        <w:t>方认可的品牌；</w:t>
      </w:r>
    </w:p>
    <w:p>
      <w:pPr>
        <w:keepLines w:val="0"/>
        <w:pageBreakBefore w:val="0"/>
        <w:kinsoku/>
        <w:wordWrap/>
        <w:overflowPunct/>
        <w:topLinePunct w:val="0"/>
        <w:autoSpaceDE/>
        <w:autoSpaceDN/>
        <w:bidi w:val="0"/>
        <w:spacing w:line="360" w:lineRule="auto"/>
        <w:ind w:left="0" w:leftChars="0" w:right="0" w:rightChars="0" w:firstLine="480" w:firstLineChars="200"/>
        <w:rPr>
          <w:rFonts w:ascii="仿宋" w:hAnsi="仿宋" w:eastAsia="仿宋" w:cs="仿宋"/>
          <w:b/>
          <w:color w:val="auto"/>
          <w:sz w:val="24"/>
          <w:szCs w:val="24"/>
          <w:highlight w:val="none"/>
        </w:rPr>
      </w:pPr>
      <w:r>
        <w:rPr>
          <w:rFonts w:hint="eastAsia" w:ascii="宋体" w:hAnsi="宋体"/>
          <w:color w:val="auto"/>
          <w:sz w:val="24"/>
          <w:szCs w:val="24"/>
          <w:highlight w:val="none"/>
        </w:rPr>
        <w:t>（3）未经建设单位认可，中标人不得在施工过程中变更设备品牌（即使在</w:t>
      </w:r>
      <w:r>
        <w:rPr>
          <w:rFonts w:hint="eastAsia" w:ascii="宋体" w:hAnsi="宋体"/>
          <w:color w:val="auto"/>
          <w:sz w:val="24"/>
          <w:szCs w:val="24"/>
          <w:highlight w:val="none"/>
          <w:lang w:eastAsia="zh-CN"/>
        </w:rPr>
        <w:t>比选</w:t>
      </w:r>
      <w:r>
        <w:rPr>
          <w:rFonts w:hint="eastAsia" w:ascii="宋体" w:hAnsi="宋体"/>
          <w:color w:val="auto"/>
          <w:sz w:val="24"/>
          <w:szCs w:val="24"/>
          <w:highlight w:val="none"/>
        </w:rPr>
        <w:t>推荐品牌名单中）；</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szCs w:val="24"/>
          <w:highlight w:val="none"/>
        </w:rPr>
      </w:pPr>
      <w:r>
        <w:rPr>
          <w:rFonts w:hint="eastAsia" w:ascii="宋体" w:hAnsi="宋体"/>
          <w:color w:val="auto"/>
          <w:sz w:val="24"/>
          <w:szCs w:val="24"/>
          <w:highlight w:val="none"/>
        </w:rPr>
        <w:t>（4）主要组成设备保修期项目整体竣工验收后</w:t>
      </w:r>
      <w:r>
        <w:rPr>
          <w:rFonts w:ascii="宋体" w:hAnsi="宋体"/>
          <w:color w:val="auto"/>
          <w:sz w:val="24"/>
          <w:szCs w:val="24"/>
          <w:highlight w:val="none"/>
        </w:rPr>
        <w:t>2</w:t>
      </w:r>
      <w:r>
        <w:rPr>
          <w:rFonts w:hint="eastAsia" w:ascii="宋体" w:hAnsi="宋体"/>
          <w:color w:val="auto"/>
          <w:sz w:val="24"/>
          <w:szCs w:val="24"/>
          <w:highlight w:val="none"/>
        </w:rPr>
        <w:t>年；</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5</w:t>
      </w:r>
      <w:r>
        <w:rPr>
          <w:rFonts w:hint="eastAsia" w:ascii="宋体" w:hAnsi="宋体"/>
          <w:color w:val="auto"/>
          <w:sz w:val="24"/>
          <w:szCs w:val="24"/>
          <w:highlight w:val="none"/>
        </w:rPr>
        <w:t>）</w:t>
      </w:r>
      <w:r>
        <w:rPr>
          <w:rFonts w:ascii="宋体" w:hAnsi="宋体"/>
          <w:color w:val="auto"/>
          <w:sz w:val="24"/>
          <w:szCs w:val="24"/>
          <w:highlight w:val="none"/>
        </w:rPr>
        <w:t>承包人中标后，供货时须提供原厂生产的全新的产品，并提供产品说明书、保修证、合格证等质量证明资料</w:t>
      </w:r>
      <w:r>
        <w:rPr>
          <w:rFonts w:hint="eastAsia" w:ascii="宋体" w:hAnsi="宋体"/>
          <w:color w:val="auto"/>
          <w:sz w:val="24"/>
          <w:szCs w:val="24"/>
          <w:highlight w:val="none"/>
        </w:rPr>
        <w:t>（投标产品的技术响应必须与产品说明书相符）</w:t>
      </w:r>
      <w:r>
        <w:rPr>
          <w:rFonts w:ascii="宋体" w:hAnsi="宋体"/>
          <w:color w:val="auto"/>
          <w:sz w:val="24"/>
          <w:szCs w:val="24"/>
          <w:highlight w:val="none"/>
        </w:rPr>
        <w:t>；</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6</w:t>
      </w:r>
      <w:r>
        <w:rPr>
          <w:rFonts w:hint="eastAsia" w:ascii="宋体" w:hAnsi="宋体"/>
          <w:color w:val="auto"/>
          <w:sz w:val="24"/>
          <w:szCs w:val="24"/>
          <w:highlight w:val="none"/>
        </w:rPr>
        <w:t>）提供</w:t>
      </w:r>
      <w:r>
        <w:rPr>
          <w:rFonts w:ascii="宋体" w:hAnsi="宋体"/>
          <w:color w:val="auto"/>
          <w:sz w:val="24"/>
          <w:szCs w:val="24"/>
          <w:highlight w:val="none"/>
        </w:rPr>
        <w:t>详细的设备清单、技术参数和单台（套）的价格、附件清单；</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7</w:t>
      </w:r>
      <w:r>
        <w:rPr>
          <w:rFonts w:hint="eastAsia" w:ascii="宋体" w:hAnsi="宋体"/>
          <w:color w:val="auto"/>
          <w:sz w:val="24"/>
          <w:szCs w:val="24"/>
          <w:highlight w:val="none"/>
        </w:rPr>
        <w:t>）</w:t>
      </w:r>
      <w:r>
        <w:rPr>
          <w:rFonts w:ascii="宋体" w:hAnsi="宋体"/>
          <w:color w:val="auto"/>
          <w:sz w:val="24"/>
          <w:szCs w:val="24"/>
          <w:highlight w:val="none"/>
        </w:rPr>
        <w:t>承包人根据图纸的设计要求，给出安装施工的配套材料的清单和价格，并将设备费用、辅材费用、安装费用及其他费用在投标报价表中逐项列出；</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8</w:t>
      </w:r>
      <w:r>
        <w:rPr>
          <w:rFonts w:hint="eastAsia" w:ascii="宋体" w:hAnsi="宋体"/>
          <w:color w:val="auto"/>
          <w:sz w:val="24"/>
          <w:szCs w:val="24"/>
          <w:highlight w:val="none"/>
        </w:rPr>
        <w:t xml:space="preserve">） </w:t>
      </w:r>
      <w:r>
        <w:rPr>
          <w:rFonts w:ascii="宋体" w:hAnsi="宋体"/>
          <w:color w:val="auto"/>
          <w:sz w:val="24"/>
          <w:szCs w:val="24"/>
          <w:highlight w:val="none"/>
        </w:rPr>
        <w:t>提供主要备品备件清单和单价；</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9</w:t>
      </w:r>
      <w:r>
        <w:rPr>
          <w:rFonts w:hint="eastAsia" w:ascii="宋体" w:hAnsi="宋体"/>
          <w:color w:val="auto"/>
          <w:sz w:val="24"/>
          <w:szCs w:val="24"/>
          <w:highlight w:val="none"/>
        </w:rPr>
        <w:t>）</w:t>
      </w:r>
      <w:r>
        <w:rPr>
          <w:rFonts w:ascii="宋体" w:hAnsi="宋体"/>
          <w:color w:val="auto"/>
          <w:sz w:val="24"/>
          <w:szCs w:val="24"/>
          <w:highlight w:val="none"/>
        </w:rPr>
        <w:t>参选文件中应有施工组织计划，有施工人员、施工计划、工艺、施工技术措施等详细说明</w:t>
      </w:r>
      <w:r>
        <w:rPr>
          <w:rFonts w:hint="eastAsia" w:ascii="宋体" w:hAnsi="宋体"/>
          <w:color w:val="auto"/>
          <w:sz w:val="24"/>
          <w:szCs w:val="24"/>
          <w:highlight w:val="none"/>
        </w:rPr>
        <w:t>；</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10</w:t>
      </w:r>
      <w:r>
        <w:rPr>
          <w:rFonts w:hint="eastAsia" w:ascii="宋体" w:hAnsi="宋体"/>
          <w:color w:val="auto"/>
          <w:sz w:val="24"/>
          <w:szCs w:val="24"/>
          <w:highlight w:val="none"/>
        </w:rPr>
        <w:t>） 技术图纸见必选文件附件中的图纸。</w:t>
      </w:r>
    </w:p>
    <w:p>
      <w:pPr>
        <w:pStyle w:val="181"/>
        <w:keepLines w:val="0"/>
        <w:pageBreakBefore w:val="0"/>
        <w:kinsoku/>
        <w:wordWrap/>
        <w:overflowPunct/>
        <w:topLinePunct w:val="0"/>
        <w:autoSpaceDE/>
        <w:autoSpaceDN/>
        <w:bidi w:val="0"/>
        <w:spacing w:line="360" w:lineRule="auto"/>
        <w:ind w:left="0" w:leftChars="0" w:right="0" w:rightChars="0" w:firstLine="482" w:firstLineChars="200"/>
        <w:rPr>
          <w:rFonts w:ascii="宋体" w:hAnsi="宋体"/>
          <w:b/>
          <w:color w:val="auto"/>
          <w:sz w:val="24"/>
          <w:highlight w:val="none"/>
        </w:rPr>
      </w:pPr>
      <w:r>
        <w:rPr>
          <w:rFonts w:hint="eastAsia" w:ascii="宋体" w:hAnsi="宋体"/>
          <w:b/>
          <w:color w:val="auto"/>
          <w:sz w:val="24"/>
          <w:highlight w:val="none"/>
        </w:rPr>
        <w:t>（四）</w:t>
      </w:r>
      <w:r>
        <w:rPr>
          <w:rFonts w:ascii="宋体" w:hAnsi="宋体"/>
          <w:b/>
          <w:color w:val="auto"/>
          <w:sz w:val="24"/>
          <w:highlight w:val="none"/>
        </w:rPr>
        <w:t>特别提醒</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、施工过程中，承包人需考虑无塔吊、无施工电梯等不利条件，费用已包含在投标报价中。</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、目前项目主体结构已浇筑完成，部分预留管线可能</w:t>
      </w:r>
      <w:r>
        <w:rPr>
          <w:rFonts w:ascii="宋体" w:hAnsi="宋体"/>
          <w:color w:val="auto"/>
          <w:sz w:val="24"/>
          <w:highlight w:val="none"/>
        </w:rPr>
        <w:t>不满足现场使用，承包人需考虑现场施工条件的局限性及相关措施费，相关措施费用已含在投标报价中，不另行支付。</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Courier New"/>
          <w:color w:val="auto"/>
          <w:sz w:val="24"/>
          <w:highlight w:val="none"/>
        </w:rPr>
      </w:pPr>
      <w:r>
        <w:rPr>
          <w:rFonts w:hint="eastAsia" w:ascii="宋体" w:hAnsi="宋体" w:cs="Courier New"/>
          <w:color w:val="auto"/>
          <w:sz w:val="24"/>
          <w:highlight w:val="none"/>
        </w:rPr>
        <w:t>3、本项目工作期间若需二次进场进行设备安装施工，承包人将根据发包人的要求二次进场施工，费用已包含在投标报价中。</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Courier New"/>
          <w:color w:val="auto"/>
          <w:sz w:val="24"/>
          <w:highlight w:val="none"/>
        </w:rPr>
      </w:pPr>
      <w:r>
        <w:rPr>
          <w:rFonts w:ascii="宋体" w:hAnsi="宋体" w:cs="Courier New"/>
          <w:color w:val="auto"/>
          <w:sz w:val="24"/>
          <w:highlight w:val="none"/>
        </w:rPr>
        <w:t>4</w:t>
      </w:r>
      <w:r>
        <w:rPr>
          <w:rFonts w:hint="eastAsia" w:ascii="宋体" w:hAnsi="宋体" w:cs="Courier New"/>
          <w:color w:val="auto"/>
          <w:sz w:val="24"/>
          <w:highlight w:val="none"/>
        </w:rPr>
        <w:t>、设计联络及重要系统设备考察、监造及出厂验收、培训：</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Courier New"/>
          <w:color w:val="auto"/>
          <w:sz w:val="24"/>
          <w:highlight w:val="none"/>
        </w:rPr>
      </w:pPr>
      <w:r>
        <w:rPr>
          <w:rFonts w:ascii="宋体" w:hAnsi="宋体" w:cs="Courier New"/>
          <w:color w:val="auto"/>
          <w:sz w:val="24"/>
          <w:highlight w:val="none"/>
        </w:rPr>
        <w:t>4.1承包人</w:t>
      </w:r>
      <w:r>
        <w:rPr>
          <w:rFonts w:hint="eastAsia" w:ascii="宋体" w:hAnsi="宋体" w:cs="Courier New"/>
          <w:color w:val="auto"/>
          <w:sz w:val="24"/>
          <w:highlight w:val="none"/>
        </w:rPr>
        <w:t>负责接待、安排发包人人员参加设计联络会的各项事务。参加会议的发包人人员初步定为</w:t>
      </w:r>
      <w:r>
        <w:rPr>
          <w:rFonts w:ascii="宋体" w:hAnsi="宋体" w:cs="Courier New"/>
          <w:color w:val="auto"/>
          <w:sz w:val="24"/>
          <w:highlight w:val="none"/>
        </w:rPr>
        <w:t>8</w:t>
      </w:r>
      <w:r>
        <w:rPr>
          <w:rFonts w:hint="eastAsia" w:ascii="宋体" w:hAnsi="宋体" w:cs="Courier New"/>
          <w:color w:val="auto"/>
          <w:sz w:val="24"/>
          <w:highlight w:val="none"/>
        </w:rPr>
        <w:t xml:space="preserve"> 人，会议时间为</w:t>
      </w:r>
      <w:r>
        <w:rPr>
          <w:rFonts w:ascii="宋体" w:hAnsi="宋体" w:cs="Courier New"/>
          <w:color w:val="auto"/>
          <w:sz w:val="24"/>
          <w:highlight w:val="none"/>
        </w:rPr>
        <w:t>5</w:t>
      </w:r>
      <w:r>
        <w:rPr>
          <w:rFonts w:hint="eastAsia" w:ascii="宋体" w:hAnsi="宋体" w:cs="Courier New"/>
          <w:color w:val="auto"/>
          <w:sz w:val="24"/>
          <w:highlight w:val="none"/>
        </w:rPr>
        <w:t>天。</w:t>
      </w:r>
      <w:r>
        <w:rPr>
          <w:rFonts w:ascii="宋体" w:hAnsi="宋体" w:cs="Courier New"/>
          <w:color w:val="auto"/>
          <w:sz w:val="24"/>
          <w:highlight w:val="none"/>
        </w:rPr>
        <w:t>承包人</w:t>
      </w:r>
      <w:r>
        <w:rPr>
          <w:rFonts w:hint="eastAsia" w:ascii="宋体" w:hAnsi="宋体" w:cs="Courier New"/>
          <w:color w:val="auto"/>
          <w:sz w:val="24"/>
          <w:highlight w:val="none"/>
        </w:rPr>
        <w:t xml:space="preserve">负责提供业发包人人员的往返车、机票，驻厂食宿费及当地市内交通费。其中驻厂食宿费及当地市内交通费每人、每天标准450元人民币（上述人数及人次为暂定数量，最终应以满足本工程实际所需为准）。 </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Courier New"/>
          <w:color w:val="auto"/>
          <w:sz w:val="24"/>
          <w:highlight w:val="none"/>
        </w:rPr>
      </w:pPr>
      <w:r>
        <w:rPr>
          <w:rFonts w:ascii="宋体" w:hAnsi="宋体" w:cs="Courier New"/>
          <w:color w:val="auto"/>
          <w:sz w:val="24"/>
          <w:highlight w:val="none"/>
        </w:rPr>
        <w:t>4</w:t>
      </w:r>
      <w:r>
        <w:rPr>
          <w:rFonts w:hint="eastAsia" w:ascii="宋体" w:hAnsi="宋体" w:cs="Courier New"/>
          <w:color w:val="auto"/>
          <w:sz w:val="24"/>
          <w:highlight w:val="none"/>
        </w:rPr>
        <w:t>.2 重要系统设备考察、监造、出厂验收</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Courier New"/>
          <w:color w:val="auto"/>
          <w:sz w:val="24"/>
          <w:highlight w:val="none"/>
        </w:rPr>
      </w:pPr>
      <w:r>
        <w:rPr>
          <w:rFonts w:hint="eastAsia" w:ascii="宋体" w:hAnsi="宋体" w:cs="Courier New"/>
          <w:color w:val="auto"/>
          <w:sz w:val="24"/>
          <w:highlight w:val="none"/>
        </w:rPr>
        <w:t xml:space="preserve">承包人负责安排发包人人员到重要系统设备厂考察，生产条件及质保体系的检查，重要部件原材料质量检验，部件制造质量过程检查，发包人人员为 </w:t>
      </w:r>
      <w:r>
        <w:rPr>
          <w:rFonts w:ascii="宋体" w:hAnsi="宋体" w:cs="Courier New"/>
          <w:color w:val="auto"/>
          <w:sz w:val="24"/>
          <w:highlight w:val="none"/>
        </w:rPr>
        <w:t>8</w:t>
      </w:r>
      <w:r>
        <w:rPr>
          <w:rFonts w:hint="eastAsia" w:ascii="宋体" w:hAnsi="宋体" w:cs="Courier New"/>
          <w:color w:val="auto"/>
          <w:sz w:val="24"/>
          <w:highlight w:val="none"/>
        </w:rPr>
        <w:t xml:space="preserve"> 人，时间为</w:t>
      </w:r>
      <w:r>
        <w:rPr>
          <w:rFonts w:ascii="宋体" w:hAnsi="宋体" w:cs="Courier New"/>
          <w:color w:val="auto"/>
          <w:sz w:val="24"/>
          <w:highlight w:val="none"/>
        </w:rPr>
        <w:t>5</w:t>
      </w:r>
      <w:r>
        <w:rPr>
          <w:rFonts w:hint="eastAsia" w:ascii="宋体" w:hAnsi="宋体" w:cs="Courier New"/>
          <w:color w:val="auto"/>
          <w:sz w:val="24"/>
          <w:highlight w:val="none"/>
        </w:rPr>
        <w:t xml:space="preserve"> 天。承包人负责提供发包人人员的往返车、机票，驻厂食宿费及当地市内交通费。考察的行程安排等应与履行本合同的目的密切相关。其中驻厂食宿费及当地市内交通费每人、每天标准450元人民币（上述人数及人次为暂定数量，最终应以满足本工程实际所需为准）。</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Courier New"/>
          <w:color w:val="auto"/>
          <w:sz w:val="24"/>
          <w:highlight w:val="none"/>
        </w:rPr>
      </w:pPr>
      <w:r>
        <w:rPr>
          <w:rFonts w:ascii="宋体" w:hAnsi="宋体" w:cs="Courier New"/>
          <w:color w:val="auto"/>
          <w:sz w:val="24"/>
          <w:highlight w:val="none"/>
        </w:rPr>
        <w:t>4.3</w:t>
      </w:r>
      <w:r>
        <w:rPr>
          <w:rFonts w:hint="eastAsia" w:ascii="宋体" w:hAnsi="宋体" w:cs="Courier New"/>
          <w:color w:val="auto"/>
          <w:sz w:val="24"/>
          <w:highlight w:val="none"/>
        </w:rPr>
        <w:t xml:space="preserve"> 培训</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cs="Courier New"/>
          <w:color w:val="auto"/>
          <w:sz w:val="24"/>
          <w:highlight w:val="none"/>
        </w:rPr>
      </w:pPr>
      <w:r>
        <w:rPr>
          <w:rFonts w:hint="eastAsia" w:ascii="宋体" w:hAnsi="宋体" w:cs="Courier New"/>
          <w:color w:val="auto"/>
          <w:sz w:val="24"/>
          <w:highlight w:val="none"/>
        </w:rPr>
        <w:t>承包人负责组织发包人人员参加泛光照明设备操作及使用的培训，并提交相关培训教程、培训证书等必要文件。发包人人员为8人，时间每次为</w:t>
      </w:r>
      <w:r>
        <w:rPr>
          <w:rFonts w:ascii="宋体" w:hAnsi="宋体" w:cs="Courier New"/>
          <w:color w:val="auto"/>
          <w:sz w:val="24"/>
          <w:highlight w:val="none"/>
        </w:rPr>
        <w:t>5</w:t>
      </w:r>
      <w:r>
        <w:rPr>
          <w:rFonts w:hint="eastAsia" w:ascii="宋体" w:hAnsi="宋体" w:cs="Courier New"/>
          <w:color w:val="auto"/>
          <w:sz w:val="24"/>
          <w:highlight w:val="none"/>
        </w:rPr>
        <w:t xml:space="preserve"> 天，本地现场培训不少于两次，厂家培训不少于一次，如是外地厂家，则需由承包人负责提供发包人人员的往返交通费、驻厂食宿费及当地市内交通费。其中驻厂食宿费及当地市内交通费每人、每天标准450元人民币（上述人数及人次为暂定数量，最终应以满足本工程实际所需为准）。</w:t>
      </w:r>
    </w:p>
    <w:p>
      <w:pPr>
        <w:pStyle w:val="181"/>
        <w:keepLines w:val="0"/>
        <w:pageBreakBefore w:val="0"/>
        <w:widowControl/>
        <w:kinsoku/>
        <w:wordWrap/>
        <w:overflowPunct/>
        <w:topLinePunct w:val="0"/>
        <w:autoSpaceDE/>
        <w:autoSpaceDN/>
        <w:bidi w:val="0"/>
        <w:spacing w:line="360" w:lineRule="auto"/>
        <w:ind w:left="0" w:leftChars="0" w:right="0" w:rightChars="0" w:firstLine="480" w:firstLineChars="200"/>
        <w:jc w:val="left"/>
        <w:rPr>
          <w:rFonts w:ascii="宋体" w:hAnsi="宋体"/>
          <w:b/>
          <w:color w:val="auto"/>
          <w:sz w:val="20"/>
          <w:highlight w:val="none"/>
        </w:rPr>
      </w:pPr>
      <w:r>
        <w:rPr>
          <w:rFonts w:ascii="宋体" w:hAnsi="宋体" w:cs="Courier New"/>
          <w:color w:val="auto"/>
          <w:sz w:val="24"/>
          <w:highlight w:val="none"/>
        </w:rPr>
        <w:t>以上费用包含在设备综合单价中</w:t>
      </w:r>
      <w:r>
        <w:rPr>
          <w:rFonts w:hint="eastAsia" w:ascii="宋体" w:hAnsi="宋体" w:cs="Courier New"/>
          <w:color w:val="auto"/>
          <w:sz w:val="24"/>
          <w:highlight w:val="none"/>
        </w:rPr>
        <w:t>，承包人自行考虑，后期不单列支付。</w:t>
      </w:r>
    </w:p>
    <w:bookmarkEnd w:id="46"/>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93" w:name="_Toc22891"/>
      <w:bookmarkStart w:id="94" w:name="_Toc65054295"/>
      <w:r>
        <w:rPr>
          <w:rFonts w:hint="eastAsia" w:ascii="宋体" w:hAnsi="宋体" w:cs="宋体"/>
          <w:color w:val="auto"/>
          <w:sz w:val="28"/>
          <w:szCs w:val="28"/>
          <w:highlight w:val="none"/>
        </w:rPr>
        <w:t>七、工程变更</w:t>
      </w:r>
      <w:bookmarkEnd w:id="93"/>
      <w:bookmarkEnd w:id="94"/>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bookmarkStart w:id="95" w:name="_Toc10738"/>
      <w:r>
        <w:rPr>
          <w:rFonts w:hint="eastAsia" w:ascii="宋体" w:hAnsi="宋体"/>
          <w:color w:val="auto"/>
          <w:sz w:val="24"/>
          <w:highlight w:val="none"/>
        </w:rPr>
        <w:t xml:space="preserve">1、合同价格构成中的工程量清单项目单价中只有类似于变更工程的项目单价，可以参照类似项目单价确定变更价款。 </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2、合同价格构成中的工程量清单项目单价中没有适用或类似于变更工程的项目单价时变更价款的确定方法：</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方法一（有适用或类似定额可套用的）：</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1）工程量清单计价依据：《建设工程工程量清单计价规范（GB50500-2013）》、《建设工程工程量清单深圳补充清单》和《深圳市建设工程计价规程（2017）》。</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2）相关定额依据：</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①按照工程性质和专业类别选用以下：</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Ⅰ.本项目中的建筑工程优先采用《深圳市建筑工程消耗量标准》（2016）；</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Ⅱ. 本项目中的安装工程优先采用《深圳市安装工程消耗量标准》（2020）；</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Ⅲ. 本项目中的装饰工程优先采用《深圳市装饰工程消耗量标准》（2020）；</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Ⅳ. 本项目中的园林建筑绿化工程优先采用《深圳市园林建筑绿化工程消耗量定额》（2017）；</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Ⅴ. 本项目中的装配式建筑工程优先采用《深圳市装配式建筑工程消耗量定额》（2016）；</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Ⅵ. 本项目中的市政工程优先采用《深圳市市政工程消耗量定额（2017）》；</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Ⅶ.机械台班采用《深圳市建设工程施工机械台班定额》（2014）</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Ⅷ.《深圳市房屋修缮工程消耗量定额》（2011）</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Ⅸ.其他国家及深圳市相关计价依据；</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②专业不明确的选用价格最低的定额子目；</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③工程变更时，上述定额如有最新发布版本，或有定额子目修订时，采用新版本或新修订定额子目。</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3）费率标准依据：《深圳市建设工程计价费率标准》（2018）的推荐费率和深建价[20</w:t>
      </w:r>
      <w:r>
        <w:rPr>
          <w:rFonts w:hint="eastAsia" w:ascii="宋体" w:hAnsi="宋体"/>
          <w:color w:val="auto"/>
          <w:sz w:val="24"/>
          <w:highlight w:val="none"/>
          <w:lang w:val="en-US" w:eastAsia="zh-CN"/>
        </w:rPr>
        <w:t>21</w:t>
      </w:r>
      <w:r>
        <w:rPr>
          <w:rFonts w:hint="eastAsia" w:ascii="宋体" w:hAnsi="宋体"/>
          <w:color w:val="auto"/>
          <w:sz w:val="24"/>
          <w:highlight w:val="none"/>
        </w:rPr>
        <w:t>]</w:t>
      </w:r>
      <w:r>
        <w:rPr>
          <w:rFonts w:hint="eastAsia" w:ascii="宋体" w:hAnsi="宋体"/>
          <w:color w:val="auto"/>
          <w:sz w:val="24"/>
          <w:highlight w:val="none"/>
          <w:lang w:val="en-US" w:eastAsia="zh-CN"/>
        </w:rPr>
        <w:t>20</w:t>
      </w:r>
      <w:r>
        <w:rPr>
          <w:rFonts w:hint="eastAsia" w:ascii="宋体" w:hAnsi="宋体"/>
          <w:color w:val="auto"/>
          <w:sz w:val="24"/>
          <w:highlight w:val="none"/>
        </w:rPr>
        <w:t>号文（采用新版本或新修订定额子目的如有新的费率标准按相应新费率标准）,但不再计取任何措施费（“混凝土、钢筋混凝土模板及支架费”除外）；</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4）工料机价格采用202</w:t>
      </w:r>
      <w:r>
        <w:rPr>
          <w:rFonts w:hint="eastAsia" w:ascii="宋体" w:hAnsi="宋体"/>
          <w:color w:val="auto"/>
          <w:sz w:val="24"/>
          <w:highlight w:val="none"/>
          <w:lang w:val="en-US" w:eastAsia="zh-CN"/>
        </w:rPr>
        <w:t>2</w:t>
      </w:r>
      <w:r>
        <w:rPr>
          <w:rFonts w:hint="eastAsia" w:ascii="宋体" w:hAnsi="宋体"/>
          <w:color w:val="auto"/>
          <w:sz w:val="24"/>
          <w:highlight w:val="none"/>
        </w:rPr>
        <w:t>年</w:t>
      </w:r>
      <w:r>
        <w:rPr>
          <w:rFonts w:hint="eastAsia" w:ascii="宋体" w:hAnsi="宋体"/>
          <w:color w:val="auto"/>
          <w:sz w:val="24"/>
          <w:highlight w:val="none"/>
          <w:lang w:val="en-US" w:eastAsia="zh-CN"/>
        </w:rPr>
        <w:t>9</w:t>
      </w:r>
      <w:r>
        <w:rPr>
          <w:rFonts w:hint="eastAsia" w:ascii="宋体" w:hAnsi="宋体"/>
          <w:color w:val="auto"/>
          <w:sz w:val="24"/>
          <w:highlight w:val="none"/>
        </w:rPr>
        <w:t>月《深圳建设工程价格信息》，未发布的材料设备单价按以下</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lang w:eastAsia="zh-CN"/>
        </w:rPr>
        <w:t>2022年</w:t>
      </w:r>
      <w:r>
        <w:rPr>
          <w:rFonts w:hint="eastAsia" w:ascii="宋体" w:hAnsi="宋体"/>
          <w:color w:val="auto"/>
          <w:sz w:val="24"/>
          <w:highlight w:val="none"/>
        </w:rPr>
        <w:t>9月《深圳建设工程价格信息》上未发布的材料设备价格，可采用采购期前一年内最近一期《深圳建设工程价格信息》发布的价格。该材料、设备价在该变更价款计价时按中标净下浮率进行下浮。</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《深圳建设工程价格信息》</w:t>
      </w:r>
      <w:r>
        <w:rPr>
          <w:rFonts w:hint="eastAsia" w:ascii="宋体" w:hAnsi="宋体"/>
          <w:color w:val="auto"/>
          <w:sz w:val="24"/>
          <w:highlight w:val="none"/>
          <w:lang w:eastAsia="zh-CN"/>
        </w:rPr>
        <w:t>2022年</w:t>
      </w:r>
      <w:r>
        <w:rPr>
          <w:rFonts w:hint="eastAsia" w:ascii="宋体" w:hAnsi="宋体"/>
          <w:color w:val="auto"/>
          <w:sz w:val="24"/>
          <w:highlight w:val="none"/>
        </w:rPr>
        <w:t>9月和采购期前一年内未发布的材料设备:</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A. 依法必须招标的材料设备按规定必须招标的，应由发包人提出技术标准和最高限价，由承包人通过招标方式确定该材料设备单价。</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B. 按规定不需要招标的且20万元以上的由承包人按现行《深圳市建设工程材料设备询价采购办法》在询价采购网络服务平台进行询价采购，但工程量清单、报价上限和技术规格书由发包人编制，采购文件报发包人审核。该材料、设备价在该变更价款计价时不再按中标净下浮率进行下浮。</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C. 20万元以下的其价格按照发包人的相关规定，由承包人报价经发包人审批，该材料、设备价在该变更价款计价时不再下浮。当承包人对发包人的审核价有异议时，可按发包人其他工程合同价执行。若承包人仍不接受，导致双方对价格无法达成一致而影响工程进度的，发包人有权对该材料进行甲供，有权收取该材料总价50%的工程管理费，并有权在当期的进度款里直接扣除该材料总价的1.5倍作为违约金，因改甲供导致工期延误的，承包人还需承担工期延误的违约责任，且发包人有权解除合同。</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5）采用上述程序计价后，按本工程中标净下浮率进行下浮（上述4）②市场询价的材料设备价不再下浮）调整确定该变更工程的项目单价。</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方法二（无适用或类似定额可套用）：</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由承包人报价经发包人审批，当承包人对发包人的审核价有异议时，则按发包人的其他工程合同价执行；若承包人仍不接受，发包人有权另行委托或发包，有权收取该部分价款50%的工程管理费，并有权在当期的进度款里直接扣除该部分价款的1.5倍作为违约金，因重新委托或发包导致工期延误的，承包人还需承担工期延误的违约责任，且发包人有权解除合同。</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96" w:name="_Toc65054296"/>
      <w:r>
        <w:rPr>
          <w:rFonts w:hint="eastAsia" w:ascii="宋体" w:hAnsi="宋体" w:cs="宋体"/>
          <w:color w:val="auto"/>
          <w:sz w:val="28"/>
          <w:szCs w:val="28"/>
          <w:highlight w:val="none"/>
        </w:rPr>
        <w:t>八、竣工验收</w:t>
      </w:r>
      <w:bookmarkEnd w:id="95"/>
      <w:bookmarkEnd w:id="96"/>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实现各项设计功能，顺利移交，即为合格。</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97" w:name="_Toc27355"/>
      <w:bookmarkStart w:id="98" w:name="_Toc65054297"/>
      <w:r>
        <w:rPr>
          <w:rFonts w:hint="eastAsia" w:ascii="宋体" w:hAnsi="宋体" w:cs="宋体"/>
          <w:color w:val="auto"/>
          <w:sz w:val="28"/>
          <w:szCs w:val="28"/>
          <w:highlight w:val="none"/>
        </w:rPr>
        <w:t>九、工程款支付</w:t>
      </w:r>
      <w:bookmarkEnd w:id="97"/>
      <w:bookmarkEnd w:id="98"/>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bookmarkStart w:id="99" w:name="_Toc18906"/>
      <w:r>
        <w:rPr>
          <w:rFonts w:ascii="宋体" w:hAnsi="宋体"/>
          <w:color w:val="auto"/>
          <w:sz w:val="24"/>
          <w:highlight w:val="none"/>
        </w:rPr>
        <w:t>1</w:t>
      </w:r>
      <w:r>
        <w:rPr>
          <w:rFonts w:hint="eastAsia" w:ascii="宋体" w:hAnsi="宋体"/>
          <w:color w:val="auto"/>
          <w:sz w:val="24"/>
          <w:highlight w:val="none"/>
        </w:rPr>
        <w:t>、</w:t>
      </w:r>
      <w:r>
        <w:rPr>
          <w:rFonts w:ascii="宋体" w:hAnsi="宋体"/>
          <w:color w:val="auto"/>
          <w:sz w:val="24"/>
          <w:highlight w:val="none"/>
        </w:rPr>
        <w:t>本工程无预付款</w:t>
      </w:r>
      <w:r>
        <w:rPr>
          <w:rFonts w:hint="eastAsia" w:ascii="宋体" w:hAnsi="宋体"/>
          <w:color w:val="auto"/>
          <w:sz w:val="24"/>
          <w:highlight w:val="none"/>
        </w:rPr>
        <w:t>。</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①按月办理验工计价与支付：按月验工计价的</w:t>
      </w:r>
      <w:r>
        <w:rPr>
          <w:rFonts w:ascii="宋体" w:hAnsi="宋体"/>
          <w:color w:val="auto"/>
          <w:sz w:val="24"/>
          <w:highlight w:val="none"/>
        </w:rPr>
        <w:t>80%进行支付；验工计价按附件的验工计价管理办法执行，合同履行期间发布新办法的按新办法规定执行。</w:t>
      </w:r>
    </w:p>
    <w:p>
      <w:pPr>
        <w:pStyle w:val="66"/>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s="宋体"/>
          <w:color w:val="auto"/>
          <w:sz w:val="24"/>
          <w:szCs w:val="24"/>
          <w:highlight w:val="none"/>
        </w:rPr>
        <w:t>②</w:t>
      </w:r>
      <w:r>
        <w:rPr>
          <w:rFonts w:hint="eastAsia" w:ascii="宋体" w:hAnsi="宋体"/>
          <w:color w:val="auto"/>
          <w:sz w:val="24"/>
          <w:highlight w:val="none"/>
        </w:rPr>
        <w:t>竣工验收合格且按发包人要求按时退场后支付至月验工计价累计金额的</w:t>
      </w:r>
      <w:r>
        <w:rPr>
          <w:rFonts w:ascii="宋体" w:hAnsi="宋体"/>
          <w:color w:val="auto"/>
          <w:sz w:val="24"/>
          <w:highlight w:val="none"/>
        </w:rPr>
        <w:t>85%，且不超过合同价（不含暂列金额）的</w:t>
      </w:r>
      <w:r>
        <w:rPr>
          <w:rFonts w:hint="eastAsia" w:ascii="宋体" w:hAnsi="宋体"/>
          <w:color w:val="auto"/>
          <w:sz w:val="24"/>
          <w:highlight w:val="none"/>
        </w:rPr>
        <w:t>90</w:t>
      </w:r>
      <w:r>
        <w:rPr>
          <w:rFonts w:ascii="宋体" w:hAnsi="宋体"/>
          <w:color w:val="auto"/>
          <w:sz w:val="24"/>
          <w:highlight w:val="none"/>
        </w:rPr>
        <w:t>%</w:t>
      </w:r>
      <w:r>
        <w:rPr>
          <w:rFonts w:hint="eastAsia" w:ascii="宋体" w:hAnsi="宋体"/>
          <w:color w:val="auto"/>
          <w:sz w:val="24"/>
          <w:highlight w:val="none"/>
        </w:rPr>
        <w:t>。</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③办理完最终的竣工结算，承包人提供全部结算金额的合法增值税专用发票后，支付至结算价款的</w:t>
      </w:r>
      <w:r>
        <w:rPr>
          <w:rFonts w:ascii="宋体" w:hAnsi="宋体"/>
          <w:color w:val="auto"/>
          <w:sz w:val="24"/>
          <w:highlight w:val="none"/>
        </w:rPr>
        <w:t>97%</w:t>
      </w:r>
      <w:r>
        <w:rPr>
          <w:rFonts w:hint="eastAsia" w:ascii="宋体" w:hAnsi="宋体"/>
          <w:color w:val="auto"/>
          <w:sz w:val="24"/>
          <w:highlight w:val="none"/>
        </w:rPr>
        <w:t>。</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hint="eastAsia" w:ascii="宋体" w:hAnsi="宋体"/>
          <w:color w:val="auto"/>
          <w:sz w:val="24"/>
          <w:highlight w:val="none"/>
        </w:rPr>
        <w:t>④质量保证金的支付：质量保证金为结算价款的</w:t>
      </w:r>
      <w:r>
        <w:rPr>
          <w:rFonts w:ascii="宋体" w:hAnsi="宋体"/>
          <w:color w:val="auto"/>
          <w:sz w:val="24"/>
          <w:highlight w:val="none"/>
        </w:rPr>
        <w:t>3%，承包人按发包人要求履行了合同约定保修义务满二年后支付结算价款</w:t>
      </w:r>
      <w:r>
        <w:rPr>
          <w:rFonts w:hint="eastAsia" w:ascii="宋体" w:hAnsi="宋体"/>
          <w:color w:val="auto"/>
          <w:sz w:val="24"/>
          <w:highlight w:val="none"/>
        </w:rPr>
        <w:t>3</w:t>
      </w:r>
      <w:r>
        <w:rPr>
          <w:rFonts w:ascii="宋体" w:hAnsi="宋体"/>
          <w:color w:val="auto"/>
          <w:sz w:val="24"/>
          <w:highlight w:val="none"/>
        </w:rPr>
        <w:t>%（不计利息）的工程质量保证金，</w:t>
      </w:r>
      <w:r>
        <w:rPr>
          <w:rFonts w:hint="eastAsia" w:ascii="宋体" w:hAnsi="宋体"/>
          <w:color w:val="auto"/>
          <w:sz w:val="24"/>
          <w:highlight w:val="none"/>
        </w:rPr>
        <w:t>但并不免除承包人在保修期内的保修责任。</w:t>
      </w:r>
    </w:p>
    <w:p>
      <w:pPr>
        <w:pStyle w:val="82"/>
        <w:keepLines w:val="0"/>
        <w:pageBreakBefore w:val="0"/>
        <w:kinsoku/>
        <w:wordWrap/>
        <w:overflowPunct/>
        <w:topLinePunct w:val="0"/>
        <w:autoSpaceDE/>
        <w:autoSpaceDN/>
        <w:bidi w:val="0"/>
        <w:spacing w:line="360" w:lineRule="auto"/>
        <w:ind w:left="0" w:leftChars="0" w:right="0" w:rightChars="0" w:firstLine="480" w:firstLineChars="200"/>
        <w:rPr>
          <w:rFonts w:hint="eastAsia" w:ascii="宋体" w:hAnsi="宋体"/>
          <w:color w:val="auto"/>
          <w:sz w:val="24"/>
          <w:szCs w:val="22"/>
          <w:highlight w:val="none"/>
        </w:rPr>
      </w:pPr>
      <w:r>
        <w:rPr>
          <w:rFonts w:hint="eastAsia" w:ascii="宋体" w:hAnsi="宋体"/>
          <w:color w:val="auto"/>
          <w:sz w:val="24"/>
          <w:szCs w:val="22"/>
          <w:highlight w:val="none"/>
        </w:rPr>
        <w:t>⑤变更的支付：工程变更的价款经费用审批完成后与工程进度款同期同比例支付。</w:t>
      </w:r>
    </w:p>
    <w:p>
      <w:pPr>
        <w:keepLines w:val="0"/>
        <w:pageBreakBefore w:val="0"/>
        <w:kinsoku/>
        <w:wordWrap/>
        <w:overflowPunct/>
        <w:topLinePunct w:val="0"/>
        <w:autoSpaceDE/>
        <w:autoSpaceDN/>
        <w:bidi w:val="0"/>
        <w:spacing w:line="360" w:lineRule="auto"/>
        <w:ind w:left="0" w:leftChars="0" w:right="0" w:rightChars="0" w:firstLine="480" w:firstLineChars="200"/>
        <w:rPr>
          <w:rFonts w:hint="default" w:ascii="宋体" w:hAnsi="宋体" w:eastAsia="宋体"/>
          <w:color w:val="auto"/>
          <w:sz w:val="24"/>
          <w:szCs w:val="22"/>
          <w:highlight w:val="none"/>
          <w:lang w:val="en-US" w:eastAsia="zh-CN"/>
        </w:rPr>
      </w:pPr>
      <w:r>
        <w:rPr>
          <w:rFonts w:hint="eastAsia" w:ascii="宋体" w:hAnsi="宋体"/>
          <w:color w:val="auto"/>
          <w:sz w:val="24"/>
          <w:highlight w:val="none"/>
        </w:rPr>
        <w:t>⑥每次支付由承包人发起付款申请,承包人提交全额合法的</w:t>
      </w:r>
      <w:r>
        <w:rPr>
          <w:rFonts w:ascii="宋体" w:hAnsi="宋体"/>
          <w:color w:val="auto"/>
          <w:sz w:val="24"/>
          <w:highlight w:val="none"/>
        </w:rPr>
        <w:t>增值税</w:t>
      </w:r>
      <w:r>
        <w:rPr>
          <w:rFonts w:hint="eastAsia" w:ascii="宋体" w:hAnsi="宋体"/>
          <w:color w:val="auto"/>
          <w:sz w:val="24"/>
          <w:highlight w:val="none"/>
        </w:rPr>
        <w:t>专用</w:t>
      </w:r>
      <w:r>
        <w:rPr>
          <w:rFonts w:ascii="宋体" w:hAnsi="宋体"/>
          <w:color w:val="auto"/>
          <w:sz w:val="24"/>
          <w:highlight w:val="none"/>
        </w:rPr>
        <w:t>发票</w:t>
      </w:r>
      <w:r>
        <w:rPr>
          <w:rFonts w:hint="eastAsia" w:ascii="宋体" w:hAnsi="宋体"/>
          <w:color w:val="auto"/>
          <w:sz w:val="24"/>
          <w:highlight w:val="none"/>
        </w:rPr>
        <w:t>，经发包人审批完成后21个工作日内支付。第一次付款前承包人必须提交履约保函方可支付。</w:t>
      </w:r>
      <w:r>
        <w:rPr>
          <w:rFonts w:hint="eastAsia" w:ascii="宋体" w:hAnsi="宋体"/>
          <w:color w:val="auto"/>
          <w:sz w:val="24"/>
          <w:highlight w:val="none"/>
          <w:lang w:val="en-US" w:eastAsia="zh-CN"/>
        </w:rPr>
        <w:t>履约保函为合同金额的10%，履约保函格式</w:t>
      </w:r>
      <w:r>
        <w:rPr>
          <w:rFonts w:hint="eastAsia" w:ascii="宋体" w:hAnsi="宋体"/>
          <w:color w:val="auto"/>
          <w:sz w:val="24"/>
          <w:highlight w:val="none"/>
        </w:rPr>
        <w:t>须</w:t>
      </w:r>
      <w:r>
        <w:rPr>
          <w:rFonts w:hint="eastAsia" w:ascii="宋体" w:hAnsi="宋体"/>
          <w:color w:val="auto"/>
          <w:sz w:val="24"/>
          <w:highlight w:val="none"/>
          <w:lang w:val="en-US" w:eastAsia="zh-CN"/>
        </w:rPr>
        <w:t>满足发包人要求。</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、期中支付最低金额：无</w:t>
      </w:r>
      <w:r>
        <w:rPr>
          <w:rFonts w:ascii="宋体" w:hAnsi="宋体"/>
          <w:color w:val="auto"/>
          <w:sz w:val="24"/>
          <w:highlight w:val="none"/>
        </w:rPr>
        <w:t>。</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100" w:name="_Toc65054298"/>
      <w:r>
        <w:rPr>
          <w:rFonts w:hint="eastAsia" w:ascii="宋体" w:hAnsi="宋体" w:cs="宋体"/>
          <w:color w:val="auto"/>
          <w:sz w:val="28"/>
          <w:szCs w:val="28"/>
          <w:highlight w:val="none"/>
        </w:rPr>
        <w:t>十、工程结算</w:t>
      </w:r>
      <w:bookmarkEnd w:id="99"/>
      <w:bookmarkEnd w:id="100"/>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1、结算模式：</w:t>
      </w:r>
      <w:r>
        <w:rPr>
          <w:rFonts w:ascii="宋体" w:hAnsi="宋体" w:cs="宋体"/>
          <w:color w:val="auto"/>
          <w:sz w:val="24"/>
          <w:szCs w:val="24"/>
          <w:highlight w:val="none"/>
        </w:rPr>
        <w:t>本工程为固定单价、措施费包干合同，本工程结算价=施工图造价（若进行清单更新，则为清单更新成果）+ 变更签证造价 + 其他调整造价（工料机调差、索赔、奖罚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防疫费用</w:t>
      </w:r>
      <w:r>
        <w:rPr>
          <w:rFonts w:ascii="宋体" w:hAnsi="宋体" w:cs="宋体"/>
          <w:color w:val="auto"/>
          <w:sz w:val="24"/>
          <w:szCs w:val="24"/>
          <w:highlight w:val="none"/>
        </w:rPr>
        <w:t>等）。</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2、承包人向发包人提交竣工结算书及完整的结算资料的时间要求为本工程竣工验收合格后 56天。</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3、发包人核对竣工结算书期限为承包人提交竣工结算书和完整结算资料后84天。</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4、承包人提交修改竣工结算书或补充结算资料的期限为发包人提出核对意见或补充结算资料要求后28天；发包人核对经修改的竣工结算书的期限为承包人提交修改竣工结算书或补充结算资料后 28 天。</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5、对发包人提出的核对意见承包人应提出异议的期限为28天。</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6、在以下情况下，发包人可启动强制结算机制，将其单方编制的结算文件送审计或审核：  ①发包人通知承包人按要求提交结算书及结算资料，通知后14天内仍不提交的或没有明确答复的；②承包人在收到发包人提出的核对意见后28天内未提出异议或没有明确答复的；③承包人在收到发包人要求补充结算资料后28天内仍不提交的或没有明确答复的；④与承包人协商不能达成一致意见，承包人拒不配合解决争议。⑤承包人拒不配合结算核对，包括但不限于拖延、拒绝。</w:t>
      </w:r>
    </w:p>
    <w:p>
      <w:pPr>
        <w:pStyle w:val="2"/>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w:t>
      </w:r>
      <w:r>
        <w:rPr>
          <w:rFonts w:ascii="宋体" w:hAnsi="宋体"/>
          <w:color w:val="auto"/>
          <w:sz w:val="24"/>
          <w:highlight w:val="none"/>
        </w:rPr>
        <w:t>承包人</w:t>
      </w:r>
      <w:r>
        <w:rPr>
          <w:rFonts w:hint="eastAsia" w:ascii="宋体" w:hAnsi="宋体" w:cs="宋体"/>
          <w:color w:val="auto"/>
          <w:sz w:val="24"/>
          <w:szCs w:val="24"/>
          <w:highlight w:val="none"/>
        </w:rPr>
        <w:t>不得高估冒算，</w:t>
      </w:r>
      <w:r>
        <w:rPr>
          <w:rFonts w:hint="eastAsia" w:ascii="宋体" w:hAnsi="宋体" w:cs="宋体"/>
          <w:color w:val="auto"/>
          <w:sz w:val="24"/>
          <w:szCs w:val="24"/>
          <w:highlight w:val="none"/>
          <w:lang w:val="en-US" w:eastAsia="zh-CN"/>
        </w:rPr>
        <w:t>承包人结算核减率（核减率=|（承包人送审造价-业主审定造价）/业主审定造价|）超过10%的，承包人按以下方式承担违约金：违约金=|承包人送审造价×（核减率-10%）×10%|，发包人有权在向承包人支付预付款、工程进度款、结算款等环节直接扣除或可从履约保证金、履约保函中获得索赔。</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bookmarkStart w:id="101" w:name="_Toc23581"/>
      <w:bookmarkStart w:id="102" w:name="_Toc65054299"/>
      <w:r>
        <w:rPr>
          <w:rFonts w:hint="eastAsia" w:ascii="宋体" w:hAnsi="宋体" w:cs="宋体"/>
          <w:color w:val="auto"/>
          <w:sz w:val="24"/>
          <w:szCs w:val="24"/>
          <w:highlight w:val="none"/>
        </w:rPr>
        <w:t>8、本合同</w:t>
      </w:r>
      <w:r>
        <w:rPr>
          <w:rFonts w:ascii="宋体" w:hAnsi="宋体" w:cs="宋体"/>
          <w:color w:val="auto"/>
          <w:sz w:val="24"/>
          <w:szCs w:val="24"/>
          <w:highlight w:val="none"/>
        </w:rPr>
        <w:t>最终的竣工结算和支付依据约定如下：</w:t>
      </w:r>
      <w:r>
        <w:rPr>
          <w:rFonts w:ascii="宋体" w:hAnsi="宋体" w:cs="宋体"/>
          <w:color w:val="auto"/>
          <w:sz w:val="24"/>
          <w:szCs w:val="24"/>
          <w:highlight w:val="none"/>
          <w:u w:val="single"/>
        </w:rPr>
        <w:t>以发包人审核结果为准，如按规定须经过政府指定机构审计或评审或审核，则以政府指定机构审计或评审或审核结果为准。否则，以发包人审核结果</w:t>
      </w:r>
      <w:r>
        <w:rPr>
          <w:rFonts w:ascii="宋体" w:hAnsi="宋体" w:cs="宋体"/>
          <w:color w:val="auto"/>
          <w:sz w:val="24"/>
          <w:szCs w:val="24"/>
          <w:highlight w:val="none"/>
        </w:rPr>
        <w:t>作为最终的竣工结算和支付依据。</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十一、违约与争议解决</w:t>
      </w:r>
      <w:bookmarkEnd w:id="101"/>
      <w:bookmarkEnd w:id="102"/>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因</w:t>
      </w:r>
      <w:r>
        <w:rPr>
          <w:rFonts w:hint="eastAsia" w:ascii="宋体" w:hAnsi="宋体" w:cs="宋体"/>
          <w:color w:val="auto"/>
          <w:sz w:val="24"/>
          <w:szCs w:val="24"/>
          <w:highlight w:val="none"/>
        </w:rPr>
        <w:t>承包人原因在施工过程中发生重伤及以上安全事故、火灾、安全文明施工不合格被政府主管部门处罚或被媒体曝光、工期延误、未严格按专家审批通过的方案施工、承包人未按合同约定完成工作义务等均视为承包人违约，承包人除按下列方式承担违约责任外，发包人保留更换承包人的权利。</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(一)</w:t>
      </w:r>
      <w:r>
        <w:rPr>
          <w:rFonts w:hint="eastAsia" w:ascii="宋体" w:hAnsi="宋体" w:cs="宋体"/>
          <w:color w:val="auto"/>
          <w:sz w:val="24"/>
          <w:szCs w:val="24"/>
          <w:highlight w:val="none"/>
        </w:rPr>
        <w:t>发生重伤及以上安全事故、火灾、安全文明施工不合格被政府主管部门处罚或被媒体曝光、未严格按专家审批通过的方案施工等</w:t>
      </w:r>
      <w:r>
        <w:rPr>
          <w:rFonts w:hint="eastAsia" w:ascii="宋体" w:hAnsi="宋体" w:cs="宋体"/>
          <w:bCs/>
          <w:color w:val="auto"/>
          <w:sz w:val="24"/>
          <w:szCs w:val="24"/>
          <w:highlight w:val="none"/>
        </w:rPr>
        <w:t>，</w:t>
      </w:r>
      <w:r>
        <w:rPr>
          <w:rFonts w:ascii="宋体" w:hAnsi="宋体"/>
          <w:color w:val="auto"/>
          <w:sz w:val="24"/>
          <w:highlight w:val="none"/>
        </w:rPr>
        <w:t>承包人</w:t>
      </w:r>
      <w:r>
        <w:rPr>
          <w:rFonts w:hint="eastAsia" w:ascii="宋体" w:hAnsi="宋体" w:cs="宋体"/>
          <w:bCs/>
          <w:color w:val="auto"/>
          <w:sz w:val="24"/>
          <w:szCs w:val="24"/>
          <w:highlight w:val="none"/>
        </w:rPr>
        <w:t>每次向发包人支付违约金，按地铁相关制度实施，并赔偿因此给发包人造成的损失；</w:t>
      </w:r>
    </w:p>
    <w:p>
      <w:pPr>
        <w:keepLines w:val="0"/>
        <w:pageBreakBefore w:val="0"/>
        <w:kinsoku/>
        <w:wordWrap/>
        <w:overflowPunct/>
        <w:topLinePunct w:val="0"/>
        <w:autoSpaceDE/>
        <w:autoSpaceDN/>
        <w:bidi w:val="0"/>
        <w:spacing w:line="360" w:lineRule="auto"/>
        <w:ind w:left="0" w:leftChars="0" w:right="0" w:rightChars="0"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(二)</w:t>
      </w:r>
      <w:bookmarkStart w:id="103" w:name="_Toc6720"/>
      <w:r>
        <w:rPr>
          <w:rFonts w:ascii="仿宋" w:hAnsi="仿宋" w:eastAsia="仿宋"/>
          <w:color w:val="auto"/>
          <w:sz w:val="32"/>
          <w:szCs w:val="32"/>
          <w:highlight w:val="none"/>
        </w:rPr>
        <w:t xml:space="preserve"> </w:t>
      </w:r>
      <w:r>
        <w:rPr>
          <w:rFonts w:ascii="宋体" w:hAnsi="宋体" w:cs="宋体"/>
          <w:bCs/>
          <w:color w:val="auto"/>
          <w:sz w:val="24"/>
          <w:szCs w:val="24"/>
          <w:highlight w:val="none"/>
        </w:rPr>
        <w:t>承包人未能按施工进度计划及时完成合同约定的工作，造成工期延误的违约责任：</w:t>
      </w:r>
      <w:r>
        <w:rPr>
          <w:rFonts w:hint="eastAsia" w:ascii="宋体" w:hAnsi="宋体" w:cs="宋体"/>
          <w:bCs/>
          <w:color w:val="auto"/>
          <w:sz w:val="24"/>
          <w:szCs w:val="24"/>
          <w:highlight w:val="none"/>
        </w:rPr>
        <w:t>每延误一天，承包人支付1万元误期违约金，延误超过30天后发包人有权解除合同 。</w:t>
      </w:r>
    </w:p>
    <w:p>
      <w:pPr>
        <w:keepLines w:val="0"/>
        <w:pageBreakBefore w:val="0"/>
        <w:kinsoku/>
        <w:wordWrap/>
        <w:overflowPunct/>
        <w:topLinePunct w:val="0"/>
        <w:autoSpaceDE/>
        <w:autoSpaceDN/>
        <w:bidi w:val="0"/>
        <w:spacing w:line="360" w:lineRule="auto"/>
        <w:ind w:left="0" w:leftChars="0" w:right="0" w:rightChars="0" w:firstLine="480" w:firstLineChars="200"/>
        <w:rPr>
          <w:rFonts w:ascii="宋体" w:hAnsi="宋体" w:cs="宋体"/>
          <w:bCs/>
          <w:color w:val="auto"/>
          <w:sz w:val="24"/>
          <w:szCs w:val="24"/>
          <w:highlight w:val="none"/>
        </w:rPr>
      </w:pPr>
      <w:r>
        <w:rPr>
          <w:rFonts w:ascii="宋体" w:hAnsi="宋体" w:cs="宋体"/>
          <w:bCs/>
          <w:color w:val="auto"/>
          <w:sz w:val="24"/>
          <w:szCs w:val="24"/>
          <w:highlight w:val="none"/>
        </w:rPr>
        <w:t>承包人明确表示或其行为表明不履行合同主要义务的违约责任：</w:t>
      </w:r>
      <w:r>
        <w:rPr>
          <w:rFonts w:hint="eastAsia" w:ascii="宋体" w:hAnsi="宋体" w:cs="宋体"/>
          <w:bCs/>
          <w:color w:val="auto"/>
          <w:sz w:val="24"/>
          <w:szCs w:val="24"/>
          <w:highlight w:val="none"/>
        </w:rPr>
        <w:t>承包人不得以任何理由拒绝办理或延迟办理发包人委托办理的合同范围内工作，每发生一项罚款</w:t>
      </w:r>
      <w:r>
        <w:rPr>
          <w:rFonts w:ascii="宋体" w:hAnsi="宋体" w:cs="宋体"/>
          <w:bCs/>
          <w:color w:val="auto"/>
          <w:sz w:val="24"/>
          <w:szCs w:val="24"/>
          <w:highlight w:val="none"/>
        </w:rPr>
        <w:t>5</w:t>
      </w:r>
      <w:r>
        <w:rPr>
          <w:rFonts w:hint="eastAsia" w:ascii="宋体" w:hAnsi="宋体" w:cs="宋体"/>
          <w:bCs/>
          <w:color w:val="auto"/>
          <w:sz w:val="24"/>
          <w:szCs w:val="24"/>
          <w:highlight w:val="none"/>
        </w:rPr>
        <w:t>万元；</w:t>
      </w:r>
      <w:r>
        <w:rPr>
          <w:rFonts w:ascii="宋体" w:hAnsi="宋体" w:cs="宋体"/>
          <w:bCs/>
          <w:color w:val="auto"/>
          <w:sz w:val="24"/>
          <w:szCs w:val="24"/>
          <w:highlight w:val="none"/>
        </w:rPr>
        <w:t>造成工期延误的</w:t>
      </w:r>
      <w:r>
        <w:rPr>
          <w:rFonts w:hint="eastAsia" w:ascii="宋体" w:hAnsi="宋体" w:cs="宋体"/>
          <w:bCs/>
          <w:color w:val="auto"/>
          <w:sz w:val="24"/>
          <w:szCs w:val="24"/>
          <w:highlight w:val="none"/>
        </w:rPr>
        <w:t>，每延误一天，承包人支付</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万元误期违约金，延误超过30天后发包人有权解除合同。</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w:t>
      </w:r>
      <w:r>
        <w:rPr>
          <w:rFonts w:hint="eastAsia" w:ascii="宋体" w:hAnsi="宋体" w:cs="宋体"/>
          <w:bCs/>
          <w:color w:val="auto"/>
          <w:sz w:val="24"/>
          <w:szCs w:val="24"/>
          <w:highlight w:val="none"/>
        </w:rPr>
        <w:t>合同双方同意，任何涉及本合同及其附件的争议应由双方通过友好协商解决。如协商不成，可提交有关主管部门调解。如调解仍未能达成一致意见时，提交发包人所在地人民法院提起诉讼。</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104" w:name="_Toc65054300"/>
      <w:r>
        <w:rPr>
          <w:rFonts w:hint="eastAsia" w:ascii="宋体" w:hAnsi="宋体" w:cs="宋体"/>
          <w:color w:val="auto"/>
          <w:sz w:val="28"/>
          <w:szCs w:val="28"/>
          <w:highlight w:val="none"/>
        </w:rPr>
        <w:t>十二、其他约定</w:t>
      </w:r>
      <w:bookmarkEnd w:id="103"/>
      <w:bookmarkEnd w:id="104"/>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(一)由于不可抗拒的自然原因(如台风、地震、火灾等)对工程本体造成的直接经济损失，双方共同对等承担。</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(二)因一方不履行合同，而造成对方的经济损失，概由违约方承担经济责任和赔偿对方的经济损失。</w:t>
      </w:r>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(三)在合同有效期内双方必须遵守国家的法律、法令、政策及工程所在地的有关条例规定。</w:t>
      </w:r>
    </w:p>
    <w:p>
      <w:pPr>
        <w:pStyle w:val="3"/>
        <w:keepLines w:val="0"/>
        <w:pageBreakBefore w:val="0"/>
        <w:kinsoku/>
        <w:wordWrap/>
        <w:overflowPunct/>
        <w:topLinePunct w:val="0"/>
        <w:autoSpaceDE/>
        <w:autoSpaceDN/>
        <w:bidi w:val="0"/>
        <w:snapToGrid w:val="0"/>
        <w:spacing w:line="360" w:lineRule="auto"/>
        <w:ind w:left="0" w:leftChars="0" w:right="0" w:rightChars="0" w:firstLine="562" w:firstLineChars="200"/>
        <w:jc w:val="left"/>
        <w:rPr>
          <w:rFonts w:ascii="宋体" w:hAnsi="宋体" w:cs="宋体"/>
          <w:color w:val="auto"/>
          <w:sz w:val="28"/>
          <w:szCs w:val="28"/>
          <w:highlight w:val="none"/>
        </w:rPr>
      </w:pPr>
      <w:bookmarkStart w:id="105" w:name="_Toc65054301"/>
      <w:bookmarkStart w:id="106" w:name="_Toc14592"/>
      <w:r>
        <w:rPr>
          <w:rFonts w:hint="eastAsia" w:ascii="宋体" w:hAnsi="宋体" w:cs="宋体"/>
          <w:color w:val="auto"/>
          <w:sz w:val="28"/>
          <w:szCs w:val="28"/>
          <w:highlight w:val="none"/>
        </w:rPr>
        <w:t>十三、合同份数</w:t>
      </w:r>
      <w:bookmarkEnd w:id="105"/>
      <w:bookmarkEnd w:id="106"/>
    </w:p>
    <w:p>
      <w:pPr>
        <w:keepLines w:val="0"/>
        <w:pageBreakBefore w:val="0"/>
        <w:kinsoku/>
        <w:wordWrap/>
        <w:overflowPunct/>
        <w:topLinePunct w:val="0"/>
        <w:autoSpaceDE/>
        <w:autoSpaceDN/>
        <w:bidi w:val="0"/>
        <w:adjustRightInd w:val="0"/>
        <w:snapToGrid w:val="0"/>
        <w:spacing w:line="360" w:lineRule="auto"/>
        <w:ind w:left="0" w:leftChars="0" w:right="0" w:rightChars="0"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本合同正本</w:t>
      </w:r>
      <w:r>
        <w:rPr>
          <w:rFonts w:hint="eastAsia" w:ascii="宋体" w:hAnsi="宋体" w:cs="宋体"/>
          <w:color w:val="auto"/>
          <w:sz w:val="24"/>
          <w:szCs w:val="24"/>
          <w:highlight w:val="none"/>
          <w:u w:val="single"/>
        </w:rPr>
        <w:t xml:space="preserve"> 2</w:t>
      </w:r>
      <w:r>
        <w:rPr>
          <w:rFonts w:hint="eastAsia" w:ascii="宋体" w:hAnsi="宋体" w:cs="宋体"/>
          <w:color w:val="auto"/>
          <w:sz w:val="24"/>
          <w:szCs w:val="24"/>
          <w:highlight w:val="none"/>
        </w:rPr>
        <w:t>份，双方各执</w:t>
      </w:r>
      <w:r>
        <w:rPr>
          <w:rFonts w:hint="eastAsia" w:ascii="宋体" w:hAnsi="宋体" w:cs="宋体"/>
          <w:color w:val="auto"/>
          <w:sz w:val="24"/>
          <w:szCs w:val="24"/>
          <w:highlight w:val="none"/>
          <w:u w:val="single"/>
        </w:rPr>
        <w:t xml:space="preserve"> 1</w:t>
      </w:r>
      <w:r>
        <w:rPr>
          <w:rFonts w:hint="eastAsia" w:ascii="宋体" w:hAnsi="宋体" w:cs="宋体"/>
          <w:color w:val="auto"/>
          <w:sz w:val="24"/>
          <w:szCs w:val="24"/>
          <w:highlight w:val="none"/>
        </w:rPr>
        <w:t>份。副本</w:t>
      </w:r>
      <w:r>
        <w:rPr>
          <w:rFonts w:hint="eastAsia" w:ascii="宋体" w:hAnsi="宋体" w:cs="宋体"/>
          <w:color w:val="auto"/>
          <w:sz w:val="24"/>
          <w:szCs w:val="24"/>
          <w:highlight w:val="none"/>
          <w:u w:val="single"/>
        </w:rPr>
        <w:t xml:space="preserve"> 14</w:t>
      </w:r>
      <w:r>
        <w:rPr>
          <w:rFonts w:hint="eastAsia" w:ascii="宋体" w:hAnsi="宋体" w:cs="宋体"/>
          <w:color w:val="auto"/>
          <w:sz w:val="24"/>
          <w:szCs w:val="24"/>
          <w:highlight w:val="none"/>
        </w:rPr>
        <w:t>份，发包人执</w:t>
      </w:r>
      <w:r>
        <w:rPr>
          <w:rFonts w:hint="eastAsia" w:ascii="宋体" w:hAnsi="宋体" w:cs="宋体"/>
          <w:color w:val="auto"/>
          <w:sz w:val="24"/>
          <w:szCs w:val="24"/>
          <w:highlight w:val="none"/>
          <w:u w:val="single"/>
        </w:rPr>
        <w:t xml:space="preserve"> 10</w:t>
      </w:r>
      <w:r>
        <w:rPr>
          <w:rFonts w:hint="eastAsia" w:ascii="宋体" w:hAnsi="宋体" w:cs="宋体"/>
          <w:color w:val="auto"/>
          <w:sz w:val="24"/>
          <w:szCs w:val="24"/>
          <w:highlight w:val="none"/>
        </w:rPr>
        <w:t>份，承包人执</w:t>
      </w:r>
      <w:r>
        <w:rPr>
          <w:rFonts w:hint="eastAsia" w:ascii="宋体" w:hAnsi="宋体" w:cs="宋体"/>
          <w:color w:val="auto"/>
          <w:sz w:val="24"/>
          <w:szCs w:val="24"/>
          <w:highlight w:val="none"/>
          <w:u w:val="single"/>
        </w:rPr>
        <w:t xml:space="preserve"> 4</w:t>
      </w:r>
      <w:r>
        <w:rPr>
          <w:rFonts w:hint="eastAsia" w:ascii="宋体" w:hAnsi="宋体" w:cs="宋体"/>
          <w:color w:val="auto"/>
          <w:sz w:val="24"/>
          <w:szCs w:val="24"/>
          <w:highlight w:val="none"/>
        </w:rPr>
        <w:t>份，均具同等效力，自双方签字或盖章之日起生效。</w:t>
      </w:r>
    </w:p>
    <w:p>
      <w:pPr>
        <w:pStyle w:val="3"/>
        <w:keepLines w:val="0"/>
        <w:pageBreakBefore w:val="0"/>
        <w:kinsoku/>
        <w:wordWrap/>
        <w:overflowPunct/>
        <w:topLinePunct w:val="0"/>
        <w:autoSpaceDE/>
        <w:autoSpaceDN/>
        <w:bidi w:val="0"/>
        <w:spacing w:line="360" w:lineRule="auto"/>
        <w:ind w:left="0" w:leftChars="0" w:right="0" w:rightChars="0" w:firstLine="562" w:firstLineChars="200"/>
        <w:jc w:val="left"/>
        <w:rPr>
          <w:rFonts w:ascii="宋体" w:hAnsi="宋体" w:cs="宋体"/>
          <w:color w:val="auto"/>
          <w:sz w:val="28"/>
          <w:szCs w:val="28"/>
          <w:highlight w:val="none"/>
        </w:rPr>
      </w:pPr>
      <w:bookmarkStart w:id="107" w:name="_Toc65054302"/>
      <w:bookmarkStart w:id="108" w:name="_Toc26999"/>
      <w:r>
        <w:rPr>
          <w:rFonts w:hint="eastAsia" w:ascii="宋体" w:hAnsi="宋体" w:cs="宋体"/>
          <w:color w:val="auto"/>
          <w:sz w:val="28"/>
          <w:szCs w:val="28"/>
          <w:highlight w:val="none"/>
        </w:rPr>
        <w:t>十四、附件</w:t>
      </w:r>
      <w:bookmarkEnd w:id="107"/>
      <w:bookmarkEnd w:id="108"/>
    </w:p>
    <w:p>
      <w:pPr>
        <w:rPr>
          <w:rFonts w:hint="default" w:eastAsia="宋体"/>
          <w:color w:val="auto"/>
          <w:highlight w:val="none"/>
          <w:lang w:val="en-US" w:eastAsia="zh-CN"/>
        </w:rPr>
      </w:pPr>
      <w:r>
        <w:rPr>
          <w:rFonts w:hint="eastAsia"/>
          <w:color w:val="auto"/>
          <w:highlight w:val="none"/>
          <w:lang w:val="en-US" w:eastAsia="zh-CN"/>
        </w:rPr>
        <w:t xml:space="preserve">    1. 参选报价</w:t>
      </w:r>
    </w:p>
    <w:p>
      <w:pPr>
        <w:rPr>
          <w:rFonts w:ascii="宋体" w:hAnsi="宋体" w:cs="宋体"/>
          <w:color w:val="auto"/>
          <w:sz w:val="24"/>
          <w:szCs w:val="24"/>
          <w:highlight w:val="none"/>
        </w:rPr>
      </w:pPr>
    </w:p>
    <w:tbl>
      <w:tblPr>
        <w:tblStyle w:val="47"/>
        <w:tblW w:w="9732" w:type="dxa"/>
        <w:tblInd w:w="-318" w:type="dxa"/>
        <w:tblLayout w:type="fixed"/>
        <w:tblCellMar>
          <w:top w:w="0" w:type="dxa"/>
          <w:left w:w="108" w:type="dxa"/>
          <w:bottom w:w="0" w:type="dxa"/>
          <w:right w:w="108" w:type="dxa"/>
        </w:tblCellMar>
      </w:tblPr>
      <w:tblGrid>
        <w:gridCol w:w="2194"/>
        <w:gridCol w:w="2741"/>
        <w:gridCol w:w="1919"/>
        <w:gridCol w:w="2878"/>
      </w:tblGrid>
      <w:tr>
        <w:tblPrEx>
          <w:tblCellMar>
            <w:top w:w="0" w:type="dxa"/>
            <w:left w:w="108" w:type="dxa"/>
            <w:bottom w:w="0" w:type="dxa"/>
            <w:right w:w="108" w:type="dxa"/>
          </w:tblCellMar>
        </w:tblPrEx>
        <w:trPr>
          <w:trHeight w:val="1171" w:hRule="exact"/>
        </w:trPr>
        <w:tc>
          <w:tcPr>
            <w:tcW w:w="2194" w:type="dxa"/>
          </w:tcPr>
          <w:p>
            <w:pPr>
              <w:rPr>
                <w:rFonts w:ascii="宋体" w:hAnsi="宋体"/>
                <w:b/>
                <w:color w:val="auto"/>
                <w:sz w:val="30"/>
                <w:szCs w:val="30"/>
                <w:highlight w:val="none"/>
              </w:rPr>
            </w:pPr>
            <w:r>
              <w:rPr>
                <w:rFonts w:hint="eastAsia" w:ascii="宋体" w:hAnsi="宋体"/>
                <w:b/>
                <w:color w:val="auto"/>
                <w:sz w:val="30"/>
                <w:szCs w:val="30"/>
                <w:highlight w:val="none"/>
              </w:rPr>
              <w:t>发包人</w:t>
            </w:r>
            <w:r>
              <w:rPr>
                <w:rFonts w:hint="eastAsia" w:ascii="宋体" w:hAnsi="宋体"/>
                <w:b/>
                <w:color w:val="auto"/>
                <w:sz w:val="30"/>
                <w:szCs w:val="30"/>
                <w:highlight w:val="none"/>
                <w:lang w:eastAsia="zh-CN"/>
              </w:rPr>
              <w:t>（</w:t>
            </w:r>
            <w:r>
              <w:rPr>
                <w:rFonts w:hint="eastAsia" w:ascii="宋体" w:hAnsi="宋体"/>
                <w:b/>
                <w:color w:val="auto"/>
                <w:sz w:val="30"/>
                <w:szCs w:val="30"/>
                <w:highlight w:val="none"/>
                <w:lang w:val="en-US" w:eastAsia="zh-CN"/>
              </w:rPr>
              <w:t>盖章</w:t>
            </w:r>
            <w:r>
              <w:rPr>
                <w:rFonts w:hint="eastAsia" w:ascii="宋体" w:hAnsi="宋体"/>
                <w:b/>
                <w:color w:val="auto"/>
                <w:sz w:val="30"/>
                <w:szCs w:val="30"/>
                <w:highlight w:val="none"/>
                <w:lang w:eastAsia="zh-CN"/>
              </w:rPr>
              <w:t>）</w:t>
            </w:r>
            <w:r>
              <w:rPr>
                <w:rFonts w:ascii="宋体" w:hAnsi="宋体"/>
                <w:b/>
                <w:color w:val="auto"/>
                <w:sz w:val="30"/>
                <w:szCs w:val="30"/>
                <w:highlight w:val="none"/>
              </w:rPr>
              <w:t>：</w:t>
            </w:r>
          </w:p>
        </w:tc>
        <w:tc>
          <w:tcPr>
            <w:tcW w:w="2741" w:type="dxa"/>
          </w:tcPr>
          <w:p>
            <w:pPr>
              <w:spacing w:before="25" w:line="240" w:lineRule="atLeast"/>
              <w:rPr>
                <w:rFonts w:ascii="宋体" w:hAnsi="宋体"/>
                <w:b/>
                <w:color w:val="auto"/>
                <w:sz w:val="28"/>
                <w:szCs w:val="28"/>
                <w:highlight w:val="none"/>
              </w:rPr>
            </w:pPr>
            <w:r>
              <w:rPr>
                <w:rFonts w:ascii="宋体" w:hAnsi="宋体"/>
                <w:b/>
                <w:color w:val="auto"/>
                <w:sz w:val="28"/>
                <w:szCs w:val="28"/>
                <w:highlight w:val="none"/>
              </w:rPr>
              <w:t>深圳市地铁集团有限公司</w:t>
            </w:r>
          </w:p>
        </w:tc>
        <w:tc>
          <w:tcPr>
            <w:tcW w:w="1919" w:type="dxa"/>
          </w:tcPr>
          <w:p>
            <w:pPr>
              <w:spacing w:line="240" w:lineRule="atLeast"/>
              <w:rPr>
                <w:rFonts w:ascii="宋体" w:hAnsi="宋体"/>
                <w:b/>
                <w:color w:val="auto"/>
                <w:sz w:val="28"/>
                <w:szCs w:val="28"/>
                <w:highlight w:val="none"/>
              </w:rPr>
            </w:pPr>
            <w:r>
              <w:rPr>
                <w:rFonts w:ascii="宋体" w:hAnsi="宋体"/>
                <w:b/>
                <w:color w:val="auto"/>
                <w:sz w:val="28"/>
                <w:szCs w:val="28"/>
                <w:highlight w:val="none"/>
              </w:rPr>
              <w:t>法定代表人</w:t>
            </w:r>
            <w:r>
              <w:rPr>
                <w:rFonts w:hint="eastAsia" w:ascii="宋体" w:hAnsi="宋体"/>
                <w:b/>
                <w:color w:val="auto"/>
                <w:sz w:val="28"/>
                <w:szCs w:val="28"/>
                <w:highlight w:val="none"/>
              </w:rPr>
              <w:t>或授权代表</w:t>
            </w:r>
            <w:r>
              <w:rPr>
                <w:rFonts w:ascii="宋体" w:hAnsi="宋体"/>
                <w:b/>
                <w:color w:val="auto"/>
                <w:sz w:val="28"/>
                <w:szCs w:val="28"/>
                <w:highlight w:val="none"/>
              </w:rPr>
              <w:t>：</w:t>
            </w:r>
          </w:p>
        </w:tc>
        <w:tc>
          <w:tcPr>
            <w:tcW w:w="2878" w:type="dxa"/>
          </w:tcPr>
          <w:p>
            <w:pPr>
              <w:rPr>
                <w:rFonts w:ascii="宋体" w:hAnsi="宋体"/>
                <w:color w:val="auto"/>
                <w:sz w:val="24"/>
                <w:highlight w:val="none"/>
              </w:rPr>
            </w:pPr>
          </w:p>
        </w:tc>
      </w:tr>
      <w:tr>
        <w:tblPrEx>
          <w:tblCellMar>
            <w:top w:w="0" w:type="dxa"/>
            <w:left w:w="108" w:type="dxa"/>
            <w:bottom w:w="0" w:type="dxa"/>
            <w:right w:w="108" w:type="dxa"/>
          </w:tblCellMar>
        </w:tblPrEx>
        <w:trPr>
          <w:trHeight w:val="840" w:hRule="exact"/>
        </w:trPr>
        <w:tc>
          <w:tcPr>
            <w:tcW w:w="2194" w:type="dxa"/>
          </w:tcPr>
          <w:p>
            <w:pPr>
              <w:rPr>
                <w:rFonts w:ascii="宋体" w:hAnsi="宋体"/>
                <w:color w:val="auto"/>
                <w:sz w:val="24"/>
                <w:highlight w:val="none"/>
              </w:rPr>
            </w:pPr>
            <w:r>
              <w:rPr>
                <w:rFonts w:ascii="宋体" w:hAnsi="宋体"/>
                <w:color w:val="auto"/>
                <w:sz w:val="24"/>
                <w:highlight w:val="none"/>
              </w:rPr>
              <w:t>住    所：</w:t>
            </w:r>
          </w:p>
        </w:tc>
        <w:tc>
          <w:tcPr>
            <w:tcW w:w="2741" w:type="dxa"/>
          </w:tcPr>
          <w:p>
            <w:pPr>
              <w:rPr>
                <w:rFonts w:ascii="宋体" w:hAnsi="宋体"/>
                <w:color w:val="auto"/>
                <w:sz w:val="24"/>
                <w:highlight w:val="none"/>
              </w:rPr>
            </w:pPr>
            <w:r>
              <w:rPr>
                <w:rFonts w:ascii="宋体" w:hAnsi="宋体"/>
                <w:color w:val="auto"/>
                <w:sz w:val="24"/>
                <w:highlight w:val="none"/>
              </w:rPr>
              <w:t>深圳市福田区福中一路1016号地铁大厦</w:t>
            </w:r>
          </w:p>
        </w:tc>
        <w:tc>
          <w:tcPr>
            <w:tcW w:w="1919" w:type="dxa"/>
          </w:tcPr>
          <w:p>
            <w:pPr>
              <w:rPr>
                <w:rFonts w:ascii="宋体" w:hAnsi="宋体"/>
                <w:color w:val="auto"/>
                <w:sz w:val="24"/>
                <w:highlight w:val="none"/>
              </w:rPr>
            </w:pPr>
          </w:p>
        </w:tc>
        <w:tc>
          <w:tcPr>
            <w:tcW w:w="2878" w:type="dxa"/>
          </w:tcPr>
          <w:p>
            <w:pPr>
              <w:rPr>
                <w:rFonts w:ascii="宋体" w:hAnsi="宋体"/>
                <w:color w:val="auto"/>
                <w:sz w:val="24"/>
                <w:highlight w:val="none"/>
              </w:rPr>
            </w:pPr>
          </w:p>
        </w:tc>
      </w:tr>
      <w:tr>
        <w:tblPrEx>
          <w:tblCellMar>
            <w:top w:w="0" w:type="dxa"/>
            <w:left w:w="108" w:type="dxa"/>
            <w:bottom w:w="0" w:type="dxa"/>
            <w:right w:w="108" w:type="dxa"/>
          </w:tblCellMar>
        </w:tblPrEx>
        <w:trPr>
          <w:trHeight w:val="699" w:hRule="exact"/>
        </w:trPr>
        <w:tc>
          <w:tcPr>
            <w:tcW w:w="2194" w:type="dxa"/>
          </w:tcPr>
          <w:p>
            <w:pPr>
              <w:rPr>
                <w:rFonts w:ascii="宋体" w:hAnsi="宋体"/>
                <w:color w:val="auto"/>
                <w:sz w:val="24"/>
                <w:highlight w:val="none"/>
              </w:rPr>
            </w:pPr>
            <w:r>
              <w:rPr>
                <w:rFonts w:ascii="宋体" w:hAnsi="宋体"/>
                <w:color w:val="auto"/>
                <w:sz w:val="24"/>
                <w:highlight w:val="none"/>
              </w:rPr>
              <w:t>电    话：</w:t>
            </w:r>
          </w:p>
        </w:tc>
        <w:tc>
          <w:tcPr>
            <w:tcW w:w="2741" w:type="dxa"/>
          </w:tcPr>
          <w:p>
            <w:pPr>
              <w:rPr>
                <w:rFonts w:ascii="宋体" w:hAnsi="宋体"/>
                <w:color w:val="auto"/>
                <w:sz w:val="24"/>
                <w:highlight w:val="none"/>
              </w:rPr>
            </w:pPr>
            <w:r>
              <w:rPr>
                <w:rFonts w:hint="eastAsia" w:ascii="宋体" w:hAnsi="宋体"/>
                <w:color w:val="auto"/>
                <w:sz w:val="24"/>
                <w:highlight w:val="none"/>
              </w:rPr>
              <w:t>0755-23992600</w:t>
            </w:r>
          </w:p>
        </w:tc>
        <w:tc>
          <w:tcPr>
            <w:tcW w:w="1919" w:type="dxa"/>
          </w:tcPr>
          <w:p>
            <w:pPr>
              <w:rPr>
                <w:rFonts w:ascii="宋体" w:hAnsi="宋体"/>
                <w:color w:val="auto"/>
                <w:sz w:val="24"/>
                <w:highlight w:val="none"/>
              </w:rPr>
            </w:pPr>
            <w:r>
              <w:rPr>
                <w:rFonts w:ascii="宋体" w:hAnsi="宋体"/>
                <w:color w:val="auto"/>
                <w:sz w:val="24"/>
                <w:highlight w:val="none"/>
              </w:rPr>
              <w:t>传    真：</w:t>
            </w:r>
          </w:p>
        </w:tc>
        <w:tc>
          <w:tcPr>
            <w:tcW w:w="2878" w:type="dxa"/>
          </w:tcPr>
          <w:p>
            <w:pPr>
              <w:rPr>
                <w:rFonts w:ascii="宋体" w:hAnsi="宋体"/>
                <w:color w:val="auto"/>
                <w:sz w:val="24"/>
                <w:highlight w:val="none"/>
              </w:rPr>
            </w:pPr>
            <w:r>
              <w:rPr>
                <w:rFonts w:hint="eastAsia" w:ascii="宋体" w:hAnsi="宋体"/>
                <w:color w:val="auto"/>
                <w:sz w:val="24"/>
                <w:highlight w:val="none"/>
              </w:rPr>
              <w:t>0755-23992555</w:t>
            </w:r>
          </w:p>
        </w:tc>
      </w:tr>
      <w:tr>
        <w:tblPrEx>
          <w:tblCellMar>
            <w:top w:w="0" w:type="dxa"/>
            <w:left w:w="108" w:type="dxa"/>
            <w:bottom w:w="0" w:type="dxa"/>
            <w:right w:w="108" w:type="dxa"/>
          </w:tblCellMar>
        </w:tblPrEx>
        <w:trPr>
          <w:trHeight w:val="881" w:hRule="exact"/>
        </w:trPr>
        <w:tc>
          <w:tcPr>
            <w:tcW w:w="2194" w:type="dxa"/>
          </w:tcPr>
          <w:p>
            <w:pPr>
              <w:rPr>
                <w:rFonts w:ascii="宋体" w:hAnsi="宋体"/>
                <w:color w:val="auto"/>
                <w:sz w:val="24"/>
                <w:highlight w:val="none"/>
              </w:rPr>
            </w:pPr>
            <w:r>
              <w:rPr>
                <w:rFonts w:ascii="宋体" w:hAnsi="宋体"/>
                <w:color w:val="auto"/>
                <w:sz w:val="24"/>
                <w:highlight w:val="none"/>
              </w:rPr>
              <w:t>开户银行：</w:t>
            </w:r>
          </w:p>
        </w:tc>
        <w:tc>
          <w:tcPr>
            <w:tcW w:w="2741" w:type="dxa"/>
          </w:tcPr>
          <w:p>
            <w:pPr>
              <w:rPr>
                <w:rFonts w:ascii="宋体" w:hAnsi="宋体"/>
                <w:color w:val="auto"/>
                <w:sz w:val="24"/>
                <w:highlight w:val="none"/>
              </w:rPr>
            </w:pPr>
            <w:r>
              <w:rPr>
                <w:rFonts w:hint="eastAsia" w:ascii="宋体" w:hAnsi="宋体"/>
                <w:color w:val="auto"/>
                <w:sz w:val="24"/>
                <w:highlight w:val="none"/>
              </w:rPr>
              <w:t>招商银行深圳分行益田</w:t>
            </w:r>
            <w:r>
              <w:rPr>
                <w:rFonts w:ascii="宋体" w:hAnsi="宋体"/>
                <w:color w:val="auto"/>
                <w:sz w:val="24"/>
                <w:highlight w:val="none"/>
              </w:rPr>
              <w:t>支行</w:t>
            </w:r>
          </w:p>
        </w:tc>
        <w:tc>
          <w:tcPr>
            <w:tcW w:w="1919" w:type="dxa"/>
          </w:tcPr>
          <w:p>
            <w:pPr>
              <w:rPr>
                <w:rFonts w:ascii="宋体" w:hAnsi="宋体"/>
                <w:color w:val="auto"/>
                <w:sz w:val="24"/>
                <w:highlight w:val="none"/>
              </w:rPr>
            </w:pPr>
            <w:r>
              <w:rPr>
                <w:rFonts w:ascii="宋体" w:hAnsi="宋体"/>
                <w:color w:val="auto"/>
                <w:sz w:val="24"/>
                <w:highlight w:val="none"/>
              </w:rPr>
              <w:t>开户全名：</w:t>
            </w:r>
          </w:p>
        </w:tc>
        <w:tc>
          <w:tcPr>
            <w:tcW w:w="2878" w:type="dxa"/>
          </w:tcPr>
          <w:p>
            <w:pPr>
              <w:rPr>
                <w:rFonts w:ascii="宋体" w:hAnsi="宋体"/>
                <w:color w:val="auto"/>
                <w:sz w:val="24"/>
                <w:highlight w:val="none"/>
              </w:rPr>
            </w:pPr>
            <w:r>
              <w:rPr>
                <w:rFonts w:ascii="宋体" w:hAnsi="宋体"/>
                <w:color w:val="auto"/>
                <w:sz w:val="24"/>
                <w:highlight w:val="none"/>
              </w:rPr>
              <w:t>深圳市地铁集团有限公司</w:t>
            </w:r>
          </w:p>
        </w:tc>
      </w:tr>
      <w:tr>
        <w:tblPrEx>
          <w:tblCellMar>
            <w:top w:w="0" w:type="dxa"/>
            <w:left w:w="108" w:type="dxa"/>
            <w:bottom w:w="0" w:type="dxa"/>
            <w:right w:w="108" w:type="dxa"/>
          </w:tblCellMar>
        </w:tblPrEx>
        <w:trPr>
          <w:trHeight w:val="801" w:hRule="exact"/>
        </w:trPr>
        <w:tc>
          <w:tcPr>
            <w:tcW w:w="2194" w:type="dxa"/>
          </w:tcPr>
          <w:p>
            <w:pPr>
              <w:rPr>
                <w:rFonts w:ascii="宋体" w:hAnsi="宋体"/>
                <w:color w:val="auto"/>
                <w:sz w:val="24"/>
                <w:highlight w:val="none"/>
              </w:rPr>
            </w:pPr>
            <w:r>
              <w:rPr>
                <w:rFonts w:ascii="宋体" w:hAnsi="宋体"/>
                <w:color w:val="auto"/>
                <w:sz w:val="24"/>
                <w:highlight w:val="none"/>
              </w:rPr>
              <w:t xml:space="preserve">账  </w:t>
            </w:r>
            <w:r>
              <w:rPr>
                <w:rFonts w:hint="eastAsia" w:ascii="宋体" w:hAnsi="宋体"/>
                <w:color w:val="auto"/>
                <w:sz w:val="24"/>
                <w:highlight w:val="none"/>
              </w:rPr>
              <w:t xml:space="preserve">     </w:t>
            </w:r>
            <w:r>
              <w:rPr>
                <w:rFonts w:ascii="宋体" w:hAnsi="宋体"/>
                <w:color w:val="auto"/>
                <w:sz w:val="24"/>
                <w:highlight w:val="none"/>
              </w:rPr>
              <w:t xml:space="preserve">  号</w:t>
            </w:r>
            <w:r>
              <w:rPr>
                <w:rFonts w:hint="eastAsia" w:ascii="宋体" w:hAnsi="宋体"/>
                <w:color w:val="auto"/>
                <w:sz w:val="24"/>
                <w:highlight w:val="none"/>
              </w:rPr>
              <w:t>：</w:t>
            </w:r>
          </w:p>
        </w:tc>
        <w:tc>
          <w:tcPr>
            <w:tcW w:w="2741" w:type="dxa"/>
          </w:tcPr>
          <w:p>
            <w:pPr>
              <w:rPr>
                <w:rFonts w:ascii="宋体" w:hAnsi="宋体"/>
                <w:color w:val="auto"/>
                <w:sz w:val="24"/>
                <w:highlight w:val="none"/>
              </w:rPr>
            </w:pPr>
            <w:r>
              <w:rPr>
                <w:rFonts w:hint="eastAsia" w:ascii="宋体" w:hAnsi="宋体"/>
                <w:color w:val="auto"/>
                <w:sz w:val="24"/>
                <w:highlight w:val="none"/>
              </w:rPr>
              <w:t>755904924410506</w:t>
            </w:r>
          </w:p>
        </w:tc>
        <w:tc>
          <w:tcPr>
            <w:tcW w:w="1919" w:type="dxa"/>
          </w:tcPr>
          <w:p>
            <w:pPr>
              <w:rPr>
                <w:rFonts w:ascii="宋体" w:hAnsi="宋体"/>
                <w:color w:val="auto"/>
                <w:sz w:val="24"/>
                <w:highlight w:val="none"/>
              </w:rPr>
            </w:pPr>
            <w:r>
              <w:rPr>
                <w:rFonts w:ascii="宋体" w:hAnsi="宋体"/>
                <w:color w:val="auto"/>
                <w:sz w:val="24"/>
                <w:highlight w:val="none"/>
              </w:rPr>
              <w:t>邮政编码：</w:t>
            </w:r>
          </w:p>
        </w:tc>
        <w:tc>
          <w:tcPr>
            <w:tcW w:w="2878" w:type="dxa"/>
          </w:tcPr>
          <w:p>
            <w:pPr>
              <w:rPr>
                <w:rFonts w:ascii="宋体" w:hAnsi="宋体"/>
                <w:color w:val="auto"/>
                <w:sz w:val="24"/>
                <w:highlight w:val="none"/>
              </w:rPr>
            </w:pPr>
            <w:r>
              <w:rPr>
                <w:rFonts w:ascii="宋体" w:hAnsi="宋体"/>
                <w:color w:val="auto"/>
                <w:sz w:val="24"/>
                <w:highlight w:val="none"/>
              </w:rPr>
              <w:t>518026</w:t>
            </w:r>
          </w:p>
        </w:tc>
      </w:tr>
      <w:tr>
        <w:tblPrEx>
          <w:tblCellMar>
            <w:top w:w="0" w:type="dxa"/>
            <w:left w:w="108" w:type="dxa"/>
            <w:bottom w:w="0" w:type="dxa"/>
            <w:right w:w="108" w:type="dxa"/>
          </w:tblCellMar>
        </w:tblPrEx>
        <w:trPr>
          <w:trHeight w:val="973" w:hRule="exact"/>
        </w:trPr>
        <w:tc>
          <w:tcPr>
            <w:tcW w:w="2194" w:type="dxa"/>
          </w:tcPr>
          <w:p>
            <w:pPr>
              <w:rPr>
                <w:rFonts w:ascii="宋体" w:hAnsi="宋体"/>
                <w:color w:val="auto"/>
                <w:sz w:val="24"/>
                <w:highlight w:val="none"/>
              </w:rPr>
            </w:pPr>
            <w:r>
              <w:rPr>
                <w:rFonts w:hint="eastAsia" w:ascii="宋体" w:hAnsi="宋体"/>
                <w:color w:val="auto"/>
                <w:sz w:val="24"/>
                <w:highlight w:val="none"/>
              </w:rPr>
              <w:t xml:space="preserve">项目主管部门经办人及电话： </w:t>
            </w:r>
          </w:p>
        </w:tc>
        <w:tc>
          <w:tcPr>
            <w:tcW w:w="2741" w:type="dxa"/>
          </w:tcPr>
          <w:p>
            <w:pPr>
              <w:rPr>
                <w:rFonts w:ascii="宋体" w:hAnsi="宋体"/>
                <w:color w:val="auto"/>
                <w:szCs w:val="21"/>
                <w:highlight w:val="none"/>
              </w:rPr>
            </w:pPr>
          </w:p>
        </w:tc>
        <w:tc>
          <w:tcPr>
            <w:tcW w:w="1919" w:type="dxa"/>
          </w:tcPr>
          <w:p>
            <w:pPr>
              <w:ind w:left="240" w:hanging="240" w:hangingChars="100"/>
              <w:rPr>
                <w:rFonts w:ascii="宋体" w:hAnsi="宋体"/>
                <w:color w:val="auto"/>
                <w:sz w:val="24"/>
                <w:highlight w:val="none"/>
              </w:rPr>
            </w:pPr>
            <w:r>
              <w:rPr>
                <w:rFonts w:hint="eastAsia" w:ascii="宋体" w:hAnsi="宋体"/>
                <w:color w:val="auto"/>
                <w:sz w:val="24"/>
                <w:highlight w:val="none"/>
              </w:rPr>
              <w:t>项目主管部门审核人：</w:t>
            </w:r>
          </w:p>
        </w:tc>
        <w:tc>
          <w:tcPr>
            <w:tcW w:w="2878" w:type="dxa"/>
          </w:tcPr>
          <w:p>
            <w:pPr>
              <w:rPr>
                <w:rFonts w:ascii="宋体" w:hAnsi="宋体"/>
                <w:color w:val="auto"/>
                <w:szCs w:val="21"/>
                <w:highlight w:val="none"/>
              </w:rPr>
            </w:pPr>
          </w:p>
        </w:tc>
      </w:tr>
      <w:tr>
        <w:tblPrEx>
          <w:tblCellMar>
            <w:top w:w="0" w:type="dxa"/>
            <w:left w:w="108" w:type="dxa"/>
            <w:bottom w:w="0" w:type="dxa"/>
            <w:right w:w="108" w:type="dxa"/>
          </w:tblCellMar>
        </w:tblPrEx>
        <w:trPr>
          <w:trHeight w:val="767" w:hRule="exact"/>
        </w:trPr>
        <w:tc>
          <w:tcPr>
            <w:tcW w:w="2194" w:type="dxa"/>
          </w:tcPr>
          <w:p>
            <w:pPr>
              <w:rPr>
                <w:rFonts w:ascii="宋体" w:hAnsi="宋体"/>
                <w:color w:val="auto"/>
                <w:sz w:val="24"/>
                <w:highlight w:val="none"/>
              </w:rPr>
            </w:pPr>
            <w:r>
              <w:rPr>
                <w:rFonts w:hint="eastAsia" w:ascii="宋体" w:hAnsi="宋体"/>
                <w:color w:val="auto"/>
                <w:sz w:val="24"/>
                <w:highlight w:val="none"/>
              </w:rPr>
              <w:t>合约部门经办人及</w:t>
            </w:r>
          </w:p>
          <w:p>
            <w:pPr>
              <w:rPr>
                <w:rFonts w:ascii="宋体" w:hAnsi="宋体"/>
                <w:color w:val="auto"/>
                <w:sz w:val="24"/>
                <w:highlight w:val="none"/>
              </w:rPr>
            </w:pPr>
            <w:r>
              <w:rPr>
                <w:rFonts w:hint="eastAsia" w:ascii="宋体" w:hAnsi="宋体"/>
                <w:color w:val="auto"/>
                <w:sz w:val="24"/>
                <w:highlight w:val="none"/>
              </w:rPr>
              <w:t>电话:</w:t>
            </w:r>
          </w:p>
        </w:tc>
        <w:tc>
          <w:tcPr>
            <w:tcW w:w="2741" w:type="dxa"/>
          </w:tcPr>
          <w:p>
            <w:pPr>
              <w:rPr>
                <w:rFonts w:ascii="宋体" w:hAnsi="宋体"/>
                <w:color w:val="auto"/>
                <w:szCs w:val="21"/>
                <w:highlight w:val="none"/>
              </w:rPr>
            </w:pPr>
          </w:p>
        </w:tc>
        <w:tc>
          <w:tcPr>
            <w:tcW w:w="1919" w:type="dxa"/>
          </w:tcPr>
          <w:p>
            <w:pPr>
              <w:rPr>
                <w:rFonts w:ascii="宋体" w:hAnsi="宋体"/>
                <w:color w:val="auto"/>
                <w:sz w:val="24"/>
                <w:highlight w:val="none"/>
              </w:rPr>
            </w:pPr>
            <w:r>
              <w:rPr>
                <w:rFonts w:hint="eastAsia" w:ascii="宋体" w:hAnsi="宋体"/>
                <w:color w:val="auto"/>
                <w:sz w:val="24"/>
                <w:highlight w:val="none"/>
              </w:rPr>
              <w:t>合约部门审核人：</w:t>
            </w:r>
          </w:p>
        </w:tc>
        <w:tc>
          <w:tcPr>
            <w:tcW w:w="2878" w:type="dxa"/>
          </w:tcPr>
          <w:p>
            <w:pPr>
              <w:rPr>
                <w:rFonts w:ascii="宋体" w:hAnsi="宋体"/>
                <w:color w:val="auto"/>
                <w:szCs w:val="21"/>
                <w:highlight w:val="none"/>
              </w:rPr>
            </w:pPr>
          </w:p>
        </w:tc>
      </w:tr>
      <w:tr>
        <w:tblPrEx>
          <w:tblCellMar>
            <w:top w:w="0" w:type="dxa"/>
            <w:left w:w="108" w:type="dxa"/>
            <w:bottom w:w="0" w:type="dxa"/>
            <w:right w:w="108" w:type="dxa"/>
          </w:tblCellMar>
        </w:tblPrEx>
        <w:trPr>
          <w:trHeight w:val="1084" w:hRule="exact"/>
        </w:trPr>
        <w:tc>
          <w:tcPr>
            <w:tcW w:w="2194" w:type="dxa"/>
          </w:tcPr>
          <w:p>
            <w:pPr>
              <w:rPr>
                <w:rFonts w:ascii="宋体" w:hAnsi="宋体"/>
                <w:b/>
                <w:color w:val="auto"/>
                <w:sz w:val="30"/>
                <w:szCs w:val="30"/>
                <w:highlight w:val="none"/>
              </w:rPr>
            </w:pPr>
            <w:r>
              <w:rPr>
                <w:rFonts w:hint="eastAsia" w:ascii="宋体" w:hAnsi="宋体"/>
                <w:b/>
                <w:color w:val="auto"/>
                <w:sz w:val="30"/>
                <w:szCs w:val="30"/>
                <w:highlight w:val="none"/>
              </w:rPr>
              <w:t>承包人</w:t>
            </w:r>
            <w:r>
              <w:rPr>
                <w:rFonts w:hint="eastAsia" w:ascii="宋体" w:hAnsi="宋体"/>
                <w:b/>
                <w:color w:val="auto"/>
                <w:sz w:val="30"/>
                <w:szCs w:val="30"/>
                <w:highlight w:val="none"/>
                <w:lang w:eastAsia="zh-CN"/>
              </w:rPr>
              <w:t>（</w:t>
            </w:r>
            <w:r>
              <w:rPr>
                <w:rFonts w:hint="eastAsia" w:ascii="宋体" w:hAnsi="宋体"/>
                <w:b/>
                <w:color w:val="auto"/>
                <w:sz w:val="30"/>
                <w:szCs w:val="30"/>
                <w:highlight w:val="none"/>
                <w:lang w:val="en-US" w:eastAsia="zh-CN"/>
              </w:rPr>
              <w:t>盖章</w:t>
            </w:r>
            <w:r>
              <w:rPr>
                <w:rFonts w:hint="eastAsia" w:ascii="宋体" w:hAnsi="宋体"/>
                <w:b/>
                <w:color w:val="auto"/>
                <w:sz w:val="30"/>
                <w:szCs w:val="30"/>
                <w:highlight w:val="none"/>
                <w:lang w:eastAsia="zh-CN"/>
              </w:rPr>
              <w:t>）</w:t>
            </w:r>
            <w:r>
              <w:rPr>
                <w:rFonts w:ascii="宋体" w:hAnsi="宋体"/>
                <w:b/>
                <w:color w:val="auto"/>
                <w:sz w:val="30"/>
                <w:szCs w:val="30"/>
                <w:highlight w:val="none"/>
              </w:rPr>
              <w:t>：</w:t>
            </w:r>
          </w:p>
        </w:tc>
        <w:tc>
          <w:tcPr>
            <w:tcW w:w="2741" w:type="dxa"/>
          </w:tcPr>
          <w:p>
            <w:pPr>
              <w:rPr>
                <w:rFonts w:ascii="宋体" w:hAnsi="宋体"/>
                <w:b/>
                <w:color w:val="auto"/>
                <w:sz w:val="30"/>
                <w:szCs w:val="30"/>
                <w:highlight w:val="none"/>
              </w:rPr>
            </w:pPr>
          </w:p>
        </w:tc>
        <w:tc>
          <w:tcPr>
            <w:tcW w:w="1919" w:type="dxa"/>
          </w:tcPr>
          <w:p>
            <w:pPr>
              <w:rPr>
                <w:rFonts w:ascii="宋体" w:hAnsi="宋体"/>
                <w:b/>
                <w:color w:val="auto"/>
                <w:sz w:val="28"/>
                <w:szCs w:val="28"/>
                <w:highlight w:val="none"/>
              </w:rPr>
            </w:pPr>
            <w:r>
              <w:rPr>
                <w:rFonts w:ascii="宋体" w:hAnsi="宋体"/>
                <w:b/>
                <w:color w:val="auto"/>
                <w:sz w:val="28"/>
                <w:szCs w:val="28"/>
                <w:highlight w:val="none"/>
              </w:rPr>
              <w:t>法定代表人</w:t>
            </w:r>
            <w:r>
              <w:rPr>
                <w:rFonts w:hint="eastAsia" w:ascii="宋体" w:hAnsi="宋体"/>
                <w:b/>
                <w:color w:val="auto"/>
                <w:sz w:val="28"/>
                <w:szCs w:val="28"/>
                <w:highlight w:val="none"/>
              </w:rPr>
              <w:t>或授权代表</w:t>
            </w:r>
            <w:r>
              <w:rPr>
                <w:rFonts w:ascii="宋体" w:hAnsi="宋体"/>
                <w:b/>
                <w:color w:val="auto"/>
                <w:sz w:val="28"/>
                <w:szCs w:val="28"/>
                <w:highlight w:val="none"/>
              </w:rPr>
              <w:t>：</w:t>
            </w:r>
          </w:p>
        </w:tc>
        <w:tc>
          <w:tcPr>
            <w:tcW w:w="2878" w:type="dxa"/>
          </w:tcPr>
          <w:p>
            <w:pPr>
              <w:rPr>
                <w:rFonts w:ascii="宋体" w:hAnsi="宋体"/>
                <w:color w:val="auto"/>
                <w:szCs w:val="21"/>
                <w:highlight w:val="none"/>
              </w:rPr>
            </w:pPr>
          </w:p>
        </w:tc>
      </w:tr>
      <w:tr>
        <w:tblPrEx>
          <w:tblCellMar>
            <w:top w:w="0" w:type="dxa"/>
            <w:left w:w="108" w:type="dxa"/>
            <w:bottom w:w="0" w:type="dxa"/>
            <w:right w:w="108" w:type="dxa"/>
          </w:tblCellMar>
        </w:tblPrEx>
        <w:trPr>
          <w:trHeight w:val="689" w:hRule="exact"/>
        </w:trPr>
        <w:tc>
          <w:tcPr>
            <w:tcW w:w="2194" w:type="dxa"/>
          </w:tcPr>
          <w:p>
            <w:pPr>
              <w:rPr>
                <w:rFonts w:ascii="宋体" w:hAnsi="宋体"/>
                <w:color w:val="auto"/>
                <w:sz w:val="24"/>
                <w:highlight w:val="none"/>
              </w:rPr>
            </w:pPr>
            <w:r>
              <w:rPr>
                <w:rFonts w:ascii="宋体" w:hAnsi="宋体"/>
                <w:color w:val="auto"/>
                <w:sz w:val="24"/>
                <w:highlight w:val="none"/>
              </w:rPr>
              <w:t>住    所：</w:t>
            </w:r>
          </w:p>
        </w:tc>
        <w:tc>
          <w:tcPr>
            <w:tcW w:w="2741" w:type="dxa"/>
          </w:tcPr>
          <w:p>
            <w:pPr>
              <w:rPr>
                <w:rFonts w:ascii="宋体" w:hAnsi="宋体"/>
                <w:color w:val="auto"/>
                <w:szCs w:val="21"/>
                <w:highlight w:val="none"/>
              </w:rPr>
            </w:pPr>
          </w:p>
        </w:tc>
        <w:tc>
          <w:tcPr>
            <w:tcW w:w="1919" w:type="dxa"/>
          </w:tcPr>
          <w:p>
            <w:pPr>
              <w:rPr>
                <w:rFonts w:ascii="宋体" w:hAnsi="宋体"/>
                <w:color w:val="auto"/>
                <w:sz w:val="24"/>
                <w:highlight w:val="none"/>
              </w:rPr>
            </w:pPr>
          </w:p>
        </w:tc>
        <w:tc>
          <w:tcPr>
            <w:tcW w:w="2878" w:type="dxa"/>
          </w:tcPr>
          <w:p>
            <w:pPr>
              <w:rPr>
                <w:rFonts w:ascii="宋体" w:hAnsi="宋体"/>
                <w:color w:val="auto"/>
                <w:szCs w:val="21"/>
                <w:highlight w:val="none"/>
              </w:rPr>
            </w:pPr>
          </w:p>
        </w:tc>
      </w:tr>
      <w:tr>
        <w:tblPrEx>
          <w:tblCellMar>
            <w:top w:w="0" w:type="dxa"/>
            <w:left w:w="108" w:type="dxa"/>
            <w:bottom w:w="0" w:type="dxa"/>
            <w:right w:w="108" w:type="dxa"/>
          </w:tblCellMar>
        </w:tblPrEx>
        <w:trPr>
          <w:trHeight w:val="699" w:hRule="exact"/>
        </w:trPr>
        <w:tc>
          <w:tcPr>
            <w:tcW w:w="2194" w:type="dxa"/>
          </w:tcPr>
          <w:p>
            <w:pPr>
              <w:rPr>
                <w:rFonts w:ascii="宋体" w:hAnsi="宋体"/>
                <w:color w:val="auto"/>
                <w:sz w:val="24"/>
                <w:highlight w:val="none"/>
              </w:rPr>
            </w:pPr>
            <w:r>
              <w:rPr>
                <w:rFonts w:ascii="宋体" w:hAnsi="宋体"/>
                <w:color w:val="auto"/>
                <w:sz w:val="24"/>
                <w:highlight w:val="none"/>
              </w:rPr>
              <w:t>电    话：</w:t>
            </w:r>
          </w:p>
        </w:tc>
        <w:tc>
          <w:tcPr>
            <w:tcW w:w="2741" w:type="dxa"/>
          </w:tcPr>
          <w:p>
            <w:pPr>
              <w:rPr>
                <w:rFonts w:ascii="宋体" w:hAnsi="宋体"/>
                <w:color w:val="auto"/>
                <w:szCs w:val="21"/>
                <w:highlight w:val="none"/>
              </w:rPr>
            </w:pPr>
          </w:p>
        </w:tc>
        <w:tc>
          <w:tcPr>
            <w:tcW w:w="1919" w:type="dxa"/>
          </w:tcPr>
          <w:p>
            <w:pPr>
              <w:rPr>
                <w:rFonts w:ascii="宋体" w:hAnsi="宋体"/>
                <w:color w:val="auto"/>
                <w:sz w:val="24"/>
                <w:highlight w:val="none"/>
              </w:rPr>
            </w:pPr>
            <w:r>
              <w:rPr>
                <w:rFonts w:ascii="宋体" w:hAnsi="宋体"/>
                <w:color w:val="auto"/>
                <w:sz w:val="24"/>
                <w:highlight w:val="none"/>
              </w:rPr>
              <w:t>传    真：</w:t>
            </w:r>
          </w:p>
        </w:tc>
        <w:tc>
          <w:tcPr>
            <w:tcW w:w="2878" w:type="dxa"/>
          </w:tcPr>
          <w:p>
            <w:pPr>
              <w:rPr>
                <w:rFonts w:ascii="宋体" w:hAnsi="宋体"/>
                <w:color w:val="auto"/>
                <w:szCs w:val="21"/>
                <w:highlight w:val="none"/>
              </w:rPr>
            </w:pPr>
          </w:p>
        </w:tc>
      </w:tr>
      <w:tr>
        <w:tblPrEx>
          <w:tblCellMar>
            <w:top w:w="0" w:type="dxa"/>
            <w:left w:w="108" w:type="dxa"/>
            <w:bottom w:w="0" w:type="dxa"/>
            <w:right w:w="108" w:type="dxa"/>
          </w:tblCellMar>
        </w:tblPrEx>
        <w:trPr>
          <w:trHeight w:val="681" w:hRule="exact"/>
        </w:trPr>
        <w:tc>
          <w:tcPr>
            <w:tcW w:w="2194" w:type="dxa"/>
          </w:tcPr>
          <w:p>
            <w:pPr>
              <w:rPr>
                <w:rFonts w:ascii="宋体" w:hAnsi="宋体"/>
                <w:color w:val="auto"/>
                <w:sz w:val="24"/>
                <w:highlight w:val="none"/>
              </w:rPr>
            </w:pPr>
            <w:r>
              <w:rPr>
                <w:rFonts w:ascii="宋体" w:hAnsi="宋体"/>
                <w:color w:val="auto"/>
                <w:sz w:val="24"/>
                <w:highlight w:val="none"/>
              </w:rPr>
              <w:t>开户银行：</w:t>
            </w:r>
          </w:p>
        </w:tc>
        <w:tc>
          <w:tcPr>
            <w:tcW w:w="2741" w:type="dxa"/>
          </w:tcPr>
          <w:p>
            <w:pPr>
              <w:rPr>
                <w:rFonts w:ascii="宋体" w:hAnsi="宋体"/>
                <w:color w:val="auto"/>
                <w:szCs w:val="21"/>
                <w:highlight w:val="none"/>
              </w:rPr>
            </w:pPr>
          </w:p>
        </w:tc>
        <w:tc>
          <w:tcPr>
            <w:tcW w:w="1919" w:type="dxa"/>
          </w:tcPr>
          <w:p>
            <w:pPr>
              <w:rPr>
                <w:rFonts w:ascii="宋体" w:hAnsi="宋体"/>
                <w:color w:val="auto"/>
                <w:sz w:val="24"/>
                <w:highlight w:val="none"/>
              </w:rPr>
            </w:pPr>
            <w:r>
              <w:rPr>
                <w:rFonts w:ascii="宋体" w:hAnsi="宋体"/>
                <w:color w:val="auto"/>
                <w:sz w:val="24"/>
                <w:highlight w:val="none"/>
              </w:rPr>
              <w:t>开户全名：</w:t>
            </w:r>
          </w:p>
        </w:tc>
        <w:tc>
          <w:tcPr>
            <w:tcW w:w="2878" w:type="dxa"/>
          </w:tcPr>
          <w:p>
            <w:pPr>
              <w:rPr>
                <w:rFonts w:ascii="宋体" w:hAnsi="宋体"/>
                <w:color w:val="auto"/>
                <w:szCs w:val="21"/>
                <w:highlight w:val="none"/>
              </w:rPr>
            </w:pPr>
          </w:p>
        </w:tc>
      </w:tr>
      <w:tr>
        <w:tblPrEx>
          <w:tblCellMar>
            <w:top w:w="0" w:type="dxa"/>
            <w:left w:w="108" w:type="dxa"/>
            <w:bottom w:w="0" w:type="dxa"/>
            <w:right w:w="108" w:type="dxa"/>
          </w:tblCellMar>
        </w:tblPrEx>
        <w:trPr>
          <w:trHeight w:val="691" w:hRule="exact"/>
        </w:trPr>
        <w:tc>
          <w:tcPr>
            <w:tcW w:w="2194" w:type="dxa"/>
          </w:tcPr>
          <w:p>
            <w:pPr>
              <w:rPr>
                <w:rFonts w:ascii="宋体" w:hAnsi="宋体"/>
                <w:color w:val="auto"/>
                <w:sz w:val="24"/>
                <w:highlight w:val="none"/>
              </w:rPr>
            </w:pPr>
            <w:r>
              <w:rPr>
                <w:rFonts w:ascii="宋体" w:hAnsi="宋体"/>
                <w:color w:val="auto"/>
                <w:sz w:val="24"/>
                <w:highlight w:val="none"/>
              </w:rPr>
              <w:t>账    号</w:t>
            </w:r>
            <w:r>
              <w:rPr>
                <w:rFonts w:hint="eastAsia" w:ascii="宋体" w:hAnsi="宋体"/>
                <w:color w:val="auto"/>
                <w:sz w:val="24"/>
                <w:highlight w:val="none"/>
              </w:rPr>
              <w:t>：</w:t>
            </w:r>
          </w:p>
        </w:tc>
        <w:tc>
          <w:tcPr>
            <w:tcW w:w="2741" w:type="dxa"/>
          </w:tcPr>
          <w:p>
            <w:pPr>
              <w:rPr>
                <w:rFonts w:ascii="宋体" w:hAnsi="宋体"/>
                <w:color w:val="auto"/>
                <w:szCs w:val="21"/>
                <w:highlight w:val="none"/>
              </w:rPr>
            </w:pPr>
          </w:p>
        </w:tc>
        <w:tc>
          <w:tcPr>
            <w:tcW w:w="1919" w:type="dxa"/>
          </w:tcPr>
          <w:p>
            <w:pPr>
              <w:rPr>
                <w:rFonts w:ascii="宋体" w:hAnsi="宋体"/>
                <w:color w:val="auto"/>
                <w:sz w:val="24"/>
                <w:highlight w:val="none"/>
              </w:rPr>
            </w:pPr>
            <w:r>
              <w:rPr>
                <w:rFonts w:ascii="宋体" w:hAnsi="宋体"/>
                <w:color w:val="auto"/>
                <w:sz w:val="24"/>
                <w:highlight w:val="none"/>
              </w:rPr>
              <w:t>邮政编码：</w:t>
            </w:r>
          </w:p>
        </w:tc>
        <w:tc>
          <w:tcPr>
            <w:tcW w:w="2878" w:type="dxa"/>
          </w:tcPr>
          <w:p>
            <w:pPr>
              <w:rPr>
                <w:rFonts w:ascii="宋体" w:hAnsi="宋体"/>
                <w:color w:val="auto"/>
                <w:szCs w:val="21"/>
                <w:highlight w:val="none"/>
              </w:rPr>
            </w:pPr>
          </w:p>
        </w:tc>
      </w:tr>
      <w:tr>
        <w:tblPrEx>
          <w:tblCellMar>
            <w:top w:w="0" w:type="dxa"/>
            <w:left w:w="108" w:type="dxa"/>
            <w:bottom w:w="0" w:type="dxa"/>
            <w:right w:w="108" w:type="dxa"/>
          </w:tblCellMar>
        </w:tblPrEx>
        <w:trPr>
          <w:trHeight w:val="489" w:hRule="exact"/>
        </w:trPr>
        <w:tc>
          <w:tcPr>
            <w:tcW w:w="2194" w:type="dxa"/>
          </w:tcPr>
          <w:p>
            <w:pPr>
              <w:rPr>
                <w:rFonts w:ascii="宋体" w:hAnsi="宋体"/>
                <w:color w:val="auto"/>
                <w:sz w:val="24"/>
                <w:highlight w:val="none"/>
              </w:rPr>
            </w:pPr>
            <w:r>
              <w:rPr>
                <w:rFonts w:hint="eastAsia" w:ascii="宋体" w:hAnsi="宋体"/>
                <w:color w:val="auto"/>
                <w:sz w:val="24"/>
                <w:highlight w:val="none"/>
              </w:rPr>
              <w:t>承包人经办人：</w:t>
            </w:r>
          </w:p>
        </w:tc>
        <w:tc>
          <w:tcPr>
            <w:tcW w:w="2741" w:type="dxa"/>
          </w:tcPr>
          <w:p>
            <w:pPr>
              <w:rPr>
                <w:rFonts w:ascii="宋体" w:hAnsi="宋体"/>
                <w:color w:val="auto"/>
                <w:szCs w:val="21"/>
                <w:highlight w:val="none"/>
              </w:rPr>
            </w:pPr>
          </w:p>
        </w:tc>
        <w:tc>
          <w:tcPr>
            <w:tcW w:w="1919" w:type="dxa"/>
          </w:tcPr>
          <w:p>
            <w:pPr>
              <w:rPr>
                <w:rFonts w:ascii="宋体" w:hAnsi="宋体"/>
                <w:color w:val="auto"/>
                <w:sz w:val="24"/>
                <w:highlight w:val="none"/>
              </w:rPr>
            </w:pPr>
            <w:r>
              <w:rPr>
                <w:rFonts w:hint="eastAsia" w:ascii="宋体" w:hAnsi="宋体"/>
                <w:color w:val="auto"/>
                <w:sz w:val="24"/>
                <w:highlight w:val="none"/>
              </w:rPr>
              <w:t>承包人经办人电话：</w:t>
            </w:r>
          </w:p>
        </w:tc>
        <w:tc>
          <w:tcPr>
            <w:tcW w:w="2878" w:type="dxa"/>
          </w:tcPr>
          <w:p>
            <w:pPr>
              <w:rPr>
                <w:rFonts w:ascii="宋体" w:hAnsi="宋体"/>
                <w:color w:val="auto"/>
                <w:szCs w:val="21"/>
                <w:highlight w:val="none"/>
              </w:rPr>
            </w:pPr>
          </w:p>
        </w:tc>
      </w:tr>
    </w:tbl>
    <w:p>
      <w:pPr>
        <w:pStyle w:val="4"/>
        <w:spacing w:before="240" w:beforeLines="100" w:after="360" w:afterLines="150" w:line="240" w:lineRule="auto"/>
        <w:rPr>
          <w:rFonts w:ascii="宋体" w:hAnsi="宋体"/>
          <w:bCs w:val="0"/>
          <w:color w:val="auto"/>
          <w:sz w:val="24"/>
          <w:szCs w:val="22"/>
          <w:highlight w:val="none"/>
        </w:rPr>
      </w:pPr>
      <w:r>
        <w:rPr>
          <w:rFonts w:hint="eastAsia" w:ascii="宋体" w:hAnsi="宋体"/>
          <w:bCs w:val="0"/>
          <w:color w:val="auto"/>
          <w:sz w:val="24"/>
          <w:szCs w:val="22"/>
          <w:highlight w:val="none"/>
        </w:rPr>
        <w:t>合同签署地点：深圳</w:t>
      </w:r>
    </w:p>
    <w:p>
      <w:pPr>
        <w:pStyle w:val="4"/>
        <w:spacing w:before="240" w:beforeLines="100" w:after="360" w:afterLines="150" w:line="240" w:lineRule="auto"/>
        <w:rPr>
          <w:rFonts w:ascii="宋体" w:hAnsi="宋体"/>
          <w:b w:val="0"/>
          <w:bCs w:val="0"/>
          <w:color w:val="auto"/>
          <w:sz w:val="24"/>
          <w:szCs w:val="22"/>
          <w:highlight w:val="none"/>
        </w:rPr>
      </w:pPr>
      <w:r>
        <w:rPr>
          <w:rFonts w:hint="eastAsia" w:ascii="宋体" w:hAnsi="宋体"/>
          <w:bCs w:val="0"/>
          <w:color w:val="auto"/>
          <w:sz w:val="24"/>
          <w:szCs w:val="22"/>
          <w:highlight w:val="none"/>
        </w:rPr>
        <w:t>时 间：202</w:t>
      </w:r>
      <w:r>
        <w:rPr>
          <w:rFonts w:hint="eastAsia" w:ascii="宋体" w:hAnsi="宋体"/>
          <w:bCs w:val="0"/>
          <w:color w:val="auto"/>
          <w:sz w:val="24"/>
          <w:szCs w:val="22"/>
          <w:highlight w:val="none"/>
          <w:lang w:val="en-US" w:eastAsia="zh-CN"/>
        </w:rPr>
        <w:t xml:space="preserve">  </w:t>
      </w:r>
      <w:r>
        <w:rPr>
          <w:rFonts w:hint="eastAsia" w:ascii="宋体" w:hAnsi="宋体"/>
          <w:bCs w:val="0"/>
          <w:color w:val="auto"/>
          <w:sz w:val="24"/>
          <w:szCs w:val="22"/>
          <w:highlight w:val="none"/>
        </w:rPr>
        <w:t>年 月 日</w:t>
      </w:r>
      <w:r>
        <w:rPr>
          <w:rFonts w:hint="eastAsia" w:ascii="宋体" w:hAnsi="宋体"/>
          <w:b w:val="0"/>
          <w:bCs w:val="0"/>
          <w:color w:val="auto"/>
          <w:sz w:val="24"/>
          <w:szCs w:val="22"/>
          <w:highlight w:val="none"/>
        </w:rPr>
        <w:t xml:space="preserve">  </w:t>
      </w:r>
    </w:p>
    <w:sectPr>
      <w:pgSz w:w="11906" w:h="16838"/>
      <w:pgMar w:top="1797" w:right="1440" w:bottom="1797"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Heiti SC Light">
    <w:altName w:val="宋体"/>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EU-F1">
    <w:altName w:val="黑体"/>
    <w:panose1 w:val="00000000000000000000"/>
    <w:charset w:val="86"/>
    <w:family w:val="script"/>
    <w:pitch w:val="default"/>
    <w:sig w:usb0="00000000" w:usb1="00000000" w:usb2="00000010" w:usb3="00000000" w:csb0="00040000" w:csb1="00000000"/>
  </w:font>
  <w:font w:name="Segoe UI Symbol">
    <w:panose1 w:val="020B0502040204020203"/>
    <w:charset w:val="00"/>
    <w:family w:val="swiss"/>
    <w:pitch w:val="default"/>
    <w:sig w:usb0="800001E3" w:usb1="1200FFEF" w:usb2="00040000" w:usb3="04000000" w:csb0="00000001" w:csb1="4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宋体-18030">
    <w:altName w:val="微软雅黑"/>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2"/>
      </w:rPr>
    </w:pPr>
    <w:r>
      <w:fldChar w:fldCharType="begin"/>
    </w:r>
    <w:r>
      <w:rPr>
        <w:rStyle w:val="52"/>
      </w:rPr>
      <w:instrText xml:space="preserve">PAGE  </w:instrText>
    </w:r>
    <w:r>
      <w:fldChar w:fldCharType="separate"/>
    </w:r>
    <w:r>
      <w:rPr>
        <w:rStyle w:val="52"/>
      </w:rPr>
      <w:t>1</w:t>
    </w:r>
    <w:r>
      <w:fldChar w:fldCharType="end"/>
    </w:r>
  </w:p>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2"/>
      </w:rPr>
    </w:pPr>
    <w:r>
      <w:fldChar w:fldCharType="begin"/>
    </w:r>
    <w:r>
      <w:rPr>
        <w:rStyle w:val="52"/>
      </w:rPr>
      <w:instrText xml:space="preserve">PAGE  </w:instrText>
    </w:r>
    <w:r>
      <w:fldChar w:fldCharType="separate"/>
    </w:r>
    <w:r>
      <w:rPr>
        <w:rStyle w:val="52"/>
      </w:rPr>
      <w:t>7</w:t>
    </w:r>
    <w:r>
      <w:fldChar w:fldCharType="end"/>
    </w:r>
  </w:p>
  <w:p>
    <w:pPr>
      <w:pStyle w:val="29"/>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 PAGE   \* MERGEFORMAT </w:instrText>
    </w:r>
    <w:r>
      <w:fldChar w:fldCharType="separate"/>
    </w:r>
    <w:r>
      <w:rPr>
        <w:lang w:val="zh-CN"/>
      </w:rPr>
      <w:t>12</w:t>
    </w:r>
    <w:r>
      <w:fldChar w:fldCharType="end"/>
    </w:r>
  </w:p>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left"/>
    </w:pPr>
  </w:p>
  <w:p>
    <w:pPr>
      <w:pStyle w:val="30"/>
      <w:pBdr>
        <w:bottom w:val="none" w:color="auto" w:sz="0" w:space="0"/>
      </w:pBd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rPr>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56583F"/>
    <w:multiLevelType w:val="multilevel"/>
    <w:tmpl w:val="1056583F"/>
    <w:lvl w:ilvl="0" w:tentative="0">
      <w:start w:val="1"/>
      <w:numFmt w:val="decimal"/>
      <w:lvlText w:val="%1、"/>
      <w:lvlJc w:val="left"/>
      <w:pPr>
        <w:ind w:left="720" w:hanging="360"/>
      </w:pPr>
      <w:rPr>
        <w:rFonts w:hint="default"/>
      </w:rPr>
    </w:lvl>
    <w:lvl w:ilvl="1" w:tentative="0">
      <w:start w:val="9"/>
      <w:numFmt w:val="decimal"/>
      <w:lvlText w:val="%2、"/>
      <w:lvlJc w:val="left"/>
      <w:pPr>
        <w:ind w:left="1500" w:hanging="720"/>
      </w:pPr>
      <w:rPr>
        <w:rFonts w:hint="default"/>
      </w:r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
    <w:nsid w:val="2227638D"/>
    <w:multiLevelType w:val="multilevel"/>
    <w:tmpl w:val="2227638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6756ADE"/>
    <w:multiLevelType w:val="multilevel"/>
    <w:tmpl w:val="36756ADE"/>
    <w:lvl w:ilvl="0" w:tentative="0">
      <w:start w:val="1"/>
      <w:numFmt w:val="decimal"/>
      <w:lvlText w:val="%1、"/>
      <w:lvlJc w:val="left"/>
      <w:pPr>
        <w:ind w:left="720" w:hanging="360"/>
      </w:pPr>
      <w:rPr>
        <w:rFonts w:hint="default"/>
      </w:rPr>
    </w:lvl>
    <w:lvl w:ilvl="1" w:tentative="0">
      <w:start w:val="9"/>
      <w:numFmt w:val="decimal"/>
      <w:lvlText w:val="%2、"/>
      <w:lvlJc w:val="left"/>
      <w:pPr>
        <w:ind w:left="1500" w:hanging="720"/>
      </w:pPr>
      <w:rPr>
        <w:rFonts w:hint="default"/>
      </w:r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3">
    <w:nsid w:val="5D210E04"/>
    <w:multiLevelType w:val="multilevel"/>
    <w:tmpl w:val="5D210E04"/>
    <w:lvl w:ilvl="0" w:tentative="0">
      <w:start w:val="1"/>
      <w:numFmt w:val="decimal"/>
      <w:lvlText w:val="%1、"/>
      <w:lvlJc w:val="left"/>
      <w:pPr>
        <w:ind w:left="720" w:hanging="360"/>
      </w:pPr>
      <w:rPr>
        <w:rFonts w:hint="default"/>
      </w:rPr>
    </w:lvl>
    <w:lvl w:ilvl="1" w:tentative="0">
      <w:start w:val="9"/>
      <w:numFmt w:val="decimal"/>
      <w:lvlText w:val="%2、"/>
      <w:lvlJc w:val="left"/>
      <w:pPr>
        <w:ind w:left="1500" w:hanging="720"/>
      </w:pPr>
      <w:rPr>
        <w:rFonts w:hint="default"/>
      </w:r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4">
    <w:nsid w:val="64486D9F"/>
    <w:multiLevelType w:val="multilevel"/>
    <w:tmpl w:val="64486D9F"/>
    <w:lvl w:ilvl="0" w:tentative="0">
      <w:start w:val="1"/>
      <w:numFmt w:val="decimal"/>
      <w:lvlText w:val="%1、"/>
      <w:lvlJc w:val="left"/>
      <w:pPr>
        <w:ind w:left="720" w:hanging="360"/>
      </w:pPr>
      <w:rPr>
        <w:rFonts w:hint="default"/>
      </w:rPr>
    </w:lvl>
    <w:lvl w:ilvl="1" w:tentative="0">
      <w:start w:val="9"/>
      <w:numFmt w:val="decimal"/>
      <w:lvlText w:val="%2、"/>
      <w:lvlJc w:val="left"/>
      <w:pPr>
        <w:ind w:left="1500" w:hanging="720"/>
      </w:pPr>
      <w:rPr>
        <w:rFonts w:hint="default"/>
      </w:r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wZGZhMDI1ODcwOWMxYjcxMDE0MTI3ZjJjNTdmOTIifQ=="/>
  </w:docVars>
  <w:rsids>
    <w:rsidRoot w:val="00206AA4"/>
    <w:rsid w:val="00007568"/>
    <w:rsid w:val="00011FD3"/>
    <w:rsid w:val="00014303"/>
    <w:rsid w:val="000220AC"/>
    <w:rsid w:val="00025D3B"/>
    <w:rsid w:val="00026462"/>
    <w:rsid w:val="0002771A"/>
    <w:rsid w:val="00037A3A"/>
    <w:rsid w:val="0005196E"/>
    <w:rsid w:val="00051A85"/>
    <w:rsid w:val="00065198"/>
    <w:rsid w:val="00072073"/>
    <w:rsid w:val="00072E86"/>
    <w:rsid w:val="00074F37"/>
    <w:rsid w:val="00077552"/>
    <w:rsid w:val="000875CE"/>
    <w:rsid w:val="000879A7"/>
    <w:rsid w:val="00096E6B"/>
    <w:rsid w:val="00097E8E"/>
    <w:rsid w:val="000A33FD"/>
    <w:rsid w:val="000A44C7"/>
    <w:rsid w:val="000A4A51"/>
    <w:rsid w:val="000A76B3"/>
    <w:rsid w:val="000B3770"/>
    <w:rsid w:val="000B48D4"/>
    <w:rsid w:val="000B57EE"/>
    <w:rsid w:val="000B5CB2"/>
    <w:rsid w:val="000C0297"/>
    <w:rsid w:val="000C2E7C"/>
    <w:rsid w:val="000C3E2B"/>
    <w:rsid w:val="000C77DB"/>
    <w:rsid w:val="000E3272"/>
    <w:rsid w:val="000E739A"/>
    <w:rsid w:val="001016A9"/>
    <w:rsid w:val="001049EF"/>
    <w:rsid w:val="00113040"/>
    <w:rsid w:val="00116A38"/>
    <w:rsid w:val="001207CE"/>
    <w:rsid w:val="001333D1"/>
    <w:rsid w:val="00135A31"/>
    <w:rsid w:val="00146875"/>
    <w:rsid w:val="00151F7C"/>
    <w:rsid w:val="0015274E"/>
    <w:rsid w:val="001622B1"/>
    <w:rsid w:val="00171982"/>
    <w:rsid w:val="00173E9A"/>
    <w:rsid w:val="001825EE"/>
    <w:rsid w:val="00185C34"/>
    <w:rsid w:val="00193475"/>
    <w:rsid w:val="001A0E51"/>
    <w:rsid w:val="001A2C59"/>
    <w:rsid w:val="001A3410"/>
    <w:rsid w:val="001A6585"/>
    <w:rsid w:val="001A66D0"/>
    <w:rsid w:val="001B07A3"/>
    <w:rsid w:val="001B40DC"/>
    <w:rsid w:val="001B57A6"/>
    <w:rsid w:val="001D4464"/>
    <w:rsid w:val="001D511E"/>
    <w:rsid w:val="001F2523"/>
    <w:rsid w:val="00204B90"/>
    <w:rsid w:val="00205461"/>
    <w:rsid w:val="00206AA4"/>
    <w:rsid w:val="002079C2"/>
    <w:rsid w:val="002138A3"/>
    <w:rsid w:val="00221437"/>
    <w:rsid w:val="00222BA6"/>
    <w:rsid w:val="00230F4F"/>
    <w:rsid w:val="00236F67"/>
    <w:rsid w:val="002447F2"/>
    <w:rsid w:val="00245D6E"/>
    <w:rsid w:val="0026480F"/>
    <w:rsid w:val="00273822"/>
    <w:rsid w:val="002752C8"/>
    <w:rsid w:val="00284748"/>
    <w:rsid w:val="00284C62"/>
    <w:rsid w:val="002850EC"/>
    <w:rsid w:val="00290DA3"/>
    <w:rsid w:val="00294B51"/>
    <w:rsid w:val="002A3D74"/>
    <w:rsid w:val="002B6A6B"/>
    <w:rsid w:val="002C5A36"/>
    <w:rsid w:val="002D45A9"/>
    <w:rsid w:val="002D593B"/>
    <w:rsid w:val="002E7F9F"/>
    <w:rsid w:val="00306ADE"/>
    <w:rsid w:val="003074D0"/>
    <w:rsid w:val="00307972"/>
    <w:rsid w:val="00323B0E"/>
    <w:rsid w:val="00324C54"/>
    <w:rsid w:val="00325C60"/>
    <w:rsid w:val="00332E6E"/>
    <w:rsid w:val="00342932"/>
    <w:rsid w:val="003532B4"/>
    <w:rsid w:val="00356A80"/>
    <w:rsid w:val="00370289"/>
    <w:rsid w:val="0037445A"/>
    <w:rsid w:val="003748FA"/>
    <w:rsid w:val="00376432"/>
    <w:rsid w:val="00394E94"/>
    <w:rsid w:val="00397AFA"/>
    <w:rsid w:val="003B1510"/>
    <w:rsid w:val="003B1EB0"/>
    <w:rsid w:val="003C0EC5"/>
    <w:rsid w:val="003D086D"/>
    <w:rsid w:val="003D2098"/>
    <w:rsid w:val="003D5E53"/>
    <w:rsid w:val="00402592"/>
    <w:rsid w:val="00402813"/>
    <w:rsid w:val="00405356"/>
    <w:rsid w:val="00410E04"/>
    <w:rsid w:val="004268C5"/>
    <w:rsid w:val="004271EF"/>
    <w:rsid w:val="00427242"/>
    <w:rsid w:val="00427593"/>
    <w:rsid w:val="004340CF"/>
    <w:rsid w:val="00434576"/>
    <w:rsid w:val="004454FF"/>
    <w:rsid w:val="004464D2"/>
    <w:rsid w:val="00456DEF"/>
    <w:rsid w:val="00460616"/>
    <w:rsid w:val="004659C4"/>
    <w:rsid w:val="004735A7"/>
    <w:rsid w:val="004869BB"/>
    <w:rsid w:val="004914A8"/>
    <w:rsid w:val="004928A4"/>
    <w:rsid w:val="00497F59"/>
    <w:rsid w:val="004A52E8"/>
    <w:rsid w:val="004A761C"/>
    <w:rsid w:val="004B72A8"/>
    <w:rsid w:val="004D14CA"/>
    <w:rsid w:val="004D2E07"/>
    <w:rsid w:val="004E026B"/>
    <w:rsid w:val="004E6A59"/>
    <w:rsid w:val="004F352B"/>
    <w:rsid w:val="004F463B"/>
    <w:rsid w:val="00500B4B"/>
    <w:rsid w:val="00502198"/>
    <w:rsid w:val="00511403"/>
    <w:rsid w:val="005125C5"/>
    <w:rsid w:val="0051371A"/>
    <w:rsid w:val="00515DE1"/>
    <w:rsid w:val="00525A7F"/>
    <w:rsid w:val="00526439"/>
    <w:rsid w:val="00527092"/>
    <w:rsid w:val="00530824"/>
    <w:rsid w:val="00533E12"/>
    <w:rsid w:val="005470E1"/>
    <w:rsid w:val="00554FAF"/>
    <w:rsid w:val="00571257"/>
    <w:rsid w:val="00572F88"/>
    <w:rsid w:val="00577D1F"/>
    <w:rsid w:val="00596135"/>
    <w:rsid w:val="00596DC1"/>
    <w:rsid w:val="005A1965"/>
    <w:rsid w:val="005A62F6"/>
    <w:rsid w:val="005B1FCA"/>
    <w:rsid w:val="005B4AAA"/>
    <w:rsid w:val="005D4FCA"/>
    <w:rsid w:val="005D69EF"/>
    <w:rsid w:val="005E0095"/>
    <w:rsid w:val="005E17FF"/>
    <w:rsid w:val="005E600E"/>
    <w:rsid w:val="005F2271"/>
    <w:rsid w:val="005F3CAB"/>
    <w:rsid w:val="005F6268"/>
    <w:rsid w:val="00603B5E"/>
    <w:rsid w:val="00605B50"/>
    <w:rsid w:val="00611A4C"/>
    <w:rsid w:val="00620618"/>
    <w:rsid w:val="00620888"/>
    <w:rsid w:val="00621E46"/>
    <w:rsid w:val="00623EF9"/>
    <w:rsid w:val="00627A6E"/>
    <w:rsid w:val="00640D6B"/>
    <w:rsid w:val="00640EA5"/>
    <w:rsid w:val="00644408"/>
    <w:rsid w:val="006514B3"/>
    <w:rsid w:val="00654562"/>
    <w:rsid w:val="00657D23"/>
    <w:rsid w:val="0066218E"/>
    <w:rsid w:val="00666F45"/>
    <w:rsid w:val="0067082E"/>
    <w:rsid w:val="00671885"/>
    <w:rsid w:val="006B1DE5"/>
    <w:rsid w:val="006B3478"/>
    <w:rsid w:val="006C5E7C"/>
    <w:rsid w:val="006E0804"/>
    <w:rsid w:val="006E254C"/>
    <w:rsid w:val="006E754C"/>
    <w:rsid w:val="006F24BD"/>
    <w:rsid w:val="006F4A52"/>
    <w:rsid w:val="006F56A6"/>
    <w:rsid w:val="00703B89"/>
    <w:rsid w:val="0071296D"/>
    <w:rsid w:val="0071371C"/>
    <w:rsid w:val="00714533"/>
    <w:rsid w:val="0072391F"/>
    <w:rsid w:val="00735CFB"/>
    <w:rsid w:val="00736A43"/>
    <w:rsid w:val="0074394D"/>
    <w:rsid w:val="00747D93"/>
    <w:rsid w:val="0077392F"/>
    <w:rsid w:val="00776D12"/>
    <w:rsid w:val="00777391"/>
    <w:rsid w:val="00782A1A"/>
    <w:rsid w:val="00784FD4"/>
    <w:rsid w:val="007917F0"/>
    <w:rsid w:val="007931FF"/>
    <w:rsid w:val="00794158"/>
    <w:rsid w:val="007946D1"/>
    <w:rsid w:val="00795927"/>
    <w:rsid w:val="00797187"/>
    <w:rsid w:val="007A63A2"/>
    <w:rsid w:val="007B16BF"/>
    <w:rsid w:val="007C2B92"/>
    <w:rsid w:val="007D3C09"/>
    <w:rsid w:val="007D4574"/>
    <w:rsid w:val="007E4C37"/>
    <w:rsid w:val="008008A6"/>
    <w:rsid w:val="008122FD"/>
    <w:rsid w:val="008207E8"/>
    <w:rsid w:val="0082192D"/>
    <w:rsid w:val="0083136C"/>
    <w:rsid w:val="008327C6"/>
    <w:rsid w:val="00834ACC"/>
    <w:rsid w:val="00840C23"/>
    <w:rsid w:val="00846A6E"/>
    <w:rsid w:val="00847873"/>
    <w:rsid w:val="008642FA"/>
    <w:rsid w:val="00866132"/>
    <w:rsid w:val="00872AAA"/>
    <w:rsid w:val="00881752"/>
    <w:rsid w:val="0088555D"/>
    <w:rsid w:val="0089126D"/>
    <w:rsid w:val="00891706"/>
    <w:rsid w:val="00891CE0"/>
    <w:rsid w:val="00894B6F"/>
    <w:rsid w:val="008A47DD"/>
    <w:rsid w:val="008A6A0B"/>
    <w:rsid w:val="008C0FFA"/>
    <w:rsid w:val="008C16D9"/>
    <w:rsid w:val="008C276A"/>
    <w:rsid w:val="008C7310"/>
    <w:rsid w:val="008C7632"/>
    <w:rsid w:val="008D7D2E"/>
    <w:rsid w:val="008E0C5E"/>
    <w:rsid w:val="008E0EC8"/>
    <w:rsid w:val="008E4348"/>
    <w:rsid w:val="008E4C6F"/>
    <w:rsid w:val="008F1A3D"/>
    <w:rsid w:val="008F314F"/>
    <w:rsid w:val="008F3E58"/>
    <w:rsid w:val="0090690C"/>
    <w:rsid w:val="00912316"/>
    <w:rsid w:val="00914D8C"/>
    <w:rsid w:val="00922549"/>
    <w:rsid w:val="00926955"/>
    <w:rsid w:val="00926D28"/>
    <w:rsid w:val="009318D3"/>
    <w:rsid w:val="0093375B"/>
    <w:rsid w:val="0095260F"/>
    <w:rsid w:val="00955CFB"/>
    <w:rsid w:val="009632E5"/>
    <w:rsid w:val="0097027D"/>
    <w:rsid w:val="00973BE9"/>
    <w:rsid w:val="00975B73"/>
    <w:rsid w:val="009812AB"/>
    <w:rsid w:val="009832F5"/>
    <w:rsid w:val="0099396F"/>
    <w:rsid w:val="00995B02"/>
    <w:rsid w:val="009A1382"/>
    <w:rsid w:val="009A4676"/>
    <w:rsid w:val="009A5094"/>
    <w:rsid w:val="009B4FB4"/>
    <w:rsid w:val="009D649A"/>
    <w:rsid w:val="009E40B2"/>
    <w:rsid w:val="009E550F"/>
    <w:rsid w:val="009F0806"/>
    <w:rsid w:val="009F46E2"/>
    <w:rsid w:val="00A05A47"/>
    <w:rsid w:val="00A268CC"/>
    <w:rsid w:val="00A2709D"/>
    <w:rsid w:val="00A27F30"/>
    <w:rsid w:val="00A30B53"/>
    <w:rsid w:val="00A4149F"/>
    <w:rsid w:val="00A4165B"/>
    <w:rsid w:val="00A60760"/>
    <w:rsid w:val="00A61672"/>
    <w:rsid w:val="00A63A53"/>
    <w:rsid w:val="00A658CD"/>
    <w:rsid w:val="00A7043D"/>
    <w:rsid w:val="00A75153"/>
    <w:rsid w:val="00A867CA"/>
    <w:rsid w:val="00A8730E"/>
    <w:rsid w:val="00A941C3"/>
    <w:rsid w:val="00AA29E9"/>
    <w:rsid w:val="00AA334F"/>
    <w:rsid w:val="00AA59FF"/>
    <w:rsid w:val="00AA6C36"/>
    <w:rsid w:val="00AC346E"/>
    <w:rsid w:val="00AD0BA2"/>
    <w:rsid w:val="00AD1179"/>
    <w:rsid w:val="00AD692E"/>
    <w:rsid w:val="00AE1EA0"/>
    <w:rsid w:val="00AF2039"/>
    <w:rsid w:val="00AF3547"/>
    <w:rsid w:val="00AF4C1E"/>
    <w:rsid w:val="00AF551E"/>
    <w:rsid w:val="00AF6FC3"/>
    <w:rsid w:val="00B00B57"/>
    <w:rsid w:val="00B05CBE"/>
    <w:rsid w:val="00B100D3"/>
    <w:rsid w:val="00B118DB"/>
    <w:rsid w:val="00B167CC"/>
    <w:rsid w:val="00B2185A"/>
    <w:rsid w:val="00B22FEF"/>
    <w:rsid w:val="00B331A2"/>
    <w:rsid w:val="00B45E69"/>
    <w:rsid w:val="00B468AF"/>
    <w:rsid w:val="00B50E30"/>
    <w:rsid w:val="00B55F19"/>
    <w:rsid w:val="00B61E49"/>
    <w:rsid w:val="00B61ECD"/>
    <w:rsid w:val="00B669BF"/>
    <w:rsid w:val="00B86984"/>
    <w:rsid w:val="00B963F3"/>
    <w:rsid w:val="00B97F80"/>
    <w:rsid w:val="00BA5A74"/>
    <w:rsid w:val="00BB0D7E"/>
    <w:rsid w:val="00BB2380"/>
    <w:rsid w:val="00BC5A5D"/>
    <w:rsid w:val="00BD075C"/>
    <w:rsid w:val="00BD623F"/>
    <w:rsid w:val="00BD6285"/>
    <w:rsid w:val="00BE2D8E"/>
    <w:rsid w:val="00BF5B7F"/>
    <w:rsid w:val="00BF5DB8"/>
    <w:rsid w:val="00C07109"/>
    <w:rsid w:val="00C121FC"/>
    <w:rsid w:val="00C177DA"/>
    <w:rsid w:val="00C30859"/>
    <w:rsid w:val="00C3531F"/>
    <w:rsid w:val="00C37DA4"/>
    <w:rsid w:val="00C4184D"/>
    <w:rsid w:val="00C44C95"/>
    <w:rsid w:val="00C50DA8"/>
    <w:rsid w:val="00C564E7"/>
    <w:rsid w:val="00C6019E"/>
    <w:rsid w:val="00C61B08"/>
    <w:rsid w:val="00C86CC0"/>
    <w:rsid w:val="00C916CE"/>
    <w:rsid w:val="00C9521F"/>
    <w:rsid w:val="00C9547A"/>
    <w:rsid w:val="00CA44A4"/>
    <w:rsid w:val="00CA4CF9"/>
    <w:rsid w:val="00CA606C"/>
    <w:rsid w:val="00CB47C4"/>
    <w:rsid w:val="00CB6779"/>
    <w:rsid w:val="00CB792D"/>
    <w:rsid w:val="00CC4A8D"/>
    <w:rsid w:val="00CD33A6"/>
    <w:rsid w:val="00CF088C"/>
    <w:rsid w:val="00CF4EC0"/>
    <w:rsid w:val="00D04D7B"/>
    <w:rsid w:val="00D26717"/>
    <w:rsid w:val="00D31ED2"/>
    <w:rsid w:val="00D468B1"/>
    <w:rsid w:val="00D50E93"/>
    <w:rsid w:val="00D54800"/>
    <w:rsid w:val="00D63ACF"/>
    <w:rsid w:val="00D7071C"/>
    <w:rsid w:val="00D75FA7"/>
    <w:rsid w:val="00D80EC9"/>
    <w:rsid w:val="00D813E0"/>
    <w:rsid w:val="00D828ED"/>
    <w:rsid w:val="00D873A6"/>
    <w:rsid w:val="00DA022A"/>
    <w:rsid w:val="00DA0A68"/>
    <w:rsid w:val="00DA3043"/>
    <w:rsid w:val="00DB5141"/>
    <w:rsid w:val="00DB5A45"/>
    <w:rsid w:val="00DB62A3"/>
    <w:rsid w:val="00DC1BE9"/>
    <w:rsid w:val="00DD20A8"/>
    <w:rsid w:val="00DE55E6"/>
    <w:rsid w:val="00DF2C8C"/>
    <w:rsid w:val="00E07481"/>
    <w:rsid w:val="00E10FED"/>
    <w:rsid w:val="00E13C2C"/>
    <w:rsid w:val="00E149EB"/>
    <w:rsid w:val="00E15F54"/>
    <w:rsid w:val="00E240E0"/>
    <w:rsid w:val="00E2512B"/>
    <w:rsid w:val="00E338C8"/>
    <w:rsid w:val="00E41745"/>
    <w:rsid w:val="00E44022"/>
    <w:rsid w:val="00E461D3"/>
    <w:rsid w:val="00E46879"/>
    <w:rsid w:val="00E5207B"/>
    <w:rsid w:val="00E546BB"/>
    <w:rsid w:val="00E55437"/>
    <w:rsid w:val="00E62209"/>
    <w:rsid w:val="00E64AB1"/>
    <w:rsid w:val="00E74C9C"/>
    <w:rsid w:val="00E75225"/>
    <w:rsid w:val="00E77AB0"/>
    <w:rsid w:val="00E821D3"/>
    <w:rsid w:val="00EA7569"/>
    <w:rsid w:val="00EA7845"/>
    <w:rsid w:val="00EB3D65"/>
    <w:rsid w:val="00EB6787"/>
    <w:rsid w:val="00EC4106"/>
    <w:rsid w:val="00EC7222"/>
    <w:rsid w:val="00ED0CE6"/>
    <w:rsid w:val="00EE40EF"/>
    <w:rsid w:val="00EF4052"/>
    <w:rsid w:val="00F077AC"/>
    <w:rsid w:val="00F24961"/>
    <w:rsid w:val="00F30119"/>
    <w:rsid w:val="00F3153D"/>
    <w:rsid w:val="00F360B8"/>
    <w:rsid w:val="00F375F7"/>
    <w:rsid w:val="00F43771"/>
    <w:rsid w:val="00F533D4"/>
    <w:rsid w:val="00F53AD5"/>
    <w:rsid w:val="00F53EE0"/>
    <w:rsid w:val="00F543E3"/>
    <w:rsid w:val="00F60FF9"/>
    <w:rsid w:val="00F71AD8"/>
    <w:rsid w:val="00F76DC0"/>
    <w:rsid w:val="00F83F06"/>
    <w:rsid w:val="00F84F51"/>
    <w:rsid w:val="00F92C1A"/>
    <w:rsid w:val="00FA562C"/>
    <w:rsid w:val="00FA75BD"/>
    <w:rsid w:val="00FB754F"/>
    <w:rsid w:val="00FC347D"/>
    <w:rsid w:val="00FD15B1"/>
    <w:rsid w:val="00FE019D"/>
    <w:rsid w:val="00FE5D50"/>
    <w:rsid w:val="01E07299"/>
    <w:rsid w:val="022A6376"/>
    <w:rsid w:val="023B5B3E"/>
    <w:rsid w:val="02974438"/>
    <w:rsid w:val="02B96468"/>
    <w:rsid w:val="06FB61BA"/>
    <w:rsid w:val="079C498B"/>
    <w:rsid w:val="0AA3790A"/>
    <w:rsid w:val="0E832D49"/>
    <w:rsid w:val="119739D9"/>
    <w:rsid w:val="11EB0B05"/>
    <w:rsid w:val="12227D09"/>
    <w:rsid w:val="12BF7269"/>
    <w:rsid w:val="14C74C3B"/>
    <w:rsid w:val="15F34C08"/>
    <w:rsid w:val="1ACD14E1"/>
    <w:rsid w:val="1B627AD6"/>
    <w:rsid w:val="1C2C07F7"/>
    <w:rsid w:val="204D0A91"/>
    <w:rsid w:val="20757576"/>
    <w:rsid w:val="219F352D"/>
    <w:rsid w:val="21E80E1A"/>
    <w:rsid w:val="22E413C5"/>
    <w:rsid w:val="22EB7CF2"/>
    <w:rsid w:val="23B574FE"/>
    <w:rsid w:val="260F339D"/>
    <w:rsid w:val="268449C1"/>
    <w:rsid w:val="270A253F"/>
    <w:rsid w:val="29826B01"/>
    <w:rsid w:val="29A901A1"/>
    <w:rsid w:val="2A743381"/>
    <w:rsid w:val="2B9E46EB"/>
    <w:rsid w:val="2C2A54CD"/>
    <w:rsid w:val="2D055DE8"/>
    <w:rsid w:val="2D373B4E"/>
    <w:rsid w:val="2E817ADB"/>
    <w:rsid w:val="2EFE557C"/>
    <w:rsid w:val="31FE5467"/>
    <w:rsid w:val="32B55A55"/>
    <w:rsid w:val="32C16AA0"/>
    <w:rsid w:val="334B73E8"/>
    <w:rsid w:val="33852CAD"/>
    <w:rsid w:val="345D7216"/>
    <w:rsid w:val="350144FA"/>
    <w:rsid w:val="352B447A"/>
    <w:rsid w:val="35754146"/>
    <w:rsid w:val="360068BB"/>
    <w:rsid w:val="36B75916"/>
    <w:rsid w:val="3701325B"/>
    <w:rsid w:val="37253926"/>
    <w:rsid w:val="37454587"/>
    <w:rsid w:val="397719A4"/>
    <w:rsid w:val="39BD4232"/>
    <w:rsid w:val="3C3046CE"/>
    <w:rsid w:val="3C544C36"/>
    <w:rsid w:val="3D271C45"/>
    <w:rsid w:val="423D61B5"/>
    <w:rsid w:val="450F0B2C"/>
    <w:rsid w:val="463C3D41"/>
    <w:rsid w:val="49AD5D76"/>
    <w:rsid w:val="4A9412F4"/>
    <w:rsid w:val="4B3D7363"/>
    <w:rsid w:val="4CCD2C1E"/>
    <w:rsid w:val="4CDD1193"/>
    <w:rsid w:val="4E8B2AAD"/>
    <w:rsid w:val="51C47E18"/>
    <w:rsid w:val="51E41C2B"/>
    <w:rsid w:val="543C4E64"/>
    <w:rsid w:val="55F23AEE"/>
    <w:rsid w:val="58BE3005"/>
    <w:rsid w:val="596C7F58"/>
    <w:rsid w:val="5B53374F"/>
    <w:rsid w:val="5B983D23"/>
    <w:rsid w:val="5BA72CE5"/>
    <w:rsid w:val="5C77037E"/>
    <w:rsid w:val="5F1B5FBF"/>
    <w:rsid w:val="5F372F98"/>
    <w:rsid w:val="60301365"/>
    <w:rsid w:val="61DE20E1"/>
    <w:rsid w:val="64DD0C69"/>
    <w:rsid w:val="665322D9"/>
    <w:rsid w:val="66BF24FF"/>
    <w:rsid w:val="67247DBA"/>
    <w:rsid w:val="67A82FA8"/>
    <w:rsid w:val="68BD7772"/>
    <w:rsid w:val="6C8F4734"/>
    <w:rsid w:val="6D4718E5"/>
    <w:rsid w:val="6D562579"/>
    <w:rsid w:val="6DA1250D"/>
    <w:rsid w:val="6E440BE4"/>
    <w:rsid w:val="6EAB1E23"/>
    <w:rsid w:val="727E0FE1"/>
    <w:rsid w:val="72C538C2"/>
    <w:rsid w:val="745A20B3"/>
    <w:rsid w:val="74704CA8"/>
    <w:rsid w:val="757A4563"/>
    <w:rsid w:val="77510847"/>
    <w:rsid w:val="79F427B3"/>
    <w:rsid w:val="7B002BB2"/>
    <w:rsid w:val="7B5B603A"/>
    <w:rsid w:val="7D1975F9"/>
    <w:rsid w:val="7D2D0B84"/>
    <w:rsid w:val="7DD0641E"/>
    <w:rsid w:val="7EA36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62"/>
    <w:qFormat/>
    <w:uiPriority w:val="0"/>
    <w:pPr>
      <w:keepNext/>
      <w:adjustRightInd w:val="0"/>
      <w:spacing w:line="300" w:lineRule="auto"/>
      <w:jc w:val="center"/>
      <w:textAlignment w:val="baseline"/>
      <w:outlineLvl w:val="0"/>
    </w:pPr>
    <w:rPr>
      <w:rFonts w:ascii="黑体" w:hAnsi="黑体" w:eastAsia="黑体"/>
      <w:b/>
      <w:color w:val="000000"/>
      <w:kern w:val="0"/>
      <w:sz w:val="36"/>
      <w:szCs w:val="36"/>
    </w:rPr>
  </w:style>
  <w:style w:type="paragraph" w:styleId="4">
    <w:name w:val="heading 2"/>
    <w:basedOn w:val="1"/>
    <w:next w:val="1"/>
    <w:link w:val="58"/>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84"/>
    <w:qFormat/>
    <w:uiPriority w:val="0"/>
    <w:pPr>
      <w:keepNext/>
      <w:keepLines/>
      <w:tabs>
        <w:tab w:val="left" w:pos="1680"/>
      </w:tabs>
      <w:adjustRightInd w:val="0"/>
      <w:spacing w:before="280" w:after="290" w:line="376" w:lineRule="atLeast"/>
      <w:ind w:left="1680" w:hanging="420"/>
      <w:textAlignment w:val="baseline"/>
      <w:outlineLvl w:val="3"/>
    </w:pPr>
    <w:rPr>
      <w:rFonts w:ascii="Arial" w:hAnsi="Arial" w:eastAsia="黑体"/>
      <w:b/>
      <w:kern w:val="0"/>
      <w:sz w:val="28"/>
      <w:szCs w:val="20"/>
    </w:rPr>
  </w:style>
  <w:style w:type="paragraph" w:styleId="7">
    <w:name w:val="heading 5"/>
    <w:basedOn w:val="1"/>
    <w:next w:val="1"/>
    <w:link w:val="83"/>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85"/>
    <w:qFormat/>
    <w:uiPriority w:val="0"/>
    <w:pPr>
      <w:keepNext/>
      <w:keepLines/>
      <w:tabs>
        <w:tab w:val="left" w:pos="2520"/>
      </w:tabs>
      <w:adjustRightInd w:val="0"/>
      <w:spacing w:before="240" w:after="64" w:line="320" w:lineRule="atLeast"/>
      <w:ind w:left="2520" w:hanging="420"/>
      <w:textAlignment w:val="baseline"/>
      <w:outlineLvl w:val="5"/>
    </w:pPr>
    <w:rPr>
      <w:rFonts w:ascii="Arial" w:hAnsi="Arial" w:eastAsia="黑体"/>
      <w:b/>
      <w:kern w:val="0"/>
      <w:sz w:val="20"/>
      <w:szCs w:val="20"/>
    </w:rPr>
  </w:style>
  <w:style w:type="paragraph" w:styleId="9">
    <w:name w:val="heading 7"/>
    <w:basedOn w:val="1"/>
    <w:next w:val="1"/>
    <w:link w:val="86"/>
    <w:qFormat/>
    <w:uiPriority w:val="0"/>
    <w:pPr>
      <w:keepNext/>
      <w:keepLines/>
      <w:tabs>
        <w:tab w:val="left" w:pos="2940"/>
      </w:tabs>
      <w:adjustRightInd w:val="0"/>
      <w:spacing w:before="240" w:after="64" w:line="320" w:lineRule="atLeast"/>
      <w:ind w:left="2940" w:hanging="420"/>
      <w:textAlignment w:val="baseline"/>
      <w:outlineLvl w:val="6"/>
    </w:pPr>
    <w:rPr>
      <w:rFonts w:ascii="Times New Roman" w:hAnsi="Times New Roman"/>
      <w:b/>
      <w:kern w:val="0"/>
      <w:sz w:val="20"/>
      <w:szCs w:val="20"/>
    </w:rPr>
  </w:style>
  <w:style w:type="paragraph" w:styleId="10">
    <w:name w:val="heading 8"/>
    <w:basedOn w:val="1"/>
    <w:next w:val="1"/>
    <w:link w:val="87"/>
    <w:qFormat/>
    <w:uiPriority w:val="0"/>
    <w:pPr>
      <w:keepNext/>
      <w:keepLines/>
      <w:tabs>
        <w:tab w:val="left" w:pos="3360"/>
      </w:tabs>
      <w:adjustRightInd w:val="0"/>
      <w:spacing w:before="240" w:after="64" w:line="320" w:lineRule="atLeast"/>
      <w:ind w:left="3360" w:hanging="420"/>
      <w:textAlignment w:val="baseline"/>
      <w:outlineLvl w:val="7"/>
    </w:pPr>
    <w:rPr>
      <w:rFonts w:ascii="Arial" w:hAnsi="Arial" w:eastAsia="黑体"/>
      <w:kern w:val="0"/>
      <w:sz w:val="20"/>
      <w:szCs w:val="20"/>
    </w:rPr>
  </w:style>
  <w:style w:type="paragraph" w:styleId="11">
    <w:name w:val="heading 9"/>
    <w:basedOn w:val="1"/>
    <w:next w:val="1"/>
    <w:link w:val="88"/>
    <w:qFormat/>
    <w:uiPriority w:val="0"/>
    <w:pPr>
      <w:keepNext/>
      <w:keepLines/>
      <w:tabs>
        <w:tab w:val="left" w:pos="3780"/>
      </w:tabs>
      <w:adjustRightInd w:val="0"/>
      <w:spacing w:before="240" w:after="64" w:line="320" w:lineRule="atLeast"/>
      <w:ind w:left="3780" w:hanging="420"/>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59"/>
    <w:qFormat/>
    <w:uiPriority w:val="0"/>
    <w:pPr>
      <w:adjustRightInd w:val="0"/>
      <w:spacing w:line="312" w:lineRule="atLeast"/>
      <w:ind w:firstLine="420"/>
      <w:textAlignment w:val="baseline"/>
    </w:pPr>
    <w:rPr>
      <w:rFonts w:ascii="Times New Roman" w:hAnsi="Times New Roman"/>
      <w:kern w:val="0"/>
      <w:sz w:val="32"/>
      <w:szCs w:val="20"/>
    </w:rPr>
  </w:style>
  <w:style w:type="paragraph" w:styleId="12">
    <w:name w:val="toc 7"/>
    <w:basedOn w:val="1"/>
    <w:next w:val="1"/>
    <w:qFormat/>
    <w:uiPriority w:val="39"/>
    <w:pPr>
      <w:ind w:left="2520"/>
    </w:pPr>
    <w:rPr>
      <w:rFonts w:ascii="Times New Roman" w:hAnsi="Times New Roman"/>
      <w:szCs w:val="20"/>
    </w:rPr>
  </w:style>
  <w:style w:type="paragraph" w:styleId="13">
    <w:name w:val="index 8"/>
    <w:basedOn w:val="1"/>
    <w:next w:val="1"/>
    <w:qFormat/>
    <w:uiPriority w:val="0"/>
    <w:pPr>
      <w:ind w:left="2940"/>
    </w:pPr>
    <w:rPr>
      <w:rFonts w:ascii="Times New Roman" w:hAnsi="Times New Roman"/>
      <w:szCs w:val="20"/>
    </w:rPr>
  </w:style>
  <w:style w:type="paragraph" w:styleId="14">
    <w:name w:val="index 5"/>
    <w:basedOn w:val="1"/>
    <w:next w:val="1"/>
    <w:qFormat/>
    <w:uiPriority w:val="0"/>
    <w:pPr>
      <w:ind w:left="1680"/>
    </w:pPr>
    <w:rPr>
      <w:rFonts w:ascii="Times New Roman" w:hAnsi="Times New Roman"/>
      <w:szCs w:val="20"/>
    </w:rPr>
  </w:style>
  <w:style w:type="paragraph" w:styleId="15">
    <w:name w:val="Document Map"/>
    <w:basedOn w:val="1"/>
    <w:link w:val="60"/>
    <w:unhideWhenUsed/>
    <w:qFormat/>
    <w:uiPriority w:val="99"/>
    <w:rPr>
      <w:rFonts w:ascii="宋体"/>
      <w:kern w:val="0"/>
      <w:sz w:val="18"/>
      <w:szCs w:val="18"/>
    </w:rPr>
  </w:style>
  <w:style w:type="paragraph" w:styleId="16">
    <w:name w:val="annotation text"/>
    <w:basedOn w:val="1"/>
    <w:link w:val="67"/>
    <w:unhideWhenUsed/>
    <w:qFormat/>
    <w:uiPriority w:val="0"/>
    <w:pPr>
      <w:jc w:val="left"/>
    </w:pPr>
  </w:style>
  <w:style w:type="paragraph" w:styleId="17">
    <w:name w:val="index 6"/>
    <w:basedOn w:val="1"/>
    <w:next w:val="1"/>
    <w:qFormat/>
    <w:uiPriority w:val="0"/>
    <w:pPr>
      <w:ind w:left="2100"/>
    </w:pPr>
    <w:rPr>
      <w:rFonts w:ascii="Times New Roman" w:hAnsi="Times New Roman"/>
      <w:szCs w:val="20"/>
    </w:rPr>
  </w:style>
  <w:style w:type="paragraph" w:styleId="18">
    <w:name w:val="Body Text"/>
    <w:basedOn w:val="1"/>
    <w:link w:val="74"/>
    <w:unhideWhenUsed/>
    <w:qFormat/>
    <w:uiPriority w:val="0"/>
    <w:pPr>
      <w:spacing w:after="120"/>
    </w:pPr>
  </w:style>
  <w:style w:type="paragraph" w:styleId="19">
    <w:name w:val="Body Text Indent"/>
    <w:basedOn w:val="1"/>
    <w:link w:val="76"/>
    <w:qFormat/>
    <w:uiPriority w:val="0"/>
    <w:pPr>
      <w:spacing w:line="360" w:lineRule="auto"/>
      <w:ind w:firstLine="480" w:firstLineChars="200"/>
    </w:pPr>
    <w:rPr>
      <w:rFonts w:ascii="宋体" w:hAnsi="宋体"/>
      <w:kern w:val="0"/>
      <w:sz w:val="24"/>
      <w:szCs w:val="20"/>
    </w:rPr>
  </w:style>
  <w:style w:type="paragraph" w:styleId="20">
    <w:name w:val="index 4"/>
    <w:basedOn w:val="1"/>
    <w:next w:val="1"/>
    <w:qFormat/>
    <w:uiPriority w:val="0"/>
    <w:pPr>
      <w:ind w:left="1260"/>
    </w:pPr>
    <w:rPr>
      <w:rFonts w:ascii="Times New Roman" w:hAnsi="Times New Roman"/>
      <w:szCs w:val="20"/>
    </w:rPr>
  </w:style>
  <w:style w:type="paragraph" w:styleId="21">
    <w:name w:val="toc 5"/>
    <w:basedOn w:val="1"/>
    <w:next w:val="1"/>
    <w:qFormat/>
    <w:uiPriority w:val="39"/>
    <w:pPr>
      <w:ind w:left="1680"/>
    </w:pPr>
    <w:rPr>
      <w:rFonts w:ascii="Times New Roman" w:hAnsi="Times New Roman"/>
      <w:szCs w:val="20"/>
    </w:rPr>
  </w:style>
  <w:style w:type="paragraph" w:styleId="22">
    <w:name w:val="toc 3"/>
    <w:basedOn w:val="1"/>
    <w:next w:val="1"/>
    <w:unhideWhenUsed/>
    <w:qFormat/>
    <w:uiPriority w:val="39"/>
    <w:pPr>
      <w:ind w:left="840" w:leftChars="400"/>
    </w:pPr>
  </w:style>
  <w:style w:type="paragraph" w:styleId="23">
    <w:name w:val="Plain Text"/>
    <w:basedOn w:val="1"/>
    <w:link w:val="75"/>
    <w:qFormat/>
    <w:uiPriority w:val="0"/>
    <w:rPr>
      <w:rFonts w:ascii="宋体" w:hAnsi="Courier New"/>
      <w:kern w:val="10"/>
      <w:sz w:val="20"/>
      <w:szCs w:val="20"/>
    </w:rPr>
  </w:style>
  <w:style w:type="paragraph" w:styleId="24">
    <w:name w:val="toc 8"/>
    <w:basedOn w:val="1"/>
    <w:next w:val="1"/>
    <w:qFormat/>
    <w:uiPriority w:val="39"/>
    <w:pPr>
      <w:ind w:left="2940"/>
    </w:pPr>
    <w:rPr>
      <w:rFonts w:ascii="Times New Roman" w:hAnsi="Times New Roman"/>
      <w:szCs w:val="20"/>
    </w:rPr>
  </w:style>
  <w:style w:type="paragraph" w:styleId="25">
    <w:name w:val="index 3"/>
    <w:basedOn w:val="1"/>
    <w:next w:val="1"/>
    <w:qFormat/>
    <w:uiPriority w:val="0"/>
    <w:pPr>
      <w:ind w:left="840"/>
    </w:pPr>
    <w:rPr>
      <w:rFonts w:ascii="Times New Roman" w:hAnsi="Times New Roman"/>
      <w:szCs w:val="20"/>
    </w:rPr>
  </w:style>
  <w:style w:type="paragraph" w:styleId="26">
    <w:name w:val="Date"/>
    <w:basedOn w:val="1"/>
    <w:next w:val="1"/>
    <w:link w:val="90"/>
    <w:qFormat/>
    <w:uiPriority w:val="0"/>
    <w:rPr>
      <w:rFonts w:ascii="Times New Roman" w:hAnsi="Times New Roman"/>
      <w:kern w:val="0"/>
      <w:sz w:val="28"/>
      <w:szCs w:val="20"/>
    </w:rPr>
  </w:style>
  <w:style w:type="paragraph" w:styleId="27">
    <w:name w:val="Body Text Indent 2"/>
    <w:basedOn w:val="1"/>
    <w:link w:val="94"/>
    <w:qFormat/>
    <w:uiPriority w:val="0"/>
    <w:pPr>
      <w:ind w:left="840"/>
    </w:pPr>
    <w:rPr>
      <w:rFonts w:ascii="Times New Roman" w:hAnsi="Times New Roman"/>
      <w:kern w:val="0"/>
      <w:sz w:val="20"/>
      <w:szCs w:val="20"/>
    </w:rPr>
  </w:style>
  <w:style w:type="paragraph" w:styleId="28">
    <w:name w:val="Balloon Text"/>
    <w:basedOn w:val="1"/>
    <w:link w:val="70"/>
    <w:unhideWhenUsed/>
    <w:qFormat/>
    <w:uiPriority w:val="99"/>
    <w:rPr>
      <w:sz w:val="18"/>
      <w:szCs w:val="18"/>
    </w:rPr>
  </w:style>
  <w:style w:type="paragraph" w:styleId="29">
    <w:name w:val="footer"/>
    <w:basedOn w:val="1"/>
    <w:link w:val="71"/>
    <w:unhideWhenUsed/>
    <w:qFormat/>
    <w:uiPriority w:val="99"/>
    <w:pPr>
      <w:tabs>
        <w:tab w:val="center" w:pos="4153"/>
        <w:tab w:val="right" w:pos="8306"/>
      </w:tabs>
      <w:snapToGrid w:val="0"/>
      <w:jc w:val="left"/>
    </w:pPr>
    <w:rPr>
      <w:kern w:val="0"/>
      <w:sz w:val="18"/>
      <w:szCs w:val="18"/>
    </w:rPr>
  </w:style>
  <w:style w:type="paragraph" w:styleId="30">
    <w:name w:val="header"/>
    <w:basedOn w:val="1"/>
    <w:link w:val="6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qFormat/>
    <w:uiPriority w:val="39"/>
    <w:rPr>
      <w:rFonts w:ascii="Times New Roman" w:hAnsi="Times New Roman"/>
      <w:szCs w:val="24"/>
    </w:rPr>
  </w:style>
  <w:style w:type="paragraph" w:styleId="32">
    <w:name w:val="toc 4"/>
    <w:basedOn w:val="1"/>
    <w:next w:val="1"/>
    <w:qFormat/>
    <w:uiPriority w:val="39"/>
    <w:pPr>
      <w:ind w:left="1260"/>
    </w:pPr>
    <w:rPr>
      <w:rFonts w:ascii="Times New Roman" w:hAnsi="Times New Roman"/>
      <w:szCs w:val="20"/>
    </w:rPr>
  </w:style>
  <w:style w:type="paragraph" w:styleId="33">
    <w:name w:val="index heading"/>
    <w:basedOn w:val="1"/>
    <w:next w:val="34"/>
    <w:qFormat/>
    <w:uiPriority w:val="0"/>
    <w:rPr>
      <w:rFonts w:ascii="Times New Roman" w:hAnsi="Times New Roman"/>
      <w:szCs w:val="20"/>
    </w:rPr>
  </w:style>
  <w:style w:type="paragraph" w:styleId="34">
    <w:name w:val="index 1"/>
    <w:basedOn w:val="1"/>
    <w:next w:val="1"/>
    <w:qFormat/>
    <w:uiPriority w:val="0"/>
    <w:rPr>
      <w:rFonts w:ascii="Times New Roman" w:hAnsi="Times New Roman"/>
      <w:szCs w:val="20"/>
    </w:rPr>
  </w:style>
  <w:style w:type="paragraph" w:styleId="35">
    <w:name w:val="toc 6"/>
    <w:basedOn w:val="1"/>
    <w:next w:val="1"/>
    <w:qFormat/>
    <w:uiPriority w:val="39"/>
    <w:pPr>
      <w:ind w:left="2100"/>
    </w:pPr>
    <w:rPr>
      <w:rFonts w:ascii="Times New Roman" w:hAnsi="Times New Roman"/>
      <w:szCs w:val="20"/>
    </w:rPr>
  </w:style>
  <w:style w:type="paragraph" w:styleId="36">
    <w:name w:val="Body Text Indent 3"/>
    <w:basedOn w:val="1"/>
    <w:link w:val="95"/>
    <w:qFormat/>
    <w:uiPriority w:val="0"/>
    <w:pPr>
      <w:spacing w:line="400" w:lineRule="atLeast"/>
      <w:ind w:left="360" w:firstLine="410" w:firstLineChars="171"/>
    </w:pPr>
    <w:rPr>
      <w:rFonts w:ascii="Times New Roman" w:hAnsi="Times New Roman"/>
      <w:kern w:val="0"/>
      <w:sz w:val="20"/>
      <w:szCs w:val="20"/>
    </w:rPr>
  </w:style>
  <w:style w:type="paragraph" w:styleId="37">
    <w:name w:val="index 7"/>
    <w:basedOn w:val="1"/>
    <w:next w:val="1"/>
    <w:qFormat/>
    <w:uiPriority w:val="0"/>
    <w:pPr>
      <w:ind w:left="2520"/>
    </w:pPr>
    <w:rPr>
      <w:rFonts w:ascii="Times New Roman" w:hAnsi="Times New Roman"/>
      <w:szCs w:val="20"/>
    </w:rPr>
  </w:style>
  <w:style w:type="paragraph" w:styleId="38">
    <w:name w:val="index 9"/>
    <w:basedOn w:val="1"/>
    <w:next w:val="1"/>
    <w:qFormat/>
    <w:uiPriority w:val="0"/>
    <w:pPr>
      <w:ind w:left="3360"/>
    </w:pPr>
    <w:rPr>
      <w:rFonts w:ascii="Times New Roman" w:hAnsi="Times New Roman"/>
      <w:szCs w:val="20"/>
    </w:rPr>
  </w:style>
  <w:style w:type="paragraph" w:styleId="39">
    <w:name w:val="toc 2"/>
    <w:basedOn w:val="1"/>
    <w:next w:val="1"/>
    <w:unhideWhenUsed/>
    <w:qFormat/>
    <w:uiPriority w:val="39"/>
    <w:pPr>
      <w:ind w:left="420" w:leftChars="200"/>
    </w:pPr>
  </w:style>
  <w:style w:type="paragraph" w:styleId="40">
    <w:name w:val="toc 9"/>
    <w:basedOn w:val="1"/>
    <w:next w:val="1"/>
    <w:qFormat/>
    <w:uiPriority w:val="39"/>
    <w:pPr>
      <w:ind w:left="3360"/>
    </w:pPr>
    <w:rPr>
      <w:rFonts w:ascii="Times New Roman" w:hAnsi="Times New Roman"/>
      <w:szCs w:val="20"/>
    </w:rPr>
  </w:style>
  <w:style w:type="paragraph" w:styleId="41">
    <w:name w:val="HTML Preformatted"/>
    <w:basedOn w:val="1"/>
    <w:link w:val="1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0"/>
      <w:szCs w:val="20"/>
    </w:rPr>
  </w:style>
  <w:style w:type="paragraph" w:styleId="42">
    <w:name w:val="Normal (Web)"/>
    <w:basedOn w:val="1"/>
    <w:link w:val="180"/>
    <w:unhideWhenUsed/>
    <w:qFormat/>
    <w:uiPriority w:val="0"/>
    <w:rPr>
      <w:rFonts w:ascii="Times New Roman" w:hAnsi="Times New Roman"/>
      <w:sz w:val="24"/>
      <w:szCs w:val="24"/>
    </w:rPr>
  </w:style>
  <w:style w:type="paragraph" w:styleId="43">
    <w:name w:val="index 2"/>
    <w:basedOn w:val="1"/>
    <w:next w:val="1"/>
    <w:qFormat/>
    <w:uiPriority w:val="0"/>
    <w:pPr>
      <w:ind w:left="420"/>
    </w:pPr>
    <w:rPr>
      <w:rFonts w:ascii="Times New Roman" w:hAnsi="Times New Roman"/>
      <w:szCs w:val="20"/>
    </w:rPr>
  </w:style>
  <w:style w:type="paragraph" w:styleId="44">
    <w:name w:val="Title"/>
    <w:link w:val="130"/>
    <w:qFormat/>
    <w:uiPriority w:val="0"/>
    <w:pPr>
      <w:spacing w:before="240" w:after="60" w:line="540" w:lineRule="exact"/>
      <w:outlineLvl w:val="0"/>
    </w:pPr>
    <w:rPr>
      <w:rFonts w:ascii="Cambria" w:hAnsi="Cambria" w:eastAsia="仿宋_GB2312" w:cs="Cambria"/>
      <w:b/>
      <w:bCs/>
      <w:sz w:val="32"/>
      <w:szCs w:val="32"/>
      <w:lang w:val="en-US" w:eastAsia="zh-CN" w:bidi="ar-SA"/>
    </w:rPr>
  </w:style>
  <w:style w:type="paragraph" w:styleId="45">
    <w:name w:val="annotation subject"/>
    <w:basedOn w:val="16"/>
    <w:next w:val="16"/>
    <w:link w:val="57"/>
    <w:unhideWhenUsed/>
    <w:qFormat/>
    <w:uiPriority w:val="0"/>
    <w:rPr>
      <w:b/>
      <w:bCs/>
    </w:rPr>
  </w:style>
  <w:style w:type="paragraph" w:styleId="46">
    <w:name w:val="Body Text First Indent"/>
    <w:basedOn w:val="18"/>
    <w:link w:val="73"/>
    <w:unhideWhenUsed/>
    <w:qFormat/>
    <w:uiPriority w:val="99"/>
    <w:pPr>
      <w:ind w:firstLine="420" w:firstLineChars="100"/>
    </w:pPr>
  </w:style>
  <w:style w:type="table" w:styleId="48">
    <w:name w:val="Table Grid"/>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Light List Accent 3"/>
    <w:basedOn w:val="47"/>
    <w:qFormat/>
    <w:uiPriority w:val="61"/>
    <w:rPr>
      <w:sz w:val="22"/>
      <w:szCs w:val="22"/>
    </w:rPr>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semiHidden/>
    <w:unhideWhenUsed/>
    <w:qFormat/>
    <w:uiPriority w:val="99"/>
    <w:rPr>
      <w:color w:val="954F72"/>
      <w:u w:val="single"/>
    </w:rPr>
  </w:style>
  <w:style w:type="character" w:styleId="54">
    <w:name w:val="HTML Typewriter"/>
    <w:qFormat/>
    <w:uiPriority w:val="0"/>
    <w:rPr>
      <w:rFonts w:ascii="Courier New" w:hAnsi="Courier New" w:eastAsia="宋体" w:cs="Courier New"/>
      <w:sz w:val="20"/>
      <w:szCs w:val="20"/>
      <w:lang w:val="en-US" w:eastAsia="zh-CN" w:bidi="ar-SA"/>
    </w:rPr>
  </w:style>
  <w:style w:type="character" w:styleId="55">
    <w:name w:val="Hyperlink"/>
    <w:unhideWhenUsed/>
    <w:qFormat/>
    <w:uiPriority w:val="99"/>
    <w:rPr>
      <w:color w:val="0000FF"/>
      <w:u w:val="single"/>
    </w:rPr>
  </w:style>
  <w:style w:type="character" w:styleId="56">
    <w:name w:val="annotation reference"/>
    <w:unhideWhenUsed/>
    <w:qFormat/>
    <w:uiPriority w:val="0"/>
    <w:rPr>
      <w:sz w:val="21"/>
      <w:szCs w:val="21"/>
    </w:rPr>
  </w:style>
  <w:style w:type="character" w:customStyle="1" w:styleId="57">
    <w:name w:val="批注主题 Char"/>
    <w:link w:val="45"/>
    <w:qFormat/>
    <w:uiPriority w:val="0"/>
    <w:rPr>
      <w:b/>
      <w:bCs/>
      <w:kern w:val="2"/>
      <w:sz w:val="21"/>
      <w:szCs w:val="22"/>
    </w:rPr>
  </w:style>
  <w:style w:type="character" w:customStyle="1" w:styleId="58">
    <w:name w:val="标题 2 Char"/>
    <w:link w:val="4"/>
    <w:qFormat/>
    <w:uiPriority w:val="0"/>
    <w:rPr>
      <w:rFonts w:ascii="Cambria" w:hAnsi="Cambria" w:eastAsia="宋体" w:cs="Times New Roman"/>
      <w:b/>
      <w:bCs/>
      <w:kern w:val="2"/>
      <w:sz w:val="32"/>
      <w:szCs w:val="32"/>
    </w:rPr>
  </w:style>
  <w:style w:type="character" w:customStyle="1" w:styleId="59">
    <w:name w:val="正文缩进 Char"/>
    <w:link w:val="2"/>
    <w:qFormat/>
    <w:uiPriority w:val="0"/>
    <w:rPr>
      <w:rFonts w:ascii="Times New Roman" w:hAnsi="Times New Roman" w:eastAsia="宋体" w:cs="Times New Roman"/>
      <w:kern w:val="0"/>
      <w:sz w:val="32"/>
      <w:szCs w:val="20"/>
    </w:rPr>
  </w:style>
  <w:style w:type="character" w:customStyle="1" w:styleId="60">
    <w:name w:val="文档结构图 Char"/>
    <w:link w:val="15"/>
    <w:qFormat/>
    <w:uiPriority w:val="99"/>
    <w:rPr>
      <w:rFonts w:ascii="宋体" w:hAnsi="Calibri" w:eastAsia="宋体" w:cs="Times New Roman"/>
      <w:sz w:val="18"/>
      <w:szCs w:val="18"/>
    </w:rPr>
  </w:style>
  <w:style w:type="character" w:customStyle="1" w:styleId="61">
    <w:name w:val="标题 3 Char"/>
    <w:link w:val="5"/>
    <w:qFormat/>
    <w:uiPriority w:val="0"/>
    <w:rPr>
      <w:rFonts w:ascii="Calibri" w:hAnsi="Calibri" w:eastAsia="宋体" w:cs="Times New Roman"/>
      <w:b/>
      <w:bCs/>
      <w:sz w:val="32"/>
      <w:szCs w:val="32"/>
    </w:rPr>
  </w:style>
  <w:style w:type="character" w:customStyle="1" w:styleId="62">
    <w:name w:val="标题 1 Char"/>
    <w:link w:val="3"/>
    <w:qFormat/>
    <w:uiPriority w:val="0"/>
    <w:rPr>
      <w:rFonts w:ascii="黑体" w:hAnsi="黑体" w:eastAsia="黑体" w:cs="Times New Roman"/>
      <w:b/>
      <w:color w:val="000000"/>
      <w:kern w:val="0"/>
      <w:sz w:val="36"/>
      <w:szCs w:val="36"/>
    </w:rPr>
  </w:style>
  <w:style w:type="character" w:customStyle="1" w:styleId="63">
    <w:name w:val="正文首行缩进 Char1"/>
    <w:qFormat/>
    <w:uiPriority w:val="0"/>
    <w:rPr>
      <w:rFonts w:ascii="Times New Roman" w:hAnsi="Times New Roman" w:eastAsia="仿宋_GB2312" w:cs="Times New Roman"/>
      <w:sz w:val="24"/>
    </w:rPr>
  </w:style>
  <w:style w:type="character" w:customStyle="1" w:styleId="64">
    <w:name w:val="页脚 Char1"/>
    <w:qFormat/>
    <w:uiPriority w:val="0"/>
    <w:rPr>
      <w:sz w:val="18"/>
      <w:szCs w:val="18"/>
    </w:rPr>
  </w:style>
  <w:style w:type="character" w:customStyle="1" w:styleId="65">
    <w:name w:val="列出段落 Char"/>
    <w:link w:val="66"/>
    <w:qFormat/>
    <w:uiPriority w:val="34"/>
    <w:rPr>
      <w:kern w:val="2"/>
      <w:sz w:val="21"/>
      <w:szCs w:val="22"/>
    </w:rPr>
  </w:style>
  <w:style w:type="paragraph" w:styleId="66">
    <w:name w:val="List Paragraph"/>
    <w:basedOn w:val="1"/>
    <w:link w:val="65"/>
    <w:qFormat/>
    <w:uiPriority w:val="0"/>
    <w:pPr>
      <w:ind w:firstLine="420" w:firstLineChars="200"/>
    </w:pPr>
  </w:style>
  <w:style w:type="character" w:customStyle="1" w:styleId="67">
    <w:name w:val="批注文字 Char"/>
    <w:link w:val="16"/>
    <w:qFormat/>
    <w:uiPriority w:val="0"/>
    <w:rPr>
      <w:kern w:val="2"/>
      <w:sz w:val="21"/>
      <w:szCs w:val="22"/>
    </w:rPr>
  </w:style>
  <w:style w:type="character" w:customStyle="1" w:styleId="68">
    <w:name w:val="纯文本 Char1"/>
    <w:qFormat/>
    <w:uiPriority w:val="0"/>
    <w:rPr>
      <w:rFonts w:ascii="宋体" w:hAnsi="Courier New" w:eastAsia="宋体" w:cs="Courier New"/>
      <w:szCs w:val="21"/>
    </w:rPr>
  </w:style>
  <w:style w:type="character" w:customStyle="1" w:styleId="69">
    <w:name w:val="页眉 Char"/>
    <w:link w:val="30"/>
    <w:qFormat/>
    <w:uiPriority w:val="99"/>
    <w:rPr>
      <w:sz w:val="18"/>
      <w:szCs w:val="18"/>
    </w:rPr>
  </w:style>
  <w:style w:type="character" w:customStyle="1" w:styleId="70">
    <w:name w:val="批注框文本 Char"/>
    <w:link w:val="28"/>
    <w:qFormat/>
    <w:uiPriority w:val="99"/>
    <w:rPr>
      <w:kern w:val="2"/>
      <w:sz w:val="18"/>
      <w:szCs w:val="18"/>
    </w:rPr>
  </w:style>
  <w:style w:type="character" w:customStyle="1" w:styleId="71">
    <w:name w:val="页脚 Char"/>
    <w:link w:val="29"/>
    <w:qFormat/>
    <w:uiPriority w:val="99"/>
    <w:rPr>
      <w:sz w:val="18"/>
      <w:szCs w:val="18"/>
    </w:rPr>
  </w:style>
  <w:style w:type="character" w:customStyle="1" w:styleId="72">
    <w:name w:val="纯文本 字符"/>
    <w:qFormat/>
    <w:uiPriority w:val="0"/>
    <w:rPr>
      <w:rFonts w:ascii="宋体" w:hAnsi="Courier New" w:eastAsia="宋体" w:cs="Courier New"/>
      <w:szCs w:val="21"/>
    </w:rPr>
  </w:style>
  <w:style w:type="character" w:customStyle="1" w:styleId="73">
    <w:name w:val="正文首行缩进 Char"/>
    <w:basedOn w:val="74"/>
    <w:link w:val="46"/>
    <w:qFormat/>
    <w:uiPriority w:val="99"/>
  </w:style>
  <w:style w:type="character" w:customStyle="1" w:styleId="74">
    <w:name w:val="正文文本 Char"/>
    <w:basedOn w:val="50"/>
    <w:link w:val="18"/>
    <w:qFormat/>
    <w:uiPriority w:val="0"/>
  </w:style>
  <w:style w:type="character" w:customStyle="1" w:styleId="75">
    <w:name w:val="纯文本 Char"/>
    <w:link w:val="23"/>
    <w:qFormat/>
    <w:uiPriority w:val="0"/>
    <w:rPr>
      <w:rFonts w:ascii="宋体" w:hAnsi="Courier New" w:eastAsia="宋体"/>
      <w:kern w:val="10"/>
    </w:rPr>
  </w:style>
  <w:style w:type="character" w:customStyle="1" w:styleId="76">
    <w:name w:val="正文文本缩进 Char"/>
    <w:link w:val="19"/>
    <w:qFormat/>
    <w:uiPriority w:val="0"/>
    <w:rPr>
      <w:rFonts w:ascii="宋体" w:hAnsi="宋体" w:eastAsia="宋体" w:cs="Times New Roman"/>
      <w:sz w:val="24"/>
      <w:szCs w:val="20"/>
    </w:rPr>
  </w:style>
  <w:style w:type="paragraph" w:customStyle="1" w:styleId="77">
    <w:name w:val="Char"/>
    <w:basedOn w:val="1"/>
    <w:qFormat/>
    <w:uiPriority w:val="0"/>
    <w:rPr>
      <w:rFonts w:ascii="Times New Roman" w:hAnsi="Times New Roman"/>
      <w:szCs w:val="20"/>
    </w:rPr>
  </w:style>
  <w:style w:type="paragraph" w:customStyle="1" w:styleId="78">
    <w:name w:val="表头及图底"/>
    <w:basedOn w:val="1"/>
    <w:next w:val="1"/>
    <w:qFormat/>
    <w:uiPriority w:val="0"/>
    <w:pPr>
      <w:spacing w:beforeLines="20" w:afterLines="20" w:line="360" w:lineRule="auto"/>
      <w:jc w:val="center"/>
    </w:pPr>
    <w:rPr>
      <w:rFonts w:ascii="宋体" w:hAnsi="宋体" w:eastAsia="仿宋_GB2312"/>
      <w:color w:val="00B050"/>
      <w:kern w:val="0"/>
      <w:sz w:val="24"/>
      <w:szCs w:val="24"/>
    </w:rPr>
  </w:style>
  <w:style w:type="paragraph" w:customStyle="1" w:styleId="79">
    <w:name w:val="_Style 78"/>
    <w:basedOn w:val="3"/>
    <w:next w:val="1"/>
    <w:qFormat/>
    <w:uiPriority w:val="39"/>
    <w:pPr>
      <w:keepLines/>
      <w:widowControl/>
      <w:adjustRightInd/>
      <w:spacing w:before="480" w:line="276" w:lineRule="auto"/>
      <w:jc w:val="left"/>
      <w:textAlignment w:val="auto"/>
      <w:outlineLvl w:val="9"/>
    </w:pPr>
    <w:rPr>
      <w:rFonts w:ascii="Cambria" w:hAnsi="Cambria" w:eastAsia="宋体"/>
      <w:bCs/>
      <w:color w:val="365F91"/>
      <w:sz w:val="28"/>
      <w:szCs w:val="28"/>
    </w:rPr>
  </w:style>
  <w:style w:type="paragraph" w:customStyle="1" w:styleId="80">
    <w:name w:val="Char Char Char Char Char Char Char Char Char Char"/>
    <w:basedOn w:val="1"/>
    <w:qFormat/>
    <w:uiPriority w:val="0"/>
    <w:rPr>
      <w:rFonts w:ascii="Tahoma" w:hAnsi="Tahoma" w:cs="Tahoma"/>
      <w:sz w:val="24"/>
      <w:szCs w:val="24"/>
    </w:rPr>
  </w:style>
  <w:style w:type="paragraph" w:customStyle="1" w:styleId="81">
    <w:name w:val="正文2"/>
    <w:qFormat/>
    <w:uiPriority w:val="0"/>
    <w:pPr>
      <w:widowControl w:val="0"/>
      <w:jc w:val="both"/>
    </w:pPr>
    <w:rPr>
      <w:rFonts w:ascii="Calibri" w:hAnsi="Calibri" w:eastAsia="宋体" w:cs="Times New Roman"/>
      <w:kern w:val="2"/>
      <w:sz w:val="21"/>
      <w:szCs w:val="24"/>
      <w:lang w:val="en-US" w:eastAsia="zh-CN" w:bidi="ar-SA"/>
    </w:rPr>
  </w:style>
  <w:style w:type="paragraph" w:customStyle="1" w:styleId="82">
    <w:name w:val="Normal_2"/>
    <w:qFormat/>
    <w:uiPriority w:val="0"/>
    <w:pPr>
      <w:widowControl w:val="0"/>
      <w:jc w:val="both"/>
    </w:pPr>
    <w:rPr>
      <w:rFonts w:ascii="Calibri" w:hAnsi="Calibri" w:eastAsia="宋体" w:cs="Times New Roman"/>
      <w:kern w:val="2"/>
      <w:sz w:val="21"/>
      <w:szCs w:val="24"/>
      <w:lang w:val="en-US" w:eastAsia="zh-CN" w:bidi="ar-SA"/>
    </w:rPr>
  </w:style>
  <w:style w:type="character" w:customStyle="1" w:styleId="83">
    <w:name w:val="标题 5 Char"/>
    <w:link w:val="7"/>
    <w:qFormat/>
    <w:uiPriority w:val="0"/>
    <w:rPr>
      <w:b/>
      <w:bCs/>
      <w:kern w:val="2"/>
      <w:sz w:val="28"/>
      <w:szCs w:val="28"/>
    </w:rPr>
  </w:style>
  <w:style w:type="character" w:customStyle="1" w:styleId="84">
    <w:name w:val="标题 4 Char"/>
    <w:link w:val="6"/>
    <w:qFormat/>
    <w:uiPriority w:val="0"/>
    <w:rPr>
      <w:rFonts w:ascii="Arial" w:hAnsi="Arial" w:eastAsia="黑体"/>
      <w:b/>
      <w:sz w:val="28"/>
    </w:rPr>
  </w:style>
  <w:style w:type="character" w:customStyle="1" w:styleId="85">
    <w:name w:val="标题 6 Char"/>
    <w:link w:val="8"/>
    <w:qFormat/>
    <w:uiPriority w:val="0"/>
    <w:rPr>
      <w:rFonts w:ascii="Arial" w:hAnsi="Arial" w:eastAsia="黑体"/>
      <w:b/>
    </w:rPr>
  </w:style>
  <w:style w:type="character" w:customStyle="1" w:styleId="86">
    <w:name w:val="标题 7 Char"/>
    <w:link w:val="9"/>
    <w:qFormat/>
    <w:uiPriority w:val="0"/>
    <w:rPr>
      <w:rFonts w:ascii="Times New Roman" w:hAnsi="Times New Roman"/>
      <w:b/>
    </w:rPr>
  </w:style>
  <w:style w:type="character" w:customStyle="1" w:styleId="87">
    <w:name w:val="标题 8 Char"/>
    <w:link w:val="10"/>
    <w:qFormat/>
    <w:uiPriority w:val="0"/>
    <w:rPr>
      <w:rFonts w:ascii="Arial" w:hAnsi="Arial" w:eastAsia="黑体"/>
    </w:rPr>
  </w:style>
  <w:style w:type="character" w:customStyle="1" w:styleId="88">
    <w:name w:val="标题 9 Char"/>
    <w:link w:val="11"/>
    <w:qFormat/>
    <w:uiPriority w:val="0"/>
    <w:rPr>
      <w:rFonts w:ascii="Arial" w:hAnsi="Arial" w:eastAsia="黑体"/>
      <w:sz w:val="21"/>
    </w:rPr>
  </w:style>
  <w:style w:type="character" w:customStyle="1" w:styleId="89">
    <w:name w:val="页码1"/>
    <w:qFormat/>
    <w:uiPriority w:val="0"/>
    <w:rPr>
      <w:rFonts w:ascii="Times New Roman" w:hAnsi="Times New Roman" w:eastAsia="宋体" w:cs="Times New Roman"/>
      <w:lang w:val="en-US" w:eastAsia="zh-CN" w:bidi="ar-SA"/>
    </w:rPr>
  </w:style>
  <w:style w:type="character" w:customStyle="1" w:styleId="90">
    <w:name w:val="日期 Char"/>
    <w:link w:val="26"/>
    <w:qFormat/>
    <w:uiPriority w:val="0"/>
    <w:rPr>
      <w:rFonts w:ascii="Times New Roman" w:hAnsi="Times New Roman"/>
      <w:sz w:val="28"/>
    </w:rPr>
  </w:style>
  <w:style w:type="paragraph" w:customStyle="1" w:styleId="91">
    <w:name w:val="_Style 67"/>
    <w:qFormat/>
    <w:uiPriority w:val="0"/>
    <w:pPr>
      <w:widowControl w:val="0"/>
      <w:jc w:val="both"/>
    </w:pPr>
    <w:rPr>
      <w:rFonts w:ascii="Calibri" w:hAnsi="Calibri" w:eastAsia="宋体" w:cs="Times New Roman"/>
      <w:kern w:val="2"/>
      <w:sz w:val="21"/>
      <w:szCs w:val="22"/>
      <w:lang w:val="en-US" w:eastAsia="zh-CN" w:bidi="ar-SA"/>
    </w:rPr>
  </w:style>
  <w:style w:type="character" w:customStyle="1" w:styleId="92">
    <w:name w:val="无间隔 Char"/>
    <w:link w:val="93"/>
    <w:qFormat/>
    <w:uiPriority w:val="0"/>
    <w:rPr>
      <w:rFonts w:ascii="Times New Roman" w:hAnsi="Times New Roman"/>
      <w:kern w:val="2"/>
      <w:sz w:val="22"/>
      <w:szCs w:val="22"/>
    </w:rPr>
  </w:style>
  <w:style w:type="paragraph" w:customStyle="1" w:styleId="93">
    <w:name w:val="无间距1"/>
    <w:link w:val="92"/>
    <w:qFormat/>
    <w:uiPriority w:val="0"/>
    <w:rPr>
      <w:rFonts w:ascii="Times New Roman" w:hAnsi="Times New Roman" w:eastAsia="宋体" w:cs="Times New Roman"/>
      <w:kern w:val="2"/>
      <w:sz w:val="22"/>
      <w:szCs w:val="22"/>
      <w:lang w:val="en-US" w:eastAsia="zh-CN" w:bidi="ar-SA"/>
    </w:rPr>
  </w:style>
  <w:style w:type="character" w:customStyle="1" w:styleId="94">
    <w:name w:val="正文文本缩进 2 Char"/>
    <w:link w:val="27"/>
    <w:qFormat/>
    <w:uiPriority w:val="0"/>
    <w:rPr>
      <w:rFonts w:ascii="Times New Roman" w:hAnsi="Times New Roman"/>
    </w:rPr>
  </w:style>
  <w:style w:type="character" w:customStyle="1" w:styleId="95">
    <w:name w:val="正文文本缩进 3 Char"/>
    <w:link w:val="36"/>
    <w:qFormat/>
    <w:uiPriority w:val="0"/>
    <w:rPr>
      <w:rFonts w:ascii="Times New Roman" w:hAnsi="Times New Roman"/>
    </w:rPr>
  </w:style>
  <w:style w:type="paragraph" w:customStyle="1" w:styleId="96">
    <w:name w:val="xl6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7">
    <w:name w:val="xl3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8">
    <w:name w:val="xl37"/>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9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0">
    <w:name w:val="xl24"/>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01">
    <w:name w:val="xl6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character" w:customStyle="1" w:styleId="102">
    <w:name w:val="文档结构图 字符1"/>
    <w:semiHidden/>
    <w:qFormat/>
    <w:uiPriority w:val="99"/>
    <w:rPr>
      <w:rFonts w:ascii="Heiti SC Light" w:hAnsi="Times New Roman" w:eastAsia="Heiti SC Light" w:cs="Times New Roman"/>
    </w:rPr>
  </w:style>
  <w:style w:type="character" w:customStyle="1" w:styleId="103">
    <w:name w:val="文档结构图 Char1"/>
    <w:qFormat/>
    <w:uiPriority w:val="0"/>
    <w:rPr>
      <w:rFonts w:ascii="宋体" w:hAnsi="Times New Roman" w:eastAsia="宋体" w:cs="Times New Roman"/>
      <w:kern w:val="2"/>
      <w:sz w:val="18"/>
      <w:szCs w:val="18"/>
      <w:lang w:val="en-US" w:eastAsia="zh-CN" w:bidi="ar-SA"/>
    </w:rPr>
  </w:style>
  <w:style w:type="paragraph" w:customStyle="1" w:styleId="104">
    <w:name w:val="xl53"/>
    <w:basedOn w:val="1"/>
    <w:qFormat/>
    <w:uiPriority w:val="0"/>
    <w:pPr>
      <w:widowControl/>
      <w:pBdr>
        <w:left w:val="single" w:color="auto" w:sz="4" w:space="0"/>
        <w:bottom w:val="single" w:color="auto" w:sz="4" w:space="0"/>
        <w:right w:val="single" w:color="auto" w:sz="8" w:space="0"/>
      </w:pBdr>
      <w:spacing w:before="100" w:beforeAutospacing="1" w:after="100" w:afterAutospacing="1"/>
    </w:pPr>
    <w:rPr>
      <w:rFonts w:ascii="宋体" w:hAnsi="宋体" w:cs="宋体"/>
      <w:kern w:val="0"/>
      <w:sz w:val="18"/>
      <w:szCs w:val="18"/>
    </w:rPr>
  </w:style>
  <w:style w:type="paragraph" w:customStyle="1" w:styleId="105">
    <w:name w:val="资料表"/>
    <w:basedOn w:val="106"/>
    <w:qFormat/>
    <w:uiPriority w:val="0"/>
    <w:rPr>
      <w:rFonts w:ascii="Times New Roman"/>
    </w:rPr>
  </w:style>
  <w:style w:type="paragraph" w:customStyle="1" w:styleId="10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07">
    <w:name w:val="xl57"/>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08">
    <w:name w:val="xl4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10">
    <w:name w:val="xl34"/>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11">
    <w:name w:val="xl5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12">
    <w:name w:val="xl35"/>
    <w:basedOn w:val="1"/>
    <w:qFormat/>
    <w:uiPriority w:val="0"/>
    <w:pPr>
      <w:widowControl/>
      <w:spacing w:before="100" w:beforeAutospacing="1" w:after="100" w:afterAutospacing="1"/>
      <w:jc w:val="center"/>
    </w:pPr>
    <w:rPr>
      <w:rFonts w:ascii="宋体" w:hAnsi="宋体" w:cs="宋体"/>
      <w:kern w:val="0"/>
      <w:szCs w:val="21"/>
    </w:rPr>
  </w:style>
  <w:style w:type="paragraph" w:customStyle="1" w:styleId="113">
    <w:name w:val="默认段落字体 Para Char Char Char Char Char Char Char"/>
    <w:basedOn w:val="1"/>
    <w:qFormat/>
    <w:uiPriority w:val="0"/>
    <w:rPr>
      <w:rFonts w:ascii="Tahoma" w:hAnsi="Tahoma"/>
      <w:sz w:val="24"/>
      <w:szCs w:val="20"/>
    </w:rPr>
  </w:style>
  <w:style w:type="paragraph" w:customStyle="1" w:styleId="114">
    <w:name w:val="xl4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15">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16">
    <w:name w:val="Char Char1 Char Char Char Char Char Char Char Char Char Char Char Char"/>
    <w:basedOn w:val="1"/>
    <w:qFormat/>
    <w:uiPriority w:val="0"/>
    <w:rPr>
      <w:rFonts w:ascii="Times New Roman" w:hAnsi="Times New Roman"/>
      <w:szCs w:val="24"/>
    </w:rPr>
  </w:style>
  <w:style w:type="paragraph" w:customStyle="1" w:styleId="117">
    <w:name w:val="纯文本1"/>
    <w:basedOn w:val="1"/>
    <w:qFormat/>
    <w:uiPriority w:val="0"/>
    <w:pPr>
      <w:adjustRightInd w:val="0"/>
      <w:spacing w:line="312" w:lineRule="atLeast"/>
      <w:ind w:left="425" w:leftChars="202" w:firstLine="425"/>
      <w:textAlignment w:val="baseline"/>
    </w:pPr>
    <w:rPr>
      <w:rFonts w:ascii="宋体" w:hAnsi="Courier New"/>
      <w:kern w:val="0"/>
      <w:szCs w:val="20"/>
    </w:rPr>
  </w:style>
  <w:style w:type="paragraph" w:customStyle="1" w:styleId="118">
    <w:name w:val="样式1"/>
    <w:basedOn w:val="1"/>
    <w:qFormat/>
    <w:uiPriority w:val="0"/>
    <w:pPr>
      <w:adjustRightInd w:val="0"/>
      <w:spacing w:before="120" w:after="120" w:line="120" w:lineRule="exact"/>
    </w:pPr>
    <w:rPr>
      <w:rFonts w:ascii="Times New Roman" w:hAnsi="Times New Roman"/>
      <w:color w:val="FF00FF"/>
      <w:kern w:val="0"/>
      <w:sz w:val="24"/>
      <w:szCs w:val="20"/>
    </w:rPr>
  </w:style>
  <w:style w:type="paragraph" w:customStyle="1" w:styleId="119">
    <w:name w:val="投标书格式"/>
    <w:basedOn w:val="5"/>
    <w:qFormat/>
    <w:uiPriority w:val="0"/>
    <w:pPr>
      <w:widowControl/>
      <w:tabs>
        <w:tab w:val="left" w:pos="1260"/>
      </w:tabs>
      <w:spacing w:before="360" w:line="240" w:lineRule="auto"/>
      <w:jc w:val="center"/>
    </w:pPr>
    <w:rPr>
      <w:rFonts w:ascii="Times New Roman" w:hAnsi="Times New Roman" w:eastAsia="黑体"/>
      <w:bCs w:val="0"/>
      <w:sz w:val="30"/>
      <w:szCs w:val="20"/>
    </w:rPr>
  </w:style>
  <w:style w:type="paragraph" w:customStyle="1" w:styleId="120">
    <w:name w:val="xl41"/>
    <w:basedOn w:val="1"/>
    <w:qFormat/>
    <w:uiPriority w:val="0"/>
    <w:pPr>
      <w:widowControl/>
      <w:spacing w:before="100" w:beforeAutospacing="1" w:after="100" w:afterAutospacing="1"/>
      <w:jc w:val="left"/>
    </w:pPr>
    <w:rPr>
      <w:rFonts w:ascii="楷体_GB2312" w:hAnsi="宋体" w:eastAsia="楷体_GB2312" w:cs="宋体"/>
      <w:b/>
      <w:bCs/>
      <w:color w:val="000000"/>
      <w:kern w:val="0"/>
      <w:sz w:val="32"/>
      <w:szCs w:val="32"/>
    </w:rPr>
  </w:style>
  <w:style w:type="paragraph" w:customStyle="1" w:styleId="121">
    <w:name w:val="xl52"/>
    <w:basedOn w:val="1"/>
    <w:qFormat/>
    <w:uiPriority w:val="0"/>
    <w:pPr>
      <w:widowControl/>
      <w:pBdr>
        <w:left w:val="single" w:color="auto" w:sz="4" w:space="0"/>
        <w:right w:val="single" w:color="auto" w:sz="8" w:space="0"/>
      </w:pBdr>
      <w:spacing w:before="100" w:beforeAutospacing="1" w:after="100" w:afterAutospacing="1"/>
    </w:pPr>
    <w:rPr>
      <w:rFonts w:ascii="宋体" w:hAnsi="宋体" w:cs="宋体"/>
      <w:kern w:val="0"/>
      <w:sz w:val="18"/>
      <w:szCs w:val="18"/>
    </w:rPr>
  </w:style>
  <w:style w:type="paragraph" w:customStyle="1" w:styleId="122">
    <w:name w:val="正文（首行缩进两字）"/>
    <w:basedOn w:val="1"/>
    <w:qFormat/>
    <w:uiPriority w:val="0"/>
    <w:rPr>
      <w:rFonts w:ascii="Times New Roman" w:hAnsi="Times New Roman"/>
      <w:szCs w:val="20"/>
    </w:rPr>
  </w:style>
  <w:style w:type="character" w:customStyle="1" w:styleId="123">
    <w:name w:val="批注文字 Char1"/>
    <w:qFormat/>
    <w:uiPriority w:val="0"/>
    <w:rPr>
      <w:rFonts w:ascii="Times New Roman" w:hAnsi="Times New Roman" w:eastAsia="宋体" w:cs="Times New Roman"/>
      <w:sz w:val="21"/>
      <w:szCs w:val="20"/>
    </w:rPr>
  </w:style>
  <w:style w:type="character" w:customStyle="1" w:styleId="124">
    <w:name w:val="批注主题字符1"/>
    <w:semiHidden/>
    <w:qFormat/>
    <w:uiPriority w:val="99"/>
    <w:rPr>
      <w:rFonts w:ascii="Times New Roman" w:hAnsi="Times New Roman" w:eastAsia="宋体" w:cs="Times New Roman"/>
      <w:b/>
      <w:bCs/>
      <w:sz w:val="21"/>
      <w:szCs w:val="20"/>
    </w:rPr>
  </w:style>
  <w:style w:type="character" w:customStyle="1" w:styleId="125">
    <w:name w:val="批注主题 Char1"/>
    <w:qFormat/>
    <w:uiPriority w:val="0"/>
    <w:rPr>
      <w:rFonts w:ascii="Times New Roman" w:hAnsi="Times New Roman" w:eastAsia="宋体" w:cs="Times New Roman"/>
      <w:b/>
      <w:bCs/>
      <w:kern w:val="2"/>
      <w:sz w:val="21"/>
      <w:szCs w:val="20"/>
      <w:lang w:val="en-US" w:eastAsia="zh-CN" w:bidi="ar-SA"/>
    </w:rPr>
  </w:style>
  <w:style w:type="paragraph" w:customStyle="1" w:styleId="1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xl39"/>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29">
    <w:name w:val="font7"/>
    <w:basedOn w:val="1"/>
    <w:qFormat/>
    <w:uiPriority w:val="0"/>
    <w:pPr>
      <w:widowControl/>
      <w:spacing w:before="100" w:beforeAutospacing="1" w:after="100" w:afterAutospacing="1"/>
      <w:jc w:val="left"/>
    </w:pPr>
    <w:rPr>
      <w:rFonts w:ascii="Times New Roman" w:hAnsi="Times New Roman"/>
      <w:b/>
      <w:bCs/>
      <w:kern w:val="0"/>
      <w:sz w:val="32"/>
      <w:szCs w:val="32"/>
    </w:rPr>
  </w:style>
  <w:style w:type="character" w:customStyle="1" w:styleId="130">
    <w:name w:val="标题 Char"/>
    <w:link w:val="44"/>
    <w:qFormat/>
    <w:uiPriority w:val="0"/>
    <w:rPr>
      <w:rFonts w:ascii="Cambria" w:hAnsi="Cambria" w:eastAsia="仿宋_GB2312" w:cs="Cambria"/>
      <w:b/>
      <w:bCs/>
      <w:sz w:val="32"/>
      <w:szCs w:val="32"/>
    </w:rPr>
  </w:style>
  <w:style w:type="paragraph" w:customStyle="1" w:styleId="131">
    <w:name w:val="xl5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cs="宋体"/>
      <w:kern w:val="0"/>
      <w:sz w:val="18"/>
      <w:szCs w:val="18"/>
    </w:rPr>
  </w:style>
  <w:style w:type="character" w:customStyle="1" w:styleId="132">
    <w:name w:val="纯文本字符1"/>
    <w:semiHidden/>
    <w:qFormat/>
    <w:uiPriority w:val="99"/>
    <w:rPr>
      <w:rFonts w:ascii="宋体" w:hAnsi="Courier" w:eastAsia="宋体" w:cs="Times New Roman"/>
    </w:rPr>
  </w:style>
  <w:style w:type="paragraph" w:customStyle="1" w:styleId="133">
    <w:name w:val="xl33"/>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34">
    <w:name w:val="xl32"/>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135">
    <w:name w:val="页眉字符1"/>
    <w:semiHidden/>
    <w:qFormat/>
    <w:uiPriority w:val="99"/>
    <w:rPr>
      <w:rFonts w:ascii="Times New Roman" w:hAnsi="Times New Roman" w:eastAsia="宋体" w:cs="Times New Roman"/>
      <w:sz w:val="18"/>
      <w:szCs w:val="18"/>
    </w:rPr>
  </w:style>
  <w:style w:type="character" w:customStyle="1" w:styleId="136">
    <w:name w:val="页眉 Char1"/>
    <w:qFormat/>
    <w:uiPriority w:val="0"/>
    <w:rPr>
      <w:rFonts w:ascii="Times New Roman" w:hAnsi="Times New Roman" w:eastAsia="宋体" w:cs="Times New Roman"/>
      <w:kern w:val="2"/>
      <w:sz w:val="18"/>
      <w:szCs w:val="18"/>
      <w:lang w:val="en-US" w:eastAsia="zh-CN" w:bidi="ar-SA"/>
    </w:rPr>
  </w:style>
  <w:style w:type="character" w:customStyle="1" w:styleId="137">
    <w:name w:val="页脚字符1"/>
    <w:semiHidden/>
    <w:qFormat/>
    <w:uiPriority w:val="99"/>
    <w:rPr>
      <w:rFonts w:ascii="Times New Roman" w:hAnsi="Times New Roman" w:eastAsia="宋体" w:cs="Times New Roman"/>
      <w:sz w:val="18"/>
      <w:szCs w:val="18"/>
    </w:rPr>
  </w:style>
  <w:style w:type="character" w:customStyle="1" w:styleId="138">
    <w:name w:val="正文文本字符1"/>
    <w:semiHidden/>
    <w:qFormat/>
    <w:uiPriority w:val="99"/>
    <w:rPr>
      <w:rFonts w:ascii="Times New Roman" w:hAnsi="Times New Roman" w:eastAsia="宋体" w:cs="Times New Roman"/>
      <w:sz w:val="21"/>
      <w:szCs w:val="20"/>
    </w:rPr>
  </w:style>
  <w:style w:type="character" w:customStyle="1" w:styleId="139">
    <w:name w:val="正文文本 Char1"/>
    <w:qFormat/>
    <w:uiPriority w:val="0"/>
    <w:rPr>
      <w:rFonts w:ascii="Times New Roman" w:hAnsi="Times New Roman" w:eastAsia="宋体" w:cs="Times New Roman"/>
      <w:kern w:val="2"/>
      <w:sz w:val="21"/>
      <w:lang w:val="en-US" w:eastAsia="zh-CN" w:bidi="ar-SA"/>
    </w:rPr>
  </w:style>
  <w:style w:type="character" w:customStyle="1" w:styleId="140">
    <w:name w:val="正文文本缩进字符1"/>
    <w:semiHidden/>
    <w:qFormat/>
    <w:uiPriority w:val="99"/>
    <w:rPr>
      <w:rFonts w:ascii="Times New Roman" w:hAnsi="Times New Roman" w:eastAsia="宋体" w:cs="Times New Roman"/>
      <w:sz w:val="21"/>
      <w:szCs w:val="20"/>
    </w:rPr>
  </w:style>
  <w:style w:type="character" w:customStyle="1" w:styleId="141">
    <w:name w:val="正文文本缩进 Char1"/>
    <w:qFormat/>
    <w:uiPriority w:val="0"/>
    <w:rPr>
      <w:rFonts w:ascii="Times New Roman" w:hAnsi="Times New Roman" w:eastAsia="宋体" w:cs="Times New Roman"/>
      <w:kern w:val="2"/>
      <w:sz w:val="21"/>
      <w:lang w:val="en-US" w:eastAsia="zh-CN" w:bidi="ar-SA"/>
    </w:rPr>
  </w:style>
  <w:style w:type="character" w:customStyle="1" w:styleId="142">
    <w:name w:val="正文文本缩进 2 Char1"/>
    <w:qFormat/>
    <w:uiPriority w:val="0"/>
    <w:rPr>
      <w:kern w:val="2"/>
      <w:sz w:val="21"/>
      <w:szCs w:val="22"/>
    </w:rPr>
  </w:style>
  <w:style w:type="character" w:customStyle="1" w:styleId="143">
    <w:name w:val="正文文本缩进 2字符1"/>
    <w:semiHidden/>
    <w:qFormat/>
    <w:uiPriority w:val="99"/>
    <w:rPr>
      <w:rFonts w:ascii="Times New Roman" w:hAnsi="Times New Roman" w:eastAsia="宋体" w:cs="Times New Roman"/>
      <w:sz w:val="21"/>
      <w:szCs w:val="20"/>
    </w:rPr>
  </w:style>
  <w:style w:type="character" w:customStyle="1" w:styleId="144">
    <w:name w:val="批注框文本字符1"/>
    <w:semiHidden/>
    <w:qFormat/>
    <w:uiPriority w:val="99"/>
    <w:rPr>
      <w:rFonts w:ascii="Heiti SC Light" w:hAnsi="Times New Roman" w:eastAsia="Heiti SC Light" w:cs="Times New Roman"/>
      <w:sz w:val="18"/>
      <w:szCs w:val="18"/>
    </w:rPr>
  </w:style>
  <w:style w:type="character" w:customStyle="1" w:styleId="145">
    <w:name w:val="批注框文本 Char1"/>
    <w:qFormat/>
    <w:uiPriority w:val="0"/>
    <w:rPr>
      <w:rFonts w:ascii="Times New Roman" w:hAnsi="Times New Roman" w:eastAsia="宋体" w:cs="Times New Roman"/>
      <w:kern w:val="2"/>
      <w:sz w:val="18"/>
      <w:szCs w:val="18"/>
      <w:lang w:val="en-US" w:eastAsia="zh-CN" w:bidi="ar-SA"/>
    </w:rPr>
  </w:style>
  <w:style w:type="character" w:customStyle="1" w:styleId="146">
    <w:name w:val="日期 Char1"/>
    <w:qFormat/>
    <w:uiPriority w:val="0"/>
    <w:rPr>
      <w:kern w:val="2"/>
      <w:sz w:val="21"/>
      <w:szCs w:val="22"/>
    </w:rPr>
  </w:style>
  <w:style w:type="character" w:customStyle="1" w:styleId="147">
    <w:name w:val="日期字符1"/>
    <w:semiHidden/>
    <w:qFormat/>
    <w:uiPriority w:val="99"/>
    <w:rPr>
      <w:rFonts w:ascii="Times New Roman" w:hAnsi="Times New Roman" w:eastAsia="宋体" w:cs="Times New Roman"/>
      <w:sz w:val="21"/>
      <w:szCs w:val="20"/>
    </w:rPr>
  </w:style>
  <w:style w:type="character" w:customStyle="1" w:styleId="148">
    <w:name w:val="正文文本缩进 3 Char1"/>
    <w:qFormat/>
    <w:uiPriority w:val="0"/>
    <w:rPr>
      <w:kern w:val="2"/>
      <w:sz w:val="16"/>
      <w:szCs w:val="16"/>
    </w:rPr>
  </w:style>
  <w:style w:type="character" w:customStyle="1" w:styleId="149">
    <w:name w:val="正文文本缩进 3字符1"/>
    <w:semiHidden/>
    <w:qFormat/>
    <w:uiPriority w:val="99"/>
    <w:rPr>
      <w:rFonts w:ascii="Times New Roman" w:hAnsi="Times New Roman" w:eastAsia="宋体" w:cs="Times New Roman"/>
      <w:sz w:val="16"/>
      <w:szCs w:val="16"/>
    </w:rPr>
  </w:style>
  <w:style w:type="paragraph" w:customStyle="1" w:styleId="150">
    <w:name w:val="字元 字元"/>
    <w:basedOn w:val="1"/>
    <w:qFormat/>
    <w:uiPriority w:val="0"/>
    <w:rPr>
      <w:rFonts w:ascii="仿宋_GB2312" w:hAnsi="Times New Roman" w:eastAsia="仿宋_GB2312"/>
      <w:b/>
      <w:sz w:val="32"/>
      <w:szCs w:val="32"/>
    </w:rPr>
  </w:style>
  <w:style w:type="paragraph" w:customStyle="1" w:styleId="151">
    <w:name w:val="xl5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2">
    <w:name w:val="xl5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s="宋体"/>
      <w:kern w:val="0"/>
      <w:sz w:val="18"/>
      <w:szCs w:val="18"/>
    </w:rPr>
  </w:style>
  <w:style w:type="paragraph" w:customStyle="1" w:styleId="153">
    <w:name w:val="xl6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54">
    <w:name w:val="xl47"/>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宋体" w:hAnsi="宋体" w:cs="宋体"/>
      <w:kern w:val="0"/>
      <w:sz w:val="24"/>
      <w:szCs w:val="24"/>
    </w:rPr>
  </w:style>
  <w:style w:type="paragraph" w:customStyle="1" w:styleId="155">
    <w:name w:val="xl2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56">
    <w:name w:val="默认段落字体 Para Char Char Char Char"/>
    <w:basedOn w:val="1"/>
    <w:qFormat/>
    <w:uiPriority w:val="0"/>
    <w:rPr>
      <w:rFonts w:ascii="Times New Roman" w:hAnsi="Times New Roman"/>
      <w:szCs w:val="21"/>
    </w:rPr>
  </w:style>
  <w:style w:type="paragraph" w:customStyle="1" w:styleId="157">
    <w:name w:val="xl4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color w:val="000000"/>
      <w:kern w:val="0"/>
      <w:sz w:val="18"/>
      <w:szCs w:val="18"/>
    </w:rPr>
  </w:style>
  <w:style w:type="paragraph" w:customStyle="1" w:styleId="158">
    <w:name w:val="font8"/>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159">
    <w:name w:val="font6"/>
    <w:basedOn w:val="1"/>
    <w:qFormat/>
    <w:uiPriority w:val="0"/>
    <w:pPr>
      <w:widowControl/>
      <w:spacing w:before="100" w:beforeAutospacing="1" w:after="100" w:afterAutospacing="1"/>
      <w:jc w:val="left"/>
    </w:pPr>
    <w:rPr>
      <w:rFonts w:ascii="楷体_GB2312" w:hAnsi="宋体" w:eastAsia="楷体_GB2312" w:cs="宋体"/>
      <w:b/>
      <w:bCs/>
      <w:kern w:val="0"/>
      <w:sz w:val="32"/>
      <w:szCs w:val="32"/>
    </w:rPr>
  </w:style>
  <w:style w:type="paragraph" w:customStyle="1" w:styleId="160">
    <w:name w:val="xl4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61">
    <w:name w:val="xl6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18"/>
      <w:szCs w:val="18"/>
    </w:rPr>
  </w:style>
  <w:style w:type="paragraph" w:customStyle="1" w:styleId="162">
    <w:name w:val="xl54"/>
    <w:basedOn w:val="1"/>
    <w:qFormat/>
    <w:uiPriority w:val="0"/>
    <w:pPr>
      <w:widowControl/>
      <w:pBdr>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163">
    <w:name w:val="列出段落1"/>
    <w:basedOn w:val="1"/>
    <w:qFormat/>
    <w:uiPriority w:val="0"/>
    <w:pPr>
      <w:ind w:firstLine="420" w:firstLineChars="200"/>
    </w:pPr>
    <w:rPr>
      <w:rFonts w:ascii="Times New Roman" w:hAnsi="Times New Roman"/>
      <w:szCs w:val="20"/>
    </w:rPr>
  </w:style>
  <w:style w:type="paragraph" w:customStyle="1" w:styleId="164">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65">
    <w:name w:val="xl40"/>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66">
    <w:name w:val="xl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167">
    <w:name w:val="xl51"/>
    <w:basedOn w:val="1"/>
    <w:qFormat/>
    <w:uiPriority w:val="0"/>
    <w:pPr>
      <w:widowControl/>
      <w:pBdr>
        <w:top w:val="single" w:color="auto" w:sz="4" w:space="0"/>
        <w:left w:val="single" w:color="auto" w:sz="4" w:space="0"/>
        <w:right w:val="single" w:color="auto" w:sz="8" w:space="0"/>
      </w:pBdr>
      <w:spacing w:before="100" w:beforeAutospacing="1" w:after="100" w:afterAutospacing="1"/>
    </w:pPr>
    <w:rPr>
      <w:rFonts w:ascii="宋体" w:hAnsi="宋体" w:cs="宋体"/>
      <w:kern w:val="0"/>
      <w:sz w:val="18"/>
      <w:szCs w:val="18"/>
    </w:rPr>
  </w:style>
  <w:style w:type="paragraph" w:customStyle="1" w:styleId="168">
    <w:name w:val="合同格式"/>
    <w:basedOn w:val="5"/>
    <w:qFormat/>
    <w:uiPriority w:val="0"/>
    <w:pPr>
      <w:widowControl/>
      <w:tabs>
        <w:tab w:val="left" w:pos="1260"/>
      </w:tabs>
      <w:spacing w:before="360" w:line="240" w:lineRule="auto"/>
      <w:jc w:val="center"/>
    </w:pPr>
    <w:rPr>
      <w:rFonts w:ascii="Times New Roman" w:hAnsi="Times New Roman" w:eastAsia="黑体"/>
      <w:bCs w:val="0"/>
      <w:sz w:val="30"/>
      <w:szCs w:val="20"/>
    </w:rPr>
  </w:style>
  <w:style w:type="paragraph" w:customStyle="1" w:styleId="169">
    <w:name w:val="xl30"/>
    <w:basedOn w:val="1"/>
    <w:qFormat/>
    <w:uiPriority w:val="0"/>
    <w:pPr>
      <w:widowControl/>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jc w:val="left"/>
    </w:pPr>
    <w:rPr>
      <w:rFonts w:ascii="宋体" w:hAnsi="宋体" w:cs="宋体"/>
      <w:kern w:val="0"/>
      <w:sz w:val="18"/>
      <w:szCs w:val="18"/>
    </w:rPr>
  </w:style>
  <w:style w:type="paragraph" w:customStyle="1" w:styleId="170">
    <w:name w:val="Char Char2 Char Char Char Char1 Char Char Char Char Char Char1 Char Char Char Char1"/>
    <w:basedOn w:val="1"/>
    <w:qFormat/>
    <w:uiPriority w:val="0"/>
    <w:pPr>
      <w:widowControl/>
      <w:spacing w:after="160" w:line="240" w:lineRule="exact"/>
      <w:jc w:val="left"/>
    </w:pPr>
    <w:rPr>
      <w:rFonts w:ascii="Verdana" w:hAnsi="Verdana"/>
      <w:kern w:val="0"/>
      <w:szCs w:val="20"/>
      <w:lang w:eastAsia="en-US"/>
    </w:rPr>
  </w:style>
  <w:style w:type="paragraph" w:customStyle="1" w:styleId="17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72">
    <w:name w:val="xl2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xl38"/>
    <w:basedOn w:val="1"/>
    <w:qFormat/>
    <w:uiPriority w:val="0"/>
    <w:pPr>
      <w:widowControl/>
      <w:pBdr>
        <w:left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74">
    <w:name w:val="正文文本缩进1"/>
    <w:basedOn w:val="1"/>
    <w:qFormat/>
    <w:uiPriority w:val="0"/>
    <w:pPr>
      <w:spacing w:line="360" w:lineRule="auto"/>
      <w:ind w:left="540" w:leftChars="257" w:firstLine="360" w:firstLineChars="150"/>
    </w:pPr>
    <w:rPr>
      <w:rFonts w:ascii="Times New Roman" w:hAnsi="Times New Roman"/>
      <w:sz w:val="24"/>
      <w:szCs w:val="20"/>
    </w:rPr>
  </w:style>
  <w:style w:type="character" w:customStyle="1" w:styleId="175">
    <w:name w:val="apple-converted-space"/>
    <w:qFormat/>
    <w:uiPriority w:val="0"/>
    <w:rPr>
      <w:rFonts w:ascii="Times New Roman" w:hAnsi="Times New Roman" w:eastAsia="宋体" w:cs="Times New Roman"/>
      <w:lang w:val="en-US" w:eastAsia="zh-CN" w:bidi="ar-SA"/>
    </w:rPr>
  </w:style>
  <w:style w:type="character" w:customStyle="1" w:styleId="176">
    <w:name w:val="HTML 预设格式 Char"/>
    <w:link w:val="41"/>
    <w:qFormat/>
    <w:uiPriority w:val="0"/>
    <w:rPr>
      <w:rFonts w:ascii="宋体" w:hAnsi="宋体"/>
    </w:rPr>
  </w:style>
  <w:style w:type="paragraph" w:customStyle="1" w:styleId="177">
    <w:name w:val="修订版本号1"/>
    <w:qFormat/>
    <w:uiPriority w:val="0"/>
    <w:rPr>
      <w:rFonts w:ascii="Times New Roman" w:hAnsi="Times New Roman" w:eastAsia="宋体" w:cs="Times New Roman"/>
      <w:kern w:val="2"/>
      <w:sz w:val="21"/>
      <w:lang w:val="en-US" w:eastAsia="zh-CN" w:bidi="ar-SA"/>
    </w:rPr>
  </w:style>
  <w:style w:type="paragraph" w:customStyle="1" w:styleId="178">
    <w:name w:val="Default"/>
    <w:qFormat/>
    <w:uiPriority w:val="99"/>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paragraph" w:styleId="17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180">
    <w:name w:val="普通(网站) Char"/>
    <w:link w:val="42"/>
    <w:qFormat/>
    <w:uiPriority w:val="0"/>
    <w:rPr>
      <w:rFonts w:ascii="Times New Roman" w:hAnsi="Times New Roman"/>
      <w:kern w:val="2"/>
      <w:sz w:val="24"/>
      <w:szCs w:val="24"/>
    </w:rPr>
  </w:style>
  <w:style w:type="paragraph" w:customStyle="1" w:styleId="18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183">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184">
    <w:name w:val="msolistparagraph"/>
    <w:basedOn w:val="1"/>
    <w:qFormat/>
    <w:uiPriority w:val="0"/>
    <w:pPr>
      <w:keepNext/>
      <w:ind w:firstLine="420" w:firstLineChars="200"/>
    </w:pPr>
    <w:rPr>
      <w:rFonts w:ascii="Times New Roman" w:hAnsi="Times New Roman"/>
      <w:szCs w:val="24"/>
    </w:rPr>
  </w:style>
  <w:style w:type="character" w:customStyle="1" w:styleId="185">
    <w:name w:val="四级标题 Char"/>
    <w:link w:val="186"/>
    <w:qFormat/>
    <w:locked/>
    <w:uiPriority w:val="99"/>
    <w:rPr>
      <w:rFonts w:ascii="宋体" w:hAnsi="宋体"/>
      <w:color w:val="000000"/>
      <w:sz w:val="24"/>
    </w:rPr>
  </w:style>
  <w:style w:type="paragraph" w:customStyle="1" w:styleId="186">
    <w:name w:val="四级标题"/>
    <w:basedOn w:val="1"/>
    <w:link w:val="185"/>
    <w:qFormat/>
    <w:uiPriority w:val="99"/>
    <w:pPr>
      <w:tabs>
        <w:tab w:val="left" w:pos="851"/>
      </w:tabs>
      <w:spacing w:line="360" w:lineRule="auto"/>
      <w:ind w:left="900" w:hanging="420"/>
    </w:pPr>
    <w:rPr>
      <w:rFonts w:ascii="宋体" w:hAnsi="宋体"/>
      <w:color w:val="000000"/>
      <w:kern w:val="0"/>
      <w:sz w:val="24"/>
      <w:szCs w:val="20"/>
    </w:rPr>
  </w:style>
  <w:style w:type="character" w:customStyle="1" w:styleId="187">
    <w:name w:val="数字EU Char"/>
    <w:link w:val="188"/>
    <w:qFormat/>
    <w:uiPriority w:val="0"/>
    <w:rPr>
      <w:rFonts w:ascii="EU-F1"/>
      <w:kern w:val="21"/>
      <w:sz w:val="21"/>
      <w:szCs w:val="21"/>
    </w:rPr>
  </w:style>
  <w:style w:type="paragraph" w:customStyle="1" w:styleId="188">
    <w:name w:val="数字EU"/>
    <w:basedOn w:val="1"/>
    <w:link w:val="187"/>
    <w:qFormat/>
    <w:uiPriority w:val="0"/>
    <w:pPr>
      <w:wordWrap w:val="0"/>
      <w:overflowPunct w:val="0"/>
      <w:topLinePunct/>
    </w:pPr>
    <w:rPr>
      <w:rFonts w:ascii="EU-F1"/>
      <w:kern w:val="21"/>
      <w:szCs w:val="21"/>
    </w:rPr>
  </w:style>
  <w:style w:type="character" w:customStyle="1" w:styleId="189">
    <w:name w:val="!我的正文 Ctr+Q Char"/>
    <w:link w:val="190"/>
    <w:qFormat/>
    <w:locked/>
    <w:uiPriority w:val="0"/>
    <w:rPr>
      <w:sz w:val="24"/>
    </w:rPr>
  </w:style>
  <w:style w:type="paragraph" w:customStyle="1" w:styleId="190">
    <w:name w:val="!我的正文 Ctr+Q"/>
    <w:basedOn w:val="1"/>
    <w:link w:val="189"/>
    <w:qFormat/>
    <w:uiPriority w:val="0"/>
    <w:pPr>
      <w:adjustRightInd w:val="0"/>
      <w:snapToGrid w:val="0"/>
      <w:spacing w:beforeLines="50" w:afterLines="50" w:line="360" w:lineRule="auto"/>
      <w:ind w:firstLine="480" w:firstLineChars="200"/>
    </w:pPr>
    <w:rPr>
      <w:kern w:val="0"/>
      <w:sz w:val="24"/>
      <w:szCs w:val="20"/>
    </w:rPr>
  </w:style>
  <w:style w:type="paragraph" w:customStyle="1" w:styleId="191">
    <w:name w:val="(0110)正文"/>
    <w:basedOn w:val="1"/>
    <w:qFormat/>
    <w:uiPriority w:val="0"/>
    <w:pPr>
      <w:spacing w:line="360" w:lineRule="exact"/>
      <w:ind w:firstLine="200" w:firstLineChars="200"/>
    </w:pPr>
    <w:rPr>
      <w:rFonts w:ascii="宋体"/>
    </w:rPr>
  </w:style>
  <w:style w:type="character" w:customStyle="1" w:styleId="192">
    <w:name w:val="纯文本 Char2"/>
    <w:semiHidden/>
    <w:qFormat/>
    <w:uiPriority w:val="99"/>
    <w:rPr>
      <w:rFonts w:ascii="宋体" w:hAnsi="Courier New" w:eastAsia="宋体" w:cs="Courier New"/>
      <w:szCs w:val="21"/>
    </w:rPr>
  </w:style>
  <w:style w:type="character" w:customStyle="1" w:styleId="193">
    <w:name w:val="正文首行缩进 Char2"/>
    <w:semiHidden/>
    <w:qFormat/>
    <w:uiPriority w:val="99"/>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DELL</Company>
  <Pages>60</Pages>
  <Words>22880</Words>
  <Characters>23670</Characters>
  <Lines>207</Lines>
  <Paragraphs>58</Paragraphs>
  <TotalTime>7</TotalTime>
  <ScaleCrop>false</ScaleCrop>
  <LinksUpToDate>false</LinksUpToDate>
  <CharactersWithSpaces>26132</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2021-04-19T09:59:00Z</dcterms:created>
  <dc:creator>邱艳</dc:creator>
  <cp:lastModifiedBy>NTKO</cp:lastModifiedBy>
  <cp:lastPrinted>2021-02-08T06:41:00Z</cp:lastPrinted>
  <dcterms:modified xsi:type="dcterms:W3CDTF">2022-11-01T01:51:38Z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59FCD57645CD45E190B45D18E7C1425A</vt:lpwstr>
  </property>
</Properties>
</file>