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tLeast"/>
        <w:jc w:val="center"/>
        <w:rPr>
          <w:rFonts w:ascii="宋体" w:hAnsi="宋体"/>
          <w:b/>
          <w:bCs/>
          <w:color w:val="auto"/>
          <w:spacing w:val="36"/>
          <w:sz w:val="44"/>
          <w:szCs w:val="44"/>
          <w:highlight w:val="none"/>
          <w:shd w:val="clear" w:color="auto" w:fill="auto"/>
        </w:rPr>
      </w:pPr>
    </w:p>
    <w:p>
      <w:pPr>
        <w:spacing w:line="480" w:lineRule="atLeast"/>
        <w:jc w:val="center"/>
        <w:rPr>
          <w:rFonts w:ascii="宋体" w:hAnsi="宋体"/>
          <w:b/>
          <w:bCs/>
          <w:color w:val="auto"/>
          <w:spacing w:val="36"/>
          <w:sz w:val="44"/>
          <w:szCs w:val="44"/>
          <w:highlight w:val="none"/>
          <w:shd w:val="clear" w:color="auto" w:fill="auto"/>
        </w:rPr>
      </w:pPr>
    </w:p>
    <w:p>
      <w:pPr>
        <w:spacing w:line="480" w:lineRule="atLeast"/>
        <w:jc w:val="center"/>
        <w:rPr>
          <w:rFonts w:ascii="宋体" w:hAnsi="宋体"/>
          <w:b/>
          <w:bCs/>
          <w:color w:val="auto"/>
          <w:spacing w:val="36"/>
          <w:sz w:val="44"/>
          <w:szCs w:val="44"/>
          <w:highlight w:val="none"/>
          <w:shd w:val="clear" w:color="auto" w:fill="auto"/>
        </w:rPr>
      </w:pPr>
    </w:p>
    <w:p>
      <w:pPr>
        <w:spacing w:line="480" w:lineRule="atLeast"/>
        <w:jc w:val="center"/>
        <w:rPr>
          <w:rFonts w:hint="eastAsia" w:ascii="宋体" w:hAnsi="宋体"/>
          <w:b/>
          <w:bCs/>
          <w:color w:val="auto"/>
          <w:spacing w:val="36"/>
          <w:kern w:val="10"/>
          <w:sz w:val="52"/>
          <w:szCs w:val="52"/>
          <w:highlight w:val="none"/>
          <w:shd w:val="clear" w:color="auto" w:fill="auto"/>
          <w:lang w:val="en-US" w:eastAsia="zh-CN"/>
        </w:rPr>
      </w:pPr>
      <w:bookmarkStart w:id="0" w:name="_Hlk114678622"/>
      <w:r>
        <w:rPr>
          <w:rFonts w:hint="eastAsia" w:ascii="宋体" w:hAnsi="宋体"/>
          <w:b/>
          <w:bCs/>
          <w:color w:val="auto"/>
          <w:spacing w:val="36"/>
          <w:kern w:val="10"/>
          <w:sz w:val="52"/>
          <w:szCs w:val="52"/>
          <w:highlight w:val="none"/>
          <w:shd w:val="clear" w:color="auto" w:fill="auto"/>
          <w:lang w:val="en-US" w:eastAsia="zh-CN"/>
        </w:rPr>
        <w:t>深铁置业产品标准化体系</w:t>
      </w:r>
    </w:p>
    <w:p>
      <w:pPr>
        <w:spacing w:line="480" w:lineRule="atLeast"/>
        <w:jc w:val="center"/>
        <w:rPr>
          <w:rFonts w:hint="default" w:ascii="宋体" w:hAnsi="宋体"/>
          <w:b/>
          <w:bCs/>
          <w:color w:val="auto"/>
          <w:spacing w:val="36"/>
          <w:kern w:val="10"/>
          <w:sz w:val="52"/>
          <w:szCs w:val="52"/>
          <w:highlight w:val="none"/>
          <w:shd w:val="clear" w:color="auto" w:fill="auto"/>
          <w:lang w:val="en-US" w:eastAsia="zh-CN"/>
        </w:rPr>
      </w:pPr>
      <w:r>
        <w:rPr>
          <w:rFonts w:hint="eastAsia" w:ascii="宋体" w:hAnsi="宋体"/>
          <w:b/>
          <w:bCs/>
          <w:color w:val="auto"/>
          <w:spacing w:val="36"/>
          <w:kern w:val="10"/>
          <w:sz w:val="52"/>
          <w:szCs w:val="52"/>
          <w:highlight w:val="none"/>
          <w:shd w:val="clear" w:color="auto" w:fill="auto"/>
          <w:lang w:val="en-US" w:eastAsia="zh-CN"/>
        </w:rPr>
        <w:t>发布会</w:t>
      </w:r>
      <w:bookmarkEnd w:id="0"/>
      <w:r>
        <w:rPr>
          <w:rFonts w:hint="eastAsia" w:ascii="宋体" w:hAnsi="宋体"/>
          <w:b/>
          <w:bCs/>
          <w:color w:val="auto"/>
          <w:spacing w:val="36"/>
          <w:kern w:val="10"/>
          <w:sz w:val="52"/>
          <w:szCs w:val="52"/>
          <w:highlight w:val="none"/>
          <w:shd w:val="clear" w:color="auto" w:fill="auto"/>
          <w:lang w:val="en-US" w:eastAsia="zh-CN"/>
        </w:rPr>
        <w:t>项目</w:t>
      </w:r>
    </w:p>
    <w:p>
      <w:pPr>
        <w:spacing w:line="480" w:lineRule="atLeast"/>
        <w:jc w:val="center"/>
        <w:rPr>
          <w:rFonts w:hint="default" w:ascii="宋体" w:hAnsi="宋体"/>
          <w:b/>
          <w:bCs/>
          <w:color w:val="auto"/>
          <w:spacing w:val="36"/>
          <w:kern w:val="10"/>
          <w:sz w:val="52"/>
          <w:szCs w:val="52"/>
          <w:highlight w:val="none"/>
          <w:shd w:val="clear" w:color="auto" w:fill="auto"/>
          <w:lang w:val="en-US"/>
        </w:rPr>
      </w:pPr>
    </w:p>
    <w:p>
      <w:pPr>
        <w:pStyle w:val="47"/>
        <w:ind w:firstLine="400"/>
        <w:rPr>
          <w:color w:val="auto"/>
          <w:highlight w:val="none"/>
          <w:shd w:val="clear" w:color="auto" w:fill="auto"/>
        </w:rPr>
      </w:pPr>
    </w:p>
    <w:p>
      <w:pPr>
        <w:spacing w:line="480" w:lineRule="atLeast"/>
        <w:jc w:val="center"/>
        <w:rPr>
          <w:rFonts w:ascii="宋体" w:hAnsi="宋体"/>
          <w:b/>
          <w:bCs/>
          <w:color w:val="auto"/>
          <w:spacing w:val="36"/>
          <w:kern w:val="10"/>
          <w:sz w:val="84"/>
          <w:szCs w:val="84"/>
          <w:highlight w:val="none"/>
          <w:shd w:val="clear" w:color="auto" w:fill="auto"/>
        </w:rPr>
      </w:pPr>
      <w:r>
        <w:rPr>
          <w:rFonts w:hint="eastAsia" w:ascii="宋体" w:hAnsi="宋体"/>
          <w:b/>
          <w:bCs/>
          <w:color w:val="auto"/>
          <w:spacing w:val="36"/>
          <w:kern w:val="10"/>
          <w:sz w:val="84"/>
          <w:szCs w:val="84"/>
          <w:highlight w:val="none"/>
          <w:shd w:val="clear" w:color="auto" w:fill="auto"/>
        </w:rPr>
        <w:t>比选文件</w:t>
      </w:r>
    </w:p>
    <w:p>
      <w:pPr>
        <w:spacing w:line="480" w:lineRule="atLeast"/>
        <w:jc w:val="center"/>
        <w:rPr>
          <w:rFonts w:ascii="宋体" w:hAnsi="宋体"/>
          <w:b/>
          <w:color w:val="auto"/>
          <w:sz w:val="36"/>
          <w:highlight w:val="none"/>
          <w:shd w:val="clear" w:color="auto" w:fill="auto"/>
        </w:rPr>
      </w:pPr>
    </w:p>
    <w:p>
      <w:pPr>
        <w:pStyle w:val="24"/>
        <w:spacing w:line="480" w:lineRule="atLeast"/>
        <w:jc w:val="center"/>
        <w:rPr>
          <w:rFonts w:hAnsi="宋体"/>
          <w:color w:val="auto"/>
          <w:sz w:val="23"/>
          <w:szCs w:val="23"/>
          <w:highlight w:val="none"/>
          <w:shd w:val="clear" w:color="auto" w:fill="auto"/>
        </w:rPr>
      </w:pPr>
    </w:p>
    <w:p>
      <w:pPr>
        <w:pStyle w:val="24"/>
        <w:spacing w:line="480" w:lineRule="atLeast"/>
        <w:jc w:val="center"/>
        <w:rPr>
          <w:rFonts w:hAnsi="宋体"/>
          <w:b/>
          <w:color w:val="auto"/>
          <w:sz w:val="32"/>
          <w:szCs w:val="32"/>
          <w:highlight w:val="none"/>
          <w:shd w:val="clear" w:color="auto" w:fill="auto"/>
        </w:rPr>
      </w:pPr>
    </w:p>
    <w:p>
      <w:pPr>
        <w:pStyle w:val="24"/>
        <w:spacing w:line="480" w:lineRule="atLeast"/>
        <w:jc w:val="center"/>
        <w:rPr>
          <w:rFonts w:hAnsi="宋体"/>
          <w:b/>
          <w:color w:val="auto"/>
          <w:sz w:val="32"/>
          <w:szCs w:val="32"/>
          <w:highlight w:val="none"/>
          <w:shd w:val="clear" w:color="auto" w:fill="auto"/>
        </w:rPr>
      </w:pPr>
    </w:p>
    <w:p>
      <w:pPr>
        <w:pStyle w:val="24"/>
        <w:spacing w:line="480" w:lineRule="atLeast"/>
        <w:jc w:val="center"/>
        <w:rPr>
          <w:rFonts w:hAnsi="宋体"/>
          <w:b/>
          <w:color w:val="auto"/>
          <w:sz w:val="32"/>
          <w:szCs w:val="32"/>
          <w:highlight w:val="none"/>
          <w:shd w:val="clear" w:color="auto" w:fill="auto"/>
        </w:rPr>
      </w:pPr>
    </w:p>
    <w:p>
      <w:pPr>
        <w:pStyle w:val="24"/>
        <w:spacing w:line="480" w:lineRule="atLeast"/>
        <w:jc w:val="center"/>
        <w:rPr>
          <w:rFonts w:hAnsi="宋体"/>
          <w:b/>
          <w:color w:val="auto"/>
          <w:sz w:val="32"/>
          <w:szCs w:val="32"/>
          <w:highlight w:val="none"/>
          <w:shd w:val="clear" w:color="auto" w:fill="auto"/>
        </w:rPr>
      </w:pPr>
    </w:p>
    <w:p>
      <w:pPr>
        <w:pStyle w:val="24"/>
        <w:snapToGrid w:val="0"/>
        <w:spacing w:line="480" w:lineRule="atLeast"/>
        <w:ind w:firstLine="1259" w:firstLineChars="273"/>
        <w:rPr>
          <w:rFonts w:hAnsi="宋体"/>
          <w:b/>
          <w:bCs/>
          <w:color w:val="auto"/>
          <w:spacing w:val="70"/>
          <w:sz w:val="32"/>
          <w:szCs w:val="32"/>
          <w:highlight w:val="none"/>
          <w:shd w:val="clear" w:color="auto" w:fill="auto"/>
        </w:rPr>
      </w:pPr>
    </w:p>
    <w:p>
      <w:pPr>
        <w:pStyle w:val="24"/>
        <w:snapToGrid w:val="0"/>
        <w:spacing w:line="480" w:lineRule="atLeast"/>
        <w:ind w:firstLine="1259" w:firstLineChars="273"/>
        <w:rPr>
          <w:rFonts w:hAnsi="宋体"/>
          <w:b/>
          <w:bCs/>
          <w:color w:val="auto"/>
          <w:spacing w:val="70"/>
          <w:sz w:val="32"/>
          <w:szCs w:val="32"/>
          <w:highlight w:val="none"/>
          <w:shd w:val="clear" w:color="auto" w:fill="auto"/>
        </w:rPr>
      </w:pPr>
    </w:p>
    <w:p>
      <w:pPr>
        <w:pStyle w:val="24"/>
        <w:snapToGrid w:val="0"/>
        <w:spacing w:line="480" w:lineRule="atLeast"/>
        <w:ind w:firstLine="1259" w:firstLineChars="273"/>
        <w:rPr>
          <w:rFonts w:hAnsi="宋体"/>
          <w:b/>
          <w:bCs/>
          <w:color w:val="auto"/>
          <w:sz w:val="32"/>
          <w:szCs w:val="32"/>
          <w:highlight w:val="none"/>
          <w:shd w:val="clear" w:color="auto" w:fill="auto"/>
        </w:rPr>
      </w:pPr>
      <w:r>
        <w:rPr>
          <w:rFonts w:hint="eastAsia" w:hAnsi="宋体"/>
          <w:b/>
          <w:bCs/>
          <w:color w:val="auto"/>
          <w:spacing w:val="70"/>
          <w:sz w:val="32"/>
          <w:szCs w:val="32"/>
          <w:highlight w:val="none"/>
          <w:shd w:val="clear" w:color="auto" w:fill="auto"/>
        </w:rPr>
        <w:t>比选人：</w:t>
      </w:r>
      <w:r>
        <w:rPr>
          <w:rFonts w:hint="eastAsia" w:hAnsi="宋体"/>
          <w:b/>
          <w:bCs/>
          <w:color w:val="auto"/>
          <w:spacing w:val="70"/>
          <w:sz w:val="32"/>
          <w:szCs w:val="32"/>
          <w:highlight w:val="none"/>
          <w:u w:val="single"/>
          <w:shd w:val="clear" w:color="auto" w:fill="auto"/>
        </w:rPr>
        <w:t xml:space="preserve"> </w:t>
      </w:r>
      <w:bookmarkStart w:id="1" w:name="_Hlk72914893"/>
      <w:r>
        <w:rPr>
          <w:rFonts w:hint="eastAsia" w:hAnsi="宋体"/>
          <w:b/>
          <w:bCs/>
          <w:color w:val="auto"/>
          <w:sz w:val="32"/>
          <w:szCs w:val="32"/>
          <w:highlight w:val="none"/>
          <w:u w:val="single"/>
          <w:shd w:val="clear" w:color="auto" w:fill="auto"/>
        </w:rPr>
        <w:t>深圳地铁</w:t>
      </w:r>
      <w:r>
        <w:rPr>
          <w:rFonts w:hint="eastAsia" w:hAnsi="宋体"/>
          <w:b/>
          <w:bCs/>
          <w:color w:val="auto"/>
          <w:sz w:val="32"/>
          <w:szCs w:val="32"/>
          <w:highlight w:val="none"/>
          <w:u w:val="single"/>
          <w:shd w:val="clear" w:color="auto" w:fill="auto"/>
          <w:lang w:val="en-US" w:eastAsia="zh-CN"/>
        </w:rPr>
        <w:t>置业</w:t>
      </w:r>
      <w:r>
        <w:rPr>
          <w:rFonts w:hint="eastAsia" w:hAnsi="宋体"/>
          <w:b/>
          <w:bCs/>
          <w:color w:val="auto"/>
          <w:sz w:val="32"/>
          <w:szCs w:val="32"/>
          <w:highlight w:val="none"/>
          <w:u w:val="single"/>
          <w:shd w:val="clear" w:color="auto" w:fill="auto"/>
        </w:rPr>
        <w:t>集团有限公司</w:t>
      </w:r>
      <w:bookmarkEnd w:id="1"/>
      <w:r>
        <w:rPr>
          <w:rFonts w:hint="eastAsia" w:hAnsi="宋体"/>
          <w:b/>
          <w:bCs/>
          <w:color w:val="auto"/>
          <w:sz w:val="32"/>
          <w:szCs w:val="32"/>
          <w:highlight w:val="none"/>
          <w:u w:val="single"/>
          <w:shd w:val="clear" w:color="auto" w:fill="auto"/>
        </w:rPr>
        <w:t xml:space="preserve"> </w:t>
      </w:r>
    </w:p>
    <w:p>
      <w:pPr>
        <w:pStyle w:val="24"/>
        <w:snapToGrid w:val="0"/>
        <w:spacing w:line="480" w:lineRule="atLeast"/>
        <w:ind w:firstLine="1259" w:firstLineChars="392"/>
        <w:rPr>
          <w:rFonts w:hAnsi="宋体"/>
          <w:b/>
          <w:bCs/>
          <w:color w:val="auto"/>
          <w:sz w:val="32"/>
          <w:szCs w:val="32"/>
          <w:highlight w:val="none"/>
          <w:u w:val="single"/>
          <w:shd w:val="clear" w:color="auto" w:fill="auto"/>
        </w:rPr>
      </w:pPr>
      <w:r>
        <w:rPr>
          <w:rFonts w:hint="eastAsia" w:hAnsi="宋体"/>
          <w:b/>
          <w:bCs/>
          <w:color w:val="auto"/>
          <w:sz w:val="32"/>
          <w:szCs w:val="32"/>
          <w:highlight w:val="none"/>
          <w:shd w:val="clear" w:color="auto" w:fill="auto"/>
        </w:rPr>
        <w:t>法定代表人：</w:t>
      </w:r>
      <w:bookmarkStart w:id="2" w:name="法定代表人或其委托代理人封面"/>
      <w:r>
        <w:rPr>
          <w:rFonts w:hint="eastAsia" w:hAnsi="宋体"/>
          <w:b/>
          <w:bCs/>
          <w:color w:val="auto"/>
          <w:sz w:val="32"/>
          <w:szCs w:val="32"/>
          <w:highlight w:val="none"/>
          <w:u w:val="single"/>
          <w:shd w:val="clear" w:color="auto" w:fill="auto"/>
        </w:rPr>
        <w:t xml:space="preserve"> </w:t>
      </w:r>
      <w:r>
        <w:rPr>
          <w:rFonts w:hAnsi="宋体"/>
          <w:b/>
          <w:bCs/>
          <w:color w:val="auto"/>
          <w:sz w:val="32"/>
          <w:szCs w:val="32"/>
          <w:highlight w:val="none"/>
          <w:u w:val="single"/>
          <w:shd w:val="clear" w:color="auto" w:fill="auto"/>
        </w:rPr>
        <w:t xml:space="preserve">        </w:t>
      </w:r>
      <w:r>
        <w:rPr>
          <w:rFonts w:hint="eastAsia" w:hAnsi="宋体"/>
          <w:b/>
          <w:bCs/>
          <w:color w:val="auto"/>
          <w:sz w:val="32"/>
          <w:szCs w:val="32"/>
          <w:highlight w:val="none"/>
          <w:u w:val="single"/>
          <w:shd w:val="clear" w:color="auto" w:fill="auto"/>
          <w:lang w:val="en-US" w:eastAsia="zh-CN"/>
        </w:rPr>
        <w:t>李武雄</w:t>
      </w:r>
      <w:r>
        <w:rPr>
          <w:rFonts w:hint="eastAsia" w:hAnsi="宋体"/>
          <w:b/>
          <w:bCs/>
          <w:color w:val="auto"/>
          <w:sz w:val="32"/>
          <w:szCs w:val="32"/>
          <w:highlight w:val="none"/>
          <w:u w:val="single"/>
          <w:shd w:val="clear" w:color="auto" w:fill="auto"/>
        </w:rPr>
        <w:t xml:space="preserve">           </w:t>
      </w:r>
    </w:p>
    <w:p>
      <w:pPr>
        <w:spacing w:line="480" w:lineRule="atLeast"/>
        <w:jc w:val="center"/>
        <w:rPr>
          <w:rFonts w:ascii="宋体" w:hAnsi="宋体"/>
          <w:b/>
          <w:bCs/>
          <w:color w:val="auto"/>
          <w:sz w:val="32"/>
          <w:szCs w:val="32"/>
          <w:highlight w:val="none"/>
          <w:shd w:val="clear" w:color="auto" w:fill="auto"/>
        </w:rPr>
      </w:pPr>
    </w:p>
    <w:p>
      <w:pPr>
        <w:spacing w:line="480" w:lineRule="atLeast"/>
        <w:jc w:val="center"/>
        <w:rPr>
          <w:rFonts w:ascii="宋体" w:hAnsi="宋体"/>
          <w:b/>
          <w:color w:val="auto"/>
          <w:sz w:val="36"/>
          <w:highlight w:val="none"/>
          <w:shd w:val="clear" w:color="auto" w:fill="auto"/>
        </w:rPr>
      </w:pPr>
      <w:r>
        <w:rPr>
          <w:rFonts w:hint="eastAsia" w:ascii="宋体" w:hAnsi="宋体"/>
          <w:b/>
          <w:bCs/>
          <w:color w:val="auto"/>
          <w:sz w:val="32"/>
          <w:szCs w:val="32"/>
          <w:highlight w:val="none"/>
          <w:shd w:val="clear" w:color="auto" w:fill="auto"/>
        </w:rPr>
        <w:t>二〇二二年</w:t>
      </w:r>
      <w:r>
        <w:rPr>
          <w:rFonts w:hint="eastAsia" w:ascii="宋体" w:hAnsi="宋体"/>
          <w:b/>
          <w:bCs/>
          <w:color w:val="auto"/>
          <w:sz w:val="32"/>
          <w:szCs w:val="32"/>
          <w:highlight w:val="none"/>
          <w:shd w:val="clear" w:color="auto" w:fill="auto"/>
          <w:lang w:val="en-US" w:eastAsia="zh-CN"/>
        </w:rPr>
        <w:t>拾</w:t>
      </w:r>
      <w:r>
        <w:rPr>
          <w:rFonts w:hint="eastAsia" w:ascii="宋体" w:hAnsi="宋体"/>
          <w:b/>
          <w:bCs/>
          <w:color w:val="auto"/>
          <w:sz w:val="32"/>
          <w:szCs w:val="32"/>
          <w:highlight w:val="none"/>
          <w:shd w:val="clear" w:color="auto" w:fill="auto"/>
        </w:rPr>
        <w:t>月</w:t>
      </w:r>
      <w:r>
        <w:rPr>
          <w:rFonts w:ascii="宋体" w:hAnsi="宋体"/>
          <w:b/>
          <w:color w:val="auto"/>
          <w:sz w:val="36"/>
          <w:highlight w:val="none"/>
          <w:shd w:val="clear" w:color="auto" w:fill="auto"/>
        </w:rPr>
        <w:br w:type="page"/>
      </w:r>
      <w:r>
        <w:rPr>
          <w:rFonts w:hint="eastAsia" w:ascii="宋体" w:hAnsi="宋体"/>
          <w:b/>
          <w:color w:val="auto"/>
          <w:sz w:val="36"/>
          <w:highlight w:val="none"/>
          <w:shd w:val="clear" w:color="auto" w:fill="auto"/>
        </w:rPr>
        <w:t>目录</w:t>
      </w:r>
      <w:bookmarkStart w:id="3" w:name="_Toc188623169"/>
      <w:bookmarkStart w:id="4" w:name="_Toc385992323"/>
      <w:bookmarkStart w:id="5" w:name="_Toc389620163"/>
      <w:bookmarkStart w:id="6" w:name="_Toc497549383"/>
    </w:p>
    <w:p>
      <w:pPr>
        <w:pStyle w:val="32"/>
        <w:tabs>
          <w:tab w:val="right" w:leader="dot" w:pos="9333"/>
        </w:tabs>
        <w:ind w:firstLine="560"/>
        <w:rPr>
          <w:color w:val="auto"/>
          <w:highlight w:val="none"/>
          <w:shd w:val="clear" w:color="auto" w:fill="auto"/>
        </w:rPr>
      </w:pPr>
      <w:r>
        <w:rPr>
          <w:rFonts w:ascii="宋体" w:hAnsi="宋体" w:eastAsia="宋体"/>
          <w:color w:val="auto"/>
          <w:sz w:val="28"/>
          <w:szCs w:val="28"/>
          <w:highlight w:val="none"/>
          <w:shd w:val="clear" w:color="auto" w:fill="auto"/>
        </w:rPr>
        <w:fldChar w:fldCharType="begin"/>
      </w:r>
      <w:r>
        <w:rPr>
          <w:rFonts w:ascii="宋体" w:hAnsi="宋体" w:eastAsia="宋体"/>
          <w:color w:val="auto"/>
          <w:sz w:val="28"/>
          <w:szCs w:val="28"/>
          <w:highlight w:val="none"/>
          <w:shd w:val="clear" w:color="auto" w:fill="auto"/>
        </w:rPr>
        <w:instrText xml:space="preserve"> TOC \o "1-3</w:instrText>
      </w:r>
      <w:bookmarkEnd w:id="2"/>
      <w:r>
        <w:rPr>
          <w:rFonts w:ascii="宋体" w:hAnsi="宋体" w:eastAsia="宋体"/>
          <w:color w:val="auto"/>
          <w:sz w:val="28"/>
          <w:szCs w:val="28"/>
          <w:highlight w:val="none"/>
          <w:shd w:val="clear" w:color="auto" w:fill="auto"/>
        </w:rPr>
        <w:instrText xml:space="preserve">" \h \z \u </w:instrText>
      </w:r>
      <w:r>
        <w:rPr>
          <w:rFonts w:ascii="宋体" w:hAnsi="宋体" w:eastAsia="宋体"/>
          <w:color w:val="auto"/>
          <w:sz w:val="28"/>
          <w:szCs w:val="28"/>
          <w:highlight w:val="none"/>
          <w:shd w:val="clear" w:color="auto" w:fill="auto"/>
        </w:rPr>
        <w:fldChar w:fldCharType="separate"/>
      </w:r>
      <w:r>
        <w:rPr>
          <w:color w:val="auto"/>
          <w:highlight w:val="none"/>
          <w:shd w:val="clear" w:color="auto" w:fill="auto"/>
        </w:rPr>
        <w:fldChar w:fldCharType="begin"/>
      </w:r>
      <w:r>
        <w:rPr>
          <w:color w:val="auto"/>
          <w:highlight w:val="none"/>
          <w:shd w:val="clear" w:color="auto" w:fill="auto"/>
        </w:rPr>
        <w:instrText xml:space="preserve"> HYPERLINK \l "_Toc9850" </w:instrText>
      </w:r>
      <w:r>
        <w:rPr>
          <w:color w:val="auto"/>
          <w:highlight w:val="none"/>
          <w:shd w:val="clear" w:color="auto" w:fill="auto"/>
        </w:rPr>
        <w:fldChar w:fldCharType="separate"/>
      </w:r>
      <w:r>
        <w:rPr>
          <w:rFonts w:ascii="宋体" w:hAnsi="宋体"/>
          <w:color w:val="auto"/>
          <w:szCs w:val="44"/>
          <w:highlight w:val="none"/>
          <w:shd w:val="clear" w:color="auto" w:fill="auto"/>
        </w:rPr>
        <w:t>致参选人</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_Toc9850 \h </w:instrText>
      </w:r>
      <w:r>
        <w:rPr>
          <w:color w:val="auto"/>
          <w:highlight w:val="none"/>
          <w:shd w:val="clear" w:color="auto" w:fill="auto"/>
        </w:rPr>
        <w:fldChar w:fldCharType="separate"/>
      </w:r>
      <w:r>
        <w:rPr>
          <w:color w:val="auto"/>
          <w:highlight w:val="none"/>
          <w:shd w:val="clear" w:color="auto" w:fill="auto"/>
        </w:rPr>
        <w:t>3</w:t>
      </w:r>
      <w:r>
        <w:rPr>
          <w:color w:val="auto"/>
          <w:highlight w:val="none"/>
          <w:shd w:val="clear" w:color="auto" w:fill="auto"/>
        </w:rPr>
        <w:fldChar w:fldCharType="end"/>
      </w:r>
      <w:r>
        <w:rPr>
          <w:color w:val="auto"/>
          <w:highlight w:val="none"/>
          <w:shd w:val="clear" w:color="auto" w:fill="auto"/>
        </w:rPr>
        <w:fldChar w:fldCharType="end"/>
      </w:r>
    </w:p>
    <w:p>
      <w:pPr>
        <w:pStyle w:val="32"/>
        <w:tabs>
          <w:tab w:val="right" w:leader="dot" w:pos="9333"/>
        </w:tabs>
        <w:ind w:firstLine="48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"_Toc27731" </w:instrText>
      </w:r>
      <w:r>
        <w:rPr>
          <w:color w:val="auto"/>
          <w:highlight w:val="none"/>
          <w:shd w:val="clear" w:color="auto" w:fill="auto"/>
        </w:rPr>
        <w:fldChar w:fldCharType="separate"/>
      </w:r>
      <w:r>
        <w:rPr>
          <w:rFonts w:hint="eastAsia"/>
          <w:bCs/>
          <w:color w:val="auto"/>
          <w:kern w:val="44"/>
          <w:szCs w:val="44"/>
          <w:highlight w:val="none"/>
          <w:shd w:val="clear" w:color="auto" w:fill="auto"/>
        </w:rPr>
        <w:t>参选文件无效和废标的情形摘要</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_Toc27731 \h </w:instrText>
      </w:r>
      <w:r>
        <w:rPr>
          <w:color w:val="auto"/>
          <w:highlight w:val="none"/>
          <w:shd w:val="clear" w:color="auto" w:fill="auto"/>
        </w:rPr>
        <w:fldChar w:fldCharType="separate"/>
      </w:r>
      <w:r>
        <w:rPr>
          <w:color w:val="auto"/>
          <w:highlight w:val="none"/>
          <w:shd w:val="clear" w:color="auto" w:fill="auto"/>
        </w:rPr>
        <w:t>4</w:t>
      </w:r>
      <w:r>
        <w:rPr>
          <w:color w:val="auto"/>
          <w:highlight w:val="none"/>
          <w:shd w:val="clear" w:color="auto" w:fill="auto"/>
        </w:rPr>
        <w:fldChar w:fldCharType="end"/>
      </w:r>
      <w:r>
        <w:rPr>
          <w:color w:val="auto"/>
          <w:highlight w:val="none"/>
          <w:shd w:val="clear" w:color="auto" w:fill="auto"/>
        </w:rPr>
        <w:fldChar w:fldCharType="end"/>
      </w:r>
    </w:p>
    <w:p>
      <w:pPr>
        <w:pStyle w:val="32"/>
        <w:tabs>
          <w:tab w:val="right" w:leader="dot" w:pos="9333"/>
        </w:tabs>
        <w:ind w:firstLine="48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"_Toc23689" </w:instrText>
      </w:r>
      <w:r>
        <w:rPr>
          <w:color w:val="auto"/>
          <w:highlight w:val="none"/>
          <w:shd w:val="clear" w:color="auto" w:fill="auto"/>
        </w:rPr>
        <w:fldChar w:fldCharType="separate"/>
      </w:r>
      <w:r>
        <w:rPr>
          <w:rFonts w:hint="eastAsia" w:ascii="宋体" w:hAnsi="宋体"/>
          <w:color w:val="auto"/>
          <w:szCs w:val="48"/>
          <w:highlight w:val="none"/>
          <w:shd w:val="clear" w:color="auto" w:fill="auto"/>
        </w:rPr>
        <w:t>比选公告</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_Toc23689 \h </w:instrText>
      </w:r>
      <w:r>
        <w:rPr>
          <w:color w:val="auto"/>
          <w:highlight w:val="none"/>
          <w:shd w:val="clear" w:color="auto" w:fill="auto"/>
        </w:rPr>
        <w:fldChar w:fldCharType="separate"/>
      </w:r>
      <w:r>
        <w:rPr>
          <w:color w:val="auto"/>
          <w:highlight w:val="none"/>
          <w:shd w:val="clear" w:color="auto" w:fill="auto"/>
        </w:rPr>
        <w:t>6</w:t>
      </w:r>
      <w:r>
        <w:rPr>
          <w:color w:val="auto"/>
          <w:highlight w:val="none"/>
          <w:shd w:val="clear" w:color="auto" w:fill="auto"/>
        </w:rPr>
        <w:fldChar w:fldCharType="end"/>
      </w:r>
      <w:r>
        <w:rPr>
          <w:color w:val="auto"/>
          <w:highlight w:val="none"/>
          <w:shd w:val="clear" w:color="auto" w:fill="auto"/>
        </w:rPr>
        <w:fldChar w:fldCharType="end"/>
      </w:r>
    </w:p>
    <w:p>
      <w:pPr>
        <w:pStyle w:val="32"/>
        <w:tabs>
          <w:tab w:val="right" w:leader="dot" w:pos="9333"/>
        </w:tabs>
        <w:ind w:firstLine="48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"_Toc10714" </w:instrText>
      </w:r>
      <w:r>
        <w:rPr>
          <w:color w:val="auto"/>
          <w:highlight w:val="none"/>
          <w:shd w:val="clear" w:color="auto" w:fill="auto"/>
        </w:rPr>
        <w:fldChar w:fldCharType="separate"/>
      </w:r>
      <w:r>
        <w:rPr>
          <w:rFonts w:hint="eastAsia" w:ascii="宋体" w:hAnsi="宋体"/>
          <w:color w:val="auto"/>
          <w:szCs w:val="44"/>
          <w:highlight w:val="none"/>
          <w:shd w:val="clear" w:color="auto" w:fill="auto"/>
        </w:rPr>
        <w:t>比选须知</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_Toc10714 \h </w:instrText>
      </w:r>
      <w:r>
        <w:rPr>
          <w:color w:val="auto"/>
          <w:highlight w:val="none"/>
          <w:shd w:val="clear" w:color="auto" w:fill="auto"/>
        </w:rPr>
        <w:fldChar w:fldCharType="separate"/>
      </w:r>
      <w:r>
        <w:rPr>
          <w:color w:val="auto"/>
          <w:highlight w:val="none"/>
          <w:shd w:val="clear" w:color="auto" w:fill="auto"/>
        </w:rPr>
        <w:t>11</w:t>
      </w:r>
      <w:r>
        <w:rPr>
          <w:color w:val="auto"/>
          <w:highlight w:val="none"/>
          <w:shd w:val="clear" w:color="auto" w:fill="auto"/>
        </w:rPr>
        <w:fldChar w:fldCharType="end"/>
      </w:r>
      <w:r>
        <w:rPr>
          <w:color w:val="auto"/>
          <w:highlight w:val="none"/>
          <w:shd w:val="clear" w:color="auto" w:fill="auto"/>
        </w:rPr>
        <w:fldChar w:fldCharType="end"/>
      </w:r>
    </w:p>
    <w:p>
      <w:pPr>
        <w:pStyle w:val="40"/>
        <w:tabs>
          <w:tab w:val="right" w:leader="dot" w:pos="9333"/>
        </w:tabs>
        <w:ind w:firstLine="72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"_Toc32381" </w:instrText>
      </w:r>
      <w:r>
        <w:rPr>
          <w:color w:val="auto"/>
          <w:highlight w:val="none"/>
          <w:shd w:val="clear" w:color="auto" w:fill="auto"/>
        </w:rPr>
        <w:fldChar w:fldCharType="separate"/>
      </w:r>
      <w:r>
        <w:rPr>
          <w:rFonts w:hint="eastAsia" w:ascii="宋体" w:hAnsi="宋体"/>
          <w:bCs/>
          <w:color w:val="auto"/>
          <w:szCs w:val="28"/>
          <w:highlight w:val="none"/>
          <w:shd w:val="clear" w:color="auto" w:fill="auto"/>
        </w:rPr>
        <w:t>第一章 总则</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_Toc32381 \h </w:instrText>
      </w:r>
      <w:r>
        <w:rPr>
          <w:color w:val="auto"/>
          <w:highlight w:val="none"/>
          <w:shd w:val="clear" w:color="auto" w:fill="auto"/>
        </w:rPr>
        <w:fldChar w:fldCharType="separate"/>
      </w:r>
      <w:r>
        <w:rPr>
          <w:color w:val="auto"/>
          <w:highlight w:val="none"/>
          <w:shd w:val="clear" w:color="auto" w:fill="auto"/>
        </w:rPr>
        <w:t>11</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"_Toc18302" </w:instrText>
      </w:r>
      <w:r>
        <w:rPr>
          <w:color w:val="auto"/>
          <w:highlight w:val="none"/>
          <w:shd w:val="clear" w:color="auto" w:fill="auto"/>
        </w:rPr>
        <w:fldChar w:fldCharType="separate"/>
      </w:r>
      <w:r>
        <w:rPr>
          <w:rFonts w:hint="eastAsia" w:ascii="宋体" w:hAnsi="宋体"/>
          <w:bCs/>
          <w:color w:val="auto"/>
          <w:highlight w:val="none"/>
          <w:shd w:val="clear" w:color="auto" w:fill="auto"/>
        </w:rPr>
        <w:t>一、项目概况</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_Toc18302 \h </w:instrText>
      </w:r>
      <w:r>
        <w:rPr>
          <w:color w:val="auto"/>
          <w:highlight w:val="none"/>
          <w:shd w:val="clear" w:color="auto" w:fill="auto"/>
        </w:rPr>
        <w:fldChar w:fldCharType="separate"/>
      </w:r>
      <w:r>
        <w:rPr>
          <w:color w:val="auto"/>
          <w:highlight w:val="none"/>
          <w:shd w:val="clear" w:color="auto" w:fill="auto"/>
        </w:rPr>
        <w:t>11</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"_Toc25005" </w:instrText>
      </w:r>
      <w:r>
        <w:rPr>
          <w:color w:val="auto"/>
          <w:highlight w:val="none"/>
          <w:shd w:val="clear" w:color="auto" w:fill="auto"/>
        </w:rPr>
        <w:fldChar w:fldCharType="separate"/>
      </w:r>
      <w:r>
        <w:rPr>
          <w:rFonts w:hint="eastAsia" w:ascii="宋体" w:hAnsi="宋体"/>
          <w:bCs/>
          <w:color w:val="auto"/>
          <w:highlight w:val="none"/>
          <w:shd w:val="clear" w:color="auto" w:fill="auto"/>
        </w:rPr>
        <w:t>二</w:t>
      </w:r>
      <w:r>
        <w:rPr>
          <w:rFonts w:ascii="宋体" w:hAnsi="宋体"/>
          <w:bCs/>
          <w:color w:val="auto"/>
          <w:highlight w:val="none"/>
          <w:shd w:val="clear" w:color="auto" w:fill="auto"/>
        </w:rPr>
        <w:t>、</w:t>
      </w:r>
      <w:r>
        <w:rPr>
          <w:rFonts w:hint="eastAsia" w:ascii="宋体" w:hAnsi="宋体"/>
          <w:bCs/>
          <w:color w:val="auto"/>
          <w:highlight w:val="none"/>
          <w:shd w:val="clear" w:color="auto" w:fill="auto"/>
        </w:rPr>
        <w:t>服务内容</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_Toc25005 \h </w:instrText>
      </w:r>
      <w:r>
        <w:rPr>
          <w:color w:val="auto"/>
          <w:highlight w:val="none"/>
          <w:shd w:val="clear" w:color="auto" w:fill="auto"/>
        </w:rPr>
        <w:fldChar w:fldCharType="separate"/>
      </w:r>
      <w:r>
        <w:rPr>
          <w:color w:val="auto"/>
          <w:highlight w:val="none"/>
          <w:shd w:val="clear" w:color="auto" w:fill="auto"/>
        </w:rPr>
        <w:t>12</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"_Toc5559" </w:instrText>
      </w:r>
      <w:r>
        <w:rPr>
          <w:color w:val="auto"/>
          <w:highlight w:val="none"/>
          <w:shd w:val="clear" w:color="auto" w:fill="auto"/>
        </w:rPr>
        <w:fldChar w:fldCharType="separate"/>
      </w:r>
      <w:r>
        <w:rPr>
          <w:rFonts w:hint="eastAsia" w:ascii="宋体" w:hAnsi="宋体"/>
          <w:bCs/>
          <w:color w:val="auto"/>
          <w:highlight w:val="none"/>
          <w:shd w:val="clear" w:color="auto" w:fill="auto"/>
        </w:rPr>
        <w:t>二、工作方式及服务期限</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_Toc5559 \h </w:instrText>
      </w:r>
      <w:r>
        <w:rPr>
          <w:color w:val="auto"/>
          <w:highlight w:val="none"/>
          <w:shd w:val="clear" w:color="auto" w:fill="auto"/>
        </w:rPr>
        <w:fldChar w:fldCharType="separate"/>
      </w:r>
      <w:r>
        <w:rPr>
          <w:color w:val="auto"/>
          <w:highlight w:val="none"/>
          <w:shd w:val="clear" w:color="auto" w:fill="auto"/>
        </w:rPr>
        <w:t>14</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"_Toc2882" </w:instrText>
      </w:r>
      <w:r>
        <w:rPr>
          <w:color w:val="auto"/>
          <w:highlight w:val="none"/>
          <w:shd w:val="clear" w:color="auto" w:fill="auto"/>
        </w:rPr>
        <w:fldChar w:fldCharType="separate"/>
      </w:r>
      <w:r>
        <w:rPr>
          <w:rFonts w:hint="eastAsia" w:ascii="宋体" w:hAnsi="宋体"/>
          <w:bCs/>
          <w:color w:val="auto"/>
          <w:highlight w:val="none"/>
          <w:shd w:val="clear" w:color="auto" w:fill="auto"/>
        </w:rPr>
        <w:t>三、参选人资格条件</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_Toc2882 \h </w:instrText>
      </w:r>
      <w:r>
        <w:rPr>
          <w:color w:val="auto"/>
          <w:highlight w:val="none"/>
          <w:shd w:val="clear" w:color="auto" w:fill="auto"/>
        </w:rPr>
        <w:fldChar w:fldCharType="separate"/>
      </w:r>
      <w:r>
        <w:rPr>
          <w:color w:val="auto"/>
          <w:highlight w:val="none"/>
          <w:shd w:val="clear" w:color="auto" w:fill="auto"/>
        </w:rPr>
        <w:t>14</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"_Toc26966" </w:instrText>
      </w:r>
      <w:r>
        <w:rPr>
          <w:color w:val="auto"/>
          <w:highlight w:val="none"/>
          <w:shd w:val="clear" w:color="auto" w:fill="auto"/>
        </w:rPr>
        <w:fldChar w:fldCharType="separate"/>
      </w:r>
      <w:r>
        <w:rPr>
          <w:rFonts w:hint="eastAsia" w:ascii="宋体" w:hAnsi="宋体"/>
          <w:bCs/>
          <w:color w:val="auto"/>
          <w:highlight w:val="none"/>
          <w:shd w:val="clear" w:color="auto" w:fill="auto"/>
        </w:rPr>
        <w:t>四、 比选的时间安排</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_Toc26966 \h </w:instrText>
      </w:r>
      <w:r>
        <w:rPr>
          <w:color w:val="auto"/>
          <w:highlight w:val="none"/>
          <w:shd w:val="clear" w:color="auto" w:fill="auto"/>
        </w:rPr>
        <w:fldChar w:fldCharType="separate"/>
      </w:r>
      <w:r>
        <w:rPr>
          <w:color w:val="auto"/>
          <w:highlight w:val="none"/>
          <w:shd w:val="clear" w:color="auto" w:fill="auto"/>
        </w:rPr>
        <w:t>15</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"_Toc30701" </w:instrText>
      </w:r>
      <w:r>
        <w:rPr>
          <w:color w:val="auto"/>
          <w:highlight w:val="none"/>
          <w:shd w:val="clear" w:color="auto" w:fill="auto"/>
        </w:rPr>
        <w:fldChar w:fldCharType="separate"/>
      </w:r>
      <w:r>
        <w:rPr>
          <w:rFonts w:hint="eastAsia" w:ascii="宋体" w:hAnsi="宋体"/>
          <w:bCs/>
          <w:color w:val="auto"/>
          <w:highlight w:val="none"/>
          <w:shd w:val="clear" w:color="auto" w:fill="auto"/>
        </w:rPr>
        <w:t>五、参选费用</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_Toc30701 \h </w:instrText>
      </w:r>
      <w:r>
        <w:rPr>
          <w:color w:val="auto"/>
          <w:highlight w:val="none"/>
          <w:shd w:val="clear" w:color="auto" w:fill="auto"/>
        </w:rPr>
        <w:fldChar w:fldCharType="separate"/>
      </w:r>
      <w:r>
        <w:rPr>
          <w:color w:val="auto"/>
          <w:highlight w:val="none"/>
          <w:shd w:val="clear" w:color="auto" w:fill="auto"/>
        </w:rPr>
        <w:t>15</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"_Toc25314" </w:instrText>
      </w:r>
      <w:r>
        <w:rPr>
          <w:color w:val="auto"/>
          <w:highlight w:val="none"/>
          <w:shd w:val="clear" w:color="auto" w:fill="auto"/>
        </w:rPr>
        <w:fldChar w:fldCharType="separate"/>
      </w:r>
      <w:r>
        <w:rPr>
          <w:rFonts w:hint="eastAsia" w:ascii="宋体" w:hAnsi="宋体"/>
          <w:bCs/>
          <w:color w:val="auto"/>
          <w:highlight w:val="none"/>
          <w:shd w:val="clear" w:color="auto" w:fill="auto"/>
        </w:rPr>
        <w:t>六、参选报价限价</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_Toc25314 \h </w:instrText>
      </w:r>
      <w:r>
        <w:rPr>
          <w:color w:val="auto"/>
          <w:highlight w:val="none"/>
          <w:shd w:val="clear" w:color="auto" w:fill="auto"/>
        </w:rPr>
        <w:fldChar w:fldCharType="separate"/>
      </w:r>
      <w:r>
        <w:rPr>
          <w:color w:val="auto"/>
          <w:highlight w:val="none"/>
          <w:shd w:val="clear" w:color="auto" w:fill="auto"/>
        </w:rPr>
        <w:t>15</w:t>
      </w:r>
      <w:r>
        <w:rPr>
          <w:color w:val="auto"/>
          <w:highlight w:val="none"/>
          <w:shd w:val="clear" w:color="auto" w:fill="auto"/>
        </w:rPr>
        <w:fldChar w:fldCharType="end"/>
      </w:r>
      <w:r>
        <w:rPr>
          <w:color w:val="auto"/>
          <w:highlight w:val="none"/>
          <w:shd w:val="clear" w:color="auto" w:fill="auto"/>
        </w:rPr>
        <w:fldChar w:fldCharType="end"/>
      </w:r>
    </w:p>
    <w:p>
      <w:pPr>
        <w:pStyle w:val="40"/>
        <w:tabs>
          <w:tab w:val="right" w:leader="dot" w:pos="9333"/>
        </w:tabs>
        <w:ind w:firstLine="72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"_Toc27208" </w:instrText>
      </w:r>
      <w:r>
        <w:rPr>
          <w:color w:val="auto"/>
          <w:highlight w:val="none"/>
          <w:shd w:val="clear" w:color="auto" w:fill="auto"/>
        </w:rPr>
        <w:fldChar w:fldCharType="separate"/>
      </w:r>
      <w:r>
        <w:rPr>
          <w:rFonts w:hint="eastAsia" w:ascii="宋体" w:hAnsi="宋体"/>
          <w:bCs/>
          <w:color w:val="auto"/>
          <w:szCs w:val="28"/>
          <w:highlight w:val="none"/>
          <w:shd w:val="clear" w:color="auto" w:fill="auto"/>
        </w:rPr>
        <w:t>第二章 比选文件</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_Toc27208 \h </w:instrText>
      </w:r>
      <w:r>
        <w:rPr>
          <w:color w:val="auto"/>
          <w:highlight w:val="none"/>
          <w:shd w:val="clear" w:color="auto" w:fill="auto"/>
        </w:rPr>
        <w:fldChar w:fldCharType="separate"/>
      </w:r>
      <w:r>
        <w:rPr>
          <w:color w:val="auto"/>
          <w:highlight w:val="none"/>
          <w:shd w:val="clear" w:color="auto" w:fill="auto"/>
        </w:rPr>
        <w:t>16</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"_Toc5618" </w:instrText>
      </w:r>
      <w:r>
        <w:rPr>
          <w:color w:val="auto"/>
          <w:highlight w:val="none"/>
          <w:shd w:val="clear" w:color="auto" w:fill="auto"/>
        </w:rPr>
        <w:fldChar w:fldCharType="separate"/>
      </w:r>
      <w:r>
        <w:rPr>
          <w:rFonts w:hint="eastAsia" w:ascii="宋体" w:hAnsi="宋体"/>
          <w:bCs/>
          <w:color w:val="auto"/>
          <w:highlight w:val="none"/>
          <w:shd w:val="clear" w:color="auto" w:fill="auto"/>
        </w:rPr>
        <w:t>一</w:t>
      </w:r>
      <w:r>
        <w:rPr>
          <w:rFonts w:ascii="宋体" w:hAnsi="宋体"/>
          <w:bCs/>
          <w:color w:val="auto"/>
          <w:highlight w:val="none"/>
          <w:shd w:val="clear" w:color="auto" w:fill="auto"/>
        </w:rPr>
        <w:t>、比选文件的</w:t>
      </w:r>
      <w:r>
        <w:rPr>
          <w:rFonts w:hint="eastAsia" w:ascii="宋体" w:hAnsi="宋体"/>
          <w:bCs/>
          <w:color w:val="auto"/>
          <w:highlight w:val="none"/>
          <w:shd w:val="clear" w:color="auto" w:fill="auto"/>
        </w:rPr>
        <w:t>构成</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_Toc5618 \h </w:instrText>
      </w:r>
      <w:r>
        <w:rPr>
          <w:color w:val="auto"/>
          <w:highlight w:val="none"/>
          <w:shd w:val="clear" w:color="auto" w:fill="auto"/>
        </w:rPr>
        <w:fldChar w:fldCharType="separate"/>
      </w:r>
      <w:r>
        <w:rPr>
          <w:color w:val="auto"/>
          <w:highlight w:val="none"/>
          <w:shd w:val="clear" w:color="auto" w:fill="auto"/>
        </w:rPr>
        <w:t>16</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"_Toc15699" </w:instrText>
      </w:r>
      <w:r>
        <w:rPr>
          <w:color w:val="auto"/>
          <w:highlight w:val="none"/>
          <w:shd w:val="clear" w:color="auto" w:fill="auto"/>
        </w:rPr>
        <w:fldChar w:fldCharType="separate"/>
      </w:r>
      <w:r>
        <w:rPr>
          <w:rFonts w:hint="eastAsia" w:ascii="宋体" w:hAnsi="宋体"/>
          <w:bCs/>
          <w:color w:val="auto"/>
          <w:highlight w:val="none"/>
          <w:shd w:val="clear" w:color="auto" w:fill="auto"/>
        </w:rPr>
        <w:t>二、比选文件的补遗、澄清、修改</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_Toc15699 \h </w:instrText>
      </w:r>
      <w:r>
        <w:rPr>
          <w:color w:val="auto"/>
          <w:highlight w:val="none"/>
          <w:shd w:val="clear" w:color="auto" w:fill="auto"/>
        </w:rPr>
        <w:fldChar w:fldCharType="separate"/>
      </w:r>
      <w:r>
        <w:rPr>
          <w:color w:val="auto"/>
          <w:highlight w:val="none"/>
          <w:shd w:val="clear" w:color="auto" w:fill="auto"/>
        </w:rPr>
        <w:t>16</w:t>
      </w:r>
      <w:r>
        <w:rPr>
          <w:color w:val="auto"/>
          <w:highlight w:val="none"/>
          <w:shd w:val="clear" w:color="auto" w:fill="auto"/>
        </w:rPr>
        <w:fldChar w:fldCharType="end"/>
      </w:r>
      <w:r>
        <w:rPr>
          <w:color w:val="auto"/>
          <w:highlight w:val="none"/>
          <w:shd w:val="clear" w:color="auto" w:fill="auto"/>
        </w:rPr>
        <w:fldChar w:fldCharType="end"/>
      </w:r>
    </w:p>
    <w:p>
      <w:pPr>
        <w:pStyle w:val="40"/>
        <w:tabs>
          <w:tab w:val="right" w:leader="dot" w:pos="9333"/>
        </w:tabs>
        <w:ind w:firstLine="72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"_Toc14403" </w:instrText>
      </w:r>
      <w:r>
        <w:rPr>
          <w:color w:val="auto"/>
          <w:highlight w:val="none"/>
          <w:shd w:val="clear" w:color="auto" w:fill="auto"/>
        </w:rPr>
        <w:fldChar w:fldCharType="separate"/>
      </w:r>
      <w:r>
        <w:rPr>
          <w:rFonts w:hint="eastAsia" w:ascii="宋体" w:hAnsi="宋体"/>
          <w:bCs/>
          <w:color w:val="auto"/>
          <w:highlight w:val="none"/>
          <w:shd w:val="clear" w:color="auto" w:fill="auto"/>
        </w:rPr>
        <w:t>第三章  参选文件的编写</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_Toc14403 \h </w:instrText>
      </w:r>
      <w:r>
        <w:rPr>
          <w:color w:val="auto"/>
          <w:highlight w:val="none"/>
          <w:shd w:val="clear" w:color="auto" w:fill="auto"/>
        </w:rPr>
        <w:fldChar w:fldCharType="separate"/>
      </w:r>
      <w:r>
        <w:rPr>
          <w:color w:val="auto"/>
          <w:highlight w:val="none"/>
          <w:shd w:val="clear" w:color="auto" w:fill="auto"/>
        </w:rPr>
        <w:t>17</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"_Toc25508" </w:instrText>
      </w:r>
      <w:r>
        <w:rPr>
          <w:color w:val="auto"/>
          <w:highlight w:val="none"/>
          <w:shd w:val="clear" w:color="auto" w:fill="auto"/>
        </w:rPr>
        <w:fldChar w:fldCharType="separate"/>
      </w:r>
      <w:r>
        <w:rPr>
          <w:rFonts w:hint="eastAsia" w:ascii="宋体" w:hAnsi="宋体"/>
          <w:bCs/>
          <w:color w:val="auto"/>
          <w:highlight w:val="none"/>
          <w:shd w:val="clear" w:color="auto" w:fill="auto"/>
        </w:rPr>
        <w:t>一、参选文件的组成及要求</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_Toc25508 \h </w:instrText>
      </w:r>
      <w:r>
        <w:rPr>
          <w:color w:val="auto"/>
          <w:highlight w:val="none"/>
          <w:shd w:val="clear" w:color="auto" w:fill="auto"/>
        </w:rPr>
        <w:fldChar w:fldCharType="separate"/>
      </w:r>
      <w:r>
        <w:rPr>
          <w:color w:val="auto"/>
          <w:highlight w:val="none"/>
          <w:shd w:val="clear" w:color="auto" w:fill="auto"/>
        </w:rPr>
        <w:t>17</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"_Toc32417" </w:instrText>
      </w:r>
      <w:r>
        <w:rPr>
          <w:color w:val="auto"/>
          <w:highlight w:val="none"/>
          <w:shd w:val="clear" w:color="auto" w:fill="auto"/>
        </w:rPr>
        <w:fldChar w:fldCharType="separate"/>
      </w:r>
      <w:r>
        <w:rPr>
          <w:rFonts w:hint="eastAsia" w:ascii="宋体" w:hAnsi="宋体"/>
          <w:bCs/>
          <w:color w:val="auto"/>
          <w:highlight w:val="none"/>
          <w:shd w:val="clear" w:color="auto" w:fill="auto"/>
        </w:rPr>
        <w:t>二、参选文件内容编写要求</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_Toc32417 \h </w:instrText>
      </w:r>
      <w:r>
        <w:rPr>
          <w:color w:val="auto"/>
          <w:highlight w:val="none"/>
          <w:shd w:val="clear" w:color="auto" w:fill="auto"/>
        </w:rPr>
        <w:fldChar w:fldCharType="separate"/>
      </w:r>
      <w:r>
        <w:rPr>
          <w:color w:val="auto"/>
          <w:highlight w:val="none"/>
          <w:shd w:val="clear" w:color="auto" w:fill="auto"/>
        </w:rPr>
        <w:t>17</w:t>
      </w:r>
      <w:r>
        <w:rPr>
          <w:color w:val="auto"/>
          <w:highlight w:val="none"/>
          <w:shd w:val="clear" w:color="auto" w:fill="auto"/>
        </w:rPr>
        <w:fldChar w:fldCharType="end"/>
      </w:r>
      <w:r>
        <w:rPr>
          <w:color w:val="auto"/>
          <w:highlight w:val="none"/>
          <w:shd w:val="clear" w:color="auto" w:fill="auto"/>
        </w:rPr>
        <w:fldChar w:fldCharType="end"/>
      </w:r>
    </w:p>
    <w:p>
      <w:pPr>
        <w:pStyle w:val="40"/>
        <w:tabs>
          <w:tab w:val="right" w:leader="dot" w:pos="9333"/>
        </w:tabs>
        <w:ind w:firstLine="72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"_Toc16704" </w:instrText>
      </w:r>
      <w:r>
        <w:rPr>
          <w:color w:val="auto"/>
          <w:highlight w:val="none"/>
          <w:shd w:val="clear" w:color="auto" w:fill="auto"/>
        </w:rPr>
        <w:fldChar w:fldCharType="separate"/>
      </w:r>
      <w:r>
        <w:rPr>
          <w:rFonts w:hint="eastAsia" w:ascii="宋体" w:hAnsi="宋体"/>
          <w:bCs/>
          <w:color w:val="auto"/>
          <w:highlight w:val="none"/>
          <w:shd w:val="clear" w:color="auto" w:fill="auto"/>
        </w:rPr>
        <w:t>第四章 参选文件的签章及封装要求</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_Toc16704 \h </w:instrText>
      </w:r>
      <w:r>
        <w:rPr>
          <w:color w:val="auto"/>
          <w:highlight w:val="none"/>
          <w:shd w:val="clear" w:color="auto" w:fill="auto"/>
        </w:rPr>
        <w:fldChar w:fldCharType="separate"/>
      </w:r>
      <w:r>
        <w:rPr>
          <w:color w:val="auto"/>
          <w:highlight w:val="none"/>
          <w:shd w:val="clear" w:color="auto" w:fill="auto"/>
        </w:rPr>
        <w:t>19</w:t>
      </w:r>
      <w:r>
        <w:rPr>
          <w:color w:val="auto"/>
          <w:highlight w:val="none"/>
          <w:shd w:val="clear" w:color="auto" w:fill="auto"/>
        </w:rPr>
        <w:fldChar w:fldCharType="end"/>
      </w:r>
      <w:r>
        <w:rPr>
          <w:color w:val="auto"/>
          <w:highlight w:val="none"/>
          <w:shd w:val="clear" w:color="auto" w:fill="auto"/>
        </w:rPr>
        <w:fldChar w:fldCharType="end"/>
      </w:r>
    </w:p>
    <w:p>
      <w:pPr>
        <w:pStyle w:val="40"/>
        <w:tabs>
          <w:tab w:val="right" w:leader="dot" w:pos="9333"/>
        </w:tabs>
        <w:ind w:firstLine="72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"_Toc15824" </w:instrText>
      </w:r>
      <w:r>
        <w:rPr>
          <w:color w:val="auto"/>
          <w:highlight w:val="none"/>
          <w:shd w:val="clear" w:color="auto" w:fill="auto"/>
        </w:rPr>
        <w:fldChar w:fldCharType="separate"/>
      </w:r>
      <w:r>
        <w:rPr>
          <w:rFonts w:hint="eastAsia" w:ascii="宋体" w:hAnsi="宋体"/>
          <w:bCs/>
          <w:color w:val="auto"/>
          <w:highlight w:val="none"/>
          <w:shd w:val="clear" w:color="auto" w:fill="auto"/>
        </w:rPr>
        <w:t>第五章 参选文件递交</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_Toc15824 \h </w:instrText>
      </w:r>
      <w:r>
        <w:rPr>
          <w:color w:val="auto"/>
          <w:highlight w:val="none"/>
          <w:shd w:val="clear" w:color="auto" w:fill="auto"/>
        </w:rPr>
        <w:fldChar w:fldCharType="separate"/>
      </w:r>
      <w:r>
        <w:rPr>
          <w:color w:val="auto"/>
          <w:highlight w:val="none"/>
          <w:shd w:val="clear" w:color="auto" w:fill="auto"/>
        </w:rPr>
        <w:t>20</w:t>
      </w:r>
      <w:r>
        <w:rPr>
          <w:color w:val="auto"/>
          <w:highlight w:val="none"/>
          <w:shd w:val="clear" w:color="auto" w:fill="auto"/>
        </w:rPr>
        <w:fldChar w:fldCharType="end"/>
      </w:r>
      <w:r>
        <w:rPr>
          <w:color w:val="auto"/>
          <w:highlight w:val="none"/>
          <w:shd w:val="clear" w:color="auto" w:fill="auto"/>
        </w:rPr>
        <w:fldChar w:fldCharType="end"/>
      </w:r>
    </w:p>
    <w:p>
      <w:pPr>
        <w:pStyle w:val="40"/>
        <w:tabs>
          <w:tab w:val="right" w:leader="dot" w:pos="9333"/>
        </w:tabs>
        <w:ind w:firstLine="72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"_Toc15686" </w:instrText>
      </w:r>
      <w:r>
        <w:rPr>
          <w:color w:val="auto"/>
          <w:highlight w:val="none"/>
          <w:shd w:val="clear" w:color="auto" w:fill="auto"/>
        </w:rPr>
        <w:fldChar w:fldCharType="separate"/>
      </w:r>
      <w:r>
        <w:rPr>
          <w:rFonts w:hint="eastAsia" w:ascii="宋体" w:hAnsi="宋体"/>
          <w:bCs/>
          <w:color w:val="auto"/>
          <w:highlight w:val="none"/>
          <w:shd w:val="clear" w:color="auto" w:fill="auto"/>
        </w:rPr>
        <w:t>第六章  参选有效期</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_Toc15686 \h </w:instrText>
      </w:r>
      <w:r>
        <w:rPr>
          <w:color w:val="auto"/>
          <w:highlight w:val="none"/>
          <w:shd w:val="clear" w:color="auto" w:fill="auto"/>
        </w:rPr>
        <w:fldChar w:fldCharType="separate"/>
      </w:r>
      <w:r>
        <w:rPr>
          <w:color w:val="auto"/>
          <w:highlight w:val="none"/>
          <w:shd w:val="clear" w:color="auto" w:fill="auto"/>
        </w:rPr>
        <w:t>20</w:t>
      </w:r>
      <w:r>
        <w:rPr>
          <w:color w:val="auto"/>
          <w:highlight w:val="none"/>
          <w:shd w:val="clear" w:color="auto" w:fill="auto"/>
        </w:rPr>
        <w:fldChar w:fldCharType="end"/>
      </w:r>
      <w:r>
        <w:rPr>
          <w:color w:val="auto"/>
          <w:highlight w:val="none"/>
          <w:shd w:val="clear" w:color="auto" w:fill="auto"/>
        </w:rPr>
        <w:fldChar w:fldCharType="end"/>
      </w:r>
    </w:p>
    <w:p>
      <w:pPr>
        <w:pStyle w:val="40"/>
        <w:tabs>
          <w:tab w:val="right" w:leader="dot" w:pos="9333"/>
        </w:tabs>
        <w:ind w:firstLine="72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"_Toc22562" </w:instrText>
      </w:r>
      <w:r>
        <w:rPr>
          <w:color w:val="auto"/>
          <w:highlight w:val="none"/>
          <w:shd w:val="clear" w:color="auto" w:fill="auto"/>
        </w:rPr>
        <w:fldChar w:fldCharType="separate"/>
      </w:r>
      <w:r>
        <w:rPr>
          <w:rFonts w:hint="eastAsia" w:ascii="宋体" w:hAnsi="宋体"/>
          <w:bCs/>
          <w:color w:val="auto"/>
          <w:highlight w:val="none"/>
          <w:shd w:val="clear" w:color="auto" w:fill="auto"/>
        </w:rPr>
        <w:t>第七章  开标</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_Toc22562 \h </w:instrText>
      </w:r>
      <w:r>
        <w:rPr>
          <w:color w:val="auto"/>
          <w:highlight w:val="none"/>
          <w:shd w:val="clear" w:color="auto" w:fill="auto"/>
        </w:rPr>
        <w:fldChar w:fldCharType="separate"/>
      </w:r>
      <w:r>
        <w:rPr>
          <w:color w:val="auto"/>
          <w:highlight w:val="none"/>
          <w:shd w:val="clear" w:color="auto" w:fill="auto"/>
        </w:rPr>
        <w:t>20</w:t>
      </w:r>
      <w:r>
        <w:rPr>
          <w:color w:val="auto"/>
          <w:highlight w:val="none"/>
          <w:shd w:val="clear" w:color="auto" w:fill="auto"/>
        </w:rPr>
        <w:fldChar w:fldCharType="end"/>
      </w:r>
      <w:r>
        <w:rPr>
          <w:color w:val="auto"/>
          <w:highlight w:val="none"/>
          <w:shd w:val="clear" w:color="auto" w:fill="auto"/>
        </w:rPr>
        <w:fldChar w:fldCharType="end"/>
      </w:r>
    </w:p>
    <w:p>
      <w:pPr>
        <w:pStyle w:val="40"/>
        <w:tabs>
          <w:tab w:val="right" w:leader="dot" w:pos="9333"/>
        </w:tabs>
        <w:ind w:firstLine="72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"_Toc4550" </w:instrText>
      </w:r>
      <w:r>
        <w:rPr>
          <w:color w:val="auto"/>
          <w:highlight w:val="none"/>
          <w:shd w:val="clear" w:color="auto" w:fill="auto"/>
        </w:rPr>
        <w:fldChar w:fldCharType="separate"/>
      </w:r>
      <w:r>
        <w:rPr>
          <w:rFonts w:hint="eastAsia" w:ascii="宋体" w:hAnsi="宋体"/>
          <w:bCs/>
          <w:color w:val="auto"/>
          <w:highlight w:val="none"/>
          <w:shd w:val="clear" w:color="auto" w:fill="auto"/>
        </w:rPr>
        <w:t>第八章  述标</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_Toc4550 \h </w:instrText>
      </w:r>
      <w:r>
        <w:rPr>
          <w:color w:val="auto"/>
          <w:highlight w:val="none"/>
          <w:shd w:val="clear" w:color="auto" w:fill="auto"/>
        </w:rPr>
        <w:fldChar w:fldCharType="separate"/>
      </w:r>
      <w:r>
        <w:rPr>
          <w:color w:val="auto"/>
          <w:highlight w:val="none"/>
          <w:shd w:val="clear" w:color="auto" w:fill="auto"/>
        </w:rPr>
        <w:t>21</w:t>
      </w:r>
      <w:r>
        <w:rPr>
          <w:color w:val="auto"/>
          <w:highlight w:val="none"/>
          <w:shd w:val="clear" w:color="auto" w:fill="auto"/>
        </w:rPr>
        <w:fldChar w:fldCharType="end"/>
      </w:r>
      <w:r>
        <w:rPr>
          <w:color w:val="auto"/>
          <w:highlight w:val="none"/>
          <w:shd w:val="clear" w:color="auto" w:fill="auto"/>
        </w:rPr>
        <w:fldChar w:fldCharType="end"/>
      </w:r>
    </w:p>
    <w:p>
      <w:pPr>
        <w:pStyle w:val="40"/>
        <w:tabs>
          <w:tab w:val="right" w:leader="dot" w:pos="9333"/>
        </w:tabs>
        <w:ind w:firstLine="72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"_Toc1118" </w:instrText>
      </w:r>
      <w:r>
        <w:rPr>
          <w:color w:val="auto"/>
          <w:highlight w:val="none"/>
          <w:shd w:val="clear" w:color="auto" w:fill="auto"/>
        </w:rPr>
        <w:fldChar w:fldCharType="separate"/>
      </w:r>
      <w:r>
        <w:rPr>
          <w:rFonts w:ascii="宋体" w:hAnsi="宋体"/>
          <w:bCs/>
          <w:color w:val="auto"/>
          <w:highlight w:val="none"/>
          <w:shd w:val="clear" w:color="auto" w:fill="auto"/>
        </w:rPr>
        <w:t>第</w:t>
      </w:r>
      <w:r>
        <w:rPr>
          <w:rFonts w:hint="eastAsia" w:ascii="宋体" w:hAnsi="宋体"/>
          <w:bCs/>
          <w:color w:val="auto"/>
          <w:highlight w:val="none"/>
          <w:shd w:val="clear" w:color="auto" w:fill="auto"/>
        </w:rPr>
        <w:t>九</w:t>
      </w:r>
      <w:r>
        <w:rPr>
          <w:rFonts w:ascii="宋体" w:hAnsi="宋体"/>
          <w:bCs/>
          <w:color w:val="auto"/>
          <w:highlight w:val="none"/>
          <w:shd w:val="clear" w:color="auto" w:fill="auto"/>
        </w:rPr>
        <w:t>章</w:t>
      </w:r>
      <w:r>
        <w:rPr>
          <w:rFonts w:hint="eastAsia" w:ascii="宋体" w:hAnsi="宋体"/>
          <w:bCs/>
          <w:color w:val="auto"/>
          <w:highlight w:val="none"/>
          <w:shd w:val="clear" w:color="auto" w:fill="auto"/>
        </w:rPr>
        <w:t xml:space="preserve"> </w:t>
      </w:r>
      <w:r>
        <w:rPr>
          <w:rFonts w:ascii="宋体" w:hAnsi="宋体"/>
          <w:bCs/>
          <w:color w:val="auto"/>
          <w:highlight w:val="none"/>
          <w:shd w:val="clear" w:color="auto" w:fill="auto"/>
        </w:rPr>
        <w:t>评标</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_Toc1118 \h </w:instrText>
      </w:r>
      <w:r>
        <w:rPr>
          <w:color w:val="auto"/>
          <w:highlight w:val="none"/>
          <w:shd w:val="clear" w:color="auto" w:fill="auto"/>
        </w:rPr>
        <w:fldChar w:fldCharType="separate"/>
      </w:r>
      <w:r>
        <w:rPr>
          <w:color w:val="auto"/>
          <w:highlight w:val="none"/>
          <w:shd w:val="clear" w:color="auto" w:fill="auto"/>
        </w:rPr>
        <w:t>22</w:t>
      </w:r>
      <w:r>
        <w:rPr>
          <w:color w:val="auto"/>
          <w:highlight w:val="none"/>
          <w:shd w:val="clear" w:color="auto" w:fill="auto"/>
        </w:rPr>
        <w:fldChar w:fldCharType="end"/>
      </w:r>
      <w:r>
        <w:rPr>
          <w:color w:val="auto"/>
          <w:highlight w:val="none"/>
          <w:shd w:val="clear" w:color="auto" w:fill="auto"/>
        </w:rPr>
        <w:fldChar w:fldCharType="end"/>
      </w:r>
    </w:p>
    <w:p>
      <w:pPr>
        <w:pStyle w:val="40"/>
        <w:tabs>
          <w:tab w:val="right" w:leader="dot" w:pos="9333"/>
        </w:tabs>
        <w:ind w:firstLine="72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"_Toc21373" </w:instrText>
      </w:r>
      <w:r>
        <w:rPr>
          <w:color w:val="auto"/>
          <w:highlight w:val="none"/>
          <w:shd w:val="clear" w:color="auto" w:fill="auto"/>
        </w:rPr>
        <w:fldChar w:fldCharType="separate"/>
      </w:r>
      <w:r>
        <w:rPr>
          <w:rFonts w:ascii="宋体" w:hAnsi="宋体"/>
          <w:bCs/>
          <w:color w:val="auto"/>
          <w:highlight w:val="none"/>
          <w:shd w:val="clear" w:color="auto" w:fill="auto"/>
        </w:rPr>
        <w:t>第</w:t>
      </w:r>
      <w:r>
        <w:rPr>
          <w:rFonts w:hint="eastAsia" w:ascii="宋体" w:hAnsi="宋体"/>
          <w:bCs/>
          <w:color w:val="auto"/>
          <w:highlight w:val="none"/>
          <w:shd w:val="clear" w:color="auto" w:fill="auto"/>
        </w:rPr>
        <w:t>十</w:t>
      </w:r>
      <w:r>
        <w:rPr>
          <w:rFonts w:ascii="宋体" w:hAnsi="宋体"/>
          <w:bCs/>
          <w:color w:val="auto"/>
          <w:highlight w:val="none"/>
          <w:shd w:val="clear" w:color="auto" w:fill="auto"/>
        </w:rPr>
        <w:t>章  确定中</w:t>
      </w:r>
      <w:r>
        <w:rPr>
          <w:rFonts w:hint="eastAsia" w:ascii="宋体" w:hAnsi="宋体"/>
          <w:bCs/>
          <w:color w:val="auto"/>
          <w:highlight w:val="none"/>
          <w:shd w:val="clear" w:color="auto" w:fill="auto"/>
        </w:rPr>
        <w:t>选</w:t>
      </w:r>
      <w:r>
        <w:rPr>
          <w:rFonts w:ascii="宋体" w:hAnsi="宋体"/>
          <w:bCs/>
          <w:color w:val="auto"/>
          <w:highlight w:val="none"/>
          <w:shd w:val="clear" w:color="auto" w:fill="auto"/>
        </w:rPr>
        <w:t>人</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_Toc21373 \h </w:instrText>
      </w:r>
      <w:r>
        <w:rPr>
          <w:color w:val="auto"/>
          <w:highlight w:val="none"/>
          <w:shd w:val="clear" w:color="auto" w:fill="auto"/>
        </w:rPr>
        <w:fldChar w:fldCharType="separate"/>
      </w:r>
      <w:r>
        <w:rPr>
          <w:color w:val="auto"/>
          <w:highlight w:val="none"/>
          <w:shd w:val="clear" w:color="auto" w:fill="auto"/>
        </w:rPr>
        <w:t>24</w:t>
      </w:r>
      <w:r>
        <w:rPr>
          <w:color w:val="auto"/>
          <w:highlight w:val="none"/>
          <w:shd w:val="clear" w:color="auto" w:fill="auto"/>
        </w:rPr>
        <w:fldChar w:fldCharType="end"/>
      </w:r>
      <w:r>
        <w:rPr>
          <w:color w:val="auto"/>
          <w:highlight w:val="none"/>
          <w:shd w:val="clear" w:color="auto" w:fill="auto"/>
        </w:rPr>
        <w:fldChar w:fldCharType="end"/>
      </w:r>
    </w:p>
    <w:p>
      <w:pPr>
        <w:pStyle w:val="40"/>
        <w:tabs>
          <w:tab w:val="right" w:leader="dot" w:pos="9333"/>
        </w:tabs>
        <w:ind w:firstLine="72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"_Toc8472" </w:instrText>
      </w:r>
      <w:r>
        <w:rPr>
          <w:color w:val="auto"/>
          <w:highlight w:val="none"/>
          <w:shd w:val="clear" w:color="auto" w:fill="auto"/>
        </w:rPr>
        <w:fldChar w:fldCharType="separate"/>
      </w:r>
      <w:r>
        <w:rPr>
          <w:rFonts w:hint="eastAsia" w:ascii="宋体" w:hAnsi="宋体"/>
          <w:bCs/>
          <w:color w:val="auto"/>
          <w:highlight w:val="none"/>
          <w:shd w:val="clear" w:color="auto" w:fill="auto"/>
        </w:rPr>
        <w:t>第十一章  合同的授予</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_Toc8472 \h </w:instrText>
      </w:r>
      <w:r>
        <w:rPr>
          <w:color w:val="auto"/>
          <w:highlight w:val="none"/>
          <w:shd w:val="clear" w:color="auto" w:fill="auto"/>
        </w:rPr>
        <w:fldChar w:fldCharType="separate"/>
      </w:r>
      <w:r>
        <w:rPr>
          <w:color w:val="auto"/>
          <w:highlight w:val="none"/>
          <w:shd w:val="clear" w:color="auto" w:fill="auto"/>
        </w:rPr>
        <w:t>24</w:t>
      </w:r>
      <w:r>
        <w:rPr>
          <w:color w:val="auto"/>
          <w:highlight w:val="none"/>
          <w:shd w:val="clear" w:color="auto" w:fill="auto"/>
        </w:rPr>
        <w:fldChar w:fldCharType="end"/>
      </w:r>
      <w:r>
        <w:rPr>
          <w:color w:val="auto"/>
          <w:highlight w:val="none"/>
          <w:shd w:val="clear" w:color="auto" w:fill="auto"/>
        </w:rPr>
        <w:fldChar w:fldCharType="end"/>
      </w:r>
    </w:p>
    <w:p>
      <w:pPr>
        <w:pStyle w:val="40"/>
        <w:tabs>
          <w:tab w:val="right" w:leader="dot" w:pos="9333"/>
        </w:tabs>
        <w:ind w:firstLine="72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"_Toc14418" </w:instrText>
      </w:r>
      <w:r>
        <w:rPr>
          <w:color w:val="auto"/>
          <w:highlight w:val="none"/>
          <w:shd w:val="clear" w:color="auto" w:fill="auto"/>
        </w:rPr>
        <w:fldChar w:fldCharType="separate"/>
      </w:r>
      <w:r>
        <w:rPr>
          <w:rFonts w:hint="eastAsia" w:ascii="宋体" w:hAnsi="宋体"/>
          <w:bCs/>
          <w:color w:val="auto"/>
          <w:highlight w:val="none"/>
          <w:shd w:val="clear" w:color="auto" w:fill="auto"/>
        </w:rPr>
        <w:t>附件</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_Toc14418 \h </w:instrText>
      </w:r>
      <w:r>
        <w:rPr>
          <w:color w:val="auto"/>
          <w:highlight w:val="none"/>
          <w:shd w:val="clear" w:color="auto" w:fill="auto"/>
        </w:rPr>
        <w:fldChar w:fldCharType="separate"/>
      </w:r>
      <w:r>
        <w:rPr>
          <w:color w:val="auto"/>
          <w:highlight w:val="none"/>
          <w:shd w:val="clear" w:color="auto" w:fill="auto"/>
        </w:rPr>
        <w:t>25</w:t>
      </w:r>
      <w:r>
        <w:rPr>
          <w:color w:val="auto"/>
          <w:highlight w:val="none"/>
          <w:shd w:val="clear" w:color="auto" w:fill="auto"/>
        </w:rPr>
        <w:fldChar w:fldCharType="end"/>
      </w:r>
      <w:r>
        <w:rPr>
          <w:color w:val="auto"/>
          <w:highlight w:val="none"/>
          <w:shd w:val="clear" w:color="auto" w:fill="auto"/>
        </w:rPr>
        <w:fldChar w:fldCharType="end"/>
      </w:r>
    </w:p>
    <w:p>
      <w:pPr>
        <w:pStyle w:val="32"/>
        <w:tabs>
          <w:tab w:val="right" w:leader="dot" w:pos="9333"/>
        </w:tabs>
        <w:ind w:firstLine="48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"_Toc8119" </w:instrText>
      </w:r>
      <w:r>
        <w:rPr>
          <w:color w:val="auto"/>
          <w:highlight w:val="none"/>
          <w:shd w:val="clear" w:color="auto" w:fill="auto"/>
        </w:rPr>
        <w:fldChar w:fldCharType="separate"/>
      </w:r>
      <w:r>
        <w:rPr>
          <w:rFonts w:hint="eastAsia" w:ascii="宋体" w:hAnsi="宋体"/>
          <w:color w:val="auto"/>
          <w:szCs w:val="44"/>
          <w:highlight w:val="none"/>
          <w:shd w:val="clear" w:color="auto" w:fill="auto"/>
        </w:rPr>
        <w:t>第一篇 评标办法</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_Toc8119 \h </w:instrText>
      </w:r>
      <w:r>
        <w:rPr>
          <w:color w:val="auto"/>
          <w:highlight w:val="none"/>
          <w:shd w:val="clear" w:color="auto" w:fill="auto"/>
        </w:rPr>
        <w:fldChar w:fldCharType="separate"/>
      </w:r>
      <w:r>
        <w:rPr>
          <w:color w:val="auto"/>
          <w:highlight w:val="none"/>
          <w:shd w:val="clear" w:color="auto" w:fill="auto"/>
        </w:rPr>
        <w:t>25</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"_Toc6846" </w:instrText>
      </w:r>
      <w:r>
        <w:rPr>
          <w:color w:val="auto"/>
          <w:highlight w:val="none"/>
          <w:shd w:val="clear" w:color="auto" w:fill="auto"/>
        </w:rPr>
        <w:fldChar w:fldCharType="separate"/>
      </w:r>
      <w:r>
        <w:rPr>
          <w:rFonts w:hint="eastAsia" w:ascii="宋体" w:hAnsi="宋体"/>
          <w:bCs/>
          <w:color w:val="auto"/>
          <w:highlight w:val="none"/>
          <w:shd w:val="clear" w:color="auto" w:fill="auto"/>
        </w:rPr>
        <w:t>一、总则</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_Toc6846 \h </w:instrText>
      </w:r>
      <w:r>
        <w:rPr>
          <w:color w:val="auto"/>
          <w:highlight w:val="none"/>
          <w:shd w:val="clear" w:color="auto" w:fill="auto"/>
        </w:rPr>
        <w:fldChar w:fldCharType="separate"/>
      </w:r>
      <w:r>
        <w:rPr>
          <w:color w:val="auto"/>
          <w:highlight w:val="none"/>
          <w:shd w:val="clear" w:color="auto" w:fill="auto"/>
        </w:rPr>
        <w:t>25</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"_Toc11448" </w:instrText>
      </w:r>
      <w:r>
        <w:rPr>
          <w:color w:val="auto"/>
          <w:highlight w:val="none"/>
          <w:shd w:val="clear" w:color="auto" w:fill="auto"/>
        </w:rPr>
        <w:fldChar w:fldCharType="separate"/>
      </w:r>
      <w:r>
        <w:rPr>
          <w:rFonts w:hint="eastAsia" w:ascii="宋体" w:hAnsi="宋体"/>
          <w:bCs/>
          <w:color w:val="auto"/>
          <w:highlight w:val="none"/>
          <w:shd w:val="clear" w:color="auto" w:fill="auto"/>
        </w:rPr>
        <w:t>二、评定标组织</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_Toc11448 \h </w:instrText>
      </w:r>
      <w:r>
        <w:rPr>
          <w:color w:val="auto"/>
          <w:highlight w:val="none"/>
          <w:shd w:val="clear" w:color="auto" w:fill="auto"/>
        </w:rPr>
        <w:fldChar w:fldCharType="separate"/>
      </w:r>
      <w:r>
        <w:rPr>
          <w:color w:val="auto"/>
          <w:highlight w:val="none"/>
          <w:shd w:val="clear" w:color="auto" w:fill="auto"/>
        </w:rPr>
        <w:t>25</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"_Toc27022" </w:instrText>
      </w:r>
      <w:r>
        <w:rPr>
          <w:color w:val="auto"/>
          <w:highlight w:val="none"/>
          <w:shd w:val="clear" w:color="auto" w:fill="auto"/>
        </w:rPr>
        <w:fldChar w:fldCharType="separate"/>
      </w:r>
      <w:r>
        <w:rPr>
          <w:rFonts w:hint="eastAsia" w:ascii="宋体" w:hAnsi="宋体"/>
          <w:bCs/>
          <w:color w:val="auto"/>
          <w:highlight w:val="none"/>
          <w:shd w:val="clear" w:color="auto" w:fill="auto"/>
        </w:rPr>
        <w:t>三、评标方法与程序</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_Toc27022 \h </w:instrText>
      </w:r>
      <w:r>
        <w:rPr>
          <w:color w:val="auto"/>
          <w:highlight w:val="none"/>
          <w:shd w:val="clear" w:color="auto" w:fill="auto"/>
        </w:rPr>
        <w:fldChar w:fldCharType="separate"/>
      </w:r>
      <w:r>
        <w:rPr>
          <w:color w:val="auto"/>
          <w:highlight w:val="none"/>
          <w:shd w:val="clear" w:color="auto" w:fill="auto"/>
        </w:rPr>
        <w:t>25</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"_Toc9964" </w:instrText>
      </w:r>
      <w:r>
        <w:rPr>
          <w:color w:val="auto"/>
          <w:highlight w:val="none"/>
          <w:shd w:val="clear" w:color="auto" w:fill="auto"/>
        </w:rPr>
        <w:fldChar w:fldCharType="separate"/>
      </w:r>
      <w:r>
        <w:rPr>
          <w:rFonts w:hint="eastAsia" w:ascii="宋体" w:hAnsi="宋体"/>
          <w:bCs/>
          <w:color w:val="auto"/>
          <w:highlight w:val="none"/>
          <w:shd w:val="clear" w:color="auto" w:fill="auto"/>
        </w:rPr>
        <w:t>四、评审标准</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_Toc9964 \h </w:instrText>
      </w:r>
      <w:r>
        <w:rPr>
          <w:color w:val="auto"/>
          <w:highlight w:val="none"/>
          <w:shd w:val="clear" w:color="auto" w:fill="auto"/>
        </w:rPr>
        <w:fldChar w:fldCharType="separate"/>
      </w:r>
      <w:r>
        <w:rPr>
          <w:color w:val="auto"/>
          <w:highlight w:val="none"/>
          <w:shd w:val="clear" w:color="auto" w:fill="auto"/>
        </w:rPr>
        <w:t>27</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"_Toc28321" </w:instrText>
      </w:r>
      <w:r>
        <w:rPr>
          <w:color w:val="auto"/>
          <w:highlight w:val="none"/>
          <w:shd w:val="clear" w:color="auto" w:fill="auto"/>
        </w:rPr>
        <w:fldChar w:fldCharType="separate"/>
      </w:r>
      <w:r>
        <w:rPr>
          <w:rFonts w:hint="eastAsia" w:ascii="宋体" w:hAnsi="宋体"/>
          <w:bCs/>
          <w:color w:val="auto"/>
          <w:highlight w:val="none"/>
          <w:shd w:val="clear" w:color="auto" w:fill="auto"/>
        </w:rPr>
        <w:t>五、中选价确定原则</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_Toc28321 \h </w:instrText>
      </w:r>
      <w:r>
        <w:rPr>
          <w:color w:val="auto"/>
          <w:highlight w:val="none"/>
          <w:shd w:val="clear" w:color="auto" w:fill="auto"/>
        </w:rPr>
        <w:fldChar w:fldCharType="separate"/>
      </w:r>
      <w:r>
        <w:rPr>
          <w:color w:val="auto"/>
          <w:highlight w:val="none"/>
          <w:shd w:val="clear" w:color="auto" w:fill="auto"/>
        </w:rPr>
        <w:t>27</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"_Toc17861" </w:instrText>
      </w:r>
      <w:r>
        <w:rPr>
          <w:color w:val="auto"/>
          <w:highlight w:val="none"/>
          <w:shd w:val="clear" w:color="auto" w:fill="auto"/>
        </w:rPr>
        <w:fldChar w:fldCharType="separate"/>
      </w:r>
      <w:r>
        <w:rPr>
          <w:rFonts w:hint="eastAsia" w:ascii="宋体" w:hAnsi="宋体"/>
          <w:bCs/>
          <w:color w:val="auto"/>
          <w:highlight w:val="none"/>
          <w:shd w:val="clear" w:color="auto" w:fill="auto"/>
        </w:rPr>
        <w:t>六、定标</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_Toc17861 \h </w:instrText>
      </w:r>
      <w:r>
        <w:rPr>
          <w:color w:val="auto"/>
          <w:highlight w:val="none"/>
          <w:shd w:val="clear" w:color="auto" w:fill="auto"/>
        </w:rPr>
        <w:fldChar w:fldCharType="separate"/>
      </w:r>
      <w:r>
        <w:rPr>
          <w:color w:val="auto"/>
          <w:highlight w:val="none"/>
          <w:shd w:val="clear" w:color="auto" w:fill="auto"/>
        </w:rPr>
        <w:t>27</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"_Toc27781" </w:instrText>
      </w:r>
      <w:r>
        <w:rPr>
          <w:color w:val="auto"/>
          <w:highlight w:val="none"/>
          <w:shd w:val="clear" w:color="auto" w:fill="auto"/>
        </w:rPr>
        <w:fldChar w:fldCharType="separate"/>
      </w:r>
      <w:r>
        <w:rPr>
          <w:rFonts w:hint="eastAsia" w:ascii="宋体" w:hAnsi="宋体"/>
          <w:bCs/>
          <w:color w:val="auto"/>
          <w:highlight w:val="none"/>
          <w:shd w:val="clear" w:color="auto" w:fill="auto"/>
        </w:rPr>
        <w:t>七</w:t>
      </w:r>
      <w:r>
        <w:rPr>
          <w:rFonts w:ascii="宋体" w:hAnsi="宋体"/>
          <w:bCs/>
          <w:color w:val="auto"/>
          <w:highlight w:val="none"/>
          <w:shd w:val="clear" w:color="auto" w:fill="auto"/>
        </w:rPr>
        <w:t>、</w:t>
      </w:r>
      <w:r>
        <w:rPr>
          <w:rFonts w:hint="eastAsia" w:ascii="宋体" w:hAnsi="宋体"/>
          <w:bCs/>
          <w:color w:val="auto"/>
          <w:highlight w:val="none"/>
          <w:shd w:val="clear" w:color="auto" w:fill="auto"/>
        </w:rPr>
        <w:t>评标守则</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_Toc27781 \h </w:instrText>
      </w:r>
      <w:r>
        <w:rPr>
          <w:color w:val="auto"/>
          <w:highlight w:val="none"/>
          <w:shd w:val="clear" w:color="auto" w:fill="auto"/>
        </w:rPr>
        <w:fldChar w:fldCharType="separate"/>
      </w:r>
      <w:r>
        <w:rPr>
          <w:color w:val="auto"/>
          <w:highlight w:val="none"/>
          <w:shd w:val="clear" w:color="auto" w:fill="auto"/>
        </w:rPr>
        <w:t>28</w:t>
      </w:r>
      <w:r>
        <w:rPr>
          <w:color w:val="auto"/>
          <w:highlight w:val="none"/>
          <w:shd w:val="clear" w:color="auto" w:fill="auto"/>
        </w:rPr>
        <w:fldChar w:fldCharType="end"/>
      </w:r>
      <w:r>
        <w:rPr>
          <w:color w:val="auto"/>
          <w:highlight w:val="none"/>
          <w:shd w:val="clear" w:color="auto" w:fill="auto"/>
        </w:rPr>
        <w:fldChar w:fldCharType="end"/>
      </w:r>
    </w:p>
    <w:p>
      <w:pPr>
        <w:pStyle w:val="32"/>
        <w:tabs>
          <w:tab w:val="right" w:leader="dot" w:pos="9333"/>
        </w:tabs>
        <w:ind w:firstLine="48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"_Toc3821" </w:instrText>
      </w:r>
      <w:r>
        <w:rPr>
          <w:color w:val="auto"/>
          <w:highlight w:val="none"/>
          <w:shd w:val="clear" w:color="auto" w:fill="auto"/>
        </w:rPr>
        <w:fldChar w:fldCharType="separate"/>
      </w:r>
      <w:r>
        <w:rPr>
          <w:rFonts w:ascii="宋体" w:hAnsi="宋体"/>
          <w:color w:val="auto"/>
          <w:szCs w:val="44"/>
          <w:highlight w:val="none"/>
          <w:shd w:val="clear" w:color="auto" w:fill="auto"/>
        </w:rPr>
        <w:t>第</w:t>
      </w:r>
      <w:r>
        <w:rPr>
          <w:rFonts w:hint="eastAsia" w:ascii="宋体" w:hAnsi="宋体"/>
          <w:color w:val="auto"/>
          <w:szCs w:val="44"/>
          <w:highlight w:val="none"/>
          <w:shd w:val="clear" w:color="auto" w:fill="auto"/>
        </w:rPr>
        <w:t>二篇  参选文件格式</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_Toc3821 \h </w:instrText>
      </w:r>
      <w:r>
        <w:rPr>
          <w:color w:val="auto"/>
          <w:highlight w:val="none"/>
          <w:shd w:val="clear" w:color="auto" w:fill="auto"/>
        </w:rPr>
        <w:fldChar w:fldCharType="separate"/>
      </w:r>
      <w:r>
        <w:rPr>
          <w:color w:val="auto"/>
          <w:highlight w:val="none"/>
          <w:shd w:val="clear" w:color="auto" w:fill="auto"/>
        </w:rPr>
        <w:t>42</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"_Toc21036" </w:instrText>
      </w:r>
      <w:r>
        <w:rPr>
          <w:color w:val="auto"/>
          <w:highlight w:val="none"/>
          <w:shd w:val="clear" w:color="auto" w:fill="auto"/>
        </w:rPr>
        <w:fldChar w:fldCharType="separate"/>
      </w:r>
      <w:r>
        <w:rPr>
          <w:rFonts w:hint="eastAsia" w:ascii="宋体" w:hAnsi="宋体"/>
          <w:color w:val="auto"/>
          <w:szCs w:val="36"/>
          <w:highlight w:val="none"/>
          <w:shd w:val="clear" w:color="auto" w:fill="auto"/>
        </w:rPr>
        <w:t>第一章</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_Toc21036 \h </w:instrText>
      </w:r>
      <w:r>
        <w:rPr>
          <w:color w:val="auto"/>
          <w:highlight w:val="none"/>
          <w:shd w:val="clear" w:color="auto" w:fill="auto"/>
        </w:rPr>
        <w:fldChar w:fldCharType="separate"/>
      </w:r>
      <w:r>
        <w:rPr>
          <w:color w:val="auto"/>
          <w:highlight w:val="none"/>
          <w:shd w:val="clear" w:color="auto" w:fill="auto"/>
        </w:rPr>
        <w:t>43</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"_Toc32190" </w:instrText>
      </w:r>
      <w:r>
        <w:rPr>
          <w:color w:val="auto"/>
          <w:highlight w:val="none"/>
          <w:shd w:val="clear" w:color="auto" w:fill="auto"/>
        </w:rPr>
        <w:fldChar w:fldCharType="separate"/>
      </w:r>
      <w:r>
        <w:rPr>
          <w:color w:val="auto"/>
          <w:highlight w:val="none"/>
          <w:shd w:val="clear" w:color="auto" w:fill="auto"/>
        </w:rPr>
        <w:t xml:space="preserve">一、 </w:t>
      </w:r>
      <w:r>
        <w:rPr>
          <w:rFonts w:hint="eastAsia" w:ascii="宋体" w:hAnsi="宋体"/>
          <w:color w:val="auto"/>
          <w:highlight w:val="none"/>
          <w:shd w:val="clear" w:color="auto" w:fill="auto"/>
        </w:rPr>
        <w:t>参选人营业执照复印件、政府网站显示注册资本的信息页（加盖公章）</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_Toc32190 \h </w:instrText>
      </w:r>
      <w:r>
        <w:rPr>
          <w:color w:val="auto"/>
          <w:highlight w:val="none"/>
          <w:shd w:val="clear" w:color="auto" w:fill="auto"/>
        </w:rPr>
        <w:fldChar w:fldCharType="separate"/>
      </w:r>
      <w:r>
        <w:rPr>
          <w:color w:val="auto"/>
          <w:highlight w:val="none"/>
          <w:shd w:val="clear" w:color="auto" w:fill="auto"/>
        </w:rPr>
        <w:t>45</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"_Toc32009" </w:instrText>
      </w:r>
      <w:r>
        <w:rPr>
          <w:color w:val="auto"/>
          <w:highlight w:val="none"/>
          <w:shd w:val="clear" w:color="auto" w:fill="auto"/>
        </w:rPr>
        <w:fldChar w:fldCharType="separate"/>
      </w:r>
      <w:r>
        <w:rPr>
          <w:rFonts w:hint="eastAsia" w:ascii="宋体" w:hAnsi="宋体"/>
          <w:color w:val="auto"/>
          <w:highlight w:val="none"/>
          <w:shd w:val="clear" w:color="auto" w:fill="auto"/>
        </w:rPr>
        <w:t>二</w:t>
      </w:r>
      <w:r>
        <w:rPr>
          <w:rFonts w:ascii="宋体" w:hAnsi="宋体"/>
          <w:color w:val="auto"/>
          <w:highlight w:val="none"/>
          <w:shd w:val="clear" w:color="auto" w:fill="auto"/>
        </w:rPr>
        <w:t>、法定代表人资格证明书</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_Toc32009 \h </w:instrText>
      </w:r>
      <w:r>
        <w:rPr>
          <w:color w:val="auto"/>
          <w:highlight w:val="none"/>
          <w:shd w:val="clear" w:color="auto" w:fill="auto"/>
        </w:rPr>
        <w:fldChar w:fldCharType="separate"/>
      </w:r>
      <w:r>
        <w:rPr>
          <w:color w:val="auto"/>
          <w:highlight w:val="none"/>
          <w:shd w:val="clear" w:color="auto" w:fill="auto"/>
        </w:rPr>
        <w:t>46</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"_Toc4950" </w:instrText>
      </w:r>
      <w:r>
        <w:rPr>
          <w:color w:val="auto"/>
          <w:highlight w:val="none"/>
          <w:shd w:val="clear" w:color="auto" w:fill="auto"/>
        </w:rPr>
        <w:fldChar w:fldCharType="separate"/>
      </w:r>
      <w:r>
        <w:rPr>
          <w:rFonts w:hint="eastAsia" w:ascii="宋体" w:hAnsi="宋体"/>
          <w:color w:val="auto"/>
          <w:highlight w:val="none"/>
          <w:shd w:val="clear" w:color="auto" w:fill="auto"/>
        </w:rPr>
        <w:t>三、法定代表人身份证件复印件</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_Toc4950 \h </w:instrText>
      </w:r>
      <w:r>
        <w:rPr>
          <w:color w:val="auto"/>
          <w:highlight w:val="none"/>
          <w:shd w:val="clear" w:color="auto" w:fill="auto"/>
        </w:rPr>
        <w:fldChar w:fldCharType="separate"/>
      </w:r>
      <w:r>
        <w:rPr>
          <w:color w:val="auto"/>
          <w:highlight w:val="none"/>
          <w:shd w:val="clear" w:color="auto" w:fill="auto"/>
        </w:rPr>
        <w:t>47</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"_Toc1364" </w:instrText>
      </w:r>
      <w:r>
        <w:rPr>
          <w:color w:val="auto"/>
          <w:highlight w:val="none"/>
          <w:shd w:val="clear" w:color="auto" w:fill="auto"/>
        </w:rPr>
        <w:fldChar w:fldCharType="separate"/>
      </w:r>
      <w:r>
        <w:rPr>
          <w:rFonts w:hint="eastAsia" w:ascii="宋体" w:hAnsi="宋体"/>
          <w:color w:val="auto"/>
          <w:highlight w:val="none"/>
          <w:shd w:val="clear" w:color="auto" w:fill="auto"/>
        </w:rPr>
        <w:t>四、</w:t>
      </w:r>
      <w:r>
        <w:rPr>
          <w:rFonts w:ascii="宋体" w:hAnsi="宋体"/>
          <w:color w:val="auto"/>
          <w:highlight w:val="none"/>
          <w:shd w:val="clear" w:color="auto" w:fill="auto"/>
        </w:rPr>
        <w:t>法定代表人授权委托书</w:t>
      </w:r>
      <w:r>
        <w:rPr>
          <w:rFonts w:hint="eastAsia" w:ascii="宋体" w:hAnsi="宋体"/>
          <w:color w:val="auto"/>
          <w:highlight w:val="none"/>
          <w:shd w:val="clear" w:color="auto" w:fill="auto"/>
        </w:rPr>
        <w:t>【如递交</w:t>
      </w:r>
      <w:r>
        <w:rPr>
          <w:rFonts w:ascii="宋体" w:hAnsi="宋体"/>
          <w:color w:val="auto"/>
          <w:highlight w:val="none"/>
          <w:shd w:val="clear" w:color="auto" w:fill="auto"/>
        </w:rPr>
        <w:t>比选</w:t>
      </w:r>
      <w:r>
        <w:rPr>
          <w:rFonts w:hint="eastAsia" w:ascii="宋体" w:hAnsi="宋体"/>
          <w:color w:val="auto"/>
          <w:highlight w:val="none"/>
          <w:shd w:val="clear" w:color="auto" w:fill="auto"/>
        </w:rPr>
        <w:t>文件人不是法定代表人时提供】</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_Toc1364 \h </w:instrText>
      </w:r>
      <w:r>
        <w:rPr>
          <w:color w:val="auto"/>
          <w:highlight w:val="none"/>
          <w:shd w:val="clear" w:color="auto" w:fill="auto"/>
        </w:rPr>
        <w:fldChar w:fldCharType="separate"/>
      </w:r>
      <w:r>
        <w:rPr>
          <w:color w:val="auto"/>
          <w:highlight w:val="none"/>
          <w:shd w:val="clear" w:color="auto" w:fill="auto"/>
        </w:rPr>
        <w:t>48</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"_Toc31830" </w:instrText>
      </w:r>
      <w:r>
        <w:rPr>
          <w:color w:val="auto"/>
          <w:highlight w:val="none"/>
          <w:shd w:val="clear" w:color="auto" w:fill="auto"/>
        </w:rPr>
        <w:fldChar w:fldCharType="separate"/>
      </w:r>
      <w:r>
        <w:rPr>
          <w:rFonts w:hint="eastAsia" w:ascii="宋体" w:hAnsi="宋体"/>
          <w:color w:val="auto"/>
          <w:highlight w:val="none"/>
          <w:shd w:val="clear" w:color="auto" w:fill="auto"/>
        </w:rPr>
        <w:t>五、被授权人身份证件复印件【如递交</w:t>
      </w:r>
      <w:r>
        <w:rPr>
          <w:rFonts w:ascii="宋体" w:hAnsi="宋体"/>
          <w:color w:val="auto"/>
          <w:highlight w:val="none"/>
          <w:shd w:val="clear" w:color="auto" w:fill="auto"/>
        </w:rPr>
        <w:t>比选文件</w:t>
      </w:r>
      <w:r>
        <w:rPr>
          <w:rFonts w:hint="eastAsia" w:ascii="宋体" w:hAnsi="宋体"/>
          <w:color w:val="auto"/>
          <w:highlight w:val="none"/>
          <w:shd w:val="clear" w:color="auto" w:fill="auto"/>
        </w:rPr>
        <w:t>人不是法定代表人时提供】</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_Toc31830 \h </w:instrText>
      </w:r>
      <w:r>
        <w:rPr>
          <w:color w:val="auto"/>
          <w:highlight w:val="none"/>
          <w:shd w:val="clear" w:color="auto" w:fill="auto"/>
        </w:rPr>
        <w:fldChar w:fldCharType="separate"/>
      </w:r>
      <w:r>
        <w:rPr>
          <w:color w:val="auto"/>
          <w:highlight w:val="none"/>
          <w:shd w:val="clear" w:color="auto" w:fill="auto"/>
        </w:rPr>
        <w:t>49</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"_Toc11601" </w:instrText>
      </w:r>
      <w:r>
        <w:rPr>
          <w:color w:val="auto"/>
          <w:highlight w:val="none"/>
          <w:shd w:val="clear" w:color="auto" w:fill="auto"/>
        </w:rPr>
        <w:fldChar w:fldCharType="separate"/>
      </w:r>
      <w:r>
        <w:rPr>
          <w:rFonts w:hint="eastAsia" w:ascii="宋体" w:hAnsi="宋体"/>
          <w:bCs/>
          <w:color w:val="auto"/>
          <w:highlight w:val="none"/>
          <w:shd w:val="clear" w:color="auto" w:fill="auto"/>
        </w:rPr>
        <w:t>六、参选业绩证明材料（加盖公章）</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_Toc11601 \h </w:instrText>
      </w:r>
      <w:r>
        <w:rPr>
          <w:color w:val="auto"/>
          <w:highlight w:val="none"/>
          <w:shd w:val="clear" w:color="auto" w:fill="auto"/>
        </w:rPr>
        <w:fldChar w:fldCharType="separate"/>
      </w:r>
      <w:r>
        <w:rPr>
          <w:color w:val="auto"/>
          <w:highlight w:val="none"/>
          <w:shd w:val="clear" w:color="auto" w:fill="auto"/>
        </w:rPr>
        <w:t>50</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"_Toc8588" </w:instrText>
      </w:r>
      <w:r>
        <w:rPr>
          <w:color w:val="auto"/>
          <w:highlight w:val="none"/>
          <w:shd w:val="clear" w:color="auto" w:fill="auto"/>
        </w:rPr>
        <w:fldChar w:fldCharType="separate"/>
      </w:r>
      <w:r>
        <w:rPr>
          <w:rFonts w:hint="eastAsia" w:ascii="宋体" w:hAnsi="宋体"/>
          <w:bCs/>
          <w:color w:val="auto"/>
          <w:highlight w:val="none"/>
          <w:shd w:val="clear" w:color="auto" w:fill="auto"/>
        </w:rPr>
        <w:t>七、深铁</w:t>
      </w:r>
      <w:r>
        <w:rPr>
          <w:rFonts w:hint="eastAsia" w:ascii="宋体" w:hAnsi="宋体"/>
          <w:bCs/>
          <w:color w:val="auto"/>
          <w:highlight w:val="none"/>
          <w:shd w:val="clear" w:color="auto" w:fill="auto"/>
          <w:lang w:val="en-US" w:eastAsia="zh-CN"/>
        </w:rPr>
        <w:t>置业产品标准化体系发布会活动</w:t>
      </w:r>
      <w:r>
        <w:rPr>
          <w:rFonts w:hint="eastAsia" w:ascii="宋体" w:hAnsi="宋体"/>
          <w:bCs/>
          <w:color w:val="auto"/>
          <w:highlight w:val="none"/>
          <w:shd w:val="clear" w:color="auto" w:fill="auto"/>
        </w:rPr>
        <w:t>方案</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_Toc8588 \h </w:instrText>
      </w:r>
      <w:r>
        <w:rPr>
          <w:color w:val="auto"/>
          <w:highlight w:val="none"/>
          <w:shd w:val="clear" w:color="auto" w:fill="auto"/>
        </w:rPr>
        <w:fldChar w:fldCharType="separate"/>
      </w:r>
      <w:r>
        <w:rPr>
          <w:color w:val="auto"/>
          <w:highlight w:val="none"/>
          <w:shd w:val="clear" w:color="auto" w:fill="auto"/>
        </w:rPr>
        <w:t>51</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"_Toc5057" </w:instrText>
      </w:r>
      <w:r>
        <w:rPr>
          <w:color w:val="auto"/>
          <w:highlight w:val="none"/>
          <w:shd w:val="clear" w:color="auto" w:fill="auto"/>
        </w:rPr>
        <w:fldChar w:fldCharType="separate"/>
      </w:r>
      <w:r>
        <w:rPr>
          <w:rFonts w:hint="eastAsia" w:ascii="宋体" w:hAnsi="宋体"/>
          <w:color w:val="auto"/>
          <w:szCs w:val="36"/>
          <w:highlight w:val="none"/>
          <w:shd w:val="clear" w:color="auto" w:fill="auto"/>
        </w:rPr>
        <w:t>第二章</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_Toc5057 \h </w:instrText>
      </w:r>
      <w:r>
        <w:rPr>
          <w:color w:val="auto"/>
          <w:highlight w:val="none"/>
          <w:shd w:val="clear" w:color="auto" w:fill="auto"/>
        </w:rPr>
        <w:fldChar w:fldCharType="separate"/>
      </w:r>
      <w:r>
        <w:rPr>
          <w:color w:val="auto"/>
          <w:highlight w:val="none"/>
          <w:shd w:val="clear" w:color="auto" w:fill="auto"/>
        </w:rPr>
        <w:t>52</w:t>
      </w:r>
      <w:r>
        <w:rPr>
          <w:color w:val="auto"/>
          <w:highlight w:val="none"/>
          <w:shd w:val="clear" w:color="auto" w:fill="auto"/>
        </w:rPr>
        <w:fldChar w:fldCharType="end"/>
      </w:r>
      <w:r>
        <w:rPr>
          <w:color w:val="auto"/>
          <w:highlight w:val="none"/>
          <w:shd w:val="clear" w:color="auto" w:fill="auto"/>
        </w:rPr>
        <w:fldChar w:fldCharType="end"/>
      </w:r>
    </w:p>
    <w:p>
      <w:pPr>
        <w:pStyle w:val="32"/>
        <w:tabs>
          <w:tab w:val="right" w:leader="dot" w:pos="9333"/>
        </w:tabs>
        <w:ind w:firstLine="48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"_Toc25380" </w:instrText>
      </w:r>
      <w:r>
        <w:rPr>
          <w:color w:val="auto"/>
          <w:highlight w:val="none"/>
          <w:shd w:val="clear" w:color="auto" w:fill="auto"/>
        </w:rPr>
        <w:fldChar w:fldCharType="separate"/>
      </w:r>
      <w:r>
        <w:rPr>
          <w:rFonts w:ascii="宋体" w:hAnsi="宋体"/>
          <w:color w:val="auto"/>
          <w:szCs w:val="44"/>
          <w:highlight w:val="none"/>
          <w:shd w:val="clear" w:color="auto" w:fill="auto"/>
        </w:rPr>
        <w:t>第</w:t>
      </w:r>
      <w:r>
        <w:rPr>
          <w:rFonts w:hint="eastAsia" w:ascii="宋体" w:hAnsi="宋体"/>
          <w:color w:val="auto"/>
          <w:szCs w:val="44"/>
          <w:highlight w:val="none"/>
          <w:shd w:val="clear" w:color="auto" w:fill="auto"/>
        </w:rPr>
        <w:t>三篇  合同</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_Toc25380 \h </w:instrText>
      </w:r>
      <w:r>
        <w:rPr>
          <w:color w:val="auto"/>
          <w:highlight w:val="none"/>
          <w:shd w:val="clear" w:color="auto" w:fill="auto"/>
        </w:rPr>
        <w:fldChar w:fldCharType="separate"/>
      </w:r>
      <w:r>
        <w:rPr>
          <w:color w:val="auto"/>
          <w:highlight w:val="none"/>
          <w:shd w:val="clear" w:color="auto" w:fill="auto"/>
        </w:rPr>
        <w:t>56</w:t>
      </w:r>
      <w:r>
        <w:rPr>
          <w:color w:val="auto"/>
          <w:highlight w:val="none"/>
          <w:shd w:val="clear" w:color="auto" w:fill="auto"/>
        </w:rPr>
        <w:fldChar w:fldCharType="end"/>
      </w:r>
      <w:r>
        <w:rPr>
          <w:color w:val="auto"/>
          <w:highlight w:val="none"/>
          <w:shd w:val="clear" w:color="auto" w:fill="auto"/>
        </w:rPr>
        <w:fldChar w:fldCharType="end"/>
      </w:r>
      <w:bookmarkStart w:id="114" w:name="_GoBack"/>
      <w:bookmarkEnd w:id="114"/>
    </w:p>
    <w:p>
      <w:pPr>
        <w:pStyle w:val="32"/>
        <w:tabs>
          <w:tab w:val="right" w:leader="dot" w:pos="9765"/>
        </w:tabs>
        <w:spacing w:line="480" w:lineRule="atLeast"/>
        <w:ind w:firstLine="0" w:firstLineChars="0"/>
        <w:rPr>
          <w:rFonts w:ascii="宋体" w:hAnsi="宋体" w:eastAsia="宋体"/>
          <w:color w:val="auto"/>
          <w:szCs w:val="28"/>
          <w:highlight w:val="none"/>
          <w:shd w:val="clear" w:color="auto" w:fill="auto"/>
        </w:rPr>
      </w:pPr>
      <w:r>
        <w:rPr>
          <w:rFonts w:ascii="宋体" w:hAnsi="宋体" w:eastAsia="宋体"/>
          <w:color w:val="auto"/>
          <w:szCs w:val="28"/>
          <w:highlight w:val="none"/>
          <w:shd w:val="clear" w:color="auto" w:fill="auto"/>
        </w:rPr>
        <w:fldChar w:fldCharType="end"/>
      </w:r>
    </w:p>
    <w:p>
      <w:pPr>
        <w:rPr>
          <w:color w:val="auto"/>
          <w:highlight w:val="none"/>
          <w:shd w:val="clear" w:color="auto" w:fill="auto"/>
        </w:rPr>
      </w:pPr>
    </w:p>
    <w:p>
      <w:pPr>
        <w:pStyle w:val="47"/>
        <w:ind w:firstLine="400"/>
        <w:rPr>
          <w:color w:val="auto"/>
          <w:highlight w:val="none"/>
          <w:shd w:val="clear" w:color="auto" w:fill="auto"/>
        </w:rPr>
      </w:pPr>
    </w:p>
    <w:p>
      <w:pPr>
        <w:pStyle w:val="47"/>
        <w:ind w:firstLine="400"/>
        <w:rPr>
          <w:color w:val="auto"/>
          <w:highlight w:val="none"/>
          <w:shd w:val="clear" w:color="auto" w:fill="auto"/>
        </w:rPr>
      </w:pPr>
    </w:p>
    <w:bookmarkEnd w:id="3"/>
    <w:p>
      <w:pPr>
        <w:pStyle w:val="3"/>
        <w:spacing w:before="240" w:line="480" w:lineRule="atLeast"/>
        <w:ind w:left="425"/>
        <w:rPr>
          <w:rFonts w:ascii="宋体" w:hAnsi="宋体"/>
          <w:b w:val="0"/>
          <w:color w:val="auto"/>
          <w:sz w:val="44"/>
          <w:szCs w:val="44"/>
          <w:highlight w:val="none"/>
          <w:shd w:val="clear" w:color="auto" w:fill="auto"/>
        </w:rPr>
      </w:pPr>
      <w:bookmarkStart w:id="7" w:name="_Toc9850"/>
      <w:bookmarkStart w:id="8" w:name="_Toc434234570"/>
      <w:bookmarkStart w:id="9" w:name="_Toc197404897"/>
      <w:r>
        <w:rPr>
          <w:rFonts w:ascii="宋体" w:hAnsi="宋体"/>
          <w:b w:val="0"/>
          <w:color w:val="auto"/>
          <w:sz w:val="44"/>
          <w:szCs w:val="44"/>
          <w:highlight w:val="none"/>
          <w:shd w:val="clear" w:color="auto" w:fill="auto"/>
        </w:rPr>
        <w:t>致参选人</w:t>
      </w:r>
      <w:bookmarkEnd w:id="7"/>
    </w:p>
    <w:p>
      <w:pPr>
        <w:pStyle w:val="24"/>
        <w:spacing w:before="240" w:beforeLines="100" w:after="120" w:afterLines="50" w:line="480" w:lineRule="atLeast"/>
        <w:ind w:firstLine="480" w:firstLineChars="200"/>
        <w:rPr>
          <w:rFonts w:hAnsi="宋体"/>
          <w:color w:val="auto"/>
          <w:sz w:val="24"/>
          <w:highlight w:val="none"/>
          <w:shd w:val="clear" w:color="auto" w:fill="auto"/>
        </w:rPr>
      </w:pPr>
      <w:r>
        <w:rPr>
          <w:rFonts w:hAnsi="宋体"/>
          <w:color w:val="auto"/>
          <w:sz w:val="24"/>
          <w:highlight w:val="none"/>
          <w:shd w:val="clear" w:color="auto" w:fill="auto"/>
        </w:rPr>
        <w:t>本比选文件是依据有关</w:t>
      </w:r>
      <w:r>
        <w:rPr>
          <w:rFonts w:hint="eastAsia" w:hAnsi="宋体"/>
          <w:color w:val="auto"/>
          <w:sz w:val="24"/>
          <w:highlight w:val="none"/>
          <w:shd w:val="clear" w:color="auto" w:fill="auto"/>
        </w:rPr>
        <w:t>招标</w:t>
      </w:r>
      <w:r>
        <w:rPr>
          <w:rFonts w:hAnsi="宋体"/>
          <w:color w:val="auto"/>
          <w:sz w:val="24"/>
          <w:highlight w:val="none"/>
          <w:shd w:val="clear" w:color="auto" w:fill="auto"/>
        </w:rPr>
        <w:t>投标的法律、法规、规章和规范性文件的规定，根据本比选</w:t>
      </w:r>
      <w:r>
        <w:rPr>
          <w:rFonts w:hint="eastAsia" w:hAnsi="宋体"/>
          <w:color w:val="auto"/>
          <w:sz w:val="24"/>
          <w:highlight w:val="none"/>
          <w:shd w:val="clear" w:color="auto" w:fill="auto"/>
        </w:rPr>
        <w:t>项目</w:t>
      </w:r>
      <w:r>
        <w:rPr>
          <w:rFonts w:hAnsi="宋体"/>
          <w:color w:val="auto"/>
          <w:sz w:val="24"/>
          <w:highlight w:val="none"/>
          <w:shd w:val="clear" w:color="auto" w:fill="auto"/>
        </w:rPr>
        <w:t>的特点和需要编制的。</w:t>
      </w:r>
    </w:p>
    <w:p>
      <w:pPr>
        <w:spacing w:line="480" w:lineRule="atLeast"/>
        <w:ind w:firstLine="480" w:firstLineChars="200"/>
        <w:jc w:val="left"/>
        <w:rPr>
          <w:rFonts w:hAnsi="宋体"/>
          <w:color w:val="auto"/>
          <w:sz w:val="24"/>
          <w:highlight w:val="none"/>
          <w:shd w:val="clear" w:color="auto" w:fill="auto"/>
        </w:rPr>
      </w:pPr>
      <w:r>
        <w:rPr>
          <w:rFonts w:hAnsi="宋体"/>
          <w:color w:val="auto"/>
          <w:sz w:val="24"/>
          <w:highlight w:val="none"/>
          <w:shd w:val="clear" w:color="auto" w:fill="auto"/>
        </w:rPr>
        <w:t>比选文件的编制遵循公开、公平、公正和诚实信用的原则，比选文件的内容已清楚地反映了</w:t>
      </w:r>
      <w:r>
        <w:rPr>
          <w:rFonts w:hint="eastAsia" w:hAnsi="宋体"/>
          <w:b/>
          <w:bCs/>
          <w:color w:val="auto"/>
          <w:sz w:val="24"/>
          <w:highlight w:val="none"/>
          <w:shd w:val="clear" w:color="auto" w:fill="auto"/>
        </w:rPr>
        <w:t>深铁置业产品标准化体系发布会</w:t>
      </w:r>
      <w:r>
        <w:rPr>
          <w:rFonts w:hint="eastAsia" w:hAnsi="宋体"/>
          <w:b/>
          <w:bCs/>
          <w:color w:val="auto"/>
          <w:sz w:val="24"/>
          <w:highlight w:val="none"/>
          <w:shd w:val="clear" w:color="auto" w:fill="auto"/>
          <w:lang w:val="en-US" w:eastAsia="zh-CN"/>
        </w:rPr>
        <w:t>项目</w:t>
      </w:r>
      <w:r>
        <w:rPr>
          <w:rFonts w:hint="eastAsia" w:hAnsi="宋体"/>
          <w:color w:val="auto"/>
          <w:sz w:val="24"/>
          <w:highlight w:val="none"/>
          <w:shd w:val="clear" w:color="auto" w:fill="auto"/>
        </w:rPr>
        <w:t>工作内容和基本</w:t>
      </w:r>
      <w:r>
        <w:rPr>
          <w:rFonts w:hAnsi="宋体"/>
          <w:color w:val="auto"/>
          <w:sz w:val="24"/>
          <w:highlight w:val="none"/>
          <w:shd w:val="clear" w:color="auto" w:fill="auto"/>
        </w:rPr>
        <w:t>要求。我们要求参选人必须完全响应本比选文件的实质性内容。</w:t>
      </w:r>
    </w:p>
    <w:p>
      <w:pPr>
        <w:spacing w:line="480" w:lineRule="atLeast"/>
        <w:ind w:firstLine="480" w:firstLineChars="200"/>
        <w:jc w:val="left"/>
        <w:rPr>
          <w:rFonts w:hAnsi="宋体"/>
          <w:color w:val="auto"/>
          <w:sz w:val="24"/>
          <w:highlight w:val="none"/>
          <w:u w:val="single"/>
          <w:shd w:val="clear" w:color="auto" w:fill="auto"/>
        </w:rPr>
      </w:pPr>
      <w:r>
        <w:rPr>
          <w:rFonts w:hint="eastAsia" w:hAnsi="宋体"/>
          <w:color w:val="auto"/>
          <w:sz w:val="24"/>
          <w:highlight w:val="none"/>
          <w:u w:val="single"/>
          <w:shd w:val="clear" w:color="auto" w:fill="auto"/>
        </w:rPr>
        <w:t>领取了本比选文件的</w:t>
      </w:r>
      <w:r>
        <w:rPr>
          <w:rFonts w:hAnsi="宋体"/>
          <w:color w:val="auto"/>
          <w:sz w:val="24"/>
          <w:highlight w:val="none"/>
          <w:u w:val="single"/>
          <w:shd w:val="clear" w:color="auto" w:fill="auto"/>
        </w:rPr>
        <w:t>参选人</w:t>
      </w:r>
      <w:r>
        <w:rPr>
          <w:rFonts w:hint="eastAsia" w:hAnsi="宋体"/>
          <w:color w:val="auto"/>
          <w:sz w:val="24"/>
          <w:highlight w:val="none"/>
          <w:u w:val="single"/>
          <w:shd w:val="clear" w:color="auto" w:fill="auto"/>
        </w:rPr>
        <w:t>，请</w:t>
      </w:r>
      <w:r>
        <w:rPr>
          <w:rFonts w:hAnsi="宋体"/>
          <w:color w:val="auto"/>
          <w:sz w:val="24"/>
          <w:highlight w:val="none"/>
          <w:u w:val="single"/>
          <w:shd w:val="clear" w:color="auto" w:fill="auto"/>
        </w:rPr>
        <w:t>随时查看“深圳地铁</w:t>
      </w:r>
      <w:r>
        <w:rPr>
          <w:rFonts w:hint="eastAsia" w:hAnsi="宋体"/>
          <w:color w:val="auto"/>
          <w:sz w:val="24"/>
          <w:highlight w:val="none"/>
          <w:u w:val="single"/>
          <w:shd w:val="clear" w:color="auto" w:fill="auto"/>
        </w:rPr>
        <w:t>官</w:t>
      </w:r>
      <w:r>
        <w:rPr>
          <w:rFonts w:hAnsi="宋体"/>
          <w:color w:val="auto"/>
          <w:sz w:val="24"/>
          <w:highlight w:val="none"/>
          <w:u w:val="single"/>
          <w:shd w:val="clear" w:color="auto" w:fill="auto"/>
        </w:rPr>
        <w:t>网”</w:t>
      </w:r>
      <w:r>
        <w:rPr>
          <w:rFonts w:hint="eastAsia" w:hAnsi="宋体"/>
          <w:color w:val="auto"/>
          <w:sz w:val="24"/>
          <w:highlight w:val="none"/>
          <w:u w:val="single"/>
          <w:shd w:val="clear" w:color="auto" w:fill="auto"/>
        </w:rPr>
        <w:t>、“深铁招采网”、“</w:t>
      </w:r>
      <w:r>
        <w:rPr>
          <w:rFonts w:hAnsi="宋体"/>
          <w:color w:val="auto"/>
          <w:sz w:val="24"/>
          <w:highlight w:val="none"/>
          <w:u w:val="single"/>
          <w:shd w:val="clear" w:color="auto" w:fill="auto"/>
        </w:rPr>
        <w:t>国资委阳光采购平台</w:t>
      </w:r>
      <w:r>
        <w:rPr>
          <w:rFonts w:hint="eastAsia" w:hAnsi="宋体"/>
          <w:color w:val="auto"/>
          <w:sz w:val="24"/>
          <w:highlight w:val="none"/>
          <w:u w:val="single"/>
          <w:shd w:val="clear" w:color="auto" w:fill="auto"/>
        </w:rPr>
        <w:t>”、“</w:t>
      </w:r>
      <w:r>
        <w:rPr>
          <w:rFonts w:hAnsi="宋体"/>
          <w:color w:val="auto"/>
          <w:sz w:val="24"/>
          <w:highlight w:val="none"/>
          <w:u w:val="single"/>
          <w:shd w:val="clear" w:color="auto" w:fill="auto"/>
        </w:rPr>
        <w:t>深铁置业</w:t>
      </w:r>
      <w:r>
        <w:rPr>
          <w:rFonts w:hint="eastAsia" w:hAnsi="宋体"/>
          <w:color w:val="auto"/>
          <w:sz w:val="24"/>
          <w:highlight w:val="none"/>
          <w:u w:val="single"/>
          <w:shd w:val="clear" w:color="auto" w:fill="auto"/>
        </w:rPr>
        <w:t>微信订阅</w:t>
      </w:r>
      <w:r>
        <w:rPr>
          <w:rFonts w:hAnsi="宋体"/>
          <w:color w:val="auto"/>
          <w:sz w:val="24"/>
          <w:highlight w:val="none"/>
          <w:u w:val="single"/>
          <w:shd w:val="clear" w:color="auto" w:fill="auto"/>
        </w:rPr>
        <w:t>号</w:t>
      </w:r>
      <w:r>
        <w:rPr>
          <w:rFonts w:hint="eastAsia" w:hAnsi="宋体"/>
          <w:color w:val="auto"/>
          <w:sz w:val="24"/>
          <w:highlight w:val="none"/>
          <w:u w:val="single"/>
          <w:shd w:val="clear" w:color="auto" w:fill="auto"/>
        </w:rPr>
        <w:t>”</w:t>
      </w:r>
      <w:r>
        <w:rPr>
          <w:rFonts w:hAnsi="宋体"/>
          <w:color w:val="auto"/>
          <w:sz w:val="24"/>
          <w:highlight w:val="none"/>
          <w:u w:val="single"/>
          <w:shd w:val="clear" w:color="auto" w:fill="auto"/>
        </w:rPr>
        <w:t>中有关该项目</w:t>
      </w:r>
      <w:r>
        <w:rPr>
          <w:rFonts w:hint="eastAsia" w:hAnsi="宋体"/>
          <w:color w:val="auto"/>
          <w:sz w:val="24"/>
          <w:highlight w:val="none"/>
          <w:u w:val="single"/>
          <w:shd w:val="clear" w:color="auto" w:fill="auto"/>
        </w:rPr>
        <w:t>补遗</w:t>
      </w:r>
      <w:r>
        <w:rPr>
          <w:rFonts w:hAnsi="宋体"/>
          <w:color w:val="auto"/>
          <w:sz w:val="24"/>
          <w:highlight w:val="none"/>
          <w:u w:val="single"/>
          <w:shd w:val="clear" w:color="auto" w:fill="auto"/>
        </w:rPr>
        <w:t>文件的信息。</w:t>
      </w:r>
      <w:r>
        <w:rPr>
          <w:rFonts w:hint="eastAsia" w:hAnsi="宋体"/>
          <w:color w:val="auto"/>
          <w:sz w:val="24"/>
          <w:highlight w:val="none"/>
          <w:u w:val="single"/>
          <w:shd w:val="clear" w:color="auto" w:fill="auto"/>
        </w:rPr>
        <w:t>否则，</w:t>
      </w:r>
      <w:r>
        <w:rPr>
          <w:rFonts w:hAnsi="宋体"/>
          <w:color w:val="auto"/>
          <w:sz w:val="24"/>
          <w:highlight w:val="none"/>
          <w:u w:val="single"/>
          <w:shd w:val="clear" w:color="auto" w:fill="auto"/>
        </w:rPr>
        <w:t>由此导致的不利后果由参选人自负。</w:t>
      </w:r>
    </w:p>
    <w:p>
      <w:pPr>
        <w:pStyle w:val="24"/>
        <w:spacing w:line="360" w:lineRule="auto"/>
        <w:ind w:firstLine="420" w:firstLineChars="175"/>
        <w:rPr>
          <w:rFonts w:hAnsi="宋体"/>
          <w:color w:val="auto"/>
          <w:sz w:val="24"/>
          <w:highlight w:val="none"/>
          <w:shd w:val="clear" w:color="auto" w:fill="auto"/>
        </w:rPr>
      </w:pPr>
    </w:p>
    <w:p>
      <w:pPr>
        <w:pStyle w:val="24"/>
        <w:spacing w:line="360" w:lineRule="auto"/>
        <w:ind w:firstLine="420" w:firstLineChars="175"/>
        <w:rPr>
          <w:rFonts w:hAnsi="宋体"/>
          <w:color w:val="auto"/>
          <w:sz w:val="24"/>
          <w:highlight w:val="none"/>
          <w:shd w:val="clear" w:color="auto" w:fill="auto"/>
        </w:rPr>
      </w:pPr>
      <w:r>
        <w:rPr>
          <w:rFonts w:hAnsi="宋体"/>
          <w:color w:val="auto"/>
          <w:sz w:val="24"/>
          <w:highlight w:val="none"/>
          <w:shd w:val="clear" w:color="auto" w:fill="auto"/>
        </w:rPr>
        <w:t>比选人（盖章）：</w:t>
      </w:r>
      <w:r>
        <w:rPr>
          <w:rFonts w:hint="eastAsia" w:hAnsi="宋体"/>
          <w:color w:val="auto"/>
          <w:sz w:val="24"/>
          <w:highlight w:val="none"/>
          <w:shd w:val="clear" w:color="auto" w:fill="auto"/>
        </w:rPr>
        <w:t>深圳地铁</w:t>
      </w:r>
      <w:r>
        <w:rPr>
          <w:rFonts w:hint="eastAsia" w:hAnsi="宋体"/>
          <w:color w:val="auto"/>
          <w:sz w:val="24"/>
          <w:highlight w:val="none"/>
          <w:shd w:val="clear" w:color="auto" w:fill="auto"/>
          <w:lang w:val="en-US" w:eastAsia="zh-CN"/>
        </w:rPr>
        <w:t>置业</w:t>
      </w:r>
      <w:r>
        <w:rPr>
          <w:rFonts w:hint="eastAsia" w:hAnsi="宋体"/>
          <w:color w:val="auto"/>
          <w:sz w:val="24"/>
          <w:highlight w:val="none"/>
          <w:shd w:val="clear" w:color="auto" w:fill="auto"/>
        </w:rPr>
        <w:t>集团有限公司</w:t>
      </w:r>
    </w:p>
    <w:p>
      <w:pPr>
        <w:pStyle w:val="24"/>
        <w:spacing w:line="360" w:lineRule="auto"/>
        <w:ind w:firstLine="420" w:firstLineChars="175"/>
        <w:rPr>
          <w:rFonts w:hAnsi="宋体"/>
          <w:color w:val="auto"/>
          <w:sz w:val="24"/>
          <w:highlight w:val="none"/>
          <w:shd w:val="clear" w:color="auto" w:fill="auto"/>
        </w:rPr>
      </w:pPr>
      <w:r>
        <w:rPr>
          <w:rFonts w:hAnsi="宋体"/>
          <w:color w:val="auto"/>
          <w:sz w:val="24"/>
          <w:highlight w:val="none"/>
          <w:shd w:val="clear" w:color="auto" w:fill="auto"/>
        </w:rPr>
        <w:t>比选</w:t>
      </w:r>
      <w:r>
        <w:rPr>
          <w:rFonts w:hint="eastAsia" w:hAnsi="宋体"/>
          <w:color w:val="auto"/>
          <w:sz w:val="24"/>
          <w:highlight w:val="none"/>
          <w:shd w:val="clear" w:color="auto" w:fill="auto"/>
        </w:rPr>
        <w:t>人</w:t>
      </w:r>
      <w:r>
        <w:rPr>
          <w:rFonts w:hAnsi="宋体"/>
          <w:color w:val="auto"/>
          <w:sz w:val="24"/>
          <w:highlight w:val="none"/>
          <w:shd w:val="clear" w:color="auto" w:fill="auto"/>
        </w:rPr>
        <w:t>地址：</w:t>
      </w:r>
      <w:r>
        <w:rPr>
          <w:rFonts w:hint="eastAsia" w:hAnsi="宋体"/>
          <w:color w:val="auto"/>
          <w:sz w:val="24"/>
          <w:highlight w:val="none"/>
          <w:shd w:val="clear" w:color="auto" w:fill="auto"/>
        </w:rPr>
        <w:t>深圳市福田区深南大道6011-8号深铁置业大厦</w:t>
      </w:r>
    </w:p>
    <w:p>
      <w:pPr>
        <w:pStyle w:val="24"/>
        <w:spacing w:line="360" w:lineRule="auto"/>
        <w:ind w:right="94" w:rightChars="45" w:firstLine="420" w:firstLineChars="175"/>
        <w:rPr>
          <w:rFonts w:hAnsi="宋体"/>
          <w:color w:val="auto"/>
          <w:sz w:val="24"/>
          <w:highlight w:val="none"/>
          <w:shd w:val="clear" w:color="auto" w:fill="auto"/>
        </w:rPr>
      </w:pPr>
      <w:r>
        <w:rPr>
          <w:rFonts w:hAnsi="宋体"/>
          <w:color w:val="auto"/>
          <w:sz w:val="24"/>
          <w:highlight w:val="none"/>
          <w:shd w:val="clear" w:color="auto" w:fill="auto"/>
        </w:rPr>
        <w:t>邮政编码：518026</w:t>
      </w:r>
    </w:p>
    <w:p>
      <w:pPr>
        <w:pStyle w:val="24"/>
        <w:spacing w:line="360" w:lineRule="auto"/>
        <w:ind w:firstLine="420" w:firstLineChars="175"/>
        <w:rPr>
          <w:rFonts w:hAnsi="宋体"/>
          <w:color w:val="auto"/>
          <w:sz w:val="24"/>
          <w:highlight w:val="none"/>
          <w:shd w:val="clear" w:color="auto" w:fill="auto"/>
        </w:rPr>
      </w:pPr>
      <w:r>
        <w:rPr>
          <w:rFonts w:hAnsi="宋体"/>
          <w:color w:val="auto"/>
          <w:sz w:val="24"/>
          <w:highlight w:val="none"/>
          <w:shd w:val="clear" w:color="auto" w:fill="auto"/>
        </w:rPr>
        <w:t>联 系 人：</w:t>
      </w:r>
      <w:r>
        <w:rPr>
          <w:rFonts w:hint="eastAsia" w:hAnsi="宋体"/>
          <w:color w:val="auto"/>
          <w:sz w:val="24"/>
          <w:highlight w:val="none"/>
          <w:shd w:val="clear" w:color="auto" w:fill="auto"/>
          <w:lang w:val="en-US" w:eastAsia="zh-CN"/>
        </w:rPr>
        <w:t>祝</w:t>
      </w:r>
      <w:r>
        <w:rPr>
          <w:rFonts w:hint="eastAsia" w:hAnsi="宋体"/>
          <w:color w:val="auto"/>
          <w:sz w:val="24"/>
          <w:highlight w:val="none"/>
          <w:shd w:val="clear" w:color="auto" w:fill="auto"/>
        </w:rPr>
        <w:t>小姐</w:t>
      </w:r>
    </w:p>
    <w:p>
      <w:pPr>
        <w:pStyle w:val="24"/>
        <w:spacing w:line="360" w:lineRule="auto"/>
        <w:ind w:firstLine="420" w:firstLineChars="175"/>
        <w:rPr>
          <w:rFonts w:hint="default" w:hAnsi="宋体"/>
          <w:color w:val="auto"/>
          <w:sz w:val="24"/>
          <w:highlight w:val="none"/>
          <w:shd w:val="clear" w:color="auto" w:fill="auto"/>
          <w:lang w:val="en-US" w:eastAsia="zh-CN"/>
        </w:rPr>
      </w:pPr>
      <w:r>
        <w:rPr>
          <w:rFonts w:hAnsi="宋体"/>
          <w:color w:val="auto"/>
          <w:sz w:val="24"/>
          <w:highlight w:val="none"/>
          <w:shd w:val="clear" w:color="auto" w:fill="auto"/>
        </w:rPr>
        <w:t>联系电话：0755-89986</w:t>
      </w:r>
      <w:r>
        <w:rPr>
          <w:rFonts w:hint="eastAsia" w:hAnsi="宋体"/>
          <w:color w:val="auto"/>
          <w:sz w:val="24"/>
          <w:highlight w:val="none"/>
          <w:shd w:val="clear" w:color="auto" w:fill="auto"/>
          <w:lang w:val="en-US" w:eastAsia="zh-CN"/>
        </w:rPr>
        <w:t>715</w:t>
      </w:r>
      <w:r>
        <w:rPr>
          <w:rFonts w:hAnsi="宋体"/>
          <w:color w:val="auto"/>
          <w:sz w:val="24"/>
          <w:highlight w:val="none"/>
          <w:shd w:val="clear" w:color="auto" w:fill="auto"/>
        </w:rPr>
        <w:t>/</w:t>
      </w:r>
      <w:r>
        <w:rPr>
          <w:rFonts w:hint="eastAsia" w:hAnsi="宋体"/>
          <w:color w:val="auto"/>
          <w:sz w:val="24"/>
          <w:highlight w:val="none"/>
          <w:shd w:val="clear" w:color="auto" w:fill="auto"/>
          <w:lang w:val="en-US" w:eastAsia="zh-CN"/>
        </w:rPr>
        <w:t>13823311661</w:t>
      </w:r>
    </w:p>
    <w:p>
      <w:pPr>
        <w:pStyle w:val="24"/>
        <w:spacing w:line="360" w:lineRule="auto"/>
        <w:ind w:firstLine="420" w:firstLineChars="175"/>
        <w:rPr>
          <w:rFonts w:hAnsi="宋体"/>
          <w:color w:val="auto"/>
          <w:sz w:val="24"/>
          <w:highlight w:val="none"/>
          <w:u w:val="single"/>
          <w:shd w:val="clear" w:color="auto" w:fill="auto"/>
        </w:rPr>
      </w:pPr>
      <w:r>
        <w:rPr>
          <w:rFonts w:hint="eastAsia" w:hAnsi="宋体"/>
          <w:color w:val="auto"/>
          <w:sz w:val="24"/>
          <w:highlight w:val="none"/>
          <w:shd w:val="clear" w:color="auto" w:fill="auto"/>
        </w:rPr>
        <w:t>电    邮：</w:t>
      </w:r>
      <w:r>
        <w:rPr>
          <w:rFonts w:hint="eastAsia" w:hAnsi="宋体"/>
          <w:color w:val="auto"/>
          <w:sz w:val="24"/>
          <w:highlight w:val="none"/>
          <w:shd w:val="clear" w:color="auto" w:fill="auto"/>
          <w:lang w:val="en-US" w:eastAsia="zh-CN"/>
        </w:rPr>
        <w:t>zhuyuan</w:t>
      </w:r>
      <w:r>
        <w:rPr>
          <w:rFonts w:hAnsi="宋体"/>
          <w:color w:val="auto"/>
          <w:sz w:val="24"/>
          <w:highlight w:val="none"/>
          <w:shd w:val="clear" w:color="auto" w:fill="auto"/>
        </w:rPr>
        <w:t>@shenzhenmc.com</w:t>
      </w:r>
    </w:p>
    <w:p>
      <w:pPr>
        <w:pStyle w:val="24"/>
        <w:spacing w:line="360" w:lineRule="auto"/>
        <w:ind w:firstLine="420" w:firstLineChars="175"/>
        <w:rPr>
          <w:rFonts w:hAnsi="宋体"/>
          <w:color w:val="auto"/>
          <w:sz w:val="24"/>
          <w:highlight w:val="none"/>
          <w:u w:val="single"/>
          <w:shd w:val="clear" w:color="auto" w:fill="auto"/>
        </w:rPr>
      </w:pPr>
      <w:r>
        <w:rPr>
          <w:rFonts w:hAnsi="宋体"/>
          <w:color w:val="auto"/>
          <w:sz w:val="24"/>
          <w:highlight w:val="none"/>
          <w:shd w:val="clear" w:color="auto" w:fill="auto"/>
        </w:rPr>
        <w:t>日    期：2022</w:t>
      </w:r>
      <w:r>
        <w:rPr>
          <w:rFonts w:hint="eastAsia" w:hAnsi="宋体"/>
          <w:color w:val="auto"/>
          <w:sz w:val="24"/>
          <w:highlight w:val="none"/>
          <w:shd w:val="clear" w:color="auto" w:fill="auto"/>
        </w:rPr>
        <w:t>年</w:t>
      </w:r>
      <w:r>
        <w:rPr>
          <w:rFonts w:hAnsi="宋体"/>
          <w:color w:val="auto"/>
          <w:sz w:val="24"/>
          <w:highlight w:val="none"/>
          <w:shd w:val="clear" w:color="auto" w:fill="auto"/>
        </w:rPr>
        <w:t xml:space="preserve">  </w:t>
      </w:r>
      <w:r>
        <w:rPr>
          <w:rFonts w:hint="eastAsia" w:hAnsi="宋体"/>
          <w:color w:val="auto"/>
          <w:sz w:val="24"/>
          <w:highlight w:val="none"/>
          <w:shd w:val="clear" w:color="auto" w:fill="auto"/>
        </w:rPr>
        <w:t>月</w:t>
      </w:r>
      <w:r>
        <w:rPr>
          <w:rFonts w:hAnsi="宋体"/>
          <w:color w:val="auto"/>
          <w:sz w:val="24"/>
          <w:highlight w:val="none"/>
          <w:shd w:val="clear" w:color="auto" w:fill="auto"/>
        </w:rPr>
        <w:t xml:space="preserve">  </w:t>
      </w:r>
      <w:r>
        <w:rPr>
          <w:rFonts w:hint="eastAsia" w:hAnsi="宋体"/>
          <w:color w:val="auto"/>
          <w:sz w:val="24"/>
          <w:highlight w:val="none"/>
          <w:shd w:val="clear" w:color="auto" w:fill="auto"/>
        </w:rPr>
        <w:t>日</w:t>
      </w:r>
    </w:p>
    <w:p>
      <w:pPr>
        <w:pStyle w:val="24"/>
        <w:spacing w:line="360" w:lineRule="auto"/>
        <w:ind w:firstLine="420" w:firstLineChars="175"/>
        <w:rPr>
          <w:rFonts w:hAnsi="宋体"/>
          <w:color w:val="auto"/>
          <w:sz w:val="24"/>
          <w:highlight w:val="none"/>
          <w:shd w:val="clear" w:color="auto" w:fill="auto"/>
        </w:rPr>
      </w:pPr>
    </w:p>
    <w:p>
      <w:pPr>
        <w:pStyle w:val="24"/>
        <w:spacing w:line="360" w:lineRule="auto"/>
        <w:ind w:firstLine="420" w:firstLineChars="175"/>
        <w:rPr>
          <w:rFonts w:hAnsi="宋体"/>
          <w:color w:val="auto"/>
          <w:sz w:val="24"/>
          <w:highlight w:val="none"/>
          <w:shd w:val="clear" w:color="auto" w:fill="auto"/>
        </w:rPr>
      </w:pPr>
    </w:p>
    <w:p>
      <w:pPr>
        <w:pStyle w:val="24"/>
        <w:spacing w:line="360" w:lineRule="auto"/>
        <w:ind w:firstLine="420" w:firstLineChars="175"/>
        <w:rPr>
          <w:rFonts w:hAnsi="宋体"/>
          <w:color w:val="auto"/>
          <w:sz w:val="24"/>
          <w:highlight w:val="none"/>
          <w:shd w:val="clear" w:color="auto" w:fill="auto"/>
        </w:rPr>
      </w:pPr>
    </w:p>
    <w:p>
      <w:pPr>
        <w:pStyle w:val="24"/>
        <w:spacing w:line="360" w:lineRule="auto"/>
        <w:ind w:firstLine="420" w:firstLineChars="175"/>
        <w:rPr>
          <w:rFonts w:hAnsi="宋体"/>
          <w:color w:val="auto"/>
          <w:sz w:val="24"/>
          <w:highlight w:val="none"/>
          <w:shd w:val="clear" w:color="auto" w:fill="auto"/>
        </w:rPr>
      </w:pPr>
    </w:p>
    <w:p>
      <w:pPr>
        <w:pStyle w:val="24"/>
        <w:spacing w:line="360" w:lineRule="auto"/>
        <w:ind w:firstLine="420" w:firstLineChars="175"/>
        <w:rPr>
          <w:rFonts w:hAnsi="宋体"/>
          <w:color w:val="auto"/>
          <w:sz w:val="24"/>
          <w:highlight w:val="none"/>
          <w:shd w:val="clear" w:color="auto" w:fill="auto"/>
        </w:rPr>
      </w:pPr>
    </w:p>
    <w:p>
      <w:pPr>
        <w:pStyle w:val="24"/>
        <w:spacing w:line="360" w:lineRule="auto"/>
        <w:ind w:firstLine="420" w:firstLineChars="175"/>
        <w:rPr>
          <w:rFonts w:hAnsi="宋体"/>
          <w:color w:val="auto"/>
          <w:sz w:val="24"/>
          <w:highlight w:val="none"/>
          <w:shd w:val="clear" w:color="auto" w:fill="auto"/>
        </w:rPr>
      </w:pPr>
    </w:p>
    <w:p>
      <w:pPr>
        <w:pStyle w:val="24"/>
        <w:spacing w:line="360" w:lineRule="auto"/>
        <w:ind w:firstLine="420" w:firstLineChars="175"/>
        <w:rPr>
          <w:rFonts w:hAnsi="宋体"/>
          <w:color w:val="auto"/>
          <w:sz w:val="24"/>
          <w:highlight w:val="none"/>
          <w:shd w:val="clear" w:color="auto" w:fill="auto"/>
        </w:rPr>
      </w:pPr>
    </w:p>
    <w:p>
      <w:pPr>
        <w:pStyle w:val="24"/>
        <w:spacing w:line="360" w:lineRule="auto"/>
        <w:ind w:firstLine="420" w:firstLineChars="175"/>
        <w:rPr>
          <w:rFonts w:hAnsi="宋体"/>
          <w:color w:val="auto"/>
          <w:sz w:val="24"/>
          <w:highlight w:val="none"/>
          <w:shd w:val="clear" w:color="auto" w:fill="auto"/>
        </w:rPr>
      </w:pPr>
    </w:p>
    <w:p>
      <w:pPr>
        <w:pStyle w:val="24"/>
        <w:spacing w:line="360" w:lineRule="auto"/>
        <w:ind w:firstLine="420" w:firstLineChars="175"/>
        <w:rPr>
          <w:rFonts w:hAnsi="宋体"/>
          <w:color w:val="auto"/>
          <w:sz w:val="24"/>
          <w:highlight w:val="none"/>
          <w:shd w:val="clear" w:color="auto" w:fill="auto"/>
        </w:rPr>
      </w:pPr>
    </w:p>
    <w:p>
      <w:pPr>
        <w:pStyle w:val="24"/>
        <w:spacing w:line="360" w:lineRule="auto"/>
        <w:ind w:firstLine="420" w:firstLineChars="175"/>
        <w:rPr>
          <w:rFonts w:hAnsi="宋体"/>
          <w:color w:val="auto"/>
          <w:sz w:val="24"/>
          <w:highlight w:val="none"/>
          <w:shd w:val="clear" w:color="auto" w:fill="auto"/>
        </w:rPr>
      </w:pPr>
    </w:p>
    <w:p>
      <w:pPr>
        <w:pStyle w:val="24"/>
        <w:spacing w:line="360" w:lineRule="auto"/>
        <w:ind w:firstLine="420" w:firstLineChars="175"/>
        <w:rPr>
          <w:rFonts w:hAnsi="宋体"/>
          <w:color w:val="auto"/>
          <w:sz w:val="24"/>
          <w:highlight w:val="none"/>
          <w:shd w:val="clear" w:color="auto" w:fill="auto"/>
        </w:rPr>
      </w:pPr>
    </w:p>
    <w:p>
      <w:pPr>
        <w:keepNext/>
        <w:keepLines/>
        <w:adjustRightInd w:val="0"/>
        <w:snapToGrid w:val="0"/>
        <w:spacing w:line="360" w:lineRule="auto"/>
        <w:jc w:val="center"/>
        <w:outlineLvl w:val="0"/>
        <w:rPr>
          <w:rFonts w:eastAsia="黑体"/>
          <w:bCs/>
          <w:color w:val="auto"/>
          <w:kern w:val="44"/>
          <w:sz w:val="32"/>
          <w:szCs w:val="44"/>
          <w:highlight w:val="none"/>
          <w:shd w:val="clear" w:color="auto" w:fill="auto"/>
        </w:rPr>
      </w:pPr>
      <w:bookmarkStart w:id="10" w:name="_Toc518494114"/>
      <w:bookmarkStart w:id="11" w:name="_Toc92971331"/>
      <w:bookmarkStart w:id="12" w:name="_Toc27731"/>
      <w:bookmarkStart w:id="13" w:name="_Toc57731943"/>
      <w:r>
        <w:rPr>
          <w:rFonts w:hint="eastAsia" w:eastAsia="黑体"/>
          <w:bCs/>
          <w:color w:val="auto"/>
          <w:kern w:val="44"/>
          <w:sz w:val="32"/>
          <w:szCs w:val="44"/>
          <w:highlight w:val="none"/>
          <w:shd w:val="clear" w:color="auto" w:fill="auto"/>
        </w:rPr>
        <w:t>参选文件</w:t>
      </w:r>
      <w:bookmarkStart w:id="14" w:name="OLE_LINK1"/>
      <w:r>
        <w:rPr>
          <w:rFonts w:hint="eastAsia" w:eastAsia="黑体"/>
          <w:bCs/>
          <w:color w:val="auto"/>
          <w:kern w:val="44"/>
          <w:sz w:val="32"/>
          <w:szCs w:val="44"/>
          <w:highlight w:val="none"/>
          <w:shd w:val="clear" w:color="auto" w:fill="auto"/>
        </w:rPr>
        <w:t>无效和废标的情形</w:t>
      </w:r>
      <w:bookmarkEnd w:id="14"/>
      <w:r>
        <w:rPr>
          <w:rFonts w:hint="eastAsia" w:eastAsia="黑体"/>
          <w:bCs/>
          <w:color w:val="auto"/>
          <w:kern w:val="44"/>
          <w:sz w:val="32"/>
          <w:szCs w:val="44"/>
          <w:highlight w:val="none"/>
          <w:shd w:val="clear" w:color="auto" w:fill="auto"/>
        </w:rPr>
        <w:t>摘要</w:t>
      </w:r>
      <w:bookmarkEnd w:id="10"/>
      <w:bookmarkEnd w:id="11"/>
      <w:bookmarkEnd w:id="12"/>
      <w:bookmarkEnd w:id="13"/>
    </w:p>
    <w:p>
      <w:pPr>
        <w:adjustRightInd w:val="0"/>
        <w:snapToGrid w:val="0"/>
        <w:spacing w:line="360" w:lineRule="auto"/>
        <w:ind w:firstLine="482" w:firstLineChars="200"/>
        <w:rPr>
          <w:rFonts w:ascii="宋体" w:hAnsi="宋体"/>
          <w:color w:val="auto"/>
          <w:sz w:val="24"/>
          <w:szCs w:val="24"/>
          <w:highlight w:val="none"/>
          <w:shd w:val="clear" w:color="auto" w:fill="auto"/>
        </w:rPr>
      </w:pPr>
      <w:r>
        <w:rPr>
          <w:rFonts w:hint="eastAsia" w:ascii="宋体" w:hAnsi="宋体"/>
          <w:b/>
          <w:color w:val="auto"/>
          <w:sz w:val="24"/>
          <w:szCs w:val="24"/>
          <w:highlight w:val="none"/>
          <w:shd w:val="clear" w:color="auto" w:fill="auto"/>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p>
    <w:p>
      <w:pPr>
        <w:numPr>
          <w:ilvl w:val="0"/>
          <w:numId w:val="2"/>
        </w:numPr>
        <w:adjustRightInd w:val="0"/>
        <w:snapToGrid w:val="0"/>
        <w:spacing w:line="360" w:lineRule="auto"/>
        <w:ind w:left="0" w:firstLine="482" w:firstLineChars="200"/>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参选文件不予受理的情形（由比选人负责判定）：</w:t>
      </w:r>
    </w:p>
    <w:p>
      <w:pPr>
        <w:numPr>
          <w:ilvl w:val="0"/>
          <w:numId w:val="3"/>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参选文件在规定的参选截止时间以后</w:t>
      </w:r>
      <w:r>
        <w:rPr>
          <w:rFonts w:hint="eastAsia" w:ascii="宋体" w:hAnsi="宋体"/>
          <w:color w:val="auto"/>
          <w:sz w:val="24"/>
          <w:szCs w:val="24"/>
          <w:highlight w:val="none"/>
          <w:shd w:val="clear" w:color="auto" w:fill="auto"/>
        </w:rPr>
        <w:t>上传的</w:t>
      </w:r>
      <w:r>
        <w:rPr>
          <w:rFonts w:ascii="宋体" w:hAnsi="宋体"/>
          <w:color w:val="auto"/>
          <w:sz w:val="24"/>
          <w:szCs w:val="24"/>
          <w:highlight w:val="none"/>
          <w:shd w:val="clear" w:color="auto" w:fill="auto"/>
        </w:rPr>
        <w:t>；</w:t>
      </w:r>
    </w:p>
    <w:p>
      <w:pPr>
        <w:numPr>
          <w:ilvl w:val="0"/>
          <w:numId w:val="3"/>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hint="eastAsia" w:ascii="宋体" w:hAnsi="宋体"/>
          <w:bCs/>
          <w:color w:val="auto"/>
          <w:sz w:val="24"/>
          <w:szCs w:val="24"/>
          <w:highlight w:val="none"/>
          <w:shd w:val="clear" w:color="auto" w:fill="auto"/>
        </w:rPr>
        <w:t>参选文件</w:t>
      </w:r>
      <w:r>
        <w:rPr>
          <w:rFonts w:ascii="宋体" w:hAnsi="宋体"/>
          <w:bCs/>
          <w:color w:val="auto"/>
          <w:sz w:val="24"/>
          <w:szCs w:val="24"/>
          <w:highlight w:val="none"/>
          <w:shd w:val="clear" w:color="auto" w:fill="auto"/>
        </w:rPr>
        <w:t>未按规定加盖参选人公章的</w:t>
      </w:r>
      <w:r>
        <w:rPr>
          <w:rFonts w:hint="eastAsia" w:ascii="宋体" w:hAnsi="宋体"/>
          <w:color w:val="auto"/>
          <w:sz w:val="24"/>
          <w:szCs w:val="24"/>
          <w:highlight w:val="none"/>
          <w:shd w:val="clear" w:color="auto" w:fill="auto"/>
        </w:rPr>
        <w:t>。</w:t>
      </w:r>
    </w:p>
    <w:p>
      <w:pPr>
        <w:numPr>
          <w:ilvl w:val="0"/>
          <w:numId w:val="2"/>
        </w:numPr>
        <w:adjustRightInd w:val="0"/>
        <w:snapToGrid w:val="0"/>
        <w:spacing w:line="360" w:lineRule="auto"/>
        <w:ind w:left="0" w:firstLine="482" w:firstLineChars="200"/>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参选文件有下列情形之一的，初步评审不合格，应作无效标处理</w:t>
      </w:r>
      <w:r>
        <w:rPr>
          <w:rFonts w:hint="eastAsia" w:ascii="宋体" w:hAnsi="宋体"/>
          <w:b/>
          <w:bCs/>
          <w:color w:val="auto"/>
          <w:sz w:val="24"/>
          <w:szCs w:val="24"/>
          <w:highlight w:val="none"/>
          <w:shd w:val="clear" w:color="auto" w:fill="auto"/>
        </w:rPr>
        <w:t>（由评标委员会负责判定）：</w:t>
      </w:r>
    </w:p>
    <w:p>
      <w:pPr>
        <w:numPr>
          <w:ilvl w:val="0"/>
          <w:numId w:val="4"/>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参选文件未按要求加盖参选人公章的；</w:t>
      </w:r>
    </w:p>
    <w:p>
      <w:pPr>
        <w:numPr>
          <w:ilvl w:val="0"/>
          <w:numId w:val="4"/>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参选文件</w:t>
      </w:r>
      <w:r>
        <w:rPr>
          <w:rFonts w:ascii="宋体" w:hAnsi="宋体"/>
          <w:color w:val="auto"/>
          <w:sz w:val="24"/>
          <w:szCs w:val="24"/>
          <w:highlight w:val="none"/>
          <w:shd w:val="clear" w:color="auto" w:fill="auto"/>
        </w:rPr>
        <w:t>未经法定代表人或其委托代理人签字</w:t>
      </w:r>
      <w:r>
        <w:rPr>
          <w:rFonts w:hint="eastAsia" w:ascii="宋体" w:hAnsi="宋体"/>
          <w:color w:val="auto"/>
          <w:sz w:val="24"/>
          <w:szCs w:val="24"/>
          <w:highlight w:val="none"/>
          <w:shd w:val="clear" w:color="auto" w:fill="auto"/>
        </w:rPr>
        <w:t>或盖章</w:t>
      </w:r>
      <w:r>
        <w:rPr>
          <w:rFonts w:ascii="宋体" w:hAnsi="宋体"/>
          <w:color w:val="auto"/>
          <w:sz w:val="24"/>
          <w:szCs w:val="24"/>
          <w:highlight w:val="none"/>
          <w:shd w:val="clear" w:color="auto" w:fill="auto"/>
        </w:rPr>
        <w:t>的，或由委托代理人签字但未随参选文件一起提供“法定代表人授权书”原件的；</w:t>
      </w:r>
    </w:p>
    <w:p>
      <w:pPr>
        <w:numPr>
          <w:ilvl w:val="0"/>
          <w:numId w:val="4"/>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对固定的参选格式文件内容进行了实质性修改，或加进额外的条件；</w:t>
      </w:r>
    </w:p>
    <w:p>
      <w:pPr>
        <w:numPr>
          <w:ilvl w:val="0"/>
          <w:numId w:val="4"/>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参选函中的内容未按比选文件的</w:t>
      </w:r>
      <w:r>
        <w:rPr>
          <w:rFonts w:hint="eastAsia" w:ascii="宋体" w:hAnsi="宋体"/>
          <w:color w:val="auto"/>
          <w:sz w:val="24"/>
          <w:szCs w:val="24"/>
          <w:highlight w:val="none"/>
          <w:shd w:val="clear" w:color="auto" w:fill="auto"/>
        </w:rPr>
        <w:t>要求</w:t>
      </w:r>
      <w:r>
        <w:rPr>
          <w:rFonts w:ascii="宋体" w:hAnsi="宋体"/>
          <w:color w:val="auto"/>
          <w:sz w:val="24"/>
          <w:szCs w:val="24"/>
          <w:highlight w:val="none"/>
          <w:shd w:val="clear" w:color="auto" w:fill="auto"/>
        </w:rPr>
        <w:t>填写；</w:t>
      </w:r>
    </w:p>
    <w:p>
      <w:pPr>
        <w:numPr>
          <w:ilvl w:val="0"/>
          <w:numId w:val="4"/>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参选人的</w:t>
      </w:r>
      <w:r>
        <w:rPr>
          <w:rFonts w:hint="eastAsia" w:ascii="宋体" w:hAnsi="宋体"/>
          <w:color w:val="auto"/>
          <w:sz w:val="24"/>
          <w:szCs w:val="24"/>
          <w:highlight w:val="none"/>
          <w:shd w:val="clear" w:color="auto" w:fill="auto"/>
        </w:rPr>
        <w:t>报价超出本项目</w:t>
      </w:r>
      <w:r>
        <w:rPr>
          <w:rFonts w:ascii="宋体" w:hAnsi="宋体"/>
          <w:color w:val="auto"/>
          <w:sz w:val="24"/>
          <w:szCs w:val="24"/>
          <w:highlight w:val="none"/>
          <w:shd w:val="clear" w:color="auto" w:fill="auto"/>
        </w:rPr>
        <w:t>报价</w:t>
      </w:r>
      <w:r>
        <w:rPr>
          <w:rFonts w:hint="eastAsia" w:ascii="宋体" w:hAnsi="宋体"/>
          <w:color w:val="auto"/>
          <w:sz w:val="24"/>
          <w:szCs w:val="24"/>
          <w:highlight w:val="none"/>
          <w:shd w:val="clear" w:color="auto" w:fill="auto"/>
        </w:rPr>
        <w:t>总上限及</w:t>
      </w:r>
      <w:r>
        <w:rPr>
          <w:rFonts w:ascii="宋体" w:hAnsi="宋体"/>
          <w:color w:val="auto"/>
          <w:sz w:val="24"/>
          <w:szCs w:val="24"/>
          <w:highlight w:val="none"/>
          <w:shd w:val="clear" w:color="auto" w:fill="auto"/>
        </w:rPr>
        <w:t>分项</w:t>
      </w:r>
      <w:r>
        <w:rPr>
          <w:rFonts w:hint="eastAsia" w:ascii="宋体" w:hAnsi="宋体"/>
          <w:color w:val="auto"/>
          <w:sz w:val="24"/>
          <w:szCs w:val="24"/>
          <w:highlight w:val="none"/>
          <w:shd w:val="clear" w:color="auto" w:fill="auto"/>
        </w:rPr>
        <w:t>报价</w:t>
      </w:r>
      <w:r>
        <w:rPr>
          <w:rFonts w:ascii="宋体" w:hAnsi="宋体"/>
          <w:color w:val="auto"/>
          <w:sz w:val="24"/>
          <w:szCs w:val="24"/>
          <w:highlight w:val="none"/>
          <w:shd w:val="clear" w:color="auto" w:fill="auto"/>
        </w:rPr>
        <w:t>上限</w:t>
      </w:r>
      <w:r>
        <w:rPr>
          <w:rFonts w:hint="eastAsia" w:ascii="宋体" w:hAnsi="宋体"/>
          <w:color w:val="auto"/>
          <w:sz w:val="24"/>
          <w:szCs w:val="24"/>
          <w:highlight w:val="none"/>
          <w:shd w:val="clear" w:color="auto" w:fill="auto"/>
        </w:rPr>
        <w:t>的；</w:t>
      </w:r>
    </w:p>
    <w:p>
      <w:pPr>
        <w:numPr>
          <w:ilvl w:val="0"/>
          <w:numId w:val="4"/>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经审查</w:t>
      </w:r>
      <w:r>
        <w:rPr>
          <w:rFonts w:ascii="宋体" w:hAnsi="宋体"/>
          <w:color w:val="auto"/>
          <w:sz w:val="24"/>
          <w:szCs w:val="24"/>
          <w:highlight w:val="none"/>
          <w:shd w:val="clear" w:color="auto" w:fill="auto"/>
        </w:rPr>
        <w:t>参选人不符合资格要求的</w:t>
      </w:r>
      <w:r>
        <w:rPr>
          <w:rFonts w:hint="eastAsia" w:ascii="宋体" w:hAnsi="宋体"/>
          <w:color w:val="auto"/>
          <w:sz w:val="24"/>
          <w:szCs w:val="24"/>
          <w:highlight w:val="none"/>
          <w:shd w:val="clear" w:color="auto" w:fill="auto"/>
        </w:rPr>
        <w:t>。</w:t>
      </w:r>
    </w:p>
    <w:p>
      <w:pPr>
        <w:numPr>
          <w:ilvl w:val="0"/>
          <w:numId w:val="2"/>
        </w:numPr>
        <w:adjustRightInd w:val="0"/>
        <w:snapToGrid w:val="0"/>
        <w:spacing w:line="360" w:lineRule="auto"/>
        <w:ind w:left="0" w:firstLine="482" w:firstLineChars="200"/>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参选文件存在下列情形的，应作废标处理（由评标委员会负责判定）：</w:t>
      </w:r>
    </w:p>
    <w:p>
      <w:pPr>
        <w:numPr>
          <w:ilvl w:val="0"/>
          <w:numId w:val="5"/>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参选人以他人的名义参选或出现串通参选、弄虚作假情形的：</w:t>
      </w:r>
    </w:p>
    <w:p>
      <w:pPr>
        <w:numPr>
          <w:ilvl w:val="0"/>
          <w:numId w:val="5"/>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不同参选人的参选文件内容存在非正常一致的</w:t>
      </w:r>
      <w:r>
        <w:rPr>
          <w:rFonts w:hint="eastAsia" w:ascii="宋体" w:hAnsi="宋体"/>
          <w:color w:val="auto"/>
          <w:sz w:val="24"/>
          <w:szCs w:val="32"/>
          <w:highlight w:val="none"/>
          <w:shd w:val="clear" w:color="auto" w:fill="auto"/>
        </w:rPr>
        <w:t>（包括但不限于线上递交参选文件的CPU序号、硬盘序列号、MAC地址、IP地址等）</w:t>
      </w:r>
      <w:r>
        <w:rPr>
          <w:rFonts w:hint="eastAsia" w:ascii="宋体" w:hAnsi="宋体"/>
          <w:color w:val="auto"/>
          <w:sz w:val="24"/>
          <w:szCs w:val="24"/>
          <w:highlight w:val="none"/>
          <w:shd w:val="clear" w:color="auto" w:fill="auto"/>
        </w:rPr>
        <w:t>；</w:t>
      </w:r>
    </w:p>
    <w:p>
      <w:pPr>
        <w:numPr>
          <w:ilvl w:val="0"/>
          <w:numId w:val="5"/>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不同参选人的参选文件错漏之处一致的；</w:t>
      </w:r>
    </w:p>
    <w:p>
      <w:pPr>
        <w:numPr>
          <w:ilvl w:val="0"/>
          <w:numId w:val="5"/>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不同参选人的参选报价或者报价组成异常一致或者呈规律性变化的；</w:t>
      </w:r>
    </w:p>
    <w:p>
      <w:pPr>
        <w:numPr>
          <w:ilvl w:val="0"/>
          <w:numId w:val="5"/>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不同参选人的参选文件由同一单位或者同一个人编制的；</w:t>
      </w:r>
    </w:p>
    <w:p>
      <w:pPr>
        <w:numPr>
          <w:ilvl w:val="0"/>
          <w:numId w:val="5"/>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不同参选人的参选文件载明的项目负责人与主要技术人员出现同一人的；</w:t>
      </w:r>
    </w:p>
    <w:p>
      <w:pPr>
        <w:numPr>
          <w:ilvl w:val="0"/>
          <w:numId w:val="5"/>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不同参选人委托同一人参选的；</w:t>
      </w:r>
    </w:p>
    <w:p>
      <w:pPr>
        <w:numPr>
          <w:ilvl w:val="0"/>
          <w:numId w:val="5"/>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不同参选人聘请同一人为其参选提供技术或者经济咨询服务的，但比选项目本身要求采用专有技术的除外。</w:t>
      </w:r>
    </w:p>
    <w:p>
      <w:pPr>
        <w:numPr>
          <w:ilvl w:val="0"/>
          <w:numId w:val="5"/>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参选人拒不按照评标委员会要求对参选文件进行澄清、说明、补正的。</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当参选人出现上述9条的情形时，比选人将该参选人列入比选人不良诚信行为名录，并保留对外公示的权利。</w:t>
      </w:r>
    </w:p>
    <w:p>
      <w:pPr>
        <w:adjustRightInd w:val="0"/>
        <w:snapToGrid w:val="0"/>
        <w:spacing w:line="360" w:lineRule="auto"/>
        <w:ind w:left="480" w:firstLine="482" w:firstLineChars="200"/>
        <w:rPr>
          <w:rFonts w:ascii="宋体" w:hAnsi="宋体"/>
          <w:b/>
          <w:color w:val="auto"/>
          <w:sz w:val="24"/>
          <w:szCs w:val="32"/>
          <w:highlight w:val="none"/>
          <w:shd w:val="clear" w:color="auto" w:fill="auto"/>
        </w:rPr>
      </w:pPr>
      <w:r>
        <w:rPr>
          <w:rFonts w:hint="eastAsia" w:ascii="宋体" w:hAnsi="宋体"/>
          <w:b/>
          <w:color w:val="auto"/>
          <w:sz w:val="24"/>
          <w:szCs w:val="32"/>
          <w:highlight w:val="none"/>
          <w:shd w:val="clear" w:color="auto" w:fill="auto"/>
        </w:rPr>
        <w:t>四</w:t>
      </w:r>
      <w:r>
        <w:rPr>
          <w:rFonts w:ascii="宋体" w:hAnsi="宋体"/>
          <w:b/>
          <w:color w:val="auto"/>
          <w:sz w:val="24"/>
          <w:szCs w:val="32"/>
          <w:highlight w:val="none"/>
          <w:shd w:val="clear" w:color="auto" w:fill="auto"/>
        </w:rPr>
        <w:t>、本项目不接受有下列情形之一的企业或从业人员参与参选：</w:t>
      </w:r>
    </w:p>
    <w:p>
      <w:pPr>
        <w:adjustRightInd w:val="0"/>
        <w:snapToGrid w:val="0"/>
        <w:spacing w:line="360" w:lineRule="auto"/>
        <w:ind w:firstLine="480" w:firstLineChars="200"/>
        <w:rPr>
          <w:rFonts w:ascii="宋体" w:hAnsi="宋体"/>
          <w:color w:val="auto"/>
          <w:sz w:val="24"/>
          <w:szCs w:val="32"/>
          <w:highlight w:val="none"/>
          <w:shd w:val="clear" w:color="auto" w:fill="auto"/>
        </w:rPr>
      </w:pPr>
      <w:r>
        <w:rPr>
          <w:rFonts w:ascii="宋体" w:hAnsi="宋体"/>
          <w:color w:val="auto"/>
          <w:sz w:val="24"/>
          <w:szCs w:val="32"/>
          <w:highlight w:val="none"/>
          <w:shd w:val="clear" w:color="auto" w:fill="auto"/>
        </w:rPr>
        <w:t>1</w:t>
      </w:r>
      <w:r>
        <w:rPr>
          <w:rFonts w:hint="eastAsia" w:ascii="宋体" w:hAnsi="宋体"/>
          <w:color w:val="auto"/>
          <w:sz w:val="24"/>
          <w:szCs w:val="32"/>
          <w:highlight w:val="none"/>
          <w:shd w:val="clear" w:color="auto" w:fill="auto"/>
        </w:rPr>
        <w:t>、</w:t>
      </w:r>
      <w:bookmarkStart w:id="15" w:name="_Hlk111275410"/>
      <w:r>
        <w:rPr>
          <w:rFonts w:hint="eastAsia" w:ascii="宋体" w:hAnsi="宋体"/>
          <w:color w:val="auto"/>
          <w:sz w:val="24"/>
          <w:szCs w:val="32"/>
          <w:highlight w:val="none"/>
          <w:shd w:val="clear" w:color="auto" w:fill="auto"/>
        </w:rPr>
        <w:t>自截标三年</w:t>
      </w:r>
      <w:bookmarkEnd w:id="15"/>
      <w:r>
        <w:rPr>
          <w:rFonts w:ascii="宋体" w:hAnsi="宋体"/>
          <w:color w:val="auto"/>
          <w:sz w:val="24"/>
          <w:szCs w:val="32"/>
          <w:highlight w:val="none"/>
          <w:shd w:val="clear" w:color="auto" w:fill="auto"/>
        </w:rPr>
        <w:t>以来，有串通参选不良行为记录或涉嫌串通参选，并正在接受城市主管部门调查的参选申请人；</w:t>
      </w:r>
    </w:p>
    <w:p>
      <w:pPr>
        <w:adjustRightInd w:val="0"/>
        <w:snapToGrid w:val="0"/>
        <w:spacing w:line="360" w:lineRule="auto"/>
        <w:ind w:firstLine="480" w:firstLineChars="200"/>
        <w:rPr>
          <w:rFonts w:ascii="宋体" w:hAnsi="宋体"/>
          <w:color w:val="auto"/>
          <w:sz w:val="24"/>
          <w:highlight w:val="none"/>
          <w:shd w:val="clear" w:color="auto" w:fill="auto"/>
        </w:rPr>
      </w:pPr>
      <w:r>
        <w:rPr>
          <w:rFonts w:ascii="宋体" w:hAnsi="宋体"/>
          <w:color w:val="auto"/>
          <w:sz w:val="24"/>
          <w:szCs w:val="32"/>
          <w:highlight w:val="none"/>
          <w:shd w:val="clear" w:color="auto" w:fill="auto"/>
        </w:rPr>
        <w:t>2</w:t>
      </w:r>
      <w:r>
        <w:rPr>
          <w:rFonts w:hint="eastAsia" w:ascii="宋体" w:hAnsi="宋体"/>
          <w:color w:val="auto"/>
          <w:sz w:val="24"/>
          <w:szCs w:val="32"/>
          <w:highlight w:val="none"/>
          <w:shd w:val="clear" w:color="auto" w:fill="auto"/>
        </w:rPr>
        <w:t>、自截标三年</w:t>
      </w:r>
      <w:r>
        <w:rPr>
          <w:rFonts w:ascii="宋体" w:hAnsi="宋体"/>
          <w:color w:val="auto"/>
          <w:sz w:val="24"/>
          <w:highlight w:val="none"/>
          <w:shd w:val="clear" w:color="auto" w:fill="auto"/>
        </w:rPr>
        <w:t>以来，在深圳市地铁集团有限公司或下属单位合同履约评价考核等级为D的参选申请人不得参选。</w:t>
      </w:r>
    </w:p>
    <w:p>
      <w:pPr>
        <w:adjustRightInd w:val="0"/>
        <w:snapToGrid w:val="0"/>
        <w:spacing w:line="360" w:lineRule="auto"/>
        <w:ind w:firstLine="480" w:firstLineChars="200"/>
        <w:rPr>
          <w:rFonts w:ascii="宋体" w:hAnsi="宋体"/>
          <w:color w:val="auto"/>
          <w:sz w:val="24"/>
          <w:szCs w:val="32"/>
          <w:highlight w:val="none"/>
          <w:shd w:val="clear" w:color="auto" w:fill="auto"/>
        </w:rPr>
      </w:pPr>
      <w:r>
        <w:rPr>
          <w:rFonts w:ascii="宋体" w:hAnsi="宋体"/>
          <w:color w:val="auto"/>
          <w:sz w:val="24"/>
          <w:szCs w:val="32"/>
          <w:highlight w:val="none"/>
          <w:shd w:val="clear" w:color="auto" w:fill="auto"/>
        </w:rPr>
        <w:t>3、联合体参选申请人。</w:t>
      </w:r>
    </w:p>
    <w:p>
      <w:pPr>
        <w:pStyle w:val="3"/>
        <w:snapToGrid w:val="0"/>
        <w:spacing w:before="0" w:after="0" w:line="480" w:lineRule="atLeast"/>
        <w:rPr>
          <w:rFonts w:ascii="宋体" w:hAnsi="宋体"/>
          <w:b w:val="0"/>
          <w:color w:val="auto"/>
          <w:sz w:val="44"/>
          <w:szCs w:val="44"/>
          <w:highlight w:val="none"/>
          <w:shd w:val="clear" w:color="auto" w:fill="auto"/>
        </w:rPr>
      </w:pPr>
    </w:p>
    <w:p>
      <w:pPr>
        <w:pStyle w:val="3"/>
        <w:snapToGrid w:val="0"/>
        <w:spacing w:before="0" w:after="0" w:line="480" w:lineRule="atLeast"/>
        <w:rPr>
          <w:rFonts w:ascii="宋体" w:hAnsi="宋体"/>
          <w:b w:val="0"/>
          <w:color w:val="auto"/>
          <w:sz w:val="44"/>
          <w:szCs w:val="44"/>
          <w:highlight w:val="none"/>
          <w:shd w:val="clear" w:color="auto" w:fill="auto"/>
        </w:rPr>
      </w:pPr>
    </w:p>
    <w:p>
      <w:pPr>
        <w:pStyle w:val="3"/>
        <w:snapToGrid w:val="0"/>
        <w:spacing w:before="0" w:after="0" w:line="480" w:lineRule="atLeast"/>
        <w:rPr>
          <w:rFonts w:ascii="宋体" w:hAnsi="宋体"/>
          <w:b w:val="0"/>
          <w:color w:val="auto"/>
          <w:sz w:val="44"/>
          <w:szCs w:val="44"/>
          <w:highlight w:val="none"/>
          <w:shd w:val="clear" w:color="auto" w:fill="auto"/>
        </w:rPr>
      </w:pPr>
    </w:p>
    <w:p>
      <w:pPr>
        <w:pStyle w:val="3"/>
        <w:snapToGrid w:val="0"/>
        <w:spacing w:before="0" w:after="0" w:line="480" w:lineRule="atLeast"/>
        <w:rPr>
          <w:rFonts w:ascii="宋体" w:hAnsi="宋体"/>
          <w:b w:val="0"/>
          <w:color w:val="auto"/>
          <w:sz w:val="44"/>
          <w:szCs w:val="44"/>
          <w:highlight w:val="none"/>
          <w:shd w:val="clear" w:color="auto" w:fill="auto"/>
        </w:rPr>
      </w:pPr>
    </w:p>
    <w:p>
      <w:pPr>
        <w:pStyle w:val="3"/>
        <w:snapToGrid w:val="0"/>
        <w:spacing w:before="0" w:after="0" w:line="480" w:lineRule="atLeast"/>
        <w:rPr>
          <w:rFonts w:ascii="宋体" w:hAnsi="宋体"/>
          <w:b w:val="0"/>
          <w:color w:val="auto"/>
          <w:sz w:val="44"/>
          <w:szCs w:val="44"/>
          <w:highlight w:val="none"/>
          <w:shd w:val="clear" w:color="auto" w:fill="auto"/>
        </w:rPr>
      </w:pPr>
    </w:p>
    <w:p>
      <w:pPr>
        <w:pStyle w:val="3"/>
        <w:snapToGrid w:val="0"/>
        <w:spacing w:before="0" w:after="0" w:line="480" w:lineRule="atLeast"/>
        <w:rPr>
          <w:rFonts w:ascii="宋体" w:hAnsi="宋体"/>
          <w:b w:val="0"/>
          <w:color w:val="auto"/>
          <w:sz w:val="44"/>
          <w:szCs w:val="44"/>
          <w:highlight w:val="none"/>
          <w:shd w:val="clear" w:color="auto" w:fill="auto"/>
        </w:rPr>
      </w:pPr>
    </w:p>
    <w:p>
      <w:pPr>
        <w:pStyle w:val="3"/>
        <w:snapToGrid w:val="0"/>
        <w:spacing w:before="0" w:after="0" w:line="480" w:lineRule="atLeast"/>
        <w:rPr>
          <w:rFonts w:ascii="宋体" w:hAnsi="宋体"/>
          <w:b w:val="0"/>
          <w:color w:val="auto"/>
          <w:sz w:val="44"/>
          <w:szCs w:val="44"/>
          <w:highlight w:val="none"/>
          <w:shd w:val="clear" w:color="auto" w:fill="auto"/>
        </w:rPr>
      </w:pPr>
    </w:p>
    <w:p>
      <w:pPr>
        <w:pStyle w:val="3"/>
        <w:snapToGrid w:val="0"/>
        <w:spacing w:before="0" w:after="0" w:line="480" w:lineRule="atLeast"/>
        <w:rPr>
          <w:rFonts w:ascii="宋体" w:hAnsi="宋体"/>
          <w:b w:val="0"/>
          <w:color w:val="auto"/>
          <w:sz w:val="44"/>
          <w:szCs w:val="44"/>
          <w:highlight w:val="none"/>
          <w:shd w:val="clear" w:color="auto" w:fill="auto"/>
        </w:rPr>
      </w:pPr>
    </w:p>
    <w:p>
      <w:pPr>
        <w:pStyle w:val="3"/>
        <w:snapToGrid w:val="0"/>
        <w:spacing w:before="0" w:after="0" w:line="480" w:lineRule="atLeast"/>
        <w:rPr>
          <w:rFonts w:ascii="宋体" w:hAnsi="宋体"/>
          <w:b w:val="0"/>
          <w:color w:val="auto"/>
          <w:sz w:val="44"/>
          <w:szCs w:val="44"/>
          <w:highlight w:val="none"/>
          <w:shd w:val="clear" w:color="auto" w:fill="auto"/>
        </w:rPr>
      </w:pPr>
    </w:p>
    <w:p>
      <w:pPr>
        <w:pStyle w:val="3"/>
        <w:snapToGrid w:val="0"/>
        <w:spacing w:before="0" w:after="0" w:line="480" w:lineRule="atLeast"/>
        <w:rPr>
          <w:rFonts w:ascii="宋体" w:hAnsi="宋体"/>
          <w:b w:val="0"/>
          <w:color w:val="auto"/>
          <w:sz w:val="44"/>
          <w:szCs w:val="44"/>
          <w:highlight w:val="none"/>
          <w:shd w:val="clear" w:color="auto" w:fill="auto"/>
        </w:rPr>
      </w:pPr>
    </w:p>
    <w:p>
      <w:pPr>
        <w:pStyle w:val="3"/>
        <w:snapToGrid w:val="0"/>
        <w:spacing w:before="0" w:after="0" w:line="480" w:lineRule="atLeast"/>
        <w:rPr>
          <w:rFonts w:ascii="宋体" w:hAnsi="宋体"/>
          <w:b w:val="0"/>
          <w:color w:val="auto"/>
          <w:sz w:val="44"/>
          <w:szCs w:val="44"/>
          <w:highlight w:val="none"/>
          <w:shd w:val="clear" w:color="auto" w:fill="auto"/>
        </w:rPr>
      </w:pPr>
    </w:p>
    <w:p>
      <w:pPr>
        <w:pStyle w:val="3"/>
        <w:snapToGrid w:val="0"/>
        <w:spacing w:before="0" w:after="0" w:line="480" w:lineRule="atLeast"/>
        <w:rPr>
          <w:rFonts w:ascii="宋体" w:hAnsi="宋体"/>
          <w:b w:val="0"/>
          <w:color w:val="auto"/>
          <w:sz w:val="44"/>
          <w:szCs w:val="44"/>
          <w:highlight w:val="none"/>
          <w:shd w:val="clear" w:color="auto" w:fill="auto"/>
        </w:rPr>
      </w:pPr>
    </w:p>
    <w:p>
      <w:pPr>
        <w:pStyle w:val="3"/>
        <w:snapToGrid w:val="0"/>
        <w:spacing w:before="0" w:after="0" w:line="480" w:lineRule="atLeast"/>
        <w:rPr>
          <w:rFonts w:ascii="宋体" w:hAnsi="宋体"/>
          <w:b w:val="0"/>
          <w:color w:val="auto"/>
          <w:sz w:val="44"/>
          <w:szCs w:val="44"/>
          <w:highlight w:val="none"/>
          <w:shd w:val="clear" w:color="auto" w:fill="auto"/>
        </w:rPr>
      </w:pPr>
    </w:p>
    <w:p>
      <w:pPr>
        <w:pStyle w:val="3"/>
        <w:snapToGrid w:val="0"/>
        <w:spacing w:before="0" w:after="0" w:line="480" w:lineRule="atLeast"/>
        <w:rPr>
          <w:rFonts w:ascii="宋体" w:hAnsi="宋体"/>
          <w:b w:val="0"/>
          <w:color w:val="auto"/>
          <w:sz w:val="44"/>
          <w:szCs w:val="44"/>
          <w:highlight w:val="none"/>
          <w:shd w:val="clear" w:color="auto" w:fill="auto"/>
        </w:rPr>
      </w:pPr>
    </w:p>
    <w:p>
      <w:pPr>
        <w:pStyle w:val="3"/>
        <w:snapToGrid w:val="0"/>
        <w:spacing w:before="0" w:after="0" w:line="480" w:lineRule="atLeast"/>
        <w:jc w:val="both"/>
        <w:rPr>
          <w:rFonts w:ascii="宋体" w:hAnsi="宋体"/>
          <w:b w:val="0"/>
          <w:color w:val="auto"/>
          <w:sz w:val="44"/>
          <w:szCs w:val="44"/>
          <w:highlight w:val="none"/>
          <w:shd w:val="clear" w:color="auto" w:fill="auto"/>
        </w:rPr>
      </w:pPr>
    </w:p>
    <w:p>
      <w:pPr>
        <w:rPr>
          <w:rFonts w:ascii="宋体" w:hAnsi="宋体"/>
          <w:color w:val="auto"/>
          <w:sz w:val="44"/>
          <w:szCs w:val="44"/>
          <w:highlight w:val="none"/>
          <w:shd w:val="clear" w:color="auto" w:fill="auto"/>
        </w:rPr>
      </w:pPr>
    </w:p>
    <w:p>
      <w:pPr>
        <w:rPr>
          <w:rFonts w:ascii="宋体" w:hAnsi="宋体"/>
          <w:color w:val="auto"/>
          <w:sz w:val="44"/>
          <w:szCs w:val="44"/>
          <w:highlight w:val="none"/>
          <w:shd w:val="clear" w:color="auto" w:fill="auto"/>
        </w:rPr>
      </w:pPr>
    </w:p>
    <w:p>
      <w:pPr>
        <w:rPr>
          <w:rFonts w:ascii="宋体" w:hAnsi="宋体"/>
          <w:color w:val="auto"/>
          <w:sz w:val="44"/>
          <w:szCs w:val="44"/>
          <w:highlight w:val="none"/>
          <w:shd w:val="clear" w:color="auto" w:fill="auto"/>
        </w:rPr>
      </w:pPr>
    </w:p>
    <w:p>
      <w:pPr>
        <w:pStyle w:val="47"/>
        <w:ind w:firstLine="400"/>
        <w:rPr>
          <w:color w:val="auto"/>
          <w:highlight w:val="none"/>
          <w:shd w:val="clear" w:color="auto" w:fill="auto"/>
        </w:rPr>
      </w:pPr>
      <w:r>
        <w:rPr>
          <w:color w:val="auto"/>
          <w:highlight w:val="none"/>
          <w:shd w:val="clear" w:color="auto" w:fill="auto"/>
        </w:rPr>
        <w:br w:type="textWrapping"/>
      </w:r>
    </w:p>
    <w:p>
      <w:pPr>
        <w:pStyle w:val="3"/>
        <w:snapToGrid w:val="0"/>
        <w:spacing w:before="0" w:after="0" w:line="480" w:lineRule="atLeast"/>
        <w:rPr>
          <w:rFonts w:ascii="宋体" w:hAnsi="宋体"/>
          <w:b w:val="0"/>
          <w:color w:val="auto"/>
          <w:sz w:val="48"/>
          <w:szCs w:val="48"/>
          <w:highlight w:val="none"/>
          <w:shd w:val="clear" w:color="auto" w:fill="auto"/>
        </w:rPr>
      </w:pPr>
      <w:bookmarkStart w:id="16" w:name="_Toc23689"/>
      <w:r>
        <w:rPr>
          <w:rFonts w:hint="eastAsia" w:ascii="宋体" w:hAnsi="宋体"/>
          <w:b w:val="0"/>
          <w:color w:val="auto"/>
          <w:sz w:val="48"/>
          <w:szCs w:val="48"/>
          <w:highlight w:val="none"/>
          <w:shd w:val="clear" w:color="auto" w:fill="auto"/>
        </w:rPr>
        <w:t>比选公告</w:t>
      </w:r>
      <w:bookmarkEnd w:id="16"/>
    </w:p>
    <w:p>
      <w:pPr>
        <w:rPr>
          <w:color w:val="auto"/>
          <w:highlight w:val="none"/>
          <w:shd w:val="clear" w:color="auto" w:fill="auto"/>
        </w:rPr>
      </w:pPr>
    </w:p>
    <w:bookmarkEnd w:id="8"/>
    <w:p>
      <w:pPr>
        <w:adjustRightInd w:val="0"/>
        <w:snapToGrid w:val="0"/>
        <w:spacing w:line="336" w:lineRule="auto"/>
        <w:ind w:firstLine="480" w:firstLineChars="200"/>
        <w:jc w:val="left"/>
        <w:rPr>
          <w:rFonts w:hAnsi="宋体"/>
          <w:color w:val="auto"/>
          <w:sz w:val="24"/>
          <w:szCs w:val="24"/>
          <w:highlight w:val="none"/>
          <w:shd w:val="clear" w:color="auto" w:fill="auto"/>
        </w:rPr>
      </w:pPr>
      <w:r>
        <w:rPr>
          <w:rFonts w:hint="eastAsia" w:hAnsi="宋体"/>
          <w:color w:val="auto"/>
          <w:sz w:val="24"/>
          <w:highlight w:val="none"/>
          <w:shd w:val="clear" w:color="auto" w:fill="auto"/>
        </w:rPr>
        <w:t>深圳市地铁</w:t>
      </w:r>
      <w:r>
        <w:rPr>
          <w:rFonts w:hint="eastAsia" w:hAnsi="宋体"/>
          <w:color w:val="auto"/>
          <w:sz w:val="24"/>
          <w:highlight w:val="none"/>
          <w:shd w:val="clear" w:color="auto" w:fill="auto"/>
          <w:lang w:val="en-US" w:eastAsia="zh-CN"/>
        </w:rPr>
        <w:t>置业</w:t>
      </w:r>
      <w:r>
        <w:rPr>
          <w:rFonts w:hint="eastAsia" w:hAnsi="宋体"/>
          <w:color w:val="auto"/>
          <w:sz w:val="24"/>
          <w:highlight w:val="none"/>
          <w:shd w:val="clear" w:color="auto" w:fill="auto"/>
        </w:rPr>
        <w:t>集团有限公司</w:t>
      </w:r>
      <w:r>
        <w:rPr>
          <w:rFonts w:hint="eastAsia" w:ascii="宋体" w:hAnsi="宋体"/>
          <w:bCs/>
          <w:color w:val="auto"/>
          <w:kern w:val="0"/>
          <w:sz w:val="24"/>
          <w:szCs w:val="22"/>
          <w:highlight w:val="none"/>
          <w:shd w:val="clear" w:color="auto" w:fill="auto"/>
        </w:rPr>
        <w:t>拟对</w:t>
      </w:r>
      <w:r>
        <w:rPr>
          <w:rFonts w:hint="eastAsia" w:hAnsi="宋体"/>
          <w:b/>
          <w:bCs/>
          <w:color w:val="auto"/>
          <w:sz w:val="24"/>
          <w:highlight w:val="none"/>
          <w:u w:val="single"/>
          <w:shd w:val="clear" w:color="auto" w:fill="auto"/>
        </w:rPr>
        <w:t>深铁</w:t>
      </w:r>
      <w:r>
        <w:rPr>
          <w:rFonts w:hint="eastAsia" w:hAnsi="宋体"/>
          <w:b/>
          <w:bCs/>
          <w:color w:val="auto"/>
          <w:sz w:val="24"/>
          <w:highlight w:val="none"/>
          <w:u w:val="single"/>
          <w:shd w:val="clear" w:color="auto" w:fill="auto"/>
          <w:lang w:val="en-US" w:eastAsia="zh-CN"/>
        </w:rPr>
        <w:t>置业产品标准化体系发布会项目</w:t>
      </w:r>
      <w:r>
        <w:rPr>
          <w:rFonts w:hint="eastAsia" w:hAnsi="宋体"/>
          <w:b/>
          <w:color w:val="auto"/>
          <w:sz w:val="24"/>
          <w:szCs w:val="24"/>
          <w:highlight w:val="none"/>
          <w:u w:val="single"/>
          <w:shd w:val="clear" w:color="auto" w:fill="auto"/>
        </w:rPr>
        <w:t>（以下</w:t>
      </w:r>
      <w:r>
        <w:rPr>
          <w:rFonts w:hAnsi="宋体"/>
          <w:b/>
          <w:color w:val="auto"/>
          <w:sz w:val="24"/>
          <w:szCs w:val="24"/>
          <w:highlight w:val="none"/>
          <w:u w:val="single"/>
          <w:shd w:val="clear" w:color="auto" w:fill="auto"/>
        </w:rPr>
        <w:t>简称“本项目”）</w:t>
      </w:r>
      <w:r>
        <w:rPr>
          <w:rFonts w:hint="eastAsia" w:hAnsi="宋体"/>
          <w:color w:val="auto"/>
          <w:sz w:val="24"/>
          <w:szCs w:val="24"/>
          <w:highlight w:val="none"/>
          <w:shd w:val="clear" w:color="auto" w:fill="auto"/>
        </w:rPr>
        <w:t>进行公开比选，欢迎符合本比选公告公布资质要求的公司参选。</w:t>
      </w:r>
    </w:p>
    <w:p>
      <w:pPr>
        <w:pStyle w:val="24"/>
        <w:snapToGrid w:val="0"/>
        <w:spacing w:line="336" w:lineRule="auto"/>
        <w:ind w:firstLine="482" w:firstLineChars="200"/>
        <w:rPr>
          <w:rFonts w:hAnsi="宋体"/>
          <w:b/>
          <w:color w:val="auto"/>
          <w:sz w:val="24"/>
          <w:szCs w:val="24"/>
          <w:highlight w:val="none"/>
          <w:shd w:val="clear" w:color="auto" w:fill="auto"/>
        </w:rPr>
      </w:pPr>
      <w:r>
        <w:rPr>
          <w:rFonts w:hint="eastAsia" w:hAnsi="宋体"/>
          <w:b/>
          <w:color w:val="auto"/>
          <w:sz w:val="24"/>
          <w:szCs w:val="24"/>
          <w:highlight w:val="none"/>
          <w:shd w:val="clear" w:color="auto" w:fill="auto"/>
        </w:rPr>
        <w:t>一、项目名称</w:t>
      </w:r>
    </w:p>
    <w:p>
      <w:pPr>
        <w:pStyle w:val="24"/>
        <w:snapToGrid w:val="0"/>
        <w:spacing w:line="336" w:lineRule="auto"/>
        <w:ind w:firstLine="480" w:firstLineChars="200"/>
        <w:rPr>
          <w:rFonts w:hAnsi="宋体"/>
          <w:bCs/>
          <w:color w:val="auto"/>
          <w:sz w:val="24"/>
          <w:szCs w:val="22"/>
          <w:highlight w:val="none"/>
          <w:shd w:val="clear" w:color="auto" w:fill="auto"/>
        </w:rPr>
      </w:pPr>
      <w:r>
        <w:rPr>
          <w:rFonts w:hint="eastAsia" w:hAnsi="宋体"/>
          <w:bCs/>
          <w:color w:val="auto"/>
          <w:sz w:val="24"/>
          <w:szCs w:val="22"/>
          <w:highlight w:val="none"/>
          <w:shd w:val="clear" w:color="auto" w:fill="auto"/>
          <w:lang w:val="en-US" w:eastAsia="zh-CN"/>
        </w:rPr>
        <w:t>深铁置业产品标准化体系发布会</w:t>
      </w:r>
    </w:p>
    <w:p>
      <w:pPr>
        <w:pStyle w:val="24"/>
        <w:snapToGrid w:val="0"/>
        <w:spacing w:line="336" w:lineRule="auto"/>
        <w:ind w:firstLine="482" w:firstLineChars="200"/>
        <w:rPr>
          <w:rFonts w:hAnsi="宋体"/>
          <w:b/>
          <w:bCs/>
          <w:color w:val="auto"/>
          <w:sz w:val="24"/>
          <w:szCs w:val="22"/>
          <w:highlight w:val="none"/>
          <w:shd w:val="clear" w:color="auto" w:fill="auto"/>
        </w:rPr>
      </w:pPr>
      <w:r>
        <w:rPr>
          <w:rFonts w:hint="eastAsia" w:hAnsi="宋体"/>
          <w:b/>
          <w:bCs/>
          <w:color w:val="auto"/>
          <w:sz w:val="24"/>
          <w:szCs w:val="22"/>
          <w:highlight w:val="none"/>
          <w:shd w:val="clear" w:color="auto" w:fill="auto"/>
        </w:rPr>
        <w:t>二</w:t>
      </w:r>
      <w:r>
        <w:rPr>
          <w:rFonts w:hAnsi="宋体"/>
          <w:b/>
          <w:bCs/>
          <w:color w:val="auto"/>
          <w:sz w:val="24"/>
          <w:szCs w:val="22"/>
          <w:highlight w:val="none"/>
          <w:shd w:val="clear" w:color="auto" w:fill="auto"/>
        </w:rPr>
        <w:t>、</w:t>
      </w:r>
      <w:r>
        <w:rPr>
          <w:rFonts w:hint="eastAsia" w:hAnsi="宋体"/>
          <w:b/>
          <w:color w:val="auto"/>
          <w:sz w:val="24"/>
          <w:szCs w:val="24"/>
          <w:highlight w:val="none"/>
          <w:shd w:val="clear" w:color="auto" w:fill="auto"/>
        </w:rPr>
        <w:t>项目</w:t>
      </w:r>
      <w:r>
        <w:rPr>
          <w:rFonts w:hAnsi="宋体"/>
          <w:b/>
          <w:color w:val="auto"/>
          <w:sz w:val="24"/>
          <w:szCs w:val="24"/>
          <w:highlight w:val="none"/>
          <w:shd w:val="clear" w:color="auto" w:fill="auto"/>
        </w:rPr>
        <w:t>概况</w:t>
      </w:r>
    </w:p>
    <w:p>
      <w:pPr>
        <w:spacing w:line="336" w:lineRule="auto"/>
        <w:ind w:right="-296" w:rightChars="-141" w:firstLine="427" w:firstLineChars="178"/>
        <w:rPr>
          <w:rFonts w:hint="eastAsia" w:ascii="宋体" w:hAnsi="宋体"/>
          <w:color w:val="auto"/>
          <w:kern w:val="0"/>
          <w:sz w:val="24"/>
          <w:szCs w:val="24"/>
          <w:highlight w:val="none"/>
          <w:shd w:val="clear" w:color="auto" w:fill="auto"/>
          <w:lang w:eastAsia="zh-CN"/>
        </w:rPr>
      </w:pPr>
      <w:r>
        <w:rPr>
          <w:rFonts w:hint="eastAsia" w:ascii="宋体" w:hAnsi="宋体"/>
          <w:color w:val="auto"/>
          <w:kern w:val="0"/>
          <w:sz w:val="24"/>
          <w:szCs w:val="24"/>
          <w:highlight w:val="none"/>
          <w:shd w:val="clear" w:color="auto" w:fill="auto"/>
        </w:rPr>
        <w:t>为助力TOD开发迭代升级，深铁置业研发打造“府系”“境系”“城系”“著系”四大住宅产品线。其中</w:t>
      </w:r>
      <w:r>
        <w:rPr>
          <w:rFonts w:hint="eastAsia" w:ascii="宋体" w:hAnsi="宋体"/>
          <w:color w:val="auto"/>
          <w:kern w:val="0"/>
          <w:sz w:val="24"/>
          <w:szCs w:val="24"/>
          <w:highlight w:val="none"/>
          <w:shd w:val="clear" w:color="auto" w:fill="auto"/>
          <w:lang w:eastAsia="zh-CN"/>
        </w:rPr>
        <w:t>：</w:t>
      </w:r>
    </w:p>
    <w:p>
      <w:pPr>
        <w:spacing w:line="336" w:lineRule="auto"/>
        <w:ind w:right="-296" w:rightChars="-141" w:firstLine="427" w:firstLineChars="178"/>
        <w:rPr>
          <w:rFonts w:hint="eastAsia" w:ascii="宋体" w:hAnsi="宋体"/>
          <w:color w:val="auto"/>
          <w:kern w:val="0"/>
          <w:sz w:val="24"/>
          <w:szCs w:val="24"/>
          <w:highlight w:val="none"/>
          <w:shd w:val="clear" w:color="auto" w:fill="auto"/>
        </w:rPr>
      </w:pPr>
      <w:r>
        <w:rPr>
          <w:rFonts w:hint="eastAsia" w:ascii="宋体" w:hAnsi="宋体"/>
          <w:color w:val="auto"/>
          <w:kern w:val="0"/>
          <w:sz w:val="24"/>
          <w:szCs w:val="24"/>
          <w:highlight w:val="none"/>
          <w:shd w:val="clear" w:color="auto" w:fill="auto"/>
        </w:rPr>
        <w:t>“府系”为位于城市核心地段或拥有稀缺山、海、园景观资源，交通通达性高，地铁站位于社区的步行范围内；以中、大户型为主，集合布局商务、商业、休闲、教育等配套，具有人文归属、高端品位的优雅社区。</w:t>
      </w:r>
    </w:p>
    <w:p>
      <w:pPr>
        <w:spacing w:line="336" w:lineRule="auto"/>
        <w:ind w:right="-296" w:rightChars="-141" w:firstLine="427" w:firstLineChars="178"/>
        <w:rPr>
          <w:rFonts w:hint="eastAsia" w:ascii="宋体" w:hAnsi="宋体"/>
          <w:color w:val="auto"/>
          <w:kern w:val="0"/>
          <w:sz w:val="24"/>
          <w:szCs w:val="24"/>
          <w:highlight w:val="none"/>
          <w:shd w:val="clear" w:color="auto" w:fill="auto"/>
        </w:rPr>
      </w:pPr>
      <w:r>
        <w:rPr>
          <w:rFonts w:hint="eastAsia" w:ascii="宋体" w:hAnsi="宋体"/>
          <w:color w:val="auto"/>
          <w:kern w:val="0"/>
          <w:sz w:val="24"/>
          <w:szCs w:val="24"/>
          <w:highlight w:val="none"/>
          <w:shd w:val="clear" w:color="auto" w:fill="auto"/>
        </w:rPr>
        <w:t>“境系”指位于城市重要地段，享受城市发展资源，具备良好的生态景观或教育、文体配套，交通便捷，占据轨道沿线便利交通；以中等户型为主，生活配套满足家庭需求，搭建兼顾生活、工作全优平台的改善型品质生活住区。</w:t>
      </w:r>
    </w:p>
    <w:p>
      <w:pPr>
        <w:spacing w:line="336" w:lineRule="auto"/>
        <w:ind w:right="-296" w:rightChars="-141" w:firstLine="427" w:firstLineChars="178"/>
        <w:rPr>
          <w:rFonts w:hint="eastAsia" w:ascii="宋体" w:hAnsi="宋体"/>
          <w:color w:val="auto"/>
          <w:kern w:val="0"/>
          <w:sz w:val="24"/>
          <w:szCs w:val="24"/>
          <w:highlight w:val="none"/>
          <w:shd w:val="clear" w:color="auto" w:fill="auto"/>
        </w:rPr>
      </w:pPr>
      <w:r>
        <w:rPr>
          <w:rFonts w:hint="eastAsia" w:ascii="宋体" w:hAnsi="宋体"/>
          <w:color w:val="auto"/>
          <w:kern w:val="0"/>
          <w:sz w:val="24"/>
          <w:szCs w:val="24"/>
          <w:highlight w:val="none"/>
          <w:shd w:val="clear" w:color="auto" w:fill="auto"/>
        </w:rPr>
        <w:t>“城系”指位于城市新兴发展区域，享受区域规划利好，交通较为通达，具备一定的资源配套，以集约户型为主的满足家庭生活需求的舒居社区。</w:t>
      </w:r>
    </w:p>
    <w:p>
      <w:pPr>
        <w:spacing w:line="336" w:lineRule="auto"/>
        <w:ind w:right="-296" w:rightChars="-141" w:firstLine="427" w:firstLineChars="178"/>
        <w:rPr>
          <w:rFonts w:hint="eastAsia" w:ascii="宋体" w:hAnsi="宋体"/>
          <w:color w:val="auto"/>
          <w:kern w:val="0"/>
          <w:sz w:val="24"/>
          <w:szCs w:val="24"/>
          <w:highlight w:val="none"/>
          <w:shd w:val="clear" w:color="auto" w:fill="auto"/>
        </w:rPr>
      </w:pPr>
      <w:r>
        <w:rPr>
          <w:rFonts w:hint="eastAsia" w:ascii="宋体" w:hAnsi="宋体"/>
          <w:color w:val="auto"/>
          <w:kern w:val="0"/>
          <w:sz w:val="24"/>
          <w:szCs w:val="24"/>
          <w:highlight w:val="none"/>
          <w:shd w:val="clear" w:color="auto" w:fill="auto"/>
        </w:rPr>
        <w:t>“著系”</w:t>
      </w:r>
      <w:r>
        <w:rPr>
          <w:rFonts w:hint="eastAsia" w:ascii="宋体" w:hAnsi="宋体"/>
          <w:color w:val="auto"/>
          <w:kern w:val="0"/>
          <w:sz w:val="24"/>
          <w:szCs w:val="24"/>
          <w:highlight w:val="none"/>
          <w:shd w:val="clear" w:color="auto" w:fill="auto"/>
          <w:lang w:val="en-US" w:eastAsia="zh-CN"/>
        </w:rPr>
        <w:t>指位于城市新兴发展区域，</w:t>
      </w:r>
      <w:r>
        <w:rPr>
          <w:rFonts w:hint="eastAsia" w:ascii="宋体" w:hAnsi="宋体"/>
          <w:color w:val="auto"/>
          <w:kern w:val="0"/>
          <w:sz w:val="24"/>
          <w:szCs w:val="24"/>
          <w:highlight w:val="none"/>
          <w:shd w:val="clear" w:color="auto" w:fill="auto"/>
        </w:rPr>
        <w:t>享受区域规划利好</w:t>
      </w:r>
      <w:r>
        <w:rPr>
          <w:rFonts w:hint="eastAsia" w:ascii="宋体" w:hAnsi="宋体"/>
          <w:color w:val="auto"/>
          <w:kern w:val="0"/>
          <w:sz w:val="24"/>
          <w:szCs w:val="24"/>
          <w:highlight w:val="none"/>
          <w:shd w:val="clear" w:color="auto" w:fill="auto"/>
          <w:lang w:eastAsia="zh-CN"/>
        </w:rPr>
        <w:t>，</w:t>
      </w:r>
      <w:r>
        <w:rPr>
          <w:rFonts w:hint="eastAsia" w:ascii="宋体" w:hAnsi="宋体"/>
          <w:color w:val="auto"/>
          <w:kern w:val="0"/>
          <w:sz w:val="24"/>
          <w:szCs w:val="24"/>
          <w:highlight w:val="none"/>
          <w:shd w:val="clear" w:color="auto" w:fill="auto"/>
          <w:lang w:val="en-US" w:eastAsia="zh-CN"/>
        </w:rPr>
        <w:t>交通较为通达，具备一定生活配套，</w:t>
      </w:r>
      <w:r>
        <w:rPr>
          <w:rFonts w:hint="eastAsia" w:ascii="宋体" w:hAnsi="宋体"/>
          <w:color w:val="auto"/>
          <w:kern w:val="0"/>
          <w:sz w:val="24"/>
          <w:szCs w:val="24"/>
          <w:highlight w:val="none"/>
          <w:shd w:val="clear" w:color="auto" w:fill="auto"/>
        </w:rPr>
        <w:t>以集约户型为主</w:t>
      </w:r>
      <w:r>
        <w:rPr>
          <w:rFonts w:hint="eastAsia" w:ascii="宋体" w:hAnsi="宋体"/>
          <w:color w:val="auto"/>
          <w:kern w:val="0"/>
          <w:sz w:val="24"/>
          <w:szCs w:val="24"/>
          <w:highlight w:val="none"/>
          <w:shd w:val="clear" w:color="auto" w:fill="auto"/>
          <w:lang w:val="en-US" w:eastAsia="zh-CN"/>
        </w:rPr>
        <w:t>的满足家庭生活需求的</w:t>
      </w:r>
      <w:r>
        <w:rPr>
          <w:rFonts w:hint="eastAsia" w:ascii="宋体" w:hAnsi="宋体"/>
          <w:color w:val="auto"/>
          <w:kern w:val="0"/>
          <w:sz w:val="24"/>
          <w:szCs w:val="24"/>
          <w:highlight w:val="none"/>
          <w:shd w:val="clear" w:color="auto" w:fill="auto"/>
        </w:rPr>
        <w:t>精致社区。</w:t>
      </w:r>
    </w:p>
    <w:p>
      <w:pPr>
        <w:spacing w:line="336" w:lineRule="auto"/>
        <w:ind w:right="-296" w:rightChars="-141" w:firstLine="427" w:firstLineChars="178"/>
        <w:rPr>
          <w:rFonts w:hint="eastAsia" w:hAnsi="宋体"/>
          <w:b/>
          <w:color w:val="auto"/>
          <w:sz w:val="24"/>
          <w:szCs w:val="24"/>
          <w:highlight w:val="none"/>
          <w:shd w:val="clear" w:color="auto" w:fill="auto"/>
        </w:rPr>
      </w:pPr>
      <w:r>
        <w:rPr>
          <w:rFonts w:hint="eastAsia" w:ascii="宋体" w:hAnsi="宋体"/>
          <w:color w:val="auto"/>
          <w:kern w:val="0"/>
          <w:sz w:val="24"/>
          <w:szCs w:val="24"/>
          <w:highlight w:val="none"/>
          <w:shd w:val="clear" w:color="auto" w:fill="auto"/>
          <w:lang w:val="en-US" w:eastAsia="zh-CN"/>
        </w:rPr>
        <w:t>为</w:t>
      </w:r>
      <w:r>
        <w:rPr>
          <w:rFonts w:hint="eastAsia" w:ascii="宋体" w:hAnsi="宋体"/>
          <w:color w:val="auto"/>
          <w:kern w:val="0"/>
          <w:sz w:val="24"/>
          <w:szCs w:val="24"/>
          <w:highlight w:val="none"/>
          <w:shd w:val="clear" w:color="auto" w:fill="auto"/>
        </w:rPr>
        <w:t>加深老业主、客户、媒体、行业内、社会公众等各群体对深铁置业的品牌认知，提高对四个产品系的价值认同</w:t>
      </w:r>
      <w:r>
        <w:rPr>
          <w:rFonts w:hint="eastAsia" w:ascii="宋体" w:hAnsi="宋体"/>
          <w:color w:val="auto"/>
          <w:kern w:val="0"/>
          <w:sz w:val="24"/>
          <w:szCs w:val="24"/>
          <w:highlight w:val="none"/>
          <w:shd w:val="clear" w:color="auto" w:fill="auto"/>
          <w:lang w:eastAsia="zh-CN"/>
        </w:rPr>
        <w:t>，现拟举办一场产品发布会</w:t>
      </w:r>
      <w:r>
        <w:rPr>
          <w:rFonts w:hint="eastAsia" w:ascii="宋体" w:hAnsi="宋体"/>
          <w:color w:val="auto"/>
          <w:kern w:val="0"/>
          <w:sz w:val="24"/>
          <w:szCs w:val="24"/>
          <w:highlight w:val="none"/>
          <w:shd w:val="clear" w:color="auto" w:fill="auto"/>
        </w:rPr>
        <w:t>。</w:t>
      </w:r>
    </w:p>
    <w:p>
      <w:pPr>
        <w:pStyle w:val="24"/>
        <w:snapToGrid w:val="0"/>
        <w:spacing w:line="336" w:lineRule="auto"/>
        <w:ind w:firstLine="482" w:firstLineChars="200"/>
        <w:rPr>
          <w:rFonts w:hAnsi="宋体"/>
          <w:b/>
          <w:color w:val="auto"/>
          <w:sz w:val="24"/>
          <w:szCs w:val="24"/>
          <w:highlight w:val="none"/>
          <w:shd w:val="clear" w:color="auto" w:fill="auto"/>
        </w:rPr>
      </w:pPr>
      <w:r>
        <w:rPr>
          <w:rFonts w:hint="eastAsia" w:hAnsi="宋体"/>
          <w:b/>
          <w:color w:val="auto"/>
          <w:sz w:val="24"/>
          <w:szCs w:val="24"/>
          <w:highlight w:val="none"/>
          <w:shd w:val="clear" w:color="auto" w:fill="auto"/>
        </w:rPr>
        <w:t>三、比选内容</w:t>
      </w:r>
    </w:p>
    <w:p>
      <w:pPr>
        <w:pStyle w:val="24"/>
        <w:snapToGrid w:val="0"/>
        <w:spacing w:line="336" w:lineRule="auto"/>
        <w:ind w:firstLine="480" w:firstLineChars="200"/>
        <w:rPr>
          <w:rFonts w:hAnsi="宋体"/>
          <w:bCs/>
          <w:color w:val="auto"/>
          <w:sz w:val="24"/>
          <w:szCs w:val="22"/>
          <w:highlight w:val="none"/>
          <w:shd w:val="clear" w:color="auto" w:fill="auto"/>
        </w:rPr>
      </w:pPr>
      <w:r>
        <w:rPr>
          <w:rFonts w:hint="eastAsia" w:hAnsi="宋体"/>
          <w:color w:val="auto"/>
          <w:sz w:val="24"/>
          <w:szCs w:val="24"/>
          <w:highlight w:val="none"/>
          <w:shd w:val="clear" w:color="auto" w:fill="auto"/>
        </w:rPr>
        <w:t>本次开展</w:t>
      </w:r>
      <w:r>
        <w:rPr>
          <w:rFonts w:hint="eastAsia" w:hAnsi="宋体"/>
          <w:bCs/>
          <w:color w:val="auto"/>
          <w:sz w:val="24"/>
          <w:szCs w:val="22"/>
          <w:highlight w:val="none"/>
          <w:shd w:val="clear" w:color="auto" w:fill="auto"/>
          <w:lang w:val="en-US" w:eastAsia="zh-CN"/>
        </w:rPr>
        <w:t>深铁置业产品标准化体系发布会</w:t>
      </w:r>
      <w:r>
        <w:rPr>
          <w:rFonts w:hint="eastAsia" w:hAnsi="宋体"/>
          <w:bCs/>
          <w:color w:val="auto"/>
          <w:sz w:val="24"/>
          <w:szCs w:val="22"/>
          <w:highlight w:val="none"/>
          <w:shd w:val="clear" w:color="auto" w:fill="auto"/>
        </w:rPr>
        <w:t>的公开比选。</w:t>
      </w:r>
    </w:p>
    <w:p>
      <w:pPr>
        <w:pStyle w:val="24"/>
        <w:snapToGrid w:val="0"/>
        <w:spacing w:line="336" w:lineRule="auto"/>
        <w:ind w:firstLine="480" w:firstLineChars="200"/>
        <w:rPr>
          <w:rFonts w:hAnsi="宋体"/>
          <w:color w:val="auto"/>
          <w:sz w:val="24"/>
          <w:szCs w:val="24"/>
          <w:highlight w:val="none"/>
          <w:shd w:val="clear" w:color="auto" w:fill="auto"/>
        </w:rPr>
      </w:pPr>
      <w:r>
        <w:rPr>
          <w:rFonts w:hint="eastAsia" w:hAnsi="宋体"/>
          <w:color w:val="auto"/>
          <w:sz w:val="24"/>
          <w:szCs w:val="24"/>
          <w:highlight w:val="none"/>
          <w:shd w:val="clear" w:color="auto" w:fill="auto"/>
        </w:rPr>
        <w:t>具体要求如下：</w:t>
      </w:r>
    </w:p>
    <w:p>
      <w:pPr>
        <w:pStyle w:val="24"/>
        <w:keepNext w:val="0"/>
        <w:keepLines w:val="0"/>
        <w:pageBreakBefore w:val="0"/>
        <w:widowControl w:val="0"/>
        <w:numPr>
          <w:ilvl w:val="0"/>
          <w:numId w:val="6"/>
        </w:numPr>
        <w:kinsoku/>
        <w:wordWrap/>
        <w:overflowPunct/>
        <w:topLinePunct w:val="0"/>
        <w:autoSpaceDE/>
        <w:autoSpaceDN/>
        <w:bidi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发布会活动</w:t>
      </w:r>
    </w:p>
    <w:p>
      <w:pPr>
        <w:pStyle w:val="24"/>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（1）场地租赁</w:t>
      </w:r>
    </w:p>
    <w:p>
      <w:pPr>
        <w:pStyle w:val="208"/>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需负责活动场地租赁并购买酒店茶歇。本次活动举办地点暂定皇冠假日酒店宴会厅，活动规模暂定250人左右。</w:t>
      </w:r>
    </w:p>
    <w:p>
      <w:pPr>
        <w:pStyle w:val="208"/>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（2）活动执行</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需提供活动方案的策划及执行（含包装、搭建、设计、制作、节目演绎、演员、舞台背景视频内容制作、纪念礼品等）、活动报批、活动相关的运输、安装、撤场等服务。本场活动需兼具强化品牌与助力业务两方面要求，加深老业主、客户、媒体、行业内、社会公众等各群体对深铁置业的品牌认知，提高对四个产品系的价值认同，体现深铁置业赋能城市未来的核心价值，以及对打造高品质产品的不懈追求。</w:t>
      </w:r>
    </w:p>
    <w:p>
      <w:pPr>
        <w:keepNext w:val="0"/>
        <w:keepLines w:val="0"/>
        <w:pageBreakBefore w:val="0"/>
        <w:widowControl w:val="0"/>
        <w:kinsoku/>
        <w:wordWrap/>
        <w:overflowPunct/>
        <w:topLinePunct w:val="0"/>
        <w:autoSpaceDE/>
        <w:autoSpaceDN/>
        <w:bidi w:val="0"/>
        <w:spacing w:line="360" w:lineRule="auto"/>
        <w:ind w:right="-296" w:rightChars="-141" w:firstLine="427" w:firstLineChars="178"/>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活动内容围绕四个系列产品设计理念、设计亮点、生活方式的演绎、并通过相关行业头部KOL进行价值传递、发布启动仪式等开展</w:t>
      </w:r>
      <w:r>
        <w:rPr>
          <w:rFonts w:hint="eastAsia" w:ascii="宋体" w:hAnsi="宋体" w:cs="Times New Roman"/>
          <w:color w:val="auto"/>
          <w:kern w:val="2"/>
          <w:sz w:val="24"/>
          <w:szCs w:val="32"/>
          <w:highlight w:val="none"/>
          <w:shd w:val="clear" w:color="auto" w:fill="auto"/>
          <w:lang w:val="en-US" w:eastAsia="zh-CN" w:bidi="ar-SA"/>
        </w:rPr>
        <w:t>。</w:t>
      </w:r>
    </w:p>
    <w:p>
      <w:pPr>
        <w:pStyle w:val="24"/>
        <w:keepNext w:val="0"/>
        <w:keepLines w:val="0"/>
        <w:pageBreakBefore w:val="0"/>
        <w:widowControl w:val="0"/>
        <w:numPr>
          <w:ilvl w:val="0"/>
          <w:numId w:val="6"/>
        </w:numPr>
        <w:kinsoku/>
        <w:wordWrap/>
        <w:overflowPunct/>
        <w:topLinePunct w:val="0"/>
        <w:autoSpaceDE/>
        <w:autoSpaceDN/>
        <w:bidi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hAnsi="宋体" w:cs="Times New Roman"/>
          <w:color w:val="auto"/>
          <w:kern w:val="2"/>
          <w:sz w:val="24"/>
          <w:szCs w:val="32"/>
          <w:highlight w:val="none"/>
          <w:shd w:val="clear" w:color="auto" w:fill="auto"/>
          <w:lang w:val="en-US" w:eastAsia="zh-CN" w:bidi="ar-SA"/>
        </w:rPr>
        <w:t>影视片</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结合活动主题及内容，制作一条涵盖四大产品系设计理念及亮点等内容的影视片，时长3分钟左右，像素不低于4K；并根据后期项目推广需求套剪不超过5个不同时长要求的剪辑版本。</w:t>
      </w:r>
    </w:p>
    <w:p>
      <w:pPr>
        <w:pStyle w:val="24"/>
        <w:keepNext w:val="0"/>
        <w:keepLines w:val="0"/>
        <w:pageBreakBefore w:val="0"/>
        <w:widowControl w:val="0"/>
        <w:numPr>
          <w:ilvl w:val="0"/>
          <w:numId w:val="6"/>
        </w:numPr>
        <w:kinsoku/>
        <w:wordWrap/>
        <w:overflowPunct/>
        <w:topLinePunct w:val="0"/>
        <w:autoSpaceDE/>
        <w:autoSpaceDN/>
        <w:bidi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hAnsi="宋体" w:cs="Times New Roman"/>
          <w:color w:val="auto"/>
          <w:kern w:val="2"/>
          <w:sz w:val="24"/>
          <w:szCs w:val="32"/>
          <w:highlight w:val="none"/>
          <w:shd w:val="clear" w:color="auto" w:fill="auto"/>
          <w:lang w:val="en-US" w:eastAsia="zh-CN" w:bidi="ar-SA"/>
        </w:rPr>
        <w:t>宣传推广</w:t>
      </w:r>
    </w:p>
    <w:p>
      <w:pPr>
        <w:pStyle w:val="24"/>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甲方可根据实际需求在</w:t>
      </w:r>
      <w:r>
        <w:rPr>
          <w:rFonts w:hint="eastAsia" w:hAnsi="宋体" w:cs="Times New Roman"/>
          <w:color w:val="auto"/>
          <w:kern w:val="2"/>
          <w:sz w:val="24"/>
          <w:szCs w:val="32"/>
          <w:highlight w:val="none"/>
          <w:shd w:val="clear" w:color="auto" w:fill="auto"/>
          <w:lang w:val="en-US" w:eastAsia="zh-CN" w:bidi="ar-SA"/>
        </w:rPr>
        <w:t>如下</w:t>
      </w:r>
      <w:r>
        <w:rPr>
          <w:rFonts w:hint="eastAsia" w:ascii="宋体" w:hAnsi="宋体" w:eastAsia="宋体" w:cs="Times New Roman"/>
          <w:color w:val="auto"/>
          <w:kern w:val="2"/>
          <w:sz w:val="24"/>
          <w:szCs w:val="32"/>
          <w:highlight w:val="none"/>
          <w:shd w:val="clear" w:color="auto" w:fill="auto"/>
          <w:lang w:val="en-US" w:eastAsia="zh-CN" w:bidi="ar-SA"/>
        </w:rPr>
        <w:t>媒体</w:t>
      </w:r>
      <w:r>
        <w:rPr>
          <w:rFonts w:hint="eastAsia" w:hAnsi="宋体" w:cs="Times New Roman"/>
          <w:color w:val="auto"/>
          <w:kern w:val="2"/>
          <w:sz w:val="24"/>
          <w:szCs w:val="32"/>
          <w:highlight w:val="none"/>
          <w:shd w:val="clear" w:color="auto" w:fill="auto"/>
          <w:lang w:val="en-US" w:eastAsia="zh-CN" w:bidi="ar-SA"/>
        </w:rPr>
        <w:t>渠道</w:t>
      </w:r>
      <w:r>
        <w:rPr>
          <w:rFonts w:hint="eastAsia" w:ascii="宋体" w:hAnsi="宋体" w:eastAsia="宋体" w:cs="Times New Roman"/>
          <w:color w:val="auto"/>
          <w:kern w:val="2"/>
          <w:sz w:val="24"/>
          <w:szCs w:val="32"/>
          <w:highlight w:val="none"/>
          <w:shd w:val="clear" w:color="auto" w:fill="auto"/>
          <w:lang w:val="en-US" w:eastAsia="zh-CN" w:bidi="ar-SA"/>
        </w:rPr>
        <w:t>进行</w:t>
      </w:r>
      <w:r>
        <w:rPr>
          <w:rFonts w:hint="eastAsia" w:hAnsi="宋体" w:cs="Times New Roman"/>
          <w:color w:val="auto"/>
          <w:kern w:val="2"/>
          <w:sz w:val="24"/>
          <w:szCs w:val="32"/>
          <w:highlight w:val="none"/>
          <w:shd w:val="clear" w:color="auto" w:fill="auto"/>
          <w:lang w:val="en-US" w:eastAsia="zh-CN" w:bidi="ar-SA"/>
        </w:rPr>
        <w:t>深铁置业品牌及项目相关内容的宣传推广</w:t>
      </w:r>
      <w:r>
        <w:rPr>
          <w:rFonts w:hint="eastAsia" w:ascii="宋体" w:hAnsi="宋体" w:eastAsia="宋体" w:cs="Times New Roman"/>
          <w:color w:val="auto"/>
          <w:kern w:val="2"/>
          <w:sz w:val="24"/>
          <w:szCs w:val="32"/>
          <w:highlight w:val="none"/>
          <w:shd w:val="clear" w:color="auto" w:fill="auto"/>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（1）自媒体大V推广</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包括自媒体大V软文（或视频）及其自有资源渠道转发传播。乙方推荐深圳头部自媒体5个，包括但不限于以下自媒体大V：房圳探、淘房前线、苗头、房评深圳、梵高先生、呆呆的咖啡馆等。或全国头部自媒体2个，包括但不限于：卢俊、中国新闻周刊、明源地产研究院、新周刊等。</w:t>
      </w:r>
      <w:r>
        <w:rPr>
          <w:rFonts w:hint="eastAsia" w:ascii="宋体" w:hAnsi="宋体"/>
          <w:color w:val="auto"/>
          <w:kern w:val="0"/>
          <w:sz w:val="24"/>
          <w:szCs w:val="24"/>
          <w:highlight w:val="none"/>
          <w:shd w:val="clear" w:color="auto" w:fill="auto"/>
        </w:rPr>
        <w:t>参选单位需标注前述</w:t>
      </w:r>
      <w:r>
        <w:rPr>
          <w:rFonts w:hint="eastAsia" w:ascii="宋体" w:hAnsi="宋体"/>
          <w:color w:val="auto"/>
          <w:kern w:val="0"/>
          <w:sz w:val="24"/>
          <w:szCs w:val="24"/>
          <w:highlight w:val="none"/>
          <w:shd w:val="clear" w:color="auto" w:fill="auto"/>
          <w:lang w:val="en-US" w:eastAsia="zh-CN"/>
        </w:rPr>
        <w:t>各</w:t>
      </w:r>
      <w:r>
        <w:rPr>
          <w:rFonts w:hint="eastAsia" w:ascii="宋体" w:hAnsi="宋体"/>
          <w:color w:val="auto"/>
          <w:kern w:val="0"/>
          <w:sz w:val="24"/>
          <w:szCs w:val="24"/>
          <w:highlight w:val="none"/>
          <w:shd w:val="clear" w:color="auto" w:fill="auto"/>
        </w:rPr>
        <w:t>家大V的原创软文/短视频发布的单价</w:t>
      </w:r>
      <w:r>
        <w:rPr>
          <w:rFonts w:hint="eastAsia" w:ascii="宋体" w:hAnsi="宋体"/>
          <w:color w:val="auto"/>
          <w:kern w:val="0"/>
          <w:sz w:val="24"/>
          <w:szCs w:val="24"/>
          <w:highlight w:val="none"/>
          <w:shd w:val="clear" w:color="auto" w:fill="auto"/>
          <w:lang w:eastAsia="zh-CN"/>
        </w:rPr>
        <w:t>（</w:t>
      </w:r>
      <w:r>
        <w:rPr>
          <w:rFonts w:hint="eastAsia" w:ascii="宋体" w:hAnsi="宋体"/>
          <w:color w:val="auto"/>
          <w:kern w:val="0"/>
          <w:sz w:val="24"/>
          <w:szCs w:val="24"/>
          <w:highlight w:val="none"/>
          <w:shd w:val="clear" w:color="auto" w:fill="auto"/>
          <w:lang w:val="en-US" w:eastAsia="zh-CN"/>
        </w:rPr>
        <w:t>含该软文/短视频在所属大V自有资源渠道转发传播服务</w:t>
      </w:r>
      <w:r>
        <w:rPr>
          <w:rFonts w:hint="eastAsia" w:ascii="宋体" w:hAnsi="宋体"/>
          <w:color w:val="auto"/>
          <w:kern w:val="0"/>
          <w:sz w:val="24"/>
          <w:szCs w:val="24"/>
          <w:highlight w:val="none"/>
          <w:shd w:val="clear" w:color="auto" w:fill="auto"/>
          <w:lang w:eastAsia="zh-CN"/>
        </w:rPr>
        <w:t>）</w:t>
      </w:r>
      <w:r>
        <w:rPr>
          <w:rFonts w:hint="eastAsia" w:ascii="宋体" w:hAnsi="宋体"/>
          <w:color w:val="auto"/>
          <w:kern w:val="0"/>
          <w:sz w:val="24"/>
          <w:szCs w:val="24"/>
          <w:highlight w:val="none"/>
          <w:shd w:val="clear" w:color="auto" w:fill="auto"/>
        </w:rPr>
        <w:t>，并推荐其中</w:t>
      </w:r>
      <w:r>
        <w:rPr>
          <w:rFonts w:hint="eastAsia" w:ascii="宋体" w:hAnsi="宋体"/>
          <w:color w:val="auto"/>
          <w:kern w:val="0"/>
          <w:sz w:val="24"/>
          <w:szCs w:val="24"/>
          <w:highlight w:val="none"/>
          <w:shd w:val="clear" w:color="auto" w:fill="auto"/>
          <w:lang w:val="en-US" w:eastAsia="zh-CN"/>
        </w:rPr>
        <w:t>深圳头部自媒体5家，全国头部自媒体2家</w:t>
      </w:r>
      <w:r>
        <w:rPr>
          <w:rFonts w:hint="eastAsia" w:ascii="宋体" w:hAnsi="宋体"/>
          <w:color w:val="auto"/>
          <w:kern w:val="0"/>
          <w:sz w:val="24"/>
          <w:szCs w:val="24"/>
          <w:highlight w:val="none"/>
          <w:shd w:val="clear" w:color="auto" w:fill="auto"/>
        </w:rPr>
        <w:t>供甲方使用。</w:t>
      </w:r>
      <w:r>
        <w:rPr>
          <w:rFonts w:hint="eastAsia" w:ascii="宋体" w:hAnsi="宋体" w:eastAsia="宋体" w:cs="Times New Roman"/>
          <w:color w:val="auto"/>
          <w:kern w:val="2"/>
          <w:sz w:val="24"/>
          <w:szCs w:val="32"/>
          <w:highlight w:val="none"/>
          <w:shd w:val="clear" w:color="auto" w:fill="auto"/>
          <w:lang w:val="en-US" w:eastAsia="zh-CN" w:bidi="ar-SA"/>
        </w:rPr>
        <w:t>甲方可根据实际需求在同级别范围内调整投放渠道，</w:t>
      </w:r>
      <w:r>
        <w:rPr>
          <w:rFonts w:hint="eastAsia" w:ascii="宋体" w:hAnsi="宋体" w:cs="Times New Roman"/>
          <w:color w:val="auto"/>
          <w:kern w:val="2"/>
          <w:sz w:val="24"/>
          <w:szCs w:val="32"/>
          <w:highlight w:val="none"/>
          <w:shd w:val="clear" w:color="auto" w:fill="auto"/>
          <w:lang w:val="en-US" w:eastAsia="zh-CN" w:bidi="ar-SA"/>
        </w:rPr>
        <w:t>据实结算，</w:t>
      </w:r>
      <w:r>
        <w:rPr>
          <w:rFonts w:hint="eastAsia" w:ascii="宋体" w:hAnsi="宋体"/>
          <w:color w:val="auto"/>
          <w:kern w:val="0"/>
          <w:sz w:val="24"/>
          <w:szCs w:val="24"/>
          <w:highlight w:val="none"/>
          <w:shd w:val="clear" w:color="auto" w:fill="auto"/>
        </w:rPr>
        <w:t>结算价不超过推荐总价。</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（2）原创深度报道及主流媒体通稿</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乙方推荐全国性头部媒体进行深度报道1篇，在以下媒体中选择一家开展：21世纪经济报道、第一财经、每日经济新闻、界面、时代财经、和讯、经济观察报、经济日报、央视财经、中新经纬、证券时报、中国经营报、华夏时报。</w:t>
      </w:r>
      <w:r>
        <w:rPr>
          <w:rFonts w:hint="eastAsia" w:ascii="宋体" w:hAnsi="宋体"/>
          <w:color w:val="auto"/>
          <w:kern w:val="0"/>
          <w:sz w:val="24"/>
          <w:szCs w:val="24"/>
          <w:highlight w:val="none"/>
          <w:shd w:val="clear" w:color="auto" w:fill="auto"/>
        </w:rPr>
        <w:t>参选单位需标注前述</w:t>
      </w:r>
      <w:r>
        <w:rPr>
          <w:rFonts w:hint="eastAsia" w:ascii="宋体" w:hAnsi="宋体"/>
          <w:color w:val="auto"/>
          <w:kern w:val="0"/>
          <w:sz w:val="24"/>
          <w:szCs w:val="24"/>
          <w:highlight w:val="none"/>
          <w:shd w:val="clear" w:color="auto" w:fill="auto"/>
          <w:lang w:val="en-US" w:eastAsia="zh-CN"/>
        </w:rPr>
        <w:t>各</w:t>
      </w:r>
      <w:r>
        <w:rPr>
          <w:rFonts w:hint="eastAsia" w:ascii="宋体" w:hAnsi="宋体"/>
          <w:color w:val="auto"/>
          <w:kern w:val="0"/>
          <w:sz w:val="24"/>
          <w:szCs w:val="24"/>
          <w:highlight w:val="none"/>
          <w:shd w:val="clear" w:color="auto" w:fill="auto"/>
        </w:rPr>
        <w:t>家</w:t>
      </w:r>
      <w:r>
        <w:rPr>
          <w:rFonts w:hint="eastAsia" w:ascii="宋体" w:hAnsi="宋体"/>
          <w:color w:val="auto"/>
          <w:kern w:val="0"/>
          <w:sz w:val="24"/>
          <w:szCs w:val="24"/>
          <w:highlight w:val="none"/>
          <w:shd w:val="clear" w:color="auto" w:fill="auto"/>
          <w:lang w:val="en-US" w:eastAsia="zh-CN"/>
        </w:rPr>
        <w:t>媒体</w:t>
      </w:r>
      <w:r>
        <w:rPr>
          <w:rFonts w:hint="eastAsia" w:ascii="宋体" w:hAnsi="宋体"/>
          <w:color w:val="auto"/>
          <w:kern w:val="0"/>
          <w:sz w:val="24"/>
          <w:szCs w:val="24"/>
          <w:highlight w:val="none"/>
          <w:shd w:val="clear" w:color="auto" w:fill="auto"/>
        </w:rPr>
        <w:t>的</w:t>
      </w:r>
      <w:r>
        <w:rPr>
          <w:rFonts w:hint="eastAsia" w:ascii="宋体" w:hAnsi="宋体"/>
          <w:color w:val="auto"/>
          <w:kern w:val="0"/>
          <w:sz w:val="24"/>
          <w:szCs w:val="24"/>
          <w:highlight w:val="none"/>
          <w:shd w:val="clear" w:color="auto" w:fill="auto"/>
          <w:lang w:val="en-US" w:eastAsia="zh-CN"/>
        </w:rPr>
        <w:t>深度报道</w:t>
      </w:r>
      <w:r>
        <w:rPr>
          <w:rFonts w:hint="eastAsia" w:ascii="宋体" w:hAnsi="宋体"/>
          <w:color w:val="auto"/>
          <w:kern w:val="0"/>
          <w:sz w:val="24"/>
          <w:szCs w:val="24"/>
          <w:highlight w:val="none"/>
          <w:shd w:val="clear" w:color="auto" w:fill="auto"/>
        </w:rPr>
        <w:t>发布的单价，并推荐其中</w:t>
      </w:r>
      <w:r>
        <w:rPr>
          <w:rFonts w:hint="eastAsia" w:ascii="宋体" w:hAnsi="宋体"/>
          <w:color w:val="auto"/>
          <w:kern w:val="0"/>
          <w:sz w:val="24"/>
          <w:szCs w:val="24"/>
          <w:highlight w:val="none"/>
          <w:shd w:val="clear" w:color="auto" w:fill="auto"/>
          <w:lang w:val="en-US" w:eastAsia="zh-CN"/>
        </w:rPr>
        <w:t>1家供甲方使用</w:t>
      </w:r>
      <w:r>
        <w:rPr>
          <w:rFonts w:hint="eastAsia" w:ascii="宋体" w:hAnsi="宋体"/>
          <w:color w:val="auto"/>
          <w:kern w:val="0"/>
          <w:sz w:val="24"/>
          <w:szCs w:val="24"/>
          <w:highlight w:val="none"/>
          <w:shd w:val="clear" w:color="auto" w:fill="auto"/>
        </w:rPr>
        <w:t>。</w:t>
      </w:r>
      <w:r>
        <w:rPr>
          <w:rFonts w:hint="eastAsia" w:ascii="宋体" w:hAnsi="宋体" w:eastAsia="宋体" w:cs="Times New Roman"/>
          <w:color w:val="auto"/>
          <w:kern w:val="2"/>
          <w:sz w:val="24"/>
          <w:szCs w:val="32"/>
          <w:highlight w:val="none"/>
          <w:shd w:val="clear" w:color="auto" w:fill="auto"/>
          <w:lang w:val="en-US" w:eastAsia="zh-CN" w:bidi="ar-SA"/>
        </w:rPr>
        <w:t>甲方可根据实际需求在同级别范围内调整投放渠道，</w:t>
      </w:r>
      <w:r>
        <w:rPr>
          <w:rFonts w:hint="eastAsia" w:ascii="宋体" w:hAnsi="宋体" w:cs="Times New Roman"/>
          <w:color w:val="auto"/>
          <w:kern w:val="2"/>
          <w:sz w:val="24"/>
          <w:szCs w:val="32"/>
          <w:highlight w:val="none"/>
          <w:shd w:val="clear" w:color="auto" w:fill="auto"/>
          <w:lang w:val="en-US" w:eastAsia="zh-CN" w:bidi="ar-SA"/>
        </w:rPr>
        <w:t>据实结算，</w:t>
      </w:r>
      <w:r>
        <w:rPr>
          <w:rFonts w:hint="eastAsia" w:ascii="宋体" w:hAnsi="宋体"/>
          <w:color w:val="auto"/>
          <w:kern w:val="0"/>
          <w:sz w:val="24"/>
          <w:szCs w:val="24"/>
          <w:highlight w:val="none"/>
          <w:shd w:val="clear" w:color="auto" w:fill="auto"/>
        </w:rPr>
        <w:t>结算价不超过推荐总价。</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 xml:space="preserve">  乙方推荐全国性头部媒体共计一百家以上进行通稿转发，包括但不限于：新华网客户端、人民网、人民日报经济网、中国日报网、新华报业网、央广网、光明网、环球网、中国文化报、南方日报、广州日报、南方都市报、凤凰网、网易新闻、搜狐网、新浪网等。甲方可根据实际需求在同级别类媒体中进行调整，价格不变。</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（3）硬广推广</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乙方推荐全国性头部媒体的硬广投放，在以下媒体中选择一家开展：21世纪经济报道、第一财经、每日经济新闻、界面、财新、时代财经、经济日报、央视财经。需包含客户端开屏广告、首页</w:t>
      </w:r>
      <w:r>
        <w:rPr>
          <w:rFonts w:hint="eastAsia" w:ascii="宋体" w:hAnsi="宋体" w:cs="Times New Roman"/>
          <w:color w:val="auto"/>
          <w:kern w:val="2"/>
          <w:sz w:val="24"/>
          <w:szCs w:val="32"/>
          <w:highlight w:val="none"/>
          <w:shd w:val="clear" w:color="auto" w:fill="auto"/>
          <w:lang w:val="en-US" w:eastAsia="zh-CN" w:bidi="ar-SA"/>
        </w:rPr>
        <w:t>第一</w:t>
      </w:r>
      <w:r>
        <w:rPr>
          <w:rFonts w:hint="eastAsia" w:ascii="宋体" w:hAnsi="宋体" w:eastAsia="宋体" w:cs="Times New Roman"/>
          <w:color w:val="auto"/>
          <w:kern w:val="2"/>
          <w:sz w:val="24"/>
          <w:szCs w:val="32"/>
          <w:highlight w:val="none"/>
          <w:shd w:val="clear" w:color="auto" w:fill="auto"/>
          <w:lang w:val="en-US" w:eastAsia="zh-CN" w:bidi="ar-SA"/>
        </w:rPr>
        <w:t>焦点图等。甲方可根据实际需求在同级别类媒体中进行调整，价格不变。</w:t>
      </w:r>
      <w:r>
        <w:rPr>
          <w:rFonts w:hint="eastAsia" w:ascii="宋体" w:hAnsi="宋体"/>
          <w:color w:val="auto"/>
          <w:kern w:val="0"/>
          <w:sz w:val="24"/>
          <w:szCs w:val="24"/>
          <w:highlight w:val="none"/>
          <w:shd w:val="clear" w:color="auto" w:fill="auto"/>
        </w:rPr>
        <w:t>参选单位需标注前述</w:t>
      </w:r>
      <w:r>
        <w:rPr>
          <w:rFonts w:hint="eastAsia" w:ascii="宋体" w:hAnsi="宋体"/>
          <w:color w:val="auto"/>
          <w:kern w:val="0"/>
          <w:sz w:val="24"/>
          <w:szCs w:val="24"/>
          <w:highlight w:val="none"/>
          <w:shd w:val="clear" w:color="auto" w:fill="auto"/>
          <w:lang w:val="en-US" w:eastAsia="zh-CN"/>
        </w:rPr>
        <w:t>各</w:t>
      </w:r>
      <w:r>
        <w:rPr>
          <w:rFonts w:hint="eastAsia" w:ascii="宋体" w:hAnsi="宋体"/>
          <w:color w:val="auto"/>
          <w:kern w:val="0"/>
          <w:sz w:val="24"/>
          <w:szCs w:val="24"/>
          <w:highlight w:val="none"/>
          <w:shd w:val="clear" w:color="auto" w:fill="auto"/>
        </w:rPr>
        <w:t>家</w:t>
      </w:r>
      <w:r>
        <w:rPr>
          <w:rFonts w:hint="eastAsia" w:ascii="宋体" w:hAnsi="宋体"/>
          <w:color w:val="auto"/>
          <w:kern w:val="0"/>
          <w:sz w:val="24"/>
          <w:szCs w:val="24"/>
          <w:highlight w:val="none"/>
          <w:shd w:val="clear" w:color="auto" w:fill="auto"/>
          <w:lang w:val="en-US" w:eastAsia="zh-CN"/>
        </w:rPr>
        <w:t>媒体开屏广告以及首页第一焦点图广告位</w:t>
      </w:r>
      <w:r>
        <w:rPr>
          <w:rFonts w:hint="eastAsia" w:ascii="宋体" w:hAnsi="宋体"/>
          <w:color w:val="auto"/>
          <w:kern w:val="0"/>
          <w:sz w:val="24"/>
          <w:szCs w:val="24"/>
          <w:highlight w:val="none"/>
          <w:shd w:val="clear" w:color="auto" w:fill="auto"/>
        </w:rPr>
        <w:t>单价，并推荐其中</w:t>
      </w:r>
      <w:r>
        <w:rPr>
          <w:rFonts w:hint="eastAsia" w:ascii="宋体" w:hAnsi="宋体"/>
          <w:color w:val="auto"/>
          <w:kern w:val="0"/>
          <w:sz w:val="24"/>
          <w:szCs w:val="24"/>
          <w:highlight w:val="none"/>
          <w:shd w:val="clear" w:color="auto" w:fill="auto"/>
          <w:lang w:val="en-US" w:eastAsia="zh-CN"/>
        </w:rPr>
        <w:t>1家供甲方使用</w:t>
      </w:r>
      <w:r>
        <w:rPr>
          <w:rFonts w:hint="eastAsia" w:ascii="宋体" w:hAnsi="宋体"/>
          <w:color w:val="auto"/>
          <w:kern w:val="0"/>
          <w:sz w:val="24"/>
          <w:szCs w:val="24"/>
          <w:highlight w:val="none"/>
          <w:shd w:val="clear" w:color="auto" w:fill="auto"/>
        </w:rPr>
        <w:t>。</w:t>
      </w:r>
      <w:r>
        <w:rPr>
          <w:rFonts w:hint="eastAsia" w:ascii="宋体" w:hAnsi="宋体" w:eastAsia="宋体" w:cs="Times New Roman"/>
          <w:color w:val="auto"/>
          <w:kern w:val="2"/>
          <w:sz w:val="24"/>
          <w:szCs w:val="32"/>
          <w:highlight w:val="none"/>
          <w:shd w:val="clear" w:color="auto" w:fill="auto"/>
          <w:lang w:val="en-US" w:eastAsia="zh-CN" w:bidi="ar-SA"/>
        </w:rPr>
        <w:t>甲方可根据实际需求在同级别范围内调整投放渠道，</w:t>
      </w:r>
      <w:r>
        <w:rPr>
          <w:rFonts w:hint="eastAsia" w:ascii="宋体" w:hAnsi="宋体" w:cs="Times New Roman"/>
          <w:color w:val="auto"/>
          <w:kern w:val="2"/>
          <w:sz w:val="24"/>
          <w:szCs w:val="32"/>
          <w:highlight w:val="none"/>
          <w:shd w:val="clear" w:color="auto" w:fill="auto"/>
          <w:lang w:val="en-US" w:eastAsia="zh-CN" w:bidi="ar-SA"/>
        </w:rPr>
        <w:t>据实结算，</w:t>
      </w:r>
      <w:r>
        <w:rPr>
          <w:rFonts w:hint="eastAsia" w:ascii="宋体" w:hAnsi="宋体"/>
          <w:color w:val="auto"/>
          <w:kern w:val="0"/>
          <w:sz w:val="24"/>
          <w:szCs w:val="24"/>
          <w:highlight w:val="none"/>
          <w:shd w:val="clear" w:color="auto" w:fill="auto"/>
        </w:rPr>
        <w:t>结算价不超过推荐总价。</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（4）关于TOD综合开发模式研究及推广</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乙方推荐相关院校或研究机构对“轨道+物业”模式进行研究，并形成研究成果，进行相关推广。</w:t>
      </w:r>
    </w:p>
    <w:p>
      <w:pPr>
        <w:pStyle w:val="47"/>
        <w:rPr>
          <w:rFonts w:hint="eastAsia"/>
          <w:color w:val="auto"/>
          <w:highlight w:val="none"/>
          <w:shd w:val="clear" w:color="auto" w:fill="auto"/>
          <w:lang w:val="en-US" w:eastAsia="zh-CN"/>
        </w:rPr>
      </w:pPr>
    </w:p>
    <w:p>
      <w:pPr>
        <w:pStyle w:val="24"/>
        <w:snapToGrid w:val="0"/>
        <w:spacing w:line="336" w:lineRule="auto"/>
        <w:ind w:firstLine="482" w:firstLineChars="200"/>
        <w:rPr>
          <w:rFonts w:hAnsi="宋体"/>
          <w:b/>
          <w:color w:val="auto"/>
          <w:kern w:val="2"/>
          <w:sz w:val="24"/>
          <w:szCs w:val="24"/>
          <w:highlight w:val="none"/>
          <w:shd w:val="clear" w:color="auto" w:fill="auto"/>
        </w:rPr>
      </w:pPr>
      <w:r>
        <w:rPr>
          <w:rFonts w:hint="eastAsia" w:hAnsi="宋体"/>
          <w:b/>
          <w:color w:val="auto"/>
          <w:sz w:val="24"/>
          <w:szCs w:val="24"/>
          <w:highlight w:val="none"/>
          <w:shd w:val="clear" w:color="auto" w:fill="auto"/>
        </w:rPr>
        <w:t>四、比选控制价格</w:t>
      </w:r>
    </w:p>
    <w:p>
      <w:pPr>
        <w:pStyle w:val="24"/>
        <w:tabs>
          <w:tab w:val="right" w:pos="9026"/>
        </w:tabs>
        <w:snapToGrid w:val="0"/>
        <w:spacing w:line="336" w:lineRule="auto"/>
        <w:ind w:firstLine="480" w:firstLineChars="200"/>
        <w:rPr>
          <w:rFonts w:hAnsi="宋体"/>
          <w:color w:val="auto"/>
          <w:sz w:val="24"/>
          <w:szCs w:val="24"/>
          <w:highlight w:val="none"/>
          <w:shd w:val="clear" w:color="auto" w:fill="auto"/>
        </w:rPr>
      </w:pPr>
      <w:r>
        <w:rPr>
          <w:rFonts w:hint="eastAsia" w:hAnsi="宋体"/>
          <w:color w:val="auto"/>
          <w:sz w:val="24"/>
          <w:szCs w:val="24"/>
          <w:highlight w:val="none"/>
          <w:shd w:val="clear" w:color="auto" w:fill="auto"/>
        </w:rPr>
        <w:t>本次比选报价总费用最高限价为人民币</w:t>
      </w:r>
      <w:r>
        <w:rPr>
          <w:rFonts w:hint="eastAsia" w:hAnsi="宋体"/>
          <w:color w:val="auto"/>
          <w:sz w:val="24"/>
          <w:szCs w:val="24"/>
          <w:highlight w:val="none"/>
          <w:shd w:val="clear" w:color="auto" w:fill="auto"/>
          <w:lang w:val="en-US" w:eastAsia="zh-CN"/>
        </w:rPr>
        <w:t>377.4</w:t>
      </w:r>
      <w:r>
        <w:rPr>
          <w:rFonts w:hint="eastAsia" w:hAnsi="宋体"/>
          <w:color w:val="auto"/>
          <w:sz w:val="24"/>
          <w:szCs w:val="24"/>
          <w:highlight w:val="none"/>
          <w:shd w:val="clear" w:color="auto" w:fill="auto"/>
        </w:rPr>
        <w:t>万元（含税），参选人报价不能超过本次比选总上限价及每个项目最高限价，具体细项最高限价详见下表（万元，含税）：</w:t>
      </w:r>
    </w:p>
    <w:p>
      <w:pPr>
        <w:pStyle w:val="24"/>
        <w:tabs>
          <w:tab w:val="right" w:pos="9026"/>
        </w:tabs>
        <w:snapToGrid w:val="0"/>
        <w:spacing w:line="336" w:lineRule="auto"/>
        <w:ind w:firstLine="480" w:firstLineChars="200"/>
        <w:rPr>
          <w:rFonts w:hint="eastAsia" w:hAnsi="宋体"/>
          <w:color w:val="auto"/>
          <w:sz w:val="24"/>
          <w:szCs w:val="24"/>
          <w:highlight w:val="none"/>
          <w:shd w:val="clear" w:color="auto" w:fill="auto"/>
        </w:rPr>
      </w:pPr>
      <w:r>
        <w:rPr>
          <w:rFonts w:hint="eastAsia" w:hAnsi="宋体"/>
          <w:color w:val="auto"/>
          <w:sz w:val="24"/>
          <w:szCs w:val="24"/>
          <w:highlight w:val="none"/>
          <w:shd w:val="clear" w:color="auto" w:fill="auto"/>
        </w:rPr>
        <w:t>【注：各项具体细项的最终报价均不能超过以下细项最高限价】</w:t>
      </w:r>
    </w:p>
    <w:tbl>
      <w:tblPr>
        <w:tblStyle w:val="48"/>
        <w:tblW w:w="7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1524"/>
        <w:gridCol w:w="3215"/>
        <w:gridCol w:w="2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序号</w:t>
            </w:r>
          </w:p>
        </w:tc>
        <w:tc>
          <w:tcPr>
            <w:tcW w:w="152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分类</w:t>
            </w:r>
          </w:p>
        </w:tc>
        <w:tc>
          <w:tcPr>
            <w:tcW w:w="3215"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xml:space="preserve">细项    </w:t>
            </w:r>
          </w:p>
        </w:tc>
        <w:tc>
          <w:tcPr>
            <w:tcW w:w="2385"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控制价（万元，含税）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152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场地租赁</w:t>
            </w:r>
          </w:p>
        </w:tc>
        <w:tc>
          <w:tcPr>
            <w:tcW w:w="3215"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场地租赁</w:t>
            </w:r>
          </w:p>
        </w:tc>
        <w:tc>
          <w:tcPr>
            <w:tcW w:w="2385"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22.4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7" w:hRule="atLeast"/>
          <w:jc w:val="center"/>
        </w:trPr>
        <w:tc>
          <w:tcPr>
            <w:tcW w:w="794" w:type="dxa"/>
            <w:vMerge w:val="restart"/>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1524" w:type="dxa"/>
            <w:vMerge w:val="restart"/>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活动部分</w:t>
            </w:r>
          </w:p>
        </w:tc>
        <w:tc>
          <w:tcPr>
            <w:tcW w:w="3215"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KOL邀请</w:t>
            </w:r>
          </w:p>
        </w:tc>
        <w:tc>
          <w:tcPr>
            <w:tcW w:w="2385"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4"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1524"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3215"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活动执行</w:t>
            </w:r>
          </w:p>
        </w:tc>
        <w:tc>
          <w:tcPr>
            <w:tcW w:w="2385"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4"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1524"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3215"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小计</w:t>
            </w:r>
          </w:p>
        </w:tc>
        <w:tc>
          <w:tcPr>
            <w:tcW w:w="2385"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4"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w:t>
            </w:r>
          </w:p>
        </w:tc>
        <w:tc>
          <w:tcPr>
            <w:tcW w:w="152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影视片</w:t>
            </w:r>
          </w:p>
        </w:tc>
        <w:tc>
          <w:tcPr>
            <w:tcW w:w="3215"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影视片</w:t>
            </w:r>
          </w:p>
        </w:tc>
        <w:tc>
          <w:tcPr>
            <w:tcW w:w="2385"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4" w:type="dxa"/>
            <w:vMerge w:val="restart"/>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4</w:t>
            </w:r>
          </w:p>
        </w:tc>
        <w:tc>
          <w:tcPr>
            <w:tcW w:w="1524" w:type="dxa"/>
            <w:vMerge w:val="restart"/>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宣传推广</w:t>
            </w:r>
          </w:p>
        </w:tc>
        <w:tc>
          <w:tcPr>
            <w:tcW w:w="3215" w:type="dxa"/>
            <w:noWrap w:val="0"/>
            <w:vAlign w:val="center"/>
          </w:tcPr>
          <w:p>
            <w:pPr>
              <w:pStyle w:val="47"/>
              <w:spacing w:line="240" w:lineRule="exact"/>
              <w:ind w:left="540" w:leftChars="257" w:firstLine="0" w:firstLineChars="0"/>
              <w:jc w:val="center"/>
              <w:rPr>
                <w:rFonts w:hint="eastAsia" w:ascii="宋体" w:hAnsi="宋体" w:cs="宋体"/>
                <w:color w:val="auto"/>
                <w:kern w:val="0"/>
                <w:sz w:val="18"/>
                <w:szCs w:val="20"/>
                <w:highlight w:val="none"/>
                <w:shd w:val="clear" w:color="auto" w:fill="auto"/>
              </w:rPr>
            </w:pPr>
            <w:r>
              <w:rPr>
                <w:rFonts w:hint="eastAsia"/>
                <w:color w:val="auto"/>
                <w:sz w:val="22"/>
                <w:szCs w:val="22"/>
                <w:shd w:val="clear" w:color="auto" w:fill="auto"/>
                <w:lang w:val="en-US" w:eastAsia="zh-CN"/>
              </w:rPr>
              <w:t>自媒体大V推广</w:t>
            </w:r>
          </w:p>
        </w:tc>
        <w:tc>
          <w:tcPr>
            <w:tcW w:w="2385"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794"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524"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3215" w:type="dxa"/>
            <w:noWrap w:val="0"/>
            <w:vAlign w:val="center"/>
          </w:tcPr>
          <w:p>
            <w:pPr>
              <w:pStyle w:val="47"/>
              <w:spacing w:line="240" w:lineRule="exact"/>
              <w:ind w:left="540" w:leftChars="257" w:firstLine="0" w:firstLineChars="0"/>
              <w:jc w:val="center"/>
              <w:rPr>
                <w:rFonts w:hint="eastAsia" w:ascii="宋体" w:hAnsi="宋体" w:cs="宋体"/>
                <w:color w:val="auto"/>
                <w:kern w:val="0"/>
                <w:sz w:val="18"/>
                <w:szCs w:val="20"/>
                <w:highlight w:val="none"/>
                <w:shd w:val="clear" w:color="auto" w:fill="auto"/>
                <w:lang w:val="en-US" w:eastAsia="zh-CN"/>
              </w:rPr>
            </w:pPr>
            <w:r>
              <w:rPr>
                <w:rFonts w:hint="eastAsia"/>
                <w:color w:val="auto"/>
                <w:sz w:val="22"/>
                <w:szCs w:val="22"/>
                <w:shd w:val="clear" w:color="auto" w:fill="auto"/>
                <w:lang w:val="en-US" w:eastAsia="zh-CN"/>
              </w:rPr>
              <w:t>原创深度报道及主流媒体通稿、硬广推广</w:t>
            </w:r>
          </w:p>
        </w:tc>
        <w:tc>
          <w:tcPr>
            <w:tcW w:w="2385"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4" w:type="dxa"/>
            <w:vMerge w:val="continue"/>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p>
        </w:tc>
        <w:tc>
          <w:tcPr>
            <w:tcW w:w="1524"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3215"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关于TOD综合开发模式研究</w:t>
            </w:r>
          </w:p>
        </w:tc>
        <w:tc>
          <w:tcPr>
            <w:tcW w:w="2385"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4"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1524"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3215"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小计</w:t>
            </w:r>
          </w:p>
        </w:tc>
        <w:tc>
          <w:tcPr>
            <w:tcW w:w="2385"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5533" w:type="dxa"/>
            <w:gridSpan w:val="3"/>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合计</w:t>
            </w:r>
          </w:p>
        </w:tc>
        <w:tc>
          <w:tcPr>
            <w:tcW w:w="2385"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377.4</w:t>
            </w:r>
          </w:p>
        </w:tc>
      </w:tr>
    </w:tbl>
    <w:p>
      <w:pPr>
        <w:pStyle w:val="24"/>
        <w:tabs>
          <w:tab w:val="right" w:pos="9026"/>
        </w:tabs>
        <w:snapToGrid w:val="0"/>
        <w:spacing w:line="336" w:lineRule="auto"/>
        <w:rPr>
          <w:rFonts w:hAnsi="宋体"/>
          <w:color w:val="auto"/>
          <w:sz w:val="24"/>
          <w:szCs w:val="24"/>
          <w:highlight w:val="none"/>
          <w:shd w:val="clear" w:color="auto" w:fill="auto"/>
        </w:rPr>
      </w:pPr>
    </w:p>
    <w:p>
      <w:pPr>
        <w:pStyle w:val="24"/>
        <w:snapToGrid w:val="0"/>
        <w:spacing w:line="336" w:lineRule="auto"/>
        <w:ind w:firstLine="482" w:firstLineChars="200"/>
        <w:rPr>
          <w:rFonts w:hAnsi="宋体"/>
          <w:b/>
          <w:color w:val="auto"/>
          <w:sz w:val="24"/>
          <w:szCs w:val="24"/>
          <w:highlight w:val="none"/>
          <w:shd w:val="clear" w:color="auto" w:fill="auto"/>
        </w:rPr>
      </w:pPr>
      <w:r>
        <w:rPr>
          <w:rFonts w:hint="eastAsia" w:hAnsi="宋体"/>
          <w:b/>
          <w:color w:val="auto"/>
          <w:sz w:val="24"/>
          <w:szCs w:val="24"/>
          <w:highlight w:val="none"/>
          <w:shd w:val="clear" w:color="auto" w:fill="auto"/>
        </w:rPr>
        <w:t>五、参选人资格要求</w:t>
      </w:r>
    </w:p>
    <w:p>
      <w:pPr>
        <w:pStyle w:val="47"/>
        <w:spacing w:line="336" w:lineRule="auto"/>
        <w:ind w:firstLine="480"/>
        <w:rPr>
          <w:rFonts w:hAnsi="宋体"/>
          <w:color w:val="auto"/>
          <w:sz w:val="24"/>
          <w:highlight w:val="none"/>
          <w:shd w:val="clear" w:color="auto" w:fill="auto"/>
        </w:rPr>
      </w:pPr>
      <w:bookmarkStart w:id="17" w:name="baidusnap4"/>
      <w:bookmarkEnd w:id="17"/>
      <w:bookmarkStart w:id="18" w:name="baidusnap0"/>
      <w:bookmarkEnd w:id="18"/>
      <w:bookmarkStart w:id="19" w:name="baidusnap1"/>
      <w:bookmarkEnd w:id="19"/>
      <w:bookmarkStart w:id="20" w:name="baidusnap7"/>
      <w:bookmarkEnd w:id="20"/>
      <w:r>
        <w:rPr>
          <w:rFonts w:hint="eastAsia" w:hAnsi="宋体"/>
          <w:color w:val="auto"/>
          <w:sz w:val="24"/>
          <w:highlight w:val="none"/>
          <w:shd w:val="clear" w:color="auto" w:fill="auto"/>
        </w:rPr>
        <w:t>（一）参选人资质要求：参选人必须是中华人民共和国境内注册的法人或非法人组织，注册成立时间不得晚于2018年1月1日。</w:t>
      </w:r>
    </w:p>
    <w:p>
      <w:pPr>
        <w:pStyle w:val="47"/>
        <w:spacing w:line="336" w:lineRule="auto"/>
        <w:ind w:firstLine="480"/>
        <w:rPr>
          <w:rFonts w:hAnsi="宋体"/>
          <w:color w:val="auto"/>
          <w:sz w:val="24"/>
          <w:highlight w:val="none"/>
          <w:shd w:val="clear" w:color="auto" w:fill="auto"/>
        </w:rPr>
      </w:pPr>
      <w:r>
        <w:rPr>
          <w:rFonts w:hint="eastAsia" w:hAnsi="宋体"/>
          <w:color w:val="auto"/>
          <w:sz w:val="24"/>
          <w:highlight w:val="none"/>
          <w:shd w:val="clear" w:color="auto" w:fill="auto"/>
        </w:rPr>
        <w:t>（二）参选人业绩要求：2019年1月1日至今，服务全国50强或深圳20强房地产开发公司品牌（全国50强排名参考2019年-2021年中指研究院或易居克尔瑞数据，深圳20强排名参考2019-2021年深圳房协数据）在北上广深一线城市的房地产项目营销活动，且活动金额在50万元以上的案例不少于2个。（一场活动算一个案例）</w:t>
      </w:r>
    </w:p>
    <w:p>
      <w:pPr>
        <w:snapToGrid w:val="0"/>
        <w:spacing w:line="360" w:lineRule="auto"/>
        <w:ind w:left="420" w:leftChars="200" w:firstLine="480" w:firstLineChars="200"/>
        <w:rPr>
          <w:rFonts w:ascii="宋体" w:hAnsi="宋体"/>
          <w:snapToGrid w:val="0"/>
          <w:color w:val="auto"/>
          <w:sz w:val="24"/>
          <w:szCs w:val="24"/>
          <w:highlight w:val="none"/>
          <w:shd w:val="clear" w:color="auto" w:fill="auto"/>
        </w:rPr>
      </w:pPr>
      <w:r>
        <w:rPr>
          <w:rFonts w:hint="eastAsia" w:ascii="宋体" w:hAnsi="宋体"/>
          <w:snapToGrid w:val="0"/>
          <w:color w:val="auto"/>
          <w:sz w:val="24"/>
          <w:szCs w:val="24"/>
          <w:highlight w:val="none"/>
          <w:shd w:val="clear" w:color="auto" w:fill="auto"/>
        </w:rPr>
        <w:t>（三）参选人不被接受情况如下：</w:t>
      </w:r>
    </w:p>
    <w:p>
      <w:pPr>
        <w:numPr>
          <w:ilvl w:val="0"/>
          <w:numId w:val="7"/>
        </w:numPr>
        <w:snapToGrid w:val="0"/>
        <w:spacing w:line="360" w:lineRule="auto"/>
        <w:ind w:left="420" w:leftChars="200" w:firstLine="636" w:firstLineChars="265"/>
        <w:rPr>
          <w:rFonts w:ascii="宋体" w:hAnsi="宋体"/>
          <w:snapToGrid w:val="0"/>
          <w:color w:val="auto"/>
          <w:sz w:val="24"/>
          <w:szCs w:val="24"/>
          <w:highlight w:val="none"/>
          <w:shd w:val="clear" w:color="auto" w:fill="auto"/>
        </w:rPr>
      </w:pPr>
      <w:r>
        <w:rPr>
          <w:rFonts w:hint="eastAsia" w:ascii="宋体" w:hAnsi="宋体"/>
          <w:color w:val="auto"/>
          <w:sz w:val="24"/>
          <w:szCs w:val="32"/>
          <w:highlight w:val="none"/>
          <w:shd w:val="clear" w:color="auto" w:fill="auto"/>
        </w:rPr>
        <w:t>自截标三年</w:t>
      </w:r>
      <w:r>
        <w:rPr>
          <w:rFonts w:hint="eastAsia" w:ascii="宋体" w:hAnsi="宋体"/>
          <w:snapToGrid w:val="0"/>
          <w:color w:val="auto"/>
          <w:sz w:val="24"/>
          <w:szCs w:val="24"/>
          <w:highlight w:val="none"/>
          <w:shd w:val="clear" w:color="auto" w:fill="auto"/>
        </w:rPr>
        <w:t>以来，因串通参选不良行为记录或涉嫌串通参选，正在接受城市主管部门调查的参选人；在招参选（询价）活动（包括在深圳地铁项目）中因串通参选（报价）被暂停参选（报价）资格期间的参选人；与深圳市地铁集团有限公司或其下属直管单位有过诉讼、仲裁史，且其诉讼请求、仲裁申请没有被法院、仲裁庭支持的参选人；正在与深圳市地铁集团有限公司或其下属单位进行诉讼、仲裁，且在截标前未达成和解或纠纷化解的的参选人。</w:t>
      </w:r>
    </w:p>
    <w:p>
      <w:pPr>
        <w:numPr>
          <w:ilvl w:val="0"/>
          <w:numId w:val="7"/>
        </w:numPr>
        <w:snapToGrid w:val="0"/>
        <w:spacing w:line="360" w:lineRule="auto"/>
        <w:ind w:left="420" w:leftChars="200" w:firstLine="636" w:firstLineChars="265"/>
        <w:rPr>
          <w:rFonts w:ascii="宋体" w:hAnsi="宋体"/>
          <w:snapToGrid w:val="0"/>
          <w:color w:val="auto"/>
          <w:sz w:val="24"/>
          <w:szCs w:val="24"/>
          <w:highlight w:val="none"/>
          <w:shd w:val="clear" w:color="auto" w:fill="auto"/>
        </w:rPr>
      </w:pPr>
      <w:r>
        <w:rPr>
          <w:rFonts w:hint="eastAsia" w:ascii="宋体" w:hAnsi="宋体"/>
          <w:snapToGrid w:val="0"/>
          <w:color w:val="auto"/>
          <w:sz w:val="24"/>
          <w:szCs w:val="24"/>
          <w:highlight w:val="none"/>
          <w:shd w:val="clear" w:color="auto" w:fill="auto"/>
        </w:rPr>
        <w:t>自截标前三年以来在深圳市地铁集团有限公司或下属单位在参选过程中、合同履约过程中有不良行为记录，或者有对深圳地铁置业集团有限公司声誉造成损害行为的，</w:t>
      </w:r>
      <w:r>
        <w:rPr>
          <w:rFonts w:ascii="宋体" w:hAnsi="宋体" w:cs="宋体"/>
          <w:color w:val="auto"/>
          <w:sz w:val="24"/>
          <w:szCs w:val="24"/>
          <w:highlight w:val="none"/>
          <w:shd w:val="clear" w:color="auto" w:fill="auto"/>
        </w:rPr>
        <w:t>履约评价为D级的</w:t>
      </w:r>
      <w:r>
        <w:rPr>
          <w:rFonts w:hint="eastAsia" w:ascii="宋体" w:hAnsi="宋体"/>
          <w:snapToGrid w:val="0"/>
          <w:color w:val="auto"/>
          <w:sz w:val="24"/>
          <w:szCs w:val="24"/>
          <w:highlight w:val="none"/>
          <w:shd w:val="clear" w:color="auto" w:fill="auto"/>
        </w:rPr>
        <w:t>。</w:t>
      </w:r>
    </w:p>
    <w:p>
      <w:pPr>
        <w:numPr>
          <w:ilvl w:val="0"/>
          <w:numId w:val="7"/>
        </w:numPr>
        <w:snapToGrid w:val="0"/>
        <w:spacing w:line="360" w:lineRule="auto"/>
        <w:ind w:left="420" w:leftChars="200" w:firstLine="636" w:firstLineChars="265"/>
        <w:rPr>
          <w:color w:val="auto"/>
          <w:highlight w:val="none"/>
          <w:shd w:val="clear" w:color="auto" w:fill="auto"/>
        </w:rPr>
      </w:pPr>
      <w:r>
        <w:rPr>
          <w:rFonts w:hint="eastAsia" w:ascii="宋体" w:hAnsi="宋体"/>
          <w:snapToGrid w:val="0"/>
          <w:color w:val="auto"/>
          <w:sz w:val="24"/>
          <w:szCs w:val="24"/>
          <w:highlight w:val="none"/>
          <w:shd w:val="clear" w:color="auto" w:fill="auto"/>
        </w:rPr>
        <w:t>联合体要求：不接受联合体参选。单位负责人为同一人或者存在控股、管理关系的不同单位，不得参加同一项目比选。</w:t>
      </w:r>
    </w:p>
    <w:p>
      <w:pPr>
        <w:pStyle w:val="47"/>
        <w:ind w:firstLine="400"/>
        <w:rPr>
          <w:color w:val="auto"/>
          <w:highlight w:val="none"/>
          <w:shd w:val="clear" w:color="auto" w:fill="auto"/>
        </w:rPr>
      </w:pPr>
    </w:p>
    <w:p>
      <w:pPr>
        <w:suppressAutoHyphens/>
        <w:topLinePunct/>
        <w:adjustRightInd w:val="0"/>
        <w:snapToGrid w:val="0"/>
        <w:spacing w:line="336" w:lineRule="auto"/>
        <w:ind w:firstLine="547" w:firstLineChars="227"/>
        <w:rPr>
          <w:rFonts w:ascii="宋体" w:hAnsi="宋体"/>
          <w:b/>
          <w:color w:val="auto"/>
          <w:kern w:val="0"/>
          <w:sz w:val="24"/>
          <w:szCs w:val="24"/>
          <w:highlight w:val="none"/>
          <w:shd w:val="clear" w:color="auto" w:fill="auto"/>
        </w:rPr>
      </w:pPr>
      <w:r>
        <w:rPr>
          <w:rFonts w:hint="eastAsia" w:ascii="宋体" w:hAnsi="宋体"/>
          <w:b/>
          <w:color w:val="auto"/>
          <w:kern w:val="0"/>
          <w:sz w:val="24"/>
          <w:szCs w:val="24"/>
          <w:highlight w:val="none"/>
          <w:shd w:val="clear" w:color="auto" w:fill="auto"/>
        </w:rPr>
        <w:t>六、比选时间、地点</w:t>
      </w:r>
    </w:p>
    <w:tbl>
      <w:tblPr>
        <w:tblStyle w:val="48"/>
        <w:tblW w:w="93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3"/>
        <w:gridCol w:w="1361"/>
        <w:gridCol w:w="2123"/>
        <w:gridCol w:w="518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93" w:hRule="atLeast"/>
          <w:jc w:val="center"/>
        </w:trPr>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9"/>
              <w:adjustRightInd w:val="0"/>
              <w:snapToGrid w:val="0"/>
              <w:spacing w:line="336" w:lineRule="auto"/>
              <w:ind w:left="0" w:leftChars="0" w:firstLine="0" w:firstLineChars="0"/>
              <w:jc w:val="center"/>
              <w:rPr>
                <w:rFonts w:ascii="宋体" w:hAnsi="宋体"/>
                <w:b/>
                <w:color w:val="auto"/>
                <w:kern w:val="2"/>
                <w:sz w:val="20"/>
                <w:szCs w:val="20"/>
                <w:highlight w:val="none"/>
                <w:shd w:val="clear" w:color="auto" w:fill="auto"/>
              </w:rPr>
            </w:pPr>
            <w:r>
              <w:rPr>
                <w:rFonts w:hint="eastAsia" w:ascii="宋体" w:hAnsi="宋体"/>
                <w:b/>
                <w:color w:val="auto"/>
                <w:kern w:val="2"/>
                <w:sz w:val="20"/>
                <w:szCs w:val="20"/>
                <w:highlight w:val="none"/>
                <w:shd w:val="clear" w:color="auto" w:fill="auto"/>
              </w:rPr>
              <w:t>序号</w:t>
            </w:r>
          </w:p>
        </w:tc>
        <w:tc>
          <w:tcPr>
            <w:tcW w:w="136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9"/>
              <w:adjustRightInd w:val="0"/>
              <w:snapToGrid w:val="0"/>
              <w:spacing w:line="336" w:lineRule="auto"/>
              <w:ind w:left="0" w:leftChars="0" w:firstLine="0" w:firstLineChars="0"/>
              <w:jc w:val="center"/>
              <w:rPr>
                <w:rFonts w:ascii="宋体" w:hAnsi="宋体"/>
                <w:b/>
                <w:color w:val="auto"/>
                <w:kern w:val="2"/>
                <w:sz w:val="20"/>
                <w:szCs w:val="20"/>
                <w:highlight w:val="none"/>
                <w:shd w:val="clear" w:color="auto" w:fill="auto"/>
              </w:rPr>
            </w:pPr>
            <w:r>
              <w:rPr>
                <w:rFonts w:hint="eastAsia" w:ascii="宋体" w:hAnsi="宋体"/>
                <w:b/>
                <w:color w:val="auto"/>
                <w:kern w:val="2"/>
                <w:sz w:val="20"/>
                <w:szCs w:val="20"/>
                <w:highlight w:val="none"/>
                <w:shd w:val="clear" w:color="auto" w:fill="auto"/>
              </w:rPr>
              <w:t>内  容</w:t>
            </w:r>
          </w:p>
        </w:tc>
        <w:tc>
          <w:tcPr>
            <w:tcW w:w="212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9"/>
              <w:adjustRightInd w:val="0"/>
              <w:snapToGrid w:val="0"/>
              <w:spacing w:line="336" w:lineRule="auto"/>
              <w:ind w:left="0" w:leftChars="0" w:firstLine="0" w:firstLineChars="0"/>
              <w:jc w:val="center"/>
              <w:rPr>
                <w:rFonts w:ascii="宋体" w:hAnsi="宋体"/>
                <w:b/>
                <w:color w:val="auto"/>
                <w:kern w:val="2"/>
                <w:sz w:val="20"/>
                <w:szCs w:val="20"/>
                <w:highlight w:val="none"/>
                <w:shd w:val="clear" w:color="auto" w:fill="auto"/>
              </w:rPr>
            </w:pPr>
            <w:r>
              <w:rPr>
                <w:rFonts w:hint="eastAsia" w:ascii="宋体" w:hAnsi="宋体"/>
                <w:b/>
                <w:color w:val="auto"/>
                <w:kern w:val="2"/>
                <w:sz w:val="20"/>
                <w:szCs w:val="20"/>
                <w:highlight w:val="none"/>
                <w:shd w:val="clear" w:color="auto" w:fill="auto"/>
              </w:rPr>
              <w:t>时间安排</w:t>
            </w:r>
          </w:p>
        </w:tc>
        <w:tc>
          <w:tcPr>
            <w:tcW w:w="5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9"/>
              <w:adjustRightInd w:val="0"/>
              <w:snapToGrid w:val="0"/>
              <w:spacing w:line="336" w:lineRule="auto"/>
              <w:ind w:left="0" w:leftChars="0" w:firstLine="0" w:firstLineChars="0"/>
              <w:jc w:val="center"/>
              <w:rPr>
                <w:rFonts w:ascii="宋体" w:hAnsi="宋体"/>
                <w:b/>
                <w:color w:val="auto"/>
                <w:kern w:val="2"/>
                <w:sz w:val="20"/>
                <w:szCs w:val="20"/>
                <w:highlight w:val="none"/>
                <w:shd w:val="clear" w:color="auto" w:fill="auto"/>
              </w:rPr>
            </w:pPr>
            <w:r>
              <w:rPr>
                <w:rFonts w:hint="eastAsia" w:ascii="宋体" w:hAnsi="宋体"/>
                <w:b/>
                <w:color w:val="auto"/>
                <w:kern w:val="2"/>
                <w:sz w:val="20"/>
                <w:szCs w:val="20"/>
                <w:highlight w:val="none"/>
                <w:shd w:val="clear" w:color="auto" w:fill="auto"/>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1</w:t>
            </w:r>
          </w:p>
        </w:tc>
        <w:tc>
          <w:tcPr>
            <w:tcW w:w="1361"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发布比选公告（发标）</w:t>
            </w:r>
          </w:p>
        </w:tc>
        <w:tc>
          <w:tcPr>
            <w:tcW w:w="212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auto"/>
                <w:sz w:val="20"/>
                <w:szCs w:val="20"/>
                <w:highlight w:val="none"/>
                <w:shd w:val="clear" w:color="auto" w:fill="auto"/>
              </w:rPr>
            </w:pPr>
            <w:r>
              <w:rPr>
                <w:rFonts w:hint="eastAsia" w:ascii="宋体" w:hAnsi="宋体"/>
                <w:bCs/>
                <w:color w:val="auto"/>
                <w:sz w:val="20"/>
                <w:szCs w:val="20"/>
                <w:highlight w:val="none"/>
                <w:shd w:val="clear" w:color="auto" w:fill="auto"/>
                <w:lang w:val="en-US" w:eastAsia="zh-CN"/>
              </w:rPr>
              <w:t>10</w:t>
            </w:r>
            <w:r>
              <w:rPr>
                <w:rFonts w:hint="eastAsia" w:ascii="宋体" w:hAnsi="宋体"/>
                <w:bCs/>
                <w:color w:val="auto"/>
                <w:sz w:val="20"/>
                <w:szCs w:val="20"/>
                <w:highlight w:val="none"/>
                <w:shd w:val="clear" w:color="auto" w:fill="auto"/>
              </w:rPr>
              <w:t>月</w:t>
            </w:r>
            <w:r>
              <w:rPr>
                <w:rFonts w:hint="eastAsia" w:ascii="宋体" w:hAnsi="宋体"/>
                <w:bCs/>
                <w:color w:val="auto"/>
                <w:sz w:val="20"/>
                <w:szCs w:val="20"/>
                <w:highlight w:val="none"/>
                <w:shd w:val="clear" w:color="auto" w:fill="auto"/>
                <w:lang w:val="en-US" w:eastAsia="zh-CN"/>
              </w:rPr>
              <w:t>14</w:t>
            </w:r>
            <w:r>
              <w:rPr>
                <w:rFonts w:hint="eastAsia" w:ascii="宋体" w:hAnsi="宋体"/>
                <w:bCs/>
                <w:color w:val="auto"/>
                <w:sz w:val="20"/>
                <w:szCs w:val="20"/>
                <w:highlight w:val="none"/>
                <w:shd w:val="clear" w:color="auto" w:fill="auto"/>
              </w:rPr>
              <w:t>日</w:t>
            </w:r>
          </w:p>
        </w:tc>
        <w:tc>
          <w:tcPr>
            <w:tcW w:w="5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9"/>
              <w:adjustRightInd w:val="0"/>
              <w:snapToGrid w:val="0"/>
              <w:spacing w:line="336" w:lineRule="auto"/>
              <w:ind w:left="0" w:leftChars="0" w:firstLine="0" w:firstLineChars="0"/>
              <w:jc w:val="left"/>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深圳地铁公司官网、国资委阳光采购平台、深铁招采网、深铁置业微信订阅号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52"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2</w:t>
            </w:r>
          </w:p>
        </w:tc>
        <w:tc>
          <w:tcPr>
            <w:tcW w:w="1361"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ascii="宋体" w:hAnsi="宋体"/>
                <w:bCs/>
                <w:color w:val="auto"/>
                <w:kern w:val="2"/>
                <w:sz w:val="20"/>
                <w:szCs w:val="20"/>
                <w:highlight w:val="none"/>
                <w:shd w:val="clear" w:color="auto" w:fill="auto"/>
              </w:rPr>
              <w:t>截</w:t>
            </w:r>
            <w:r>
              <w:rPr>
                <w:rFonts w:hint="eastAsia" w:ascii="宋体" w:hAnsi="宋体"/>
                <w:bCs/>
                <w:color w:val="auto"/>
                <w:kern w:val="2"/>
                <w:sz w:val="20"/>
                <w:szCs w:val="20"/>
                <w:highlight w:val="none"/>
                <w:shd w:val="clear" w:color="auto" w:fill="auto"/>
              </w:rPr>
              <w:t>标</w:t>
            </w:r>
          </w:p>
        </w:tc>
        <w:tc>
          <w:tcPr>
            <w:tcW w:w="212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auto"/>
                <w:sz w:val="20"/>
                <w:szCs w:val="20"/>
                <w:highlight w:val="none"/>
                <w:shd w:val="clear" w:color="auto" w:fill="auto"/>
              </w:rPr>
            </w:pPr>
            <w:r>
              <w:rPr>
                <w:rFonts w:hint="eastAsia" w:ascii="宋体" w:hAnsi="宋体"/>
                <w:bCs/>
                <w:color w:val="auto"/>
                <w:sz w:val="20"/>
                <w:szCs w:val="20"/>
                <w:highlight w:val="none"/>
                <w:shd w:val="clear" w:color="auto" w:fill="auto"/>
              </w:rPr>
              <w:t>10月</w:t>
            </w:r>
            <w:r>
              <w:rPr>
                <w:rFonts w:hint="eastAsia" w:ascii="宋体" w:hAnsi="宋体"/>
                <w:bCs/>
                <w:color w:val="auto"/>
                <w:sz w:val="20"/>
                <w:szCs w:val="20"/>
                <w:highlight w:val="none"/>
                <w:shd w:val="clear" w:color="auto" w:fill="auto"/>
                <w:lang w:val="en-US" w:eastAsia="zh-CN"/>
              </w:rPr>
              <w:t>25</w:t>
            </w:r>
            <w:r>
              <w:rPr>
                <w:rFonts w:hint="eastAsia" w:ascii="宋体" w:hAnsi="宋体"/>
                <w:bCs/>
                <w:color w:val="auto"/>
                <w:sz w:val="20"/>
                <w:szCs w:val="20"/>
                <w:highlight w:val="none"/>
                <w:shd w:val="clear" w:color="auto" w:fill="auto"/>
              </w:rPr>
              <w:t>日上午9:30</w:t>
            </w:r>
          </w:p>
          <w:p>
            <w:pPr>
              <w:adjustRightInd w:val="0"/>
              <w:snapToGrid w:val="0"/>
              <w:spacing w:line="336" w:lineRule="auto"/>
              <w:rPr>
                <w:rFonts w:ascii="宋体" w:hAnsi="宋体"/>
                <w:bCs/>
                <w:color w:val="auto"/>
                <w:sz w:val="20"/>
                <w:szCs w:val="20"/>
                <w:highlight w:val="none"/>
                <w:shd w:val="clear" w:color="auto" w:fill="auto"/>
              </w:rPr>
            </w:pPr>
          </w:p>
        </w:tc>
        <w:tc>
          <w:tcPr>
            <w:tcW w:w="5185"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left"/>
              <w:rPr>
                <w:rFonts w:ascii="宋体" w:hAnsi="宋体"/>
                <w:bCs/>
                <w:color w:val="auto"/>
                <w:kern w:val="2"/>
                <w:sz w:val="20"/>
                <w:szCs w:val="20"/>
                <w:highlight w:val="none"/>
                <w:shd w:val="clear" w:color="auto" w:fill="auto"/>
              </w:rPr>
            </w:pPr>
            <w:r>
              <w:rPr>
                <w:rFonts w:ascii="宋体" w:hAnsi="宋体"/>
                <w:bCs/>
                <w:color w:val="auto"/>
                <w:kern w:val="2"/>
                <w:sz w:val="20"/>
                <w:szCs w:val="20"/>
                <w:highlight w:val="none"/>
                <w:shd w:val="clear" w:color="auto" w:fill="auto"/>
              </w:rPr>
              <w:t>参选文件递交平台</w:t>
            </w:r>
            <w:r>
              <w:rPr>
                <w:rFonts w:hint="eastAsia" w:ascii="宋体" w:hAnsi="宋体"/>
                <w:bCs/>
                <w:color w:val="auto"/>
                <w:kern w:val="2"/>
                <w:sz w:val="20"/>
                <w:szCs w:val="20"/>
                <w:highlight w:val="none"/>
                <w:shd w:val="clear" w:color="auto" w:fill="auto"/>
              </w:rPr>
              <w:t>(仅接收电子版)</w:t>
            </w:r>
            <w:r>
              <w:rPr>
                <w:rFonts w:ascii="宋体" w:hAnsi="宋体"/>
                <w:bCs/>
                <w:color w:val="auto"/>
                <w:kern w:val="2"/>
                <w:sz w:val="20"/>
                <w:szCs w:val="20"/>
                <w:highlight w:val="none"/>
                <w:shd w:val="clear" w:color="auto" w:fill="auto"/>
              </w:rPr>
              <w:t>：</w:t>
            </w:r>
            <w:r>
              <w:rPr>
                <w:rFonts w:hint="eastAsia" w:ascii="宋体" w:hAnsi="宋体"/>
                <w:bCs/>
                <w:color w:val="auto"/>
                <w:kern w:val="2"/>
                <w:sz w:val="20"/>
                <w:szCs w:val="20"/>
                <w:highlight w:val="none"/>
                <w:shd w:val="clear" w:color="auto" w:fill="auto"/>
              </w:rPr>
              <w:t>深圳地铁智能招采管理平台（</w:t>
            </w:r>
            <w:r>
              <w:rPr>
                <w:rFonts w:ascii="宋体" w:hAnsi="宋体"/>
                <w:bCs/>
                <w:color w:val="auto"/>
                <w:kern w:val="2"/>
                <w:sz w:val="20"/>
                <w:szCs w:val="20"/>
                <w:highlight w:val="none"/>
                <w:shd w:val="clear" w:color="auto" w:fill="auto"/>
              </w:rPr>
              <w:t>https://cg.shenzhenmc.com/）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52"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3</w:t>
            </w:r>
          </w:p>
        </w:tc>
        <w:tc>
          <w:tcPr>
            <w:tcW w:w="1361"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述标</w:t>
            </w:r>
          </w:p>
        </w:tc>
        <w:tc>
          <w:tcPr>
            <w:tcW w:w="212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auto"/>
                <w:sz w:val="20"/>
                <w:szCs w:val="20"/>
                <w:highlight w:val="none"/>
                <w:shd w:val="clear" w:color="auto" w:fill="auto"/>
              </w:rPr>
            </w:pPr>
            <w:r>
              <w:rPr>
                <w:rFonts w:hint="eastAsia" w:ascii="宋体" w:hAnsi="宋体"/>
                <w:bCs/>
                <w:color w:val="auto"/>
                <w:sz w:val="20"/>
                <w:szCs w:val="20"/>
                <w:highlight w:val="none"/>
                <w:shd w:val="clear" w:color="auto" w:fill="auto"/>
              </w:rPr>
              <w:t>10月</w:t>
            </w:r>
            <w:r>
              <w:rPr>
                <w:rFonts w:hint="eastAsia" w:ascii="宋体" w:hAnsi="宋体"/>
                <w:bCs/>
                <w:color w:val="auto"/>
                <w:sz w:val="20"/>
                <w:szCs w:val="20"/>
                <w:highlight w:val="none"/>
                <w:shd w:val="clear" w:color="auto" w:fill="auto"/>
                <w:lang w:val="en-US" w:eastAsia="zh-CN"/>
              </w:rPr>
              <w:t>25</w:t>
            </w:r>
            <w:r>
              <w:rPr>
                <w:rFonts w:hint="eastAsia" w:ascii="宋体" w:hAnsi="宋体"/>
                <w:bCs/>
                <w:color w:val="auto"/>
                <w:sz w:val="20"/>
                <w:szCs w:val="20"/>
                <w:highlight w:val="none"/>
                <w:shd w:val="clear" w:color="auto" w:fill="auto"/>
              </w:rPr>
              <w:t>日上午</w:t>
            </w:r>
            <w:r>
              <w:rPr>
                <w:rFonts w:ascii="宋体" w:hAnsi="宋体"/>
                <w:bCs/>
                <w:color w:val="auto"/>
                <w:sz w:val="20"/>
                <w:szCs w:val="20"/>
                <w:highlight w:val="none"/>
                <w:shd w:val="clear" w:color="auto" w:fill="auto"/>
              </w:rPr>
              <w:t>9:30</w:t>
            </w:r>
          </w:p>
        </w:tc>
        <w:tc>
          <w:tcPr>
            <w:tcW w:w="5185"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left"/>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述标地点：深铁置业大厦指定会议室</w:t>
            </w:r>
          </w:p>
          <w:p>
            <w:pPr>
              <w:pStyle w:val="19"/>
              <w:adjustRightInd w:val="0"/>
              <w:snapToGrid w:val="0"/>
              <w:spacing w:line="336" w:lineRule="auto"/>
              <w:ind w:left="0" w:leftChars="0" w:firstLine="0" w:firstLineChars="0"/>
              <w:jc w:val="left"/>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（请持</w:t>
            </w:r>
            <w:r>
              <w:rPr>
                <w:rFonts w:ascii="宋体" w:hAnsi="宋体"/>
                <w:bCs/>
                <w:color w:val="auto"/>
                <w:kern w:val="2"/>
                <w:sz w:val="20"/>
                <w:szCs w:val="20"/>
                <w:highlight w:val="none"/>
                <w:shd w:val="clear" w:color="auto" w:fill="auto"/>
              </w:rPr>
              <w:t>24</w:t>
            </w:r>
            <w:r>
              <w:rPr>
                <w:rFonts w:hint="eastAsia" w:ascii="宋体" w:hAnsi="宋体"/>
                <w:bCs/>
                <w:color w:val="auto"/>
                <w:kern w:val="2"/>
                <w:sz w:val="20"/>
                <w:szCs w:val="20"/>
                <w:highlight w:val="none"/>
                <w:shd w:val="clear" w:color="auto" w:fill="auto"/>
              </w:rPr>
              <w:t>小时内核酸检测结果并申请报备方可入内）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288"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ascii="宋体" w:hAnsi="宋体"/>
                <w:bCs/>
                <w:color w:val="auto"/>
                <w:kern w:val="2"/>
                <w:sz w:val="20"/>
                <w:szCs w:val="20"/>
                <w:highlight w:val="none"/>
                <w:shd w:val="clear" w:color="auto" w:fill="auto"/>
              </w:rPr>
              <w:t>4</w:t>
            </w:r>
          </w:p>
        </w:tc>
        <w:tc>
          <w:tcPr>
            <w:tcW w:w="1361"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hint="eastAsia" w:ascii="宋体" w:hAnsi="宋体" w:cs="宋体"/>
                <w:bCs/>
                <w:color w:val="auto"/>
                <w:kern w:val="2"/>
                <w:sz w:val="22"/>
                <w:szCs w:val="22"/>
                <w:highlight w:val="none"/>
                <w:shd w:val="clear" w:color="auto" w:fill="auto"/>
              </w:rPr>
              <w:t>评标</w:t>
            </w:r>
          </w:p>
        </w:tc>
        <w:tc>
          <w:tcPr>
            <w:tcW w:w="212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auto"/>
                <w:sz w:val="20"/>
                <w:szCs w:val="20"/>
                <w:highlight w:val="none"/>
                <w:shd w:val="clear" w:color="auto" w:fill="auto"/>
              </w:rPr>
            </w:pPr>
            <w:r>
              <w:rPr>
                <w:rFonts w:hint="eastAsia" w:ascii="宋体" w:hAnsi="宋体"/>
                <w:bCs/>
                <w:color w:val="auto"/>
                <w:sz w:val="20"/>
                <w:szCs w:val="20"/>
                <w:highlight w:val="none"/>
                <w:shd w:val="clear" w:color="auto" w:fill="auto"/>
              </w:rPr>
              <w:t>10月</w:t>
            </w:r>
            <w:r>
              <w:rPr>
                <w:rFonts w:hint="eastAsia" w:ascii="宋体" w:hAnsi="宋体"/>
                <w:bCs/>
                <w:color w:val="auto"/>
                <w:sz w:val="20"/>
                <w:szCs w:val="20"/>
                <w:highlight w:val="none"/>
                <w:shd w:val="clear" w:color="auto" w:fill="auto"/>
                <w:lang w:val="en-US" w:eastAsia="zh-CN"/>
              </w:rPr>
              <w:t>26</w:t>
            </w:r>
            <w:r>
              <w:rPr>
                <w:rFonts w:hint="eastAsia" w:ascii="宋体" w:hAnsi="宋体"/>
                <w:bCs/>
                <w:color w:val="auto"/>
                <w:sz w:val="20"/>
                <w:szCs w:val="20"/>
                <w:highlight w:val="none"/>
                <w:shd w:val="clear" w:color="auto" w:fill="auto"/>
              </w:rPr>
              <w:t>日上午</w:t>
            </w:r>
            <w:r>
              <w:rPr>
                <w:rFonts w:ascii="宋体" w:hAnsi="宋体"/>
                <w:bCs/>
                <w:color w:val="auto"/>
                <w:sz w:val="20"/>
                <w:szCs w:val="20"/>
                <w:highlight w:val="none"/>
                <w:shd w:val="clear" w:color="auto" w:fill="auto"/>
              </w:rPr>
              <w:t>9:30</w:t>
            </w:r>
          </w:p>
        </w:tc>
        <w:tc>
          <w:tcPr>
            <w:tcW w:w="5185"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left"/>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地点：地铁大厦智能评定标中心会议室</w:t>
            </w:r>
          </w:p>
          <w:p>
            <w:pPr>
              <w:pStyle w:val="19"/>
              <w:adjustRightInd w:val="0"/>
              <w:snapToGrid w:val="0"/>
              <w:spacing w:line="336" w:lineRule="auto"/>
              <w:ind w:left="0" w:leftChars="0" w:firstLine="0" w:firstLineChars="0"/>
              <w:jc w:val="left"/>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（请持</w:t>
            </w:r>
            <w:r>
              <w:rPr>
                <w:rFonts w:ascii="宋体" w:hAnsi="宋体"/>
                <w:bCs/>
                <w:color w:val="auto"/>
                <w:kern w:val="2"/>
                <w:sz w:val="20"/>
                <w:szCs w:val="20"/>
                <w:highlight w:val="none"/>
                <w:shd w:val="clear" w:color="auto" w:fill="auto"/>
              </w:rPr>
              <w:t>24</w:t>
            </w:r>
            <w:r>
              <w:rPr>
                <w:rFonts w:hint="eastAsia" w:ascii="宋体" w:hAnsi="宋体"/>
                <w:bCs/>
                <w:color w:val="auto"/>
                <w:kern w:val="2"/>
                <w:sz w:val="20"/>
                <w:szCs w:val="20"/>
                <w:highlight w:val="none"/>
                <w:shd w:val="clear" w:color="auto" w:fill="auto"/>
              </w:rPr>
              <w:t>小时内核酸检测结果并申请报备方可入内）</w:t>
            </w:r>
          </w:p>
        </w:tc>
      </w:tr>
    </w:tbl>
    <w:p>
      <w:pPr>
        <w:pStyle w:val="24"/>
        <w:snapToGrid w:val="0"/>
        <w:spacing w:line="336" w:lineRule="auto"/>
        <w:ind w:firstLine="482" w:firstLineChars="200"/>
        <w:rPr>
          <w:rFonts w:hAnsi="宋体"/>
          <w:b/>
          <w:color w:val="auto"/>
          <w:sz w:val="24"/>
          <w:szCs w:val="24"/>
          <w:highlight w:val="none"/>
          <w:shd w:val="clear" w:color="auto" w:fill="auto"/>
        </w:rPr>
      </w:pPr>
      <w:r>
        <w:rPr>
          <w:rFonts w:hint="eastAsia" w:hAnsi="宋体"/>
          <w:b/>
          <w:color w:val="auto"/>
          <w:sz w:val="24"/>
          <w:szCs w:val="24"/>
          <w:highlight w:val="none"/>
          <w:shd w:val="clear" w:color="auto" w:fill="auto"/>
        </w:rPr>
        <w:t>七、参选</w:t>
      </w:r>
      <w:r>
        <w:rPr>
          <w:rFonts w:hAnsi="宋体"/>
          <w:b/>
          <w:color w:val="auto"/>
          <w:sz w:val="24"/>
          <w:szCs w:val="24"/>
          <w:highlight w:val="none"/>
          <w:shd w:val="clear" w:color="auto" w:fill="auto"/>
        </w:rPr>
        <w:t>文件所需材料：</w:t>
      </w:r>
    </w:p>
    <w:p>
      <w:pPr>
        <w:numPr>
          <w:ilvl w:val="0"/>
          <w:numId w:val="8"/>
        </w:numPr>
        <w:snapToGrid w:val="0"/>
        <w:spacing w:line="360" w:lineRule="auto"/>
        <w:ind w:left="0" w:firstLine="480" w:firstLineChars="200"/>
        <w:rPr>
          <w:rFonts w:ascii="宋体" w:hAnsi="宋体"/>
          <w:snapToGrid w:val="0"/>
          <w:color w:val="auto"/>
          <w:sz w:val="24"/>
          <w:szCs w:val="24"/>
          <w:highlight w:val="none"/>
          <w:shd w:val="clear" w:color="auto" w:fill="auto"/>
        </w:rPr>
      </w:pPr>
      <w:r>
        <w:rPr>
          <w:rFonts w:hint="eastAsia" w:ascii="宋体" w:hAnsi="宋体"/>
          <w:snapToGrid w:val="0"/>
          <w:color w:val="auto"/>
          <w:sz w:val="24"/>
          <w:szCs w:val="24"/>
          <w:highlight w:val="none"/>
          <w:shd w:val="clear" w:color="auto" w:fill="auto"/>
        </w:rPr>
        <w:t>根据比选</w:t>
      </w:r>
      <w:r>
        <w:rPr>
          <w:rFonts w:ascii="宋体" w:hAnsi="宋体"/>
          <w:snapToGrid w:val="0"/>
          <w:color w:val="auto"/>
          <w:sz w:val="24"/>
          <w:szCs w:val="24"/>
          <w:highlight w:val="none"/>
          <w:shd w:val="clear" w:color="auto" w:fill="auto"/>
        </w:rPr>
        <w:t>文件编制的参选文件</w:t>
      </w:r>
      <w:r>
        <w:rPr>
          <w:rFonts w:hint="eastAsia" w:ascii="宋体" w:hAnsi="宋体"/>
          <w:snapToGrid w:val="0"/>
          <w:color w:val="auto"/>
          <w:sz w:val="24"/>
          <w:szCs w:val="24"/>
          <w:highlight w:val="none"/>
          <w:shd w:val="clear" w:color="auto" w:fill="auto"/>
        </w:rPr>
        <w:t>（比选文件获取：深圳地铁智能招采管理平台（https://cg.shenzhenmc.com/）；</w:t>
      </w:r>
    </w:p>
    <w:p>
      <w:pPr>
        <w:numPr>
          <w:ilvl w:val="0"/>
          <w:numId w:val="8"/>
        </w:numPr>
        <w:snapToGrid w:val="0"/>
        <w:spacing w:line="360" w:lineRule="auto"/>
        <w:ind w:left="0" w:firstLine="480" w:firstLineChars="200"/>
        <w:rPr>
          <w:rFonts w:ascii="宋体" w:hAnsi="宋体"/>
          <w:snapToGrid w:val="0"/>
          <w:color w:val="auto"/>
          <w:sz w:val="24"/>
          <w:szCs w:val="24"/>
          <w:highlight w:val="none"/>
          <w:shd w:val="clear" w:color="auto" w:fill="auto"/>
        </w:rPr>
      </w:pPr>
      <w:r>
        <w:rPr>
          <w:rFonts w:hint="eastAsia" w:ascii="宋体" w:hAnsi="宋体"/>
          <w:snapToGrid w:val="0"/>
          <w:color w:val="auto"/>
          <w:sz w:val="24"/>
          <w:szCs w:val="24"/>
          <w:highlight w:val="none"/>
          <w:shd w:val="clear" w:color="auto" w:fill="auto"/>
        </w:rPr>
        <w:t>如递交</w:t>
      </w:r>
      <w:r>
        <w:rPr>
          <w:rFonts w:ascii="宋体" w:hAnsi="宋体"/>
          <w:snapToGrid w:val="0"/>
          <w:color w:val="auto"/>
          <w:sz w:val="24"/>
          <w:szCs w:val="24"/>
          <w:highlight w:val="none"/>
          <w:shd w:val="clear" w:color="auto" w:fill="auto"/>
        </w:rPr>
        <w:t>参选文件的参选</w:t>
      </w:r>
      <w:r>
        <w:rPr>
          <w:rFonts w:hint="eastAsia" w:ascii="宋体" w:hAnsi="宋体"/>
          <w:snapToGrid w:val="0"/>
          <w:color w:val="auto"/>
          <w:sz w:val="24"/>
          <w:szCs w:val="24"/>
          <w:highlight w:val="none"/>
          <w:shd w:val="clear" w:color="auto" w:fill="auto"/>
        </w:rPr>
        <w:t>人为参选单位的法定代表人，须携带法定代表人证明书及本人身份证原件和复印件；如递交</w:t>
      </w:r>
      <w:r>
        <w:rPr>
          <w:rFonts w:ascii="宋体" w:hAnsi="宋体"/>
          <w:snapToGrid w:val="0"/>
          <w:color w:val="auto"/>
          <w:sz w:val="24"/>
          <w:szCs w:val="24"/>
          <w:highlight w:val="none"/>
          <w:shd w:val="clear" w:color="auto" w:fill="auto"/>
        </w:rPr>
        <w:t>参选文件的参选</w:t>
      </w:r>
      <w:r>
        <w:rPr>
          <w:rFonts w:hint="eastAsia" w:ascii="宋体" w:hAnsi="宋体"/>
          <w:snapToGrid w:val="0"/>
          <w:color w:val="auto"/>
          <w:sz w:val="24"/>
          <w:szCs w:val="24"/>
          <w:highlight w:val="none"/>
          <w:shd w:val="clear" w:color="auto" w:fill="auto"/>
        </w:rPr>
        <w:t>人不是法定代表人，除携带本人身份证复印件外，还需携带法定代表人证明书和法定代表人身份证复印件及授权</w:t>
      </w:r>
      <w:r>
        <w:rPr>
          <w:rFonts w:ascii="宋体" w:hAnsi="宋体"/>
          <w:snapToGrid w:val="0"/>
          <w:color w:val="auto"/>
          <w:sz w:val="24"/>
          <w:szCs w:val="24"/>
          <w:highlight w:val="none"/>
          <w:shd w:val="clear" w:color="auto" w:fill="auto"/>
        </w:rPr>
        <w:t>委托书</w:t>
      </w:r>
      <w:r>
        <w:rPr>
          <w:rFonts w:hint="eastAsia" w:ascii="宋体" w:hAnsi="宋体"/>
          <w:snapToGrid w:val="0"/>
          <w:color w:val="auto"/>
          <w:sz w:val="24"/>
          <w:szCs w:val="24"/>
          <w:highlight w:val="none"/>
          <w:shd w:val="clear" w:color="auto" w:fill="auto"/>
        </w:rPr>
        <w:t>。</w:t>
      </w:r>
    </w:p>
    <w:p>
      <w:pPr>
        <w:pStyle w:val="24"/>
        <w:snapToGrid w:val="0"/>
        <w:spacing w:line="336" w:lineRule="auto"/>
        <w:ind w:firstLine="482" w:firstLineChars="200"/>
        <w:rPr>
          <w:rFonts w:hAnsi="宋体"/>
          <w:b/>
          <w:color w:val="auto"/>
          <w:sz w:val="24"/>
          <w:szCs w:val="24"/>
          <w:highlight w:val="none"/>
          <w:shd w:val="clear" w:color="auto" w:fill="auto"/>
        </w:rPr>
      </w:pPr>
      <w:r>
        <w:rPr>
          <w:rFonts w:hint="eastAsia" w:hAnsi="宋体"/>
          <w:b/>
          <w:color w:val="auto"/>
          <w:sz w:val="24"/>
          <w:szCs w:val="24"/>
          <w:highlight w:val="none"/>
          <w:shd w:val="clear" w:color="auto" w:fill="auto"/>
        </w:rPr>
        <w:t>八</w:t>
      </w:r>
      <w:r>
        <w:rPr>
          <w:rFonts w:hAnsi="宋体"/>
          <w:b/>
          <w:color w:val="auto"/>
          <w:sz w:val="24"/>
          <w:szCs w:val="24"/>
          <w:highlight w:val="none"/>
          <w:shd w:val="clear" w:color="auto" w:fill="auto"/>
        </w:rPr>
        <w:t>、</w:t>
      </w:r>
      <w:r>
        <w:rPr>
          <w:rFonts w:hint="eastAsia" w:hAnsi="宋体"/>
          <w:b/>
          <w:color w:val="auto"/>
          <w:sz w:val="24"/>
          <w:szCs w:val="24"/>
          <w:highlight w:val="none"/>
          <w:shd w:val="clear" w:color="auto" w:fill="auto"/>
        </w:rPr>
        <w:t>参选报名联系人</w:t>
      </w:r>
    </w:p>
    <w:p>
      <w:pPr>
        <w:pStyle w:val="24"/>
        <w:spacing w:line="360" w:lineRule="auto"/>
        <w:ind w:firstLine="420" w:firstLineChars="175"/>
        <w:rPr>
          <w:rFonts w:hAnsi="宋体"/>
          <w:color w:val="auto"/>
          <w:sz w:val="24"/>
          <w:highlight w:val="none"/>
          <w:shd w:val="clear" w:color="auto" w:fill="auto"/>
        </w:rPr>
      </w:pPr>
      <w:r>
        <w:rPr>
          <w:rFonts w:hAnsi="宋体"/>
          <w:color w:val="auto"/>
          <w:sz w:val="24"/>
          <w:highlight w:val="none"/>
          <w:shd w:val="clear" w:color="auto" w:fill="auto"/>
        </w:rPr>
        <w:t>联 系 人：</w:t>
      </w:r>
      <w:r>
        <w:rPr>
          <w:rFonts w:hint="eastAsia" w:hAnsi="宋体"/>
          <w:color w:val="auto"/>
          <w:sz w:val="24"/>
          <w:highlight w:val="none"/>
          <w:shd w:val="clear" w:color="auto" w:fill="auto"/>
          <w:lang w:val="en-US" w:eastAsia="zh-CN"/>
        </w:rPr>
        <w:t>祝</w:t>
      </w:r>
      <w:r>
        <w:rPr>
          <w:rFonts w:hint="eastAsia" w:hAnsi="宋体"/>
          <w:color w:val="auto"/>
          <w:sz w:val="24"/>
          <w:highlight w:val="none"/>
          <w:shd w:val="clear" w:color="auto" w:fill="auto"/>
        </w:rPr>
        <w:t>小姐</w:t>
      </w:r>
    </w:p>
    <w:p>
      <w:pPr>
        <w:pStyle w:val="24"/>
        <w:spacing w:line="360" w:lineRule="auto"/>
        <w:ind w:firstLine="420" w:firstLineChars="175"/>
        <w:rPr>
          <w:rFonts w:hint="default" w:hAnsi="宋体" w:eastAsia="宋体"/>
          <w:color w:val="auto"/>
          <w:sz w:val="24"/>
          <w:highlight w:val="none"/>
          <w:u w:val="single"/>
          <w:shd w:val="clear" w:color="auto" w:fill="auto"/>
          <w:lang w:val="en-US" w:eastAsia="zh-CN"/>
        </w:rPr>
      </w:pPr>
      <w:r>
        <w:rPr>
          <w:rFonts w:hAnsi="宋体"/>
          <w:color w:val="auto"/>
          <w:sz w:val="24"/>
          <w:highlight w:val="none"/>
          <w:shd w:val="clear" w:color="auto" w:fill="auto"/>
        </w:rPr>
        <w:t>联系电话：0755-8998</w:t>
      </w:r>
      <w:r>
        <w:rPr>
          <w:rFonts w:hint="eastAsia" w:hAnsi="宋体"/>
          <w:color w:val="auto"/>
          <w:sz w:val="24"/>
          <w:highlight w:val="none"/>
          <w:shd w:val="clear" w:color="auto" w:fill="auto"/>
          <w:lang w:val="en-US" w:eastAsia="zh-CN"/>
        </w:rPr>
        <w:t>6715</w:t>
      </w:r>
      <w:r>
        <w:rPr>
          <w:rFonts w:hAnsi="宋体"/>
          <w:color w:val="auto"/>
          <w:sz w:val="24"/>
          <w:highlight w:val="none"/>
          <w:shd w:val="clear" w:color="auto" w:fill="auto"/>
        </w:rPr>
        <w:t>/</w:t>
      </w:r>
      <w:r>
        <w:rPr>
          <w:rFonts w:hint="eastAsia" w:hAnsi="宋体"/>
          <w:color w:val="auto"/>
          <w:sz w:val="24"/>
          <w:highlight w:val="none"/>
          <w:shd w:val="clear" w:color="auto" w:fill="auto"/>
          <w:lang w:val="en-US" w:eastAsia="zh-CN"/>
        </w:rPr>
        <w:t>13823311661</w:t>
      </w:r>
    </w:p>
    <w:p>
      <w:pPr>
        <w:pStyle w:val="24"/>
        <w:snapToGrid w:val="0"/>
        <w:spacing w:line="336" w:lineRule="auto"/>
        <w:ind w:firstLine="480" w:firstLineChars="200"/>
        <w:jc w:val="right"/>
        <w:rPr>
          <w:rFonts w:hAnsi="宋体"/>
          <w:color w:val="auto"/>
          <w:sz w:val="24"/>
          <w:szCs w:val="24"/>
          <w:highlight w:val="none"/>
          <w:shd w:val="clear" w:color="auto" w:fill="auto"/>
        </w:rPr>
      </w:pPr>
      <w:r>
        <w:rPr>
          <w:rFonts w:hint="eastAsia" w:hAnsi="宋体"/>
          <w:color w:val="auto"/>
          <w:sz w:val="24"/>
          <w:szCs w:val="24"/>
          <w:highlight w:val="none"/>
          <w:shd w:val="clear" w:color="auto" w:fill="auto"/>
        </w:rPr>
        <w:t>深圳地铁</w:t>
      </w:r>
      <w:r>
        <w:rPr>
          <w:rFonts w:hint="eastAsia" w:hAnsi="宋体"/>
          <w:color w:val="auto"/>
          <w:sz w:val="24"/>
          <w:szCs w:val="24"/>
          <w:highlight w:val="none"/>
          <w:shd w:val="clear" w:color="auto" w:fill="auto"/>
          <w:lang w:val="en-US" w:eastAsia="zh-CN"/>
        </w:rPr>
        <w:t>置业</w:t>
      </w:r>
      <w:r>
        <w:rPr>
          <w:rFonts w:hint="eastAsia" w:hAnsi="宋体"/>
          <w:color w:val="auto"/>
          <w:sz w:val="24"/>
          <w:szCs w:val="24"/>
          <w:highlight w:val="none"/>
          <w:shd w:val="clear" w:color="auto" w:fill="auto"/>
        </w:rPr>
        <w:t>集团有限公司</w:t>
      </w:r>
    </w:p>
    <w:p>
      <w:pPr>
        <w:pStyle w:val="24"/>
        <w:snapToGrid w:val="0"/>
        <w:spacing w:line="336" w:lineRule="auto"/>
        <w:ind w:firstLine="480" w:firstLineChars="200"/>
        <w:jc w:val="right"/>
        <w:rPr>
          <w:rFonts w:hAnsi="宋体"/>
          <w:color w:val="auto"/>
          <w:sz w:val="24"/>
          <w:highlight w:val="none"/>
          <w:shd w:val="clear" w:color="auto" w:fill="auto"/>
        </w:rPr>
      </w:pPr>
      <w:r>
        <w:rPr>
          <w:rFonts w:hint="eastAsia" w:hAnsi="宋体" w:cs="宋体"/>
          <w:color w:val="auto"/>
          <w:sz w:val="24"/>
          <w:szCs w:val="24"/>
          <w:highlight w:val="none"/>
          <w:shd w:val="clear" w:color="auto" w:fill="auto"/>
        </w:rPr>
        <w:t>          </w:t>
      </w:r>
      <w:r>
        <w:rPr>
          <w:rFonts w:hAnsi="宋体" w:cs="宋体"/>
          <w:color w:val="auto"/>
          <w:sz w:val="24"/>
          <w:szCs w:val="24"/>
          <w:highlight w:val="none"/>
          <w:shd w:val="clear" w:color="auto" w:fill="auto"/>
        </w:rPr>
        <w:t>2022</w:t>
      </w:r>
      <w:r>
        <w:rPr>
          <w:rFonts w:hAnsi="宋体"/>
          <w:color w:val="auto"/>
          <w:sz w:val="24"/>
          <w:highlight w:val="none"/>
          <w:shd w:val="clear" w:color="auto" w:fill="auto"/>
        </w:rPr>
        <w:t>年</w:t>
      </w:r>
      <w:r>
        <w:rPr>
          <w:rFonts w:hint="eastAsia" w:hAnsi="宋体"/>
          <w:color w:val="auto"/>
          <w:sz w:val="24"/>
          <w:highlight w:val="none"/>
          <w:shd w:val="clear" w:color="auto" w:fill="auto"/>
          <w:lang w:val="en-US" w:eastAsia="zh-CN"/>
        </w:rPr>
        <w:t>10</w:t>
      </w:r>
      <w:r>
        <w:rPr>
          <w:rFonts w:hint="eastAsia" w:hAnsi="宋体"/>
          <w:color w:val="auto"/>
          <w:sz w:val="24"/>
          <w:highlight w:val="none"/>
          <w:shd w:val="clear" w:color="auto" w:fill="auto"/>
        </w:rPr>
        <w:t>月</w:t>
      </w: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3"/>
        <w:spacing w:line="480" w:lineRule="atLeast"/>
        <w:ind w:left="3545"/>
        <w:jc w:val="both"/>
        <w:rPr>
          <w:rFonts w:ascii="宋体" w:hAnsi="宋体"/>
          <w:b w:val="0"/>
          <w:color w:val="auto"/>
          <w:sz w:val="44"/>
          <w:szCs w:val="44"/>
          <w:highlight w:val="none"/>
          <w:shd w:val="clear" w:color="auto" w:fill="auto"/>
        </w:rPr>
      </w:pPr>
      <w:bookmarkStart w:id="21" w:name="_Toc10714"/>
      <w:r>
        <w:rPr>
          <w:rFonts w:hint="eastAsia" w:ascii="宋体" w:hAnsi="宋体"/>
          <w:b w:val="0"/>
          <w:color w:val="auto"/>
          <w:sz w:val="44"/>
          <w:szCs w:val="44"/>
          <w:highlight w:val="none"/>
          <w:shd w:val="clear" w:color="auto" w:fill="auto"/>
        </w:rPr>
        <w:t>比选须知</w:t>
      </w:r>
      <w:bookmarkEnd w:id="21"/>
    </w:p>
    <w:p>
      <w:pPr>
        <w:pStyle w:val="4"/>
        <w:spacing w:line="480" w:lineRule="atLeast"/>
        <w:rPr>
          <w:rFonts w:ascii="宋体" w:hAnsi="宋体" w:eastAsia="宋体"/>
          <w:b/>
          <w:bCs/>
          <w:color w:val="auto"/>
          <w:sz w:val="32"/>
          <w:szCs w:val="28"/>
          <w:highlight w:val="none"/>
          <w:shd w:val="clear" w:color="auto" w:fill="auto"/>
        </w:rPr>
      </w:pPr>
      <w:bookmarkStart w:id="22" w:name="_Toc32381"/>
      <w:r>
        <w:rPr>
          <w:rFonts w:hint="eastAsia" w:ascii="宋体" w:hAnsi="宋体" w:eastAsia="宋体"/>
          <w:b/>
          <w:bCs/>
          <w:color w:val="auto"/>
          <w:sz w:val="32"/>
          <w:szCs w:val="28"/>
          <w:highlight w:val="none"/>
          <w:shd w:val="clear" w:color="auto" w:fill="auto"/>
        </w:rPr>
        <w:t>第一章 总则</w:t>
      </w:r>
      <w:bookmarkEnd w:id="22"/>
    </w:p>
    <w:p>
      <w:pPr>
        <w:pStyle w:val="5"/>
        <w:numPr>
          <w:ilvl w:val="2"/>
          <w:numId w:val="0"/>
        </w:numPr>
        <w:spacing w:before="240" w:beforeLines="100" w:after="120" w:afterLines="50" w:line="480" w:lineRule="atLeast"/>
        <w:ind w:left="840" w:leftChars="200"/>
        <w:rPr>
          <w:rFonts w:ascii="宋体" w:hAnsi="宋体"/>
          <w:bCs/>
          <w:color w:val="auto"/>
          <w:sz w:val="24"/>
          <w:szCs w:val="24"/>
          <w:highlight w:val="none"/>
          <w:shd w:val="clear" w:color="auto" w:fill="auto"/>
        </w:rPr>
      </w:pPr>
      <w:bookmarkStart w:id="23" w:name="_Toc18302"/>
      <w:r>
        <w:rPr>
          <w:rFonts w:hint="eastAsia" w:ascii="宋体" w:hAnsi="宋体"/>
          <w:bCs/>
          <w:color w:val="auto"/>
          <w:sz w:val="24"/>
          <w:szCs w:val="24"/>
          <w:highlight w:val="none"/>
          <w:shd w:val="clear" w:color="auto" w:fill="auto"/>
        </w:rPr>
        <w:t>一、项目概况</w:t>
      </w:r>
      <w:bookmarkEnd w:id="23"/>
    </w:p>
    <w:p>
      <w:pPr>
        <w:spacing w:line="336" w:lineRule="auto"/>
        <w:ind w:right="-296" w:rightChars="-141" w:firstLine="427" w:firstLineChars="178"/>
        <w:rPr>
          <w:rFonts w:hint="eastAsia" w:ascii="宋体" w:hAnsi="宋体"/>
          <w:color w:val="auto"/>
          <w:kern w:val="0"/>
          <w:sz w:val="24"/>
          <w:szCs w:val="24"/>
          <w:highlight w:val="none"/>
          <w:shd w:val="clear" w:color="auto" w:fill="auto"/>
          <w:lang w:eastAsia="zh-CN"/>
        </w:rPr>
      </w:pPr>
      <w:bookmarkStart w:id="24" w:name="_Toc25005"/>
      <w:r>
        <w:rPr>
          <w:rFonts w:hint="eastAsia" w:ascii="宋体" w:hAnsi="宋体"/>
          <w:color w:val="auto"/>
          <w:kern w:val="0"/>
          <w:sz w:val="24"/>
          <w:szCs w:val="24"/>
          <w:highlight w:val="none"/>
          <w:shd w:val="clear" w:color="auto" w:fill="auto"/>
        </w:rPr>
        <w:t>为助力TOD开发迭代升级，深铁置业研发打造“府系”“境系”“城系”“著系”四大住宅产品线。其中</w:t>
      </w:r>
      <w:r>
        <w:rPr>
          <w:rFonts w:hint="eastAsia" w:ascii="宋体" w:hAnsi="宋体"/>
          <w:color w:val="auto"/>
          <w:kern w:val="0"/>
          <w:sz w:val="24"/>
          <w:szCs w:val="24"/>
          <w:highlight w:val="none"/>
          <w:shd w:val="clear" w:color="auto" w:fill="auto"/>
          <w:lang w:eastAsia="zh-CN"/>
        </w:rPr>
        <w:t>：</w:t>
      </w:r>
    </w:p>
    <w:p>
      <w:pPr>
        <w:spacing w:line="336" w:lineRule="auto"/>
        <w:ind w:right="-296" w:rightChars="-141" w:firstLine="427" w:firstLineChars="178"/>
        <w:rPr>
          <w:rFonts w:hint="eastAsia" w:ascii="宋体" w:hAnsi="宋体"/>
          <w:color w:val="auto"/>
          <w:kern w:val="0"/>
          <w:sz w:val="24"/>
          <w:szCs w:val="24"/>
          <w:highlight w:val="none"/>
          <w:shd w:val="clear" w:color="auto" w:fill="auto"/>
        </w:rPr>
      </w:pPr>
      <w:r>
        <w:rPr>
          <w:rFonts w:hint="eastAsia" w:ascii="宋体" w:hAnsi="宋体"/>
          <w:color w:val="auto"/>
          <w:kern w:val="0"/>
          <w:sz w:val="24"/>
          <w:szCs w:val="24"/>
          <w:highlight w:val="none"/>
          <w:shd w:val="clear" w:color="auto" w:fill="auto"/>
        </w:rPr>
        <w:t>“府系”为位于城市核心地段或拥有稀缺山、海、园景观资源，交通通达性高，地铁站位于社区的步行范围内；以中、大户型为主，集合布局商务、商业、休闲、教育等配套，具有人文归属、高端品位的优雅社区。</w:t>
      </w:r>
    </w:p>
    <w:p>
      <w:pPr>
        <w:spacing w:line="336" w:lineRule="auto"/>
        <w:ind w:right="-296" w:rightChars="-141" w:firstLine="427" w:firstLineChars="178"/>
        <w:rPr>
          <w:rFonts w:hint="eastAsia" w:ascii="宋体" w:hAnsi="宋体"/>
          <w:color w:val="auto"/>
          <w:kern w:val="0"/>
          <w:sz w:val="24"/>
          <w:szCs w:val="24"/>
          <w:highlight w:val="none"/>
          <w:shd w:val="clear" w:color="auto" w:fill="auto"/>
        </w:rPr>
      </w:pPr>
      <w:r>
        <w:rPr>
          <w:rFonts w:hint="eastAsia" w:ascii="宋体" w:hAnsi="宋体"/>
          <w:color w:val="auto"/>
          <w:kern w:val="0"/>
          <w:sz w:val="24"/>
          <w:szCs w:val="24"/>
          <w:highlight w:val="none"/>
          <w:shd w:val="clear" w:color="auto" w:fill="auto"/>
        </w:rPr>
        <w:t>“境系”指位于城市重要地段，享受城市发展资源，具备良好的生态景观或教育、文体配套，交通便捷，占据轨道沿线便利交通；以中等户型为主，生活配套满足家庭需求，搭建兼顾生活、工作全优平台的改善型品质生活住区。</w:t>
      </w:r>
    </w:p>
    <w:p>
      <w:pPr>
        <w:spacing w:line="336" w:lineRule="auto"/>
        <w:ind w:right="-296" w:rightChars="-141" w:firstLine="427" w:firstLineChars="178"/>
        <w:rPr>
          <w:rFonts w:hint="eastAsia" w:ascii="宋体" w:hAnsi="宋体"/>
          <w:color w:val="auto"/>
          <w:kern w:val="0"/>
          <w:sz w:val="24"/>
          <w:szCs w:val="24"/>
          <w:highlight w:val="none"/>
          <w:shd w:val="clear" w:color="auto" w:fill="auto"/>
        </w:rPr>
      </w:pPr>
      <w:r>
        <w:rPr>
          <w:rFonts w:hint="eastAsia" w:ascii="宋体" w:hAnsi="宋体"/>
          <w:color w:val="auto"/>
          <w:kern w:val="0"/>
          <w:sz w:val="24"/>
          <w:szCs w:val="24"/>
          <w:highlight w:val="none"/>
          <w:shd w:val="clear" w:color="auto" w:fill="auto"/>
        </w:rPr>
        <w:t>“城系”指位于城市新兴发展区域，享受区域规划利好，交通较为通达，具备一定的资源配套，以集约户型为主的满足家庭生活需求的舒居社区。</w:t>
      </w:r>
    </w:p>
    <w:p>
      <w:pPr>
        <w:spacing w:line="336" w:lineRule="auto"/>
        <w:ind w:right="-296" w:rightChars="-141" w:firstLine="427" w:firstLineChars="178"/>
        <w:rPr>
          <w:rFonts w:hint="eastAsia" w:ascii="宋体" w:hAnsi="宋体"/>
          <w:color w:val="auto"/>
          <w:kern w:val="0"/>
          <w:sz w:val="24"/>
          <w:szCs w:val="24"/>
          <w:highlight w:val="none"/>
          <w:shd w:val="clear" w:color="auto" w:fill="auto"/>
        </w:rPr>
      </w:pPr>
      <w:r>
        <w:rPr>
          <w:rFonts w:hint="eastAsia" w:ascii="宋体" w:hAnsi="宋体"/>
          <w:color w:val="auto"/>
          <w:kern w:val="0"/>
          <w:sz w:val="24"/>
          <w:szCs w:val="24"/>
          <w:highlight w:val="none"/>
          <w:shd w:val="clear" w:color="auto" w:fill="auto"/>
        </w:rPr>
        <w:t>“著系”</w:t>
      </w:r>
      <w:r>
        <w:rPr>
          <w:rFonts w:hint="eastAsia" w:ascii="宋体" w:hAnsi="宋体"/>
          <w:color w:val="auto"/>
          <w:kern w:val="0"/>
          <w:sz w:val="24"/>
          <w:szCs w:val="24"/>
          <w:highlight w:val="none"/>
          <w:shd w:val="clear" w:color="auto" w:fill="auto"/>
          <w:lang w:val="en-US" w:eastAsia="zh-CN"/>
        </w:rPr>
        <w:t>指位于城市新兴发展区域，</w:t>
      </w:r>
      <w:r>
        <w:rPr>
          <w:rFonts w:hint="eastAsia" w:ascii="宋体" w:hAnsi="宋体"/>
          <w:color w:val="auto"/>
          <w:kern w:val="0"/>
          <w:sz w:val="24"/>
          <w:szCs w:val="24"/>
          <w:highlight w:val="none"/>
          <w:shd w:val="clear" w:color="auto" w:fill="auto"/>
        </w:rPr>
        <w:t>享受区域规划利好</w:t>
      </w:r>
      <w:r>
        <w:rPr>
          <w:rFonts w:hint="eastAsia" w:ascii="宋体" w:hAnsi="宋体"/>
          <w:color w:val="auto"/>
          <w:kern w:val="0"/>
          <w:sz w:val="24"/>
          <w:szCs w:val="24"/>
          <w:highlight w:val="none"/>
          <w:shd w:val="clear" w:color="auto" w:fill="auto"/>
          <w:lang w:eastAsia="zh-CN"/>
        </w:rPr>
        <w:t>，</w:t>
      </w:r>
      <w:r>
        <w:rPr>
          <w:rFonts w:hint="eastAsia" w:ascii="宋体" w:hAnsi="宋体"/>
          <w:color w:val="auto"/>
          <w:kern w:val="0"/>
          <w:sz w:val="24"/>
          <w:szCs w:val="24"/>
          <w:highlight w:val="none"/>
          <w:shd w:val="clear" w:color="auto" w:fill="auto"/>
          <w:lang w:val="en-US" w:eastAsia="zh-CN"/>
        </w:rPr>
        <w:t>交通较为通达，具备一定生活配套，</w:t>
      </w:r>
      <w:r>
        <w:rPr>
          <w:rFonts w:hint="eastAsia" w:ascii="宋体" w:hAnsi="宋体"/>
          <w:color w:val="auto"/>
          <w:kern w:val="0"/>
          <w:sz w:val="24"/>
          <w:szCs w:val="24"/>
          <w:highlight w:val="none"/>
          <w:shd w:val="clear" w:color="auto" w:fill="auto"/>
        </w:rPr>
        <w:t>以集约户型为主</w:t>
      </w:r>
      <w:r>
        <w:rPr>
          <w:rFonts w:hint="eastAsia" w:ascii="宋体" w:hAnsi="宋体"/>
          <w:color w:val="auto"/>
          <w:kern w:val="0"/>
          <w:sz w:val="24"/>
          <w:szCs w:val="24"/>
          <w:highlight w:val="none"/>
          <w:shd w:val="clear" w:color="auto" w:fill="auto"/>
          <w:lang w:val="en-US" w:eastAsia="zh-CN"/>
        </w:rPr>
        <w:t>的满足家庭生活需求的</w:t>
      </w:r>
      <w:r>
        <w:rPr>
          <w:rFonts w:hint="eastAsia" w:ascii="宋体" w:hAnsi="宋体"/>
          <w:color w:val="auto"/>
          <w:kern w:val="0"/>
          <w:sz w:val="24"/>
          <w:szCs w:val="24"/>
          <w:highlight w:val="none"/>
          <w:shd w:val="clear" w:color="auto" w:fill="auto"/>
        </w:rPr>
        <w:t>精致社区。</w:t>
      </w:r>
    </w:p>
    <w:p>
      <w:pPr>
        <w:spacing w:line="336" w:lineRule="auto"/>
        <w:ind w:right="-296" w:rightChars="-141" w:firstLine="427" w:firstLineChars="178"/>
        <w:rPr>
          <w:rFonts w:hint="eastAsia" w:hAnsi="宋体"/>
          <w:b/>
          <w:color w:val="auto"/>
          <w:sz w:val="24"/>
          <w:szCs w:val="24"/>
          <w:highlight w:val="none"/>
          <w:shd w:val="clear" w:color="auto" w:fill="auto"/>
        </w:rPr>
      </w:pPr>
      <w:r>
        <w:rPr>
          <w:rFonts w:hint="eastAsia" w:ascii="宋体" w:hAnsi="宋体"/>
          <w:color w:val="auto"/>
          <w:kern w:val="0"/>
          <w:sz w:val="24"/>
          <w:szCs w:val="24"/>
          <w:highlight w:val="none"/>
          <w:shd w:val="clear" w:color="auto" w:fill="auto"/>
          <w:lang w:val="en-US" w:eastAsia="zh-CN"/>
        </w:rPr>
        <w:t>为</w:t>
      </w:r>
      <w:r>
        <w:rPr>
          <w:rFonts w:hint="eastAsia" w:ascii="宋体" w:hAnsi="宋体"/>
          <w:color w:val="auto"/>
          <w:kern w:val="0"/>
          <w:sz w:val="24"/>
          <w:szCs w:val="24"/>
          <w:highlight w:val="none"/>
          <w:shd w:val="clear" w:color="auto" w:fill="auto"/>
        </w:rPr>
        <w:t>加深老业主、客户、媒体、行业内、社会公众等各群体对深铁置业的品牌认知，提高对四个产品系的价值认同</w:t>
      </w:r>
      <w:r>
        <w:rPr>
          <w:rFonts w:hint="eastAsia" w:ascii="宋体" w:hAnsi="宋体"/>
          <w:color w:val="auto"/>
          <w:kern w:val="0"/>
          <w:sz w:val="24"/>
          <w:szCs w:val="24"/>
          <w:highlight w:val="none"/>
          <w:shd w:val="clear" w:color="auto" w:fill="auto"/>
          <w:lang w:eastAsia="zh-CN"/>
        </w:rPr>
        <w:t>，现拟举办一场产品发布会</w:t>
      </w:r>
      <w:r>
        <w:rPr>
          <w:rFonts w:hint="eastAsia" w:ascii="宋体" w:hAnsi="宋体"/>
          <w:color w:val="auto"/>
          <w:kern w:val="0"/>
          <w:sz w:val="24"/>
          <w:szCs w:val="24"/>
          <w:highlight w:val="none"/>
          <w:shd w:val="clear" w:color="auto" w:fill="auto"/>
        </w:rPr>
        <w:t>。</w:t>
      </w:r>
    </w:p>
    <w:p>
      <w:pPr>
        <w:pStyle w:val="5"/>
        <w:numPr>
          <w:ilvl w:val="2"/>
          <w:numId w:val="0"/>
        </w:numPr>
        <w:snapToGrid w:val="0"/>
        <w:spacing w:before="0" w:after="0" w:line="360" w:lineRule="auto"/>
        <w:ind w:left="840" w:leftChars="200"/>
        <w:rPr>
          <w:rFonts w:hint="eastAsia" w:ascii="宋体" w:hAnsi="宋体"/>
          <w:bCs/>
          <w:color w:val="auto"/>
          <w:sz w:val="24"/>
          <w:szCs w:val="24"/>
          <w:highlight w:val="none"/>
          <w:shd w:val="clear" w:color="auto" w:fill="auto"/>
        </w:rPr>
      </w:pPr>
    </w:p>
    <w:p>
      <w:pPr>
        <w:pStyle w:val="5"/>
        <w:numPr>
          <w:ilvl w:val="2"/>
          <w:numId w:val="0"/>
        </w:numPr>
        <w:snapToGrid w:val="0"/>
        <w:spacing w:before="0" w:after="0" w:line="360" w:lineRule="auto"/>
        <w:ind w:left="840" w:left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二</w:t>
      </w:r>
      <w:r>
        <w:rPr>
          <w:rFonts w:ascii="宋体" w:hAnsi="宋体"/>
          <w:bCs/>
          <w:color w:val="auto"/>
          <w:sz w:val="24"/>
          <w:szCs w:val="24"/>
          <w:highlight w:val="none"/>
          <w:shd w:val="clear" w:color="auto" w:fill="auto"/>
        </w:rPr>
        <w:t>、</w:t>
      </w:r>
      <w:r>
        <w:rPr>
          <w:rFonts w:hint="eastAsia" w:ascii="宋体" w:hAnsi="宋体"/>
          <w:bCs/>
          <w:color w:val="auto"/>
          <w:sz w:val="24"/>
          <w:szCs w:val="24"/>
          <w:highlight w:val="none"/>
          <w:shd w:val="clear" w:color="auto" w:fill="auto"/>
        </w:rPr>
        <w:t>服务内容</w:t>
      </w:r>
      <w:bookmarkEnd w:id="24"/>
    </w:p>
    <w:p>
      <w:pPr>
        <w:pStyle w:val="24"/>
        <w:snapToGrid w:val="0"/>
        <w:spacing w:line="336" w:lineRule="auto"/>
        <w:ind w:firstLine="480" w:firstLineChars="200"/>
        <w:rPr>
          <w:rFonts w:hAnsi="宋体"/>
          <w:bCs/>
          <w:color w:val="auto"/>
          <w:sz w:val="24"/>
          <w:szCs w:val="22"/>
          <w:highlight w:val="none"/>
          <w:shd w:val="clear" w:color="auto" w:fill="auto"/>
        </w:rPr>
      </w:pPr>
      <w:r>
        <w:rPr>
          <w:rFonts w:hint="eastAsia" w:hAnsi="宋体"/>
          <w:color w:val="auto"/>
          <w:sz w:val="24"/>
          <w:szCs w:val="24"/>
          <w:highlight w:val="none"/>
          <w:shd w:val="clear" w:color="auto" w:fill="auto"/>
        </w:rPr>
        <w:t>本次开展</w:t>
      </w:r>
      <w:r>
        <w:rPr>
          <w:rFonts w:hint="eastAsia" w:hAnsi="宋体"/>
          <w:bCs/>
          <w:color w:val="auto"/>
          <w:sz w:val="24"/>
          <w:szCs w:val="22"/>
          <w:highlight w:val="none"/>
          <w:shd w:val="clear" w:color="auto" w:fill="auto"/>
          <w:lang w:val="en-US" w:eastAsia="zh-CN"/>
        </w:rPr>
        <w:t>深铁置业产品标准化体系发布会</w:t>
      </w:r>
      <w:r>
        <w:rPr>
          <w:rFonts w:hint="eastAsia" w:hAnsi="宋体"/>
          <w:bCs/>
          <w:color w:val="auto"/>
          <w:sz w:val="24"/>
          <w:szCs w:val="22"/>
          <w:highlight w:val="none"/>
          <w:shd w:val="clear" w:color="auto" w:fill="auto"/>
        </w:rPr>
        <w:t>的公开比选。</w:t>
      </w:r>
    </w:p>
    <w:p>
      <w:pPr>
        <w:pStyle w:val="24"/>
        <w:snapToGrid w:val="0"/>
        <w:spacing w:line="336" w:lineRule="auto"/>
        <w:ind w:firstLine="480" w:firstLineChars="200"/>
        <w:rPr>
          <w:rFonts w:hAnsi="宋体"/>
          <w:color w:val="auto"/>
          <w:sz w:val="24"/>
          <w:szCs w:val="24"/>
          <w:highlight w:val="none"/>
          <w:shd w:val="clear" w:color="auto" w:fill="auto"/>
        </w:rPr>
      </w:pPr>
      <w:r>
        <w:rPr>
          <w:rFonts w:hint="eastAsia" w:hAnsi="宋体"/>
          <w:color w:val="auto"/>
          <w:sz w:val="24"/>
          <w:szCs w:val="24"/>
          <w:highlight w:val="none"/>
          <w:shd w:val="clear" w:color="auto" w:fill="auto"/>
        </w:rPr>
        <w:t>具体要求如下：</w:t>
      </w:r>
    </w:p>
    <w:p>
      <w:pPr>
        <w:pStyle w:val="24"/>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hAnsi="宋体" w:cs="Times New Roman"/>
          <w:color w:val="auto"/>
          <w:kern w:val="2"/>
          <w:sz w:val="24"/>
          <w:szCs w:val="32"/>
          <w:highlight w:val="none"/>
          <w:shd w:val="clear" w:color="auto" w:fill="auto"/>
          <w:lang w:val="en-US" w:eastAsia="zh-CN" w:bidi="ar-SA"/>
        </w:rPr>
        <w:t>（一）</w:t>
      </w:r>
      <w:r>
        <w:rPr>
          <w:rFonts w:hint="eastAsia" w:ascii="宋体" w:hAnsi="宋体" w:eastAsia="宋体" w:cs="Times New Roman"/>
          <w:color w:val="auto"/>
          <w:kern w:val="2"/>
          <w:sz w:val="24"/>
          <w:szCs w:val="32"/>
          <w:highlight w:val="none"/>
          <w:shd w:val="clear" w:color="auto" w:fill="auto"/>
          <w:lang w:val="en-US" w:eastAsia="zh-CN" w:bidi="ar-SA"/>
        </w:rPr>
        <w:t>发布会活动</w:t>
      </w:r>
    </w:p>
    <w:p>
      <w:pPr>
        <w:pStyle w:val="24"/>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（1）场地租赁</w:t>
      </w:r>
    </w:p>
    <w:p>
      <w:pPr>
        <w:pStyle w:val="208"/>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需负责活动场地租赁并购买酒店茶歇。本次活动举办地点暂定皇冠假日酒店宴会厅，活动规模暂定250人左右。</w:t>
      </w:r>
    </w:p>
    <w:p>
      <w:pPr>
        <w:pStyle w:val="208"/>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（2）活动执行</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需提供活动方案的策划及执行（含包装、搭建、设计、制作、节目演绎、演员、舞台背景视频内容制作、纪念礼品等）、活动报批、活动相关的运输、安装、撤场等服务。本场活动需兼具强化品牌与助力业务两方面要求，加深老业主、客户、媒体、行业内、社会公众等各群体对深铁置业的品牌认知，提高对四个产品系的价值认同，体现深铁置业赋能城市未来的核心价值，以及对打造高品质产品的不懈追求。</w:t>
      </w:r>
    </w:p>
    <w:p>
      <w:pPr>
        <w:keepNext w:val="0"/>
        <w:keepLines w:val="0"/>
        <w:pageBreakBefore w:val="0"/>
        <w:widowControl w:val="0"/>
        <w:kinsoku/>
        <w:wordWrap/>
        <w:overflowPunct/>
        <w:topLinePunct w:val="0"/>
        <w:autoSpaceDE/>
        <w:autoSpaceDN/>
        <w:bidi w:val="0"/>
        <w:spacing w:line="360" w:lineRule="auto"/>
        <w:ind w:right="-296" w:rightChars="-141" w:firstLine="427" w:firstLineChars="178"/>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活动内容围绕四个系列产品设计理念、设计亮点、生活方式的演绎、并通过相关行业头部KOL进行价值传递、发布启动仪式等开展</w:t>
      </w:r>
      <w:r>
        <w:rPr>
          <w:rFonts w:hint="eastAsia" w:ascii="宋体" w:hAnsi="宋体" w:cs="Times New Roman"/>
          <w:color w:val="auto"/>
          <w:kern w:val="2"/>
          <w:sz w:val="24"/>
          <w:szCs w:val="32"/>
          <w:highlight w:val="none"/>
          <w:shd w:val="clear" w:color="auto" w:fill="auto"/>
          <w:lang w:val="en-US" w:eastAsia="zh-CN" w:bidi="ar-SA"/>
        </w:rPr>
        <w:t>。</w:t>
      </w:r>
    </w:p>
    <w:p>
      <w:pPr>
        <w:pStyle w:val="24"/>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hAnsi="宋体" w:cs="Times New Roman"/>
          <w:color w:val="auto"/>
          <w:kern w:val="2"/>
          <w:sz w:val="24"/>
          <w:szCs w:val="32"/>
          <w:highlight w:val="none"/>
          <w:shd w:val="clear" w:color="auto" w:fill="auto"/>
          <w:lang w:val="en-US" w:eastAsia="zh-CN" w:bidi="ar-SA"/>
        </w:rPr>
        <w:t>（二）影视片</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结合活动主题及内容，制作一条涵盖四大产品系设计理念及亮点等内容的影视片，时长3分钟左右，像素不低于4K；并根据后期项目推广需求套剪不超过5个不同时长要求的剪辑版本。</w:t>
      </w:r>
    </w:p>
    <w:p>
      <w:pPr>
        <w:pStyle w:val="24"/>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rPr>
          <w:rFonts w:hint="eastAsia" w:hAnsi="宋体" w:cs="Times New Roman"/>
          <w:color w:val="auto"/>
          <w:kern w:val="2"/>
          <w:sz w:val="24"/>
          <w:szCs w:val="32"/>
          <w:highlight w:val="none"/>
          <w:shd w:val="clear" w:color="auto" w:fill="auto"/>
          <w:lang w:val="en-US" w:eastAsia="zh-CN" w:bidi="ar-SA"/>
        </w:rPr>
      </w:pPr>
      <w:r>
        <w:rPr>
          <w:rFonts w:hint="eastAsia" w:hAnsi="宋体" w:cs="Times New Roman"/>
          <w:color w:val="auto"/>
          <w:kern w:val="2"/>
          <w:sz w:val="24"/>
          <w:szCs w:val="32"/>
          <w:highlight w:val="none"/>
          <w:shd w:val="clear" w:color="auto" w:fill="auto"/>
          <w:lang w:val="en-US" w:eastAsia="zh-CN" w:bidi="ar-SA"/>
        </w:rPr>
        <w:t>（三）宣传推广</w:t>
      </w:r>
    </w:p>
    <w:p>
      <w:pPr>
        <w:pStyle w:val="24"/>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甲方可根据实际需求在</w:t>
      </w:r>
      <w:r>
        <w:rPr>
          <w:rFonts w:hint="eastAsia" w:hAnsi="宋体" w:cs="Times New Roman"/>
          <w:color w:val="auto"/>
          <w:kern w:val="2"/>
          <w:sz w:val="24"/>
          <w:szCs w:val="32"/>
          <w:highlight w:val="none"/>
          <w:shd w:val="clear" w:color="auto" w:fill="auto"/>
          <w:lang w:val="en-US" w:eastAsia="zh-CN" w:bidi="ar-SA"/>
        </w:rPr>
        <w:t>如下</w:t>
      </w:r>
      <w:r>
        <w:rPr>
          <w:rFonts w:hint="eastAsia" w:ascii="宋体" w:hAnsi="宋体" w:eastAsia="宋体" w:cs="Times New Roman"/>
          <w:color w:val="auto"/>
          <w:kern w:val="2"/>
          <w:sz w:val="24"/>
          <w:szCs w:val="32"/>
          <w:highlight w:val="none"/>
          <w:shd w:val="clear" w:color="auto" w:fill="auto"/>
          <w:lang w:val="en-US" w:eastAsia="zh-CN" w:bidi="ar-SA"/>
        </w:rPr>
        <w:t>媒体</w:t>
      </w:r>
      <w:r>
        <w:rPr>
          <w:rFonts w:hint="eastAsia" w:hAnsi="宋体" w:cs="Times New Roman"/>
          <w:color w:val="auto"/>
          <w:kern w:val="2"/>
          <w:sz w:val="24"/>
          <w:szCs w:val="32"/>
          <w:highlight w:val="none"/>
          <w:shd w:val="clear" w:color="auto" w:fill="auto"/>
          <w:lang w:val="en-US" w:eastAsia="zh-CN" w:bidi="ar-SA"/>
        </w:rPr>
        <w:t>渠道</w:t>
      </w:r>
      <w:r>
        <w:rPr>
          <w:rFonts w:hint="eastAsia" w:ascii="宋体" w:hAnsi="宋体" w:eastAsia="宋体" w:cs="Times New Roman"/>
          <w:color w:val="auto"/>
          <w:kern w:val="2"/>
          <w:sz w:val="24"/>
          <w:szCs w:val="32"/>
          <w:highlight w:val="none"/>
          <w:shd w:val="clear" w:color="auto" w:fill="auto"/>
          <w:lang w:val="en-US" w:eastAsia="zh-CN" w:bidi="ar-SA"/>
        </w:rPr>
        <w:t>进行</w:t>
      </w:r>
      <w:r>
        <w:rPr>
          <w:rFonts w:hint="eastAsia" w:hAnsi="宋体" w:cs="Times New Roman"/>
          <w:color w:val="auto"/>
          <w:kern w:val="2"/>
          <w:sz w:val="24"/>
          <w:szCs w:val="32"/>
          <w:highlight w:val="none"/>
          <w:shd w:val="clear" w:color="auto" w:fill="auto"/>
          <w:lang w:val="en-US" w:eastAsia="zh-CN" w:bidi="ar-SA"/>
        </w:rPr>
        <w:t>深铁置业品牌及项目相关内容的宣传推广</w:t>
      </w:r>
      <w:r>
        <w:rPr>
          <w:rFonts w:hint="eastAsia" w:ascii="宋体" w:hAnsi="宋体" w:eastAsia="宋体" w:cs="Times New Roman"/>
          <w:color w:val="auto"/>
          <w:kern w:val="2"/>
          <w:sz w:val="24"/>
          <w:szCs w:val="32"/>
          <w:highlight w:val="none"/>
          <w:shd w:val="clear" w:color="auto" w:fill="auto"/>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（1）自媒体大V推广</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包括自媒体大V软文（或视频）及其自有资源渠道转发传播。乙方推荐深圳头部自媒体5个，包括但不限于以下自媒体大V：房圳探、淘房前线、苗头、房评深圳、梵高先生、呆呆的咖啡馆等。或全国头部自媒体2个，包括但不限于：卢俊、中国新闻周刊、明源地产研究院、新周刊等。</w:t>
      </w:r>
      <w:r>
        <w:rPr>
          <w:rFonts w:hint="eastAsia" w:ascii="宋体" w:hAnsi="宋体"/>
          <w:color w:val="auto"/>
          <w:kern w:val="0"/>
          <w:sz w:val="24"/>
          <w:szCs w:val="24"/>
          <w:highlight w:val="none"/>
          <w:shd w:val="clear" w:color="auto" w:fill="auto"/>
        </w:rPr>
        <w:t>参选单位需标注前述</w:t>
      </w:r>
      <w:r>
        <w:rPr>
          <w:rFonts w:hint="eastAsia" w:ascii="宋体" w:hAnsi="宋体"/>
          <w:color w:val="auto"/>
          <w:kern w:val="0"/>
          <w:sz w:val="24"/>
          <w:szCs w:val="24"/>
          <w:highlight w:val="none"/>
          <w:shd w:val="clear" w:color="auto" w:fill="auto"/>
          <w:lang w:val="en-US" w:eastAsia="zh-CN"/>
        </w:rPr>
        <w:t>各</w:t>
      </w:r>
      <w:r>
        <w:rPr>
          <w:rFonts w:hint="eastAsia" w:ascii="宋体" w:hAnsi="宋体"/>
          <w:color w:val="auto"/>
          <w:kern w:val="0"/>
          <w:sz w:val="24"/>
          <w:szCs w:val="24"/>
          <w:highlight w:val="none"/>
          <w:shd w:val="clear" w:color="auto" w:fill="auto"/>
        </w:rPr>
        <w:t>家大V的原创软文/短视频发布的单价</w:t>
      </w:r>
      <w:r>
        <w:rPr>
          <w:rFonts w:hint="eastAsia" w:ascii="宋体" w:hAnsi="宋体"/>
          <w:color w:val="auto"/>
          <w:kern w:val="0"/>
          <w:sz w:val="24"/>
          <w:szCs w:val="24"/>
          <w:highlight w:val="none"/>
          <w:shd w:val="clear" w:color="auto" w:fill="auto"/>
          <w:lang w:eastAsia="zh-CN"/>
        </w:rPr>
        <w:t>（</w:t>
      </w:r>
      <w:r>
        <w:rPr>
          <w:rFonts w:hint="eastAsia" w:ascii="宋体" w:hAnsi="宋体"/>
          <w:color w:val="auto"/>
          <w:kern w:val="0"/>
          <w:sz w:val="24"/>
          <w:szCs w:val="24"/>
          <w:highlight w:val="none"/>
          <w:shd w:val="clear" w:color="auto" w:fill="auto"/>
          <w:lang w:val="en-US" w:eastAsia="zh-CN"/>
        </w:rPr>
        <w:t>含该软文/短视频在所属大V自有资源渠道转发传播服务</w:t>
      </w:r>
      <w:r>
        <w:rPr>
          <w:rFonts w:hint="eastAsia" w:ascii="宋体" w:hAnsi="宋体"/>
          <w:color w:val="auto"/>
          <w:kern w:val="0"/>
          <w:sz w:val="24"/>
          <w:szCs w:val="24"/>
          <w:highlight w:val="none"/>
          <w:shd w:val="clear" w:color="auto" w:fill="auto"/>
          <w:lang w:eastAsia="zh-CN"/>
        </w:rPr>
        <w:t>）</w:t>
      </w:r>
      <w:r>
        <w:rPr>
          <w:rFonts w:hint="eastAsia" w:ascii="宋体" w:hAnsi="宋体"/>
          <w:color w:val="auto"/>
          <w:kern w:val="0"/>
          <w:sz w:val="24"/>
          <w:szCs w:val="24"/>
          <w:highlight w:val="none"/>
          <w:shd w:val="clear" w:color="auto" w:fill="auto"/>
        </w:rPr>
        <w:t>，并推荐其中</w:t>
      </w:r>
      <w:r>
        <w:rPr>
          <w:rFonts w:hint="eastAsia" w:ascii="宋体" w:hAnsi="宋体"/>
          <w:color w:val="auto"/>
          <w:kern w:val="0"/>
          <w:sz w:val="24"/>
          <w:szCs w:val="24"/>
          <w:highlight w:val="none"/>
          <w:shd w:val="clear" w:color="auto" w:fill="auto"/>
          <w:lang w:val="en-US" w:eastAsia="zh-CN"/>
        </w:rPr>
        <w:t>深圳头部自媒体5家，全国头部自媒体2家</w:t>
      </w:r>
      <w:r>
        <w:rPr>
          <w:rFonts w:hint="eastAsia" w:ascii="宋体" w:hAnsi="宋体"/>
          <w:color w:val="auto"/>
          <w:kern w:val="0"/>
          <w:sz w:val="24"/>
          <w:szCs w:val="24"/>
          <w:highlight w:val="none"/>
          <w:shd w:val="clear" w:color="auto" w:fill="auto"/>
        </w:rPr>
        <w:t>供甲方使用。</w:t>
      </w:r>
      <w:r>
        <w:rPr>
          <w:rFonts w:hint="eastAsia" w:ascii="宋体" w:hAnsi="宋体" w:eastAsia="宋体" w:cs="Times New Roman"/>
          <w:color w:val="auto"/>
          <w:kern w:val="2"/>
          <w:sz w:val="24"/>
          <w:szCs w:val="32"/>
          <w:highlight w:val="none"/>
          <w:shd w:val="clear" w:color="auto" w:fill="auto"/>
          <w:lang w:val="en-US" w:eastAsia="zh-CN" w:bidi="ar-SA"/>
        </w:rPr>
        <w:t>甲方可根据实际需求在同级别范围内调整投放渠道，</w:t>
      </w:r>
      <w:r>
        <w:rPr>
          <w:rFonts w:hint="eastAsia" w:ascii="宋体" w:hAnsi="宋体" w:cs="Times New Roman"/>
          <w:color w:val="auto"/>
          <w:kern w:val="2"/>
          <w:sz w:val="24"/>
          <w:szCs w:val="32"/>
          <w:highlight w:val="none"/>
          <w:shd w:val="clear" w:color="auto" w:fill="auto"/>
          <w:lang w:val="en-US" w:eastAsia="zh-CN" w:bidi="ar-SA"/>
        </w:rPr>
        <w:t>据实结算，</w:t>
      </w:r>
      <w:r>
        <w:rPr>
          <w:rFonts w:hint="eastAsia" w:ascii="宋体" w:hAnsi="宋体"/>
          <w:color w:val="auto"/>
          <w:kern w:val="0"/>
          <w:sz w:val="24"/>
          <w:szCs w:val="24"/>
          <w:highlight w:val="none"/>
          <w:shd w:val="clear" w:color="auto" w:fill="auto"/>
        </w:rPr>
        <w:t>结算价不超过推荐总价。</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（2）原创深度报道及主流媒体通稿</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乙方推荐全国性头部媒体进行深度报道1篇，在以下媒体中选择一家开展：21世纪经济报道、第一财经、每日经济新闻、界面、时代财经、和讯、经济观察报、经济日报、央视财经、中新经纬、证券时报、中国经营报、华夏时报。</w:t>
      </w:r>
      <w:r>
        <w:rPr>
          <w:rFonts w:hint="eastAsia" w:ascii="宋体" w:hAnsi="宋体"/>
          <w:color w:val="auto"/>
          <w:kern w:val="0"/>
          <w:sz w:val="24"/>
          <w:szCs w:val="24"/>
          <w:highlight w:val="none"/>
          <w:shd w:val="clear" w:color="auto" w:fill="auto"/>
        </w:rPr>
        <w:t>参选单位需标注前述</w:t>
      </w:r>
      <w:r>
        <w:rPr>
          <w:rFonts w:hint="eastAsia" w:ascii="宋体" w:hAnsi="宋体"/>
          <w:color w:val="auto"/>
          <w:kern w:val="0"/>
          <w:sz w:val="24"/>
          <w:szCs w:val="24"/>
          <w:highlight w:val="none"/>
          <w:shd w:val="clear" w:color="auto" w:fill="auto"/>
          <w:lang w:val="en-US" w:eastAsia="zh-CN"/>
        </w:rPr>
        <w:t>各</w:t>
      </w:r>
      <w:r>
        <w:rPr>
          <w:rFonts w:hint="eastAsia" w:ascii="宋体" w:hAnsi="宋体"/>
          <w:color w:val="auto"/>
          <w:kern w:val="0"/>
          <w:sz w:val="24"/>
          <w:szCs w:val="24"/>
          <w:highlight w:val="none"/>
          <w:shd w:val="clear" w:color="auto" w:fill="auto"/>
        </w:rPr>
        <w:t>家</w:t>
      </w:r>
      <w:r>
        <w:rPr>
          <w:rFonts w:hint="eastAsia" w:ascii="宋体" w:hAnsi="宋体"/>
          <w:color w:val="auto"/>
          <w:kern w:val="0"/>
          <w:sz w:val="24"/>
          <w:szCs w:val="24"/>
          <w:highlight w:val="none"/>
          <w:shd w:val="clear" w:color="auto" w:fill="auto"/>
          <w:lang w:val="en-US" w:eastAsia="zh-CN"/>
        </w:rPr>
        <w:t>媒体</w:t>
      </w:r>
      <w:r>
        <w:rPr>
          <w:rFonts w:hint="eastAsia" w:ascii="宋体" w:hAnsi="宋体"/>
          <w:color w:val="auto"/>
          <w:kern w:val="0"/>
          <w:sz w:val="24"/>
          <w:szCs w:val="24"/>
          <w:highlight w:val="none"/>
          <w:shd w:val="clear" w:color="auto" w:fill="auto"/>
        </w:rPr>
        <w:t>的</w:t>
      </w:r>
      <w:r>
        <w:rPr>
          <w:rFonts w:hint="eastAsia" w:ascii="宋体" w:hAnsi="宋体"/>
          <w:color w:val="auto"/>
          <w:kern w:val="0"/>
          <w:sz w:val="24"/>
          <w:szCs w:val="24"/>
          <w:highlight w:val="none"/>
          <w:shd w:val="clear" w:color="auto" w:fill="auto"/>
          <w:lang w:val="en-US" w:eastAsia="zh-CN"/>
        </w:rPr>
        <w:t>深度报道</w:t>
      </w:r>
      <w:r>
        <w:rPr>
          <w:rFonts w:hint="eastAsia" w:ascii="宋体" w:hAnsi="宋体"/>
          <w:color w:val="auto"/>
          <w:kern w:val="0"/>
          <w:sz w:val="24"/>
          <w:szCs w:val="24"/>
          <w:highlight w:val="none"/>
          <w:shd w:val="clear" w:color="auto" w:fill="auto"/>
        </w:rPr>
        <w:t>发布的单价，并推荐其中</w:t>
      </w:r>
      <w:r>
        <w:rPr>
          <w:rFonts w:hint="eastAsia" w:ascii="宋体" w:hAnsi="宋体"/>
          <w:color w:val="auto"/>
          <w:kern w:val="0"/>
          <w:sz w:val="24"/>
          <w:szCs w:val="24"/>
          <w:highlight w:val="none"/>
          <w:shd w:val="clear" w:color="auto" w:fill="auto"/>
          <w:lang w:val="en-US" w:eastAsia="zh-CN"/>
        </w:rPr>
        <w:t>1家供甲方使用</w:t>
      </w:r>
      <w:r>
        <w:rPr>
          <w:rFonts w:hint="eastAsia" w:ascii="宋体" w:hAnsi="宋体"/>
          <w:color w:val="auto"/>
          <w:kern w:val="0"/>
          <w:sz w:val="24"/>
          <w:szCs w:val="24"/>
          <w:highlight w:val="none"/>
          <w:shd w:val="clear" w:color="auto" w:fill="auto"/>
        </w:rPr>
        <w:t>。</w:t>
      </w:r>
      <w:r>
        <w:rPr>
          <w:rFonts w:hint="eastAsia" w:ascii="宋体" w:hAnsi="宋体" w:eastAsia="宋体" w:cs="Times New Roman"/>
          <w:color w:val="auto"/>
          <w:kern w:val="2"/>
          <w:sz w:val="24"/>
          <w:szCs w:val="32"/>
          <w:highlight w:val="none"/>
          <w:shd w:val="clear" w:color="auto" w:fill="auto"/>
          <w:lang w:val="en-US" w:eastAsia="zh-CN" w:bidi="ar-SA"/>
        </w:rPr>
        <w:t>甲方可根据实际需求在同级别范围内调整投放渠道，</w:t>
      </w:r>
      <w:r>
        <w:rPr>
          <w:rFonts w:hint="eastAsia" w:ascii="宋体" w:hAnsi="宋体" w:cs="Times New Roman"/>
          <w:color w:val="auto"/>
          <w:kern w:val="2"/>
          <w:sz w:val="24"/>
          <w:szCs w:val="32"/>
          <w:highlight w:val="none"/>
          <w:shd w:val="clear" w:color="auto" w:fill="auto"/>
          <w:lang w:val="en-US" w:eastAsia="zh-CN" w:bidi="ar-SA"/>
        </w:rPr>
        <w:t>据实结算，</w:t>
      </w:r>
      <w:r>
        <w:rPr>
          <w:rFonts w:hint="eastAsia" w:ascii="宋体" w:hAnsi="宋体"/>
          <w:color w:val="auto"/>
          <w:kern w:val="0"/>
          <w:sz w:val="24"/>
          <w:szCs w:val="24"/>
          <w:highlight w:val="none"/>
          <w:shd w:val="clear" w:color="auto" w:fill="auto"/>
        </w:rPr>
        <w:t>结算价不超过推荐总价。</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 xml:space="preserve">  乙方推荐全国性头部媒体共计一百家以上进行通稿转发，包括但不限于：新华网客户端、人民网、人民日报经济网、中国日报网、新华报业网、央广网、光明网、环球网、中国文化报、南方日报、广州日报、南方都市报、凤凰网、网易新闻、搜狐网、新浪网等。甲方可根据实际需求在同级别类媒体中进行调整，价格不变。</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（3）硬广推广</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乙方推荐全国性头部媒体的硬广投放，在以下媒体中选择一家开展：21世纪经济报道、第一财经、每日经济新闻、界面、财新、时代财经、经济日报、央视财经。需包含客户端开屏广告、首页</w:t>
      </w:r>
      <w:r>
        <w:rPr>
          <w:rFonts w:hint="eastAsia" w:ascii="宋体" w:hAnsi="宋体" w:cs="Times New Roman"/>
          <w:color w:val="auto"/>
          <w:kern w:val="2"/>
          <w:sz w:val="24"/>
          <w:szCs w:val="32"/>
          <w:highlight w:val="none"/>
          <w:shd w:val="clear" w:color="auto" w:fill="auto"/>
          <w:lang w:val="en-US" w:eastAsia="zh-CN" w:bidi="ar-SA"/>
        </w:rPr>
        <w:t>第一</w:t>
      </w:r>
      <w:r>
        <w:rPr>
          <w:rFonts w:hint="eastAsia" w:ascii="宋体" w:hAnsi="宋体" w:eastAsia="宋体" w:cs="Times New Roman"/>
          <w:color w:val="auto"/>
          <w:kern w:val="2"/>
          <w:sz w:val="24"/>
          <w:szCs w:val="32"/>
          <w:highlight w:val="none"/>
          <w:shd w:val="clear" w:color="auto" w:fill="auto"/>
          <w:lang w:val="en-US" w:eastAsia="zh-CN" w:bidi="ar-SA"/>
        </w:rPr>
        <w:t>焦点图等。甲方可根据实际需求在同级别类媒体中进行调整，价格不变。</w:t>
      </w:r>
      <w:r>
        <w:rPr>
          <w:rFonts w:hint="eastAsia" w:ascii="宋体" w:hAnsi="宋体"/>
          <w:color w:val="auto"/>
          <w:kern w:val="0"/>
          <w:sz w:val="24"/>
          <w:szCs w:val="24"/>
          <w:highlight w:val="none"/>
          <w:shd w:val="clear" w:color="auto" w:fill="auto"/>
        </w:rPr>
        <w:t>参选单位需标注前述</w:t>
      </w:r>
      <w:r>
        <w:rPr>
          <w:rFonts w:hint="eastAsia" w:ascii="宋体" w:hAnsi="宋体"/>
          <w:color w:val="auto"/>
          <w:kern w:val="0"/>
          <w:sz w:val="24"/>
          <w:szCs w:val="24"/>
          <w:highlight w:val="none"/>
          <w:shd w:val="clear" w:color="auto" w:fill="auto"/>
          <w:lang w:val="en-US" w:eastAsia="zh-CN"/>
        </w:rPr>
        <w:t>各</w:t>
      </w:r>
      <w:r>
        <w:rPr>
          <w:rFonts w:hint="eastAsia" w:ascii="宋体" w:hAnsi="宋体"/>
          <w:color w:val="auto"/>
          <w:kern w:val="0"/>
          <w:sz w:val="24"/>
          <w:szCs w:val="24"/>
          <w:highlight w:val="none"/>
          <w:shd w:val="clear" w:color="auto" w:fill="auto"/>
        </w:rPr>
        <w:t>家</w:t>
      </w:r>
      <w:r>
        <w:rPr>
          <w:rFonts w:hint="eastAsia" w:ascii="宋体" w:hAnsi="宋体"/>
          <w:color w:val="auto"/>
          <w:kern w:val="0"/>
          <w:sz w:val="24"/>
          <w:szCs w:val="24"/>
          <w:highlight w:val="none"/>
          <w:shd w:val="clear" w:color="auto" w:fill="auto"/>
          <w:lang w:val="en-US" w:eastAsia="zh-CN"/>
        </w:rPr>
        <w:t>媒体开屏广告以及首页第一焦点图广告位</w:t>
      </w:r>
      <w:r>
        <w:rPr>
          <w:rFonts w:hint="eastAsia" w:ascii="宋体" w:hAnsi="宋体"/>
          <w:color w:val="auto"/>
          <w:kern w:val="0"/>
          <w:sz w:val="24"/>
          <w:szCs w:val="24"/>
          <w:highlight w:val="none"/>
          <w:shd w:val="clear" w:color="auto" w:fill="auto"/>
        </w:rPr>
        <w:t>单价，并推荐其中</w:t>
      </w:r>
      <w:r>
        <w:rPr>
          <w:rFonts w:hint="eastAsia" w:ascii="宋体" w:hAnsi="宋体"/>
          <w:color w:val="auto"/>
          <w:kern w:val="0"/>
          <w:sz w:val="24"/>
          <w:szCs w:val="24"/>
          <w:highlight w:val="none"/>
          <w:shd w:val="clear" w:color="auto" w:fill="auto"/>
          <w:lang w:val="en-US" w:eastAsia="zh-CN"/>
        </w:rPr>
        <w:t>1家供甲方使用</w:t>
      </w:r>
      <w:r>
        <w:rPr>
          <w:rFonts w:hint="eastAsia" w:ascii="宋体" w:hAnsi="宋体"/>
          <w:color w:val="auto"/>
          <w:kern w:val="0"/>
          <w:sz w:val="24"/>
          <w:szCs w:val="24"/>
          <w:highlight w:val="none"/>
          <w:shd w:val="clear" w:color="auto" w:fill="auto"/>
        </w:rPr>
        <w:t>。</w:t>
      </w:r>
      <w:r>
        <w:rPr>
          <w:rFonts w:hint="eastAsia" w:ascii="宋体" w:hAnsi="宋体" w:eastAsia="宋体" w:cs="Times New Roman"/>
          <w:color w:val="auto"/>
          <w:kern w:val="2"/>
          <w:sz w:val="24"/>
          <w:szCs w:val="32"/>
          <w:highlight w:val="none"/>
          <w:shd w:val="clear" w:color="auto" w:fill="auto"/>
          <w:lang w:val="en-US" w:eastAsia="zh-CN" w:bidi="ar-SA"/>
        </w:rPr>
        <w:t>甲方可根据实际需求在同级别范围内调整投放渠道，</w:t>
      </w:r>
      <w:r>
        <w:rPr>
          <w:rFonts w:hint="eastAsia" w:ascii="宋体" w:hAnsi="宋体" w:cs="Times New Roman"/>
          <w:color w:val="auto"/>
          <w:kern w:val="2"/>
          <w:sz w:val="24"/>
          <w:szCs w:val="32"/>
          <w:highlight w:val="none"/>
          <w:shd w:val="clear" w:color="auto" w:fill="auto"/>
          <w:lang w:val="en-US" w:eastAsia="zh-CN" w:bidi="ar-SA"/>
        </w:rPr>
        <w:t>据实结算，</w:t>
      </w:r>
      <w:r>
        <w:rPr>
          <w:rFonts w:hint="eastAsia" w:ascii="宋体" w:hAnsi="宋体"/>
          <w:color w:val="auto"/>
          <w:kern w:val="0"/>
          <w:sz w:val="24"/>
          <w:szCs w:val="24"/>
          <w:highlight w:val="none"/>
          <w:shd w:val="clear" w:color="auto" w:fill="auto"/>
        </w:rPr>
        <w:t>结算价不超过推荐总价。</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（4）关于TOD综合开发模式研究及推广</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乙方推荐相关院校或研究机构对“轨道+物业”模式进行研究，并形成研究成果，进行相关推广。</w:t>
      </w:r>
    </w:p>
    <w:p>
      <w:pPr>
        <w:pStyle w:val="24"/>
        <w:snapToGrid w:val="0"/>
        <w:spacing w:line="336" w:lineRule="auto"/>
        <w:ind w:firstLine="480" w:firstLineChars="200"/>
        <w:rPr>
          <w:rFonts w:ascii="仿宋_GB2312" w:hAnsi="仿宋" w:eastAsia="仿宋_GB2312"/>
          <w:color w:val="auto"/>
          <w:kern w:val="2"/>
          <w:sz w:val="24"/>
          <w:szCs w:val="24"/>
          <w:highlight w:val="none"/>
          <w:shd w:val="clear" w:color="auto" w:fill="auto"/>
        </w:rPr>
      </w:pPr>
    </w:p>
    <w:p>
      <w:pPr>
        <w:pStyle w:val="5"/>
        <w:numPr>
          <w:ilvl w:val="2"/>
          <w:numId w:val="0"/>
        </w:numPr>
        <w:snapToGrid w:val="0"/>
        <w:spacing w:before="0" w:after="0" w:line="360" w:lineRule="auto"/>
        <w:ind w:left="840" w:leftChars="200"/>
        <w:rPr>
          <w:rFonts w:ascii="宋体" w:hAnsi="宋体"/>
          <w:bCs/>
          <w:color w:val="auto"/>
          <w:sz w:val="24"/>
          <w:szCs w:val="24"/>
          <w:highlight w:val="none"/>
          <w:shd w:val="clear" w:color="auto" w:fill="auto"/>
        </w:rPr>
      </w:pPr>
      <w:bookmarkStart w:id="25" w:name="_Toc5559"/>
      <w:r>
        <w:rPr>
          <w:rFonts w:hint="eastAsia" w:ascii="宋体" w:hAnsi="宋体"/>
          <w:bCs/>
          <w:color w:val="auto"/>
          <w:sz w:val="24"/>
          <w:szCs w:val="24"/>
          <w:highlight w:val="none"/>
          <w:shd w:val="clear" w:color="auto" w:fill="auto"/>
        </w:rPr>
        <w:t>二、工作方式及服务期限</w:t>
      </w:r>
      <w:bookmarkEnd w:id="25"/>
    </w:p>
    <w:p>
      <w:pPr>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1、</w:t>
      </w:r>
      <w:r>
        <w:rPr>
          <w:rFonts w:hint="eastAsia" w:ascii="宋体" w:hAnsi="宋体"/>
          <w:color w:val="auto"/>
          <w:kern w:val="0"/>
          <w:sz w:val="24"/>
          <w:szCs w:val="24"/>
          <w:highlight w:val="none"/>
          <w:shd w:val="clear" w:color="auto" w:fill="auto"/>
        </w:rPr>
        <w:t>合同的签约主体为深圳地铁</w:t>
      </w:r>
      <w:r>
        <w:rPr>
          <w:rFonts w:hint="eastAsia" w:ascii="宋体" w:hAnsi="宋体"/>
          <w:color w:val="auto"/>
          <w:kern w:val="0"/>
          <w:sz w:val="24"/>
          <w:szCs w:val="24"/>
          <w:highlight w:val="none"/>
          <w:shd w:val="clear" w:color="auto" w:fill="auto"/>
          <w:lang w:val="en-US" w:eastAsia="zh-CN"/>
        </w:rPr>
        <w:t>置业</w:t>
      </w:r>
      <w:r>
        <w:rPr>
          <w:rFonts w:hint="eastAsia" w:ascii="宋体" w:hAnsi="宋体"/>
          <w:color w:val="auto"/>
          <w:kern w:val="0"/>
          <w:sz w:val="24"/>
          <w:szCs w:val="24"/>
          <w:highlight w:val="none"/>
          <w:shd w:val="clear" w:color="auto" w:fill="auto"/>
        </w:rPr>
        <w:t>集团有限公司</w:t>
      </w:r>
      <w:r>
        <w:rPr>
          <w:rFonts w:hint="eastAsia" w:ascii="宋体" w:hAnsi="宋体"/>
          <w:color w:val="auto"/>
          <w:sz w:val="24"/>
          <w:szCs w:val="24"/>
          <w:highlight w:val="none"/>
          <w:shd w:val="clear" w:color="auto" w:fill="auto"/>
        </w:rPr>
        <w:t>。</w:t>
      </w:r>
    </w:p>
    <w:p>
      <w:pPr>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2、合同为综合单价合同，据实结算。</w:t>
      </w:r>
    </w:p>
    <w:p>
      <w:pPr>
        <w:pStyle w:val="24"/>
        <w:tabs>
          <w:tab w:val="left" w:pos="1134"/>
        </w:tabs>
        <w:spacing w:line="360" w:lineRule="auto"/>
        <w:ind w:firstLine="480" w:firstLineChars="200"/>
        <w:rPr>
          <w:rFonts w:hAnsi="宋体"/>
          <w:color w:val="auto"/>
          <w:sz w:val="24"/>
          <w:szCs w:val="24"/>
          <w:highlight w:val="none"/>
          <w:shd w:val="clear" w:color="auto" w:fill="auto"/>
        </w:rPr>
      </w:pPr>
      <w:r>
        <w:rPr>
          <w:rFonts w:hAnsi="宋体"/>
          <w:color w:val="auto"/>
          <w:sz w:val="24"/>
          <w:szCs w:val="24"/>
          <w:highlight w:val="none"/>
          <w:shd w:val="clear" w:color="auto" w:fill="auto"/>
        </w:rPr>
        <w:t>3</w:t>
      </w:r>
      <w:r>
        <w:rPr>
          <w:rFonts w:hint="eastAsia" w:hAnsi="宋体"/>
          <w:color w:val="auto"/>
          <w:sz w:val="24"/>
          <w:szCs w:val="24"/>
          <w:highlight w:val="none"/>
          <w:shd w:val="clear" w:color="auto" w:fill="auto"/>
        </w:rPr>
        <w:t>、服务期限：本合同签订之日起至2023年12月31日。</w:t>
      </w:r>
    </w:p>
    <w:p>
      <w:pPr>
        <w:pStyle w:val="5"/>
        <w:numPr>
          <w:ilvl w:val="2"/>
          <w:numId w:val="0"/>
        </w:numPr>
        <w:snapToGrid w:val="0"/>
        <w:spacing w:before="0" w:after="0" w:line="360" w:lineRule="auto"/>
        <w:ind w:left="840" w:leftChars="200"/>
        <w:rPr>
          <w:rFonts w:ascii="宋体" w:hAnsi="宋体"/>
          <w:bCs/>
          <w:color w:val="auto"/>
          <w:sz w:val="24"/>
          <w:szCs w:val="24"/>
          <w:highlight w:val="none"/>
          <w:shd w:val="clear" w:color="auto" w:fill="auto"/>
        </w:rPr>
      </w:pPr>
      <w:bookmarkStart w:id="26" w:name="_Toc2882"/>
      <w:r>
        <w:rPr>
          <w:rFonts w:hint="eastAsia" w:ascii="宋体" w:hAnsi="宋体"/>
          <w:bCs/>
          <w:color w:val="auto"/>
          <w:sz w:val="24"/>
          <w:szCs w:val="24"/>
          <w:highlight w:val="none"/>
          <w:shd w:val="clear" w:color="auto" w:fill="auto"/>
        </w:rPr>
        <w:t>三、参选人资格条件</w:t>
      </w:r>
      <w:bookmarkEnd w:id="26"/>
    </w:p>
    <w:p>
      <w:pPr>
        <w:pStyle w:val="115"/>
        <w:numPr>
          <w:ilvl w:val="0"/>
          <w:numId w:val="9"/>
        </w:numPr>
        <w:adjustRightInd w:val="0"/>
        <w:snapToGrid w:val="0"/>
        <w:spacing w:line="336" w:lineRule="auto"/>
        <w:ind w:firstLine="426" w:firstLineChars="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公司资质：参选人必须是中华人民共和国境内注册的法人或非法人组织，注册成立时间不得晚于201</w:t>
      </w:r>
      <w:r>
        <w:rPr>
          <w:rFonts w:ascii="宋体" w:hAnsi="宋体"/>
          <w:color w:val="auto"/>
          <w:sz w:val="24"/>
          <w:szCs w:val="24"/>
          <w:highlight w:val="none"/>
          <w:shd w:val="clear" w:color="auto" w:fill="auto"/>
        </w:rPr>
        <w:t>8</w:t>
      </w:r>
      <w:r>
        <w:rPr>
          <w:rFonts w:hint="eastAsia" w:ascii="宋体" w:hAnsi="宋体"/>
          <w:color w:val="auto"/>
          <w:sz w:val="24"/>
          <w:szCs w:val="24"/>
          <w:highlight w:val="none"/>
          <w:shd w:val="clear" w:color="auto" w:fill="auto"/>
        </w:rPr>
        <w:t>年1月1日。</w:t>
      </w:r>
    </w:p>
    <w:p>
      <w:pPr>
        <w:pStyle w:val="115"/>
        <w:numPr>
          <w:ilvl w:val="0"/>
          <w:numId w:val="9"/>
        </w:numPr>
        <w:adjustRightInd w:val="0"/>
        <w:snapToGrid w:val="0"/>
        <w:spacing w:line="336" w:lineRule="auto"/>
        <w:ind w:firstLine="48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公司业绩：</w:t>
      </w:r>
      <w:r>
        <w:rPr>
          <w:rFonts w:hint="eastAsia" w:ascii="宋体" w:hAnsi="宋体"/>
          <w:color w:val="auto"/>
          <w:kern w:val="0"/>
          <w:sz w:val="24"/>
          <w:szCs w:val="24"/>
          <w:highlight w:val="none"/>
          <w:shd w:val="clear" w:color="auto" w:fill="auto"/>
        </w:rPr>
        <w:t>2019年1月1日至今，服务全国50强或深圳20强房地产开发公司品牌（全国50强排名参考2019年-2021年中指研究院或易居克尔瑞数据，深圳20强排名参考2019-2021年深圳房协数据）在北上广深一线城市的房地产项目营销活动，且活动金额在50万元以上的案例不少于2个。（一场活动算一个案例）。</w:t>
      </w:r>
    </w:p>
    <w:p>
      <w:pPr>
        <w:snapToGrid w:val="0"/>
        <w:spacing w:line="360" w:lineRule="auto"/>
        <w:ind w:firstLine="480" w:firstLineChars="200"/>
        <w:rPr>
          <w:rFonts w:ascii="宋体" w:hAnsi="宋体"/>
          <w:snapToGrid w:val="0"/>
          <w:color w:val="auto"/>
          <w:sz w:val="24"/>
          <w:szCs w:val="24"/>
          <w:highlight w:val="none"/>
          <w:shd w:val="clear" w:color="auto" w:fill="auto"/>
        </w:rPr>
      </w:pPr>
      <w:r>
        <w:rPr>
          <w:rFonts w:hint="eastAsia" w:ascii="宋体" w:hAnsi="宋体"/>
          <w:snapToGrid w:val="0"/>
          <w:color w:val="auto"/>
          <w:sz w:val="24"/>
          <w:szCs w:val="24"/>
          <w:highlight w:val="none"/>
          <w:shd w:val="clear" w:color="auto" w:fill="auto"/>
        </w:rPr>
        <w:t>（三）参选人不被接受情况如下：</w:t>
      </w:r>
    </w:p>
    <w:p>
      <w:pPr>
        <w:numPr>
          <w:ilvl w:val="0"/>
          <w:numId w:val="10"/>
        </w:numPr>
        <w:snapToGrid w:val="0"/>
        <w:spacing w:line="360" w:lineRule="auto"/>
        <w:ind w:left="420" w:leftChars="200" w:firstLine="636" w:firstLineChars="265"/>
        <w:rPr>
          <w:rFonts w:ascii="宋体" w:hAnsi="宋体"/>
          <w:snapToGrid w:val="0"/>
          <w:color w:val="auto"/>
          <w:sz w:val="24"/>
          <w:szCs w:val="24"/>
          <w:highlight w:val="none"/>
          <w:shd w:val="clear" w:color="auto" w:fill="auto"/>
        </w:rPr>
      </w:pPr>
      <w:r>
        <w:rPr>
          <w:rFonts w:hint="eastAsia" w:ascii="宋体" w:hAnsi="宋体"/>
          <w:color w:val="auto"/>
          <w:sz w:val="24"/>
          <w:szCs w:val="32"/>
          <w:highlight w:val="none"/>
          <w:shd w:val="clear" w:color="auto" w:fill="auto"/>
        </w:rPr>
        <w:t>自截标三年</w:t>
      </w:r>
      <w:r>
        <w:rPr>
          <w:rFonts w:hint="eastAsia" w:ascii="宋体" w:hAnsi="宋体"/>
          <w:snapToGrid w:val="0"/>
          <w:color w:val="auto"/>
          <w:sz w:val="24"/>
          <w:szCs w:val="24"/>
          <w:highlight w:val="none"/>
          <w:shd w:val="clear" w:color="auto" w:fill="auto"/>
        </w:rPr>
        <w:t>以来，因串通参选不良行为记录或涉嫌串通参选，正在接受城市主管部门调查的参选人；在招参选（询价）活动（包括在深圳地铁项目）中因串通参选（报价）被暂停参选（报价）资格期间的参选人；与深圳市地铁集团有限公司或其下属直管单位有过诉讼、仲裁史，且其诉讼请求、仲裁申请没有被法院、仲裁庭支持的参选人；正在与深圳市地铁集团有限公司或其下属单位进行诉讼、仲裁，且在截标前未达成和解或纠纷化解的的参选人。</w:t>
      </w:r>
    </w:p>
    <w:p>
      <w:pPr>
        <w:numPr>
          <w:ilvl w:val="0"/>
          <w:numId w:val="10"/>
        </w:numPr>
        <w:snapToGrid w:val="0"/>
        <w:spacing w:line="360" w:lineRule="auto"/>
        <w:ind w:left="420" w:leftChars="200" w:firstLine="636" w:firstLineChars="265"/>
        <w:rPr>
          <w:rFonts w:ascii="宋体" w:hAnsi="宋体"/>
          <w:snapToGrid w:val="0"/>
          <w:color w:val="auto"/>
          <w:sz w:val="24"/>
          <w:szCs w:val="24"/>
          <w:highlight w:val="none"/>
          <w:shd w:val="clear" w:color="auto" w:fill="auto"/>
        </w:rPr>
      </w:pPr>
      <w:r>
        <w:rPr>
          <w:rFonts w:hint="eastAsia" w:ascii="宋体" w:hAnsi="宋体"/>
          <w:snapToGrid w:val="0"/>
          <w:color w:val="auto"/>
          <w:sz w:val="24"/>
          <w:szCs w:val="24"/>
          <w:highlight w:val="none"/>
          <w:shd w:val="clear" w:color="auto" w:fill="auto"/>
        </w:rPr>
        <w:t>自截标前三年以来在深圳市地铁集团有限公司或下属单位在参选过程中、合同履约过程中有不良行为记录，或者有对深圳地铁置业集团有限公司声誉造成损害行为的，</w:t>
      </w:r>
      <w:r>
        <w:rPr>
          <w:rFonts w:ascii="宋体" w:hAnsi="宋体" w:cs="宋体"/>
          <w:color w:val="auto"/>
          <w:sz w:val="24"/>
          <w:szCs w:val="24"/>
          <w:highlight w:val="none"/>
          <w:shd w:val="clear" w:color="auto" w:fill="auto"/>
        </w:rPr>
        <w:t>履约评价为D级的</w:t>
      </w:r>
      <w:r>
        <w:rPr>
          <w:rFonts w:hint="eastAsia" w:ascii="宋体" w:hAnsi="宋体"/>
          <w:snapToGrid w:val="0"/>
          <w:color w:val="auto"/>
          <w:sz w:val="24"/>
          <w:szCs w:val="24"/>
          <w:highlight w:val="none"/>
          <w:shd w:val="clear" w:color="auto" w:fill="auto"/>
        </w:rPr>
        <w:t>。</w:t>
      </w:r>
    </w:p>
    <w:p>
      <w:pPr>
        <w:numPr>
          <w:ilvl w:val="0"/>
          <w:numId w:val="10"/>
        </w:numPr>
        <w:snapToGrid w:val="0"/>
        <w:spacing w:line="360" w:lineRule="auto"/>
        <w:ind w:left="420" w:leftChars="200" w:firstLine="636" w:firstLineChars="265"/>
        <w:rPr>
          <w:color w:val="auto"/>
          <w:highlight w:val="none"/>
          <w:shd w:val="clear" w:color="auto" w:fill="auto"/>
        </w:rPr>
      </w:pPr>
      <w:r>
        <w:rPr>
          <w:rFonts w:hint="eastAsia" w:ascii="宋体" w:hAnsi="宋体"/>
          <w:snapToGrid w:val="0"/>
          <w:color w:val="auto"/>
          <w:sz w:val="24"/>
          <w:szCs w:val="24"/>
          <w:highlight w:val="none"/>
          <w:shd w:val="clear" w:color="auto" w:fill="auto"/>
        </w:rPr>
        <w:t>联合体要求：不接受联合体参选。单位负责人为同一人或者存在控股、管理关系的不同单位，不得参加同一项目比选。</w:t>
      </w:r>
    </w:p>
    <w:p>
      <w:pPr>
        <w:pStyle w:val="5"/>
        <w:numPr>
          <w:ilvl w:val="0"/>
          <w:numId w:val="11"/>
        </w:numPr>
        <w:snapToGrid w:val="0"/>
        <w:spacing w:before="0" w:after="0" w:line="360" w:lineRule="auto"/>
        <w:ind w:left="840" w:leftChars="200"/>
        <w:rPr>
          <w:rFonts w:ascii="宋体" w:hAnsi="宋体"/>
          <w:bCs/>
          <w:color w:val="auto"/>
          <w:sz w:val="24"/>
          <w:szCs w:val="24"/>
          <w:highlight w:val="none"/>
          <w:shd w:val="clear" w:color="auto" w:fill="auto"/>
        </w:rPr>
      </w:pPr>
      <w:bookmarkStart w:id="27" w:name="_Toc26966"/>
      <w:r>
        <w:rPr>
          <w:rFonts w:hint="eastAsia" w:ascii="宋体" w:hAnsi="宋体"/>
          <w:bCs/>
          <w:color w:val="auto"/>
          <w:sz w:val="24"/>
          <w:szCs w:val="24"/>
          <w:highlight w:val="none"/>
          <w:shd w:val="clear" w:color="auto" w:fill="auto"/>
        </w:rPr>
        <w:t>比选的时间安排</w:t>
      </w:r>
      <w:bookmarkEnd w:id="27"/>
    </w:p>
    <w:tbl>
      <w:tblPr>
        <w:tblStyle w:val="48"/>
        <w:tblW w:w="93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3"/>
        <w:gridCol w:w="1361"/>
        <w:gridCol w:w="2123"/>
        <w:gridCol w:w="518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93" w:hRule="atLeast"/>
          <w:jc w:val="center"/>
        </w:trPr>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9"/>
              <w:adjustRightInd w:val="0"/>
              <w:snapToGrid w:val="0"/>
              <w:spacing w:line="336" w:lineRule="auto"/>
              <w:ind w:left="0" w:leftChars="0" w:firstLine="0" w:firstLineChars="0"/>
              <w:jc w:val="center"/>
              <w:rPr>
                <w:rFonts w:ascii="宋体" w:hAnsi="宋体"/>
                <w:b/>
                <w:color w:val="auto"/>
                <w:kern w:val="2"/>
                <w:sz w:val="20"/>
                <w:szCs w:val="20"/>
                <w:highlight w:val="none"/>
                <w:shd w:val="clear" w:color="auto" w:fill="auto"/>
              </w:rPr>
            </w:pPr>
            <w:r>
              <w:rPr>
                <w:rFonts w:hint="eastAsia" w:ascii="宋体" w:hAnsi="宋体"/>
                <w:b/>
                <w:color w:val="auto"/>
                <w:kern w:val="2"/>
                <w:sz w:val="20"/>
                <w:szCs w:val="20"/>
                <w:highlight w:val="none"/>
                <w:shd w:val="clear" w:color="auto" w:fill="auto"/>
              </w:rPr>
              <w:t>序号</w:t>
            </w:r>
          </w:p>
        </w:tc>
        <w:tc>
          <w:tcPr>
            <w:tcW w:w="136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9"/>
              <w:adjustRightInd w:val="0"/>
              <w:snapToGrid w:val="0"/>
              <w:spacing w:line="336" w:lineRule="auto"/>
              <w:ind w:left="0" w:leftChars="0" w:firstLine="0" w:firstLineChars="0"/>
              <w:jc w:val="center"/>
              <w:rPr>
                <w:rFonts w:ascii="宋体" w:hAnsi="宋体"/>
                <w:b/>
                <w:color w:val="auto"/>
                <w:kern w:val="2"/>
                <w:sz w:val="20"/>
                <w:szCs w:val="20"/>
                <w:highlight w:val="none"/>
                <w:shd w:val="clear" w:color="auto" w:fill="auto"/>
              </w:rPr>
            </w:pPr>
            <w:r>
              <w:rPr>
                <w:rFonts w:hint="eastAsia" w:ascii="宋体" w:hAnsi="宋体"/>
                <w:b/>
                <w:color w:val="auto"/>
                <w:kern w:val="2"/>
                <w:sz w:val="20"/>
                <w:szCs w:val="20"/>
                <w:highlight w:val="none"/>
                <w:shd w:val="clear" w:color="auto" w:fill="auto"/>
              </w:rPr>
              <w:t>内  容</w:t>
            </w:r>
          </w:p>
        </w:tc>
        <w:tc>
          <w:tcPr>
            <w:tcW w:w="212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9"/>
              <w:adjustRightInd w:val="0"/>
              <w:snapToGrid w:val="0"/>
              <w:spacing w:line="336" w:lineRule="auto"/>
              <w:ind w:left="0" w:leftChars="0" w:firstLine="0" w:firstLineChars="0"/>
              <w:jc w:val="center"/>
              <w:rPr>
                <w:rFonts w:ascii="宋体" w:hAnsi="宋体"/>
                <w:b/>
                <w:color w:val="auto"/>
                <w:kern w:val="2"/>
                <w:sz w:val="20"/>
                <w:szCs w:val="20"/>
                <w:highlight w:val="none"/>
                <w:shd w:val="clear" w:color="auto" w:fill="auto"/>
              </w:rPr>
            </w:pPr>
            <w:r>
              <w:rPr>
                <w:rFonts w:hint="eastAsia" w:ascii="宋体" w:hAnsi="宋体"/>
                <w:b/>
                <w:color w:val="auto"/>
                <w:kern w:val="2"/>
                <w:sz w:val="20"/>
                <w:szCs w:val="20"/>
                <w:highlight w:val="none"/>
                <w:shd w:val="clear" w:color="auto" w:fill="auto"/>
              </w:rPr>
              <w:t>时间安排</w:t>
            </w:r>
          </w:p>
        </w:tc>
        <w:tc>
          <w:tcPr>
            <w:tcW w:w="5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9"/>
              <w:adjustRightInd w:val="0"/>
              <w:snapToGrid w:val="0"/>
              <w:spacing w:line="336" w:lineRule="auto"/>
              <w:ind w:left="0" w:leftChars="0" w:firstLine="0" w:firstLineChars="0"/>
              <w:jc w:val="center"/>
              <w:rPr>
                <w:rFonts w:ascii="宋体" w:hAnsi="宋体"/>
                <w:b/>
                <w:color w:val="auto"/>
                <w:kern w:val="2"/>
                <w:sz w:val="20"/>
                <w:szCs w:val="20"/>
                <w:highlight w:val="none"/>
                <w:shd w:val="clear" w:color="auto" w:fill="auto"/>
              </w:rPr>
            </w:pPr>
            <w:r>
              <w:rPr>
                <w:rFonts w:hint="eastAsia" w:ascii="宋体" w:hAnsi="宋体"/>
                <w:b/>
                <w:color w:val="auto"/>
                <w:kern w:val="2"/>
                <w:sz w:val="20"/>
                <w:szCs w:val="20"/>
                <w:highlight w:val="none"/>
                <w:shd w:val="clear" w:color="auto" w:fill="auto"/>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1</w:t>
            </w:r>
          </w:p>
        </w:tc>
        <w:tc>
          <w:tcPr>
            <w:tcW w:w="1361"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发布比选公告（发标）</w:t>
            </w:r>
          </w:p>
        </w:tc>
        <w:tc>
          <w:tcPr>
            <w:tcW w:w="212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auto"/>
                <w:sz w:val="20"/>
                <w:szCs w:val="20"/>
                <w:highlight w:val="none"/>
                <w:shd w:val="clear" w:color="auto" w:fill="auto"/>
              </w:rPr>
            </w:pPr>
            <w:r>
              <w:rPr>
                <w:rFonts w:hint="eastAsia" w:ascii="宋体" w:hAnsi="宋体"/>
                <w:bCs/>
                <w:color w:val="auto"/>
                <w:sz w:val="20"/>
                <w:szCs w:val="20"/>
                <w:highlight w:val="none"/>
                <w:shd w:val="clear" w:color="auto" w:fill="auto"/>
                <w:lang w:val="en-US" w:eastAsia="zh-CN"/>
              </w:rPr>
              <w:t>10</w:t>
            </w:r>
            <w:r>
              <w:rPr>
                <w:rFonts w:hint="eastAsia" w:ascii="宋体" w:hAnsi="宋体"/>
                <w:bCs/>
                <w:color w:val="auto"/>
                <w:sz w:val="20"/>
                <w:szCs w:val="20"/>
                <w:highlight w:val="none"/>
                <w:shd w:val="clear" w:color="auto" w:fill="auto"/>
              </w:rPr>
              <w:t>月</w:t>
            </w:r>
            <w:r>
              <w:rPr>
                <w:rFonts w:hint="eastAsia" w:ascii="宋体" w:hAnsi="宋体"/>
                <w:bCs/>
                <w:color w:val="auto"/>
                <w:sz w:val="20"/>
                <w:szCs w:val="20"/>
                <w:highlight w:val="none"/>
                <w:shd w:val="clear" w:color="auto" w:fill="auto"/>
                <w:lang w:val="en-US" w:eastAsia="zh-CN"/>
              </w:rPr>
              <w:t>14</w:t>
            </w:r>
            <w:r>
              <w:rPr>
                <w:rFonts w:hint="eastAsia" w:ascii="宋体" w:hAnsi="宋体"/>
                <w:bCs/>
                <w:color w:val="auto"/>
                <w:sz w:val="20"/>
                <w:szCs w:val="20"/>
                <w:highlight w:val="none"/>
                <w:shd w:val="clear" w:color="auto" w:fill="auto"/>
              </w:rPr>
              <w:t>日</w:t>
            </w:r>
          </w:p>
        </w:tc>
        <w:tc>
          <w:tcPr>
            <w:tcW w:w="5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9"/>
              <w:adjustRightInd w:val="0"/>
              <w:snapToGrid w:val="0"/>
              <w:spacing w:line="336" w:lineRule="auto"/>
              <w:ind w:left="0" w:leftChars="0" w:firstLine="0" w:firstLineChars="0"/>
              <w:jc w:val="left"/>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深圳地铁公司官网、国资委阳光采购平台、深铁招采网、深铁置业微信订阅号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52"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2</w:t>
            </w:r>
          </w:p>
        </w:tc>
        <w:tc>
          <w:tcPr>
            <w:tcW w:w="1361"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ascii="宋体" w:hAnsi="宋体"/>
                <w:bCs/>
                <w:color w:val="auto"/>
                <w:kern w:val="2"/>
                <w:sz w:val="20"/>
                <w:szCs w:val="20"/>
                <w:highlight w:val="none"/>
                <w:shd w:val="clear" w:color="auto" w:fill="auto"/>
              </w:rPr>
              <w:t>截</w:t>
            </w:r>
            <w:r>
              <w:rPr>
                <w:rFonts w:hint="eastAsia" w:ascii="宋体" w:hAnsi="宋体"/>
                <w:bCs/>
                <w:color w:val="auto"/>
                <w:kern w:val="2"/>
                <w:sz w:val="20"/>
                <w:szCs w:val="20"/>
                <w:highlight w:val="none"/>
                <w:shd w:val="clear" w:color="auto" w:fill="auto"/>
              </w:rPr>
              <w:t>标</w:t>
            </w:r>
          </w:p>
        </w:tc>
        <w:tc>
          <w:tcPr>
            <w:tcW w:w="212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auto"/>
                <w:sz w:val="20"/>
                <w:szCs w:val="20"/>
                <w:highlight w:val="none"/>
                <w:shd w:val="clear" w:color="auto" w:fill="auto"/>
              </w:rPr>
            </w:pPr>
            <w:r>
              <w:rPr>
                <w:rFonts w:hint="eastAsia" w:ascii="宋体" w:hAnsi="宋体"/>
                <w:bCs/>
                <w:color w:val="auto"/>
                <w:sz w:val="20"/>
                <w:szCs w:val="20"/>
                <w:highlight w:val="none"/>
                <w:shd w:val="clear" w:color="auto" w:fill="auto"/>
              </w:rPr>
              <w:t>10月</w:t>
            </w:r>
            <w:r>
              <w:rPr>
                <w:rFonts w:hint="eastAsia" w:ascii="宋体" w:hAnsi="宋体"/>
                <w:bCs/>
                <w:color w:val="auto"/>
                <w:sz w:val="20"/>
                <w:szCs w:val="20"/>
                <w:highlight w:val="none"/>
                <w:shd w:val="clear" w:color="auto" w:fill="auto"/>
                <w:lang w:val="en-US" w:eastAsia="zh-CN"/>
              </w:rPr>
              <w:t>25</w:t>
            </w:r>
            <w:r>
              <w:rPr>
                <w:rFonts w:hint="eastAsia" w:ascii="宋体" w:hAnsi="宋体"/>
                <w:bCs/>
                <w:color w:val="auto"/>
                <w:sz w:val="20"/>
                <w:szCs w:val="20"/>
                <w:highlight w:val="none"/>
                <w:shd w:val="clear" w:color="auto" w:fill="auto"/>
              </w:rPr>
              <w:t>日上午9:30</w:t>
            </w:r>
          </w:p>
          <w:p>
            <w:pPr>
              <w:adjustRightInd w:val="0"/>
              <w:snapToGrid w:val="0"/>
              <w:spacing w:line="336" w:lineRule="auto"/>
              <w:rPr>
                <w:rFonts w:ascii="宋体" w:hAnsi="宋体"/>
                <w:bCs/>
                <w:color w:val="auto"/>
                <w:sz w:val="20"/>
                <w:szCs w:val="20"/>
                <w:highlight w:val="none"/>
                <w:shd w:val="clear" w:color="auto" w:fill="auto"/>
              </w:rPr>
            </w:pPr>
          </w:p>
        </w:tc>
        <w:tc>
          <w:tcPr>
            <w:tcW w:w="5185"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left"/>
              <w:rPr>
                <w:rFonts w:ascii="宋体" w:hAnsi="宋体"/>
                <w:bCs/>
                <w:color w:val="auto"/>
                <w:kern w:val="2"/>
                <w:sz w:val="20"/>
                <w:szCs w:val="20"/>
                <w:highlight w:val="none"/>
                <w:shd w:val="clear" w:color="auto" w:fill="auto"/>
              </w:rPr>
            </w:pPr>
            <w:r>
              <w:rPr>
                <w:rFonts w:ascii="宋体" w:hAnsi="宋体"/>
                <w:bCs/>
                <w:color w:val="auto"/>
                <w:kern w:val="2"/>
                <w:sz w:val="20"/>
                <w:szCs w:val="20"/>
                <w:highlight w:val="none"/>
                <w:shd w:val="clear" w:color="auto" w:fill="auto"/>
              </w:rPr>
              <w:t>参选文件递交平台</w:t>
            </w:r>
            <w:r>
              <w:rPr>
                <w:rFonts w:hint="eastAsia" w:ascii="宋体" w:hAnsi="宋体"/>
                <w:bCs/>
                <w:color w:val="auto"/>
                <w:kern w:val="2"/>
                <w:sz w:val="20"/>
                <w:szCs w:val="20"/>
                <w:highlight w:val="none"/>
                <w:shd w:val="clear" w:color="auto" w:fill="auto"/>
              </w:rPr>
              <w:t>(仅接收电子版)</w:t>
            </w:r>
            <w:r>
              <w:rPr>
                <w:rFonts w:ascii="宋体" w:hAnsi="宋体"/>
                <w:bCs/>
                <w:color w:val="auto"/>
                <w:kern w:val="2"/>
                <w:sz w:val="20"/>
                <w:szCs w:val="20"/>
                <w:highlight w:val="none"/>
                <w:shd w:val="clear" w:color="auto" w:fill="auto"/>
              </w:rPr>
              <w:t>：</w:t>
            </w:r>
            <w:r>
              <w:rPr>
                <w:rFonts w:hint="eastAsia" w:ascii="宋体" w:hAnsi="宋体"/>
                <w:bCs/>
                <w:color w:val="auto"/>
                <w:kern w:val="2"/>
                <w:sz w:val="20"/>
                <w:szCs w:val="20"/>
                <w:highlight w:val="none"/>
                <w:shd w:val="clear" w:color="auto" w:fill="auto"/>
              </w:rPr>
              <w:t>深圳地铁智能招采管理平台（</w:t>
            </w:r>
            <w:r>
              <w:rPr>
                <w:rFonts w:ascii="宋体" w:hAnsi="宋体"/>
                <w:bCs/>
                <w:color w:val="auto"/>
                <w:kern w:val="2"/>
                <w:sz w:val="20"/>
                <w:szCs w:val="20"/>
                <w:highlight w:val="none"/>
                <w:shd w:val="clear" w:color="auto" w:fill="auto"/>
              </w:rPr>
              <w:t>https://cg.shenzhenmc.com/）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52"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3</w:t>
            </w:r>
          </w:p>
        </w:tc>
        <w:tc>
          <w:tcPr>
            <w:tcW w:w="1361"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述标</w:t>
            </w:r>
          </w:p>
        </w:tc>
        <w:tc>
          <w:tcPr>
            <w:tcW w:w="212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auto"/>
                <w:sz w:val="20"/>
                <w:szCs w:val="20"/>
                <w:highlight w:val="none"/>
                <w:shd w:val="clear" w:color="auto" w:fill="auto"/>
              </w:rPr>
            </w:pPr>
            <w:r>
              <w:rPr>
                <w:rFonts w:hint="eastAsia" w:ascii="宋体" w:hAnsi="宋体"/>
                <w:bCs/>
                <w:color w:val="auto"/>
                <w:sz w:val="20"/>
                <w:szCs w:val="20"/>
                <w:highlight w:val="none"/>
                <w:shd w:val="clear" w:color="auto" w:fill="auto"/>
              </w:rPr>
              <w:t>10月</w:t>
            </w:r>
            <w:r>
              <w:rPr>
                <w:rFonts w:hint="eastAsia" w:ascii="宋体" w:hAnsi="宋体"/>
                <w:bCs/>
                <w:color w:val="auto"/>
                <w:sz w:val="20"/>
                <w:szCs w:val="20"/>
                <w:highlight w:val="none"/>
                <w:shd w:val="clear" w:color="auto" w:fill="auto"/>
                <w:lang w:val="en-US" w:eastAsia="zh-CN"/>
              </w:rPr>
              <w:t>25</w:t>
            </w:r>
            <w:r>
              <w:rPr>
                <w:rFonts w:hint="eastAsia" w:ascii="宋体" w:hAnsi="宋体"/>
                <w:bCs/>
                <w:color w:val="auto"/>
                <w:sz w:val="20"/>
                <w:szCs w:val="20"/>
                <w:highlight w:val="none"/>
                <w:shd w:val="clear" w:color="auto" w:fill="auto"/>
              </w:rPr>
              <w:t>日上午</w:t>
            </w:r>
            <w:r>
              <w:rPr>
                <w:rFonts w:ascii="宋体" w:hAnsi="宋体"/>
                <w:bCs/>
                <w:color w:val="auto"/>
                <w:sz w:val="20"/>
                <w:szCs w:val="20"/>
                <w:highlight w:val="none"/>
                <w:shd w:val="clear" w:color="auto" w:fill="auto"/>
              </w:rPr>
              <w:t>9:30</w:t>
            </w:r>
          </w:p>
        </w:tc>
        <w:tc>
          <w:tcPr>
            <w:tcW w:w="5185"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left"/>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述标地点：深铁置业大厦指定会议室</w:t>
            </w:r>
          </w:p>
          <w:p>
            <w:pPr>
              <w:pStyle w:val="19"/>
              <w:adjustRightInd w:val="0"/>
              <w:snapToGrid w:val="0"/>
              <w:spacing w:line="336" w:lineRule="auto"/>
              <w:ind w:left="0" w:leftChars="0" w:firstLine="0" w:firstLineChars="0"/>
              <w:jc w:val="left"/>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（请持</w:t>
            </w:r>
            <w:r>
              <w:rPr>
                <w:rFonts w:ascii="宋体" w:hAnsi="宋体"/>
                <w:bCs/>
                <w:color w:val="auto"/>
                <w:kern w:val="2"/>
                <w:sz w:val="20"/>
                <w:szCs w:val="20"/>
                <w:highlight w:val="none"/>
                <w:shd w:val="clear" w:color="auto" w:fill="auto"/>
              </w:rPr>
              <w:t>24</w:t>
            </w:r>
            <w:r>
              <w:rPr>
                <w:rFonts w:hint="eastAsia" w:ascii="宋体" w:hAnsi="宋体"/>
                <w:bCs/>
                <w:color w:val="auto"/>
                <w:kern w:val="2"/>
                <w:sz w:val="20"/>
                <w:szCs w:val="20"/>
                <w:highlight w:val="none"/>
                <w:shd w:val="clear" w:color="auto" w:fill="auto"/>
              </w:rPr>
              <w:t>小时内核酸检测结果并申请报备方可入内）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ascii="宋体" w:hAnsi="宋体"/>
                <w:bCs/>
                <w:color w:val="auto"/>
                <w:kern w:val="2"/>
                <w:sz w:val="20"/>
                <w:szCs w:val="20"/>
                <w:highlight w:val="none"/>
                <w:shd w:val="clear" w:color="auto" w:fill="auto"/>
              </w:rPr>
              <w:t>4</w:t>
            </w:r>
          </w:p>
        </w:tc>
        <w:tc>
          <w:tcPr>
            <w:tcW w:w="1361"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hint="eastAsia" w:ascii="宋体" w:hAnsi="宋体" w:cs="宋体"/>
                <w:bCs/>
                <w:color w:val="auto"/>
                <w:kern w:val="2"/>
                <w:sz w:val="22"/>
                <w:szCs w:val="22"/>
                <w:highlight w:val="none"/>
                <w:shd w:val="clear" w:color="auto" w:fill="auto"/>
              </w:rPr>
              <w:t>评标</w:t>
            </w:r>
          </w:p>
        </w:tc>
        <w:tc>
          <w:tcPr>
            <w:tcW w:w="212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auto"/>
                <w:sz w:val="20"/>
                <w:szCs w:val="20"/>
                <w:highlight w:val="none"/>
                <w:shd w:val="clear" w:color="auto" w:fill="auto"/>
              </w:rPr>
            </w:pPr>
            <w:r>
              <w:rPr>
                <w:rFonts w:hint="eastAsia" w:ascii="宋体" w:hAnsi="宋体"/>
                <w:bCs/>
                <w:color w:val="auto"/>
                <w:sz w:val="20"/>
                <w:szCs w:val="20"/>
                <w:highlight w:val="none"/>
                <w:shd w:val="clear" w:color="auto" w:fill="auto"/>
              </w:rPr>
              <w:t>10月</w:t>
            </w:r>
            <w:r>
              <w:rPr>
                <w:rFonts w:hint="eastAsia" w:ascii="宋体" w:hAnsi="宋体"/>
                <w:bCs/>
                <w:color w:val="auto"/>
                <w:sz w:val="20"/>
                <w:szCs w:val="20"/>
                <w:highlight w:val="none"/>
                <w:shd w:val="clear" w:color="auto" w:fill="auto"/>
                <w:lang w:val="en-US" w:eastAsia="zh-CN"/>
              </w:rPr>
              <w:t>26</w:t>
            </w:r>
            <w:r>
              <w:rPr>
                <w:rFonts w:hint="eastAsia" w:ascii="宋体" w:hAnsi="宋体"/>
                <w:bCs/>
                <w:color w:val="auto"/>
                <w:sz w:val="20"/>
                <w:szCs w:val="20"/>
                <w:highlight w:val="none"/>
                <w:shd w:val="clear" w:color="auto" w:fill="auto"/>
              </w:rPr>
              <w:t>日上午</w:t>
            </w:r>
            <w:r>
              <w:rPr>
                <w:rFonts w:ascii="宋体" w:hAnsi="宋体"/>
                <w:bCs/>
                <w:color w:val="auto"/>
                <w:sz w:val="20"/>
                <w:szCs w:val="20"/>
                <w:highlight w:val="none"/>
                <w:shd w:val="clear" w:color="auto" w:fill="auto"/>
              </w:rPr>
              <w:t>9:30</w:t>
            </w:r>
          </w:p>
        </w:tc>
        <w:tc>
          <w:tcPr>
            <w:tcW w:w="5185"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left"/>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地点：地铁大厦智能评定标中心会议室</w:t>
            </w:r>
          </w:p>
          <w:p>
            <w:pPr>
              <w:pStyle w:val="19"/>
              <w:adjustRightInd w:val="0"/>
              <w:snapToGrid w:val="0"/>
              <w:spacing w:line="336" w:lineRule="auto"/>
              <w:ind w:left="0" w:leftChars="0" w:firstLine="0" w:firstLineChars="0"/>
              <w:jc w:val="left"/>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（请持</w:t>
            </w:r>
            <w:r>
              <w:rPr>
                <w:rFonts w:ascii="宋体" w:hAnsi="宋体"/>
                <w:bCs/>
                <w:color w:val="auto"/>
                <w:kern w:val="2"/>
                <w:sz w:val="20"/>
                <w:szCs w:val="20"/>
                <w:highlight w:val="none"/>
                <w:shd w:val="clear" w:color="auto" w:fill="auto"/>
              </w:rPr>
              <w:t>24</w:t>
            </w:r>
            <w:r>
              <w:rPr>
                <w:rFonts w:hint="eastAsia" w:ascii="宋体" w:hAnsi="宋体"/>
                <w:bCs/>
                <w:color w:val="auto"/>
                <w:kern w:val="2"/>
                <w:sz w:val="20"/>
                <w:szCs w:val="20"/>
                <w:highlight w:val="none"/>
                <w:shd w:val="clear" w:color="auto" w:fill="auto"/>
              </w:rPr>
              <w:t>小时内核酸检测结果并申请报备方可入内）</w:t>
            </w:r>
          </w:p>
        </w:tc>
      </w:tr>
    </w:tbl>
    <w:p>
      <w:pPr>
        <w:rPr>
          <w:color w:val="auto"/>
          <w:highlight w:val="none"/>
          <w:shd w:val="clear" w:color="auto" w:fill="auto"/>
        </w:rPr>
      </w:pPr>
    </w:p>
    <w:p>
      <w:pPr>
        <w:pStyle w:val="19"/>
        <w:spacing w:line="480" w:lineRule="atLeast"/>
        <w:ind w:left="0" w:leftChars="0" w:firstLine="0" w:firstLineChars="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注：以上地点有可能变动。如有变动，以比选人的最新通知为准。</w:t>
      </w:r>
    </w:p>
    <w:p>
      <w:pPr>
        <w:pStyle w:val="5"/>
        <w:numPr>
          <w:ilvl w:val="2"/>
          <w:numId w:val="0"/>
        </w:numPr>
        <w:spacing w:before="240" w:beforeLines="100" w:after="120" w:afterLines="50" w:line="480" w:lineRule="atLeast"/>
        <w:ind w:firstLine="472" w:firstLineChars="196"/>
        <w:rPr>
          <w:rFonts w:ascii="宋体" w:hAnsi="宋体"/>
          <w:bCs/>
          <w:color w:val="auto"/>
          <w:sz w:val="24"/>
          <w:szCs w:val="24"/>
          <w:highlight w:val="none"/>
          <w:shd w:val="clear" w:color="auto" w:fill="auto"/>
        </w:rPr>
      </w:pPr>
      <w:bookmarkStart w:id="28" w:name="_Toc30701"/>
      <w:r>
        <w:rPr>
          <w:rFonts w:hint="eastAsia" w:ascii="宋体" w:hAnsi="宋体"/>
          <w:bCs/>
          <w:color w:val="auto"/>
          <w:sz w:val="24"/>
          <w:szCs w:val="24"/>
          <w:highlight w:val="none"/>
          <w:shd w:val="clear" w:color="auto" w:fill="auto"/>
        </w:rPr>
        <w:t>五、参选费用</w:t>
      </w:r>
      <w:bookmarkEnd w:id="28"/>
    </w:p>
    <w:p>
      <w:pPr>
        <w:pStyle w:val="24"/>
        <w:tabs>
          <w:tab w:val="right" w:pos="9026"/>
        </w:tabs>
        <w:spacing w:line="480" w:lineRule="atLeast"/>
        <w:ind w:firstLine="480" w:firstLineChars="200"/>
        <w:rPr>
          <w:rFonts w:hAnsi="宋体"/>
          <w:bCs/>
          <w:color w:val="auto"/>
          <w:sz w:val="24"/>
          <w:szCs w:val="22"/>
          <w:highlight w:val="none"/>
          <w:shd w:val="clear" w:color="auto" w:fill="auto"/>
        </w:rPr>
      </w:pPr>
      <w:r>
        <w:rPr>
          <w:rFonts w:hint="eastAsia" w:hAnsi="宋体"/>
          <w:bCs/>
          <w:color w:val="auto"/>
          <w:sz w:val="24"/>
          <w:szCs w:val="22"/>
          <w:highlight w:val="none"/>
          <w:shd w:val="clear" w:color="auto" w:fill="auto"/>
        </w:rPr>
        <w:t>参选人</w:t>
      </w:r>
      <w:r>
        <w:rPr>
          <w:rFonts w:hAnsi="宋体"/>
          <w:bCs/>
          <w:color w:val="auto"/>
          <w:sz w:val="24"/>
          <w:szCs w:val="22"/>
          <w:highlight w:val="none"/>
          <w:shd w:val="clear" w:color="auto" w:fill="auto"/>
        </w:rPr>
        <w:t>应承担所有与准备和参加参选有关的费用。</w:t>
      </w:r>
      <w:r>
        <w:rPr>
          <w:rFonts w:hint="eastAsia" w:hAnsi="宋体"/>
          <w:bCs/>
          <w:color w:val="auto"/>
          <w:sz w:val="24"/>
          <w:szCs w:val="22"/>
          <w:highlight w:val="none"/>
          <w:shd w:val="clear" w:color="auto" w:fill="auto"/>
        </w:rPr>
        <w:t>无论参选</w:t>
      </w:r>
      <w:r>
        <w:rPr>
          <w:rFonts w:hAnsi="宋体"/>
          <w:bCs/>
          <w:color w:val="auto"/>
          <w:sz w:val="24"/>
          <w:szCs w:val="22"/>
          <w:highlight w:val="none"/>
          <w:shd w:val="clear" w:color="auto" w:fill="auto"/>
        </w:rPr>
        <w:t>的结果如何，参选人均自行承担因参加参选</w:t>
      </w:r>
      <w:r>
        <w:rPr>
          <w:rFonts w:hint="eastAsia" w:hAnsi="宋体"/>
          <w:bCs/>
          <w:color w:val="auto"/>
          <w:sz w:val="24"/>
          <w:szCs w:val="22"/>
          <w:highlight w:val="none"/>
          <w:shd w:val="clear" w:color="auto" w:fill="auto"/>
        </w:rPr>
        <w:t>而</w:t>
      </w:r>
      <w:r>
        <w:rPr>
          <w:rFonts w:hAnsi="宋体"/>
          <w:bCs/>
          <w:color w:val="auto"/>
          <w:sz w:val="24"/>
          <w:szCs w:val="22"/>
          <w:highlight w:val="none"/>
          <w:shd w:val="clear" w:color="auto" w:fill="auto"/>
        </w:rPr>
        <w:t>发生的一切费用。</w:t>
      </w:r>
    </w:p>
    <w:p>
      <w:pPr>
        <w:pStyle w:val="5"/>
        <w:numPr>
          <w:ilvl w:val="2"/>
          <w:numId w:val="0"/>
        </w:numPr>
        <w:snapToGrid w:val="0"/>
        <w:spacing w:before="0" w:after="0" w:line="360" w:lineRule="auto"/>
        <w:ind w:left="840" w:leftChars="200"/>
        <w:rPr>
          <w:rFonts w:ascii="宋体" w:hAnsi="宋体"/>
          <w:bCs/>
          <w:color w:val="auto"/>
          <w:sz w:val="24"/>
          <w:szCs w:val="24"/>
          <w:highlight w:val="none"/>
          <w:shd w:val="clear" w:color="auto" w:fill="auto"/>
        </w:rPr>
      </w:pPr>
      <w:bookmarkStart w:id="29" w:name="_Toc518494124"/>
      <w:bookmarkStart w:id="30" w:name="_Toc25314"/>
      <w:r>
        <w:rPr>
          <w:rFonts w:hint="eastAsia" w:ascii="宋体" w:hAnsi="宋体"/>
          <w:bCs/>
          <w:color w:val="auto"/>
          <w:sz w:val="24"/>
          <w:szCs w:val="24"/>
          <w:highlight w:val="none"/>
          <w:shd w:val="clear" w:color="auto" w:fill="auto"/>
        </w:rPr>
        <w:t>六、参选报价限价</w:t>
      </w:r>
      <w:bookmarkEnd w:id="29"/>
      <w:bookmarkEnd w:id="30"/>
    </w:p>
    <w:p>
      <w:pPr>
        <w:pStyle w:val="24"/>
        <w:tabs>
          <w:tab w:val="right" w:pos="9026"/>
        </w:tabs>
        <w:snapToGrid w:val="0"/>
        <w:spacing w:line="336" w:lineRule="auto"/>
        <w:ind w:firstLine="480" w:firstLineChars="200"/>
        <w:rPr>
          <w:rFonts w:hAnsi="宋体"/>
          <w:color w:val="auto"/>
          <w:sz w:val="24"/>
          <w:szCs w:val="24"/>
          <w:highlight w:val="none"/>
          <w:shd w:val="clear" w:color="auto" w:fill="auto"/>
        </w:rPr>
      </w:pPr>
      <w:r>
        <w:rPr>
          <w:rFonts w:hint="eastAsia" w:hAnsi="宋体"/>
          <w:color w:val="auto"/>
          <w:sz w:val="24"/>
          <w:szCs w:val="24"/>
          <w:highlight w:val="none"/>
          <w:shd w:val="clear" w:color="auto" w:fill="auto"/>
        </w:rPr>
        <w:t>本次比选报价总费用最高限价为人民币</w:t>
      </w:r>
      <w:r>
        <w:rPr>
          <w:rFonts w:hint="eastAsia" w:hAnsi="宋体"/>
          <w:color w:val="auto"/>
          <w:sz w:val="24"/>
          <w:szCs w:val="24"/>
          <w:highlight w:val="none"/>
          <w:shd w:val="clear" w:color="auto" w:fill="auto"/>
          <w:lang w:val="en-US" w:eastAsia="zh-CN"/>
        </w:rPr>
        <w:t>377.4</w:t>
      </w:r>
      <w:r>
        <w:rPr>
          <w:rFonts w:hint="eastAsia" w:hAnsi="宋体"/>
          <w:color w:val="auto"/>
          <w:sz w:val="24"/>
          <w:szCs w:val="24"/>
          <w:highlight w:val="none"/>
          <w:shd w:val="clear" w:color="auto" w:fill="auto"/>
        </w:rPr>
        <w:t>万元（含税），参选人报价不能超过本次比选总上限价及每个项目最高限价，具体细项最高限价详见下表（万元，含税）：</w:t>
      </w:r>
    </w:p>
    <w:p>
      <w:pPr>
        <w:pStyle w:val="24"/>
        <w:tabs>
          <w:tab w:val="right" w:pos="9026"/>
        </w:tabs>
        <w:snapToGrid w:val="0"/>
        <w:spacing w:line="336" w:lineRule="auto"/>
        <w:ind w:firstLine="480" w:firstLineChars="200"/>
        <w:rPr>
          <w:rFonts w:hAnsi="宋体"/>
          <w:color w:val="auto"/>
          <w:sz w:val="24"/>
          <w:szCs w:val="24"/>
          <w:highlight w:val="none"/>
          <w:shd w:val="clear" w:color="auto" w:fill="auto"/>
        </w:rPr>
      </w:pPr>
      <w:r>
        <w:rPr>
          <w:rFonts w:hint="eastAsia" w:hAnsi="宋体"/>
          <w:color w:val="auto"/>
          <w:sz w:val="24"/>
          <w:szCs w:val="24"/>
          <w:highlight w:val="none"/>
          <w:shd w:val="clear" w:color="auto" w:fill="auto"/>
        </w:rPr>
        <w:t>【注：各项具体细项的最终报价均不能超过以下细项最高限价】</w:t>
      </w:r>
    </w:p>
    <w:tbl>
      <w:tblPr>
        <w:tblStyle w:val="48"/>
        <w:tblW w:w="87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1681"/>
        <w:gridCol w:w="3546"/>
        <w:gridCol w:w="2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7" w:hRule="atLeast"/>
          <w:jc w:val="center"/>
        </w:trPr>
        <w:tc>
          <w:tcPr>
            <w:tcW w:w="79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序号</w:t>
            </w:r>
          </w:p>
        </w:tc>
        <w:tc>
          <w:tcPr>
            <w:tcW w:w="152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分类</w:t>
            </w:r>
          </w:p>
        </w:tc>
        <w:tc>
          <w:tcPr>
            <w:tcW w:w="3215"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xml:space="preserve">细项    </w:t>
            </w:r>
          </w:p>
        </w:tc>
        <w:tc>
          <w:tcPr>
            <w:tcW w:w="2385"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控制价（万元，含税）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7" w:hRule="atLeast"/>
          <w:jc w:val="center"/>
        </w:trPr>
        <w:tc>
          <w:tcPr>
            <w:tcW w:w="79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152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场地租赁</w:t>
            </w:r>
          </w:p>
        </w:tc>
        <w:tc>
          <w:tcPr>
            <w:tcW w:w="3215"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场地租赁</w:t>
            </w:r>
          </w:p>
        </w:tc>
        <w:tc>
          <w:tcPr>
            <w:tcW w:w="2385"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22.4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7" w:hRule="atLeast"/>
          <w:jc w:val="center"/>
        </w:trPr>
        <w:tc>
          <w:tcPr>
            <w:tcW w:w="794" w:type="dxa"/>
            <w:vMerge w:val="restart"/>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1524" w:type="dxa"/>
            <w:vMerge w:val="restart"/>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活动部分</w:t>
            </w:r>
          </w:p>
        </w:tc>
        <w:tc>
          <w:tcPr>
            <w:tcW w:w="3215"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KOL邀请</w:t>
            </w:r>
          </w:p>
        </w:tc>
        <w:tc>
          <w:tcPr>
            <w:tcW w:w="2385"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4"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1524"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3215"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活动执行</w:t>
            </w:r>
          </w:p>
        </w:tc>
        <w:tc>
          <w:tcPr>
            <w:tcW w:w="2385"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4"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1524"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3215"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小计</w:t>
            </w:r>
          </w:p>
        </w:tc>
        <w:tc>
          <w:tcPr>
            <w:tcW w:w="2385"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4"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w:t>
            </w:r>
          </w:p>
        </w:tc>
        <w:tc>
          <w:tcPr>
            <w:tcW w:w="152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影视片</w:t>
            </w:r>
          </w:p>
        </w:tc>
        <w:tc>
          <w:tcPr>
            <w:tcW w:w="3215"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影视片</w:t>
            </w:r>
          </w:p>
        </w:tc>
        <w:tc>
          <w:tcPr>
            <w:tcW w:w="2385"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7" w:hRule="atLeast"/>
          <w:jc w:val="center"/>
        </w:trPr>
        <w:tc>
          <w:tcPr>
            <w:tcW w:w="794" w:type="dxa"/>
            <w:vMerge w:val="restart"/>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4</w:t>
            </w:r>
          </w:p>
        </w:tc>
        <w:tc>
          <w:tcPr>
            <w:tcW w:w="1524" w:type="dxa"/>
            <w:vMerge w:val="restart"/>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宣传推广</w:t>
            </w:r>
          </w:p>
        </w:tc>
        <w:tc>
          <w:tcPr>
            <w:tcW w:w="3215" w:type="dxa"/>
            <w:noWrap w:val="0"/>
            <w:vAlign w:val="center"/>
          </w:tcPr>
          <w:p>
            <w:pPr>
              <w:pStyle w:val="47"/>
              <w:spacing w:line="240" w:lineRule="exact"/>
              <w:ind w:left="540" w:leftChars="257" w:firstLine="0" w:firstLineChars="0"/>
              <w:jc w:val="center"/>
              <w:rPr>
                <w:rFonts w:hint="eastAsia" w:ascii="宋体" w:hAnsi="宋体" w:cs="宋体"/>
                <w:color w:val="auto"/>
                <w:kern w:val="0"/>
                <w:sz w:val="18"/>
                <w:szCs w:val="20"/>
                <w:highlight w:val="none"/>
                <w:shd w:val="clear" w:color="auto" w:fill="auto"/>
              </w:rPr>
            </w:pPr>
            <w:r>
              <w:rPr>
                <w:rFonts w:hint="eastAsia"/>
                <w:color w:val="auto"/>
                <w:sz w:val="22"/>
                <w:szCs w:val="22"/>
                <w:shd w:val="clear" w:color="auto" w:fill="auto"/>
                <w:lang w:val="en-US" w:eastAsia="zh-CN"/>
              </w:rPr>
              <w:t>自媒体大V推广</w:t>
            </w:r>
          </w:p>
        </w:tc>
        <w:tc>
          <w:tcPr>
            <w:tcW w:w="2385" w:type="dxa"/>
            <w:noWrap w:val="0"/>
            <w:vAlign w:val="center"/>
          </w:tcPr>
          <w:p>
            <w:pPr>
              <w:widowControl/>
              <w:adjustRightInd w:val="0"/>
              <w:snapToGrid w:val="0"/>
              <w:ind w:left="0" w:leftChars="0" w:firstLine="0" w:firstLineChars="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 w:val="21"/>
                <w:szCs w:val="21"/>
                <w:highlight w:val="none"/>
                <w:shd w:val="clear" w:color="auto" w:fill="auto"/>
                <w:lang w:val="en-US" w:eastAsia="zh-CN"/>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4"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524"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3215" w:type="dxa"/>
            <w:noWrap w:val="0"/>
            <w:vAlign w:val="center"/>
          </w:tcPr>
          <w:p>
            <w:pPr>
              <w:pStyle w:val="47"/>
              <w:spacing w:line="240" w:lineRule="exact"/>
              <w:ind w:left="540" w:leftChars="257" w:firstLine="0" w:firstLineChars="0"/>
              <w:jc w:val="center"/>
              <w:rPr>
                <w:rFonts w:hint="eastAsia" w:ascii="宋体" w:hAnsi="宋体" w:cs="宋体"/>
                <w:color w:val="auto"/>
                <w:kern w:val="0"/>
                <w:sz w:val="18"/>
                <w:szCs w:val="20"/>
                <w:highlight w:val="none"/>
                <w:shd w:val="clear" w:color="auto" w:fill="auto"/>
                <w:lang w:val="en-US" w:eastAsia="zh-CN"/>
              </w:rPr>
            </w:pPr>
            <w:r>
              <w:rPr>
                <w:rFonts w:hint="eastAsia"/>
                <w:color w:val="auto"/>
                <w:sz w:val="22"/>
                <w:szCs w:val="22"/>
                <w:shd w:val="clear" w:color="auto" w:fill="auto"/>
                <w:lang w:val="en-US" w:eastAsia="zh-CN"/>
              </w:rPr>
              <w:t>原创深度报道及主流媒体通稿、硬广推广</w:t>
            </w:r>
          </w:p>
        </w:tc>
        <w:tc>
          <w:tcPr>
            <w:tcW w:w="2385" w:type="dxa"/>
            <w:noWrap w:val="0"/>
            <w:vAlign w:val="center"/>
          </w:tcPr>
          <w:p>
            <w:pPr>
              <w:widowControl/>
              <w:adjustRightInd w:val="0"/>
              <w:snapToGrid w:val="0"/>
              <w:ind w:left="0" w:leftChars="0" w:firstLine="0" w:firstLineChars="0"/>
              <w:jc w:val="center"/>
              <w:rPr>
                <w:rFonts w:hint="eastAsia" w:ascii="宋体" w:hAnsi="宋体" w:cs="宋体"/>
                <w:color w:val="auto"/>
                <w:kern w:val="0"/>
                <w:szCs w:val="21"/>
                <w:highlight w:val="none"/>
                <w:shd w:val="clear" w:color="auto" w:fill="auto"/>
                <w:lang w:val="en-US" w:eastAsia="zh-CN"/>
              </w:rPr>
            </w:pPr>
            <w:r>
              <w:rPr>
                <w:rFonts w:hint="eastAsia" w:ascii="宋体" w:hAnsi="宋体" w:cs="宋体"/>
                <w:color w:val="auto"/>
                <w:kern w:val="0"/>
                <w:sz w:val="21"/>
                <w:szCs w:val="21"/>
                <w:highlight w:val="none"/>
                <w:shd w:val="clear" w:color="auto" w:fill="auto"/>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4" w:type="dxa"/>
            <w:vMerge w:val="continue"/>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p>
        </w:tc>
        <w:tc>
          <w:tcPr>
            <w:tcW w:w="1524"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3215"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关于TOD综合开发模式研究</w:t>
            </w:r>
          </w:p>
        </w:tc>
        <w:tc>
          <w:tcPr>
            <w:tcW w:w="2385"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4"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1524"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3215"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小计</w:t>
            </w:r>
          </w:p>
        </w:tc>
        <w:tc>
          <w:tcPr>
            <w:tcW w:w="2385"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1" w:hRule="atLeast"/>
          <w:jc w:val="center"/>
        </w:trPr>
        <w:tc>
          <w:tcPr>
            <w:tcW w:w="5533" w:type="dxa"/>
            <w:gridSpan w:val="3"/>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合计</w:t>
            </w:r>
          </w:p>
        </w:tc>
        <w:tc>
          <w:tcPr>
            <w:tcW w:w="2385"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377.4</w:t>
            </w:r>
          </w:p>
        </w:tc>
      </w:tr>
    </w:tbl>
    <w:p>
      <w:pPr>
        <w:pStyle w:val="24"/>
        <w:tabs>
          <w:tab w:val="right" w:pos="9026"/>
        </w:tabs>
        <w:spacing w:line="360" w:lineRule="auto"/>
        <w:ind w:firstLine="480" w:firstLineChars="200"/>
        <w:rPr>
          <w:rFonts w:hAnsi="宋体"/>
          <w:color w:val="auto"/>
          <w:sz w:val="24"/>
          <w:szCs w:val="24"/>
          <w:highlight w:val="none"/>
          <w:shd w:val="clear" w:color="auto" w:fill="auto"/>
        </w:rPr>
      </w:pPr>
    </w:p>
    <w:p>
      <w:pPr>
        <w:pStyle w:val="24"/>
        <w:tabs>
          <w:tab w:val="right" w:pos="9026"/>
        </w:tabs>
        <w:spacing w:line="360" w:lineRule="auto"/>
        <w:ind w:firstLine="480" w:firstLineChars="200"/>
        <w:rPr>
          <w:rFonts w:hAnsi="宋体"/>
          <w:color w:val="auto"/>
          <w:sz w:val="24"/>
          <w:szCs w:val="24"/>
          <w:highlight w:val="none"/>
          <w:shd w:val="clear" w:color="auto" w:fill="auto"/>
        </w:rPr>
      </w:pPr>
    </w:p>
    <w:p>
      <w:pPr>
        <w:pStyle w:val="24"/>
        <w:tabs>
          <w:tab w:val="right" w:pos="9026"/>
        </w:tabs>
        <w:spacing w:line="360" w:lineRule="auto"/>
        <w:ind w:firstLine="480" w:firstLineChars="200"/>
        <w:rPr>
          <w:rFonts w:hAnsi="宋体"/>
          <w:color w:val="auto"/>
          <w:sz w:val="24"/>
          <w:szCs w:val="24"/>
          <w:highlight w:val="none"/>
          <w:shd w:val="clear" w:color="auto" w:fill="auto"/>
        </w:rPr>
      </w:pPr>
      <w:r>
        <w:rPr>
          <w:rFonts w:hint="eastAsia" w:hAnsi="宋体"/>
          <w:color w:val="auto"/>
          <w:sz w:val="24"/>
          <w:szCs w:val="24"/>
          <w:highlight w:val="none"/>
          <w:shd w:val="clear" w:color="auto" w:fill="auto"/>
        </w:rPr>
        <w:t>报价为含税价，包含乙方因履行本合同要求的所有活动/包装服务过程中发生的策划费、执行费、设计费、制作费、人工费、场地费、交通费、运输费、保险费、政府报批收费、税金、撤场清理费等一切乙方为了履行本协议项下委托事项所产生的费用。除甲方书面确认的可增加的费用外，本协议价款不因任何事由上浮，包括但不限于不可抗力、价格上涨等因素。</w:t>
      </w:r>
    </w:p>
    <w:p>
      <w:pPr>
        <w:pStyle w:val="24"/>
        <w:tabs>
          <w:tab w:val="right" w:pos="9026"/>
        </w:tabs>
        <w:spacing w:line="360" w:lineRule="auto"/>
        <w:ind w:firstLine="480" w:firstLineChars="200"/>
        <w:rPr>
          <w:rFonts w:hAnsi="宋体"/>
          <w:color w:val="auto"/>
          <w:sz w:val="24"/>
          <w:szCs w:val="24"/>
          <w:highlight w:val="none"/>
          <w:shd w:val="clear" w:color="auto" w:fill="auto"/>
        </w:rPr>
      </w:pPr>
    </w:p>
    <w:p>
      <w:pPr>
        <w:pStyle w:val="4"/>
        <w:spacing w:line="480" w:lineRule="atLeast"/>
        <w:rPr>
          <w:rFonts w:ascii="宋体" w:hAnsi="宋体" w:eastAsia="宋体"/>
          <w:b/>
          <w:bCs/>
          <w:color w:val="auto"/>
          <w:sz w:val="32"/>
          <w:szCs w:val="28"/>
          <w:highlight w:val="none"/>
          <w:shd w:val="clear" w:color="auto" w:fill="auto"/>
        </w:rPr>
      </w:pPr>
      <w:bookmarkStart w:id="31" w:name="_Toc27208"/>
      <w:r>
        <w:rPr>
          <w:rFonts w:hint="eastAsia" w:ascii="宋体" w:hAnsi="宋体" w:eastAsia="宋体"/>
          <w:b/>
          <w:bCs/>
          <w:color w:val="auto"/>
          <w:sz w:val="32"/>
          <w:szCs w:val="28"/>
          <w:highlight w:val="none"/>
          <w:shd w:val="clear" w:color="auto" w:fill="auto"/>
        </w:rPr>
        <w:t>第二章 比选文件</w:t>
      </w:r>
      <w:bookmarkEnd w:id="31"/>
    </w:p>
    <w:p>
      <w:pPr>
        <w:pStyle w:val="5"/>
        <w:numPr>
          <w:ilvl w:val="2"/>
          <w:numId w:val="0"/>
        </w:numPr>
        <w:spacing w:before="240" w:beforeLines="100" w:after="120" w:afterLines="50" w:line="360" w:lineRule="auto"/>
        <w:ind w:left="419" w:hanging="419" w:hangingChars="174"/>
        <w:rPr>
          <w:rFonts w:ascii="宋体" w:hAnsi="宋体"/>
          <w:bCs/>
          <w:color w:val="auto"/>
          <w:sz w:val="24"/>
          <w:highlight w:val="none"/>
          <w:shd w:val="clear" w:color="auto" w:fill="auto"/>
        </w:rPr>
      </w:pPr>
      <w:bookmarkStart w:id="32" w:name="_Toc5618"/>
      <w:r>
        <w:rPr>
          <w:rFonts w:hint="eastAsia" w:ascii="宋体" w:hAnsi="宋体"/>
          <w:bCs/>
          <w:color w:val="auto"/>
          <w:sz w:val="24"/>
          <w:highlight w:val="none"/>
          <w:shd w:val="clear" w:color="auto" w:fill="auto"/>
        </w:rPr>
        <w:t>一</w:t>
      </w:r>
      <w:r>
        <w:rPr>
          <w:rFonts w:ascii="宋体" w:hAnsi="宋体"/>
          <w:bCs/>
          <w:color w:val="auto"/>
          <w:sz w:val="24"/>
          <w:highlight w:val="none"/>
          <w:shd w:val="clear" w:color="auto" w:fill="auto"/>
        </w:rPr>
        <w:t>、比选文件的</w:t>
      </w:r>
      <w:r>
        <w:rPr>
          <w:rFonts w:hint="eastAsia" w:ascii="宋体" w:hAnsi="宋体"/>
          <w:bCs/>
          <w:color w:val="auto"/>
          <w:sz w:val="24"/>
          <w:highlight w:val="none"/>
          <w:shd w:val="clear" w:color="auto" w:fill="auto"/>
        </w:rPr>
        <w:t>构成</w:t>
      </w:r>
      <w:bookmarkEnd w:id="32"/>
    </w:p>
    <w:p>
      <w:pPr>
        <w:pStyle w:val="24"/>
        <w:snapToGrid w:val="0"/>
        <w:spacing w:line="336" w:lineRule="auto"/>
        <w:ind w:firstLine="480" w:firstLineChars="200"/>
        <w:rPr>
          <w:rFonts w:hAnsi="宋体"/>
          <w:color w:val="auto"/>
          <w:sz w:val="24"/>
          <w:szCs w:val="24"/>
          <w:highlight w:val="none"/>
          <w:shd w:val="clear" w:color="auto" w:fill="auto"/>
        </w:rPr>
      </w:pPr>
      <w:r>
        <w:rPr>
          <w:rFonts w:hint="eastAsia" w:hAnsi="宋体"/>
          <w:color w:val="auto"/>
          <w:sz w:val="24"/>
          <w:highlight w:val="none"/>
          <w:shd w:val="clear" w:color="auto" w:fill="auto"/>
        </w:rPr>
        <w:t>比选文件用以阐明所需（1）参选须知；（2）评定标程序；（3）</w:t>
      </w:r>
      <w:r>
        <w:rPr>
          <w:rFonts w:hint="eastAsia" w:hAnsi="宋体"/>
          <w:bCs/>
          <w:color w:val="auto"/>
          <w:sz w:val="24"/>
          <w:szCs w:val="22"/>
          <w:highlight w:val="none"/>
          <w:shd w:val="clear" w:color="auto" w:fill="auto"/>
        </w:rPr>
        <w:t>深铁置业产品标准化体系发布会活动方案服务</w:t>
      </w:r>
      <w:r>
        <w:rPr>
          <w:rFonts w:hint="eastAsia" w:hAnsi="宋体"/>
          <w:color w:val="auto"/>
          <w:sz w:val="24"/>
          <w:highlight w:val="none"/>
          <w:shd w:val="clear" w:color="auto" w:fill="auto"/>
        </w:rPr>
        <w:t>工作任务及要求；（4）合同条款等，比选文件由下述部分组成：</w:t>
      </w:r>
    </w:p>
    <w:p>
      <w:pPr>
        <w:pStyle w:val="19"/>
        <w:tabs>
          <w:tab w:val="left" w:pos="1050"/>
        </w:tabs>
        <w:ind w:left="0" w:leftChars="0"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致参选人</w:t>
      </w:r>
    </w:p>
    <w:p>
      <w:pPr>
        <w:pStyle w:val="19"/>
        <w:ind w:left="0" w:leftChars="0"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参选文件无效和废标的情形摘要</w:t>
      </w:r>
    </w:p>
    <w:p>
      <w:pPr>
        <w:pStyle w:val="19"/>
        <w:spacing w:line="480" w:lineRule="atLeast"/>
        <w:ind w:left="0" w:leftChars="0"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第一篇 参选须知</w:t>
      </w:r>
    </w:p>
    <w:p>
      <w:pPr>
        <w:pStyle w:val="19"/>
        <w:spacing w:line="480" w:lineRule="atLeast"/>
        <w:ind w:left="480" w:leftChars="0" w:firstLine="0" w:firstLineChars="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第二篇 参选文件格式</w:t>
      </w:r>
    </w:p>
    <w:p>
      <w:pPr>
        <w:pStyle w:val="19"/>
        <w:spacing w:line="480" w:lineRule="atLeast"/>
        <w:ind w:left="480" w:leftChars="0" w:firstLine="0" w:firstLineChars="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第三篇 合同条款</w:t>
      </w:r>
    </w:p>
    <w:p>
      <w:pPr>
        <w:pStyle w:val="5"/>
        <w:numPr>
          <w:ilvl w:val="2"/>
          <w:numId w:val="0"/>
        </w:numPr>
        <w:spacing w:before="240" w:beforeLines="100" w:after="120" w:afterLines="50" w:line="480" w:lineRule="atLeast"/>
        <w:ind w:left="419" w:hanging="419" w:hangingChars="174"/>
        <w:rPr>
          <w:rFonts w:ascii="宋体" w:hAnsi="宋体"/>
          <w:bCs/>
          <w:color w:val="auto"/>
          <w:sz w:val="24"/>
          <w:highlight w:val="none"/>
          <w:shd w:val="clear" w:color="auto" w:fill="auto"/>
        </w:rPr>
      </w:pPr>
      <w:bookmarkStart w:id="33" w:name="_Toc15699"/>
      <w:r>
        <w:rPr>
          <w:rFonts w:hint="eastAsia" w:ascii="宋体" w:hAnsi="宋体"/>
          <w:bCs/>
          <w:color w:val="auto"/>
          <w:sz w:val="24"/>
          <w:highlight w:val="none"/>
          <w:shd w:val="clear" w:color="auto" w:fill="auto"/>
        </w:rPr>
        <w:t>二、比选文件的补遗、澄清、修改</w:t>
      </w:r>
      <w:bookmarkEnd w:id="33"/>
    </w:p>
    <w:p>
      <w:pPr>
        <w:spacing w:line="480" w:lineRule="atLeast"/>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（一）</w:t>
      </w:r>
      <w:r>
        <w:rPr>
          <w:rFonts w:ascii="宋体" w:hAnsi="宋体"/>
          <w:color w:val="auto"/>
          <w:sz w:val="24"/>
          <w:szCs w:val="24"/>
          <w:highlight w:val="none"/>
          <w:shd w:val="clear" w:color="auto" w:fill="auto"/>
        </w:rPr>
        <w:t>参选人若对比选文件有疑问，需要比选人予以澄清，</w:t>
      </w:r>
      <w:r>
        <w:rPr>
          <w:rFonts w:hint="eastAsia" w:ascii="宋体" w:hAnsi="宋体"/>
          <w:color w:val="auto"/>
          <w:kern w:val="0"/>
          <w:sz w:val="24"/>
          <w:szCs w:val="24"/>
          <w:highlight w:val="none"/>
          <w:shd w:val="clear" w:color="auto" w:fill="auto"/>
        </w:rPr>
        <w:t>应于</w:t>
      </w:r>
      <w:r>
        <w:rPr>
          <w:rFonts w:hint="eastAsia" w:ascii="宋体" w:hAnsi="宋体"/>
          <w:b/>
          <w:color w:val="auto"/>
          <w:kern w:val="0"/>
          <w:sz w:val="24"/>
          <w:szCs w:val="24"/>
          <w:highlight w:val="none"/>
          <w:u w:val="single"/>
          <w:shd w:val="clear" w:color="auto" w:fill="auto"/>
        </w:rPr>
        <w:t>参选截止日</w:t>
      </w:r>
      <w:r>
        <w:rPr>
          <w:rFonts w:hint="eastAsia" w:ascii="宋体" w:hAnsi="宋体"/>
          <w:b/>
          <w:color w:val="auto"/>
          <w:sz w:val="24"/>
          <w:szCs w:val="24"/>
          <w:highlight w:val="none"/>
          <w:u w:val="single"/>
          <w:shd w:val="clear" w:color="auto" w:fill="auto"/>
        </w:rPr>
        <w:t>5日前</w:t>
      </w:r>
      <w:r>
        <w:rPr>
          <w:rFonts w:ascii="宋体" w:hAnsi="宋体"/>
          <w:color w:val="auto"/>
          <w:sz w:val="24"/>
          <w:szCs w:val="24"/>
          <w:highlight w:val="none"/>
          <w:shd w:val="clear" w:color="auto" w:fill="auto"/>
        </w:rPr>
        <w:t>以书面形式向比选人提出，送至比选文件</w:t>
      </w:r>
      <w:r>
        <w:rPr>
          <w:rFonts w:hint="eastAsia" w:ascii="宋体" w:hAnsi="宋体"/>
          <w:color w:val="auto"/>
          <w:sz w:val="24"/>
          <w:szCs w:val="24"/>
          <w:highlight w:val="none"/>
          <w:shd w:val="clear" w:color="auto" w:fill="auto"/>
        </w:rPr>
        <w:t>“致参选人”</w:t>
      </w:r>
      <w:r>
        <w:rPr>
          <w:rFonts w:ascii="宋体" w:hAnsi="宋体"/>
          <w:color w:val="auto"/>
          <w:sz w:val="24"/>
          <w:szCs w:val="24"/>
          <w:highlight w:val="none"/>
          <w:shd w:val="clear" w:color="auto" w:fill="auto"/>
        </w:rPr>
        <w:t>中写明的比选人地址。不论是比选人根据需要主动对比选文件进行必要的澄清或是根据参选人的要求对比选文件做出澄清，比选人</w:t>
      </w:r>
      <w:r>
        <w:rPr>
          <w:rFonts w:hint="eastAsia" w:ascii="宋体" w:hAnsi="宋体"/>
          <w:color w:val="auto"/>
          <w:sz w:val="24"/>
          <w:szCs w:val="24"/>
          <w:highlight w:val="none"/>
          <w:shd w:val="clear" w:color="auto" w:fill="auto"/>
        </w:rPr>
        <w:t>的</w:t>
      </w:r>
      <w:r>
        <w:rPr>
          <w:rFonts w:ascii="宋体" w:hAnsi="宋体"/>
          <w:color w:val="auto"/>
          <w:sz w:val="24"/>
          <w:szCs w:val="24"/>
          <w:highlight w:val="none"/>
          <w:shd w:val="clear" w:color="auto" w:fill="auto"/>
        </w:rPr>
        <w:t>补遗文件都将在</w:t>
      </w:r>
      <w:r>
        <w:rPr>
          <w:rFonts w:hint="eastAsia" w:ascii="宋体" w:hAnsi="宋体"/>
          <w:b/>
          <w:color w:val="auto"/>
          <w:kern w:val="0"/>
          <w:sz w:val="24"/>
          <w:szCs w:val="24"/>
          <w:highlight w:val="none"/>
          <w:u w:val="single"/>
          <w:shd w:val="clear" w:color="auto" w:fill="auto"/>
        </w:rPr>
        <w:t>参选截止日3</w:t>
      </w:r>
      <w:r>
        <w:rPr>
          <w:rFonts w:ascii="宋体" w:hAnsi="宋体"/>
          <w:b/>
          <w:color w:val="auto"/>
          <w:kern w:val="0"/>
          <w:sz w:val="24"/>
          <w:szCs w:val="24"/>
          <w:highlight w:val="none"/>
          <w:u w:val="single"/>
          <w:shd w:val="clear" w:color="auto" w:fill="auto"/>
        </w:rPr>
        <w:t>日</w:t>
      </w:r>
      <w:r>
        <w:rPr>
          <w:rFonts w:hint="eastAsia" w:ascii="宋体" w:hAnsi="宋体"/>
          <w:b/>
          <w:color w:val="auto"/>
          <w:kern w:val="0"/>
          <w:sz w:val="24"/>
          <w:szCs w:val="24"/>
          <w:highlight w:val="none"/>
          <w:u w:val="single"/>
          <w:shd w:val="clear" w:color="auto" w:fill="auto"/>
        </w:rPr>
        <w:t>前</w:t>
      </w:r>
      <w:r>
        <w:rPr>
          <w:rFonts w:hint="eastAsia" w:ascii="宋体" w:hAnsi="宋体"/>
          <w:color w:val="auto"/>
          <w:kern w:val="0"/>
          <w:sz w:val="24"/>
          <w:szCs w:val="24"/>
          <w:highlight w:val="none"/>
          <w:u w:val="single"/>
          <w:shd w:val="clear" w:color="auto" w:fill="auto"/>
        </w:rPr>
        <w:t>通</w:t>
      </w:r>
      <w:r>
        <w:rPr>
          <w:rFonts w:hint="eastAsia" w:ascii="宋体" w:hAnsi="宋体"/>
          <w:color w:val="auto"/>
          <w:sz w:val="24"/>
          <w:szCs w:val="24"/>
          <w:highlight w:val="none"/>
          <w:shd w:val="clear" w:color="auto" w:fill="auto"/>
        </w:rPr>
        <w:t>过“</w:t>
      </w:r>
      <w:r>
        <w:rPr>
          <w:rFonts w:ascii="宋体" w:hAnsi="宋体"/>
          <w:color w:val="auto"/>
          <w:sz w:val="24"/>
          <w:szCs w:val="24"/>
          <w:highlight w:val="none"/>
          <w:shd w:val="clear" w:color="auto" w:fill="auto"/>
        </w:rPr>
        <w:t>深圳地铁官网”</w:t>
      </w:r>
      <w:r>
        <w:rPr>
          <w:rFonts w:hint="eastAsia" w:ascii="宋体" w:hAnsi="宋体"/>
          <w:color w:val="auto"/>
          <w:sz w:val="24"/>
          <w:szCs w:val="24"/>
          <w:highlight w:val="none"/>
          <w:shd w:val="clear" w:color="auto" w:fill="auto"/>
        </w:rPr>
        <w:t>、“深铁招采网”、</w:t>
      </w:r>
      <w:r>
        <w:rPr>
          <w:rFonts w:ascii="宋体" w:hAnsi="宋体"/>
          <w:color w:val="auto"/>
          <w:sz w:val="24"/>
          <w:szCs w:val="24"/>
          <w:highlight w:val="none"/>
          <w:shd w:val="clear" w:color="auto" w:fill="auto"/>
        </w:rPr>
        <w:t>国资委阳光采购平台</w:t>
      </w:r>
      <w:r>
        <w:rPr>
          <w:rFonts w:hint="eastAsia" w:ascii="宋体" w:hAnsi="宋体"/>
          <w:color w:val="auto"/>
          <w:sz w:val="24"/>
          <w:szCs w:val="24"/>
          <w:highlight w:val="none"/>
          <w:shd w:val="clear" w:color="auto" w:fill="auto"/>
        </w:rPr>
        <w:t>、</w:t>
      </w:r>
      <w:r>
        <w:rPr>
          <w:rFonts w:ascii="宋体" w:hAnsi="宋体"/>
          <w:color w:val="auto"/>
          <w:sz w:val="24"/>
          <w:szCs w:val="24"/>
          <w:highlight w:val="none"/>
          <w:shd w:val="clear" w:color="auto" w:fill="auto"/>
        </w:rPr>
        <w:t>深铁置业</w:t>
      </w:r>
      <w:r>
        <w:rPr>
          <w:rFonts w:hint="eastAsia" w:ascii="宋体" w:hAnsi="宋体"/>
          <w:color w:val="auto"/>
          <w:sz w:val="24"/>
          <w:szCs w:val="24"/>
          <w:highlight w:val="none"/>
          <w:shd w:val="clear" w:color="auto" w:fill="auto"/>
        </w:rPr>
        <w:t>微信</w:t>
      </w:r>
      <w:r>
        <w:rPr>
          <w:rFonts w:ascii="宋体" w:hAnsi="宋体"/>
          <w:color w:val="auto"/>
          <w:sz w:val="24"/>
          <w:szCs w:val="24"/>
          <w:highlight w:val="none"/>
          <w:shd w:val="clear" w:color="auto" w:fill="auto"/>
        </w:rPr>
        <w:t>订阅号向所有</w:t>
      </w:r>
      <w:r>
        <w:rPr>
          <w:rFonts w:hint="eastAsia" w:ascii="宋体" w:hAnsi="宋体"/>
          <w:color w:val="auto"/>
          <w:sz w:val="24"/>
          <w:szCs w:val="24"/>
          <w:highlight w:val="none"/>
          <w:shd w:val="clear" w:color="auto" w:fill="auto"/>
        </w:rPr>
        <w:t>参选人</w:t>
      </w:r>
      <w:r>
        <w:rPr>
          <w:rFonts w:ascii="宋体" w:hAnsi="宋体"/>
          <w:color w:val="auto"/>
          <w:sz w:val="24"/>
          <w:szCs w:val="24"/>
          <w:highlight w:val="none"/>
          <w:shd w:val="clear" w:color="auto" w:fill="auto"/>
        </w:rPr>
        <w:t>公示。</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人应随时查看</w:t>
      </w:r>
      <w:r>
        <w:rPr>
          <w:rFonts w:hint="eastAsia" w:ascii="宋体" w:hAnsi="宋体"/>
          <w:color w:val="auto"/>
          <w:sz w:val="24"/>
          <w:szCs w:val="24"/>
          <w:highlight w:val="none"/>
          <w:shd w:val="clear" w:color="auto" w:fill="auto"/>
        </w:rPr>
        <w:t>“</w:t>
      </w:r>
      <w:r>
        <w:rPr>
          <w:rFonts w:ascii="宋体" w:hAnsi="宋体"/>
          <w:color w:val="auto"/>
          <w:sz w:val="24"/>
          <w:szCs w:val="24"/>
          <w:highlight w:val="none"/>
          <w:shd w:val="clear" w:color="auto" w:fill="auto"/>
        </w:rPr>
        <w:t>深圳地铁官网”</w:t>
      </w:r>
      <w:r>
        <w:rPr>
          <w:rFonts w:hint="eastAsia" w:ascii="宋体" w:hAnsi="宋体"/>
          <w:color w:val="auto"/>
          <w:sz w:val="24"/>
          <w:szCs w:val="24"/>
          <w:highlight w:val="none"/>
          <w:shd w:val="clear" w:color="auto" w:fill="auto"/>
        </w:rPr>
        <w:t xml:space="preserve"> 、“深铁招采网”、“</w:t>
      </w:r>
      <w:r>
        <w:rPr>
          <w:rFonts w:ascii="宋体" w:hAnsi="宋体"/>
          <w:color w:val="auto"/>
          <w:sz w:val="24"/>
          <w:szCs w:val="24"/>
          <w:highlight w:val="none"/>
          <w:shd w:val="clear" w:color="auto" w:fill="auto"/>
        </w:rPr>
        <w:t>国资委阳光采购平台</w:t>
      </w:r>
      <w:r>
        <w:rPr>
          <w:rFonts w:hint="eastAsia" w:ascii="宋体" w:hAnsi="宋体"/>
          <w:color w:val="auto"/>
          <w:sz w:val="24"/>
          <w:szCs w:val="24"/>
          <w:highlight w:val="none"/>
          <w:shd w:val="clear" w:color="auto" w:fill="auto"/>
        </w:rPr>
        <w:t>”、</w:t>
      </w:r>
      <w:r>
        <w:rPr>
          <w:rFonts w:ascii="宋体" w:hAnsi="宋体"/>
          <w:color w:val="auto"/>
          <w:sz w:val="24"/>
          <w:szCs w:val="24"/>
          <w:highlight w:val="none"/>
          <w:shd w:val="clear" w:color="auto" w:fill="auto"/>
        </w:rPr>
        <w:t>深铁置业</w:t>
      </w:r>
      <w:r>
        <w:rPr>
          <w:rFonts w:hint="eastAsia" w:ascii="宋体" w:hAnsi="宋体"/>
          <w:color w:val="auto"/>
          <w:sz w:val="24"/>
          <w:szCs w:val="24"/>
          <w:highlight w:val="none"/>
          <w:shd w:val="clear" w:color="auto" w:fill="auto"/>
        </w:rPr>
        <w:t>微信订阅号中</w:t>
      </w:r>
      <w:r>
        <w:rPr>
          <w:rFonts w:ascii="宋体" w:hAnsi="宋体"/>
          <w:color w:val="auto"/>
          <w:sz w:val="24"/>
          <w:szCs w:val="24"/>
          <w:highlight w:val="none"/>
          <w:shd w:val="clear" w:color="auto" w:fill="auto"/>
        </w:rPr>
        <w:t>有关该项目补遗文件的信息</w:t>
      </w:r>
      <w:r>
        <w:rPr>
          <w:rFonts w:hint="eastAsia" w:ascii="宋体" w:hAnsi="宋体"/>
          <w:color w:val="auto"/>
          <w:sz w:val="24"/>
          <w:szCs w:val="24"/>
          <w:highlight w:val="none"/>
          <w:shd w:val="clear" w:color="auto" w:fill="auto"/>
        </w:rPr>
        <w:t>。否则，</w:t>
      </w:r>
      <w:r>
        <w:rPr>
          <w:rFonts w:ascii="宋体" w:hAnsi="宋体"/>
          <w:color w:val="auto"/>
          <w:sz w:val="24"/>
          <w:szCs w:val="24"/>
          <w:highlight w:val="none"/>
          <w:shd w:val="clear" w:color="auto" w:fill="auto"/>
        </w:rPr>
        <w:t>由此导致的不利后果由</w:t>
      </w:r>
      <w:r>
        <w:rPr>
          <w:rFonts w:hint="eastAsia" w:ascii="宋体" w:hAnsi="宋体"/>
          <w:color w:val="auto"/>
          <w:sz w:val="24"/>
          <w:szCs w:val="24"/>
          <w:highlight w:val="none"/>
          <w:shd w:val="clear" w:color="auto" w:fill="auto"/>
        </w:rPr>
        <w:t>参选人</w:t>
      </w:r>
      <w:r>
        <w:rPr>
          <w:rFonts w:ascii="宋体" w:hAnsi="宋体"/>
          <w:color w:val="auto"/>
          <w:sz w:val="24"/>
          <w:szCs w:val="24"/>
          <w:highlight w:val="none"/>
          <w:shd w:val="clear" w:color="auto" w:fill="auto"/>
        </w:rPr>
        <w:t>自负。比选文件的</w:t>
      </w:r>
      <w:r>
        <w:rPr>
          <w:rFonts w:hint="eastAsia" w:ascii="宋体" w:hAnsi="宋体"/>
          <w:color w:val="auto"/>
          <w:sz w:val="24"/>
          <w:szCs w:val="24"/>
          <w:highlight w:val="none"/>
          <w:shd w:val="clear" w:color="auto" w:fill="auto"/>
        </w:rPr>
        <w:t>补遗</w:t>
      </w:r>
      <w:r>
        <w:rPr>
          <w:rFonts w:ascii="宋体" w:hAnsi="宋体"/>
          <w:color w:val="auto"/>
          <w:sz w:val="24"/>
          <w:szCs w:val="24"/>
          <w:highlight w:val="none"/>
          <w:shd w:val="clear" w:color="auto" w:fill="auto"/>
        </w:rPr>
        <w:t>作为比选文件的组成部分，具有约束力。</w:t>
      </w:r>
    </w:p>
    <w:p>
      <w:pPr>
        <w:spacing w:line="480" w:lineRule="atLeast"/>
        <w:ind w:firstLine="480" w:firstLineChars="200"/>
        <w:rPr>
          <w:rFonts w:ascii="宋体" w:hAnsi="宋体"/>
          <w:color w:val="auto"/>
          <w:sz w:val="24"/>
          <w:highlight w:val="none"/>
          <w:shd w:val="clear" w:color="auto" w:fill="auto"/>
        </w:rPr>
      </w:pPr>
      <w:r>
        <w:rPr>
          <w:rFonts w:hint="eastAsia" w:ascii="宋体" w:hAnsi="宋体"/>
          <w:color w:val="auto"/>
          <w:sz w:val="24"/>
          <w:szCs w:val="24"/>
          <w:highlight w:val="none"/>
          <w:shd w:val="clear" w:color="auto" w:fill="auto"/>
        </w:rPr>
        <w:t>（二）</w:t>
      </w:r>
      <w:r>
        <w:rPr>
          <w:rFonts w:hint="eastAsia" w:ascii="宋体" w:hAnsi="宋体"/>
          <w:color w:val="auto"/>
          <w:sz w:val="24"/>
          <w:highlight w:val="none"/>
          <w:shd w:val="clear" w:color="auto" w:fill="auto"/>
        </w:rPr>
        <w:t>比选人对在</w:t>
      </w:r>
      <w:r>
        <w:rPr>
          <w:rFonts w:hint="eastAsia" w:ascii="宋体" w:hAnsi="宋体"/>
          <w:b/>
          <w:color w:val="auto"/>
          <w:kern w:val="0"/>
          <w:sz w:val="24"/>
          <w:szCs w:val="24"/>
          <w:highlight w:val="none"/>
          <w:u w:val="single"/>
          <w:shd w:val="clear" w:color="auto" w:fill="auto"/>
        </w:rPr>
        <w:t>参选截止日</w:t>
      </w:r>
      <w:r>
        <w:rPr>
          <w:rFonts w:hint="eastAsia" w:ascii="宋体" w:hAnsi="宋体"/>
          <w:b/>
          <w:color w:val="auto"/>
          <w:sz w:val="24"/>
          <w:szCs w:val="24"/>
          <w:highlight w:val="none"/>
          <w:u w:val="single"/>
          <w:shd w:val="clear" w:color="auto" w:fill="auto"/>
        </w:rPr>
        <w:t>3日</w:t>
      </w:r>
      <w:r>
        <w:rPr>
          <w:rFonts w:hint="eastAsia" w:ascii="宋体" w:hAnsi="宋体"/>
          <w:b/>
          <w:color w:val="auto"/>
          <w:kern w:val="0"/>
          <w:sz w:val="24"/>
          <w:szCs w:val="24"/>
          <w:highlight w:val="none"/>
          <w:u w:val="single"/>
          <w:shd w:val="clear" w:color="auto" w:fill="auto"/>
        </w:rPr>
        <w:t>前</w:t>
      </w:r>
      <w:r>
        <w:rPr>
          <w:rFonts w:hint="eastAsia" w:ascii="宋体" w:hAnsi="宋体"/>
          <w:color w:val="auto"/>
          <w:sz w:val="24"/>
          <w:highlight w:val="none"/>
          <w:shd w:val="clear" w:color="auto" w:fill="auto"/>
        </w:rPr>
        <w:t>收到的以书面函件的方式要求澄清的问题，将视具体情况进行澄清，比选人的澄清将</w:t>
      </w:r>
      <w:r>
        <w:rPr>
          <w:rFonts w:hint="eastAsia" w:ascii="宋体" w:hAnsi="宋体"/>
          <w:color w:val="auto"/>
          <w:sz w:val="24"/>
          <w:szCs w:val="24"/>
          <w:highlight w:val="none"/>
          <w:shd w:val="clear" w:color="auto" w:fill="auto"/>
        </w:rPr>
        <w:t>通过“</w:t>
      </w:r>
      <w:r>
        <w:rPr>
          <w:rFonts w:ascii="宋体" w:hAnsi="宋体"/>
          <w:color w:val="auto"/>
          <w:sz w:val="24"/>
          <w:szCs w:val="24"/>
          <w:highlight w:val="none"/>
          <w:shd w:val="clear" w:color="auto" w:fill="auto"/>
        </w:rPr>
        <w:t>深圳地铁官网”</w:t>
      </w:r>
      <w:r>
        <w:rPr>
          <w:rFonts w:hint="eastAsia" w:ascii="宋体" w:hAnsi="宋体"/>
          <w:color w:val="auto"/>
          <w:sz w:val="24"/>
          <w:szCs w:val="24"/>
          <w:highlight w:val="none"/>
          <w:shd w:val="clear" w:color="auto" w:fill="auto"/>
        </w:rPr>
        <w:t>、“深铁招采网”、</w:t>
      </w:r>
      <w:r>
        <w:rPr>
          <w:rFonts w:ascii="宋体" w:hAnsi="宋体"/>
          <w:color w:val="auto"/>
          <w:sz w:val="24"/>
          <w:szCs w:val="24"/>
          <w:highlight w:val="none"/>
          <w:shd w:val="clear" w:color="auto" w:fill="auto"/>
        </w:rPr>
        <w:t>国资委阳光采购平台</w:t>
      </w:r>
      <w:r>
        <w:rPr>
          <w:rFonts w:hint="eastAsia" w:ascii="宋体" w:hAnsi="宋体"/>
          <w:color w:val="auto"/>
          <w:sz w:val="24"/>
          <w:szCs w:val="24"/>
          <w:highlight w:val="none"/>
          <w:shd w:val="clear" w:color="auto" w:fill="auto"/>
        </w:rPr>
        <w:t>、</w:t>
      </w:r>
      <w:r>
        <w:rPr>
          <w:rFonts w:ascii="宋体" w:hAnsi="宋体"/>
          <w:color w:val="auto"/>
          <w:sz w:val="24"/>
          <w:szCs w:val="24"/>
          <w:highlight w:val="none"/>
          <w:shd w:val="clear" w:color="auto" w:fill="auto"/>
        </w:rPr>
        <w:t>深铁置业</w:t>
      </w:r>
      <w:r>
        <w:rPr>
          <w:rFonts w:hint="eastAsia" w:ascii="宋体" w:hAnsi="宋体"/>
          <w:color w:val="auto"/>
          <w:sz w:val="24"/>
          <w:szCs w:val="24"/>
          <w:highlight w:val="none"/>
          <w:shd w:val="clear" w:color="auto" w:fill="auto"/>
        </w:rPr>
        <w:t>微信订阅号</w:t>
      </w:r>
      <w:r>
        <w:rPr>
          <w:rFonts w:ascii="宋体" w:hAnsi="宋体"/>
          <w:color w:val="auto"/>
          <w:sz w:val="24"/>
          <w:szCs w:val="24"/>
          <w:highlight w:val="none"/>
          <w:shd w:val="clear" w:color="auto" w:fill="auto"/>
        </w:rPr>
        <w:t>向所有</w:t>
      </w:r>
      <w:r>
        <w:rPr>
          <w:rFonts w:hint="eastAsia" w:ascii="宋体" w:hAnsi="宋体"/>
          <w:color w:val="auto"/>
          <w:sz w:val="24"/>
          <w:szCs w:val="24"/>
          <w:highlight w:val="none"/>
          <w:shd w:val="clear" w:color="auto" w:fill="auto"/>
        </w:rPr>
        <w:t>参选人</w:t>
      </w:r>
      <w:r>
        <w:rPr>
          <w:rFonts w:ascii="宋体" w:hAnsi="宋体"/>
          <w:color w:val="auto"/>
          <w:sz w:val="24"/>
          <w:szCs w:val="24"/>
          <w:highlight w:val="none"/>
          <w:shd w:val="clear" w:color="auto" w:fill="auto"/>
        </w:rPr>
        <w:t>公</w:t>
      </w:r>
      <w:r>
        <w:rPr>
          <w:rFonts w:hint="eastAsia" w:ascii="宋体" w:hAnsi="宋体"/>
          <w:color w:val="auto"/>
          <w:sz w:val="24"/>
          <w:szCs w:val="24"/>
          <w:highlight w:val="none"/>
          <w:shd w:val="clear" w:color="auto" w:fill="auto"/>
        </w:rPr>
        <w:t>示</w:t>
      </w:r>
      <w:r>
        <w:rPr>
          <w:rFonts w:hint="eastAsia" w:ascii="宋体" w:hAnsi="宋体"/>
          <w:color w:val="auto"/>
          <w:sz w:val="24"/>
          <w:highlight w:val="none"/>
          <w:shd w:val="clear" w:color="auto" w:fill="auto"/>
        </w:rPr>
        <w:t>。如比选人认为参选人所提出的问题已在比选文件中明确说明，或可以根据比选文件做出明确的推断，比选人将不再予以澄清。</w:t>
      </w:r>
    </w:p>
    <w:p>
      <w:pPr>
        <w:spacing w:line="480" w:lineRule="atLeast"/>
        <w:rPr>
          <w:rFonts w:ascii="宋体" w:hAnsi="宋体"/>
          <w:color w:val="auto"/>
          <w:sz w:val="24"/>
          <w:szCs w:val="24"/>
          <w:highlight w:val="none"/>
          <w:shd w:val="clear" w:color="auto" w:fill="auto"/>
        </w:rPr>
      </w:pPr>
      <w:r>
        <w:rPr>
          <w:rFonts w:hint="eastAsia" w:ascii="宋体" w:hAnsi="宋体"/>
          <w:color w:val="auto"/>
          <w:sz w:val="24"/>
          <w:highlight w:val="none"/>
          <w:shd w:val="clear" w:color="auto" w:fill="auto"/>
        </w:rPr>
        <w:t xml:space="preserve">    （三）</w:t>
      </w:r>
      <w:r>
        <w:rPr>
          <w:rFonts w:ascii="宋体" w:hAnsi="宋体"/>
          <w:color w:val="auto"/>
          <w:sz w:val="24"/>
          <w:szCs w:val="24"/>
          <w:highlight w:val="none"/>
          <w:shd w:val="clear" w:color="auto" w:fill="auto"/>
        </w:rPr>
        <w:t>比选文件发出后，在</w:t>
      </w:r>
      <w:r>
        <w:rPr>
          <w:rFonts w:hint="eastAsia" w:ascii="宋体" w:hAnsi="宋体"/>
          <w:b/>
          <w:color w:val="auto"/>
          <w:kern w:val="0"/>
          <w:sz w:val="24"/>
          <w:szCs w:val="24"/>
          <w:highlight w:val="none"/>
          <w:u w:val="single"/>
          <w:shd w:val="clear" w:color="auto" w:fill="auto"/>
        </w:rPr>
        <w:t>参选截止日3</w:t>
      </w:r>
      <w:r>
        <w:rPr>
          <w:rFonts w:ascii="宋体" w:hAnsi="宋体"/>
          <w:b/>
          <w:color w:val="auto"/>
          <w:kern w:val="0"/>
          <w:sz w:val="24"/>
          <w:szCs w:val="24"/>
          <w:highlight w:val="none"/>
          <w:u w:val="single"/>
          <w:shd w:val="clear" w:color="auto" w:fill="auto"/>
        </w:rPr>
        <w:t>日</w:t>
      </w:r>
      <w:r>
        <w:rPr>
          <w:rFonts w:hint="eastAsia" w:ascii="宋体" w:hAnsi="宋体"/>
          <w:b/>
          <w:color w:val="auto"/>
          <w:kern w:val="0"/>
          <w:sz w:val="24"/>
          <w:szCs w:val="24"/>
          <w:highlight w:val="none"/>
          <w:u w:val="single"/>
          <w:shd w:val="clear" w:color="auto" w:fill="auto"/>
        </w:rPr>
        <w:t>前</w:t>
      </w:r>
      <w:r>
        <w:rPr>
          <w:rFonts w:ascii="宋体" w:hAnsi="宋体"/>
          <w:color w:val="auto"/>
          <w:sz w:val="24"/>
          <w:szCs w:val="24"/>
          <w:highlight w:val="none"/>
          <w:shd w:val="clear" w:color="auto" w:fill="auto"/>
        </w:rPr>
        <w:t>的任何时候，确需要变更比选文件内容的，比选人可主动或在解答参选人提出的澄清问题时对比选文件进行修改。</w:t>
      </w:r>
    </w:p>
    <w:p>
      <w:pPr>
        <w:spacing w:line="480" w:lineRule="atLeast"/>
        <w:rPr>
          <w:rFonts w:ascii="宋体" w:hAnsi="宋体"/>
          <w:color w:val="auto"/>
          <w:sz w:val="28"/>
          <w:highlight w:val="none"/>
          <w:shd w:val="clear" w:color="auto" w:fill="auto"/>
        </w:rPr>
      </w:pPr>
      <w:r>
        <w:rPr>
          <w:rFonts w:hint="eastAsia" w:ascii="宋体" w:hAnsi="宋体"/>
          <w:color w:val="auto"/>
          <w:sz w:val="24"/>
          <w:szCs w:val="24"/>
          <w:highlight w:val="none"/>
          <w:shd w:val="clear" w:color="auto" w:fill="auto"/>
        </w:rPr>
        <w:t xml:space="preserve">    （四）</w:t>
      </w:r>
      <w:r>
        <w:rPr>
          <w:rFonts w:ascii="宋体" w:hAnsi="宋体"/>
          <w:color w:val="auto"/>
          <w:sz w:val="24"/>
          <w:szCs w:val="24"/>
          <w:highlight w:val="none"/>
          <w:shd w:val="clear" w:color="auto" w:fill="auto"/>
        </w:rPr>
        <w:t>比选文件、比选文件</w:t>
      </w:r>
      <w:r>
        <w:rPr>
          <w:rFonts w:hint="eastAsia" w:ascii="宋体" w:hAnsi="宋体"/>
          <w:color w:val="auto"/>
          <w:sz w:val="24"/>
          <w:szCs w:val="24"/>
          <w:highlight w:val="none"/>
          <w:shd w:val="clear" w:color="auto" w:fill="auto"/>
        </w:rPr>
        <w:t>补遗、</w:t>
      </w:r>
      <w:r>
        <w:rPr>
          <w:rFonts w:ascii="宋体" w:hAnsi="宋体"/>
          <w:color w:val="auto"/>
          <w:sz w:val="24"/>
          <w:szCs w:val="24"/>
          <w:highlight w:val="none"/>
          <w:shd w:val="clear" w:color="auto" w:fill="auto"/>
        </w:rPr>
        <w:t>澄清(答疑)、澄清(答疑</w:t>
      </w:r>
      <w:r>
        <w:rPr>
          <w:rFonts w:hint="eastAsia" w:ascii="宋体" w:hAnsi="宋体"/>
          <w:color w:val="auto"/>
          <w:sz w:val="24"/>
          <w:szCs w:val="24"/>
          <w:highlight w:val="none"/>
          <w:shd w:val="clear" w:color="auto" w:fill="auto"/>
        </w:rPr>
        <w:t>)会议纪要、</w:t>
      </w:r>
      <w:r>
        <w:rPr>
          <w:rFonts w:ascii="宋体" w:hAnsi="宋体"/>
          <w:color w:val="auto"/>
          <w:sz w:val="24"/>
          <w:szCs w:val="24"/>
          <w:highlight w:val="none"/>
          <w:shd w:val="clear" w:color="auto" w:fill="auto"/>
        </w:rPr>
        <w:t>修改(补充)函件内容均以书面明确的内容为准。当比选文件、</w:t>
      </w:r>
      <w:r>
        <w:rPr>
          <w:rFonts w:hint="eastAsia" w:ascii="宋体" w:hAnsi="宋体"/>
          <w:color w:val="auto"/>
          <w:sz w:val="24"/>
          <w:szCs w:val="24"/>
          <w:highlight w:val="none"/>
          <w:shd w:val="clear" w:color="auto" w:fill="auto"/>
        </w:rPr>
        <w:t>补遗、</w:t>
      </w:r>
      <w:r>
        <w:rPr>
          <w:rFonts w:ascii="宋体" w:hAnsi="宋体"/>
          <w:color w:val="auto"/>
          <w:sz w:val="24"/>
          <w:szCs w:val="24"/>
          <w:highlight w:val="none"/>
          <w:shd w:val="clear" w:color="auto" w:fill="auto"/>
        </w:rPr>
        <w:t>澄清(答疑)</w:t>
      </w:r>
      <w:r>
        <w:rPr>
          <w:rFonts w:hint="eastAsia" w:ascii="宋体" w:hAnsi="宋体"/>
          <w:color w:val="auto"/>
          <w:sz w:val="24"/>
          <w:szCs w:val="24"/>
          <w:highlight w:val="none"/>
          <w:shd w:val="clear" w:color="auto" w:fill="auto"/>
        </w:rPr>
        <w:t>、</w:t>
      </w:r>
      <w:r>
        <w:rPr>
          <w:rFonts w:ascii="宋体" w:hAnsi="宋体"/>
          <w:color w:val="auto"/>
          <w:sz w:val="24"/>
          <w:szCs w:val="24"/>
          <w:highlight w:val="none"/>
          <w:shd w:val="clear" w:color="auto" w:fill="auto"/>
        </w:rPr>
        <w:t>纪要、修改(补充)函件内容相互矛盾时，以最后发出的为准。</w:t>
      </w:r>
    </w:p>
    <w:p>
      <w:pPr>
        <w:spacing w:line="480" w:lineRule="atLeast"/>
        <w:ind w:firstLine="480"/>
        <w:rPr>
          <w:rFonts w:ascii="宋体" w:hAnsi="宋体"/>
          <w:b/>
          <w:bCs/>
          <w:color w:val="auto"/>
          <w:highlight w:val="none"/>
          <w:shd w:val="clear" w:color="auto" w:fill="auto"/>
        </w:rPr>
      </w:pPr>
      <w:r>
        <w:rPr>
          <w:rFonts w:hint="eastAsia" w:ascii="宋体" w:hAnsi="宋体"/>
          <w:color w:val="auto"/>
          <w:sz w:val="24"/>
          <w:szCs w:val="24"/>
          <w:highlight w:val="none"/>
          <w:shd w:val="clear" w:color="auto" w:fill="auto"/>
        </w:rPr>
        <w:t>（五）</w:t>
      </w:r>
      <w:r>
        <w:rPr>
          <w:rFonts w:ascii="宋体" w:hAnsi="宋体"/>
          <w:color w:val="auto"/>
          <w:sz w:val="24"/>
          <w:szCs w:val="24"/>
          <w:highlight w:val="none"/>
          <w:shd w:val="clear" w:color="auto" w:fill="auto"/>
        </w:rPr>
        <w:t>为使参选人在编写参选文件时有充分时间对比选文件的</w:t>
      </w:r>
      <w:r>
        <w:rPr>
          <w:rFonts w:hint="eastAsia" w:ascii="宋体" w:hAnsi="宋体"/>
          <w:color w:val="auto"/>
          <w:sz w:val="24"/>
          <w:szCs w:val="24"/>
          <w:highlight w:val="none"/>
          <w:shd w:val="clear" w:color="auto" w:fill="auto"/>
        </w:rPr>
        <w:t>补遗、</w:t>
      </w:r>
      <w:r>
        <w:rPr>
          <w:rFonts w:ascii="宋体" w:hAnsi="宋体"/>
          <w:color w:val="auto"/>
          <w:sz w:val="24"/>
          <w:szCs w:val="24"/>
          <w:highlight w:val="none"/>
          <w:shd w:val="clear" w:color="auto" w:fill="auto"/>
        </w:rPr>
        <w:t>修改（补充）部分进行研究，比选人</w:t>
      </w:r>
      <w:r>
        <w:rPr>
          <w:rFonts w:hint="eastAsia" w:ascii="宋体" w:hAnsi="宋体"/>
          <w:color w:val="auto"/>
          <w:sz w:val="24"/>
          <w:szCs w:val="24"/>
          <w:highlight w:val="none"/>
          <w:shd w:val="clear" w:color="auto" w:fill="auto"/>
        </w:rPr>
        <w:t>有权</w:t>
      </w:r>
      <w:r>
        <w:rPr>
          <w:rFonts w:ascii="宋体" w:hAnsi="宋体"/>
          <w:color w:val="auto"/>
          <w:sz w:val="24"/>
          <w:szCs w:val="24"/>
          <w:highlight w:val="none"/>
          <w:shd w:val="clear" w:color="auto" w:fill="auto"/>
        </w:rPr>
        <w:t>适当延长递交参选文件的截止日期。</w:t>
      </w:r>
    </w:p>
    <w:p>
      <w:pPr>
        <w:pStyle w:val="4"/>
        <w:spacing w:line="480" w:lineRule="atLeast"/>
        <w:rPr>
          <w:rFonts w:ascii="宋体" w:hAnsi="宋体" w:eastAsia="宋体"/>
          <w:b/>
          <w:bCs/>
          <w:color w:val="auto"/>
          <w:sz w:val="32"/>
          <w:highlight w:val="none"/>
          <w:shd w:val="clear" w:color="auto" w:fill="auto"/>
        </w:rPr>
      </w:pPr>
      <w:bookmarkStart w:id="34" w:name="_Toc14403"/>
      <w:r>
        <w:rPr>
          <w:rFonts w:hint="eastAsia" w:ascii="宋体" w:hAnsi="宋体" w:eastAsia="宋体"/>
          <w:b/>
          <w:bCs/>
          <w:color w:val="auto"/>
          <w:sz w:val="32"/>
          <w:highlight w:val="none"/>
          <w:shd w:val="clear" w:color="auto" w:fill="auto"/>
        </w:rPr>
        <w:t>第三章  参选文件的编写</w:t>
      </w:r>
      <w:bookmarkEnd w:id="34"/>
    </w:p>
    <w:p>
      <w:pPr>
        <w:pStyle w:val="5"/>
        <w:numPr>
          <w:ilvl w:val="2"/>
          <w:numId w:val="0"/>
        </w:numPr>
        <w:spacing w:before="240" w:beforeLines="100" w:after="120" w:afterLines="50" w:line="480" w:lineRule="atLeast"/>
        <w:ind w:firstLine="472" w:firstLineChars="196"/>
        <w:rPr>
          <w:rFonts w:ascii="宋体" w:hAnsi="宋体"/>
          <w:bCs/>
          <w:color w:val="auto"/>
          <w:sz w:val="24"/>
          <w:highlight w:val="none"/>
          <w:shd w:val="clear" w:color="auto" w:fill="auto"/>
        </w:rPr>
      </w:pPr>
      <w:bookmarkStart w:id="35" w:name="_Toc25508"/>
      <w:r>
        <w:rPr>
          <w:rFonts w:hint="eastAsia" w:ascii="宋体" w:hAnsi="宋体"/>
          <w:bCs/>
          <w:color w:val="auto"/>
          <w:sz w:val="24"/>
          <w:highlight w:val="none"/>
          <w:shd w:val="clear" w:color="auto" w:fill="auto"/>
        </w:rPr>
        <w:t>一、参选文件的组成及要求</w:t>
      </w:r>
      <w:bookmarkEnd w:id="35"/>
    </w:p>
    <w:p>
      <w:pPr>
        <w:pStyle w:val="19"/>
        <w:tabs>
          <w:tab w:val="left" w:pos="945"/>
          <w:tab w:val="left" w:pos="1275"/>
        </w:tabs>
        <w:snapToGrid w:val="0"/>
        <w:spacing w:line="480" w:lineRule="atLeast"/>
        <w:ind w:left="0" w:leftChars="0" w:firstLine="480" w:firstLineChars="200"/>
        <w:jc w:val="left"/>
        <w:rPr>
          <w:rFonts w:ascii="宋体" w:hAnsi="宋体"/>
          <w:color w:val="auto"/>
          <w:sz w:val="24"/>
          <w:highlight w:val="none"/>
          <w:shd w:val="clear" w:color="auto" w:fill="auto"/>
        </w:rPr>
      </w:pPr>
      <w:r>
        <w:rPr>
          <w:rFonts w:hint="eastAsia" w:ascii="宋体" w:hAnsi="宋体"/>
          <w:color w:val="auto"/>
          <w:sz w:val="24"/>
          <w:szCs w:val="21"/>
          <w:highlight w:val="none"/>
          <w:shd w:val="clear" w:color="auto" w:fill="auto"/>
        </w:rPr>
        <w:t>参选人应仔细阅读比选文件的所有内容，按要求提供参选文件，并保证所提供的全部资料的真实性。</w:t>
      </w:r>
    </w:p>
    <w:p>
      <w:pPr>
        <w:pStyle w:val="19"/>
        <w:tabs>
          <w:tab w:val="left" w:pos="945"/>
          <w:tab w:val="left" w:pos="1275"/>
        </w:tabs>
        <w:snapToGrid w:val="0"/>
        <w:spacing w:line="480" w:lineRule="atLeast"/>
        <w:ind w:left="480" w:leftChars="0" w:firstLine="0" w:firstLineChars="0"/>
        <w:jc w:val="left"/>
        <w:rPr>
          <w:rFonts w:ascii="宋体" w:hAnsi="宋体"/>
          <w:color w:val="auto"/>
          <w:sz w:val="24"/>
          <w:szCs w:val="21"/>
          <w:highlight w:val="none"/>
          <w:shd w:val="clear" w:color="auto" w:fill="auto"/>
        </w:rPr>
      </w:pPr>
      <w:r>
        <w:rPr>
          <w:rFonts w:hint="eastAsia" w:ascii="宋体" w:hAnsi="宋体"/>
          <w:color w:val="auto"/>
          <w:sz w:val="24"/>
          <w:highlight w:val="none"/>
          <w:shd w:val="clear" w:color="auto" w:fill="auto"/>
        </w:rPr>
        <w:t>参选文件</w:t>
      </w:r>
      <w:r>
        <w:rPr>
          <w:rFonts w:ascii="宋体" w:hAnsi="宋体"/>
          <w:color w:val="auto"/>
          <w:sz w:val="24"/>
          <w:highlight w:val="none"/>
          <w:shd w:val="clear" w:color="auto" w:fill="auto"/>
        </w:rPr>
        <w:t>格式要求</w:t>
      </w:r>
      <w:r>
        <w:rPr>
          <w:rFonts w:hint="eastAsia" w:ascii="宋体" w:hAnsi="宋体"/>
          <w:color w:val="auto"/>
          <w:sz w:val="24"/>
          <w:highlight w:val="none"/>
          <w:shd w:val="clear" w:color="auto" w:fill="auto"/>
        </w:rPr>
        <w:t>：参选文件采用中文编写</w:t>
      </w:r>
      <w:r>
        <w:rPr>
          <w:rFonts w:ascii="宋体" w:hAnsi="宋体"/>
          <w:color w:val="auto"/>
          <w:sz w:val="24"/>
          <w:szCs w:val="21"/>
          <w:highlight w:val="none"/>
          <w:shd w:val="clear" w:color="auto" w:fill="auto"/>
        </w:rPr>
        <w:t>。</w:t>
      </w:r>
    </w:p>
    <w:p>
      <w:pPr>
        <w:pStyle w:val="19"/>
        <w:tabs>
          <w:tab w:val="left" w:pos="945"/>
          <w:tab w:val="left" w:pos="1275"/>
        </w:tabs>
        <w:snapToGrid w:val="0"/>
        <w:spacing w:line="480" w:lineRule="atLeast"/>
        <w:ind w:left="0" w:leftChars="0" w:firstLine="482" w:firstLineChars="200"/>
        <w:jc w:val="left"/>
        <w:rPr>
          <w:rFonts w:ascii="宋体" w:hAnsi="宋体"/>
          <w:color w:val="auto"/>
          <w:sz w:val="24"/>
          <w:highlight w:val="none"/>
          <w:shd w:val="clear" w:color="auto" w:fill="auto"/>
        </w:rPr>
      </w:pPr>
      <w:r>
        <w:rPr>
          <w:rFonts w:hint="eastAsia" w:ascii="宋体" w:hAnsi="宋体"/>
          <w:b/>
          <w:color w:val="auto"/>
          <w:sz w:val="24"/>
          <w:highlight w:val="none"/>
          <w:u w:val="single"/>
          <w:shd w:val="clear" w:color="auto" w:fill="auto"/>
        </w:rPr>
        <w:t>参选文件</w:t>
      </w:r>
      <w:r>
        <w:rPr>
          <w:rFonts w:hint="eastAsia" w:ascii="宋体" w:hAnsi="宋体"/>
          <w:b/>
          <w:color w:val="auto"/>
          <w:sz w:val="24"/>
          <w:szCs w:val="21"/>
          <w:highlight w:val="none"/>
          <w:u w:val="single"/>
          <w:shd w:val="clear" w:color="auto" w:fill="auto"/>
        </w:rPr>
        <w:t>按照“技术标书”、 “商务标书”</w:t>
      </w:r>
      <w:r>
        <w:rPr>
          <w:rFonts w:hint="eastAsia" w:ascii="宋体" w:hAnsi="宋体"/>
          <w:b/>
          <w:color w:val="auto"/>
          <w:sz w:val="24"/>
          <w:highlight w:val="none"/>
          <w:u w:val="single"/>
          <w:shd w:val="clear" w:color="auto" w:fill="auto"/>
        </w:rPr>
        <w:t>按要求上传。</w:t>
      </w:r>
    </w:p>
    <w:p>
      <w:pPr>
        <w:pStyle w:val="5"/>
        <w:numPr>
          <w:ilvl w:val="2"/>
          <w:numId w:val="0"/>
        </w:numPr>
        <w:spacing w:before="240" w:beforeLines="100" w:after="120" w:afterLines="50" w:line="360" w:lineRule="auto"/>
        <w:ind w:firstLine="472" w:firstLineChars="196"/>
        <w:rPr>
          <w:rFonts w:ascii="宋体" w:hAnsi="宋体"/>
          <w:bCs/>
          <w:color w:val="auto"/>
          <w:sz w:val="24"/>
          <w:highlight w:val="none"/>
          <w:shd w:val="clear" w:color="auto" w:fill="auto"/>
        </w:rPr>
      </w:pPr>
      <w:bookmarkStart w:id="36" w:name="_Toc32417"/>
      <w:r>
        <w:rPr>
          <w:rFonts w:hint="eastAsia" w:ascii="宋体" w:hAnsi="宋体"/>
          <w:bCs/>
          <w:color w:val="auto"/>
          <w:sz w:val="24"/>
          <w:highlight w:val="none"/>
          <w:shd w:val="clear" w:color="auto" w:fill="auto"/>
        </w:rPr>
        <w:t>二、参选文件内容编写要求</w:t>
      </w:r>
      <w:bookmarkEnd w:id="36"/>
    </w:p>
    <w:bookmarkEnd w:id="9"/>
    <w:p>
      <w:pPr>
        <w:pStyle w:val="115"/>
        <w:numPr>
          <w:ilvl w:val="1"/>
          <w:numId w:val="12"/>
        </w:numPr>
        <w:spacing w:line="336" w:lineRule="auto"/>
        <w:ind w:left="0" w:firstLine="480"/>
        <w:rPr>
          <w:rFonts w:ascii="宋体" w:hAnsi="宋体"/>
          <w:bCs/>
          <w:color w:val="auto"/>
          <w:sz w:val="24"/>
          <w:szCs w:val="32"/>
          <w:highlight w:val="none"/>
          <w:shd w:val="clear" w:color="auto" w:fill="auto"/>
        </w:rPr>
      </w:pPr>
      <w:bookmarkStart w:id="37" w:name="_Toc197404907"/>
      <w:r>
        <w:rPr>
          <w:rFonts w:hint="eastAsia" w:ascii="宋体" w:hAnsi="宋体"/>
          <w:bCs/>
          <w:color w:val="auto"/>
          <w:sz w:val="24"/>
          <w:szCs w:val="32"/>
          <w:highlight w:val="none"/>
          <w:shd w:val="clear" w:color="auto" w:fill="auto"/>
        </w:rPr>
        <w:t>技术标书的编写</w:t>
      </w:r>
    </w:p>
    <w:p>
      <w:pPr>
        <w:pStyle w:val="115"/>
        <w:numPr>
          <w:ilvl w:val="0"/>
          <w:numId w:val="13"/>
        </w:numPr>
        <w:spacing w:line="336" w:lineRule="auto"/>
        <w:ind w:left="0" w:firstLine="48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参选人应按照比选文件第二篇“参选文件格式”中技术标书部分的要求编写技术标书。技术标书应包括以下几个主要内容：</w:t>
      </w:r>
    </w:p>
    <w:p>
      <w:pPr>
        <w:pStyle w:val="115"/>
        <w:numPr>
          <w:ilvl w:val="0"/>
          <w:numId w:val="14"/>
        </w:numPr>
        <w:spacing w:line="336" w:lineRule="auto"/>
        <w:ind w:firstLineChars="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企业法人营业执照复印件（加盖公章）</w:t>
      </w:r>
    </w:p>
    <w:p>
      <w:pPr>
        <w:pStyle w:val="115"/>
        <w:numPr>
          <w:ilvl w:val="0"/>
          <w:numId w:val="14"/>
        </w:numPr>
        <w:spacing w:line="336" w:lineRule="auto"/>
        <w:ind w:firstLineChars="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法定代表人资格证明书（加盖公章）</w:t>
      </w:r>
    </w:p>
    <w:p>
      <w:pPr>
        <w:pStyle w:val="115"/>
        <w:numPr>
          <w:ilvl w:val="0"/>
          <w:numId w:val="14"/>
        </w:numPr>
        <w:spacing w:line="336" w:lineRule="auto"/>
        <w:ind w:firstLineChars="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法定代表人身份证复印件（加盖公章，核验原件）</w:t>
      </w:r>
    </w:p>
    <w:p>
      <w:pPr>
        <w:pStyle w:val="115"/>
        <w:numPr>
          <w:ilvl w:val="0"/>
          <w:numId w:val="14"/>
        </w:numPr>
        <w:spacing w:line="336" w:lineRule="auto"/>
        <w:ind w:firstLineChars="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法定代表人授权委托书（如有，加盖公章）</w:t>
      </w:r>
    </w:p>
    <w:p>
      <w:pPr>
        <w:pStyle w:val="115"/>
        <w:numPr>
          <w:ilvl w:val="0"/>
          <w:numId w:val="14"/>
        </w:numPr>
        <w:spacing w:line="336" w:lineRule="auto"/>
        <w:ind w:firstLineChars="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被授权人身份证复印件（如有，加盖公章，核验原件）</w:t>
      </w:r>
    </w:p>
    <w:p>
      <w:pPr>
        <w:pStyle w:val="115"/>
        <w:numPr>
          <w:ilvl w:val="0"/>
          <w:numId w:val="14"/>
        </w:numPr>
        <w:spacing w:line="336" w:lineRule="auto"/>
        <w:ind w:firstLineChars="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w:t>
      </w:r>
      <w:r>
        <w:rPr>
          <w:rFonts w:hint="eastAsia" w:hAnsi="宋体"/>
          <w:bCs/>
          <w:color w:val="auto"/>
          <w:sz w:val="24"/>
          <w:szCs w:val="22"/>
          <w:highlight w:val="none"/>
          <w:shd w:val="clear" w:color="auto" w:fill="auto"/>
          <w:lang w:val="en-US" w:eastAsia="zh-CN"/>
        </w:rPr>
        <w:t>深铁置业产品标准化体系发布会活动方案</w:t>
      </w:r>
      <w:r>
        <w:rPr>
          <w:rFonts w:hint="eastAsia" w:ascii="宋体" w:hAnsi="宋体"/>
          <w:bCs/>
          <w:color w:val="auto"/>
          <w:sz w:val="24"/>
          <w:szCs w:val="32"/>
          <w:highlight w:val="none"/>
          <w:shd w:val="clear" w:color="auto" w:fill="auto"/>
        </w:rPr>
        <w:t>》（加盖公章）</w:t>
      </w:r>
    </w:p>
    <w:p>
      <w:pPr>
        <w:spacing w:line="336" w:lineRule="auto"/>
        <w:ind w:firstLine="480"/>
        <w:rPr>
          <w:rFonts w:hint="eastAsia" w:ascii="宋体" w:hAnsi="宋体" w:eastAsia="宋体"/>
          <w:bCs/>
          <w:color w:val="auto"/>
          <w:sz w:val="24"/>
          <w:szCs w:val="32"/>
          <w:highlight w:val="none"/>
          <w:shd w:val="clear" w:color="auto" w:fill="auto"/>
          <w:lang w:eastAsia="zh-CN"/>
        </w:rPr>
      </w:pPr>
      <w:r>
        <w:rPr>
          <w:rFonts w:hint="eastAsia" w:ascii="宋体" w:hAnsi="宋体"/>
          <w:bCs/>
          <w:color w:val="auto"/>
          <w:sz w:val="24"/>
          <w:szCs w:val="32"/>
          <w:highlight w:val="none"/>
          <w:shd w:val="clear" w:color="auto" w:fill="auto"/>
        </w:rPr>
        <w:t>（7）资格审查所需案例证明材料：2019年1月1日至今，服务全国50强或深圳20强房地产开发公司品牌（全国50强排名参考2019年-2021年中指研究院或易居克尔瑞数据，深圳20强排名参考2019-2021年深圳房协数据）在北上广深一线城市的房地产项目营销活动，且</w:t>
      </w:r>
      <w:r>
        <w:rPr>
          <w:rFonts w:hint="eastAsia" w:ascii="宋体" w:hAnsi="宋体"/>
          <w:bCs/>
          <w:color w:val="auto"/>
          <w:sz w:val="24"/>
          <w:szCs w:val="32"/>
          <w:highlight w:val="none"/>
          <w:shd w:val="clear" w:color="auto" w:fill="auto"/>
          <w:lang w:val="en-US" w:eastAsia="zh-CN"/>
        </w:rPr>
        <w:t>单个</w:t>
      </w:r>
      <w:r>
        <w:rPr>
          <w:rFonts w:hint="eastAsia" w:ascii="宋体" w:hAnsi="宋体"/>
          <w:bCs/>
          <w:color w:val="auto"/>
          <w:sz w:val="24"/>
          <w:szCs w:val="32"/>
          <w:highlight w:val="none"/>
          <w:shd w:val="clear" w:color="auto" w:fill="auto"/>
        </w:rPr>
        <w:t>活动金额在50万元以上的案例不少于2个。（一场活动算一个案例）证明材料需提供合同复印件，包含合同关键页：服务内容、服务期限、盖章签署页等内容，加盖公章</w:t>
      </w:r>
      <w:r>
        <w:rPr>
          <w:rFonts w:hint="eastAsia" w:ascii="宋体" w:hAnsi="宋体"/>
          <w:bCs/>
          <w:color w:val="auto"/>
          <w:sz w:val="24"/>
          <w:szCs w:val="32"/>
          <w:highlight w:val="none"/>
          <w:shd w:val="clear" w:color="auto" w:fill="auto"/>
          <w:lang w:eastAsia="zh-CN"/>
        </w:rPr>
        <w:t>。</w:t>
      </w:r>
    </w:p>
    <w:p>
      <w:pPr>
        <w:pStyle w:val="47"/>
        <w:spacing w:line="336" w:lineRule="auto"/>
        <w:ind w:left="0" w:leftChars="0" w:firstLine="480"/>
        <w:rPr>
          <w:rFonts w:hAnsi="宋体"/>
          <w:bCs/>
          <w:color w:val="auto"/>
          <w:kern w:val="2"/>
          <w:sz w:val="24"/>
          <w:szCs w:val="32"/>
          <w:highlight w:val="none"/>
          <w:shd w:val="clear" w:color="auto" w:fill="auto"/>
        </w:rPr>
      </w:pPr>
      <w:r>
        <w:rPr>
          <w:rFonts w:hint="eastAsia" w:hAnsi="宋体"/>
          <w:bCs/>
          <w:color w:val="auto"/>
          <w:kern w:val="2"/>
          <w:sz w:val="24"/>
          <w:szCs w:val="32"/>
          <w:highlight w:val="none"/>
          <w:shd w:val="clear" w:color="auto" w:fill="auto"/>
        </w:rPr>
        <w:t>（8）技术标评审所需案例证明材料：</w:t>
      </w:r>
    </w:p>
    <w:p>
      <w:pPr>
        <w:pStyle w:val="47"/>
        <w:spacing w:line="336" w:lineRule="auto"/>
        <w:ind w:left="0" w:leftChars="0" w:firstLine="480"/>
        <w:rPr>
          <w:rFonts w:hint="eastAsia" w:hAnsi="宋体" w:eastAsia="宋体"/>
          <w:bCs/>
          <w:color w:val="auto"/>
          <w:kern w:val="2"/>
          <w:sz w:val="24"/>
          <w:szCs w:val="32"/>
          <w:highlight w:val="none"/>
          <w:shd w:val="clear" w:color="auto" w:fill="auto"/>
          <w:lang w:eastAsia="zh-CN"/>
        </w:rPr>
      </w:pPr>
      <w:r>
        <w:rPr>
          <w:rFonts w:hint="eastAsia" w:hAnsi="宋体"/>
          <w:bCs/>
          <w:color w:val="auto"/>
          <w:kern w:val="2"/>
          <w:sz w:val="24"/>
          <w:szCs w:val="32"/>
          <w:highlight w:val="none"/>
          <w:shd w:val="clear" w:color="auto" w:fill="auto"/>
        </w:rPr>
        <w:t>①2019年1月1日至今，服务全国50强或深圳20强房地产开发公司品牌（全国50强排名参考2019年-2021年中指研究院或易居克尔瑞数据，深圳20强排名参考2019-2021年深圳房协数据）在北上广深一线城市的项目或品牌的活动，且合同金额在100万元以上的案例。</w:t>
      </w:r>
    </w:p>
    <w:p>
      <w:pPr>
        <w:pStyle w:val="47"/>
        <w:spacing w:line="336" w:lineRule="auto"/>
        <w:ind w:left="0" w:leftChars="0" w:firstLine="480"/>
        <w:rPr>
          <w:rFonts w:hAnsi="宋体"/>
          <w:bCs/>
          <w:color w:val="auto"/>
          <w:kern w:val="2"/>
          <w:sz w:val="24"/>
          <w:szCs w:val="32"/>
          <w:highlight w:val="none"/>
          <w:shd w:val="clear" w:color="auto" w:fill="auto"/>
        </w:rPr>
      </w:pPr>
      <w:r>
        <w:rPr>
          <w:rFonts w:hint="eastAsia" w:hAnsi="宋体"/>
          <w:bCs/>
          <w:color w:val="auto"/>
          <w:kern w:val="2"/>
          <w:sz w:val="24"/>
          <w:szCs w:val="32"/>
          <w:highlight w:val="none"/>
          <w:shd w:val="clear" w:color="auto" w:fill="auto"/>
        </w:rPr>
        <w:t>②2019年1月1日至今，在北上广深一线城市</w:t>
      </w:r>
      <w:r>
        <w:rPr>
          <w:rFonts w:hint="eastAsia" w:hAnsi="宋体"/>
          <w:bCs/>
          <w:color w:val="auto"/>
          <w:kern w:val="2"/>
          <w:sz w:val="24"/>
          <w:szCs w:val="32"/>
          <w:highlight w:val="none"/>
          <w:shd w:val="clear" w:color="auto" w:fill="auto"/>
          <w:lang w:val="en-US" w:eastAsia="zh-CN"/>
        </w:rPr>
        <w:t>落地执行的大型品牌类活动，或由政府单位举办的大型活动或峰会（文化、科技、金融、公益等类型），单项活动金额大于或等于200万元的案例。</w:t>
      </w:r>
    </w:p>
    <w:p>
      <w:pPr>
        <w:spacing w:line="336" w:lineRule="auto"/>
        <w:ind w:firstLine="48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以上（7）、（8）证明材料需提供合同复印件，包含合同关键页：服务内容、服务期限、盖章签署页等内容，加盖公章）</w:t>
      </w:r>
    </w:p>
    <w:p>
      <w:pPr>
        <w:pStyle w:val="47"/>
        <w:spacing w:line="336" w:lineRule="auto"/>
        <w:ind w:left="1200" w:leftChars="0" w:firstLine="0" w:firstLineChars="0"/>
        <w:rPr>
          <w:color w:val="auto"/>
          <w:sz w:val="22"/>
          <w:szCs w:val="32"/>
          <w:highlight w:val="none"/>
          <w:shd w:val="clear" w:color="auto" w:fill="auto"/>
        </w:rPr>
      </w:pPr>
    </w:p>
    <w:p>
      <w:pPr>
        <w:pStyle w:val="115"/>
        <w:numPr>
          <w:ilvl w:val="0"/>
          <w:numId w:val="13"/>
        </w:numPr>
        <w:spacing w:line="336" w:lineRule="auto"/>
        <w:ind w:left="0" w:firstLine="48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项目资料真实性及业绩由参选人负责核实，</w:t>
      </w:r>
      <w:r>
        <w:rPr>
          <w:rFonts w:hint="eastAsia" w:ascii="宋体" w:hAnsi="宋体" w:cs="宋体"/>
          <w:snapToGrid w:val="0"/>
          <w:color w:val="auto"/>
          <w:kern w:val="0"/>
          <w:sz w:val="24"/>
          <w:szCs w:val="24"/>
          <w:highlight w:val="none"/>
          <w:shd w:val="clear" w:color="auto" w:fill="auto"/>
        </w:rPr>
        <w:t>以上提供的证书（证件等）必须在有效期内，</w:t>
      </w:r>
      <w:r>
        <w:rPr>
          <w:rFonts w:hint="eastAsia" w:ascii="宋体" w:hAnsi="宋体"/>
          <w:bCs/>
          <w:color w:val="auto"/>
          <w:sz w:val="24"/>
          <w:szCs w:val="32"/>
          <w:highlight w:val="none"/>
          <w:shd w:val="clear" w:color="auto" w:fill="auto"/>
        </w:rPr>
        <w:t>并加盖公章。若比选人查实上述信息不真实，参选人将负全责。</w:t>
      </w:r>
    </w:p>
    <w:p>
      <w:pPr>
        <w:pStyle w:val="115"/>
        <w:numPr>
          <w:ilvl w:val="1"/>
          <w:numId w:val="12"/>
        </w:numPr>
        <w:spacing w:line="336" w:lineRule="auto"/>
        <w:ind w:left="0" w:firstLine="48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商务标书的编写</w:t>
      </w:r>
    </w:p>
    <w:p>
      <w:pPr>
        <w:pStyle w:val="115"/>
        <w:numPr>
          <w:ilvl w:val="0"/>
          <w:numId w:val="15"/>
        </w:numPr>
        <w:spacing w:line="336" w:lineRule="auto"/>
        <w:ind w:left="0" w:firstLine="48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参选人应按照比选文件第二篇“参选文件格式”中商务标书部分的要求编写商务标。商务标书应包括以下几个主要内容：</w:t>
      </w:r>
    </w:p>
    <w:p>
      <w:pPr>
        <w:pStyle w:val="115"/>
        <w:numPr>
          <w:ilvl w:val="0"/>
          <w:numId w:val="16"/>
        </w:numPr>
        <w:spacing w:line="336" w:lineRule="auto"/>
        <w:ind w:left="0" w:firstLine="48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参选函；</w:t>
      </w:r>
    </w:p>
    <w:p>
      <w:pPr>
        <w:pStyle w:val="115"/>
        <w:numPr>
          <w:ilvl w:val="0"/>
          <w:numId w:val="16"/>
        </w:numPr>
        <w:spacing w:line="336" w:lineRule="auto"/>
        <w:ind w:left="0" w:firstLine="48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报价表。</w:t>
      </w:r>
    </w:p>
    <w:p>
      <w:pPr>
        <w:pStyle w:val="115"/>
        <w:numPr>
          <w:ilvl w:val="0"/>
          <w:numId w:val="15"/>
        </w:numPr>
        <w:spacing w:line="336" w:lineRule="auto"/>
        <w:ind w:left="0" w:firstLine="48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参选报价货币为</w:t>
      </w:r>
      <w:r>
        <w:rPr>
          <w:rFonts w:hint="eastAsia" w:ascii="宋体" w:hAnsi="宋体"/>
          <w:b/>
          <w:color w:val="auto"/>
          <w:sz w:val="24"/>
          <w:szCs w:val="32"/>
          <w:highlight w:val="none"/>
          <w:u w:val="single"/>
          <w:shd w:val="clear" w:color="auto" w:fill="auto"/>
        </w:rPr>
        <w:t>人民币</w:t>
      </w:r>
      <w:r>
        <w:rPr>
          <w:rFonts w:hint="eastAsia" w:ascii="宋体" w:hAnsi="宋体"/>
          <w:bCs/>
          <w:color w:val="auto"/>
          <w:sz w:val="24"/>
          <w:szCs w:val="32"/>
          <w:highlight w:val="none"/>
          <w:shd w:val="clear" w:color="auto" w:fill="auto"/>
        </w:rPr>
        <w:t>。</w:t>
      </w:r>
    </w:p>
    <w:p>
      <w:pPr>
        <w:pStyle w:val="115"/>
        <w:numPr>
          <w:ilvl w:val="0"/>
          <w:numId w:val="15"/>
        </w:numPr>
        <w:spacing w:line="336" w:lineRule="auto"/>
        <w:ind w:left="0" w:firstLine="48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比选人认为参选人自备设施、工作人员的保险及劳动保护等费用已包含在参选人的参选报价中。</w:t>
      </w:r>
    </w:p>
    <w:p>
      <w:pPr>
        <w:pStyle w:val="115"/>
        <w:numPr>
          <w:ilvl w:val="0"/>
          <w:numId w:val="15"/>
        </w:numPr>
        <w:spacing w:line="336" w:lineRule="auto"/>
        <w:ind w:left="0" w:firstLine="48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比选人认为参选人报价已包含但不限于版权、人工、研发及为完成本项目工作产生的管理费、培训费等系列费用及相关税费等（包括关税、增值税）。</w:t>
      </w:r>
    </w:p>
    <w:p>
      <w:pPr>
        <w:pStyle w:val="115"/>
        <w:numPr>
          <w:ilvl w:val="0"/>
          <w:numId w:val="15"/>
        </w:numPr>
        <w:spacing w:line="336" w:lineRule="auto"/>
        <w:ind w:left="0" w:firstLine="48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比选人认为参选人为履行本合同而提供的产品和相关服务的知识产权、版权费等第三者费用、根据法律由乙方支付的税费、保险费、合同文本、研究成果等资料的印刷费等已包含在参选人的参选报价中。</w:t>
      </w:r>
    </w:p>
    <w:p>
      <w:pPr>
        <w:numPr>
          <w:ilvl w:val="0"/>
          <w:numId w:val="15"/>
        </w:numPr>
        <w:adjustRightInd w:val="0"/>
        <w:snapToGrid w:val="0"/>
        <w:spacing w:line="360" w:lineRule="auto"/>
        <w:ind w:left="0" w:firstLine="480" w:firstLineChars="200"/>
        <w:rPr>
          <w:rFonts w:hAnsi="宋体"/>
          <w:color w:val="auto"/>
          <w:sz w:val="24"/>
          <w:szCs w:val="24"/>
          <w:highlight w:val="none"/>
          <w:shd w:val="clear" w:color="auto" w:fill="auto"/>
        </w:rPr>
      </w:pPr>
      <w:r>
        <w:rPr>
          <w:rFonts w:hint="eastAsia" w:hAnsi="宋体"/>
          <w:color w:val="auto"/>
          <w:sz w:val="24"/>
          <w:szCs w:val="24"/>
          <w:highlight w:val="none"/>
          <w:shd w:val="clear" w:color="auto" w:fill="auto"/>
        </w:rPr>
        <w:t>本次比选报价总费用最高限价为人民币</w:t>
      </w:r>
      <w:r>
        <w:rPr>
          <w:rFonts w:hint="eastAsia" w:hAnsi="宋体"/>
          <w:color w:val="auto"/>
          <w:sz w:val="24"/>
          <w:szCs w:val="24"/>
          <w:highlight w:val="none"/>
          <w:shd w:val="clear" w:color="auto" w:fill="auto"/>
          <w:lang w:val="en-US" w:eastAsia="zh-CN"/>
        </w:rPr>
        <w:t>377.4</w:t>
      </w:r>
      <w:r>
        <w:rPr>
          <w:rFonts w:hint="eastAsia" w:hAnsi="宋体"/>
          <w:color w:val="auto"/>
          <w:sz w:val="24"/>
          <w:szCs w:val="24"/>
          <w:highlight w:val="none"/>
          <w:shd w:val="clear" w:color="auto" w:fill="auto"/>
        </w:rPr>
        <w:t>万元（含税），参选人报价不能超过本次比选总上限价及每个项目最高限价，具体细项最高限价详见下表（万元，含税）：</w:t>
      </w:r>
    </w:p>
    <w:p>
      <w:pPr>
        <w:pStyle w:val="24"/>
        <w:tabs>
          <w:tab w:val="right" w:pos="9026"/>
        </w:tabs>
        <w:snapToGrid w:val="0"/>
        <w:spacing w:line="336" w:lineRule="auto"/>
        <w:ind w:firstLine="480" w:firstLineChars="200"/>
        <w:rPr>
          <w:rFonts w:hAnsi="宋体"/>
          <w:color w:val="auto"/>
          <w:sz w:val="24"/>
          <w:szCs w:val="24"/>
          <w:highlight w:val="none"/>
          <w:shd w:val="clear" w:color="auto" w:fill="auto"/>
        </w:rPr>
      </w:pPr>
      <w:r>
        <w:rPr>
          <w:rFonts w:hint="eastAsia" w:hAnsi="宋体"/>
          <w:color w:val="auto"/>
          <w:sz w:val="24"/>
          <w:szCs w:val="24"/>
          <w:highlight w:val="none"/>
          <w:shd w:val="clear" w:color="auto" w:fill="auto"/>
        </w:rPr>
        <w:t>【注：各项具体细项的最终报价均不能超过以下细项最高限价】</w:t>
      </w:r>
    </w:p>
    <w:tbl>
      <w:tblPr>
        <w:tblStyle w:val="48"/>
        <w:tblW w:w="87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1681"/>
        <w:gridCol w:w="3546"/>
        <w:gridCol w:w="2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序号</w:t>
            </w:r>
          </w:p>
        </w:tc>
        <w:tc>
          <w:tcPr>
            <w:tcW w:w="152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分类</w:t>
            </w:r>
          </w:p>
        </w:tc>
        <w:tc>
          <w:tcPr>
            <w:tcW w:w="3215"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xml:space="preserve">细项    </w:t>
            </w:r>
          </w:p>
        </w:tc>
        <w:tc>
          <w:tcPr>
            <w:tcW w:w="2385"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控制价（万元，含税）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152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场地租赁</w:t>
            </w:r>
          </w:p>
        </w:tc>
        <w:tc>
          <w:tcPr>
            <w:tcW w:w="3215"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场地租赁</w:t>
            </w:r>
          </w:p>
        </w:tc>
        <w:tc>
          <w:tcPr>
            <w:tcW w:w="2385"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22.4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4" w:type="dxa"/>
            <w:vMerge w:val="restart"/>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1524" w:type="dxa"/>
            <w:vMerge w:val="restart"/>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活动部分</w:t>
            </w:r>
          </w:p>
        </w:tc>
        <w:tc>
          <w:tcPr>
            <w:tcW w:w="3215"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KOL邀请</w:t>
            </w:r>
          </w:p>
        </w:tc>
        <w:tc>
          <w:tcPr>
            <w:tcW w:w="2385"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4"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1524"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3215"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活动执行</w:t>
            </w:r>
          </w:p>
        </w:tc>
        <w:tc>
          <w:tcPr>
            <w:tcW w:w="2385"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4"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1524"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3215"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小计</w:t>
            </w:r>
          </w:p>
        </w:tc>
        <w:tc>
          <w:tcPr>
            <w:tcW w:w="2385"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4"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w:t>
            </w:r>
          </w:p>
        </w:tc>
        <w:tc>
          <w:tcPr>
            <w:tcW w:w="152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影视片</w:t>
            </w:r>
          </w:p>
        </w:tc>
        <w:tc>
          <w:tcPr>
            <w:tcW w:w="3215"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影视片</w:t>
            </w:r>
          </w:p>
        </w:tc>
        <w:tc>
          <w:tcPr>
            <w:tcW w:w="2385"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4" w:type="dxa"/>
            <w:vMerge w:val="restart"/>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4</w:t>
            </w:r>
          </w:p>
        </w:tc>
        <w:tc>
          <w:tcPr>
            <w:tcW w:w="1524" w:type="dxa"/>
            <w:vMerge w:val="restart"/>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宣传推广</w:t>
            </w:r>
          </w:p>
        </w:tc>
        <w:tc>
          <w:tcPr>
            <w:tcW w:w="3215" w:type="dxa"/>
            <w:noWrap w:val="0"/>
            <w:vAlign w:val="center"/>
          </w:tcPr>
          <w:p>
            <w:pPr>
              <w:pStyle w:val="47"/>
              <w:spacing w:line="240" w:lineRule="exact"/>
              <w:ind w:left="540" w:leftChars="257" w:firstLine="0" w:firstLineChars="0"/>
              <w:jc w:val="center"/>
              <w:rPr>
                <w:rFonts w:hint="eastAsia" w:ascii="宋体" w:hAnsi="宋体" w:cs="宋体"/>
                <w:color w:val="auto"/>
                <w:kern w:val="0"/>
                <w:sz w:val="18"/>
                <w:szCs w:val="20"/>
                <w:highlight w:val="none"/>
                <w:shd w:val="clear" w:color="auto" w:fill="auto"/>
              </w:rPr>
            </w:pPr>
            <w:r>
              <w:rPr>
                <w:rFonts w:hint="eastAsia"/>
                <w:color w:val="auto"/>
                <w:sz w:val="22"/>
                <w:szCs w:val="22"/>
                <w:shd w:val="clear" w:color="auto" w:fill="auto"/>
                <w:lang w:val="en-US" w:eastAsia="zh-CN"/>
              </w:rPr>
              <w:t>自媒体大V推广</w:t>
            </w:r>
          </w:p>
        </w:tc>
        <w:tc>
          <w:tcPr>
            <w:tcW w:w="2385" w:type="dxa"/>
            <w:noWrap w:val="0"/>
            <w:vAlign w:val="center"/>
          </w:tcPr>
          <w:p>
            <w:pPr>
              <w:widowControl/>
              <w:adjustRightInd w:val="0"/>
              <w:snapToGrid w:val="0"/>
              <w:ind w:left="0" w:leftChars="0" w:firstLine="0" w:firstLineChars="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 w:val="21"/>
                <w:szCs w:val="21"/>
                <w:highlight w:val="none"/>
                <w:shd w:val="clear" w:color="auto" w:fill="auto"/>
                <w:lang w:val="en-US" w:eastAsia="zh-CN"/>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794"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524"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3215" w:type="dxa"/>
            <w:noWrap w:val="0"/>
            <w:vAlign w:val="center"/>
          </w:tcPr>
          <w:p>
            <w:pPr>
              <w:pStyle w:val="47"/>
              <w:spacing w:line="240" w:lineRule="exact"/>
              <w:ind w:left="540" w:leftChars="257" w:firstLine="0" w:firstLineChars="0"/>
              <w:jc w:val="center"/>
              <w:rPr>
                <w:rFonts w:hint="eastAsia" w:ascii="宋体" w:hAnsi="宋体" w:cs="宋体"/>
                <w:color w:val="auto"/>
                <w:kern w:val="0"/>
                <w:sz w:val="18"/>
                <w:szCs w:val="20"/>
                <w:highlight w:val="none"/>
                <w:shd w:val="clear" w:color="auto" w:fill="auto"/>
                <w:lang w:val="en-US" w:eastAsia="zh-CN"/>
              </w:rPr>
            </w:pPr>
            <w:r>
              <w:rPr>
                <w:rFonts w:hint="eastAsia"/>
                <w:color w:val="auto"/>
                <w:sz w:val="22"/>
                <w:szCs w:val="22"/>
                <w:shd w:val="clear" w:color="auto" w:fill="auto"/>
                <w:lang w:val="en-US" w:eastAsia="zh-CN"/>
              </w:rPr>
              <w:t>原创深度报道及主流媒体通稿、硬广推广</w:t>
            </w:r>
          </w:p>
        </w:tc>
        <w:tc>
          <w:tcPr>
            <w:tcW w:w="2385" w:type="dxa"/>
            <w:noWrap w:val="0"/>
            <w:vAlign w:val="center"/>
          </w:tcPr>
          <w:p>
            <w:pPr>
              <w:widowControl/>
              <w:adjustRightInd w:val="0"/>
              <w:snapToGrid w:val="0"/>
              <w:ind w:left="0" w:leftChars="0" w:firstLine="0" w:firstLineChars="0"/>
              <w:jc w:val="center"/>
              <w:rPr>
                <w:rFonts w:hint="eastAsia" w:ascii="宋体" w:hAnsi="宋体" w:cs="宋体"/>
                <w:color w:val="auto"/>
                <w:kern w:val="0"/>
                <w:szCs w:val="21"/>
                <w:highlight w:val="none"/>
                <w:shd w:val="clear" w:color="auto" w:fill="auto"/>
                <w:lang w:val="en-US" w:eastAsia="zh-CN"/>
              </w:rPr>
            </w:pPr>
            <w:r>
              <w:rPr>
                <w:rFonts w:hint="eastAsia" w:ascii="宋体" w:hAnsi="宋体" w:cs="宋体"/>
                <w:color w:val="auto"/>
                <w:kern w:val="0"/>
                <w:sz w:val="21"/>
                <w:szCs w:val="21"/>
                <w:highlight w:val="none"/>
                <w:shd w:val="clear" w:color="auto" w:fill="auto"/>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4" w:type="dxa"/>
            <w:vMerge w:val="continue"/>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p>
        </w:tc>
        <w:tc>
          <w:tcPr>
            <w:tcW w:w="1524"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3215"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关于TOD综合开发模式研究</w:t>
            </w:r>
          </w:p>
        </w:tc>
        <w:tc>
          <w:tcPr>
            <w:tcW w:w="2385"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4"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1524"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3215"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小计</w:t>
            </w:r>
          </w:p>
        </w:tc>
        <w:tc>
          <w:tcPr>
            <w:tcW w:w="2385"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5533" w:type="dxa"/>
            <w:gridSpan w:val="3"/>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合计</w:t>
            </w:r>
          </w:p>
        </w:tc>
        <w:tc>
          <w:tcPr>
            <w:tcW w:w="2385"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377.4</w:t>
            </w:r>
          </w:p>
        </w:tc>
      </w:tr>
    </w:tbl>
    <w:p>
      <w:pPr>
        <w:adjustRightInd w:val="0"/>
        <w:snapToGrid w:val="0"/>
        <w:spacing w:line="360" w:lineRule="auto"/>
        <w:ind w:left="420" w:leftChars="200"/>
        <w:rPr>
          <w:rFonts w:ascii="宋体" w:hAnsi="宋体"/>
          <w:b/>
          <w:color w:val="auto"/>
          <w:sz w:val="24"/>
          <w:szCs w:val="24"/>
          <w:highlight w:val="none"/>
          <w:u w:val="single"/>
          <w:shd w:val="clear" w:color="auto" w:fill="auto"/>
        </w:rPr>
      </w:pPr>
    </w:p>
    <w:p>
      <w:pPr>
        <w:pStyle w:val="47"/>
        <w:rPr>
          <w:rFonts w:ascii="宋体" w:hAnsi="宋体"/>
          <w:b/>
          <w:color w:val="auto"/>
          <w:sz w:val="24"/>
          <w:szCs w:val="24"/>
          <w:highlight w:val="none"/>
          <w:u w:val="single"/>
          <w:shd w:val="clear" w:color="auto" w:fill="auto"/>
        </w:rPr>
      </w:pPr>
    </w:p>
    <w:p>
      <w:pPr>
        <w:pStyle w:val="47"/>
        <w:rPr>
          <w:rFonts w:ascii="宋体" w:hAnsi="宋体"/>
          <w:b/>
          <w:color w:val="auto"/>
          <w:sz w:val="24"/>
          <w:szCs w:val="24"/>
          <w:highlight w:val="none"/>
          <w:u w:val="single"/>
          <w:shd w:val="clear" w:color="auto" w:fill="auto"/>
        </w:rPr>
      </w:pPr>
    </w:p>
    <w:p>
      <w:pPr>
        <w:numPr>
          <w:ilvl w:val="0"/>
          <w:numId w:val="15"/>
        </w:numPr>
        <w:adjustRightInd w:val="0"/>
        <w:snapToGrid w:val="0"/>
        <w:spacing w:line="360" w:lineRule="auto"/>
        <w:ind w:left="0" w:firstLine="482" w:firstLineChars="200"/>
        <w:rPr>
          <w:rFonts w:ascii="宋体" w:hAnsi="宋体"/>
          <w:b/>
          <w:color w:val="auto"/>
          <w:sz w:val="24"/>
          <w:szCs w:val="24"/>
          <w:highlight w:val="none"/>
          <w:u w:val="single"/>
          <w:shd w:val="clear" w:color="auto" w:fill="auto"/>
        </w:rPr>
      </w:pPr>
      <w:r>
        <w:rPr>
          <w:rFonts w:hint="eastAsia" w:ascii="宋体" w:hAnsi="宋体"/>
          <w:b/>
          <w:color w:val="auto"/>
          <w:sz w:val="24"/>
          <w:szCs w:val="24"/>
          <w:highlight w:val="none"/>
          <w:u w:val="single"/>
          <w:shd w:val="clear" w:color="auto" w:fill="auto"/>
        </w:rPr>
        <w:t>超过参选报价上限按无效标处理。</w:t>
      </w:r>
    </w:p>
    <w:p>
      <w:pPr>
        <w:pStyle w:val="24"/>
        <w:tabs>
          <w:tab w:val="right" w:pos="9026"/>
        </w:tabs>
        <w:snapToGrid w:val="0"/>
        <w:spacing w:line="336" w:lineRule="auto"/>
        <w:ind w:firstLine="480" w:firstLineChars="200"/>
        <w:rPr>
          <w:rFonts w:hAnsi="宋体"/>
          <w:bCs/>
          <w:color w:val="auto"/>
          <w:sz w:val="24"/>
          <w:highlight w:val="none"/>
          <w:shd w:val="clear" w:color="auto" w:fill="auto"/>
        </w:rPr>
      </w:pPr>
    </w:p>
    <w:p>
      <w:pPr>
        <w:pStyle w:val="24"/>
        <w:tabs>
          <w:tab w:val="right" w:pos="9026"/>
        </w:tabs>
        <w:snapToGrid w:val="0"/>
        <w:spacing w:line="336" w:lineRule="auto"/>
        <w:ind w:firstLine="480" w:firstLineChars="200"/>
        <w:rPr>
          <w:rFonts w:hAnsi="宋体"/>
          <w:bCs/>
          <w:color w:val="auto"/>
          <w:sz w:val="24"/>
          <w:highlight w:val="none"/>
          <w:shd w:val="clear" w:color="auto" w:fill="auto"/>
        </w:rPr>
      </w:pPr>
      <w:r>
        <w:rPr>
          <w:rFonts w:hint="eastAsia" w:hAnsi="宋体"/>
          <w:bCs/>
          <w:color w:val="auto"/>
          <w:sz w:val="24"/>
          <w:highlight w:val="none"/>
          <w:shd w:val="clear" w:color="auto" w:fill="auto"/>
        </w:rPr>
        <w:t>三、参选人的承诺</w:t>
      </w:r>
    </w:p>
    <w:bookmarkEnd w:id="37"/>
    <w:p>
      <w:pPr>
        <w:pStyle w:val="19"/>
        <w:spacing w:line="480" w:lineRule="atLeast"/>
        <w:ind w:left="0" w:leftChars="0"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参选人必须对下列各项做出承诺：</w:t>
      </w:r>
    </w:p>
    <w:p>
      <w:pPr>
        <w:numPr>
          <w:ilvl w:val="0"/>
          <w:numId w:val="17"/>
        </w:numPr>
        <w:adjustRightInd w:val="0"/>
        <w:snapToGrid w:val="0"/>
        <w:spacing w:line="360" w:lineRule="auto"/>
        <w:ind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参选人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numPr>
          <w:ilvl w:val="0"/>
          <w:numId w:val="17"/>
        </w:numPr>
        <w:adjustRightInd w:val="0"/>
        <w:snapToGrid w:val="0"/>
        <w:spacing w:line="360" w:lineRule="auto"/>
        <w:ind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参选人所委派的工作人员在中选后不得随意更改，如确需变更，需经比选人认可同意，如未经比选人同意，参选人自行变更参选文件中委派的主要人员（项目经理、顾问团队成员、项目组主要人员），比选人有权对参选人予以相应违约处理或终止履行合同。</w:t>
      </w:r>
    </w:p>
    <w:p>
      <w:pPr>
        <w:numPr>
          <w:ilvl w:val="0"/>
          <w:numId w:val="17"/>
        </w:numPr>
        <w:adjustRightInd w:val="0"/>
        <w:snapToGrid w:val="0"/>
        <w:spacing w:line="360" w:lineRule="auto"/>
        <w:ind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numPr>
          <w:ilvl w:val="0"/>
          <w:numId w:val="17"/>
        </w:numPr>
        <w:adjustRightInd w:val="0"/>
        <w:snapToGrid w:val="0"/>
        <w:spacing w:line="360" w:lineRule="auto"/>
        <w:ind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参选人同意：</w:t>
      </w:r>
    </w:p>
    <w:p>
      <w:pPr>
        <w:numPr>
          <w:ilvl w:val="0"/>
          <w:numId w:val="18"/>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由于非比选人原因（如因国家审批或政策环境、深圳市城市规划等因素）导致该项目被取消或无法实施，比选人将否决所有参选；</w:t>
      </w:r>
    </w:p>
    <w:p>
      <w:pPr>
        <w:numPr>
          <w:ilvl w:val="0"/>
          <w:numId w:val="18"/>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比选人可以否决所有参选，终止比选而无须说明理由，比选人不承担因此给参选人造成的损失。</w:t>
      </w:r>
    </w:p>
    <w:p>
      <w:pPr>
        <w:pStyle w:val="19"/>
        <w:spacing w:line="480" w:lineRule="atLeast"/>
        <w:ind w:left="0" w:leftChars="0" w:firstLine="400" w:firstLineChars="200"/>
        <w:rPr>
          <w:rFonts w:ascii="宋体" w:hAnsi="宋体"/>
          <w:color w:val="auto"/>
          <w:highlight w:val="none"/>
          <w:shd w:val="clear" w:color="auto" w:fill="auto"/>
        </w:rPr>
      </w:pPr>
    </w:p>
    <w:p>
      <w:pPr>
        <w:pStyle w:val="4"/>
        <w:spacing w:line="360" w:lineRule="auto"/>
        <w:rPr>
          <w:rFonts w:ascii="宋体" w:hAnsi="宋体" w:eastAsia="宋体"/>
          <w:b/>
          <w:bCs/>
          <w:color w:val="auto"/>
          <w:highlight w:val="none"/>
          <w:shd w:val="clear" w:color="auto" w:fill="auto"/>
        </w:rPr>
      </w:pPr>
      <w:bookmarkStart w:id="38" w:name="_Toc197404908"/>
      <w:bookmarkStart w:id="39" w:name="_Toc16704"/>
      <w:r>
        <w:rPr>
          <w:rFonts w:hint="eastAsia" w:ascii="宋体" w:hAnsi="宋体" w:eastAsia="宋体"/>
          <w:b/>
          <w:bCs/>
          <w:color w:val="auto"/>
          <w:highlight w:val="none"/>
          <w:shd w:val="clear" w:color="auto" w:fill="auto"/>
        </w:rPr>
        <w:t>第四章 参选文件的签章及封装要求</w:t>
      </w:r>
      <w:bookmarkEnd w:id="38"/>
      <w:bookmarkEnd w:id="39"/>
    </w:p>
    <w:p>
      <w:pPr>
        <w:pStyle w:val="19"/>
        <w:snapToGrid w:val="0"/>
        <w:ind w:left="0" w:leftChars="0" w:firstLine="482" w:firstLineChars="200"/>
        <w:rPr>
          <w:rFonts w:ascii="宋体" w:hAnsi="宋体"/>
          <w:b/>
          <w:color w:val="auto"/>
          <w:sz w:val="24"/>
          <w:highlight w:val="none"/>
          <w:shd w:val="clear" w:color="auto" w:fill="auto"/>
        </w:rPr>
      </w:pPr>
      <w:r>
        <w:rPr>
          <w:rFonts w:hint="eastAsia" w:ascii="宋体" w:hAnsi="宋体"/>
          <w:b/>
          <w:color w:val="auto"/>
          <w:sz w:val="24"/>
          <w:highlight w:val="none"/>
          <w:shd w:val="clear" w:color="auto" w:fill="auto"/>
        </w:rPr>
        <w:t>一、参选文件的份数</w:t>
      </w:r>
    </w:p>
    <w:p>
      <w:pPr>
        <w:pStyle w:val="19"/>
        <w:ind w:left="0" w:leftChars="0"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参选人应提交两套参选文件，即技术标参选文件、商务标参选文件，每套参选文件包含正本1册、副本1册。技术标书双面打印，商务标书单面打印，技术标书和商务标书分别分册。在每一册参选文件上要明确注明“正本”和“副本”，正本和副本有差异时，以正本为准。</w:t>
      </w:r>
    </w:p>
    <w:p>
      <w:pPr>
        <w:pStyle w:val="19"/>
        <w:snapToGrid w:val="0"/>
        <w:ind w:left="0" w:leftChars="0" w:firstLine="482" w:firstLineChars="200"/>
        <w:rPr>
          <w:rFonts w:ascii="宋体" w:hAnsi="宋体"/>
          <w:b/>
          <w:color w:val="auto"/>
          <w:sz w:val="24"/>
          <w:highlight w:val="none"/>
          <w:shd w:val="clear" w:color="auto" w:fill="auto"/>
        </w:rPr>
      </w:pPr>
      <w:r>
        <w:rPr>
          <w:rFonts w:hint="eastAsia" w:ascii="宋体" w:hAnsi="宋体"/>
          <w:b/>
          <w:color w:val="auto"/>
          <w:sz w:val="24"/>
          <w:highlight w:val="none"/>
          <w:shd w:val="clear" w:color="auto" w:fill="auto"/>
        </w:rPr>
        <w:t>二、参选文件的签章</w:t>
      </w:r>
    </w:p>
    <w:p>
      <w:pPr>
        <w:adjustRightInd w:val="0"/>
        <w:snapToGrid w:val="0"/>
        <w:spacing w:line="360" w:lineRule="auto"/>
        <w:ind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1. 所有参选文件（正、副本）均须加盖公章。</w:t>
      </w:r>
    </w:p>
    <w:p>
      <w:pPr>
        <w:adjustRightInd w:val="0"/>
        <w:snapToGrid w:val="0"/>
        <w:spacing w:line="360" w:lineRule="auto"/>
        <w:ind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2. 参选文件均应由参选人正式授权人签署。有增加或修正的各项，都应由参选文件签字人签字证明。</w:t>
      </w:r>
    </w:p>
    <w:p>
      <w:pPr>
        <w:adjustRightInd w:val="0"/>
        <w:snapToGrid w:val="0"/>
        <w:spacing w:line="360" w:lineRule="auto"/>
        <w:ind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3. 参选文件应无涂改和行间插字，除非这些删改是根据比选人指示进行，或是参选人造成的必须修改的错误。在后一种情况下，修改处应由参选文件签字人签字证明。</w:t>
      </w:r>
    </w:p>
    <w:p>
      <w:pPr>
        <w:adjustRightInd w:val="0"/>
        <w:snapToGrid w:val="0"/>
        <w:spacing w:line="360" w:lineRule="auto"/>
        <w:ind w:firstLine="482" w:firstLineChars="200"/>
        <w:rPr>
          <w:rFonts w:ascii="宋体" w:hAnsi="宋体"/>
          <w:b/>
          <w:color w:val="auto"/>
          <w:sz w:val="24"/>
          <w:szCs w:val="24"/>
          <w:highlight w:val="none"/>
          <w:shd w:val="clear" w:color="auto" w:fill="auto"/>
        </w:rPr>
      </w:pPr>
      <w:bookmarkStart w:id="40" w:name="_Toc92971359"/>
      <w:r>
        <w:rPr>
          <w:rFonts w:hint="eastAsia" w:ascii="宋体" w:hAnsi="宋体"/>
          <w:b/>
          <w:color w:val="auto"/>
          <w:sz w:val="24"/>
          <w:szCs w:val="24"/>
          <w:highlight w:val="none"/>
          <w:shd w:val="clear" w:color="auto" w:fill="auto"/>
        </w:rPr>
        <w:t>三、 参选文件的标识</w:t>
      </w:r>
      <w:bookmarkEnd w:id="40"/>
    </w:p>
    <w:p>
      <w:pPr>
        <w:adjustRightInd w:val="0"/>
        <w:snapToGrid w:val="0"/>
        <w:spacing w:line="360" w:lineRule="auto"/>
        <w:ind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参选人应按以下规定加写标识：</w:t>
      </w:r>
    </w:p>
    <w:p>
      <w:pPr>
        <w:pStyle w:val="47"/>
        <w:ind w:firstLine="482"/>
        <w:rPr>
          <w:rFonts w:hAnsi="宋体"/>
          <w:b/>
          <w:color w:val="auto"/>
          <w:sz w:val="24"/>
          <w:highlight w:val="none"/>
          <w:shd w:val="clear" w:color="auto" w:fill="auto"/>
        </w:rPr>
      </w:pPr>
    </w:p>
    <w:p>
      <w:pPr>
        <w:pStyle w:val="47"/>
        <w:ind w:firstLine="482"/>
        <w:rPr>
          <w:rFonts w:hAnsi="宋体"/>
          <w:b/>
          <w:color w:val="auto"/>
          <w:sz w:val="24"/>
          <w:highlight w:val="none"/>
          <w:shd w:val="clear" w:color="auto" w:fill="auto"/>
        </w:rPr>
      </w:pPr>
    </w:p>
    <w:p>
      <w:pPr>
        <w:pStyle w:val="24"/>
        <w:snapToGrid w:val="0"/>
        <w:spacing w:line="336" w:lineRule="auto"/>
        <w:ind w:firstLine="482" w:firstLineChars="200"/>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项目名称：</w:t>
      </w:r>
      <w:r>
        <w:rPr>
          <w:rFonts w:hint="eastAsia" w:ascii="宋体" w:hAnsi="宋体"/>
          <w:b/>
          <w:color w:val="auto"/>
          <w:sz w:val="24"/>
          <w:szCs w:val="24"/>
          <w:highlight w:val="none"/>
          <w:shd w:val="clear" w:color="auto" w:fill="auto"/>
          <w:lang w:val="en-US" w:eastAsia="zh-CN"/>
        </w:rPr>
        <w:t>深铁置业产品标准化体系发布会</w:t>
      </w:r>
      <w:r>
        <w:rPr>
          <w:rFonts w:hint="eastAsia" w:hAnsi="宋体"/>
          <w:b/>
          <w:color w:val="auto"/>
          <w:sz w:val="24"/>
          <w:szCs w:val="24"/>
          <w:highlight w:val="none"/>
          <w:shd w:val="clear" w:color="auto" w:fill="auto"/>
          <w:lang w:val="en-US" w:eastAsia="zh-CN"/>
        </w:rPr>
        <w:t>项目</w:t>
      </w:r>
      <w:r>
        <w:rPr>
          <w:rFonts w:hint="eastAsia" w:ascii="宋体" w:hAnsi="宋体"/>
          <w:b/>
          <w:color w:val="auto"/>
          <w:sz w:val="24"/>
          <w:szCs w:val="24"/>
          <w:highlight w:val="none"/>
          <w:shd w:val="clear" w:color="auto" w:fill="auto"/>
        </w:rPr>
        <w:t>参选文件</w:t>
      </w:r>
    </w:p>
    <w:p>
      <w:pPr>
        <w:adjustRightInd w:val="0"/>
        <w:snapToGrid w:val="0"/>
        <w:spacing w:line="360" w:lineRule="auto"/>
        <w:ind w:firstLine="482" w:firstLineChars="200"/>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参选人名称：</w:t>
      </w:r>
    </w:p>
    <w:p>
      <w:pPr>
        <w:adjustRightInd w:val="0"/>
        <w:snapToGrid w:val="0"/>
        <w:spacing w:line="360" w:lineRule="auto"/>
        <w:ind w:firstLine="482" w:firstLineChars="200"/>
        <w:rPr>
          <w:rFonts w:ascii="宋体" w:hAnsi="宋体"/>
          <w:b/>
          <w:color w:val="auto"/>
          <w:sz w:val="24"/>
          <w:szCs w:val="24"/>
          <w:highlight w:val="none"/>
          <w:shd w:val="clear" w:color="auto" w:fill="auto"/>
        </w:rPr>
      </w:pPr>
      <w:bookmarkStart w:id="41" w:name="_Toc36527859"/>
      <w:bookmarkStart w:id="42" w:name="_Toc197404909"/>
      <w:r>
        <w:rPr>
          <w:rFonts w:hint="eastAsia" w:ascii="宋体" w:hAnsi="宋体"/>
          <w:b/>
          <w:color w:val="auto"/>
          <w:sz w:val="24"/>
          <w:szCs w:val="24"/>
          <w:highlight w:val="none"/>
          <w:shd w:val="clear" w:color="auto" w:fill="auto"/>
        </w:rPr>
        <w:t>法定代表人或其委托代理人：</w:t>
      </w:r>
    </w:p>
    <w:p>
      <w:pPr>
        <w:adjustRightInd w:val="0"/>
        <w:snapToGrid w:val="0"/>
        <w:spacing w:line="360" w:lineRule="auto"/>
        <w:ind w:firstLine="482" w:firstLineChars="200"/>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日期：</w:t>
      </w:r>
    </w:p>
    <w:p>
      <w:pPr>
        <w:pStyle w:val="4"/>
        <w:spacing w:line="480" w:lineRule="atLeast"/>
        <w:rPr>
          <w:rFonts w:ascii="宋体" w:hAnsi="宋体" w:eastAsia="宋体"/>
          <w:b/>
          <w:bCs/>
          <w:color w:val="auto"/>
          <w:highlight w:val="none"/>
          <w:shd w:val="clear" w:color="auto" w:fill="auto"/>
        </w:rPr>
      </w:pPr>
      <w:bookmarkStart w:id="43" w:name="_Toc15824"/>
      <w:r>
        <w:rPr>
          <w:rFonts w:hint="eastAsia" w:ascii="宋体" w:hAnsi="宋体" w:eastAsia="宋体"/>
          <w:b/>
          <w:bCs/>
          <w:color w:val="auto"/>
          <w:highlight w:val="none"/>
          <w:shd w:val="clear" w:color="auto" w:fill="auto"/>
        </w:rPr>
        <w:t>第五章 参选</w:t>
      </w:r>
      <w:bookmarkEnd w:id="41"/>
      <w:r>
        <w:rPr>
          <w:rFonts w:hint="eastAsia" w:ascii="宋体" w:hAnsi="宋体" w:eastAsia="宋体"/>
          <w:b/>
          <w:bCs/>
          <w:color w:val="auto"/>
          <w:highlight w:val="none"/>
          <w:shd w:val="clear" w:color="auto" w:fill="auto"/>
        </w:rPr>
        <w:t>文件递交</w:t>
      </w:r>
      <w:bookmarkEnd w:id="42"/>
      <w:bookmarkEnd w:id="43"/>
    </w:p>
    <w:p>
      <w:pPr>
        <w:numPr>
          <w:ilvl w:val="0"/>
          <w:numId w:val="19"/>
        </w:numPr>
        <w:adjustRightInd w:val="0"/>
        <w:snapToGrid w:val="0"/>
        <w:spacing w:line="360" w:lineRule="auto"/>
        <w:ind w:left="0" w:firstLine="480" w:firstLineChars="200"/>
        <w:rPr>
          <w:rFonts w:ascii="宋体" w:hAnsi="宋体"/>
          <w:bCs/>
          <w:color w:val="auto"/>
          <w:sz w:val="24"/>
          <w:szCs w:val="24"/>
          <w:highlight w:val="none"/>
          <w:shd w:val="clear" w:color="auto" w:fill="auto"/>
        </w:rPr>
      </w:pPr>
      <w:bookmarkStart w:id="44" w:name="_Toc197404910"/>
      <w:r>
        <w:rPr>
          <w:rFonts w:hint="eastAsia" w:ascii="宋体" w:hAnsi="宋体"/>
          <w:bCs/>
          <w:color w:val="auto"/>
          <w:sz w:val="24"/>
          <w:szCs w:val="24"/>
          <w:highlight w:val="none"/>
          <w:shd w:val="clear" w:color="auto" w:fill="auto"/>
        </w:rPr>
        <w:t>参选人应按本参选须知规定的地点、日期和时间递交（上传）参选文件。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本比选文件所述法定代表人即法定代表人或法定负责人。</w:t>
      </w:r>
    </w:p>
    <w:p>
      <w:pPr>
        <w:numPr>
          <w:ilvl w:val="0"/>
          <w:numId w:val="19"/>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迟到的参选文件</w:t>
      </w:r>
    </w:p>
    <w:p>
      <w:pPr>
        <w:adjustRightInd w:val="0"/>
        <w:snapToGrid w:val="0"/>
        <w:spacing w:line="360" w:lineRule="auto"/>
        <w:ind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在本参选须知第一章第四条规定的参选截止期以后上传的或者未送达指定地点的参选文件将不予受理。参选人在递交参选文件时应遵照工作人员的安排有秩序地进行。</w:t>
      </w:r>
    </w:p>
    <w:p>
      <w:pPr>
        <w:pStyle w:val="4"/>
        <w:spacing w:line="480" w:lineRule="atLeast"/>
        <w:rPr>
          <w:rFonts w:ascii="宋体" w:hAnsi="宋体" w:eastAsia="宋体"/>
          <w:b/>
          <w:bCs/>
          <w:color w:val="auto"/>
          <w:highlight w:val="none"/>
          <w:shd w:val="clear" w:color="auto" w:fill="auto"/>
        </w:rPr>
      </w:pPr>
      <w:bookmarkStart w:id="45" w:name="_Toc15686"/>
      <w:r>
        <w:rPr>
          <w:rFonts w:hint="eastAsia" w:ascii="宋体" w:hAnsi="宋体" w:eastAsia="宋体"/>
          <w:b/>
          <w:bCs/>
          <w:color w:val="auto"/>
          <w:highlight w:val="none"/>
          <w:shd w:val="clear" w:color="auto" w:fill="auto"/>
        </w:rPr>
        <w:t>第六章  参选有效期</w:t>
      </w:r>
      <w:bookmarkEnd w:id="44"/>
      <w:bookmarkEnd w:id="45"/>
    </w:p>
    <w:p>
      <w:pPr>
        <w:spacing w:line="480" w:lineRule="atLeast"/>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一、自规定的参选书递交截止期限起180天内，参选书均保持有效。</w:t>
      </w:r>
    </w:p>
    <w:p>
      <w:pPr>
        <w:spacing w:line="480" w:lineRule="atLeast"/>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二、在</w:t>
      </w:r>
      <w:r>
        <w:rPr>
          <w:rFonts w:ascii="宋体" w:hAnsi="宋体"/>
          <w:color w:val="auto"/>
          <w:sz w:val="24"/>
          <w:szCs w:val="24"/>
          <w:highlight w:val="none"/>
          <w:shd w:val="clear" w:color="auto" w:fill="auto"/>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46" w:name="_Toc197404911"/>
    </w:p>
    <w:p>
      <w:pPr>
        <w:pStyle w:val="4"/>
        <w:spacing w:line="480" w:lineRule="atLeast"/>
        <w:rPr>
          <w:rFonts w:ascii="宋体" w:hAnsi="宋体" w:eastAsia="宋体"/>
          <w:b/>
          <w:bCs/>
          <w:color w:val="auto"/>
          <w:highlight w:val="none"/>
          <w:shd w:val="clear" w:color="auto" w:fill="auto"/>
        </w:rPr>
      </w:pPr>
      <w:bookmarkStart w:id="47" w:name="_Toc22562"/>
      <w:r>
        <w:rPr>
          <w:rFonts w:hint="eastAsia" w:ascii="宋体" w:hAnsi="宋体" w:eastAsia="宋体"/>
          <w:b/>
          <w:bCs/>
          <w:color w:val="auto"/>
          <w:highlight w:val="none"/>
          <w:shd w:val="clear" w:color="auto" w:fill="auto"/>
        </w:rPr>
        <w:t>第七章  开标</w:t>
      </w:r>
      <w:bookmarkEnd w:id="46"/>
      <w:bookmarkEnd w:id="47"/>
    </w:p>
    <w:p>
      <w:pPr>
        <w:numPr>
          <w:ilvl w:val="0"/>
          <w:numId w:val="20"/>
        </w:numPr>
        <w:adjustRightInd w:val="0"/>
        <w:snapToGrid w:val="0"/>
        <w:spacing w:line="360" w:lineRule="auto"/>
        <w:ind w:left="0" w:firstLine="480" w:firstLineChars="200"/>
        <w:rPr>
          <w:rFonts w:ascii="宋体" w:hAnsi="宋体"/>
          <w:bCs/>
          <w:color w:val="auto"/>
          <w:sz w:val="24"/>
          <w:szCs w:val="24"/>
          <w:highlight w:val="none"/>
          <w:shd w:val="clear" w:color="auto" w:fill="auto"/>
        </w:rPr>
      </w:pPr>
      <w:bookmarkStart w:id="48" w:name="_Toc9457"/>
      <w:bookmarkStart w:id="49" w:name="_Toc62476353"/>
      <w:r>
        <w:rPr>
          <w:rFonts w:hint="eastAsia" w:ascii="宋体" w:hAnsi="宋体"/>
          <w:bCs/>
          <w:color w:val="auto"/>
          <w:sz w:val="24"/>
          <w:szCs w:val="24"/>
          <w:highlight w:val="none"/>
          <w:shd w:val="clear" w:color="auto" w:fill="auto"/>
        </w:rPr>
        <w:t>截标后首先进入开标环节，比选人将于参选须知所规定的时间和地点公开举行开标会议，所有参选人代表可选择到场参加。</w:t>
      </w:r>
    </w:p>
    <w:p>
      <w:pPr>
        <w:numPr>
          <w:ilvl w:val="0"/>
          <w:numId w:val="20"/>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numPr>
          <w:ilvl w:val="0"/>
          <w:numId w:val="20"/>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开标会议由比选人主持。</w:t>
      </w:r>
    </w:p>
    <w:p>
      <w:pPr>
        <w:numPr>
          <w:ilvl w:val="0"/>
          <w:numId w:val="20"/>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由比选人监审人员及参选人监督检查所有参选文件的上传情况，也可以由比选人委托的公</w:t>
      </w:r>
      <w:r>
        <w:rPr>
          <w:rFonts w:hint="eastAsia" w:ascii="宋体" w:hAnsi="宋体"/>
          <w:color w:val="auto"/>
          <w:sz w:val="24"/>
          <w:szCs w:val="24"/>
          <w:highlight w:val="none"/>
          <w:shd w:val="clear" w:color="auto" w:fill="auto"/>
        </w:rPr>
        <w:t>证机构进行检查并公证。</w:t>
      </w:r>
    </w:p>
    <w:p>
      <w:pPr>
        <w:numPr>
          <w:ilvl w:val="0"/>
          <w:numId w:val="20"/>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经确认无误后，由比选人当众在线开启所有参选文件，先开技术标，再开商务标，由比选人工作人员宣读参选人名称、参选报价等。</w:t>
      </w:r>
    </w:p>
    <w:p>
      <w:pPr>
        <w:numPr>
          <w:ilvl w:val="0"/>
          <w:numId w:val="20"/>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比选人将作开标记录，并由参选人签字确认，以存档备查。</w:t>
      </w:r>
    </w:p>
    <w:p>
      <w:pPr>
        <w:numPr>
          <w:ilvl w:val="0"/>
          <w:numId w:val="20"/>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按本须知规定宣布为不予受理情形的参选文件，不予送交评标委员会评审。</w:t>
      </w:r>
    </w:p>
    <w:p>
      <w:pPr>
        <w:numPr>
          <w:ilvl w:val="0"/>
          <w:numId w:val="20"/>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开标结束后，进入评标环节。根据评标“先评技术标，再评商务标”的原则，比选人先仅将技术标书移交评标委员会,待技术标书评审完成后再移交商务标书。</w:t>
      </w:r>
    </w:p>
    <w:p>
      <w:pPr>
        <w:numPr>
          <w:ilvl w:val="0"/>
          <w:numId w:val="20"/>
        </w:numPr>
        <w:adjustRightInd w:val="0"/>
        <w:snapToGrid w:val="0"/>
        <w:spacing w:line="360" w:lineRule="auto"/>
        <w:ind w:left="0" w:firstLine="482" w:firstLineChars="200"/>
        <w:rPr>
          <w:rFonts w:ascii="宋体" w:hAnsi="宋体"/>
          <w:bCs/>
          <w:color w:val="auto"/>
          <w:sz w:val="24"/>
          <w:szCs w:val="24"/>
          <w:highlight w:val="none"/>
          <w:shd w:val="clear" w:color="auto" w:fill="auto"/>
        </w:rPr>
      </w:pPr>
      <w:r>
        <w:rPr>
          <w:rFonts w:hint="eastAsia" w:ascii="宋体" w:hAnsi="宋体"/>
          <w:b/>
          <w:color w:val="auto"/>
          <w:sz w:val="24"/>
          <w:szCs w:val="24"/>
          <w:highlight w:val="none"/>
          <w:shd w:val="clear" w:color="auto" w:fill="auto"/>
        </w:rPr>
        <w:t>参选文件有下列情形之一的，比选人将不予受理</w:t>
      </w:r>
      <w:r>
        <w:rPr>
          <w:rFonts w:hint="eastAsia" w:ascii="宋体" w:hAnsi="宋体"/>
          <w:bCs/>
          <w:color w:val="auto"/>
          <w:sz w:val="24"/>
          <w:szCs w:val="24"/>
          <w:highlight w:val="none"/>
          <w:shd w:val="clear" w:color="auto" w:fill="auto"/>
        </w:rPr>
        <w:t>：</w:t>
      </w:r>
    </w:p>
    <w:p>
      <w:pPr>
        <w:numPr>
          <w:ilvl w:val="0"/>
          <w:numId w:val="21"/>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参选文件在规定的参选截止时间以后上传的；</w:t>
      </w:r>
    </w:p>
    <w:p>
      <w:pPr>
        <w:numPr>
          <w:ilvl w:val="0"/>
          <w:numId w:val="21"/>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参选文件未按规定加盖参选人公章的；</w:t>
      </w:r>
    </w:p>
    <w:p>
      <w:pPr>
        <w:numPr>
          <w:ilvl w:val="0"/>
          <w:numId w:val="20"/>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参选人如对比选文件及参选文件的编制有疑问，请主动及时地联系比选人。</w:t>
      </w:r>
    </w:p>
    <w:p>
      <w:pPr>
        <w:pStyle w:val="4"/>
        <w:spacing w:line="360" w:lineRule="auto"/>
        <w:rPr>
          <w:rFonts w:ascii="宋体" w:hAnsi="宋体" w:eastAsia="宋体"/>
          <w:b/>
          <w:bCs/>
          <w:color w:val="auto"/>
          <w:highlight w:val="none"/>
          <w:shd w:val="clear" w:color="auto" w:fill="auto"/>
        </w:rPr>
      </w:pPr>
      <w:bookmarkStart w:id="50" w:name="_Toc4550"/>
      <w:r>
        <w:rPr>
          <w:rFonts w:hint="eastAsia" w:ascii="宋体" w:hAnsi="宋体" w:eastAsia="宋体"/>
          <w:b/>
          <w:bCs/>
          <w:color w:val="auto"/>
          <w:highlight w:val="none"/>
          <w:shd w:val="clear" w:color="auto" w:fill="auto"/>
        </w:rPr>
        <w:t>第八章  述标</w:t>
      </w:r>
      <w:bookmarkEnd w:id="48"/>
      <w:bookmarkEnd w:id="49"/>
      <w:bookmarkEnd w:id="50"/>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在参选</w:t>
      </w:r>
      <w:r>
        <w:rPr>
          <w:rFonts w:ascii="宋体" w:hAnsi="宋体"/>
          <w:color w:val="auto"/>
          <w:sz w:val="24"/>
          <w:szCs w:val="24"/>
          <w:highlight w:val="none"/>
          <w:shd w:val="clear" w:color="auto" w:fill="auto"/>
        </w:rPr>
        <w:t>文件递交截止</w:t>
      </w:r>
      <w:r>
        <w:rPr>
          <w:rFonts w:hint="eastAsia" w:ascii="宋体" w:hAnsi="宋体"/>
          <w:color w:val="auto"/>
          <w:sz w:val="24"/>
          <w:szCs w:val="24"/>
          <w:highlight w:val="none"/>
          <w:shd w:val="clear" w:color="auto" w:fill="auto"/>
        </w:rPr>
        <w:t>后，</w:t>
      </w:r>
      <w:r>
        <w:rPr>
          <w:rFonts w:ascii="宋体" w:hAnsi="宋体"/>
          <w:color w:val="auto"/>
          <w:sz w:val="24"/>
          <w:szCs w:val="24"/>
          <w:highlight w:val="none"/>
          <w:shd w:val="clear" w:color="auto" w:fill="auto"/>
        </w:rPr>
        <w:t>评标开始前，</w:t>
      </w:r>
      <w:r>
        <w:rPr>
          <w:rFonts w:hint="eastAsia" w:ascii="宋体" w:hAnsi="宋体"/>
          <w:color w:val="auto"/>
          <w:sz w:val="24"/>
          <w:szCs w:val="24"/>
          <w:highlight w:val="none"/>
          <w:shd w:val="clear" w:color="auto" w:fill="auto"/>
        </w:rPr>
        <w:t>甲方将</w:t>
      </w:r>
      <w:r>
        <w:rPr>
          <w:rFonts w:ascii="宋体" w:hAnsi="宋体"/>
          <w:color w:val="auto"/>
          <w:sz w:val="24"/>
          <w:szCs w:val="24"/>
          <w:highlight w:val="none"/>
          <w:shd w:val="clear" w:color="auto" w:fill="auto"/>
        </w:rPr>
        <w:t>组织</w:t>
      </w:r>
      <w:r>
        <w:rPr>
          <w:rFonts w:hint="eastAsia" w:ascii="宋体" w:hAnsi="宋体"/>
          <w:color w:val="auto"/>
          <w:sz w:val="24"/>
          <w:szCs w:val="24"/>
          <w:highlight w:val="none"/>
          <w:shd w:val="clear" w:color="auto" w:fill="auto"/>
        </w:rPr>
        <w:t>述标</w:t>
      </w:r>
      <w:r>
        <w:rPr>
          <w:rFonts w:ascii="宋体" w:hAnsi="宋体"/>
          <w:color w:val="auto"/>
          <w:sz w:val="24"/>
          <w:szCs w:val="24"/>
          <w:highlight w:val="none"/>
          <w:shd w:val="clear" w:color="auto" w:fill="auto"/>
        </w:rPr>
        <w:t>会</w:t>
      </w:r>
      <w:r>
        <w:rPr>
          <w:rFonts w:hint="eastAsia" w:ascii="宋体" w:hAnsi="宋体"/>
          <w:color w:val="auto"/>
          <w:sz w:val="24"/>
          <w:szCs w:val="24"/>
          <w:highlight w:val="none"/>
          <w:shd w:val="clear" w:color="auto" w:fill="auto"/>
        </w:rPr>
        <w:t>，具体</w:t>
      </w:r>
      <w:r>
        <w:rPr>
          <w:rFonts w:ascii="宋体" w:hAnsi="宋体"/>
          <w:color w:val="auto"/>
          <w:sz w:val="24"/>
          <w:szCs w:val="24"/>
          <w:highlight w:val="none"/>
          <w:shd w:val="clear" w:color="auto" w:fill="auto"/>
        </w:rPr>
        <w:t>时间以甲方通知为准。</w:t>
      </w:r>
    </w:p>
    <w:p>
      <w:pPr>
        <w:pStyle w:val="24"/>
        <w:snapToGrid w:val="0"/>
        <w:spacing w:line="336" w:lineRule="auto"/>
        <w:ind w:firstLine="480" w:firstLineChars="200"/>
        <w:rPr>
          <w:rFonts w:hAnsi="宋体"/>
          <w:color w:val="auto"/>
          <w:kern w:val="2"/>
          <w:sz w:val="24"/>
          <w:highlight w:val="none"/>
          <w:shd w:val="clear" w:color="auto" w:fill="auto"/>
        </w:rPr>
      </w:pPr>
      <w:r>
        <w:rPr>
          <w:rFonts w:hint="eastAsia" w:hAnsi="宋体"/>
          <w:color w:val="auto"/>
          <w:kern w:val="2"/>
          <w:sz w:val="24"/>
          <w:highlight w:val="none"/>
          <w:shd w:val="clear" w:color="auto" w:fill="auto"/>
        </w:rPr>
        <w:t>述标内容为《</w:t>
      </w:r>
      <w:r>
        <w:rPr>
          <w:rFonts w:hint="eastAsia" w:hAnsi="宋体"/>
          <w:bCs/>
          <w:color w:val="auto"/>
          <w:sz w:val="24"/>
          <w:szCs w:val="22"/>
          <w:highlight w:val="none"/>
          <w:shd w:val="clear" w:color="auto" w:fill="auto"/>
          <w:lang w:val="en-US" w:eastAsia="zh-CN"/>
        </w:rPr>
        <w:t>深铁置业产品标准化体系发布会</w:t>
      </w:r>
      <w:r>
        <w:rPr>
          <w:rFonts w:hint="eastAsia" w:hAnsi="宋体"/>
          <w:bCs/>
          <w:color w:val="auto"/>
          <w:sz w:val="24"/>
          <w:szCs w:val="32"/>
          <w:highlight w:val="none"/>
          <w:shd w:val="clear" w:color="auto" w:fill="auto"/>
          <w:lang w:val="en-US" w:eastAsia="zh-CN"/>
        </w:rPr>
        <w:t>活动</w:t>
      </w:r>
      <w:r>
        <w:rPr>
          <w:rFonts w:hint="eastAsia" w:hAnsi="宋体"/>
          <w:bCs/>
          <w:color w:val="auto"/>
          <w:sz w:val="24"/>
          <w:szCs w:val="32"/>
          <w:highlight w:val="none"/>
          <w:shd w:val="clear" w:color="auto" w:fill="auto"/>
        </w:rPr>
        <w:t>方案</w:t>
      </w:r>
      <w:r>
        <w:rPr>
          <w:rFonts w:hint="eastAsia" w:hAnsi="宋体"/>
          <w:color w:val="auto"/>
          <w:kern w:val="2"/>
          <w:sz w:val="24"/>
          <w:highlight w:val="none"/>
          <w:shd w:val="clear" w:color="auto" w:fill="auto"/>
        </w:rPr>
        <w:t>》，参选人按照比选人通知的时间在指定地点进行现场陈述。各参选人按签到顺序逐一单独进行。</w:t>
      </w:r>
    </w:p>
    <w:p>
      <w:pPr>
        <w:pStyle w:val="47"/>
        <w:adjustRightInd w:val="0"/>
        <w:snapToGrid w:val="0"/>
        <w:spacing w:line="360" w:lineRule="auto"/>
        <w:ind w:left="0" w:leftChars="0" w:firstLine="480"/>
        <w:rPr>
          <w:rFonts w:hAnsi="宋体"/>
          <w:color w:val="auto"/>
          <w:kern w:val="2"/>
          <w:sz w:val="24"/>
          <w:highlight w:val="none"/>
          <w:shd w:val="clear" w:color="auto" w:fill="auto"/>
        </w:rPr>
      </w:pPr>
      <w:r>
        <w:rPr>
          <w:rFonts w:hint="eastAsia" w:hAnsi="宋体"/>
          <w:color w:val="auto"/>
          <w:kern w:val="2"/>
          <w:sz w:val="24"/>
          <w:highlight w:val="none"/>
          <w:shd w:val="clear" w:color="auto" w:fill="auto"/>
        </w:rPr>
        <w:t>主陈述人必须是参选人拟派的项目负责人，其它项目组成员作为辅助；非以上人员不得进入现场。参加述标的所有人员须核对身份，请答辩人员务必携带有效的身份证明材料。</w:t>
      </w:r>
    </w:p>
    <w:p>
      <w:pPr>
        <w:pStyle w:val="47"/>
        <w:adjustRightInd w:val="0"/>
        <w:snapToGrid w:val="0"/>
        <w:spacing w:line="360" w:lineRule="auto"/>
        <w:ind w:left="0" w:leftChars="0" w:firstLine="0" w:firstLineChars="0"/>
        <w:rPr>
          <w:rFonts w:hAnsi="宋体"/>
          <w:color w:val="auto"/>
          <w:kern w:val="2"/>
          <w:sz w:val="24"/>
          <w:highlight w:val="none"/>
          <w:shd w:val="clear" w:color="auto" w:fill="auto"/>
        </w:rPr>
      </w:pPr>
      <w:r>
        <w:rPr>
          <w:rFonts w:hAnsi="宋体"/>
          <w:color w:val="auto"/>
          <w:kern w:val="2"/>
          <w:sz w:val="24"/>
          <w:highlight w:val="none"/>
          <w:shd w:val="clear" w:color="auto" w:fill="auto"/>
        </w:rPr>
        <w:t></w:t>
      </w:r>
    </w:p>
    <w:p>
      <w:pPr>
        <w:pStyle w:val="47"/>
        <w:adjustRightInd w:val="0"/>
        <w:snapToGrid w:val="0"/>
        <w:spacing w:line="360" w:lineRule="auto"/>
        <w:ind w:left="0" w:leftChars="0" w:firstLine="480"/>
        <w:rPr>
          <w:rFonts w:hAnsi="宋体"/>
          <w:color w:val="auto"/>
          <w:kern w:val="2"/>
          <w:sz w:val="24"/>
          <w:highlight w:val="none"/>
          <w:shd w:val="clear" w:color="auto" w:fill="auto"/>
        </w:rPr>
      </w:pPr>
      <w:r>
        <w:rPr>
          <w:rFonts w:hint="eastAsia" w:hAnsi="宋体"/>
          <w:color w:val="auto"/>
          <w:kern w:val="2"/>
          <w:sz w:val="24"/>
          <w:highlight w:val="none"/>
          <w:shd w:val="clear" w:color="auto" w:fill="auto"/>
        </w:rPr>
        <w:t>为保证陈述效果，可以辅助使用投影演示等形式，但不能再提供任何书面资料。现场陈述结束后，参选人不留下陈述文件并立即离开现场，不得与其他参选人交谈，透露任何有关陈述内容。一经发现，其参与资格将被取消。</w:t>
      </w:r>
    </w:p>
    <w:p>
      <w:pPr>
        <w:pStyle w:val="47"/>
        <w:adjustRightInd w:val="0"/>
        <w:snapToGrid w:val="0"/>
        <w:spacing w:line="360" w:lineRule="auto"/>
        <w:ind w:left="0" w:leftChars="0" w:firstLine="400"/>
        <w:rPr>
          <w:color w:val="auto"/>
          <w:highlight w:val="none"/>
          <w:shd w:val="clear" w:color="auto" w:fill="auto"/>
        </w:rPr>
      </w:pPr>
    </w:p>
    <w:p>
      <w:pPr>
        <w:pStyle w:val="4"/>
        <w:spacing w:before="0" w:after="0" w:line="360" w:lineRule="auto"/>
        <w:ind w:firstLine="200"/>
        <w:rPr>
          <w:rFonts w:ascii="宋体" w:hAnsi="宋体" w:eastAsia="宋体"/>
          <w:b/>
          <w:bCs/>
          <w:color w:val="auto"/>
          <w:highlight w:val="none"/>
          <w:shd w:val="clear" w:color="auto" w:fill="auto"/>
        </w:rPr>
      </w:pPr>
      <w:bookmarkStart w:id="51" w:name="_Toc1118"/>
      <w:r>
        <w:rPr>
          <w:rFonts w:ascii="宋体" w:hAnsi="宋体" w:eastAsia="宋体"/>
          <w:b/>
          <w:bCs/>
          <w:color w:val="auto"/>
          <w:highlight w:val="none"/>
          <w:shd w:val="clear" w:color="auto" w:fill="auto"/>
        </w:rPr>
        <w:t>第</w:t>
      </w:r>
      <w:r>
        <w:rPr>
          <w:rFonts w:hint="eastAsia" w:ascii="宋体" w:hAnsi="宋体" w:eastAsia="宋体"/>
          <w:b/>
          <w:bCs/>
          <w:color w:val="auto"/>
          <w:highlight w:val="none"/>
          <w:shd w:val="clear" w:color="auto" w:fill="auto"/>
        </w:rPr>
        <w:t>九</w:t>
      </w:r>
      <w:r>
        <w:rPr>
          <w:rFonts w:ascii="宋体" w:hAnsi="宋体" w:eastAsia="宋体"/>
          <w:b/>
          <w:bCs/>
          <w:color w:val="auto"/>
          <w:highlight w:val="none"/>
          <w:shd w:val="clear" w:color="auto" w:fill="auto"/>
        </w:rPr>
        <w:t>章</w:t>
      </w:r>
      <w:r>
        <w:rPr>
          <w:rFonts w:hint="eastAsia" w:ascii="宋体" w:hAnsi="宋体" w:eastAsia="宋体"/>
          <w:b/>
          <w:bCs/>
          <w:color w:val="auto"/>
          <w:highlight w:val="none"/>
          <w:shd w:val="clear" w:color="auto" w:fill="auto"/>
        </w:rPr>
        <w:t xml:space="preserve"> </w:t>
      </w:r>
      <w:r>
        <w:rPr>
          <w:rFonts w:ascii="宋体" w:hAnsi="宋体" w:eastAsia="宋体"/>
          <w:b/>
          <w:bCs/>
          <w:color w:val="auto"/>
          <w:highlight w:val="none"/>
          <w:shd w:val="clear" w:color="auto" w:fill="auto"/>
        </w:rPr>
        <w:t>评标</w:t>
      </w:r>
      <w:bookmarkEnd w:id="51"/>
    </w:p>
    <w:p>
      <w:pPr>
        <w:pStyle w:val="47"/>
        <w:adjustRightInd w:val="0"/>
        <w:snapToGrid w:val="0"/>
        <w:spacing w:line="360" w:lineRule="auto"/>
        <w:ind w:left="0" w:leftChars="0" w:firstLine="482"/>
        <w:rPr>
          <w:rFonts w:hAnsi="宋体"/>
          <w:color w:val="auto"/>
          <w:kern w:val="2"/>
          <w:sz w:val="24"/>
          <w:highlight w:val="none"/>
          <w:shd w:val="clear" w:color="auto" w:fill="auto"/>
        </w:rPr>
      </w:pPr>
      <w:r>
        <w:rPr>
          <w:rFonts w:hint="eastAsia" w:hAnsi="宋体"/>
          <w:b/>
          <w:color w:val="auto"/>
          <w:kern w:val="2"/>
          <w:sz w:val="24"/>
          <w:highlight w:val="none"/>
          <w:shd w:val="clear" w:color="auto" w:fill="auto"/>
        </w:rPr>
        <w:t>一、开标完成结束后，进入评标环节。</w:t>
      </w:r>
      <w:r>
        <w:rPr>
          <w:rFonts w:hint="eastAsia" w:hAnsi="宋体"/>
          <w:color w:val="auto"/>
          <w:kern w:val="2"/>
          <w:sz w:val="24"/>
          <w:highlight w:val="none"/>
          <w:shd w:val="clear" w:color="auto" w:fill="auto"/>
        </w:rPr>
        <w:t>评标委员会由比选人组建，采用“综合评估法”，先评技术标，再评商务标，满分为100分，其中：技术标</w:t>
      </w:r>
      <w:r>
        <w:rPr>
          <w:rFonts w:hint="eastAsia" w:hAnsi="宋体"/>
          <w:color w:val="auto"/>
          <w:kern w:val="2"/>
          <w:sz w:val="24"/>
          <w:highlight w:val="none"/>
          <w:shd w:val="clear" w:color="auto" w:fill="auto"/>
          <w:lang w:val="en-US" w:eastAsia="zh-CN"/>
        </w:rPr>
        <w:t>7</w:t>
      </w:r>
      <w:r>
        <w:rPr>
          <w:rFonts w:hAnsi="宋体"/>
          <w:color w:val="auto"/>
          <w:kern w:val="2"/>
          <w:sz w:val="24"/>
          <w:highlight w:val="none"/>
          <w:shd w:val="clear" w:color="auto" w:fill="auto"/>
        </w:rPr>
        <w:t>0</w:t>
      </w:r>
      <w:r>
        <w:rPr>
          <w:rFonts w:hint="eastAsia" w:hAnsi="宋体"/>
          <w:color w:val="auto"/>
          <w:kern w:val="2"/>
          <w:sz w:val="24"/>
          <w:highlight w:val="none"/>
          <w:shd w:val="clear" w:color="auto" w:fill="auto"/>
        </w:rPr>
        <w:t>分，商务标</w:t>
      </w:r>
      <w:r>
        <w:rPr>
          <w:rFonts w:hint="eastAsia" w:hAnsi="宋体"/>
          <w:color w:val="auto"/>
          <w:kern w:val="2"/>
          <w:sz w:val="24"/>
          <w:highlight w:val="none"/>
          <w:shd w:val="clear" w:color="auto" w:fill="auto"/>
          <w:lang w:val="en-US" w:eastAsia="zh-CN"/>
        </w:rPr>
        <w:t>3</w:t>
      </w:r>
      <w:r>
        <w:rPr>
          <w:rFonts w:hAnsi="宋体"/>
          <w:color w:val="auto"/>
          <w:kern w:val="2"/>
          <w:sz w:val="24"/>
          <w:highlight w:val="none"/>
          <w:shd w:val="clear" w:color="auto" w:fill="auto"/>
        </w:rPr>
        <w:t>0</w:t>
      </w:r>
      <w:r>
        <w:rPr>
          <w:rFonts w:hint="eastAsia" w:hAnsi="宋体"/>
          <w:color w:val="auto"/>
          <w:kern w:val="2"/>
          <w:sz w:val="24"/>
          <w:highlight w:val="none"/>
          <w:shd w:val="clear" w:color="auto" w:fill="auto"/>
        </w:rPr>
        <w:t>分。评标方法及评分标准详见附件《评标办法》。</w:t>
      </w:r>
    </w:p>
    <w:p>
      <w:pPr>
        <w:pStyle w:val="47"/>
        <w:adjustRightInd w:val="0"/>
        <w:snapToGrid w:val="0"/>
        <w:spacing w:line="360" w:lineRule="auto"/>
        <w:ind w:left="0" w:leftChars="0" w:firstLine="482"/>
        <w:rPr>
          <w:rFonts w:hAnsi="宋体"/>
          <w:b/>
          <w:bCs/>
          <w:color w:val="auto"/>
          <w:kern w:val="2"/>
          <w:sz w:val="24"/>
          <w:highlight w:val="none"/>
          <w:shd w:val="clear" w:color="auto" w:fill="auto"/>
        </w:rPr>
      </w:pPr>
      <w:r>
        <w:rPr>
          <w:rFonts w:hint="eastAsia" w:hAnsi="宋体"/>
          <w:b/>
          <w:bCs/>
          <w:color w:val="auto"/>
          <w:kern w:val="2"/>
          <w:sz w:val="24"/>
          <w:highlight w:val="none"/>
          <w:shd w:val="clear" w:color="auto" w:fill="auto"/>
        </w:rPr>
        <w:t>二、评标</w:t>
      </w:r>
    </w:p>
    <w:p>
      <w:pPr>
        <w:pStyle w:val="47"/>
        <w:adjustRightInd w:val="0"/>
        <w:snapToGrid w:val="0"/>
        <w:spacing w:line="360" w:lineRule="auto"/>
        <w:ind w:left="0" w:leftChars="0" w:firstLine="480"/>
        <w:rPr>
          <w:rFonts w:hAnsi="宋体"/>
          <w:color w:val="auto"/>
          <w:sz w:val="24"/>
          <w:highlight w:val="none"/>
          <w:shd w:val="clear" w:color="auto" w:fill="auto"/>
        </w:rPr>
      </w:pPr>
      <w:bookmarkStart w:id="52" w:name="_Hlk87369312"/>
      <w:r>
        <w:rPr>
          <w:rFonts w:hint="eastAsia" w:hAnsi="宋体"/>
          <w:color w:val="auto"/>
          <w:kern w:val="2"/>
          <w:sz w:val="24"/>
          <w:highlight w:val="none"/>
          <w:shd w:val="clear" w:color="auto" w:fill="auto"/>
        </w:rPr>
        <w:t>1.评标分2个阶段进行，先评技术标，再评商务标。</w:t>
      </w:r>
      <w:bookmarkEnd w:id="52"/>
    </w:p>
    <w:p>
      <w:pPr>
        <w:adjustRightInd w:val="0"/>
        <w:snapToGrid w:val="0"/>
        <w:spacing w:line="360" w:lineRule="auto"/>
        <w:ind w:firstLine="482" w:firstLineChars="200"/>
        <w:rPr>
          <w:rFonts w:ascii="宋体" w:hAnsi="宋体"/>
          <w:bCs/>
          <w:color w:val="auto"/>
          <w:sz w:val="24"/>
          <w:szCs w:val="24"/>
          <w:highlight w:val="none"/>
          <w:shd w:val="clear" w:color="auto" w:fill="auto"/>
        </w:rPr>
      </w:pPr>
      <w:r>
        <w:rPr>
          <w:rFonts w:hint="eastAsia" w:ascii="宋体" w:hAnsi="宋体"/>
          <w:b/>
          <w:color w:val="auto"/>
          <w:sz w:val="24"/>
          <w:szCs w:val="24"/>
          <w:highlight w:val="none"/>
          <w:shd w:val="clear" w:color="auto" w:fill="auto"/>
        </w:rPr>
        <w:t>技术标评审</w:t>
      </w:r>
      <w:r>
        <w:rPr>
          <w:rFonts w:hint="eastAsia" w:ascii="宋体" w:hAnsi="宋体"/>
          <w:bCs/>
          <w:color w:val="auto"/>
          <w:sz w:val="24"/>
          <w:szCs w:val="24"/>
          <w:highlight w:val="none"/>
          <w:shd w:val="clear" w:color="auto" w:fill="auto"/>
        </w:rPr>
        <w:t>：</w:t>
      </w:r>
    </w:p>
    <w:p>
      <w:pPr>
        <w:numPr>
          <w:ilvl w:val="0"/>
          <w:numId w:val="22"/>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第一阶段，先将所有合格参选文件的技术标书移交至评标委员会，评标委员会对参选文件的技术标书进行初步评审（有效性审查），只有通过初步评审的技术标书才有资格进入下一步的详细评审。</w:t>
      </w:r>
    </w:p>
    <w:p>
      <w:pPr>
        <w:numPr>
          <w:ilvl w:val="0"/>
          <w:numId w:val="22"/>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评标委员会否决无效标或者界定为废标后，有效参选人不足3家的，比选人宣布本次比选失败，重新组织比选。</w:t>
      </w:r>
    </w:p>
    <w:p>
      <w:pPr>
        <w:numPr>
          <w:ilvl w:val="0"/>
          <w:numId w:val="22"/>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技术标初步审查完成后，</w:t>
      </w:r>
      <w:r>
        <w:rPr>
          <w:rFonts w:ascii="宋体" w:hAnsi="宋体"/>
          <w:bCs/>
          <w:color w:val="auto"/>
          <w:sz w:val="24"/>
          <w:szCs w:val="24"/>
          <w:highlight w:val="none"/>
          <w:shd w:val="clear" w:color="auto" w:fill="auto"/>
        </w:rPr>
        <w:t>参选人按照</w:t>
      </w:r>
      <w:r>
        <w:rPr>
          <w:rFonts w:hint="eastAsia" w:ascii="宋体" w:hAnsi="宋体"/>
          <w:bCs/>
          <w:color w:val="auto"/>
          <w:sz w:val="24"/>
          <w:szCs w:val="24"/>
          <w:highlight w:val="none"/>
          <w:shd w:val="clear" w:color="auto" w:fill="auto"/>
        </w:rPr>
        <w:t>比选</w:t>
      </w:r>
      <w:r>
        <w:rPr>
          <w:rFonts w:ascii="宋体" w:hAnsi="宋体"/>
          <w:bCs/>
          <w:color w:val="auto"/>
          <w:sz w:val="24"/>
          <w:szCs w:val="24"/>
          <w:highlight w:val="none"/>
          <w:shd w:val="clear" w:color="auto" w:fill="auto"/>
        </w:rPr>
        <w:t>人通知的时间在指定地点</w:t>
      </w:r>
      <w:r>
        <w:rPr>
          <w:rFonts w:hint="eastAsia" w:ascii="宋体" w:hAnsi="宋体"/>
          <w:bCs/>
          <w:color w:val="auto"/>
          <w:sz w:val="24"/>
          <w:szCs w:val="24"/>
          <w:highlight w:val="none"/>
          <w:shd w:val="clear" w:color="auto" w:fill="auto"/>
        </w:rPr>
        <w:t>进行现场陈述答辩</w:t>
      </w:r>
      <w:r>
        <w:rPr>
          <w:rFonts w:ascii="宋体" w:hAnsi="宋体"/>
          <w:bCs/>
          <w:color w:val="auto"/>
          <w:sz w:val="24"/>
          <w:szCs w:val="24"/>
          <w:highlight w:val="none"/>
          <w:shd w:val="clear" w:color="auto" w:fill="auto"/>
        </w:rPr>
        <w:t>。各参选人的陈述答辩按</w:t>
      </w:r>
      <w:r>
        <w:rPr>
          <w:rFonts w:hint="eastAsia" w:ascii="宋体" w:hAnsi="宋体"/>
          <w:bCs/>
          <w:color w:val="auto"/>
          <w:sz w:val="24"/>
          <w:szCs w:val="24"/>
          <w:highlight w:val="none"/>
          <w:shd w:val="clear" w:color="auto" w:fill="auto"/>
        </w:rPr>
        <w:t>签到的</w:t>
      </w:r>
      <w:r>
        <w:rPr>
          <w:rFonts w:ascii="宋体" w:hAnsi="宋体"/>
          <w:bCs/>
          <w:color w:val="auto"/>
          <w:sz w:val="24"/>
          <w:szCs w:val="24"/>
          <w:highlight w:val="none"/>
          <w:shd w:val="clear" w:color="auto" w:fill="auto"/>
        </w:rPr>
        <w:t>先后时间确定顺序，逐一单独进行。</w:t>
      </w:r>
    </w:p>
    <w:p>
      <w:pPr>
        <w:numPr>
          <w:ilvl w:val="0"/>
          <w:numId w:val="22"/>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ascii="宋体" w:hAnsi="宋体"/>
          <w:bCs/>
          <w:color w:val="auto"/>
          <w:sz w:val="24"/>
          <w:szCs w:val="24"/>
          <w:highlight w:val="none"/>
          <w:shd w:val="clear" w:color="auto" w:fill="auto"/>
        </w:rPr>
        <w:t>主陈述答辩人必须是参选人拟派的项目</w:t>
      </w:r>
      <w:r>
        <w:rPr>
          <w:rFonts w:hint="eastAsia" w:ascii="宋体" w:hAnsi="宋体"/>
          <w:bCs/>
          <w:color w:val="auto"/>
          <w:sz w:val="24"/>
          <w:szCs w:val="24"/>
          <w:highlight w:val="none"/>
          <w:shd w:val="clear" w:color="auto" w:fill="auto"/>
        </w:rPr>
        <w:t>负责人</w:t>
      </w:r>
      <w:r>
        <w:rPr>
          <w:rFonts w:ascii="宋体" w:hAnsi="宋体"/>
          <w:bCs/>
          <w:color w:val="auto"/>
          <w:sz w:val="24"/>
          <w:szCs w:val="24"/>
          <w:highlight w:val="none"/>
          <w:shd w:val="clear" w:color="auto" w:fill="auto"/>
        </w:rPr>
        <w:t>，</w:t>
      </w:r>
      <w:r>
        <w:rPr>
          <w:rFonts w:hint="eastAsia" w:ascii="宋体" w:hAnsi="宋体"/>
          <w:bCs/>
          <w:color w:val="auto"/>
          <w:sz w:val="24"/>
          <w:szCs w:val="24"/>
          <w:highlight w:val="none"/>
          <w:shd w:val="clear" w:color="auto" w:fill="auto"/>
        </w:rPr>
        <w:t>项目组成员</w:t>
      </w:r>
      <w:r>
        <w:rPr>
          <w:rFonts w:ascii="宋体" w:hAnsi="宋体"/>
          <w:bCs/>
          <w:color w:val="auto"/>
          <w:sz w:val="24"/>
          <w:szCs w:val="24"/>
          <w:highlight w:val="none"/>
          <w:shd w:val="clear" w:color="auto" w:fill="auto"/>
        </w:rPr>
        <w:t>作为辅助答辩人；非以上人员不得进入陈述答辩现场。</w:t>
      </w:r>
      <w:r>
        <w:rPr>
          <w:rFonts w:hint="eastAsia" w:ascii="宋体" w:hAnsi="宋体"/>
          <w:bCs/>
          <w:color w:val="auto"/>
          <w:sz w:val="24"/>
          <w:szCs w:val="24"/>
          <w:highlight w:val="none"/>
          <w:shd w:val="clear" w:color="auto" w:fill="auto"/>
        </w:rPr>
        <w:t>参加答辩的所有人员须核对身份，请答辩人员务必携带有效的身份证明材料。</w:t>
      </w:r>
    </w:p>
    <w:p>
      <w:pPr>
        <w:adjustRightInd w:val="0"/>
        <w:snapToGrid w:val="0"/>
        <w:spacing w:line="360" w:lineRule="auto"/>
        <w:ind w:firstLine="480" w:firstLineChars="200"/>
        <w:rPr>
          <w:rFonts w:ascii="宋体" w:hAnsi="宋体"/>
          <w:bCs/>
          <w:color w:val="auto"/>
          <w:sz w:val="24"/>
          <w:szCs w:val="24"/>
          <w:highlight w:val="none"/>
          <w:shd w:val="clear" w:color="auto" w:fill="auto"/>
        </w:rPr>
      </w:pPr>
      <w:r>
        <w:rPr>
          <w:rFonts w:ascii="宋体" w:hAnsi="宋体"/>
          <w:bCs/>
          <w:color w:val="auto"/>
          <w:sz w:val="24"/>
          <w:szCs w:val="24"/>
          <w:highlight w:val="none"/>
          <w:shd w:val="clear" w:color="auto" w:fill="auto"/>
        </w:rPr>
        <w:t>参选人先进行</w:t>
      </w:r>
      <w:r>
        <w:rPr>
          <w:rFonts w:hint="eastAsia" w:ascii="宋体" w:hAnsi="宋体"/>
          <w:bCs/>
          <w:color w:val="auto"/>
          <w:sz w:val="24"/>
          <w:szCs w:val="24"/>
          <w:highlight w:val="none"/>
          <w:shd w:val="clear" w:color="auto" w:fill="auto"/>
        </w:rPr>
        <w:t>15</w:t>
      </w:r>
      <w:r>
        <w:rPr>
          <w:rFonts w:ascii="宋体" w:hAnsi="宋体"/>
          <w:bCs/>
          <w:color w:val="auto"/>
          <w:sz w:val="24"/>
          <w:szCs w:val="24"/>
          <w:highlight w:val="none"/>
          <w:shd w:val="clear" w:color="auto" w:fill="auto"/>
        </w:rPr>
        <w:t>分钟以内的</w:t>
      </w:r>
      <w:r>
        <w:rPr>
          <w:rFonts w:hint="eastAsia" w:ascii="宋体" w:hAnsi="宋体"/>
          <w:bCs/>
          <w:color w:val="auto"/>
          <w:sz w:val="24"/>
          <w:szCs w:val="24"/>
          <w:highlight w:val="none"/>
          <w:shd w:val="clear" w:color="auto" w:fill="auto"/>
        </w:rPr>
        <w:t>方案</w:t>
      </w:r>
      <w:r>
        <w:rPr>
          <w:rFonts w:ascii="宋体" w:hAnsi="宋体"/>
          <w:bCs/>
          <w:color w:val="auto"/>
          <w:sz w:val="24"/>
          <w:szCs w:val="24"/>
          <w:highlight w:val="none"/>
          <w:shd w:val="clear" w:color="auto" w:fill="auto"/>
        </w:rPr>
        <w:t>陈述</w:t>
      </w:r>
      <w:r>
        <w:rPr>
          <w:rFonts w:hint="eastAsia" w:ascii="宋体" w:hAnsi="宋体"/>
          <w:bCs/>
          <w:color w:val="auto"/>
          <w:sz w:val="24"/>
          <w:szCs w:val="24"/>
          <w:highlight w:val="none"/>
          <w:shd w:val="clear" w:color="auto" w:fill="auto"/>
        </w:rPr>
        <w:t>。</w:t>
      </w:r>
      <w:r>
        <w:rPr>
          <w:rFonts w:ascii="宋体" w:hAnsi="宋体"/>
          <w:bCs/>
          <w:color w:val="auto"/>
          <w:sz w:val="24"/>
          <w:szCs w:val="24"/>
          <w:highlight w:val="none"/>
          <w:shd w:val="clear" w:color="auto" w:fill="auto"/>
        </w:rPr>
        <w:t>为保证陈述效果，可以辅助使用投影演示等形式，但不能再提供任何书面资料。</w:t>
      </w:r>
    </w:p>
    <w:p>
      <w:pPr>
        <w:adjustRightInd w:val="0"/>
        <w:snapToGrid w:val="0"/>
        <w:spacing w:line="360" w:lineRule="auto"/>
        <w:ind w:firstLine="480"/>
        <w:rPr>
          <w:rFonts w:ascii="宋体" w:hAnsi="宋体"/>
          <w:bCs/>
          <w:color w:val="auto"/>
          <w:sz w:val="24"/>
          <w:szCs w:val="24"/>
          <w:highlight w:val="none"/>
          <w:shd w:val="clear" w:color="auto" w:fill="auto"/>
        </w:rPr>
      </w:pPr>
      <w:r>
        <w:rPr>
          <w:rFonts w:ascii="宋体" w:hAnsi="宋体"/>
          <w:bCs/>
          <w:color w:val="auto"/>
          <w:sz w:val="24"/>
          <w:szCs w:val="24"/>
          <w:highlight w:val="none"/>
          <w:shd w:val="clear" w:color="auto" w:fill="auto"/>
        </w:rPr>
        <w:t>陈述后接着进行5分钟以内的答辩，由参选人回答评委提出的问题。</w:t>
      </w:r>
    </w:p>
    <w:p>
      <w:pPr>
        <w:adjustRightInd w:val="0"/>
        <w:snapToGrid w:val="0"/>
        <w:spacing w:line="360" w:lineRule="auto"/>
        <w:ind w:firstLine="480"/>
        <w:rPr>
          <w:rFonts w:ascii="宋体" w:hAnsi="宋体"/>
          <w:bCs/>
          <w:color w:val="auto"/>
          <w:sz w:val="24"/>
          <w:szCs w:val="24"/>
          <w:highlight w:val="none"/>
          <w:shd w:val="clear" w:color="auto" w:fill="auto"/>
        </w:rPr>
      </w:pPr>
      <w:r>
        <w:rPr>
          <w:rFonts w:ascii="宋体" w:hAnsi="宋体"/>
          <w:bCs/>
          <w:color w:val="auto"/>
          <w:sz w:val="24"/>
          <w:szCs w:val="24"/>
          <w:highlight w:val="none"/>
          <w:shd w:val="clear" w:color="auto" w:fill="auto"/>
        </w:rPr>
        <w:t>现场陈述答辩结束后，参选人应立即离开现场，不得与其他参选人交谈，透露任何有关参选文件和陈述答辩的内容。一经发现，其参与资格将被取消。</w:t>
      </w:r>
    </w:p>
    <w:p>
      <w:pPr>
        <w:numPr>
          <w:ilvl w:val="0"/>
          <w:numId w:val="22"/>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ascii="宋体" w:hAnsi="宋体"/>
          <w:bCs/>
          <w:color w:val="auto"/>
          <w:sz w:val="24"/>
          <w:szCs w:val="24"/>
          <w:highlight w:val="none"/>
          <w:shd w:val="clear" w:color="auto" w:fill="auto"/>
        </w:rPr>
        <w:t>参选人在陈述答辩过程中，可以对参选文件进行解释、说明、澄清，但不得对人员安排、报价等实质性内容做任何更改。如陈述答辩的内容与</w:t>
      </w:r>
      <w:r>
        <w:rPr>
          <w:rFonts w:hint="eastAsia" w:ascii="宋体" w:hAnsi="宋体"/>
          <w:bCs/>
          <w:color w:val="auto"/>
          <w:sz w:val="24"/>
          <w:szCs w:val="24"/>
          <w:highlight w:val="none"/>
          <w:shd w:val="clear" w:color="auto" w:fill="auto"/>
        </w:rPr>
        <w:t>参选</w:t>
      </w:r>
      <w:r>
        <w:rPr>
          <w:rFonts w:ascii="宋体" w:hAnsi="宋体"/>
          <w:bCs/>
          <w:color w:val="auto"/>
          <w:sz w:val="24"/>
          <w:szCs w:val="24"/>
          <w:highlight w:val="none"/>
          <w:shd w:val="clear" w:color="auto" w:fill="auto"/>
        </w:rPr>
        <w:t>文件的内容之间有冲突、矛盾的，除陈述答辩对</w:t>
      </w:r>
      <w:r>
        <w:rPr>
          <w:rFonts w:hint="eastAsia" w:ascii="宋体" w:hAnsi="宋体"/>
          <w:bCs/>
          <w:color w:val="auto"/>
          <w:sz w:val="24"/>
          <w:szCs w:val="24"/>
          <w:highlight w:val="none"/>
          <w:shd w:val="clear" w:color="auto" w:fill="auto"/>
        </w:rPr>
        <w:t>参选</w:t>
      </w:r>
      <w:r>
        <w:rPr>
          <w:rFonts w:ascii="宋体" w:hAnsi="宋体"/>
          <w:bCs/>
          <w:color w:val="auto"/>
          <w:sz w:val="24"/>
          <w:szCs w:val="24"/>
          <w:highlight w:val="none"/>
          <w:shd w:val="clear" w:color="auto" w:fill="auto"/>
        </w:rPr>
        <w:t>文件中的错漏进行的修正、补充外，均以</w:t>
      </w:r>
      <w:r>
        <w:rPr>
          <w:rFonts w:hint="eastAsia" w:ascii="宋体" w:hAnsi="宋体"/>
          <w:bCs/>
          <w:color w:val="auto"/>
          <w:sz w:val="24"/>
          <w:szCs w:val="24"/>
          <w:highlight w:val="none"/>
          <w:shd w:val="clear" w:color="auto" w:fill="auto"/>
        </w:rPr>
        <w:t>参选</w:t>
      </w:r>
      <w:r>
        <w:rPr>
          <w:rFonts w:ascii="宋体" w:hAnsi="宋体"/>
          <w:bCs/>
          <w:color w:val="auto"/>
          <w:sz w:val="24"/>
          <w:szCs w:val="24"/>
          <w:highlight w:val="none"/>
          <w:shd w:val="clear" w:color="auto" w:fill="auto"/>
        </w:rPr>
        <w:t>文件为准。</w:t>
      </w:r>
    </w:p>
    <w:p>
      <w:pPr>
        <w:numPr>
          <w:ilvl w:val="0"/>
          <w:numId w:val="22"/>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参选人</w:t>
      </w:r>
      <w:r>
        <w:rPr>
          <w:rFonts w:ascii="宋体" w:hAnsi="宋体"/>
          <w:bCs/>
          <w:color w:val="auto"/>
          <w:sz w:val="24"/>
          <w:szCs w:val="24"/>
          <w:highlight w:val="none"/>
          <w:shd w:val="clear" w:color="auto" w:fill="auto"/>
        </w:rPr>
        <w:t>完成陈述</w:t>
      </w:r>
      <w:r>
        <w:rPr>
          <w:rFonts w:hint="eastAsia" w:ascii="宋体" w:hAnsi="宋体"/>
          <w:bCs/>
          <w:color w:val="auto"/>
          <w:sz w:val="24"/>
          <w:szCs w:val="24"/>
          <w:highlight w:val="none"/>
          <w:shd w:val="clear" w:color="auto" w:fill="auto"/>
        </w:rPr>
        <w:t>答辩</w:t>
      </w:r>
      <w:r>
        <w:rPr>
          <w:rFonts w:ascii="宋体" w:hAnsi="宋体"/>
          <w:bCs/>
          <w:color w:val="auto"/>
          <w:sz w:val="24"/>
          <w:szCs w:val="24"/>
          <w:highlight w:val="none"/>
          <w:shd w:val="clear" w:color="auto" w:fill="auto"/>
        </w:rPr>
        <w:t>后，</w:t>
      </w:r>
      <w:r>
        <w:rPr>
          <w:rFonts w:hint="eastAsia" w:ascii="宋体" w:hAnsi="宋体"/>
          <w:bCs/>
          <w:color w:val="auto"/>
          <w:sz w:val="24"/>
          <w:szCs w:val="24"/>
          <w:highlight w:val="none"/>
          <w:shd w:val="clear" w:color="auto" w:fill="auto"/>
        </w:rPr>
        <w:t>评标委员会按照评审标准对技术标进行详细评审（详见评审附表），评审完成后，评审分数不得再更改。</w:t>
      </w:r>
    </w:p>
    <w:p>
      <w:pPr>
        <w:pStyle w:val="47"/>
        <w:ind w:firstLine="480"/>
        <w:rPr>
          <w:rFonts w:hAnsi="宋体"/>
          <w:color w:val="auto"/>
          <w:sz w:val="24"/>
          <w:highlight w:val="none"/>
          <w:shd w:val="clear" w:color="auto" w:fill="auto"/>
        </w:rPr>
      </w:pPr>
    </w:p>
    <w:p>
      <w:pPr>
        <w:spacing w:line="360" w:lineRule="auto"/>
        <w:ind w:firstLine="482" w:firstLineChars="200"/>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商务标评审：</w:t>
      </w:r>
    </w:p>
    <w:p>
      <w:pPr>
        <w:numPr>
          <w:ilvl w:val="0"/>
          <w:numId w:val="23"/>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第二阶段，技术标评审</w:t>
      </w:r>
      <w:r>
        <w:rPr>
          <w:rFonts w:hint="eastAsia" w:ascii="宋体" w:hAnsi="宋体"/>
          <w:color w:val="auto"/>
          <w:sz w:val="24"/>
          <w:szCs w:val="24"/>
          <w:highlight w:val="none"/>
          <w:shd w:val="clear" w:color="auto" w:fill="auto"/>
        </w:rPr>
        <w:t>完成后，技术标前4名的有效参选人方可进入下一阶段商务标的评审。开标工作人员将商务标书移交评标委员会，评标委员会对商务标部分进行初步评审（有效性审查），只有通过初步评审的商务标文件才有资格进入下一步的详细评审。</w:t>
      </w:r>
    </w:p>
    <w:p>
      <w:pPr>
        <w:numPr>
          <w:ilvl w:val="0"/>
          <w:numId w:val="23"/>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经商务标初步审查，评标委员会作出无效标或者废标处理，致进入商务标详细评审环节的有效参选人不足3家，则根据技术标得分，从排名第</w:t>
      </w:r>
      <w:r>
        <w:rPr>
          <w:rFonts w:hint="eastAsia" w:ascii="宋体" w:hAnsi="宋体"/>
          <w:bCs/>
          <w:color w:val="auto"/>
          <w:sz w:val="24"/>
          <w:szCs w:val="24"/>
          <w:highlight w:val="none"/>
          <w:shd w:val="clear" w:color="auto" w:fill="auto"/>
          <w:lang w:val="en-US" w:eastAsia="zh-CN"/>
        </w:rPr>
        <w:t>五名</w:t>
      </w:r>
      <w:r>
        <w:rPr>
          <w:rFonts w:hint="eastAsia" w:ascii="宋体" w:hAnsi="宋体"/>
          <w:bCs/>
          <w:color w:val="auto"/>
          <w:sz w:val="24"/>
          <w:szCs w:val="24"/>
          <w:highlight w:val="none"/>
          <w:shd w:val="clear" w:color="auto" w:fill="auto"/>
        </w:rPr>
        <w:t>起进行</w:t>
      </w:r>
      <w:r>
        <w:rPr>
          <w:rFonts w:hint="eastAsia" w:ascii="宋体" w:hAnsi="宋体"/>
          <w:bCs/>
          <w:color w:val="auto"/>
          <w:sz w:val="24"/>
          <w:szCs w:val="24"/>
          <w:highlight w:val="none"/>
          <w:shd w:val="clear" w:color="auto" w:fill="auto"/>
          <w:lang w:val="en-US" w:eastAsia="zh-CN"/>
        </w:rPr>
        <w:t>商务标</w:t>
      </w:r>
      <w:r>
        <w:rPr>
          <w:rFonts w:hint="eastAsia" w:ascii="宋体" w:hAnsi="宋体"/>
          <w:bCs/>
          <w:color w:val="auto"/>
          <w:sz w:val="24"/>
          <w:szCs w:val="24"/>
          <w:highlight w:val="none"/>
          <w:shd w:val="clear" w:color="auto" w:fill="auto"/>
        </w:rPr>
        <w:t>递补。若递补后仍不足3家，比选人宣布本次比选失败，重新组织比选。</w:t>
      </w:r>
    </w:p>
    <w:p>
      <w:pPr>
        <w:numPr>
          <w:ilvl w:val="0"/>
          <w:numId w:val="23"/>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以参选人所报服务费总价作为商务标评审依据。</w:t>
      </w:r>
    </w:p>
    <w:p>
      <w:pPr>
        <w:numPr>
          <w:ilvl w:val="0"/>
          <w:numId w:val="23"/>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参选人的参选报价中如出现算术错误，将按以下方法进行调整：</w:t>
      </w:r>
    </w:p>
    <w:p>
      <w:pPr>
        <w:numPr>
          <w:ilvl w:val="2"/>
          <w:numId w:val="23"/>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文件中大写金额与小写金额不一致的，以金额</w:t>
      </w:r>
      <w:r>
        <w:rPr>
          <w:rFonts w:hint="eastAsia" w:ascii="宋体" w:hAnsi="宋体"/>
          <w:color w:val="auto"/>
          <w:sz w:val="24"/>
          <w:szCs w:val="24"/>
          <w:highlight w:val="none"/>
          <w:shd w:val="clear" w:color="auto" w:fill="auto"/>
        </w:rPr>
        <w:t>低的</w:t>
      </w:r>
      <w:r>
        <w:rPr>
          <w:rFonts w:ascii="宋体" w:hAnsi="宋体"/>
          <w:color w:val="auto"/>
          <w:sz w:val="24"/>
          <w:szCs w:val="24"/>
          <w:highlight w:val="none"/>
          <w:shd w:val="clear" w:color="auto" w:fill="auto"/>
        </w:rPr>
        <w:t>为准</w:t>
      </w:r>
      <w:r>
        <w:rPr>
          <w:rFonts w:hint="eastAsia" w:ascii="宋体" w:hAnsi="宋体"/>
          <w:bCs/>
          <w:color w:val="auto"/>
          <w:sz w:val="24"/>
          <w:szCs w:val="24"/>
          <w:highlight w:val="none"/>
          <w:shd w:val="clear" w:color="auto" w:fill="auto"/>
        </w:rPr>
        <w:t>；</w:t>
      </w:r>
    </w:p>
    <w:p>
      <w:pPr>
        <w:numPr>
          <w:ilvl w:val="2"/>
          <w:numId w:val="23"/>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总价金额与按单价计算的总金额不一致的，以单价计算的总金额为准。除非单价有明显的小数点错误，此时应以合价金额为准，调整单价</w:t>
      </w:r>
      <w:r>
        <w:rPr>
          <w:rFonts w:hint="eastAsia" w:ascii="宋体" w:hAnsi="宋体"/>
          <w:color w:val="auto"/>
          <w:sz w:val="24"/>
          <w:szCs w:val="24"/>
          <w:highlight w:val="none"/>
          <w:shd w:val="clear" w:color="auto" w:fill="auto"/>
        </w:rPr>
        <w:t>。</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按照本规定的调整方法确定的调整后报价，须取得</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人同意并书面签字确认。如果</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人拒不接受调整方法以及调整后的报价的，其</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将被拒绝。</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中选</w:t>
      </w:r>
      <w:r>
        <w:rPr>
          <w:rFonts w:ascii="宋体" w:hAnsi="宋体"/>
          <w:color w:val="auto"/>
          <w:sz w:val="24"/>
          <w:szCs w:val="24"/>
          <w:highlight w:val="none"/>
          <w:shd w:val="clear" w:color="auto" w:fill="auto"/>
        </w:rPr>
        <w:t>人的</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报价是按照本节规定进行了调整的，其中</w:t>
      </w:r>
      <w:r>
        <w:rPr>
          <w:rFonts w:hint="eastAsia" w:ascii="宋体" w:hAnsi="宋体"/>
          <w:color w:val="auto"/>
          <w:sz w:val="24"/>
          <w:szCs w:val="24"/>
          <w:highlight w:val="none"/>
          <w:shd w:val="clear" w:color="auto" w:fill="auto"/>
        </w:rPr>
        <w:t>选</w:t>
      </w:r>
      <w:r>
        <w:rPr>
          <w:rFonts w:ascii="宋体" w:hAnsi="宋体"/>
          <w:color w:val="auto"/>
          <w:sz w:val="24"/>
          <w:szCs w:val="24"/>
          <w:highlight w:val="none"/>
          <w:shd w:val="clear" w:color="auto" w:fill="auto"/>
        </w:rPr>
        <w:t>价按就低不就高的原则确定。如果</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人拒不接受的，其</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将被拒绝。</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人的</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报价的总价小于调整后的报价，中</w:t>
      </w:r>
      <w:r>
        <w:rPr>
          <w:rFonts w:hint="eastAsia" w:ascii="宋体" w:hAnsi="宋体"/>
          <w:color w:val="auto"/>
          <w:sz w:val="24"/>
          <w:szCs w:val="24"/>
          <w:highlight w:val="none"/>
          <w:shd w:val="clear" w:color="auto" w:fill="auto"/>
          <w:lang w:val="en-US" w:eastAsia="zh-CN"/>
        </w:rPr>
        <w:t>选</w:t>
      </w:r>
      <w:r>
        <w:rPr>
          <w:rFonts w:ascii="宋体" w:hAnsi="宋体"/>
          <w:color w:val="auto"/>
          <w:sz w:val="24"/>
          <w:szCs w:val="24"/>
          <w:highlight w:val="none"/>
          <w:shd w:val="clear" w:color="auto" w:fill="auto"/>
        </w:rPr>
        <w:t>价即为</w:t>
      </w:r>
      <w:r>
        <w:rPr>
          <w:rFonts w:hint="eastAsia" w:ascii="宋体" w:hAnsi="宋体"/>
          <w:color w:val="auto"/>
          <w:sz w:val="24"/>
          <w:szCs w:val="24"/>
          <w:highlight w:val="none"/>
          <w:shd w:val="clear" w:color="auto" w:fill="auto"/>
          <w:lang w:val="en-US" w:eastAsia="zh-CN"/>
        </w:rPr>
        <w:t>参选</w:t>
      </w:r>
      <w:r>
        <w:rPr>
          <w:rFonts w:ascii="宋体" w:hAnsi="宋体"/>
          <w:color w:val="auto"/>
          <w:sz w:val="24"/>
          <w:szCs w:val="24"/>
          <w:highlight w:val="none"/>
          <w:shd w:val="clear" w:color="auto" w:fill="auto"/>
        </w:rPr>
        <w:t>人的</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报价的总价；</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报价的总价大于调整后的报价，中</w:t>
      </w:r>
      <w:r>
        <w:rPr>
          <w:rFonts w:hint="eastAsia" w:ascii="宋体" w:hAnsi="宋体"/>
          <w:color w:val="auto"/>
          <w:sz w:val="24"/>
          <w:szCs w:val="24"/>
          <w:highlight w:val="none"/>
          <w:shd w:val="clear" w:color="auto" w:fill="auto"/>
        </w:rPr>
        <w:t>选</w:t>
      </w:r>
      <w:r>
        <w:rPr>
          <w:rFonts w:ascii="宋体" w:hAnsi="宋体"/>
          <w:color w:val="auto"/>
          <w:sz w:val="24"/>
          <w:szCs w:val="24"/>
          <w:highlight w:val="none"/>
          <w:shd w:val="clear" w:color="auto" w:fill="auto"/>
        </w:rPr>
        <w:t>价仍为</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人的</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报价的总价，调整后的报价与</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报价的总价之间的差值部分则计入暂列金额。</w:t>
      </w:r>
    </w:p>
    <w:p>
      <w:pPr>
        <w:numPr>
          <w:ilvl w:val="0"/>
          <w:numId w:val="23"/>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color w:val="auto"/>
          <w:sz w:val="24"/>
          <w:szCs w:val="24"/>
          <w:highlight w:val="none"/>
          <w:shd w:val="clear" w:color="auto" w:fill="auto"/>
        </w:rPr>
        <w:t>商务标初步审查后，评标委员会按照商务标计算公式，完成商务标分数计算。</w:t>
      </w:r>
    </w:p>
    <w:p>
      <w:pPr>
        <w:numPr>
          <w:ilvl w:val="0"/>
          <w:numId w:val="23"/>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若各参选人的报价，如出现税率不一致的情况，则以不含税总价作为参选人的报价进行商务标分数计算；若税率一致，则以含税总价作为参选人的报价进行商务标分数计算。</w:t>
      </w:r>
    </w:p>
    <w:p>
      <w:pPr>
        <w:numPr>
          <w:ilvl w:val="0"/>
          <w:numId w:val="23"/>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其他情况均按照价格审核计算后，以不利于参选人的原则予以调整。</w:t>
      </w:r>
    </w:p>
    <w:p>
      <w:pPr>
        <w:numPr>
          <w:ilvl w:val="0"/>
          <w:numId w:val="24"/>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汇总完成后，评委按照参选人的最终得分值由高到低排列名次，推荐排名第一的参选人为中选候选人。若最终得分相同的，以技术标得分高者排在先；若技术标得分相同的（以保留小数点后两位且四舍五入为准），以商务标报价低者排在先；若报价相同的，以抽签的形式确定中选候选人。最终，评标委员会推荐一名中选候选人，并形成评标报告。</w:t>
      </w:r>
    </w:p>
    <w:p>
      <w:pPr>
        <w:pStyle w:val="19"/>
        <w:tabs>
          <w:tab w:val="left" w:pos="2460"/>
        </w:tabs>
        <w:adjustRightInd w:val="0"/>
        <w:snapToGrid w:val="0"/>
        <w:ind w:left="0" w:leftChars="0" w:firstLine="480" w:firstLineChars="200"/>
        <w:jc w:val="left"/>
        <w:rPr>
          <w:rFonts w:ascii="宋体" w:hAnsi="宋体"/>
          <w:color w:val="auto"/>
          <w:sz w:val="24"/>
          <w:szCs w:val="24"/>
          <w:highlight w:val="none"/>
          <w:shd w:val="clear" w:color="auto" w:fill="auto"/>
        </w:rPr>
      </w:pPr>
    </w:p>
    <w:p>
      <w:pPr>
        <w:pStyle w:val="4"/>
        <w:spacing w:line="480" w:lineRule="atLeast"/>
        <w:rPr>
          <w:rFonts w:ascii="宋体" w:hAnsi="宋体" w:eastAsia="宋体"/>
          <w:b/>
          <w:bCs/>
          <w:color w:val="auto"/>
          <w:highlight w:val="none"/>
          <w:shd w:val="clear" w:color="auto" w:fill="auto"/>
        </w:rPr>
      </w:pPr>
      <w:bookmarkStart w:id="53" w:name="_Toc434234592"/>
      <w:bookmarkStart w:id="54" w:name="_Toc21373"/>
      <w:bookmarkStart w:id="55" w:name="_Toc388259588"/>
      <w:bookmarkStart w:id="56" w:name="_Toc197404913"/>
      <w:bookmarkStart w:id="57" w:name="_Toc290560899"/>
      <w:bookmarkStart w:id="58" w:name="_Toc197404912"/>
      <w:r>
        <w:rPr>
          <w:rFonts w:ascii="宋体" w:hAnsi="宋体" w:eastAsia="宋体"/>
          <w:b/>
          <w:bCs/>
          <w:color w:val="auto"/>
          <w:highlight w:val="none"/>
          <w:shd w:val="clear" w:color="auto" w:fill="auto"/>
        </w:rPr>
        <w:t>第</w:t>
      </w:r>
      <w:r>
        <w:rPr>
          <w:rFonts w:hint="eastAsia" w:ascii="宋体" w:hAnsi="宋体" w:eastAsia="宋体"/>
          <w:b/>
          <w:bCs/>
          <w:color w:val="auto"/>
          <w:highlight w:val="none"/>
          <w:shd w:val="clear" w:color="auto" w:fill="auto"/>
        </w:rPr>
        <w:t>十</w:t>
      </w:r>
      <w:r>
        <w:rPr>
          <w:rFonts w:ascii="宋体" w:hAnsi="宋体" w:eastAsia="宋体"/>
          <w:b/>
          <w:bCs/>
          <w:color w:val="auto"/>
          <w:highlight w:val="none"/>
          <w:shd w:val="clear" w:color="auto" w:fill="auto"/>
        </w:rPr>
        <w:t>章  确定中</w:t>
      </w:r>
      <w:r>
        <w:rPr>
          <w:rFonts w:hint="eastAsia" w:ascii="宋体" w:hAnsi="宋体" w:eastAsia="宋体"/>
          <w:b/>
          <w:bCs/>
          <w:color w:val="auto"/>
          <w:highlight w:val="none"/>
          <w:shd w:val="clear" w:color="auto" w:fill="auto"/>
        </w:rPr>
        <w:t>选</w:t>
      </w:r>
      <w:r>
        <w:rPr>
          <w:rFonts w:ascii="宋体" w:hAnsi="宋体" w:eastAsia="宋体"/>
          <w:b/>
          <w:bCs/>
          <w:color w:val="auto"/>
          <w:highlight w:val="none"/>
          <w:shd w:val="clear" w:color="auto" w:fill="auto"/>
        </w:rPr>
        <w:t>人</w:t>
      </w:r>
      <w:bookmarkEnd w:id="53"/>
      <w:bookmarkEnd w:id="54"/>
      <w:bookmarkEnd w:id="55"/>
      <w:bookmarkEnd w:id="56"/>
      <w:bookmarkEnd w:id="57"/>
    </w:p>
    <w:p>
      <w:pPr>
        <w:pStyle w:val="24"/>
        <w:adjustRightInd/>
        <w:snapToGrid w:val="0"/>
        <w:spacing w:line="480" w:lineRule="atLeast"/>
        <w:ind w:firstLine="480" w:firstLineChars="200"/>
        <w:textAlignment w:val="auto"/>
        <w:rPr>
          <w:rFonts w:hAnsi="宋体"/>
          <w:bCs/>
          <w:color w:val="auto"/>
          <w:sz w:val="24"/>
          <w:szCs w:val="22"/>
          <w:highlight w:val="none"/>
          <w:shd w:val="clear" w:color="auto" w:fill="auto"/>
        </w:rPr>
      </w:pPr>
      <w:r>
        <w:rPr>
          <w:rFonts w:hint="eastAsia" w:hAnsi="宋体"/>
          <w:bCs/>
          <w:color w:val="auto"/>
          <w:sz w:val="24"/>
          <w:highlight w:val="none"/>
          <w:shd w:val="clear" w:color="auto" w:fill="auto"/>
        </w:rPr>
        <w:t>一、</w:t>
      </w:r>
      <w:r>
        <w:rPr>
          <w:rFonts w:hAnsi="宋体"/>
          <w:bCs/>
          <w:color w:val="auto"/>
          <w:sz w:val="24"/>
          <w:highlight w:val="none"/>
          <w:shd w:val="clear" w:color="auto" w:fill="auto"/>
        </w:rPr>
        <w:t>比选人根据评标委员会提出的书面评标报告，在对推荐的中选候选人的参选文件进行审核后，确定中选人。</w:t>
      </w:r>
    </w:p>
    <w:p>
      <w:pPr>
        <w:pStyle w:val="24"/>
        <w:adjustRightInd/>
        <w:snapToGrid w:val="0"/>
        <w:spacing w:line="480" w:lineRule="atLeast"/>
        <w:ind w:firstLine="480" w:firstLineChars="200"/>
        <w:textAlignment w:val="auto"/>
        <w:rPr>
          <w:rFonts w:hAnsi="宋体"/>
          <w:bCs/>
          <w:color w:val="auto"/>
          <w:sz w:val="24"/>
          <w:highlight w:val="none"/>
          <w:shd w:val="clear" w:color="auto" w:fill="auto"/>
        </w:rPr>
      </w:pPr>
      <w:r>
        <w:rPr>
          <w:rFonts w:hint="eastAsia" w:hAnsi="宋体"/>
          <w:bCs/>
          <w:color w:val="auto"/>
          <w:sz w:val="24"/>
          <w:highlight w:val="none"/>
          <w:shd w:val="clear" w:color="auto" w:fill="auto"/>
        </w:rPr>
        <w:t>二、</w:t>
      </w:r>
      <w:r>
        <w:rPr>
          <w:rFonts w:hAnsi="宋体"/>
          <w:bCs/>
          <w:color w:val="auto"/>
          <w:sz w:val="24"/>
          <w:highlight w:val="none"/>
          <w:shd w:val="clear" w:color="auto" w:fill="auto"/>
        </w:rPr>
        <w:t>比选人在发出中选通知书前的任何时候，有权依据评标委员会的评标报告接受或拒绝任何参选，而且比选人不承担因此产生的任何责任，也无须将这样做的理由通知参选人。</w:t>
      </w:r>
    </w:p>
    <w:p>
      <w:pPr>
        <w:pStyle w:val="24"/>
        <w:adjustRightInd/>
        <w:snapToGrid w:val="0"/>
        <w:spacing w:line="480" w:lineRule="atLeast"/>
        <w:ind w:firstLine="480" w:firstLineChars="200"/>
        <w:textAlignment w:val="auto"/>
        <w:rPr>
          <w:rFonts w:hAnsi="宋体"/>
          <w:bCs/>
          <w:color w:val="auto"/>
          <w:sz w:val="24"/>
          <w:highlight w:val="none"/>
          <w:shd w:val="clear" w:color="auto" w:fill="auto"/>
        </w:rPr>
      </w:pPr>
      <w:r>
        <w:rPr>
          <w:rFonts w:hint="eastAsia" w:hAnsi="宋体"/>
          <w:bCs/>
          <w:color w:val="auto"/>
          <w:sz w:val="24"/>
          <w:highlight w:val="none"/>
          <w:shd w:val="clear" w:color="auto" w:fill="auto"/>
        </w:rPr>
        <w:t>三、</w:t>
      </w:r>
      <w:r>
        <w:rPr>
          <w:rFonts w:hAnsi="宋体"/>
          <w:bCs/>
          <w:color w:val="auto"/>
          <w:sz w:val="24"/>
          <w:highlight w:val="none"/>
          <w:shd w:val="clear" w:color="auto" w:fill="auto"/>
        </w:rPr>
        <w:t>在参选有效期内，</w:t>
      </w:r>
      <w:r>
        <w:rPr>
          <w:rFonts w:hint="eastAsia" w:hAnsi="宋体"/>
          <w:bCs/>
          <w:color w:val="auto"/>
          <w:sz w:val="24"/>
          <w:highlight w:val="none"/>
          <w:shd w:val="clear" w:color="auto" w:fill="auto"/>
        </w:rPr>
        <w:t>比选人将中选结果在“地铁公司官网”、“国资委阳光采购平台”公示，公示</w:t>
      </w:r>
      <w:r>
        <w:rPr>
          <w:rFonts w:hAnsi="宋体"/>
          <w:b/>
          <w:bCs/>
          <w:color w:val="auto"/>
          <w:sz w:val="24"/>
          <w:highlight w:val="none"/>
          <w:u w:val="single"/>
          <w:shd w:val="clear" w:color="auto" w:fill="auto"/>
        </w:rPr>
        <w:t>3个工作日</w:t>
      </w:r>
      <w:r>
        <w:rPr>
          <w:rFonts w:hAnsi="宋体"/>
          <w:bCs/>
          <w:color w:val="auto"/>
          <w:sz w:val="24"/>
          <w:highlight w:val="none"/>
          <w:shd w:val="clear" w:color="auto" w:fill="auto"/>
        </w:rPr>
        <w:t>无异议的，比选人将向中选</w:t>
      </w:r>
      <w:r>
        <w:rPr>
          <w:rFonts w:hint="eastAsia" w:hAnsi="宋体"/>
          <w:bCs/>
          <w:color w:val="auto"/>
          <w:sz w:val="24"/>
          <w:highlight w:val="none"/>
          <w:shd w:val="clear" w:color="auto" w:fill="auto"/>
        </w:rPr>
        <w:t>候选</w:t>
      </w:r>
      <w:r>
        <w:rPr>
          <w:rFonts w:hAnsi="宋体"/>
          <w:bCs/>
          <w:color w:val="auto"/>
          <w:sz w:val="24"/>
          <w:highlight w:val="none"/>
          <w:shd w:val="clear" w:color="auto" w:fill="auto"/>
        </w:rPr>
        <w:t>人发出中选通知书。</w:t>
      </w:r>
    </w:p>
    <w:p>
      <w:pPr>
        <w:pStyle w:val="24"/>
        <w:adjustRightInd/>
        <w:snapToGrid w:val="0"/>
        <w:spacing w:line="480" w:lineRule="atLeast"/>
        <w:ind w:firstLine="480" w:firstLineChars="200"/>
        <w:textAlignment w:val="auto"/>
        <w:rPr>
          <w:rFonts w:hAnsi="宋体"/>
          <w:bCs/>
          <w:color w:val="auto"/>
          <w:sz w:val="24"/>
          <w:highlight w:val="none"/>
          <w:shd w:val="clear" w:color="auto" w:fill="auto"/>
        </w:rPr>
      </w:pPr>
    </w:p>
    <w:p>
      <w:pPr>
        <w:pStyle w:val="4"/>
        <w:spacing w:line="480" w:lineRule="atLeast"/>
        <w:rPr>
          <w:rFonts w:ascii="宋体" w:hAnsi="宋体" w:eastAsia="宋体"/>
          <w:b/>
          <w:bCs/>
          <w:color w:val="auto"/>
          <w:highlight w:val="none"/>
          <w:shd w:val="clear" w:color="auto" w:fill="auto"/>
        </w:rPr>
      </w:pPr>
      <w:bookmarkStart w:id="59" w:name="_Toc8472"/>
      <w:r>
        <w:rPr>
          <w:rFonts w:hint="eastAsia" w:ascii="宋体" w:hAnsi="宋体" w:eastAsia="宋体"/>
          <w:b/>
          <w:bCs/>
          <w:color w:val="auto"/>
          <w:highlight w:val="none"/>
          <w:shd w:val="clear" w:color="auto" w:fill="auto"/>
        </w:rPr>
        <w:t>第十一章  合同的授予</w:t>
      </w:r>
      <w:bookmarkEnd w:id="59"/>
    </w:p>
    <w:p>
      <w:pPr>
        <w:pStyle w:val="19"/>
        <w:tabs>
          <w:tab w:val="left" w:pos="1050"/>
        </w:tabs>
        <w:spacing w:line="480" w:lineRule="atLeast"/>
        <w:ind w:left="0" w:leftChars="0"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一、</w:t>
      </w:r>
      <w:r>
        <w:rPr>
          <w:rFonts w:ascii="宋体" w:hAnsi="宋体"/>
          <w:color w:val="auto"/>
          <w:sz w:val="24"/>
          <w:highlight w:val="none"/>
          <w:shd w:val="clear" w:color="auto" w:fill="auto"/>
        </w:rPr>
        <w:t>比选人与中选人将于中选通知书发出之日起</w:t>
      </w:r>
      <w:r>
        <w:rPr>
          <w:rFonts w:hint="eastAsia" w:ascii="宋体" w:hAnsi="宋体"/>
          <w:color w:val="auto"/>
          <w:sz w:val="24"/>
          <w:highlight w:val="none"/>
          <w:shd w:val="clear" w:color="auto" w:fill="auto"/>
        </w:rPr>
        <w:t>3</w:t>
      </w:r>
      <w:r>
        <w:rPr>
          <w:rFonts w:ascii="宋体" w:hAnsi="宋体"/>
          <w:b/>
          <w:bCs/>
          <w:color w:val="auto"/>
          <w:sz w:val="24"/>
          <w:highlight w:val="none"/>
          <w:u w:val="single"/>
          <w:shd w:val="clear" w:color="auto" w:fill="auto"/>
        </w:rPr>
        <w:t>0</w:t>
      </w:r>
      <w:r>
        <w:rPr>
          <w:rFonts w:hint="eastAsia" w:ascii="宋体" w:hAnsi="宋体"/>
          <w:b/>
          <w:bCs/>
          <w:color w:val="auto"/>
          <w:sz w:val="24"/>
          <w:highlight w:val="none"/>
          <w:u w:val="single"/>
          <w:shd w:val="clear" w:color="auto" w:fill="auto"/>
        </w:rPr>
        <w:t>个工作</w:t>
      </w:r>
      <w:r>
        <w:rPr>
          <w:rFonts w:ascii="宋体" w:hAnsi="宋体"/>
          <w:b/>
          <w:bCs/>
          <w:color w:val="auto"/>
          <w:sz w:val="24"/>
          <w:highlight w:val="none"/>
          <w:u w:val="single"/>
          <w:shd w:val="clear" w:color="auto" w:fill="auto"/>
        </w:rPr>
        <w:t>日</w:t>
      </w:r>
      <w:r>
        <w:rPr>
          <w:rFonts w:ascii="宋体" w:hAnsi="宋体"/>
          <w:color w:val="auto"/>
          <w:sz w:val="24"/>
          <w:highlight w:val="none"/>
          <w:shd w:val="clear" w:color="auto" w:fill="auto"/>
        </w:rPr>
        <w:t>内，根据比选文件和中选人的参选文件签订合同</w:t>
      </w:r>
      <w:r>
        <w:rPr>
          <w:rFonts w:hint="eastAsia" w:ascii="宋体" w:hAnsi="宋体"/>
          <w:color w:val="auto"/>
          <w:sz w:val="24"/>
          <w:highlight w:val="none"/>
          <w:shd w:val="clear" w:color="auto" w:fill="auto"/>
        </w:rPr>
        <w:t>。</w:t>
      </w:r>
    </w:p>
    <w:p>
      <w:pPr>
        <w:pStyle w:val="19"/>
        <w:tabs>
          <w:tab w:val="left" w:pos="1050"/>
        </w:tabs>
        <w:spacing w:line="480" w:lineRule="atLeast"/>
        <w:ind w:left="0" w:leftChars="0"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二、</w:t>
      </w:r>
      <w:r>
        <w:rPr>
          <w:rFonts w:ascii="宋体" w:hAnsi="宋体"/>
          <w:color w:val="auto"/>
          <w:sz w:val="24"/>
          <w:highlight w:val="none"/>
          <w:shd w:val="clear" w:color="auto" w:fill="auto"/>
        </w:rPr>
        <w:t>比选人与中选人签订的合同必须遵守本比选文件的合同条件，并且对合同条款不做实质性更改</w:t>
      </w:r>
      <w:r>
        <w:rPr>
          <w:rFonts w:hint="eastAsia" w:ascii="宋体" w:hAnsi="宋体"/>
          <w:color w:val="auto"/>
          <w:sz w:val="24"/>
          <w:highlight w:val="none"/>
          <w:shd w:val="clear" w:color="auto" w:fill="auto"/>
        </w:rPr>
        <w:t>。</w:t>
      </w:r>
    </w:p>
    <w:p>
      <w:pPr>
        <w:pStyle w:val="19"/>
        <w:tabs>
          <w:tab w:val="left" w:pos="1050"/>
        </w:tabs>
        <w:spacing w:line="480" w:lineRule="atLeast"/>
        <w:ind w:left="0" w:leftChars="0"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三、中选人如不按规定与比选人签订合同</w:t>
      </w:r>
      <w:r>
        <w:rPr>
          <w:rFonts w:ascii="宋体" w:hAnsi="宋体"/>
          <w:color w:val="auto"/>
          <w:sz w:val="24"/>
          <w:highlight w:val="none"/>
          <w:shd w:val="clear" w:color="auto" w:fill="auto"/>
        </w:rPr>
        <w:t>，或在合同履行过程中</w:t>
      </w:r>
      <w:r>
        <w:rPr>
          <w:rFonts w:hint="eastAsia" w:ascii="宋体" w:hAnsi="宋体"/>
          <w:color w:val="auto"/>
          <w:sz w:val="24"/>
          <w:highlight w:val="none"/>
          <w:shd w:val="clear" w:color="auto" w:fill="auto"/>
        </w:rPr>
        <w:t>未按</w:t>
      </w:r>
      <w:r>
        <w:rPr>
          <w:rFonts w:ascii="宋体" w:hAnsi="宋体"/>
          <w:color w:val="auto"/>
          <w:sz w:val="24"/>
          <w:highlight w:val="none"/>
          <w:shd w:val="clear" w:color="auto" w:fill="auto"/>
        </w:rPr>
        <w:t>比选人要求提供服务，</w:t>
      </w:r>
      <w:r>
        <w:rPr>
          <w:rFonts w:hint="eastAsia" w:ascii="宋体" w:hAnsi="宋体"/>
          <w:color w:val="auto"/>
          <w:sz w:val="24"/>
          <w:highlight w:val="none"/>
          <w:shd w:val="clear" w:color="auto" w:fill="auto"/>
        </w:rPr>
        <w:t>则比选人将有充分的理由废除中选，保留要求乙方赔偿损失、承担相应法律责任的权力。比选人可以按比选工作小组提出的中选候选人名单得分排名，依次重新确定中选人候选人。依次确定其他中选候选人与比选人预期较大，或者对比选人明显不利的，比选人可以进行重新比选。</w:t>
      </w:r>
      <w:r>
        <w:rPr>
          <w:rFonts w:ascii="宋体" w:hAnsi="宋体"/>
          <w:color w:val="auto"/>
          <w:sz w:val="24"/>
          <w:szCs w:val="24"/>
          <w:highlight w:val="none"/>
          <w:shd w:val="clear" w:color="auto" w:fill="auto"/>
        </w:rPr>
        <w:br w:type="page"/>
      </w:r>
    </w:p>
    <w:p>
      <w:pPr>
        <w:pStyle w:val="4"/>
        <w:spacing w:line="480" w:lineRule="atLeast"/>
        <w:rPr>
          <w:rFonts w:ascii="宋体" w:hAnsi="宋体" w:eastAsia="宋体"/>
          <w:b/>
          <w:bCs/>
          <w:color w:val="auto"/>
          <w:sz w:val="40"/>
          <w:szCs w:val="24"/>
          <w:highlight w:val="none"/>
          <w:shd w:val="clear" w:color="auto" w:fill="auto"/>
        </w:rPr>
      </w:pPr>
      <w:bookmarkStart w:id="60" w:name="_Toc14418"/>
      <w:bookmarkStart w:id="61" w:name="_Toc399494429"/>
      <w:r>
        <w:rPr>
          <w:rFonts w:hint="eastAsia" w:ascii="宋体" w:hAnsi="宋体" w:eastAsia="宋体"/>
          <w:b/>
          <w:bCs/>
          <w:color w:val="auto"/>
          <w:sz w:val="40"/>
          <w:szCs w:val="24"/>
          <w:highlight w:val="none"/>
          <w:shd w:val="clear" w:color="auto" w:fill="auto"/>
        </w:rPr>
        <w:t>附件</w:t>
      </w:r>
      <w:bookmarkEnd w:id="60"/>
    </w:p>
    <w:p>
      <w:pPr>
        <w:pStyle w:val="3"/>
        <w:spacing w:line="480" w:lineRule="atLeast"/>
        <w:rPr>
          <w:rFonts w:ascii="宋体" w:hAnsi="宋体"/>
          <w:b w:val="0"/>
          <w:color w:val="auto"/>
          <w:sz w:val="44"/>
          <w:szCs w:val="44"/>
          <w:highlight w:val="none"/>
          <w:shd w:val="clear" w:color="auto" w:fill="auto"/>
        </w:rPr>
      </w:pPr>
      <w:bookmarkStart w:id="62" w:name="_Toc8119"/>
      <w:r>
        <w:rPr>
          <w:rFonts w:hint="eastAsia" w:ascii="宋体" w:hAnsi="宋体"/>
          <w:b w:val="0"/>
          <w:color w:val="auto"/>
          <w:sz w:val="44"/>
          <w:szCs w:val="44"/>
          <w:highlight w:val="none"/>
          <w:shd w:val="clear" w:color="auto" w:fill="auto"/>
        </w:rPr>
        <w:t>第一篇 评标</w:t>
      </w:r>
      <w:bookmarkEnd w:id="61"/>
      <w:r>
        <w:rPr>
          <w:rFonts w:hint="eastAsia" w:ascii="宋体" w:hAnsi="宋体"/>
          <w:b w:val="0"/>
          <w:color w:val="auto"/>
          <w:sz w:val="44"/>
          <w:szCs w:val="44"/>
          <w:highlight w:val="none"/>
          <w:shd w:val="clear" w:color="auto" w:fill="auto"/>
        </w:rPr>
        <w:t>办法</w:t>
      </w:r>
      <w:bookmarkEnd w:id="62"/>
    </w:p>
    <w:p>
      <w:pPr>
        <w:pStyle w:val="5"/>
        <w:numPr>
          <w:ilvl w:val="2"/>
          <w:numId w:val="0"/>
        </w:numPr>
        <w:tabs>
          <w:tab w:val="left" w:pos="851"/>
          <w:tab w:val="clear" w:pos="1260"/>
        </w:tabs>
        <w:spacing w:before="0" w:after="0" w:line="360" w:lineRule="auto"/>
        <w:ind w:left="-420" w:leftChars="-200" w:firstLine="839"/>
        <w:rPr>
          <w:rFonts w:ascii="宋体" w:hAnsi="宋体"/>
          <w:bCs/>
          <w:color w:val="auto"/>
          <w:sz w:val="24"/>
          <w:highlight w:val="none"/>
          <w:shd w:val="clear" w:color="auto" w:fill="auto"/>
        </w:rPr>
      </w:pPr>
      <w:bookmarkStart w:id="63" w:name="_Toc276575939"/>
      <w:bookmarkStart w:id="64" w:name="_Toc6846"/>
      <w:r>
        <w:rPr>
          <w:rFonts w:hint="eastAsia" w:ascii="宋体" w:hAnsi="宋体"/>
          <w:bCs/>
          <w:color w:val="auto"/>
          <w:sz w:val="24"/>
          <w:highlight w:val="none"/>
          <w:shd w:val="clear" w:color="auto" w:fill="auto"/>
        </w:rPr>
        <w:t>一、总则</w:t>
      </w:r>
      <w:bookmarkEnd w:id="63"/>
      <w:bookmarkEnd w:id="64"/>
    </w:p>
    <w:p>
      <w:pPr>
        <w:spacing w:line="360" w:lineRule="auto"/>
        <w:ind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为了保证本次比选参选工作的公开、公平和公正，使评标工作规范化、标准化、科学化，选择有经验、有实力、社会信誉好的单位承担本项目任务，依据相关招标的法律、法规，特制定本评标方法。本方法作为比选文件的一部分，一切与评标工作有关的人员在评标过程中必须遵守本方法的各项规定。</w:t>
      </w:r>
    </w:p>
    <w:p>
      <w:pPr>
        <w:pStyle w:val="5"/>
        <w:numPr>
          <w:ilvl w:val="2"/>
          <w:numId w:val="0"/>
        </w:numPr>
        <w:tabs>
          <w:tab w:val="left" w:pos="851"/>
          <w:tab w:val="clear" w:pos="1260"/>
        </w:tabs>
        <w:spacing w:before="0" w:after="0" w:line="360" w:lineRule="auto"/>
        <w:ind w:left="-420" w:leftChars="-200" w:firstLine="839"/>
        <w:rPr>
          <w:rFonts w:ascii="宋体" w:hAnsi="宋体"/>
          <w:bCs/>
          <w:color w:val="auto"/>
          <w:sz w:val="24"/>
          <w:highlight w:val="none"/>
          <w:shd w:val="clear" w:color="auto" w:fill="auto"/>
        </w:rPr>
      </w:pPr>
      <w:bookmarkStart w:id="65" w:name="_Toc11448"/>
      <w:r>
        <w:rPr>
          <w:rFonts w:hint="eastAsia" w:ascii="宋体" w:hAnsi="宋体"/>
          <w:bCs/>
          <w:color w:val="auto"/>
          <w:sz w:val="24"/>
          <w:highlight w:val="none"/>
          <w:shd w:val="clear" w:color="auto" w:fill="auto"/>
        </w:rPr>
        <w:t>二、评定标组织</w:t>
      </w:r>
      <w:bookmarkEnd w:id="65"/>
    </w:p>
    <w:p>
      <w:pPr>
        <w:tabs>
          <w:tab w:val="left" w:pos="420"/>
        </w:tabs>
        <w:spacing w:line="360" w:lineRule="auto"/>
        <w:ind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（一）评标委员会组成</w:t>
      </w:r>
    </w:p>
    <w:p>
      <w:pPr>
        <w:spacing w:line="360" w:lineRule="auto"/>
        <w:ind w:firstLine="480" w:firstLineChars="200"/>
        <w:rPr>
          <w:rFonts w:ascii="宋体" w:hAnsi="宋体"/>
          <w:color w:val="auto"/>
          <w:sz w:val="24"/>
          <w:highlight w:val="none"/>
          <w:shd w:val="clear" w:color="auto" w:fill="auto"/>
        </w:rPr>
      </w:pPr>
      <w:r>
        <w:rPr>
          <w:rFonts w:ascii="宋体" w:hAnsi="宋体"/>
          <w:color w:val="auto"/>
          <w:sz w:val="24"/>
          <w:highlight w:val="none"/>
          <w:shd w:val="clear" w:color="auto" w:fill="auto"/>
        </w:rPr>
        <w:t>由比选人在开标前成立评标委员会。</w:t>
      </w:r>
      <w:r>
        <w:rPr>
          <w:rFonts w:hint="eastAsia" w:ascii="宋体" w:hAnsi="宋体"/>
          <w:color w:val="auto"/>
          <w:sz w:val="24"/>
          <w:highlight w:val="none"/>
          <w:shd w:val="clear" w:color="auto" w:fill="auto"/>
        </w:rPr>
        <w:t>评标委员会由</w:t>
      </w:r>
      <w:r>
        <w:rPr>
          <w:rFonts w:ascii="宋体" w:hAnsi="宋体"/>
          <w:color w:val="auto"/>
          <w:sz w:val="24"/>
          <w:highlight w:val="none"/>
          <w:shd w:val="clear" w:color="auto" w:fill="auto"/>
        </w:rPr>
        <w:t>7位评委</w:t>
      </w:r>
      <w:r>
        <w:rPr>
          <w:rFonts w:hint="eastAsia" w:ascii="宋体" w:hAnsi="宋体"/>
          <w:color w:val="auto"/>
          <w:sz w:val="24"/>
          <w:highlight w:val="none"/>
          <w:shd w:val="clear" w:color="auto" w:fill="auto"/>
        </w:rPr>
        <w:t>组成，深铁置业纪检监察室派员全程监督。</w:t>
      </w:r>
    </w:p>
    <w:p>
      <w:pPr>
        <w:spacing w:line="360" w:lineRule="auto"/>
        <w:ind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（二）评标委员会职责</w:t>
      </w:r>
    </w:p>
    <w:p>
      <w:pPr>
        <w:spacing w:line="360" w:lineRule="auto"/>
        <w:ind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（三）评标过程由比选人派出监督专员负责监督比选、评标全过程。</w:t>
      </w:r>
    </w:p>
    <w:p>
      <w:pPr>
        <w:spacing w:line="360" w:lineRule="auto"/>
        <w:ind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（四）评标过程的会务工作由本次比选工作小组负责。</w:t>
      </w:r>
    </w:p>
    <w:p>
      <w:pPr>
        <w:pStyle w:val="5"/>
        <w:numPr>
          <w:ilvl w:val="2"/>
          <w:numId w:val="0"/>
        </w:numPr>
        <w:tabs>
          <w:tab w:val="left" w:pos="851"/>
          <w:tab w:val="clear" w:pos="1260"/>
        </w:tabs>
        <w:spacing w:before="0" w:after="0" w:line="360" w:lineRule="auto"/>
        <w:ind w:left="-420" w:leftChars="-200" w:firstLine="839"/>
        <w:rPr>
          <w:rFonts w:ascii="宋体" w:hAnsi="宋体"/>
          <w:bCs/>
          <w:color w:val="auto"/>
          <w:sz w:val="24"/>
          <w:highlight w:val="none"/>
          <w:shd w:val="clear" w:color="auto" w:fill="auto"/>
        </w:rPr>
      </w:pPr>
      <w:bookmarkStart w:id="66" w:name="_Toc27022"/>
      <w:r>
        <w:rPr>
          <w:rFonts w:hint="eastAsia" w:ascii="宋体" w:hAnsi="宋体"/>
          <w:bCs/>
          <w:color w:val="auto"/>
          <w:sz w:val="24"/>
          <w:highlight w:val="none"/>
          <w:shd w:val="clear" w:color="auto" w:fill="auto"/>
        </w:rPr>
        <w:t>三、评标方法与程序</w:t>
      </w:r>
      <w:bookmarkEnd w:id="66"/>
    </w:p>
    <w:p>
      <w:pPr>
        <w:spacing w:line="360" w:lineRule="auto"/>
        <w:ind w:firstLine="480" w:firstLineChars="200"/>
        <w:rPr>
          <w:rFonts w:ascii="宋体" w:hAnsi="宋体"/>
          <w:bCs/>
          <w:color w:val="auto"/>
          <w:sz w:val="24"/>
          <w:szCs w:val="24"/>
          <w:highlight w:val="none"/>
          <w:shd w:val="clear" w:color="auto" w:fill="auto"/>
        </w:rPr>
      </w:pPr>
      <w:r>
        <w:rPr>
          <w:rFonts w:hint="eastAsia" w:ascii="宋体" w:hAnsi="宋体"/>
          <w:color w:val="auto"/>
          <w:sz w:val="24"/>
          <w:highlight w:val="none"/>
          <w:shd w:val="clear" w:color="auto" w:fill="auto"/>
        </w:rPr>
        <w:t>（一）</w:t>
      </w:r>
      <w:r>
        <w:rPr>
          <w:rFonts w:hint="eastAsia" w:ascii="宋体" w:hAnsi="宋体"/>
          <w:color w:val="auto"/>
          <w:sz w:val="24"/>
          <w:szCs w:val="24"/>
          <w:highlight w:val="none"/>
          <w:shd w:val="clear" w:color="auto" w:fill="auto"/>
        </w:rPr>
        <w:t>本次评标采用“综合评分法”</w:t>
      </w:r>
      <w:r>
        <w:rPr>
          <w:rFonts w:hint="eastAsia" w:ascii="宋体" w:hAnsi="宋体"/>
          <w:bCs/>
          <w:color w:val="auto"/>
          <w:sz w:val="24"/>
          <w:szCs w:val="24"/>
          <w:highlight w:val="none"/>
          <w:shd w:val="clear" w:color="auto" w:fill="auto"/>
        </w:rPr>
        <w:t>，先评技术标，再评商务标，满分为100分，其中：技术标</w:t>
      </w:r>
      <w:r>
        <w:rPr>
          <w:rFonts w:hint="eastAsia" w:ascii="宋体" w:hAnsi="宋体"/>
          <w:bCs/>
          <w:color w:val="auto"/>
          <w:sz w:val="24"/>
          <w:szCs w:val="24"/>
          <w:highlight w:val="none"/>
          <w:shd w:val="clear" w:color="auto" w:fill="auto"/>
          <w:lang w:val="en-US" w:eastAsia="zh-CN"/>
        </w:rPr>
        <w:t>7</w:t>
      </w:r>
      <w:r>
        <w:rPr>
          <w:rFonts w:hint="eastAsia" w:ascii="宋体" w:hAnsi="宋体"/>
          <w:bCs/>
          <w:color w:val="auto"/>
          <w:sz w:val="24"/>
          <w:szCs w:val="24"/>
          <w:highlight w:val="none"/>
          <w:shd w:val="clear" w:color="auto" w:fill="auto"/>
        </w:rPr>
        <w:t>0分，商务标</w:t>
      </w:r>
      <w:r>
        <w:rPr>
          <w:rFonts w:hint="eastAsia" w:ascii="宋体" w:hAnsi="宋体"/>
          <w:bCs/>
          <w:color w:val="auto"/>
          <w:sz w:val="24"/>
          <w:szCs w:val="24"/>
          <w:highlight w:val="none"/>
          <w:shd w:val="clear" w:color="auto" w:fill="auto"/>
          <w:lang w:val="en-US" w:eastAsia="zh-CN"/>
        </w:rPr>
        <w:t>3</w:t>
      </w:r>
      <w:r>
        <w:rPr>
          <w:rFonts w:hint="eastAsia" w:ascii="宋体" w:hAnsi="宋体"/>
          <w:bCs/>
          <w:color w:val="auto"/>
          <w:sz w:val="24"/>
          <w:szCs w:val="24"/>
          <w:highlight w:val="none"/>
          <w:shd w:val="clear" w:color="auto" w:fill="auto"/>
        </w:rPr>
        <w:t>0分。</w:t>
      </w:r>
    </w:p>
    <w:p>
      <w:pPr>
        <w:spacing w:line="360" w:lineRule="auto"/>
        <w:ind w:firstLine="482" w:firstLineChars="200"/>
        <w:rPr>
          <w:rFonts w:ascii="宋体" w:hAnsi="宋体"/>
          <w:b/>
          <w:bCs/>
          <w:color w:val="auto"/>
          <w:sz w:val="24"/>
          <w:szCs w:val="24"/>
          <w:highlight w:val="none"/>
          <w:shd w:val="clear" w:color="auto" w:fill="auto"/>
        </w:rPr>
      </w:pPr>
      <w:r>
        <w:rPr>
          <w:rFonts w:hint="eastAsia" w:ascii="宋体" w:hAnsi="宋体"/>
          <w:b/>
          <w:bCs/>
          <w:color w:val="auto"/>
          <w:sz w:val="24"/>
          <w:szCs w:val="24"/>
          <w:highlight w:val="none"/>
          <w:shd w:val="clear" w:color="auto" w:fill="auto"/>
        </w:rPr>
        <w:t>评标委员会按照技术标评分标准对各参选人技术文件分别进行打分，各评委评分的算术平均值为该参选人技术标的得分。</w:t>
      </w:r>
    </w:p>
    <w:p>
      <w:pPr>
        <w:spacing w:line="360" w:lineRule="auto"/>
        <w:ind w:firstLine="482" w:firstLineChars="200"/>
        <w:rPr>
          <w:rFonts w:ascii="宋体" w:hAnsi="宋体"/>
          <w:color w:val="auto"/>
          <w:sz w:val="24"/>
          <w:szCs w:val="24"/>
          <w:highlight w:val="none"/>
          <w:shd w:val="clear" w:color="auto" w:fill="auto"/>
        </w:rPr>
      </w:pPr>
      <w:r>
        <w:rPr>
          <w:rFonts w:hint="eastAsia" w:ascii="宋体" w:hAnsi="宋体"/>
          <w:b/>
          <w:bCs/>
          <w:color w:val="auto"/>
          <w:sz w:val="24"/>
          <w:szCs w:val="24"/>
          <w:highlight w:val="none"/>
          <w:shd w:val="clear" w:color="auto" w:fill="auto"/>
        </w:rPr>
        <w:t>然后评标委员会按照商务标计算公式对各参选人商务报价进行评分，最后按顺序汇总各包参选人技术及商务标得分，并按照参选人的最终得分值由高到低排列名次。</w:t>
      </w:r>
      <w:r>
        <w:rPr>
          <w:rFonts w:hint="eastAsia" w:ascii="宋体" w:hAnsi="宋体"/>
          <w:color w:val="auto"/>
          <w:sz w:val="24"/>
          <w:szCs w:val="24"/>
          <w:highlight w:val="none"/>
          <w:shd w:val="clear" w:color="auto" w:fill="auto"/>
        </w:rPr>
        <w:t>若出现综合得分相同的情形，以技术标得分高者排在先；若技术标得分相同的（以保留小数点后两位且四舍五入为准），以商务标报价低者排在先；若报价相同的，以抽签的形式确定中选候选人。</w:t>
      </w:r>
    </w:p>
    <w:p>
      <w:pPr>
        <w:adjustRightInd w:val="0"/>
        <w:snapToGrid w:val="0"/>
        <w:spacing w:line="360" w:lineRule="auto"/>
        <w:ind w:left="420" w:left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最终，评标委员会推荐一名中选候选人，并形成评标报告。</w:t>
      </w:r>
    </w:p>
    <w:p>
      <w:pPr>
        <w:spacing w:line="360" w:lineRule="auto"/>
        <w:ind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（二）评标程序</w:t>
      </w:r>
    </w:p>
    <w:p>
      <w:pPr>
        <w:adjustRightInd w:val="0"/>
        <w:snapToGrid w:val="0"/>
        <w:spacing w:line="360" w:lineRule="auto"/>
        <w:ind w:firstLine="480" w:firstLineChars="200"/>
        <w:rPr>
          <w:rFonts w:ascii="宋体" w:hAnsi="宋体"/>
          <w:color w:val="auto"/>
          <w:kern w:val="0"/>
          <w:sz w:val="24"/>
          <w:szCs w:val="24"/>
          <w:highlight w:val="none"/>
          <w:shd w:val="clear" w:color="auto" w:fill="auto"/>
        </w:rPr>
      </w:pPr>
      <w:r>
        <w:rPr>
          <w:rFonts w:hint="eastAsia" w:ascii="宋体" w:hAnsi="宋体"/>
          <w:color w:val="auto"/>
          <w:sz w:val="24"/>
          <w:szCs w:val="24"/>
          <w:highlight w:val="none"/>
          <w:shd w:val="clear" w:color="auto" w:fill="auto"/>
        </w:rPr>
        <w:t>1.评标分2个阶段进行，先评技术标，再评商务标。</w:t>
      </w:r>
    </w:p>
    <w:p>
      <w:pPr>
        <w:adjustRightInd w:val="0"/>
        <w:snapToGrid w:val="0"/>
        <w:spacing w:line="360" w:lineRule="auto"/>
        <w:ind w:firstLine="482" w:firstLineChars="200"/>
        <w:rPr>
          <w:rFonts w:ascii="宋体" w:hAnsi="宋体"/>
          <w:bCs/>
          <w:color w:val="auto"/>
          <w:sz w:val="24"/>
          <w:szCs w:val="24"/>
          <w:highlight w:val="none"/>
          <w:shd w:val="clear" w:color="auto" w:fill="auto"/>
        </w:rPr>
      </w:pPr>
      <w:r>
        <w:rPr>
          <w:rFonts w:hint="eastAsia" w:ascii="宋体" w:hAnsi="宋体"/>
          <w:b/>
          <w:color w:val="auto"/>
          <w:sz w:val="24"/>
          <w:szCs w:val="24"/>
          <w:highlight w:val="none"/>
          <w:shd w:val="clear" w:color="auto" w:fill="auto"/>
        </w:rPr>
        <w:t>技术标评审</w:t>
      </w:r>
      <w:r>
        <w:rPr>
          <w:rFonts w:hint="eastAsia" w:ascii="宋体" w:hAnsi="宋体"/>
          <w:bCs/>
          <w:color w:val="auto"/>
          <w:sz w:val="24"/>
          <w:szCs w:val="24"/>
          <w:highlight w:val="none"/>
          <w:shd w:val="clear" w:color="auto" w:fill="auto"/>
        </w:rPr>
        <w:t>：</w:t>
      </w:r>
    </w:p>
    <w:p>
      <w:pPr>
        <w:numPr>
          <w:ilvl w:val="0"/>
          <w:numId w:val="25"/>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第一阶段，先将所有合格参选文件的技术标书移交至评标委员会，评标委员会对参选文件的技术标书进行初步评审（有效性审查），只有通过初步评审的技术标书才有资格进入下一步的详细评审。</w:t>
      </w:r>
    </w:p>
    <w:p>
      <w:pPr>
        <w:numPr>
          <w:ilvl w:val="0"/>
          <w:numId w:val="25"/>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评标委员会否决无效标或者界定为废标后，有效参选人不足3家的，比选人宣布本次比选失败，重新组织比选。</w:t>
      </w:r>
    </w:p>
    <w:p>
      <w:pPr>
        <w:numPr>
          <w:ilvl w:val="0"/>
          <w:numId w:val="25"/>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技术标初步审查完成后，</w:t>
      </w:r>
      <w:r>
        <w:rPr>
          <w:rFonts w:ascii="宋体" w:hAnsi="宋体"/>
          <w:bCs/>
          <w:color w:val="auto"/>
          <w:sz w:val="24"/>
          <w:szCs w:val="24"/>
          <w:highlight w:val="none"/>
          <w:shd w:val="clear" w:color="auto" w:fill="auto"/>
        </w:rPr>
        <w:t>参选人按照</w:t>
      </w:r>
      <w:r>
        <w:rPr>
          <w:rFonts w:hint="eastAsia" w:ascii="宋体" w:hAnsi="宋体"/>
          <w:bCs/>
          <w:color w:val="auto"/>
          <w:sz w:val="24"/>
          <w:szCs w:val="24"/>
          <w:highlight w:val="none"/>
          <w:shd w:val="clear" w:color="auto" w:fill="auto"/>
        </w:rPr>
        <w:t>比选</w:t>
      </w:r>
      <w:r>
        <w:rPr>
          <w:rFonts w:ascii="宋体" w:hAnsi="宋体"/>
          <w:bCs/>
          <w:color w:val="auto"/>
          <w:sz w:val="24"/>
          <w:szCs w:val="24"/>
          <w:highlight w:val="none"/>
          <w:shd w:val="clear" w:color="auto" w:fill="auto"/>
        </w:rPr>
        <w:t>人通知的时间在指定地点</w:t>
      </w:r>
      <w:r>
        <w:rPr>
          <w:rFonts w:hint="eastAsia" w:ascii="宋体" w:hAnsi="宋体"/>
          <w:bCs/>
          <w:color w:val="auto"/>
          <w:sz w:val="24"/>
          <w:szCs w:val="24"/>
          <w:highlight w:val="none"/>
          <w:shd w:val="clear" w:color="auto" w:fill="auto"/>
        </w:rPr>
        <w:t>进行现场陈述答辩</w:t>
      </w:r>
      <w:r>
        <w:rPr>
          <w:rFonts w:ascii="宋体" w:hAnsi="宋体"/>
          <w:bCs/>
          <w:color w:val="auto"/>
          <w:sz w:val="24"/>
          <w:szCs w:val="24"/>
          <w:highlight w:val="none"/>
          <w:shd w:val="clear" w:color="auto" w:fill="auto"/>
        </w:rPr>
        <w:t>。各参选人的陈述答辩按</w:t>
      </w:r>
      <w:r>
        <w:rPr>
          <w:rFonts w:hint="eastAsia" w:ascii="宋体" w:hAnsi="宋体"/>
          <w:bCs/>
          <w:color w:val="auto"/>
          <w:sz w:val="24"/>
          <w:szCs w:val="24"/>
          <w:highlight w:val="none"/>
          <w:shd w:val="clear" w:color="auto" w:fill="auto"/>
        </w:rPr>
        <w:t>签到的</w:t>
      </w:r>
      <w:r>
        <w:rPr>
          <w:rFonts w:ascii="宋体" w:hAnsi="宋体"/>
          <w:bCs/>
          <w:color w:val="auto"/>
          <w:sz w:val="24"/>
          <w:szCs w:val="24"/>
          <w:highlight w:val="none"/>
          <w:shd w:val="clear" w:color="auto" w:fill="auto"/>
        </w:rPr>
        <w:t>先后时间确定顺序，逐一单独进行。</w:t>
      </w:r>
    </w:p>
    <w:p>
      <w:pPr>
        <w:numPr>
          <w:ilvl w:val="0"/>
          <w:numId w:val="25"/>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ascii="宋体" w:hAnsi="宋体"/>
          <w:bCs/>
          <w:color w:val="auto"/>
          <w:sz w:val="24"/>
          <w:szCs w:val="24"/>
          <w:highlight w:val="none"/>
          <w:shd w:val="clear" w:color="auto" w:fill="auto"/>
        </w:rPr>
        <w:t>主陈述答辩人必须是参选人拟派的项目</w:t>
      </w:r>
      <w:r>
        <w:rPr>
          <w:rFonts w:hint="eastAsia" w:ascii="宋体" w:hAnsi="宋体"/>
          <w:bCs/>
          <w:color w:val="auto"/>
          <w:sz w:val="24"/>
          <w:szCs w:val="24"/>
          <w:highlight w:val="none"/>
          <w:shd w:val="clear" w:color="auto" w:fill="auto"/>
        </w:rPr>
        <w:t>负责人</w:t>
      </w:r>
      <w:r>
        <w:rPr>
          <w:rFonts w:ascii="宋体" w:hAnsi="宋体"/>
          <w:bCs/>
          <w:color w:val="auto"/>
          <w:sz w:val="24"/>
          <w:szCs w:val="24"/>
          <w:highlight w:val="none"/>
          <w:shd w:val="clear" w:color="auto" w:fill="auto"/>
        </w:rPr>
        <w:t>，</w:t>
      </w:r>
      <w:r>
        <w:rPr>
          <w:rFonts w:hint="eastAsia" w:ascii="宋体" w:hAnsi="宋体"/>
          <w:bCs/>
          <w:color w:val="auto"/>
          <w:sz w:val="24"/>
          <w:szCs w:val="24"/>
          <w:highlight w:val="none"/>
          <w:shd w:val="clear" w:color="auto" w:fill="auto"/>
        </w:rPr>
        <w:t>项目组成员</w:t>
      </w:r>
      <w:r>
        <w:rPr>
          <w:rFonts w:ascii="宋体" w:hAnsi="宋体"/>
          <w:bCs/>
          <w:color w:val="auto"/>
          <w:sz w:val="24"/>
          <w:szCs w:val="24"/>
          <w:highlight w:val="none"/>
          <w:shd w:val="clear" w:color="auto" w:fill="auto"/>
        </w:rPr>
        <w:t>作为辅助答辩人；非以上人员不得进入陈述答辩现场。</w:t>
      </w:r>
      <w:r>
        <w:rPr>
          <w:rFonts w:hint="eastAsia" w:ascii="宋体" w:hAnsi="宋体"/>
          <w:bCs/>
          <w:color w:val="auto"/>
          <w:sz w:val="24"/>
          <w:szCs w:val="24"/>
          <w:highlight w:val="none"/>
          <w:shd w:val="clear" w:color="auto" w:fill="auto"/>
        </w:rPr>
        <w:t>参加答辩的所有人员须核对身份，请答辩人员务必携带有效的身份证明材料。</w:t>
      </w:r>
    </w:p>
    <w:p>
      <w:pPr>
        <w:adjustRightInd w:val="0"/>
        <w:snapToGrid w:val="0"/>
        <w:spacing w:line="360" w:lineRule="auto"/>
        <w:ind w:firstLine="480" w:firstLineChars="200"/>
        <w:rPr>
          <w:rFonts w:ascii="宋体" w:hAnsi="宋体"/>
          <w:bCs/>
          <w:color w:val="auto"/>
          <w:sz w:val="24"/>
          <w:szCs w:val="24"/>
          <w:highlight w:val="none"/>
          <w:shd w:val="clear" w:color="auto" w:fill="auto"/>
        </w:rPr>
      </w:pPr>
      <w:r>
        <w:rPr>
          <w:rFonts w:ascii="宋体" w:hAnsi="宋体"/>
          <w:bCs/>
          <w:color w:val="auto"/>
          <w:sz w:val="24"/>
          <w:szCs w:val="24"/>
          <w:highlight w:val="none"/>
          <w:shd w:val="clear" w:color="auto" w:fill="auto"/>
        </w:rPr>
        <w:t>参选人先进行</w:t>
      </w:r>
      <w:r>
        <w:rPr>
          <w:rFonts w:hint="eastAsia" w:ascii="宋体" w:hAnsi="宋体"/>
          <w:bCs/>
          <w:color w:val="auto"/>
          <w:sz w:val="24"/>
          <w:szCs w:val="24"/>
          <w:highlight w:val="none"/>
          <w:shd w:val="clear" w:color="auto" w:fill="auto"/>
        </w:rPr>
        <w:t>15</w:t>
      </w:r>
      <w:r>
        <w:rPr>
          <w:rFonts w:ascii="宋体" w:hAnsi="宋体"/>
          <w:bCs/>
          <w:color w:val="auto"/>
          <w:sz w:val="24"/>
          <w:szCs w:val="24"/>
          <w:highlight w:val="none"/>
          <w:shd w:val="clear" w:color="auto" w:fill="auto"/>
        </w:rPr>
        <w:t>分钟以内的</w:t>
      </w:r>
      <w:r>
        <w:rPr>
          <w:rFonts w:hint="eastAsia" w:ascii="宋体" w:hAnsi="宋体"/>
          <w:bCs/>
          <w:color w:val="auto"/>
          <w:sz w:val="24"/>
          <w:szCs w:val="24"/>
          <w:highlight w:val="none"/>
          <w:shd w:val="clear" w:color="auto" w:fill="auto"/>
        </w:rPr>
        <w:t>方案</w:t>
      </w:r>
      <w:r>
        <w:rPr>
          <w:rFonts w:ascii="宋体" w:hAnsi="宋体"/>
          <w:bCs/>
          <w:color w:val="auto"/>
          <w:sz w:val="24"/>
          <w:szCs w:val="24"/>
          <w:highlight w:val="none"/>
          <w:shd w:val="clear" w:color="auto" w:fill="auto"/>
        </w:rPr>
        <w:t>陈述</w:t>
      </w:r>
      <w:r>
        <w:rPr>
          <w:rFonts w:hint="eastAsia" w:ascii="宋体" w:hAnsi="宋体"/>
          <w:bCs/>
          <w:color w:val="auto"/>
          <w:sz w:val="24"/>
          <w:szCs w:val="24"/>
          <w:highlight w:val="none"/>
          <w:shd w:val="clear" w:color="auto" w:fill="auto"/>
        </w:rPr>
        <w:t>。</w:t>
      </w:r>
      <w:r>
        <w:rPr>
          <w:rFonts w:ascii="宋体" w:hAnsi="宋体"/>
          <w:bCs/>
          <w:color w:val="auto"/>
          <w:sz w:val="24"/>
          <w:szCs w:val="24"/>
          <w:highlight w:val="none"/>
          <w:shd w:val="clear" w:color="auto" w:fill="auto"/>
        </w:rPr>
        <w:t>为保证陈述效果，可以辅助使用投影演示等形式，但不能再提供任何书面资料。</w:t>
      </w:r>
    </w:p>
    <w:p>
      <w:pPr>
        <w:adjustRightInd w:val="0"/>
        <w:snapToGrid w:val="0"/>
        <w:spacing w:line="360" w:lineRule="auto"/>
        <w:ind w:firstLine="480"/>
        <w:rPr>
          <w:rFonts w:ascii="宋体" w:hAnsi="宋体"/>
          <w:bCs/>
          <w:color w:val="auto"/>
          <w:sz w:val="24"/>
          <w:szCs w:val="24"/>
          <w:highlight w:val="none"/>
          <w:shd w:val="clear" w:color="auto" w:fill="auto"/>
        </w:rPr>
      </w:pPr>
      <w:r>
        <w:rPr>
          <w:rFonts w:ascii="宋体" w:hAnsi="宋体"/>
          <w:bCs/>
          <w:color w:val="auto"/>
          <w:sz w:val="24"/>
          <w:szCs w:val="24"/>
          <w:highlight w:val="none"/>
          <w:shd w:val="clear" w:color="auto" w:fill="auto"/>
        </w:rPr>
        <w:t>陈述后接着进行5分钟以内的答辩，由参选人回答评委提出的问题。</w:t>
      </w:r>
    </w:p>
    <w:p>
      <w:pPr>
        <w:adjustRightInd w:val="0"/>
        <w:snapToGrid w:val="0"/>
        <w:spacing w:line="360" w:lineRule="auto"/>
        <w:ind w:firstLine="480"/>
        <w:rPr>
          <w:rFonts w:ascii="宋体" w:hAnsi="宋体"/>
          <w:bCs/>
          <w:color w:val="auto"/>
          <w:sz w:val="24"/>
          <w:szCs w:val="24"/>
          <w:highlight w:val="none"/>
          <w:shd w:val="clear" w:color="auto" w:fill="auto"/>
        </w:rPr>
      </w:pPr>
      <w:r>
        <w:rPr>
          <w:rFonts w:ascii="宋体" w:hAnsi="宋体"/>
          <w:bCs/>
          <w:color w:val="auto"/>
          <w:sz w:val="24"/>
          <w:szCs w:val="24"/>
          <w:highlight w:val="none"/>
          <w:shd w:val="clear" w:color="auto" w:fill="auto"/>
        </w:rPr>
        <w:t>现场陈述答辩结束后，参选人应立即离开现场，不得与其他参选人交谈，透露任何有关参选文件和陈述答辩的内容。一经发现，其参与资格将被取消。</w:t>
      </w:r>
    </w:p>
    <w:p>
      <w:pPr>
        <w:numPr>
          <w:ilvl w:val="0"/>
          <w:numId w:val="25"/>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ascii="宋体" w:hAnsi="宋体"/>
          <w:bCs/>
          <w:color w:val="auto"/>
          <w:sz w:val="24"/>
          <w:szCs w:val="24"/>
          <w:highlight w:val="none"/>
          <w:shd w:val="clear" w:color="auto" w:fill="auto"/>
        </w:rPr>
        <w:t>参选人在陈述答辩过程中，可以对参选文件进行解释、说明、澄清，但不得对人员安排、报价等实质性内容做任何更改。如陈述答辩的内容与</w:t>
      </w:r>
      <w:r>
        <w:rPr>
          <w:rFonts w:hint="eastAsia" w:ascii="宋体" w:hAnsi="宋体"/>
          <w:bCs/>
          <w:color w:val="auto"/>
          <w:sz w:val="24"/>
          <w:szCs w:val="24"/>
          <w:highlight w:val="none"/>
          <w:shd w:val="clear" w:color="auto" w:fill="auto"/>
        </w:rPr>
        <w:t>参选</w:t>
      </w:r>
      <w:r>
        <w:rPr>
          <w:rFonts w:ascii="宋体" w:hAnsi="宋体"/>
          <w:bCs/>
          <w:color w:val="auto"/>
          <w:sz w:val="24"/>
          <w:szCs w:val="24"/>
          <w:highlight w:val="none"/>
          <w:shd w:val="clear" w:color="auto" w:fill="auto"/>
        </w:rPr>
        <w:t>文件的内容之间有冲突、矛盾的，除陈述答辩对</w:t>
      </w:r>
      <w:r>
        <w:rPr>
          <w:rFonts w:hint="eastAsia" w:ascii="宋体" w:hAnsi="宋体"/>
          <w:bCs/>
          <w:color w:val="auto"/>
          <w:sz w:val="24"/>
          <w:szCs w:val="24"/>
          <w:highlight w:val="none"/>
          <w:shd w:val="clear" w:color="auto" w:fill="auto"/>
        </w:rPr>
        <w:t>参选</w:t>
      </w:r>
      <w:r>
        <w:rPr>
          <w:rFonts w:ascii="宋体" w:hAnsi="宋体"/>
          <w:bCs/>
          <w:color w:val="auto"/>
          <w:sz w:val="24"/>
          <w:szCs w:val="24"/>
          <w:highlight w:val="none"/>
          <w:shd w:val="clear" w:color="auto" w:fill="auto"/>
        </w:rPr>
        <w:t>文件中的错漏进行的修正、补充外，均以</w:t>
      </w:r>
      <w:r>
        <w:rPr>
          <w:rFonts w:hint="eastAsia" w:ascii="宋体" w:hAnsi="宋体"/>
          <w:bCs/>
          <w:color w:val="auto"/>
          <w:sz w:val="24"/>
          <w:szCs w:val="24"/>
          <w:highlight w:val="none"/>
          <w:shd w:val="clear" w:color="auto" w:fill="auto"/>
        </w:rPr>
        <w:t>参选</w:t>
      </w:r>
      <w:r>
        <w:rPr>
          <w:rFonts w:ascii="宋体" w:hAnsi="宋体"/>
          <w:bCs/>
          <w:color w:val="auto"/>
          <w:sz w:val="24"/>
          <w:szCs w:val="24"/>
          <w:highlight w:val="none"/>
          <w:shd w:val="clear" w:color="auto" w:fill="auto"/>
        </w:rPr>
        <w:t>文件为准。</w:t>
      </w:r>
    </w:p>
    <w:p>
      <w:pPr>
        <w:numPr>
          <w:ilvl w:val="0"/>
          <w:numId w:val="25"/>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参选人</w:t>
      </w:r>
      <w:r>
        <w:rPr>
          <w:rFonts w:ascii="宋体" w:hAnsi="宋体"/>
          <w:bCs/>
          <w:color w:val="auto"/>
          <w:sz w:val="24"/>
          <w:szCs w:val="24"/>
          <w:highlight w:val="none"/>
          <w:shd w:val="clear" w:color="auto" w:fill="auto"/>
        </w:rPr>
        <w:t>完成陈述</w:t>
      </w:r>
      <w:r>
        <w:rPr>
          <w:rFonts w:hint="eastAsia" w:ascii="宋体" w:hAnsi="宋体"/>
          <w:bCs/>
          <w:color w:val="auto"/>
          <w:sz w:val="24"/>
          <w:szCs w:val="24"/>
          <w:highlight w:val="none"/>
          <w:shd w:val="clear" w:color="auto" w:fill="auto"/>
        </w:rPr>
        <w:t>答辩</w:t>
      </w:r>
      <w:r>
        <w:rPr>
          <w:rFonts w:ascii="宋体" w:hAnsi="宋体"/>
          <w:bCs/>
          <w:color w:val="auto"/>
          <w:sz w:val="24"/>
          <w:szCs w:val="24"/>
          <w:highlight w:val="none"/>
          <w:shd w:val="clear" w:color="auto" w:fill="auto"/>
        </w:rPr>
        <w:t>后，</w:t>
      </w:r>
      <w:r>
        <w:rPr>
          <w:rFonts w:hint="eastAsia" w:ascii="宋体" w:hAnsi="宋体"/>
          <w:bCs/>
          <w:color w:val="auto"/>
          <w:sz w:val="24"/>
          <w:szCs w:val="24"/>
          <w:highlight w:val="none"/>
          <w:shd w:val="clear" w:color="auto" w:fill="auto"/>
        </w:rPr>
        <w:t>评标委员会按照评审标准对技术标进行详细评审（详见评审附表），评审完成后，评审分数不得再更改。</w:t>
      </w:r>
    </w:p>
    <w:p>
      <w:pPr>
        <w:ind w:left="540" w:leftChars="257" w:firstLine="480" w:firstLineChars="200"/>
        <w:rPr>
          <w:rFonts w:ascii="宋体" w:hAnsi="宋体"/>
          <w:color w:val="auto"/>
          <w:kern w:val="0"/>
          <w:sz w:val="24"/>
          <w:szCs w:val="24"/>
          <w:highlight w:val="none"/>
          <w:shd w:val="clear" w:color="auto" w:fill="auto"/>
        </w:rPr>
      </w:pPr>
    </w:p>
    <w:p>
      <w:pPr>
        <w:spacing w:line="360" w:lineRule="auto"/>
        <w:ind w:firstLine="482" w:firstLineChars="200"/>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商务标评审：</w:t>
      </w:r>
    </w:p>
    <w:p>
      <w:pPr>
        <w:numPr>
          <w:ilvl w:val="0"/>
          <w:numId w:val="26"/>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第二阶段，技术标评审</w:t>
      </w:r>
      <w:r>
        <w:rPr>
          <w:rFonts w:hint="eastAsia" w:ascii="宋体" w:hAnsi="宋体"/>
          <w:color w:val="auto"/>
          <w:sz w:val="24"/>
          <w:szCs w:val="24"/>
          <w:highlight w:val="none"/>
          <w:shd w:val="clear" w:color="auto" w:fill="auto"/>
        </w:rPr>
        <w:t>完成后，技术标前4名的有效参选人方可进入下一阶段商务标的评审。开标工作人员将商务标书移交评标委员会，评标委员会对商务标部分进行初步评审（有效性审查），只有通过初步评审的商务标文件才有资格进入下一步的详细评审。</w:t>
      </w:r>
    </w:p>
    <w:p>
      <w:pPr>
        <w:numPr>
          <w:ilvl w:val="0"/>
          <w:numId w:val="26"/>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经商务标初步审查，评标委员会作出无效标或者废标处理，致进入商务标详细评审环节的有效参选人不足3家，则根据技术标得分，从排名第</w:t>
      </w:r>
      <w:r>
        <w:rPr>
          <w:rFonts w:hint="eastAsia" w:ascii="宋体" w:hAnsi="宋体"/>
          <w:bCs/>
          <w:color w:val="auto"/>
          <w:sz w:val="24"/>
          <w:szCs w:val="24"/>
          <w:highlight w:val="none"/>
          <w:shd w:val="clear" w:color="auto" w:fill="auto"/>
          <w:lang w:val="en-US" w:eastAsia="zh-CN"/>
        </w:rPr>
        <w:t>五名</w:t>
      </w:r>
      <w:r>
        <w:rPr>
          <w:rFonts w:hint="eastAsia" w:ascii="宋体" w:hAnsi="宋体"/>
          <w:bCs/>
          <w:color w:val="auto"/>
          <w:sz w:val="24"/>
          <w:szCs w:val="24"/>
          <w:highlight w:val="none"/>
          <w:shd w:val="clear" w:color="auto" w:fill="auto"/>
        </w:rPr>
        <w:t>起进行</w:t>
      </w:r>
      <w:r>
        <w:rPr>
          <w:rFonts w:hint="eastAsia" w:ascii="宋体" w:hAnsi="宋体"/>
          <w:bCs/>
          <w:color w:val="auto"/>
          <w:sz w:val="24"/>
          <w:szCs w:val="24"/>
          <w:highlight w:val="none"/>
          <w:shd w:val="clear" w:color="auto" w:fill="auto"/>
          <w:lang w:val="en-US" w:eastAsia="zh-CN"/>
        </w:rPr>
        <w:t>商务标</w:t>
      </w:r>
      <w:r>
        <w:rPr>
          <w:rFonts w:hint="eastAsia" w:ascii="宋体" w:hAnsi="宋体"/>
          <w:bCs/>
          <w:color w:val="auto"/>
          <w:sz w:val="24"/>
          <w:szCs w:val="24"/>
          <w:highlight w:val="none"/>
          <w:shd w:val="clear" w:color="auto" w:fill="auto"/>
        </w:rPr>
        <w:t>递补。若递补后仍不足3家，比选人宣布本次比选失败，重新组织比选。</w:t>
      </w:r>
    </w:p>
    <w:p>
      <w:pPr>
        <w:numPr>
          <w:ilvl w:val="0"/>
          <w:numId w:val="26"/>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以参选人所报服务费总价作为商务标评审依据。</w:t>
      </w:r>
    </w:p>
    <w:p>
      <w:pPr>
        <w:numPr>
          <w:ilvl w:val="0"/>
          <w:numId w:val="26"/>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参选人的参选报价中如出现算术错误，将按以下方法进行调整：</w:t>
      </w:r>
    </w:p>
    <w:p>
      <w:pPr>
        <w:numPr>
          <w:ilvl w:val="2"/>
          <w:numId w:val="26"/>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文件中大写金额与小写金额不一致的，以金额</w:t>
      </w:r>
      <w:r>
        <w:rPr>
          <w:rFonts w:hint="eastAsia" w:ascii="宋体" w:hAnsi="宋体"/>
          <w:color w:val="auto"/>
          <w:sz w:val="24"/>
          <w:szCs w:val="24"/>
          <w:highlight w:val="none"/>
          <w:shd w:val="clear" w:color="auto" w:fill="auto"/>
        </w:rPr>
        <w:t>低的</w:t>
      </w:r>
      <w:r>
        <w:rPr>
          <w:rFonts w:ascii="宋体" w:hAnsi="宋体"/>
          <w:color w:val="auto"/>
          <w:sz w:val="24"/>
          <w:szCs w:val="24"/>
          <w:highlight w:val="none"/>
          <w:shd w:val="clear" w:color="auto" w:fill="auto"/>
        </w:rPr>
        <w:t>为准</w:t>
      </w:r>
      <w:r>
        <w:rPr>
          <w:rFonts w:hint="eastAsia" w:ascii="宋体" w:hAnsi="宋体"/>
          <w:bCs/>
          <w:color w:val="auto"/>
          <w:sz w:val="24"/>
          <w:szCs w:val="24"/>
          <w:highlight w:val="none"/>
          <w:shd w:val="clear" w:color="auto" w:fill="auto"/>
        </w:rPr>
        <w:t>；</w:t>
      </w:r>
    </w:p>
    <w:p>
      <w:pPr>
        <w:numPr>
          <w:ilvl w:val="2"/>
          <w:numId w:val="26"/>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总价金额与按单价计算的总金额不一致的，以单价计算的总金额为准。除非单价有明显的小数点错误，此时应以合价金额为准，调整单价</w:t>
      </w:r>
      <w:r>
        <w:rPr>
          <w:rFonts w:hint="eastAsia" w:ascii="宋体" w:hAnsi="宋体"/>
          <w:color w:val="auto"/>
          <w:sz w:val="24"/>
          <w:szCs w:val="24"/>
          <w:highlight w:val="none"/>
          <w:shd w:val="clear" w:color="auto" w:fill="auto"/>
        </w:rPr>
        <w:t>。</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按照本规定的调整方法确定的调整后报价，须取得</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人同意并书面签字确认。如果</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人拒不接受调整方法以及调整后的报价的，其</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将被拒绝。</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中选</w:t>
      </w:r>
      <w:r>
        <w:rPr>
          <w:rFonts w:ascii="宋体" w:hAnsi="宋体"/>
          <w:color w:val="auto"/>
          <w:sz w:val="24"/>
          <w:szCs w:val="24"/>
          <w:highlight w:val="none"/>
          <w:shd w:val="clear" w:color="auto" w:fill="auto"/>
        </w:rPr>
        <w:t>人的</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报价是按照本节规定进行了调整的，其中</w:t>
      </w:r>
      <w:r>
        <w:rPr>
          <w:rFonts w:hint="eastAsia" w:ascii="宋体" w:hAnsi="宋体"/>
          <w:color w:val="auto"/>
          <w:sz w:val="24"/>
          <w:szCs w:val="24"/>
          <w:highlight w:val="none"/>
          <w:shd w:val="clear" w:color="auto" w:fill="auto"/>
        </w:rPr>
        <w:t>选</w:t>
      </w:r>
      <w:r>
        <w:rPr>
          <w:rFonts w:ascii="宋体" w:hAnsi="宋体"/>
          <w:color w:val="auto"/>
          <w:sz w:val="24"/>
          <w:szCs w:val="24"/>
          <w:highlight w:val="none"/>
          <w:shd w:val="clear" w:color="auto" w:fill="auto"/>
        </w:rPr>
        <w:t>价按就低不就高的原则确定。如果</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人拒不接受的，其</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将被拒绝。</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人的</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报价的总价小于调整后的报价，中标价即为投标人的</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报价的总价；</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报价的总价大于调整后的报价，中</w:t>
      </w:r>
      <w:r>
        <w:rPr>
          <w:rFonts w:hint="eastAsia" w:ascii="宋体" w:hAnsi="宋体"/>
          <w:color w:val="auto"/>
          <w:sz w:val="24"/>
          <w:szCs w:val="24"/>
          <w:highlight w:val="none"/>
          <w:shd w:val="clear" w:color="auto" w:fill="auto"/>
        </w:rPr>
        <w:t>选</w:t>
      </w:r>
      <w:r>
        <w:rPr>
          <w:rFonts w:ascii="宋体" w:hAnsi="宋体"/>
          <w:color w:val="auto"/>
          <w:sz w:val="24"/>
          <w:szCs w:val="24"/>
          <w:highlight w:val="none"/>
          <w:shd w:val="clear" w:color="auto" w:fill="auto"/>
        </w:rPr>
        <w:t>价仍为</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人的</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报价的总价，调整后的报价与</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报价的总价之间的差值部分则计入暂列金额。</w:t>
      </w:r>
    </w:p>
    <w:p>
      <w:pPr>
        <w:numPr>
          <w:ilvl w:val="0"/>
          <w:numId w:val="26"/>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color w:val="auto"/>
          <w:sz w:val="24"/>
          <w:szCs w:val="24"/>
          <w:highlight w:val="none"/>
          <w:shd w:val="clear" w:color="auto" w:fill="auto"/>
        </w:rPr>
        <w:t>商务标初步审查后，评标委员会按照商务标计算公式，完成商务标分数计算。</w:t>
      </w:r>
    </w:p>
    <w:p>
      <w:pPr>
        <w:numPr>
          <w:ilvl w:val="0"/>
          <w:numId w:val="26"/>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若各参选人的报价，如出现税率不一致的情况，则以不含税总价作为参选人的报价进行商务标分数计算；若税率一致，则以含税总价作为参选人的报价进行商务标分数计算。</w:t>
      </w:r>
    </w:p>
    <w:p>
      <w:pPr>
        <w:numPr>
          <w:ilvl w:val="0"/>
          <w:numId w:val="26"/>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其他情况均按照价格审核计算后，以不利于参选人的原则予以调整。</w:t>
      </w:r>
    </w:p>
    <w:p>
      <w:pPr>
        <w:numPr>
          <w:ilvl w:val="0"/>
          <w:numId w:val="24"/>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汇总完成后，评委按照参选人的最终得分值由高到低排列名次，推荐排名第一的参选人为中选候选人。若最终得分相同的，以技术标得分高者排在先；若技术标得分相同的（以保留小数点后两位且四舍五入为准），以商务标报价低者排在先；若报价相同的，以抽签的形式确定中选候选人。最终，评标委员会推荐一名中选候选人，并形成评标报告。</w:t>
      </w:r>
    </w:p>
    <w:p>
      <w:pPr>
        <w:pStyle w:val="19"/>
        <w:tabs>
          <w:tab w:val="left" w:pos="2460"/>
        </w:tabs>
        <w:adjustRightInd w:val="0"/>
        <w:snapToGrid w:val="0"/>
        <w:ind w:left="0" w:leftChars="0" w:firstLine="480" w:firstLineChars="200"/>
        <w:jc w:val="left"/>
        <w:rPr>
          <w:rFonts w:ascii="宋体" w:hAnsi="宋体"/>
          <w:color w:val="auto"/>
          <w:kern w:val="2"/>
          <w:sz w:val="24"/>
          <w:szCs w:val="24"/>
          <w:highlight w:val="none"/>
          <w:shd w:val="clear" w:color="auto" w:fill="auto"/>
        </w:rPr>
      </w:pPr>
    </w:p>
    <w:p>
      <w:pPr>
        <w:pStyle w:val="5"/>
        <w:numPr>
          <w:ilvl w:val="2"/>
          <w:numId w:val="0"/>
        </w:numPr>
        <w:tabs>
          <w:tab w:val="left" w:pos="851"/>
          <w:tab w:val="clear" w:pos="1260"/>
        </w:tabs>
        <w:spacing w:before="0" w:after="0" w:line="360" w:lineRule="auto"/>
        <w:ind w:left="-420" w:leftChars="-200" w:firstLine="839"/>
        <w:rPr>
          <w:rFonts w:ascii="宋体" w:hAnsi="宋体"/>
          <w:bCs/>
          <w:color w:val="auto"/>
          <w:sz w:val="24"/>
          <w:highlight w:val="none"/>
          <w:shd w:val="clear" w:color="auto" w:fill="auto"/>
        </w:rPr>
      </w:pPr>
      <w:bookmarkStart w:id="67" w:name="_Toc9964"/>
      <w:r>
        <w:rPr>
          <w:rFonts w:hint="eastAsia" w:ascii="宋体" w:hAnsi="宋体"/>
          <w:bCs/>
          <w:color w:val="auto"/>
          <w:sz w:val="24"/>
          <w:highlight w:val="none"/>
          <w:shd w:val="clear" w:color="auto" w:fill="auto"/>
        </w:rPr>
        <w:t>四、评审标准</w:t>
      </w:r>
      <w:bookmarkEnd w:id="67"/>
    </w:p>
    <w:p>
      <w:pPr>
        <w:spacing w:line="360" w:lineRule="auto"/>
        <w:ind w:firstLine="480" w:firstLineChars="200"/>
        <w:rPr>
          <w:rFonts w:ascii="宋体" w:hAnsi="宋体"/>
          <w:color w:val="auto"/>
          <w:sz w:val="24"/>
          <w:szCs w:val="24"/>
          <w:highlight w:val="none"/>
          <w:shd w:val="clear" w:color="auto" w:fill="auto"/>
        </w:rPr>
      </w:pPr>
      <w:r>
        <w:rPr>
          <w:rFonts w:hint="eastAsia" w:ascii="宋体" w:hAnsi="宋体" w:cs="Arial"/>
          <w:snapToGrid w:val="0"/>
          <w:color w:val="auto"/>
          <w:kern w:val="0"/>
          <w:sz w:val="24"/>
          <w:szCs w:val="24"/>
          <w:highlight w:val="none"/>
          <w:shd w:val="clear" w:color="auto" w:fill="auto"/>
        </w:rPr>
        <w:t>技术标及商务标初步评审及详细标准详见附件</w:t>
      </w:r>
      <w:r>
        <w:rPr>
          <w:rFonts w:hint="eastAsia" w:ascii="宋体" w:hAnsi="宋体"/>
          <w:color w:val="auto"/>
          <w:sz w:val="24"/>
          <w:szCs w:val="24"/>
          <w:highlight w:val="none"/>
          <w:shd w:val="clear" w:color="auto" w:fill="auto"/>
        </w:rPr>
        <w:t>。</w:t>
      </w:r>
    </w:p>
    <w:p>
      <w:pPr>
        <w:pStyle w:val="5"/>
        <w:numPr>
          <w:ilvl w:val="2"/>
          <w:numId w:val="0"/>
        </w:numPr>
        <w:tabs>
          <w:tab w:val="left" w:pos="851"/>
          <w:tab w:val="clear" w:pos="1260"/>
        </w:tabs>
        <w:spacing w:before="0" w:after="0" w:line="360" w:lineRule="auto"/>
        <w:ind w:left="-420" w:leftChars="-200" w:firstLine="839"/>
        <w:rPr>
          <w:rFonts w:ascii="宋体" w:hAnsi="宋体"/>
          <w:bCs/>
          <w:color w:val="auto"/>
          <w:sz w:val="24"/>
          <w:highlight w:val="none"/>
          <w:shd w:val="clear" w:color="auto" w:fill="auto"/>
        </w:rPr>
      </w:pPr>
      <w:bookmarkStart w:id="68" w:name="_Toc28321"/>
      <w:r>
        <w:rPr>
          <w:rFonts w:hint="eastAsia" w:ascii="宋体" w:hAnsi="宋体"/>
          <w:bCs/>
          <w:color w:val="auto"/>
          <w:sz w:val="24"/>
          <w:highlight w:val="none"/>
          <w:shd w:val="clear" w:color="auto" w:fill="auto"/>
        </w:rPr>
        <w:t>五、中选价确定原则</w:t>
      </w:r>
      <w:bookmarkEnd w:id="68"/>
    </w:p>
    <w:p>
      <w:pPr>
        <w:spacing w:line="360" w:lineRule="auto"/>
        <w:rPr>
          <w:color w:val="auto"/>
          <w:sz w:val="24"/>
          <w:szCs w:val="24"/>
          <w:highlight w:val="none"/>
          <w:shd w:val="clear" w:color="auto" w:fill="auto"/>
        </w:rPr>
      </w:pPr>
      <w:r>
        <w:rPr>
          <w:rFonts w:hint="eastAsia"/>
          <w:color w:val="auto"/>
          <w:highlight w:val="none"/>
          <w:shd w:val="clear" w:color="auto" w:fill="auto"/>
        </w:rPr>
        <w:t xml:space="preserve">   </w:t>
      </w:r>
      <w:r>
        <w:rPr>
          <w:rFonts w:hint="eastAsia"/>
          <w:color w:val="auto"/>
          <w:sz w:val="24"/>
          <w:szCs w:val="24"/>
          <w:highlight w:val="none"/>
          <w:shd w:val="clear" w:color="auto" w:fill="auto"/>
        </w:rPr>
        <w:t xml:space="preserve"> 中选人针对相应包的总报价即为中选价及各项目内细项价格即为相应项的中选价。</w:t>
      </w:r>
    </w:p>
    <w:p>
      <w:pPr>
        <w:pStyle w:val="5"/>
        <w:numPr>
          <w:ilvl w:val="2"/>
          <w:numId w:val="0"/>
        </w:numPr>
        <w:tabs>
          <w:tab w:val="left" w:pos="851"/>
          <w:tab w:val="clear" w:pos="1260"/>
        </w:tabs>
        <w:spacing w:before="0" w:after="0" w:line="360" w:lineRule="auto"/>
        <w:ind w:left="-420" w:leftChars="-200" w:firstLine="839"/>
        <w:rPr>
          <w:rFonts w:ascii="宋体" w:hAnsi="宋体"/>
          <w:bCs/>
          <w:color w:val="auto"/>
          <w:sz w:val="24"/>
          <w:highlight w:val="none"/>
          <w:shd w:val="clear" w:color="auto" w:fill="auto"/>
        </w:rPr>
      </w:pPr>
      <w:bookmarkStart w:id="69" w:name="_Toc17861"/>
      <w:r>
        <w:rPr>
          <w:rFonts w:hint="eastAsia" w:ascii="宋体" w:hAnsi="宋体"/>
          <w:bCs/>
          <w:color w:val="auto"/>
          <w:sz w:val="24"/>
          <w:highlight w:val="none"/>
          <w:shd w:val="clear" w:color="auto" w:fill="auto"/>
        </w:rPr>
        <w:t>六、定标</w:t>
      </w:r>
      <w:bookmarkEnd w:id="69"/>
    </w:p>
    <w:p>
      <w:pPr>
        <w:adjustRightInd w:val="0"/>
        <w:snapToGrid w:val="0"/>
        <w:spacing w:line="360" w:lineRule="auto"/>
        <w:ind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比选人在评标工作结束后，将根据评标委员会提交的评标报告，对推荐的中选候选人进行参选文件审核，确定中选人。</w:t>
      </w:r>
    </w:p>
    <w:p>
      <w:pPr>
        <w:pStyle w:val="5"/>
        <w:numPr>
          <w:ilvl w:val="2"/>
          <w:numId w:val="0"/>
        </w:numPr>
        <w:tabs>
          <w:tab w:val="left" w:pos="851"/>
          <w:tab w:val="clear" w:pos="1260"/>
        </w:tabs>
        <w:spacing w:before="0" w:after="0" w:line="360" w:lineRule="auto"/>
        <w:ind w:left="-420" w:leftChars="-200" w:firstLine="839"/>
        <w:rPr>
          <w:rFonts w:ascii="宋体" w:hAnsi="宋体"/>
          <w:bCs/>
          <w:color w:val="auto"/>
          <w:sz w:val="24"/>
          <w:highlight w:val="none"/>
          <w:shd w:val="clear" w:color="auto" w:fill="auto"/>
        </w:rPr>
      </w:pPr>
      <w:bookmarkStart w:id="70" w:name="_Toc27781"/>
      <w:r>
        <w:rPr>
          <w:rFonts w:hint="eastAsia" w:ascii="宋体" w:hAnsi="宋体"/>
          <w:bCs/>
          <w:color w:val="auto"/>
          <w:sz w:val="24"/>
          <w:highlight w:val="none"/>
          <w:shd w:val="clear" w:color="auto" w:fill="auto"/>
        </w:rPr>
        <w:t>七</w:t>
      </w:r>
      <w:r>
        <w:rPr>
          <w:rFonts w:ascii="宋体" w:hAnsi="宋体"/>
          <w:bCs/>
          <w:color w:val="auto"/>
          <w:sz w:val="24"/>
          <w:highlight w:val="none"/>
          <w:shd w:val="clear" w:color="auto" w:fill="auto"/>
        </w:rPr>
        <w:t>、</w:t>
      </w:r>
      <w:r>
        <w:rPr>
          <w:rFonts w:hint="eastAsia" w:ascii="宋体" w:hAnsi="宋体"/>
          <w:bCs/>
          <w:color w:val="auto"/>
          <w:sz w:val="24"/>
          <w:highlight w:val="none"/>
          <w:shd w:val="clear" w:color="auto" w:fill="auto"/>
        </w:rPr>
        <w:t>评标守则</w:t>
      </w:r>
      <w:bookmarkEnd w:id="70"/>
    </w:p>
    <w:p>
      <w:pPr>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（一）必须遵守评定标纪律，不得泄密；</w:t>
      </w:r>
    </w:p>
    <w:p>
      <w:pPr>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（二）必须公正、公平，不得徇私；</w:t>
      </w:r>
    </w:p>
    <w:p>
      <w:pPr>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（三）必须科学严谨，不得草率马虎；</w:t>
      </w:r>
    </w:p>
    <w:p>
      <w:pPr>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（四）必须客观，不得带有成见；</w:t>
      </w:r>
    </w:p>
    <w:p>
      <w:pPr>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（五）必须平等，不得强加于人。</w:t>
      </w:r>
      <w:bookmarkStart w:id="71" w:name="_Toc399494430"/>
      <w:bookmarkStart w:id="72" w:name="_Toc5323"/>
      <w:bookmarkStart w:id="73" w:name="_Toc17781"/>
      <w:bookmarkStart w:id="74" w:name="_Toc16508"/>
    </w:p>
    <w:p>
      <w:pPr>
        <w:spacing w:line="360" w:lineRule="auto"/>
        <w:ind w:firstLine="600" w:firstLineChars="249"/>
        <w:rPr>
          <w:rFonts w:ascii="宋体" w:hAnsi="宋体"/>
          <w:b/>
          <w:bCs/>
          <w:color w:val="auto"/>
          <w:sz w:val="28"/>
          <w:szCs w:val="21"/>
          <w:highlight w:val="none"/>
          <w:shd w:val="clear" w:color="auto" w:fill="auto"/>
        </w:rPr>
      </w:pPr>
      <w:r>
        <w:rPr>
          <w:rFonts w:hint="eastAsia" w:ascii="宋体" w:hAnsi="宋体"/>
          <w:b/>
          <w:bCs/>
          <w:color w:val="auto"/>
          <w:sz w:val="24"/>
          <w:highlight w:val="none"/>
          <w:shd w:val="clear" w:color="auto" w:fill="auto"/>
        </w:rPr>
        <w:t>所有与比选评标活动有关的人员必须遵守国家、地方政府制定的法律、法规和</w:t>
      </w:r>
      <w:bookmarkEnd w:id="4"/>
      <w:bookmarkEnd w:id="5"/>
      <w:bookmarkEnd w:id="6"/>
      <w:r>
        <w:rPr>
          <w:rFonts w:hint="eastAsia" w:ascii="宋体" w:hAnsi="宋体"/>
          <w:b/>
          <w:bCs/>
          <w:color w:val="auto"/>
          <w:sz w:val="24"/>
          <w:highlight w:val="none"/>
          <w:shd w:val="clear" w:color="auto" w:fill="auto"/>
        </w:rPr>
        <w:t>市建设行政主管部门的相关规定，遵守保密制度；如有违犯，将按有关规定给予行政处分；情节严重、构成犯罪的，交由司</w:t>
      </w:r>
      <w:bookmarkEnd w:id="58"/>
      <w:r>
        <w:rPr>
          <w:rFonts w:hint="eastAsia" w:ascii="宋体" w:hAnsi="宋体"/>
          <w:b/>
          <w:bCs/>
          <w:color w:val="auto"/>
          <w:sz w:val="24"/>
          <w:highlight w:val="none"/>
          <w:shd w:val="clear" w:color="auto" w:fill="auto"/>
        </w:rPr>
        <w:t>法机关依法追究其法律。</w:t>
      </w:r>
      <w:r>
        <w:rPr>
          <w:rFonts w:ascii="宋体" w:hAnsi="宋体"/>
          <w:bCs/>
          <w:color w:val="auto"/>
          <w:sz w:val="24"/>
          <w:highlight w:val="none"/>
          <w:shd w:val="clear" w:color="auto" w:fill="auto"/>
        </w:rPr>
        <w:br w:type="page"/>
      </w:r>
      <w:bookmarkStart w:id="75" w:name="_Toc399494431"/>
      <w:r>
        <w:rPr>
          <w:rFonts w:hint="eastAsia" w:ascii="宋体" w:hAnsi="宋体"/>
          <w:b/>
          <w:color w:val="auto"/>
          <w:sz w:val="28"/>
          <w:szCs w:val="21"/>
          <w:highlight w:val="none"/>
          <w:shd w:val="clear" w:color="auto" w:fill="auto"/>
        </w:rPr>
        <w:t>附表1：</w:t>
      </w:r>
      <w:bookmarkEnd w:id="71"/>
      <w:bookmarkEnd w:id="72"/>
      <w:bookmarkEnd w:id="73"/>
      <w:bookmarkEnd w:id="74"/>
      <w:bookmarkEnd w:id="75"/>
      <w:r>
        <w:rPr>
          <w:rFonts w:hint="eastAsia" w:ascii="宋体" w:hAnsi="宋体"/>
          <w:b/>
          <w:bCs/>
          <w:color w:val="auto"/>
          <w:sz w:val="28"/>
          <w:szCs w:val="21"/>
          <w:highlight w:val="none"/>
          <w:shd w:val="clear" w:color="auto" w:fill="auto"/>
        </w:rPr>
        <w:t>参选人签到表</w:t>
      </w:r>
    </w:p>
    <w:p>
      <w:pPr>
        <w:spacing w:line="480" w:lineRule="atLeast"/>
        <w:jc w:val="center"/>
        <w:rPr>
          <w:rFonts w:ascii="宋体" w:hAnsi="宋体" w:cs="宋体"/>
          <w:b/>
          <w:bCs/>
          <w:color w:val="auto"/>
          <w:kern w:val="0"/>
          <w:sz w:val="32"/>
          <w:szCs w:val="32"/>
          <w:highlight w:val="none"/>
          <w:shd w:val="clear" w:color="auto" w:fill="auto"/>
        </w:rPr>
      </w:pPr>
      <w:r>
        <w:rPr>
          <w:rFonts w:hint="eastAsia" w:ascii="宋体" w:hAnsi="宋体" w:cs="宋体"/>
          <w:b/>
          <w:bCs/>
          <w:color w:val="auto"/>
          <w:kern w:val="0"/>
          <w:sz w:val="32"/>
          <w:szCs w:val="32"/>
          <w:highlight w:val="none"/>
          <w:shd w:val="clear" w:color="auto" w:fill="auto"/>
        </w:rPr>
        <w:t>参选人签到表</w:t>
      </w:r>
    </w:p>
    <w:p>
      <w:pPr>
        <w:spacing w:after="120" w:afterLines="50" w:line="480" w:lineRule="atLeast"/>
        <w:jc w:val="right"/>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日期：       年      月     日</w:t>
      </w:r>
    </w:p>
    <w:tbl>
      <w:tblPr>
        <w:tblStyle w:val="48"/>
        <w:tblW w:w="9406" w:type="dxa"/>
        <w:jc w:val="center"/>
        <w:tblLayout w:type="fixed"/>
        <w:tblCellMar>
          <w:top w:w="0" w:type="dxa"/>
          <w:left w:w="0" w:type="dxa"/>
          <w:bottom w:w="0" w:type="dxa"/>
          <w:right w:w="0" w:type="dxa"/>
        </w:tblCellMar>
      </w:tblPr>
      <w:tblGrid>
        <w:gridCol w:w="741"/>
        <w:gridCol w:w="3619"/>
        <w:gridCol w:w="1746"/>
        <w:gridCol w:w="1892"/>
        <w:gridCol w:w="1408"/>
      </w:tblGrid>
      <w:tr>
        <w:tblPrEx>
          <w:tblCellMar>
            <w:top w:w="0" w:type="dxa"/>
            <w:left w:w="0" w:type="dxa"/>
            <w:bottom w:w="0" w:type="dxa"/>
            <w:right w:w="0" w:type="dxa"/>
          </w:tblCellMar>
        </w:tblPrEx>
        <w:trPr>
          <w:trHeight w:val="981"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b/>
                <w:bCs/>
                <w:color w:val="auto"/>
                <w:kern w:val="0"/>
                <w:szCs w:val="24"/>
                <w:highlight w:val="none"/>
                <w:shd w:val="clear" w:color="auto" w:fill="auto"/>
              </w:rPr>
            </w:pPr>
            <w:r>
              <w:rPr>
                <w:rFonts w:hint="eastAsia" w:ascii="宋体" w:hAnsi="宋体" w:cs="Arial"/>
                <w:b/>
                <w:bCs/>
                <w:color w:val="auto"/>
                <w:kern w:val="0"/>
                <w:sz w:val="24"/>
                <w:highlight w:val="none"/>
                <w:shd w:val="clear" w:color="auto" w:fill="auto"/>
              </w:rPr>
              <w:t>序号</w:t>
            </w:r>
          </w:p>
        </w:tc>
        <w:tc>
          <w:tcPr>
            <w:tcW w:w="3619"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auto"/>
                <w:kern w:val="0"/>
                <w:szCs w:val="24"/>
                <w:highlight w:val="none"/>
                <w:shd w:val="clear" w:color="auto" w:fill="auto"/>
              </w:rPr>
            </w:pPr>
            <w:r>
              <w:rPr>
                <w:rFonts w:hint="eastAsia" w:ascii="宋体" w:hAnsi="宋体" w:cs="Arial"/>
                <w:b/>
                <w:bCs/>
                <w:color w:val="auto"/>
                <w:kern w:val="0"/>
                <w:sz w:val="24"/>
                <w:highlight w:val="none"/>
                <w:shd w:val="clear" w:color="auto" w:fill="auto"/>
              </w:rPr>
              <w:t>参选人全称</w:t>
            </w:r>
          </w:p>
        </w:tc>
        <w:tc>
          <w:tcPr>
            <w:tcW w:w="174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auto"/>
                <w:kern w:val="0"/>
                <w:szCs w:val="24"/>
                <w:highlight w:val="none"/>
                <w:shd w:val="clear" w:color="auto" w:fill="auto"/>
              </w:rPr>
            </w:pPr>
            <w:r>
              <w:rPr>
                <w:rFonts w:hint="eastAsia" w:ascii="宋体" w:hAnsi="宋体" w:cs="Arial"/>
                <w:b/>
                <w:bCs/>
                <w:color w:val="auto"/>
                <w:kern w:val="0"/>
                <w:sz w:val="24"/>
                <w:highlight w:val="none"/>
                <w:shd w:val="clear" w:color="auto" w:fill="auto"/>
              </w:rPr>
              <w:t>参选人简称</w:t>
            </w:r>
          </w:p>
        </w:tc>
        <w:tc>
          <w:tcPr>
            <w:tcW w:w="1892"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auto"/>
                <w:kern w:val="0"/>
                <w:szCs w:val="24"/>
                <w:highlight w:val="none"/>
                <w:shd w:val="clear" w:color="auto" w:fill="auto"/>
              </w:rPr>
            </w:pPr>
            <w:r>
              <w:rPr>
                <w:rFonts w:hint="eastAsia" w:ascii="宋体" w:hAnsi="宋体" w:cs="Arial"/>
                <w:b/>
                <w:bCs/>
                <w:color w:val="auto"/>
                <w:kern w:val="0"/>
                <w:sz w:val="24"/>
                <w:highlight w:val="none"/>
                <w:shd w:val="clear" w:color="auto" w:fill="auto"/>
              </w:rPr>
              <w:t>参选人签字</w:t>
            </w:r>
          </w:p>
        </w:tc>
        <w:tc>
          <w:tcPr>
            <w:tcW w:w="140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auto"/>
                <w:kern w:val="0"/>
                <w:highlight w:val="none"/>
                <w:shd w:val="clear" w:color="auto" w:fill="auto"/>
              </w:rPr>
            </w:pPr>
            <w:r>
              <w:rPr>
                <w:rFonts w:hint="eastAsia" w:ascii="宋体" w:hAnsi="宋体" w:cs="Arial"/>
                <w:b/>
                <w:bCs/>
                <w:color w:val="auto"/>
                <w:kern w:val="0"/>
                <w:sz w:val="24"/>
                <w:highlight w:val="none"/>
                <w:shd w:val="clear" w:color="auto" w:fill="auto"/>
              </w:rPr>
              <w:t>备注</w:t>
            </w: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auto"/>
                <w:kern w:val="0"/>
                <w:highlight w:val="none"/>
                <w:shd w:val="clear" w:color="auto" w:fill="auto"/>
              </w:rPr>
            </w:pPr>
            <w:r>
              <w:rPr>
                <w:rFonts w:hint="eastAsia" w:ascii="宋体" w:hAnsi="宋体" w:cs="Arial"/>
                <w:color w:val="auto"/>
                <w:kern w:val="0"/>
                <w:sz w:val="24"/>
                <w:highlight w:val="none"/>
                <w:shd w:val="clear" w:color="auto" w:fill="auto"/>
              </w:rPr>
              <w:t>1</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r>
      <w:tr>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auto"/>
                <w:kern w:val="0"/>
                <w:highlight w:val="none"/>
                <w:shd w:val="clear" w:color="auto" w:fill="auto"/>
              </w:rPr>
            </w:pPr>
            <w:r>
              <w:rPr>
                <w:rFonts w:hint="eastAsia" w:ascii="宋体" w:hAnsi="宋体" w:cs="Arial"/>
                <w:color w:val="auto"/>
                <w:kern w:val="0"/>
                <w:sz w:val="24"/>
                <w:highlight w:val="none"/>
                <w:shd w:val="clear" w:color="auto" w:fill="auto"/>
              </w:rPr>
              <w:t>2</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r>
      <w:tr>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auto"/>
                <w:kern w:val="0"/>
                <w:highlight w:val="none"/>
                <w:shd w:val="clear" w:color="auto" w:fill="auto"/>
              </w:rPr>
            </w:pPr>
            <w:r>
              <w:rPr>
                <w:rFonts w:hint="eastAsia" w:ascii="宋体" w:hAnsi="宋体" w:cs="Arial"/>
                <w:color w:val="auto"/>
                <w:kern w:val="0"/>
                <w:sz w:val="24"/>
                <w:highlight w:val="none"/>
                <w:shd w:val="clear" w:color="auto" w:fill="auto"/>
              </w:rPr>
              <w:t>3</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r>
      <w:tr>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auto"/>
                <w:kern w:val="0"/>
                <w:highlight w:val="none"/>
                <w:shd w:val="clear" w:color="auto" w:fill="auto"/>
              </w:rPr>
            </w:pPr>
            <w:r>
              <w:rPr>
                <w:rFonts w:ascii="宋体" w:hAnsi="宋体" w:cs="Arial"/>
                <w:color w:val="auto"/>
                <w:kern w:val="0"/>
                <w:sz w:val="24"/>
                <w:highlight w:val="none"/>
                <w:shd w:val="clear" w:color="auto" w:fill="auto"/>
              </w:rPr>
              <w:t>4</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auto"/>
                <w:kern w:val="0"/>
                <w:sz w:val="24"/>
                <w:highlight w:val="none"/>
                <w:shd w:val="clear" w:color="auto" w:fill="auto"/>
              </w:rPr>
            </w:pPr>
            <w:r>
              <w:rPr>
                <w:rFonts w:hint="eastAsia" w:ascii="宋体" w:hAnsi="宋体" w:cs="Arial"/>
                <w:color w:val="auto"/>
                <w:kern w:val="0"/>
                <w:sz w:val="24"/>
                <w:highlight w:val="none"/>
                <w:shd w:val="clear" w:color="auto" w:fill="auto"/>
              </w:rPr>
              <w:t>5</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r>
      <w:tr>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auto"/>
                <w:kern w:val="0"/>
                <w:sz w:val="24"/>
                <w:highlight w:val="none"/>
                <w:shd w:val="clear" w:color="auto" w:fill="auto"/>
              </w:rPr>
            </w:pPr>
            <w:r>
              <w:rPr>
                <w:rFonts w:hint="eastAsia" w:ascii="宋体" w:hAnsi="宋体" w:cs="Arial"/>
                <w:color w:val="auto"/>
                <w:kern w:val="0"/>
                <w:sz w:val="24"/>
                <w:highlight w:val="none"/>
                <w:shd w:val="clear" w:color="auto" w:fill="auto"/>
              </w:rPr>
              <w:t>6</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auto"/>
                <w:kern w:val="0"/>
                <w:sz w:val="24"/>
                <w:highlight w:val="none"/>
                <w:shd w:val="clear" w:color="auto" w:fill="auto"/>
              </w:rPr>
            </w:pPr>
            <w:r>
              <w:rPr>
                <w:rFonts w:hint="eastAsia" w:ascii="宋体" w:hAnsi="宋体" w:cs="Arial"/>
                <w:color w:val="auto"/>
                <w:kern w:val="0"/>
                <w:sz w:val="24"/>
                <w:highlight w:val="none"/>
                <w:shd w:val="clear" w:color="auto" w:fill="auto"/>
              </w:rPr>
              <w:t>7</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auto"/>
                <w:kern w:val="0"/>
                <w:sz w:val="24"/>
                <w:highlight w:val="none"/>
                <w:shd w:val="clear" w:color="auto" w:fill="auto"/>
              </w:rPr>
            </w:pPr>
            <w:r>
              <w:rPr>
                <w:rFonts w:hint="eastAsia" w:ascii="宋体" w:hAnsi="宋体" w:cs="Arial"/>
                <w:color w:val="auto"/>
                <w:kern w:val="0"/>
                <w:sz w:val="24"/>
                <w:highlight w:val="none"/>
                <w:shd w:val="clear" w:color="auto" w:fill="auto"/>
              </w:rPr>
              <w:t>8</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r>
      <w:tr>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auto"/>
                <w:kern w:val="0"/>
                <w:sz w:val="24"/>
                <w:highlight w:val="none"/>
                <w:shd w:val="clear" w:color="auto" w:fill="auto"/>
              </w:rPr>
            </w:pPr>
            <w:r>
              <w:rPr>
                <w:rFonts w:hint="eastAsia" w:ascii="宋体" w:hAnsi="宋体" w:cs="Arial"/>
                <w:color w:val="auto"/>
                <w:kern w:val="0"/>
                <w:sz w:val="24"/>
                <w:highlight w:val="none"/>
                <w:shd w:val="clear" w:color="auto" w:fill="auto"/>
              </w:rPr>
              <w:t>9</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auto"/>
                <w:kern w:val="0"/>
                <w:sz w:val="24"/>
                <w:highlight w:val="none"/>
                <w:shd w:val="clear" w:color="auto" w:fill="auto"/>
              </w:rPr>
            </w:pPr>
            <w:r>
              <w:rPr>
                <w:rFonts w:hint="eastAsia" w:ascii="宋体" w:hAnsi="宋体" w:cs="Arial"/>
                <w:color w:val="auto"/>
                <w:kern w:val="0"/>
                <w:sz w:val="24"/>
                <w:highlight w:val="none"/>
                <w:shd w:val="clear" w:color="auto" w:fill="auto"/>
              </w:rPr>
              <w:t>10</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r>
      <w:tr>
        <w:tblPrEx>
          <w:tblCellMar>
            <w:top w:w="0" w:type="dxa"/>
            <w:left w:w="0" w:type="dxa"/>
            <w:bottom w:w="0" w:type="dxa"/>
            <w:right w:w="0" w:type="dxa"/>
          </w:tblCellMar>
        </w:tblPrEx>
        <w:trPr>
          <w:trHeight w:val="3649" w:hRule="atLeast"/>
          <w:jc w:val="center"/>
        </w:trPr>
        <w:tc>
          <w:tcPr>
            <w:tcW w:w="9406" w:type="dxa"/>
            <w:gridSpan w:val="5"/>
            <w:tcBorders>
              <w:top w:val="single" w:color="auto" w:sz="4" w:space="0"/>
              <w:left w:val="single" w:color="auto" w:sz="4" w:space="0"/>
              <w:bottom w:val="single" w:color="auto" w:sz="6" w:space="0"/>
              <w:right w:val="single" w:color="auto" w:sz="4" w:space="0"/>
            </w:tcBorders>
          </w:tcPr>
          <w:p>
            <w:pPr>
              <w:widowControl/>
              <w:spacing w:line="480" w:lineRule="atLeast"/>
              <w:rPr>
                <w:rFonts w:ascii="宋体" w:hAnsi="宋体"/>
                <w:color w:val="auto"/>
                <w:highlight w:val="none"/>
                <w:shd w:val="clear" w:color="auto" w:fill="auto"/>
              </w:rPr>
            </w:pPr>
            <w:r>
              <w:rPr>
                <w:rFonts w:hint="eastAsia" w:ascii="宋体" w:hAnsi="宋体"/>
                <w:color w:val="auto"/>
                <w:sz w:val="24"/>
                <w:highlight w:val="none"/>
                <w:shd w:val="clear" w:color="auto" w:fill="auto"/>
              </w:rPr>
              <w:t>工作</w:t>
            </w:r>
            <w:r>
              <w:rPr>
                <w:rFonts w:ascii="宋体" w:hAnsi="宋体"/>
                <w:color w:val="auto"/>
                <w:sz w:val="24"/>
                <w:highlight w:val="none"/>
                <w:shd w:val="clear" w:color="auto" w:fill="auto"/>
              </w:rPr>
              <w:t>人员</w:t>
            </w:r>
            <w:r>
              <w:rPr>
                <w:rFonts w:hint="eastAsia" w:ascii="宋体" w:hAnsi="宋体"/>
                <w:color w:val="auto"/>
                <w:sz w:val="24"/>
                <w:highlight w:val="none"/>
                <w:shd w:val="clear" w:color="auto" w:fill="auto"/>
              </w:rPr>
              <w:t>(签名)：</w:t>
            </w:r>
          </w:p>
          <w:p>
            <w:pPr>
              <w:widowControl/>
              <w:spacing w:line="480" w:lineRule="atLeast"/>
              <w:rPr>
                <w:rFonts w:ascii="宋体" w:hAnsi="宋体"/>
                <w:color w:val="auto"/>
                <w:highlight w:val="none"/>
                <w:shd w:val="clear" w:color="auto" w:fill="auto"/>
              </w:rPr>
            </w:pPr>
          </w:p>
          <w:p>
            <w:pPr>
              <w:widowControl/>
              <w:spacing w:line="480" w:lineRule="atLeast"/>
              <w:rPr>
                <w:rFonts w:ascii="宋体" w:hAnsi="宋体"/>
                <w:color w:val="auto"/>
                <w:highlight w:val="none"/>
                <w:shd w:val="clear" w:color="auto" w:fill="auto"/>
              </w:rPr>
            </w:pPr>
          </w:p>
          <w:p>
            <w:pPr>
              <w:widowControl/>
              <w:spacing w:line="480" w:lineRule="atLeast"/>
              <w:rPr>
                <w:rFonts w:ascii="宋体" w:hAnsi="宋体"/>
                <w:color w:val="auto"/>
                <w:highlight w:val="none"/>
                <w:shd w:val="clear" w:color="auto" w:fill="auto"/>
              </w:rPr>
            </w:pPr>
            <w:r>
              <w:rPr>
                <w:rFonts w:hint="eastAsia" w:ascii="宋体" w:hAnsi="宋体"/>
                <w:color w:val="auto"/>
                <w:sz w:val="24"/>
                <w:highlight w:val="none"/>
                <w:shd w:val="clear" w:color="auto" w:fill="auto"/>
              </w:rPr>
              <w:t>监督(签名)：</w:t>
            </w:r>
          </w:p>
        </w:tc>
      </w:tr>
    </w:tbl>
    <w:p>
      <w:pPr>
        <w:spacing w:line="480" w:lineRule="atLeast"/>
        <w:jc w:val="left"/>
        <w:rPr>
          <w:rFonts w:ascii="宋体" w:hAnsi="宋体"/>
          <w:b/>
          <w:color w:val="auto"/>
          <w:sz w:val="24"/>
          <w:highlight w:val="none"/>
          <w:shd w:val="clear" w:color="auto" w:fill="auto"/>
        </w:rPr>
        <w:sectPr>
          <w:footerReference r:id="rId3" w:type="default"/>
          <w:pgSz w:w="11907" w:h="16840"/>
          <w:pgMar w:top="1440" w:right="1134" w:bottom="1440" w:left="1440" w:header="720" w:footer="890" w:gutter="0"/>
          <w:cols w:space="720" w:num="1"/>
          <w:docGrid w:linePitch="312" w:charSpace="0"/>
        </w:sectPr>
      </w:pPr>
    </w:p>
    <w:p>
      <w:pPr>
        <w:spacing w:line="480" w:lineRule="atLeast"/>
        <w:jc w:val="left"/>
        <w:rPr>
          <w:rFonts w:ascii="宋体" w:hAnsi="宋体" w:cs="宋体"/>
          <w:b/>
          <w:bCs/>
          <w:color w:val="auto"/>
          <w:kern w:val="0"/>
          <w:sz w:val="28"/>
          <w:szCs w:val="28"/>
          <w:highlight w:val="none"/>
          <w:shd w:val="clear" w:color="auto" w:fill="auto"/>
        </w:rPr>
      </w:pPr>
      <w:r>
        <w:rPr>
          <w:rFonts w:hint="eastAsia" w:ascii="宋体" w:hAnsi="宋体"/>
          <w:b/>
          <w:color w:val="auto"/>
          <w:sz w:val="28"/>
          <w:szCs w:val="21"/>
          <w:highlight w:val="none"/>
          <w:shd w:val="clear" w:color="auto" w:fill="auto"/>
        </w:rPr>
        <w:t>附表2</w:t>
      </w:r>
      <w:r>
        <w:rPr>
          <w:rFonts w:hint="eastAsia" w:ascii="宋体" w:hAnsi="宋体" w:cs="宋体"/>
          <w:b/>
          <w:bCs/>
          <w:color w:val="auto"/>
          <w:kern w:val="0"/>
          <w:sz w:val="36"/>
          <w:szCs w:val="36"/>
          <w:highlight w:val="none"/>
          <w:shd w:val="clear" w:color="auto" w:fill="auto"/>
        </w:rPr>
        <w:t>：</w:t>
      </w:r>
      <w:r>
        <w:rPr>
          <w:rFonts w:hint="eastAsia" w:ascii="宋体" w:hAnsi="宋体" w:cs="宋体"/>
          <w:b/>
          <w:bCs/>
          <w:color w:val="auto"/>
          <w:kern w:val="0"/>
          <w:sz w:val="28"/>
          <w:szCs w:val="28"/>
          <w:highlight w:val="none"/>
          <w:shd w:val="clear" w:color="auto" w:fill="auto"/>
        </w:rPr>
        <w:t>开标记录表</w:t>
      </w:r>
    </w:p>
    <w:p>
      <w:pPr>
        <w:snapToGrid w:val="0"/>
        <w:spacing w:line="480" w:lineRule="atLeast"/>
        <w:jc w:val="center"/>
        <w:rPr>
          <w:rFonts w:ascii="宋体" w:hAnsi="宋体" w:cs="宋体"/>
          <w:b/>
          <w:color w:val="auto"/>
          <w:kern w:val="0"/>
          <w:sz w:val="32"/>
          <w:szCs w:val="28"/>
          <w:highlight w:val="none"/>
          <w:shd w:val="clear" w:color="auto" w:fill="auto"/>
        </w:rPr>
      </w:pPr>
      <w:r>
        <w:rPr>
          <w:rFonts w:hint="eastAsia" w:ascii="宋体" w:hAnsi="宋体" w:cs="宋体"/>
          <w:b/>
          <w:color w:val="auto"/>
          <w:kern w:val="0"/>
          <w:sz w:val="32"/>
          <w:szCs w:val="28"/>
          <w:highlight w:val="none"/>
          <w:shd w:val="clear" w:color="auto" w:fill="auto"/>
        </w:rPr>
        <w:t>开标记录表</w:t>
      </w:r>
    </w:p>
    <w:p>
      <w:pPr>
        <w:spacing w:line="480" w:lineRule="atLeast"/>
        <w:rPr>
          <w:rFonts w:hint="default" w:ascii="宋体" w:hAnsi="宋体" w:cs="宋体"/>
          <w:b/>
          <w:color w:val="auto"/>
          <w:kern w:val="0"/>
          <w:sz w:val="24"/>
          <w:szCs w:val="28"/>
          <w:highlight w:val="none"/>
          <w:shd w:val="clear" w:color="auto" w:fill="auto"/>
          <w:lang w:val="en-US"/>
        </w:rPr>
      </w:pPr>
      <w:r>
        <w:rPr>
          <w:rFonts w:hint="eastAsia" w:ascii="宋体" w:hAnsi="宋体" w:cs="宋体"/>
          <w:b/>
          <w:color w:val="auto"/>
          <w:kern w:val="0"/>
          <w:sz w:val="24"/>
          <w:szCs w:val="28"/>
          <w:highlight w:val="none"/>
          <w:shd w:val="clear" w:color="auto" w:fill="auto"/>
        </w:rPr>
        <w:t>比选项目名称：</w:t>
      </w:r>
      <w:r>
        <w:rPr>
          <w:rFonts w:hint="eastAsia" w:ascii="宋体" w:hAnsi="宋体"/>
          <w:b/>
          <w:color w:val="auto"/>
          <w:sz w:val="24"/>
          <w:szCs w:val="24"/>
          <w:highlight w:val="none"/>
          <w:shd w:val="clear" w:color="auto" w:fill="auto"/>
          <w:lang w:val="en-US" w:eastAsia="zh-CN"/>
        </w:rPr>
        <w:t>深铁置业产品标准化体系发布会项目</w:t>
      </w:r>
    </w:p>
    <w:p>
      <w:pPr>
        <w:pStyle w:val="47"/>
        <w:ind w:left="0" w:leftChars="0" w:firstLine="0" w:firstLineChars="0"/>
        <w:rPr>
          <w:rFonts w:ascii="宋体" w:hAnsi="宋体" w:cs="宋体"/>
          <w:b/>
          <w:color w:val="auto"/>
          <w:kern w:val="0"/>
          <w:sz w:val="24"/>
          <w:szCs w:val="28"/>
          <w:highlight w:val="none"/>
          <w:shd w:val="clear" w:color="auto" w:fill="auto"/>
        </w:rPr>
      </w:pPr>
    </w:p>
    <w:tbl>
      <w:tblPr>
        <w:tblStyle w:val="48"/>
        <w:tblW w:w="14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6"/>
        <w:gridCol w:w="1088"/>
        <w:gridCol w:w="2297"/>
        <w:gridCol w:w="1860"/>
        <w:gridCol w:w="1546"/>
        <w:gridCol w:w="1703"/>
        <w:gridCol w:w="1703"/>
        <w:gridCol w:w="1703"/>
        <w:gridCol w:w="1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7" w:hRule="atLeast"/>
          <w:jc w:val="center"/>
        </w:trPr>
        <w:tc>
          <w:tcPr>
            <w:tcW w:w="566" w:type="dxa"/>
            <w:vMerge w:val="restart"/>
            <w:noWrap w:val="0"/>
            <w:vAlign w:val="center"/>
          </w:tcPr>
          <w:p>
            <w:pPr>
              <w:widowControl/>
              <w:jc w:val="center"/>
              <w:rPr>
                <w:rFonts w:hint="eastAsia" w:ascii="宋体" w:hAnsi="宋体" w:cs="宋体"/>
                <w:b/>
                <w:color w:val="auto"/>
                <w:kern w:val="0"/>
                <w:sz w:val="24"/>
                <w:szCs w:val="24"/>
                <w:highlight w:val="none"/>
                <w:shd w:val="clear" w:color="auto" w:fill="auto"/>
              </w:rPr>
            </w:pPr>
            <w:r>
              <w:rPr>
                <w:rFonts w:hint="eastAsia" w:ascii="宋体" w:hAnsi="宋体" w:cs="宋体"/>
                <w:b/>
                <w:color w:val="auto"/>
                <w:kern w:val="0"/>
                <w:sz w:val="24"/>
                <w:szCs w:val="24"/>
                <w:highlight w:val="none"/>
                <w:shd w:val="clear" w:color="auto" w:fill="auto"/>
              </w:rPr>
              <w:t>序号</w:t>
            </w:r>
          </w:p>
        </w:tc>
        <w:tc>
          <w:tcPr>
            <w:tcW w:w="1088" w:type="dxa"/>
            <w:vMerge w:val="restart"/>
            <w:noWrap w:val="0"/>
            <w:vAlign w:val="center"/>
          </w:tcPr>
          <w:p>
            <w:pPr>
              <w:widowControl/>
              <w:jc w:val="center"/>
              <w:rPr>
                <w:rFonts w:hint="eastAsia" w:ascii="宋体" w:hAnsi="宋体" w:cs="宋体"/>
                <w:b/>
                <w:color w:val="auto"/>
                <w:kern w:val="0"/>
                <w:sz w:val="24"/>
                <w:szCs w:val="24"/>
                <w:highlight w:val="none"/>
                <w:shd w:val="clear" w:color="auto" w:fill="auto"/>
              </w:rPr>
            </w:pPr>
            <w:r>
              <w:rPr>
                <w:rFonts w:hint="eastAsia" w:ascii="宋体" w:hAnsi="宋体" w:cs="宋体"/>
                <w:b/>
                <w:color w:val="auto"/>
                <w:kern w:val="0"/>
                <w:sz w:val="24"/>
                <w:szCs w:val="24"/>
                <w:highlight w:val="none"/>
                <w:shd w:val="clear" w:color="auto" w:fill="auto"/>
              </w:rPr>
              <w:t>分类</w:t>
            </w:r>
          </w:p>
        </w:tc>
        <w:tc>
          <w:tcPr>
            <w:tcW w:w="2297" w:type="dxa"/>
            <w:vMerge w:val="restart"/>
            <w:noWrap w:val="0"/>
            <w:vAlign w:val="center"/>
          </w:tcPr>
          <w:p>
            <w:pPr>
              <w:widowControl/>
              <w:jc w:val="center"/>
              <w:rPr>
                <w:rFonts w:hint="eastAsia" w:ascii="宋体" w:hAnsi="宋体" w:cs="宋体"/>
                <w:b/>
                <w:color w:val="auto"/>
                <w:kern w:val="0"/>
                <w:sz w:val="24"/>
                <w:szCs w:val="24"/>
                <w:highlight w:val="none"/>
                <w:shd w:val="clear" w:color="auto" w:fill="auto"/>
              </w:rPr>
            </w:pPr>
            <w:r>
              <w:rPr>
                <w:rFonts w:hint="eastAsia" w:ascii="宋体" w:hAnsi="宋体" w:cs="宋体"/>
                <w:b/>
                <w:color w:val="auto"/>
                <w:kern w:val="0"/>
                <w:sz w:val="24"/>
                <w:szCs w:val="24"/>
                <w:highlight w:val="none"/>
                <w:shd w:val="clear" w:color="auto" w:fill="auto"/>
              </w:rPr>
              <w:t xml:space="preserve">细项    </w:t>
            </w:r>
          </w:p>
        </w:tc>
        <w:tc>
          <w:tcPr>
            <w:tcW w:w="1860" w:type="dxa"/>
            <w:vMerge w:val="restart"/>
            <w:noWrap w:val="0"/>
            <w:vAlign w:val="center"/>
          </w:tcPr>
          <w:p>
            <w:pPr>
              <w:widowControl/>
              <w:jc w:val="center"/>
              <w:rPr>
                <w:rFonts w:hint="eastAsia" w:ascii="宋体" w:hAnsi="宋体" w:cs="宋体"/>
                <w:b/>
                <w:bCs/>
                <w:color w:val="auto"/>
                <w:kern w:val="0"/>
                <w:sz w:val="22"/>
                <w:szCs w:val="22"/>
                <w:highlight w:val="none"/>
                <w:shd w:val="clear" w:color="auto" w:fill="auto"/>
                <w:lang w:val="en-US" w:eastAsia="zh-CN"/>
              </w:rPr>
            </w:pPr>
            <w:r>
              <w:rPr>
                <w:rFonts w:hint="eastAsia" w:ascii="宋体" w:hAnsi="宋体" w:cs="宋体"/>
                <w:b/>
                <w:bCs/>
                <w:color w:val="auto"/>
                <w:kern w:val="0"/>
                <w:sz w:val="22"/>
                <w:szCs w:val="22"/>
                <w:highlight w:val="none"/>
                <w:shd w:val="clear" w:color="auto" w:fill="auto"/>
                <w:lang w:val="en-US" w:eastAsia="zh-CN"/>
              </w:rPr>
              <w:t>上限价</w:t>
            </w:r>
          </w:p>
          <w:p>
            <w:pPr>
              <w:widowControl/>
              <w:jc w:val="center"/>
              <w:rPr>
                <w:rFonts w:hint="eastAsia" w:ascii="宋体" w:hAnsi="宋体" w:cs="宋体"/>
                <w:color w:val="auto"/>
                <w:kern w:val="0"/>
                <w:szCs w:val="21"/>
                <w:highlight w:val="none"/>
                <w:shd w:val="clear" w:color="auto" w:fill="auto"/>
              </w:rPr>
            </w:pPr>
            <w:r>
              <w:rPr>
                <w:rFonts w:hint="eastAsia" w:ascii="宋体" w:hAnsi="宋体" w:cs="宋体"/>
                <w:b/>
                <w:bCs/>
                <w:color w:val="auto"/>
                <w:kern w:val="0"/>
                <w:sz w:val="22"/>
                <w:szCs w:val="22"/>
                <w:highlight w:val="none"/>
                <w:shd w:val="clear" w:color="auto" w:fill="auto"/>
                <w:lang w:val="en-US" w:eastAsia="zh-CN"/>
              </w:rPr>
              <w:t>含税总价</w:t>
            </w:r>
            <w:r>
              <w:rPr>
                <w:rFonts w:hint="eastAsia" w:ascii="宋体" w:hAnsi="宋体" w:cs="宋体"/>
                <w:b/>
                <w:bCs/>
                <w:color w:val="auto"/>
                <w:kern w:val="0"/>
                <w:sz w:val="22"/>
                <w:szCs w:val="22"/>
                <w:highlight w:val="none"/>
                <w:shd w:val="clear" w:color="auto" w:fill="auto"/>
              </w:rPr>
              <w:t>（万元）</w:t>
            </w:r>
          </w:p>
        </w:tc>
        <w:tc>
          <w:tcPr>
            <w:tcW w:w="8358" w:type="dxa"/>
            <w:gridSpan w:val="5"/>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b/>
                <w:color w:val="auto"/>
                <w:kern w:val="0"/>
                <w:sz w:val="24"/>
                <w:szCs w:val="24"/>
                <w:highlight w:val="none"/>
                <w:shd w:val="clear" w:color="auto" w:fill="auto"/>
              </w:rPr>
              <w:t>参选</w:t>
            </w:r>
            <w:r>
              <w:rPr>
                <w:rFonts w:ascii="宋体" w:hAnsi="宋体" w:cs="宋体"/>
                <w:b/>
                <w:color w:val="auto"/>
                <w:kern w:val="0"/>
                <w:sz w:val="24"/>
                <w:szCs w:val="24"/>
                <w:highlight w:val="none"/>
                <w:shd w:val="clear" w:color="auto" w:fill="auto"/>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7" w:hRule="atLeast"/>
          <w:jc w:val="center"/>
        </w:trPr>
        <w:tc>
          <w:tcPr>
            <w:tcW w:w="566"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1088"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2297"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1860"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546"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7" w:hRule="atLeast"/>
          <w:jc w:val="center"/>
        </w:trPr>
        <w:tc>
          <w:tcPr>
            <w:tcW w:w="566" w:type="dxa"/>
            <w:noWrap w:val="0"/>
            <w:vAlign w:val="center"/>
          </w:tcPr>
          <w:p>
            <w:pPr>
              <w:widowControl/>
              <w:adjustRightInd w:val="0"/>
              <w:snapToGrid w:val="0"/>
              <w:jc w:val="center"/>
              <w:rPr>
                <w:rFonts w:hint="eastAsia"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1</w:t>
            </w:r>
          </w:p>
        </w:tc>
        <w:tc>
          <w:tcPr>
            <w:tcW w:w="3385" w:type="dxa"/>
            <w:gridSpan w:val="2"/>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参选文件在截止时间前递交（电子版）在截止时间前递交</w:t>
            </w:r>
          </w:p>
        </w:tc>
        <w:tc>
          <w:tcPr>
            <w:tcW w:w="1860"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r>
              <w:rPr>
                <w:rFonts w:hint="eastAsia" w:ascii="宋体" w:hAnsi="宋体" w:cs="宋体"/>
                <w:b/>
                <w:bCs/>
                <w:color w:val="auto"/>
                <w:kern w:val="0"/>
                <w:sz w:val="22"/>
                <w:szCs w:val="22"/>
                <w:highlight w:val="none"/>
                <w:shd w:val="clear" w:color="auto" w:fill="auto"/>
              </w:rPr>
              <w:t>——</w:t>
            </w:r>
          </w:p>
        </w:tc>
        <w:tc>
          <w:tcPr>
            <w:tcW w:w="1546"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7" w:hRule="atLeast"/>
          <w:jc w:val="center"/>
        </w:trPr>
        <w:tc>
          <w:tcPr>
            <w:tcW w:w="566" w:type="dxa"/>
            <w:noWrap w:val="0"/>
            <w:vAlign w:val="center"/>
          </w:tcPr>
          <w:p>
            <w:pPr>
              <w:widowControl/>
              <w:adjustRightInd w:val="0"/>
              <w:snapToGrid w:val="0"/>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2</w:t>
            </w:r>
          </w:p>
        </w:tc>
        <w:tc>
          <w:tcPr>
            <w:tcW w:w="1088"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场地租赁</w:t>
            </w:r>
          </w:p>
        </w:tc>
        <w:tc>
          <w:tcPr>
            <w:tcW w:w="2297"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lang w:val="en-US" w:eastAsia="zh-CN"/>
              </w:rPr>
              <w:t>参选报价1-</w:t>
            </w:r>
            <w:r>
              <w:rPr>
                <w:rFonts w:hint="eastAsia" w:ascii="宋体" w:hAnsi="宋体" w:cs="宋体"/>
                <w:color w:val="auto"/>
                <w:kern w:val="0"/>
                <w:szCs w:val="21"/>
                <w:highlight w:val="none"/>
                <w:shd w:val="clear" w:color="auto" w:fill="auto"/>
              </w:rPr>
              <w:t>场地租赁</w:t>
            </w:r>
          </w:p>
        </w:tc>
        <w:tc>
          <w:tcPr>
            <w:tcW w:w="1860"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22.4</w:t>
            </w:r>
          </w:p>
        </w:tc>
        <w:tc>
          <w:tcPr>
            <w:tcW w:w="1546"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7" w:hRule="atLeast"/>
          <w:jc w:val="center"/>
        </w:trPr>
        <w:tc>
          <w:tcPr>
            <w:tcW w:w="566" w:type="dxa"/>
            <w:vMerge w:val="restart"/>
            <w:noWrap w:val="0"/>
            <w:vAlign w:val="center"/>
          </w:tcPr>
          <w:p>
            <w:pPr>
              <w:widowControl/>
              <w:adjustRightInd w:val="0"/>
              <w:snapToGrid w:val="0"/>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3</w:t>
            </w:r>
          </w:p>
        </w:tc>
        <w:tc>
          <w:tcPr>
            <w:tcW w:w="1088" w:type="dxa"/>
            <w:vMerge w:val="restart"/>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活动部分</w:t>
            </w:r>
          </w:p>
        </w:tc>
        <w:tc>
          <w:tcPr>
            <w:tcW w:w="2297"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lang w:val="en-US" w:eastAsia="zh-CN"/>
              </w:rPr>
              <w:t>参选报价2-</w:t>
            </w:r>
            <w:r>
              <w:rPr>
                <w:rFonts w:hint="eastAsia" w:ascii="宋体" w:hAnsi="宋体" w:cs="宋体"/>
                <w:color w:val="auto"/>
                <w:kern w:val="0"/>
                <w:szCs w:val="21"/>
                <w:highlight w:val="none"/>
                <w:shd w:val="clear" w:color="auto" w:fill="auto"/>
              </w:rPr>
              <w:t>KOL邀请</w:t>
            </w:r>
          </w:p>
        </w:tc>
        <w:tc>
          <w:tcPr>
            <w:tcW w:w="1860"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84</w:t>
            </w:r>
          </w:p>
        </w:tc>
        <w:tc>
          <w:tcPr>
            <w:tcW w:w="1546"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66"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1088"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2297"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lang w:val="en-US" w:eastAsia="zh-CN"/>
              </w:rPr>
              <w:t>参选报价3-</w:t>
            </w:r>
            <w:r>
              <w:rPr>
                <w:rFonts w:hint="eastAsia" w:ascii="宋体" w:hAnsi="宋体" w:cs="宋体"/>
                <w:color w:val="auto"/>
                <w:kern w:val="0"/>
                <w:szCs w:val="21"/>
                <w:highlight w:val="none"/>
                <w:shd w:val="clear" w:color="auto" w:fill="auto"/>
              </w:rPr>
              <w:t>活动执行</w:t>
            </w:r>
          </w:p>
        </w:tc>
        <w:tc>
          <w:tcPr>
            <w:tcW w:w="1860"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146</w:t>
            </w:r>
          </w:p>
        </w:tc>
        <w:tc>
          <w:tcPr>
            <w:tcW w:w="1546"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66"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1088"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2297"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小计</w:t>
            </w:r>
          </w:p>
        </w:tc>
        <w:tc>
          <w:tcPr>
            <w:tcW w:w="1860"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230</w:t>
            </w:r>
          </w:p>
        </w:tc>
        <w:tc>
          <w:tcPr>
            <w:tcW w:w="1546"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66"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4</w:t>
            </w:r>
          </w:p>
        </w:tc>
        <w:tc>
          <w:tcPr>
            <w:tcW w:w="1088"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影视片</w:t>
            </w:r>
          </w:p>
        </w:tc>
        <w:tc>
          <w:tcPr>
            <w:tcW w:w="2297"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lang w:val="en-US" w:eastAsia="zh-CN"/>
              </w:rPr>
              <w:t>参选报价4-</w:t>
            </w:r>
            <w:r>
              <w:rPr>
                <w:rFonts w:hint="eastAsia" w:ascii="宋体" w:hAnsi="宋体" w:cs="宋体"/>
                <w:color w:val="auto"/>
                <w:kern w:val="0"/>
                <w:szCs w:val="21"/>
                <w:highlight w:val="none"/>
                <w:shd w:val="clear" w:color="auto" w:fill="auto"/>
              </w:rPr>
              <w:t>影视片</w:t>
            </w:r>
          </w:p>
        </w:tc>
        <w:tc>
          <w:tcPr>
            <w:tcW w:w="1860"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31</w:t>
            </w:r>
          </w:p>
        </w:tc>
        <w:tc>
          <w:tcPr>
            <w:tcW w:w="1546"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66" w:type="dxa"/>
            <w:vMerge w:val="restart"/>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5</w:t>
            </w:r>
          </w:p>
        </w:tc>
        <w:tc>
          <w:tcPr>
            <w:tcW w:w="1088" w:type="dxa"/>
            <w:vMerge w:val="restart"/>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宣传推广</w:t>
            </w:r>
          </w:p>
        </w:tc>
        <w:tc>
          <w:tcPr>
            <w:tcW w:w="2297"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lang w:val="en-US" w:eastAsia="zh-CN"/>
              </w:rPr>
              <w:t>参选报价5-自媒体大V推广</w:t>
            </w:r>
          </w:p>
        </w:tc>
        <w:tc>
          <w:tcPr>
            <w:tcW w:w="1860"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39</w:t>
            </w:r>
          </w:p>
        </w:tc>
        <w:tc>
          <w:tcPr>
            <w:tcW w:w="1546"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66"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088"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2297"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参选报价6-</w:t>
            </w:r>
            <w:r>
              <w:rPr>
                <w:rFonts w:hint="eastAsia"/>
                <w:color w:val="auto"/>
                <w:sz w:val="24"/>
                <w:shd w:val="clear" w:color="auto" w:fill="auto"/>
                <w:lang w:val="en-US" w:eastAsia="zh-CN"/>
              </w:rPr>
              <w:t>原创深度报道及主流媒体通稿、硬广推广</w:t>
            </w:r>
          </w:p>
        </w:tc>
        <w:tc>
          <w:tcPr>
            <w:tcW w:w="1860"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25</w:t>
            </w:r>
          </w:p>
        </w:tc>
        <w:tc>
          <w:tcPr>
            <w:tcW w:w="1546"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7" w:hRule="atLeast"/>
          <w:jc w:val="center"/>
        </w:trPr>
        <w:tc>
          <w:tcPr>
            <w:tcW w:w="566" w:type="dxa"/>
            <w:vMerge w:val="continue"/>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p>
        </w:tc>
        <w:tc>
          <w:tcPr>
            <w:tcW w:w="1088"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2297"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lang w:val="en-US" w:eastAsia="zh-CN"/>
              </w:rPr>
              <w:t>参选报价7-</w:t>
            </w:r>
            <w:r>
              <w:rPr>
                <w:rFonts w:hint="eastAsia" w:ascii="宋体" w:hAnsi="宋体" w:cs="宋体"/>
                <w:color w:val="auto"/>
                <w:kern w:val="0"/>
                <w:szCs w:val="21"/>
                <w:highlight w:val="none"/>
                <w:shd w:val="clear" w:color="auto" w:fill="auto"/>
              </w:rPr>
              <w:t>关于TOD综合开发模式研究</w:t>
            </w:r>
          </w:p>
        </w:tc>
        <w:tc>
          <w:tcPr>
            <w:tcW w:w="1860"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30</w:t>
            </w:r>
          </w:p>
        </w:tc>
        <w:tc>
          <w:tcPr>
            <w:tcW w:w="1546"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66"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1088"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2297"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小计</w:t>
            </w:r>
          </w:p>
        </w:tc>
        <w:tc>
          <w:tcPr>
            <w:tcW w:w="1860"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94</w:t>
            </w:r>
          </w:p>
        </w:tc>
        <w:tc>
          <w:tcPr>
            <w:tcW w:w="1546"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951" w:type="dxa"/>
            <w:gridSpan w:val="3"/>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bCs/>
                <w:color w:val="auto"/>
                <w:sz w:val="24"/>
                <w:szCs w:val="24"/>
                <w:highlight w:val="none"/>
                <w:shd w:val="clear" w:color="auto" w:fill="auto"/>
              </w:rPr>
              <w:t>参选报价</w:t>
            </w:r>
            <w:r>
              <w:rPr>
                <w:rFonts w:hint="eastAsia" w:ascii="宋体" w:hAnsi="宋体"/>
                <w:bCs/>
                <w:color w:val="auto"/>
                <w:sz w:val="24"/>
                <w:szCs w:val="24"/>
                <w:highlight w:val="none"/>
                <w:shd w:val="clear" w:color="auto" w:fill="auto"/>
                <w:lang w:val="en-US" w:eastAsia="zh-CN"/>
              </w:rPr>
              <w:t>7</w:t>
            </w:r>
            <w:r>
              <w:rPr>
                <w:rFonts w:hint="eastAsia" w:ascii="宋体" w:hAnsi="宋体"/>
                <w:bCs/>
                <w:color w:val="auto"/>
                <w:sz w:val="24"/>
                <w:szCs w:val="24"/>
                <w:highlight w:val="none"/>
                <w:shd w:val="clear" w:color="auto" w:fill="auto"/>
              </w:rPr>
              <w:t>-参选总报价</w:t>
            </w:r>
          </w:p>
        </w:tc>
        <w:tc>
          <w:tcPr>
            <w:tcW w:w="1860"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377.4</w:t>
            </w:r>
          </w:p>
        </w:tc>
        <w:tc>
          <w:tcPr>
            <w:tcW w:w="1546"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r>
    </w:tbl>
    <w:p>
      <w:pPr>
        <w:tabs>
          <w:tab w:val="left" w:pos="0"/>
        </w:tabs>
        <w:snapToGrid w:val="0"/>
        <w:spacing w:line="480" w:lineRule="atLeast"/>
        <w:rPr>
          <w:rFonts w:ascii="宋体" w:hAnsi="宋体"/>
          <w:color w:val="auto"/>
          <w:sz w:val="24"/>
          <w:szCs w:val="24"/>
          <w:highlight w:val="none"/>
          <w:shd w:val="clear" w:color="auto" w:fill="auto"/>
        </w:rPr>
      </w:pPr>
      <w:r>
        <w:rPr>
          <w:rFonts w:hint="eastAsia" w:ascii="宋体" w:hAnsi="宋体"/>
          <w:b/>
          <w:color w:val="auto"/>
          <w:sz w:val="24"/>
          <w:szCs w:val="24"/>
          <w:highlight w:val="none"/>
          <w:shd w:val="clear" w:color="auto" w:fill="auto"/>
        </w:rPr>
        <w:t>说明：</w:t>
      </w:r>
      <w:r>
        <w:rPr>
          <w:rFonts w:hint="eastAsia" w:ascii="宋体" w:hAnsi="宋体"/>
          <w:color w:val="auto"/>
          <w:sz w:val="24"/>
          <w:szCs w:val="24"/>
          <w:highlight w:val="none"/>
          <w:shd w:val="clear" w:color="auto" w:fill="auto"/>
        </w:rPr>
        <w:t>1、评审通过的用“√”表示，未通过的用“×”表示。结论用“合格”或“不合格”表示。</w:t>
      </w:r>
    </w:p>
    <w:p>
      <w:pPr>
        <w:pStyle w:val="19"/>
        <w:spacing w:line="480" w:lineRule="atLeast"/>
        <w:ind w:left="0" w:leftChars="0" w:firstLine="98" w:firstLineChars="49"/>
        <w:rPr>
          <w:rFonts w:ascii="宋体" w:hAnsi="宋体"/>
          <w:b/>
          <w:color w:val="auto"/>
          <w:highlight w:val="none"/>
          <w:shd w:val="clear" w:color="auto" w:fill="auto"/>
        </w:rPr>
      </w:pPr>
      <w:r>
        <w:rPr>
          <w:rFonts w:hint="eastAsia" w:ascii="宋体" w:hAnsi="宋体"/>
          <w:b/>
          <w:color w:val="auto"/>
          <w:highlight w:val="none"/>
          <w:shd w:val="clear" w:color="auto" w:fill="auto"/>
        </w:rPr>
        <w:t xml:space="preserve">记录人签名： </w:t>
      </w:r>
    </w:p>
    <w:p>
      <w:pPr>
        <w:pStyle w:val="19"/>
        <w:spacing w:line="480" w:lineRule="atLeast"/>
        <w:ind w:left="0" w:leftChars="0" w:firstLine="98" w:firstLineChars="49"/>
        <w:rPr>
          <w:rFonts w:ascii="宋体" w:hAnsi="宋体"/>
          <w:b/>
          <w:color w:val="auto"/>
          <w:highlight w:val="none"/>
          <w:shd w:val="clear" w:color="auto" w:fill="auto"/>
        </w:rPr>
      </w:pPr>
      <w:r>
        <w:rPr>
          <w:rFonts w:hint="eastAsia" w:ascii="宋体" w:hAnsi="宋体"/>
          <w:b/>
          <w:color w:val="auto"/>
          <w:highlight w:val="none"/>
          <w:shd w:val="clear" w:color="auto" w:fill="auto"/>
        </w:rPr>
        <w:t>复核人签名：</w:t>
      </w:r>
    </w:p>
    <w:p>
      <w:pPr>
        <w:pStyle w:val="19"/>
        <w:spacing w:line="480" w:lineRule="atLeast"/>
        <w:ind w:left="0" w:leftChars="0" w:firstLine="98" w:firstLineChars="49"/>
        <w:rPr>
          <w:rFonts w:ascii="宋体" w:hAnsi="宋体"/>
          <w:color w:val="auto"/>
          <w:sz w:val="28"/>
          <w:szCs w:val="28"/>
          <w:highlight w:val="none"/>
          <w:shd w:val="clear" w:color="auto" w:fill="auto"/>
        </w:rPr>
        <w:sectPr>
          <w:pgSz w:w="16840" w:h="11907" w:orient="landscape"/>
          <w:pgMar w:top="1440" w:right="1440" w:bottom="1134" w:left="1440" w:header="720" w:footer="890" w:gutter="0"/>
          <w:cols w:space="720" w:num="1"/>
          <w:docGrid w:linePitch="312" w:charSpace="0"/>
        </w:sectPr>
      </w:pPr>
      <w:r>
        <w:rPr>
          <w:rFonts w:hint="eastAsia" w:ascii="宋体" w:hAnsi="宋体"/>
          <w:b/>
          <w:color w:val="auto"/>
          <w:highlight w:val="none"/>
          <w:shd w:val="clear" w:color="auto" w:fill="auto"/>
        </w:rPr>
        <w:t xml:space="preserve">监督人签名： </w:t>
      </w:r>
      <w:r>
        <w:rPr>
          <w:rFonts w:ascii="宋体" w:hAnsi="宋体"/>
          <w:b/>
          <w:color w:val="auto"/>
          <w:highlight w:val="none"/>
          <w:shd w:val="clear" w:color="auto" w:fill="auto"/>
        </w:rPr>
        <w:t xml:space="preserve">                                                                                                    </w:t>
      </w:r>
      <w:r>
        <w:rPr>
          <w:rFonts w:hint="eastAsia" w:ascii="宋体" w:hAnsi="宋体"/>
          <w:b/>
          <w:color w:val="auto"/>
          <w:szCs w:val="21"/>
          <w:highlight w:val="none"/>
          <w:shd w:val="clear" w:color="auto" w:fill="auto"/>
        </w:rPr>
        <w:t>日期：</w:t>
      </w:r>
      <w:r>
        <w:rPr>
          <w:rFonts w:hint="eastAsia" w:ascii="宋体" w:hAnsi="宋体"/>
          <w:color w:val="auto"/>
          <w:szCs w:val="21"/>
          <w:highlight w:val="none"/>
          <w:shd w:val="clear" w:color="auto" w:fill="auto"/>
        </w:rPr>
        <w:t xml:space="preserve">     年    月    日</w:t>
      </w:r>
    </w:p>
    <w:p>
      <w:pPr>
        <w:spacing w:line="360" w:lineRule="auto"/>
        <w:jc w:val="left"/>
        <w:rPr>
          <w:rFonts w:ascii="宋体" w:hAnsi="宋体" w:cs="宋体"/>
          <w:b/>
          <w:bCs/>
          <w:color w:val="auto"/>
          <w:kern w:val="0"/>
          <w:sz w:val="24"/>
          <w:szCs w:val="24"/>
          <w:highlight w:val="none"/>
          <w:shd w:val="clear" w:color="auto" w:fill="auto"/>
        </w:rPr>
      </w:pPr>
      <w:bookmarkStart w:id="76" w:name="_Toc385992401"/>
      <w:bookmarkStart w:id="77" w:name="_Toc197404928"/>
      <w:bookmarkStart w:id="78" w:name="_Toc486842341"/>
      <w:bookmarkStart w:id="79" w:name="_Toc197850648"/>
      <w:bookmarkStart w:id="80" w:name="_Toc389620241"/>
      <w:bookmarkStart w:id="81" w:name="_Toc497549391"/>
      <w:r>
        <w:rPr>
          <w:rFonts w:hint="eastAsia" w:ascii="宋体" w:hAnsi="宋体" w:cs="宋体"/>
          <w:b/>
          <w:color w:val="auto"/>
          <w:kern w:val="0"/>
          <w:sz w:val="24"/>
          <w:szCs w:val="24"/>
          <w:highlight w:val="none"/>
          <w:shd w:val="clear" w:color="auto" w:fill="auto"/>
        </w:rPr>
        <w:t xml:space="preserve">附表3：技术标初步评审表 </w:t>
      </w:r>
      <w:r>
        <w:rPr>
          <w:rFonts w:hint="eastAsia" w:ascii="宋体" w:hAnsi="宋体" w:cs="宋体"/>
          <w:b/>
          <w:bCs/>
          <w:color w:val="auto"/>
          <w:kern w:val="0"/>
          <w:sz w:val="24"/>
          <w:szCs w:val="24"/>
          <w:highlight w:val="none"/>
          <w:shd w:val="clear" w:color="auto" w:fill="auto"/>
        </w:rPr>
        <w:t xml:space="preserve">            </w:t>
      </w:r>
    </w:p>
    <w:p>
      <w:pPr>
        <w:spacing w:line="360" w:lineRule="auto"/>
        <w:jc w:val="center"/>
        <w:rPr>
          <w:rFonts w:ascii="宋体" w:hAnsi="宋体" w:cs="宋体"/>
          <w:b/>
          <w:bCs/>
          <w:color w:val="auto"/>
          <w:kern w:val="0"/>
          <w:sz w:val="24"/>
          <w:szCs w:val="24"/>
          <w:highlight w:val="none"/>
          <w:shd w:val="clear" w:color="auto" w:fill="auto"/>
        </w:rPr>
      </w:pPr>
      <w:r>
        <w:rPr>
          <w:rFonts w:hint="eastAsia" w:ascii="宋体" w:hAnsi="宋体" w:cs="宋体"/>
          <w:b/>
          <w:bCs/>
          <w:color w:val="auto"/>
          <w:kern w:val="0"/>
          <w:sz w:val="24"/>
          <w:szCs w:val="24"/>
          <w:highlight w:val="none"/>
          <w:shd w:val="clear" w:color="auto" w:fill="auto"/>
        </w:rPr>
        <w:t>技术标初步评审表</w:t>
      </w:r>
    </w:p>
    <w:p>
      <w:pPr>
        <w:spacing w:line="480" w:lineRule="atLeast"/>
        <w:rPr>
          <w:rFonts w:ascii="宋体" w:hAnsi="宋体"/>
          <w:color w:val="auto"/>
          <w:sz w:val="24"/>
          <w:szCs w:val="24"/>
          <w:highlight w:val="none"/>
          <w:shd w:val="clear" w:color="auto" w:fill="auto"/>
        </w:rPr>
      </w:pPr>
      <w:r>
        <w:rPr>
          <w:rFonts w:hint="eastAsia" w:ascii="宋体" w:hAnsi="宋体" w:cs="宋体"/>
          <w:b/>
          <w:color w:val="auto"/>
          <w:kern w:val="0"/>
          <w:sz w:val="24"/>
          <w:szCs w:val="24"/>
          <w:highlight w:val="none"/>
          <w:shd w:val="clear" w:color="auto" w:fill="auto"/>
        </w:rPr>
        <w:t>项目名称：</w:t>
      </w:r>
      <w:r>
        <w:rPr>
          <w:rFonts w:hint="eastAsia" w:ascii="宋体" w:hAnsi="宋体"/>
          <w:b/>
          <w:color w:val="auto"/>
          <w:sz w:val="24"/>
          <w:szCs w:val="24"/>
          <w:highlight w:val="none"/>
          <w:shd w:val="clear" w:color="auto" w:fill="auto"/>
          <w:lang w:val="en-US" w:eastAsia="zh-CN"/>
        </w:rPr>
        <w:t>深铁置业产品标准化体系发布会项目</w:t>
      </w:r>
      <w:r>
        <w:rPr>
          <w:rFonts w:hint="eastAsia" w:ascii="宋体" w:hAnsi="宋体" w:cs="宋体"/>
          <w:b/>
          <w:color w:val="auto"/>
          <w:kern w:val="0"/>
          <w:sz w:val="24"/>
          <w:szCs w:val="24"/>
          <w:highlight w:val="none"/>
          <w:shd w:val="clear" w:color="auto" w:fill="auto"/>
        </w:rPr>
        <w:t xml:space="preserve">                        </w:t>
      </w:r>
    </w:p>
    <w:tbl>
      <w:tblPr>
        <w:tblStyle w:val="48"/>
        <w:tblW w:w="13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55"/>
        <w:gridCol w:w="5726"/>
        <w:gridCol w:w="1220"/>
        <w:gridCol w:w="1275"/>
        <w:gridCol w:w="1276"/>
        <w:gridCol w:w="1276"/>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1255" w:type="dxa"/>
            <w:vMerge w:val="restart"/>
            <w:vAlign w:val="center"/>
          </w:tcPr>
          <w:p>
            <w:pPr>
              <w:spacing w:line="360" w:lineRule="auto"/>
              <w:jc w:val="center"/>
              <w:rPr>
                <w:rFonts w:ascii="宋体" w:hAnsi="宋体"/>
                <w:b/>
                <w:bCs/>
                <w:color w:val="auto"/>
                <w:szCs w:val="21"/>
                <w:highlight w:val="none"/>
                <w:shd w:val="clear" w:color="auto" w:fill="auto"/>
              </w:rPr>
            </w:pPr>
            <w:r>
              <w:rPr>
                <w:rFonts w:hint="eastAsia" w:ascii="宋体" w:hAnsi="宋体"/>
                <w:b/>
                <w:bCs/>
                <w:color w:val="auto"/>
                <w:szCs w:val="21"/>
                <w:highlight w:val="none"/>
                <w:shd w:val="clear" w:color="auto" w:fill="auto"/>
              </w:rPr>
              <w:t>序号</w:t>
            </w:r>
          </w:p>
        </w:tc>
        <w:tc>
          <w:tcPr>
            <w:tcW w:w="5726" w:type="dxa"/>
            <w:vMerge w:val="restart"/>
            <w:tcBorders>
              <w:tl2br w:val="single" w:color="auto" w:sz="4" w:space="0"/>
            </w:tcBorders>
            <w:vAlign w:val="center"/>
          </w:tcPr>
          <w:p>
            <w:pPr>
              <w:spacing w:line="360" w:lineRule="auto"/>
              <w:jc w:val="center"/>
              <w:rPr>
                <w:rFonts w:ascii="宋体" w:hAnsi="宋体"/>
                <w:b/>
                <w:bCs/>
                <w:color w:val="auto"/>
                <w:szCs w:val="21"/>
                <w:highlight w:val="none"/>
                <w:shd w:val="clear" w:color="auto" w:fill="auto"/>
              </w:rPr>
            </w:pPr>
            <w:r>
              <w:rPr>
                <w:rFonts w:hint="eastAsia" w:ascii="宋体" w:hAnsi="宋体"/>
                <w:b/>
                <w:bCs/>
                <w:color w:val="auto"/>
                <w:szCs w:val="21"/>
                <w:highlight w:val="none"/>
                <w:shd w:val="clear" w:color="auto" w:fill="auto"/>
              </w:rPr>
              <w:t>项目名称                       参选人</w:t>
            </w:r>
          </w:p>
        </w:tc>
        <w:tc>
          <w:tcPr>
            <w:tcW w:w="6379" w:type="dxa"/>
            <w:gridSpan w:val="5"/>
            <w:vAlign w:val="bottom"/>
          </w:tcPr>
          <w:p>
            <w:pPr>
              <w:spacing w:line="360" w:lineRule="auto"/>
              <w:jc w:val="center"/>
              <w:rPr>
                <w:rFonts w:ascii="宋体" w:hAnsi="宋体"/>
                <w:b/>
                <w:bCs/>
                <w:color w:val="auto"/>
                <w:szCs w:val="21"/>
                <w:highlight w:val="none"/>
                <w:shd w:val="clear" w:color="auto" w:fill="auto"/>
              </w:rPr>
            </w:pPr>
            <w:r>
              <w:rPr>
                <w:rFonts w:hint="eastAsia" w:ascii="宋体" w:hAnsi="宋体"/>
                <w:b/>
                <w:bCs/>
                <w:color w:val="auto"/>
                <w:szCs w:val="21"/>
                <w:highlight w:val="none"/>
                <w:shd w:val="clear" w:color="auto" w:fill="auto"/>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1255" w:type="dxa"/>
            <w:vMerge w:val="continue"/>
            <w:tcBorders>
              <w:bottom w:val="single" w:color="auto" w:sz="4" w:space="0"/>
            </w:tcBorders>
            <w:vAlign w:val="center"/>
          </w:tcPr>
          <w:p>
            <w:pPr>
              <w:spacing w:line="360" w:lineRule="auto"/>
              <w:jc w:val="center"/>
              <w:rPr>
                <w:rFonts w:ascii="宋体" w:hAnsi="宋体"/>
                <w:b/>
                <w:bCs/>
                <w:color w:val="auto"/>
                <w:szCs w:val="21"/>
                <w:highlight w:val="none"/>
                <w:shd w:val="clear" w:color="auto" w:fill="auto"/>
              </w:rPr>
            </w:pPr>
          </w:p>
        </w:tc>
        <w:tc>
          <w:tcPr>
            <w:tcW w:w="5726" w:type="dxa"/>
            <w:vMerge w:val="continue"/>
            <w:tcBorders>
              <w:bottom w:val="single" w:color="auto" w:sz="4" w:space="0"/>
            </w:tcBorders>
            <w:vAlign w:val="center"/>
          </w:tcPr>
          <w:p>
            <w:pPr>
              <w:spacing w:line="360" w:lineRule="auto"/>
              <w:jc w:val="center"/>
              <w:rPr>
                <w:rFonts w:ascii="宋体" w:hAnsi="宋体"/>
                <w:b/>
                <w:bCs/>
                <w:color w:val="auto"/>
                <w:szCs w:val="21"/>
                <w:highlight w:val="none"/>
                <w:shd w:val="clear" w:color="auto" w:fill="auto"/>
              </w:rPr>
            </w:pPr>
          </w:p>
        </w:tc>
        <w:tc>
          <w:tcPr>
            <w:tcW w:w="1220" w:type="dxa"/>
            <w:vAlign w:val="center"/>
          </w:tcPr>
          <w:p>
            <w:pPr>
              <w:spacing w:line="360" w:lineRule="auto"/>
              <w:jc w:val="center"/>
              <w:rPr>
                <w:rFonts w:ascii="宋体" w:hAnsi="宋体"/>
                <w:color w:val="auto"/>
                <w:szCs w:val="21"/>
                <w:highlight w:val="none"/>
                <w:shd w:val="clear" w:color="auto" w:fill="auto"/>
              </w:rPr>
            </w:pPr>
          </w:p>
        </w:tc>
        <w:tc>
          <w:tcPr>
            <w:tcW w:w="1275" w:type="dxa"/>
          </w:tcPr>
          <w:p>
            <w:pPr>
              <w:spacing w:line="360" w:lineRule="auto"/>
              <w:jc w:val="center"/>
              <w:rPr>
                <w:rFonts w:ascii="宋体" w:hAnsi="宋体"/>
                <w:color w:val="auto"/>
                <w:szCs w:val="21"/>
                <w:highlight w:val="none"/>
                <w:shd w:val="clear" w:color="auto" w:fill="auto"/>
              </w:rPr>
            </w:pPr>
          </w:p>
        </w:tc>
        <w:tc>
          <w:tcPr>
            <w:tcW w:w="1276" w:type="dxa"/>
          </w:tcPr>
          <w:p>
            <w:pPr>
              <w:spacing w:line="360" w:lineRule="auto"/>
              <w:jc w:val="center"/>
              <w:rPr>
                <w:rFonts w:ascii="宋体" w:hAnsi="宋体"/>
                <w:color w:val="auto"/>
                <w:szCs w:val="21"/>
                <w:highlight w:val="none"/>
                <w:shd w:val="clear" w:color="auto" w:fill="auto"/>
              </w:rPr>
            </w:pPr>
          </w:p>
        </w:tc>
        <w:tc>
          <w:tcPr>
            <w:tcW w:w="1276" w:type="dxa"/>
          </w:tcPr>
          <w:p>
            <w:pPr>
              <w:spacing w:line="360" w:lineRule="auto"/>
              <w:jc w:val="center"/>
              <w:rPr>
                <w:rFonts w:ascii="宋体" w:hAnsi="宋体"/>
                <w:color w:val="auto"/>
                <w:szCs w:val="21"/>
                <w:highlight w:val="none"/>
                <w:shd w:val="clear" w:color="auto" w:fill="auto"/>
              </w:rPr>
            </w:pPr>
          </w:p>
        </w:tc>
        <w:tc>
          <w:tcPr>
            <w:tcW w:w="1332" w:type="dxa"/>
          </w:tcPr>
          <w:p>
            <w:pPr>
              <w:spacing w:line="360" w:lineRule="auto"/>
              <w:jc w:val="center"/>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1255" w:type="dxa"/>
            <w:tcBorders>
              <w:bottom w:val="single" w:color="auto" w:sz="4" w:space="0"/>
            </w:tcBorders>
            <w:vAlign w:val="center"/>
          </w:tcPr>
          <w:p>
            <w:pPr>
              <w:spacing w:line="360" w:lineRule="auto"/>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w:t>
            </w:r>
          </w:p>
        </w:tc>
        <w:tc>
          <w:tcPr>
            <w:tcW w:w="5726" w:type="dxa"/>
            <w:tcBorders>
              <w:bottom w:val="single" w:color="auto" w:sz="4" w:space="0"/>
            </w:tcBorders>
            <w:vAlign w:val="center"/>
          </w:tcPr>
          <w:p>
            <w:pP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参选文件按要求加盖参选人公章</w:t>
            </w:r>
          </w:p>
        </w:tc>
        <w:tc>
          <w:tcPr>
            <w:tcW w:w="1220" w:type="dxa"/>
            <w:vAlign w:val="center"/>
          </w:tcPr>
          <w:p>
            <w:pPr>
              <w:jc w:val="center"/>
              <w:rPr>
                <w:rFonts w:ascii="宋体" w:hAnsi="宋体"/>
                <w:color w:val="auto"/>
                <w:szCs w:val="21"/>
                <w:highlight w:val="none"/>
                <w:shd w:val="clear" w:color="auto" w:fill="auto"/>
              </w:rPr>
            </w:pPr>
          </w:p>
        </w:tc>
        <w:tc>
          <w:tcPr>
            <w:tcW w:w="1275" w:type="dxa"/>
          </w:tcPr>
          <w:p>
            <w:pPr>
              <w:jc w:val="center"/>
              <w:rPr>
                <w:rFonts w:ascii="宋体" w:hAnsi="宋体"/>
                <w:color w:val="auto"/>
                <w:szCs w:val="21"/>
                <w:highlight w:val="none"/>
                <w:shd w:val="clear" w:color="auto" w:fill="auto"/>
              </w:rPr>
            </w:pPr>
          </w:p>
        </w:tc>
        <w:tc>
          <w:tcPr>
            <w:tcW w:w="1276" w:type="dxa"/>
          </w:tcPr>
          <w:p>
            <w:pPr>
              <w:jc w:val="center"/>
              <w:rPr>
                <w:rFonts w:ascii="宋体" w:hAnsi="宋体"/>
                <w:color w:val="auto"/>
                <w:szCs w:val="21"/>
                <w:highlight w:val="none"/>
                <w:shd w:val="clear" w:color="auto" w:fill="auto"/>
              </w:rPr>
            </w:pPr>
          </w:p>
        </w:tc>
        <w:tc>
          <w:tcPr>
            <w:tcW w:w="1276" w:type="dxa"/>
          </w:tcPr>
          <w:p>
            <w:pPr>
              <w:jc w:val="center"/>
              <w:rPr>
                <w:rFonts w:ascii="宋体" w:hAnsi="宋体"/>
                <w:color w:val="auto"/>
                <w:szCs w:val="21"/>
                <w:highlight w:val="none"/>
                <w:shd w:val="clear" w:color="auto" w:fill="auto"/>
              </w:rPr>
            </w:pPr>
          </w:p>
        </w:tc>
        <w:tc>
          <w:tcPr>
            <w:tcW w:w="1332" w:type="dxa"/>
          </w:tcPr>
          <w:p>
            <w:pPr>
              <w:jc w:val="center"/>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jc w:val="center"/>
        </w:trPr>
        <w:tc>
          <w:tcPr>
            <w:tcW w:w="12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w:t>
            </w:r>
          </w:p>
        </w:tc>
        <w:tc>
          <w:tcPr>
            <w:tcW w:w="5726"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参选文件经法定代表人或其委托代理人签字或盖章，或由委托代理人签字并随参选文件一起提供“法定代表人授权书”原件</w:t>
            </w:r>
          </w:p>
        </w:tc>
        <w:tc>
          <w:tcPr>
            <w:tcW w:w="1220" w:type="dxa"/>
            <w:tcBorders>
              <w:left w:val="single" w:color="auto" w:sz="4" w:space="0"/>
            </w:tcBorders>
            <w:vAlign w:val="center"/>
          </w:tcPr>
          <w:p>
            <w:pPr>
              <w:jc w:val="center"/>
              <w:rPr>
                <w:rFonts w:ascii="宋体" w:hAnsi="宋体"/>
                <w:color w:val="auto"/>
                <w:szCs w:val="21"/>
                <w:highlight w:val="none"/>
                <w:shd w:val="clear" w:color="auto" w:fill="auto"/>
              </w:rPr>
            </w:pPr>
          </w:p>
        </w:tc>
        <w:tc>
          <w:tcPr>
            <w:tcW w:w="1275" w:type="dxa"/>
          </w:tcPr>
          <w:p>
            <w:pPr>
              <w:jc w:val="center"/>
              <w:rPr>
                <w:rFonts w:ascii="宋体" w:hAnsi="宋体"/>
                <w:color w:val="auto"/>
                <w:szCs w:val="21"/>
                <w:highlight w:val="none"/>
                <w:shd w:val="clear" w:color="auto" w:fill="auto"/>
              </w:rPr>
            </w:pPr>
          </w:p>
        </w:tc>
        <w:tc>
          <w:tcPr>
            <w:tcW w:w="1276" w:type="dxa"/>
          </w:tcPr>
          <w:p>
            <w:pPr>
              <w:jc w:val="center"/>
              <w:rPr>
                <w:rFonts w:ascii="宋体" w:hAnsi="宋体"/>
                <w:color w:val="auto"/>
                <w:szCs w:val="21"/>
                <w:highlight w:val="none"/>
                <w:shd w:val="clear" w:color="auto" w:fill="auto"/>
              </w:rPr>
            </w:pPr>
          </w:p>
        </w:tc>
        <w:tc>
          <w:tcPr>
            <w:tcW w:w="1276" w:type="dxa"/>
          </w:tcPr>
          <w:p>
            <w:pPr>
              <w:jc w:val="center"/>
              <w:rPr>
                <w:rFonts w:ascii="宋体" w:hAnsi="宋体"/>
                <w:color w:val="auto"/>
                <w:szCs w:val="21"/>
                <w:highlight w:val="none"/>
                <w:shd w:val="clear" w:color="auto" w:fill="auto"/>
              </w:rPr>
            </w:pPr>
          </w:p>
        </w:tc>
        <w:tc>
          <w:tcPr>
            <w:tcW w:w="1332" w:type="dxa"/>
          </w:tcPr>
          <w:p>
            <w:pPr>
              <w:jc w:val="center"/>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jc w:val="center"/>
        </w:trPr>
        <w:tc>
          <w:tcPr>
            <w:tcW w:w="12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w:t>
            </w:r>
          </w:p>
        </w:tc>
        <w:tc>
          <w:tcPr>
            <w:tcW w:w="5726"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参选人必须是中华人民共和国境内注册的法人或非法人组织，注册成立时间不得晚于2018年1月1日。</w:t>
            </w:r>
          </w:p>
        </w:tc>
        <w:tc>
          <w:tcPr>
            <w:tcW w:w="1220" w:type="dxa"/>
            <w:tcBorders>
              <w:left w:val="single" w:color="auto" w:sz="4" w:space="0"/>
            </w:tcBorders>
            <w:vAlign w:val="center"/>
          </w:tcPr>
          <w:p>
            <w:pPr>
              <w:jc w:val="center"/>
              <w:rPr>
                <w:rFonts w:ascii="宋体" w:hAnsi="宋体"/>
                <w:color w:val="auto"/>
                <w:szCs w:val="21"/>
                <w:highlight w:val="none"/>
                <w:shd w:val="clear" w:color="auto" w:fill="auto"/>
              </w:rPr>
            </w:pPr>
          </w:p>
        </w:tc>
        <w:tc>
          <w:tcPr>
            <w:tcW w:w="1275" w:type="dxa"/>
          </w:tcPr>
          <w:p>
            <w:pPr>
              <w:jc w:val="center"/>
              <w:rPr>
                <w:rFonts w:ascii="宋体" w:hAnsi="宋体"/>
                <w:color w:val="auto"/>
                <w:szCs w:val="21"/>
                <w:highlight w:val="none"/>
                <w:shd w:val="clear" w:color="auto" w:fill="auto"/>
              </w:rPr>
            </w:pPr>
          </w:p>
        </w:tc>
        <w:tc>
          <w:tcPr>
            <w:tcW w:w="1276" w:type="dxa"/>
          </w:tcPr>
          <w:p>
            <w:pPr>
              <w:jc w:val="center"/>
              <w:rPr>
                <w:rFonts w:ascii="宋体" w:hAnsi="宋体"/>
                <w:color w:val="auto"/>
                <w:szCs w:val="21"/>
                <w:highlight w:val="none"/>
                <w:shd w:val="clear" w:color="auto" w:fill="auto"/>
              </w:rPr>
            </w:pPr>
          </w:p>
        </w:tc>
        <w:tc>
          <w:tcPr>
            <w:tcW w:w="1276" w:type="dxa"/>
          </w:tcPr>
          <w:p>
            <w:pPr>
              <w:jc w:val="center"/>
              <w:rPr>
                <w:rFonts w:ascii="宋体" w:hAnsi="宋体"/>
                <w:color w:val="auto"/>
                <w:szCs w:val="21"/>
                <w:highlight w:val="none"/>
                <w:shd w:val="clear" w:color="auto" w:fill="auto"/>
              </w:rPr>
            </w:pPr>
          </w:p>
        </w:tc>
        <w:tc>
          <w:tcPr>
            <w:tcW w:w="1332" w:type="dxa"/>
          </w:tcPr>
          <w:p>
            <w:pPr>
              <w:jc w:val="center"/>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12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auto"/>
                <w:szCs w:val="21"/>
                <w:highlight w:val="none"/>
                <w:shd w:val="clear" w:color="auto" w:fill="auto"/>
                <w:lang w:eastAsia="zh-CN"/>
              </w:rPr>
            </w:pPr>
            <w:r>
              <w:rPr>
                <w:rFonts w:hint="eastAsia" w:ascii="宋体" w:hAnsi="宋体"/>
                <w:color w:val="auto"/>
                <w:szCs w:val="21"/>
                <w:highlight w:val="none"/>
                <w:shd w:val="clear" w:color="auto" w:fill="auto"/>
                <w:lang w:val="en-US" w:eastAsia="zh-CN"/>
              </w:rPr>
              <w:t>4</w:t>
            </w:r>
          </w:p>
        </w:tc>
        <w:tc>
          <w:tcPr>
            <w:tcW w:w="5726"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auto"/>
                <w:szCs w:val="21"/>
                <w:highlight w:val="none"/>
                <w:shd w:val="clear" w:color="auto" w:fill="auto"/>
              </w:rPr>
            </w:pPr>
            <w:r>
              <w:rPr>
                <w:rFonts w:ascii="宋体" w:hAnsi="宋体"/>
                <w:color w:val="auto"/>
                <w:szCs w:val="21"/>
                <w:highlight w:val="none"/>
                <w:shd w:val="clear" w:color="auto" w:fill="auto"/>
              </w:rPr>
              <w:t>2</w:t>
            </w:r>
            <w:r>
              <w:rPr>
                <w:rFonts w:hint="eastAsia" w:ascii="宋体" w:hAnsi="宋体"/>
                <w:color w:val="auto"/>
                <w:szCs w:val="21"/>
                <w:highlight w:val="none"/>
                <w:shd w:val="clear" w:color="auto" w:fill="auto"/>
              </w:rPr>
              <w:t>019年1月1日至今，服务全国50强或深圳20强房地产开发公司品牌（全国50强排名参考2019年-2021年中指研究院或易居克尔瑞数据，深圳20强排名参考2019-2021年深圳房协数据）在北上广深一线城市的房地产项目营销活动，且活动金额在50万元以上的案例不少于2个。（一场活动算一个案例）</w:t>
            </w:r>
          </w:p>
        </w:tc>
        <w:tc>
          <w:tcPr>
            <w:tcW w:w="1220" w:type="dxa"/>
            <w:tcBorders>
              <w:left w:val="single" w:color="auto" w:sz="4" w:space="0"/>
            </w:tcBorders>
            <w:vAlign w:val="center"/>
          </w:tcPr>
          <w:p>
            <w:pPr>
              <w:jc w:val="center"/>
              <w:rPr>
                <w:rFonts w:ascii="宋体" w:hAnsi="宋体"/>
                <w:color w:val="auto"/>
                <w:szCs w:val="21"/>
                <w:highlight w:val="none"/>
                <w:shd w:val="clear" w:color="auto" w:fill="auto"/>
              </w:rPr>
            </w:pPr>
          </w:p>
        </w:tc>
        <w:tc>
          <w:tcPr>
            <w:tcW w:w="1275" w:type="dxa"/>
          </w:tcPr>
          <w:p>
            <w:pPr>
              <w:jc w:val="center"/>
              <w:rPr>
                <w:rFonts w:ascii="宋体" w:hAnsi="宋体"/>
                <w:color w:val="auto"/>
                <w:szCs w:val="21"/>
                <w:highlight w:val="none"/>
                <w:shd w:val="clear" w:color="auto" w:fill="auto"/>
              </w:rPr>
            </w:pPr>
          </w:p>
        </w:tc>
        <w:tc>
          <w:tcPr>
            <w:tcW w:w="1276" w:type="dxa"/>
          </w:tcPr>
          <w:p>
            <w:pPr>
              <w:jc w:val="center"/>
              <w:rPr>
                <w:rFonts w:ascii="宋体" w:hAnsi="宋体"/>
                <w:color w:val="auto"/>
                <w:szCs w:val="21"/>
                <w:highlight w:val="none"/>
                <w:shd w:val="clear" w:color="auto" w:fill="auto"/>
              </w:rPr>
            </w:pPr>
          </w:p>
        </w:tc>
        <w:tc>
          <w:tcPr>
            <w:tcW w:w="1276" w:type="dxa"/>
          </w:tcPr>
          <w:p>
            <w:pPr>
              <w:jc w:val="center"/>
              <w:rPr>
                <w:rFonts w:ascii="宋体" w:hAnsi="宋体"/>
                <w:color w:val="auto"/>
                <w:szCs w:val="21"/>
                <w:highlight w:val="none"/>
                <w:shd w:val="clear" w:color="auto" w:fill="auto"/>
              </w:rPr>
            </w:pPr>
          </w:p>
        </w:tc>
        <w:tc>
          <w:tcPr>
            <w:tcW w:w="1332" w:type="dxa"/>
          </w:tcPr>
          <w:p>
            <w:pPr>
              <w:jc w:val="center"/>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atLeast"/>
          <w:jc w:val="center"/>
        </w:trPr>
        <w:tc>
          <w:tcPr>
            <w:tcW w:w="6981" w:type="dxa"/>
            <w:gridSpan w:val="2"/>
            <w:tcBorders>
              <w:top w:val="single" w:color="auto" w:sz="4" w:space="0"/>
            </w:tcBorders>
            <w:vAlign w:val="center"/>
          </w:tcPr>
          <w:p>
            <w:pPr>
              <w:spacing w:line="360" w:lineRule="auto"/>
              <w:jc w:val="center"/>
              <w:rPr>
                <w:rFonts w:ascii="宋体" w:hAnsi="宋体"/>
                <w:color w:val="auto"/>
                <w:szCs w:val="21"/>
                <w:highlight w:val="none"/>
                <w:shd w:val="clear" w:color="auto" w:fill="auto"/>
              </w:rPr>
            </w:pPr>
            <w:r>
              <w:rPr>
                <w:rFonts w:hint="eastAsia" w:ascii="宋体" w:hAnsi="宋体"/>
                <w:b/>
                <w:bCs/>
                <w:color w:val="auto"/>
                <w:szCs w:val="21"/>
                <w:highlight w:val="none"/>
                <w:shd w:val="clear" w:color="auto" w:fill="auto"/>
              </w:rPr>
              <w:t>评审结论：</w:t>
            </w:r>
          </w:p>
        </w:tc>
        <w:tc>
          <w:tcPr>
            <w:tcW w:w="1220" w:type="dxa"/>
            <w:vAlign w:val="center"/>
          </w:tcPr>
          <w:p>
            <w:pPr>
              <w:spacing w:line="360" w:lineRule="auto"/>
              <w:jc w:val="center"/>
              <w:rPr>
                <w:rFonts w:ascii="宋体" w:hAnsi="宋体"/>
                <w:color w:val="auto"/>
                <w:szCs w:val="21"/>
                <w:highlight w:val="none"/>
                <w:shd w:val="clear" w:color="auto" w:fill="auto"/>
              </w:rPr>
            </w:pPr>
          </w:p>
        </w:tc>
        <w:tc>
          <w:tcPr>
            <w:tcW w:w="1275" w:type="dxa"/>
          </w:tcPr>
          <w:p>
            <w:pPr>
              <w:spacing w:line="360" w:lineRule="auto"/>
              <w:jc w:val="center"/>
              <w:rPr>
                <w:rFonts w:ascii="宋体" w:hAnsi="宋体"/>
                <w:color w:val="auto"/>
                <w:szCs w:val="21"/>
                <w:highlight w:val="none"/>
                <w:shd w:val="clear" w:color="auto" w:fill="auto"/>
              </w:rPr>
            </w:pPr>
          </w:p>
        </w:tc>
        <w:tc>
          <w:tcPr>
            <w:tcW w:w="1276" w:type="dxa"/>
          </w:tcPr>
          <w:p>
            <w:pPr>
              <w:spacing w:line="360" w:lineRule="auto"/>
              <w:jc w:val="center"/>
              <w:rPr>
                <w:rFonts w:ascii="宋体" w:hAnsi="宋体"/>
                <w:color w:val="auto"/>
                <w:szCs w:val="21"/>
                <w:highlight w:val="none"/>
                <w:shd w:val="clear" w:color="auto" w:fill="auto"/>
              </w:rPr>
            </w:pPr>
          </w:p>
        </w:tc>
        <w:tc>
          <w:tcPr>
            <w:tcW w:w="1276" w:type="dxa"/>
          </w:tcPr>
          <w:p>
            <w:pPr>
              <w:spacing w:line="360" w:lineRule="auto"/>
              <w:jc w:val="center"/>
              <w:rPr>
                <w:rFonts w:ascii="宋体" w:hAnsi="宋体"/>
                <w:color w:val="auto"/>
                <w:szCs w:val="21"/>
                <w:highlight w:val="none"/>
                <w:shd w:val="clear" w:color="auto" w:fill="auto"/>
              </w:rPr>
            </w:pPr>
          </w:p>
        </w:tc>
        <w:tc>
          <w:tcPr>
            <w:tcW w:w="1332" w:type="dxa"/>
          </w:tcPr>
          <w:p>
            <w:pPr>
              <w:spacing w:line="360" w:lineRule="auto"/>
              <w:jc w:val="center"/>
              <w:rPr>
                <w:rFonts w:ascii="宋体" w:hAnsi="宋体"/>
                <w:color w:val="auto"/>
                <w:szCs w:val="21"/>
                <w:highlight w:val="none"/>
                <w:shd w:val="clear" w:color="auto" w:fill="auto"/>
              </w:rPr>
            </w:pPr>
          </w:p>
        </w:tc>
      </w:tr>
    </w:tbl>
    <w:p>
      <w:pPr>
        <w:tabs>
          <w:tab w:val="left" w:pos="0"/>
        </w:tabs>
        <w:snapToGrid w:val="0"/>
        <w:spacing w:line="360" w:lineRule="auto"/>
        <w:ind w:firstLine="422" w:firstLineChars="200"/>
        <w:rPr>
          <w:rFonts w:ascii="宋体" w:hAnsi="宋体"/>
          <w:color w:val="auto"/>
          <w:szCs w:val="21"/>
          <w:highlight w:val="none"/>
          <w:shd w:val="clear" w:color="auto" w:fill="auto"/>
        </w:rPr>
      </w:pPr>
      <w:r>
        <w:rPr>
          <w:rFonts w:hint="eastAsia" w:ascii="宋体" w:hAnsi="宋体"/>
          <w:b/>
          <w:color w:val="auto"/>
          <w:szCs w:val="21"/>
          <w:highlight w:val="none"/>
          <w:shd w:val="clear" w:color="auto" w:fill="auto"/>
        </w:rPr>
        <w:t>说明：</w:t>
      </w:r>
      <w:r>
        <w:rPr>
          <w:rFonts w:hint="eastAsia" w:ascii="宋体" w:hAnsi="宋体"/>
          <w:color w:val="auto"/>
          <w:szCs w:val="21"/>
          <w:highlight w:val="none"/>
          <w:shd w:val="clear" w:color="auto" w:fill="auto"/>
        </w:rPr>
        <w:t>1、评审通过的用“√”表示，未通过的用“×”表示。结论用“合格”或“不合格”表示。</w:t>
      </w:r>
    </w:p>
    <w:p>
      <w:pPr>
        <w:tabs>
          <w:tab w:val="left" w:pos="0"/>
        </w:tabs>
        <w:snapToGrid w:val="0"/>
        <w:spacing w:line="360" w:lineRule="auto"/>
        <w:ind w:firstLine="1050" w:firstLineChars="500"/>
        <w:rPr>
          <w:rFonts w:ascii="宋体" w:hAnsi="宋体"/>
          <w:color w:val="auto"/>
          <w:sz w:val="24"/>
          <w:szCs w:val="24"/>
          <w:highlight w:val="none"/>
          <w:shd w:val="clear" w:color="auto" w:fill="auto"/>
        </w:rPr>
      </w:pPr>
      <w:r>
        <w:rPr>
          <w:rFonts w:hint="eastAsia" w:ascii="宋体" w:hAnsi="宋体"/>
          <w:color w:val="auto"/>
          <w:szCs w:val="21"/>
          <w:highlight w:val="none"/>
          <w:shd w:val="clear" w:color="auto" w:fill="auto"/>
        </w:rPr>
        <w:t>2、只有以上项目全部通过，评审结论为“合格”，否则结论为“不合格”。</w:t>
      </w:r>
    </w:p>
    <w:p>
      <w:pPr>
        <w:widowControl/>
        <w:spacing w:line="360" w:lineRule="auto"/>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评标</w:t>
      </w:r>
      <w:r>
        <w:rPr>
          <w:rFonts w:ascii="宋体" w:hAnsi="宋体"/>
          <w:b/>
          <w:color w:val="auto"/>
          <w:sz w:val="24"/>
          <w:szCs w:val="24"/>
          <w:highlight w:val="none"/>
          <w:shd w:val="clear" w:color="auto" w:fill="auto"/>
        </w:rPr>
        <w:t>委员会</w:t>
      </w:r>
      <w:r>
        <w:rPr>
          <w:rFonts w:hint="eastAsia" w:ascii="宋体" w:hAnsi="宋体"/>
          <w:b/>
          <w:color w:val="auto"/>
          <w:sz w:val="24"/>
          <w:szCs w:val="24"/>
          <w:highlight w:val="none"/>
          <w:shd w:val="clear" w:color="auto" w:fill="auto"/>
        </w:rPr>
        <w:t xml:space="preserve">（签名）：       </w:t>
      </w:r>
    </w:p>
    <w:p>
      <w:pPr>
        <w:widowControl/>
        <w:spacing w:line="360" w:lineRule="auto"/>
        <w:rPr>
          <w:rFonts w:ascii="宋体" w:hAnsi="宋体"/>
          <w:color w:val="auto"/>
          <w:sz w:val="24"/>
          <w:szCs w:val="24"/>
          <w:highlight w:val="none"/>
          <w:shd w:val="clear" w:color="auto" w:fill="auto"/>
        </w:rPr>
      </w:pPr>
      <w:r>
        <w:rPr>
          <w:rFonts w:hint="eastAsia" w:ascii="宋体" w:hAnsi="宋体"/>
          <w:b/>
          <w:color w:val="auto"/>
          <w:sz w:val="24"/>
          <w:szCs w:val="24"/>
          <w:highlight w:val="none"/>
          <w:shd w:val="clear" w:color="auto" w:fill="auto"/>
        </w:rPr>
        <w:t>监督（签名）：                                                        日期：</w:t>
      </w:r>
      <w:r>
        <w:rPr>
          <w:rFonts w:hint="eastAsia" w:ascii="宋体" w:hAnsi="宋体"/>
          <w:color w:val="auto"/>
          <w:sz w:val="24"/>
          <w:szCs w:val="24"/>
          <w:highlight w:val="none"/>
          <w:shd w:val="clear" w:color="auto" w:fill="auto"/>
        </w:rPr>
        <w:t xml:space="preserve">     年    月    日</w:t>
      </w:r>
    </w:p>
    <w:p>
      <w:pPr>
        <w:spacing w:line="360" w:lineRule="auto"/>
        <w:jc w:val="left"/>
        <w:rPr>
          <w:rFonts w:ascii="宋体" w:hAnsi="宋体"/>
          <w:b/>
          <w:snapToGrid w:val="0"/>
          <w:color w:val="auto"/>
          <w:sz w:val="24"/>
          <w:szCs w:val="24"/>
          <w:highlight w:val="none"/>
          <w:shd w:val="clear" w:color="auto" w:fill="auto"/>
        </w:rPr>
      </w:pPr>
    </w:p>
    <w:p>
      <w:pPr>
        <w:spacing w:line="360" w:lineRule="auto"/>
        <w:jc w:val="left"/>
        <w:rPr>
          <w:rFonts w:ascii="宋体" w:hAnsi="宋体"/>
          <w:b/>
          <w:snapToGrid w:val="0"/>
          <w:color w:val="auto"/>
          <w:sz w:val="24"/>
          <w:szCs w:val="24"/>
          <w:highlight w:val="none"/>
          <w:shd w:val="clear" w:color="auto" w:fill="auto"/>
        </w:rPr>
      </w:pPr>
    </w:p>
    <w:p>
      <w:pPr>
        <w:spacing w:line="360" w:lineRule="auto"/>
        <w:jc w:val="left"/>
        <w:rPr>
          <w:rFonts w:ascii="宋体" w:hAnsi="宋体"/>
          <w:b/>
          <w:snapToGrid w:val="0"/>
          <w:color w:val="auto"/>
          <w:sz w:val="24"/>
          <w:szCs w:val="24"/>
          <w:highlight w:val="none"/>
          <w:shd w:val="clear" w:color="auto" w:fill="auto"/>
        </w:rPr>
      </w:pPr>
    </w:p>
    <w:p>
      <w:pPr>
        <w:spacing w:line="360" w:lineRule="auto"/>
        <w:jc w:val="left"/>
        <w:rPr>
          <w:rFonts w:ascii="宋体" w:hAnsi="宋体"/>
          <w:b/>
          <w:snapToGrid w:val="0"/>
          <w:color w:val="auto"/>
          <w:sz w:val="24"/>
          <w:szCs w:val="24"/>
          <w:highlight w:val="none"/>
          <w:shd w:val="clear" w:color="auto" w:fill="auto"/>
        </w:rPr>
      </w:pPr>
    </w:p>
    <w:p>
      <w:pPr>
        <w:spacing w:line="360" w:lineRule="auto"/>
        <w:jc w:val="left"/>
        <w:rPr>
          <w:rFonts w:ascii="宋体" w:hAnsi="宋体"/>
          <w:b/>
          <w:bCs/>
          <w:snapToGrid w:val="0"/>
          <w:color w:val="auto"/>
          <w:sz w:val="24"/>
          <w:szCs w:val="24"/>
          <w:highlight w:val="none"/>
          <w:shd w:val="clear" w:color="auto" w:fill="auto"/>
        </w:rPr>
      </w:pPr>
      <w:r>
        <w:rPr>
          <w:rFonts w:hint="eastAsia" w:ascii="宋体" w:hAnsi="宋体"/>
          <w:b/>
          <w:snapToGrid w:val="0"/>
          <w:color w:val="auto"/>
          <w:sz w:val="24"/>
          <w:szCs w:val="24"/>
          <w:highlight w:val="none"/>
          <w:shd w:val="clear" w:color="auto" w:fill="auto"/>
        </w:rPr>
        <w:t>附表4：技术标详细评审表</w:t>
      </w:r>
    </w:p>
    <w:p>
      <w:pPr>
        <w:spacing w:line="360" w:lineRule="auto"/>
        <w:jc w:val="center"/>
        <w:rPr>
          <w:rFonts w:ascii="宋体" w:hAnsi="宋体"/>
          <w:b/>
          <w:bCs/>
          <w:snapToGrid w:val="0"/>
          <w:color w:val="auto"/>
          <w:sz w:val="24"/>
          <w:szCs w:val="24"/>
          <w:highlight w:val="none"/>
          <w:shd w:val="clear" w:color="auto" w:fill="auto"/>
        </w:rPr>
      </w:pPr>
      <w:r>
        <w:rPr>
          <w:rFonts w:hint="eastAsia" w:ascii="宋体" w:hAnsi="宋体"/>
          <w:b/>
          <w:bCs/>
          <w:snapToGrid w:val="0"/>
          <w:color w:val="auto"/>
          <w:sz w:val="24"/>
          <w:szCs w:val="24"/>
          <w:highlight w:val="none"/>
          <w:shd w:val="clear" w:color="auto" w:fill="auto"/>
        </w:rPr>
        <w:t>技术标详细评审表（</w:t>
      </w:r>
      <w:r>
        <w:rPr>
          <w:rFonts w:hint="eastAsia" w:ascii="宋体" w:hAnsi="宋体"/>
          <w:b/>
          <w:bCs/>
          <w:snapToGrid w:val="0"/>
          <w:color w:val="auto"/>
          <w:sz w:val="24"/>
          <w:szCs w:val="24"/>
          <w:highlight w:val="none"/>
          <w:shd w:val="clear" w:color="auto" w:fill="auto"/>
          <w:lang w:val="en-US" w:eastAsia="zh-CN"/>
        </w:rPr>
        <w:t>7</w:t>
      </w:r>
      <w:r>
        <w:rPr>
          <w:rFonts w:ascii="宋体" w:hAnsi="宋体"/>
          <w:b/>
          <w:bCs/>
          <w:snapToGrid w:val="0"/>
          <w:color w:val="auto"/>
          <w:sz w:val="24"/>
          <w:szCs w:val="24"/>
          <w:highlight w:val="none"/>
          <w:shd w:val="clear" w:color="auto" w:fill="auto"/>
        </w:rPr>
        <w:t>0</w:t>
      </w:r>
      <w:r>
        <w:rPr>
          <w:rFonts w:hint="eastAsia" w:ascii="宋体" w:hAnsi="宋体"/>
          <w:b/>
          <w:bCs/>
          <w:snapToGrid w:val="0"/>
          <w:color w:val="auto"/>
          <w:sz w:val="24"/>
          <w:szCs w:val="24"/>
          <w:highlight w:val="none"/>
          <w:shd w:val="clear" w:color="auto" w:fill="auto"/>
        </w:rPr>
        <w:t>分）</w:t>
      </w:r>
    </w:p>
    <w:p>
      <w:pPr>
        <w:spacing w:line="360" w:lineRule="auto"/>
        <w:jc w:val="left"/>
        <w:rPr>
          <w:rFonts w:ascii="宋体" w:hAnsi="宋体"/>
          <w:b/>
          <w:bCs/>
          <w:snapToGrid w:val="0"/>
          <w:color w:val="auto"/>
          <w:sz w:val="24"/>
          <w:szCs w:val="24"/>
          <w:highlight w:val="none"/>
          <w:shd w:val="clear" w:color="auto" w:fill="auto"/>
        </w:rPr>
      </w:pPr>
      <w:r>
        <w:rPr>
          <w:rFonts w:hint="eastAsia" w:ascii="宋体" w:hAnsi="宋体"/>
          <w:b/>
          <w:bCs/>
          <w:snapToGrid w:val="0"/>
          <w:color w:val="auto"/>
          <w:sz w:val="24"/>
          <w:szCs w:val="24"/>
          <w:highlight w:val="none"/>
          <w:shd w:val="clear" w:color="auto" w:fill="auto"/>
        </w:rPr>
        <w:t>项目名称：</w:t>
      </w:r>
      <w:r>
        <w:rPr>
          <w:rFonts w:hint="eastAsia" w:ascii="宋体" w:hAnsi="宋体"/>
          <w:b/>
          <w:color w:val="auto"/>
          <w:sz w:val="24"/>
          <w:szCs w:val="24"/>
          <w:highlight w:val="none"/>
          <w:shd w:val="clear" w:color="auto" w:fill="auto"/>
          <w:lang w:val="en-US" w:eastAsia="zh-CN"/>
        </w:rPr>
        <w:t>深铁置业产品标准化体系发布会项目</w:t>
      </w:r>
      <w:r>
        <w:rPr>
          <w:rFonts w:hint="eastAsia" w:ascii="宋体" w:hAnsi="宋体" w:cs="宋体"/>
          <w:b/>
          <w:color w:val="auto"/>
          <w:kern w:val="0"/>
          <w:sz w:val="24"/>
          <w:szCs w:val="24"/>
          <w:highlight w:val="none"/>
          <w:shd w:val="clear" w:color="auto" w:fill="auto"/>
        </w:rPr>
        <w:t xml:space="preserve">   </w:t>
      </w:r>
    </w:p>
    <w:tbl>
      <w:tblPr>
        <w:tblStyle w:val="48"/>
        <w:tblW w:w="4971"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998"/>
        <w:gridCol w:w="11343"/>
        <w:gridCol w:w="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trPr>
        <w:tc>
          <w:tcPr>
            <w:tcW w:w="280" w:type="pct"/>
            <w:vMerge w:val="restart"/>
            <w:noWrap/>
            <w:vAlign w:val="center"/>
          </w:tcPr>
          <w:p>
            <w:pPr>
              <w:adjustRightInd w:val="0"/>
              <w:snapToGrid w:val="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序号</w:t>
            </w:r>
          </w:p>
        </w:tc>
        <w:tc>
          <w:tcPr>
            <w:tcW w:w="354" w:type="pct"/>
            <w:vMerge w:val="restart"/>
            <w:vAlign w:val="center"/>
          </w:tcPr>
          <w:p>
            <w:pPr>
              <w:adjustRightInd w:val="0"/>
              <w:snapToGrid w:val="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评分项</w:t>
            </w:r>
          </w:p>
        </w:tc>
        <w:tc>
          <w:tcPr>
            <w:tcW w:w="4024" w:type="pct"/>
            <w:vMerge w:val="restart"/>
            <w:vAlign w:val="center"/>
          </w:tcPr>
          <w:p>
            <w:pPr>
              <w:adjustRightInd w:val="0"/>
              <w:snapToGrid w:val="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评分标准</w:t>
            </w:r>
          </w:p>
        </w:tc>
        <w:tc>
          <w:tcPr>
            <w:tcW w:w="340" w:type="pct"/>
            <w:vMerge w:val="restart"/>
            <w:vAlign w:val="center"/>
          </w:tcPr>
          <w:p>
            <w:pPr>
              <w:adjustRightInd w:val="0"/>
              <w:snapToGrid w:val="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满分值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4" w:hRule="atLeast"/>
        </w:trPr>
        <w:tc>
          <w:tcPr>
            <w:tcW w:w="280" w:type="pct"/>
            <w:vMerge w:val="continue"/>
            <w:noWrap/>
            <w:vAlign w:val="center"/>
          </w:tcPr>
          <w:p>
            <w:pPr>
              <w:widowControl/>
              <w:adjustRightInd w:val="0"/>
              <w:snapToGrid w:val="0"/>
              <w:rPr>
                <w:rFonts w:ascii="宋体" w:hAnsi="宋体"/>
                <w:color w:val="auto"/>
                <w:szCs w:val="21"/>
                <w:highlight w:val="none"/>
                <w:shd w:val="clear" w:color="auto" w:fill="auto"/>
              </w:rPr>
            </w:pPr>
          </w:p>
        </w:tc>
        <w:tc>
          <w:tcPr>
            <w:tcW w:w="354" w:type="pct"/>
            <w:vMerge w:val="continue"/>
            <w:vAlign w:val="center"/>
          </w:tcPr>
          <w:p>
            <w:pPr>
              <w:widowControl/>
              <w:adjustRightInd w:val="0"/>
              <w:snapToGrid w:val="0"/>
              <w:jc w:val="center"/>
              <w:rPr>
                <w:rFonts w:ascii="宋体" w:hAnsi="宋体"/>
                <w:color w:val="auto"/>
                <w:szCs w:val="21"/>
                <w:highlight w:val="none"/>
                <w:shd w:val="clear" w:color="auto" w:fill="auto"/>
              </w:rPr>
            </w:pPr>
          </w:p>
        </w:tc>
        <w:tc>
          <w:tcPr>
            <w:tcW w:w="4024" w:type="pct"/>
            <w:vMerge w:val="continue"/>
            <w:vAlign w:val="center"/>
          </w:tcPr>
          <w:p>
            <w:pPr>
              <w:widowControl/>
              <w:adjustRightInd w:val="0"/>
              <w:snapToGrid w:val="0"/>
              <w:jc w:val="center"/>
              <w:rPr>
                <w:rFonts w:ascii="宋体" w:hAnsi="宋体"/>
                <w:color w:val="auto"/>
                <w:szCs w:val="21"/>
                <w:highlight w:val="none"/>
                <w:shd w:val="clear" w:color="auto" w:fill="auto"/>
              </w:rPr>
            </w:pPr>
          </w:p>
        </w:tc>
        <w:tc>
          <w:tcPr>
            <w:tcW w:w="340" w:type="pct"/>
            <w:vMerge w:val="continue"/>
            <w:vAlign w:val="center"/>
          </w:tcPr>
          <w:p>
            <w:pPr>
              <w:widowControl/>
              <w:adjustRightInd w:val="0"/>
              <w:snapToGrid w:val="0"/>
              <w:jc w:val="center"/>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4" w:hRule="atLeast"/>
        </w:trPr>
        <w:tc>
          <w:tcPr>
            <w:tcW w:w="280" w:type="pct"/>
            <w:noWrap/>
            <w:vAlign w:val="center"/>
          </w:tcPr>
          <w:p>
            <w:pPr>
              <w:widowControl/>
              <w:adjustRightInd w:val="0"/>
              <w:snapToGrid w:val="0"/>
              <w:rPr>
                <w:rFonts w:ascii="宋体" w:hAnsi="宋体"/>
                <w:color w:val="auto"/>
                <w:szCs w:val="21"/>
                <w:highlight w:val="none"/>
                <w:shd w:val="clear" w:color="auto" w:fill="auto"/>
              </w:rPr>
            </w:pPr>
            <w:r>
              <w:rPr>
                <w:rFonts w:hint="eastAsia" w:ascii="仿宋_GB2312" w:hAnsi="宋体" w:eastAsia="仿宋_GB2312"/>
                <w:color w:val="auto"/>
                <w:szCs w:val="21"/>
                <w:highlight w:val="none"/>
                <w:shd w:val="clear" w:color="auto" w:fill="auto"/>
              </w:rPr>
              <w:t>1</w:t>
            </w:r>
          </w:p>
        </w:tc>
        <w:tc>
          <w:tcPr>
            <w:tcW w:w="354" w:type="pct"/>
            <w:vAlign w:val="center"/>
          </w:tcPr>
          <w:p>
            <w:pPr>
              <w:widowControl/>
              <w:adjustRightInd w:val="0"/>
              <w:snapToGrid w:val="0"/>
              <w:jc w:val="center"/>
              <w:rPr>
                <w:rFonts w:ascii="宋体" w:hAnsi="宋体"/>
                <w:color w:val="auto"/>
                <w:szCs w:val="21"/>
                <w:highlight w:val="none"/>
                <w:shd w:val="clear" w:color="auto" w:fill="auto"/>
              </w:rPr>
            </w:pPr>
            <w:r>
              <w:rPr>
                <w:rFonts w:hint="eastAsia" w:ascii="仿宋" w:hAnsi="仿宋" w:eastAsia="仿宋" w:cs="仿宋"/>
                <w:color w:val="auto"/>
                <w:szCs w:val="21"/>
                <w:highlight w:val="none"/>
                <w:shd w:val="clear" w:color="auto" w:fill="auto"/>
              </w:rPr>
              <w:t>活动方案</w:t>
            </w:r>
          </w:p>
        </w:tc>
        <w:tc>
          <w:tcPr>
            <w:tcW w:w="4024" w:type="pct"/>
            <w:vAlign w:val="center"/>
          </w:tcPr>
          <w:p>
            <w:pPr>
              <w:adjustRightInd w:val="0"/>
              <w:snapToGrid w:val="0"/>
              <w:spacing w:line="276" w:lineRule="auto"/>
              <w:jc w:val="left"/>
              <w:textAlignment w:val="baseline"/>
              <w:rPr>
                <w:rFonts w:hint="eastAsia" w:ascii="仿宋" w:hAnsi="仿宋" w:eastAsia="仿宋" w:cs="仿宋"/>
                <w:color w:val="auto"/>
                <w:szCs w:val="21"/>
                <w:highlight w:val="none"/>
                <w:shd w:val="clear" w:color="auto" w:fill="auto"/>
              </w:rPr>
            </w:pPr>
            <w:r>
              <w:rPr>
                <w:rFonts w:hint="eastAsia" w:ascii="仿宋" w:hAnsi="仿宋" w:eastAsia="仿宋" w:cs="仿宋"/>
                <w:color w:val="auto"/>
                <w:szCs w:val="21"/>
                <w:highlight w:val="none"/>
                <w:shd w:val="clear" w:color="auto" w:fill="auto"/>
              </w:rPr>
              <w:t>（1）活动方案及活动流程符合活动需求；横向比较（满分20分，优秀16-20分，良好10-15分，中等6-9分，较差≤5分）</w:t>
            </w:r>
          </w:p>
          <w:p>
            <w:pPr>
              <w:adjustRightInd w:val="0"/>
              <w:snapToGrid w:val="0"/>
              <w:spacing w:line="276" w:lineRule="auto"/>
              <w:jc w:val="left"/>
              <w:textAlignment w:val="baseline"/>
              <w:rPr>
                <w:rFonts w:hint="eastAsia" w:ascii="仿宋" w:hAnsi="仿宋" w:eastAsia="仿宋" w:cs="仿宋"/>
                <w:color w:val="auto"/>
                <w:szCs w:val="21"/>
                <w:highlight w:val="none"/>
                <w:shd w:val="clear" w:color="auto" w:fill="auto"/>
              </w:rPr>
            </w:pPr>
            <w:r>
              <w:rPr>
                <w:rFonts w:hint="eastAsia" w:ascii="仿宋" w:hAnsi="仿宋" w:eastAsia="仿宋" w:cs="仿宋"/>
                <w:color w:val="auto"/>
                <w:szCs w:val="21"/>
                <w:highlight w:val="none"/>
                <w:shd w:val="clear" w:color="auto" w:fill="auto"/>
              </w:rPr>
              <w:t>（2）活动方案创新有亮点，具备一定特色，让来宾感受到</w:t>
            </w:r>
            <w:r>
              <w:rPr>
                <w:rFonts w:hint="eastAsia" w:ascii="仿宋" w:hAnsi="仿宋" w:eastAsia="仿宋" w:cs="仿宋"/>
                <w:color w:val="auto"/>
                <w:szCs w:val="21"/>
                <w:highlight w:val="none"/>
                <w:shd w:val="clear" w:color="auto" w:fill="auto"/>
                <w:lang w:val="en-US" w:eastAsia="zh-CN"/>
              </w:rPr>
              <w:t>深铁置业对产品打造的专业度和品质追求</w:t>
            </w:r>
            <w:r>
              <w:rPr>
                <w:rFonts w:hint="eastAsia" w:ascii="仿宋" w:hAnsi="仿宋" w:eastAsia="仿宋" w:cs="仿宋"/>
                <w:color w:val="auto"/>
                <w:szCs w:val="21"/>
                <w:highlight w:val="none"/>
                <w:shd w:val="clear" w:color="auto" w:fill="auto"/>
              </w:rPr>
              <w:t>；横向比较（满分</w:t>
            </w:r>
            <w:r>
              <w:rPr>
                <w:rFonts w:hint="eastAsia" w:ascii="仿宋" w:hAnsi="仿宋" w:eastAsia="仿宋" w:cs="仿宋"/>
                <w:color w:val="auto"/>
                <w:szCs w:val="21"/>
                <w:highlight w:val="none"/>
                <w:shd w:val="clear" w:color="auto" w:fill="auto"/>
                <w:lang w:val="en-US" w:eastAsia="zh-CN"/>
              </w:rPr>
              <w:t>15</w:t>
            </w:r>
            <w:r>
              <w:rPr>
                <w:rFonts w:hint="eastAsia" w:ascii="仿宋" w:hAnsi="仿宋" w:eastAsia="仿宋" w:cs="仿宋"/>
                <w:color w:val="auto"/>
                <w:szCs w:val="21"/>
                <w:highlight w:val="none"/>
                <w:shd w:val="clear" w:color="auto" w:fill="auto"/>
              </w:rPr>
              <w:t>分，优秀12-15分，良好8-11分，较差≤7分）</w:t>
            </w:r>
          </w:p>
          <w:p>
            <w:pPr>
              <w:widowControl/>
              <w:adjustRightInd w:val="0"/>
              <w:snapToGrid w:val="0"/>
              <w:jc w:val="left"/>
              <w:rPr>
                <w:rFonts w:ascii="宋体" w:hAnsi="宋体"/>
                <w:color w:val="auto"/>
                <w:szCs w:val="21"/>
                <w:highlight w:val="none"/>
                <w:shd w:val="clear" w:color="auto" w:fill="auto"/>
              </w:rPr>
            </w:pPr>
            <w:r>
              <w:rPr>
                <w:rFonts w:hint="eastAsia" w:ascii="仿宋" w:hAnsi="仿宋" w:eastAsia="仿宋" w:cs="仿宋"/>
                <w:color w:val="auto"/>
                <w:szCs w:val="21"/>
                <w:highlight w:val="none"/>
                <w:shd w:val="clear" w:color="auto" w:fill="auto"/>
              </w:rPr>
              <w:t>（3）活动</w:t>
            </w:r>
            <w:r>
              <w:rPr>
                <w:rFonts w:hint="eastAsia" w:ascii="仿宋" w:hAnsi="仿宋" w:eastAsia="仿宋" w:cs="仿宋"/>
                <w:color w:val="auto"/>
                <w:szCs w:val="21"/>
                <w:highlight w:val="none"/>
                <w:shd w:val="clear" w:color="auto" w:fill="auto"/>
                <w:lang w:val="en-US" w:eastAsia="zh-CN"/>
              </w:rPr>
              <w:t>具备较高品质，且能在行业内产生一定影响力</w:t>
            </w:r>
            <w:r>
              <w:rPr>
                <w:rFonts w:hint="eastAsia" w:ascii="仿宋" w:hAnsi="仿宋" w:eastAsia="仿宋" w:cs="仿宋"/>
                <w:color w:val="auto"/>
                <w:szCs w:val="21"/>
                <w:highlight w:val="none"/>
                <w:shd w:val="clear" w:color="auto" w:fill="auto"/>
              </w:rPr>
              <w:t>；横向比较（满分10分，优秀8-10分，良好5-9分，较差≤5分）</w:t>
            </w:r>
          </w:p>
        </w:tc>
        <w:tc>
          <w:tcPr>
            <w:tcW w:w="340" w:type="pct"/>
            <w:vAlign w:val="center"/>
          </w:tcPr>
          <w:p>
            <w:pPr>
              <w:widowControl/>
              <w:adjustRightInd w:val="0"/>
              <w:snapToGrid w:val="0"/>
              <w:jc w:val="center"/>
              <w:rPr>
                <w:rFonts w:ascii="宋体" w:hAnsi="宋体"/>
                <w:color w:val="auto"/>
                <w:szCs w:val="21"/>
                <w:highlight w:val="none"/>
                <w:shd w:val="clear" w:color="auto" w:fill="auto"/>
              </w:rPr>
            </w:pPr>
            <w:r>
              <w:rPr>
                <w:rFonts w:hint="eastAsia" w:ascii="仿宋_GB2312" w:hAnsi="宋体" w:eastAsia="仿宋_GB2312"/>
                <w:color w:val="auto"/>
                <w:szCs w:val="21"/>
                <w:highlight w:val="none"/>
                <w:shd w:val="clear" w:color="auto" w:fill="auto"/>
                <w:lang w:val="en-US" w:eastAsia="zh-CN"/>
              </w:rPr>
              <w:t>4</w:t>
            </w:r>
            <w:r>
              <w:rPr>
                <w:rFonts w:hint="eastAsia" w:ascii="仿宋_GB2312" w:hAnsi="宋体" w:eastAsia="仿宋_GB2312"/>
                <w:color w:val="auto"/>
                <w:szCs w:val="21"/>
                <w:highlight w:val="none"/>
                <w:shd w:val="clear" w:color="auto" w:fill="auto"/>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4" w:hRule="atLeast"/>
        </w:trPr>
        <w:tc>
          <w:tcPr>
            <w:tcW w:w="280" w:type="pct"/>
            <w:noWrap/>
            <w:vAlign w:val="center"/>
          </w:tcPr>
          <w:p>
            <w:pPr>
              <w:widowControl/>
              <w:adjustRightInd w:val="0"/>
              <w:snapToGrid w:val="0"/>
              <w:rPr>
                <w:rFonts w:ascii="宋体" w:hAnsi="宋体"/>
                <w:color w:val="auto"/>
                <w:szCs w:val="21"/>
                <w:highlight w:val="none"/>
                <w:shd w:val="clear" w:color="auto" w:fill="auto"/>
              </w:rPr>
            </w:pPr>
            <w:r>
              <w:rPr>
                <w:rFonts w:hint="eastAsia" w:ascii="仿宋_GB2312" w:hAnsi="宋体" w:eastAsia="仿宋_GB2312"/>
                <w:color w:val="auto"/>
                <w:szCs w:val="21"/>
                <w:highlight w:val="none"/>
                <w:shd w:val="clear" w:color="auto" w:fill="auto"/>
              </w:rPr>
              <w:t>2</w:t>
            </w:r>
          </w:p>
        </w:tc>
        <w:tc>
          <w:tcPr>
            <w:tcW w:w="354" w:type="pct"/>
            <w:vAlign w:val="center"/>
          </w:tcPr>
          <w:p>
            <w:pPr>
              <w:widowControl/>
              <w:adjustRightInd w:val="0"/>
              <w:snapToGrid w:val="0"/>
              <w:jc w:val="center"/>
              <w:rPr>
                <w:rFonts w:ascii="宋体" w:hAnsi="宋体"/>
                <w:color w:val="auto"/>
                <w:szCs w:val="21"/>
                <w:highlight w:val="none"/>
                <w:shd w:val="clear" w:color="auto" w:fill="auto"/>
              </w:rPr>
            </w:pPr>
            <w:r>
              <w:rPr>
                <w:rFonts w:hint="eastAsia" w:ascii="仿宋" w:hAnsi="仿宋" w:eastAsia="仿宋" w:cs="仿宋"/>
                <w:color w:val="auto"/>
                <w:szCs w:val="21"/>
                <w:highlight w:val="none"/>
                <w:shd w:val="clear" w:color="auto" w:fill="auto"/>
              </w:rPr>
              <w:t>宣传推广建议</w:t>
            </w:r>
          </w:p>
        </w:tc>
        <w:tc>
          <w:tcPr>
            <w:tcW w:w="4024" w:type="pct"/>
            <w:vAlign w:val="center"/>
          </w:tcPr>
          <w:p>
            <w:pPr>
              <w:widowControl/>
              <w:adjustRightInd w:val="0"/>
              <w:snapToGrid w:val="0"/>
              <w:jc w:val="left"/>
              <w:rPr>
                <w:rFonts w:ascii="宋体" w:hAnsi="宋体"/>
                <w:color w:val="auto"/>
                <w:szCs w:val="21"/>
                <w:highlight w:val="none"/>
                <w:shd w:val="clear" w:color="auto" w:fill="auto"/>
              </w:rPr>
            </w:pPr>
            <w:r>
              <w:rPr>
                <w:rFonts w:hint="eastAsia" w:ascii="仿宋" w:hAnsi="仿宋" w:eastAsia="仿宋" w:cs="仿宋"/>
                <w:color w:val="auto"/>
                <w:szCs w:val="21"/>
                <w:highlight w:val="none"/>
                <w:shd w:val="clear" w:color="auto" w:fill="auto"/>
              </w:rPr>
              <w:t>符合</w:t>
            </w:r>
            <w:r>
              <w:rPr>
                <w:rFonts w:hint="eastAsia" w:ascii="仿宋" w:hAnsi="仿宋" w:eastAsia="仿宋" w:cs="仿宋"/>
                <w:color w:val="auto"/>
                <w:szCs w:val="21"/>
                <w:highlight w:val="none"/>
                <w:shd w:val="clear" w:color="auto" w:fill="auto"/>
                <w:lang w:val="en-US" w:eastAsia="zh-CN"/>
              </w:rPr>
              <w:t>深铁置业品牌</w:t>
            </w:r>
            <w:r>
              <w:rPr>
                <w:rFonts w:hint="eastAsia" w:ascii="仿宋" w:hAnsi="仿宋" w:eastAsia="仿宋" w:cs="仿宋"/>
                <w:color w:val="auto"/>
                <w:szCs w:val="21"/>
                <w:highlight w:val="none"/>
                <w:shd w:val="clear" w:color="auto" w:fill="auto"/>
              </w:rPr>
              <w:t>定位，</w:t>
            </w:r>
            <w:r>
              <w:rPr>
                <w:rFonts w:hint="eastAsia" w:ascii="仿宋" w:hAnsi="仿宋" w:eastAsia="仿宋" w:cs="仿宋"/>
                <w:color w:val="auto"/>
                <w:szCs w:val="21"/>
                <w:highlight w:val="none"/>
                <w:shd w:val="clear" w:color="auto" w:fill="auto"/>
                <w:lang w:val="en-US" w:eastAsia="zh-CN"/>
              </w:rPr>
              <w:t>有利于向行业内及社会公众提升</w:t>
            </w:r>
            <w:r>
              <w:rPr>
                <w:rFonts w:hint="eastAsia" w:ascii="仿宋" w:hAnsi="仿宋" w:eastAsia="仿宋" w:cs="仿宋"/>
                <w:color w:val="auto"/>
                <w:sz w:val="21"/>
                <w:szCs w:val="21"/>
                <w:highlight w:val="none"/>
                <w:shd w:val="clear" w:color="auto" w:fill="auto"/>
              </w:rPr>
              <w:t>对深铁置业的品牌认知，提高对四个产品系的价值认同</w:t>
            </w:r>
            <w:r>
              <w:rPr>
                <w:rFonts w:hint="eastAsia" w:ascii="仿宋" w:hAnsi="仿宋" w:eastAsia="仿宋" w:cs="仿宋"/>
                <w:color w:val="auto"/>
                <w:sz w:val="21"/>
                <w:szCs w:val="21"/>
                <w:highlight w:val="none"/>
                <w:shd w:val="clear" w:color="auto" w:fill="auto"/>
                <w:lang w:eastAsia="zh-CN"/>
              </w:rPr>
              <w:t>；</w:t>
            </w:r>
            <w:r>
              <w:rPr>
                <w:rFonts w:hint="eastAsia" w:ascii="仿宋" w:hAnsi="仿宋" w:eastAsia="仿宋" w:cs="仿宋"/>
                <w:color w:val="auto"/>
                <w:sz w:val="21"/>
                <w:szCs w:val="21"/>
                <w:highlight w:val="none"/>
                <w:shd w:val="clear" w:color="auto" w:fill="auto"/>
                <w:lang w:val="en-US" w:eastAsia="zh-CN"/>
              </w:rPr>
              <w:t>且</w:t>
            </w:r>
            <w:r>
              <w:rPr>
                <w:rFonts w:hint="eastAsia" w:ascii="仿宋" w:hAnsi="仿宋" w:eastAsia="仿宋" w:cs="仿宋"/>
                <w:color w:val="auto"/>
                <w:szCs w:val="21"/>
                <w:highlight w:val="none"/>
                <w:shd w:val="clear" w:color="auto" w:fill="auto"/>
              </w:rPr>
              <w:t>性价比高等</w:t>
            </w:r>
            <w:r>
              <w:rPr>
                <w:rFonts w:hint="eastAsia" w:ascii="仿宋" w:hAnsi="仿宋" w:eastAsia="仿宋" w:cs="仿宋"/>
                <w:color w:val="auto"/>
                <w:szCs w:val="21"/>
                <w:highlight w:val="none"/>
                <w:shd w:val="clear" w:color="auto" w:fill="auto"/>
                <w:lang w:eastAsia="zh-CN"/>
              </w:rPr>
              <w:t>。</w:t>
            </w:r>
            <w:r>
              <w:rPr>
                <w:rFonts w:hint="eastAsia" w:ascii="仿宋" w:hAnsi="仿宋" w:eastAsia="仿宋" w:cs="仿宋"/>
                <w:color w:val="auto"/>
                <w:szCs w:val="21"/>
                <w:highlight w:val="none"/>
                <w:shd w:val="clear" w:color="auto" w:fill="auto"/>
              </w:rPr>
              <w:t>横向比较（满分5分，优秀5分，良好3-4分，较差≤2分）</w:t>
            </w:r>
          </w:p>
        </w:tc>
        <w:tc>
          <w:tcPr>
            <w:tcW w:w="340" w:type="pct"/>
            <w:vAlign w:val="center"/>
          </w:tcPr>
          <w:p>
            <w:pPr>
              <w:widowControl/>
              <w:adjustRightInd w:val="0"/>
              <w:snapToGrid w:val="0"/>
              <w:jc w:val="center"/>
              <w:rPr>
                <w:rFonts w:ascii="宋体" w:hAnsi="宋体"/>
                <w:color w:val="auto"/>
                <w:szCs w:val="21"/>
                <w:highlight w:val="none"/>
                <w:shd w:val="clear" w:color="auto" w:fill="auto"/>
              </w:rPr>
            </w:pPr>
            <w:r>
              <w:rPr>
                <w:rFonts w:ascii="仿宋_GB2312" w:hAnsi="宋体" w:eastAsia="仿宋_GB2312"/>
                <w:color w:val="auto"/>
                <w:szCs w:val="21"/>
                <w:highlight w:val="none"/>
                <w:shd w:val="clear" w:color="auto" w:fill="auto"/>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1" w:hRule="atLeast"/>
        </w:trPr>
        <w:tc>
          <w:tcPr>
            <w:tcW w:w="280" w:type="pct"/>
            <w:noWrap/>
            <w:vAlign w:val="center"/>
          </w:tcPr>
          <w:p>
            <w:pPr>
              <w:widowControl/>
              <w:adjustRightInd w:val="0"/>
              <w:snapToGrid w:val="0"/>
              <w:jc w:val="center"/>
              <w:rPr>
                <w:rFonts w:ascii="宋体" w:hAnsi="宋体"/>
                <w:color w:val="auto"/>
                <w:szCs w:val="21"/>
                <w:highlight w:val="none"/>
                <w:shd w:val="clear" w:color="auto" w:fill="auto"/>
              </w:rPr>
            </w:pPr>
            <w:r>
              <w:rPr>
                <w:rFonts w:ascii="宋体" w:hAnsi="宋体"/>
                <w:color w:val="auto"/>
                <w:szCs w:val="21"/>
                <w:highlight w:val="none"/>
                <w:shd w:val="clear" w:color="auto" w:fill="auto"/>
              </w:rPr>
              <w:t>3</w:t>
            </w:r>
          </w:p>
        </w:tc>
        <w:tc>
          <w:tcPr>
            <w:tcW w:w="354" w:type="pct"/>
            <w:vAlign w:val="center"/>
          </w:tcPr>
          <w:p>
            <w:pPr>
              <w:widowControl/>
              <w:adjustRightInd w:val="0"/>
              <w:snapToGrid w:val="0"/>
              <w:jc w:val="center"/>
              <w:rPr>
                <w:rFonts w:ascii="宋体" w:hAnsi="宋体"/>
                <w:color w:val="auto"/>
                <w:szCs w:val="21"/>
                <w:highlight w:val="none"/>
                <w:shd w:val="clear" w:color="auto" w:fill="auto"/>
              </w:rPr>
            </w:pPr>
            <w:r>
              <w:rPr>
                <w:rFonts w:hint="eastAsia" w:ascii="仿宋" w:hAnsi="仿宋" w:eastAsia="仿宋" w:cs="仿宋"/>
                <w:color w:val="auto"/>
                <w:szCs w:val="21"/>
                <w:highlight w:val="none"/>
                <w:shd w:val="clear" w:color="auto" w:fill="auto"/>
                <w:lang w:val="en-US" w:eastAsia="zh-CN"/>
              </w:rPr>
              <w:t>影视片</w:t>
            </w:r>
          </w:p>
        </w:tc>
        <w:tc>
          <w:tcPr>
            <w:tcW w:w="4024" w:type="pct"/>
            <w:vAlign w:val="center"/>
          </w:tcPr>
          <w:p>
            <w:pPr>
              <w:widowControl/>
              <w:adjustRightInd w:val="0"/>
              <w:snapToGrid w:val="0"/>
              <w:jc w:val="left"/>
              <w:rPr>
                <w:rFonts w:ascii="宋体" w:hAnsi="宋体"/>
                <w:color w:val="auto"/>
                <w:szCs w:val="21"/>
                <w:highlight w:val="none"/>
                <w:shd w:val="clear" w:color="auto" w:fill="auto"/>
              </w:rPr>
            </w:pPr>
            <w:r>
              <w:rPr>
                <w:rFonts w:hint="eastAsia" w:ascii="仿宋" w:hAnsi="仿宋" w:eastAsia="仿宋" w:cs="仿宋"/>
                <w:color w:val="auto"/>
                <w:szCs w:val="21"/>
                <w:highlight w:val="none"/>
                <w:shd w:val="clear" w:color="auto" w:fill="auto"/>
                <w:lang w:val="en-US" w:eastAsia="zh-CN"/>
              </w:rPr>
              <w:t>摄制主题及思路框架符合深铁置业品牌定位、能较好地演绎四个产品系的设计理念及亮点，</w:t>
            </w:r>
            <w:r>
              <w:rPr>
                <w:rFonts w:hint="eastAsia" w:ascii="仿宋" w:hAnsi="仿宋" w:eastAsia="仿宋" w:cs="仿宋"/>
                <w:color w:val="auto"/>
                <w:szCs w:val="21"/>
                <w:highlight w:val="none"/>
                <w:shd w:val="clear" w:color="auto" w:fill="auto"/>
              </w:rPr>
              <w:t>横向比较（满分5分，优秀5分，良好3-4分，较差≤2分）</w:t>
            </w:r>
          </w:p>
        </w:tc>
        <w:tc>
          <w:tcPr>
            <w:tcW w:w="340" w:type="pct"/>
            <w:vAlign w:val="center"/>
          </w:tcPr>
          <w:p>
            <w:pPr>
              <w:widowControl/>
              <w:adjustRightInd w:val="0"/>
              <w:snapToGrid w:val="0"/>
              <w:jc w:val="center"/>
              <w:rPr>
                <w:rFonts w:hint="eastAsia" w:ascii="宋体" w:hAnsi="宋体" w:eastAsia="宋体"/>
                <w:color w:val="auto"/>
                <w:szCs w:val="21"/>
                <w:highlight w:val="none"/>
                <w:shd w:val="clear" w:color="auto" w:fill="auto"/>
                <w:lang w:eastAsia="zh-CN"/>
              </w:rPr>
            </w:pPr>
            <w:r>
              <w:rPr>
                <w:rFonts w:hint="eastAsia" w:ascii="仿宋_GB2312" w:hAnsi="宋体" w:eastAsia="仿宋_GB2312"/>
                <w:color w:val="auto"/>
                <w:szCs w:val="21"/>
                <w:highlight w:val="none"/>
                <w:shd w:val="clear" w:color="auto" w:fill="auto"/>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atLeast"/>
        </w:trPr>
        <w:tc>
          <w:tcPr>
            <w:tcW w:w="280" w:type="pct"/>
            <w:noWrap/>
            <w:vAlign w:val="center"/>
          </w:tcPr>
          <w:p>
            <w:pPr>
              <w:widowControl/>
              <w:adjustRightInd w:val="0"/>
              <w:snapToGrid w:val="0"/>
              <w:jc w:val="center"/>
              <w:rPr>
                <w:rFonts w:ascii="宋体" w:hAnsi="宋体"/>
                <w:color w:val="auto"/>
                <w:szCs w:val="21"/>
                <w:highlight w:val="none"/>
                <w:shd w:val="clear" w:color="auto" w:fill="auto"/>
              </w:rPr>
            </w:pPr>
            <w:r>
              <w:rPr>
                <w:rFonts w:ascii="宋体" w:hAnsi="宋体"/>
                <w:color w:val="auto"/>
                <w:szCs w:val="21"/>
                <w:highlight w:val="none"/>
                <w:shd w:val="clear" w:color="auto" w:fill="auto"/>
              </w:rPr>
              <w:t>4</w:t>
            </w:r>
          </w:p>
        </w:tc>
        <w:tc>
          <w:tcPr>
            <w:tcW w:w="354" w:type="pct"/>
            <w:vAlign w:val="center"/>
          </w:tcPr>
          <w:p>
            <w:pPr>
              <w:widowControl/>
              <w:adjustRightInd w:val="0"/>
              <w:snapToGrid w:val="0"/>
              <w:jc w:val="center"/>
              <w:rPr>
                <w:rFonts w:ascii="宋体" w:hAnsi="宋体"/>
                <w:color w:val="auto"/>
                <w:szCs w:val="21"/>
                <w:highlight w:val="none"/>
                <w:shd w:val="clear" w:color="auto" w:fill="auto"/>
              </w:rPr>
            </w:pPr>
            <w:r>
              <w:rPr>
                <w:rFonts w:hint="eastAsia" w:ascii="仿宋" w:hAnsi="仿宋" w:eastAsia="仿宋" w:cs="仿宋"/>
                <w:color w:val="auto"/>
                <w:szCs w:val="21"/>
                <w:highlight w:val="none"/>
                <w:shd w:val="clear" w:color="auto" w:fill="auto"/>
              </w:rPr>
              <w:t>公司业绩</w:t>
            </w:r>
          </w:p>
        </w:tc>
        <w:tc>
          <w:tcPr>
            <w:tcW w:w="4024" w:type="pct"/>
            <w:vAlign w:val="center"/>
          </w:tcPr>
          <w:p>
            <w:pPr>
              <w:adjustRightInd w:val="0"/>
              <w:snapToGrid w:val="0"/>
              <w:spacing w:line="276" w:lineRule="auto"/>
              <w:jc w:val="left"/>
              <w:textAlignment w:val="baseline"/>
              <w:rPr>
                <w:rFonts w:hint="eastAsia" w:ascii="仿宋" w:hAnsi="仿宋" w:eastAsia="仿宋" w:cs="仿宋"/>
                <w:color w:val="auto"/>
                <w:szCs w:val="21"/>
                <w:highlight w:val="none"/>
                <w:shd w:val="clear" w:color="auto" w:fill="auto"/>
              </w:rPr>
            </w:pPr>
            <w:r>
              <w:rPr>
                <w:rFonts w:hint="eastAsia" w:ascii="仿宋" w:hAnsi="仿宋" w:eastAsia="仿宋" w:cs="仿宋"/>
                <w:color w:val="auto"/>
                <w:szCs w:val="21"/>
                <w:highlight w:val="none"/>
                <w:shd w:val="clear" w:color="auto" w:fill="auto"/>
                <w:lang w:eastAsia="zh-CN"/>
              </w:rPr>
              <w:t>（</w:t>
            </w:r>
            <w:r>
              <w:rPr>
                <w:rFonts w:hint="eastAsia" w:ascii="仿宋" w:hAnsi="仿宋" w:eastAsia="仿宋" w:cs="仿宋"/>
                <w:color w:val="auto"/>
                <w:szCs w:val="21"/>
                <w:highlight w:val="none"/>
                <w:shd w:val="clear" w:color="auto" w:fill="auto"/>
                <w:lang w:val="en-US" w:eastAsia="zh-CN"/>
              </w:rPr>
              <w:t>1</w:t>
            </w:r>
            <w:r>
              <w:rPr>
                <w:rFonts w:hint="eastAsia" w:ascii="仿宋" w:hAnsi="仿宋" w:eastAsia="仿宋" w:cs="仿宋"/>
                <w:color w:val="auto"/>
                <w:szCs w:val="21"/>
                <w:highlight w:val="none"/>
                <w:shd w:val="clear" w:color="auto" w:fill="auto"/>
                <w:lang w:eastAsia="zh-CN"/>
              </w:rPr>
              <w:t>）</w:t>
            </w:r>
            <w:r>
              <w:rPr>
                <w:rFonts w:hint="eastAsia" w:ascii="仿宋" w:hAnsi="仿宋" w:eastAsia="仿宋" w:cs="仿宋"/>
                <w:color w:val="auto"/>
                <w:szCs w:val="21"/>
                <w:highlight w:val="none"/>
                <w:shd w:val="clear" w:color="auto" w:fill="auto"/>
              </w:rPr>
              <w:t>2019年1月1日至今，服务全国50强或深圳20强房地产开发公司品牌（全国50强排名参考2019年-2021年中指研究院或易居克尔瑞数据，深圳20强排名参考2019-2021年深圳房协数据）在北上广深一线城市的项目或品牌的活动，且合同金额在100万元以上的案例。（满分</w:t>
            </w:r>
            <w:r>
              <w:rPr>
                <w:rFonts w:hint="eastAsia" w:ascii="仿宋" w:hAnsi="仿宋" w:eastAsia="仿宋" w:cs="仿宋"/>
                <w:color w:val="auto"/>
                <w:szCs w:val="21"/>
                <w:highlight w:val="none"/>
                <w:shd w:val="clear" w:color="auto" w:fill="auto"/>
                <w:lang w:val="en-US" w:eastAsia="zh-CN"/>
              </w:rPr>
              <w:t>5</w:t>
            </w:r>
            <w:r>
              <w:rPr>
                <w:rFonts w:hint="eastAsia" w:ascii="仿宋" w:hAnsi="仿宋" w:eastAsia="仿宋" w:cs="仿宋"/>
                <w:color w:val="auto"/>
                <w:szCs w:val="21"/>
                <w:highlight w:val="none"/>
                <w:shd w:val="clear" w:color="auto" w:fill="auto"/>
              </w:rPr>
              <w:t>分，每个案例1分）</w:t>
            </w:r>
          </w:p>
          <w:p>
            <w:pPr>
              <w:adjustRightInd w:val="0"/>
              <w:snapToGrid w:val="0"/>
              <w:spacing w:line="276" w:lineRule="auto"/>
              <w:jc w:val="left"/>
              <w:textAlignment w:val="baseline"/>
              <w:rPr>
                <w:rFonts w:hint="default" w:ascii="仿宋" w:hAnsi="仿宋" w:eastAsia="仿宋" w:cs="仿宋"/>
                <w:color w:val="auto"/>
                <w:szCs w:val="21"/>
                <w:highlight w:val="none"/>
                <w:shd w:val="clear" w:color="auto" w:fill="auto"/>
                <w:lang w:val="en-US" w:eastAsia="zh-CN"/>
              </w:rPr>
            </w:pPr>
            <w:r>
              <w:rPr>
                <w:rFonts w:hint="eastAsia" w:ascii="仿宋" w:hAnsi="仿宋" w:eastAsia="仿宋" w:cs="仿宋"/>
                <w:color w:val="auto"/>
                <w:szCs w:val="21"/>
                <w:highlight w:val="none"/>
                <w:shd w:val="clear" w:color="auto" w:fill="auto"/>
                <w:lang w:eastAsia="zh-CN"/>
              </w:rPr>
              <w:t>（</w:t>
            </w:r>
            <w:r>
              <w:rPr>
                <w:rFonts w:hint="eastAsia" w:ascii="仿宋" w:hAnsi="仿宋" w:eastAsia="仿宋" w:cs="仿宋"/>
                <w:color w:val="auto"/>
                <w:szCs w:val="21"/>
                <w:highlight w:val="none"/>
                <w:shd w:val="clear" w:color="auto" w:fill="auto"/>
                <w:lang w:val="en-US" w:eastAsia="zh-CN"/>
              </w:rPr>
              <w:t>2</w:t>
            </w:r>
            <w:r>
              <w:rPr>
                <w:rFonts w:hint="eastAsia" w:ascii="仿宋" w:hAnsi="仿宋" w:eastAsia="仿宋" w:cs="仿宋"/>
                <w:color w:val="auto"/>
                <w:szCs w:val="21"/>
                <w:highlight w:val="none"/>
                <w:shd w:val="clear" w:color="auto" w:fill="auto"/>
                <w:lang w:eastAsia="zh-CN"/>
              </w:rPr>
              <w:t>）</w:t>
            </w:r>
            <w:r>
              <w:rPr>
                <w:rFonts w:hint="eastAsia" w:ascii="仿宋" w:hAnsi="仿宋" w:eastAsia="仿宋" w:cs="仿宋"/>
                <w:color w:val="auto"/>
                <w:szCs w:val="21"/>
                <w:highlight w:val="none"/>
                <w:shd w:val="clear" w:color="auto" w:fill="auto"/>
              </w:rPr>
              <w:t>2019年1月1日至今，在北上广深一线城市</w:t>
            </w:r>
            <w:r>
              <w:rPr>
                <w:rFonts w:hint="eastAsia" w:ascii="仿宋" w:hAnsi="仿宋" w:eastAsia="仿宋" w:cs="仿宋"/>
                <w:color w:val="auto"/>
                <w:szCs w:val="21"/>
                <w:highlight w:val="none"/>
                <w:shd w:val="clear" w:color="auto" w:fill="auto"/>
                <w:lang w:val="en-US" w:eastAsia="zh-CN"/>
              </w:rPr>
              <w:t>落地执行的大型品牌类活动，或由政府单位举办的大型活动或峰会（文化、科技、金融、公益等类型），单项活动金额大于或等于200万元的案例。</w:t>
            </w:r>
            <w:r>
              <w:rPr>
                <w:rFonts w:hint="eastAsia" w:ascii="仿宋" w:hAnsi="仿宋" w:eastAsia="仿宋" w:cs="仿宋"/>
                <w:color w:val="auto"/>
                <w:szCs w:val="21"/>
                <w:highlight w:val="none"/>
                <w:shd w:val="clear" w:color="auto" w:fill="auto"/>
              </w:rPr>
              <w:t>（满分</w:t>
            </w:r>
            <w:r>
              <w:rPr>
                <w:rFonts w:hint="eastAsia" w:ascii="仿宋" w:hAnsi="仿宋" w:eastAsia="仿宋" w:cs="仿宋"/>
                <w:color w:val="auto"/>
                <w:szCs w:val="21"/>
                <w:highlight w:val="none"/>
                <w:shd w:val="clear" w:color="auto" w:fill="auto"/>
                <w:lang w:val="en-US" w:eastAsia="zh-CN"/>
              </w:rPr>
              <w:t>5</w:t>
            </w:r>
            <w:r>
              <w:rPr>
                <w:rFonts w:hint="eastAsia" w:ascii="仿宋" w:hAnsi="仿宋" w:eastAsia="仿宋" w:cs="仿宋"/>
                <w:color w:val="auto"/>
                <w:szCs w:val="21"/>
                <w:highlight w:val="none"/>
                <w:shd w:val="clear" w:color="auto" w:fill="auto"/>
              </w:rPr>
              <w:t>分，每个案例1分）</w:t>
            </w:r>
          </w:p>
          <w:p>
            <w:pPr>
              <w:adjustRightInd w:val="0"/>
              <w:snapToGrid w:val="0"/>
              <w:spacing w:line="276" w:lineRule="auto"/>
              <w:jc w:val="left"/>
              <w:textAlignment w:val="baseline"/>
              <w:rPr>
                <w:rFonts w:hint="eastAsia" w:ascii="仿宋" w:hAnsi="仿宋" w:eastAsia="仿宋" w:cs="仿宋"/>
                <w:color w:val="auto"/>
                <w:szCs w:val="21"/>
                <w:highlight w:val="none"/>
                <w:shd w:val="clear" w:color="auto" w:fill="auto"/>
              </w:rPr>
            </w:pPr>
            <w:r>
              <w:rPr>
                <w:rFonts w:hint="eastAsia" w:ascii="仿宋" w:hAnsi="仿宋" w:eastAsia="仿宋" w:cs="仿宋"/>
                <w:color w:val="auto"/>
                <w:szCs w:val="21"/>
                <w:highlight w:val="none"/>
                <w:shd w:val="clear" w:color="auto" w:fill="auto"/>
              </w:rPr>
              <w:t>备注：</w:t>
            </w:r>
          </w:p>
          <w:p>
            <w:pPr>
              <w:adjustRightInd w:val="0"/>
              <w:snapToGrid w:val="0"/>
              <w:spacing w:line="276" w:lineRule="auto"/>
              <w:jc w:val="left"/>
              <w:textAlignment w:val="baseline"/>
              <w:rPr>
                <w:rFonts w:hint="eastAsia" w:ascii="仿宋" w:hAnsi="仿宋" w:eastAsia="仿宋" w:cs="仿宋"/>
                <w:color w:val="auto"/>
                <w:szCs w:val="21"/>
                <w:highlight w:val="none"/>
                <w:shd w:val="clear" w:color="auto" w:fill="auto"/>
              </w:rPr>
            </w:pPr>
            <w:r>
              <w:rPr>
                <w:rFonts w:hint="eastAsia" w:ascii="仿宋" w:hAnsi="仿宋" w:eastAsia="仿宋" w:cs="仿宋"/>
                <w:color w:val="auto"/>
                <w:szCs w:val="21"/>
                <w:highlight w:val="none"/>
                <w:shd w:val="clear" w:color="auto" w:fill="auto"/>
              </w:rPr>
              <w:t>a.需提供合同关键页复印件（包括但不限于名称、委托内容、合同价格、委托期限、签订日期、盖章页等）及相关活动现场图片；</w:t>
            </w:r>
          </w:p>
          <w:p>
            <w:pPr>
              <w:adjustRightInd w:val="0"/>
              <w:snapToGrid w:val="0"/>
              <w:spacing w:line="276" w:lineRule="auto"/>
              <w:jc w:val="left"/>
              <w:textAlignment w:val="baseline"/>
              <w:rPr>
                <w:rFonts w:hint="eastAsia" w:ascii="仿宋" w:hAnsi="仿宋" w:eastAsia="仿宋" w:cs="仿宋"/>
                <w:color w:val="auto"/>
                <w:szCs w:val="21"/>
                <w:highlight w:val="none"/>
                <w:shd w:val="clear" w:color="auto" w:fill="auto"/>
              </w:rPr>
            </w:pPr>
            <w:r>
              <w:rPr>
                <w:rFonts w:hint="eastAsia" w:ascii="仿宋" w:hAnsi="仿宋" w:eastAsia="仿宋" w:cs="仿宋"/>
                <w:color w:val="auto"/>
                <w:szCs w:val="21"/>
                <w:highlight w:val="none"/>
                <w:shd w:val="clear" w:color="auto" w:fill="auto"/>
              </w:rPr>
              <w:t xml:space="preserve">b.合同名称或委托内容需标明具体活动类型； </w:t>
            </w:r>
          </w:p>
          <w:p>
            <w:pPr>
              <w:adjustRightInd w:val="0"/>
              <w:snapToGrid w:val="0"/>
              <w:spacing w:line="276" w:lineRule="auto"/>
              <w:jc w:val="left"/>
              <w:textAlignment w:val="baseline"/>
              <w:rPr>
                <w:rFonts w:hint="eastAsia" w:ascii="仿宋" w:hAnsi="仿宋" w:eastAsia="仿宋" w:cs="仿宋"/>
                <w:color w:val="auto"/>
                <w:szCs w:val="21"/>
                <w:highlight w:val="none"/>
                <w:shd w:val="clear" w:color="auto" w:fill="auto"/>
              </w:rPr>
            </w:pPr>
            <w:r>
              <w:rPr>
                <w:rFonts w:hint="eastAsia" w:ascii="仿宋" w:hAnsi="仿宋" w:eastAsia="仿宋" w:cs="仿宋"/>
                <w:color w:val="auto"/>
                <w:szCs w:val="21"/>
                <w:highlight w:val="none"/>
                <w:shd w:val="clear" w:color="auto" w:fill="auto"/>
              </w:rPr>
              <w:t>c.未提供或无法清晰显示业绩情况不得分；</w:t>
            </w:r>
          </w:p>
          <w:p>
            <w:pPr>
              <w:widowControl/>
              <w:adjustRightInd w:val="0"/>
              <w:snapToGrid w:val="0"/>
              <w:jc w:val="left"/>
              <w:rPr>
                <w:rFonts w:ascii="宋体" w:hAnsi="宋体"/>
                <w:color w:val="auto"/>
                <w:szCs w:val="21"/>
                <w:highlight w:val="none"/>
                <w:shd w:val="clear" w:color="auto" w:fill="auto"/>
              </w:rPr>
            </w:pPr>
            <w:r>
              <w:rPr>
                <w:rFonts w:hint="eastAsia" w:ascii="仿宋" w:hAnsi="仿宋" w:eastAsia="仿宋" w:cs="仿宋"/>
                <w:color w:val="auto"/>
                <w:szCs w:val="21"/>
                <w:highlight w:val="none"/>
                <w:shd w:val="clear" w:color="auto" w:fill="auto"/>
              </w:rPr>
              <w:t>d.同一合同不重复积分。</w:t>
            </w:r>
          </w:p>
        </w:tc>
        <w:tc>
          <w:tcPr>
            <w:tcW w:w="340" w:type="pct"/>
            <w:vAlign w:val="center"/>
          </w:tcPr>
          <w:p>
            <w:pPr>
              <w:widowControl/>
              <w:adjustRightInd w:val="0"/>
              <w:snapToGrid w:val="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w:t>
            </w:r>
            <w:r>
              <w:rPr>
                <w:rFonts w:ascii="宋体" w:hAnsi="宋体"/>
                <w:color w:val="auto"/>
                <w:szCs w:val="21"/>
                <w:highlight w:val="none"/>
                <w:shd w:val="clear" w:color="auto" w:fil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280" w:type="pct"/>
            <w:noWrap/>
            <w:vAlign w:val="center"/>
          </w:tcPr>
          <w:p>
            <w:pPr>
              <w:widowControl/>
              <w:adjustRightInd w:val="0"/>
              <w:snapToGrid w:val="0"/>
              <w:jc w:val="center"/>
              <w:rPr>
                <w:rFonts w:ascii="宋体" w:hAnsi="宋体"/>
                <w:color w:val="auto"/>
                <w:szCs w:val="21"/>
                <w:highlight w:val="none"/>
                <w:shd w:val="clear" w:color="auto" w:fill="auto"/>
              </w:rPr>
            </w:pPr>
            <w:r>
              <w:rPr>
                <w:rFonts w:ascii="宋体" w:hAnsi="宋体"/>
                <w:color w:val="auto"/>
                <w:szCs w:val="21"/>
                <w:highlight w:val="none"/>
                <w:shd w:val="clear" w:color="auto" w:fill="auto"/>
              </w:rPr>
              <w:t>5</w:t>
            </w:r>
          </w:p>
        </w:tc>
        <w:tc>
          <w:tcPr>
            <w:tcW w:w="354" w:type="pct"/>
            <w:vAlign w:val="center"/>
          </w:tcPr>
          <w:p>
            <w:pPr>
              <w:widowControl/>
              <w:adjustRightInd w:val="0"/>
              <w:snapToGrid w:val="0"/>
              <w:jc w:val="center"/>
              <w:rPr>
                <w:rFonts w:ascii="宋体" w:hAnsi="宋体"/>
                <w:color w:val="auto"/>
                <w:szCs w:val="21"/>
                <w:highlight w:val="none"/>
                <w:shd w:val="clear" w:color="auto" w:fill="auto"/>
              </w:rPr>
            </w:pPr>
            <w:r>
              <w:rPr>
                <w:rFonts w:hint="eastAsia" w:ascii="仿宋" w:hAnsi="仿宋" w:eastAsia="仿宋" w:cs="仿宋"/>
                <w:color w:val="auto"/>
                <w:szCs w:val="21"/>
                <w:highlight w:val="none"/>
                <w:shd w:val="clear" w:color="auto" w:fill="auto"/>
              </w:rPr>
              <w:t>陈述答辩</w:t>
            </w:r>
          </w:p>
        </w:tc>
        <w:tc>
          <w:tcPr>
            <w:tcW w:w="4024" w:type="pct"/>
            <w:vAlign w:val="center"/>
          </w:tcPr>
          <w:p>
            <w:pPr>
              <w:adjustRightInd w:val="0"/>
              <w:snapToGrid w:val="0"/>
              <w:spacing w:line="276" w:lineRule="auto"/>
              <w:jc w:val="left"/>
              <w:textAlignment w:val="baseline"/>
              <w:rPr>
                <w:rFonts w:hint="eastAsia" w:ascii="仿宋" w:hAnsi="仿宋" w:eastAsia="仿宋" w:cs="仿宋"/>
                <w:color w:val="auto"/>
                <w:szCs w:val="21"/>
                <w:highlight w:val="none"/>
                <w:shd w:val="clear" w:color="auto" w:fill="auto"/>
              </w:rPr>
            </w:pPr>
            <w:r>
              <w:rPr>
                <w:rFonts w:hint="eastAsia" w:ascii="仿宋" w:hAnsi="仿宋" w:eastAsia="仿宋" w:cs="仿宋"/>
                <w:color w:val="auto"/>
                <w:szCs w:val="21"/>
                <w:highlight w:val="none"/>
                <w:shd w:val="clear" w:color="auto" w:fill="auto"/>
              </w:rPr>
              <w:t>（1）对活动工作思路清晰，有独特见解，所讲解的方案具有可操作性，以及活动亮点、环节设置、嘉宾建议等，横向比较（满分2分）</w:t>
            </w:r>
          </w:p>
          <w:p>
            <w:pPr>
              <w:widowControl/>
              <w:adjustRightInd w:val="0"/>
              <w:snapToGrid w:val="0"/>
              <w:jc w:val="left"/>
              <w:rPr>
                <w:rFonts w:ascii="宋体" w:hAnsi="宋体"/>
                <w:color w:val="auto"/>
                <w:szCs w:val="21"/>
                <w:highlight w:val="none"/>
                <w:shd w:val="clear" w:color="auto" w:fill="auto"/>
              </w:rPr>
            </w:pPr>
            <w:r>
              <w:rPr>
                <w:rFonts w:hint="eastAsia" w:ascii="仿宋" w:hAnsi="仿宋" w:eastAsia="仿宋" w:cs="仿宋"/>
                <w:color w:val="auto"/>
                <w:szCs w:val="21"/>
                <w:highlight w:val="none"/>
                <w:shd w:val="clear" w:color="auto" w:fill="auto"/>
              </w:rPr>
              <w:t>（2）回答问题思路清晰、逻辑性强、能充分体现自身的组织能力、管理水平和丰富经验，横向比较（满分3分）</w:t>
            </w:r>
          </w:p>
        </w:tc>
        <w:tc>
          <w:tcPr>
            <w:tcW w:w="340" w:type="pct"/>
            <w:vAlign w:val="center"/>
          </w:tcPr>
          <w:p>
            <w:pPr>
              <w:widowControl/>
              <w:adjustRightInd w:val="0"/>
              <w:snapToGrid w:val="0"/>
              <w:jc w:val="center"/>
              <w:rPr>
                <w:rFonts w:ascii="宋体" w:hAnsi="宋体"/>
                <w:color w:val="auto"/>
                <w:szCs w:val="21"/>
                <w:highlight w:val="none"/>
                <w:shd w:val="clear" w:color="auto" w:fill="auto"/>
              </w:rPr>
            </w:pPr>
            <w:r>
              <w:rPr>
                <w:rFonts w:ascii="宋体" w:hAnsi="宋体"/>
                <w:color w:val="auto"/>
                <w:szCs w:val="21"/>
                <w:highlight w:val="none"/>
                <w:shd w:val="clear" w:color="auto" w:fill="auto"/>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trPr>
        <w:tc>
          <w:tcPr>
            <w:tcW w:w="4659" w:type="pct"/>
            <w:gridSpan w:val="3"/>
            <w:noWrap/>
            <w:vAlign w:val="center"/>
          </w:tcPr>
          <w:p>
            <w:pPr>
              <w:adjustRightInd w:val="0"/>
              <w:snapToGrid w:val="0"/>
              <w:jc w:val="center"/>
              <w:textAlignment w:val="baseline"/>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合计</w:t>
            </w:r>
          </w:p>
        </w:tc>
        <w:tc>
          <w:tcPr>
            <w:tcW w:w="340" w:type="pct"/>
            <w:vAlign w:val="center"/>
          </w:tcPr>
          <w:p>
            <w:pPr>
              <w:widowControl/>
              <w:adjustRightInd w:val="0"/>
              <w:snapToGrid w:val="0"/>
              <w:jc w:val="center"/>
              <w:rPr>
                <w:rFonts w:hint="default" w:ascii="宋体" w:hAnsi="宋体" w:eastAsia="宋体"/>
                <w:color w:val="auto"/>
                <w:szCs w:val="21"/>
                <w:highlight w:val="none"/>
                <w:shd w:val="clear" w:color="auto" w:fill="auto"/>
                <w:lang w:val="en-US" w:eastAsia="zh-CN"/>
              </w:rPr>
            </w:pPr>
            <w:r>
              <w:rPr>
                <w:rFonts w:hint="eastAsia" w:ascii="宋体" w:hAnsi="宋体"/>
                <w:color w:val="auto"/>
                <w:szCs w:val="21"/>
                <w:highlight w:val="none"/>
                <w:shd w:val="clear" w:color="auto" w:fill="auto"/>
                <w:lang w:val="en-US" w:eastAsia="zh-CN"/>
              </w:rPr>
              <w:t>70</w:t>
            </w:r>
          </w:p>
        </w:tc>
      </w:tr>
    </w:tbl>
    <w:p>
      <w:pPr>
        <w:widowControl/>
        <w:adjustRightInd w:val="0"/>
        <w:snapToGrid w:val="0"/>
        <w:spacing w:line="360" w:lineRule="auto"/>
        <w:rPr>
          <w:rFonts w:ascii="宋体" w:hAnsi="宋体" w:cs="宋体"/>
          <w:color w:val="auto"/>
          <w:kern w:val="0"/>
          <w:szCs w:val="21"/>
          <w:highlight w:val="none"/>
          <w:shd w:val="clear" w:color="auto" w:fill="auto"/>
        </w:rPr>
      </w:pPr>
    </w:p>
    <w:p>
      <w:pPr>
        <w:tabs>
          <w:tab w:val="left" w:pos="0"/>
        </w:tabs>
        <w:snapToGrid w:val="0"/>
        <w:spacing w:line="360" w:lineRule="auto"/>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评委（签名）：</w:t>
      </w:r>
    </w:p>
    <w:p>
      <w:pPr>
        <w:tabs>
          <w:tab w:val="left" w:pos="0"/>
        </w:tabs>
        <w:snapToGrid w:val="0"/>
        <w:spacing w:line="360" w:lineRule="auto"/>
        <w:ind w:firstLine="422" w:firstLineChars="200"/>
        <w:rPr>
          <w:rFonts w:ascii="宋体" w:hAnsi="宋体" w:cs="宋体"/>
          <w:b/>
          <w:color w:val="auto"/>
          <w:szCs w:val="21"/>
          <w:highlight w:val="none"/>
          <w:shd w:val="clear" w:color="auto" w:fill="auto"/>
        </w:rPr>
      </w:pPr>
    </w:p>
    <w:p>
      <w:pPr>
        <w:tabs>
          <w:tab w:val="left" w:pos="0"/>
        </w:tabs>
        <w:snapToGrid w:val="0"/>
        <w:spacing w:line="360" w:lineRule="auto"/>
        <w:ind w:firstLine="422" w:firstLineChars="200"/>
        <w:jc w:val="right"/>
        <w:rPr>
          <w:rFonts w:ascii="宋体" w:hAnsi="宋体" w:cs="宋体"/>
          <w:color w:val="auto"/>
          <w:szCs w:val="21"/>
          <w:highlight w:val="none"/>
          <w:shd w:val="clear" w:color="auto" w:fill="auto"/>
        </w:rPr>
      </w:pPr>
      <w:r>
        <w:rPr>
          <w:rFonts w:hint="eastAsia" w:ascii="宋体" w:hAnsi="宋体" w:cs="宋体"/>
          <w:b/>
          <w:color w:val="auto"/>
          <w:szCs w:val="21"/>
          <w:highlight w:val="none"/>
          <w:shd w:val="clear" w:color="auto" w:fill="auto"/>
        </w:rPr>
        <w:t>日期：</w:t>
      </w:r>
      <w:r>
        <w:rPr>
          <w:rFonts w:hint="eastAsia" w:ascii="宋体" w:hAnsi="宋体" w:cs="宋体"/>
          <w:color w:val="auto"/>
          <w:szCs w:val="21"/>
          <w:highlight w:val="none"/>
          <w:shd w:val="clear" w:color="auto" w:fill="auto"/>
        </w:rPr>
        <w:t xml:space="preserve">     年    月    日</w:t>
      </w:r>
    </w:p>
    <w:p>
      <w:pPr>
        <w:widowControl/>
        <w:spacing w:line="360" w:lineRule="auto"/>
        <w:rPr>
          <w:rFonts w:ascii="宋体" w:hAnsi="宋体"/>
          <w:color w:val="auto"/>
          <w:highlight w:val="none"/>
          <w:shd w:val="clear" w:color="auto" w:fill="auto"/>
        </w:rPr>
        <w:sectPr>
          <w:headerReference r:id="rId4" w:type="default"/>
          <w:pgSz w:w="16840" w:h="11907" w:orient="landscape"/>
          <w:pgMar w:top="1440" w:right="1440" w:bottom="1134" w:left="1440" w:header="720" w:footer="890" w:gutter="0"/>
          <w:cols w:space="720" w:num="1"/>
          <w:docGrid w:linePitch="312" w:charSpace="0"/>
        </w:sectPr>
      </w:pPr>
    </w:p>
    <w:tbl>
      <w:tblPr>
        <w:tblStyle w:val="48"/>
        <w:tblW w:w="13713" w:type="dxa"/>
        <w:jc w:val="center"/>
        <w:tblLayout w:type="fixed"/>
        <w:tblCellMar>
          <w:top w:w="0" w:type="dxa"/>
          <w:left w:w="0" w:type="dxa"/>
          <w:bottom w:w="0" w:type="dxa"/>
          <w:right w:w="0" w:type="dxa"/>
        </w:tblCellMar>
      </w:tblPr>
      <w:tblGrid>
        <w:gridCol w:w="240"/>
        <w:gridCol w:w="370"/>
        <w:gridCol w:w="1074"/>
        <w:gridCol w:w="5129"/>
        <w:gridCol w:w="977"/>
        <w:gridCol w:w="1466"/>
        <w:gridCol w:w="1466"/>
        <w:gridCol w:w="1494"/>
        <w:gridCol w:w="1497"/>
      </w:tblGrid>
      <w:tr>
        <w:tblPrEx>
          <w:tblCellMar>
            <w:top w:w="0" w:type="dxa"/>
            <w:left w:w="0" w:type="dxa"/>
            <w:bottom w:w="0" w:type="dxa"/>
            <w:right w:w="0" w:type="dxa"/>
          </w:tblCellMar>
        </w:tblPrEx>
        <w:trPr>
          <w:trHeight w:val="836" w:hRule="atLeast"/>
          <w:jc w:val="center"/>
        </w:trPr>
        <w:tc>
          <w:tcPr>
            <w:tcW w:w="240" w:type="dxa"/>
            <w:tcBorders>
              <w:top w:val="nil"/>
              <w:left w:val="nil"/>
              <w:bottom w:val="single" w:color="auto" w:sz="4" w:space="0"/>
              <w:right w:val="nil"/>
            </w:tcBorders>
          </w:tcPr>
          <w:p>
            <w:pPr>
              <w:spacing w:line="360" w:lineRule="auto"/>
              <w:rPr>
                <w:rFonts w:ascii="宋体" w:hAnsi="宋体" w:cs="宋体"/>
                <w:b/>
                <w:color w:val="auto"/>
                <w:szCs w:val="21"/>
                <w:highlight w:val="none"/>
                <w:shd w:val="clear" w:color="auto" w:fill="auto"/>
              </w:rPr>
            </w:pPr>
          </w:p>
        </w:tc>
        <w:tc>
          <w:tcPr>
            <w:tcW w:w="13473" w:type="dxa"/>
            <w:gridSpan w:val="8"/>
            <w:tcBorders>
              <w:top w:val="nil"/>
              <w:left w:val="nil"/>
              <w:bottom w:val="single" w:color="auto" w:sz="4" w:space="0"/>
              <w:right w:val="nil"/>
            </w:tcBorders>
          </w:tcPr>
          <w:p>
            <w:pPr>
              <w:spacing w:line="360" w:lineRule="auto"/>
              <w:rPr>
                <w:rFonts w:ascii="宋体" w:hAnsi="宋体" w:cs="宋体"/>
                <w:b/>
                <w:bCs/>
                <w:color w:val="auto"/>
                <w:kern w:val="0"/>
                <w:szCs w:val="21"/>
                <w:highlight w:val="none"/>
                <w:shd w:val="clear" w:color="auto" w:fill="auto"/>
              </w:rPr>
            </w:pPr>
            <w:bookmarkStart w:id="82" w:name="RANGE!A1:M11"/>
            <w:r>
              <w:rPr>
                <w:rFonts w:hint="eastAsia" w:ascii="宋体" w:hAnsi="宋体" w:cs="宋体"/>
                <w:b/>
                <w:color w:val="auto"/>
                <w:szCs w:val="21"/>
                <w:highlight w:val="none"/>
                <w:shd w:val="clear" w:color="auto" w:fill="auto"/>
              </w:rPr>
              <w:t>附表5：技术标详细评审结果汇总表</w:t>
            </w:r>
          </w:p>
          <w:p>
            <w:pPr>
              <w:spacing w:line="360" w:lineRule="auto"/>
              <w:jc w:val="center"/>
              <w:rPr>
                <w:rFonts w:ascii="宋体" w:hAnsi="宋体" w:cs="宋体"/>
                <w:b/>
                <w:bCs/>
                <w:color w:val="auto"/>
                <w:kern w:val="0"/>
                <w:sz w:val="24"/>
                <w:szCs w:val="24"/>
                <w:highlight w:val="none"/>
                <w:shd w:val="clear" w:color="auto" w:fill="auto"/>
              </w:rPr>
            </w:pPr>
            <w:r>
              <w:rPr>
                <w:rFonts w:hint="eastAsia" w:ascii="宋体" w:hAnsi="宋体" w:cs="宋体"/>
                <w:b/>
                <w:bCs/>
                <w:color w:val="auto"/>
                <w:kern w:val="0"/>
                <w:sz w:val="24"/>
                <w:szCs w:val="24"/>
                <w:highlight w:val="none"/>
                <w:shd w:val="clear" w:color="auto" w:fill="auto"/>
              </w:rPr>
              <w:t>技术标详细评审结果汇总表</w:t>
            </w:r>
          </w:p>
          <w:p>
            <w:pPr>
              <w:spacing w:line="360" w:lineRule="auto"/>
              <w:jc w:val="center"/>
              <w:rPr>
                <w:rFonts w:ascii="宋体" w:hAnsi="宋体" w:cs="宋体"/>
                <w:bCs/>
                <w:snapToGrid w:val="0"/>
                <w:color w:val="auto"/>
                <w:szCs w:val="21"/>
                <w:highlight w:val="none"/>
                <w:shd w:val="clear" w:color="auto" w:fill="auto"/>
              </w:rPr>
            </w:pPr>
          </w:p>
          <w:p>
            <w:pPr>
              <w:spacing w:line="360" w:lineRule="auto"/>
              <w:jc w:val="left"/>
              <w:rPr>
                <w:rFonts w:ascii="宋体" w:hAnsi="宋体" w:cs="宋体"/>
                <w:b/>
                <w:bCs/>
                <w:snapToGrid w:val="0"/>
                <w:color w:val="auto"/>
                <w:szCs w:val="21"/>
                <w:highlight w:val="none"/>
                <w:shd w:val="clear" w:color="auto" w:fill="auto"/>
              </w:rPr>
            </w:pPr>
            <w:r>
              <w:rPr>
                <w:rFonts w:hint="eastAsia" w:ascii="宋体" w:hAnsi="宋体" w:cs="宋体"/>
                <w:b/>
                <w:bCs/>
                <w:snapToGrid w:val="0"/>
                <w:color w:val="auto"/>
                <w:szCs w:val="21"/>
                <w:highlight w:val="none"/>
                <w:shd w:val="clear" w:color="auto" w:fill="auto"/>
              </w:rPr>
              <w:t>项目名称：</w:t>
            </w:r>
            <w:r>
              <w:rPr>
                <w:rFonts w:hint="eastAsia" w:ascii="宋体" w:hAnsi="宋体"/>
                <w:b/>
                <w:color w:val="auto"/>
                <w:sz w:val="24"/>
                <w:szCs w:val="24"/>
                <w:highlight w:val="none"/>
                <w:shd w:val="clear" w:color="auto" w:fill="auto"/>
                <w:lang w:val="en-US" w:eastAsia="zh-CN"/>
              </w:rPr>
              <w:t>深铁置业产品标准化体系发布会项目</w:t>
            </w:r>
            <w:r>
              <w:rPr>
                <w:rFonts w:hint="eastAsia" w:ascii="宋体" w:hAnsi="宋体" w:cs="宋体"/>
                <w:b/>
                <w:color w:val="auto"/>
                <w:kern w:val="0"/>
                <w:sz w:val="24"/>
                <w:szCs w:val="24"/>
                <w:highlight w:val="none"/>
                <w:shd w:val="clear" w:color="auto" w:fill="auto"/>
              </w:rPr>
              <w:t xml:space="preserve">  </w:t>
            </w:r>
            <w:r>
              <w:rPr>
                <w:rFonts w:hint="eastAsia" w:ascii="宋体" w:hAnsi="宋体" w:cs="宋体"/>
                <w:b/>
                <w:bCs/>
                <w:snapToGrid w:val="0"/>
                <w:color w:val="auto"/>
                <w:szCs w:val="21"/>
                <w:highlight w:val="none"/>
                <w:shd w:val="clear" w:color="auto" w:fill="auto"/>
              </w:rPr>
              <w:t xml:space="preserve"> </w:t>
            </w:r>
          </w:p>
          <w:tbl>
            <w:tblPr>
              <w:tblStyle w:val="48"/>
              <w:tblW w:w="12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75"/>
              <w:gridCol w:w="3720"/>
              <w:gridCol w:w="932"/>
              <w:gridCol w:w="933"/>
              <w:gridCol w:w="932"/>
              <w:gridCol w:w="933"/>
              <w:gridCol w:w="933"/>
              <w:gridCol w:w="932"/>
              <w:gridCol w:w="933"/>
              <w:gridCol w:w="1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4" w:hRule="atLeast"/>
                <w:jc w:val="center"/>
              </w:trPr>
              <w:tc>
                <w:tcPr>
                  <w:tcW w:w="775" w:type="dxa"/>
                  <w:vAlign w:val="center"/>
                </w:tcPr>
                <w:p>
                  <w:pPr>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序号</w:t>
                  </w:r>
                </w:p>
              </w:tc>
              <w:tc>
                <w:tcPr>
                  <w:tcW w:w="3720" w:type="dxa"/>
                  <w:tcBorders>
                    <w:tl2br w:val="single" w:color="auto" w:sz="4" w:space="0"/>
                  </w:tcBorders>
                  <w:vAlign w:val="center"/>
                </w:tcPr>
                <w:p>
                  <w:pPr>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 xml:space="preserve">                     评委</w:t>
                  </w:r>
                </w:p>
                <w:p>
                  <w:pPr>
                    <w:spacing w:line="360" w:lineRule="auto"/>
                    <w:jc w:val="left"/>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 xml:space="preserve">   参选人</w:t>
                  </w:r>
                </w:p>
              </w:tc>
              <w:tc>
                <w:tcPr>
                  <w:tcW w:w="932" w:type="dxa"/>
                  <w:vAlign w:val="center"/>
                </w:tcPr>
                <w:p>
                  <w:pPr>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评委1</w:t>
                  </w:r>
                </w:p>
              </w:tc>
              <w:tc>
                <w:tcPr>
                  <w:tcW w:w="933" w:type="dxa"/>
                  <w:vAlign w:val="center"/>
                </w:tcPr>
                <w:p>
                  <w:pPr>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评委2</w:t>
                  </w:r>
                </w:p>
              </w:tc>
              <w:tc>
                <w:tcPr>
                  <w:tcW w:w="932" w:type="dxa"/>
                  <w:vAlign w:val="center"/>
                </w:tcPr>
                <w:p>
                  <w:pPr>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评委3</w:t>
                  </w:r>
                </w:p>
              </w:tc>
              <w:tc>
                <w:tcPr>
                  <w:tcW w:w="933" w:type="dxa"/>
                  <w:vAlign w:val="center"/>
                </w:tcPr>
                <w:p>
                  <w:pPr>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评委4</w:t>
                  </w:r>
                </w:p>
              </w:tc>
              <w:tc>
                <w:tcPr>
                  <w:tcW w:w="933" w:type="dxa"/>
                  <w:vAlign w:val="center"/>
                </w:tcPr>
                <w:p>
                  <w:pPr>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评委5</w:t>
                  </w:r>
                </w:p>
              </w:tc>
              <w:tc>
                <w:tcPr>
                  <w:tcW w:w="932" w:type="dxa"/>
                  <w:vAlign w:val="center"/>
                </w:tcPr>
                <w:p>
                  <w:pPr>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评委6</w:t>
                  </w:r>
                </w:p>
              </w:tc>
              <w:tc>
                <w:tcPr>
                  <w:tcW w:w="933" w:type="dxa"/>
                  <w:vAlign w:val="center"/>
                </w:tcPr>
                <w:p>
                  <w:pPr>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评委7</w:t>
                  </w:r>
                </w:p>
              </w:tc>
              <w:tc>
                <w:tcPr>
                  <w:tcW w:w="1155" w:type="dxa"/>
                  <w:vAlign w:val="center"/>
                </w:tcPr>
                <w:p>
                  <w:pPr>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技术标得分</w:t>
                  </w:r>
                </w:p>
                <w:p>
                  <w:pPr>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vAlign w:val="center"/>
                </w:tcPr>
                <w:p>
                  <w:pPr>
                    <w:spacing w:line="360" w:lineRule="auto"/>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3720"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tcPr>
                <w:p>
                  <w:pPr>
                    <w:spacing w:line="360" w:lineRule="auto"/>
                    <w:jc w:val="center"/>
                    <w:rPr>
                      <w:rFonts w:ascii="宋体" w:hAnsi="宋体" w:cs="宋体"/>
                      <w:color w:val="auto"/>
                      <w:kern w:val="0"/>
                      <w:szCs w:val="21"/>
                      <w:highlight w:val="none"/>
                      <w:shd w:val="clear" w:color="auto" w:fill="auto"/>
                    </w:rPr>
                  </w:pPr>
                </w:p>
              </w:tc>
              <w:tc>
                <w:tcPr>
                  <w:tcW w:w="933" w:type="dxa"/>
                </w:tcPr>
                <w:p>
                  <w:pPr>
                    <w:spacing w:line="360" w:lineRule="auto"/>
                    <w:jc w:val="center"/>
                    <w:rPr>
                      <w:rFonts w:ascii="宋体" w:hAnsi="宋体" w:cs="宋体"/>
                      <w:color w:val="auto"/>
                      <w:kern w:val="0"/>
                      <w:szCs w:val="21"/>
                      <w:highlight w:val="none"/>
                      <w:shd w:val="clear" w:color="auto" w:fill="auto"/>
                    </w:rPr>
                  </w:pPr>
                </w:p>
              </w:tc>
              <w:tc>
                <w:tcPr>
                  <w:tcW w:w="1155" w:type="dxa"/>
                  <w:vAlign w:val="center"/>
                </w:tcPr>
                <w:p>
                  <w:pPr>
                    <w:spacing w:line="360" w:lineRule="auto"/>
                    <w:jc w:val="center"/>
                    <w:rPr>
                      <w:rFonts w:ascii="宋体" w:hAnsi="宋体" w:cs="宋体"/>
                      <w:color w:val="auto"/>
                      <w:kern w:val="0"/>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vAlign w:val="center"/>
                </w:tcPr>
                <w:p>
                  <w:pPr>
                    <w:spacing w:line="360" w:lineRule="auto"/>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3720"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tcPr>
                <w:p>
                  <w:pPr>
                    <w:spacing w:line="360" w:lineRule="auto"/>
                    <w:jc w:val="center"/>
                    <w:rPr>
                      <w:rFonts w:ascii="宋体" w:hAnsi="宋体" w:cs="宋体"/>
                      <w:color w:val="auto"/>
                      <w:kern w:val="0"/>
                      <w:szCs w:val="21"/>
                      <w:highlight w:val="none"/>
                      <w:shd w:val="clear" w:color="auto" w:fill="auto"/>
                    </w:rPr>
                  </w:pPr>
                </w:p>
              </w:tc>
              <w:tc>
                <w:tcPr>
                  <w:tcW w:w="933" w:type="dxa"/>
                </w:tcPr>
                <w:p>
                  <w:pPr>
                    <w:spacing w:line="360" w:lineRule="auto"/>
                    <w:jc w:val="center"/>
                    <w:rPr>
                      <w:rFonts w:ascii="宋体" w:hAnsi="宋体" w:cs="宋体"/>
                      <w:color w:val="auto"/>
                      <w:kern w:val="0"/>
                      <w:szCs w:val="21"/>
                      <w:highlight w:val="none"/>
                      <w:shd w:val="clear" w:color="auto" w:fill="auto"/>
                    </w:rPr>
                  </w:pPr>
                </w:p>
              </w:tc>
              <w:tc>
                <w:tcPr>
                  <w:tcW w:w="1155" w:type="dxa"/>
                  <w:vAlign w:val="center"/>
                </w:tcPr>
                <w:p>
                  <w:pPr>
                    <w:spacing w:line="360" w:lineRule="auto"/>
                    <w:jc w:val="center"/>
                    <w:rPr>
                      <w:rFonts w:ascii="宋体" w:hAnsi="宋体" w:cs="宋体"/>
                      <w:color w:val="auto"/>
                      <w:kern w:val="0"/>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vAlign w:val="center"/>
                </w:tcPr>
                <w:p>
                  <w:pPr>
                    <w:spacing w:line="360" w:lineRule="auto"/>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w:t>
                  </w:r>
                </w:p>
              </w:tc>
              <w:tc>
                <w:tcPr>
                  <w:tcW w:w="3720"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tcPr>
                <w:p>
                  <w:pPr>
                    <w:spacing w:line="360" w:lineRule="auto"/>
                    <w:jc w:val="center"/>
                    <w:rPr>
                      <w:rFonts w:ascii="宋体" w:hAnsi="宋体" w:cs="宋体"/>
                      <w:color w:val="auto"/>
                      <w:kern w:val="0"/>
                      <w:szCs w:val="21"/>
                      <w:highlight w:val="none"/>
                      <w:shd w:val="clear" w:color="auto" w:fill="auto"/>
                    </w:rPr>
                  </w:pPr>
                </w:p>
              </w:tc>
              <w:tc>
                <w:tcPr>
                  <w:tcW w:w="933" w:type="dxa"/>
                </w:tcPr>
                <w:p>
                  <w:pPr>
                    <w:spacing w:line="360" w:lineRule="auto"/>
                    <w:jc w:val="center"/>
                    <w:rPr>
                      <w:rFonts w:ascii="宋体" w:hAnsi="宋体" w:cs="宋体"/>
                      <w:color w:val="auto"/>
                      <w:kern w:val="0"/>
                      <w:szCs w:val="21"/>
                      <w:highlight w:val="none"/>
                      <w:shd w:val="clear" w:color="auto" w:fill="auto"/>
                    </w:rPr>
                  </w:pPr>
                </w:p>
              </w:tc>
              <w:tc>
                <w:tcPr>
                  <w:tcW w:w="1155" w:type="dxa"/>
                  <w:vAlign w:val="center"/>
                </w:tcPr>
                <w:p>
                  <w:pPr>
                    <w:spacing w:line="360" w:lineRule="auto"/>
                    <w:jc w:val="center"/>
                    <w:rPr>
                      <w:rFonts w:ascii="宋体" w:hAnsi="宋体" w:cs="宋体"/>
                      <w:color w:val="auto"/>
                      <w:kern w:val="0"/>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3" w:hRule="atLeast"/>
                <w:jc w:val="center"/>
              </w:trPr>
              <w:tc>
                <w:tcPr>
                  <w:tcW w:w="775" w:type="dxa"/>
                  <w:vAlign w:val="center"/>
                </w:tcPr>
                <w:p>
                  <w:pPr>
                    <w:spacing w:line="360" w:lineRule="auto"/>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4</w:t>
                  </w:r>
                </w:p>
              </w:tc>
              <w:tc>
                <w:tcPr>
                  <w:tcW w:w="3720"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tcPr>
                <w:p>
                  <w:pPr>
                    <w:spacing w:line="360" w:lineRule="auto"/>
                    <w:jc w:val="center"/>
                    <w:rPr>
                      <w:rFonts w:ascii="宋体" w:hAnsi="宋体" w:cs="宋体"/>
                      <w:color w:val="auto"/>
                      <w:kern w:val="0"/>
                      <w:szCs w:val="21"/>
                      <w:highlight w:val="none"/>
                      <w:shd w:val="clear" w:color="auto" w:fill="auto"/>
                    </w:rPr>
                  </w:pPr>
                </w:p>
              </w:tc>
              <w:tc>
                <w:tcPr>
                  <w:tcW w:w="933" w:type="dxa"/>
                </w:tcPr>
                <w:p>
                  <w:pPr>
                    <w:spacing w:line="360" w:lineRule="auto"/>
                    <w:jc w:val="center"/>
                    <w:rPr>
                      <w:rFonts w:ascii="宋体" w:hAnsi="宋体" w:cs="宋体"/>
                      <w:color w:val="auto"/>
                      <w:kern w:val="0"/>
                      <w:szCs w:val="21"/>
                      <w:highlight w:val="none"/>
                      <w:shd w:val="clear" w:color="auto" w:fill="auto"/>
                    </w:rPr>
                  </w:pPr>
                </w:p>
              </w:tc>
              <w:tc>
                <w:tcPr>
                  <w:tcW w:w="1155" w:type="dxa"/>
                  <w:vAlign w:val="center"/>
                </w:tcPr>
                <w:p>
                  <w:pPr>
                    <w:spacing w:line="360" w:lineRule="auto"/>
                    <w:jc w:val="center"/>
                    <w:rPr>
                      <w:rFonts w:ascii="宋体" w:hAnsi="宋体" w:cs="宋体"/>
                      <w:color w:val="auto"/>
                      <w:kern w:val="0"/>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vAlign w:val="center"/>
                </w:tcPr>
                <w:p>
                  <w:pPr>
                    <w:spacing w:line="360" w:lineRule="auto"/>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w:t>
                  </w:r>
                </w:p>
              </w:tc>
              <w:tc>
                <w:tcPr>
                  <w:tcW w:w="3720"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tcPr>
                <w:p>
                  <w:pPr>
                    <w:spacing w:line="360" w:lineRule="auto"/>
                    <w:jc w:val="center"/>
                    <w:rPr>
                      <w:rFonts w:ascii="宋体" w:hAnsi="宋体" w:cs="宋体"/>
                      <w:color w:val="auto"/>
                      <w:kern w:val="0"/>
                      <w:szCs w:val="21"/>
                      <w:highlight w:val="none"/>
                      <w:shd w:val="clear" w:color="auto" w:fill="auto"/>
                    </w:rPr>
                  </w:pPr>
                </w:p>
              </w:tc>
              <w:tc>
                <w:tcPr>
                  <w:tcW w:w="933" w:type="dxa"/>
                </w:tcPr>
                <w:p>
                  <w:pPr>
                    <w:spacing w:line="360" w:lineRule="auto"/>
                    <w:jc w:val="center"/>
                    <w:rPr>
                      <w:rFonts w:ascii="宋体" w:hAnsi="宋体" w:cs="宋体"/>
                      <w:color w:val="auto"/>
                      <w:kern w:val="0"/>
                      <w:szCs w:val="21"/>
                      <w:highlight w:val="none"/>
                      <w:shd w:val="clear" w:color="auto" w:fill="auto"/>
                    </w:rPr>
                  </w:pPr>
                </w:p>
              </w:tc>
              <w:tc>
                <w:tcPr>
                  <w:tcW w:w="1155" w:type="dxa"/>
                  <w:vAlign w:val="center"/>
                </w:tcPr>
                <w:p>
                  <w:pPr>
                    <w:spacing w:line="360" w:lineRule="auto"/>
                    <w:jc w:val="center"/>
                    <w:rPr>
                      <w:rFonts w:ascii="宋体" w:hAnsi="宋体" w:cs="宋体"/>
                      <w:color w:val="auto"/>
                      <w:kern w:val="0"/>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vAlign w:val="center"/>
                </w:tcPr>
                <w:p>
                  <w:pPr>
                    <w:spacing w:line="360" w:lineRule="auto"/>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6</w:t>
                  </w:r>
                </w:p>
              </w:tc>
              <w:tc>
                <w:tcPr>
                  <w:tcW w:w="3720"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tcPr>
                <w:p>
                  <w:pPr>
                    <w:spacing w:line="360" w:lineRule="auto"/>
                    <w:jc w:val="center"/>
                    <w:rPr>
                      <w:rFonts w:ascii="宋体" w:hAnsi="宋体" w:cs="宋体"/>
                      <w:color w:val="auto"/>
                      <w:kern w:val="0"/>
                      <w:szCs w:val="21"/>
                      <w:highlight w:val="none"/>
                      <w:shd w:val="clear" w:color="auto" w:fill="auto"/>
                    </w:rPr>
                  </w:pPr>
                </w:p>
              </w:tc>
              <w:tc>
                <w:tcPr>
                  <w:tcW w:w="933" w:type="dxa"/>
                </w:tcPr>
                <w:p>
                  <w:pPr>
                    <w:spacing w:line="360" w:lineRule="auto"/>
                    <w:jc w:val="center"/>
                    <w:rPr>
                      <w:rFonts w:ascii="宋体" w:hAnsi="宋体" w:cs="宋体"/>
                      <w:color w:val="auto"/>
                      <w:kern w:val="0"/>
                      <w:szCs w:val="21"/>
                      <w:highlight w:val="none"/>
                      <w:shd w:val="clear" w:color="auto" w:fill="auto"/>
                    </w:rPr>
                  </w:pPr>
                </w:p>
              </w:tc>
              <w:tc>
                <w:tcPr>
                  <w:tcW w:w="1155" w:type="dxa"/>
                  <w:vAlign w:val="center"/>
                </w:tcPr>
                <w:p>
                  <w:pPr>
                    <w:spacing w:line="360" w:lineRule="auto"/>
                    <w:jc w:val="center"/>
                    <w:rPr>
                      <w:rFonts w:ascii="宋体" w:hAnsi="宋体" w:cs="宋体"/>
                      <w:color w:val="auto"/>
                      <w:kern w:val="0"/>
                      <w:szCs w:val="21"/>
                      <w:highlight w:val="none"/>
                      <w:shd w:val="clear" w:color="auto" w:fill="auto"/>
                    </w:rPr>
                  </w:pPr>
                </w:p>
              </w:tc>
            </w:tr>
          </w:tbl>
          <w:p>
            <w:pPr>
              <w:spacing w:line="360" w:lineRule="auto"/>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说明： 1、参选人技术标得分的计算办法：取各评委对每一个参选人的技术标评审得分值的算术平均值，即为该参选人技术标得分。</w:t>
            </w:r>
          </w:p>
          <w:p>
            <w:pPr>
              <w:spacing w:line="360" w:lineRule="auto"/>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2、技术标得分的算术平均值保留小数点后两位数字，且四舍五入。</w:t>
            </w:r>
          </w:p>
          <w:p>
            <w:pPr>
              <w:pStyle w:val="2"/>
              <w:snapToGrid w:val="0"/>
              <w:rPr>
                <w:rFonts w:ascii="宋体" w:hAnsi="宋体" w:cs="宋体"/>
                <w:color w:val="auto"/>
                <w:sz w:val="21"/>
                <w:szCs w:val="21"/>
                <w:highlight w:val="none"/>
                <w:shd w:val="clear" w:color="auto" w:fill="auto"/>
              </w:rPr>
            </w:pPr>
          </w:p>
          <w:p>
            <w:pPr>
              <w:tabs>
                <w:tab w:val="left" w:pos="0"/>
              </w:tabs>
              <w:snapToGrid w:val="0"/>
              <w:spacing w:line="360" w:lineRule="auto"/>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评委(签名)：</w:t>
            </w:r>
          </w:p>
          <w:p>
            <w:pPr>
              <w:widowControl/>
              <w:spacing w:line="360" w:lineRule="auto"/>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 xml:space="preserve">监督（签名）：  </w:t>
            </w:r>
            <w:r>
              <w:rPr>
                <w:rFonts w:hint="eastAsia" w:ascii="宋体" w:hAnsi="宋体" w:cs="宋体"/>
                <w:color w:val="auto"/>
                <w:szCs w:val="21"/>
                <w:highlight w:val="none"/>
                <w:shd w:val="clear" w:color="auto" w:fill="auto"/>
              </w:rPr>
              <w:t xml:space="preserve">                                                                             </w:t>
            </w:r>
            <w:r>
              <w:rPr>
                <w:rFonts w:hint="eastAsia" w:ascii="宋体" w:hAnsi="宋体" w:cs="宋体"/>
                <w:b/>
                <w:color w:val="auto"/>
                <w:szCs w:val="21"/>
                <w:highlight w:val="none"/>
                <w:shd w:val="clear" w:color="auto" w:fill="auto"/>
              </w:rPr>
              <w:t>日期：</w:t>
            </w:r>
            <w:r>
              <w:rPr>
                <w:rFonts w:hint="eastAsia" w:ascii="宋体" w:hAnsi="宋体" w:cs="宋体"/>
                <w:color w:val="auto"/>
                <w:szCs w:val="21"/>
                <w:highlight w:val="none"/>
                <w:shd w:val="clear" w:color="auto" w:fill="auto"/>
              </w:rPr>
              <w:t xml:space="preserve">     年    月    日</w:t>
            </w:r>
          </w:p>
          <w:p>
            <w:pPr>
              <w:widowControl/>
              <w:spacing w:line="360" w:lineRule="auto"/>
              <w:rPr>
                <w:rFonts w:ascii="宋体" w:hAnsi="宋体" w:cs="宋体"/>
                <w:b/>
                <w:color w:val="auto"/>
                <w:szCs w:val="21"/>
                <w:highlight w:val="none"/>
                <w:shd w:val="clear" w:color="auto" w:fill="auto"/>
              </w:rPr>
            </w:pPr>
          </w:p>
          <w:p>
            <w:pPr>
              <w:widowControl/>
              <w:spacing w:line="360" w:lineRule="auto"/>
              <w:rPr>
                <w:rFonts w:ascii="宋体" w:hAnsi="宋体" w:cs="宋体"/>
                <w:b/>
                <w:color w:val="auto"/>
                <w:szCs w:val="21"/>
                <w:highlight w:val="none"/>
                <w:shd w:val="clear" w:color="auto" w:fill="auto"/>
              </w:rPr>
            </w:pPr>
          </w:p>
          <w:p>
            <w:pPr>
              <w:spacing w:line="360" w:lineRule="auto"/>
              <w:jc w:val="left"/>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附表6：</w:t>
            </w:r>
            <w:r>
              <w:rPr>
                <w:rFonts w:hint="eastAsia" w:ascii="宋体" w:hAnsi="宋体" w:cs="宋体"/>
                <w:b/>
                <w:bCs/>
                <w:color w:val="auto"/>
                <w:kern w:val="0"/>
                <w:szCs w:val="21"/>
                <w:highlight w:val="none"/>
                <w:shd w:val="clear" w:color="auto" w:fill="auto"/>
              </w:rPr>
              <w:t xml:space="preserve"> 商务标初步评审表</w:t>
            </w:r>
          </w:p>
          <w:p>
            <w:pPr>
              <w:spacing w:after="120" w:afterLines="50" w:line="360" w:lineRule="auto"/>
              <w:ind w:right="350"/>
              <w:jc w:val="center"/>
              <w:rPr>
                <w:rFonts w:ascii="宋体" w:hAnsi="宋体" w:cs="宋体"/>
                <w:b/>
                <w:color w:val="auto"/>
                <w:kern w:val="0"/>
                <w:sz w:val="24"/>
                <w:szCs w:val="24"/>
                <w:highlight w:val="none"/>
                <w:shd w:val="clear" w:color="auto" w:fill="auto"/>
              </w:rPr>
            </w:pPr>
            <w:r>
              <w:rPr>
                <w:rFonts w:hint="eastAsia" w:ascii="宋体" w:hAnsi="宋体" w:cs="宋体"/>
                <w:b/>
                <w:color w:val="auto"/>
                <w:kern w:val="0"/>
                <w:sz w:val="24"/>
                <w:szCs w:val="24"/>
                <w:highlight w:val="none"/>
                <w:shd w:val="clear" w:color="auto" w:fill="auto"/>
              </w:rPr>
              <w:t>商务标初步评审表</w:t>
            </w:r>
          </w:p>
          <w:p>
            <w:pPr>
              <w:spacing w:after="120" w:afterLines="50" w:line="360" w:lineRule="auto"/>
              <w:ind w:right="630"/>
              <w:rPr>
                <w:rFonts w:ascii="宋体" w:hAnsi="宋体" w:cs="宋体"/>
                <w:b/>
                <w:color w:val="auto"/>
                <w:kern w:val="0"/>
                <w:szCs w:val="21"/>
                <w:highlight w:val="none"/>
                <w:shd w:val="clear" w:color="auto" w:fill="auto"/>
              </w:rPr>
            </w:pPr>
            <w:r>
              <w:rPr>
                <w:rFonts w:hint="eastAsia" w:ascii="宋体" w:hAnsi="宋体" w:cs="宋体"/>
                <w:b/>
                <w:color w:val="auto"/>
                <w:kern w:val="0"/>
                <w:szCs w:val="21"/>
                <w:highlight w:val="none"/>
                <w:shd w:val="clear" w:color="auto" w:fill="auto"/>
              </w:rPr>
              <w:t>项目名称：</w:t>
            </w:r>
            <w:r>
              <w:rPr>
                <w:rFonts w:hint="eastAsia" w:ascii="宋体" w:hAnsi="宋体"/>
                <w:b/>
                <w:color w:val="auto"/>
                <w:sz w:val="24"/>
                <w:szCs w:val="24"/>
                <w:highlight w:val="none"/>
                <w:shd w:val="clear" w:color="auto" w:fill="auto"/>
                <w:lang w:val="en-US" w:eastAsia="zh-CN"/>
              </w:rPr>
              <w:t>深铁置业产品标准化体系发布会项目</w:t>
            </w:r>
            <w:r>
              <w:rPr>
                <w:rFonts w:hint="eastAsia" w:ascii="宋体" w:hAnsi="宋体" w:cs="宋体"/>
                <w:b/>
                <w:color w:val="auto"/>
                <w:kern w:val="0"/>
                <w:sz w:val="24"/>
                <w:szCs w:val="24"/>
                <w:highlight w:val="none"/>
                <w:shd w:val="clear" w:color="auto" w:fill="auto"/>
              </w:rPr>
              <w:t xml:space="preserve">  </w:t>
            </w:r>
          </w:p>
          <w:tbl>
            <w:tblPr>
              <w:tblStyle w:val="48"/>
              <w:tblW w:w="0" w:type="auto"/>
              <w:jc w:val="center"/>
              <w:tblLayout w:type="fixed"/>
              <w:tblCellMar>
                <w:top w:w="0" w:type="dxa"/>
                <w:left w:w="108" w:type="dxa"/>
                <w:bottom w:w="0" w:type="dxa"/>
                <w:right w:w="108" w:type="dxa"/>
              </w:tblCellMar>
            </w:tblPr>
            <w:tblGrid>
              <w:gridCol w:w="798"/>
              <w:gridCol w:w="5743"/>
              <w:gridCol w:w="977"/>
              <w:gridCol w:w="1099"/>
              <w:gridCol w:w="977"/>
              <w:gridCol w:w="887"/>
              <w:gridCol w:w="947"/>
            </w:tblGrid>
            <w:tr>
              <w:tblPrEx>
                <w:tblCellMar>
                  <w:top w:w="0" w:type="dxa"/>
                  <w:left w:w="108" w:type="dxa"/>
                  <w:bottom w:w="0" w:type="dxa"/>
                  <w:right w:w="108" w:type="dxa"/>
                </w:tblCellMar>
              </w:tblPrEx>
              <w:trPr>
                <w:trHeight w:val="218" w:hRule="atLeast"/>
                <w:jc w:val="center"/>
              </w:trPr>
              <w:tc>
                <w:tcPr>
                  <w:tcW w:w="79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Cs/>
                      <w:color w:val="auto"/>
                      <w:kern w:val="0"/>
                      <w:szCs w:val="21"/>
                      <w:highlight w:val="none"/>
                      <w:shd w:val="clear" w:color="auto" w:fill="auto"/>
                    </w:rPr>
                  </w:pPr>
                  <w:r>
                    <w:rPr>
                      <w:rFonts w:hint="eastAsia" w:ascii="宋体" w:hAnsi="宋体" w:cs="宋体"/>
                      <w:bCs/>
                      <w:color w:val="auto"/>
                      <w:kern w:val="0"/>
                      <w:szCs w:val="21"/>
                      <w:highlight w:val="none"/>
                      <w:shd w:val="clear" w:color="auto" w:fill="auto"/>
                    </w:rPr>
                    <w:t>序号</w:t>
                  </w:r>
                </w:p>
              </w:tc>
              <w:tc>
                <w:tcPr>
                  <w:tcW w:w="5743" w:type="dxa"/>
                  <w:vMerge w:val="restart"/>
                  <w:tcBorders>
                    <w:top w:val="single" w:color="auto" w:sz="4" w:space="0"/>
                    <w:left w:val="single" w:color="auto" w:sz="4" w:space="0"/>
                    <w:bottom w:val="single" w:color="000000" w:sz="4" w:space="0"/>
                    <w:right w:val="single" w:color="auto" w:sz="4" w:space="0"/>
                    <w:tl2br w:val="single" w:color="auto" w:sz="4" w:space="0"/>
                  </w:tcBorders>
                  <w:vAlign w:val="center"/>
                </w:tcPr>
                <w:p>
                  <w:pPr>
                    <w:widowControl/>
                    <w:spacing w:line="360" w:lineRule="auto"/>
                    <w:jc w:val="left"/>
                    <w:rPr>
                      <w:rFonts w:ascii="宋体" w:hAnsi="宋体" w:cs="宋体"/>
                      <w:bCs/>
                      <w:color w:val="auto"/>
                      <w:kern w:val="0"/>
                      <w:szCs w:val="21"/>
                      <w:highlight w:val="none"/>
                      <w:shd w:val="clear" w:color="auto" w:fill="auto"/>
                    </w:rPr>
                  </w:pPr>
                  <w:r>
                    <w:rPr>
                      <w:rFonts w:hint="eastAsia" w:ascii="宋体" w:hAnsi="宋体" w:cs="宋体"/>
                      <w:bCs/>
                      <w:color w:val="auto"/>
                      <w:kern w:val="0"/>
                      <w:szCs w:val="21"/>
                      <w:highlight w:val="none"/>
                      <w:shd w:val="clear" w:color="auto" w:fill="auto"/>
                    </w:rPr>
                    <w:t xml:space="preserve">                                     参选人</w:t>
                  </w:r>
                  <w:r>
                    <w:rPr>
                      <w:rFonts w:hint="eastAsia" w:ascii="宋体" w:hAnsi="宋体" w:cs="宋体"/>
                      <w:bCs/>
                      <w:color w:val="auto"/>
                      <w:kern w:val="0"/>
                      <w:szCs w:val="21"/>
                      <w:highlight w:val="none"/>
                      <w:shd w:val="clear" w:color="auto" w:fill="auto"/>
                    </w:rPr>
                    <w:br w:type="textWrapping"/>
                  </w:r>
                  <w:r>
                    <w:rPr>
                      <w:rFonts w:hint="eastAsia" w:ascii="宋体" w:hAnsi="宋体" w:cs="宋体"/>
                      <w:bCs/>
                      <w:color w:val="auto"/>
                      <w:kern w:val="0"/>
                      <w:szCs w:val="21"/>
                      <w:highlight w:val="none"/>
                      <w:shd w:val="clear" w:color="auto" w:fill="auto"/>
                    </w:rPr>
                    <w:t xml:space="preserve">  项目名称</w:t>
                  </w:r>
                </w:p>
              </w:tc>
              <w:tc>
                <w:tcPr>
                  <w:tcW w:w="4887" w:type="dxa"/>
                  <w:gridSpan w:val="5"/>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Cs/>
                      <w:color w:val="auto"/>
                      <w:kern w:val="0"/>
                      <w:szCs w:val="21"/>
                      <w:highlight w:val="none"/>
                      <w:shd w:val="clear" w:color="auto" w:fill="auto"/>
                    </w:rPr>
                  </w:pPr>
                  <w:r>
                    <w:rPr>
                      <w:rFonts w:hint="eastAsia" w:ascii="宋体" w:hAnsi="宋体" w:cs="宋体"/>
                      <w:bCs/>
                      <w:color w:val="auto"/>
                      <w:kern w:val="0"/>
                      <w:szCs w:val="21"/>
                      <w:highlight w:val="none"/>
                      <w:shd w:val="clear" w:color="auto" w:fill="auto"/>
                    </w:rPr>
                    <w:t xml:space="preserve">参选人名称  </w:t>
                  </w:r>
                </w:p>
              </w:tc>
            </w:tr>
            <w:tr>
              <w:tblPrEx>
                <w:tblCellMar>
                  <w:top w:w="0" w:type="dxa"/>
                  <w:left w:w="108" w:type="dxa"/>
                  <w:bottom w:w="0" w:type="dxa"/>
                  <w:right w:w="108" w:type="dxa"/>
                </w:tblCellMar>
              </w:tblPrEx>
              <w:trPr>
                <w:trHeight w:val="281" w:hRule="atLeast"/>
                <w:jc w:val="center"/>
              </w:trPr>
              <w:tc>
                <w:tcPr>
                  <w:tcW w:w="79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Cs/>
                      <w:color w:val="auto"/>
                      <w:kern w:val="0"/>
                      <w:szCs w:val="21"/>
                      <w:highlight w:val="none"/>
                      <w:shd w:val="clear" w:color="auto" w:fill="auto"/>
                    </w:rPr>
                  </w:pPr>
                </w:p>
              </w:tc>
              <w:tc>
                <w:tcPr>
                  <w:tcW w:w="5743"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60" w:lineRule="auto"/>
                    <w:jc w:val="left"/>
                    <w:rPr>
                      <w:rFonts w:ascii="宋体" w:hAnsi="宋体" w:cs="宋体"/>
                      <w:bCs/>
                      <w:color w:val="auto"/>
                      <w:kern w:val="0"/>
                      <w:szCs w:val="21"/>
                      <w:highlight w:val="none"/>
                      <w:shd w:val="clear" w:color="auto" w:fill="auto"/>
                    </w:rPr>
                  </w:pPr>
                </w:p>
              </w:tc>
              <w:tc>
                <w:tcPr>
                  <w:tcW w:w="977"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auto"/>
                      <w:kern w:val="0"/>
                      <w:szCs w:val="21"/>
                      <w:highlight w:val="none"/>
                      <w:shd w:val="clear" w:color="auto" w:fill="auto"/>
                    </w:rPr>
                  </w:pPr>
                </w:p>
              </w:tc>
              <w:tc>
                <w:tcPr>
                  <w:tcW w:w="1099"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auto"/>
                      <w:kern w:val="0"/>
                      <w:szCs w:val="21"/>
                      <w:highlight w:val="none"/>
                      <w:shd w:val="clear" w:color="auto" w:fill="auto"/>
                    </w:rPr>
                  </w:pPr>
                </w:p>
              </w:tc>
              <w:tc>
                <w:tcPr>
                  <w:tcW w:w="977"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auto"/>
                      <w:kern w:val="0"/>
                      <w:szCs w:val="21"/>
                      <w:highlight w:val="none"/>
                      <w:shd w:val="clear" w:color="auto" w:fill="auto"/>
                    </w:rPr>
                  </w:pPr>
                </w:p>
              </w:tc>
              <w:tc>
                <w:tcPr>
                  <w:tcW w:w="887"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auto"/>
                      <w:kern w:val="0"/>
                      <w:szCs w:val="21"/>
                      <w:highlight w:val="none"/>
                      <w:shd w:val="clear" w:color="auto" w:fill="auto"/>
                    </w:rPr>
                  </w:pPr>
                </w:p>
              </w:tc>
              <w:tc>
                <w:tcPr>
                  <w:tcW w:w="947"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auto"/>
                      <w:kern w:val="0"/>
                      <w:szCs w:val="21"/>
                      <w:highlight w:val="none"/>
                      <w:shd w:val="clear" w:color="auto" w:fill="auto"/>
                    </w:rPr>
                  </w:pPr>
                </w:p>
              </w:tc>
            </w:tr>
            <w:tr>
              <w:tblPrEx>
                <w:tblCellMar>
                  <w:top w:w="0" w:type="dxa"/>
                  <w:left w:w="108" w:type="dxa"/>
                  <w:bottom w:w="0" w:type="dxa"/>
                  <w:right w:w="108" w:type="dxa"/>
                </w:tblCellMar>
              </w:tblPrEx>
              <w:trPr>
                <w:trHeight w:val="510" w:hRule="atLeast"/>
                <w:jc w:val="center"/>
              </w:trPr>
              <w:tc>
                <w:tcPr>
                  <w:tcW w:w="798"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5743" w:type="dxa"/>
                  <w:tcBorders>
                    <w:top w:val="nil"/>
                    <w:left w:val="nil"/>
                    <w:bottom w:val="single" w:color="auto" w:sz="4" w:space="0"/>
                    <w:right w:val="single" w:color="auto" w:sz="4" w:space="0"/>
                  </w:tcBorders>
                  <w:vAlign w:val="center"/>
                </w:tcPr>
                <w:p>
                  <w:pPr>
                    <w:adjustRightInd w:val="0"/>
                    <w:snapToGrid w:val="0"/>
                    <w:spacing w:before="120" w:beforeLines="50" w:line="360" w:lineRule="auto"/>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商务标文件按要求加盖参选人公章</w:t>
                  </w:r>
                </w:p>
              </w:tc>
              <w:tc>
                <w:tcPr>
                  <w:tcW w:w="97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10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97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88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94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r>
            <w:tr>
              <w:tblPrEx>
                <w:tblCellMar>
                  <w:top w:w="0" w:type="dxa"/>
                  <w:left w:w="108" w:type="dxa"/>
                  <w:bottom w:w="0" w:type="dxa"/>
                  <w:right w:w="108" w:type="dxa"/>
                </w:tblCellMar>
              </w:tblPrEx>
              <w:trPr>
                <w:trHeight w:val="547" w:hRule="atLeast"/>
                <w:jc w:val="center"/>
              </w:trPr>
              <w:tc>
                <w:tcPr>
                  <w:tcW w:w="798" w:type="dxa"/>
                  <w:tcBorders>
                    <w:top w:val="nil"/>
                    <w:left w:val="single" w:color="auto" w:sz="4" w:space="0"/>
                    <w:bottom w:val="single" w:color="auto" w:sz="4" w:space="0"/>
                    <w:right w:val="nil"/>
                  </w:tcBorders>
                  <w:vAlign w:val="center"/>
                </w:tcPr>
                <w:p>
                  <w:pPr>
                    <w:widowControl/>
                    <w:spacing w:line="360" w:lineRule="auto"/>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5743"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《参选函》中的内容按比选文件的要求填写并签字盖章</w:t>
                  </w:r>
                </w:p>
              </w:tc>
              <w:tc>
                <w:tcPr>
                  <w:tcW w:w="977"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color w:val="auto"/>
                      <w:szCs w:val="21"/>
                      <w:highlight w:val="none"/>
                      <w:shd w:val="clear" w:color="auto" w:fill="auto"/>
                    </w:rPr>
                  </w:pPr>
                </w:p>
              </w:tc>
              <w:tc>
                <w:tcPr>
                  <w:tcW w:w="10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97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88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94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r>
            <w:tr>
              <w:tblPrEx>
                <w:tblCellMar>
                  <w:top w:w="0" w:type="dxa"/>
                  <w:left w:w="108" w:type="dxa"/>
                  <w:bottom w:w="0" w:type="dxa"/>
                  <w:right w:w="108" w:type="dxa"/>
                </w:tblCellMar>
              </w:tblPrEx>
              <w:trPr>
                <w:trHeight w:val="541" w:hRule="atLeast"/>
                <w:jc w:val="center"/>
              </w:trPr>
              <w:tc>
                <w:tcPr>
                  <w:tcW w:w="798" w:type="dxa"/>
                  <w:tcBorders>
                    <w:top w:val="nil"/>
                    <w:left w:val="single" w:color="auto" w:sz="4" w:space="0"/>
                    <w:bottom w:val="single" w:color="auto" w:sz="4" w:space="0"/>
                    <w:right w:val="nil"/>
                  </w:tcBorders>
                  <w:vAlign w:val="center"/>
                </w:tcPr>
                <w:p>
                  <w:pPr>
                    <w:widowControl/>
                    <w:spacing w:line="360" w:lineRule="auto"/>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w:t>
                  </w:r>
                </w:p>
              </w:tc>
              <w:tc>
                <w:tcPr>
                  <w:tcW w:w="5743"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参选人的总报价及分项报价均不高于控制价</w:t>
                  </w:r>
                </w:p>
              </w:tc>
              <w:tc>
                <w:tcPr>
                  <w:tcW w:w="977"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color w:val="auto"/>
                      <w:szCs w:val="21"/>
                      <w:highlight w:val="none"/>
                      <w:shd w:val="clear" w:color="auto" w:fill="auto"/>
                    </w:rPr>
                  </w:pPr>
                </w:p>
              </w:tc>
              <w:tc>
                <w:tcPr>
                  <w:tcW w:w="10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97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88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94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r>
            <w:tr>
              <w:tblPrEx>
                <w:tblCellMar>
                  <w:top w:w="0" w:type="dxa"/>
                  <w:left w:w="108" w:type="dxa"/>
                  <w:bottom w:w="0" w:type="dxa"/>
                  <w:right w:w="108" w:type="dxa"/>
                </w:tblCellMar>
              </w:tblPrEx>
              <w:trPr>
                <w:trHeight w:val="541" w:hRule="atLeast"/>
                <w:jc w:val="center"/>
              </w:trPr>
              <w:tc>
                <w:tcPr>
                  <w:tcW w:w="798" w:type="dxa"/>
                  <w:tcBorders>
                    <w:top w:val="nil"/>
                    <w:left w:val="single" w:color="auto" w:sz="4" w:space="0"/>
                    <w:bottom w:val="single" w:color="auto" w:sz="4" w:space="0"/>
                    <w:right w:val="nil"/>
                  </w:tcBorders>
                  <w:vAlign w:val="center"/>
                </w:tcPr>
                <w:p>
                  <w:pPr>
                    <w:widowControl/>
                    <w:spacing w:line="360" w:lineRule="auto"/>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4</w:t>
                  </w:r>
                </w:p>
              </w:tc>
              <w:tc>
                <w:tcPr>
                  <w:tcW w:w="5743"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参选人的报价清单与比选文件报价清单项目内容一致</w:t>
                  </w:r>
                </w:p>
              </w:tc>
              <w:tc>
                <w:tcPr>
                  <w:tcW w:w="977"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color w:val="auto"/>
                      <w:szCs w:val="21"/>
                      <w:highlight w:val="none"/>
                      <w:shd w:val="clear" w:color="auto" w:fill="auto"/>
                    </w:rPr>
                  </w:pPr>
                </w:p>
              </w:tc>
              <w:tc>
                <w:tcPr>
                  <w:tcW w:w="10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97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88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94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r>
            <w:tr>
              <w:tblPrEx>
                <w:tblCellMar>
                  <w:top w:w="0" w:type="dxa"/>
                  <w:left w:w="108" w:type="dxa"/>
                  <w:bottom w:w="0" w:type="dxa"/>
                  <w:right w:w="108" w:type="dxa"/>
                </w:tblCellMar>
              </w:tblPrEx>
              <w:trPr>
                <w:trHeight w:val="636" w:hRule="atLeast"/>
                <w:jc w:val="center"/>
              </w:trPr>
              <w:tc>
                <w:tcPr>
                  <w:tcW w:w="6541"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评 审 结 论</w:t>
                  </w:r>
                </w:p>
              </w:tc>
              <w:tc>
                <w:tcPr>
                  <w:tcW w:w="97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10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97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88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94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r>
          </w:tbl>
          <w:p>
            <w:pPr>
              <w:tabs>
                <w:tab w:val="left" w:pos="0"/>
              </w:tabs>
              <w:snapToGrid w:val="0"/>
              <w:spacing w:line="360" w:lineRule="auto"/>
              <w:rPr>
                <w:rFonts w:ascii="宋体" w:hAnsi="宋体" w:cs="宋体"/>
                <w:color w:val="auto"/>
                <w:szCs w:val="21"/>
                <w:highlight w:val="none"/>
                <w:shd w:val="clear" w:color="auto" w:fill="auto"/>
              </w:rPr>
            </w:pPr>
            <w:r>
              <w:rPr>
                <w:rFonts w:hint="eastAsia" w:ascii="宋体" w:hAnsi="宋体" w:cs="宋体"/>
                <w:b/>
                <w:color w:val="auto"/>
                <w:szCs w:val="21"/>
                <w:highlight w:val="none"/>
                <w:shd w:val="clear" w:color="auto" w:fill="auto"/>
              </w:rPr>
              <w:t>说明：</w:t>
            </w:r>
            <w:r>
              <w:rPr>
                <w:rFonts w:hint="eastAsia" w:ascii="宋体" w:hAnsi="宋体" w:cs="宋体"/>
                <w:color w:val="auto"/>
                <w:szCs w:val="21"/>
                <w:highlight w:val="none"/>
                <w:shd w:val="clear" w:color="auto" w:fill="auto"/>
              </w:rPr>
              <w:t>1、评审通过的用“√”表示，未通过的用“×”表示。结论用“合格”或“不合格”表示。</w:t>
            </w:r>
          </w:p>
          <w:p>
            <w:pPr>
              <w:tabs>
                <w:tab w:val="left" w:pos="0"/>
              </w:tabs>
              <w:snapToGrid w:val="0"/>
              <w:spacing w:line="360" w:lineRule="auto"/>
              <w:ind w:firstLine="630" w:firstLineChars="3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2、只有以上项目全部通过，评审结论为“合格”，否则结论为“不合格”。</w:t>
            </w:r>
          </w:p>
          <w:p>
            <w:pPr>
              <w:tabs>
                <w:tab w:val="left" w:pos="0"/>
              </w:tabs>
              <w:snapToGrid w:val="0"/>
              <w:spacing w:line="360" w:lineRule="auto"/>
              <w:ind w:firstLine="422" w:firstLineChars="200"/>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评委（签名）：</w:t>
            </w:r>
          </w:p>
          <w:p>
            <w:pPr>
              <w:tabs>
                <w:tab w:val="left" w:pos="0"/>
              </w:tabs>
              <w:snapToGrid w:val="0"/>
              <w:spacing w:line="360" w:lineRule="auto"/>
              <w:ind w:firstLine="422" w:firstLineChars="200"/>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监督（签名）：</w:t>
            </w:r>
          </w:p>
          <w:p>
            <w:pPr>
              <w:tabs>
                <w:tab w:val="left" w:pos="0"/>
              </w:tabs>
              <w:snapToGrid w:val="0"/>
              <w:spacing w:line="360" w:lineRule="auto"/>
              <w:ind w:firstLine="422" w:firstLineChars="200"/>
              <w:jc w:val="right"/>
              <w:rPr>
                <w:rFonts w:ascii="宋体" w:hAnsi="宋体" w:cs="宋体"/>
                <w:color w:val="auto"/>
                <w:szCs w:val="21"/>
                <w:highlight w:val="none"/>
                <w:shd w:val="clear" w:color="auto" w:fill="auto"/>
              </w:rPr>
            </w:pPr>
            <w:r>
              <w:rPr>
                <w:rFonts w:hint="eastAsia" w:ascii="宋体" w:hAnsi="宋体" w:cs="宋体"/>
                <w:b/>
                <w:color w:val="auto"/>
                <w:szCs w:val="21"/>
                <w:highlight w:val="none"/>
                <w:shd w:val="clear" w:color="auto" w:fill="auto"/>
              </w:rPr>
              <w:t>日期：</w:t>
            </w:r>
            <w:r>
              <w:rPr>
                <w:rFonts w:hint="eastAsia" w:ascii="宋体" w:hAnsi="宋体" w:cs="宋体"/>
                <w:color w:val="auto"/>
                <w:szCs w:val="21"/>
                <w:highlight w:val="none"/>
                <w:shd w:val="clear" w:color="auto" w:fill="auto"/>
              </w:rPr>
              <w:t xml:space="preserve">     年    月    日</w:t>
            </w:r>
          </w:p>
          <w:p>
            <w:pPr>
              <w:widowControl/>
              <w:spacing w:line="360" w:lineRule="auto"/>
              <w:rPr>
                <w:rFonts w:ascii="宋体" w:hAnsi="宋体" w:cs="宋体"/>
                <w:b/>
                <w:color w:val="auto"/>
                <w:szCs w:val="21"/>
                <w:highlight w:val="none"/>
                <w:shd w:val="clear" w:color="auto" w:fill="auto"/>
              </w:rPr>
            </w:pPr>
          </w:p>
          <w:p>
            <w:pPr>
              <w:pStyle w:val="47"/>
              <w:ind w:firstLine="402"/>
              <w:rPr>
                <w:rFonts w:hAnsi="宋体" w:cs="宋体"/>
                <w:b/>
                <w:color w:val="auto"/>
                <w:szCs w:val="21"/>
                <w:highlight w:val="none"/>
                <w:shd w:val="clear" w:color="auto" w:fill="auto"/>
              </w:rPr>
            </w:pPr>
          </w:p>
          <w:p>
            <w:pPr>
              <w:pStyle w:val="47"/>
              <w:ind w:firstLine="402"/>
              <w:rPr>
                <w:rFonts w:hAnsi="宋体" w:cs="宋体"/>
                <w:b/>
                <w:color w:val="auto"/>
                <w:szCs w:val="21"/>
                <w:highlight w:val="none"/>
                <w:shd w:val="clear" w:color="auto" w:fill="auto"/>
              </w:rPr>
            </w:pPr>
          </w:p>
          <w:p>
            <w:pPr>
              <w:pStyle w:val="47"/>
              <w:ind w:firstLine="402"/>
              <w:rPr>
                <w:rFonts w:hAnsi="宋体" w:cs="宋体"/>
                <w:b/>
                <w:color w:val="auto"/>
                <w:szCs w:val="21"/>
                <w:highlight w:val="none"/>
                <w:shd w:val="clear" w:color="auto" w:fill="auto"/>
              </w:rPr>
            </w:pPr>
          </w:p>
          <w:p>
            <w:pPr>
              <w:pStyle w:val="47"/>
              <w:ind w:firstLine="402"/>
              <w:rPr>
                <w:rFonts w:hAnsi="宋体" w:cs="宋体"/>
                <w:b/>
                <w:color w:val="auto"/>
                <w:szCs w:val="21"/>
                <w:highlight w:val="none"/>
                <w:shd w:val="clear" w:color="auto" w:fill="auto"/>
              </w:rPr>
            </w:pPr>
          </w:p>
          <w:p>
            <w:pPr>
              <w:pStyle w:val="47"/>
              <w:ind w:firstLine="402"/>
              <w:rPr>
                <w:rFonts w:hAnsi="宋体" w:cs="宋体"/>
                <w:b/>
                <w:color w:val="auto"/>
                <w:szCs w:val="21"/>
                <w:highlight w:val="none"/>
                <w:shd w:val="clear" w:color="auto" w:fill="auto"/>
              </w:rPr>
            </w:pPr>
          </w:p>
          <w:p>
            <w:pPr>
              <w:pStyle w:val="47"/>
              <w:ind w:firstLine="402"/>
              <w:rPr>
                <w:rFonts w:hAnsi="宋体" w:cs="宋体"/>
                <w:b/>
                <w:color w:val="auto"/>
                <w:szCs w:val="21"/>
                <w:highlight w:val="none"/>
                <w:shd w:val="clear" w:color="auto" w:fill="auto"/>
              </w:rPr>
            </w:pPr>
          </w:p>
          <w:p>
            <w:pPr>
              <w:pStyle w:val="47"/>
              <w:ind w:firstLine="402"/>
              <w:rPr>
                <w:rFonts w:hAnsi="宋体" w:cs="宋体"/>
                <w:b/>
                <w:color w:val="auto"/>
                <w:szCs w:val="21"/>
                <w:highlight w:val="none"/>
                <w:shd w:val="clear" w:color="auto" w:fill="auto"/>
              </w:rPr>
            </w:pPr>
          </w:p>
          <w:p>
            <w:pPr>
              <w:widowControl/>
              <w:spacing w:line="360" w:lineRule="auto"/>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附表7：商务标详细评审表</w:t>
            </w:r>
          </w:p>
          <w:p>
            <w:pPr>
              <w:widowControl/>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商务标详细评审表</w:t>
            </w:r>
            <w:bookmarkEnd w:id="82"/>
          </w:p>
          <w:p>
            <w:pPr>
              <w:widowControl/>
              <w:spacing w:after="120" w:afterLines="50" w:line="360" w:lineRule="auto"/>
              <w:jc w:val="left"/>
              <w:rPr>
                <w:rFonts w:ascii="宋体" w:hAnsi="宋体" w:cs="宋体"/>
                <w:b/>
                <w:color w:val="auto"/>
                <w:kern w:val="0"/>
                <w:szCs w:val="21"/>
                <w:highlight w:val="none"/>
                <w:shd w:val="clear" w:color="auto" w:fill="auto"/>
              </w:rPr>
            </w:pPr>
            <w:r>
              <w:rPr>
                <w:rFonts w:hint="eastAsia" w:ascii="宋体" w:hAnsi="宋体" w:cs="宋体"/>
                <w:b/>
                <w:bCs/>
                <w:snapToGrid w:val="0"/>
                <w:color w:val="auto"/>
                <w:szCs w:val="21"/>
                <w:highlight w:val="none"/>
                <w:shd w:val="clear" w:color="auto" w:fill="auto"/>
              </w:rPr>
              <w:t>项目名称：</w:t>
            </w:r>
            <w:r>
              <w:rPr>
                <w:rFonts w:hint="eastAsia" w:ascii="宋体" w:hAnsi="宋体"/>
                <w:b/>
                <w:color w:val="auto"/>
                <w:sz w:val="24"/>
                <w:szCs w:val="24"/>
                <w:highlight w:val="none"/>
                <w:shd w:val="clear" w:color="auto" w:fill="auto"/>
                <w:lang w:val="en-US" w:eastAsia="zh-CN"/>
              </w:rPr>
              <w:t>深铁置业产品标准化体系发布会项目</w:t>
            </w:r>
            <w:r>
              <w:rPr>
                <w:rFonts w:hint="eastAsia" w:ascii="宋体" w:hAnsi="宋体" w:cs="宋体"/>
                <w:b/>
                <w:color w:val="auto"/>
                <w:kern w:val="0"/>
                <w:sz w:val="24"/>
                <w:szCs w:val="24"/>
                <w:highlight w:val="none"/>
                <w:shd w:val="clear" w:color="auto" w:fill="auto"/>
              </w:rPr>
              <w:t xml:space="preserve">  </w:t>
            </w:r>
          </w:p>
        </w:tc>
      </w:tr>
      <w:tr>
        <w:tblPrEx>
          <w:tblCellMar>
            <w:top w:w="0" w:type="dxa"/>
            <w:left w:w="0" w:type="dxa"/>
            <w:bottom w:w="0" w:type="dxa"/>
            <w:right w:w="0" w:type="dxa"/>
          </w:tblCellMar>
        </w:tblPrEx>
        <w:trPr>
          <w:trHeight w:val="261" w:hRule="atLeast"/>
          <w:jc w:val="center"/>
        </w:trPr>
        <w:tc>
          <w:tcPr>
            <w:tcW w:w="610" w:type="dxa"/>
            <w:gridSpan w:val="2"/>
            <w:vMerge w:val="restart"/>
            <w:tcBorders>
              <w:top w:val="single" w:color="auto" w:sz="4" w:space="0"/>
              <w:left w:val="single" w:color="auto" w:sz="8" w:space="0"/>
              <w:right w:val="single" w:color="auto" w:sz="4" w:space="0"/>
            </w:tcBorders>
            <w:vAlign w:val="center"/>
          </w:tcPr>
          <w:p>
            <w:pPr>
              <w:widowControl/>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序号</w:t>
            </w:r>
          </w:p>
        </w:tc>
        <w:tc>
          <w:tcPr>
            <w:tcW w:w="1074" w:type="dxa"/>
            <w:vMerge w:val="restart"/>
            <w:tcBorders>
              <w:top w:val="single" w:color="auto" w:sz="4" w:space="0"/>
              <w:left w:val="single" w:color="auto" w:sz="4" w:space="0"/>
              <w:right w:val="single" w:color="auto" w:sz="4" w:space="0"/>
            </w:tcBorders>
            <w:vAlign w:val="center"/>
          </w:tcPr>
          <w:p>
            <w:pPr>
              <w:widowControl/>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评审内容</w:t>
            </w:r>
          </w:p>
        </w:tc>
        <w:tc>
          <w:tcPr>
            <w:tcW w:w="5129" w:type="dxa"/>
            <w:vMerge w:val="restart"/>
            <w:tcBorders>
              <w:top w:val="single" w:color="auto" w:sz="4" w:space="0"/>
              <w:left w:val="nil"/>
              <w:right w:val="single" w:color="auto" w:sz="4" w:space="0"/>
            </w:tcBorders>
            <w:vAlign w:val="center"/>
          </w:tcPr>
          <w:p>
            <w:pPr>
              <w:widowControl/>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评审标准</w:t>
            </w:r>
          </w:p>
        </w:tc>
        <w:tc>
          <w:tcPr>
            <w:tcW w:w="977" w:type="dxa"/>
            <w:vMerge w:val="restart"/>
            <w:tcBorders>
              <w:top w:val="single" w:color="auto" w:sz="4" w:space="0"/>
              <w:left w:val="nil"/>
              <w:right w:val="single" w:color="auto" w:sz="4" w:space="0"/>
            </w:tcBorders>
            <w:vAlign w:val="center"/>
          </w:tcPr>
          <w:p>
            <w:pPr>
              <w:widowControl/>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基准价</w:t>
            </w:r>
          </w:p>
        </w:tc>
        <w:tc>
          <w:tcPr>
            <w:tcW w:w="5923" w:type="dxa"/>
            <w:gridSpan w:val="4"/>
            <w:tcBorders>
              <w:top w:val="single" w:color="auto" w:sz="4" w:space="0"/>
              <w:left w:val="nil"/>
              <w:right w:val="single" w:color="auto" w:sz="4" w:space="0"/>
            </w:tcBorders>
          </w:tcPr>
          <w:p>
            <w:pPr>
              <w:widowControl/>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参选人名称</w:t>
            </w:r>
          </w:p>
        </w:tc>
      </w:tr>
      <w:tr>
        <w:tblPrEx>
          <w:tblCellMar>
            <w:top w:w="0" w:type="dxa"/>
            <w:left w:w="0" w:type="dxa"/>
            <w:bottom w:w="0" w:type="dxa"/>
            <w:right w:w="0" w:type="dxa"/>
          </w:tblCellMar>
        </w:tblPrEx>
        <w:trPr>
          <w:trHeight w:val="261" w:hRule="atLeast"/>
          <w:jc w:val="center"/>
        </w:trPr>
        <w:tc>
          <w:tcPr>
            <w:tcW w:w="610" w:type="dxa"/>
            <w:gridSpan w:val="2"/>
            <w:vMerge w:val="continue"/>
            <w:tcBorders>
              <w:left w:val="single" w:color="auto" w:sz="8" w:space="0"/>
              <w:bottom w:val="single" w:color="auto" w:sz="4" w:space="0"/>
              <w:right w:val="single" w:color="auto" w:sz="4" w:space="0"/>
            </w:tcBorders>
            <w:vAlign w:val="center"/>
          </w:tcPr>
          <w:p>
            <w:pPr>
              <w:widowControl/>
              <w:spacing w:line="360" w:lineRule="auto"/>
              <w:jc w:val="center"/>
              <w:rPr>
                <w:color w:val="auto"/>
                <w:highlight w:val="none"/>
                <w:shd w:val="clear" w:color="auto" w:fill="auto"/>
              </w:rPr>
            </w:pPr>
          </w:p>
        </w:tc>
        <w:tc>
          <w:tcPr>
            <w:tcW w:w="1074" w:type="dxa"/>
            <w:vMerge w:val="continue"/>
            <w:tcBorders>
              <w:left w:val="single" w:color="auto" w:sz="4" w:space="0"/>
              <w:bottom w:val="single" w:color="auto" w:sz="4" w:space="0"/>
              <w:right w:val="single" w:color="auto" w:sz="4" w:space="0"/>
            </w:tcBorders>
            <w:vAlign w:val="center"/>
          </w:tcPr>
          <w:p>
            <w:pPr>
              <w:widowControl/>
              <w:spacing w:line="360" w:lineRule="auto"/>
              <w:jc w:val="center"/>
              <w:rPr>
                <w:color w:val="auto"/>
                <w:highlight w:val="none"/>
                <w:shd w:val="clear" w:color="auto" w:fill="auto"/>
              </w:rPr>
            </w:pPr>
          </w:p>
        </w:tc>
        <w:tc>
          <w:tcPr>
            <w:tcW w:w="5129" w:type="dxa"/>
            <w:vMerge w:val="continue"/>
            <w:tcBorders>
              <w:left w:val="nil"/>
              <w:bottom w:val="single" w:color="auto" w:sz="4" w:space="0"/>
              <w:right w:val="single" w:color="auto" w:sz="4" w:space="0"/>
            </w:tcBorders>
            <w:vAlign w:val="center"/>
          </w:tcPr>
          <w:p>
            <w:pPr>
              <w:widowControl/>
              <w:spacing w:line="360" w:lineRule="auto"/>
              <w:jc w:val="center"/>
              <w:rPr>
                <w:color w:val="auto"/>
                <w:highlight w:val="none"/>
                <w:shd w:val="clear" w:color="auto" w:fill="auto"/>
              </w:rPr>
            </w:pPr>
          </w:p>
        </w:tc>
        <w:tc>
          <w:tcPr>
            <w:tcW w:w="977" w:type="dxa"/>
            <w:vMerge w:val="continue"/>
            <w:tcBorders>
              <w:left w:val="nil"/>
              <w:bottom w:val="single" w:color="auto" w:sz="4" w:space="0"/>
              <w:right w:val="single" w:color="auto" w:sz="4" w:space="0"/>
            </w:tcBorders>
            <w:vAlign w:val="center"/>
          </w:tcPr>
          <w:p>
            <w:pPr>
              <w:widowControl/>
              <w:spacing w:line="360" w:lineRule="auto"/>
              <w:jc w:val="center"/>
              <w:rPr>
                <w:color w:val="auto"/>
                <w:highlight w:val="none"/>
                <w:shd w:val="clear" w:color="auto" w:fill="auto"/>
              </w:rPr>
            </w:pPr>
          </w:p>
        </w:tc>
        <w:tc>
          <w:tcPr>
            <w:tcW w:w="146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
                <w:bCs/>
                <w:color w:val="auto"/>
                <w:kern w:val="0"/>
                <w:szCs w:val="21"/>
                <w:highlight w:val="none"/>
                <w:shd w:val="clear" w:color="auto" w:fill="auto"/>
              </w:rPr>
            </w:pPr>
          </w:p>
        </w:tc>
        <w:tc>
          <w:tcPr>
            <w:tcW w:w="146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
                <w:bCs/>
                <w:color w:val="auto"/>
                <w:kern w:val="0"/>
                <w:szCs w:val="21"/>
                <w:highlight w:val="none"/>
                <w:shd w:val="clear" w:color="auto" w:fill="auto"/>
              </w:rPr>
            </w:pPr>
          </w:p>
        </w:tc>
        <w:tc>
          <w:tcPr>
            <w:tcW w:w="1494"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宋体"/>
                <w:b/>
                <w:bCs/>
                <w:color w:val="auto"/>
                <w:kern w:val="0"/>
                <w:szCs w:val="21"/>
                <w:highlight w:val="none"/>
                <w:shd w:val="clear" w:color="auto" w:fill="auto"/>
              </w:rPr>
            </w:pPr>
          </w:p>
        </w:tc>
        <w:tc>
          <w:tcPr>
            <w:tcW w:w="149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color w:val="auto"/>
                <w:kern w:val="0"/>
                <w:szCs w:val="21"/>
                <w:highlight w:val="none"/>
                <w:shd w:val="clear" w:color="auto" w:fill="auto"/>
              </w:rPr>
            </w:pPr>
          </w:p>
        </w:tc>
      </w:tr>
      <w:tr>
        <w:tblPrEx>
          <w:tblCellMar>
            <w:top w:w="0" w:type="dxa"/>
            <w:left w:w="0" w:type="dxa"/>
            <w:bottom w:w="0" w:type="dxa"/>
            <w:right w:w="0" w:type="dxa"/>
          </w:tblCellMar>
        </w:tblPrEx>
        <w:trPr>
          <w:trHeight w:val="2209" w:hRule="atLeast"/>
          <w:jc w:val="center"/>
        </w:trPr>
        <w:tc>
          <w:tcPr>
            <w:tcW w:w="610" w:type="dxa"/>
            <w:gridSpan w:val="2"/>
            <w:tcBorders>
              <w:top w:val="nil"/>
              <w:left w:val="single" w:color="auto" w:sz="8"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p>
        </w:tc>
        <w:tc>
          <w:tcPr>
            <w:tcW w:w="1074" w:type="dxa"/>
            <w:tcBorders>
              <w:top w:val="nil"/>
              <w:left w:val="single" w:color="auto" w:sz="4" w:space="0"/>
              <w:bottom w:val="single" w:color="auto" w:sz="4" w:space="0"/>
              <w:right w:val="single" w:color="000000" w:sz="4" w:space="0"/>
            </w:tcBorders>
            <w:vAlign w:val="center"/>
          </w:tcPr>
          <w:p>
            <w:pPr>
              <w:adjustRightInd w:val="0"/>
              <w:snapToGrid w:val="0"/>
              <w:spacing w:line="360" w:lineRule="auto"/>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报 价</w:t>
            </w:r>
          </w:p>
          <w:p>
            <w:pPr>
              <w:adjustRightInd w:val="0"/>
              <w:snapToGrid w:val="0"/>
              <w:spacing w:line="360" w:lineRule="auto"/>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（万元）</w:t>
            </w:r>
          </w:p>
        </w:tc>
        <w:tc>
          <w:tcPr>
            <w:tcW w:w="5129" w:type="dxa"/>
            <w:vMerge w:val="restart"/>
            <w:tcBorders>
              <w:top w:val="nil"/>
              <w:left w:val="single" w:color="auto" w:sz="4" w:space="0"/>
              <w:right w:val="single" w:color="auto" w:sz="4" w:space="0"/>
            </w:tcBorders>
            <w:vAlign w:val="center"/>
          </w:tcPr>
          <w:p>
            <w:pPr>
              <w:adjustRightInd w:val="0"/>
              <w:snapToGrid w:val="0"/>
              <w:spacing w:line="360" w:lineRule="auto"/>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（1）商务标根据参选人所报的报价评分。</w:t>
            </w:r>
          </w:p>
          <w:p>
            <w:pPr>
              <w:adjustRightInd w:val="0"/>
              <w:snapToGrid w:val="0"/>
              <w:spacing w:line="360" w:lineRule="auto"/>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（2）商务分的确定：以进入商务标环节的所有参选人所报的服务费次低价为基准价且为满分</w:t>
            </w:r>
            <w:r>
              <w:rPr>
                <w:rFonts w:hint="eastAsia" w:ascii="宋体" w:hAnsi="宋体" w:cs="宋体"/>
                <w:color w:val="auto"/>
                <w:szCs w:val="21"/>
                <w:highlight w:val="none"/>
                <w:shd w:val="clear" w:color="auto" w:fill="auto"/>
                <w:lang w:val="en-US" w:eastAsia="zh-CN"/>
              </w:rPr>
              <w:t>3</w:t>
            </w:r>
            <w:r>
              <w:rPr>
                <w:rFonts w:hint="eastAsia" w:ascii="宋体" w:hAnsi="宋体" w:cs="宋体"/>
                <w:color w:val="auto"/>
                <w:szCs w:val="21"/>
                <w:highlight w:val="none"/>
                <w:shd w:val="clear" w:color="auto" w:fill="auto"/>
              </w:rPr>
              <w:t>0分。若进入商务标环节的参选人仅3家，则以最低价为基准价且满分。若次低价同时为最高价</w:t>
            </w:r>
            <w:r>
              <w:rPr>
                <w:rFonts w:hint="eastAsia" w:ascii="宋体" w:hAnsi="宋体" w:cs="宋体"/>
                <w:color w:val="auto"/>
                <w:szCs w:val="21"/>
                <w:highlight w:val="none"/>
                <w:shd w:val="clear" w:color="auto" w:fill="auto"/>
                <w:lang w:val="en-US" w:eastAsia="zh-CN"/>
              </w:rPr>
              <w:t>或次高价</w:t>
            </w:r>
            <w:r>
              <w:rPr>
                <w:rFonts w:hint="eastAsia" w:ascii="宋体" w:hAnsi="宋体" w:cs="宋体"/>
                <w:color w:val="auto"/>
                <w:szCs w:val="21"/>
                <w:highlight w:val="none"/>
                <w:shd w:val="clear" w:color="auto" w:fill="auto"/>
              </w:rPr>
              <w:t>，则以最低价为基准价且为满分。按下列公式计算：</w:t>
            </w:r>
          </w:p>
          <w:p>
            <w:pPr>
              <w:adjustRightInd w:val="0"/>
              <w:snapToGrid w:val="0"/>
              <w:spacing w:line="360" w:lineRule="auto"/>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Fn=（</w:t>
            </w:r>
            <w:r>
              <w:rPr>
                <w:rFonts w:hint="eastAsia" w:ascii="宋体" w:hAnsi="宋体" w:cs="宋体"/>
                <w:color w:val="auto"/>
                <w:szCs w:val="21"/>
                <w:highlight w:val="none"/>
                <w:shd w:val="clear" w:color="auto" w:fill="auto"/>
                <w:lang w:val="en-US" w:eastAsia="zh-CN"/>
              </w:rPr>
              <w:t>3</w:t>
            </w:r>
            <w:r>
              <w:rPr>
                <w:rFonts w:hint="eastAsia" w:ascii="宋体" w:hAnsi="宋体" w:cs="宋体"/>
                <w:color w:val="auto"/>
                <w:szCs w:val="21"/>
                <w:highlight w:val="none"/>
                <w:shd w:val="clear" w:color="auto" w:fill="auto"/>
              </w:rPr>
              <w:t>0 —</w:t>
            </w:r>
            <w:r>
              <w:rPr>
                <w:rFonts w:hint="eastAsia" w:ascii="宋体" w:hAnsi="宋体" w:cs="宋体"/>
                <w:color w:val="auto"/>
                <w:szCs w:val="21"/>
                <w:highlight w:val="none"/>
                <w:shd w:val="clear" w:color="auto" w:fill="auto"/>
                <w:lang w:val="en-US" w:eastAsia="zh-CN"/>
              </w:rPr>
              <w:t>3</w:t>
            </w:r>
            <w:r>
              <w:rPr>
                <w:rFonts w:hint="eastAsia" w:ascii="宋体" w:hAnsi="宋体" w:cs="宋体"/>
                <w:color w:val="auto"/>
                <w:szCs w:val="21"/>
                <w:highlight w:val="none"/>
                <w:shd w:val="clear" w:color="auto" w:fill="auto"/>
              </w:rPr>
              <w:t xml:space="preserve">0×│Sn-Sj│/Sj） </w:t>
            </w:r>
          </w:p>
          <w:p>
            <w:pPr>
              <w:adjustRightInd w:val="0"/>
              <w:snapToGrid w:val="0"/>
              <w:spacing w:line="360" w:lineRule="auto"/>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其中：Fn—第n参选人的商务得分（当Fn小于零分时，该参选人的商务得分按零分计）。</w:t>
            </w:r>
          </w:p>
          <w:p>
            <w:pPr>
              <w:adjustRightInd w:val="0"/>
              <w:snapToGrid w:val="0"/>
              <w:spacing w:line="360" w:lineRule="auto"/>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Sn—第n参选人的服务费</w:t>
            </w:r>
          </w:p>
          <w:p>
            <w:pPr>
              <w:adjustRightInd w:val="0"/>
              <w:snapToGrid w:val="0"/>
              <w:spacing w:line="360" w:lineRule="auto"/>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Sj—所有参选人所报的服务费基准价</w:t>
            </w:r>
          </w:p>
          <w:p>
            <w:pPr>
              <w:adjustRightInd w:val="0"/>
              <w:snapToGrid w:val="0"/>
              <w:spacing w:line="360" w:lineRule="auto"/>
              <w:jc w:val="left"/>
              <w:rPr>
                <w:rFonts w:ascii="宋体" w:hAnsi="宋体" w:cs="宋体"/>
                <w:color w:val="auto"/>
                <w:szCs w:val="21"/>
                <w:highlight w:val="none"/>
                <w:shd w:val="clear" w:color="auto" w:fill="auto"/>
              </w:rPr>
            </w:pPr>
          </w:p>
        </w:tc>
        <w:tc>
          <w:tcPr>
            <w:tcW w:w="977"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color w:val="auto"/>
                <w:szCs w:val="21"/>
                <w:highlight w:val="none"/>
                <w:shd w:val="clear" w:color="auto" w:fill="auto"/>
              </w:rPr>
            </w:pPr>
          </w:p>
        </w:tc>
        <w:tc>
          <w:tcPr>
            <w:tcW w:w="1466"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color w:val="auto"/>
                <w:szCs w:val="21"/>
                <w:highlight w:val="none"/>
                <w:shd w:val="clear" w:color="auto" w:fill="auto"/>
              </w:rPr>
            </w:pPr>
          </w:p>
        </w:tc>
        <w:tc>
          <w:tcPr>
            <w:tcW w:w="1466"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color w:val="auto"/>
                <w:szCs w:val="21"/>
                <w:highlight w:val="none"/>
                <w:shd w:val="clear" w:color="auto" w:fill="auto"/>
              </w:rPr>
            </w:pPr>
          </w:p>
        </w:tc>
        <w:tc>
          <w:tcPr>
            <w:tcW w:w="1494"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color w:val="auto"/>
                <w:szCs w:val="21"/>
                <w:highlight w:val="none"/>
                <w:shd w:val="clear" w:color="auto" w:fill="auto"/>
              </w:rPr>
            </w:pPr>
          </w:p>
        </w:tc>
        <w:tc>
          <w:tcPr>
            <w:tcW w:w="1497"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color w:val="auto"/>
                <w:szCs w:val="21"/>
                <w:highlight w:val="none"/>
                <w:shd w:val="clear" w:color="auto" w:fill="auto"/>
              </w:rPr>
            </w:pPr>
          </w:p>
        </w:tc>
      </w:tr>
      <w:tr>
        <w:tblPrEx>
          <w:tblCellMar>
            <w:top w:w="0" w:type="dxa"/>
            <w:left w:w="0" w:type="dxa"/>
            <w:bottom w:w="0" w:type="dxa"/>
            <w:right w:w="0" w:type="dxa"/>
          </w:tblCellMar>
        </w:tblPrEx>
        <w:trPr>
          <w:trHeight w:val="3055" w:hRule="atLeast"/>
          <w:jc w:val="center"/>
        </w:trPr>
        <w:tc>
          <w:tcPr>
            <w:tcW w:w="610" w:type="dxa"/>
            <w:gridSpan w:val="2"/>
            <w:tcBorders>
              <w:top w:val="nil"/>
              <w:left w:val="single" w:color="auto" w:sz="8"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p>
        </w:tc>
        <w:tc>
          <w:tcPr>
            <w:tcW w:w="1074" w:type="dxa"/>
            <w:tcBorders>
              <w:top w:val="nil"/>
              <w:left w:val="single" w:color="auto" w:sz="4" w:space="0"/>
              <w:bottom w:val="single" w:color="auto" w:sz="4" w:space="0"/>
              <w:right w:val="single" w:color="000000" w:sz="4" w:space="0"/>
            </w:tcBorders>
            <w:vAlign w:val="center"/>
          </w:tcPr>
          <w:p>
            <w:pPr>
              <w:adjustRightInd w:val="0"/>
              <w:snapToGrid w:val="0"/>
              <w:spacing w:line="360" w:lineRule="auto"/>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得分</w:t>
            </w:r>
          </w:p>
        </w:tc>
        <w:tc>
          <w:tcPr>
            <w:tcW w:w="5129" w:type="dxa"/>
            <w:vMerge w:val="continue"/>
            <w:tcBorders>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color w:val="auto"/>
                <w:szCs w:val="21"/>
                <w:highlight w:val="none"/>
                <w:shd w:val="clear" w:color="auto" w:fill="auto"/>
              </w:rPr>
            </w:pPr>
          </w:p>
        </w:tc>
        <w:tc>
          <w:tcPr>
            <w:tcW w:w="977"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color w:val="auto"/>
                <w:szCs w:val="21"/>
                <w:highlight w:val="none"/>
                <w:shd w:val="clear" w:color="auto" w:fill="auto"/>
              </w:rPr>
            </w:pPr>
          </w:p>
        </w:tc>
        <w:tc>
          <w:tcPr>
            <w:tcW w:w="1466" w:type="dxa"/>
            <w:tcBorders>
              <w:top w:val="nil"/>
              <w:left w:val="single" w:color="auto" w:sz="4" w:space="0"/>
              <w:bottom w:val="single" w:color="auto" w:sz="4" w:space="0"/>
              <w:right w:val="single" w:color="auto" w:sz="4" w:space="0"/>
            </w:tcBorders>
          </w:tcPr>
          <w:p>
            <w:pPr>
              <w:widowControl/>
              <w:adjustRightInd w:val="0"/>
              <w:snapToGrid w:val="0"/>
              <w:spacing w:line="360" w:lineRule="auto"/>
              <w:rPr>
                <w:rFonts w:ascii="宋体" w:hAnsi="宋体" w:cs="宋体"/>
                <w:color w:val="auto"/>
                <w:szCs w:val="21"/>
                <w:highlight w:val="none"/>
                <w:shd w:val="clear" w:color="auto" w:fill="auto"/>
              </w:rPr>
            </w:pPr>
          </w:p>
        </w:tc>
        <w:tc>
          <w:tcPr>
            <w:tcW w:w="1466"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color w:val="auto"/>
                <w:szCs w:val="21"/>
                <w:highlight w:val="none"/>
                <w:shd w:val="clear" w:color="auto" w:fill="auto"/>
              </w:rPr>
            </w:pPr>
          </w:p>
        </w:tc>
        <w:tc>
          <w:tcPr>
            <w:tcW w:w="1494"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color w:val="auto"/>
                <w:szCs w:val="21"/>
                <w:highlight w:val="none"/>
                <w:shd w:val="clear" w:color="auto" w:fill="auto"/>
              </w:rPr>
            </w:pPr>
          </w:p>
        </w:tc>
        <w:tc>
          <w:tcPr>
            <w:tcW w:w="1497"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color w:val="auto"/>
                <w:szCs w:val="21"/>
                <w:highlight w:val="none"/>
                <w:shd w:val="clear" w:color="auto" w:fill="auto"/>
              </w:rPr>
            </w:pPr>
          </w:p>
        </w:tc>
      </w:tr>
    </w:tbl>
    <w:p>
      <w:pPr>
        <w:adjustRightInd w:val="0"/>
        <w:snapToGrid w:val="0"/>
        <w:spacing w:line="360" w:lineRule="auto"/>
        <w:jc w:val="left"/>
        <w:rPr>
          <w:rFonts w:ascii="宋体" w:hAnsi="宋体" w:cs="宋体"/>
          <w:b/>
          <w:bCs/>
          <w:color w:val="auto"/>
          <w:kern w:val="0"/>
          <w:szCs w:val="21"/>
          <w:highlight w:val="none"/>
          <w:shd w:val="clear" w:color="auto" w:fill="auto"/>
        </w:rPr>
      </w:pPr>
      <w:r>
        <w:rPr>
          <w:rFonts w:hint="eastAsia" w:ascii="宋体" w:hAnsi="宋体" w:cs="宋体"/>
          <w:color w:val="auto"/>
          <w:szCs w:val="21"/>
          <w:highlight w:val="none"/>
          <w:shd w:val="clear" w:color="auto" w:fill="auto"/>
        </w:rPr>
        <w:t>注：商务标得分的算术平均值保留小数点后两位数字，且四舍五入。</w:t>
      </w:r>
    </w:p>
    <w:p>
      <w:pPr>
        <w:widowControl/>
        <w:spacing w:line="360" w:lineRule="auto"/>
        <w:rPr>
          <w:rFonts w:ascii="宋体" w:hAnsi="宋体" w:cs="宋体"/>
          <w:b/>
          <w:bCs/>
          <w:color w:val="auto"/>
          <w:kern w:val="0"/>
          <w:szCs w:val="21"/>
          <w:highlight w:val="none"/>
          <w:shd w:val="clear" w:color="auto" w:fill="auto"/>
        </w:rPr>
      </w:pPr>
      <w:r>
        <w:rPr>
          <w:rFonts w:hint="eastAsia" w:ascii="宋体" w:hAnsi="宋体" w:cs="宋体"/>
          <w:b/>
          <w:color w:val="auto"/>
          <w:szCs w:val="21"/>
          <w:highlight w:val="none"/>
          <w:shd w:val="clear" w:color="auto" w:fill="auto"/>
        </w:rPr>
        <w:t xml:space="preserve">评委（签名）： </w:t>
      </w:r>
    </w:p>
    <w:p>
      <w:pPr>
        <w:widowControl/>
        <w:spacing w:line="360" w:lineRule="auto"/>
        <w:jc w:val="left"/>
        <w:rPr>
          <w:rFonts w:ascii="宋体" w:hAnsi="宋体"/>
          <w:b/>
          <w:color w:val="auto"/>
          <w:sz w:val="24"/>
          <w:szCs w:val="24"/>
          <w:highlight w:val="none"/>
          <w:shd w:val="clear" w:color="auto" w:fill="auto"/>
        </w:rPr>
      </w:pPr>
      <w:r>
        <w:rPr>
          <w:rFonts w:hint="eastAsia" w:ascii="宋体" w:hAnsi="宋体" w:cs="宋体"/>
          <w:b/>
          <w:color w:val="auto"/>
          <w:szCs w:val="21"/>
          <w:highlight w:val="none"/>
          <w:shd w:val="clear" w:color="auto" w:fill="auto"/>
        </w:rPr>
        <w:t>监督（签名）：                                                                             日期：</w:t>
      </w:r>
      <w:r>
        <w:rPr>
          <w:rFonts w:hint="eastAsia" w:ascii="宋体" w:hAnsi="宋体" w:cs="宋体"/>
          <w:color w:val="auto"/>
          <w:szCs w:val="21"/>
          <w:highlight w:val="none"/>
          <w:shd w:val="clear" w:color="auto" w:fill="auto"/>
        </w:rPr>
        <w:t xml:space="preserve">     年    月    日</w:t>
      </w:r>
    </w:p>
    <w:p>
      <w:pPr>
        <w:widowControl/>
        <w:spacing w:line="360" w:lineRule="auto"/>
        <w:jc w:val="left"/>
        <w:rPr>
          <w:rFonts w:ascii="宋体" w:hAnsi="宋体"/>
          <w:b/>
          <w:color w:val="auto"/>
          <w:sz w:val="24"/>
          <w:szCs w:val="24"/>
          <w:highlight w:val="none"/>
          <w:shd w:val="clear" w:color="auto" w:fill="auto"/>
        </w:rPr>
      </w:pPr>
    </w:p>
    <w:p>
      <w:pPr>
        <w:widowControl/>
        <w:spacing w:line="360" w:lineRule="auto"/>
        <w:jc w:val="left"/>
        <w:rPr>
          <w:rFonts w:ascii="宋体" w:hAnsi="宋体"/>
          <w:b/>
          <w:color w:val="auto"/>
          <w:sz w:val="24"/>
          <w:szCs w:val="24"/>
          <w:highlight w:val="none"/>
          <w:shd w:val="clear" w:color="auto" w:fill="auto"/>
        </w:rPr>
      </w:pPr>
    </w:p>
    <w:p>
      <w:pPr>
        <w:widowControl/>
        <w:spacing w:line="360" w:lineRule="auto"/>
        <w:jc w:val="left"/>
        <w:rPr>
          <w:rFonts w:ascii="宋体" w:hAnsi="宋体" w:cs="宋体"/>
          <w:b/>
          <w:bCs/>
          <w:color w:val="auto"/>
          <w:kern w:val="0"/>
          <w:sz w:val="24"/>
          <w:szCs w:val="24"/>
          <w:highlight w:val="none"/>
          <w:shd w:val="clear" w:color="auto" w:fill="auto"/>
        </w:rPr>
      </w:pPr>
      <w:r>
        <w:rPr>
          <w:rFonts w:hint="eastAsia" w:ascii="宋体" w:hAnsi="宋体"/>
          <w:b/>
          <w:color w:val="auto"/>
          <w:sz w:val="24"/>
          <w:szCs w:val="24"/>
          <w:highlight w:val="none"/>
          <w:shd w:val="clear" w:color="auto" w:fill="auto"/>
        </w:rPr>
        <w:t>附表8：最终得分结果汇总表</w:t>
      </w:r>
    </w:p>
    <w:p>
      <w:pPr>
        <w:widowControl/>
        <w:spacing w:line="360" w:lineRule="auto"/>
        <w:jc w:val="center"/>
        <w:rPr>
          <w:rFonts w:ascii="宋体" w:hAnsi="宋体" w:cs="宋体"/>
          <w:b/>
          <w:bCs/>
          <w:color w:val="auto"/>
          <w:kern w:val="0"/>
          <w:sz w:val="32"/>
          <w:szCs w:val="32"/>
          <w:highlight w:val="none"/>
          <w:shd w:val="clear" w:color="auto" w:fill="auto"/>
        </w:rPr>
      </w:pPr>
      <w:r>
        <w:rPr>
          <w:rFonts w:hint="eastAsia" w:ascii="宋体" w:hAnsi="宋体" w:cs="宋体"/>
          <w:b/>
          <w:bCs/>
          <w:color w:val="auto"/>
          <w:kern w:val="0"/>
          <w:sz w:val="32"/>
          <w:szCs w:val="32"/>
          <w:highlight w:val="none"/>
          <w:shd w:val="clear" w:color="auto" w:fill="auto"/>
        </w:rPr>
        <w:t>最终得分结果汇总表</w:t>
      </w:r>
    </w:p>
    <w:p>
      <w:pPr>
        <w:widowControl/>
        <w:overflowPunct w:val="0"/>
        <w:autoSpaceDE w:val="0"/>
        <w:autoSpaceDN w:val="0"/>
        <w:adjustRightInd w:val="0"/>
        <w:spacing w:line="360" w:lineRule="auto"/>
        <w:ind w:firstLine="454"/>
        <w:jc w:val="left"/>
        <w:textAlignment w:val="baseline"/>
        <w:rPr>
          <w:rFonts w:ascii="宋体" w:hAnsi="宋体" w:cs="宋体"/>
          <w:b/>
          <w:bCs/>
          <w:snapToGrid w:val="0"/>
          <w:color w:val="auto"/>
          <w:kern w:val="0"/>
          <w:szCs w:val="21"/>
          <w:highlight w:val="none"/>
          <w:shd w:val="clear" w:color="auto" w:fill="auto"/>
        </w:rPr>
      </w:pPr>
      <w:r>
        <w:rPr>
          <w:rFonts w:hint="eastAsia" w:ascii="宋体" w:hAnsi="宋体" w:cs="宋体"/>
          <w:b/>
          <w:bCs/>
          <w:snapToGrid w:val="0"/>
          <w:color w:val="auto"/>
          <w:szCs w:val="21"/>
          <w:highlight w:val="none"/>
          <w:shd w:val="clear" w:color="auto" w:fill="auto"/>
        </w:rPr>
        <w:t>项目名称：</w:t>
      </w:r>
      <w:r>
        <w:rPr>
          <w:rFonts w:hint="eastAsia" w:ascii="宋体" w:hAnsi="宋体"/>
          <w:b/>
          <w:color w:val="auto"/>
          <w:sz w:val="24"/>
          <w:szCs w:val="24"/>
          <w:highlight w:val="none"/>
          <w:shd w:val="clear" w:color="auto" w:fill="auto"/>
          <w:lang w:val="en-US" w:eastAsia="zh-CN"/>
        </w:rPr>
        <w:t>深铁置业产品标准化体系发布会项目</w:t>
      </w:r>
      <w:r>
        <w:rPr>
          <w:rFonts w:hint="eastAsia" w:ascii="宋体" w:hAnsi="宋体" w:cs="宋体"/>
          <w:b/>
          <w:color w:val="auto"/>
          <w:kern w:val="0"/>
          <w:sz w:val="24"/>
          <w:szCs w:val="24"/>
          <w:highlight w:val="none"/>
          <w:shd w:val="clear" w:color="auto" w:fill="auto"/>
        </w:rPr>
        <w:t xml:space="preserve">  </w:t>
      </w:r>
    </w:p>
    <w:tbl>
      <w:tblPr>
        <w:tblStyle w:val="48"/>
        <w:tblW w:w="14356" w:type="dxa"/>
        <w:jc w:val="center"/>
        <w:tblLayout w:type="fixed"/>
        <w:tblCellMar>
          <w:top w:w="0" w:type="dxa"/>
          <w:left w:w="0" w:type="dxa"/>
          <w:bottom w:w="0" w:type="dxa"/>
          <w:right w:w="0" w:type="dxa"/>
        </w:tblCellMar>
      </w:tblPr>
      <w:tblGrid>
        <w:gridCol w:w="759"/>
        <w:gridCol w:w="4185"/>
        <w:gridCol w:w="2305"/>
        <w:gridCol w:w="2405"/>
        <w:gridCol w:w="1967"/>
        <w:gridCol w:w="2735"/>
      </w:tblGrid>
      <w:tr>
        <w:tblPrEx>
          <w:tblCellMar>
            <w:top w:w="0" w:type="dxa"/>
            <w:left w:w="0" w:type="dxa"/>
            <w:bottom w:w="0" w:type="dxa"/>
            <w:right w:w="0" w:type="dxa"/>
          </w:tblCellMar>
        </w:tblPrEx>
        <w:trPr>
          <w:trHeight w:val="146"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序号</w:t>
            </w:r>
          </w:p>
        </w:tc>
        <w:tc>
          <w:tcPr>
            <w:tcW w:w="418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参选人</w:t>
            </w:r>
          </w:p>
        </w:tc>
        <w:tc>
          <w:tcPr>
            <w:tcW w:w="23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En</w:t>
            </w:r>
          </w:p>
          <w:p>
            <w:pPr>
              <w:spacing w:line="360"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（技术标得分）</w:t>
            </w:r>
          </w:p>
        </w:tc>
        <w:tc>
          <w:tcPr>
            <w:tcW w:w="24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Fn</w:t>
            </w:r>
          </w:p>
          <w:p>
            <w:pPr>
              <w:spacing w:line="360"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An</w:t>
            </w:r>
          </w:p>
          <w:p>
            <w:pPr>
              <w:spacing w:line="360"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（最终得分）</w:t>
            </w:r>
          </w:p>
        </w:tc>
        <w:tc>
          <w:tcPr>
            <w:tcW w:w="273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备注</w:t>
            </w:r>
          </w:p>
        </w:tc>
      </w:tr>
      <w:tr>
        <w:tblPrEx>
          <w:tblCellMar>
            <w:top w:w="0" w:type="dxa"/>
            <w:left w:w="0" w:type="dxa"/>
            <w:bottom w:w="0" w:type="dxa"/>
            <w:right w:w="0" w:type="dxa"/>
          </w:tblCellMar>
        </w:tblPrEx>
        <w:trPr>
          <w:trHeight w:val="47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color w:val="auto"/>
                <w:szCs w:val="21"/>
                <w:highlight w:val="none"/>
                <w:shd w:val="clear" w:color="auto" w:fill="auto"/>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color w:val="auto"/>
                <w:szCs w:val="21"/>
                <w:highlight w:val="none"/>
                <w:shd w:val="clear" w:color="auto" w:fill="auto"/>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color w:val="auto"/>
                <w:szCs w:val="21"/>
                <w:highlight w:val="none"/>
                <w:shd w:val="clear" w:color="auto" w:fill="auto"/>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color w:val="auto"/>
                <w:szCs w:val="21"/>
                <w:highlight w:val="none"/>
                <w:shd w:val="clear" w:color="auto" w:fill="auto"/>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An=En+Fn</w:t>
            </w:r>
          </w:p>
          <w:p>
            <w:pPr>
              <w:spacing w:line="360" w:lineRule="auto"/>
              <w:jc w:val="center"/>
              <w:rPr>
                <w:rFonts w:ascii="宋体" w:hAnsi="宋体" w:cs="宋体"/>
                <w:color w:val="auto"/>
                <w:szCs w:val="21"/>
                <w:highlight w:val="none"/>
                <w:shd w:val="clear" w:color="auto" w:fill="auto"/>
              </w:rPr>
            </w:pPr>
          </w:p>
        </w:tc>
      </w:tr>
      <w:tr>
        <w:tblPrEx>
          <w:tblCellMar>
            <w:top w:w="0" w:type="dxa"/>
            <w:left w:w="0" w:type="dxa"/>
            <w:bottom w:w="0" w:type="dxa"/>
            <w:right w:w="0" w:type="dxa"/>
          </w:tblCellMar>
        </w:tblPrEx>
        <w:trPr>
          <w:trHeight w:val="52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color w:val="auto"/>
                <w:szCs w:val="21"/>
                <w:highlight w:val="none"/>
                <w:shd w:val="clear" w:color="auto" w:fill="auto"/>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color w:val="auto"/>
                <w:szCs w:val="21"/>
                <w:highlight w:val="none"/>
                <w:shd w:val="clear" w:color="auto" w:fill="auto"/>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color w:val="auto"/>
                <w:szCs w:val="21"/>
                <w:highlight w:val="none"/>
                <w:shd w:val="clear" w:color="auto" w:fill="auto"/>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color w:val="auto"/>
                <w:szCs w:val="21"/>
                <w:highlight w:val="none"/>
                <w:shd w:val="clear" w:color="auto" w:fill="auto"/>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color w:val="auto"/>
                <w:szCs w:val="21"/>
                <w:highlight w:val="none"/>
                <w:shd w:val="clear" w:color="auto" w:fill="auto"/>
              </w:rPr>
            </w:pPr>
          </w:p>
        </w:tc>
      </w:tr>
      <w:tr>
        <w:tblPrEx>
          <w:tblCellMar>
            <w:top w:w="0" w:type="dxa"/>
            <w:left w:w="0" w:type="dxa"/>
            <w:bottom w:w="0" w:type="dxa"/>
            <w:right w:w="0" w:type="dxa"/>
          </w:tblCellMar>
        </w:tblPrEx>
        <w:trPr>
          <w:trHeight w:val="52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color w:val="auto"/>
                <w:szCs w:val="21"/>
                <w:highlight w:val="none"/>
                <w:shd w:val="clear" w:color="auto" w:fill="auto"/>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color w:val="auto"/>
                <w:szCs w:val="21"/>
                <w:highlight w:val="none"/>
                <w:shd w:val="clear" w:color="auto" w:fill="auto"/>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color w:val="auto"/>
                <w:szCs w:val="21"/>
                <w:highlight w:val="none"/>
                <w:shd w:val="clear" w:color="auto" w:fill="auto"/>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color w:val="auto"/>
                <w:szCs w:val="21"/>
                <w:highlight w:val="none"/>
                <w:shd w:val="clear" w:color="auto" w:fill="auto"/>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color w:val="auto"/>
                <w:szCs w:val="21"/>
                <w:highlight w:val="none"/>
                <w:shd w:val="clear" w:color="auto" w:fill="auto"/>
              </w:rPr>
            </w:pPr>
          </w:p>
        </w:tc>
      </w:tr>
      <w:tr>
        <w:tblPrEx>
          <w:tblCellMar>
            <w:top w:w="0" w:type="dxa"/>
            <w:left w:w="0" w:type="dxa"/>
            <w:bottom w:w="0" w:type="dxa"/>
            <w:right w:w="0" w:type="dxa"/>
          </w:tblCellMar>
        </w:tblPrEx>
        <w:trPr>
          <w:trHeight w:val="44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color w:val="auto"/>
                <w:szCs w:val="21"/>
                <w:highlight w:val="none"/>
                <w:shd w:val="clear" w:color="auto" w:fill="auto"/>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color w:val="auto"/>
                <w:szCs w:val="21"/>
                <w:highlight w:val="none"/>
                <w:shd w:val="clear" w:color="auto" w:fill="auto"/>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color w:val="auto"/>
                <w:szCs w:val="21"/>
                <w:highlight w:val="none"/>
                <w:shd w:val="clear" w:color="auto" w:fill="auto"/>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color w:val="auto"/>
                <w:szCs w:val="21"/>
                <w:highlight w:val="none"/>
                <w:shd w:val="clear" w:color="auto" w:fill="auto"/>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color w:val="auto"/>
                <w:szCs w:val="21"/>
                <w:highlight w:val="none"/>
                <w:shd w:val="clear" w:color="auto" w:fill="auto"/>
              </w:rPr>
            </w:pPr>
          </w:p>
        </w:tc>
      </w:tr>
    </w:tbl>
    <w:p>
      <w:pPr>
        <w:spacing w:line="360" w:lineRule="auto"/>
        <w:rPr>
          <w:rFonts w:ascii="宋体" w:hAnsi="宋体" w:cs="宋体"/>
          <w:color w:val="auto"/>
          <w:szCs w:val="21"/>
          <w:highlight w:val="none"/>
          <w:shd w:val="clear" w:color="auto" w:fill="auto"/>
        </w:rPr>
      </w:pPr>
    </w:p>
    <w:p>
      <w:pPr>
        <w:spacing w:line="360" w:lineRule="auto"/>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注：最终得分保留小数点后两位数字，且四舍五入。</w:t>
      </w:r>
    </w:p>
    <w:p>
      <w:pPr>
        <w:spacing w:line="360" w:lineRule="auto"/>
        <w:rPr>
          <w:rFonts w:ascii="宋体" w:hAnsi="宋体" w:cs="宋体"/>
          <w:color w:val="auto"/>
          <w:kern w:val="0"/>
          <w:szCs w:val="21"/>
          <w:highlight w:val="none"/>
          <w:shd w:val="clear" w:color="auto" w:fill="auto"/>
        </w:rPr>
      </w:pPr>
    </w:p>
    <w:p>
      <w:pPr>
        <w:widowControl/>
        <w:spacing w:line="360" w:lineRule="auto"/>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评委（签名）：</w:t>
      </w:r>
    </w:p>
    <w:p>
      <w:pPr>
        <w:widowControl/>
        <w:spacing w:line="360" w:lineRule="auto"/>
        <w:rPr>
          <w:rFonts w:ascii="宋体" w:hAnsi="宋体" w:cs="宋体"/>
          <w:b/>
          <w:color w:val="auto"/>
          <w:szCs w:val="21"/>
          <w:highlight w:val="none"/>
          <w:shd w:val="clear" w:color="auto" w:fill="auto"/>
        </w:rPr>
      </w:pPr>
    </w:p>
    <w:p>
      <w:pPr>
        <w:widowControl/>
        <w:spacing w:line="360" w:lineRule="auto"/>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监督（签名）：</w:t>
      </w:r>
    </w:p>
    <w:p>
      <w:pPr>
        <w:widowControl/>
        <w:spacing w:line="360" w:lineRule="auto"/>
        <w:jc w:val="right"/>
        <w:rPr>
          <w:rFonts w:ascii="宋体" w:hAnsi="宋体" w:cs="宋体"/>
          <w:b/>
          <w:bCs/>
          <w:color w:val="auto"/>
          <w:kern w:val="0"/>
          <w:szCs w:val="21"/>
          <w:highlight w:val="none"/>
          <w:shd w:val="clear" w:color="auto" w:fill="auto"/>
        </w:rPr>
        <w:sectPr>
          <w:pgSz w:w="16840" w:h="11907" w:orient="landscape"/>
          <w:pgMar w:top="1440" w:right="1440" w:bottom="1134" w:left="1440" w:header="720" w:footer="890" w:gutter="0"/>
          <w:cols w:space="720" w:num="1"/>
          <w:docGrid w:linePitch="312" w:charSpace="0"/>
        </w:sectPr>
      </w:pPr>
      <w:r>
        <w:rPr>
          <w:rFonts w:hint="eastAsia" w:ascii="宋体" w:hAnsi="宋体" w:cs="宋体"/>
          <w:b/>
          <w:color w:val="auto"/>
          <w:szCs w:val="21"/>
          <w:highlight w:val="none"/>
          <w:shd w:val="clear" w:color="auto" w:fill="auto"/>
        </w:rPr>
        <w:t>日期：</w:t>
      </w:r>
      <w:r>
        <w:rPr>
          <w:rFonts w:hint="eastAsia" w:ascii="宋体" w:hAnsi="宋体" w:cs="宋体"/>
          <w:color w:val="auto"/>
          <w:szCs w:val="21"/>
          <w:highlight w:val="none"/>
          <w:shd w:val="clear" w:color="auto" w:fill="auto"/>
        </w:rPr>
        <w:t xml:space="preserve">     年    月    日</w:t>
      </w:r>
    </w:p>
    <w:tbl>
      <w:tblPr>
        <w:tblStyle w:val="48"/>
        <w:tblW w:w="9275" w:type="dxa"/>
        <w:tblInd w:w="78" w:type="dxa"/>
        <w:tblLayout w:type="fixed"/>
        <w:tblCellMar>
          <w:top w:w="0" w:type="dxa"/>
          <w:left w:w="0" w:type="dxa"/>
          <w:bottom w:w="0" w:type="dxa"/>
          <w:right w:w="0" w:type="dxa"/>
        </w:tblCellMar>
      </w:tblPr>
      <w:tblGrid>
        <w:gridCol w:w="776"/>
        <w:gridCol w:w="2781"/>
        <w:gridCol w:w="1072"/>
        <w:gridCol w:w="1634"/>
        <w:gridCol w:w="3012"/>
      </w:tblGrid>
      <w:tr>
        <w:tblPrEx>
          <w:tblCellMar>
            <w:top w:w="0" w:type="dxa"/>
            <w:left w:w="0" w:type="dxa"/>
            <w:bottom w:w="0" w:type="dxa"/>
            <w:right w:w="0" w:type="dxa"/>
          </w:tblCellMar>
        </w:tblPrEx>
        <w:trPr>
          <w:trHeight w:val="1485" w:hRule="atLeast"/>
        </w:trPr>
        <w:tc>
          <w:tcPr>
            <w:tcW w:w="9275" w:type="dxa"/>
            <w:gridSpan w:val="5"/>
            <w:tcBorders>
              <w:top w:val="nil"/>
              <w:left w:val="nil"/>
              <w:bottom w:val="single" w:color="auto" w:sz="8" w:space="0"/>
              <w:right w:val="nil"/>
            </w:tcBorders>
            <w:vAlign w:val="center"/>
          </w:tcPr>
          <w:p>
            <w:pPr>
              <w:widowControl/>
              <w:spacing w:line="360" w:lineRule="auto"/>
              <w:jc w:val="left"/>
              <w:rPr>
                <w:rFonts w:ascii="宋体" w:hAnsi="宋体" w:cs="宋体"/>
                <w:b/>
                <w:bCs/>
                <w:color w:val="auto"/>
                <w:kern w:val="0"/>
                <w:sz w:val="24"/>
                <w:szCs w:val="24"/>
                <w:highlight w:val="none"/>
                <w:shd w:val="clear" w:color="auto" w:fill="auto"/>
              </w:rPr>
            </w:pPr>
            <w:r>
              <w:rPr>
                <w:rFonts w:hint="eastAsia" w:ascii="宋体" w:hAnsi="宋体" w:cs="宋体"/>
                <w:b/>
                <w:color w:val="auto"/>
                <w:sz w:val="24"/>
                <w:szCs w:val="24"/>
                <w:highlight w:val="none"/>
                <w:shd w:val="clear" w:color="auto" w:fill="auto"/>
              </w:rPr>
              <w:t>附表9：参选人最终得分排序表</w:t>
            </w:r>
          </w:p>
          <w:p>
            <w:pPr>
              <w:widowControl/>
              <w:spacing w:line="360" w:lineRule="auto"/>
              <w:jc w:val="center"/>
              <w:rPr>
                <w:rFonts w:ascii="宋体" w:hAnsi="宋体" w:cs="宋体"/>
                <w:b/>
                <w:bCs/>
                <w:color w:val="auto"/>
                <w:kern w:val="0"/>
                <w:sz w:val="24"/>
                <w:szCs w:val="24"/>
                <w:highlight w:val="none"/>
                <w:shd w:val="clear" w:color="auto" w:fill="auto"/>
              </w:rPr>
            </w:pPr>
          </w:p>
          <w:p>
            <w:pPr>
              <w:widowControl/>
              <w:spacing w:line="360" w:lineRule="auto"/>
              <w:jc w:val="center"/>
              <w:rPr>
                <w:rFonts w:ascii="宋体" w:hAnsi="宋体" w:cs="宋体"/>
                <w:b/>
                <w:bCs/>
                <w:color w:val="auto"/>
                <w:kern w:val="0"/>
                <w:sz w:val="24"/>
                <w:szCs w:val="24"/>
                <w:highlight w:val="none"/>
                <w:shd w:val="clear" w:color="auto" w:fill="auto"/>
              </w:rPr>
            </w:pPr>
            <w:r>
              <w:rPr>
                <w:rFonts w:hint="eastAsia" w:ascii="宋体" w:hAnsi="宋体" w:cs="宋体"/>
                <w:b/>
                <w:bCs/>
                <w:color w:val="auto"/>
                <w:kern w:val="0"/>
                <w:sz w:val="24"/>
                <w:szCs w:val="24"/>
                <w:highlight w:val="none"/>
                <w:shd w:val="clear" w:color="auto" w:fill="auto"/>
              </w:rPr>
              <w:t>参选人最终得分排序表</w:t>
            </w:r>
          </w:p>
          <w:p>
            <w:pPr>
              <w:widowControl/>
              <w:spacing w:line="360" w:lineRule="auto"/>
              <w:jc w:val="center"/>
              <w:rPr>
                <w:rFonts w:ascii="宋体" w:hAnsi="宋体" w:cs="宋体"/>
                <w:b/>
                <w:bCs/>
                <w:color w:val="auto"/>
                <w:kern w:val="0"/>
                <w:szCs w:val="21"/>
                <w:highlight w:val="none"/>
                <w:shd w:val="clear" w:color="auto" w:fill="auto"/>
              </w:rPr>
            </w:pPr>
          </w:p>
          <w:p>
            <w:pPr>
              <w:widowControl/>
              <w:spacing w:line="360" w:lineRule="auto"/>
              <w:jc w:val="left"/>
              <w:rPr>
                <w:rFonts w:ascii="宋体" w:hAnsi="宋体" w:cs="宋体"/>
                <w:b/>
                <w:color w:val="auto"/>
                <w:kern w:val="0"/>
                <w:szCs w:val="21"/>
                <w:highlight w:val="none"/>
                <w:shd w:val="clear" w:color="auto" w:fill="auto"/>
              </w:rPr>
            </w:pPr>
            <w:r>
              <w:rPr>
                <w:rFonts w:hint="eastAsia" w:ascii="宋体" w:hAnsi="宋体" w:cs="宋体"/>
                <w:b/>
                <w:color w:val="auto"/>
                <w:kern w:val="0"/>
                <w:szCs w:val="21"/>
                <w:highlight w:val="none"/>
                <w:shd w:val="clear" w:color="auto" w:fill="auto"/>
              </w:rPr>
              <w:t>项目名称：</w:t>
            </w:r>
            <w:r>
              <w:rPr>
                <w:rFonts w:hint="eastAsia" w:ascii="宋体" w:hAnsi="宋体"/>
                <w:b/>
                <w:color w:val="auto"/>
                <w:sz w:val="24"/>
                <w:szCs w:val="24"/>
                <w:highlight w:val="none"/>
                <w:shd w:val="clear" w:color="auto" w:fill="auto"/>
                <w:lang w:val="en-US" w:eastAsia="zh-CN"/>
              </w:rPr>
              <w:t>深铁置业产品标准化体系发布会项</w:t>
            </w:r>
            <w:r>
              <w:rPr>
                <w:rFonts w:hint="eastAsia" w:ascii="宋体" w:hAnsi="宋体" w:cs="宋体"/>
                <w:b/>
                <w:color w:val="auto"/>
                <w:kern w:val="0"/>
                <w:sz w:val="24"/>
                <w:szCs w:val="24"/>
                <w:highlight w:val="none"/>
                <w:shd w:val="clear" w:color="auto" w:fill="auto"/>
                <w:lang w:eastAsia="zh-CN"/>
              </w:rPr>
              <w:t>目</w:t>
            </w:r>
            <w:r>
              <w:rPr>
                <w:rFonts w:hint="eastAsia" w:ascii="宋体" w:hAnsi="宋体"/>
                <w:b/>
                <w:color w:val="auto"/>
                <w:sz w:val="24"/>
                <w:szCs w:val="24"/>
                <w:highlight w:val="none"/>
                <w:shd w:val="clear" w:color="auto" w:fill="auto"/>
                <w:lang w:val="en-US" w:eastAsia="zh-CN"/>
              </w:rPr>
              <w:t xml:space="preserve"> </w:t>
            </w:r>
          </w:p>
          <w:p>
            <w:pPr>
              <w:widowControl/>
              <w:spacing w:line="360" w:lineRule="auto"/>
              <w:jc w:val="right"/>
              <w:rPr>
                <w:rFonts w:ascii="宋体" w:hAnsi="宋体" w:cs="宋体"/>
                <w:b/>
                <w:bCs/>
                <w:color w:val="auto"/>
                <w:kern w:val="0"/>
                <w:szCs w:val="21"/>
                <w:highlight w:val="none"/>
                <w:shd w:val="clear" w:color="auto" w:fill="auto"/>
              </w:rPr>
            </w:pPr>
            <w:r>
              <w:rPr>
                <w:rFonts w:hint="eastAsia" w:ascii="宋体" w:hAnsi="宋体" w:cs="宋体"/>
                <w:color w:val="auto"/>
                <w:kern w:val="0"/>
                <w:szCs w:val="21"/>
                <w:highlight w:val="none"/>
                <w:shd w:val="clear" w:color="auto" w:fill="auto"/>
              </w:rPr>
              <w:t>日期：       年     月    日</w:t>
            </w:r>
          </w:p>
        </w:tc>
      </w:tr>
      <w:tr>
        <w:tblPrEx>
          <w:tblCellMar>
            <w:top w:w="0" w:type="dxa"/>
            <w:left w:w="0" w:type="dxa"/>
            <w:bottom w:w="0" w:type="dxa"/>
            <w:right w:w="0" w:type="dxa"/>
          </w:tblCellMar>
        </w:tblPrEx>
        <w:trPr>
          <w:trHeight w:val="771" w:hRule="atLeast"/>
        </w:trPr>
        <w:tc>
          <w:tcPr>
            <w:tcW w:w="776" w:type="dxa"/>
            <w:tcBorders>
              <w:top w:val="single" w:color="auto" w:sz="8" w:space="0"/>
              <w:left w:val="single" w:color="auto" w:sz="8" w:space="0"/>
              <w:bottom w:val="single" w:color="auto" w:sz="6" w:space="0"/>
              <w:right w:val="single" w:color="auto" w:sz="6" w:space="0"/>
            </w:tcBorders>
            <w:vAlign w:val="center"/>
          </w:tcPr>
          <w:p>
            <w:pPr>
              <w:spacing w:line="360"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序号</w:t>
            </w:r>
          </w:p>
        </w:tc>
        <w:tc>
          <w:tcPr>
            <w:tcW w:w="2781"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参选人</w:t>
            </w:r>
          </w:p>
        </w:tc>
        <w:tc>
          <w:tcPr>
            <w:tcW w:w="1072"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排名</w:t>
            </w:r>
          </w:p>
        </w:tc>
        <w:tc>
          <w:tcPr>
            <w:tcW w:w="1634"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An得分</w:t>
            </w:r>
          </w:p>
        </w:tc>
        <w:tc>
          <w:tcPr>
            <w:tcW w:w="3012" w:type="dxa"/>
            <w:tcBorders>
              <w:top w:val="single" w:color="auto" w:sz="8" w:space="0"/>
              <w:left w:val="single" w:color="auto" w:sz="6" w:space="0"/>
              <w:bottom w:val="single" w:color="auto" w:sz="6" w:space="0"/>
              <w:right w:val="single" w:color="auto" w:sz="8" w:space="0"/>
            </w:tcBorders>
            <w:vAlign w:val="center"/>
          </w:tcPr>
          <w:p>
            <w:pPr>
              <w:spacing w:line="360"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备注</w:t>
            </w:r>
          </w:p>
        </w:tc>
      </w:tr>
      <w:tr>
        <w:tblPrEx>
          <w:tblCellMar>
            <w:top w:w="0" w:type="dxa"/>
            <w:left w:w="0" w:type="dxa"/>
            <w:bottom w:w="0" w:type="dxa"/>
            <w:right w:w="0" w:type="dxa"/>
          </w:tblCellMar>
        </w:tblPrEx>
        <w:trPr>
          <w:cantSplit/>
          <w:trHeight w:val="1025"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p>
        </w:tc>
        <w:tc>
          <w:tcPr>
            <w:tcW w:w="3012" w:type="dxa"/>
            <w:vMerge w:val="restart"/>
            <w:tcBorders>
              <w:top w:val="single" w:color="auto" w:sz="6" w:space="0"/>
              <w:left w:val="single" w:color="auto" w:sz="6" w:space="0"/>
              <w:right w:val="single" w:color="auto" w:sz="8" w:space="0"/>
            </w:tcBorders>
            <w:vAlign w:val="center"/>
          </w:tcPr>
          <w:p>
            <w:pPr>
              <w:spacing w:line="360" w:lineRule="auto"/>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按照参选人的最终得分值由高到低排列名次，推荐排名第一的为中选候选人。若出现综合得分相同的情形，以技术标得分高者排在先；若技术标得分相同的（以保留小数点后两位且四舍五入为准），以商务标报价低者排在先；若报价相同的，以抽签的形式确定中选候选人。最终，评委推荐一名中选候选人中选，并形成评标报告。</w:t>
            </w:r>
          </w:p>
        </w:tc>
      </w:tr>
      <w:tr>
        <w:tblPrEx>
          <w:tblCellMar>
            <w:top w:w="0" w:type="dxa"/>
            <w:left w:w="0" w:type="dxa"/>
            <w:bottom w:w="0" w:type="dxa"/>
            <w:right w:w="0" w:type="dxa"/>
          </w:tblCellMar>
        </w:tblPrEx>
        <w:trPr>
          <w:cantSplit/>
          <w:trHeight w:val="970"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p>
        </w:tc>
        <w:tc>
          <w:tcPr>
            <w:tcW w:w="3012" w:type="dxa"/>
            <w:vMerge w:val="continue"/>
            <w:tcBorders>
              <w:left w:val="single" w:color="auto" w:sz="6" w:space="0"/>
              <w:right w:val="single" w:color="auto" w:sz="8" w:space="0"/>
            </w:tcBorders>
            <w:vAlign w:val="center"/>
          </w:tcPr>
          <w:p>
            <w:pPr>
              <w:spacing w:line="360" w:lineRule="auto"/>
              <w:jc w:val="center"/>
              <w:rPr>
                <w:rFonts w:ascii="宋体" w:hAnsi="宋体" w:cs="宋体"/>
                <w:color w:val="auto"/>
                <w:szCs w:val="21"/>
                <w:highlight w:val="none"/>
                <w:shd w:val="clear" w:color="auto" w:fill="auto"/>
              </w:rPr>
            </w:pPr>
          </w:p>
        </w:tc>
      </w:tr>
      <w:tr>
        <w:tblPrEx>
          <w:tblCellMar>
            <w:top w:w="0" w:type="dxa"/>
            <w:left w:w="0" w:type="dxa"/>
            <w:bottom w:w="0" w:type="dxa"/>
            <w:right w:w="0" w:type="dxa"/>
          </w:tblCellMar>
        </w:tblPrEx>
        <w:trPr>
          <w:cantSplit/>
          <w:trHeight w:val="983"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p>
        </w:tc>
        <w:tc>
          <w:tcPr>
            <w:tcW w:w="3012" w:type="dxa"/>
            <w:vMerge w:val="continue"/>
            <w:tcBorders>
              <w:left w:val="single" w:color="auto" w:sz="6" w:space="0"/>
              <w:right w:val="single" w:color="auto" w:sz="8" w:space="0"/>
            </w:tcBorders>
            <w:vAlign w:val="center"/>
          </w:tcPr>
          <w:p>
            <w:pPr>
              <w:spacing w:line="360" w:lineRule="auto"/>
              <w:jc w:val="center"/>
              <w:rPr>
                <w:rFonts w:ascii="宋体" w:hAnsi="宋体" w:cs="宋体"/>
                <w:color w:val="auto"/>
                <w:szCs w:val="21"/>
                <w:highlight w:val="none"/>
                <w:shd w:val="clear" w:color="auto" w:fill="auto"/>
              </w:rPr>
            </w:pPr>
          </w:p>
        </w:tc>
      </w:tr>
      <w:tr>
        <w:tblPrEx>
          <w:tblCellMar>
            <w:top w:w="0" w:type="dxa"/>
            <w:left w:w="0" w:type="dxa"/>
            <w:bottom w:w="0" w:type="dxa"/>
            <w:right w:w="0" w:type="dxa"/>
          </w:tblCellMar>
        </w:tblPrEx>
        <w:trPr>
          <w:cantSplit/>
          <w:trHeight w:val="828"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p>
        </w:tc>
        <w:tc>
          <w:tcPr>
            <w:tcW w:w="3012" w:type="dxa"/>
            <w:vMerge w:val="continue"/>
            <w:tcBorders>
              <w:left w:val="single" w:color="auto" w:sz="6" w:space="0"/>
              <w:right w:val="single" w:color="auto" w:sz="8" w:space="0"/>
            </w:tcBorders>
            <w:vAlign w:val="center"/>
          </w:tcPr>
          <w:p>
            <w:pPr>
              <w:spacing w:line="360" w:lineRule="auto"/>
              <w:jc w:val="center"/>
              <w:rPr>
                <w:rFonts w:ascii="宋体" w:hAnsi="宋体" w:cs="宋体"/>
                <w:color w:val="auto"/>
                <w:szCs w:val="21"/>
                <w:highlight w:val="none"/>
                <w:shd w:val="clear" w:color="auto" w:fill="auto"/>
              </w:rPr>
            </w:pPr>
          </w:p>
        </w:tc>
      </w:tr>
      <w:tr>
        <w:tblPrEx>
          <w:tblCellMar>
            <w:top w:w="0" w:type="dxa"/>
            <w:left w:w="0" w:type="dxa"/>
            <w:bottom w:w="0" w:type="dxa"/>
            <w:right w:w="0" w:type="dxa"/>
          </w:tblCellMar>
        </w:tblPrEx>
        <w:trPr>
          <w:trHeight w:val="49" w:hRule="atLeast"/>
        </w:trPr>
        <w:tc>
          <w:tcPr>
            <w:tcW w:w="9275" w:type="dxa"/>
            <w:gridSpan w:val="5"/>
            <w:tcBorders>
              <w:top w:val="single" w:color="auto" w:sz="6" w:space="0"/>
              <w:left w:val="single" w:color="auto" w:sz="8" w:space="0"/>
              <w:bottom w:val="single" w:color="auto" w:sz="8" w:space="0"/>
              <w:right w:val="single" w:color="auto" w:sz="8" w:space="0"/>
            </w:tcBorders>
          </w:tcPr>
          <w:p>
            <w:pPr>
              <w:widowControl/>
              <w:spacing w:line="360" w:lineRule="auto"/>
              <w:ind w:left="424"/>
              <w:rPr>
                <w:rFonts w:ascii="宋体" w:hAnsi="宋体" w:cs="宋体"/>
                <w:color w:val="auto"/>
                <w:kern w:val="0"/>
                <w:szCs w:val="21"/>
                <w:highlight w:val="none"/>
                <w:shd w:val="clear" w:color="auto" w:fill="auto"/>
              </w:rPr>
            </w:pPr>
          </w:p>
          <w:p>
            <w:pPr>
              <w:spacing w:line="360" w:lineRule="auto"/>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评委(签名)：</w:t>
            </w:r>
          </w:p>
          <w:p>
            <w:pPr>
              <w:widowControl/>
              <w:spacing w:line="360" w:lineRule="auto"/>
              <w:ind w:left="424"/>
              <w:rPr>
                <w:rFonts w:ascii="宋体" w:hAnsi="宋体" w:cs="宋体"/>
                <w:color w:val="auto"/>
                <w:kern w:val="0"/>
                <w:szCs w:val="21"/>
                <w:highlight w:val="none"/>
                <w:shd w:val="clear" w:color="auto" w:fill="auto"/>
              </w:rPr>
            </w:pPr>
          </w:p>
          <w:p>
            <w:pPr>
              <w:widowControl/>
              <w:spacing w:line="360" w:lineRule="auto"/>
              <w:rPr>
                <w:rFonts w:ascii="宋体" w:hAnsi="宋体" w:cs="宋体"/>
                <w:color w:val="auto"/>
                <w:kern w:val="0"/>
                <w:szCs w:val="21"/>
                <w:highlight w:val="none"/>
                <w:shd w:val="clear" w:color="auto" w:fill="auto"/>
              </w:rPr>
            </w:pPr>
          </w:p>
          <w:p>
            <w:pPr>
              <w:widowControl/>
              <w:spacing w:line="360" w:lineRule="auto"/>
              <w:rPr>
                <w:rFonts w:ascii="宋体" w:hAnsi="宋体" w:cs="宋体"/>
                <w:color w:val="auto"/>
                <w:kern w:val="0"/>
                <w:szCs w:val="21"/>
                <w:highlight w:val="none"/>
                <w:shd w:val="clear" w:color="auto" w:fill="auto"/>
              </w:rPr>
            </w:pPr>
          </w:p>
          <w:p>
            <w:pPr>
              <w:widowControl/>
              <w:spacing w:line="360" w:lineRule="auto"/>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监督（签名）：</w:t>
            </w:r>
          </w:p>
          <w:p>
            <w:pPr>
              <w:widowControl/>
              <w:spacing w:line="360" w:lineRule="auto"/>
              <w:ind w:left="424"/>
              <w:rPr>
                <w:rFonts w:ascii="宋体" w:hAnsi="宋体" w:cs="宋体"/>
                <w:color w:val="auto"/>
                <w:kern w:val="0"/>
                <w:szCs w:val="21"/>
                <w:highlight w:val="none"/>
                <w:shd w:val="clear" w:color="auto" w:fill="auto"/>
              </w:rPr>
            </w:pPr>
          </w:p>
        </w:tc>
      </w:tr>
    </w:tbl>
    <w:p>
      <w:pPr>
        <w:tabs>
          <w:tab w:val="left" w:pos="630"/>
        </w:tabs>
        <w:spacing w:line="360" w:lineRule="auto"/>
        <w:rPr>
          <w:rFonts w:ascii="宋体" w:hAnsi="宋体"/>
          <w:color w:val="auto"/>
          <w:highlight w:val="none"/>
          <w:shd w:val="clear" w:color="auto" w:fill="auto"/>
        </w:rPr>
      </w:pPr>
    </w:p>
    <w:p>
      <w:pPr>
        <w:tabs>
          <w:tab w:val="left" w:pos="630"/>
        </w:tabs>
        <w:spacing w:line="360" w:lineRule="auto"/>
        <w:rPr>
          <w:rFonts w:ascii="宋体" w:hAnsi="宋体"/>
          <w:color w:val="auto"/>
          <w:highlight w:val="none"/>
          <w:shd w:val="clear" w:color="auto" w:fill="auto"/>
        </w:rPr>
      </w:pPr>
    </w:p>
    <w:p>
      <w:pPr>
        <w:pStyle w:val="3"/>
        <w:spacing w:line="360" w:lineRule="auto"/>
        <w:jc w:val="both"/>
        <w:rPr>
          <w:rFonts w:ascii="宋体" w:hAnsi="宋体"/>
          <w:b w:val="0"/>
          <w:color w:val="auto"/>
          <w:sz w:val="44"/>
          <w:szCs w:val="44"/>
          <w:highlight w:val="none"/>
          <w:shd w:val="clear" w:color="auto" w:fill="auto"/>
        </w:rPr>
      </w:pPr>
      <w:bookmarkStart w:id="83" w:name="_Toc518494147"/>
    </w:p>
    <w:p>
      <w:pPr>
        <w:rPr>
          <w:color w:val="auto"/>
          <w:highlight w:val="none"/>
          <w:shd w:val="clear" w:color="auto" w:fill="auto"/>
        </w:rPr>
      </w:pPr>
    </w:p>
    <w:p>
      <w:pPr>
        <w:widowControl/>
        <w:spacing w:line="360" w:lineRule="auto"/>
        <w:jc w:val="left"/>
        <w:rPr>
          <w:rFonts w:ascii="宋体" w:hAnsi="宋体" w:cs="宋体"/>
          <w:b/>
          <w:color w:val="auto"/>
          <w:sz w:val="24"/>
          <w:szCs w:val="24"/>
          <w:highlight w:val="none"/>
          <w:shd w:val="clear" w:color="auto" w:fill="auto"/>
        </w:rPr>
      </w:pPr>
    </w:p>
    <w:p>
      <w:pPr>
        <w:widowControl/>
        <w:spacing w:line="360" w:lineRule="auto"/>
        <w:jc w:val="left"/>
        <w:rPr>
          <w:rFonts w:ascii="宋体" w:hAnsi="宋体" w:cs="宋体"/>
          <w:b/>
          <w:color w:val="auto"/>
          <w:sz w:val="24"/>
          <w:szCs w:val="24"/>
          <w:highlight w:val="none"/>
          <w:shd w:val="clear" w:color="auto" w:fill="auto"/>
        </w:rPr>
      </w:pPr>
      <w:r>
        <w:rPr>
          <w:rFonts w:hint="eastAsia" w:ascii="宋体" w:hAnsi="宋体" w:cs="宋体"/>
          <w:b/>
          <w:color w:val="auto"/>
          <w:sz w:val="24"/>
          <w:szCs w:val="24"/>
          <w:highlight w:val="none"/>
          <w:shd w:val="clear" w:color="auto" w:fill="auto"/>
        </w:rPr>
        <w:t>附表10：（此表由评委或参选人填写）</w:t>
      </w:r>
    </w:p>
    <w:p>
      <w:pPr>
        <w:rPr>
          <w:rFonts w:ascii="宋体" w:hAnsi="宋体"/>
          <w:bCs/>
          <w:snapToGrid w:val="0"/>
          <w:color w:val="auto"/>
          <w:sz w:val="24"/>
          <w:szCs w:val="24"/>
          <w:highlight w:val="none"/>
          <w:shd w:val="clear" w:color="auto" w:fill="auto"/>
        </w:rPr>
      </w:pPr>
    </w:p>
    <w:p>
      <w:pPr>
        <w:jc w:val="center"/>
        <w:rPr>
          <w:rFonts w:ascii="宋体" w:hAnsi="宋体"/>
          <w:b/>
          <w:bCs/>
          <w:snapToGrid w:val="0"/>
          <w:color w:val="auto"/>
          <w:sz w:val="24"/>
          <w:szCs w:val="24"/>
          <w:highlight w:val="none"/>
          <w:shd w:val="clear" w:color="auto" w:fill="auto"/>
        </w:rPr>
      </w:pPr>
      <w:r>
        <w:rPr>
          <w:rFonts w:hint="eastAsia" w:ascii="宋体" w:hAnsi="宋体"/>
          <w:b/>
          <w:bCs/>
          <w:snapToGrid w:val="0"/>
          <w:color w:val="auto"/>
          <w:sz w:val="24"/>
          <w:szCs w:val="24"/>
          <w:highlight w:val="none"/>
          <w:shd w:val="clear" w:color="auto" w:fill="auto"/>
        </w:rPr>
        <w:t>参选文件不予受理情况说明表</w:t>
      </w:r>
    </w:p>
    <w:p>
      <w:pPr>
        <w:jc w:val="center"/>
        <w:rPr>
          <w:rFonts w:ascii="宋体" w:hAnsi="宋体"/>
          <w:b/>
          <w:bCs/>
          <w:snapToGrid w:val="0"/>
          <w:color w:val="auto"/>
          <w:sz w:val="24"/>
          <w:szCs w:val="24"/>
          <w:highlight w:val="none"/>
          <w:shd w:val="clear" w:color="auto" w:fill="auto"/>
        </w:rPr>
      </w:pPr>
    </w:p>
    <w:p>
      <w:pPr>
        <w:jc w:val="center"/>
        <w:rPr>
          <w:rFonts w:ascii="宋体" w:hAnsi="宋体"/>
          <w:b/>
          <w:bCs/>
          <w:snapToGrid w:val="0"/>
          <w:color w:val="auto"/>
          <w:sz w:val="24"/>
          <w:szCs w:val="24"/>
          <w:highlight w:val="none"/>
          <w:shd w:val="clear" w:color="auto" w:fill="auto"/>
        </w:rPr>
      </w:pPr>
    </w:p>
    <w:p>
      <w:pPr>
        <w:jc w:val="left"/>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 xml:space="preserve">项目名称：      </w:t>
      </w:r>
    </w:p>
    <w:p>
      <w:pPr>
        <w:jc w:val="left"/>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日期：XXXX年XX月XX日</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7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参选人名称</w:t>
            </w:r>
          </w:p>
        </w:tc>
        <w:tc>
          <w:tcPr>
            <w:tcW w:w="7477" w:type="dxa"/>
          </w:tcPr>
          <w:p>
            <w:pPr>
              <w:spacing w:line="560" w:lineRule="exact"/>
              <w:rPr>
                <w:rFonts w:ascii="宋体" w:hAnsi="宋体"/>
                <w:color w:val="auto"/>
                <w:sz w:val="24"/>
                <w:szCs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2235" w:type="dxa"/>
          </w:tcPr>
          <w:p>
            <w:pPr>
              <w:spacing w:line="560" w:lineRule="exact"/>
              <w:jc w:val="center"/>
              <w:rPr>
                <w:rFonts w:ascii="宋体" w:hAnsi="宋体"/>
                <w:color w:val="auto"/>
                <w:sz w:val="24"/>
                <w:szCs w:val="24"/>
                <w:highlight w:val="none"/>
                <w:shd w:val="clear" w:color="auto" w:fill="auto"/>
              </w:rPr>
            </w:pPr>
          </w:p>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不予受理情况说明</w:t>
            </w:r>
          </w:p>
        </w:tc>
        <w:tc>
          <w:tcPr>
            <w:tcW w:w="7477" w:type="dxa"/>
          </w:tcPr>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2235" w:type="dxa"/>
          </w:tcPr>
          <w:p>
            <w:pPr>
              <w:spacing w:line="560" w:lineRule="exact"/>
              <w:jc w:val="center"/>
              <w:rPr>
                <w:rFonts w:ascii="宋体" w:hAnsi="宋体"/>
                <w:color w:val="auto"/>
                <w:sz w:val="24"/>
                <w:szCs w:val="24"/>
                <w:highlight w:val="none"/>
                <w:shd w:val="clear" w:color="auto" w:fill="auto"/>
              </w:rPr>
            </w:pPr>
          </w:p>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参选人受理记录</w:t>
            </w:r>
          </w:p>
        </w:tc>
        <w:tc>
          <w:tcPr>
            <w:tcW w:w="7477" w:type="dxa"/>
          </w:tcPr>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spacing w:line="560" w:lineRule="exact"/>
              <w:jc w:val="center"/>
              <w:rPr>
                <w:rFonts w:ascii="宋体" w:hAnsi="宋体"/>
                <w:color w:val="auto"/>
                <w:sz w:val="24"/>
                <w:szCs w:val="24"/>
                <w:highlight w:val="none"/>
                <w:shd w:val="clear" w:color="auto" w:fill="auto"/>
              </w:rPr>
            </w:pPr>
          </w:p>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比选工作人员意见</w:t>
            </w:r>
          </w:p>
        </w:tc>
        <w:tc>
          <w:tcPr>
            <w:tcW w:w="7477" w:type="dxa"/>
          </w:tcPr>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spacing w:line="560" w:lineRule="exact"/>
              <w:jc w:val="center"/>
              <w:rPr>
                <w:rFonts w:ascii="宋体" w:hAnsi="宋体"/>
                <w:color w:val="auto"/>
                <w:sz w:val="24"/>
                <w:szCs w:val="24"/>
                <w:highlight w:val="none"/>
                <w:shd w:val="clear" w:color="auto" w:fill="auto"/>
              </w:rPr>
            </w:pPr>
          </w:p>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需要说明的</w:t>
            </w:r>
          </w:p>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其他情况</w:t>
            </w:r>
          </w:p>
        </w:tc>
        <w:tc>
          <w:tcPr>
            <w:tcW w:w="7477" w:type="dxa"/>
          </w:tcPr>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比选工作人员</w:t>
            </w:r>
          </w:p>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及</w:t>
            </w:r>
          </w:p>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监督人员</w:t>
            </w:r>
          </w:p>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签字</w:t>
            </w:r>
          </w:p>
        </w:tc>
        <w:tc>
          <w:tcPr>
            <w:tcW w:w="7477" w:type="dxa"/>
          </w:tcPr>
          <w:p>
            <w:pPr>
              <w:spacing w:line="560" w:lineRule="exact"/>
              <w:rPr>
                <w:rFonts w:ascii="宋体" w:hAnsi="宋体"/>
                <w:color w:val="auto"/>
                <w:sz w:val="24"/>
                <w:szCs w:val="24"/>
                <w:highlight w:val="none"/>
                <w:shd w:val="clear" w:color="auto" w:fill="auto"/>
              </w:rPr>
            </w:pPr>
          </w:p>
        </w:tc>
      </w:tr>
    </w:tbl>
    <w:p>
      <w:pPr>
        <w:spacing w:line="560" w:lineRule="exact"/>
        <w:rPr>
          <w:rFonts w:ascii="宋体" w:hAnsi="宋体"/>
          <w:bCs/>
          <w:snapToGrid w:val="0"/>
          <w:color w:val="auto"/>
          <w:sz w:val="24"/>
          <w:szCs w:val="24"/>
          <w:highlight w:val="none"/>
          <w:shd w:val="clear" w:color="auto" w:fill="auto"/>
        </w:rPr>
      </w:pPr>
    </w:p>
    <w:p>
      <w:pPr>
        <w:widowControl/>
        <w:spacing w:line="360" w:lineRule="auto"/>
        <w:jc w:val="left"/>
        <w:rPr>
          <w:rFonts w:ascii="宋体" w:hAnsi="宋体" w:cs="宋体"/>
          <w:b/>
          <w:color w:val="auto"/>
          <w:sz w:val="24"/>
          <w:szCs w:val="24"/>
          <w:highlight w:val="none"/>
          <w:shd w:val="clear" w:color="auto" w:fill="auto"/>
        </w:rPr>
      </w:pPr>
      <w:r>
        <w:rPr>
          <w:rFonts w:hint="eastAsia" w:ascii="宋体" w:hAnsi="宋体" w:cs="宋体"/>
          <w:b/>
          <w:color w:val="auto"/>
          <w:sz w:val="24"/>
          <w:szCs w:val="24"/>
          <w:highlight w:val="none"/>
          <w:shd w:val="clear" w:color="auto" w:fill="auto"/>
        </w:rPr>
        <w:t>附表11：（此表由评委或参选人填写）</w:t>
      </w:r>
    </w:p>
    <w:p>
      <w:pPr>
        <w:jc w:val="center"/>
        <w:rPr>
          <w:rFonts w:ascii="宋体" w:hAnsi="宋体"/>
          <w:b/>
          <w:bCs/>
          <w:snapToGrid w:val="0"/>
          <w:color w:val="auto"/>
          <w:sz w:val="24"/>
          <w:szCs w:val="24"/>
          <w:highlight w:val="none"/>
          <w:shd w:val="clear" w:color="auto" w:fill="auto"/>
        </w:rPr>
      </w:pPr>
    </w:p>
    <w:p>
      <w:pPr>
        <w:jc w:val="center"/>
        <w:rPr>
          <w:rFonts w:ascii="宋体" w:hAnsi="宋体"/>
          <w:b/>
          <w:bCs/>
          <w:snapToGrid w:val="0"/>
          <w:color w:val="auto"/>
          <w:sz w:val="24"/>
          <w:szCs w:val="24"/>
          <w:highlight w:val="none"/>
          <w:shd w:val="clear" w:color="auto" w:fill="auto"/>
        </w:rPr>
      </w:pPr>
      <w:r>
        <w:rPr>
          <w:rFonts w:hint="eastAsia" w:ascii="宋体" w:hAnsi="宋体"/>
          <w:b/>
          <w:bCs/>
          <w:snapToGrid w:val="0"/>
          <w:color w:val="auto"/>
          <w:sz w:val="24"/>
          <w:szCs w:val="24"/>
          <w:highlight w:val="none"/>
          <w:shd w:val="clear" w:color="auto" w:fill="auto"/>
        </w:rPr>
        <w:t>投标文件无效/作废情况说明表</w:t>
      </w:r>
    </w:p>
    <w:p>
      <w:pPr>
        <w:jc w:val="center"/>
        <w:rPr>
          <w:rFonts w:ascii="宋体" w:hAnsi="宋体"/>
          <w:b/>
          <w:bCs/>
          <w:snapToGrid w:val="0"/>
          <w:color w:val="auto"/>
          <w:sz w:val="24"/>
          <w:szCs w:val="24"/>
          <w:highlight w:val="none"/>
          <w:shd w:val="clear" w:color="auto" w:fill="auto"/>
        </w:rPr>
      </w:pPr>
    </w:p>
    <w:p>
      <w:pPr>
        <w:jc w:val="center"/>
        <w:rPr>
          <w:rFonts w:ascii="宋体" w:hAnsi="宋体"/>
          <w:b/>
          <w:bCs/>
          <w:snapToGrid w:val="0"/>
          <w:color w:val="auto"/>
          <w:sz w:val="24"/>
          <w:szCs w:val="24"/>
          <w:highlight w:val="none"/>
          <w:shd w:val="clear" w:color="auto" w:fill="auto"/>
        </w:rPr>
      </w:pPr>
    </w:p>
    <w:p>
      <w:pPr>
        <w:jc w:val="left"/>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项目名称：</w:t>
      </w:r>
    </w:p>
    <w:p>
      <w:pPr>
        <w:jc w:val="left"/>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日期：XXXX年XX月XX日</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7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参选人名称</w:t>
            </w:r>
          </w:p>
        </w:tc>
        <w:tc>
          <w:tcPr>
            <w:tcW w:w="7477" w:type="dxa"/>
          </w:tcPr>
          <w:p>
            <w:pPr>
              <w:spacing w:line="560" w:lineRule="exact"/>
              <w:rPr>
                <w:rFonts w:ascii="宋体" w:hAnsi="宋体"/>
                <w:color w:val="auto"/>
                <w:sz w:val="24"/>
                <w:szCs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7" w:hRule="atLeast"/>
        </w:trPr>
        <w:tc>
          <w:tcPr>
            <w:tcW w:w="2235" w:type="dxa"/>
          </w:tcPr>
          <w:p>
            <w:pPr>
              <w:spacing w:line="560" w:lineRule="exact"/>
              <w:jc w:val="center"/>
              <w:rPr>
                <w:rFonts w:ascii="宋体" w:hAnsi="宋体"/>
                <w:color w:val="auto"/>
                <w:sz w:val="24"/>
                <w:szCs w:val="24"/>
                <w:highlight w:val="none"/>
                <w:shd w:val="clear" w:color="auto" w:fill="auto"/>
              </w:rPr>
            </w:pPr>
          </w:p>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无效情况说明</w:t>
            </w:r>
          </w:p>
        </w:tc>
        <w:tc>
          <w:tcPr>
            <w:tcW w:w="7477" w:type="dxa"/>
          </w:tcPr>
          <w:p>
            <w:pPr>
              <w:spacing w:line="560" w:lineRule="exact"/>
              <w:rPr>
                <w:rFonts w:ascii="宋体" w:hAnsi="宋体"/>
                <w:color w:val="auto"/>
                <w:sz w:val="24"/>
                <w:szCs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21" w:hRule="atLeast"/>
        </w:trPr>
        <w:tc>
          <w:tcPr>
            <w:tcW w:w="2235" w:type="dxa"/>
          </w:tcPr>
          <w:p>
            <w:pPr>
              <w:spacing w:line="560" w:lineRule="exact"/>
              <w:jc w:val="center"/>
              <w:rPr>
                <w:rFonts w:ascii="宋体" w:hAnsi="宋体"/>
                <w:color w:val="auto"/>
                <w:sz w:val="24"/>
                <w:szCs w:val="24"/>
                <w:highlight w:val="none"/>
                <w:shd w:val="clear" w:color="auto" w:fill="auto"/>
              </w:rPr>
            </w:pPr>
          </w:p>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参选人受理记录</w:t>
            </w:r>
          </w:p>
        </w:tc>
        <w:tc>
          <w:tcPr>
            <w:tcW w:w="7477" w:type="dxa"/>
          </w:tcPr>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6" w:hRule="atLeast"/>
        </w:trPr>
        <w:tc>
          <w:tcPr>
            <w:tcW w:w="2235" w:type="dxa"/>
          </w:tcPr>
          <w:p>
            <w:pPr>
              <w:spacing w:line="560" w:lineRule="exact"/>
              <w:jc w:val="center"/>
              <w:rPr>
                <w:rFonts w:ascii="宋体" w:hAnsi="宋体"/>
                <w:color w:val="auto"/>
                <w:sz w:val="24"/>
                <w:szCs w:val="24"/>
                <w:highlight w:val="none"/>
                <w:shd w:val="clear" w:color="auto" w:fill="auto"/>
              </w:rPr>
            </w:pPr>
          </w:p>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评标委员会意见</w:t>
            </w:r>
          </w:p>
        </w:tc>
        <w:tc>
          <w:tcPr>
            <w:tcW w:w="7477" w:type="dxa"/>
          </w:tcPr>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35" w:type="dxa"/>
          </w:tcPr>
          <w:p>
            <w:pPr>
              <w:spacing w:line="560" w:lineRule="exact"/>
              <w:jc w:val="center"/>
              <w:rPr>
                <w:rFonts w:ascii="宋体" w:hAnsi="宋体"/>
                <w:color w:val="auto"/>
                <w:sz w:val="24"/>
                <w:szCs w:val="24"/>
                <w:highlight w:val="none"/>
                <w:shd w:val="clear" w:color="auto" w:fill="auto"/>
              </w:rPr>
            </w:pPr>
          </w:p>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需要说明的</w:t>
            </w:r>
          </w:p>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其他情况</w:t>
            </w:r>
          </w:p>
        </w:tc>
        <w:tc>
          <w:tcPr>
            <w:tcW w:w="7477" w:type="dxa"/>
          </w:tcPr>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spacing w:line="560" w:lineRule="exact"/>
              <w:jc w:val="center"/>
              <w:rPr>
                <w:rFonts w:ascii="宋体" w:hAnsi="宋体"/>
                <w:color w:val="auto"/>
                <w:sz w:val="24"/>
                <w:szCs w:val="24"/>
                <w:highlight w:val="none"/>
                <w:shd w:val="clear" w:color="auto" w:fill="auto"/>
              </w:rPr>
            </w:pPr>
          </w:p>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评委签字</w:t>
            </w:r>
          </w:p>
          <w:p>
            <w:pPr>
              <w:spacing w:line="560" w:lineRule="exact"/>
              <w:jc w:val="center"/>
              <w:rPr>
                <w:rFonts w:ascii="宋体" w:hAnsi="宋体"/>
                <w:color w:val="auto"/>
                <w:sz w:val="24"/>
                <w:szCs w:val="24"/>
                <w:highlight w:val="none"/>
                <w:shd w:val="clear" w:color="auto" w:fill="auto"/>
              </w:rPr>
            </w:pPr>
          </w:p>
        </w:tc>
        <w:tc>
          <w:tcPr>
            <w:tcW w:w="7477" w:type="dxa"/>
          </w:tcPr>
          <w:p>
            <w:pPr>
              <w:spacing w:line="560" w:lineRule="exact"/>
              <w:rPr>
                <w:rFonts w:ascii="宋体" w:hAnsi="宋体"/>
                <w:color w:val="auto"/>
                <w:sz w:val="24"/>
                <w:szCs w:val="24"/>
                <w:highlight w:val="none"/>
                <w:shd w:val="clear" w:color="auto" w:fill="auto"/>
              </w:rPr>
            </w:pPr>
          </w:p>
        </w:tc>
      </w:tr>
    </w:tbl>
    <w:p>
      <w:pPr>
        <w:spacing w:line="560" w:lineRule="exact"/>
        <w:rPr>
          <w:rFonts w:ascii="宋体" w:hAnsi="宋体"/>
          <w:color w:val="auto"/>
          <w:sz w:val="24"/>
          <w:szCs w:val="24"/>
          <w:highlight w:val="none"/>
          <w:shd w:val="clear" w:color="auto" w:fill="auto"/>
        </w:rPr>
      </w:pPr>
    </w:p>
    <w:p>
      <w:pPr>
        <w:pStyle w:val="3"/>
        <w:spacing w:line="360" w:lineRule="auto"/>
        <w:rPr>
          <w:rFonts w:ascii="宋体" w:hAnsi="宋体"/>
          <w:b w:val="0"/>
          <w:color w:val="auto"/>
          <w:sz w:val="44"/>
          <w:szCs w:val="44"/>
          <w:highlight w:val="none"/>
          <w:shd w:val="clear" w:color="auto" w:fill="auto"/>
        </w:rPr>
      </w:pPr>
      <w:bookmarkStart w:id="84" w:name="_Toc4431"/>
      <w:bookmarkStart w:id="85" w:name="_Toc3821"/>
      <w:r>
        <w:rPr>
          <w:rFonts w:ascii="宋体" w:hAnsi="宋体"/>
          <w:b w:val="0"/>
          <w:color w:val="auto"/>
          <w:sz w:val="44"/>
          <w:szCs w:val="44"/>
          <w:highlight w:val="none"/>
          <w:shd w:val="clear" w:color="auto" w:fill="auto"/>
        </w:rPr>
        <w:t>第</w:t>
      </w:r>
      <w:r>
        <w:rPr>
          <w:rFonts w:hint="eastAsia" w:ascii="宋体" w:hAnsi="宋体"/>
          <w:b w:val="0"/>
          <w:color w:val="auto"/>
          <w:sz w:val="44"/>
          <w:szCs w:val="44"/>
          <w:highlight w:val="none"/>
          <w:shd w:val="clear" w:color="auto" w:fill="auto"/>
        </w:rPr>
        <w:t>二篇  参选文件格式</w:t>
      </w:r>
      <w:bookmarkEnd w:id="83"/>
      <w:bookmarkEnd w:id="84"/>
      <w:bookmarkEnd w:id="85"/>
    </w:p>
    <w:p>
      <w:pPr>
        <w:spacing w:before="60" w:beforeLines="25" w:after="60" w:afterLines="25" w:line="360" w:lineRule="auto"/>
        <w:ind w:firstLine="547" w:firstLineChars="228"/>
        <w:rPr>
          <w:rFonts w:ascii="宋体" w:hAnsi="宋体"/>
          <w:color w:val="auto"/>
          <w:sz w:val="24"/>
          <w:highlight w:val="none"/>
          <w:shd w:val="clear" w:color="auto" w:fill="auto"/>
        </w:rPr>
      </w:pPr>
      <w:r>
        <w:rPr>
          <w:rFonts w:hint="eastAsia" w:ascii="宋体" w:hAnsi="宋体"/>
          <w:color w:val="auto"/>
          <w:sz w:val="24"/>
          <w:highlight w:val="none"/>
          <w:shd w:val="clear" w:color="auto" w:fill="auto"/>
        </w:rPr>
        <w:t>每一对“[ ]”及其中间的内容，均应由参选人在编制参选时根据情况以适当的内容代替。每一对“{ }”及其中间的内容，参选人在编制参选书时应予以删除。在留有的空白或下划线上或…均应由参选人填入适当内容。</w:t>
      </w:r>
    </w:p>
    <w:p>
      <w:pPr>
        <w:pStyle w:val="24"/>
        <w:spacing w:line="480" w:lineRule="atLeast"/>
        <w:rPr>
          <w:color w:val="auto"/>
          <w:highlight w:val="none"/>
          <w:shd w:val="clear" w:color="auto" w:fill="auto"/>
        </w:rPr>
      </w:pPr>
      <w:r>
        <w:rPr>
          <w:rFonts w:hAnsi="宋体"/>
          <w:color w:val="auto"/>
          <w:highlight w:val="none"/>
          <w:shd w:val="clear" w:color="auto" w:fill="auto"/>
        </w:rPr>
        <w:br w:type="page"/>
      </w:r>
    </w:p>
    <w:p>
      <w:pPr>
        <w:pStyle w:val="5"/>
        <w:spacing w:line="480" w:lineRule="atLeast"/>
        <w:ind w:left="510" w:firstLine="0"/>
        <w:jc w:val="center"/>
        <w:rPr>
          <w:rFonts w:ascii="宋体" w:hAnsi="宋体"/>
          <w:color w:val="auto"/>
          <w:sz w:val="48"/>
          <w:szCs w:val="36"/>
          <w:highlight w:val="none"/>
          <w:shd w:val="clear" w:color="auto" w:fill="auto"/>
        </w:rPr>
      </w:pPr>
      <w:bookmarkStart w:id="86" w:name="_Toc21036"/>
      <w:bookmarkStart w:id="87" w:name="_Toc276575949"/>
      <w:r>
        <w:rPr>
          <w:rFonts w:hint="eastAsia" w:ascii="宋体" w:hAnsi="宋体"/>
          <w:color w:val="auto"/>
          <w:sz w:val="48"/>
          <w:szCs w:val="36"/>
          <w:highlight w:val="none"/>
          <w:shd w:val="clear" w:color="auto" w:fill="auto"/>
        </w:rPr>
        <w:t>第一章</w:t>
      </w:r>
      <w:bookmarkEnd w:id="86"/>
    </w:p>
    <w:p>
      <w:pPr>
        <w:spacing w:line="480" w:lineRule="atLeast"/>
        <w:jc w:val="center"/>
        <w:rPr>
          <w:rFonts w:ascii="宋体" w:hAnsi="宋体"/>
          <w:b/>
          <w:color w:val="auto"/>
          <w:spacing w:val="36"/>
          <w:sz w:val="44"/>
          <w:szCs w:val="44"/>
          <w:highlight w:val="none"/>
          <w:shd w:val="clear" w:color="auto" w:fill="auto"/>
        </w:rPr>
      </w:pPr>
    </w:p>
    <w:p>
      <w:pPr>
        <w:spacing w:line="480" w:lineRule="atLeast"/>
        <w:jc w:val="center"/>
        <w:rPr>
          <w:rFonts w:hint="eastAsia" w:ascii="宋体" w:hAnsi="宋体"/>
          <w:b/>
          <w:bCs/>
          <w:color w:val="auto"/>
          <w:spacing w:val="36"/>
          <w:kern w:val="10"/>
          <w:sz w:val="52"/>
          <w:szCs w:val="52"/>
          <w:highlight w:val="none"/>
          <w:shd w:val="clear" w:color="auto" w:fill="auto"/>
          <w:lang w:val="en-US" w:eastAsia="zh-CN"/>
        </w:rPr>
      </w:pPr>
      <w:bookmarkStart w:id="88" w:name="_Hlk114677466"/>
      <w:r>
        <w:rPr>
          <w:rFonts w:hint="eastAsia" w:ascii="宋体" w:hAnsi="宋体"/>
          <w:b/>
          <w:bCs/>
          <w:color w:val="auto"/>
          <w:spacing w:val="36"/>
          <w:kern w:val="10"/>
          <w:sz w:val="52"/>
          <w:szCs w:val="52"/>
          <w:highlight w:val="none"/>
          <w:shd w:val="clear" w:color="auto" w:fill="auto"/>
        </w:rPr>
        <w:t>深</w:t>
      </w:r>
      <w:r>
        <w:rPr>
          <w:rFonts w:hint="eastAsia" w:ascii="宋体" w:hAnsi="宋体"/>
          <w:b/>
          <w:bCs/>
          <w:color w:val="auto"/>
          <w:spacing w:val="36"/>
          <w:kern w:val="10"/>
          <w:sz w:val="52"/>
          <w:szCs w:val="52"/>
          <w:highlight w:val="none"/>
          <w:shd w:val="clear" w:color="auto" w:fill="auto"/>
          <w:lang w:val="en-US" w:eastAsia="zh-CN"/>
        </w:rPr>
        <w:t>铁置业产品标准化体系</w:t>
      </w:r>
    </w:p>
    <w:p>
      <w:pPr>
        <w:spacing w:line="480" w:lineRule="atLeast"/>
        <w:jc w:val="center"/>
        <w:rPr>
          <w:rFonts w:ascii="宋体" w:hAnsi="宋体"/>
          <w:b/>
          <w:bCs/>
          <w:color w:val="auto"/>
          <w:spacing w:val="36"/>
          <w:kern w:val="10"/>
          <w:sz w:val="52"/>
          <w:szCs w:val="52"/>
          <w:highlight w:val="none"/>
          <w:shd w:val="clear" w:color="auto" w:fill="auto"/>
        </w:rPr>
      </w:pPr>
      <w:r>
        <w:rPr>
          <w:rFonts w:hint="eastAsia" w:ascii="宋体" w:hAnsi="宋体"/>
          <w:b/>
          <w:bCs/>
          <w:color w:val="auto"/>
          <w:spacing w:val="36"/>
          <w:kern w:val="10"/>
          <w:sz w:val="52"/>
          <w:szCs w:val="52"/>
          <w:highlight w:val="none"/>
          <w:shd w:val="clear" w:color="auto" w:fill="auto"/>
          <w:lang w:val="en-US" w:eastAsia="zh-CN"/>
        </w:rPr>
        <w:t>发布会项目</w:t>
      </w:r>
    </w:p>
    <w:bookmarkEnd w:id="88"/>
    <w:p>
      <w:pPr>
        <w:pStyle w:val="24"/>
        <w:spacing w:before="240" w:beforeLines="100" w:after="120" w:afterLines="50" w:line="480" w:lineRule="atLeast"/>
        <w:jc w:val="center"/>
        <w:rPr>
          <w:rFonts w:hAnsi="宋体"/>
          <w:b/>
          <w:bCs/>
          <w:color w:val="auto"/>
          <w:spacing w:val="-20"/>
          <w:sz w:val="52"/>
          <w:szCs w:val="52"/>
          <w:highlight w:val="none"/>
          <w:shd w:val="clear" w:color="auto" w:fill="auto"/>
        </w:rPr>
      </w:pPr>
    </w:p>
    <w:p>
      <w:pPr>
        <w:pStyle w:val="24"/>
        <w:spacing w:before="1440" w:beforeLines="600" w:line="480" w:lineRule="atLeast"/>
        <w:jc w:val="center"/>
        <w:rPr>
          <w:rFonts w:hAnsi="宋体"/>
          <w:bCs/>
          <w:color w:val="auto"/>
          <w:kern w:val="10"/>
          <w:sz w:val="84"/>
          <w:szCs w:val="84"/>
          <w:highlight w:val="none"/>
          <w:shd w:val="clear" w:color="auto" w:fill="auto"/>
        </w:rPr>
      </w:pPr>
      <w:r>
        <w:rPr>
          <w:rFonts w:hint="eastAsia" w:hAnsi="宋体"/>
          <w:bCs/>
          <w:color w:val="auto"/>
          <w:spacing w:val="36"/>
          <w:kern w:val="10"/>
          <w:sz w:val="84"/>
          <w:szCs w:val="84"/>
          <w:highlight w:val="none"/>
          <w:shd w:val="clear" w:color="auto" w:fill="auto"/>
        </w:rPr>
        <w:t>参选文件</w:t>
      </w:r>
    </w:p>
    <w:p>
      <w:pPr>
        <w:pStyle w:val="24"/>
        <w:spacing w:line="360" w:lineRule="auto"/>
        <w:jc w:val="center"/>
        <w:rPr>
          <w:rFonts w:hAnsi="宋体"/>
          <w:b/>
          <w:bCs/>
          <w:color w:val="auto"/>
          <w:sz w:val="52"/>
          <w:szCs w:val="52"/>
          <w:highlight w:val="none"/>
          <w:shd w:val="clear" w:color="auto" w:fill="auto"/>
        </w:rPr>
      </w:pPr>
      <w:r>
        <w:rPr>
          <w:rFonts w:hint="eastAsia" w:hAnsi="宋体"/>
          <w:b/>
          <w:bCs/>
          <w:color w:val="auto"/>
          <w:sz w:val="52"/>
          <w:szCs w:val="52"/>
          <w:highlight w:val="none"/>
          <w:shd w:val="clear" w:color="auto" w:fill="auto"/>
        </w:rPr>
        <w:t>技术标书</w:t>
      </w:r>
    </w:p>
    <w:p>
      <w:pPr>
        <w:pStyle w:val="24"/>
        <w:spacing w:line="480" w:lineRule="atLeast"/>
        <w:jc w:val="center"/>
        <w:rPr>
          <w:rFonts w:hAnsi="宋体"/>
          <w:color w:val="auto"/>
          <w:sz w:val="23"/>
          <w:szCs w:val="23"/>
          <w:highlight w:val="none"/>
          <w:shd w:val="clear" w:color="auto" w:fill="auto"/>
        </w:rPr>
      </w:pPr>
    </w:p>
    <w:p>
      <w:pPr>
        <w:pStyle w:val="24"/>
        <w:spacing w:line="480" w:lineRule="atLeast"/>
        <w:jc w:val="center"/>
        <w:rPr>
          <w:rFonts w:hAnsi="宋体"/>
          <w:color w:val="auto"/>
          <w:sz w:val="35"/>
          <w:szCs w:val="35"/>
          <w:highlight w:val="none"/>
          <w:shd w:val="clear" w:color="auto" w:fill="auto"/>
        </w:rPr>
      </w:pPr>
    </w:p>
    <w:p>
      <w:pPr>
        <w:adjustRightInd w:val="0"/>
        <w:snapToGrid w:val="0"/>
        <w:spacing w:line="360" w:lineRule="auto"/>
        <w:ind w:left="420" w:leftChars="200" w:firstLine="482" w:firstLineChars="200"/>
        <w:rPr>
          <w:b/>
          <w:color w:val="auto"/>
          <w:sz w:val="24"/>
          <w:szCs w:val="32"/>
          <w:highlight w:val="none"/>
          <w:shd w:val="clear" w:color="auto" w:fill="auto"/>
        </w:rPr>
      </w:pPr>
      <w:r>
        <w:rPr>
          <w:rFonts w:hint="eastAsia"/>
          <w:b/>
          <w:color w:val="auto"/>
          <w:sz w:val="24"/>
          <w:szCs w:val="32"/>
          <w:highlight w:val="none"/>
          <w:shd w:val="clear" w:color="auto" w:fill="auto"/>
        </w:rPr>
        <w:t>参选</w:t>
      </w:r>
      <w:r>
        <w:rPr>
          <w:b/>
          <w:color w:val="auto"/>
          <w:sz w:val="24"/>
          <w:szCs w:val="32"/>
          <w:highlight w:val="none"/>
          <w:shd w:val="clear" w:color="auto" w:fill="auto"/>
        </w:rPr>
        <w:t>人声明：</w:t>
      </w:r>
    </w:p>
    <w:p>
      <w:pPr>
        <w:adjustRightInd w:val="0"/>
        <w:snapToGrid w:val="0"/>
        <w:spacing w:line="360" w:lineRule="auto"/>
        <w:ind w:left="420" w:leftChars="200" w:firstLine="482" w:firstLineChars="200"/>
        <w:rPr>
          <w:b/>
          <w:color w:val="auto"/>
          <w:sz w:val="24"/>
          <w:szCs w:val="32"/>
          <w:highlight w:val="none"/>
          <w:shd w:val="clear" w:color="auto" w:fill="auto"/>
        </w:rPr>
      </w:pPr>
      <w:r>
        <w:rPr>
          <w:b/>
          <w:color w:val="auto"/>
          <w:sz w:val="24"/>
          <w:szCs w:val="32"/>
          <w:highlight w:val="none"/>
          <w:shd w:val="clear" w:color="auto" w:fill="auto"/>
        </w:rPr>
        <w:t>我司（单位）对本标书所提供文件的真实性、准确性、有效性负全部责任。</w:t>
      </w:r>
    </w:p>
    <w:p>
      <w:pPr>
        <w:pStyle w:val="24"/>
        <w:spacing w:line="480" w:lineRule="atLeast"/>
        <w:jc w:val="center"/>
        <w:rPr>
          <w:rFonts w:hAnsi="宋体"/>
          <w:b/>
          <w:color w:val="auto"/>
          <w:sz w:val="32"/>
          <w:szCs w:val="32"/>
          <w:highlight w:val="none"/>
          <w:shd w:val="clear" w:color="auto" w:fill="auto"/>
        </w:rPr>
      </w:pPr>
    </w:p>
    <w:p>
      <w:pPr>
        <w:pStyle w:val="24"/>
        <w:spacing w:line="480" w:lineRule="atLeast"/>
        <w:rPr>
          <w:rFonts w:hAnsi="宋体"/>
          <w:b/>
          <w:color w:val="auto"/>
          <w:sz w:val="32"/>
          <w:szCs w:val="32"/>
          <w:highlight w:val="none"/>
          <w:shd w:val="clear" w:color="auto" w:fill="auto"/>
        </w:rPr>
      </w:pPr>
    </w:p>
    <w:p>
      <w:pPr>
        <w:pStyle w:val="24"/>
        <w:spacing w:before="360" w:beforeLines="150" w:after="360" w:afterLines="150" w:line="480" w:lineRule="atLeast"/>
        <w:ind w:firstLine="540" w:firstLineChars="192"/>
        <w:rPr>
          <w:rFonts w:hAnsi="宋体"/>
          <w:b/>
          <w:bCs/>
          <w:color w:val="auto"/>
          <w:sz w:val="28"/>
          <w:szCs w:val="28"/>
          <w:highlight w:val="none"/>
          <w:u w:val="single"/>
          <w:shd w:val="clear" w:color="auto" w:fill="auto"/>
        </w:rPr>
      </w:pPr>
      <w:r>
        <w:rPr>
          <w:rFonts w:hint="eastAsia" w:hAnsi="宋体"/>
          <w:b/>
          <w:bCs/>
          <w:color w:val="auto"/>
          <w:sz w:val="28"/>
          <w:szCs w:val="28"/>
          <w:highlight w:val="none"/>
          <w:shd w:val="clear" w:color="auto" w:fill="auto"/>
        </w:rPr>
        <w:t>参选人(盖章)：</w:t>
      </w:r>
      <w:r>
        <w:rPr>
          <w:rFonts w:hint="eastAsia" w:hAnsi="宋体"/>
          <w:b/>
          <w:bCs/>
          <w:color w:val="auto"/>
          <w:sz w:val="28"/>
          <w:szCs w:val="28"/>
          <w:highlight w:val="none"/>
          <w:u w:val="single"/>
          <w:shd w:val="clear" w:color="auto" w:fill="auto"/>
        </w:rPr>
        <w:t xml:space="preserve">          [参选人名称]                 </w:t>
      </w:r>
    </w:p>
    <w:p>
      <w:pPr>
        <w:pStyle w:val="24"/>
        <w:spacing w:before="360" w:beforeLines="150" w:after="360" w:afterLines="150" w:line="480" w:lineRule="atLeast"/>
        <w:ind w:firstLine="540" w:firstLineChars="192"/>
        <w:rPr>
          <w:rFonts w:hAnsi="宋体"/>
          <w:b/>
          <w:bCs/>
          <w:color w:val="auto"/>
          <w:sz w:val="28"/>
          <w:szCs w:val="28"/>
          <w:highlight w:val="none"/>
          <w:u w:val="single"/>
          <w:shd w:val="clear" w:color="auto" w:fill="auto"/>
        </w:rPr>
      </w:pPr>
      <w:r>
        <w:rPr>
          <w:rFonts w:hint="eastAsia" w:hAnsi="宋体"/>
          <w:b/>
          <w:bCs/>
          <w:color w:val="auto"/>
          <w:sz w:val="28"/>
          <w:szCs w:val="28"/>
          <w:highlight w:val="none"/>
          <w:shd w:val="clear" w:color="auto" w:fill="auto"/>
        </w:rPr>
        <w:t>法定代表人或其委托代理人(签字或盖章)：</w:t>
      </w:r>
    </w:p>
    <w:p>
      <w:pPr>
        <w:spacing w:line="480" w:lineRule="atLeast"/>
        <w:jc w:val="center"/>
        <w:rPr>
          <w:rFonts w:ascii="宋体" w:hAnsi="宋体"/>
          <w:b/>
          <w:bCs/>
          <w:color w:val="auto"/>
          <w:sz w:val="28"/>
          <w:szCs w:val="28"/>
          <w:highlight w:val="none"/>
          <w:shd w:val="clear" w:color="auto" w:fill="auto"/>
        </w:rPr>
      </w:pPr>
      <w:r>
        <w:rPr>
          <w:rFonts w:hint="eastAsia" w:ascii="宋体" w:hAnsi="宋体"/>
          <w:b/>
          <w:bCs/>
          <w:color w:val="auto"/>
          <w:sz w:val="28"/>
          <w:szCs w:val="28"/>
          <w:highlight w:val="none"/>
          <w:shd w:val="clear" w:color="auto" w:fill="auto"/>
        </w:rPr>
        <w:t>日   期：     年    月     日</w:t>
      </w:r>
    </w:p>
    <w:p>
      <w:pPr>
        <w:spacing w:line="480" w:lineRule="atLeast"/>
        <w:rPr>
          <w:rFonts w:ascii="宋体" w:hAnsi="宋体"/>
          <w:color w:val="auto"/>
          <w:sz w:val="52"/>
          <w:szCs w:val="52"/>
          <w:highlight w:val="none"/>
          <w:u w:val="single"/>
          <w:shd w:val="clear" w:color="auto" w:fill="auto"/>
        </w:rPr>
      </w:pPr>
    </w:p>
    <w:p>
      <w:pPr>
        <w:spacing w:line="480" w:lineRule="atLeast"/>
        <w:rPr>
          <w:rFonts w:ascii="宋体" w:hAnsi="宋体"/>
          <w:color w:val="auto"/>
          <w:highlight w:val="none"/>
          <w:shd w:val="clear" w:color="auto" w:fill="auto"/>
        </w:rPr>
      </w:pPr>
      <w:r>
        <w:rPr>
          <w:rFonts w:hint="eastAsia" w:ascii="宋体" w:hAnsi="宋体"/>
          <w:color w:val="auto"/>
          <w:sz w:val="52"/>
          <w:szCs w:val="52"/>
          <w:highlight w:val="none"/>
          <w:u w:val="single"/>
          <w:shd w:val="clear" w:color="auto" w:fill="auto"/>
        </w:rPr>
        <w:t>技术标书目录</w:t>
      </w:r>
    </w:p>
    <w:p>
      <w:pPr>
        <w:pStyle w:val="24"/>
        <w:spacing w:before="360" w:beforeLines="150" w:after="360" w:afterLines="150" w:line="480" w:lineRule="atLeast"/>
        <w:rPr>
          <w:rFonts w:hAnsi="宋体"/>
          <w:b/>
          <w:bCs/>
          <w:color w:val="auto"/>
          <w:sz w:val="28"/>
          <w:szCs w:val="28"/>
          <w:highlight w:val="none"/>
          <w:shd w:val="clear" w:color="auto" w:fill="auto"/>
        </w:rPr>
      </w:pPr>
      <w:r>
        <w:rPr>
          <w:rFonts w:hint="eastAsia" w:hAnsi="宋体"/>
          <w:b/>
          <w:bCs/>
          <w:color w:val="auto"/>
          <w:sz w:val="28"/>
          <w:szCs w:val="28"/>
          <w:highlight w:val="none"/>
          <w:shd w:val="clear" w:color="auto" w:fill="auto"/>
        </w:rPr>
        <w:t>一、</w:t>
      </w:r>
      <w:bookmarkStart w:id="89" w:name="_Hlk91534435"/>
      <w:r>
        <w:rPr>
          <w:rFonts w:hint="eastAsia" w:hAnsi="宋体"/>
          <w:b/>
          <w:bCs/>
          <w:color w:val="auto"/>
          <w:sz w:val="28"/>
          <w:szCs w:val="28"/>
          <w:highlight w:val="none"/>
          <w:shd w:val="clear" w:color="auto" w:fill="auto"/>
        </w:rPr>
        <w:t>参选人营业执照复印件、政府网站显示注册资本的信息页</w:t>
      </w:r>
      <w:bookmarkEnd w:id="89"/>
      <w:r>
        <w:rPr>
          <w:rFonts w:hint="eastAsia" w:hAnsi="宋体"/>
          <w:b/>
          <w:bCs/>
          <w:color w:val="auto"/>
          <w:sz w:val="28"/>
          <w:szCs w:val="28"/>
          <w:highlight w:val="none"/>
          <w:shd w:val="clear" w:color="auto" w:fill="auto"/>
        </w:rPr>
        <w:t>（加盖公章）</w:t>
      </w:r>
    </w:p>
    <w:p>
      <w:pPr>
        <w:pStyle w:val="24"/>
        <w:spacing w:before="360" w:beforeLines="150" w:after="360" w:afterLines="150" w:line="480" w:lineRule="atLeast"/>
        <w:rPr>
          <w:rFonts w:hAnsi="宋体"/>
          <w:b/>
          <w:bCs/>
          <w:color w:val="auto"/>
          <w:sz w:val="28"/>
          <w:szCs w:val="28"/>
          <w:highlight w:val="none"/>
          <w:shd w:val="clear" w:color="auto" w:fill="auto"/>
        </w:rPr>
      </w:pPr>
      <w:r>
        <w:rPr>
          <w:rFonts w:hint="eastAsia" w:hAnsi="宋体"/>
          <w:b/>
          <w:bCs/>
          <w:color w:val="auto"/>
          <w:sz w:val="28"/>
          <w:szCs w:val="28"/>
          <w:highlight w:val="none"/>
          <w:shd w:val="clear" w:color="auto" w:fill="auto"/>
        </w:rPr>
        <w:t>二、法定代表人资格证明书原件（加盖公章）</w:t>
      </w:r>
    </w:p>
    <w:p>
      <w:pPr>
        <w:pStyle w:val="24"/>
        <w:spacing w:before="360" w:beforeLines="150" w:after="360" w:afterLines="150" w:line="480" w:lineRule="atLeast"/>
        <w:rPr>
          <w:rFonts w:hAnsi="宋体"/>
          <w:b/>
          <w:bCs/>
          <w:color w:val="auto"/>
          <w:sz w:val="28"/>
          <w:szCs w:val="28"/>
          <w:highlight w:val="none"/>
          <w:shd w:val="clear" w:color="auto" w:fill="auto"/>
        </w:rPr>
      </w:pPr>
      <w:r>
        <w:rPr>
          <w:rFonts w:hint="eastAsia" w:hAnsi="宋体"/>
          <w:b/>
          <w:bCs/>
          <w:color w:val="auto"/>
          <w:sz w:val="28"/>
          <w:szCs w:val="28"/>
          <w:highlight w:val="none"/>
          <w:shd w:val="clear" w:color="auto" w:fill="auto"/>
        </w:rPr>
        <w:t>三、法定代表人身份证件复印件（加盖公章）</w:t>
      </w:r>
    </w:p>
    <w:p>
      <w:pPr>
        <w:pStyle w:val="24"/>
        <w:spacing w:before="360" w:beforeLines="150" w:after="360" w:afterLines="150" w:line="480" w:lineRule="atLeast"/>
        <w:rPr>
          <w:rFonts w:hAnsi="宋体"/>
          <w:b/>
          <w:bCs/>
          <w:color w:val="auto"/>
          <w:sz w:val="28"/>
          <w:szCs w:val="28"/>
          <w:highlight w:val="none"/>
          <w:shd w:val="clear" w:color="auto" w:fill="auto"/>
        </w:rPr>
      </w:pPr>
      <w:r>
        <w:rPr>
          <w:rFonts w:hint="eastAsia" w:hAnsi="宋体"/>
          <w:b/>
          <w:bCs/>
          <w:color w:val="auto"/>
          <w:sz w:val="28"/>
          <w:szCs w:val="28"/>
          <w:highlight w:val="none"/>
          <w:shd w:val="clear" w:color="auto" w:fill="auto"/>
        </w:rPr>
        <w:t>四、法定代表人授权委托书原件（加盖公章）【如递交比选文件人不是法定代表人时提供】</w:t>
      </w:r>
    </w:p>
    <w:p>
      <w:pPr>
        <w:pStyle w:val="24"/>
        <w:spacing w:before="360" w:beforeLines="150" w:after="360" w:afterLines="150" w:line="480" w:lineRule="atLeast"/>
        <w:rPr>
          <w:rFonts w:hAnsi="宋体"/>
          <w:b/>
          <w:bCs/>
          <w:color w:val="auto"/>
          <w:sz w:val="28"/>
          <w:szCs w:val="28"/>
          <w:highlight w:val="none"/>
          <w:shd w:val="clear" w:color="auto" w:fill="auto"/>
        </w:rPr>
      </w:pPr>
      <w:r>
        <w:rPr>
          <w:rFonts w:hint="eastAsia" w:hAnsi="宋体"/>
          <w:b/>
          <w:bCs/>
          <w:color w:val="auto"/>
          <w:sz w:val="28"/>
          <w:szCs w:val="28"/>
          <w:highlight w:val="none"/>
          <w:shd w:val="clear" w:color="auto" w:fill="auto"/>
        </w:rPr>
        <w:t>五、被授权人身份证件复印件（加盖公章）【如递交比选文件人不是法定代表人时提供】</w:t>
      </w:r>
    </w:p>
    <w:p>
      <w:pPr>
        <w:pStyle w:val="24"/>
        <w:spacing w:before="360" w:beforeLines="150" w:after="360" w:afterLines="150" w:line="480" w:lineRule="atLeast"/>
        <w:rPr>
          <w:rFonts w:hint="eastAsia" w:hAnsi="宋体"/>
          <w:b w:val="0"/>
          <w:bCs w:val="0"/>
          <w:color w:val="auto"/>
          <w:sz w:val="24"/>
          <w:szCs w:val="24"/>
          <w:highlight w:val="none"/>
          <w:shd w:val="clear" w:color="auto" w:fill="auto"/>
          <w:lang w:val="en-US" w:eastAsia="zh-CN"/>
        </w:rPr>
      </w:pPr>
      <w:r>
        <w:rPr>
          <w:rFonts w:hint="eastAsia" w:hAnsi="宋体"/>
          <w:b/>
          <w:bCs/>
          <w:color w:val="auto"/>
          <w:sz w:val="28"/>
          <w:szCs w:val="28"/>
          <w:highlight w:val="none"/>
          <w:shd w:val="clear" w:color="auto" w:fill="auto"/>
        </w:rPr>
        <w:t>六、</w:t>
      </w:r>
      <w:r>
        <w:rPr>
          <w:rFonts w:hint="eastAsia" w:hAnsi="宋体"/>
          <w:b/>
          <w:bCs/>
          <w:color w:val="auto"/>
          <w:sz w:val="28"/>
          <w:szCs w:val="28"/>
          <w:highlight w:val="none"/>
          <w:shd w:val="clear" w:color="auto" w:fill="auto"/>
          <w:lang w:val="en-US" w:eastAsia="zh-CN"/>
        </w:rPr>
        <w:t>资格条件业绩证明材料（加盖公章）</w:t>
      </w:r>
      <w:r>
        <w:rPr>
          <w:rFonts w:hint="eastAsia" w:ascii="宋体" w:hAnsi="Courier New" w:eastAsia="宋体" w:cs="Times New Roman"/>
          <w:color w:val="auto"/>
          <w:sz w:val="20"/>
          <w:szCs w:val="20"/>
          <w:highlight w:val="none"/>
          <w:shd w:val="clear" w:color="auto" w:fill="auto"/>
          <w:lang w:val="en-US" w:eastAsia="zh-CN"/>
        </w:rPr>
        <w:t>2</w:t>
      </w:r>
      <w:r>
        <w:rPr>
          <w:rFonts w:hint="eastAsia" w:ascii="宋体" w:hAnsi="Courier New" w:eastAsia="宋体" w:cs="Times New Roman"/>
          <w:color w:val="auto"/>
          <w:sz w:val="20"/>
          <w:szCs w:val="20"/>
          <w:highlight w:val="none"/>
          <w:shd w:val="clear" w:color="auto" w:fill="auto"/>
        </w:rPr>
        <w:t>019年1月1日至今，服务全国50强或深圳20强房地产开发公司品牌（全国50强排名参考2019年-2021年中指研究院或易居克尔瑞数据，深圳20强排名参考2019-2021年深圳房协数据）在北上广深一线城市的房地产项目营销活动，且活动金额在50万元以上的案例不少于2个。（一场活动算一个案例）</w:t>
      </w:r>
    </w:p>
    <w:p>
      <w:pPr>
        <w:pStyle w:val="24"/>
        <w:spacing w:before="360" w:beforeLines="150" w:after="360" w:afterLines="150" w:line="480" w:lineRule="atLeast"/>
        <w:rPr>
          <w:rFonts w:hAnsi="宋体"/>
          <w:b/>
          <w:bCs/>
          <w:color w:val="auto"/>
          <w:sz w:val="28"/>
          <w:szCs w:val="28"/>
          <w:highlight w:val="none"/>
          <w:shd w:val="clear" w:color="auto" w:fill="auto"/>
        </w:rPr>
      </w:pPr>
      <w:r>
        <w:rPr>
          <w:rFonts w:hint="eastAsia" w:hAnsi="宋体"/>
          <w:b/>
          <w:bCs/>
          <w:color w:val="auto"/>
          <w:sz w:val="28"/>
          <w:szCs w:val="28"/>
          <w:highlight w:val="none"/>
          <w:shd w:val="clear" w:color="auto" w:fill="auto"/>
          <w:lang w:val="en-US" w:eastAsia="zh-CN"/>
        </w:rPr>
        <w:t>七、技术标公司</w:t>
      </w:r>
      <w:r>
        <w:rPr>
          <w:rFonts w:hint="eastAsia" w:hAnsi="宋体"/>
          <w:b/>
          <w:bCs/>
          <w:color w:val="auto"/>
          <w:sz w:val="28"/>
          <w:szCs w:val="28"/>
          <w:highlight w:val="none"/>
          <w:shd w:val="clear" w:color="auto" w:fill="auto"/>
        </w:rPr>
        <w:t>业绩证明材料（加盖公章）</w:t>
      </w:r>
    </w:p>
    <w:p>
      <w:pPr>
        <w:pStyle w:val="24"/>
        <w:spacing w:before="360" w:beforeLines="150" w:after="360" w:afterLines="150" w:line="480" w:lineRule="atLeast"/>
        <w:rPr>
          <w:rFonts w:hint="eastAsia" w:hAnsi="宋体" w:eastAsia="宋体"/>
          <w:b/>
          <w:bCs/>
          <w:color w:val="auto"/>
          <w:sz w:val="28"/>
          <w:szCs w:val="28"/>
          <w:highlight w:val="none"/>
          <w:shd w:val="clear" w:color="auto" w:fill="auto"/>
          <w:lang w:eastAsia="zh-CN"/>
        </w:rPr>
      </w:pPr>
      <w:r>
        <w:rPr>
          <w:rFonts w:hint="eastAsia" w:hAnsi="宋体"/>
          <w:b/>
          <w:bCs/>
          <w:color w:val="auto"/>
          <w:sz w:val="28"/>
          <w:szCs w:val="28"/>
          <w:highlight w:val="none"/>
          <w:shd w:val="clear" w:color="auto" w:fill="auto"/>
          <w:lang w:val="en-US" w:eastAsia="zh-CN"/>
        </w:rPr>
        <w:t>八</w:t>
      </w:r>
      <w:r>
        <w:rPr>
          <w:rFonts w:hint="eastAsia" w:hAnsi="宋体"/>
          <w:b/>
          <w:bCs/>
          <w:color w:val="auto"/>
          <w:sz w:val="28"/>
          <w:szCs w:val="28"/>
          <w:highlight w:val="none"/>
          <w:shd w:val="clear" w:color="auto" w:fill="auto"/>
        </w:rPr>
        <w:t>、</w:t>
      </w:r>
      <w:bookmarkStart w:id="90" w:name="_Hlk114677442"/>
      <w:r>
        <w:rPr>
          <w:rFonts w:hint="eastAsia" w:hAnsi="宋体"/>
          <w:b/>
          <w:bCs/>
          <w:color w:val="auto"/>
          <w:sz w:val="28"/>
          <w:szCs w:val="28"/>
          <w:highlight w:val="none"/>
          <w:shd w:val="clear" w:color="auto" w:fill="auto"/>
          <w:lang w:val="en-US" w:eastAsia="zh-CN"/>
        </w:rPr>
        <w:t>深铁置业产品标准化体系发布会活动</w:t>
      </w:r>
      <w:r>
        <w:rPr>
          <w:rFonts w:hint="eastAsia" w:hAnsi="宋体"/>
          <w:b/>
          <w:bCs/>
          <w:color w:val="auto"/>
          <w:sz w:val="28"/>
          <w:szCs w:val="28"/>
          <w:highlight w:val="none"/>
          <w:shd w:val="clear" w:color="auto" w:fill="auto"/>
        </w:rPr>
        <w:t>方案</w:t>
      </w:r>
      <w:bookmarkEnd w:id="90"/>
      <w:r>
        <w:rPr>
          <w:rFonts w:hint="eastAsia" w:hAnsi="宋体"/>
          <w:b/>
          <w:bCs/>
          <w:color w:val="auto"/>
          <w:sz w:val="28"/>
          <w:szCs w:val="28"/>
          <w:highlight w:val="none"/>
          <w:shd w:val="clear" w:color="auto" w:fill="auto"/>
          <w:lang w:eastAsia="zh-CN"/>
        </w:rPr>
        <w:t>（</w:t>
      </w:r>
      <w:r>
        <w:rPr>
          <w:rFonts w:hint="eastAsia"/>
          <w:color w:val="auto"/>
          <w:highlight w:val="none"/>
          <w:shd w:val="clear" w:color="auto" w:fill="auto"/>
        </w:rPr>
        <w:t>参选人应编制完整全面的参选活动方案，描述清晰、内容全面，包括但不限于活动思路、流程安排、活动舞台及物料及包装等各方面的创意、人员安排、嘉宾及主持人建议、工作铺排计划、执行团队</w:t>
      </w:r>
      <w:r>
        <w:rPr>
          <w:rFonts w:hint="eastAsia"/>
          <w:color w:val="auto"/>
          <w:highlight w:val="none"/>
          <w:shd w:val="clear" w:color="auto" w:fill="auto"/>
          <w:lang w:eastAsia="zh-CN"/>
        </w:rPr>
        <w:t>、</w:t>
      </w:r>
      <w:r>
        <w:rPr>
          <w:rFonts w:hint="eastAsia" w:ascii="宋体" w:hAnsi="Courier New" w:eastAsia="宋体" w:cs="Times New Roman"/>
          <w:color w:val="auto"/>
          <w:szCs w:val="20"/>
          <w:highlight w:val="none"/>
          <w:shd w:val="clear" w:color="auto" w:fill="auto"/>
        </w:rPr>
        <w:t>宣传推广建议</w:t>
      </w:r>
      <w:r>
        <w:rPr>
          <w:rFonts w:hint="eastAsia" w:ascii="宋体" w:hAnsi="Courier New" w:eastAsia="宋体" w:cs="Times New Roman"/>
          <w:color w:val="auto"/>
          <w:szCs w:val="20"/>
          <w:highlight w:val="none"/>
          <w:shd w:val="clear" w:color="auto" w:fill="auto"/>
          <w:lang w:eastAsia="zh-CN"/>
        </w:rPr>
        <w:t>、</w:t>
      </w:r>
      <w:r>
        <w:rPr>
          <w:rFonts w:hint="eastAsia" w:ascii="宋体" w:hAnsi="Courier New" w:eastAsia="宋体" w:cs="Times New Roman"/>
          <w:color w:val="auto"/>
          <w:szCs w:val="20"/>
          <w:highlight w:val="none"/>
          <w:shd w:val="clear" w:color="auto" w:fill="auto"/>
          <w:lang w:val="en-US" w:eastAsia="zh-CN"/>
        </w:rPr>
        <w:t>影视片方案</w:t>
      </w:r>
      <w:r>
        <w:rPr>
          <w:rFonts w:hint="eastAsia" w:cs="Times New Roman"/>
          <w:color w:val="auto"/>
          <w:szCs w:val="20"/>
          <w:highlight w:val="none"/>
          <w:shd w:val="clear" w:color="auto" w:fill="auto"/>
          <w:lang w:val="en-US" w:eastAsia="zh-CN"/>
        </w:rPr>
        <w:t>等。</w:t>
      </w:r>
      <w:r>
        <w:rPr>
          <w:rFonts w:hint="eastAsia" w:hAnsi="宋体"/>
          <w:b/>
          <w:bCs/>
          <w:color w:val="auto"/>
          <w:sz w:val="28"/>
          <w:szCs w:val="28"/>
          <w:highlight w:val="none"/>
          <w:shd w:val="clear" w:color="auto" w:fill="auto"/>
          <w:lang w:eastAsia="zh-CN"/>
        </w:rPr>
        <w:t>）</w:t>
      </w:r>
    </w:p>
    <w:p>
      <w:pPr>
        <w:pStyle w:val="24"/>
        <w:spacing w:before="360" w:beforeLines="150" w:after="360" w:afterLines="150" w:line="400" w:lineRule="atLeast"/>
        <w:rPr>
          <w:rFonts w:hint="eastAsia" w:hAnsi="宋体"/>
          <w:b/>
          <w:bCs/>
          <w:color w:val="auto"/>
          <w:sz w:val="28"/>
          <w:szCs w:val="28"/>
          <w:highlight w:val="none"/>
          <w:shd w:val="clear" w:color="auto" w:fill="auto"/>
        </w:rPr>
      </w:pPr>
      <w:r>
        <w:rPr>
          <w:rFonts w:hint="eastAsia" w:hAnsi="宋体"/>
          <w:b/>
          <w:bCs/>
          <w:color w:val="auto"/>
          <w:sz w:val="28"/>
          <w:szCs w:val="28"/>
          <w:highlight w:val="none"/>
          <w:shd w:val="clear" w:color="auto" w:fill="auto"/>
        </w:rPr>
        <w:t>特别说明：</w:t>
      </w:r>
    </w:p>
    <w:p>
      <w:pPr>
        <w:pStyle w:val="24"/>
        <w:spacing w:before="360" w:beforeLines="150" w:after="360" w:afterLines="150" w:line="400" w:lineRule="atLeast"/>
        <w:rPr>
          <w:rFonts w:hint="eastAsia" w:hAnsi="宋体"/>
          <w:b/>
          <w:bCs/>
          <w:color w:val="auto"/>
          <w:sz w:val="28"/>
          <w:szCs w:val="28"/>
          <w:highlight w:val="none"/>
          <w:shd w:val="clear" w:color="auto" w:fill="auto"/>
        </w:rPr>
      </w:pPr>
      <w:r>
        <w:rPr>
          <w:rFonts w:hint="eastAsia" w:hAnsi="宋体"/>
          <w:b/>
          <w:bCs/>
          <w:color w:val="auto"/>
          <w:sz w:val="28"/>
          <w:szCs w:val="28"/>
          <w:highlight w:val="none"/>
          <w:shd w:val="clear" w:color="auto" w:fill="auto"/>
        </w:rPr>
        <w:t>项目资料真实性及业绩由参选人负责核实，以上提供的证书（证件等）必须在有效期内，并加盖公章。若比选人查实上述信息不真实，参选人将负全责，比选人有权按照“不利于参选人”的原则处理。</w:t>
      </w:r>
    </w:p>
    <w:p>
      <w:pPr>
        <w:pStyle w:val="24"/>
        <w:spacing w:before="360" w:beforeLines="150" w:after="360" w:afterLines="150" w:line="400" w:lineRule="atLeast"/>
        <w:rPr>
          <w:rFonts w:hAnsi="宋体"/>
          <w:b/>
          <w:bCs/>
          <w:color w:val="auto"/>
          <w:sz w:val="28"/>
          <w:szCs w:val="28"/>
          <w:highlight w:val="none"/>
          <w:shd w:val="clear" w:color="auto" w:fill="auto"/>
        </w:rPr>
      </w:pPr>
      <w:r>
        <w:rPr>
          <w:rFonts w:hint="eastAsia" w:hAnsi="宋体"/>
          <w:b/>
          <w:bCs/>
          <w:color w:val="auto"/>
          <w:sz w:val="28"/>
          <w:szCs w:val="28"/>
          <w:highlight w:val="none"/>
          <w:shd w:val="clear" w:color="auto" w:fill="auto"/>
        </w:rPr>
        <w:t>所有扫描件格式为jpg格式，且图片的分辨率小于100dpi。</w:t>
      </w:r>
    </w:p>
    <w:p>
      <w:pPr>
        <w:pStyle w:val="24"/>
        <w:spacing w:before="360" w:beforeLines="150" w:after="360" w:afterLines="150" w:line="480" w:lineRule="atLeast"/>
        <w:rPr>
          <w:rFonts w:hAnsi="宋体"/>
          <w:b/>
          <w:bCs/>
          <w:color w:val="auto"/>
          <w:sz w:val="28"/>
          <w:szCs w:val="28"/>
          <w:highlight w:val="none"/>
          <w:shd w:val="clear" w:color="auto" w:fill="auto"/>
        </w:rPr>
      </w:pPr>
      <w:r>
        <w:rPr>
          <w:rFonts w:hAnsi="宋体"/>
          <w:b/>
          <w:bCs/>
          <w:color w:val="auto"/>
          <w:sz w:val="28"/>
          <w:szCs w:val="28"/>
          <w:highlight w:val="none"/>
          <w:shd w:val="clear" w:color="auto" w:fill="auto"/>
        </w:rPr>
        <w:br w:type="page"/>
      </w:r>
    </w:p>
    <w:p>
      <w:pPr>
        <w:pStyle w:val="5"/>
        <w:numPr>
          <w:ilvl w:val="0"/>
          <w:numId w:val="27"/>
        </w:numPr>
        <w:spacing w:line="480" w:lineRule="atLeast"/>
        <w:rPr>
          <w:color w:val="auto"/>
          <w:highlight w:val="none"/>
          <w:shd w:val="clear" w:color="auto" w:fill="auto"/>
        </w:rPr>
      </w:pPr>
      <w:bookmarkStart w:id="91" w:name="_Toc32190"/>
      <w:r>
        <w:rPr>
          <w:rFonts w:hint="eastAsia" w:ascii="宋体" w:hAnsi="宋体"/>
          <w:color w:val="auto"/>
          <w:sz w:val="24"/>
          <w:highlight w:val="none"/>
          <w:shd w:val="clear" w:color="auto" w:fill="auto"/>
        </w:rPr>
        <w:t>参选人营业执照复印件、政府网站显示注册资本的信息页（加盖公章）</w:t>
      </w:r>
      <w:bookmarkEnd w:id="91"/>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pStyle w:val="81"/>
        <w:spacing w:before="50" w:line="480" w:lineRule="atLeast"/>
        <w:rPr>
          <w:rFonts w:ascii="Times New Roman" w:cs="Times New Roman"/>
          <w:color w:val="auto"/>
          <w:szCs w:val="28"/>
          <w:highlight w:val="none"/>
          <w:shd w:val="clear" w:color="auto" w:fill="auto"/>
        </w:rPr>
      </w:pPr>
    </w:p>
    <w:p>
      <w:pPr>
        <w:pStyle w:val="81"/>
        <w:spacing w:before="50" w:line="480" w:lineRule="atLeast"/>
        <w:rPr>
          <w:rFonts w:ascii="Times New Roman" w:cs="Times New Roman"/>
          <w:color w:val="auto"/>
          <w:szCs w:val="28"/>
          <w:highlight w:val="none"/>
          <w:shd w:val="clear" w:color="auto" w:fill="auto"/>
        </w:rPr>
      </w:pPr>
    </w:p>
    <w:p>
      <w:pPr>
        <w:pStyle w:val="81"/>
        <w:spacing w:before="50" w:line="480" w:lineRule="atLeast"/>
        <w:rPr>
          <w:rFonts w:ascii="Times New Roman" w:cs="Times New Roman"/>
          <w:color w:val="auto"/>
          <w:szCs w:val="28"/>
          <w:highlight w:val="none"/>
          <w:shd w:val="clear" w:color="auto" w:fill="auto"/>
        </w:rPr>
      </w:pPr>
    </w:p>
    <w:p>
      <w:pPr>
        <w:pStyle w:val="5"/>
        <w:numPr>
          <w:ilvl w:val="2"/>
          <w:numId w:val="0"/>
        </w:numPr>
        <w:spacing w:line="480" w:lineRule="atLeast"/>
        <w:rPr>
          <w:rFonts w:ascii="宋体" w:hAnsi="宋体"/>
          <w:color w:val="auto"/>
          <w:sz w:val="24"/>
          <w:highlight w:val="none"/>
          <w:shd w:val="clear" w:color="auto" w:fill="auto"/>
        </w:rPr>
      </w:pPr>
      <w:bookmarkStart w:id="92" w:name="_Toc32009"/>
      <w:bookmarkStart w:id="93" w:name="_Toc510187106"/>
      <w:r>
        <w:rPr>
          <w:rFonts w:hint="eastAsia" w:ascii="宋体" w:hAnsi="宋体"/>
          <w:color w:val="auto"/>
          <w:sz w:val="24"/>
          <w:highlight w:val="none"/>
          <w:shd w:val="clear" w:color="auto" w:fill="auto"/>
        </w:rPr>
        <w:t>二</w:t>
      </w:r>
      <w:r>
        <w:rPr>
          <w:rFonts w:ascii="宋体" w:hAnsi="宋体"/>
          <w:color w:val="auto"/>
          <w:sz w:val="24"/>
          <w:highlight w:val="none"/>
          <w:shd w:val="clear" w:color="auto" w:fill="auto"/>
        </w:rPr>
        <w:t>、法定代表人资格证明书</w:t>
      </w:r>
      <w:bookmarkEnd w:id="92"/>
      <w:bookmarkEnd w:id="93"/>
    </w:p>
    <w:p>
      <w:pPr>
        <w:spacing w:line="480" w:lineRule="atLeast"/>
        <w:ind w:firstLine="5651"/>
        <w:rPr>
          <w:rFonts w:eastAsia="华文中宋"/>
          <w:color w:val="auto"/>
          <w:sz w:val="24"/>
          <w:highlight w:val="none"/>
          <w:shd w:val="clear" w:color="auto" w:fill="auto"/>
        </w:rPr>
      </w:pPr>
    </w:p>
    <w:p>
      <w:pPr>
        <w:pStyle w:val="24"/>
        <w:spacing w:after="120" w:afterLines="50" w:line="480" w:lineRule="atLeast"/>
        <w:jc w:val="center"/>
        <w:rPr>
          <w:rFonts w:ascii="Times New Roman" w:hAnsi="Times New Roman" w:eastAsia="华文细黑"/>
          <w:color w:val="auto"/>
          <w:sz w:val="44"/>
          <w:highlight w:val="none"/>
          <w:shd w:val="clear" w:color="auto" w:fill="auto"/>
        </w:rPr>
      </w:pPr>
    </w:p>
    <w:p>
      <w:pPr>
        <w:pStyle w:val="24"/>
        <w:spacing w:after="120" w:afterLines="50" w:line="480" w:lineRule="atLeast"/>
        <w:jc w:val="center"/>
        <w:rPr>
          <w:rFonts w:ascii="Times New Roman" w:hAnsi="Times New Roman"/>
          <w:color w:val="auto"/>
          <w:sz w:val="44"/>
          <w:highlight w:val="none"/>
          <w:shd w:val="clear" w:color="auto" w:fill="auto"/>
        </w:rPr>
      </w:pPr>
      <w:r>
        <w:rPr>
          <w:rFonts w:ascii="Times New Roman" w:hAnsi="Times New Roman"/>
          <w:color w:val="auto"/>
          <w:sz w:val="44"/>
          <w:highlight w:val="none"/>
          <w:shd w:val="clear" w:color="auto" w:fill="auto"/>
        </w:rPr>
        <w:t>法定代表人资格证明书</w:t>
      </w:r>
    </w:p>
    <w:p>
      <w:pPr>
        <w:pStyle w:val="24"/>
        <w:spacing w:line="480" w:lineRule="atLeast"/>
        <w:ind w:firstLine="480" w:firstLineChars="200"/>
        <w:rPr>
          <w:rFonts w:ascii="Times New Roman" w:hAnsi="Times New Roman"/>
          <w:color w:val="auto"/>
          <w:sz w:val="24"/>
          <w:szCs w:val="24"/>
          <w:highlight w:val="none"/>
          <w:shd w:val="clear" w:color="auto" w:fill="auto"/>
        </w:rPr>
      </w:pPr>
    </w:p>
    <w:p>
      <w:pPr>
        <w:pStyle w:val="24"/>
        <w:spacing w:line="480" w:lineRule="atLeast"/>
        <w:ind w:left="279" w:leftChars="133"/>
        <w:rPr>
          <w:rFonts w:ascii="Times New Roman" w:hAnsi="Times New Roman"/>
          <w:color w:val="auto"/>
          <w:sz w:val="24"/>
          <w:szCs w:val="24"/>
          <w:highlight w:val="none"/>
          <w:shd w:val="clear" w:color="auto" w:fill="auto"/>
        </w:rPr>
      </w:pPr>
    </w:p>
    <w:p>
      <w:pPr>
        <w:pStyle w:val="24"/>
        <w:spacing w:line="480" w:lineRule="atLeast"/>
        <w:ind w:left="279" w:leftChars="133" w:firstLine="120" w:firstLineChars="50"/>
        <w:rPr>
          <w:rFonts w:ascii="Times New Roman" w:hAnsi="Times New Roman"/>
          <w:color w:val="auto"/>
          <w:sz w:val="24"/>
          <w:szCs w:val="24"/>
          <w:highlight w:val="none"/>
          <w:u w:val="single"/>
          <w:shd w:val="clear" w:color="auto" w:fill="auto"/>
        </w:rPr>
      </w:pPr>
      <w:r>
        <w:rPr>
          <w:rFonts w:ascii="Times New Roman" w:hAnsi="Times New Roman"/>
          <w:color w:val="auto"/>
          <w:sz w:val="24"/>
          <w:szCs w:val="24"/>
          <w:highlight w:val="none"/>
          <w:shd w:val="clear" w:color="auto" w:fill="auto"/>
        </w:rPr>
        <w:t>单位名称：</w:t>
      </w:r>
      <w:r>
        <w:rPr>
          <w:rFonts w:hint="eastAsia" w:ascii="Times New Roman" w:hAnsi="Times New Roman"/>
          <w:color w:val="auto"/>
          <w:sz w:val="24"/>
          <w:szCs w:val="24"/>
          <w:highlight w:val="none"/>
          <w:u w:val="single"/>
          <w:shd w:val="clear" w:color="auto" w:fill="auto"/>
        </w:rPr>
        <w:t xml:space="preserve">                                                          </w:t>
      </w:r>
    </w:p>
    <w:p>
      <w:pPr>
        <w:pStyle w:val="24"/>
        <w:spacing w:line="480" w:lineRule="atLeast"/>
        <w:ind w:left="279" w:leftChars="133" w:firstLine="120" w:firstLineChars="50"/>
        <w:rPr>
          <w:rFonts w:ascii="Times New Roman" w:hAnsi="Times New Roman"/>
          <w:color w:val="auto"/>
          <w:sz w:val="24"/>
          <w:szCs w:val="24"/>
          <w:highlight w:val="none"/>
          <w:u w:val="single"/>
          <w:shd w:val="clear" w:color="auto" w:fill="auto"/>
        </w:rPr>
      </w:pPr>
      <w:r>
        <w:rPr>
          <w:rFonts w:ascii="Times New Roman" w:hAnsi="Times New Roman"/>
          <w:color w:val="auto"/>
          <w:sz w:val="24"/>
          <w:szCs w:val="24"/>
          <w:highlight w:val="none"/>
          <w:shd w:val="clear" w:color="auto" w:fill="auto"/>
        </w:rPr>
        <w:t>地</w:t>
      </w:r>
      <w:r>
        <w:rPr>
          <w:rFonts w:hint="eastAsia" w:ascii="Times New Roman" w:hAnsi="Times New Roman"/>
          <w:color w:val="auto"/>
          <w:sz w:val="24"/>
          <w:szCs w:val="24"/>
          <w:highlight w:val="none"/>
          <w:shd w:val="clear" w:color="auto" w:fill="auto"/>
        </w:rPr>
        <w:t xml:space="preserve">    </w:t>
      </w:r>
      <w:r>
        <w:rPr>
          <w:rFonts w:ascii="Times New Roman" w:hAnsi="Times New Roman"/>
          <w:color w:val="auto"/>
          <w:sz w:val="24"/>
          <w:szCs w:val="24"/>
          <w:highlight w:val="none"/>
          <w:shd w:val="clear" w:color="auto" w:fill="auto"/>
        </w:rPr>
        <w:t>址：</w:t>
      </w:r>
      <w:r>
        <w:rPr>
          <w:rFonts w:hint="eastAsia" w:ascii="Times New Roman" w:hAnsi="Times New Roman"/>
          <w:color w:val="auto"/>
          <w:sz w:val="24"/>
          <w:szCs w:val="24"/>
          <w:highlight w:val="none"/>
          <w:u w:val="single"/>
          <w:shd w:val="clear" w:color="auto" w:fill="auto"/>
        </w:rPr>
        <w:t xml:space="preserve">                                                          </w:t>
      </w:r>
    </w:p>
    <w:p>
      <w:pPr>
        <w:pStyle w:val="24"/>
        <w:spacing w:line="480" w:lineRule="atLeast"/>
        <w:ind w:left="279" w:leftChars="133" w:firstLine="120" w:firstLineChars="50"/>
        <w:rPr>
          <w:rFonts w:ascii="Times New Roman" w:hAnsi="Times New Roman"/>
          <w:color w:val="auto"/>
          <w:sz w:val="24"/>
          <w:szCs w:val="24"/>
          <w:highlight w:val="none"/>
          <w:u w:val="single"/>
          <w:shd w:val="clear" w:color="auto" w:fill="auto"/>
        </w:rPr>
      </w:pPr>
      <w:r>
        <w:rPr>
          <w:rFonts w:ascii="Times New Roman" w:hAnsi="Times New Roman"/>
          <w:color w:val="auto"/>
          <w:sz w:val="24"/>
          <w:szCs w:val="24"/>
          <w:highlight w:val="none"/>
          <w:shd w:val="clear" w:color="auto" w:fill="auto"/>
        </w:rPr>
        <w:t>姓</w:t>
      </w:r>
      <w:r>
        <w:rPr>
          <w:rFonts w:hint="eastAsia" w:ascii="Times New Roman" w:hAnsi="Times New Roman"/>
          <w:color w:val="auto"/>
          <w:sz w:val="24"/>
          <w:szCs w:val="24"/>
          <w:highlight w:val="none"/>
          <w:shd w:val="clear" w:color="auto" w:fill="auto"/>
        </w:rPr>
        <w:t xml:space="preserve">    </w:t>
      </w:r>
      <w:r>
        <w:rPr>
          <w:rFonts w:ascii="Times New Roman" w:hAnsi="Times New Roman"/>
          <w:color w:val="auto"/>
          <w:sz w:val="24"/>
          <w:szCs w:val="24"/>
          <w:highlight w:val="none"/>
          <w:shd w:val="clear" w:color="auto" w:fill="auto"/>
        </w:rPr>
        <w:t>名：</w:t>
      </w:r>
      <w:r>
        <w:rPr>
          <w:rFonts w:hint="eastAsia" w:ascii="Times New Roman" w:hAnsi="Times New Roman"/>
          <w:color w:val="auto"/>
          <w:sz w:val="24"/>
          <w:szCs w:val="24"/>
          <w:highlight w:val="none"/>
          <w:u w:val="single"/>
          <w:shd w:val="clear" w:color="auto" w:fill="auto"/>
        </w:rPr>
        <w:t xml:space="preserve">                      </w:t>
      </w:r>
      <w:r>
        <w:rPr>
          <w:rFonts w:hint="eastAsia" w:ascii="Times New Roman" w:hAnsi="Times New Roman"/>
          <w:color w:val="auto"/>
          <w:sz w:val="24"/>
          <w:szCs w:val="24"/>
          <w:highlight w:val="none"/>
          <w:shd w:val="clear" w:color="auto" w:fill="auto"/>
        </w:rPr>
        <w:t xml:space="preserve">   </w:t>
      </w:r>
      <w:r>
        <w:rPr>
          <w:rFonts w:ascii="Times New Roman" w:hAnsi="Times New Roman"/>
          <w:color w:val="auto"/>
          <w:sz w:val="24"/>
          <w:szCs w:val="24"/>
          <w:highlight w:val="none"/>
          <w:shd w:val="clear" w:color="auto" w:fill="auto"/>
        </w:rPr>
        <w:t>性</w:t>
      </w:r>
      <w:r>
        <w:rPr>
          <w:rFonts w:hint="eastAsia" w:ascii="Times New Roman" w:hAnsi="Times New Roman"/>
          <w:color w:val="auto"/>
          <w:sz w:val="24"/>
          <w:szCs w:val="24"/>
          <w:highlight w:val="none"/>
          <w:shd w:val="clear" w:color="auto" w:fill="auto"/>
        </w:rPr>
        <w:t xml:space="preserve">    </w:t>
      </w:r>
      <w:r>
        <w:rPr>
          <w:rFonts w:ascii="Times New Roman" w:hAnsi="Times New Roman"/>
          <w:color w:val="auto"/>
          <w:sz w:val="24"/>
          <w:szCs w:val="24"/>
          <w:highlight w:val="none"/>
          <w:shd w:val="clear" w:color="auto" w:fill="auto"/>
        </w:rPr>
        <w:t>别：</w:t>
      </w:r>
      <w:r>
        <w:rPr>
          <w:rFonts w:hint="eastAsia" w:ascii="Times New Roman" w:hAnsi="Times New Roman"/>
          <w:color w:val="auto"/>
          <w:sz w:val="24"/>
          <w:szCs w:val="24"/>
          <w:highlight w:val="none"/>
          <w:u w:val="single"/>
          <w:shd w:val="clear" w:color="auto" w:fill="auto"/>
        </w:rPr>
        <w:t xml:space="preserve">                       </w:t>
      </w:r>
    </w:p>
    <w:p>
      <w:pPr>
        <w:pStyle w:val="24"/>
        <w:spacing w:line="480" w:lineRule="atLeast"/>
        <w:ind w:left="279" w:leftChars="133" w:firstLine="120" w:firstLineChars="50"/>
        <w:rPr>
          <w:rFonts w:ascii="Times New Roman" w:hAnsi="Times New Roman"/>
          <w:color w:val="auto"/>
          <w:sz w:val="24"/>
          <w:szCs w:val="24"/>
          <w:highlight w:val="none"/>
          <w:u w:val="single"/>
          <w:shd w:val="clear" w:color="auto" w:fill="auto"/>
        </w:rPr>
      </w:pPr>
      <w:r>
        <w:rPr>
          <w:rFonts w:ascii="Times New Roman" w:hAnsi="Times New Roman"/>
          <w:color w:val="auto"/>
          <w:sz w:val="24"/>
          <w:szCs w:val="24"/>
          <w:highlight w:val="none"/>
          <w:shd w:val="clear" w:color="auto" w:fill="auto"/>
        </w:rPr>
        <w:t>年</w:t>
      </w:r>
      <w:r>
        <w:rPr>
          <w:rFonts w:hint="eastAsia" w:ascii="Times New Roman" w:hAnsi="Times New Roman"/>
          <w:color w:val="auto"/>
          <w:sz w:val="24"/>
          <w:szCs w:val="24"/>
          <w:highlight w:val="none"/>
          <w:shd w:val="clear" w:color="auto" w:fill="auto"/>
        </w:rPr>
        <w:t xml:space="preserve">    </w:t>
      </w:r>
      <w:r>
        <w:rPr>
          <w:rFonts w:ascii="Times New Roman" w:hAnsi="Times New Roman"/>
          <w:color w:val="auto"/>
          <w:sz w:val="24"/>
          <w:szCs w:val="24"/>
          <w:highlight w:val="none"/>
          <w:shd w:val="clear" w:color="auto" w:fill="auto"/>
        </w:rPr>
        <w:t>龄：</w:t>
      </w:r>
      <w:r>
        <w:rPr>
          <w:rFonts w:hint="eastAsia" w:ascii="Times New Roman" w:hAnsi="Times New Roman"/>
          <w:color w:val="auto"/>
          <w:sz w:val="24"/>
          <w:szCs w:val="24"/>
          <w:highlight w:val="none"/>
          <w:u w:val="single"/>
          <w:shd w:val="clear" w:color="auto" w:fill="auto"/>
        </w:rPr>
        <w:t xml:space="preserve">                      </w:t>
      </w:r>
      <w:r>
        <w:rPr>
          <w:rFonts w:hint="eastAsia" w:ascii="Times New Roman" w:hAnsi="Times New Roman"/>
          <w:color w:val="auto"/>
          <w:sz w:val="24"/>
          <w:szCs w:val="24"/>
          <w:highlight w:val="none"/>
          <w:shd w:val="clear" w:color="auto" w:fill="auto"/>
        </w:rPr>
        <w:t xml:space="preserve">   </w:t>
      </w:r>
      <w:r>
        <w:rPr>
          <w:rFonts w:ascii="Times New Roman" w:hAnsi="Times New Roman"/>
          <w:color w:val="auto"/>
          <w:sz w:val="24"/>
          <w:szCs w:val="24"/>
          <w:highlight w:val="none"/>
          <w:shd w:val="clear" w:color="auto" w:fill="auto"/>
        </w:rPr>
        <w:t>职</w:t>
      </w:r>
      <w:r>
        <w:rPr>
          <w:rFonts w:hint="eastAsia" w:ascii="Times New Roman" w:hAnsi="Times New Roman"/>
          <w:color w:val="auto"/>
          <w:sz w:val="24"/>
          <w:szCs w:val="24"/>
          <w:highlight w:val="none"/>
          <w:shd w:val="clear" w:color="auto" w:fill="auto"/>
        </w:rPr>
        <w:t xml:space="preserve">    </w:t>
      </w:r>
      <w:r>
        <w:rPr>
          <w:rFonts w:ascii="Times New Roman" w:hAnsi="Times New Roman"/>
          <w:color w:val="auto"/>
          <w:sz w:val="24"/>
          <w:szCs w:val="24"/>
          <w:highlight w:val="none"/>
          <w:shd w:val="clear" w:color="auto" w:fill="auto"/>
        </w:rPr>
        <w:t>务：</w:t>
      </w:r>
      <w:r>
        <w:rPr>
          <w:rFonts w:hint="eastAsia" w:ascii="Times New Roman" w:hAnsi="Times New Roman"/>
          <w:color w:val="auto"/>
          <w:sz w:val="24"/>
          <w:szCs w:val="24"/>
          <w:highlight w:val="none"/>
          <w:u w:val="single"/>
          <w:shd w:val="clear" w:color="auto" w:fill="auto"/>
        </w:rPr>
        <w:t xml:space="preserve">                       </w:t>
      </w:r>
    </w:p>
    <w:p>
      <w:pPr>
        <w:pStyle w:val="24"/>
        <w:spacing w:line="480" w:lineRule="atLeast"/>
        <w:ind w:left="279" w:leftChars="133" w:firstLine="120" w:firstLineChars="50"/>
        <w:rPr>
          <w:rFonts w:ascii="Times New Roman" w:hAnsi="Times New Roman"/>
          <w:color w:val="auto"/>
          <w:sz w:val="24"/>
          <w:szCs w:val="24"/>
          <w:highlight w:val="none"/>
          <w:shd w:val="clear" w:color="auto" w:fill="auto"/>
        </w:rPr>
      </w:pPr>
      <w:r>
        <w:rPr>
          <w:rFonts w:ascii="Times New Roman" w:hAnsi="Times New Roman"/>
          <w:color w:val="auto"/>
          <w:sz w:val="24"/>
          <w:szCs w:val="24"/>
          <w:highlight w:val="none"/>
          <w:shd w:val="clear" w:color="auto" w:fill="auto"/>
        </w:rPr>
        <w:t>系</w:t>
      </w:r>
      <w:r>
        <w:rPr>
          <w:rFonts w:hint="eastAsia" w:ascii="Times New Roman" w:hAnsi="Times New Roman"/>
          <w:color w:val="auto"/>
          <w:sz w:val="24"/>
          <w:szCs w:val="24"/>
          <w:highlight w:val="none"/>
          <w:u w:val="single"/>
          <w:shd w:val="clear" w:color="auto" w:fill="auto"/>
        </w:rPr>
        <w:t xml:space="preserve">                                                     </w:t>
      </w:r>
      <w:r>
        <w:rPr>
          <w:rFonts w:ascii="Times New Roman" w:hAnsi="Times New Roman"/>
          <w:color w:val="auto"/>
          <w:sz w:val="24"/>
          <w:szCs w:val="24"/>
          <w:highlight w:val="none"/>
          <w:shd w:val="clear" w:color="auto" w:fill="auto"/>
        </w:rPr>
        <w:t>的法定代表人。</w:t>
      </w:r>
    </w:p>
    <w:p>
      <w:pPr>
        <w:pStyle w:val="24"/>
        <w:spacing w:line="480" w:lineRule="atLeast"/>
        <w:ind w:left="359" w:leftChars="171"/>
        <w:rPr>
          <w:rFonts w:ascii="Times New Roman" w:hAnsi="Times New Roman"/>
          <w:color w:val="auto"/>
          <w:sz w:val="24"/>
          <w:szCs w:val="24"/>
          <w:highlight w:val="none"/>
          <w:shd w:val="clear" w:color="auto" w:fill="auto"/>
        </w:rPr>
      </w:pPr>
    </w:p>
    <w:p>
      <w:pPr>
        <w:pStyle w:val="24"/>
        <w:spacing w:line="480" w:lineRule="atLeast"/>
        <w:ind w:left="359" w:leftChars="171" w:firstLine="120" w:firstLineChars="50"/>
        <w:rPr>
          <w:rFonts w:ascii="Times New Roman" w:hAnsi="Times New Roman"/>
          <w:color w:val="auto"/>
          <w:sz w:val="24"/>
          <w:szCs w:val="24"/>
          <w:highlight w:val="none"/>
          <w:shd w:val="clear" w:color="auto" w:fill="auto"/>
        </w:rPr>
      </w:pPr>
      <w:r>
        <w:rPr>
          <w:rFonts w:ascii="Times New Roman" w:hAnsi="Times New Roman"/>
          <w:color w:val="auto"/>
          <w:sz w:val="24"/>
          <w:szCs w:val="24"/>
          <w:highlight w:val="none"/>
          <w:shd w:val="clear" w:color="auto" w:fill="auto"/>
        </w:rPr>
        <w:t>特此证明。</w:t>
      </w:r>
    </w:p>
    <w:p>
      <w:pPr>
        <w:pStyle w:val="24"/>
        <w:spacing w:line="480" w:lineRule="atLeast"/>
        <w:ind w:left="133" w:firstLine="1260" w:firstLineChars="525"/>
        <w:rPr>
          <w:rFonts w:ascii="Times New Roman" w:hAnsi="Times New Roman"/>
          <w:color w:val="auto"/>
          <w:sz w:val="24"/>
          <w:szCs w:val="24"/>
          <w:highlight w:val="none"/>
          <w:shd w:val="clear" w:color="auto" w:fill="auto"/>
        </w:rPr>
      </w:pPr>
    </w:p>
    <w:p>
      <w:pPr>
        <w:pStyle w:val="24"/>
        <w:spacing w:line="480" w:lineRule="atLeast"/>
        <w:ind w:left="133" w:firstLine="1260" w:firstLineChars="525"/>
        <w:rPr>
          <w:rFonts w:ascii="Times New Roman" w:hAnsi="Times New Roman"/>
          <w:color w:val="auto"/>
          <w:sz w:val="24"/>
          <w:szCs w:val="24"/>
          <w:highlight w:val="none"/>
          <w:shd w:val="clear" w:color="auto" w:fill="auto"/>
        </w:rPr>
      </w:pPr>
    </w:p>
    <w:p>
      <w:pPr>
        <w:pStyle w:val="24"/>
        <w:spacing w:line="480" w:lineRule="atLeast"/>
        <w:ind w:firstLine="480" w:firstLineChars="200"/>
        <w:rPr>
          <w:rFonts w:ascii="Times New Roman" w:hAnsi="Times New Roman"/>
          <w:color w:val="auto"/>
          <w:sz w:val="24"/>
          <w:szCs w:val="24"/>
          <w:highlight w:val="none"/>
          <w:u w:val="single"/>
          <w:shd w:val="clear" w:color="auto" w:fill="auto"/>
        </w:rPr>
      </w:pPr>
      <w:r>
        <w:rPr>
          <w:rFonts w:ascii="Times New Roman" w:hAnsi="Times New Roman"/>
          <w:color w:val="auto"/>
          <w:sz w:val="24"/>
          <w:szCs w:val="24"/>
          <w:highlight w:val="none"/>
          <w:shd w:val="clear" w:color="auto" w:fill="auto"/>
        </w:rPr>
        <w:t>参选人（盖章）：</w:t>
      </w:r>
      <w:r>
        <w:rPr>
          <w:rFonts w:ascii="Times New Roman" w:hAnsi="Times New Roman"/>
          <w:color w:val="auto"/>
          <w:sz w:val="24"/>
          <w:szCs w:val="24"/>
          <w:highlight w:val="none"/>
          <w:u w:val="single"/>
          <w:shd w:val="clear" w:color="auto" w:fill="auto"/>
        </w:rPr>
        <w:t xml:space="preserve">        [参选人名称]                </w:t>
      </w:r>
    </w:p>
    <w:p>
      <w:pPr>
        <w:pStyle w:val="24"/>
        <w:spacing w:line="480" w:lineRule="atLeast"/>
        <w:ind w:left="133" w:firstLine="1260" w:firstLineChars="525"/>
        <w:rPr>
          <w:rFonts w:ascii="Times New Roman" w:hAnsi="Times New Roman"/>
          <w:color w:val="auto"/>
          <w:sz w:val="24"/>
          <w:szCs w:val="24"/>
          <w:highlight w:val="none"/>
          <w:u w:val="single"/>
          <w:shd w:val="clear" w:color="auto" w:fill="auto"/>
        </w:rPr>
      </w:pPr>
    </w:p>
    <w:p>
      <w:pPr>
        <w:spacing w:line="480" w:lineRule="atLeast"/>
        <w:ind w:firstLine="480" w:firstLineChars="200"/>
        <w:rPr>
          <w:color w:val="auto"/>
          <w:sz w:val="24"/>
          <w:szCs w:val="24"/>
          <w:highlight w:val="none"/>
          <w:shd w:val="clear" w:color="auto" w:fill="auto"/>
        </w:rPr>
      </w:pPr>
      <w:r>
        <w:rPr>
          <w:color w:val="auto"/>
          <w:sz w:val="24"/>
          <w:szCs w:val="24"/>
          <w:highlight w:val="none"/>
          <w:shd w:val="clear" w:color="auto" w:fill="auto"/>
        </w:rPr>
        <w:t>日期：</w:t>
      </w:r>
      <w:r>
        <w:rPr>
          <w:rFonts w:hint="eastAsia"/>
          <w:color w:val="auto"/>
          <w:sz w:val="24"/>
          <w:szCs w:val="24"/>
          <w:highlight w:val="none"/>
          <w:u w:val="single"/>
          <w:shd w:val="clear" w:color="auto" w:fill="auto"/>
        </w:rPr>
        <w:t xml:space="preserve">        </w:t>
      </w:r>
      <w:r>
        <w:rPr>
          <w:color w:val="auto"/>
          <w:sz w:val="24"/>
          <w:szCs w:val="24"/>
          <w:highlight w:val="none"/>
          <w:shd w:val="clear" w:color="auto" w:fill="auto"/>
        </w:rPr>
        <w:t>年</w:t>
      </w:r>
      <w:r>
        <w:rPr>
          <w:rFonts w:hint="eastAsia"/>
          <w:color w:val="auto"/>
          <w:sz w:val="24"/>
          <w:szCs w:val="24"/>
          <w:highlight w:val="none"/>
          <w:u w:val="single"/>
          <w:shd w:val="clear" w:color="auto" w:fill="auto"/>
        </w:rPr>
        <w:t xml:space="preserve">    </w:t>
      </w:r>
      <w:r>
        <w:rPr>
          <w:color w:val="auto"/>
          <w:sz w:val="24"/>
          <w:szCs w:val="24"/>
          <w:highlight w:val="none"/>
          <w:shd w:val="clear" w:color="auto" w:fill="auto"/>
        </w:rPr>
        <w:t>月</w:t>
      </w:r>
      <w:r>
        <w:rPr>
          <w:rFonts w:hint="eastAsia"/>
          <w:color w:val="auto"/>
          <w:sz w:val="24"/>
          <w:szCs w:val="24"/>
          <w:highlight w:val="none"/>
          <w:u w:val="single"/>
          <w:shd w:val="clear" w:color="auto" w:fill="auto"/>
        </w:rPr>
        <w:t xml:space="preserve">    </w:t>
      </w:r>
      <w:r>
        <w:rPr>
          <w:color w:val="auto"/>
          <w:sz w:val="24"/>
          <w:szCs w:val="24"/>
          <w:highlight w:val="none"/>
          <w:shd w:val="clear" w:color="auto" w:fill="auto"/>
        </w:rPr>
        <w:t>日</w:t>
      </w:r>
    </w:p>
    <w:p>
      <w:pPr>
        <w:widowControl/>
        <w:spacing w:line="480" w:lineRule="atLeast"/>
        <w:jc w:val="left"/>
        <w:rPr>
          <w:color w:val="auto"/>
          <w:sz w:val="24"/>
          <w:szCs w:val="24"/>
          <w:highlight w:val="none"/>
          <w:shd w:val="clear" w:color="auto" w:fill="auto"/>
        </w:rPr>
      </w:pPr>
      <w:r>
        <w:rPr>
          <w:color w:val="auto"/>
          <w:sz w:val="24"/>
          <w:szCs w:val="24"/>
          <w:highlight w:val="none"/>
          <w:shd w:val="clear" w:color="auto" w:fill="auto"/>
        </w:rPr>
        <w:br w:type="page"/>
      </w:r>
    </w:p>
    <w:p>
      <w:pPr>
        <w:pStyle w:val="5"/>
        <w:tabs>
          <w:tab w:val="left" w:pos="0"/>
          <w:tab w:val="clear" w:pos="1260"/>
        </w:tabs>
        <w:spacing w:line="480" w:lineRule="atLeast"/>
        <w:ind w:left="0" w:firstLine="0"/>
        <w:rPr>
          <w:rFonts w:ascii="宋体" w:hAnsi="宋体"/>
          <w:color w:val="auto"/>
          <w:sz w:val="24"/>
          <w:highlight w:val="none"/>
          <w:shd w:val="clear" w:color="auto" w:fill="auto"/>
        </w:rPr>
      </w:pPr>
      <w:bookmarkStart w:id="94" w:name="_Toc4950"/>
      <w:bookmarkStart w:id="95" w:name="_Toc510187107"/>
      <w:r>
        <w:rPr>
          <w:rFonts w:hint="eastAsia" w:ascii="宋体" w:hAnsi="宋体"/>
          <w:color w:val="auto"/>
          <w:sz w:val="24"/>
          <w:highlight w:val="none"/>
          <w:shd w:val="clear" w:color="auto" w:fill="auto"/>
        </w:rPr>
        <w:t>三、法定代表人身份证件复印件</w:t>
      </w:r>
      <w:bookmarkEnd w:id="94"/>
      <w:bookmarkEnd w:id="95"/>
    </w:p>
    <w:p>
      <w:pPr>
        <w:widowControl/>
        <w:spacing w:line="480" w:lineRule="atLeast"/>
        <w:jc w:val="left"/>
        <w:rPr>
          <w:rFonts w:ascii="宋体" w:hAnsi="宋体"/>
          <w:bCs/>
          <w:color w:val="auto"/>
          <w:sz w:val="24"/>
          <w:szCs w:val="24"/>
          <w:highlight w:val="none"/>
          <w:shd w:val="clear" w:color="auto" w:fill="auto"/>
        </w:rPr>
      </w:pPr>
    </w:p>
    <w:p>
      <w:pPr>
        <w:widowControl/>
        <w:spacing w:line="480" w:lineRule="atLeast"/>
        <w:jc w:val="left"/>
        <w:rPr>
          <w:rFonts w:ascii="宋体" w:hAnsi="宋体"/>
          <w:bCs/>
          <w:color w:val="auto"/>
          <w:sz w:val="24"/>
          <w:szCs w:val="24"/>
          <w:highlight w:val="none"/>
          <w:shd w:val="clear" w:color="auto" w:fill="auto"/>
        </w:rPr>
      </w:pPr>
      <w:r>
        <w:rPr>
          <w:rFonts w:ascii="宋体" w:hAnsi="宋体"/>
          <w:bCs/>
          <w:color w:val="auto"/>
          <w:sz w:val="24"/>
          <w:szCs w:val="24"/>
          <w:highlight w:val="none"/>
          <w:shd w:val="clear" w:color="auto" w:fill="auto"/>
        </w:rPr>
        <w:br w:type="page"/>
      </w:r>
    </w:p>
    <w:p>
      <w:pPr>
        <w:pStyle w:val="5"/>
        <w:tabs>
          <w:tab w:val="left" w:pos="0"/>
          <w:tab w:val="clear" w:pos="1260"/>
        </w:tabs>
        <w:spacing w:line="480" w:lineRule="atLeast"/>
        <w:ind w:left="0" w:firstLine="0"/>
        <w:rPr>
          <w:rFonts w:ascii="宋体" w:hAnsi="宋体"/>
          <w:color w:val="auto"/>
          <w:sz w:val="24"/>
          <w:highlight w:val="none"/>
          <w:shd w:val="clear" w:color="auto" w:fill="auto"/>
        </w:rPr>
      </w:pPr>
      <w:bookmarkStart w:id="96" w:name="_Toc510187108"/>
      <w:bookmarkStart w:id="97" w:name="_Toc1364"/>
      <w:r>
        <w:rPr>
          <w:rFonts w:hint="eastAsia" w:ascii="宋体" w:hAnsi="宋体"/>
          <w:color w:val="auto"/>
          <w:sz w:val="24"/>
          <w:highlight w:val="none"/>
          <w:shd w:val="clear" w:color="auto" w:fill="auto"/>
        </w:rPr>
        <w:t>四、</w:t>
      </w:r>
      <w:r>
        <w:rPr>
          <w:rFonts w:ascii="宋体" w:hAnsi="宋体"/>
          <w:color w:val="auto"/>
          <w:sz w:val="24"/>
          <w:highlight w:val="none"/>
          <w:shd w:val="clear" w:color="auto" w:fill="auto"/>
        </w:rPr>
        <w:t>法定代表人授权委托书</w:t>
      </w:r>
      <w:bookmarkEnd w:id="96"/>
      <w:r>
        <w:rPr>
          <w:rFonts w:hint="eastAsia" w:ascii="宋体" w:hAnsi="宋体"/>
          <w:color w:val="auto"/>
          <w:sz w:val="24"/>
          <w:highlight w:val="none"/>
          <w:shd w:val="clear" w:color="auto" w:fill="auto"/>
        </w:rPr>
        <w:t>【如递交</w:t>
      </w:r>
      <w:r>
        <w:rPr>
          <w:rFonts w:ascii="宋体" w:hAnsi="宋体"/>
          <w:color w:val="auto"/>
          <w:sz w:val="24"/>
          <w:highlight w:val="none"/>
          <w:shd w:val="clear" w:color="auto" w:fill="auto"/>
        </w:rPr>
        <w:t>比选</w:t>
      </w:r>
      <w:r>
        <w:rPr>
          <w:rFonts w:hint="eastAsia" w:ascii="宋体" w:hAnsi="宋体"/>
          <w:color w:val="auto"/>
          <w:sz w:val="24"/>
          <w:highlight w:val="none"/>
          <w:shd w:val="clear" w:color="auto" w:fill="auto"/>
        </w:rPr>
        <w:t>文件人不是法定代表人时提供】</w:t>
      </w:r>
      <w:bookmarkEnd w:id="97"/>
    </w:p>
    <w:p>
      <w:pPr>
        <w:spacing w:line="480" w:lineRule="atLeast"/>
        <w:jc w:val="center"/>
        <w:rPr>
          <w:b/>
          <w:color w:val="auto"/>
          <w:sz w:val="24"/>
          <w:szCs w:val="24"/>
          <w:highlight w:val="none"/>
          <w:shd w:val="clear" w:color="auto" w:fill="auto"/>
        </w:rPr>
      </w:pPr>
    </w:p>
    <w:p>
      <w:pPr>
        <w:spacing w:line="480" w:lineRule="atLeast"/>
        <w:jc w:val="center"/>
        <w:rPr>
          <w:b/>
          <w:color w:val="auto"/>
          <w:sz w:val="24"/>
          <w:szCs w:val="24"/>
          <w:highlight w:val="none"/>
          <w:shd w:val="clear" w:color="auto" w:fill="auto"/>
        </w:rPr>
      </w:pPr>
    </w:p>
    <w:p>
      <w:pPr>
        <w:pStyle w:val="14"/>
        <w:spacing w:line="480" w:lineRule="atLeast"/>
        <w:rPr>
          <w:color w:val="auto"/>
          <w:highlight w:val="none"/>
          <w:shd w:val="clear" w:color="auto" w:fill="auto"/>
        </w:rPr>
      </w:pPr>
    </w:p>
    <w:p>
      <w:pPr>
        <w:pStyle w:val="24"/>
        <w:spacing w:after="120" w:afterLines="50" w:line="480" w:lineRule="atLeast"/>
        <w:jc w:val="center"/>
        <w:rPr>
          <w:rFonts w:ascii="Times New Roman" w:hAnsi="Times New Roman"/>
          <w:color w:val="auto"/>
          <w:sz w:val="44"/>
          <w:highlight w:val="none"/>
          <w:shd w:val="clear" w:color="auto" w:fill="auto"/>
        </w:rPr>
      </w:pPr>
      <w:r>
        <w:rPr>
          <w:rFonts w:ascii="Times New Roman" w:hAnsi="Times New Roman"/>
          <w:color w:val="auto"/>
          <w:sz w:val="44"/>
          <w:highlight w:val="none"/>
          <w:shd w:val="clear" w:color="auto" w:fill="auto"/>
        </w:rPr>
        <w:t>法定代表人授</w:t>
      </w:r>
      <w:r>
        <w:rPr>
          <w:rFonts w:ascii="Times New Roman" w:hAnsi="Times New Roman"/>
          <w:color w:val="auto"/>
          <w:sz w:val="44"/>
          <w:szCs w:val="52"/>
          <w:highlight w:val="none"/>
          <w:shd w:val="clear" w:color="auto" w:fill="auto"/>
        </w:rPr>
        <w:t>权</w:t>
      </w:r>
      <w:r>
        <w:rPr>
          <w:rFonts w:ascii="Times New Roman" w:hAnsi="Times New Roman"/>
          <w:color w:val="auto"/>
          <w:sz w:val="44"/>
          <w:highlight w:val="none"/>
          <w:shd w:val="clear" w:color="auto" w:fill="auto"/>
        </w:rPr>
        <w:t>委托</w:t>
      </w:r>
      <w:r>
        <w:rPr>
          <w:rFonts w:ascii="Times New Roman" w:hAnsi="Times New Roman"/>
          <w:color w:val="auto"/>
          <w:sz w:val="44"/>
          <w:szCs w:val="52"/>
          <w:highlight w:val="none"/>
          <w:shd w:val="clear" w:color="auto" w:fill="auto"/>
        </w:rPr>
        <w:t>书</w:t>
      </w:r>
    </w:p>
    <w:p>
      <w:pPr>
        <w:pStyle w:val="24"/>
        <w:spacing w:after="120" w:afterLines="50" w:line="480" w:lineRule="atLeast"/>
        <w:jc w:val="center"/>
        <w:rPr>
          <w:rFonts w:ascii="Times New Roman" w:hAnsi="Times New Roman" w:eastAsia="华文细黑"/>
          <w:color w:val="auto"/>
          <w:sz w:val="44"/>
          <w:highlight w:val="none"/>
          <w:shd w:val="clear" w:color="auto" w:fill="auto"/>
        </w:rPr>
      </w:pPr>
    </w:p>
    <w:p>
      <w:pPr>
        <w:pStyle w:val="24"/>
        <w:snapToGrid w:val="0"/>
        <w:spacing w:line="480" w:lineRule="atLeast"/>
        <w:ind w:firstLine="480" w:firstLineChars="200"/>
        <w:jc w:val="left"/>
        <w:rPr>
          <w:rFonts w:ascii="Times New Roman" w:hAnsi="Times New Roman"/>
          <w:color w:val="auto"/>
          <w:sz w:val="24"/>
          <w:szCs w:val="24"/>
          <w:highlight w:val="none"/>
          <w:shd w:val="clear" w:color="auto" w:fill="auto"/>
        </w:rPr>
      </w:pPr>
      <w:r>
        <w:rPr>
          <w:rFonts w:ascii="Times New Roman" w:hAnsi="Times New Roman"/>
          <w:color w:val="auto"/>
          <w:sz w:val="24"/>
          <w:szCs w:val="24"/>
          <w:highlight w:val="none"/>
          <w:shd w:val="clear" w:color="auto" w:fill="auto"/>
        </w:rPr>
        <w:t>本授权委托书声明：我</w:t>
      </w:r>
      <w:r>
        <w:rPr>
          <w:rFonts w:ascii="Times New Roman" w:hAnsi="Times New Roman"/>
          <w:color w:val="auto"/>
          <w:sz w:val="24"/>
          <w:szCs w:val="24"/>
          <w:highlight w:val="none"/>
          <w:u w:val="single"/>
          <w:shd w:val="clear" w:color="auto" w:fill="auto"/>
        </w:rPr>
        <w:t xml:space="preserve">       [姓名]     </w:t>
      </w:r>
      <w:r>
        <w:rPr>
          <w:rFonts w:ascii="Times New Roman" w:hAnsi="Times New Roman"/>
          <w:color w:val="auto"/>
          <w:sz w:val="24"/>
          <w:szCs w:val="24"/>
          <w:highlight w:val="none"/>
          <w:shd w:val="clear" w:color="auto" w:fill="auto"/>
        </w:rPr>
        <w:t>系</w:t>
      </w:r>
      <w:r>
        <w:rPr>
          <w:rFonts w:ascii="Times New Roman" w:hAnsi="Times New Roman"/>
          <w:color w:val="auto"/>
          <w:sz w:val="24"/>
          <w:szCs w:val="24"/>
          <w:highlight w:val="none"/>
          <w:u w:val="single"/>
          <w:shd w:val="clear" w:color="auto" w:fill="auto"/>
        </w:rPr>
        <w:t xml:space="preserve">          [参选人名称]           </w:t>
      </w:r>
      <w:r>
        <w:rPr>
          <w:rFonts w:ascii="Times New Roman" w:hAnsi="Times New Roman"/>
          <w:color w:val="auto"/>
          <w:sz w:val="24"/>
          <w:szCs w:val="24"/>
          <w:highlight w:val="none"/>
          <w:shd w:val="clear" w:color="auto" w:fill="auto"/>
        </w:rPr>
        <w:t>的法定代表人，现授权委托</w:t>
      </w:r>
      <w:r>
        <w:rPr>
          <w:rFonts w:ascii="Times New Roman" w:hAnsi="Times New Roman"/>
          <w:color w:val="auto"/>
          <w:sz w:val="24"/>
          <w:szCs w:val="24"/>
          <w:highlight w:val="none"/>
          <w:u w:val="single"/>
          <w:shd w:val="clear" w:color="auto" w:fill="auto"/>
        </w:rPr>
        <w:t xml:space="preserve">      </w:t>
      </w:r>
      <w:r>
        <w:rPr>
          <w:rFonts w:hint="eastAsia" w:ascii="Times New Roman" w:hAnsi="Times New Roman"/>
          <w:color w:val="auto"/>
          <w:sz w:val="24"/>
          <w:szCs w:val="24"/>
          <w:highlight w:val="none"/>
          <w:u w:val="single"/>
          <w:shd w:val="clear" w:color="auto" w:fill="auto"/>
        </w:rPr>
        <w:t xml:space="preserve">  </w:t>
      </w:r>
      <w:r>
        <w:rPr>
          <w:rFonts w:ascii="Times New Roman" w:hAnsi="Times New Roman"/>
          <w:color w:val="auto"/>
          <w:sz w:val="24"/>
          <w:szCs w:val="24"/>
          <w:highlight w:val="none"/>
          <w:u w:val="single"/>
          <w:shd w:val="clear" w:color="auto" w:fill="auto"/>
        </w:rPr>
        <w:t xml:space="preserve">    [单位名称]              </w:t>
      </w:r>
      <w:r>
        <w:rPr>
          <w:rFonts w:ascii="Times New Roman" w:hAnsi="Times New Roman"/>
          <w:color w:val="auto"/>
          <w:sz w:val="24"/>
          <w:szCs w:val="24"/>
          <w:highlight w:val="none"/>
          <w:shd w:val="clear" w:color="auto" w:fill="auto"/>
        </w:rPr>
        <w:t>的</w:t>
      </w:r>
      <w:r>
        <w:rPr>
          <w:rFonts w:ascii="Times New Roman" w:hAnsi="Times New Roman"/>
          <w:color w:val="auto"/>
          <w:sz w:val="24"/>
          <w:szCs w:val="24"/>
          <w:highlight w:val="none"/>
          <w:u w:val="single"/>
          <w:shd w:val="clear" w:color="auto" w:fill="auto"/>
        </w:rPr>
        <w:t xml:space="preserve">  </w:t>
      </w:r>
      <w:r>
        <w:rPr>
          <w:rFonts w:hint="eastAsia" w:ascii="Times New Roman" w:hAnsi="Times New Roman"/>
          <w:color w:val="auto"/>
          <w:sz w:val="24"/>
          <w:szCs w:val="24"/>
          <w:highlight w:val="none"/>
          <w:u w:val="single"/>
          <w:shd w:val="clear" w:color="auto" w:fill="auto"/>
        </w:rPr>
        <w:t xml:space="preserve"> </w:t>
      </w:r>
      <w:r>
        <w:rPr>
          <w:rFonts w:ascii="Times New Roman" w:hAnsi="Times New Roman"/>
          <w:color w:val="auto"/>
          <w:sz w:val="24"/>
          <w:szCs w:val="24"/>
          <w:highlight w:val="none"/>
          <w:u w:val="single"/>
          <w:shd w:val="clear" w:color="auto" w:fill="auto"/>
        </w:rPr>
        <w:t xml:space="preserve">  [姓名]       </w:t>
      </w:r>
      <w:r>
        <w:rPr>
          <w:rFonts w:ascii="Times New Roman" w:hAnsi="Times New Roman"/>
          <w:color w:val="auto"/>
          <w:sz w:val="24"/>
          <w:szCs w:val="24"/>
          <w:highlight w:val="none"/>
          <w:shd w:val="clear" w:color="auto" w:fill="auto"/>
        </w:rPr>
        <w:t>全权代表我公司参选项目、代表我公司签署参选文件的法定代表人的授权委托代理人，我承认代理人全权代表我所签署的参选文件的内容、我承认代理人全权代表我司的参选任何行为。</w:t>
      </w:r>
    </w:p>
    <w:p>
      <w:pPr>
        <w:pStyle w:val="24"/>
        <w:snapToGrid w:val="0"/>
        <w:spacing w:line="480" w:lineRule="atLeast"/>
        <w:ind w:firstLine="480" w:firstLineChars="200"/>
        <w:jc w:val="left"/>
        <w:rPr>
          <w:rFonts w:ascii="Times New Roman" w:hAnsi="Times New Roman"/>
          <w:color w:val="auto"/>
          <w:sz w:val="24"/>
          <w:szCs w:val="24"/>
          <w:highlight w:val="none"/>
          <w:shd w:val="clear" w:color="auto" w:fill="auto"/>
        </w:rPr>
      </w:pPr>
      <w:r>
        <w:rPr>
          <w:rFonts w:ascii="Times New Roman" w:hAnsi="Times New Roman"/>
          <w:color w:val="auto"/>
          <w:sz w:val="24"/>
          <w:szCs w:val="24"/>
          <w:highlight w:val="none"/>
          <w:shd w:val="clear" w:color="auto" w:fill="auto"/>
        </w:rPr>
        <w:t>授权有效期由</w:t>
      </w:r>
      <w:r>
        <w:rPr>
          <w:rFonts w:hint="eastAsia" w:ascii="Times New Roman" w:hAnsi="Times New Roman"/>
          <w:color w:val="auto"/>
          <w:sz w:val="24"/>
          <w:szCs w:val="24"/>
          <w:highlight w:val="none"/>
          <w:u w:val="single"/>
          <w:shd w:val="clear" w:color="auto" w:fill="auto"/>
        </w:rPr>
        <w:t xml:space="preserve">    </w:t>
      </w:r>
      <w:r>
        <w:rPr>
          <w:rFonts w:ascii="Times New Roman" w:hAnsi="Times New Roman"/>
          <w:color w:val="auto"/>
          <w:sz w:val="24"/>
          <w:szCs w:val="24"/>
          <w:highlight w:val="none"/>
          <w:u w:val="single"/>
          <w:shd w:val="clear" w:color="auto" w:fill="auto"/>
        </w:rPr>
        <w:t>年</w:t>
      </w:r>
      <w:r>
        <w:rPr>
          <w:rFonts w:hint="eastAsia" w:ascii="Times New Roman" w:hAnsi="Times New Roman"/>
          <w:color w:val="auto"/>
          <w:sz w:val="24"/>
          <w:szCs w:val="24"/>
          <w:highlight w:val="none"/>
          <w:u w:val="single"/>
          <w:shd w:val="clear" w:color="auto" w:fill="auto"/>
        </w:rPr>
        <w:t xml:space="preserve">  </w:t>
      </w:r>
      <w:r>
        <w:rPr>
          <w:rFonts w:ascii="Times New Roman" w:hAnsi="Times New Roman"/>
          <w:color w:val="auto"/>
          <w:sz w:val="24"/>
          <w:szCs w:val="24"/>
          <w:highlight w:val="none"/>
          <w:u w:val="single"/>
          <w:shd w:val="clear" w:color="auto" w:fill="auto"/>
        </w:rPr>
        <w:t>月</w:t>
      </w:r>
      <w:r>
        <w:rPr>
          <w:rFonts w:hint="eastAsia" w:ascii="Times New Roman" w:hAnsi="Times New Roman"/>
          <w:color w:val="auto"/>
          <w:sz w:val="24"/>
          <w:szCs w:val="24"/>
          <w:highlight w:val="none"/>
          <w:u w:val="single"/>
          <w:shd w:val="clear" w:color="auto" w:fill="auto"/>
        </w:rPr>
        <w:t xml:space="preserve">  </w:t>
      </w:r>
      <w:r>
        <w:rPr>
          <w:rFonts w:ascii="Times New Roman" w:hAnsi="Times New Roman"/>
          <w:color w:val="auto"/>
          <w:sz w:val="24"/>
          <w:szCs w:val="24"/>
          <w:highlight w:val="none"/>
          <w:u w:val="single"/>
          <w:shd w:val="clear" w:color="auto" w:fill="auto"/>
        </w:rPr>
        <w:t>日</w:t>
      </w:r>
      <w:r>
        <w:rPr>
          <w:rFonts w:ascii="Times New Roman" w:hAnsi="Times New Roman"/>
          <w:color w:val="auto"/>
          <w:sz w:val="24"/>
          <w:szCs w:val="24"/>
          <w:highlight w:val="none"/>
          <w:shd w:val="clear" w:color="auto" w:fill="auto"/>
        </w:rPr>
        <w:t>至</w:t>
      </w:r>
      <w:r>
        <w:rPr>
          <w:rFonts w:hint="eastAsia" w:ascii="Times New Roman" w:hAnsi="Times New Roman"/>
          <w:color w:val="auto"/>
          <w:sz w:val="24"/>
          <w:szCs w:val="24"/>
          <w:highlight w:val="none"/>
          <w:u w:val="single"/>
          <w:shd w:val="clear" w:color="auto" w:fill="auto"/>
        </w:rPr>
        <w:t xml:space="preserve">    </w:t>
      </w:r>
      <w:r>
        <w:rPr>
          <w:rFonts w:ascii="Times New Roman" w:hAnsi="Times New Roman"/>
          <w:color w:val="auto"/>
          <w:sz w:val="24"/>
          <w:szCs w:val="24"/>
          <w:highlight w:val="none"/>
          <w:u w:val="single"/>
          <w:shd w:val="clear" w:color="auto" w:fill="auto"/>
        </w:rPr>
        <w:t>年</w:t>
      </w:r>
      <w:r>
        <w:rPr>
          <w:rFonts w:hint="eastAsia" w:ascii="Times New Roman" w:hAnsi="Times New Roman"/>
          <w:color w:val="auto"/>
          <w:sz w:val="24"/>
          <w:szCs w:val="24"/>
          <w:highlight w:val="none"/>
          <w:u w:val="single"/>
          <w:shd w:val="clear" w:color="auto" w:fill="auto"/>
        </w:rPr>
        <w:t xml:space="preserve">  </w:t>
      </w:r>
      <w:r>
        <w:rPr>
          <w:rFonts w:ascii="Times New Roman" w:hAnsi="Times New Roman"/>
          <w:color w:val="auto"/>
          <w:sz w:val="24"/>
          <w:szCs w:val="24"/>
          <w:highlight w:val="none"/>
          <w:u w:val="single"/>
          <w:shd w:val="clear" w:color="auto" w:fill="auto"/>
        </w:rPr>
        <w:t>月</w:t>
      </w:r>
      <w:r>
        <w:rPr>
          <w:rFonts w:hint="eastAsia" w:ascii="Times New Roman" w:hAnsi="Times New Roman"/>
          <w:color w:val="auto"/>
          <w:sz w:val="24"/>
          <w:szCs w:val="24"/>
          <w:highlight w:val="none"/>
          <w:u w:val="single"/>
          <w:shd w:val="clear" w:color="auto" w:fill="auto"/>
        </w:rPr>
        <w:t xml:space="preserve">  </w:t>
      </w:r>
      <w:r>
        <w:rPr>
          <w:rFonts w:ascii="Times New Roman" w:hAnsi="Times New Roman"/>
          <w:color w:val="auto"/>
          <w:sz w:val="24"/>
          <w:szCs w:val="24"/>
          <w:highlight w:val="none"/>
          <w:u w:val="single"/>
          <w:shd w:val="clear" w:color="auto" w:fill="auto"/>
        </w:rPr>
        <w:t>日</w:t>
      </w:r>
      <w:r>
        <w:rPr>
          <w:rFonts w:ascii="Times New Roman" w:hAnsi="Times New Roman"/>
          <w:color w:val="auto"/>
          <w:sz w:val="24"/>
          <w:szCs w:val="24"/>
          <w:highlight w:val="none"/>
          <w:shd w:val="clear" w:color="auto" w:fill="auto"/>
        </w:rPr>
        <w:t>。</w:t>
      </w:r>
    </w:p>
    <w:p>
      <w:pPr>
        <w:pStyle w:val="24"/>
        <w:snapToGrid w:val="0"/>
        <w:spacing w:line="480" w:lineRule="atLeast"/>
        <w:ind w:firstLine="480" w:firstLineChars="200"/>
        <w:jc w:val="left"/>
        <w:rPr>
          <w:rFonts w:ascii="Times New Roman" w:hAnsi="Times New Roman"/>
          <w:color w:val="auto"/>
          <w:sz w:val="24"/>
          <w:szCs w:val="24"/>
          <w:highlight w:val="none"/>
          <w:shd w:val="clear" w:color="auto" w:fill="auto"/>
        </w:rPr>
      </w:pPr>
      <w:r>
        <w:rPr>
          <w:rFonts w:ascii="Times New Roman" w:hAnsi="Times New Roman"/>
          <w:color w:val="auto"/>
          <w:sz w:val="24"/>
          <w:szCs w:val="24"/>
          <w:highlight w:val="none"/>
          <w:shd w:val="clear" w:color="auto" w:fill="auto"/>
        </w:rPr>
        <w:t>代理人无转委托权，特此委托。</w:t>
      </w:r>
    </w:p>
    <w:p>
      <w:pPr>
        <w:pStyle w:val="24"/>
        <w:spacing w:line="480" w:lineRule="atLeast"/>
        <w:ind w:left="178" w:leftChars="85" w:firstLine="480" w:firstLineChars="200"/>
        <w:rPr>
          <w:rFonts w:ascii="Times New Roman" w:hAnsi="Times New Roman"/>
          <w:color w:val="auto"/>
          <w:sz w:val="24"/>
          <w:szCs w:val="24"/>
          <w:highlight w:val="none"/>
          <w:shd w:val="clear" w:color="auto" w:fill="auto"/>
        </w:rPr>
      </w:pPr>
    </w:p>
    <w:p>
      <w:pPr>
        <w:pStyle w:val="24"/>
        <w:spacing w:line="480" w:lineRule="atLeast"/>
        <w:ind w:left="178" w:leftChars="85" w:firstLine="480" w:firstLineChars="200"/>
        <w:rPr>
          <w:rFonts w:ascii="Times New Roman" w:hAnsi="Times New Roman"/>
          <w:color w:val="auto"/>
          <w:sz w:val="24"/>
          <w:szCs w:val="24"/>
          <w:highlight w:val="none"/>
          <w:shd w:val="clear" w:color="auto" w:fill="auto"/>
        </w:rPr>
      </w:pPr>
    </w:p>
    <w:p>
      <w:pPr>
        <w:pStyle w:val="24"/>
        <w:spacing w:line="480" w:lineRule="atLeast"/>
        <w:ind w:left="178" w:leftChars="85" w:firstLine="480" w:firstLineChars="200"/>
        <w:rPr>
          <w:rFonts w:ascii="Times New Roman" w:hAnsi="Times New Roman"/>
          <w:color w:val="auto"/>
          <w:sz w:val="24"/>
          <w:szCs w:val="24"/>
          <w:highlight w:val="none"/>
          <w:shd w:val="clear" w:color="auto" w:fill="auto"/>
        </w:rPr>
      </w:pPr>
    </w:p>
    <w:p>
      <w:pPr>
        <w:pStyle w:val="24"/>
        <w:spacing w:line="480" w:lineRule="atLeast"/>
        <w:ind w:firstLine="480" w:firstLineChars="200"/>
        <w:rPr>
          <w:rFonts w:ascii="Times New Roman" w:hAnsi="Times New Roman"/>
          <w:color w:val="auto"/>
          <w:sz w:val="24"/>
          <w:szCs w:val="24"/>
          <w:highlight w:val="none"/>
          <w:u w:val="single"/>
          <w:shd w:val="clear" w:color="auto" w:fill="auto"/>
        </w:rPr>
      </w:pPr>
      <w:r>
        <w:rPr>
          <w:rFonts w:ascii="Times New Roman" w:hAnsi="Times New Roman"/>
          <w:color w:val="auto"/>
          <w:sz w:val="24"/>
          <w:szCs w:val="24"/>
          <w:highlight w:val="none"/>
          <w:shd w:val="clear" w:color="auto" w:fill="auto"/>
        </w:rPr>
        <w:t>代理人：</w:t>
      </w:r>
      <w:r>
        <w:rPr>
          <w:rFonts w:hint="eastAsia" w:ascii="Times New Roman" w:hAnsi="Times New Roman"/>
          <w:color w:val="auto"/>
          <w:sz w:val="24"/>
          <w:szCs w:val="24"/>
          <w:highlight w:val="none"/>
          <w:u w:val="single"/>
          <w:shd w:val="clear" w:color="auto" w:fill="auto"/>
        </w:rPr>
        <w:t xml:space="preserve">                </w:t>
      </w:r>
      <w:r>
        <w:rPr>
          <w:rFonts w:ascii="Times New Roman" w:hAnsi="Times New Roman"/>
          <w:color w:val="auto"/>
          <w:sz w:val="24"/>
          <w:szCs w:val="24"/>
          <w:highlight w:val="none"/>
          <w:shd w:val="clear" w:color="auto" w:fill="auto"/>
        </w:rPr>
        <w:t>性别：</w:t>
      </w:r>
      <w:r>
        <w:rPr>
          <w:rFonts w:hint="eastAsia" w:ascii="Times New Roman" w:hAnsi="Times New Roman"/>
          <w:color w:val="auto"/>
          <w:sz w:val="24"/>
          <w:szCs w:val="24"/>
          <w:highlight w:val="none"/>
          <w:u w:val="single"/>
          <w:shd w:val="clear" w:color="auto" w:fill="auto"/>
        </w:rPr>
        <w:t xml:space="preserve">        </w:t>
      </w:r>
      <w:r>
        <w:rPr>
          <w:rFonts w:ascii="Times New Roman" w:hAnsi="Times New Roman"/>
          <w:color w:val="auto"/>
          <w:sz w:val="24"/>
          <w:szCs w:val="24"/>
          <w:highlight w:val="none"/>
          <w:shd w:val="clear" w:color="auto" w:fill="auto"/>
        </w:rPr>
        <w:t>年龄：</w:t>
      </w:r>
      <w:r>
        <w:rPr>
          <w:rFonts w:hint="eastAsia" w:ascii="Times New Roman" w:hAnsi="Times New Roman"/>
          <w:color w:val="auto"/>
          <w:sz w:val="24"/>
          <w:szCs w:val="24"/>
          <w:highlight w:val="none"/>
          <w:u w:val="single"/>
          <w:shd w:val="clear" w:color="auto" w:fill="auto"/>
        </w:rPr>
        <w:t xml:space="preserve">        </w:t>
      </w:r>
    </w:p>
    <w:p>
      <w:pPr>
        <w:pStyle w:val="24"/>
        <w:spacing w:line="480" w:lineRule="atLeast"/>
        <w:ind w:firstLine="480" w:firstLineChars="200"/>
        <w:rPr>
          <w:rFonts w:ascii="Times New Roman" w:hAnsi="Times New Roman"/>
          <w:color w:val="auto"/>
          <w:sz w:val="24"/>
          <w:szCs w:val="24"/>
          <w:highlight w:val="none"/>
          <w:u w:val="single"/>
          <w:shd w:val="clear" w:color="auto" w:fill="auto"/>
        </w:rPr>
      </w:pPr>
      <w:r>
        <w:rPr>
          <w:rFonts w:ascii="Times New Roman" w:hAnsi="Times New Roman"/>
          <w:color w:val="auto"/>
          <w:sz w:val="24"/>
          <w:szCs w:val="24"/>
          <w:highlight w:val="none"/>
          <w:shd w:val="clear" w:color="auto" w:fill="auto"/>
        </w:rPr>
        <w:t>身份证号码：</w:t>
      </w:r>
      <w:r>
        <w:rPr>
          <w:rFonts w:hint="eastAsia" w:ascii="Times New Roman" w:hAnsi="Times New Roman"/>
          <w:color w:val="auto"/>
          <w:sz w:val="24"/>
          <w:szCs w:val="24"/>
          <w:highlight w:val="none"/>
          <w:u w:val="single"/>
          <w:shd w:val="clear" w:color="auto" w:fill="auto"/>
        </w:rPr>
        <w:t xml:space="preserve">                          </w:t>
      </w:r>
      <w:r>
        <w:rPr>
          <w:rFonts w:ascii="Times New Roman" w:hAnsi="Times New Roman"/>
          <w:color w:val="auto"/>
          <w:sz w:val="24"/>
          <w:szCs w:val="24"/>
          <w:highlight w:val="none"/>
          <w:shd w:val="clear" w:color="auto" w:fill="auto"/>
        </w:rPr>
        <w:t>职务：</w:t>
      </w:r>
      <w:r>
        <w:rPr>
          <w:rFonts w:hint="eastAsia" w:ascii="Times New Roman" w:hAnsi="Times New Roman"/>
          <w:color w:val="auto"/>
          <w:sz w:val="24"/>
          <w:szCs w:val="24"/>
          <w:highlight w:val="none"/>
          <w:u w:val="single"/>
          <w:shd w:val="clear" w:color="auto" w:fill="auto"/>
        </w:rPr>
        <w:t xml:space="preserve">        </w:t>
      </w:r>
    </w:p>
    <w:p>
      <w:pPr>
        <w:pStyle w:val="24"/>
        <w:spacing w:line="480" w:lineRule="atLeast"/>
        <w:ind w:firstLine="480" w:firstLineChars="200"/>
        <w:rPr>
          <w:rFonts w:ascii="Times New Roman" w:hAnsi="Times New Roman"/>
          <w:color w:val="auto"/>
          <w:sz w:val="24"/>
          <w:szCs w:val="24"/>
          <w:highlight w:val="none"/>
          <w:u w:val="single"/>
          <w:shd w:val="clear" w:color="auto" w:fill="auto"/>
        </w:rPr>
      </w:pPr>
      <w:r>
        <w:rPr>
          <w:rFonts w:ascii="Times New Roman" w:hAnsi="Times New Roman"/>
          <w:color w:val="auto"/>
          <w:sz w:val="24"/>
          <w:szCs w:val="24"/>
          <w:highlight w:val="none"/>
          <w:shd w:val="clear" w:color="auto" w:fill="auto"/>
        </w:rPr>
        <w:t>参选人（盖章）：</w:t>
      </w:r>
      <w:r>
        <w:rPr>
          <w:rFonts w:ascii="Times New Roman" w:hAnsi="Times New Roman"/>
          <w:color w:val="auto"/>
          <w:sz w:val="24"/>
          <w:szCs w:val="24"/>
          <w:highlight w:val="none"/>
          <w:u w:val="single"/>
          <w:shd w:val="clear" w:color="auto" w:fill="auto"/>
        </w:rPr>
        <w:t xml:space="preserve">           [参选人名称]                         </w:t>
      </w:r>
    </w:p>
    <w:p>
      <w:pPr>
        <w:pStyle w:val="24"/>
        <w:spacing w:line="480" w:lineRule="atLeast"/>
        <w:ind w:firstLine="480" w:firstLineChars="200"/>
        <w:rPr>
          <w:rFonts w:ascii="Times New Roman" w:hAnsi="Times New Roman"/>
          <w:color w:val="auto"/>
          <w:sz w:val="24"/>
          <w:szCs w:val="24"/>
          <w:highlight w:val="none"/>
          <w:shd w:val="clear" w:color="auto" w:fill="auto"/>
        </w:rPr>
      </w:pPr>
      <w:r>
        <w:rPr>
          <w:rFonts w:ascii="Times New Roman" w:hAnsi="Times New Roman"/>
          <w:color w:val="auto"/>
          <w:sz w:val="24"/>
          <w:szCs w:val="24"/>
          <w:highlight w:val="none"/>
          <w:shd w:val="clear" w:color="auto" w:fill="auto"/>
        </w:rPr>
        <w:t>法定代表人（签字或盖章）：</w:t>
      </w:r>
    </w:p>
    <w:p>
      <w:pPr>
        <w:widowControl/>
        <w:spacing w:line="480" w:lineRule="atLeast"/>
        <w:ind w:firstLine="480" w:firstLineChars="200"/>
        <w:jc w:val="left"/>
        <w:rPr>
          <w:rFonts w:ascii="宋体" w:hAnsi="宋体"/>
          <w:bCs/>
          <w:color w:val="auto"/>
          <w:sz w:val="24"/>
          <w:szCs w:val="24"/>
          <w:highlight w:val="none"/>
          <w:shd w:val="clear" w:color="auto" w:fill="auto"/>
        </w:rPr>
      </w:pPr>
      <w:r>
        <w:rPr>
          <w:color w:val="auto"/>
          <w:sz w:val="24"/>
          <w:szCs w:val="24"/>
          <w:highlight w:val="none"/>
          <w:shd w:val="clear" w:color="auto" w:fill="auto"/>
        </w:rPr>
        <w:t>授权委托日期：</w:t>
      </w:r>
      <w:r>
        <w:rPr>
          <w:rFonts w:hint="eastAsia"/>
          <w:color w:val="auto"/>
          <w:sz w:val="24"/>
          <w:szCs w:val="24"/>
          <w:highlight w:val="none"/>
          <w:u w:val="single"/>
          <w:shd w:val="clear" w:color="auto" w:fill="auto"/>
        </w:rPr>
        <w:t xml:space="preserve">        </w:t>
      </w:r>
      <w:r>
        <w:rPr>
          <w:color w:val="auto"/>
          <w:sz w:val="24"/>
          <w:szCs w:val="24"/>
          <w:highlight w:val="none"/>
          <w:u w:val="single"/>
          <w:shd w:val="clear" w:color="auto" w:fill="auto"/>
        </w:rPr>
        <w:t>年</w:t>
      </w:r>
      <w:r>
        <w:rPr>
          <w:rFonts w:hint="eastAsia"/>
          <w:color w:val="auto"/>
          <w:sz w:val="24"/>
          <w:szCs w:val="24"/>
          <w:highlight w:val="none"/>
          <w:u w:val="single"/>
          <w:shd w:val="clear" w:color="auto" w:fill="auto"/>
        </w:rPr>
        <w:t xml:space="preserve">    </w:t>
      </w:r>
      <w:r>
        <w:rPr>
          <w:color w:val="auto"/>
          <w:sz w:val="24"/>
          <w:szCs w:val="24"/>
          <w:highlight w:val="none"/>
          <w:u w:val="single"/>
          <w:shd w:val="clear" w:color="auto" w:fill="auto"/>
        </w:rPr>
        <w:t>月</w:t>
      </w:r>
      <w:r>
        <w:rPr>
          <w:rFonts w:hint="eastAsia"/>
          <w:color w:val="auto"/>
          <w:sz w:val="24"/>
          <w:szCs w:val="24"/>
          <w:highlight w:val="none"/>
          <w:u w:val="single"/>
          <w:shd w:val="clear" w:color="auto" w:fill="auto"/>
        </w:rPr>
        <w:t xml:space="preserve">    </w:t>
      </w:r>
      <w:r>
        <w:rPr>
          <w:color w:val="auto"/>
          <w:sz w:val="24"/>
          <w:szCs w:val="24"/>
          <w:highlight w:val="none"/>
          <w:u w:val="single"/>
          <w:shd w:val="clear" w:color="auto" w:fill="auto"/>
        </w:rPr>
        <w:t>日</w:t>
      </w:r>
    </w:p>
    <w:p>
      <w:pPr>
        <w:widowControl/>
        <w:spacing w:line="480" w:lineRule="atLeast"/>
        <w:jc w:val="left"/>
        <w:rPr>
          <w:rFonts w:ascii="宋体" w:hAnsi="宋体"/>
          <w:bCs/>
          <w:color w:val="auto"/>
          <w:sz w:val="24"/>
          <w:szCs w:val="24"/>
          <w:highlight w:val="none"/>
          <w:shd w:val="clear" w:color="auto" w:fill="auto"/>
        </w:rPr>
      </w:pPr>
    </w:p>
    <w:p>
      <w:pPr>
        <w:widowControl/>
        <w:spacing w:line="480" w:lineRule="atLeast"/>
        <w:jc w:val="left"/>
        <w:rPr>
          <w:rFonts w:ascii="宋体" w:hAnsi="宋体"/>
          <w:bCs/>
          <w:color w:val="auto"/>
          <w:sz w:val="24"/>
          <w:szCs w:val="24"/>
          <w:highlight w:val="none"/>
          <w:shd w:val="clear" w:color="auto" w:fill="auto"/>
        </w:rPr>
      </w:pPr>
      <w:r>
        <w:rPr>
          <w:rFonts w:ascii="宋体" w:hAnsi="宋体"/>
          <w:bCs/>
          <w:color w:val="auto"/>
          <w:sz w:val="24"/>
          <w:szCs w:val="24"/>
          <w:highlight w:val="none"/>
          <w:shd w:val="clear" w:color="auto" w:fill="auto"/>
        </w:rPr>
        <w:br w:type="page"/>
      </w:r>
    </w:p>
    <w:p>
      <w:pPr>
        <w:pStyle w:val="5"/>
        <w:tabs>
          <w:tab w:val="left" w:pos="0"/>
          <w:tab w:val="clear" w:pos="1260"/>
        </w:tabs>
        <w:spacing w:line="480" w:lineRule="atLeast"/>
        <w:ind w:left="0" w:firstLine="0"/>
        <w:rPr>
          <w:b w:val="0"/>
          <w:color w:val="auto"/>
          <w:szCs w:val="28"/>
          <w:highlight w:val="none"/>
          <w:shd w:val="clear" w:color="auto" w:fill="auto"/>
        </w:rPr>
      </w:pPr>
      <w:bookmarkStart w:id="98" w:name="_Toc510187109"/>
      <w:bookmarkStart w:id="99" w:name="_Toc31830"/>
      <w:r>
        <w:rPr>
          <w:rFonts w:hint="eastAsia" w:ascii="宋体" w:hAnsi="宋体"/>
          <w:color w:val="auto"/>
          <w:sz w:val="24"/>
          <w:highlight w:val="none"/>
          <w:shd w:val="clear" w:color="auto" w:fill="auto"/>
        </w:rPr>
        <w:t>五、被授权人身份证件复印件</w:t>
      </w:r>
      <w:bookmarkEnd w:id="98"/>
      <w:r>
        <w:rPr>
          <w:rFonts w:hint="eastAsia" w:ascii="宋体" w:hAnsi="宋体"/>
          <w:color w:val="auto"/>
          <w:sz w:val="24"/>
          <w:highlight w:val="none"/>
          <w:shd w:val="clear" w:color="auto" w:fill="auto"/>
        </w:rPr>
        <w:t>【如递交</w:t>
      </w:r>
      <w:r>
        <w:rPr>
          <w:rFonts w:ascii="宋体" w:hAnsi="宋体"/>
          <w:color w:val="auto"/>
          <w:sz w:val="24"/>
          <w:highlight w:val="none"/>
          <w:shd w:val="clear" w:color="auto" w:fill="auto"/>
        </w:rPr>
        <w:t>比选文件</w:t>
      </w:r>
      <w:r>
        <w:rPr>
          <w:rFonts w:hint="eastAsia" w:ascii="宋体" w:hAnsi="宋体"/>
          <w:color w:val="auto"/>
          <w:sz w:val="24"/>
          <w:highlight w:val="none"/>
          <w:shd w:val="clear" w:color="auto" w:fill="auto"/>
        </w:rPr>
        <w:t>人不是法定代表人时提供】</w:t>
      </w:r>
      <w:bookmarkEnd w:id="99"/>
    </w:p>
    <w:p>
      <w:pPr>
        <w:pStyle w:val="81"/>
        <w:spacing w:before="50" w:line="480" w:lineRule="atLeast"/>
        <w:ind w:firstLine="472" w:firstLineChars="196"/>
        <w:rPr>
          <w:rFonts w:ascii="Times New Roman" w:cs="Times New Roman"/>
          <w:b/>
          <w:color w:val="auto"/>
          <w:szCs w:val="28"/>
          <w:highlight w:val="none"/>
          <w:shd w:val="clear" w:color="auto" w:fill="auto"/>
        </w:rPr>
      </w:pPr>
    </w:p>
    <w:p>
      <w:pPr>
        <w:pStyle w:val="81"/>
        <w:spacing w:before="50" w:line="480" w:lineRule="atLeast"/>
        <w:ind w:firstLine="472" w:firstLineChars="196"/>
        <w:rPr>
          <w:rFonts w:ascii="Times New Roman" w:cs="Times New Roman"/>
          <w:b/>
          <w:color w:val="auto"/>
          <w:szCs w:val="28"/>
          <w:highlight w:val="none"/>
          <w:shd w:val="clear" w:color="auto" w:fill="auto"/>
        </w:rPr>
      </w:pPr>
    </w:p>
    <w:p>
      <w:pPr>
        <w:pStyle w:val="81"/>
        <w:spacing w:before="50" w:line="480" w:lineRule="atLeast"/>
        <w:ind w:firstLine="472" w:firstLineChars="196"/>
        <w:rPr>
          <w:rFonts w:ascii="Times New Roman" w:cs="Times New Roman"/>
          <w:b/>
          <w:color w:val="auto"/>
          <w:szCs w:val="28"/>
          <w:highlight w:val="none"/>
          <w:shd w:val="clear" w:color="auto" w:fill="auto"/>
        </w:rPr>
      </w:pPr>
    </w:p>
    <w:p>
      <w:pPr>
        <w:pStyle w:val="81"/>
        <w:spacing w:before="50" w:line="480" w:lineRule="atLeast"/>
        <w:ind w:firstLine="472" w:firstLineChars="196"/>
        <w:rPr>
          <w:rFonts w:ascii="Times New Roman" w:cs="Times New Roman"/>
          <w:b/>
          <w:color w:val="auto"/>
          <w:szCs w:val="28"/>
          <w:highlight w:val="none"/>
          <w:shd w:val="clear" w:color="auto" w:fill="auto"/>
        </w:rPr>
      </w:pPr>
    </w:p>
    <w:p>
      <w:pPr>
        <w:pStyle w:val="81"/>
        <w:spacing w:before="50" w:line="480" w:lineRule="atLeast"/>
        <w:ind w:firstLine="472" w:firstLineChars="196"/>
        <w:rPr>
          <w:rFonts w:ascii="Times New Roman" w:cs="Times New Roman"/>
          <w:b/>
          <w:color w:val="auto"/>
          <w:szCs w:val="28"/>
          <w:highlight w:val="none"/>
          <w:shd w:val="clear" w:color="auto" w:fill="auto"/>
        </w:rPr>
      </w:pPr>
    </w:p>
    <w:p>
      <w:pPr>
        <w:pStyle w:val="81"/>
        <w:spacing w:before="50" w:line="480" w:lineRule="atLeast"/>
        <w:ind w:firstLine="472" w:firstLineChars="196"/>
        <w:rPr>
          <w:rFonts w:ascii="Times New Roman" w:cs="Times New Roman"/>
          <w:b/>
          <w:color w:val="auto"/>
          <w:szCs w:val="28"/>
          <w:highlight w:val="none"/>
          <w:shd w:val="clear" w:color="auto" w:fill="auto"/>
        </w:rPr>
      </w:pPr>
    </w:p>
    <w:p>
      <w:pPr>
        <w:pStyle w:val="81"/>
        <w:spacing w:before="50" w:line="480" w:lineRule="atLeast"/>
        <w:ind w:firstLine="472" w:firstLineChars="196"/>
        <w:rPr>
          <w:rFonts w:ascii="Times New Roman" w:cs="Times New Roman"/>
          <w:b/>
          <w:color w:val="auto"/>
          <w:szCs w:val="28"/>
          <w:highlight w:val="none"/>
          <w:shd w:val="clear" w:color="auto" w:fill="auto"/>
        </w:rPr>
      </w:pPr>
    </w:p>
    <w:p>
      <w:pPr>
        <w:pStyle w:val="81"/>
        <w:spacing w:before="50" w:line="480" w:lineRule="atLeast"/>
        <w:ind w:firstLine="472" w:firstLineChars="196"/>
        <w:rPr>
          <w:rFonts w:ascii="Times New Roman" w:cs="Times New Roman"/>
          <w:b/>
          <w:color w:val="auto"/>
          <w:szCs w:val="28"/>
          <w:highlight w:val="none"/>
          <w:shd w:val="clear" w:color="auto" w:fill="auto"/>
        </w:rPr>
      </w:pPr>
    </w:p>
    <w:p>
      <w:pPr>
        <w:pStyle w:val="81"/>
        <w:spacing w:before="50" w:line="480" w:lineRule="atLeast"/>
        <w:ind w:firstLine="472" w:firstLineChars="196"/>
        <w:rPr>
          <w:rFonts w:ascii="Times New Roman" w:cs="Times New Roman"/>
          <w:b/>
          <w:color w:val="auto"/>
          <w:szCs w:val="28"/>
          <w:highlight w:val="none"/>
          <w:shd w:val="clear" w:color="auto" w:fill="auto"/>
        </w:rPr>
      </w:pPr>
    </w:p>
    <w:p>
      <w:pPr>
        <w:pStyle w:val="81"/>
        <w:spacing w:before="50" w:line="480" w:lineRule="atLeast"/>
        <w:ind w:firstLine="472" w:firstLineChars="196"/>
        <w:rPr>
          <w:rFonts w:ascii="Times New Roman" w:cs="Times New Roman"/>
          <w:b/>
          <w:color w:val="auto"/>
          <w:szCs w:val="28"/>
          <w:highlight w:val="none"/>
          <w:shd w:val="clear" w:color="auto" w:fill="auto"/>
        </w:rPr>
      </w:pPr>
    </w:p>
    <w:p>
      <w:pPr>
        <w:pStyle w:val="81"/>
        <w:spacing w:before="50" w:line="480" w:lineRule="atLeast"/>
        <w:ind w:firstLine="472" w:firstLineChars="196"/>
        <w:rPr>
          <w:rFonts w:ascii="Times New Roman" w:cs="Times New Roman"/>
          <w:b/>
          <w:color w:val="auto"/>
          <w:szCs w:val="28"/>
          <w:highlight w:val="none"/>
          <w:shd w:val="clear" w:color="auto" w:fill="auto"/>
        </w:rPr>
      </w:pPr>
    </w:p>
    <w:p>
      <w:pPr>
        <w:pStyle w:val="81"/>
        <w:spacing w:before="50" w:line="480" w:lineRule="atLeast"/>
        <w:ind w:firstLine="472" w:firstLineChars="196"/>
        <w:rPr>
          <w:rFonts w:ascii="Times New Roman" w:cs="Times New Roman"/>
          <w:b/>
          <w:color w:val="auto"/>
          <w:szCs w:val="28"/>
          <w:highlight w:val="none"/>
          <w:shd w:val="clear" w:color="auto" w:fill="auto"/>
        </w:rPr>
      </w:pPr>
    </w:p>
    <w:p>
      <w:pPr>
        <w:pStyle w:val="81"/>
        <w:spacing w:before="50" w:line="480" w:lineRule="atLeast"/>
        <w:ind w:firstLine="472" w:firstLineChars="196"/>
        <w:rPr>
          <w:rFonts w:ascii="Times New Roman" w:cs="Times New Roman"/>
          <w:b/>
          <w:color w:val="auto"/>
          <w:szCs w:val="28"/>
          <w:highlight w:val="none"/>
          <w:shd w:val="clear" w:color="auto" w:fill="auto"/>
        </w:rPr>
      </w:pPr>
    </w:p>
    <w:p>
      <w:pPr>
        <w:pStyle w:val="81"/>
        <w:spacing w:before="50" w:line="480" w:lineRule="atLeast"/>
        <w:ind w:firstLine="472" w:firstLineChars="196"/>
        <w:rPr>
          <w:rFonts w:ascii="Times New Roman" w:cs="Times New Roman"/>
          <w:b/>
          <w:color w:val="auto"/>
          <w:szCs w:val="28"/>
          <w:highlight w:val="none"/>
          <w:shd w:val="clear" w:color="auto" w:fill="auto"/>
        </w:rPr>
      </w:pPr>
    </w:p>
    <w:p>
      <w:pPr>
        <w:pStyle w:val="81"/>
        <w:spacing w:before="50" w:line="480" w:lineRule="atLeast"/>
        <w:ind w:firstLine="472" w:firstLineChars="196"/>
        <w:rPr>
          <w:rFonts w:ascii="Times New Roman" w:cs="Times New Roman"/>
          <w:b/>
          <w:color w:val="auto"/>
          <w:szCs w:val="28"/>
          <w:highlight w:val="none"/>
          <w:shd w:val="clear" w:color="auto" w:fill="auto"/>
        </w:rPr>
      </w:pPr>
    </w:p>
    <w:p>
      <w:pPr>
        <w:pStyle w:val="81"/>
        <w:spacing w:before="50" w:line="480" w:lineRule="atLeast"/>
        <w:ind w:firstLine="472" w:firstLineChars="196"/>
        <w:rPr>
          <w:rFonts w:ascii="Times New Roman" w:cs="Times New Roman"/>
          <w:b/>
          <w:color w:val="auto"/>
          <w:szCs w:val="28"/>
          <w:highlight w:val="none"/>
          <w:shd w:val="clear" w:color="auto" w:fill="auto"/>
        </w:rPr>
      </w:pPr>
    </w:p>
    <w:p>
      <w:pPr>
        <w:pStyle w:val="81"/>
        <w:spacing w:before="50" w:line="480" w:lineRule="atLeast"/>
        <w:ind w:firstLine="472" w:firstLineChars="196"/>
        <w:rPr>
          <w:rFonts w:ascii="Times New Roman" w:cs="Times New Roman"/>
          <w:b/>
          <w:color w:val="auto"/>
          <w:szCs w:val="28"/>
          <w:highlight w:val="none"/>
          <w:shd w:val="clear" w:color="auto" w:fill="auto"/>
        </w:rPr>
      </w:pPr>
    </w:p>
    <w:p>
      <w:pPr>
        <w:pStyle w:val="81"/>
        <w:spacing w:before="50" w:line="480" w:lineRule="atLeast"/>
        <w:ind w:firstLine="472" w:firstLineChars="196"/>
        <w:rPr>
          <w:rFonts w:ascii="Times New Roman" w:cs="Times New Roman"/>
          <w:b/>
          <w:color w:val="auto"/>
          <w:szCs w:val="28"/>
          <w:highlight w:val="none"/>
          <w:shd w:val="clear" w:color="auto" w:fill="auto"/>
        </w:rPr>
      </w:pPr>
    </w:p>
    <w:p>
      <w:pPr>
        <w:pStyle w:val="81"/>
        <w:spacing w:before="50" w:line="480" w:lineRule="atLeast"/>
        <w:ind w:firstLine="472" w:firstLineChars="196"/>
        <w:rPr>
          <w:rFonts w:ascii="Times New Roman" w:cs="Times New Roman"/>
          <w:b/>
          <w:color w:val="auto"/>
          <w:szCs w:val="28"/>
          <w:highlight w:val="none"/>
          <w:shd w:val="clear" w:color="auto" w:fill="auto"/>
        </w:rPr>
      </w:pPr>
    </w:p>
    <w:p>
      <w:pPr>
        <w:pStyle w:val="81"/>
        <w:spacing w:before="50" w:line="480" w:lineRule="atLeast"/>
        <w:rPr>
          <w:rFonts w:ascii="Times New Roman" w:cs="Times New Roman"/>
          <w:b/>
          <w:color w:val="auto"/>
          <w:szCs w:val="28"/>
          <w:highlight w:val="none"/>
          <w:shd w:val="clear" w:color="auto" w:fill="auto"/>
        </w:rPr>
      </w:pPr>
    </w:p>
    <w:p>
      <w:pPr>
        <w:pStyle w:val="81"/>
        <w:spacing w:before="50" w:line="480" w:lineRule="atLeast"/>
        <w:rPr>
          <w:rFonts w:ascii="Times New Roman" w:cs="Times New Roman"/>
          <w:b/>
          <w:color w:val="auto"/>
          <w:szCs w:val="28"/>
          <w:highlight w:val="none"/>
          <w:shd w:val="clear" w:color="auto" w:fill="auto"/>
        </w:rPr>
      </w:pPr>
    </w:p>
    <w:p>
      <w:pPr>
        <w:pStyle w:val="81"/>
        <w:spacing w:before="50" w:line="480" w:lineRule="atLeast"/>
        <w:rPr>
          <w:rFonts w:ascii="Times New Roman" w:cs="Times New Roman"/>
          <w:b/>
          <w:color w:val="auto"/>
          <w:szCs w:val="28"/>
          <w:highlight w:val="none"/>
          <w:shd w:val="clear" w:color="auto" w:fill="auto"/>
        </w:rPr>
      </w:pPr>
    </w:p>
    <w:p>
      <w:pPr>
        <w:pStyle w:val="81"/>
        <w:spacing w:before="50" w:line="480" w:lineRule="atLeast"/>
        <w:rPr>
          <w:rFonts w:ascii="Times New Roman" w:cs="Times New Roman"/>
          <w:b/>
          <w:color w:val="auto"/>
          <w:szCs w:val="28"/>
          <w:highlight w:val="none"/>
          <w:shd w:val="clear" w:color="auto" w:fill="auto"/>
        </w:rPr>
      </w:pPr>
    </w:p>
    <w:p>
      <w:pPr>
        <w:pStyle w:val="81"/>
        <w:spacing w:before="50" w:line="480" w:lineRule="atLeast"/>
        <w:rPr>
          <w:rFonts w:ascii="Times New Roman" w:cs="Times New Roman"/>
          <w:b/>
          <w:color w:val="auto"/>
          <w:szCs w:val="28"/>
          <w:highlight w:val="none"/>
          <w:shd w:val="clear" w:color="auto" w:fill="auto"/>
        </w:rPr>
      </w:pPr>
    </w:p>
    <w:p>
      <w:pPr>
        <w:pStyle w:val="81"/>
        <w:spacing w:before="50" w:line="480" w:lineRule="atLeast"/>
        <w:rPr>
          <w:rFonts w:ascii="Times New Roman" w:cs="Times New Roman"/>
          <w:b/>
          <w:color w:val="auto"/>
          <w:szCs w:val="28"/>
          <w:highlight w:val="none"/>
          <w:shd w:val="clear" w:color="auto" w:fill="auto"/>
        </w:rPr>
      </w:pPr>
    </w:p>
    <w:p>
      <w:pPr>
        <w:pStyle w:val="5"/>
        <w:tabs>
          <w:tab w:val="left" w:pos="0"/>
          <w:tab w:val="clear" w:pos="1260"/>
        </w:tabs>
        <w:spacing w:line="480" w:lineRule="atLeast"/>
        <w:ind w:left="0" w:firstLine="0"/>
        <w:rPr>
          <w:b w:val="0"/>
          <w:color w:val="auto"/>
          <w:szCs w:val="28"/>
          <w:highlight w:val="none"/>
          <w:shd w:val="clear" w:color="auto" w:fill="auto"/>
        </w:rPr>
        <w:sectPr>
          <w:headerReference r:id="rId5" w:type="default"/>
          <w:pgSz w:w="11907" w:h="16840"/>
          <w:pgMar w:top="1440" w:right="1134" w:bottom="1440" w:left="1440" w:header="720" w:footer="890" w:gutter="0"/>
          <w:cols w:space="720" w:num="1"/>
          <w:titlePg/>
          <w:docGrid w:linePitch="360" w:charSpace="0"/>
        </w:sectPr>
      </w:pPr>
    </w:p>
    <w:p>
      <w:pPr>
        <w:pStyle w:val="24"/>
        <w:spacing w:before="360" w:beforeLines="150" w:after="360" w:afterLines="150" w:line="480" w:lineRule="atLeast"/>
        <w:rPr>
          <w:rFonts w:hint="eastAsia" w:hAnsi="宋体"/>
          <w:b/>
          <w:bCs/>
          <w:color w:val="auto"/>
          <w:kern w:val="2"/>
          <w:sz w:val="24"/>
          <w:szCs w:val="20"/>
          <w:highlight w:val="none"/>
          <w:shd w:val="clear" w:color="auto" w:fill="auto"/>
          <w:lang w:val="en-US" w:eastAsia="zh-CN"/>
        </w:rPr>
      </w:pPr>
      <w:bookmarkStart w:id="100" w:name="_Toc11601"/>
      <w:r>
        <w:rPr>
          <w:rFonts w:hint="eastAsia" w:ascii="宋体" w:hAnsi="宋体"/>
          <w:bCs/>
          <w:color w:val="auto"/>
          <w:kern w:val="2"/>
          <w:sz w:val="24"/>
          <w:highlight w:val="none"/>
          <w:shd w:val="clear" w:color="auto" w:fill="auto"/>
        </w:rPr>
        <w:t>六</w:t>
      </w:r>
      <w:r>
        <w:rPr>
          <w:rFonts w:hint="eastAsia" w:ascii="宋体" w:hAnsi="宋体"/>
          <w:b/>
          <w:bCs/>
          <w:color w:val="auto"/>
          <w:kern w:val="2"/>
          <w:sz w:val="24"/>
          <w:highlight w:val="none"/>
          <w:shd w:val="clear" w:color="auto" w:fill="auto"/>
        </w:rPr>
        <w:t>、</w:t>
      </w:r>
      <w:r>
        <w:rPr>
          <w:rFonts w:hint="eastAsia" w:hAnsi="宋体"/>
          <w:b/>
          <w:bCs/>
          <w:color w:val="auto"/>
          <w:kern w:val="2"/>
          <w:sz w:val="24"/>
          <w:szCs w:val="20"/>
          <w:highlight w:val="none"/>
          <w:shd w:val="clear" w:color="auto" w:fill="auto"/>
          <w:lang w:val="en-US" w:eastAsia="zh-CN"/>
        </w:rPr>
        <w:t>资格条件业绩证明材料（加盖公章）</w:t>
      </w:r>
    </w:p>
    <w:p>
      <w:pPr>
        <w:pStyle w:val="24"/>
        <w:spacing w:before="360" w:beforeLines="150" w:after="360" w:afterLines="150" w:line="480" w:lineRule="atLeast"/>
        <w:rPr>
          <w:rFonts w:hint="eastAsia" w:ascii="仿宋" w:hAnsi="仿宋" w:eastAsia="仿宋" w:cs="仿宋"/>
          <w:b w:val="0"/>
          <w:bCs w:val="0"/>
          <w:color w:val="auto"/>
          <w:kern w:val="2"/>
          <w:sz w:val="21"/>
          <w:szCs w:val="21"/>
          <w:highlight w:val="none"/>
          <w:shd w:val="clear" w:color="auto" w:fill="auto"/>
        </w:rPr>
      </w:pPr>
      <w:r>
        <w:rPr>
          <w:rFonts w:hint="eastAsia" w:ascii="仿宋" w:hAnsi="仿宋" w:eastAsia="仿宋" w:cs="仿宋"/>
          <w:b w:val="0"/>
          <w:bCs w:val="0"/>
          <w:color w:val="auto"/>
          <w:kern w:val="2"/>
          <w:sz w:val="21"/>
          <w:szCs w:val="21"/>
          <w:highlight w:val="none"/>
          <w:shd w:val="clear" w:color="auto" w:fill="auto"/>
          <w:lang w:val="en-US" w:eastAsia="zh-CN"/>
        </w:rPr>
        <w:t>2</w:t>
      </w:r>
      <w:r>
        <w:rPr>
          <w:rFonts w:hint="eastAsia" w:ascii="仿宋" w:hAnsi="仿宋" w:eastAsia="仿宋" w:cs="仿宋"/>
          <w:b w:val="0"/>
          <w:bCs w:val="0"/>
          <w:color w:val="auto"/>
          <w:kern w:val="2"/>
          <w:sz w:val="21"/>
          <w:szCs w:val="21"/>
          <w:highlight w:val="none"/>
          <w:shd w:val="clear" w:color="auto" w:fill="auto"/>
        </w:rPr>
        <w:t>019年1月1日至今，服务全国50强或深圳20强房地产开发公司品牌（全国50强排名参考2019年-2021年中指研究院或易居克尔瑞数据，深圳20强排名参考2019-2021年深圳房协数据）在北上广深一线城市的房地产项目营销活动，且活动金额在50万元以上的案例不少于2个。（一场活动算一个案例）</w:t>
      </w:r>
    </w:p>
    <w:p>
      <w:pPr>
        <w:pStyle w:val="5"/>
        <w:numPr>
          <w:ilvl w:val="2"/>
          <w:numId w:val="0"/>
        </w:numPr>
        <w:tabs>
          <w:tab w:val="left" w:pos="1440"/>
        </w:tabs>
        <w:spacing w:line="360" w:lineRule="auto"/>
        <w:rPr>
          <w:rFonts w:hint="eastAsia" w:ascii="宋体" w:hAnsi="宋体"/>
          <w:bCs/>
          <w:color w:val="auto"/>
          <w:kern w:val="2"/>
          <w:sz w:val="24"/>
          <w:highlight w:val="none"/>
          <w:shd w:val="clear" w:color="auto" w:fill="auto"/>
        </w:rPr>
      </w:pPr>
    </w:p>
    <w:p>
      <w:pPr>
        <w:pStyle w:val="5"/>
        <w:numPr>
          <w:ilvl w:val="2"/>
          <w:numId w:val="0"/>
        </w:numPr>
        <w:tabs>
          <w:tab w:val="left" w:pos="1440"/>
        </w:tabs>
        <w:spacing w:line="360" w:lineRule="auto"/>
        <w:rPr>
          <w:rFonts w:hint="eastAsia" w:ascii="宋体" w:hAnsi="宋体"/>
          <w:bCs/>
          <w:color w:val="auto"/>
          <w:kern w:val="2"/>
          <w:sz w:val="24"/>
          <w:highlight w:val="none"/>
          <w:shd w:val="clear" w:color="auto" w:fill="auto"/>
        </w:rPr>
      </w:pPr>
    </w:p>
    <w:p>
      <w:pPr>
        <w:pStyle w:val="5"/>
        <w:numPr>
          <w:ilvl w:val="2"/>
          <w:numId w:val="0"/>
        </w:numPr>
        <w:tabs>
          <w:tab w:val="left" w:pos="1440"/>
        </w:tabs>
        <w:spacing w:line="360" w:lineRule="auto"/>
        <w:rPr>
          <w:rFonts w:ascii="宋体" w:hAnsi="宋体"/>
          <w:bCs/>
          <w:color w:val="auto"/>
          <w:kern w:val="2"/>
          <w:sz w:val="24"/>
          <w:highlight w:val="none"/>
          <w:shd w:val="clear" w:color="auto" w:fill="auto"/>
        </w:rPr>
      </w:pPr>
      <w:r>
        <w:rPr>
          <w:rFonts w:hint="eastAsia" w:ascii="宋体" w:hAnsi="宋体"/>
          <w:bCs/>
          <w:color w:val="auto"/>
          <w:kern w:val="2"/>
          <w:sz w:val="24"/>
          <w:highlight w:val="none"/>
          <w:shd w:val="clear" w:color="auto" w:fill="auto"/>
          <w:lang w:val="en-US" w:eastAsia="zh-CN"/>
        </w:rPr>
        <w:t>七、技术标公司</w:t>
      </w:r>
      <w:r>
        <w:rPr>
          <w:rFonts w:hint="eastAsia" w:ascii="宋体" w:hAnsi="宋体"/>
          <w:bCs/>
          <w:color w:val="auto"/>
          <w:kern w:val="2"/>
          <w:sz w:val="24"/>
          <w:highlight w:val="none"/>
          <w:shd w:val="clear" w:color="auto" w:fill="auto"/>
        </w:rPr>
        <w:t>业绩证明材料（加盖公章）</w:t>
      </w:r>
      <w:bookmarkEnd w:id="100"/>
    </w:p>
    <w:p>
      <w:pPr>
        <w:adjustRightInd w:val="0"/>
        <w:snapToGrid w:val="0"/>
        <w:spacing w:line="276" w:lineRule="auto"/>
        <w:jc w:val="left"/>
        <w:textAlignment w:val="baseline"/>
        <w:rPr>
          <w:rFonts w:hint="eastAsia" w:ascii="仿宋" w:hAnsi="仿宋" w:eastAsia="仿宋" w:cs="仿宋"/>
          <w:color w:val="auto"/>
          <w:sz w:val="22"/>
          <w:szCs w:val="22"/>
          <w:highlight w:val="none"/>
          <w:shd w:val="clear" w:color="auto" w:fill="auto"/>
        </w:rPr>
      </w:pP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lang w:val="en-US" w:eastAsia="zh-CN"/>
        </w:rPr>
        <w:t>1</w:t>
      </w: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rPr>
        <w:t>2019年1月1日至今，服务全国50强或深圳20强房地产开发公司品牌（全国50强排名参考2019年-2021年中指研究院或易居克尔瑞数据，深圳20强排名参考2019-2021年深圳房协数据）在北上广深一线城市的项目或品牌的活动，且合同金额在100万元以上的案例。</w:t>
      </w:r>
    </w:p>
    <w:p>
      <w:pPr>
        <w:adjustRightInd w:val="0"/>
        <w:snapToGrid w:val="0"/>
        <w:spacing w:line="276" w:lineRule="auto"/>
        <w:jc w:val="left"/>
        <w:textAlignment w:val="baseline"/>
        <w:rPr>
          <w:rFonts w:hint="default" w:ascii="仿宋" w:hAnsi="仿宋" w:eastAsia="仿宋" w:cs="仿宋"/>
          <w:color w:val="auto"/>
          <w:sz w:val="22"/>
          <w:szCs w:val="22"/>
          <w:highlight w:val="none"/>
          <w:shd w:val="clear" w:color="auto" w:fill="auto"/>
          <w:lang w:val="en-US" w:eastAsia="zh-CN"/>
        </w:rPr>
      </w:pP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lang w:val="en-US" w:eastAsia="zh-CN"/>
        </w:rPr>
        <w:t>2</w:t>
      </w: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rPr>
        <w:t>2019年1月1日至今，在北上广深一线城市</w:t>
      </w:r>
      <w:r>
        <w:rPr>
          <w:rFonts w:hint="eastAsia" w:ascii="仿宋" w:hAnsi="仿宋" w:eastAsia="仿宋" w:cs="仿宋"/>
          <w:color w:val="auto"/>
          <w:sz w:val="22"/>
          <w:szCs w:val="22"/>
          <w:highlight w:val="none"/>
          <w:shd w:val="clear" w:color="auto" w:fill="auto"/>
          <w:lang w:val="en-US" w:eastAsia="zh-CN"/>
        </w:rPr>
        <w:t>落地执行的大型品牌类活动，或由政府单位举办的大型活动或峰会（文化、科技、金融、公益等类型），单项活动金额大于或等于200万元的案例。</w:t>
      </w:r>
    </w:p>
    <w:p>
      <w:pPr>
        <w:adjustRightInd w:val="0"/>
        <w:snapToGrid w:val="0"/>
        <w:spacing w:line="276" w:lineRule="auto"/>
        <w:jc w:val="left"/>
        <w:textAlignment w:val="baseline"/>
        <w:rPr>
          <w:rFonts w:hint="eastAsia" w:ascii="仿宋" w:hAnsi="仿宋" w:eastAsia="仿宋" w:cs="仿宋"/>
          <w:color w:val="auto"/>
          <w:sz w:val="22"/>
          <w:szCs w:val="22"/>
          <w:highlight w:val="none"/>
          <w:shd w:val="clear" w:color="auto" w:fill="auto"/>
        </w:rPr>
      </w:pPr>
      <w:r>
        <w:rPr>
          <w:rFonts w:hint="eastAsia" w:ascii="仿宋" w:hAnsi="仿宋" w:eastAsia="仿宋" w:cs="仿宋"/>
          <w:color w:val="auto"/>
          <w:sz w:val="22"/>
          <w:szCs w:val="22"/>
          <w:highlight w:val="none"/>
          <w:shd w:val="clear" w:color="auto" w:fill="auto"/>
        </w:rPr>
        <w:t>备注：</w:t>
      </w:r>
    </w:p>
    <w:p>
      <w:pPr>
        <w:adjustRightInd w:val="0"/>
        <w:snapToGrid w:val="0"/>
        <w:spacing w:line="276" w:lineRule="auto"/>
        <w:jc w:val="left"/>
        <w:textAlignment w:val="baseline"/>
        <w:rPr>
          <w:rFonts w:hint="eastAsia" w:ascii="仿宋" w:hAnsi="仿宋" w:eastAsia="仿宋" w:cs="仿宋"/>
          <w:color w:val="auto"/>
          <w:sz w:val="22"/>
          <w:szCs w:val="22"/>
          <w:highlight w:val="none"/>
          <w:shd w:val="clear" w:color="auto" w:fill="auto"/>
        </w:rPr>
      </w:pPr>
      <w:r>
        <w:rPr>
          <w:rFonts w:hint="eastAsia" w:ascii="仿宋" w:hAnsi="仿宋" w:eastAsia="仿宋" w:cs="仿宋"/>
          <w:color w:val="auto"/>
          <w:sz w:val="22"/>
          <w:szCs w:val="22"/>
          <w:highlight w:val="none"/>
          <w:shd w:val="clear" w:color="auto" w:fill="auto"/>
        </w:rPr>
        <w:t>a.需提供合同关键页复印件（包括但不限于名称、委托内容、合同价格、委托期限、签订日期、盖章页等）及相关活动现场图片；</w:t>
      </w:r>
    </w:p>
    <w:p>
      <w:pPr>
        <w:adjustRightInd w:val="0"/>
        <w:snapToGrid w:val="0"/>
        <w:spacing w:line="276" w:lineRule="auto"/>
        <w:jc w:val="left"/>
        <w:textAlignment w:val="baseline"/>
        <w:rPr>
          <w:rFonts w:hint="eastAsia" w:ascii="仿宋" w:hAnsi="仿宋" w:eastAsia="仿宋" w:cs="仿宋"/>
          <w:color w:val="auto"/>
          <w:sz w:val="22"/>
          <w:szCs w:val="22"/>
          <w:highlight w:val="none"/>
          <w:shd w:val="clear" w:color="auto" w:fill="auto"/>
        </w:rPr>
      </w:pPr>
      <w:r>
        <w:rPr>
          <w:rFonts w:hint="eastAsia" w:ascii="仿宋" w:hAnsi="仿宋" w:eastAsia="仿宋" w:cs="仿宋"/>
          <w:color w:val="auto"/>
          <w:sz w:val="22"/>
          <w:szCs w:val="22"/>
          <w:highlight w:val="none"/>
          <w:shd w:val="clear" w:color="auto" w:fill="auto"/>
        </w:rPr>
        <w:t xml:space="preserve">b.合同名称或委托内容需标明具体活动类型； </w:t>
      </w:r>
    </w:p>
    <w:p>
      <w:pPr>
        <w:adjustRightInd w:val="0"/>
        <w:snapToGrid w:val="0"/>
        <w:spacing w:line="276" w:lineRule="auto"/>
        <w:jc w:val="left"/>
        <w:textAlignment w:val="baseline"/>
        <w:rPr>
          <w:rFonts w:hint="eastAsia" w:ascii="仿宋" w:hAnsi="仿宋" w:eastAsia="仿宋" w:cs="仿宋"/>
          <w:color w:val="auto"/>
          <w:sz w:val="22"/>
          <w:szCs w:val="22"/>
          <w:highlight w:val="none"/>
          <w:shd w:val="clear" w:color="auto" w:fill="auto"/>
        </w:rPr>
      </w:pPr>
      <w:r>
        <w:rPr>
          <w:rFonts w:hint="eastAsia" w:ascii="仿宋" w:hAnsi="仿宋" w:eastAsia="仿宋" w:cs="仿宋"/>
          <w:color w:val="auto"/>
          <w:sz w:val="22"/>
          <w:szCs w:val="22"/>
          <w:highlight w:val="none"/>
          <w:shd w:val="clear" w:color="auto" w:fill="auto"/>
        </w:rPr>
        <w:t>c.未提供或无法清晰显示业绩情况不得分；</w:t>
      </w:r>
    </w:p>
    <w:p>
      <w:pPr>
        <w:adjustRightInd w:val="0"/>
        <w:snapToGrid w:val="0"/>
        <w:spacing w:line="276" w:lineRule="auto"/>
        <w:jc w:val="left"/>
        <w:textAlignment w:val="baseline"/>
        <w:rPr>
          <w:rFonts w:hint="eastAsia" w:ascii="仿宋" w:hAnsi="仿宋" w:eastAsia="仿宋" w:cs="仿宋"/>
          <w:color w:val="auto"/>
          <w:sz w:val="22"/>
          <w:szCs w:val="22"/>
          <w:highlight w:val="none"/>
          <w:shd w:val="clear" w:color="auto" w:fill="auto"/>
        </w:rPr>
      </w:pPr>
      <w:r>
        <w:rPr>
          <w:rFonts w:hint="eastAsia" w:ascii="仿宋" w:hAnsi="仿宋" w:eastAsia="仿宋" w:cs="仿宋"/>
          <w:color w:val="auto"/>
          <w:sz w:val="22"/>
          <w:szCs w:val="22"/>
          <w:highlight w:val="none"/>
          <w:shd w:val="clear" w:color="auto" w:fill="auto"/>
        </w:rPr>
        <w:t>d.同一合同不重复积分。</w:t>
      </w:r>
    </w:p>
    <w:p>
      <w:pPr>
        <w:rPr>
          <w:rFonts w:ascii="宋体" w:hAnsi="宋体"/>
          <w:bCs/>
          <w:color w:val="auto"/>
          <w:sz w:val="24"/>
          <w:highlight w:val="none"/>
          <w:shd w:val="clear" w:color="auto" w:fill="auto"/>
        </w:rPr>
      </w:pPr>
    </w:p>
    <w:p>
      <w:pPr>
        <w:pStyle w:val="47"/>
        <w:ind w:firstLine="480"/>
        <w:rPr>
          <w:rFonts w:hAnsi="宋体"/>
          <w:bCs/>
          <w:color w:val="auto"/>
          <w:kern w:val="2"/>
          <w:sz w:val="24"/>
          <w:highlight w:val="none"/>
          <w:shd w:val="clear" w:color="auto" w:fill="auto"/>
        </w:rPr>
      </w:pPr>
    </w:p>
    <w:p>
      <w:pPr>
        <w:pStyle w:val="47"/>
        <w:ind w:firstLine="480"/>
        <w:rPr>
          <w:rFonts w:hAnsi="宋体"/>
          <w:bCs/>
          <w:color w:val="auto"/>
          <w:kern w:val="2"/>
          <w:sz w:val="24"/>
          <w:highlight w:val="none"/>
          <w:shd w:val="clear" w:color="auto" w:fill="auto"/>
        </w:rPr>
      </w:pPr>
    </w:p>
    <w:p>
      <w:pPr>
        <w:pStyle w:val="47"/>
        <w:ind w:firstLine="480"/>
        <w:rPr>
          <w:rFonts w:hAnsi="宋体"/>
          <w:bCs/>
          <w:color w:val="auto"/>
          <w:kern w:val="2"/>
          <w:sz w:val="24"/>
          <w:highlight w:val="none"/>
          <w:shd w:val="clear" w:color="auto" w:fill="auto"/>
        </w:rPr>
      </w:pPr>
    </w:p>
    <w:p>
      <w:pPr>
        <w:pStyle w:val="47"/>
        <w:ind w:firstLine="480"/>
        <w:rPr>
          <w:rFonts w:hAnsi="宋体"/>
          <w:bCs/>
          <w:color w:val="auto"/>
          <w:kern w:val="2"/>
          <w:sz w:val="24"/>
          <w:highlight w:val="none"/>
          <w:shd w:val="clear" w:color="auto" w:fill="auto"/>
        </w:rPr>
      </w:pPr>
    </w:p>
    <w:p>
      <w:pPr>
        <w:pStyle w:val="47"/>
        <w:ind w:firstLine="480"/>
        <w:rPr>
          <w:rFonts w:hAnsi="宋体"/>
          <w:bCs/>
          <w:color w:val="auto"/>
          <w:kern w:val="2"/>
          <w:sz w:val="24"/>
          <w:highlight w:val="none"/>
          <w:shd w:val="clear" w:color="auto" w:fill="auto"/>
        </w:rPr>
      </w:pPr>
    </w:p>
    <w:p>
      <w:pPr>
        <w:pStyle w:val="47"/>
        <w:ind w:firstLine="480"/>
        <w:rPr>
          <w:rFonts w:hAnsi="宋体"/>
          <w:bCs/>
          <w:color w:val="auto"/>
          <w:kern w:val="2"/>
          <w:sz w:val="24"/>
          <w:highlight w:val="none"/>
          <w:shd w:val="clear" w:color="auto" w:fill="auto"/>
        </w:rPr>
      </w:pPr>
    </w:p>
    <w:p>
      <w:pPr>
        <w:pStyle w:val="47"/>
        <w:ind w:firstLine="480"/>
        <w:rPr>
          <w:rFonts w:hAnsi="宋体"/>
          <w:bCs/>
          <w:color w:val="auto"/>
          <w:kern w:val="2"/>
          <w:sz w:val="24"/>
          <w:highlight w:val="none"/>
          <w:shd w:val="clear" w:color="auto" w:fill="auto"/>
        </w:rPr>
      </w:pPr>
    </w:p>
    <w:p>
      <w:pPr>
        <w:pStyle w:val="47"/>
        <w:ind w:firstLine="480"/>
        <w:rPr>
          <w:rFonts w:hAnsi="宋体"/>
          <w:bCs/>
          <w:color w:val="auto"/>
          <w:kern w:val="2"/>
          <w:sz w:val="24"/>
          <w:highlight w:val="none"/>
          <w:shd w:val="clear" w:color="auto" w:fill="auto"/>
        </w:rPr>
      </w:pPr>
    </w:p>
    <w:p>
      <w:pPr>
        <w:pStyle w:val="47"/>
        <w:ind w:firstLine="480"/>
        <w:rPr>
          <w:rFonts w:hAnsi="宋体"/>
          <w:bCs/>
          <w:color w:val="auto"/>
          <w:kern w:val="2"/>
          <w:sz w:val="24"/>
          <w:highlight w:val="none"/>
          <w:shd w:val="clear" w:color="auto" w:fill="auto"/>
        </w:rPr>
      </w:pPr>
    </w:p>
    <w:p>
      <w:pPr>
        <w:pStyle w:val="47"/>
        <w:ind w:firstLine="480"/>
        <w:rPr>
          <w:rFonts w:hAnsi="宋体"/>
          <w:bCs/>
          <w:color w:val="auto"/>
          <w:kern w:val="2"/>
          <w:sz w:val="24"/>
          <w:highlight w:val="none"/>
          <w:shd w:val="clear" w:color="auto" w:fill="auto"/>
        </w:rPr>
      </w:pPr>
    </w:p>
    <w:p>
      <w:pPr>
        <w:pStyle w:val="47"/>
        <w:ind w:firstLine="480"/>
        <w:rPr>
          <w:rFonts w:hAnsi="宋体"/>
          <w:bCs/>
          <w:color w:val="auto"/>
          <w:kern w:val="2"/>
          <w:sz w:val="24"/>
          <w:highlight w:val="none"/>
          <w:shd w:val="clear" w:color="auto" w:fill="auto"/>
        </w:rPr>
      </w:pPr>
    </w:p>
    <w:p>
      <w:pPr>
        <w:pStyle w:val="47"/>
        <w:ind w:firstLine="480"/>
        <w:rPr>
          <w:rFonts w:hAnsi="宋体"/>
          <w:bCs/>
          <w:color w:val="auto"/>
          <w:kern w:val="2"/>
          <w:sz w:val="24"/>
          <w:highlight w:val="none"/>
          <w:shd w:val="clear" w:color="auto" w:fill="auto"/>
        </w:rPr>
      </w:pPr>
    </w:p>
    <w:p>
      <w:pPr>
        <w:pStyle w:val="47"/>
        <w:ind w:left="0" w:leftChars="0" w:firstLine="0" w:firstLineChars="0"/>
        <w:rPr>
          <w:rFonts w:hAnsi="宋体"/>
          <w:bCs/>
          <w:color w:val="auto"/>
          <w:kern w:val="2"/>
          <w:sz w:val="24"/>
          <w:highlight w:val="none"/>
          <w:shd w:val="clear" w:color="auto" w:fill="auto"/>
        </w:rPr>
      </w:pPr>
    </w:p>
    <w:p>
      <w:pPr>
        <w:pStyle w:val="47"/>
        <w:ind w:firstLine="480"/>
        <w:rPr>
          <w:rFonts w:hAnsi="宋体"/>
          <w:bCs/>
          <w:color w:val="auto"/>
          <w:kern w:val="2"/>
          <w:sz w:val="24"/>
          <w:highlight w:val="none"/>
          <w:shd w:val="clear" w:color="auto" w:fill="auto"/>
        </w:rPr>
      </w:pPr>
    </w:p>
    <w:p>
      <w:pPr>
        <w:pStyle w:val="5"/>
        <w:numPr>
          <w:ilvl w:val="2"/>
          <w:numId w:val="0"/>
        </w:numPr>
        <w:tabs>
          <w:tab w:val="left" w:pos="1440"/>
        </w:tabs>
        <w:spacing w:line="360" w:lineRule="auto"/>
        <w:rPr>
          <w:rFonts w:ascii="宋体" w:hAnsi="宋体"/>
          <w:bCs/>
          <w:color w:val="auto"/>
          <w:kern w:val="2"/>
          <w:sz w:val="24"/>
          <w:highlight w:val="none"/>
          <w:shd w:val="clear" w:color="auto" w:fill="auto"/>
        </w:rPr>
      </w:pPr>
      <w:bookmarkStart w:id="101" w:name="_Toc8588"/>
      <w:r>
        <w:rPr>
          <w:rFonts w:hint="eastAsia" w:ascii="宋体" w:hAnsi="宋体"/>
          <w:bCs/>
          <w:color w:val="auto"/>
          <w:kern w:val="2"/>
          <w:sz w:val="24"/>
          <w:highlight w:val="none"/>
          <w:shd w:val="clear" w:color="auto" w:fill="auto"/>
          <w:lang w:val="en-US" w:eastAsia="zh-CN"/>
        </w:rPr>
        <w:t>八</w:t>
      </w:r>
      <w:r>
        <w:rPr>
          <w:rFonts w:hint="eastAsia" w:ascii="宋体" w:hAnsi="宋体"/>
          <w:bCs/>
          <w:color w:val="auto"/>
          <w:kern w:val="2"/>
          <w:sz w:val="24"/>
          <w:highlight w:val="none"/>
          <w:shd w:val="clear" w:color="auto" w:fill="auto"/>
        </w:rPr>
        <w:t>、</w:t>
      </w:r>
      <w:r>
        <w:rPr>
          <w:rFonts w:hint="eastAsia" w:ascii="宋体" w:hAnsi="宋体"/>
          <w:bCs/>
          <w:color w:val="auto"/>
          <w:kern w:val="2"/>
          <w:sz w:val="24"/>
          <w:highlight w:val="none"/>
          <w:shd w:val="clear" w:color="auto" w:fill="auto"/>
          <w:lang w:val="en-US" w:eastAsia="zh-CN"/>
        </w:rPr>
        <w:t>深铁置业产品标准化体系发布会</w:t>
      </w:r>
      <w:r>
        <w:rPr>
          <w:rFonts w:hint="eastAsia" w:ascii="宋体" w:hAnsi="宋体"/>
          <w:bCs/>
          <w:color w:val="auto"/>
          <w:kern w:val="2"/>
          <w:sz w:val="24"/>
          <w:highlight w:val="none"/>
          <w:shd w:val="clear" w:color="auto" w:fill="auto"/>
        </w:rPr>
        <w:t>活动方案</w:t>
      </w:r>
      <w:bookmarkEnd w:id="101"/>
    </w:p>
    <w:p>
      <w:pPr>
        <w:widowControl/>
        <w:jc w:val="left"/>
        <w:rPr>
          <w:rFonts w:hint="eastAsia"/>
          <w:color w:val="auto"/>
          <w:highlight w:val="none"/>
          <w:shd w:val="clear" w:color="auto" w:fill="auto"/>
        </w:rPr>
      </w:pPr>
      <w:r>
        <w:rPr>
          <w:rFonts w:hint="eastAsia" w:ascii="宋体" w:hAnsi="宋体"/>
          <w:color w:val="auto"/>
          <w:sz w:val="24"/>
          <w:highlight w:val="none"/>
          <w:shd w:val="clear" w:color="auto" w:fill="auto"/>
        </w:rPr>
        <w:t>{</w:t>
      </w:r>
      <w:r>
        <w:rPr>
          <w:rFonts w:hint="eastAsia"/>
          <w:color w:val="auto"/>
          <w:highlight w:val="none"/>
          <w:shd w:val="clear" w:color="auto" w:fill="auto"/>
        </w:rPr>
        <w:t>参选人应编制完整全面的参选活动方案，描述清晰、内容全面，包括但不限于活动思路、流程安排、活动舞台及物料及包装等各方面的创意、人员安排、嘉宾及主持人建议、工作铺排计划、执行团队</w:t>
      </w:r>
      <w:r>
        <w:rPr>
          <w:rFonts w:hint="eastAsia"/>
          <w:color w:val="auto"/>
          <w:highlight w:val="none"/>
          <w:shd w:val="clear" w:color="auto" w:fill="auto"/>
          <w:lang w:eastAsia="zh-CN"/>
        </w:rPr>
        <w:t>、</w:t>
      </w:r>
      <w:r>
        <w:rPr>
          <w:rFonts w:hint="eastAsia"/>
          <w:color w:val="auto"/>
          <w:highlight w:val="none"/>
          <w:shd w:val="clear" w:color="auto" w:fill="auto"/>
        </w:rPr>
        <w:t>宣传推广建议</w:t>
      </w:r>
      <w:r>
        <w:rPr>
          <w:rFonts w:hint="eastAsia"/>
          <w:color w:val="auto"/>
          <w:highlight w:val="none"/>
          <w:shd w:val="clear" w:color="auto" w:fill="auto"/>
          <w:lang w:eastAsia="zh-CN"/>
        </w:rPr>
        <w:t>、</w:t>
      </w:r>
      <w:r>
        <w:rPr>
          <w:rFonts w:hint="eastAsia"/>
          <w:color w:val="auto"/>
          <w:highlight w:val="none"/>
          <w:shd w:val="clear" w:color="auto" w:fill="auto"/>
          <w:lang w:val="en-US" w:eastAsia="zh-CN"/>
        </w:rPr>
        <w:t>影视片方案</w:t>
      </w:r>
      <w:r>
        <w:rPr>
          <w:rFonts w:hint="eastAsia"/>
          <w:color w:val="auto"/>
          <w:highlight w:val="none"/>
          <w:shd w:val="clear" w:color="auto" w:fill="auto"/>
        </w:rPr>
        <w:t>等}</w:t>
      </w:r>
    </w:p>
    <w:p>
      <w:pPr>
        <w:widowControl/>
        <w:jc w:val="left"/>
        <w:rPr>
          <w:rFonts w:hint="eastAsia"/>
          <w:color w:val="auto"/>
          <w:highlight w:val="none"/>
          <w:shd w:val="clear" w:color="auto" w:fill="auto"/>
        </w:rPr>
      </w:pPr>
      <w:r>
        <w:rPr>
          <w:rFonts w:hint="eastAsia"/>
          <w:color w:val="auto"/>
          <w:highlight w:val="none"/>
          <w:shd w:val="clear" w:color="auto" w:fill="auto"/>
        </w:rPr>
        <w:br w:type="page"/>
      </w:r>
    </w:p>
    <w:p>
      <w:pPr>
        <w:pStyle w:val="5"/>
        <w:spacing w:line="480" w:lineRule="atLeast"/>
        <w:ind w:left="510" w:firstLine="0"/>
        <w:jc w:val="center"/>
        <w:rPr>
          <w:rFonts w:ascii="宋体" w:hAnsi="宋体"/>
          <w:color w:val="auto"/>
          <w:sz w:val="48"/>
          <w:szCs w:val="36"/>
          <w:highlight w:val="none"/>
          <w:shd w:val="clear" w:color="auto" w:fill="auto"/>
        </w:rPr>
      </w:pPr>
      <w:bookmarkStart w:id="102" w:name="_Toc5057"/>
      <w:r>
        <w:rPr>
          <w:rFonts w:hint="eastAsia" w:ascii="宋体" w:hAnsi="宋体"/>
          <w:color w:val="auto"/>
          <w:sz w:val="48"/>
          <w:szCs w:val="36"/>
          <w:highlight w:val="none"/>
          <w:shd w:val="clear" w:color="auto" w:fill="auto"/>
        </w:rPr>
        <w:t>第二章</w:t>
      </w:r>
      <w:bookmarkEnd w:id="102"/>
    </w:p>
    <w:p>
      <w:pPr>
        <w:ind w:firstLine="1575" w:firstLineChars="750"/>
        <w:rPr>
          <w:color w:val="auto"/>
          <w:highlight w:val="none"/>
          <w:shd w:val="clear" w:color="auto" w:fill="auto"/>
        </w:rPr>
      </w:pPr>
    </w:p>
    <w:p>
      <w:pPr>
        <w:spacing w:line="480" w:lineRule="atLeast"/>
        <w:jc w:val="center"/>
        <w:rPr>
          <w:rFonts w:hint="eastAsia" w:ascii="宋体" w:hAnsi="宋体"/>
          <w:b/>
          <w:bCs/>
          <w:color w:val="auto"/>
          <w:spacing w:val="36"/>
          <w:kern w:val="10"/>
          <w:sz w:val="52"/>
          <w:szCs w:val="52"/>
          <w:highlight w:val="none"/>
          <w:shd w:val="clear" w:color="auto" w:fill="auto"/>
          <w:lang w:val="en-US" w:eastAsia="zh-CN"/>
        </w:rPr>
      </w:pPr>
      <w:bookmarkStart w:id="103" w:name="_Hlk114677496"/>
      <w:r>
        <w:rPr>
          <w:rFonts w:hint="eastAsia" w:ascii="宋体" w:hAnsi="宋体"/>
          <w:b/>
          <w:bCs/>
          <w:color w:val="auto"/>
          <w:spacing w:val="36"/>
          <w:kern w:val="10"/>
          <w:sz w:val="52"/>
          <w:szCs w:val="52"/>
          <w:highlight w:val="none"/>
          <w:shd w:val="clear" w:color="auto" w:fill="auto"/>
        </w:rPr>
        <w:t>深铁</w:t>
      </w:r>
      <w:r>
        <w:rPr>
          <w:rFonts w:hint="eastAsia" w:ascii="宋体" w:hAnsi="宋体"/>
          <w:b/>
          <w:bCs/>
          <w:color w:val="auto"/>
          <w:spacing w:val="36"/>
          <w:kern w:val="10"/>
          <w:sz w:val="52"/>
          <w:szCs w:val="52"/>
          <w:highlight w:val="none"/>
          <w:shd w:val="clear" w:color="auto" w:fill="auto"/>
          <w:lang w:val="en-US" w:eastAsia="zh-CN"/>
        </w:rPr>
        <w:t>置业产品标准化体系</w:t>
      </w:r>
    </w:p>
    <w:p>
      <w:pPr>
        <w:spacing w:line="480" w:lineRule="atLeast"/>
        <w:jc w:val="center"/>
        <w:rPr>
          <w:rFonts w:hint="eastAsia" w:ascii="宋体" w:hAnsi="宋体"/>
          <w:b/>
          <w:bCs/>
          <w:color w:val="auto"/>
          <w:spacing w:val="36"/>
          <w:kern w:val="10"/>
          <w:sz w:val="52"/>
          <w:szCs w:val="52"/>
          <w:highlight w:val="none"/>
          <w:shd w:val="clear" w:color="auto" w:fill="auto"/>
        </w:rPr>
      </w:pPr>
      <w:r>
        <w:rPr>
          <w:rFonts w:hint="eastAsia" w:ascii="宋体" w:hAnsi="宋体"/>
          <w:b/>
          <w:bCs/>
          <w:color w:val="auto"/>
          <w:spacing w:val="36"/>
          <w:kern w:val="10"/>
          <w:sz w:val="52"/>
          <w:szCs w:val="52"/>
          <w:highlight w:val="none"/>
          <w:shd w:val="clear" w:color="auto" w:fill="auto"/>
          <w:lang w:val="en-US" w:eastAsia="zh-CN"/>
        </w:rPr>
        <w:t>发布会项目</w:t>
      </w:r>
    </w:p>
    <w:bookmarkEnd w:id="103"/>
    <w:p>
      <w:pPr>
        <w:jc w:val="center"/>
        <w:rPr>
          <w:color w:val="auto"/>
          <w:sz w:val="44"/>
          <w:szCs w:val="44"/>
          <w:highlight w:val="none"/>
          <w:shd w:val="clear" w:color="auto" w:fill="auto"/>
        </w:rPr>
      </w:pPr>
    </w:p>
    <w:p>
      <w:pPr>
        <w:spacing w:line="480" w:lineRule="atLeast"/>
        <w:jc w:val="center"/>
        <w:rPr>
          <w:rFonts w:hAnsi="宋体"/>
          <w:b/>
          <w:color w:val="auto"/>
          <w:spacing w:val="36"/>
          <w:sz w:val="44"/>
          <w:szCs w:val="44"/>
          <w:highlight w:val="none"/>
          <w:shd w:val="clear" w:color="auto" w:fill="auto"/>
        </w:rPr>
      </w:pPr>
    </w:p>
    <w:p>
      <w:pPr>
        <w:pStyle w:val="24"/>
        <w:spacing w:before="1440" w:beforeLines="600" w:line="480" w:lineRule="atLeast"/>
        <w:jc w:val="center"/>
        <w:rPr>
          <w:rFonts w:hAnsi="宋体"/>
          <w:bCs/>
          <w:color w:val="auto"/>
          <w:kern w:val="10"/>
          <w:sz w:val="84"/>
          <w:szCs w:val="84"/>
          <w:highlight w:val="none"/>
          <w:shd w:val="clear" w:color="auto" w:fill="auto"/>
        </w:rPr>
      </w:pPr>
      <w:r>
        <w:rPr>
          <w:rFonts w:hint="eastAsia" w:hAnsi="宋体"/>
          <w:bCs/>
          <w:color w:val="auto"/>
          <w:spacing w:val="36"/>
          <w:kern w:val="10"/>
          <w:sz w:val="84"/>
          <w:szCs w:val="84"/>
          <w:highlight w:val="none"/>
          <w:shd w:val="clear" w:color="auto" w:fill="auto"/>
        </w:rPr>
        <w:t>参选文件</w:t>
      </w:r>
    </w:p>
    <w:p>
      <w:pPr>
        <w:pStyle w:val="24"/>
        <w:jc w:val="center"/>
        <w:rPr>
          <w:rFonts w:hAnsi="宋体"/>
          <w:b/>
          <w:color w:val="auto"/>
          <w:sz w:val="44"/>
          <w:szCs w:val="44"/>
          <w:highlight w:val="none"/>
          <w:shd w:val="clear" w:color="auto" w:fill="auto"/>
        </w:rPr>
      </w:pPr>
      <w:r>
        <w:rPr>
          <w:rFonts w:hint="eastAsia" w:hAnsi="宋体"/>
          <w:b/>
          <w:color w:val="auto"/>
          <w:sz w:val="44"/>
          <w:szCs w:val="44"/>
          <w:highlight w:val="none"/>
          <w:shd w:val="clear" w:color="auto" w:fill="auto"/>
        </w:rPr>
        <w:t>（商务标书</w:t>
      </w:r>
      <w:r>
        <w:rPr>
          <w:rFonts w:hAnsi="宋体"/>
          <w:b/>
          <w:color w:val="auto"/>
          <w:sz w:val="44"/>
          <w:szCs w:val="44"/>
          <w:highlight w:val="none"/>
          <w:shd w:val="clear" w:color="auto" w:fill="auto"/>
        </w:rPr>
        <w:t>）</w:t>
      </w:r>
    </w:p>
    <w:p>
      <w:pPr>
        <w:pStyle w:val="24"/>
        <w:spacing w:line="480" w:lineRule="atLeast"/>
        <w:jc w:val="center"/>
        <w:rPr>
          <w:rFonts w:hAnsi="宋体"/>
          <w:bCs/>
          <w:color w:val="auto"/>
          <w:sz w:val="17"/>
          <w:szCs w:val="17"/>
          <w:highlight w:val="none"/>
          <w:shd w:val="clear" w:color="auto" w:fill="auto"/>
        </w:rPr>
      </w:pPr>
    </w:p>
    <w:p>
      <w:pPr>
        <w:pStyle w:val="24"/>
        <w:spacing w:line="480" w:lineRule="atLeast"/>
        <w:jc w:val="center"/>
        <w:rPr>
          <w:rFonts w:hAnsi="宋体"/>
          <w:color w:val="auto"/>
          <w:sz w:val="35"/>
          <w:szCs w:val="35"/>
          <w:highlight w:val="none"/>
          <w:shd w:val="clear" w:color="auto" w:fill="auto"/>
        </w:rPr>
      </w:pPr>
    </w:p>
    <w:p>
      <w:pPr>
        <w:adjustRightInd w:val="0"/>
        <w:snapToGrid w:val="0"/>
        <w:spacing w:line="360" w:lineRule="auto"/>
        <w:ind w:left="420" w:leftChars="200" w:firstLine="482" w:firstLineChars="200"/>
        <w:rPr>
          <w:b/>
          <w:color w:val="auto"/>
          <w:sz w:val="24"/>
          <w:szCs w:val="32"/>
          <w:highlight w:val="none"/>
          <w:shd w:val="clear" w:color="auto" w:fill="auto"/>
        </w:rPr>
      </w:pPr>
      <w:r>
        <w:rPr>
          <w:rFonts w:hint="eastAsia"/>
          <w:b/>
          <w:color w:val="auto"/>
          <w:sz w:val="24"/>
          <w:szCs w:val="32"/>
          <w:highlight w:val="none"/>
          <w:shd w:val="clear" w:color="auto" w:fill="auto"/>
        </w:rPr>
        <w:t>参选</w:t>
      </w:r>
      <w:r>
        <w:rPr>
          <w:b/>
          <w:color w:val="auto"/>
          <w:sz w:val="24"/>
          <w:szCs w:val="32"/>
          <w:highlight w:val="none"/>
          <w:shd w:val="clear" w:color="auto" w:fill="auto"/>
        </w:rPr>
        <w:t>人声明：</w:t>
      </w:r>
    </w:p>
    <w:p>
      <w:pPr>
        <w:adjustRightInd w:val="0"/>
        <w:snapToGrid w:val="0"/>
        <w:spacing w:line="360" w:lineRule="auto"/>
        <w:ind w:left="420" w:leftChars="200" w:firstLine="482" w:firstLineChars="200"/>
        <w:rPr>
          <w:b/>
          <w:color w:val="auto"/>
          <w:sz w:val="24"/>
          <w:szCs w:val="32"/>
          <w:highlight w:val="none"/>
          <w:shd w:val="clear" w:color="auto" w:fill="auto"/>
        </w:rPr>
      </w:pPr>
      <w:r>
        <w:rPr>
          <w:b/>
          <w:color w:val="auto"/>
          <w:sz w:val="24"/>
          <w:szCs w:val="32"/>
          <w:highlight w:val="none"/>
          <w:shd w:val="clear" w:color="auto" w:fill="auto"/>
        </w:rPr>
        <w:t>我司（单位）对本标书所提供文件的真实性、准确性、有效性负全部责任。</w:t>
      </w:r>
    </w:p>
    <w:p>
      <w:pPr>
        <w:pStyle w:val="24"/>
        <w:spacing w:line="480" w:lineRule="atLeast"/>
        <w:rPr>
          <w:rFonts w:hAnsi="宋体"/>
          <w:b/>
          <w:color w:val="auto"/>
          <w:sz w:val="32"/>
          <w:szCs w:val="32"/>
          <w:highlight w:val="none"/>
          <w:shd w:val="clear" w:color="auto" w:fill="auto"/>
        </w:rPr>
      </w:pPr>
    </w:p>
    <w:p>
      <w:pPr>
        <w:pStyle w:val="24"/>
        <w:spacing w:before="360" w:beforeLines="150" w:after="360" w:afterLines="150" w:line="480" w:lineRule="atLeast"/>
        <w:ind w:firstLine="540" w:firstLineChars="192"/>
        <w:rPr>
          <w:rFonts w:hAnsi="宋体"/>
          <w:b/>
          <w:bCs/>
          <w:color w:val="auto"/>
          <w:sz w:val="28"/>
          <w:szCs w:val="28"/>
          <w:highlight w:val="none"/>
          <w:u w:val="single"/>
          <w:shd w:val="clear" w:color="auto" w:fill="auto"/>
        </w:rPr>
      </w:pPr>
      <w:r>
        <w:rPr>
          <w:rFonts w:hint="eastAsia" w:hAnsi="宋体"/>
          <w:b/>
          <w:bCs/>
          <w:color w:val="auto"/>
          <w:sz w:val="28"/>
          <w:szCs w:val="28"/>
          <w:highlight w:val="none"/>
          <w:shd w:val="clear" w:color="auto" w:fill="auto"/>
        </w:rPr>
        <w:t>参选人(盖章)：</w:t>
      </w:r>
      <w:r>
        <w:rPr>
          <w:rFonts w:hint="eastAsia" w:hAnsi="宋体"/>
          <w:b/>
          <w:bCs/>
          <w:color w:val="auto"/>
          <w:sz w:val="28"/>
          <w:szCs w:val="28"/>
          <w:highlight w:val="none"/>
          <w:u w:val="single"/>
          <w:shd w:val="clear" w:color="auto" w:fill="auto"/>
        </w:rPr>
        <w:t xml:space="preserve">          [参选人名称]                 </w:t>
      </w:r>
    </w:p>
    <w:p>
      <w:pPr>
        <w:pStyle w:val="24"/>
        <w:spacing w:before="360" w:beforeLines="150" w:after="360" w:afterLines="150" w:line="480" w:lineRule="atLeast"/>
        <w:ind w:firstLine="540" w:firstLineChars="192"/>
        <w:rPr>
          <w:rFonts w:hAnsi="宋体"/>
          <w:b/>
          <w:bCs/>
          <w:color w:val="auto"/>
          <w:sz w:val="28"/>
          <w:szCs w:val="28"/>
          <w:highlight w:val="none"/>
          <w:u w:val="single"/>
          <w:shd w:val="clear" w:color="auto" w:fill="auto"/>
        </w:rPr>
      </w:pPr>
      <w:r>
        <w:rPr>
          <w:rFonts w:hint="eastAsia" w:hAnsi="宋体"/>
          <w:b/>
          <w:bCs/>
          <w:color w:val="auto"/>
          <w:sz w:val="28"/>
          <w:szCs w:val="28"/>
          <w:highlight w:val="none"/>
          <w:shd w:val="clear" w:color="auto" w:fill="auto"/>
        </w:rPr>
        <w:t>法定代表人或其委托代理人(签字或盖章)：</w:t>
      </w:r>
    </w:p>
    <w:p>
      <w:pPr>
        <w:spacing w:line="480" w:lineRule="atLeast"/>
        <w:jc w:val="center"/>
        <w:rPr>
          <w:rFonts w:ascii="宋体" w:hAnsi="宋体"/>
          <w:b/>
          <w:bCs/>
          <w:color w:val="auto"/>
          <w:sz w:val="28"/>
          <w:szCs w:val="28"/>
          <w:highlight w:val="none"/>
          <w:shd w:val="clear" w:color="auto" w:fill="auto"/>
        </w:rPr>
      </w:pPr>
      <w:r>
        <w:rPr>
          <w:rFonts w:hint="eastAsia" w:ascii="宋体" w:hAnsi="宋体"/>
          <w:b/>
          <w:bCs/>
          <w:color w:val="auto"/>
          <w:sz w:val="28"/>
          <w:szCs w:val="28"/>
          <w:highlight w:val="none"/>
          <w:shd w:val="clear" w:color="auto" w:fill="auto"/>
        </w:rPr>
        <w:t>日   期：     年    月     日</w:t>
      </w:r>
    </w:p>
    <w:p>
      <w:pPr>
        <w:pStyle w:val="24"/>
        <w:spacing w:before="240" w:beforeLines="100" w:after="120" w:afterLines="50" w:line="480" w:lineRule="atLeast"/>
        <w:jc w:val="center"/>
        <w:rPr>
          <w:rFonts w:asciiTheme="minorEastAsia" w:hAnsiTheme="minorEastAsia"/>
          <w:b/>
          <w:color w:val="auto"/>
          <w:sz w:val="44"/>
          <w:szCs w:val="44"/>
          <w:highlight w:val="none"/>
          <w:shd w:val="clear" w:color="auto" w:fill="auto"/>
        </w:rPr>
      </w:pPr>
    </w:p>
    <w:p>
      <w:pPr>
        <w:pStyle w:val="24"/>
        <w:spacing w:before="240" w:beforeLines="100" w:after="120" w:afterLines="50" w:line="480" w:lineRule="atLeast"/>
        <w:jc w:val="center"/>
        <w:rPr>
          <w:rFonts w:asciiTheme="minorEastAsia" w:hAnsiTheme="minorEastAsia"/>
          <w:b/>
          <w:color w:val="auto"/>
          <w:sz w:val="44"/>
          <w:szCs w:val="44"/>
          <w:highlight w:val="none"/>
          <w:shd w:val="clear" w:color="auto" w:fill="auto"/>
        </w:rPr>
      </w:pPr>
    </w:p>
    <w:p>
      <w:pPr>
        <w:pStyle w:val="24"/>
        <w:spacing w:before="240" w:beforeLines="100" w:after="120" w:afterLines="50" w:line="480" w:lineRule="atLeast"/>
        <w:jc w:val="center"/>
        <w:rPr>
          <w:rFonts w:asciiTheme="minorEastAsia" w:hAnsiTheme="minorEastAsia"/>
          <w:b/>
          <w:color w:val="auto"/>
          <w:sz w:val="44"/>
          <w:szCs w:val="44"/>
          <w:highlight w:val="none"/>
          <w:shd w:val="clear" w:color="auto" w:fill="auto"/>
        </w:rPr>
      </w:pPr>
    </w:p>
    <w:p>
      <w:pPr>
        <w:pStyle w:val="24"/>
        <w:spacing w:before="240" w:beforeLines="100" w:after="120" w:afterLines="50" w:line="480" w:lineRule="atLeast"/>
        <w:jc w:val="center"/>
        <w:rPr>
          <w:rFonts w:asciiTheme="minorEastAsia" w:hAnsiTheme="minorEastAsia"/>
          <w:b/>
          <w:color w:val="auto"/>
          <w:sz w:val="44"/>
          <w:szCs w:val="44"/>
          <w:highlight w:val="none"/>
          <w:shd w:val="clear" w:color="auto" w:fill="auto"/>
        </w:rPr>
      </w:pPr>
    </w:p>
    <w:p>
      <w:pPr>
        <w:pStyle w:val="81"/>
        <w:spacing w:before="50" w:line="480" w:lineRule="atLeast"/>
        <w:rPr>
          <w:rFonts w:ascii="Times New Roman" w:cs="Times New Roman"/>
          <w:b/>
          <w:color w:val="auto"/>
          <w:szCs w:val="28"/>
          <w:highlight w:val="none"/>
          <w:shd w:val="clear" w:color="auto" w:fill="auto"/>
        </w:rPr>
      </w:pPr>
      <w:r>
        <w:rPr>
          <w:rFonts w:hint="eastAsia"/>
          <w:color w:val="auto"/>
          <w:sz w:val="52"/>
          <w:szCs w:val="52"/>
          <w:highlight w:val="none"/>
          <w:u w:val="single"/>
          <w:shd w:val="clear" w:color="auto" w:fill="auto"/>
        </w:rPr>
        <w:t>商务标书提供的目录</w:t>
      </w:r>
    </w:p>
    <w:p>
      <w:pPr>
        <w:pStyle w:val="81"/>
        <w:spacing w:before="50" w:line="480" w:lineRule="atLeast"/>
        <w:rPr>
          <w:rFonts w:ascii="Times New Roman" w:cs="Times New Roman"/>
          <w:b/>
          <w:color w:val="auto"/>
          <w:szCs w:val="28"/>
          <w:highlight w:val="none"/>
          <w:shd w:val="clear" w:color="auto" w:fill="auto"/>
        </w:rPr>
      </w:pPr>
      <w:r>
        <w:rPr>
          <w:rFonts w:hint="eastAsia" w:ascii="Times New Roman" w:cs="Times New Roman"/>
          <w:b/>
          <w:color w:val="auto"/>
          <w:szCs w:val="28"/>
          <w:highlight w:val="none"/>
          <w:shd w:val="clear" w:color="auto" w:fill="auto"/>
        </w:rPr>
        <w:t>一、参选</w:t>
      </w:r>
      <w:r>
        <w:rPr>
          <w:rFonts w:ascii="Times New Roman" w:cs="Times New Roman"/>
          <w:b/>
          <w:color w:val="auto"/>
          <w:szCs w:val="28"/>
          <w:highlight w:val="none"/>
          <w:shd w:val="clear" w:color="auto" w:fill="auto"/>
        </w:rPr>
        <w:t>函</w:t>
      </w:r>
    </w:p>
    <w:p>
      <w:pPr>
        <w:pStyle w:val="81"/>
        <w:spacing w:before="50" w:line="480" w:lineRule="atLeast"/>
        <w:rPr>
          <w:rFonts w:ascii="Times New Roman" w:cs="Times New Roman"/>
          <w:b/>
          <w:color w:val="auto"/>
          <w:szCs w:val="28"/>
          <w:highlight w:val="none"/>
          <w:shd w:val="clear" w:color="auto" w:fill="auto"/>
        </w:rPr>
      </w:pPr>
      <w:r>
        <w:rPr>
          <w:rFonts w:hint="eastAsia" w:ascii="Times New Roman" w:cs="Times New Roman"/>
          <w:b/>
          <w:color w:val="auto"/>
          <w:szCs w:val="28"/>
          <w:highlight w:val="none"/>
          <w:shd w:val="clear" w:color="auto" w:fill="auto"/>
        </w:rPr>
        <w:t>二</w:t>
      </w:r>
      <w:r>
        <w:rPr>
          <w:rFonts w:ascii="Times New Roman" w:cs="Times New Roman"/>
          <w:b/>
          <w:color w:val="auto"/>
          <w:szCs w:val="28"/>
          <w:highlight w:val="none"/>
          <w:shd w:val="clear" w:color="auto" w:fill="auto"/>
        </w:rPr>
        <w:t>、</w:t>
      </w:r>
      <w:r>
        <w:rPr>
          <w:rFonts w:hint="eastAsia" w:ascii="Times New Roman" w:cs="Times New Roman"/>
          <w:b/>
          <w:color w:val="auto"/>
          <w:szCs w:val="28"/>
          <w:highlight w:val="none"/>
          <w:shd w:val="clear" w:color="auto" w:fill="auto"/>
        </w:rPr>
        <w:t>报价表</w:t>
      </w:r>
    </w:p>
    <w:p>
      <w:pPr>
        <w:pStyle w:val="14"/>
        <w:spacing w:line="520" w:lineRule="exact"/>
        <w:ind w:firstLine="0"/>
        <w:rPr>
          <w:rFonts w:ascii="宋体" w:hAnsi="宋体" w:cs="宋体"/>
          <w:bCs/>
          <w:color w:val="auto"/>
          <w:kern w:val="0"/>
          <w:sz w:val="24"/>
          <w:szCs w:val="24"/>
          <w:highlight w:val="none"/>
          <w:shd w:val="clear" w:color="auto" w:fill="auto"/>
        </w:rPr>
      </w:pPr>
      <w:r>
        <w:rPr>
          <w:rFonts w:hint="eastAsia"/>
          <w:bCs/>
          <w:color w:val="auto"/>
          <w:sz w:val="24"/>
          <w:szCs w:val="24"/>
          <w:highlight w:val="none"/>
          <w:shd w:val="clear" w:color="auto" w:fill="auto"/>
        </w:rPr>
        <w:t>1</w:t>
      </w:r>
      <w:r>
        <w:rPr>
          <w:bCs/>
          <w:color w:val="auto"/>
          <w:sz w:val="24"/>
          <w:szCs w:val="24"/>
          <w:highlight w:val="none"/>
          <w:shd w:val="clear" w:color="auto" w:fill="auto"/>
        </w:rPr>
        <w:t>.</w:t>
      </w:r>
      <w:r>
        <w:rPr>
          <w:rFonts w:hint="eastAsia" w:ascii="宋体" w:hAnsi="宋体" w:cs="宋体"/>
          <w:bCs/>
          <w:color w:val="auto"/>
          <w:kern w:val="0"/>
          <w:sz w:val="24"/>
          <w:szCs w:val="24"/>
          <w:highlight w:val="none"/>
          <w:shd w:val="clear" w:color="auto" w:fill="auto"/>
        </w:rPr>
        <w:t xml:space="preserve"> 深铁置业产品标准化体系发布会</w:t>
      </w:r>
      <w:r>
        <w:rPr>
          <w:rFonts w:hint="eastAsia" w:ascii="宋体" w:hAnsi="宋体" w:cs="宋体"/>
          <w:bCs/>
          <w:color w:val="auto"/>
          <w:kern w:val="0"/>
          <w:sz w:val="24"/>
          <w:szCs w:val="24"/>
          <w:highlight w:val="none"/>
          <w:shd w:val="clear" w:color="auto" w:fill="auto"/>
          <w:lang w:val="en-US" w:eastAsia="zh-CN"/>
        </w:rPr>
        <w:t>项目</w:t>
      </w:r>
      <w:r>
        <w:rPr>
          <w:rFonts w:hint="eastAsia" w:ascii="宋体" w:hAnsi="宋体" w:cs="宋体"/>
          <w:bCs/>
          <w:color w:val="auto"/>
          <w:kern w:val="0"/>
          <w:sz w:val="24"/>
          <w:szCs w:val="24"/>
          <w:highlight w:val="none"/>
          <w:shd w:val="clear" w:color="auto" w:fill="auto"/>
        </w:rPr>
        <w:t>报价总览表</w:t>
      </w:r>
    </w:p>
    <w:p>
      <w:pPr>
        <w:pStyle w:val="14"/>
        <w:spacing w:line="520" w:lineRule="exact"/>
        <w:ind w:firstLine="0"/>
        <w:jc w:val="left"/>
        <w:rPr>
          <w:rFonts w:hint="eastAsia" w:ascii="宋体" w:hAnsi="宋体" w:cs="宋体"/>
          <w:bCs/>
          <w:color w:val="auto"/>
          <w:kern w:val="0"/>
          <w:sz w:val="24"/>
          <w:szCs w:val="24"/>
          <w:highlight w:val="none"/>
          <w:shd w:val="clear" w:color="auto" w:fill="auto"/>
        </w:rPr>
      </w:pPr>
      <w:r>
        <w:rPr>
          <w:rFonts w:hint="eastAsia" w:ascii="宋体" w:hAnsi="宋体" w:cs="宋体"/>
          <w:bCs/>
          <w:color w:val="auto"/>
          <w:kern w:val="0"/>
          <w:sz w:val="24"/>
          <w:szCs w:val="24"/>
          <w:highlight w:val="none"/>
          <w:shd w:val="clear" w:color="auto" w:fill="auto"/>
        </w:rPr>
        <w:t>2</w:t>
      </w:r>
      <w:r>
        <w:rPr>
          <w:rFonts w:ascii="宋体" w:hAnsi="宋体" w:cs="宋体"/>
          <w:bCs/>
          <w:color w:val="auto"/>
          <w:kern w:val="0"/>
          <w:sz w:val="24"/>
          <w:szCs w:val="24"/>
          <w:highlight w:val="none"/>
          <w:shd w:val="clear" w:color="auto" w:fill="auto"/>
        </w:rPr>
        <w:t>.</w:t>
      </w:r>
      <w:r>
        <w:rPr>
          <w:rFonts w:hint="eastAsia" w:ascii="宋体" w:hAnsi="宋体" w:cs="宋体"/>
          <w:bCs/>
          <w:color w:val="auto"/>
          <w:kern w:val="0"/>
          <w:sz w:val="24"/>
          <w:szCs w:val="24"/>
          <w:highlight w:val="none"/>
          <w:shd w:val="clear" w:color="auto" w:fill="auto"/>
        </w:rPr>
        <w:t xml:space="preserve"> 分项目报价清单、报价明细表</w:t>
      </w:r>
      <w:r>
        <w:rPr>
          <w:rFonts w:hint="eastAsia" w:ascii="宋体" w:hAnsi="宋体" w:cs="宋体"/>
          <w:bCs/>
          <w:color w:val="auto"/>
          <w:kern w:val="0"/>
          <w:sz w:val="24"/>
          <w:szCs w:val="24"/>
          <w:highlight w:val="none"/>
          <w:shd w:val="clear" w:color="auto" w:fill="auto"/>
          <w:lang w:eastAsia="zh-CN"/>
        </w:rPr>
        <w:t>（</w:t>
      </w:r>
      <w:r>
        <w:rPr>
          <w:rFonts w:hint="eastAsia" w:ascii="宋体" w:hAnsi="宋体" w:cs="宋体"/>
          <w:bCs/>
          <w:color w:val="auto"/>
          <w:kern w:val="0"/>
          <w:sz w:val="24"/>
          <w:szCs w:val="24"/>
          <w:highlight w:val="none"/>
          <w:shd w:val="clear" w:color="auto" w:fill="auto"/>
          <w:lang w:val="en-US" w:eastAsia="zh-CN"/>
        </w:rPr>
        <w:t>详见附件《深铁置业标准化发布会报价清单明细表》</w:t>
      </w:r>
      <w:r>
        <w:rPr>
          <w:rFonts w:hint="eastAsia" w:ascii="宋体" w:hAnsi="宋体" w:cs="宋体"/>
          <w:bCs/>
          <w:color w:val="auto"/>
          <w:kern w:val="0"/>
          <w:sz w:val="24"/>
          <w:szCs w:val="24"/>
          <w:highlight w:val="none"/>
          <w:shd w:val="clear" w:color="auto" w:fill="auto"/>
          <w:lang w:eastAsia="zh-CN"/>
        </w:rPr>
        <w:t>）</w:t>
      </w:r>
    </w:p>
    <w:p>
      <w:pPr>
        <w:pStyle w:val="81"/>
        <w:spacing w:before="50" w:line="480" w:lineRule="atLeast"/>
        <w:rPr>
          <w:rFonts w:ascii="Times New Roman" w:cs="Times New Roman"/>
          <w:b/>
          <w:color w:val="auto"/>
          <w:szCs w:val="28"/>
          <w:highlight w:val="none"/>
          <w:shd w:val="clear" w:color="auto" w:fill="auto"/>
        </w:rPr>
      </w:pPr>
    </w:p>
    <w:p>
      <w:pPr>
        <w:pStyle w:val="81"/>
        <w:spacing w:before="50" w:line="480" w:lineRule="atLeast"/>
        <w:rPr>
          <w:rFonts w:ascii="Times New Roman" w:cs="Times New Roman"/>
          <w:b/>
          <w:color w:val="auto"/>
          <w:szCs w:val="28"/>
          <w:highlight w:val="none"/>
          <w:shd w:val="clear" w:color="auto" w:fill="auto"/>
        </w:rPr>
      </w:pPr>
    </w:p>
    <w:p>
      <w:pPr>
        <w:pStyle w:val="81"/>
        <w:spacing w:before="50" w:line="480" w:lineRule="atLeast"/>
        <w:rPr>
          <w:rFonts w:ascii="Times New Roman" w:cs="Times New Roman"/>
          <w:b/>
          <w:color w:val="auto"/>
          <w:szCs w:val="28"/>
          <w:highlight w:val="none"/>
          <w:shd w:val="clear" w:color="auto" w:fill="auto"/>
        </w:rPr>
      </w:pPr>
    </w:p>
    <w:p>
      <w:pPr>
        <w:pStyle w:val="81"/>
        <w:spacing w:before="50" w:line="480" w:lineRule="atLeast"/>
        <w:rPr>
          <w:rFonts w:ascii="Times New Roman" w:cs="Times New Roman"/>
          <w:b/>
          <w:color w:val="auto"/>
          <w:szCs w:val="28"/>
          <w:highlight w:val="none"/>
          <w:shd w:val="clear" w:color="auto" w:fill="auto"/>
        </w:rPr>
      </w:pPr>
    </w:p>
    <w:p>
      <w:pPr>
        <w:pStyle w:val="81"/>
        <w:spacing w:before="50" w:line="480" w:lineRule="atLeast"/>
        <w:rPr>
          <w:rFonts w:ascii="Times New Roman" w:cs="Times New Roman"/>
          <w:b/>
          <w:color w:val="auto"/>
          <w:szCs w:val="28"/>
          <w:highlight w:val="none"/>
          <w:shd w:val="clear" w:color="auto" w:fill="auto"/>
        </w:rPr>
      </w:pPr>
    </w:p>
    <w:p>
      <w:pPr>
        <w:pStyle w:val="81"/>
        <w:spacing w:before="50" w:line="480" w:lineRule="atLeast"/>
        <w:rPr>
          <w:rFonts w:ascii="Times New Roman" w:cs="Times New Roman"/>
          <w:b/>
          <w:color w:val="auto"/>
          <w:szCs w:val="28"/>
          <w:highlight w:val="none"/>
          <w:shd w:val="clear" w:color="auto" w:fill="auto"/>
        </w:rPr>
      </w:pPr>
    </w:p>
    <w:p>
      <w:pPr>
        <w:pStyle w:val="81"/>
        <w:spacing w:before="50" w:line="480" w:lineRule="atLeast"/>
        <w:rPr>
          <w:rFonts w:ascii="Times New Roman" w:cs="Times New Roman"/>
          <w:b/>
          <w:color w:val="auto"/>
          <w:szCs w:val="28"/>
          <w:highlight w:val="none"/>
          <w:shd w:val="clear" w:color="auto" w:fill="auto"/>
        </w:rPr>
      </w:pPr>
    </w:p>
    <w:p>
      <w:pPr>
        <w:pStyle w:val="81"/>
        <w:spacing w:before="50" w:line="480" w:lineRule="atLeast"/>
        <w:rPr>
          <w:rFonts w:ascii="Times New Roman" w:cs="Times New Roman"/>
          <w:b/>
          <w:color w:val="auto"/>
          <w:szCs w:val="28"/>
          <w:highlight w:val="none"/>
          <w:shd w:val="clear" w:color="auto" w:fill="auto"/>
        </w:rPr>
      </w:pPr>
    </w:p>
    <w:p>
      <w:pPr>
        <w:pStyle w:val="81"/>
        <w:spacing w:before="50" w:line="480" w:lineRule="atLeast"/>
        <w:rPr>
          <w:rFonts w:ascii="Times New Roman" w:cs="Times New Roman"/>
          <w:b/>
          <w:color w:val="auto"/>
          <w:szCs w:val="28"/>
          <w:highlight w:val="none"/>
          <w:shd w:val="clear" w:color="auto" w:fill="auto"/>
        </w:rPr>
      </w:pPr>
    </w:p>
    <w:p>
      <w:pPr>
        <w:pStyle w:val="81"/>
        <w:spacing w:before="50" w:line="480" w:lineRule="atLeast"/>
        <w:rPr>
          <w:rFonts w:ascii="Times New Roman" w:cs="Times New Roman"/>
          <w:b/>
          <w:color w:val="auto"/>
          <w:szCs w:val="28"/>
          <w:highlight w:val="none"/>
          <w:shd w:val="clear" w:color="auto" w:fill="auto"/>
        </w:rPr>
      </w:pPr>
    </w:p>
    <w:p>
      <w:pPr>
        <w:pStyle w:val="81"/>
        <w:spacing w:before="50" w:line="480" w:lineRule="atLeast"/>
        <w:rPr>
          <w:rFonts w:ascii="Times New Roman" w:cs="Times New Roman"/>
          <w:b/>
          <w:color w:val="auto"/>
          <w:szCs w:val="28"/>
          <w:highlight w:val="none"/>
          <w:shd w:val="clear" w:color="auto" w:fill="auto"/>
        </w:rPr>
      </w:pPr>
    </w:p>
    <w:p>
      <w:pPr>
        <w:pStyle w:val="81"/>
        <w:spacing w:before="50" w:line="480" w:lineRule="atLeast"/>
        <w:rPr>
          <w:rFonts w:ascii="Times New Roman" w:cs="Times New Roman"/>
          <w:b/>
          <w:color w:val="auto"/>
          <w:szCs w:val="28"/>
          <w:highlight w:val="none"/>
          <w:shd w:val="clear" w:color="auto" w:fill="auto"/>
        </w:rPr>
      </w:pPr>
    </w:p>
    <w:p>
      <w:pPr>
        <w:pStyle w:val="81"/>
        <w:spacing w:before="50" w:line="480" w:lineRule="atLeast"/>
        <w:rPr>
          <w:rFonts w:ascii="Times New Roman" w:cs="Times New Roman"/>
          <w:b/>
          <w:color w:val="auto"/>
          <w:szCs w:val="28"/>
          <w:highlight w:val="none"/>
          <w:shd w:val="clear" w:color="auto" w:fill="auto"/>
        </w:rPr>
      </w:pPr>
    </w:p>
    <w:p>
      <w:pPr>
        <w:pStyle w:val="81"/>
        <w:spacing w:before="50" w:line="480" w:lineRule="atLeast"/>
        <w:rPr>
          <w:rFonts w:ascii="Times New Roman" w:cs="Times New Roman"/>
          <w:b/>
          <w:color w:val="auto"/>
          <w:szCs w:val="28"/>
          <w:highlight w:val="none"/>
          <w:shd w:val="clear" w:color="auto" w:fill="auto"/>
        </w:rPr>
      </w:pPr>
    </w:p>
    <w:p>
      <w:pPr>
        <w:pStyle w:val="81"/>
        <w:spacing w:before="50" w:line="480" w:lineRule="atLeast"/>
        <w:rPr>
          <w:rFonts w:ascii="Times New Roman" w:cs="Times New Roman"/>
          <w:b/>
          <w:color w:val="auto"/>
          <w:szCs w:val="28"/>
          <w:highlight w:val="none"/>
          <w:shd w:val="clear" w:color="auto" w:fill="auto"/>
        </w:rPr>
      </w:pPr>
    </w:p>
    <w:p>
      <w:pPr>
        <w:pStyle w:val="81"/>
        <w:spacing w:before="50" w:line="480" w:lineRule="atLeast"/>
        <w:rPr>
          <w:rFonts w:ascii="Times New Roman" w:cs="Times New Roman"/>
          <w:b/>
          <w:color w:val="auto"/>
          <w:szCs w:val="28"/>
          <w:highlight w:val="none"/>
          <w:shd w:val="clear" w:color="auto" w:fill="auto"/>
        </w:rPr>
      </w:pPr>
    </w:p>
    <w:p>
      <w:pPr>
        <w:pStyle w:val="81"/>
        <w:spacing w:before="50" w:line="480" w:lineRule="atLeast"/>
        <w:rPr>
          <w:rFonts w:ascii="Times New Roman" w:cs="Times New Roman"/>
          <w:b/>
          <w:color w:val="auto"/>
          <w:szCs w:val="28"/>
          <w:highlight w:val="none"/>
          <w:shd w:val="clear" w:color="auto" w:fill="auto"/>
        </w:rPr>
      </w:pPr>
    </w:p>
    <w:p>
      <w:pPr>
        <w:pStyle w:val="81"/>
        <w:spacing w:before="50" w:line="480" w:lineRule="atLeast"/>
        <w:rPr>
          <w:rFonts w:ascii="Times New Roman" w:cs="Times New Roman"/>
          <w:b/>
          <w:color w:val="auto"/>
          <w:szCs w:val="28"/>
          <w:highlight w:val="none"/>
          <w:shd w:val="clear" w:color="auto" w:fill="auto"/>
        </w:rPr>
      </w:pPr>
    </w:p>
    <w:p>
      <w:pPr>
        <w:pStyle w:val="81"/>
        <w:spacing w:before="50" w:line="480" w:lineRule="atLeast"/>
        <w:rPr>
          <w:rFonts w:ascii="Times New Roman" w:cs="Times New Roman"/>
          <w:b/>
          <w:color w:val="auto"/>
          <w:szCs w:val="28"/>
          <w:highlight w:val="none"/>
          <w:shd w:val="clear" w:color="auto" w:fill="auto"/>
        </w:rPr>
      </w:pPr>
    </w:p>
    <w:p>
      <w:pPr>
        <w:pStyle w:val="24"/>
        <w:spacing w:before="120" w:beforeLines="50" w:after="120" w:afterLines="50" w:line="240" w:lineRule="auto"/>
        <w:jc w:val="left"/>
        <w:rPr>
          <w:rFonts w:hAnsi="宋体"/>
          <w:b/>
          <w:color w:val="auto"/>
          <w:sz w:val="24"/>
          <w:szCs w:val="24"/>
          <w:highlight w:val="none"/>
          <w:shd w:val="clear" w:color="auto" w:fill="auto"/>
        </w:rPr>
      </w:pPr>
      <w:bookmarkStart w:id="104" w:name="_Toc19191481"/>
      <w:bookmarkStart w:id="105" w:name="_Toc276575955"/>
      <w:bookmarkStart w:id="106" w:name="_Toc518494154"/>
      <w:r>
        <w:rPr>
          <w:rFonts w:hint="eastAsia" w:hAnsi="宋体"/>
          <w:b/>
          <w:color w:val="auto"/>
          <w:sz w:val="24"/>
          <w:szCs w:val="24"/>
          <w:highlight w:val="none"/>
          <w:shd w:val="clear" w:color="auto" w:fill="auto"/>
        </w:rPr>
        <w:t>一、参选函格式</w:t>
      </w:r>
      <w:bookmarkEnd w:id="104"/>
      <w:bookmarkEnd w:id="105"/>
      <w:bookmarkEnd w:id="106"/>
    </w:p>
    <w:p>
      <w:pPr>
        <w:pStyle w:val="24"/>
        <w:spacing w:before="120" w:beforeLines="50" w:after="120" w:afterLines="50" w:line="336" w:lineRule="auto"/>
        <w:jc w:val="center"/>
        <w:rPr>
          <w:rFonts w:hAnsi="宋体"/>
          <w:b/>
          <w:color w:val="auto"/>
          <w:sz w:val="36"/>
          <w:szCs w:val="36"/>
          <w:highlight w:val="none"/>
          <w:shd w:val="clear" w:color="auto" w:fill="auto"/>
        </w:rPr>
      </w:pPr>
      <w:r>
        <w:rPr>
          <w:rFonts w:hAnsi="宋体"/>
          <w:b/>
          <w:color w:val="auto"/>
          <w:sz w:val="36"/>
          <w:szCs w:val="36"/>
          <w:highlight w:val="none"/>
          <w:shd w:val="clear" w:color="auto" w:fill="auto"/>
        </w:rPr>
        <w:t>参选函</w:t>
      </w:r>
    </w:p>
    <w:p>
      <w:pPr>
        <w:pStyle w:val="24"/>
        <w:snapToGrid w:val="0"/>
        <w:spacing w:line="336" w:lineRule="auto"/>
        <w:rPr>
          <w:rFonts w:hAnsi="宋体"/>
          <w:color w:val="auto"/>
          <w:sz w:val="22"/>
          <w:szCs w:val="22"/>
          <w:highlight w:val="none"/>
          <w:shd w:val="clear" w:color="auto" w:fill="auto"/>
        </w:rPr>
      </w:pPr>
      <w:r>
        <w:rPr>
          <w:rFonts w:hAnsi="宋体"/>
          <w:color w:val="auto"/>
          <w:sz w:val="22"/>
          <w:szCs w:val="22"/>
          <w:highlight w:val="none"/>
          <w:shd w:val="clear" w:color="auto" w:fill="auto"/>
        </w:rPr>
        <w:t>致：</w:t>
      </w:r>
      <w:r>
        <w:rPr>
          <w:rFonts w:hint="eastAsia" w:hAnsi="宋体"/>
          <w:color w:val="auto"/>
          <w:sz w:val="22"/>
          <w:szCs w:val="22"/>
          <w:highlight w:val="none"/>
          <w:shd w:val="clear" w:color="auto" w:fill="auto"/>
        </w:rPr>
        <w:t>深圳市地铁</w:t>
      </w:r>
      <w:r>
        <w:rPr>
          <w:rFonts w:hint="eastAsia" w:hAnsi="宋体"/>
          <w:color w:val="auto"/>
          <w:sz w:val="22"/>
          <w:szCs w:val="22"/>
          <w:highlight w:val="none"/>
          <w:shd w:val="clear" w:color="auto" w:fill="auto"/>
          <w:lang w:val="en-US" w:eastAsia="zh-CN"/>
        </w:rPr>
        <w:t>置业</w:t>
      </w:r>
      <w:r>
        <w:rPr>
          <w:rFonts w:hint="eastAsia" w:hAnsi="宋体"/>
          <w:color w:val="auto"/>
          <w:sz w:val="22"/>
          <w:szCs w:val="22"/>
          <w:highlight w:val="none"/>
          <w:shd w:val="clear" w:color="auto" w:fill="auto"/>
        </w:rPr>
        <w:t>集团有限公司</w:t>
      </w:r>
    </w:p>
    <w:p>
      <w:pPr>
        <w:adjustRightInd w:val="0"/>
        <w:snapToGrid w:val="0"/>
        <w:spacing w:line="336" w:lineRule="auto"/>
        <w:ind w:firstLine="440" w:firstLineChars="200"/>
        <w:rPr>
          <w:color w:val="auto"/>
          <w:sz w:val="20"/>
          <w:szCs w:val="18"/>
          <w:highlight w:val="none"/>
          <w:shd w:val="clear" w:color="auto" w:fill="auto"/>
        </w:rPr>
      </w:pPr>
      <w:r>
        <w:rPr>
          <w:rFonts w:ascii="宋体" w:hAnsi="宋体"/>
          <w:color w:val="auto"/>
          <w:sz w:val="22"/>
          <w:szCs w:val="18"/>
          <w:highlight w:val="none"/>
          <w:shd w:val="clear" w:color="auto" w:fill="auto"/>
        </w:rPr>
        <w:t>1、经分析研究了贵司提供的比选文件，经研究后，我方愿以</w:t>
      </w:r>
      <w:r>
        <w:rPr>
          <w:rFonts w:hint="eastAsia" w:ascii="宋体" w:hAnsi="宋体"/>
          <w:color w:val="auto"/>
          <w:sz w:val="22"/>
          <w:szCs w:val="18"/>
          <w:highlight w:val="none"/>
          <w:shd w:val="clear" w:color="auto" w:fill="auto"/>
          <w:lang w:val="en-US" w:eastAsia="zh-CN"/>
        </w:rPr>
        <w:t>含税总</w:t>
      </w:r>
      <w:r>
        <w:rPr>
          <w:rFonts w:hint="eastAsia" w:ascii="宋体" w:hAnsi="宋体"/>
          <w:color w:val="auto"/>
          <w:sz w:val="22"/>
          <w:szCs w:val="18"/>
          <w:highlight w:val="none"/>
          <w:shd w:val="clear" w:color="auto" w:fill="auto"/>
        </w:rPr>
        <w:t>报价</w:t>
      </w:r>
      <w:r>
        <w:rPr>
          <w:rFonts w:ascii="宋体" w:hAnsi="宋体"/>
          <w:color w:val="auto"/>
          <w:sz w:val="22"/>
          <w:szCs w:val="18"/>
          <w:highlight w:val="none"/>
          <w:u w:val="single"/>
          <w:shd w:val="clear" w:color="auto" w:fill="auto"/>
        </w:rPr>
        <w:t xml:space="preserve">           </w:t>
      </w:r>
      <w:r>
        <w:rPr>
          <w:rFonts w:hint="eastAsia" w:ascii="宋体" w:hAnsi="宋体"/>
          <w:color w:val="auto"/>
          <w:sz w:val="22"/>
          <w:szCs w:val="18"/>
          <w:highlight w:val="none"/>
          <w:u w:val="single"/>
          <w:shd w:val="clear" w:color="auto" w:fill="auto"/>
        </w:rPr>
        <w:t>元</w:t>
      </w:r>
      <w:r>
        <w:rPr>
          <w:rFonts w:ascii="宋体" w:hAnsi="宋体"/>
          <w:color w:val="auto"/>
          <w:sz w:val="22"/>
          <w:szCs w:val="18"/>
          <w:highlight w:val="none"/>
          <w:shd w:val="clear" w:color="auto" w:fill="auto"/>
        </w:rPr>
        <w:t>（大写:</w:t>
      </w:r>
      <w:r>
        <w:rPr>
          <w:rFonts w:ascii="宋体" w:hAnsi="宋体"/>
          <w:color w:val="auto"/>
          <w:sz w:val="22"/>
          <w:szCs w:val="18"/>
          <w:highlight w:val="none"/>
          <w:u w:val="single"/>
          <w:shd w:val="clear" w:color="auto" w:fill="auto"/>
        </w:rPr>
        <w:t xml:space="preserve">                 </w:t>
      </w:r>
      <w:r>
        <w:rPr>
          <w:rFonts w:ascii="宋体" w:hAnsi="宋体"/>
          <w:color w:val="auto"/>
          <w:sz w:val="22"/>
          <w:szCs w:val="18"/>
          <w:highlight w:val="none"/>
          <w:shd w:val="clear" w:color="auto" w:fill="auto"/>
        </w:rPr>
        <w:t>）作为</w:t>
      </w:r>
      <w:r>
        <w:rPr>
          <w:rFonts w:hint="eastAsia" w:ascii="宋体" w:hAnsi="宋体"/>
          <w:b/>
          <w:bCs/>
          <w:color w:val="auto"/>
          <w:sz w:val="22"/>
          <w:szCs w:val="18"/>
          <w:highlight w:val="none"/>
          <w:shd w:val="clear" w:color="auto" w:fill="auto"/>
        </w:rPr>
        <w:t>深铁置业产品标准化体系发布会</w:t>
      </w:r>
      <w:r>
        <w:rPr>
          <w:rFonts w:hint="eastAsia" w:ascii="宋体" w:hAnsi="宋体"/>
          <w:b/>
          <w:bCs/>
          <w:color w:val="auto"/>
          <w:sz w:val="22"/>
          <w:szCs w:val="18"/>
          <w:highlight w:val="none"/>
          <w:shd w:val="clear" w:color="auto" w:fill="auto"/>
          <w:lang w:val="en-US" w:eastAsia="zh-CN"/>
        </w:rPr>
        <w:t>项目</w:t>
      </w:r>
      <w:r>
        <w:rPr>
          <w:rFonts w:hint="eastAsia" w:ascii="宋体" w:hAnsi="宋体"/>
          <w:color w:val="auto"/>
          <w:sz w:val="22"/>
          <w:szCs w:val="18"/>
          <w:highlight w:val="none"/>
          <w:shd w:val="clear" w:color="auto" w:fill="auto"/>
        </w:rPr>
        <w:t>的报价</w:t>
      </w:r>
      <w:r>
        <w:rPr>
          <w:rFonts w:hint="eastAsia" w:ascii="宋体" w:hAnsi="宋体"/>
          <w:color w:val="auto"/>
          <w:sz w:val="22"/>
          <w:szCs w:val="18"/>
          <w:highlight w:val="none"/>
          <w:u w:val="none"/>
          <w:shd w:val="clear" w:color="auto" w:fill="auto"/>
        </w:rPr>
        <w:t>。</w:t>
      </w:r>
    </w:p>
    <w:p>
      <w:pPr>
        <w:adjustRightInd w:val="0"/>
        <w:snapToGrid w:val="0"/>
        <w:spacing w:line="336" w:lineRule="auto"/>
        <w:ind w:firstLine="440" w:firstLineChars="200"/>
        <w:rPr>
          <w:rFonts w:ascii="宋体" w:hAnsi="宋体"/>
          <w:color w:val="auto"/>
          <w:sz w:val="22"/>
          <w:szCs w:val="18"/>
          <w:highlight w:val="none"/>
          <w:shd w:val="clear" w:color="auto" w:fill="auto"/>
        </w:rPr>
      </w:pPr>
      <w:r>
        <w:rPr>
          <w:rFonts w:hint="eastAsia" w:ascii="宋体" w:hAnsi="宋体" w:cs="宋体"/>
          <w:color w:val="auto"/>
          <w:sz w:val="22"/>
          <w:szCs w:val="22"/>
          <w:highlight w:val="none"/>
          <w:shd w:val="clear" w:color="auto" w:fill="auto"/>
        </w:rPr>
        <w:t>我司将按合同条件、比选文件、参选文件以及国家和地方有关规定的要求，承担并完成本项目的任务</w:t>
      </w:r>
      <w:r>
        <w:rPr>
          <w:rFonts w:ascii="宋体" w:hAnsi="宋体"/>
          <w:color w:val="auto"/>
          <w:sz w:val="22"/>
          <w:szCs w:val="18"/>
          <w:highlight w:val="none"/>
          <w:shd w:val="clear" w:color="auto" w:fill="auto"/>
        </w:rPr>
        <w:t>。</w:t>
      </w:r>
    </w:p>
    <w:p>
      <w:pPr>
        <w:adjustRightInd w:val="0"/>
        <w:snapToGrid w:val="0"/>
        <w:spacing w:line="336" w:lineRule="auto"/>
        <w:ind w:firstLine="440" w:firstLineChars="200"/>
        <w:rPr>
          <w:rFonts w:ascii="宋体" w:hAnsi="宋体"/>
          <w:color w:val="auto"/>
          <w:sz w:val="22"/>
          <w:szCs w:val="18"/>
          <w:highlight w:val="none"/>
          <w:shd w:val="clear" w:color="auto" w:fill="auto"/>
        </w:rPr>
      </w:pPr>
      <w:r>
        <w:rPr>
          <w:rFonts w:ascii="宋体" w:hAnsi="宋体"/>
          <w:color w:val="auto"/>
          <w:sz w:val="22"/>
          <w:szCs w:val="18"/>
          <w:highlight w:val="none"/>
          <w:shd w:val="clear" w:color="auto" w:fill="auto"/>
        </w:rPr>
        <w:t>2、我方对贵司</w:t>
      </w:r>
      <w:r>
        <w:rPr>
          <w:rFonts w:hint="eastAsia" w:ascii="宋体" w:hAnsi="宋体"/>
          <w:color w:val="auto"/>
          <w:sz w:val="22"/>
          <w:szCs w:val="18"/>
          <w:highlight w:val="none"/>
          <w:shd w:val="clear" w:color="auto" w:fill="auto"/>
        </w:rPr>
        <w:t>比</w:t>
      </w:r>
      <w:r>
        <w:rPr>
          <w:rFonts w:ascii="宋体" w:hAnsi="宋体"/>
          <w:color w:val="auto"/>
          <w:sz w:val="22"/>
          <w:szCs w:val="18"/>
          <w:highlight w:val="none"/>
          <w:shd w:val="clear" w:color="auto" w:fill="auto"/>
        </w:rPr>
        <w:t>选文件中的合同条件无保留、无条件同意，特此声明及承诺。</w:t>
      </w:r>
    </w:p>
    <w:p>
      <w:pPr>
        <w:adjustRightInd w:val="0"/>
        <w:snapToGrid w:val="0"/>
        <w:spacing w:line="336" w:lineRule="auto"/>
        <w:ind w:left="-15" w:leftChars="-7" w:firstLine="440" w:firstLineChars="200"/>
        <w:rPr>
          <w:rFonts w:ascii="宋体" w:hAnsi="宋体"/>
          <w:color w:val="auto"/>
          <w:sz w:val="22"/>
          <w:szCs w:val="18"/>
          <w:highlight w:val="none"/>
          <w:shd w:val="clear" w:color="auto" w:fill="auto"/>
        </w:rPr>
      </w:pPr>
      <w:r>
        <w:rPr>
          <w:rFonts w:ascii="宋体" w:hAnsi="宋体"/>
          <w:color w:val="auto"/>
          <w:sz w:val="22"/>
          <w:szCs w:val="18"/>
          <w:highlight w:val="none"/>
          <w:shd w:val="clear" w:color="auto" w:fill="auto"/>
        </w:rPr>
        <w:t>3、如果贵公司接受我方的参选，我方保证按合同规定的期限完成工作。</w:t>
      </w:r>
    </w:p>
    <w:p>
      <w:pPr>
        <w:adjustRightInd w:val="0"/>
        <w:snapToGrid w:val="0"/>
        <w:spacing w:line="336" w:lineRule="auto"/>
        <w:ind w:firstLine="440" w:firstLineChars="200"/>
        <w:rPr>
          <w:rFonts w:ascii="宋体" w:hAnsi="宋体"/>
          <w:color w:val="auto"/>
          <w:sz w:val="22"/>
          <w:szCs w:val="18"/>
          <w:highlight w:val="none"/>
          <w:shd w:val="clear" w:color="auto" w:fill="auto"/>
        </w:rPr>
      </w:pPr>
      <w:r>
        <w:rPr>
          <w:rFonts w:ascii="宋体" w:hAnsi="宋体"/>
          <w:color w:val="auto"/>
          <w:sz w:val="22"/>
          <w:szCs w:val="18"/>
          <w:highlight w:val="none"/>
          <w:shd w:val="clear" w:color="auto" w:fill="auto"/>
        </w:rPr>
        <w:t>4、我方同意在规定的递交参选书截止之日起</w:t>
      </w:r>
      <w:r>
        <w:rPr>
          <w:rFonts w:hint="eastAsia" w:ascii="宋体" w:hAnsi="宋体"/>
          <w:color w:val="auto"/>
          <w:sz w:val="22"/>
          <w:szCs w:val="18"/>
          <w:highlight w:val="none"/>
          <w:shd w:val="clear" w:color="auto" w:fill="auto"/>
        </w:rPr>
        <w:t>180</w:t>
      </w:r>
      <w:r>
        <w:rPr>
          <w:rFonts w:ascii="宋体" w:hAnsi="宋体"/>
          <w:color w:val="auto"/>
          <w:sz w:val="22"/>
          <w:szCs w:val="18"/>
          <w:highlight w:val="none"/>
          <w:shd w:val="clear" w:color="auto" w:fill="auto"/>
        </w:rPr>
        <w:t>天内遵守本参选。在该期限期满之前，本报价对我方始终有约束力，并可随时被接受。</w:t>
      </w:r>
    </w:p>
    <w:p>
      <w:pPr>
        <w:adjustRightInd w:val="0"/>
        <w:snapToGrid w:val="0"/>
        <w:spacing w:line="336" w:lineRule="auto"/>
        <w:ind w:firstLine="440" w:firstLineChars="200"/>
        <w:rPr>
          <w:rFonts w:ascii="宋体" w:hAnsi="宋体"/>
          <w:color w:val="auto"/>
          <w:sz w:val="22"/>
          <w:szCs w:val="18"/>
          <w:highlight w:val="none"/>
          <w:shd w:val="clear" w:color="auto" w:fill="auto"/>
        </w:rPr>
      </w:pPr>
      <w:r>
        <w:rPr>
          <w:rFonts w:ascii="宋体" w:hAnsi="宋体"/>
          <w:color w:val="auto"/>
          <w:sz w:val="22"/>
          <w:szCs w:val="18"/>
          <w:highlight w:val="none"/>
          <w:shd w:val="clear" w:color="auto" w:fill="auto"/>
        </w:rPr>
        <w:t>5、如果我方中</w:t>
      </w:r>
      <w:r>
        <w:rPr>
          <w:rFonts w:hint="eastAsia" w:ascii="宋体" w:hAnsi="宋体"/>
          <w:color w:val="auto"/>
          <w:sz w:val="22"/>
          <w:szCs w:val="18"/>
          <w:highlight w:val="none"/>
          <w:shd w:val="clear" w:color="auto" w:fill="auto"/>
        </w:rPr>
        <w:t>选</w:t>
      </w:r>
      <w:r>
        <w:rPr>
          <w:rFonts w:ascii="宋体" w:hAnsi="宋体"/>
          <w:color w:val="auto"/>
          <w:sz w:val="22"/>
          <w:szCs w:val="18"/>
          <w:highlight w:val="none"/>
          <w:shd w:val="clear" w:color="auto" w:fill="auto"/>
        </w:rPr>
        <w:t>，我方保证在规定的期限内提供相应的服务。</w:t>
      </w:r>
    </w:p>
    <w:p>
      <w:pPr>
        <w:adjustRightInd w:val="0"/>
        <w:snapToGrid w:val="0"/>
        <w:spacing w:line="336" w:lineRule="auto"/>
        <w:ind w:firstLine="440" w:firstLineChars="200"/>
        <w:rPr>
          <w:rFonts w:ascii="宋体" w:hAnsi="宋体"/>
          <w:color w:val="auto"/>
          <w:sz w:val="22"/>
          <w:szCs w:val="18"/>
          <w:highlight w:val="none"/>
          <w:shd w:val="clear" w:color="auto" w:fill="auto"/>
        </w:rPr>
      </w:pPr>
      <w:r>
        <w:rPr>
          <w:rFonts w:ascii="宋体" w:hAnsi="宋体"/>
          <w:color w:val="auto"/>
          <w:sz w:val="22"/>
          <w:szCs w:val="18"/>
          <w:highlight w:val="none"/>
          <w:shd w:val="clear" w:color="auto" w:fill="auto"/>
        </w:rPr>
        <w:t>6、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adjustRightInd w:val="0"/>
        <w:snapToGrid w:val="0"/>
        <w:spacing w:line="336" w:lineRule="auto"/>
        <w:ind w:firstLine="440" w:firstLineChars="200"/>
        <w:rPr>
          <w:rFonts w:ascii="宋体" w:hAnsi="宋体"/>
          <w:color w:val="auto"/>
          <w:sz w:val="22"/>
          <w:szCs w:val="18"/>
          <w:highlight w:val="none"/>
          <w:shd w:val="clear" w:color="auto" w:fill="auto"/>
        </w:rPr>
      </w:pPr>
      <w:r>
        <w:rPr>
          <w:rFonts w:hint="eastAsia" w:ascii="宋体" w:hAnsi="宋体"/>
          <w:color w:val="auto"/>
          <w:sz w:val="22"/>
          <w:szCs w:val="18"/>
          <w:highlight w:val="none"/>
          <w:shd w:val="clear" w:color="auto" w:fill="auto"/>
        </w:rPr>
        <w:t>7、若</w:t>
      </w:r>
      <w:r>
        <w:rPr>
          <w:rFonts w:ascii="宋体" w:hAnsi="宋体"/>
          <w:color w:val="auto"/>
          <w:sz w:val="22"/>
          <w:szCs w:val="18"/>
          <w:highlight w:val="none"/>
          <w:shd w:val="clear" w:color="auto" w:fill="auto"/>
        </w:rPr>
        <w:t>我方中选</w:t>
      </w:r>
      <w:r>
        <w:rPr>
          <w:rFonts w:hint="eastAsia" w:ascii="宋体" w:hAnsi="宋体"/>
          <w:color w:val="auto"/>
          <w:sz w:val="22"/>
          <w:szCs w:val="18"/>
          <w:highlight w:val="none"/>
          <w:shd w:val="clear" w:color="auto" w:fill="auto"/>
        </w:rPr>
        <w:t>本项目</w:t>
      </w:r>
      <w:r>
        <w:rPr>
          <w:rFonts w:ascii="宋体" w:hAnsi="宋体"/>
          <w:color w:val="auto"/>
          <w:sz w:val="22"/>
          <w:szCs w:val="18"/>
          <w:highlight w:val="none"/>
          <w:shd w:val="clear" w:color="auto" w:fill="auto"/>
        </w:rPr>
        <w:t>，</w:t>
      </w:r>
      <w:r>
        <w:rPr>
          <w:rFonts w:hint="eastAsia" w:ascii="宋体" w:hAnsi="宋体"/>
          <w:color w:val="auto"/>
          <w:sz w:val="22"/>
          <w:szCs w:val="18"/>
          <w:highlight w:val="none"/>
          <w:shd w:val="clear" w:color="auto" w:fill="auto"/>
        </w:rPr>
        <w:t>我</w:t>
      </w:r>
      <w:r>
        <w:rPr>
          <w:rFonts w:ascii="宋体" w:hAnsi="宋体"/>
          <w:color w:val="auto"/>
          <w:sz w:val="22"/>
          <w:szCs w:val="18"/>
          <w:highlight w:val="none"/>
          <w:shd w:val="clear" w:color="auto" w:fill="auto"/>
        </w:rPr>
        <w:t>方承诺本项目</w:t>
      </w:r>
      <w:r>
        <w:rPr>
          <w:rFonts w:hint="eastAsia" w:ascii="宋体" w:hAnsi="宋体"/>
          <w:color w:val="auto"/>
          <w:sz w:val="22"/>
          <w:szCs w:val="18"/>
          <w:highlight w:val="none"/>
          <w:shd w:val="clear" w:color="auto" w:fill="auto"/>
        </w:rPr>
        <w:t>可</w:t>
      </w:r>
      <w:r>
        <w:rPr>
          <w:rFonts w:ascii="宋体" w:hAnsi="宋体"/>
          <w:color w:val="auto"/>
          <w:sz w:val="22"/>
          <w:szCs w:val="18"/>
          <w:highlight w:val="none"/>
          <w:shd w:val="clear" w:color="auto" w:fill="auto"/>
        </w:rPr>
        <w:t>开具增值税专用发票</w:t>
      </w:r>
      <w:r>
        <w:rPr>
          <w:rFonts w:hint="eastAsia" w:ascii="宋体" w:hAnsi="宋体"/>
          <w:color w:val="auto"/>
          <w:sz w:val="22"/>
          <w:szCs w:val="18"/>
          <w:highlight w:val="none"/>
          <w:shd w:val="clear" w:color="auto" w:fill="auto"/>
        </w:rPr>
        <w:t>，按</w:t>
      </w:r>
      <w:r>
        <w:rPr>
          <w:rFonts w:ascii="宋体" w:hAnsi="宋体"/>
          <w:color w:val="auto"/>
          <w:sz w:val="22"/>
          <w:szCs w:val="18"/>
          <w:highlight w:val="none"/>
          <w:shd w:val="clear" w:color="auto" w:fill="auto"/>
        </w:rPr>
        <w:t>合同约定</w:t>
      </w:r>
      <w:r>
        <w:rPr>
          <w:rFonts w:hint="eastAsia" w:ascii="宋体" w:hAnsi="宋体"/>
          <w:color w:val="auto"/>
          <w:sz w:val="22"/>
          <w:szCs w:val="18"/>
          <w:highlight w:val="none"/>
          <w:shd w:val="clear" w:color="auto" w:fill="auto"/>
        </w:rPr>
        <w:t>于申请</w:t>
      </w:r>
      <w:r>
        <w:rPr>
          <w:rFonts w:ascii="宋体" w:hAnsi="宋体"/>
          <w:color w:val="auto"/>
          <w:sz w:val="22"/>
          <w:szCs w:val="18"/>
          <w:highlight w:val="none"/>
          <w:shd w:val="clear" w:color="auto" w:fill="auto"/>
        </w:rPr>
        <w:t>付款前</w:t>
      </w:r>
      <w:r>
        <w:rPr>
          <w:rFonts w:hint="eastAsia" w:ascii="宋体" w:hAnsi="宋体"/>
          <w:color w:val="auto"/>
          <w:sz w:val="22"/>
          <w:szCs w:val="18"/>
          <w:highlight w:val="none"/>
          <w:shd w:val="clear" w:color="auto" w:fill="auto"/>
        </w:rPr>
        <w:t>向比选</w:t>
      </w:r>
      <w:r>
        <w:rPr>
          <w:rFonts w:ascii="宋体" w:hAnsi="宋体"/>
          <w:color w:val="auto"/>
          <w:sz w:val="22"/>
          <w:szCs w:val="18"/>
          <w:highlight w:val="none"/>
          <w:shd w:val="clear" w:color="auto" w:fill="auto"/>
        </w:rPr>
        <w:t>人</w:t>
      </w:r>
      <w:r>
        <w:rPr>
          <w:rFonts w:hint="eastAsia" w:ascii="宋体" w:hAnsi="宋体"/>
          <w:color w:val="auto"/>
          <w:sz w:val="22"/>
          <w:szCs w:val="18"/>
          <w:highlight w:val="none"/>
          <w:shd w:val="clear" w:color="auto" w:fill="auto"/>
        </w:rPr>
        <w:t>提供正式的增值税专用发票，否则比选人有权拒绝付款，且并不因此承担任何违约责任</w:t>
      </w:r>
      <w:r>
        <w:rPr>
          <w:rFonts w:ascii="宋体" w:hAnsi="宋体"/>
          <w:color w:val="auto"/>
          <w:sz w:val="22"/>
          <w:szCs w:val="18"/>
          <w:highlight w:val="none"/>
          <w:shd w:val="clear" w:color="auto" w:fill="auto"/>
        </w:rPr>
        <w:t>。</w:t>
      </w:r>
    </w:p>
    <w:p>
      <w:pPr>
        <w:adjustRightInd w:val="0"/>
        <w:snapToGrid w:val="0"/>
        <w:spacing w:line="336" w:lineRule="auto"/>
        <w:ind w:firstLine="440" w:firstLineChars="200"/>
        <w:rPr>
          <w:rFonts w:ascii="宋体" w:hAnsi="宋体"/>
          <w:color w:val="auto"/>
          <w:sz w:val="22"/>
          <w:szCs w:val="18"/>
          <w:highlight w:val="none"/>
          <w:shd w:val="clear" w:color="auto" w:fill="auto"/>
        </w:rPr>
      </w:pPr>
      <w:r>
        <w:rPr>
          <w:rFonts w:hint="eastAsia" w:ascii="宋体" w:hAnsi="宋体"/>
          <w:color w:val="auto"/>
          <w:sz w:val="22"/>
          <w:szCs w:val="18"/>
          <w:highlight w:val="none"/>
          <w:shd w:val="clear" w:color="auto" w:fill="auto"/>
        </w:rPr>
        <w:t>8、我方承诺无条件服从条款：“比选人在与参选人签订正式合同之前任何时候均有权宣布终止比选程序，对受影响的参选人不承担任何责任，也无义务向受影响的参选人作出解释。”</w:t>
      </w:r>
    </w:p>
    <w:p>
      <w:pPr>
        <w:adjustRightInd w:val="0"/>
        <w:snapToGrid w:val="0"/>
        <w:spacing w:line="336" w:lineRule="auto"/>
        <w:ind w:firstLine="440" w:firstLineChars="200"/>
        <w:rPr>
          <w:rFonts w:ascii="宋体" w:hAnsi="宋体"/>
          <w:color w:val="auto"/>
          <w:sz w:val="22"/>
          <w:szCs w:val="18"/>
          <w:highlight w:val="none"/>
          <w:shd w:val="clear" w:color="auto" w:fill="auto"/>
        </w:rPr>
      </w:pPr>
      <w:r>
        <w:rPr>
          <w:rFonts w:hint="eastAsia" w:ascii="宋体" w:hAnsi="宋体"/>
          <w:color w:val="auto"/>
          <w:sz w:val="22"/>
          <w:szCs w:val="18"/>
          <w:highlight w:val="none"/>
          <w:shd w:val="clear" w:color="auto" w:fill="auto"/>
        </w:rPr>
        <w:t>9、</w:t>
      </w:r>
      <w:r>
        <w:rPr>
          <w:rFonts w:ascii="宋体" w:hAnsi="宋体"/>
          <w:color w:val="auto"/>
          <w:sz w:val="22"/>
          <w:szCs w:val="18"/>
          <w:highlight w:val="none"/>
          <w:shd w:val="clear" w:color="auto" w:fill="auto"/>
        </w:rPr>
        <w:t>如果我方中</w:t>
      </w:r>
      <w:r>
        <w:rPr>
          <w:rFonts w:hint="eastAsia" w:ascii="宋体" w:hAnsi="宋体"/>
          <w:color w:val="auto"/>
          <w:sz w:val="22"/>
          <w:szCs w:val="18"/>
          <w:highlight w:val="none"/>
          <w:shd w:val="clear" w:color="auto" w:fill="auto"/>
        </w:rPr>
        <w:t>选，我司承诺将使用地铁公司的合同模板进行合同签订。</w:t>
      </w:r>
    </w:p>
    <w:p>
      <w:pPr>
        <w:adjustRightInd w:val="0"/>
        <w:snapToGrid w:val="0"/>
        <w:spacing w:line="336" w:lineRule="auto"/>
        <w:ind w:firstLine="440" w:firstLineChars="200"/>
        <w:rPr>
          <w:rFonts w:ascii="宋体" w:hAnsi="宋体"/>
          <w:color w:val="auto"/>
          <w:sz w:val="22"/>
          <w:szCs w:val="18"/>
          <w:highlight w:val="none"/>
          <w:shd w:val="clear" w:color="auto" w:fill="auto"/>
        </w:rPr>
      </w:pPr>
      <w:r>
        <w:rPr>
          <w:rFonts w:hint="eastAsia" w:ascii="宋体" w:hAnsi="宋体"/>
          <w:color w:val="auto"/>
          <w:sz w:val="22"/>
          <w:szCs w:val="18"/>
          <w:highlight w:val="none"/>
          <w:shd w:val="clear" w:color="auto" w:fill="auto"/>
        </w:rPr>
        <w:t>1</w:t>
      </w:r>
      <w:r>
        <w:rPr>
          <w:rFonts w:ascii="宋体" w:hAnsi="宋体"/>
          <w:color w:val="auto"/>
          <w:sz w:val="22"/>
          <w:szCs w:val="18"/>
          <w:highlight w:val="none"/>
          <w:shd w:val="clear" w:color="auto" w:fill="auto"/>
        </w:rPr>
        <w:t>0</w:t>
      </w:r>
      <w:r>
        <w:rPr>
          <w:rFonts w:hint="eastAsia" w:ascii="宋体" w:hAnsi="宋体"/>
          <w:color w:val="auto"/>
          <w:sz w:val="22"/>
          <w:szCs w:val="18"/>
          <w:highlight w:val="none"/>
          <w:shd w:val="clear" w:color="auto" w:fill="auto"/>
        </w:rPr>
        <w:t>、我方承诺：中选后将组建项目服务专业策划团队，并提供成员简历经比选人审核确认，如比选人认为有必要调整团队成员，我方将重新提供替换名单。项目服务团队成员一经确认，不得任意更改，如确需变更，需经比选人认可同意，如未经比选人同意，我方自行变更参选文件中委派的主要人员，自愿接受相应处罚。</w:t>
      </w:r>
    </w:p>
    <w:p>
      <w:pPr>
        <w:adjustRightInd w:val="0"/>
        <w:snapToGrid w:val="0"/>
        <w:spacing w:line="336" w:lineRule="auto"/>
        <w:ind w:firstLine="440" w:firstLineChars="200"/>
        <w:rPr>
          <w:rFonts w:ascii="宋体" w:hAnsi="宋体"/>
          <w:color w:val="auto"/>
          <w:sz w:val="22"/>
          <w:szCs w:val="18"/>
          <w:highlight w:val="none"/>
          <w:shd w:val="clear" w:color="auto" w:fill="auto"/>
        </w:rPr>
      </w:pPr>
      <w:r>
        <w:rPr>
          <w:rFonts w:ascii="宋体" w:hAnsi="宋体"/>
          <w:color w:val="auto"/>
          <w:sz w:val="22"/>
          <w:szCs w:val="18"/>
          <w:highlight w:val="none"/>
          <w:shd w:val="clear" w:color="auto" w:fill="auto"/>
        </w:rPr>
        <w:t>11</w:t>
      </w:r>
      <w:r>
        <w:rPr>
          <w:rFonts w:hint="eastAsia" w:ascii="宋体" w:hAnsi="宋体"/>
          <w:color w:val="auto"/>
          <w:sz w:val="22"/>
          <w:szCs w:val="18"/>
          <w:highlight w:val="none"/>
          <w:shd w:val="clear" w:color="auto" w:fill="auto"/>
        </w:rPr>
        <w:t>、我方保证，服务期间公司与贵司无法律纠纷，一旦发生，将终止合同。</w:t>
      </w:r>
    </w:p>
    <w:p>
      <w:pPr>
        <w:adjustRightInd w:val="0"/>
        <w:snapToGrid w:val="0"/>
        <w:spacing w:line="336" w:lineRule="auto"/>
        <w:ind w:firstLine="440" w:firstLineChars="200"/>
        <w:rPr>
          <w:rFonts w:ascii="宋体" w:hAnsi="宋体"/>
          <w:color w:val="auto"/>
          <w:sz w:val="22"/>
          <w:szCs w:val="18"/>
          <w:highlight w:val="none"/>
          <w:shd w:val="clear" w:color="auto" w:fill="auto"/>
        </w:rPr>
      </w:pPr>
    </w:p>
    <w:p>
      <w:pPr>
        <w:adjustRightInd w:val="0"/>
        <w:snapToGrid w:val="0"/>
        <w:spacing w:line="336" w:lineRule="auto"/>
        <w:rPr>
          <w:rFonts w:ascii="宋体" w:hAnsi="宋体"/>
          <w:color w:val="auto"/>
          <w:sz w:val="22"/>
          <w:szCs w:val="22"/>
          <w:highlight w:val="none"/>
          <w:shd w:val="clear" w:color="auto" w:fill="auto"/>
        </w:rPr>
      </w:pPr>
      <w:r>
        <w:rPr>
          <w:rFonts w:ascii="宋体" w:hAnsi="宋体"/>
          <w:color w:val="auto"/>
          <w:sz w:val="22"/>
          <w:szCs w:val="22"/>
          <w:highlight w:val="none"/>
          <w:shd w:val="clear" w:color="auto" w:fill="auto"/>
        </w:rPr>
        <w:t>参选人：（盖章）</w:t>
      </w:r>
      <w:r>
        <w:rPr>
          <w:rFonts w:ascii="宋体" w:hAnsi="宋体"/>
          <w:color w:val="auto"/>
          <w:sz w:val="22"/>
          <w:szCs w:val="22"/>
          <w:highlight w:val="none"/>
          <w:u w:val="single"/>
          <w:shd w:val="clear" w:color="auto" w:fill="auto"/>
        </w:rPr>
        <w:t xml:space="preserve">         [参选人名称]                                     </w:t>
      </w:r>
    </w:p>
    <w:p>
      <w:pPr>
        <w:adjustRightInd w:val="0"/>
        <w:snapToGrid w:val="0"/>
        <w:spacing w:line="336" w:lineRule="auto"/>
        <w:rPr>
          <w:rFonts w:ascii="宋体" w:hAnsi="宋体"/>
          <w:color w:val="auto"/>
          <w:sz w:val="22"/>
          <w:szCs w:val="22"/>
          <w:highlight w:val="none"/>
          <w:u w:val="single"/>
          <w:shd w:val="clear" w:color="auto" w:fill="auto"/>
        </w:rPr>
      </w:pPr>
      <w:r>
        <w:rPr>
          <w:rFonts w:ascii="宋体" w:hAnsi="宋体"/>
          <w:color w:val="auto"/>
          <w:sz w:val="22"/>
          <w:szCs w:val="22"/>
          <w:highlight w:val="none"/>
          <w:shd w:val="clear" w:color="auto" w:fill="auto"/>
        </w:rPr>
        <w:t>法人代表或授权</w:t>
      </w:r>
      <w:r>
        <w:rPr>
          <w:rFonts w:hint="eastAsia" w:ascii="宋体" w:hAnsi="宋体"/>
          <w:color w:val="auto"/>
          <w:sz w:val="22"/>
          <w:szCs w:val="22"/>
          <w:highlight w:val="none"/>
          <w:shd w:val="clear" w:color="auto" w:fill="auto"/>
        </w:rPr>
        <w:t>委托</w:t>
      </w:r>
      <w:r>
        <w:rPr>
          <w:rFonts w:ascii="宋体" w:hAnsi="宋体"/>
          <w:color w:val="auto"/>
          <w:sz w:val="22"/>
          <w:szCs w:val="22"/>
          <w:highlight w:val="none"/>
          <w:shd w:val="clear" w:color="auto" w:fill="auto"/>
        </w:rPr>
        <w:t>代理人：</w:t>
      </w:r>
      <w:r>
        <w:rPr>
          <w:rFonts w:ascii="宋体" w:hAnsi="宋体"/>
          <w:color w:val="auto"/>
          <w:sz w:val="22"/>
          <w:szCs w:val="22"/>
          <w:highlight w:val="none"/>
          <w:u w:val="single"/>
          <w:shd w:val="clear" w:color="auto" w:fill="auto"/>
        </w:rPr>
        <w:t xml:space="preserve">                     </w:t>
      </w:r>
      <w:r>
        <w:rPr>
          <w:rFonts w:ascii="宋体" w:hAnsi="宋体"/>
          <w:color w:val="auto"/>
          <w:sz w:val="22"/>
          <w:szCs w:val="22"/>
          <w:highlight w:val="none"/>
          <w:shd w:val="clear" w:color="auto" w:fill="auto"/>
        </w:rPr>
        <w:t xml:space="preserve">  联 系 人：</w:t>
      </w:r>
      <w:r>
        <w:rPr>
          <w:rFonts w:ascii="宋体" w:hAnsi="宋体"/>
          <w:color w:val="auto"/>
          <w:sz w:val="22"/>
          <w:szCs w:val="22"/>
          <w:highlight w:val="none"/>
          <w:u w:val="single"/>
          <w:shd w:val="clear" w:color="auto" w:fill="auto"/>
        </w:rPr>
        <w:t xml:space="preserve">                  </w:t>
      </w:r>
    </w:p>
    <w:p>
      <w:pPr>
        <w:adjustRightInd w:val="0"/>
        <w:snapToGrid w:val="0"/>
        <w:spacing w:line="336" w:lineRule="auto"/>
        <w:rPr>
          <w:rFonts w:ascii="宋体" w:hAnsi="宋体"/>
          <w:color w:val="auto"/>
          <w:sz w:val="22"/>
          <w:szCs w:val="22"/>
          <w:highlight w:val="none"/>
          <w:u w:val="single"/>
          <w:shd w:val="clear" w:color="auto" w:fill="auto"/>
        </w:rPr>
      </w:pPr>
      <w:r>
        <w:rPr>
          <w:rFonts w:ascii="宋体" w:hAnsi="宋体"/>
          <w:color w:val="auto"/>
          <w:sz w:val="22"/>
          <w:szCs w:val="22"/>
          <w:highlight w:val="none"/>
          <w:shd w:val="clear" w:color="auto" w:fill="auto"/>
        </w:rPr>
        <w:t>电    话：</w:t>
      </w:r>
      <w:r>
        <w:rPr>
          <w:rFonts w:ascii="宋体" w:hAnsi="宋体"/>
          <w:color w:val="auto"/>
          <w:sz w:val="22"/>
          <w:szCs w:val="22"/>
          <w:highlight w:val="none"/>
          <w:u w:val="single"/>
          <w:shd w:val="clear" w:color="auto" w:fill="auto"/>
        </w:rPr>
        <w:t xml:space="preserve">                             </w:t>
      </w:r>
      <w:r>
        <w:rPr>
          <w:rFonts w:ascii="宋体" w:hAnsi="宋体"/>
          <w:color w:val="auto"/>
          <w:sz w:val="22"/>
          <w:szCs w:val="22"/>
          <w:highlight w:val="none"/>
          <w:shd w:val="clear" w:color="auto" w:fill="auto"/>
        </w:rPr>
        <w:t xml:space="preserve">      传    真：</w:t>
      </w:r>
      <w:r>
        <w:rPr>
          <w:rFonts w:ascii="宋体" w:hAnsi="宋体"/>
          <w:color w:val="auto"/>
          <w:sz w:val="22"/>
          <w:szCs w:val="22"/>
          <w:highlight w:val="none"/>
          <w:u w:val="single"/>
          <w:shd w:val="clear" w:color="auto" w:fill="auto"/>
        </w:rPr>
        <w:t xml:space="preserve">                  </w:t>
      </w:r>
    </w:p>
    <w:p>
      <w:pPr>
        <w:adjustRightInd w:val="0"/>
        <w:snapToGrid w:val="0"/>
        <w:spacing w:line="336" w:lineRule="auto"/>
        <w:rPr>
          <w:rFonts w:ascii="宋体" w:hAnsi="宋体"/>
          <w:color w:val="auto"/>
          <w:sz w:val="22"/>
          <w:szCs w:val="22"/>
          <w:highlight w:val="none"/>
          <w:u w:val="single"/>
          <w:shd w:val="clear" w:color="auto" w:fill="auto"/>
        </w:rPr>
      </w:pPr>
      <w:r>
        <w:rPr>
          <w:rFonts w:ascii="宋体" w:hAnsi="宋体"/>
          <w:color w:val="auto"/>
          <w:sz w:val="22"/>
          <w:szCs w:val="22"/>
          <w:highlight w:val="none"/>
          <w:shd w:val="clear" w:color="auto" w:fill="auto"/>
        </w:rPr>
        <w:t>日    期：</w:t>
      </w:r>
      <w:r>
        <w:rPr>
          <w:rFonts w:ascii="宋体" w:hAnsi="宋体"/>
          <w:color w:val="auto"/>
          <w:sz w:val="22"/>
          <w:szCs w:val="22"/>
          <w:highlight w:val="none"/>
          <w:u w:val="single"/>
          <w:shd w:val="clear" w:color="auto" w:fill="auto"/>
        </w:rPr>
        <w:t xml:space="preserve">      </w:t>
      </w:r>
      <w:r>
        <w:rPr>
          <w:rFonts w:ascii="宋体" w:hAnsi="宋体"/>
          <w:color w:val="auto"/>
          <w:sz w:val="22"/>
          <w:szCs w:val="22"/>
          <w:highlight w:val="none"/>
          <w:shd w:val="clear" w:color="auto" w:fill="auto"/>
        </w:rPr>
        <w:t>年</w:t>
      </w:r>
      <w:r>
        <w:rPr>
          <w:rFonts w:ascii="宋体" w:hAnsi="宋体"/>
          <w:color w:val="auto"/>
          <w:sz w:val="22"/>
          <w:szCs w:val="22"/>
          <w:highlight w:val="none"/>
          <w:u w:val="single"/>
          <w:shd w:val="clear" w:color="auto" w:fill="auto"/>
        </w:rPr>
        <w:t xml:space="preserve">      </w:t>
      </w:r>
      <w:r>
        <w:rPr>
          <w:rFonts w:ascii="宋体" w:hAnsi="宋体"/>
          <w:color w:val="auto"/>
          <w:sz w:val="22"/>
          <w:szCs w:val="22"/>
          <w:highlight w:val="none"/>
          <w:shd w:val="clear" w:color="auto" w:fill="auto"/>
        </w:rPr>
        <w:t>月</w:t>
      </w:r>
      <w:r>
        <w:rPr>
          <w:rFonts w:ascii="宋体" w:hAnsi="宋体"/>
          <w:color w:val="auto"/>
          <w:sz w:val="22"/>
          <w:szCs w:val="22"/>
          <w:highlight w:val="none"/>
          <w:u w:val="single"/>
          <w:shd w:val="clear" w:color="auto" w:fill="auto"/>
        </w:rPr>
        <w:t xml:space="preserve">      </w:t>
      </w:r>
    </w:p>
    <w:p>
      <w:pPr>
        <w:pStyle w:val="24"/>
        <w:spacing w:before="120" w:beforeLines="50" w:after="120" w:afterLines="50" w:line="240" w:lineRule="auto"/>
        <w:jc w:val="left"/>
        <w:rPr>
          <w:rFonts w:hAnsi="宋体"/>
          <w:b/>
          <w:color w:val="auto"/>
          <w:sz w:val="24"/>
          <w:szCs w:val="24"/>
          <w:highlight w:val="none"/>
          <w:shd w:val="clear" w:color="auto" w:fill="auto"/>
        </w:rPr>
      </w:pPr>
    </w:p>
    <w:p>
      <w:pPr>
        <w:pStyle w:val="24"/>
        <w:spacing w:before="120" w:beforeLines="50" w:after="120" w:afterLines="50" w:line="240" w:lineRule="auto"/>
        <w:jc w:val="left"/>
        <w:rPr>
          <w:rFonts w:hAnsi="宋体"/>
          <w:b/>
          <w:color w:val="auto"/>
          <w:sz w:val="24"/>
          <w:szCs w:val="24"/>
          <w:highlight w:val="none"/>
          <w:shd w:val="clear" w:color="auto" w:fill="auto"/>
        </w:rPr>
      </w:pPr>
    </w:p>
    <w:p>
      <w:pPr>
        <w:pStyle w:val="24"/>
        <w:spacing w:before="120" w:beforeLines="50" w:after="120" w:afterLines="50" w:line="240" w:lineRule="auto"/>
        <w:jc w:val="left"/>
        <w:rPr>
          <w:rFonts w:hAnsi="宋体"/>
          <w:b/>
          <w:color w:val="auto"/>
          <w:sz w:val="24"/>
          <w:szCs w:val="24"/>
          <w:highlight w:val="none"/>
          <w:shd w:val="clear" w:color="auto" w:fill="auto"/>
        </w:rPr>
      </w:pPr>
    </w:p>
    <w:p>
      <w:pPr>
        <w:pStyle w:val="24"/>
        <w:spacing w:before="120" w:beforeLines="50" w:after="120" w:afterLines="50" w:line="240" w:lineRule="auto"/>
        <w:jc w:val="left"/>
        <w:rPr>
          <w:rFonts w:hAnsi="宋体"/>
          <w:b/>
          <w:color w:val="auto"/>
          <w:sz w:val="24"/>
          <w:szCs w:val="24"/>
          <w:highlight w:val="none"/>
          <w:shd w:val="clear" w:color="auto" w:fill="auto"/>
        </w:rPr>
      </w:pPr>
      <w:r>
        <w:rPr>
          <w:rFonts w:hint="eastAsia" w:hAnsi="宋体"/>
          <w:b/>
          <w:color w:val="auto"/>
          <w:sz w:val="24"/>
          <w:szCs w:val="24"/>
          <w:highlight w:val="none"/>
          <w:shd w:val="clear" w:color="auto" w:fill="auto"/>
        </w:rPr>
        <w:t>二、报价</w:t>
      </w:r>
      <w:r>
        <w:rPr>
          <w:rFonts w:hAnsi="宋体"/>
          <w:b/>
          <w:color w:val="auto"/>
          <w:sz w:val="24"/>
          <w:szCs w:val="24"/>
          <w:highlight w:val="none"/>
          <w:shd w:val="clear" w:color="auto" w:fill="auto"/>
        </w:rPr>
        <w:t>表</w:t>
      </w:r>
      <w:r>
        <w:rPr>
          <w:rFonts w:hint="eastAsia" w:hAnsi="宋体"/>
          <w:b/>
          <w:color w:val="auto"/>
          <w:sz w:val="24"/>
          <w:szCs w:val="24"/>
          <w:highlight w:val="none"/>
          <w:shd w:val="clear" w:color="auto" w:fill="auto"/>
        </w:rPr>
        <w:t>格式</w:t>
      </w:r>
    </w:p>
    <w:p>
      <w:pPr>
        <w:pStyle w:val="14"/>
        <w:spacing w:line="520" w:lineRule="exact"/>
        <w:ind w:firstLine="0"/>
        <w:jc w:val="left"/>
        <w:rPr>
          <w:rFonts w:ascii="宋体" w:hAnsi="宋体"/>
          <w:color w:val="auto"/>
          <w:sz w:val="24"/>
          <w:highlight w:val="none"/>
          <w:shd w:val="clear" w:color="auto" w:fill="auto"/>
        </w:rPr>
      </w:pPr>
      <w:r>
        <w:rPr>
          <w:rFonts w:ascii="宋体" w:hAnsi="宋体"/>
          <w:color w:val="auto"/>
          <w:sz w:val="24"/>
          <w:highlight w:val="none"/>
          <w:shd w:val="clear" w:color="auto" w:fill="auto"/>
        </w:rPr>
        <w:t>{</w:t>
      </w:r>
      <w:r>
        <w:rPr>
          <w:rFonts w:hint="eastAsia" w:ascii="宋体" w:hAnsi="宋体"/>
          <w:color w:val="auto"/>
          <w:sz w:val="24"/>
          <w:highlight w:val="none"/>
          <w:shd w:val="clear" w:color="auto" w:fill="auto"/>
        </w:rPr>
        <w:t>说明：此件是参选书的组成部分，由参选人填写后放入商务标中。如此文件中任何内容不响应比选文件要求，参选文件将被作无效标处理。}</w:t>
      </w:r>
    </w:p>
    <w:p>
      <w:pPr>
        <w:adjustRightInd w:val="0"/>
        <w:snapToGrid w:val="0"/>
        <w:spacing w:line="336" w:lineRule="auto"/>
        <w:jc w:val="center"/>
        <w:rPr>
          <w:rFonts w:hint="eastAsia" w:ascii="宋体" w:hAnsi="宋体"/>
          <w:b/>
          <w:bCs/>
          <w:color w:val="auto"/>
          <w:sz w:val="22"/>
          <w:szCs w:val="18"/>
          <w:highlight w:val="none"/>
          <w:shd w:val="clear" w:color="auto" w:fill="auto"/>
        </w:rPr>
      </w:pPr>
      <w:r>
        <w:rPr>
          <w:rFonts w:hint="eastAsia" w:ascii="宋体" w:hAnsi="宋体"/>
          <w:b/>
          <w:bCs/>
          <w:color w:val="auto"/>
          <w:sz w:val="22"/>
          <w:szCs w:val="18"/>
          <w:highlight w:val="none"/>
          <w:shd w:val="clear" w:color="auto" w:fill="auto"/>
        </w:rPr>
        <w:t>深铁置业产品标准化体系发布会</w:t>
      </w:r>
      <w:r>
        <w:rPr>
          <w:rFonts w:hint="eastAsia" w:ascii="宋体" w:hAnsi="宋体"/>
          <w:b/>
          <w:bCs/>
          <w:color w:val="auto"/>
          <w:sz w:val="22"/>
          <w:szCs w:val="18"/>
          <w:highlight w:val="none"/>
          <w:shd w:val="clear" w:color="auto" w:fill="auto"/>
          <w:lang w:val="en-US" w:eastAsia="zh-CN"/>
        </w:rPr>
        <w:t>项目</w:t>
      </w:r>
    </w:p>
    <w:tbl>
      <w:tblPr>
        <w:tblStyle w:val="48"/>
        <w:tblW w:w="9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3"/>
        <w:gridCol w:w="832"/>
        <w:gridCol w:w="1758"/>
        <w:gridCol w:w="1304"/>
        <w:gridCol w:w="1304"/>
        <w:gridCol w:w="1304"/>
        <w:gridCol w:w="1304"/>
        <w:gridCol w:w="1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3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序号</w:t>
            </w:r>
          </w:p>
        </w:tc>
        <w:tc>
          <w:tcPr>
            <w:tcW w:w="832"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分类</w:t>
            </w:r>
          </w:p>
        </w:tc>
        <w:tc>
          <w:tcPr>
            <w:tcW w:w="1758"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xml:space="preserve">细项    </w:t>
            </w: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 w:val="22"/>
                <w:szCs w:val="22"/>
                <w:highlight w:val="none"/>
                <w:shd w:val="clear" w:color="auto" w:fill="auto"/>
              </w:rPr>
              <w:t>不含税总价（元）</w:t>
            </w:r>
          </w:p>
        </w:tc>
        <w:tc>
          <w:tcPr>
            <w:tcW w:w="1304" w:type="dxa"/>
            <w:noWrap w:val="0"/>
            <w:vAlign w:val="center"/>
          </w:tcPr>
          <w:p>
            <w:pPr>
              <w:widowControl/>
              <w:adjustRightInd w:val="0"/>
              <w:snapToGrid w:val="0"/>
              <w:jc w:val="center"/>
              <w:rPr>
                <w:rFonts w:hint="eastAsia" w:ascii="宋体" w:hAnsi="宋体" w:cs="宋体"/>
                <w:color w:val="auto"/>
                <w:kern w:val="0"/>
                <w:sz w:val="22"/>
                <w:szCs w:val="22"/>
                <w:highlight w:val="none"/>
                <w:shd w:val="clear" w:color="auto" w:fill="auto"/>
              </w:rPr>
            </w:pPr>
            <w:r>
              <w:rPr>
                <w:rFonts w:hint="eastAsia" w:ascii="宋体" w:hAnsi="宋体" w:cs="宋体"/>
                <w:color w:val="auto"/>
                <w:kern w:val="0"/>
                <w:sz w:val="22"/>
                <w:szCs w:val="22"/>
                <w:highlight w:val="none"/>
                <w:shd w:val="clear" w:color="auto" w:fill="auto"/>
              </w:rPr>
              <w:t>税率（%）</w:t>
            </w:r>
          </w:p>
        </w:tc>
        <w:tc>
          <w:tcPr>
            <w:tcW w:w="1304" w:type="dxa"/>
            <w:noWrap w:val="0"/>
            <w:vAlign w:val="center"/>
          </w:tcPr>
          <w:p>
            <w:pPr>
              <w:widowControl/>
              <w:adjustRightInd w:val="0"/>
              <w:snapToGrid w:val="0"/>
              <w:jc w:val="center"/>
              <w:rPr>
                <w:rFonts w:hint="eastAsia" w:ascii="宋体" w:hAnsi="宋体" w:cs="宋体"/>
                <w:color w:val="auto"/>
                <w:kern w:val="0"/>
                <w:sz w:val="22"/>
                <w:szCs w:val="22"/>
                <w:highlight w:val="none"/>
                <w:shd w:val="clear" w:color="auto" w:fill="auto"/>
              </w:rPr>
            </w:pPr>
            <w:r>
              <w:rPr>
                <w:rFonts w:hint="eastAsia" w:ascii="宋体" w:hAnsi="宋体" w:cs="宋体"/>
                <w:color w:val="auto"/>
                <w:kern w:val="0"/>
                <w:sz w:val="22"/>
                <w:szCs w:val="22"/>
                <w:highlight w:val="none"/>
                <w:shd w:val="clear" w:color="auto" w:fill="auto"/>
              </w:rPr>
              <w:t>增值税额（元）</w:t>
            </w: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 w:val="22"/>
                <w:szCs w:val="22"/>
                <w:highlight w:val="none"/>
                <w:shd w:val="clear" w:color="auto" w:fill="auto"/>
              </w:rPr>
              <w:t>含税总价（元）</w:t>
            </w: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lang w:val="en-US" w:eastAsia="zh-CN"/>
              </w:rPr>
              <w:t>上限</w:t>
            </w:r>
            <w:r>
              <w:rPr>
                <w:rFonts w:hint="eastAsia" w:ascii="宋体" w:hAnsi="宋体" w:cs="宋体"/>
                <w:color w:val="auto"/>
                <w:kern w:val="0"/>
                <w:szCs w:val="21"/>
                <w:highlight w:val="none"/>
                <w:shd w:val="clear" w:color="auto" w:fill="auto"/>
              </w:rPr>
              <w:t>价</w:t>
            </w:r>
            <w:r>
              <w:rPr>
                <w:rFonts w:hint="eastAsia" w:ascii="宋体" w:hAnsi="宋体" w:cs="宋体"/>
                <w:color w:val="auto"/>
                <w:kern w:val="0"/>
                <w:szCs w:val="21"/>
                <w:highlight w:val="none"/>
                <w:shd w:val="clear" w:color="auto" w:fill="auto"/>
                <w:lang w:val="en-US" w:eastAsia="zh-CN"/>
              </w:rPr>
              <w:t>含税总价</w:t>
            </w:r>
            <w:r>
              <w:rPr>
                <w:rFonts w:hint="eastAsia" w:ascii="宋体" w:hAnsi="宋体" w:cs="宋体"/>
                <w:color w:val="auto"/>
                <w:kern w:val="0"/>
                <w:szCs w:val="21"/>
                <w:highlight w:val="none"/>
                <w:shd w:val="clear" w:color="auto" w:fill="auto"/>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3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832"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场地租赁</w:t>
            </w:r>
          </w:p>
        </w:tc>
        <w:tc>
          <w:tcPr>
            <w:tcW w:w="1758"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场地租赁</w:t>
            </w: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22.4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33" w:type="dxa"/>
            <w:vMerge w:val="restart"/>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832" w:type="dxa"/>
            <w:vMerge w:val="restart"/>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活动部分</w:t>
            </w:r>
          </w:p>
        </w:tc>
        <w:tc>
          <w:tcPr>
            <w:tcW w:w="1758"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KOL邀请</w:t>
            </w: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33"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832"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1758"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活动执行</w:t>
            </w: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33"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832"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1758"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小计</w:t>
            </w: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33"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w:t>
            </w:r>
          </w:p>
        </w:tc>
        <w:tc>
          <w:tcPr>
            <w:tcW w:w="832"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影视片</w:t>
            </w:r>
          </w:p>
        </w:tc>
        <w:tc>
          <w:tcPr>
            <w:tcW w:w="1758"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影视片</w:t>
            </w: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33" w:type="dxa"/>
            <w:vMerge w:val="restart"/>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4</w:t>
            </w:r>
          </w:p>
        </w:tc>
        <w:tc>
          <w:tcPr>
            <w:tcW w:w="832" w:type="dxa"/>
            <w:vMerge w:val="restart"/>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宣传推广</w:t>
            </w:r>
          </w:p>
        </w:tc>
        <w:tc>
          <w:tcPr>
            <w:tcW w:w="1758"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 w:val="21"/>
                <w:szCs w:val="21"/>
                <w:highlight w:val="none"/>
                <w:shd w:val="clear" w:color="auto" w:fill="auto"/>
                <w:lang w:val="en-US" w:eastAsia="zh-CN"/>
              </w:rPr>
              <w:t>自媒体大V推广</w:t>
            </w: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33"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832"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58"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r>
              <w:rPr>
                <w:rFonts w:hint="eastAsia" w:ascii="宋体" w:hAnsi="宋体" w:cs="宋体"/>
                <w:color w:val="auto"/>
                <w:kern w:val="0"/>
                <w:sz w:val="21"/>
                <w:szCs w:val="21"/>
                <w:highlight w:val="none"/>
                <w:shd w:val="clear" w:color="auto" w:fill="auto"/>
                <w:lang w:val="en-US" w:eastAsia="zh-CN"/>
              </w:rPr>
              <w:t>原创深度报道及主流媒体通稿、硬广推广</w:t>
            </w: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33" w:type="dxa"/>
            <w:vMerge w:val="continue"/>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p>
        </w:tc>
        <w:tc>
          <w:tcPr>
            <w:tcW w:w="832"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1758"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关于TOD综合开发模式研究</w:t>
            </w: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33"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832"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1758"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小计</w:t>
            </w: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023" w:type="dxa"/>
            <w:gridSpan w:val="3"/>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合计</w:t>
            </w: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377.4</w:t>
            </w:r>
          </w:p>
        </w:tc>
      </w:tr>
    </w:tbl>
    <w:p>
      <w:pPr>
        <w:pStyle w:val="47"/>
        <w:ind w:left="0" w:leftChars="0" w:firstLine="0" w:firstLineChars="0"/>
        <w:rPr>
          <w:rFonts w:hint="eastAsia" w:ascii="宋体" w:hAnsi="宋体"/>
          <w:b/>
          <w:bCs/>
          <w:color w:val="auto"/>
          <w:sz w:val="22"/>
          <w:szCs w:val="18"/>
          <w:highlight w:val="none"/>
          <w:shd w:val="clear" w:color="auto" w:fill="auto"/>
        </w:rPr>
      </w:pPr>
    </w:p>
    <w:p>
      <w:pPr>
        <w:snapToGrid w:val="0"/>
        <w:spacing w:before="240" w:line="360" w:lineRule="auto"/>
        <w:rPr>
          <w:rFonts w:ascii="宋体" w:hAnsi="宋体"/>
          <w:color w:val="auto"/>
          <w:sz w:val="22"/>
          <w:szCs w:val="18"/>
          <w:highlight w:val="none"/>
          <w:shd w:val="clear" w:color="auto" w:fill="auto"/>
        </w:rPr>
      </w:pPr>
      <w:r>
        <w:rPr>
          <w:rFonts w:ascii="宋体" w:hAnsi="宋体"/>
          <w:color w:val="auto"/>
          <w:sz w:val="22"/>
          <w:szCs w:val="22"/>
          <w:highlight w:val="none"/>
          <w:shd w:val="clear" w:color="auto" w:fill="auto"/>
        </w:rPr>
        <w:t>注：</w:t>
      </w:r>
      <w:r>
        <w:rPr>
          <w:rFonts w:ascii="宋体" w:hAnsi="宋体"/>
          <w:color w:val="auto"/>
          <w:sz w:val="22"/>
          <w:szCs w:val="18"/>
          <w:highlight w:val="none"/>
          <w:shd w:val="clear" w:color="auto" w:fill="auto"/>
        </w:rPr>
        <w:t>1、</w:t>
      </w:r>
      <w:r>
        <w:rPr>
          <w:rFonts w:hint="eastAsia" w:ascii="宋体" w:hAnsi="宋体"/>
          <w:color w:val="auto"/>
          <w:sz w:val="22"/>
          <w:szCs w:val="18"/>
          <w:highlight w:val="none"/>
          <w:shd w:val="clear" w:color="auto" w:fill="auto"/>
        </w:rPr>
        <w:t>以上服务费含税报价为人民币，取整数，精确到元，不含小数点。</w:t>
      </w:r>
    </w:p>
    <w:p>
      <w:pPr>
        <w:pStyle w:val="19"/>
        <w:snapToGrid w:val="0"/>
        <w:ind w:left="0" w:leftChars="0" w:firstLine="440" w:firstLineChars="200"/>
        <w:rPr>
          <w:rFonts w:ascii="宋体" w:hAnsi="宋体"/>
          <w:color w:val="auto"/>
          <w:sz w:val="22"/>
          <w:szCs w:val="22"/>
          <w:highlight w:val="none"/>
          <w:shd w:val="clear" w:color="auto" w:fill="auto"/>
        </w:rPr>
      </w:pPr>
      <w:r>
        <w:rPr>
          <w:rFonts w:ascii="宋体" w:hAnsi="宋体"/>
          <w:color w:val="auto"/>
          <w:sz w:val="22"/>
          <w:szCs w:val="22"/>
          <w:highlight w:val="none"/>
          <w:shd w:val="clear" w:color="auto" w:fill="auto"/>
        </w:rPr>
        <w:t>2</w:t>
      </w:r>
      <w:r>
        <w:rPr>
          <w:rFonts w:hint="eastAsia" w:ascii="宋体" w:hAnsi="宋体"/>
          <w:color w:val="auto"/>
          <w:sz w:val="22"/>
          <w:szCs w:val="22"/>
          <w:highlight w:val="none"/>
          <w:shd w:val="clear" w:color="auto" w:fill="auto"/>
        </w:rPr>
        <w:t>．</w:t>
      </w:r>
      <w:r>
        <w:rPr>
          <w:rFonts w:hint="eastAsia" w:hAnsi="宋体"/>
          <w:color w:val="auto"/>
          <w:sz w:val="22"/>
          <w:szCs w:val="18"/>
          <w:highlight w:val="none"/>
          <w:shd w:val="clear" w:color="auto" w:fill="auto"/>
        </w:rPr>
        <w:t>以上服务费</w:t>
      </w:r>
      <w:r>
        <w:rPr>
          <w:rFonts w:hint="eastAsia" w:hAnsi="宋体"/>
          <w:color w:val="auto"/>
          <w:sz w:val="22"/>
          <w:szCs w:val="22"/>
          <w:highlight w:val="none"/>
          <w:shd w:val="clear" w:color="auto" w:fill="auto"/>
        </w:rPr>
        <w:t>为含税价，</w:t>
      </w:r>
      <w:r>
        <w:rPr>
          <w:rFonts w:hint="eastAsia" w:ascii="宋体" w:hAnsi="宋体"/>
          <w:color w:val="auto"/>
          <w:sz w:val="22"/>
          <w:szCs w:val="22"/>
          <w:highlight w:val="none"/>
          <w:shd w:val="clear" w:color="auto" w:fill="auto"/>
        </w:rPr>
        <w:t>报价已</w:t>
      </w:r>
      <w:r>
        <w:rPr>
          <w:rFonts w:hint="eastAsia" w:hAnsi="宋体"/>
          <w:color w:val="auto"/>
          <w:sz w:val="22"/>
          <w:szCs w:val="22"/>
          <w:highlight w:val="none"/>
          <w:shd w:val="clear" w:color="auto" w:fill="auto"/>
        </w:rPr>
        <w:t>包含乙方因履行本合同要求的</w:t>
      </w:r>
      <w:r>
        <w:rPr>
          <w:rFonts w:hint="eastAsia" w:ascii="宋体" w:hAnsi="宋体"/>
          <w:color w:val="auto"/>
          <w:sz w:val="22"/>
          <w:szCs w:val="22"/>
          <w:highlight w:val="none"/>
          <w:shd w:val="clear" w:color="auto" w:fill="auto"/>
        </w:rPr>
        <w:t>所有活动/包装服务过程中发生的策划费、执行费、设计费、制作费、人工费、场地费、交通费、运输费、保险费、政府报批收费、税金、撤场清理费等一切乙方为了履行本协议项下委托事项所产生的费用。</w:t>
      </w:r>
      <w:r>
        <w:rPr>
          <w:rFonts w:hint="eastAsia" w:hAnsi="宋体"/>
          <w:color w:val="auto"/>
          <w:sz w:val="22"/>
          <w:szCs w:val="22"/>
          <w:highlight w:val="none"/>
          <w:shd w:val="clear" w:color="auto" w:fill="auto"/>
        </w:rPr>
        <w:t>除甲方书面确认的可增加的费用外，不因任何事由上浮，包括但不限于不可抗力、价格上涨等因素</w:t>
      </w:r>
      <w:r>
        <w:rPr>
          <w:rFonts w:hint="eastAsia" w:ascii="宋体" w:hAnsi="宋体"/>
          <w:color w:val="auto"/>
          <w:sz w:val="22"/>
          <w:szCs w:val="22"/>
          <w:highlight w:val="none"/>
          <w:shd w:val="clear" w:color="auto" w:fill="auto"/>
        </w:rPr>
        <w:t>。</w:t>
      </w:r>
    </w:p>
    <w:p>
      <w:pPr>
        <w:pStyle w:val="19"/>
        <w:snapToGrid w:val="0"/>
        <w:ind w:left="0" w:leftChars="0" w:firstLine="440" w:firstLineChars="200"/>
        <w:rPr>
          <w:rFonts w:ascii="宋体" w:hAnsi="宋体"/>
          <w:color w:val="auto"/>
          <w:sz w:val="22"/>
          <w:szCs w:val="22"/>
          <w:highlight w:val="none"/>
          <w:shd w:val="clear" w:color="auto" w:fill="auto"/>
        </w:rPr>
      </w:pPr>
      <w:r>
        <w:rPr>
          <w:rFonts w:hint="eastAsia" w:ascii="宋体" w:hAnsi="宋体"/>
          <w:color w:val="auto"/>
          <w:sz w:val="22"/>
          <w:szCs w:val="22"/>
          <w:highlight w:val="none"/>
          <w:shd w:val="clear" w:color="auto" w:fill="auto"/>
        </w:rPr>
        <w:t>3、所有供应商必须按采购文件要求逐项报价。如出现缺项、漏项、少报、错报时，相应的费用视为包含在报价的其他项目价格中，合同总价不予增加。</w:t>
      </w:r>
    </w:p>
    <w:p>
      <w:pPr>
        <w:pStyle w:val="19"/>
        <w:snapToGrid w:val="0"/>
        <w:ind w:left="0" w:leftChars="0" w:firstLine="440" w:firstLineChars="200"/>
        <w:rPr>
          <w:rFonts w:ascii="宋体" w:hAnsi="宋体"/>
          <w:color w:val="auto"/>
          <w:sz w:val="22"/>
          <w:szCs w:val="22"/>
          <w:highlight w:val="none"/>
          <w:shd w:val="clear" w:color="auto" w:fill="auto"/>
        </w:rPr>
      </w:pPr>
      <w:r>
        <w:rPr>
          <w:rFonts w:ascii="宋体" w:hAnsi="宋体"/>
          <w:color w:val="auto"/>
          <w:sz w:val="22"/>
          <w:szCs w:val="22"/>
          <w:highlight w:val="none"/>
          <w:shd w:val="clear" w:color="auto" w:fill="auto"/>
        </w:rPr>
        <w:t>4</w:t>
      </w:r>
      <w:r>
        <w:rPr>
          <w:rFonts w:hint="eastAsia" w:ascii="宋体" w:hAnsi="宋体"/>
          <w:color w:val="auto"/>
          <w:sz w:val="22"/>
          <w:szCs w:val="22"/>
          <w:highlight w:val="none"/>
          <w:shd w:val="clear" w:color="auto" w:fill="auto"/>
        </w:rPr>
        <w:t>.报价中的不含税单价在合同执行期间是固定的，不得以任何理由变更。合同的增值税率按照国家税收法规政策变动而调整。</w:t>
      </w:r>
    </w:p>
    <w:p>
      <w:pPr>
        <w:pStyle w:val="19"/>
        <w:snapToGrid w:val="0"/>
        <w:ind w:left="0" w:leftChars="0" w:firstLine="480" w:firstLineChars="200"/>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5</w:t>
      </w:r>
      <w:r>
        <w:rPr>
          <w:rFonts w:hint="eastAsia" w:ascii="宋体" w:hAnsi="宋体"/>
          <w:color w:val="auto"/>
          <w:sz w:val="24"/>
          <w:szCs w:val="24"/>
          <w:highlight w:val="none"/>
          <w:shd w:val="clear" w:color="auto" w:fill="auto"/>
        </w:rPr>
        <w:t>、附件为服务清单报价明细表，作为合同签订附件。</w:t>
      </w:r>
    </w:p>
    <w:p>
      <w:pPr>
        <w:spacing w:line="540" w:lineRule="exact"/>
        <w:rPr>
          <w:rFonts w:ascii="宋体" w:hAnsi="宋体"/>
          <w:color w:val="auto"/>
          <w:sz w:val="24"/>
          <w:highlight w:val="none"/>
          <w:shd w:val="clear" w:color="auto" w:fill="auto"/>
        </w:rPr>
      </w:pPr>
      <w:r>
        <w:rPr>
          <w:rFonts w:ascii="宋体" w:hAnsi="宋体"/>
          <w:color w:val="auto"/>
          <w:sz w:val="24"/>
          <w:highlight w:val="none"/>
          <w:shd w:val="clear" w:color="auto" w:fill="auto"/>
        </w:rPr>
        <w:t>参选人：（盖章）</w:t>
      </w:r>
      <w:r>
        <w:rPr>
          <w:rFonts w:ascii="宋体" w:hAnsi="宋体"/>
          <w:color w:val="auto"/>
          <w:sz w:val="24"/>
          <w:highlight w:val="none"/>
          <w:u w:val="single"/>
          <w:shd w:val="clear" w:color="auto" w:fill="auto"/>
        </w:rPr>
        <w:t xml:space="preserve">         [参选人名称]                   </w:t>
      </w:r>
    </w:p>
    <w:p>
      <w:pPr>
        <w:spacing w:line="540" w:lineRule="exact"/>
        <w:rPr>
          <w:rFonts w:ascii="宋体" w:hAnsi="宋体"/>
          <w:color w:val="auto"/>
          <w:sz w:val="24"/>
          <w:highlight w:val="none"/>
          <w:u w:val="single"/>
          <w:shd w:val="clear" w:color="auto" w:fill="auto"/>
        </w:rPr>
      </w:pPr>
      <w:r>
        <w:rPr>
          <w:rFonts w:ascii="宋体" w:hAnsi="宋体"/>
          <w:color w:val="auto"/>
          <w:sz w:val="24"/>
          <w:highlight w:val="none"/>
          <w:shd w:val="clear" w:color="auto" w:fill="auto"/>
        </w:rPr>
        <w:t>法人代表或授权</w:t>
      </w:r>
      <w:r>
        <w:rPr>
          <w:rFonts w:hint="eastAsia" w:ascii="宋体" w:hAnsi="宋体"/>
          <w:color w:val="auto"/>
          <w:sz w:val="24"/>
          <w:highlight w:val="none"/>
          <w:shd w:val="clear" w:color="auto" w:fill="auto"/>
        </w:rPr>
        <w:t>委托</w:t>
      </w:r>
      <w:r>
        <w:rPr>
          <w:rFonts w:ascii="宋体" w:hAnsi="宋体"/>
          <w:color w:val="auto"/>
          <w:sz w:val="24"/>
          <w:highlight w:val="none"/>
          <w:shd w:val="clear" w:color="auto" w:fill="auto"/>
        </w:rPr>
        <w:t>代理人：</w:t>
      </w:r>
      <w:r>
        <w:rPr>
          <w:rFonts w:ascii="宋体" w:hAnsi="宋体"/>
          <w:color w:val="auto"/>
          <w:sz w:val="24"/>
          <w:highlight w:val="none"/>
          <w:u w:val="single"/>
          <w:shd w:val="clear" w:color="auto" w:fill="auto"/>
        </w:rPr>
        <w:t xml:space="preserve">                                 </w:t>
      </w:r>
    </w:p>
    <w:p>
      <w:pPr>
        <w:pStyle w:val="24"/>
        <w:tabs>
          <w:tab w:val="left" w:pos="1134"/>
        </w:tabs>
        <w:adjustRightInd/>
        <w:spacing w:before="120" w:beforeLines="50" w:line="460" w:lineRule="exact"/>
        <w:textAlignment w:val="auto"/>
        <w:rPr>
          <w:rFonts w:ascii="Times New Roman" w:hAnsi="Times New Roman"/>
          <w:color w:val="auto"/>
          <w:kern w:val="2"/>
          <w:sz w:val="24"/>
          <w:highlight w:val="none"/>
          <w:shd w:val="clear" w:color="auto" w:fill="auto"/>
        </w:rPr>
      </w:pPr>
      <w:r>
        <w:rPr>
          <w:rFonts w:hAnsi="宋体"/>
          <w:color w:val="auto"/>
          <w:kern w:val="2"/>
          <w:sz w:val="24"/>
          <w:highlight w:val="none"/>
          <w:shd w:val="clear" w:color="auto" w:fill="auto"/>
        </w:rPr>
        <w:t>日    期：</w:t>
      </w:r>
      <w:r>
        <w:rPr>
          <w:rFonts w:hAnsi="宋体"/>
          <w:color w:val="auto"/>
          <w:kern w:val="2"/>
          <w:sz w:val="24"/>
          <w:highlight w:val="none"/>
          <w:u w:val="single"/>
          <w:shd w:val="clear" w:color="auto" w:fill="auto"/>
        </w:rPr>
        <w:t xml:space="preserve">      </w:t>
      </w:r>
      <w:r>
        <w:rPr>
          <w:rFonts w:hAnsi="宋体"/>
          <w:color w:val="auto"/>
          <w:kern w:val="2"/>
          <w:sz w:val="24"/>
          <w:highlight w:val="none"/>
          <w:shd w:val="clear" w:color="auto" w:fill="auto"/>
        </w:rPr>
        <w:t>年</w:t>
      </w:r>
      <w:r>
        <w:rPr>
          <w:rFonts w:hAnsi="宋体"/>
          <w:color w:val="auto"/>
          <w:kern w:val="2"/>
          <w:sz w:val="24"/>
          <w:highlight w:val="none"/>
          <w:u w:val="single"/>
          <w:shd w:val="clear" w:color="auto" w:fill="auto"/>
        </w:rPr>
        <w:t xml:space="preserve">    </w:t>
      </w:r>
      <w:r>
        <w:rPr>
          <w:rFonts w:hAnsi="宋体"/>
          <w:color w:val="auto"/>
          <w:kern w:val="2"/>
          <w:sz w:val="24"/>
          <w:highlight w:val="none"/>
          <w:shd w:val="clear" w:color="auto" w:fill="auto"/>
        </w:rPr>
        <w:t>月</w:t>
      </w:r>
      <w:r>
        <w:rPr>
          <w:rFonts w:hAnsi="宋体"/>
          <w:color w:val="auto"/>
          <w:kern w:val="2"/>
          <w:sz w:val="24"/>
          <w:highlight w:val="none"/>
          <w:u w:val="single"/>
          <w:shd w:val="clear" w:color="auto" w:fill="auto"/>
        </w:rPr>
        <w:t xml:space="preserve">    </w:t>
      </w:r>
      <w:r>
        <w:rPr>
          <w:rFonts w:hAnsi="宋体"/>
          <w:color w:val="auto"/>
          <w:kern w:val="2"/>
          <w:sz w:val="24"/>
          <w:highlight w:val="none"/>
          <w:shd w:val="clear" w:color="auto" w:fill="auto"/>
        </w:rPr>
        <w:t xml:space="preserve">日  </w:t>
      </w:r>
      <w:r>
        <w:rPr>
          <w:rFonts w:ascii="Times New Roman" w:hAnsi="Times New Roman"/>
          <w:color w:val="auto"/>
          <w:kern w:val="2"/>
          <w:sz w:val="24"/>
          <w:highlight w:val="none"/>
          <w:shd w:val="clear" w:color="auto" w:fill="auto"/>
        </w:rPr>
        <w:t xml:space="preserve"> </w:t>
      </w:r>
    </w:p>
    <w:p>
      <w:pPr>
        <w:pStyle w:val="24"/>
        <w:tabs>
          <w:tab w:val="left" w:pos="1134"/>
        </w:tabs>
        <w:adjustRightInd/>
        <w:spacing w:before="120" w:beforeLines="50" w:line="460" w:lineRule="exact"/>
        <w:textAlignment w:val="auto"/>
        <w:rPr>
          <w:rFonts w:ascii="Times New Roman" w:hAnsi="Times New Roman"/>
          <w:color w:val="auto"/>
          <w:kern w:val="2"/>
          <w:sz w:val="24"/>
          <w:highlight w:val="none"/>
          <w:shd w:val="clear" w:color="auto" w:fill="auto"/>
        </w:rPr>
      </w:pPr>
    </w:p>
    <w:p>
      <w:pPr>
        <w:pStyle w:val="24"/>
        <w:spacing w:before="240" w:beforeLines="100" w:after="120" w:afterLines="50" w:line="480" w:lineRule="atLeast"/>
        <w:jc w:val="center"/>
        <w:rPr>
          <w:rFonts w:hint="eastAsia" w:asciiTheme="minorEastAsia" w:hAnsiTheme="minorEastAsia"/>
          <w:bCs/>
          <w:color w:val="auto"/>
          <w:sz w:val="36"/>
          <w:szCs w:val="36"/>
          <w:highlight w:val="none"/>
          <w:shd w:val="clear" w:color="auto" w:fill="auto"/>
        </w:rPr>
      </w:pPr>
    </w:p>
    <w:p>
      <w:pPr>
        <w:pStyle w:val="24"/>
        <w:spacing w:before="240" w:beforeLines="100" w:after="120" w:afterLines="50" w:line="480" w:lineRule="atLeast"/>
        <w:jc w:val="center"/>
        <w:rPr>
          <w:rFonts w:hint="eastAsia" w:asciiTheme="minorEastAsia" w:hAnsiTheme="minorEastAsia"/>
          <w:bCs/>
          <w:color w:val="auto"/>
          <w:sz w:val="36"/>
          <w:szCs w:val="36"/>
          <w:highlight w:val="none"/>
          <w:shd w:val="clear" w:color="auto" w:fill="auto"/>
        </w:rPr>
      </w:pPr>
    </w:p>
    <w:p>
      <w:pPr>
        <w:pStyle w:val="24"/>
        <w:spacing w:before="240" w:beforeLines="100" w:after="120" w:afterLines="50" w:line="480" w:lineRule="atLeast"/>
        <w:jc w:val="center"/>
        <w:rPr>
          <w:rFonts w:hint="eastAsia" w:asciiTheme="minorEastAsia" w:hAnsiTheme="minorEastAsia"/>
          <w:bCs/>
          <w:color w:val="auto"/>
          <w:sz w:val="36"/>
          <w:szCs w:val="36"/>
          <w:highlight w:val="none"/>
          <w:shd w:val="clear" w:color="auto" w:fill="auto"/>
        </w:rPr>
      </w:pPr>
      <w:r>
        <w:rPr>
          <w:rFonts w:hint="eastAsia" w:asciiTheme="minorEastAsia" w:hAnsiTheme="minorEastAsia"/>
          <w:bCs/>
          <w:color w:val="auto"/>
          <w:sz w:val="36"/>
          <w:szCs w:val="36"/>
          <w:highlight w:val="none"/>
          <w:shd w:val="clear" w:color="auto" w:fill="auto"/>
        </w:rPr>
        <w:t>深铁置业产品标准化体系发布会</w:t>
      </w:r>
      <w:r>
        <w:rPr>
          <w:rFonts w:hint="eastAsia" w:asciiTheme="minorEastAsia" w:hAnsiTheme="minorEastAsia"/>
          <w:bCs/>
          <w:color w:val="auto"/>
          <w:sz w:val="36"/>
          <w:szCs w:val="36"/>
          <w:highlight w:val="none"/>
          <w:shd w:val="clear" w:color="auto" w:fill="auto"/>
          <w:lang w:val="en-US" w:eastAsia="zh-CN"/>
        </w:rPr>
        <w:t>项目</w:t>
      </w:r>
    </w:p>
    <w:p>
      <w:pPr>
        <w:pStyle w:val="24"/>
        <w:spacing w:before="240" w:beforeLines="100" w:after="120" w:afterLines="50" w:line="480" w:lineRule="atLeast"/>
        <w:jc w:val="center"/>
        <w:rPr>
          <w:rFonts w:asciiTheme="minorEastAsia" w:hAnsiTheme="minorEastAsia"/>
          <w:bCs/>
          <w:color w:val="auto"/>
          <w:sz w:val="36"/>
          <w:szCs w:val="36"/>
          <w:highlight w:val="none"/>
          <w:shd w:val="clear" w:color="auto" w:fill="auto"/>
        </w:rPr>
      </w:pPr>
    </w:p>
    <w:bookmarkEnd w:id="76"/>
    <w:bookmarkEnd w:id="77"/>
    <w:bookmarkEnd w:id="78"/>
    <w:bookmarkEnd w:id="79"/>
    <w:bookmarkEnd w:id="80"/>
    <w:bookmarkEnd w:id="81"/>
    <w:bookmarkEnd w:id="87"/>
    <w:p>
      <w:pPr>
        <w:pStyle w:val="3"/>
        <w:spacing w:line="480" w:lineRule="atLeast"/>
        <w:rPr>
          <w:rFonts w:ascii="宋体" w:hAnsi="宋体"/>
          <w:b w:val="0"/>
          <w:color w:val="auto"/>
          <w:sz w:val="44"/>
          <w:szCs w:val="44"/>
          <w:highlight w:val="none"/>
          <w:shd w:val="clear" w:color="auto" w:fill="auto"/>
        </w:rPr>
      </w:pPr>
      <w:bookmarkStart w:id="107" w:name="_Toc25380"/>
      <w:r>
        <w:rPr>
          <w:rFonts w:ascii="宋体" w:hAnsi="宋体"/>
          <w:b w:val="0"/>
          <w:color w:val="auto"/>
          <w:sz w:val="44"/>
          <w:szCs w:val="44"/>
          <w:highlight w:val="none"/>
          <w:shd w:val="clear" w:color="auto" w:fill="auto"/>
        </w:rPr>
        <w:t>第</w:t>
      </w:r>
      <w:r>
        <w:rPr>
          <w:rFonts w:hint="eastAsia" w:ascii="宋体" w:hAnsi="宋体"/>
          <w:b w:val="0"/>
          <w:color w:val="auto"/>
          <w:sz w:val="44"/>
          <w:szCs w:val="44"/>
          <w:highlight w:val="none"/>
          <w:shd w:val="clear" w:color="auto" w:fill="auto"/>
        </w:rPr>
        <w:t>三篇  合同</w:t>
      </w:r>
      <w:bookmarkEnd w:id="107"/>
    </w:p>
    <w:p>
      <w:pPr>
        <w:rPr>
          <w:rFonts w:ascii="宋体" w:hAnsi="宋体"/>
          <w:b/>
          <w:color w:val="auto"/>
          <w:szCs w:val="21"/>
          <w:highlight w:val="none"/>
          <w:shd w:val="clear" w:color="auto" w:fill="auto"/>
        </w:rPr>
      </w:pPr>
    </w:p>
    <w:p>
      <w:pPr>
        <w:jc w:val="center"/>
        <w:outlineLvl w:val="0"/>
        <w:rPr>
          <w:rFonts w:ascii="宋体" w:hAnsi="宋体"/>
          <w:b/>
          <w:color w:val="auto"/>
          <w:sz w:val="24"/>
          <w:szCs w:val="24"/>
          <w:highlight w:val="none"/>
          <w:shd w:val="clear" w:color="auto" w:fill="auto"/>
        </w:rPr>
      </w:pPr>
    </w:p>
    <w:p>
      <w:pPr>
        <w:spacing w:line="360" w:lineRule="auto"/>
        <w:jc w:val="center"/>
        <w:rPr>
          <w:rFonts w:ascii="宋体" w:hAnsi="宋体"/>
          <w:b/>
          <w:color w:val="auto"/>
          <w:spacing w:val="10"/>
          <w:sz w:val="48"/>
          <w:szCs w:val="48"/>
          <w:highlight w:val="none"/>
          <w:shd w:val="clear" w:color="auto" w:fill="auto"/>
        </w:rPr>
      </w:pPr>
    </w:p>
    <w:p>
      <w:pPr>
        <w:spacing w:line="360" w:lineRule="auto"/>
        <w:jc w:val="center"/>
        <w:rPr>
          <w:rFonts w:ascii="宋体" w:hAnsi="宋体"/>
          <w:b/>
          <w:color w:val="auto"/>
          <w:spacing w:val="10"/>
          <w:sz w:val="48"/>
          <w:szCs w:val="48"/>
          <w:highlight w:val="none"/>
          <w:shd w:val="clear" w:color="auto" w:fill="auto"/>
        </w:rPr>
      </w:pPr>
    </w:p>
    <w:p>
      <w:pPr>
        <w:pStyle w:val="47"/>
        <w:rPr>
          <w:rFonts w:ascii="宋体" w:hAnsi="宋体"/>
          <w:b/>
          <w:color w:val="auto"/>
          <w:spacing w:val="10"/>
          <w:sz w:val="48"/>
          <w:szCs w:val="48"/>
          <w:highlight w:val="none"/>
          <w:shd w:val="clear" w:color="auto" w:fill="auto"/>
        </w:rPr>
      </w:pPr>
    </w:p>
    <w:p>
      <w:pPr>
        <w:pStyle w:val="47"/>
        <w:rPr>
          <w:rFonts w:ascii="宋体" w:hAnsi="宋体"/>
          <w:b/>
          <w:color w:val="auto"/>
          <w:spacing w:val="10"/>
          <w:sz w:val="48"/>
          <w:szCs w:val="48"/>
          <w:highlight w:val="none"/>
          <w:shd w:val="clear" w:color="auto" w:fill="auto"/>
        </w:rPr>
      </w:pPr>
    </w:p>
    <w:p>
      <w:pPr>
        <w:pStyle w:val="47"/>
        <w:rPr>
          <w:rFonts w:ascii="宋体" w:hAnsi="宋体"/>
          <w:b/>
          <w:color w:val="auto"/>
          <w:spacing w:val="10"/>
          <w:sz w:val="48"/>
          <w:szCs w:val="48"/>
          <w:highlight w:val="none"/>
          <w:shd w:val="clear" w:color="auto" w:fill="auto"/>
        </w:rPr>
      </w:pPr>
    </w:p>
    <w:p>
      <w:pPr>
        <w:pStyle w:val="47"/>
        <w:rPr>
          <w:rFonts w:ascii="宋体" w:hAnsi="宋体"/>
          <w:b/>
          <w:color w:val="auto"/>
          <w:spacing w:val="10"/>
          <w:sz w:val="48"/>
          <w:szCs w:val="48"/>
          <w:highlight w:val="none"/>
          <w:shd w:val="clear" w:color="auto" w:fill="auto"/>
        </w:rPr>
      </w:pPr>
    </w:p>
    <w:p>
      <w:pPr>
        <w:pStyle w:val="47"/>
        <w:rPr>
          <w:rFonts w:ascii="宋体" w:hAnsi="宋体"/>
          <w:b/>
          <w:color w:val="auto"/>
          <w:spacing w:val="10"/>
          <w:sz w:val="48"/>
          <w:szCs w:val="48"/>
          <w:highlight w:val="none"/>
          <w:shd w:val="clear" w:color="auto" w:fill="auto"/>
        </w:rPr>
      </w:pPr>
    </w:p>
    <w:p>
      <w:pPr>
        <w:pStyle w:val="47"/>
        <w:rPr>
          <w:rFonts w:ascii="宋体" w:hAnsi="宋体"/>
          <w:b/>
          <w:color w:val="auto"/>
          <w:spacing w:val="10"/>
          <w:sz w:val="48"/>
          <w:szCs w:val="48"/>
          <w:highlight w:val="none"/>
          <w:shd w:val="clear" w:color="auto" w:fill="auto"/>
        </w:rPr>
      </w:pPr>
    </w:p>
    <w:p>
      <w:pPr>
        <w:pStyle w:val="47"/>
        <w:rPr>
          <w:rFonts w:ascii="宋体" w:hAnsi="宋体"/>
          <w:b/>
          <w:color w:val="auto"/>
          <w:spacing w:val="10"/>
          <w:sz w:val="48"/>
          <w:szCs w:val="48"/>
          <w:highlight w:val="none"/>
          <w:shd w:val="clear" w:color="auto" w:fill="auto"/>
        </w:rPr>
      </w:pPr>
    </w:p>
    <w:p>
      <w:pPr>
        <w:pStyle w:val="47"/>
        <w:rPr>
          <w:rFonts w:ascii="宋体" w:hAnsi="宋体"/>
          <w:b/>
          <w:color w:val="auto"/>
          <w:spacing w:val="10"/>
          <w:sz w:val="48"/>
          <w:szCs w:val="48"/>
          <w:highlight w:val="none"/>
          <w:shd w:val="clear" w:color="auto" w:fill="auto"/>
        </w:rPr>
      </w:pPr>
    </w:p>
    <w:p>
      <w:pPr>
        <w:pStyle w:val="47"/>
        <w:rPr>
          <w:rFonts w:ascii="宋体" w:hAnsi="宋体"/>
          <w:b/>
          <w:color w:val="auto"/>
          <w:spacing w:val="10"/>
          <w:sz w:val="48"/>
          <w:szCs w:val="48"/>
          <w:highlight w:val="none"/>
          <w:shd w:val="clear" w:color="auto" w:fill="auto"/>
        </w:rPr>
      </w:pPr>
    </w:p>
    <w:p>
      <w:pPr>
        <w:pStyle w:val="47"/>
        <w:rPr>
          <w:rFonts w:ascii="宋体" w:hAnsi="宋体"/>
          <w:b/>
          <w:color w:val="auto"/>
          <w:spacing w:val="10"/>
          <w:sz w:val="48"/>
          <w:szCs w:val="48"/>
          <w:highlight w:val="none"/>
          <w:shd w:val="clear" w:color="auto" w:fill="auto"/>
        </w:rPr>
      </w:pPr>
    </w:p>
    <w:p>
      <w:pPr>
        <w:pStyle w:val="47"/>
        <w:rPr>
          <w:rFonts w:ascii="宋体" w:hAnsi="宋体"/>
          <w:b/>
          <w:color w:val="auto"/>
          <w:spacing w:val="10"/>
          <w:sz w:val="48"/>
          <w:szCs w:val="48"/>
          <w:highlight w:val="none"/>
          <w:shd w:val="clear" w:color="auto" w:fill="auto"/>
        </w:rPr>
      </w:pPr>
    </w:p>
    <w:p>
      <w:pPr>
        <w:pStyle w:val="47"/>
        <w:rPr>
          <w:rFonts w:ascii="宋体" w:hAnsi="宋体"/>
          <w:b/>
          <w:color w:val="auto"/>
          <w:spacing w:val="10"/>
          <w:sz w:val="48"/>
          <w:szCs w:val="48"/>
          <w:highlight w:val="none"/>
          <w:shd w:val="clear" w:color="auto" w:fill="auto"/>
        </w:rPr>
      </w:pPr>
    </w:p>
    <w:p>
      <w:pPr>
        <w:pStyle w:val="47"/>
        <w:rPr>
          <w:rFonts w:ascii="宋体" w:hAnsi="宋体"/>
          <w:b/>
          <w:color w:val="auto"/>
          <w:spacing w:val="10"/>
          <w:sz w:val="48"/>
          <w:szCs w:val="48"/>
          <w:highlight w:val="none"/>
          <w:shd w:val="clear" w:color="auto" w:fill="auto"/>
        </w:rPr>
      </w:pPr>
    </w:p>
    <w:p>
      <w:pPr>
        <w:pStyle w:val="47"/>
        <w:rPr>
          <w:rFonts w:ascii="宋体" w:hAnsi="宋体"/>
          <w:b/>
          <w:color w:val="auto"/>
          <w:spacing w:val="10"/>
          <w:sz w:val="48"/>
          <w:szCs w:val="48"/>
          <w:highlight w:val="none"/>
          <w:shd w:val="clear" w:color="auto" w:fill="auto"/>
        </w:rPr>
      </w:pPr>
    </w:p>
    <w:p>
      <w:pPr>
        <w:spacing w:line="360" w:lineRule="auto"/>
        <w:jc w:val="center"/>
        <w:rPr>
          <w:rFonts w:ascii="宋体" w:hAnsi="宋体"/>
          <w:b/>
          <w:color w:val="auto"/>
          <w:spacing w:val="10"/>
          <w:sz w:val="48"/>
          <w:szCs w:val="48"/>
          <w:highlight w:val="none"/>
          <w:shd w:val="clear" w:color="auto" w:fill="auto"/>
        </w:rPr>
      </w:pPr>
    </w:p>
    <w:p>
      <w:pPr>
        <w:spacing w:line="360" w:lineRule="auto"/>
        <w:jc w:val="center"/>
        <w:rPr>
          <w:rFonts w:ascii="宋体" w:hAnsi="宋体"/>
          <w:b/>
          <w:color w:val="auto"/>
          <w:spacing w:val="10"/>
          <w:sz w:val="48"/>
          <w:szCs w:val="48"/>
          <w:highlight w:val="none"/>
          <w:shd w:val="clear" w:color="auto" w:fill="auto"/>
        </w:rPr>
      </w:pPr>
    </w:p>
    <w:p>
      <w:pPr>
        <w:pStyle w:val="24"/>
        <w:spacing w:line="360" w:lineRule="auto"/>
        <w:jc w:val="center"/>
        <w:rPr>
          <w:rFonts w:hint="eastAsia" w:hAnsi="宋体"/>
          <w:b/>
          <w:color w:val="auto"/>
          <w:spacing w:val="10"/>
          <w:sz w:val="48"/>
          <w:szCs w:val="48"/>
          <w:highlight w:val="none"/>
          <w:shd w:val="clear" w:color="auto" w:fill="auto"/>
          <w:lang w:val="en-US" w:eastAsia="zh-CN"/>
        </w:rPr>
      </w:pPr>
      <w:bookmarkStart w:id="108" w:name="_Hlk114677919"/>
      <w:r>
        <w:rPr>
          <w:rFonts w:hint="eastAsia" w:hAnsi="宋体"/>
          <w:b/>
          <w:color w:val="auto"/>
          <w:spacing w:val="10"/>
          <w:sz w:val="48"/>
          <w:szCs w:val="48"/>
          <w:highlight w:val="none"/>
          <w:shd w:val="clear" w:color="auto" w:fill="auto"/>
        </w:rPr>
        <w:t>深</w:t>
      </w:r>
      <w:r>
        <w:rPr>
          <w:rFonts w:hint="eastAsia" w:hAnsi="宋体"/>
          <w:b/>
          <w:color w:val="auto"/>
          <w:spacing w:val="10"/>
          <w:sz w:val="48"/>
          <w:szCs w:val="48"/>
          <w:highlight w:val="none"/>
          <w:shd w:val="clear" w:color="auto" w:fill="auto"/>
          <w:lang w:val="en-US" w:eastAsia="zh-CN"/>
        </w:rPr>
        <w:t>铁置业产品标准化体系发布会</w:t>
      </w:r>
    </w:p>
    <w:p>
      <w:pPr>
        <w:pStyle w:val="24"/>
        <w:spacing w:line="360" w:lineRule="auto"/>
        <w:jc w:val="center"/>
        <w:rPr>
          <w:rFonts w:hint="eastAsia" w:ascii="黑体" w:eastAsia="宋体"/>
          <w:b/>
          <w:bCs/>
          <w:color w:val="auto"/>
          <w:spacing w:val="36"/>
          <w:sz w:val="44"/>
          <w:szCs w:val="44"/>
          <w:highlight w:val="none"/>
          <w:u w:val="single"/>
          <w:shd w:val="clear" w:color="auto" w:fill="auto"/>
          <w:lang w:val="en-US" w:eastAsia="zh-CN"/>
        </w:rPr>
      </w:pPr>
      <w:r>
        <w:rPr>
          <w:rFonts w:hint="eastAsia" w:hAnsi="宋体"/>
          <w:b/>
          <w:color w:val="auto"/>
          <w:spacing w:val="10"/>
          <w:sz w:val="48"/>
          <w:szCs w:val="48"/>
          <w:highlight w:val="none"/>
          <w:shd w:val="clear" w:color="auto" w:fill="auto"/>
        </w:rPr>
        <w:t>服务</w:t>
      </w:r>
      <w:r>
        <w:rPr>
          <w:rFonts w:hint="eastAsia" w:hAnsi="宋体"/>
          <w:b/>
          <w:color w:val="auto"/>
          <w:spacing w:val="10"/>
          <w:sz w:val="48"/>
          <w:szCs w:val="48"/>
          <w:highlight w:val="none"/>
          <w:shd w:val="clear" w:color="auto" w:fill="auto"/>
          <w:lang w:val="en-US" w:eastAsia="zh-CN"/>
        </w:rPr>
        <w:t>合同</w:t>
      </w:r>
    </w:p>
    <w:bookmarkEnd w:id="108"/>
    <w:p>
      <w:pPr>
        <w:spacing w:line="360" w:lineRule="auto"/>
        <w:jc w:val="center"/>
        <w:rPr>
          <w:rFonts w:ascii="黑体" w:hAnsi="Courier New" w:eastAsia="黑体"/>
          <w:b/>
          <w:bCs/>
          <w:color w:val="auto"/>
          <w:spacing w:val="36"/>
          <w:sz w:val="44"/>
          <w:szCs w:val="44"/>
          <w:highlight w:val="none"/>
          <w:u w:val="single"/>
          <w:shd w:val="clear" w:color="auto" w:fill="auto"/>
        </w:rPr>
      </w:pPr>
    </w:p>
    <w:p>
      <w:pPr>
        <w:spacing w:line="360" w:lineRule="auto"/>
        <w:jc w:val="center"/>
        <w:rPr>
          <w:rFonts w:hint="eastAsia" w:ascii="宋体" w:hAnsi="宋体" w:eastAsia="宋体"/>
          <w:b w:val="0"/>
          <w:bCs/>
          <w:color w:val="auto"/>
          <w:spacing w:val="10"/>
          <w:sz w:val="30"/>
          <w:szCs w:val="30"/>
          <w:highlight w:val="none"/>
          <w:shd w:val="clear" w:color="auto" w:fill="auto"/>
          <w:lang w:val="en-US" w:eastAsia="zh-CN"/>
        </w:rPr>
      </w:pPr>
      <w:r>
        <w:rPr>
          <w:rFonts w:hint="eastAsia" w:ascii="宋体" w:hAnsi="宋体"/>
          <w:b w:val="0"/>
          <w:bCs/>
          <w:color w:val="auto"/>
          <w:spacing w:val="10"/>
          <w:sz w:val="30"/>
          <w:szCs w:val="30"/>
          <w:highlight w:val="none"/>
          <w:shd w:val="clear" w:color="auto" w:fill="auto"/>
          <w:lang w:val="en-US" w:eastAsia="zh-CN"/>
        </w:rPr>
        <w:t>合同编号：</w:t>
      </w:r>
    </w:p>
    <w:p>
      <w:pPr>
        <w:spacing w:line="360" w:lineRule="auto"/>
        <w:jc w:val="center"/>
        <w:rPr>
          <w:rFonts w:ascii="宋体" w:hAnsi="宋体"/>
          <w:b/>
          <w:color w:val="auto"/>
          <w:spacing w:val="10"/>
          <w:sz w:val="48"/>
          <w:szCs w:val="48"/>
          <w:highlight w:val="none"/>
          <w:shd w:val="clear" w:color="auto" w:fill="auto"/>
        </w:rPr>
      </w:pPr>
    </w:p>
    <w:p>
      <w:pPr>
        <w:spacing w:line="360" w:lineRule="auto"/>
        <w:jc w:val="center"/>
        <w:rPr>
          <w:rFonts w:ascii="宋体" w:hAnsi="宋体"/>
          <w:b/>
          <w:color w:val="auto"/>
          <w:spacing w:val="10"/>
          <w:sz w:val="48"/>
          <w:szCs w:val="48"/>
          <w:highlight w:val="none"/>
          <w:shd w:val="clear" w:color="auto" w:fill="auto"/>
        </w:rPr>
      </w:pPr>
    </w:p>
    <w:p>
      <w:pPr>
        <w:spacing w:line="360" w:lineRule="auto"/>
        <w:jc w:val="center"/>
        <w:rPr>
          <w:color w:val="auto"/>
          <w:sz w:val="30"/>
          <w:szCs w:val="30"/>
          <w:highlight w:val="none"/>
          <w:shd w:val="clear" w:color="auto" w:fill="auto"/>
        </w:rPr>
      </w:pPr>
    </w:p>
    <w:p>
      <w:pPr>
        <w:spacing w:line="360" w:lineRule="auto"/>
        <w:rPr>
          <w:color w:val="auto"/>
          <w:sz w:val="30"/>
          <w:szCs w:val="30"/>
          <w:highlight w:val="none"/>
          <w:shd w:val="clear" w:color="auto" w:fill="auto"/>
        </w:rPr>
      </w:pPr>
    </w:p>
    <w:p>
      <w:pPr>
        <w:spacing w:line="360" w:lineRule="auto"/>
        <w:rPr>
          <w:rFonts w:ascii="宋体" w:hAnsi="宋体"/>
          <w:b/>
          <w:color w:val="auto"/>
          <w:spacing w:val="10"/>
          <w:sz w:val="30"/>
          <w:szCs w:val="30"/>
          <w:highlight w:val="none"/>
          <w:shd w:val="clear" w:color="auto" w:fill="auto"/>
        </w:rPr>
      </w:pPr>
      <w:r>
        <w:rPr>
          <w:rFonts w:hint="eastAsia" w:ascii="宋体" w:hAnsi="宋体"/>
          <w:b/>
          <w:color w:val="auto"/>
          <w:spacing w:val="10"/>
          <w:sz w:val="30"/>
          <w:szCs w:val="30"/>
          <w:highlight w:val="none"/>
          <w:shd w:val="clear" w:color="auto" w:fill="auto"/>
        </w:rPr>
        <w:t xml:space="preserve">  甲   方：</w:t>
      </w:r>
    </w:p>
    <w:p>
      <w:pPr>
        <w:spacing w:line="360" w:lineRule="auto"/>
        <w:jc w:val="center"/>
        <w:rPr>
          <w:rFonts w:ascii="宋体" w:hAnsi="宋体"/>
          <w:b/>
          <w:color w:val="auto"/>
          <w:spacing w:val="10"/>
          <w:sz w:val="30"/>
          <w:szCs w:val="30"/>
          <w:highlight w:val="none"/>
          <w:shd w:val="clear" w:color="auto" w:fill="auto"/>
        </w:rPr>
      </w:pPr>
    </w:p>
    <w:p>
      <w:pPr>
        <w:spacing w:line="360" w:lineRule="auto"/>
        <w:ind w:firstLine="321" w:firstLineChars="100"/>
        <w:jc w:val="left"/>
        <w:rPr>
          <w:rFonts w:ascii="宋体" w:hAnsi="宋体"/>
          <w:b/>
          <w:color w:val="auto"/>
          <w:spacing w:val="10"/>
          <w:sz w:val="30"/>
          <w:szCs w:val="30"/>
          <w:highlight w:val="none"/>
          <w:shd w:val="clear" w:color="auto" w:fill="auto"/>
        </w:rPr>
      </w:pPr>
      <w:r>
        <w:rPr>
          <w:rFonts w:hint="eastAsia" w:ascii="宋体" w:hAnsi="宋体"/>
          <w:b/>
          <w:color w:val="auto"/>
          <w:spacing w:val="10"/>
          <w:sz w:val="30"/>
          <w:szCs w:val="30"/>
          <w:highlight w:val="none"/>
          <w:shd w:val="clear" w:color="auto" w:fill="auto"/>
        </w:rPr>
        <w:t>乙</w:t>
      </w:r>
      <w:r>
        <w:rPr>
          <w:rFonts w:hint="eastAsia" w:ascii="宋体" w:hAnsi="宋体"/>
          <w:b/>
          <w:color w:val="auto"/>
          <w:spacing w:val="10"/>
          <w:sz w:val="18"/>
          <w:szCs w:val="30"/>
          <w:highlight w:val="none"/>
          <w:shd w:val="clear" w:color="auto" w:fill="auto"/>
        </w:rPr>
        <w:t xml:space="preserve">     </w:t>
      </w:r>
      <w:r>
        <w:rPr>
          <w:rFonts w:hint="eastAsia" w:ascii="宋体" w:hAnsi="宋体"/>
          <w:b/>
          <w:color w:val="auto"/>
          <w:spacing w:val="10"/>
          <w:sz w:val="30"/>
          <w:szCs w:val="30"/>
          <w:highlight w:val="none"/>
          <w:shd w:val="clear" w:color="auto" w:fill="auto"/>
        </w:rPr>
        <w:t xml:space="preserve">方： </w:t>
      </w:r>
    </w:p>
    <w:p>
      <w:pPr>
        <w:spacing w:line="360" w:lineRule="auto"/>
        <w:ind w:firstLine="1911" w:firstLineChars="595"/>
        <w:jc w:val="left"/>
        <w:rPr>
          <w:rFonts w:hint="eastAsia" w:ascii="宋体" w:hAnsi="宋体"/>
          <w:b/>
          <w:color w:val="auto"/>
          <w:spacing w:val="10"/>
          <w:sz w:val="30"/>
          <w:szCs w:val="30"/>
          <w:highlight w:val="none"/>
          <w:shd w:val="clear" w:color="auto" w:fill="auto"/>
        </w:rPr>
      </w:pPr>
    </w:p>
    <w:p>
      <w:pPr>
        <w:spacing w:line="360" w:lineRule="auto"/>
        <w:ind w:firstLine="1911" w:firstLineChars="595"/>
        <w:jc w:val="left"/>
        <w:rPr>
          <w:rFonts w:hint="eastAsia" w:ascii="宋体" w:hAnsi="宋体"/>
          <w:b/>
          <w:color w:val="auto"/>
          <w:spacing w:val="10"/>
          <w:sz w:val="30"/>
          <w:szCs w:val="30"/>
          <w:highlight w:val="none"/>
          <w:shd w:val="clear" w:color="auto" w:fill="auto"/>
        </w:rPr>
      </w:pPr>
    </w:p>
    <w:p>
      <w:pPr>
        <w:spacing w:line="360" w:lineRule="auto"/>
        <w:ind w:firstLine="1911" w:firstLineChars="595"/>
        <w:jc w:val="left"/>
        <w:rPr>
          <w:rFonts w:hint="eastAsia" w:ascii="宋体" w:hAnsi="宋体"/>
          <w:b/>
          <w:color w:val="auto"/>
          <w:spacing w:val="10"/>
          <w:sz w:val="30"/>
          <w:szCs w:val="30"/>
          <w:highlight w:val="none"/>
          <w:shd w:val="clear" w:color="auto" w:fill="auto"/>
        </w:rPr>
      </w:pPr>
    </w:p>
    <w:p>
      <w:pPr>
        <w:spacing w:line="360" w:lineRule="auto"/>
        <w:ind w:firstLine="1911" w:firstLineChars="595"/>
        <w:jc w:val="left"/>
        <w:rPr>
          <w:rFonts w:ascii="宋体" w:hAnsi="宋体"/>
          <w:b/>
          <w:color w:val="auto"/>
          <w:spacing w:val="10"/>
          <w:sz w:val="30"/>
          <w:szCs w:val="30"/>
          <w:highlight w:val="none"/>
          <w:shd w:val="clear" w:color="auto" w:fill="auto"/>
        </w:rPr>
      </w:pPr>
      <w:r>
        <w:rPr>
          <w:rFonts w:hint="eastAsia" w:ascii="宋体" w:hAnsi="宋体"/>
          <w:b/>
          <w:color w:val="auto"/>
          <w:spacing w:val="10"/>
          <w:sz w:val="30"/>
          <w:szCs w:val="30"/>
          <w:highlight w:val="none"/>
          <w:shd w:val="clear" w:color="auto" w:fill="auto"/>
        </w:rPr>
        <w:t xml:space="preserve"> </w:t>
      </w:r>
      <w:r>
        <w:rPr>
          <w:rFonts w:ascii="宋体" w:hAnsi="宋体"/>
          <w:b/>
          <w:color w:val="auto"/>
          <w:spacing w:val="10"/>
          <w:sz w:val="30"/>
          <w:szCs w:val="30"/>
          <w:highlight w:val="none"/>
          <w:shd w:val="clear" w:color="auto" w:fill="auto"/>
        </w:rPr>
        <w:t xml:space="preserve">   </w:t>
      </w:r>
    </w:p>
    <w:p>
      <w:pPr>
        <w:spacing w:line="360" w:lineRule="auto"/>
        <w:rPr>
          <w:rFonts w:ascii="宋体" w:hAnsi="宋体"/>
          <w:color w:val="auto"/>
          <w:sz w:val="24"/>
          <w:szCs w:val="24"/>
          <w:highlight w:val="none"/>
          <w:shd w:val="clear" w:color="auto" w:fill="auto"/>
        </w:rPr>
      </w:pPr>
    </w:p>
    <w:p>
      <w:pPr>
        <w:spacing w:line="360" w:lineRule="auto"/>
        <w:ind w:firstLine="482" w:firstLineChars="200"/>
        <w:rPr>
          <w:rFonts w:ascii="宋体" w:hAnsi="宋体"/>
          <w:b/>
          <w:color w:val="auto"/>
          <w:sz w:val="24"/>
          <w:szCs w:val="24"/>
          <w:highlight w:val="none"/>
          <w:shd w:val="clear" w:color="auto" w:fill="auto"/>
        </w:rPr>
      </w:pPr>
      <w:bookmarkStart w:id="109" w:name="_Toc389833583"/>
      <w:r>
        <w:rPr>
          <w:rFonts w:hint="eastAsia" w:ascii="宋体" w:hAnsi="宋体"/>
          <w:b/>
          <w:color w:val="auto"/>
          <w:sz w:val="24"/>
          <w:szCs w:val="24"/>
          <w:highlight w:val="none"/>
          <w:shd w:val="clear" w:color="auto" w:fill="auto"/>
        </w:rPr>
        <w:t xml:space="preserve">甲方： </w:t>
      </w:r>
      <w:r>
        <w:rPr>
          <w:rFonts w:ascii="宋体" w:hAnsi="宋体"/>
          <w:b/>
          <w:color w:val="auto"/>
          <w:sz w:val="24"/>
          <w:szCs w:val="24"/>
          <w:highlight w:val="none"/>
          <w:shd w:val="clear" w:color="auto" w:fill="auto"/>
        </w:rPr>
        <w:t xml:space="preserve">                       </w:t>
      </w:r>
      <w:r>
        <w:rPr>
          <w:rFonts w:hint="eastAsia" w:ascii="宋体" w:hAnsi="宋体"/>
          <w:b/>
          <w:color w:val="auto"/>
          <w:sz w:val="24"/>
          <w:szCs w:val="24"/>
          <w:highlight w:val="none"/>
          <w:shd w:val="clear" w:color="auto" w:fill="auto"/>
        </w:rPr>
        <w:t>（简称“甲方”）</w:t>
      </w:r>
    </w:p>
    <w:p>
      <w:pPr>
        <w:spacing w:line="360" w:lineRule="auto"/>
        <w:ind w:firstLine="482" w:firstLineChars="200"/>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 xml:space="preserve">乙方：     </w:t>
      </w:r>
      <w:r>
        <w:rPr>
          <w:rFonts w:ascii="宋体" w:hAnsi="宋体"/>
          <w:b/>
          <w:color w:val="auto"/>
          <w:sz w:val="24"/>
          <w:szCs w:val="24"/>
          <w:highlight w:val="none"/>
          <w:shd w:val="clear" w:color="auto" w:fill="auto"/>
        </w:rPr>
        <w:t xml:space="preserve">                  </w:t>
      </w:r>
      <w:r>
        <w:rPr>
          <w:rFonts w:hint="eastAsia" w:ascii="宋体" w:hAnsi="宋体"/>
          <w:b/>
          <w:color w:val="auto"/>
          <w:sz w:val="24"/>
          <w:szCs w:val="24"/>
          <w:highlight w:val="none"/>
          <w:shd w:val="clear" w:color="auto" w:fill="auto"/>
        </w:rPr>
        <w:t xml:space="preserve"> （简称“乙方”）</w:t>
      </w:r>
      <w:r>
        <w:rPr>
          <w:rFonts w:ascii="宋体" w:hAnsi="宋体"/>
          <w:b/>
          <w:color w:val="auto"/>
          <w:sz w:val="24"/>
          <w:szCs w:val="24"/>
          <w:highlight w:val="none"/>
          <w:shd w:val="clear" w:color="auto" w:fill="auto"/>
        </w:rPr>
        <w:t xml:space="preserve"> </w:t>
      </w:r>
    </w:p>
    <w:p>
      <w:pPr>
        <w:pStyle w:val="24"/>
        <w:spacing w:line="360" w:lineRule="auto"/>
        <w:ind w:firstLine="480" w:firstLineChars="200"/>
        <w:rPr>
          <w:rFonts w:hAnsi="宋体"/>
          <w:color w:val="auto"/>
          <w:sz w:val="24"/>
          <w:szCs w:val="24"/>
          <w:highlight w:val="none"/>
          <w:shd w:val="clear" w:color="auto" w:fill="auto"/>
        </w:rPr>
      </w:pPr>
      <w:r>
        <w:rPr>
          <w:rFonts w:hint="eastAsia" w:hAnsi="宋体"/>
          <w:color w:val="auto"/>
          <w:sz w:val="24"/>
          <w:szCs w:val="24"/>
          <w:highlight w:val="none"/>
          <w:shd w:val="clear" w:color="auto" w:fill="auto"/>
        </w:rPr>
        <w:t>经比选，甲方确定乙方为深铁置业产品标准化体系发布会服务单位。乙方已向甲方阐述其拥有承担上述工作所要求的专业技术、人员等资源，并同意按照本合同约定承担该项工作。为明确双方在履约过程中的权利和义务，根据《中华人民共和国民法典》及相关法律、法规的规定，双方本着合法、自愿、诚实信用和友好合作的原则，就甲方委托乙方提供前述服务，达成如下协议：</w:t>
      </w:r>
      <w:bookmarkEnd w:id="109"/>
      <w:bookmarkStart w:id="110" w:name="_Toc389833584"/>
      <w:bookmarkStart w:id="111" w:name="_Toc29995574"/>
    </w:p>
    <w:bookmarkEnd w:id="110"/>
    <w:bookmarkEnd w:id="111"/>
    <w:p>
      <w:pPr>
        <w:adjustRightInd w:val="0"/>
        <w:snapToGrid w:val="0"/>
        <w:spacing w:line="312" w:lineRule="auto"/>
        <w:ind w:firstLine="466" w:firstLineChars="200"/>
        <w:rPr>
          <w:rFonts w:ascii="宋体" w:hAnsi="宋体"/>
          <w:b/>
          <w:color w:val="auto"/>
          <w:spacing w:val="-4"/>
          <w:sz w:val="24"/>
          <w:szCs w:val="24"/>
          <w:highlight w:val="none"/>
          <w:shd w:val="clear" w:color="auto" w:fill="auto"/>
        </w:rPr>
      </w:pPr>
      <w:r>
        <w:rPr>
          <w:rFonts w:hint="eastAsia" w:ascii="宋体" w:hAnsi="宋体"/>
          <w:b/>
          <w:color w:val="auto"/>
          <w:spacing w:val="-4"/>
          <w:sz w:val="24"/>
          <w:szCs w:val="24"/>
          <w:highlight w:val="none"/>
          <w:shd w:val="clear" w:color="auto" w:fill="auto"/>
        </w:rPr>
        <w:t>一</w:t>
      </w:r>
      <w:r>
        <w:rPr>
          <w:rFonts w:ascii="宋体" w:hAnsi="宋体"/>
          <w:b/>
          <w:color w:val="auto"/>
          <w:spacing w:val="-4"/>
          <w:sz w:val="24"/>
          <w:szCs w:val="24"/>
          <w:highlight w:val="none"/>
          <w:shd w:val="clear" w:color="auto" w:fill="auto"/>
        </w:rPr>
        <w:t>、合同范围</w:t>
      </w:r>
    </w:p>
    <w:p>
      <w:pPr>
        <w:adjustRightInd w:val="0"/>
        <w:snapToGrid w:val="0"/>
        <w:spacing w:line="312" w:lineRule="auto"/>
        <w:ind w:firstLine="464" w:firstLineChars="200"/>
        <w:rPr>
          <w:rFonts w:ascii="宋体" w:hAnsi="宋体"/>
          <w:b/>
          <w:color w:val="auto"/>
          <w:spacing w:val="-4"/>
          <w:sz w:val="24"/>
          <w:szCs w:val="24"/>
          <w:highlight w:val="none"/>
          <w:shd w:val="clear" w:color="auto" w:fill="auto"/>
        </w:rPr>
      </w:pPr>
      <w:r>
        <w:rPr>
          <w:rFonts w:ascii="宋体" w:hAnsi="宋体"/>
          <w:color w:val="auto"/>
          <w:spacing w:val="-4"/>
          <w:sz w:val="24"/>
          <w:szCs w:val="24"/>
          <w:highlight w:val="none"/>
          <w:shd w:val="clear" w:color="auto" w:fill="auto"/>
        </w:rPr>
        <w:t>甲方委托乙方</w:t>
      </w:r>
      <w:r>
        <w:rPr>
          <w:rFonts w:hint="eastAsia" w:ascii="宋体" w:hAnsi="宋体"/>
          <w:color w:val="auto"/>
          <w:spacing w:val="-4"/>
          <w:sz w:val="24"/>
          <w:szCs w:val="24"/>
          <w:highlight w:val="none"/>
          <w:shd w:val="clear" w:color="auto" w:fill="auto"/>
        </w:rPr>
        <w:t>承接</w:t>
      </w:r>
      <w:r>
        <w:rPr>
          <w:rFonts w:hint="eastAsia" w:hAnsi="宋体"/>
          <w:color w:val="auto"/>
          <w:sz w:val="24"/>
          <w:szCs w:val="24"/>
          <w:highlight w:val="none"/>
          <w:shd w:val="clear" w:color="auto" w:fill="auto"/>
        </w:rPr>
        <w:t>深铁置业产品标准化体系发布会服务</w:t>
      </w:r>
      <w:r>
        <w:rPr>
          <w:rFonts w:ascii="宋体" w:hAnsi="宋体"/>
          <w:color w:val="auto"/>
          <w:spacing w:val="-4"/>
          <w:sz w:val="24"/>
          <w:szCs w:val="24"/>
          <w:highlight w:val="none"/>
          <w:shd w:val="clear" w:color="auto" w:fill="auto"/>
        </w:rPr>
        <w:t>，负责该项目的</w:t>
      </w:r>
      <w:r>
        <w:rPr>
          <w:rFonts w:hint="eastAsia" w:ascii="宋体" w:hAnsi="宋体"/>
          <w:color w:val="auto"/>
          <w:spacing w:val="-4"/>
          <w:sz w:val="24"/>
          <w:szCs w:val="24"/>
          <w:highlight w:val="none"/>
          <w:shd w:val="clear" w:color="auto" w:fill="auto"/>
        </w:rPr>
        <w:t>活动执行、展示设计</w:t>
      </w:r>
      <w:r>
        <w:rPr>
          <w:rFonts w:ascii="宋体" w:hAnsi="宋体"/>
          <w:color w:val="auto"/>
          <w:spacing w:val="-4"/>
          <w:sz w:val="24"/>
          <w:szCs w:val="24"/>
          <w:highlight w:val="none"/>
          <w:shd w:val="clear" w:color="auto" w:fill="auto"/>
        </w:rPr>
        <w:t>、</w:t>
      </w:r>
      <w:r>
        <w:rPr>
          <w:rFonts w:hint="eastAsia" w:ascii="宋体" w:hAnsi="宋体"/>
          <w:color w:val="auto"/>
          <w:spacing w:val="-4"/>
          <w:sz w:val="24"/>
          <w:szCs w:val="24"/>
          <w:highlight w:val="none"/>
          <w:shd w:val="clear" w:color="auto" w:fill="auto"/>
        </w:rPr>
        <w:t>制作包装、</w:t>
      </w:r>
      <w:r>
        <w:rPr>
          <w:rFonts w:ascii="宋体" w:hAnsi="宋体"/>
          <w:color w:val="auto"/>
          <w:spacing w:val="-4"/>
          <w:sz w:val="24"/>
          <w:szCs w:val="24"/>
          <w:highlight w:val="none"/>
          <w:shd w:val="clear" w:color="auto" w:fill="auto"/>
        </w:rPr>
        <w:t>物料采购</w:t>
      </w:r>
      <w:r>
        <w:rPr>
          <w:rFonts w:hint="eastAsia" w:ascii="宋体" w:hAnsi="宋体"/>
          <w:color w:val="auto"/>
          <w:spacing w:val="-4"/>
          <w:sz w:val="24"/>
          <w:szCs w:val="24"/>
          <w:highlight w:val="none"/>
          <w:shd w:val="clear" w:color="auto" w:fill="auto"/>
        </w:rPr>
        <w:t>、包装</w:t>
      </w:r>
      <w:r>
        <w:rPr>
          <w:rFonts w:ascii="宋体" w:hAnsi="宋体"/>
          <w:color w:val="auto"/>
          <w:spacing w:val="-4"/>
          <w:sz w:val="24"/>
          <w:szCs w:val="24"/>
          <w:highlight w:val="none"/>
          <w:shd w:val="clear" w:color="auto" w:fill="auto"/>
        </w:rPr>
        <w:t>执行、</w:t>
      </w:r>
      <w:r>
        <w:rPr>
          <w:rFonts w:hint="eastAsia" w:ascii="宋体" w:hAnsi="宋体"/>
          <w:color w:val="auto"/>
          <w:spacing w:val="-4"/>
          <w:sz w:val="24"/>
          <w:szCs w:val="24"/>
          <w:highlight w:val="none"/>
          <w:shd w:val="clear" w:color="auto" w:fill="auto"/>
        </w:rPr>
        <w:t>宣传推广、服务</w:t>
      </w:r>
      <w:r>
        <w:rPr>
          <w:rFonts w:ascii="宋体" w:hAnsi="宋体"/>
          <w:color w:val="auto"/>
          <w:spacing w:val="-4"/>
          <w:sz w:val="24"/>
          <w:szCs w:val="24"/>
          <w:highlight w:val="none"/>
          <w:shd w:val="clear" w:color="auto" w:fill="auto"/>
        </w:rPr>
        <w:t>人员安排等事宜。</w:t>
      </w:r>
    </w:p>
    <w:p>
      <w:pPr>
        <w:spacing w:line="312" w:lineRule="auto"/>
        <w:ind w:firstLine="466" w:firstLineChars="200"/>
        <w:rPr>
          <w:rFonts w:ascii="宋体" w:hAnsi="宋体"/>
          <w:b/>
          <w:color w:val="auto"/>
          <w:spacing w:val="-4"/>
          <w:sz w:val="24"/>
          <w:szCs w:val="24"/>
          <w:highlight w:val="none"/>
          <w:shd w:val="clear" w:color="auto" w:fill="auto"/>
        </w:rPr>
      </w:pPr>
      <w:r>
        <w:rPr>
          <w:rFonts w:hint="eastAsia" w:ascii="宋体" w:hAnsi="宋体"/>
          <w:b/>
          <w:color w:val="auto"/>
          <w:spacing w:val="-4"/>
          <w:sz w:val="24"/>
          <w:szCs w:val="24"/>
          <w:highlight w:val="none"/>
          <w:shd w:val="clear" w:color="auto" w:fill="auto"/>
        </w:rPr>
        <w:t>二、工作内容</w:t>
      </w:r>
    </w:p>
    <w:p>
      <w:pPr>
        <w:pStyle w:val="24"/>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bookmarkStart w:id="112" w:name="_Toc231728422"/>
      <w:r>
        <w:rPr>
          <w:rFonts w:hint="eastAsia" w:hAnsi="宋体" w:cs="Times New Roman"/>
          <w:color w:val="auto"/>
          <w:kern w:val="2"/>
          <w:sz w:val="24"/>
          <w:szCs w:val="32"/>
          <w:highlight w:val="none"/>
          <w:shd w:val="clear" w:color="auto" w:fill="auto"/>
          <w:lang w:val="en-US" w:eastAsia="zh-CN" w:bidi="ar-SA"/>
        </w:rPr>
        <w:t>（一）</w:t>
      </w:r>
      <w:r>
        <w:rPr>
          <w:rFonts w:hint="eastAsia" w:ascii="宋体" w:hAnsi="宋体" w:eastAsia="宋体" w:cs="Times New Roman"/>
          <w:color w:val="auto"/>
          <w:kern w:val="2"/>
          <w:sz w:val="24"/>
          <w:szCs w:val="32"/>
          <w:highlight w:val="none"/>
          <w:shd w:val="clear" w:color="auto" w:fill="auto"/>
          <w:lang w:val="en-US" w:eastAsia="zh-CN" w:bidi="ar-SA"/>
        </w:rPr>
        <w:t>发布会活动</w:t>
      </w:r>
    </w:p>
    <w:p>
      <w:pPr>
        <w:pStyle w:val="24"/>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（1）场地租赁</w:t>
      </w:r>
    </w:p>
    <w:p>
      <w:pPr>
        <w:pStyle w:val="208"/>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需负责活动场地租赁并购买酒店茶歇。本次活动举办地点暂定皇冠假日酒店宴会厅，活动规模暂定250人左右。</w:t>
      </w:r>
    </w:p>
    <w:p>
      <w:pPr>
        <w:pStyle w:val="208"/>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（2）活动执行</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需提供活动方案的策划及执行（含包装、搭建、设计、制作、节目演绎、演员、舞台背景视频内容制作、纪念礼品等）、活动报批、活动相关的运输、安装、撤场等服务。本场活动需兼具强化品牌与助力业务两方面要求，加深老业主、客户、媒体、行业内、社会公众等各群体对深铁置业的品牌认知，提高对四个产品系的价值认同，体现深铁置业赋能城市未来的核心价值，以及对打造高品质产品的不懈追求。</w:t>
      </w:r>
    </w:p>
    <w:p>
      <w:pPr>
        <w:keepNext w:val="0"/>
        <w:keepLines w:val="0"/>
        <w:pageBreakBefore w:val="0"/>
        <w:widowControl w:val="0"/>
        <w:kinsoku/>
        <w:wordWrap/>
        <w:overflowPunct/>
        <w:topLinePunct w:val="0"/>
        <w:autoSpaceDE/>
        <w:autoSpaceDN/>
        <w:bidi w:val="0"/>
        <w:spacing w:line="360" w:lineRule="auto"/>
        <w:ind w:right="-296" w:rightChars="-141" w:firstLine="427" w:firstLineChars="178"/>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活动内容围绕四个系列产品设计理念、设计亮点、生活方式的演绎、并通过相关行业头部KOL进行价值传递、发布启动仪式等开展</w:t>
      </w:r>
      <w:r>
        <w:rPr>
          <w:rFonts w:hint="eastAsia" w:ascii="宋体" w:hAnsi="宋体" w:cs="Times New Roman"/>
          <w:color w:val="auto"/>
          <w:kern w:val="2"/>
          <w:sz w:val="24"/>
          <w:szCs w:val="32"/>
          <w:highlight w:val="none"/>
          <w:shd w:val="clear" w:color="auto" w:fill="auto"/>
          <w:lang w:val="en-US" w:eastAsia="zh-CN" w:bidi="ar-SA"/>
        </w:rPr>
        <w:t>。</w:t>
      </w:r>
    </w:p>
    <w:p>
      <w:pPr>
        <w:pStyle w:val="24"/>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hAnsi="宋体" w:cs="Times New Roman"/>
          <w:color w:val="auto"/>
          <w:kern w:val="2"/>
          <w:sz w:val="24"/>
          <w:szCs w:val="32"/>
          <w:highlight w:val="none"/>
          <w:shd w:val="clear" w:color="auto" w:fill="auto"/>
          <w:lang w:val="en-US" w:eastAsia="zh-CN" w:bidi="ar-SA"/>
        </w:rPr>
        <w:t>（二）影视片</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结合活动主题及内容，制作一条涵盖四大产品系设计理念及亮点等内容的影视片，时长3分钟左右，像素不低于4K；并根据后期项目推广需求套剪不超过5个不同时长要求的剪辑版本。</w:t>
      </w:r>
    </w:p>
    <w:p>
      <w:pPr>
        <w:pStyle w:val="24"/>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rPr>
          <w:rFonts w:hint="eastAsia" w:hAnsi="宋体" w:cs="Times New Roman"/>
          <w:color w:val="auto"/>
          <w:kern w:val="2"/>
          <w:sz w:val="24"/>
          <w:szCs w:val="32"/>
          <w:highlight w:val="none"/>
          <w:shd w:val="clear" w:color="auto" w:fill="auto"/>
          <w:lang w:val="en-US" w:eastAsia="zh-CN" w:bidi="ar-SA"/>
        </w:rPr>
      </w:pPr>
      <w:r>
        <w:rPr>
          <w:rFonts w:hint="eastAsia" w:hAnsi="宋体" w:cs="Times New Roman"/>
          <w:color w:val="auto"/>
          <w:kern w:val="2"/>
          <w:sz w:val="24"/>
          <w:szCs w:val="32"/>
          <w:highlight w:val="none"/>
          <w:shd w:val="clear" w:color="auto" w:fill="auto"/>
          <w:lang w:val="en-US" w:eastAsia="zh-CN" w:bidi="ar-SA"/>
        </w:rPr>
        <w:t>（三）宣传推广</w:t>
      </w:r>
    </w:p>
    <w:p>
      <w:pPr>
        <w:pStyle w:val="24"/>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rPr>
          <w:rFonts w:hint="eastAsia" w:hAnsi="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甲方可根据实际需求在</w:t>
      </w:r>
      <w:r>
        <w:rPr>
          <w:rFonts w:hint="eastAsia" w:hAnsi="宋体" w:cs="Times New Roman"/>
          <w:color w:val="auto"/>
          <w:kern w:val="2"/>
          <w:sz w:val="24"/>
          <w:szCs w:val="32"/>
          <w:highlight w:val="none"/>
          <w:shd w:val="clear" w:color="auto" w:fill="auto"/>
          <w:lang w:val="en-US" w:eastAsia="zh-CN" w:bidi="ar-SA"/>
        </w:rPr>
        <w:t>如下</w:t>
      </w:r>
      <w:r>
        <w:rPr>
          <w:rFonts w:hint="eastAsia" w:ascii="宋体" w:hAnsi="宋体" w:eastAsia="宋体" w:cs="Times New Roman"/>
          <w:color w:val="auto"/>
          <w:kern w:val="2"/>
          <w:sz w:val="24"/>
          <w:szCs w:val="32"/>
          <w:highlight w:val="none"/>
          <w:shd w:val="clear" w:color="auto" w:fill="auto"/>
          <w:lang w:val="en-US" w:eastAsia="zh-CN" w:bidi="ar-SA"/>
        </w:rPr>
        <w:t>媒体</w:t>
      </w:r>
      <w:r>
        <w:rPr>
          <w:rFonts w:hint="eastAsia" w:hAnsi="宋体" w:cs="Times New Roman"/>
          <w:color w:val="auto"/>
          <w:kern w:val="2"/>
          <w:sz w:val="24"/>
          <w:szCs w:val="32"/>
          <w:highlight w:val="none"/>
          <w:shd w:val="clear" w:color="auto" w:fill="auto"/>
          <w:lang w:val="en-US" w:eastAsia="zh-CN" w:bidi="ar-SA"/>
        </w:rPr>
        <w:t>渠道</w:t>
      </w:r>
      <w:r>
        <w:rPr>
          <w:rFonts w:hint="eastAsia" w:ascii="宋体" w:hAnsi="宋体" w:eastAsia="宋体" w:cs="Times New Roman"/>
          <w:color w:val="auto"/>
          <w:kern w:val="2"/>
          <w:sz w:val="24"/>
          <w:szCs w:val="32"/>
          <w:highlight w:val="none"/>
          <w:shd w:val="clear" w:color="auto" w:fill="auto"/>
          <w:lang w:val="en-US" w:eastAsia="zh-CN" w:bidi="ar-SA"/>
        </w:rPr>
        <w:t>进行</w:t>
      </w:r>
      <w:r>
        <w:rPr>
          <w:rFonts w:hint="eastAsia" w:hAnsi="宋体" w:cs="Times New Roman"/>
          <w:color w:val="auto"/>
          <w:kern w:val="2"/>
          <w:sz w:val="24"/>
          <w:szCs w:val="32"/>
          <w:highlight w:val="none"/>
          <w:shd w:val="clear" w:color="auto" w:fill="auto"/>
          <w:lang w:val="en-US" w:eastAsia="zh-CN" w:bidi="ar-SA"/>
        </w:rPr>
        <w:t>深铁置业品牌及项目相关内容的宣传推广</w:t>
      </w:r>
      <w:r>
        <w:rPr>
          <w:rFonts w:hint="eastAsia" w:ascii="宋体" w:hAnsi="宋体" w:eastAsia="宋体" w:cs="Times New Roman"/>
          <w:color w:val="auto"/>
          <w:kern w:val="2"/>
          <w:sz w:val="24"/>
          <w:szCs w:val="32"/>
          <w:highlight w:val="none"/>
          <w:shd w:val="clear" w:color="auto" w:fill="auto"/>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（1）自媒体大V推广</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包括自媒体大V软文（或视频）及其自有资源渠道转发传播。乙方推荐深圳头部自媒体5个，包括但不限于以下自媒体大V：房圳探、淘房前线、苗头、房评深圳、梵高先生、呆呆的咖啡馆等。或全国头部自媒体2个，包括但不限于：卢俊、中国新闻周刊、明源地产研究院、新周刊等。甲方可根据实际需求在同级别范围内调整投放渠道，</w:t>
      </w:r>
      <w:r>
        <w:rPr>
          <w:rFonts w:hint="eastAsia" w:ascii="宋体" w:hAnsi="宋体" w:cs="Times New Roman"/>
          <w:color w:val="auto"/>
          <w:kern w:val="2"/>
          <w:sz w:val="24"/>
          <w:szCs w:val="32"/>
          <w:highlight w:val="none"/>
          <w:shd w:val="clear" w:color="auto" w:fill="auto"/>
          <w:lang w:val="en-US" w:eastAsia="zh-CN" w:bidi="ar-SA"/>
        </w:rPr>
        <w:t>据实结算，</w:t>
      </w:r>
      <w:r>
        <w:rPr>
          <w:rFonts w:hint="eastAsia" w:ascii="宋体" w:hAnsi="宋体"/>
          <w:color w:val="auto"/>
          <w:kern w:val="0"/>
          <w:sz w:val="24"/>
          <w:szCs w:val="24"/>
          <w:highlight w:val="none"/>
          <w:shd w:val="clear" w:color="auto" w:fill="auto"/>
        </w:rPr>
        <w:t>结算价不超过推荐总价。</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（2）原创深度报道及主流媒体通稿</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乙方推荐全国性头部媒体进行深度报道1篇，在以下媒体中选择一家开展：21世纪经济报道、第一财经、每日经济新闻、界面、时代财经、和讯、经济观察报、经济日报、央视财经、中新经纬、证券时报、中国经营报、华夏时报。甲方可根据实际需求在同级别范围内调整投放渠道，</w:t>
      </w:r>
      <w:r>
        <w:rPr>
          <w:rFonts w:hint="eastAsia" w:ascii="宋体" w:hAnsi="宋体" w:cs="Times New Roman"/>
          <w:color w:val="auto"/>
          <w:kern w:val="2"/>
          <w:sz w:val="24"/>
          <w:szCs w:val="32"/>
          <w:highlight w:val="none"/>
          <w:shd w:val="clear" w:color="auto" w:fill="auto"/>
          <w:lang w:val="en-US" w:eastAsia="zh-CN" w:bidi="ar-SA"/>
        </w:rPr>
        <w:t>据实结算，</w:t>
      </w:r>
      <w:r>
        <w:rPr>
          <w:rFonts w:hint="eastAsia" w:ascii="宋体" w:hAnsi="宋体"/>
          <w:color w:val="auto"/>
          <w:kern w:val="0"/>
          <w:sz w:val="24"/>
          <w:szCs w:val="24"/>
          <w:highlight w:val="none"/>
          <w:shd w:val="clear" w:color="auto" w:fill="auto"/>
        </w:rPr>
        <w:t>结算价不超过推荐总价。</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 xml:space="preserve">  乙方推荐全国性头部媒体共计一百家以上进行通稿转发，包括但不限于：新华网客户端、人民网、人民日报经济网、中国日报网、新华报业网、央广网、光明网、环球网、中国文化报、南方日报、广州日报、南方都市报、凤凰网、网易新闻、搜狐网、新浪网等。甲方可根据实际需求在同级别类媒体中进行调整，价格不变。</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（3）硬广推广</w:t>
      </w:r>
    </w:p>
    <w:p>
      <w:pPr>
        <w:adjustRightInd w:val="0"/>
        <w:snapToGrid w:val="0"/>
        <w:spacing w:line="360" w:lineRule="auto"/>
        <w:ind w:firstLine="480" w:firstLineChars="200"/>
        <w:rPr>
          <w:rFonts w:hint="eastAsia"/>
          <w:color w:val="auto"/>
          <w:highlight w:val="none"/>
          <w:shd w:val="clear" w:color="auto" w:fill="auto"/>
          <w:lang w:val="en-US" w:eastAsia="zh-CN"/>
        </w:rPr>
      </w:pPr>
      <w:r>
        <w:rPr>
          <w:rFonts w:hint="eastAsia" w:ascii="宋体" w:hAnsi="宋体" w:eastAsia="宋体" w:cs="Times New Roman"/>
          <w:color w:val="auto"/>
          <w:kern w:val="2"/>
          <w:sz w:val="24"/>
          <w:szCs w:val="32"/>
          <w:highlight w:val="none"/>
          <w:shd w:val="clear" w:color="auto" w:fill="auto"/>
          <w:lang w:val="en-US" w:eastAsia="zh-CN" w:bidi="ar-SA"/>
        </w:rPr>
        <w:t>乙方推荐全国性头部媒体的硬广投放，在以下媒体中选择一家开展：21世纪经济报道、第一财经、每日经济新闻、界面、财新、时代财经、经济日报、央视财经。需包含客户端开屏广告、首页</w:t>
      </w:r>
      <w:r>
        <w:rPr>
          <w:rFonts w:hint="eastAsia" w:ascii="宋体" w:hAnsi="宋体" w:cs="Times New Roman"/>
          <w:color w:val="auto"/>
          <w:kern w:val="2"/>
          <w:sz w:val="24"/>
          <w:szCs w:val="32"/>
          <w:highlight w:val="none"/>
          <w:shd w:val="clear" w:color="auto" w:fill="auto"/>
          <w:lang w:val="en-US" w:eastAsia="zh-CN" w:bidi="ar-SA"/>
        </w:rPr>
        <w:t>第一</w:t>
      </w:r>
      <w:r>
        <w:rPr>
          <w:rFonts w:hint="eastAsia" w:ascii="宋体" w:hAnsi="宋体" w:eastAsia="宋体" w:cs="Times New Roman"/>
          <w:color w:val="auto"/>
          <w:kern w:val="2"/>
          <w:sz w:val="24"/>
          <w:szCs w:val="32"/>
          <w:highlight w:val="none"/>
          <w:shd w:val="clear" w:color="auto" w:fill="auto"/>
          <w:lang w:val="en-US" w:eastAsia="zh-CN" w:bidi="ar-SA"/>
        </w:rPr>
        <w:t>焦点图等。甲方可根据实际需求在同级别类媒体中进行调整，价格不变。甲方可根据实际需求在同级别范围内调整投放渠道，</w:t>
      </w:r>
      <w:r>
        <w:rPr>
          <w:rFonts w:hint="eastAsia" w:ascii="宋体" w:hAnsi="宋体" w:cs="Times New Roman"/>
          <w:color w:val="auto"/>
          <w:kern w:val="2"/>
          <w:sz w:val="24"/>
          <w:szCs w:val="32"/>
          <w:highlight w:val="none"/>
          <w:shd w:val="clear" w:color="auto" w:fill="auto"/>
          <w:lang w:val="en-US" w:eastAsia="zh-CN" w:bidi="ar-SA"/>
        </w:rPr>
        <w:t>据实结算，</w:t>
      </w:r>
      <w:r>
        <w:rPr>
          <w:rFonts w:hint="eastAsia" w:ascii="宋体" w:hAnsi="宋体"/>
          <w:color w:val="auto"/>
          <w:kern w:val="0"/>
          <w:sz w:val="24"/>
          <w:szCs w:val="24"/>
          <w:highlight w:val="none"/>
          <w:shd w:val="clear" w:color="auto" w:fill="auto"/>
        </w:rPr>
        <w:t>结算价不超过推荐总价。</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（4）关于TOD综合开发模式研究及推广</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乙方推荐相关院校或研究机构对“轨道+物业”模式进行研究，并形成研究成果，进行相关推广。</w:t>
      </w:r>
    </w:p>
    <w:p>
      <w:pPr>
        <w:tabs>
          <w:tab w:val="left" w:pos="840"/>
        </w:tabs>
        <w:adjustRightInd w:val="0"/>
        <w:snapToGrid w:val="0"/>
        <w:spacing w:line="312" w:lineRule="auto"/>
        <w:ind w:firstLine="466" w:firstLineChars="200"/>
        <w:rPr>
          <w:rFonts w:ascii="宋体" w:hAnsi="宋体"/>
          <w:b/>
          <w:bCs/>
          <w:color w:val="auto"/>
          <w:spacing w:val="-4"/>
          <w:sz w:val="24"/>
          <w:szCs w:val="24"/>
          <w:highlight w:val="none"/>
          <w:shd w:val="clear" w:color="auto" w:fill="auto"/>
        </w:rPr>
      </w:pPr>
      <w:r>
        <w:rPr>
          <w:rFonts w:hint="eastAsia" w:ascii="宋体" w:hAnsi="宋体"/>
          <w:b/>
          <w:bCs/>
          <w:color w:val="auto"/>
          <w:spacing w:val="-4"/>
          <w:sz w:val="24"/>
          <w:szCs w:val="24"/>
          <w:highlight w:val="none"/>
          <w:shd w:val="clear" w:color="auto" w:fill="auto"/>
        </w:rPr>
        <w:t>三、服务期限</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本合同签订之日起至2023年12月31日。</w:t>
      </w:r>
    </w:p>
    <w:p>
      <w:pPr>
        <w:spacing w:line="312" w:lineRule="auto"/>
        <w:ind w:firstLine="482" w:firstLineChars="200"/>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四、</w:t>
      </w:r>
      <w:bookmarkEnd w:id="112"/>
      <w:r>
        <w:rPr>
          <w:rFonts w:hint="eastAsia" w:ascii="宋体" w:hAnsi="宋体"/>
          <w:b/>
          <w:color w:val="auto"/>
          <w:sz w:val="24"/>
          <w:szCs w:val="24"/>
          <w:highlight w:val="none"/>
          <w:shd w:val="clear" w:color="auto" w:fill="auto"/>
        </w:rPr>
        <w:t>双方的权利义务</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（一）甲方的权利义务</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1、甲方应按本合同约定的金额和时间向乙方支付合同价款。</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2、甲方需向乙方提交服务所需要的基础资料及文件，并在执行前确定所有执行方</w:t>
      </w:r>
      <w:r>
        <w:rPr>
          <w:rFonts w:ascii="宋体" w:hAnsi="宋体"/>
          <w:color w:val="auto"/>
          <w:spacing w:val="-4"/>
          <w:sz w:val="24"/>
          <w:szCs w:val="24"/>
          <w:highlight w:val="none"/>
          <w:shd w:val="clear" w:color="auto" w:fill="auto"/>
        </w:rPr>
        <w:t>案</w:t>
      </w:r>
      <w:r>
        <w:rPr>
          <w:rFonts w:hint="eastAsia" w:ascii="宋体" w:hAnsi="宋体"/>
          <w:color w:val="auto"/>
          <w:spacing w:val="-4"/>
          <w:sz w:val="24"/>
          <w:szCs w:val="24"/>
          <w:highlight w:val="none"/>
          <w:shd w:val="clear" w:color="auto" w:fill="auto"/>
        </w:rPr>
        <w:t>，确定后甲方不得随意更改活动内容，如需更改，应提前1天通知乙方。</w:t>
      </w:r>
    </w:p>
    <w:p>
      <w:pPr>
        <w:tabs>
          <w:tab w:val="left" w:pos="840"/>
        </w:tabs>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3、甲方指定专人与乙方指定人员进行沟通、联系及现场协助。</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（二）乙方的权利义务</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1、乙方应按照本合同约定及甲方的要求完成本合同项目的所有工作。</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2、乙方必须按本合同约定的活动内容及要求严格执行，保证按约定完成活动场地</w:t>
      </w:r>
      <w:r>
        <w:rPr>
          <w:rFonts w:ascii="宋体" w:hAnsi="宋体"/>
          <w:color w:val="auto"/>
          <w:spacing w:val="-4"/>
          <w:sz w:val="24"/>
          <w:szCs w:val="24"/>
          <w:highlight w:val="none"/>
          <w:shd w:val="clear" w:color="auto" w:fill="auto"/>
        </w:rPr>
        <w:t>的档期确定</w:t>
      </w:r>
      <w:r>
        <w:rPr>
          <w:rFonts w:hint="eastAsia" w:ascii="宋体" w:hAnsi="宋体"/>
          <w:color w:val="auto"/>
          <w:spacing w:val="-4"/>
          <w:sz w:val="24"/>
          <w:szCs w:val="24"/>
          <w:highlight w:val="none"/>
          <w:shd w:val="clear" w:color="auto" w:fill="auto"/>
        </w:rPr>
        <w:t>，同时保证按约定提供活动所需的物料、人员</w:t>
      </w:r>
      <w:r>
        <w:rPr>
          <w:rFonts w:ascii="宋体" w:hAnsi="宋体"/>
          <w:color w:val="auto"/>
          <w:spacing w:val="-4"/>
          <w:sz w:val="24"/>
          <w:szCs w:val="24"/>
          <w:highlight w:val="none"/>
          <w:shd w:val="clear" w:color="auto" w:fill="auto"/>
        </w:rPr>
        <w:t>。</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3、乙方不得传播、捏造或夸大有关甲方及甲方关联公司的负面或</w:t>
      </w:r>
      <w:r>
        <w:rPr>
          <w:rFonts w:ascii="宋体" w:hAnsi="宋体"/>
          <w:color w:val="auto"/>
          <w:spacing w:val="-4"/>
          <w:sz w:val="24"/>
          <w:szCs w:val="24"/>
          <w:highlight w:val="none"/>
          <w:shd w:val="clear" w:color="auto" w:fill="auto"/>
        </w:rPr>
        <w:t>影响甲方及甲方关联公司声誉</w:t>
      </w:r>
      <w:r>
        <w:rPr>
          <w:rFonts w:hint="eastAsia" w:ascii="宋体" w:hAnsi="宋体"/>
          <w:color w:val="auto"/>
          <w:spacing w:val="-4"/>
          <w:sz w:val="24"/>
          <w:szCs w:val="24"/>
          <w:highlight w:val="none"/>
          <w:shd w:val="clear" w:color="auto" w:fill="auto"/>
        </w:rPr>
        <w:t>、</w:t>
      </w:r>
      <w:r>
        <w:rPr>
          <w:rFonts w:ascii="宋体" w:hAnsi="宋体"/>
          <w:color w:val="auto"/>
          <w:spacing w:val="-4"/>
          <w:sz w:val="24"/>
          <w:szCs w:val="24"/>
          <w:highlight w:val="none"/>
          <w:shd w:val="clear" w:color="auto" w:fill="auto"/>
        </w:rPr>
        <w:t>品牌等</w:t>
      </w:r>
      <w:r>
        <w:rPr>
          <w:rFonts w:hint="eastAsia" w:ascii="宋体" w:hAnsi="宋体"/>
          <w:color w:val="auto"/>
          <w:spacing w:val="-4"/>
          <w:sz w:val="24"/>
          <w:szCs w:val="24"/>
          <w:highlight w:val="none"/>
          <w:shd w:val="clear" w:color="auto" w:fill="auto"/>
        </w:rPr>
        <w:t>信息；乙方违反本约定，甲方有</w:t>
      </w:r>
      <w:r>
        <w:rPr>
          <w:rFonts w:ascii="宋体" w:hAnsi="宋体"/>
          <w:color w:val="auto"/>
          <w:spacing w:val="-4"/>
          <w:sz w:val="24"/>
          <w:szCs w:val="24"/>
          <w:highlight w:val="none"/>
          <w:shd w:val="clear" w:color="auto" w:fill="auto"/>
        </w:rPr>
        <w:t>权</w:t>
      </w:r>
      <w:r>
        <w:rPr>
          <w:rFonts w:hint="eastAsia" w:ascii="宋体" w:hAnsi="宋体"/>
          <w:color w:val="auto"/>
          <w:spacing w:val="-4"/>
          <w:sz w:val="24"/>
          <w:szCs w:val="24"/>
          <w:highlight w:val="none"/>
          <w:shd w:val="clear" w:color="auto" w:fill="auto"/>
        </w:rPr>
        <w:t>解除本合同，并不再支付剩余款项。因该等负面信息造成甲方及关联公司损失的，乙方还应赔偿损失，同时乙方有义务负责消除因负面信息等给甲方及关联公司造成的不利影响。</w:t>
      </w:r>
    </w:p>
    <w:p>
      <w:pPr>
        <w:adjustRightInd/>
        <w:snapToGrid/>
        <w:spacing w:line="312" w:lineRule="auto"/>
        <w:ind w:firstLine="482" w:firstLineChars="200"/>
        <w:rPr>
          <w:rFonts w:hint="eastAsia" w:ascii="宋体" w:hAnsi="宋体"/>
          <w:color w:val="auto"/>
          <w:spacing w:val="-4"/>
          <w:sz w:val="24"/>
          <w:szCs w:val="24"/>
          <w:highlight w:val="none"/>
          <w:shd w:val="clear" w:color="auto" w:fill="auto"/>
        </w:rPr>
      </w:pPr>
      <w:r>
        <w:rPr>
          <w:rFonts w:hint="eastAsia" w:ascii="宋体" w:hAnsi="宋体"/>
          <w:b/>
          <w:color w:val="auto"/>
          <w:sz w:val="24"/>
          <w:szCs w:val="24"/>
          <w:highlight w:val="none"/>
          <w:shd w:val="clear" w:color="auto" w:fill="auto"/>
        </w:rPr>
        <w:t>五、合同价款及付款方式</w:t>
      </w:r>
    </w:p>
    <w:p>
      <w:pPr>
        <w:tabs>
          <w:tab w:val="left" w:pos="840"/>
        </w:tabs>
        <w:adjustRightInd w:val="0"/>
        <w:snapToGrid w:val="0"/>
        <w:spacing w:line="360" w:lineRule="auto"/>
        <w:ind w:firstLine="464" w:firstLineChars="200"/>
        <w:rPr>
          <w:rFonts w:hint="eastAsia"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1. 合同暂定价款总额为人民币   元</w:t>
      </w:r>
      <w:r>
        <w:rPr>
          <w:rFonts w:hint="eastAsia" w:ascii="宋体" w:hAnsi="宋体"/>
          <w:color w:val="auto"/>
          <w:spacing w:val="-4"/>
          <w:sz w:val="24"/>
          <w:szCs w:val="24"/>
          <w:highlight w:val="none"/>
          <w:shd w:val="clear" w:color="auto" w:fill="auto"/>
          <w:lang w:eastAsia="zh-CN"/>
        </w:rPr>
        <w:t>，</w:t>
      </w:r>
      <w:r>
        <w:rPr>
          <w:rFonts w:hint="eastAsia" w:ascii="宋体" w:hAnsi="宋体"/>
          <w:color w:val="auto"/>
          <w:spacing w:val="-4"/>
          <w:sz w:val="24"/>
          <w:szCs w:val="24"/>
          <w:highlight w:val="none"/>
          <w:shd w:val="clear" w:color="auto" w:fill="auto"/>
        </w:rPr>
        <w:t>大写：   元整</w:t>
      </w:r>
      <w:r>
        <w:rPr>
          <w:rFonts w:hint="eastAsia" w:ascii="宋体" w:hAnsi="宋体"/>
          <w:color w:val="auto"/>
          <w:spacing w:val="-4"/>
          <w:sz w:val="24"/>
          <w:szCs w:val="24"/>
          <w:highlight w:val="none"/>
          <w:shd w:val="clear" w:color="auto" w:fill="auto"/>
          <w:lang w:eastAsia="zh-CN"/>
        </w:rPr>
        <w:t>。</w:t>
      </w:r>
      <w:r>
        <w:rPr>
          <w:rFonts w:hint="eastAsia" w:ascii="宋体" w:hAnsi="宋体"/>
          <w:color w:val="auto"/>
          <w:spacing w:val="-4"/>
          <w:sz w:val="24"/>
          <w:szCs w:val="24"/>
          <w:highlight w:val="none"/>
          <w:shd w:val="clear" w:color="auto" w:fill="auto"/>
        </w:rPr>
        <w:t>其中，不含税总价为   元，增值税率为   ，税额   元。其中：</w:t>
      </w:r>
    </w:p>
    <w:p>
      <w:pPr>
        <w:tabs>
          <w:tab w:val="left" w:pos="840"/>
        </w:tabs>
        <w:adjustRightInd w:val="0"/>
        <w:snapToGrid w:val="0"/>
        <w:spacing w:line="360" w:lineRule="auto"/>
        <w:ind w:firstLine="464" w:firstLineChars="200"/>
        <w:rPr>
          <w:rFonts w:hint="eastAsia"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（1）场地租赁费用暂定总价为   元，大写   元整。其中不含税价  元，增值税税额         元，税率   。</w:t>
      </w:r>
    </w:p>
    <w:p>
      <w:pPr>
        <w:tabs>
          <w:tab w:val="left" w:pos="840"/>
        </w:tabs>
        <w:adjustRightInd w:val="0"/>
        <w:snapToGrid w:val="0"/>
        <w:spacing w:line="360" w:lineRule="auto"/>
        <w:ind w:firstLine="464" w:firstLineChars="200"/>
        <w:rPr>
          <w:rFonts w:hint="eastAsia"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（2）活动执行暂定总价为  元，大写    元整。其中不含税价  元，增值税税额         元，税率   。</w:t>
      </w:r>
    </w:p>
    <w:p>
      <w:pPr>
        <w:tabs>
          <w:tab w:val="left" w:pos="840"/>
        </w:tabs>
        <w:adjustRightInd w:val="0"/>
        <w:snapToGrid w:val="0"/>
        <w:spacing w:line="360" w:lineRule="auto"/>
        <w:ind w:firstLine="464" w:firstLineChars="200"/>
        <w:rPr>
          <w:rFonts w:hint="eastAsia"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（3）影视片暂定总价为   元，大写  元整。其中不含税价   元，增值税税额    元，税率   。</w:t>
      </w:r>
    </w:p>
    <w:p>
      <w:pPr>
        <w:tabs>
          <w:tab w:val="left" w:pos="840"/>
        </w:tabs>
        <w:adjustRightInd w:val="0"/>
        <w:snapToGrid w:val="0"/>
        <w:spacing w:line="360" w:lineRule="auto"/>
        <w:ind w:firstLine="464" w:firstLineChars="200"/>
        <w:rPr>
          <w:rFonts w:hint="eastAsia"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（4）宣传推广暂定总价为    元，大写   元整。其中不含税价   元，增值税税额         元，税率   。</w:t>
      </w:r>
    </w:p>
    <w:p>
      <w:pPr>
        <w:tabs>
          <w:tab w:val="left" w:pos="840"/>
        </w:tabs>
        <w:adjustRightInd w:val="0"/>
        <w:snapToGrid w:val="0"/>
        <w:spacing w:line="360" w:lineRule="auto"/>
        <w:ind w:firstLine="464" w:firstLineChars="200"/>
        <w:rPr>
          <w:rFonts w:hint="eastAsia"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合同的增值税率根据国家税收法规政策变动而调整，不含税总价不随增值税率的变化进行调整。</w:t>
      </w:r>
    </w:p>
    <w:p>
      <w:pPr>
        <w:numPr>
          <w:ilvl w:val="0"/>
          <w:numId w:val="0"/>
        </w:numPr>
        <w:tabs>
          <w:tab w:val="left" w:pos="840"/>
        </w:tabs>
        <w:adjustRightInd w:val="0"/>
        <w:snapToGrid w:val="0"/>
        <w:spacing w:line="360" w:lineRule="auto"/>
        <w:ind w:leftChars="200"/>
        <w:rPr>
          <w:rFonts w:hint="eastAsia"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lang w:val="en-US" w:eastAsia="zh-CN"/>
        </w:rPr>
        <w:t>2.</w:t>
      </w:r>
      <w:r>
        <w:rPr>
          <w:rFonts w:hint="eastAsia" w:ascii="宋体" w:hAnsi="宋体"/>
          <w:color w:val="auto"/>
          <w:spacing w:val="-4"/>
          <w:sz w:val="24"/>
          <w:szCs w:val="24"/>
          <w:highlight w:val="none"/>
          <w:shd w:val="clear" w:color="auto" w:fill="auto"/>
        </w:rPr>
        <w:t>支付方式：</w:t>
      </w:r>
    </w:p>
    <w:p>
      <w:pPr>
        <w:adjustRightInd w:val="0"/>
        <w:snapToGrid w:val="0"/>
        <w:spacing w:line="360" w:lineRule="auto"/>
        <w:ind w:firstLine="480" w:firstLineChars="200"/>
        <w:rPr>
          <w:rFonts w:hint="eastAsia"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（1</w:t>
      </w:r>
      <w:r>
        <w:rPr>
          <w:rFonts w:ascii="宋体" w:hAnsi="宋体"/>
          <w:color w:val="auto"/>
          <w:sz w:val="24"/>
          <w:szCs w:val="24"/>
          <w:highlight w:val="none"/>
          <w:shd w:val="clear" w:color="auto" w:fill="auto"/>
        </w:rPr>
        <w:t>）</w:t>
      </w:r>
      <w:permStart w:id="0" w:edGrp="everyone"/>
      <w:r>
        <w:rPr>
          <w:rFonts w:hint="eastAsia" w:ascii="宋体" w:hAnsi="宋体"/>
          <w:color w:val="auto"/>
          <w:sz w:val="24"/>
          <w:szCs w:val="24"/>
          <w:highlight w:val="none"/>
          <w:shd w:val="clear" w:color="auto" w:fill="auto"/>
        </w:rPr>
        <w:t>具体支付节点如下：（相关款项在完成相应工作内容审批通过后即可支付，但在支付最后一笔款项前，需进行合同结算，合同结算完成后方可支付该笔款项）。</w:t>
      </w:r>
    </w:p>
    <w:p>
      <w:pPr>
        <w:pStyle w:val="47"/>
        <w:rPr>
          <w:rFonts w:hint="eastAsia" w:ascii="宋体" w:hAnsi="宋体"/>
          <w:color w:val="auto"/>
          <w:sz w:val="24"/>
          <w:szCs w:val="24"/>
          <w:highlight w:val="none"/>
          <w:shd w:val="clear" w:color="auto" w:fill="auto"/>
        </w:rPr>
      </w:pPr>
    </w:p>
    <w:tbl>
      <w:tblPr>
        <w:tblStyle w:val="48"/>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7"/>
        <w:gridCol w:w="1167"/>
        <w:gridCol w:w="4006"/>
        <w:gridCol w:w="2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67" w:type="dxa"/>
            <w:noWrap w:val="0"/>
            <w:vAlign w:val="center"/>
          </w:tcPr>
          <w:p>
            <w:pPr>
              <w:pStyle w:val="208"/>
              <w:spacing w:line="240" w:lineRule="exact"/>
              <w:jc w:val="center"/>
              <w:rPr>
                <w:rFonts w:hint="eastAsia" w:ascii="仿宋" w:hAnsi="仿宋" w:eastAsia="仿宋" w:cs="仿宋"/>
                <w:b/>
                <w:color w:val="auto"/>
                <w:kern w:val="0"/>
                <w:sz w:val="20"/>
                <w:shd w:val="clear" w:color="auto" w:fill="auto"/>
                <w:lang w:val="en-US" w:eastAsia="zh-CN"/>
              </w:rPr>
            </w:pPr>
            <w:r>
              <w:rPr>
                <w:rFonts w:hint="eastAsia" w:ascii="仿宋" w:hAnsi="仿宋" w:eastAsia="仿宋" w:cs="仿宋"/>
                <w:b/>
                <w:color w:val="auto"/>
                <w:kern w:val="0"/>
                <w:sz w:val="20"/>
                <w:shd w:val="clear" w:color="auto" w:fill="auto"/>
                <w:lang w:val="en-US" w:eastAsia="zh-CN"/>
              </w:rPr>
              <w:t>工作项目</w:t>
            </w:r>
          </w:p>
        </w:tc>
        <w:tc>
          <w:tcPr>
            <w:tcW w:w="1167" w:type="dxa"/>
            <w:noWrap w:val="0"/>
            <w:vAlign w:val="center"/>
          </w:tcPr>
          <w:p>
            <w:pPr>
              <w:pStyle w:val="208"/>
              <w:spacing w:line="240" w:lineRule="exact"/>
              <w:jc w:val="center"/>
              <w:rPr>
                <w:rFonts w:hint="eastAsia" w:ascii="仿宋" w:hAnsi="仿宋" w:eastAsia="仿宋" w:cs="仿宋"/>
                <w:b/>
                <w:color w:val="auto"/>
                <w:kern w:val="0"/>
                <w:sz w:val="20"/>
                <w:shd w:val="clear" w:color="auto" w:fill="auto"/>
                <w:lang w:val="zh-TW"/>
              </w:rPr>
            </w:pPr>
            <w:r>
              <w:rPr>
                <w:rFonts w:hint="eastAsia" w:ascii="仿宋" w:hAnsi="仿宋" w:eastAsia="仿宋" w:cs="仿宋"/>
                <w:b/>
                <w:color w:val="auto"/>
                <w:kern w:val="0"/>
                <w:sz w:val="20"/>
                <w:shd w:val="clear" w:color="auto" w:fill="auto"/>
                <w:lang w:val="en-US" w:eastAsia="zh-CN"/>
              </w:rPr>
              <w:t>支付阶段</w:t>
            </w:r>
          </w:p>
        </w:tc>
        <w:tc>
          <w:tcPr>
            <w:tcW w:w="4006" w:type="dxa"/>
            <w:noWrap w:val="0"/>
            <w:vAlign w:val="center"/>
          </w:tcPr>
          <w:p>
            <w:pPr>
              <w:pStyle w:val="208"/>
              <w:spacing w:line="240" w:lineRule="exact"/>
              <w:jc w:val="center"/>
              <w:rPr>
                <w:rFonts w:hint="eastAsia" w:ascii="仿宋" w:hAnsi="仿宋" w:eastAsia="仿宋" w:cs="仿宋"/>
                <w:b/>
                <w:color w:val="auto"/>
                <w:kern w:val="0"/>
                <w:sz w:val="20"/>
                <w:shd w:val="clear" w:color="auto" w:fill="auto"/>
                <w:lang w:val="zh-TW"/>
              </w:rPr>
            </w:pPr>
            <w:r>
              <w:rPr>
                <w:rFonts w:hint="eastAsia" w:ascii="仿宋" w:hAnsi="仿宋" w:eastAsia="仿宋" w:cs="仿宋"/>
                <w:b/>
                <w:color w:val="auto"/>
                <w:kern w:val="0"/>
                <w:sz w:val="20"/>
                <w:shd w:val="clear" w:color="auto" w:fill="auto"/>
                <w:lang w:val="en-US" w:eastAsia="zh-CN"/>
              </w:rPr>
              <w:t>支付条件</w:t>
            </w:r>
          </w:p>
        </w:tc>
        <w:tc>
          <w:tcPr>
            <w:tcW w:w="2604" w:type="dxa"/>
            <w:noWrap w:val="0"/>
            <w:vAlign w:val="center"/>
          </w:tcPr>
          <w:p>
            <w:pPr>
              <w:pStyle w:val="208"/>
              <w:spacing w:line="240" w:lineRule="exact"/>
              <w:jc w:val="center"/>
              <w:rPr>
                <w:rFonts w:hint="eastAsia" w:ascii="仿宋" w:hAnsi="仿宋" w:eastAsia="仿宋" w:cs="仿宋"/>
                <w:b/>
                <w:color w:val="auto"/>
                <w:kern w:val="0"/>
                <w:sz w:val="20"/>
                <w:shd w:val="clear" w:color="auto" w:fill="auto"/>
                <w:lang w:val="zh-TW"/>
              </w:rPr>
            </w:pPr>
            <w:r>
              <w:rPr>
                <w:rFonts w:hint="eastAsia" w:ascii="仿宋" w:hAnsi="仿宋" w:eastAsia="仿宋" w:cs="仿宋"/>
                <w:b/>
                <w:color w:val="auto"/>
                <w:kern w:val="0"/>
                <w:sz w:val="20"/>
                <w:shd w:val="clear" w:color="auto" w:fill="auto"/>
                <w:lang w:val="zh-TW"/>
              </w:rPr>
              <w:t>支付比例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167" w:type="dxa"/>
            <w:noWrap w:val="0"/>
            <w:vAlign w:val="center"/>
          </w:tcPr>
          <w:p>
            <w:pPr>
              <w:pStyle w:val="208"/>
              <w:spacing w:line="240" w:lineRule="exact"/>
              <w:jc w:val="center"/>
              <w:rPr>
                <w:rFonts w:hint="eastAsia" w:ascii="仿宋" w:hAnsi="仿宋" w:eastAsia="仿宋" w:cs="仿宋"/>
                <w:color w:val="auto"/>
                <w:kern w:val="0"/>
                <w:sz w:val="20"/>
                <w:shd w:val="clear" w:color="auto" w:fill="auto"/>
                <w:lang w:val="zh-TW"/>
              </w:rPr>
            </w:pPr>
            <w:r>
              <w:rPr>
                <w:rFonts w:hint="eastAsia" w:ascii="仿宋" w:hAnsi="仿宋" w:eastAsia="仿宋" w:cs="仿宋"/>
                <w:color w:val="auto"/>
                <w:kern w:val="0"/>
                <w:sz w:val="20"/>
                <w:shd w:val="clear" w:color="auto" w:fill="auto"/>
                <w:lang w:val="en-US" w:eastAsia="zh-CN"/>
              </w:rPr>
              <w:t>场地租赁</w:t>
            </w:r>
          </w:p>
        </w:tc>
        <w:tc>
          <w:tcPr>
            <w:tcW w:w="1167" w:type="dxa"/>
            <w:noWrap w:val="0"/>
            <w:vAlign w:val="center"/>
          </w:tcPr>
          <w:p>
            <w:pPr>
              <w:pStyle w:val="208"/>
              <w:spacing w:line="240" w:lineRule="exact"/>
              <w:jc w:val="center"/>
              <w:rPr>
                <w:rFonts w:hint="eastAsia" w:ascii="仿宋" w:hAnsi="仿宋" w:eastAsia="仿宋" w:cs="仿宋"/>
                <w:color w:val="auto"/>
                <w:kern w:val="0"/>
                <w:sz w:val="20"/>
                <w:shd w:val="clear" w:color="auto" w:fill="auto"/>
                <w:lang w:val="zh-TW" w:eastAsia="zh-CN"/>
              </w:rPr>
            </w:pPr>
            <w:r>
              <w:rPr>
                <w:rFonts w:hint="eastAsia" w:ascii="仿宋" w:hAnsi="仿宋" w:eastAsia="仿宋" w:cs="仿宋"/>
                <w:color w:val="auto"/>
                <w:kern w:val="0"/>
                <w:sz w:val="20"/>
                <w:shd w:val="clear" w:color="auto" w:fill="auto"/>
                <w:lang w:val="zh-TW"/>
              </w:rPr>
              <w:t>第一</w:t>
            </w:r>
            <w:r>
              <w:rPr>
                <w:rFonts w:hint="eastAsia" w:ascii="仿宋" w:hAnsi="仿宋" w:eastAsia="仿宋" w:cs="仿宋"/>
                <w:color w:val="auto"/>
                <w:kern w:val="0"/>
                <w:sz w:val="20"/>
                <w:shd w:val="clear" w:color="auto" w:fill="auto"/>
                <w:lang w:val="en-US" w:eastAsia="zh-CN"/>
              </w:rPr>
              <w:t>阶段</w:t>
            </w:r>
          </w:p>
        </w:tc>
        <w:tc>
          <w:tcPr>
            <w:tcW w:w="4006" w:type="dxa"/>
            <w:noWrap w:val="0"/>
            <w:vAlign w:val="center"/>
          </w:tcPr>
          <w:p>
            <w:pPr>
              <w:pStyle w:val="208"/>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kern w:val="2"/>
                <w:sz w:val="21"/>
                <w:szCs w:val="21"/>
                <w:shd w:val="clear" w:color="auto" w:fill="auto"/>
                <w:lang w:val="en-US" w:eastAsia="zh-CN" w:bidi="ar-SA"/>
              </w:rPr>
            </w:pPr>
            <w:r>
              <w:rPr>
                <w:rFonts w:hint="eastAsia" w:ascii="仿宋" w:hAnsi="仿宋" w:eastAsia="仿宋" w:cs="仿宋"/>
                <w:color w:val="auto"/>
                <w:kern w:val="2"/>
                <w:sz w:val="21"/>
                <w:szCs w:val="21"/>
                <w:shd w:val="clear" w:color="auto" w:fill="auto"/>
                <w:lang w:val="en-US" w:eastAsia="zh-CN" w:bidi="ar-SA"/>
              </w:rPr>
              <w:t>乙方按甲方工作要求完成该场活动约定的全部工作，并向甲方提交工作成果，经甲方书面确认后，由乙方提出付款申请，经甲方批准后支付至场地租赁费的100%，乙方需按合同规定提交付款申请及证明文件。</w:t>
            </w:r>
          </w:p>
        </w:tc>
        <w:tc>
          <w:tcPr>
            <w:tcW w:w="2604" w:type="dxa"/>
            <w:noWrap w:val="0"/>
            <w:vAlign w:val="center"/>
          </w:tcPr>
          <w:p>
            <w:pPr>
              <w:pStyle w:val="208"/>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auto"/>
                <w:kern w:val="0"/>
                <w:sz w:val="20"/>
                <w:shd w:val="clear" w:color="auto" w:fill="auto"/>
                <w:lang w:val="zh-TW" w:eastAsia="zh-TW"/>
              </w:rPr>
            </w:pPr>
            <w:r>
              <w:rPr>
                <w:rFonts w:hint="eastAsia" w:ascii="仿宋" w:hAnsi="仿宋" w:eastAsia="仿宋" w:cs="仿宋"/>
                <w:color w:val="auto"/>
                <w:kern w:val="0"/>
                <w:sz w:val="20"/>
                <w:shd w:val="clear" w:color="auto" w:fill="auto"/>
                <w:lang w:val="zh-TW"/>
              </w:rPr>
              <w:t>支付</w:t>
            </w:r>
            <w:r>
              <w:rPr>
                <w:rFonts w:hint="eastAsia" w:ascii="仿宋" w:hAnsi="仿宋" w:eastAsia="仿宋" w:cs="仿宋"/>
                <w:color w:val="auto"/>
                <w:kern w:val="0"/>
                <w:sz w:val="20"/>
                <w:shd w:val="clear" w:color="auto" w:fill="auto"/>
                <w:lang w:val="en-US" w:eastAsia="zh-CN"/>
              </w:rPr>
              <w:t>场地租赁总价</w:t>
            </w:r>
            <w:r>
              <w:rPr>
                <w:rFonts w:hint="eastAsia" w:ascii="仿宋" w:hAnsi="仿宋" w:eastAsia="仿宋" w:cs="仿宋"/>
                <w:color w:val="auto"/>
                <w:kern w:val="0"/>
                <w:sz w:val="20"/>
                <w:shd w:val="clear" w:color="auto" w:fill="auto"/>
                <w:lang w:val="zh-TW"/>
              </w:rPr>
              <w:t>的</w:t>
            </w:r>
            <w:r>
              <w:rPr>
                <w:rFonts w:hint="eastAsia" w:ascii="仿宋" w:hAnsi="仿宋" w:eastAsia="仿宋" w:cs="仿宋"/>
                <w:color w:val="auto"/>
                <w:kern w:val="0"/>
                <w:sz w:val="20"/>
                <w:shd w:val="clear" w:color="auto" w:fill="auto"/>
                <w:lang w:val="en-US" w:eastAsia="zh-CN"/>
              </w:rPr>
              <w:t>100</w:t>
            </w:r>
            <w:r>
              <w:rPr>
                <w:rFonts w:hint="eastAsia" w:ascii="仿宋" w:hAnsi="仿宋" w:eastAsia="仿宋" w:cs="仿宋"/>
                <w:color w:val="auto"/>
                <w:kern w:val="0"/>
                <w:sz w:val="20"/>
                <w:shd w:val="clear" w:color="auto" w:fill="auto"/>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167" w:type="dxa"/>
            <w:vMerge w:val="restart"/>
            <w:noWrap w:val="0"/>
            <w:vAlign w:val="center"/>
          </w:tcPr>
          <w:p>
            <w:pPr>
              <w:pStyle w:val="208"/>
              <w:spacing w:line="240" w:lineRule="exact"/>
              <w:jc w:val="center"/>
              <w:rPr>
                <w:rFonts w:hint="default" w:ascii="仿宋" w:hAnsi="仿宋" w:eastAsia="仿宋" w:cs="仿宋"/>
                <w:color w:val="auto"/>
                <w:kern w:val="0"/>
                <w:sz w:val="20"/>
                <w:shd w:val="clear" w:color="auto" w:fill="auto"/>
                <w:lang w:val="en-US" w:eastAsia="zh-CN"/>
              </w:rPr>
            </w:pPr>
            <w:r>
              <w:rPr>
                <w:rFonts w:hint="eastAsia" w:ascii="仿宋" w:hAnsi="仿宋" w:eastAsia="仿宋" w:cs="仿宋"/>
                <w:color w:val="auto"/>
                <w:kern w:val="0"/>
                <w:sz w:val="20"/>
                <w:shd w:val="clear" w:color="auto" w:fill="auto"/>
                <w:lang w:val="en-US" w:eastAsia="zh-CN"/>
              </w:rPr>
              <w:t>影视片</w:t>
            </w:r>
          </w:p>
        </w:tc>
        <w:tc>
          <w:tcPr>
            <w:tcW w:w="1167" w:type="dxa"/>
            <w:noWrap w:val="0"/>
            <w:vAlign w:val="center"/>
          </w:tcPr>
          <w:p>
            <w:pPr>
              <w:pStyle w:val="208"/>
              <w:spacing w:line="240" w:lineRule="exact"/>
              <w:jc w:val="center"/>
              <w:rPr>
                <w:rFonts w:hint="eastAsia" w:ascii="仿宋" w:hAnsi="仿宋" w:eastAsia="仿宋" w:cs="仿宋"/>
                <w:color w:val="auto"/>
                <w:kern w:val="0"/>
                <w:sz w:val="20"/>
                <w:shd w:val="clear" w:color="auto" w:fill="auto"/>
                <w:lang w:val="en-US" w:eastAsia="zh-CN"/>
              </w:rPr>
            </w:pPr>
            <w:r>
              <w:rPr>
                <w:rFonts w:hint="eastAsia" w:ascii="仿宋" w:hAnsi="仿宋" w:eastAsia="仿宋" w:cs="仿宋"/>
                <w:color w:val="auto"/>
                <w:kern w:val="0"/>
                <w:sz w:val="20"/>
                <w:shd w:val="clear" w:color="auto" w:fill="auto"/>
                <w:lang w:val="en-US" w:eastAsia="zh-CN"/>
              </w:rPr>
              <w:t>第一阶段</w:t>
            </w:r>
          </w:p>
        </w:tc>
        <w:tc>
          <w:tcPr>
            <w:tcW w:w="4006" w:type="dxa"/>
            <w:noWrap w:val="0"/>
            <w:vAlign w:val="center"/>
          </w:tcPr>
          <w:p>
            <w:pPr>
              <w:pStyle w:val="208"/>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kern w:val="2"/>
                <w:sz w:val="21"/>
                <w:szCs w:val="21"/>
                <w:shd w:val="clear" w:color="auto" w:fill="auto"/>
                <w:lang w:val="en-US" w:eastAsia="zh-CN" w:bidi="ar-SA"/>
              </w:rPr>
            </w:pPr>
            <w:r>
              <w:rPr>
                <w:rFonts w:hint="eastAsia" w:ascii="仿宋" w:hAnsi="仿宋" w:eastAsia="仿宋" w:cs="仿宋"/>
                <w:color w:val="auto"/>
                <w:kern w:val="2"/>
                <w:sz w:val="21"/>
                <w:szCs w:val="21"/>
                <w:shd w:val="clear" w:color="auto" w:fill="auto"/>
                <w:lang w:val="en-US" w:eastAsia="zh-CN" w:bidi="ar-SA"/>
              </w:rPr>
              <w:t>乙方完成活动影视片策划方案以及脚本，经甲方确认通过后。乙方需按合同规定提交付款申请、工作成果及证明文件。</w:t>
            </w:r>
          </w:p>
        </w:tc>
        <w:tc>
          <w:tcPr>
            <w:tcW w:w="2604" w:type="dxa"/>
            <w:noWrap w:val="0"/>
            <w:vAlign w:val="center"/>
          </w:tcPr>
          <w:p>
            <w:pPr>
              <w:pStyle w:val="208"/>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auto"/>
                <w:kern w:val="0"/>
                <w:sz w:val="20"/>
                <w:shd w:val="clear" w:color="auto" w:fill="auto"/>
              </w:rPr>
            </w:pPr>
            <w:r>
              <w:rPr>
                <w:rFonts w:hint="eastAsia" w:ascii="仿宋" w:hAnsi="仿宋" w:eastAsia="仿宋" w:cs="仿宋"/>
                <w:color w:val="auto"/>
                <w:kern w:val="0"/>
                <w:sz w:val="20"/>
                <w:shd w:val="clear" w:color="auto" w:fill="auto"/>
              </w:rPr>
              <w:t>支付影视片</w:t>
            </w:r>
            <w:r>
              <w:rPr>
                <w:rFonts w:hint="eastAsia" w:ascii="仿宋" w:hAnsi="仿宋" w:eastAsia="仿宋" w:cs="仿宋"/>
                <w:color w:val="auto"/>
                <w:kern w:val="0"/>
                <w:sz w:val="20"/>
                <w:shd w:val="clear" w:color="auto" w:fill="auto"/>
                <w:lang w:val="en-US" w:eastAsia="zh-CN"/>
              </w:rPr>
              <w:t>部分合同约定总价的4</w:t>
            </w:r>
            <w:r>
              <w:rPr>
                <w:rFonts w:hint="eastAsia" w:ascii="仿宋" w:hAnsi="仿宋" w:eastAsia="仿宋" w:cs="仿宋"/>
                <w:color w:val="auto"/>
                <w:kern w:val="0"/>
                <w:sz w:val="20"/>
                <w:shd w:val="clear" w:color="auto" w:fil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167" w:type="dxa"/>
            <w:vMerge w:val="continue"/>
            <w:noWrap w:val="0"/>
            <w:vAlign w:val="center"/>
          </w:tcPr>
          <w:p>
            <w:pPr>
              <w:pStyle w:val="208"/>
              <w:spacing w:line="240" w:lineRule="exact"/>
              <w:jc w:val="center"/>
              <w:rPr>
                <w:rFonts w:hint="eastAsia" w:ascii="仿宋" w:hAnsi="仿宋" w:eastAsia="仿宋" w:cs="仿宋"/>
                <w:color w:val="auto"/>
                <w:kern w:val="0"/>
                <w:sz w:val="20"/>
                <w:shd w:val="clear" w:color="auto" w:fill="auto"/>
                <w:lang w:val="en-US" w:eastAsia="zh-CN"/>
              </w:rPr>
            </w:pPr>
          </w:p>
        </w:tc>
        <w:tc>
          <w:tcPr>
            <w:tcW w:w="1167" w:type="dxa"/>
            <w:noWrap w:val="0"/>
            <w:vAlign w:val="center"/>
          </w:tcPr>
          <w:p>
            <w:pPr>
              <w:pStyle w:val="208"/>
              <w:spacing w:line="240" w:lineRule="exact"/>
              <w:jc w:val="center"/>
              <w:rPr>
                <w:rFonts w:hint="eastAsia" w:ascii="仿宋" w:hAnsi="仿宋" w:eastAsia="仿宋" w:cs="仿宋"/>
                <w:color w:val="auto"/>
                <w:kern w:val="0"/>
                <w:sz w:val="20"/>
                <w:shd w:val="clear" w:color="auto" w:fill="auto"/>
                <w:lang w:val="zh-TW"/>
              </w:rPr>
            </w:pPr>
            <w:r>
              <w:rPr>
                <w:rFonts w:hint="eastAsia" w:ascii="仿宋" w:hAnsi="仿宋" w:eastAsia="仿宋" w:cs="仿宋"/>
                <w:color w:val="auto"/>
                <w:kern w:val="0"/>
                <w:sz w:val="20"/>
                <w:shd w:val="clear" w:color="auto" w:fill="auto"/>
                <w:lang w:val="en-US" w:eastAsia="zh-CN"/>
              </w:rPr>
              <w:t>第二阶段</w:t>
            </w:r>
          </w:p>
        </w:tc>
        <w:tc>
          <w:tcPr>
            <w:tcW w:w="4006" w:type="dxa"/>
            <w:noWrap w:val="0"/>
            <w:vAlign w:val="center"/>
          </w:tcPr>
          <w:p>
            <w:pPr>
              <w:pStyle w:val="208"/>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kern w:val="2"/>
                <w:sz w:val="21"/>
                <w:szCs w:val="21"/>
                <w:shd w:val="clear" w:color="auto" w:fill="auto"/>
                <w:lang w:val="en-US" w:eastAsia="zh-CN" w:bidi="ar-SA"/>
              </w:rPr>
            </w:pPr>
            <w:r>
              <w:rPr>
                <w:rFonts w:hint="eastAsia" w:ascii="仿宋" w:hAnsi="仿宋" w:eastAsia="仿宋" w:cs="仿宋"/>
                <w:color w:val="auto"/>
                <w:kern w:val="2"/>
                <w:sz w:val="21"/>
                <w:szCs w:val="21"/>
                <w:shd w:val="clear" w:color="auto" w:fill="auto"/>
                <w:lang w:val="en-US" w:eastAsia="zh-CN" w:bidi="ar-SA"/>
              </w:rPr>
              <w:t>乙方完成活动影视片样片，经甲方确认通过后。乙方需按合同规定提交付款申请、工作成果及证明文件。</w:t>
            </w:r>
          </w:p>
        </w:tc>
        <w:tc>
          <w:tcPr>
            <w:tcW w:w="2604" w:type="dxa"/>
            <w:noWrap w:val="0"/>
            <w:vAlign w:val="center"/>
          </w:tcPr>
          <w:p>
            <w:pPr>
              <w:pStyle w:val="208"/>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auto"/>
                <w:kern w:val="0"/>
                <w:sz w:val="20"/>
                <w:shd w:val="clear" w:color="auto" w:fill="auto"/>
              </w:rPr>
            </w:pPr>
            <w:r>
              <w:rPr>
                <w:rFonts w:hint="eastAsia" w:ascii="仿宋" w:hAnsi="仿宋" w:eastAsia="仿宋" w:cs="仿宋"/>
                <w:color w:val="auto"/>
                <w:kern w:val="0"/>
                <w:sz w:val="20"/>
                <w:shd w:val="clear" w:color="auto" w:fill="auto"/>
              </w:rPr>
              <w:t>支付影视片</w:t>
            </w:r>
            <w:r>
              <w:rPr>
                <w:rFonts w:hint="eastAsia" w:ascii="仿宋" w:hAnsi="仿宋" w:eastAsia="仿宋" w:cs="仿宋"/>
                <w:color w:val="auto"/>
                <w:kern w:val="0"/>
                <w:sz w:val="20"/>
                <w:shd w:val="clear" w:color="auto" w:fill="auto"/>
                <w:lang w:val="en-US" w:eastAsia="zh-CN"/>
              </w:rPr>
              <w:t>部分合同约定总价的3</w:t>
            </w:r>
            <w:r>
              <w:rPr>
                <w:rFonts w:hint="eastAsia" w:ascii="仿宋" w:hAnsi="仿宋" w:eastAsia="仿宋" w:cs="仿宋"/>
                <w:color w:val="auto"/>
                <w:kern w:val="0"/>
                <w:sz w:val="20"/>
                <w:shd w:val="clear" w:color="auto" w:fil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167" w:type="dxa"/>
            <w:vMerge w:val="restart"/>
            <w:noWrap w:val="0"/>
            <w:vAlign w:val="center"/>
          </w:tcPr>
          <w:p>
            <w:pPr>
              <w:pStyle w:val="208"/>
              <w:spacing w:line="240" w:lineRule="exact"/>
              <w:jc w:val="center"/>
              <w:rPr>
                <w:rFonts w:hint="default" w:ascii="仿宋" w:hAnsi="仿宋" w:eastAsia="仿宋" w:cs="仿宋"/>
                <w:color w:val="auto"/>
                <w:kern w:val="0"/>
                <w:sz w:val="20"/>
                <w:shd w:val="clear" w:color="auto" w:fill="auto"/>
                <w:lang w:val="en-US" w:eastAsia="zh-CN"/>
              </w:rPr>
            </w:pPr>
            <w:r>
              <w:rPr>
                <w:rFonts w:hint="eastAsia" w:ascii="仿宋" w:hAnsi="仿宋" w:eastAsia="仿宋" w:cs="仿宋"/>
                <w:color w:val="auto"/>
                <w:kern w:val="0"/>
                <w:sz w:val="20"/>
                <w:shd w:val="clear" w:color="auto" w:fill="auto"/>
                <w:lang w:val="en-US" w:eastAsia="zh-CN"/>
              </w:rPr>
              <w:t>活动部分</w:t>
            </w:r>
          </w:p>
        </w:tc>
        <w:tc>
          <w:tcPr>
            <w:tcW w:w="1167" w:type="dxa"/>
            <w:noWrap w:val="0"/>
            <w:vAlign w:val="center"/>
          </w:tcPr>
          <w:p>
            <w:pPr>
              <w:pStyle w:val="208"/>
              <w:spacing w:line="240" w:lineRule="exact"/>
              <w:jc w:val="center"/>
              <w:rPr>
                <w:rFonts w:hint="eastAsia" w:ascii="仿宋" w:hAnsi="仿宋" w:eastAsia="仿宋" w:cs="仿宋"/>
                <w:color w:val="auto"/>
                <w:kern w:val="0"/>
                <w:sz w:val="20"/>
                <w:shd w:val="clear" w:color="auto" w:fill="auto"/>
                <w:lang w:val="zh-TW"/>
              </w:rPr>
            </w:pPr>
            <w:r>
              <w:rPr>
                <w:rFonts w:hint="eastAsia" w:ascii="仿宋" w:hAnsi="仿宋" w:eastAsia="仿宋" w:cs="仿宋"/>
                <w:color w:val="auto"/>
                <w:kern w:val="0"/>
                <w:sz w:val="20"/>
                <w:shd w:val="clear" w:color="auto" w:fill="auto"/>
                <w:lang w:val="zh-TW"/>
              </w:rPr>
              <w:t>第</w:t>
            </w:r>
            <w:r>
              <w:rPr>
                <w:rFonts w:hint="eastAsia" w:ascii="仿宋" w:hAnsi="仿宋" w:eastAsia="仿宋" w:cs="仿宋"/>
                <w:color w:val="auto"/>
                <w:kern w:val="0"/>
                <w:sz w:val="20"/>
                <w:shd w:val="clear" w:color="auto" w:fill="auto"/>
                <w:lang w:val="en-US" w:eastAsia="zh-CN"/>
              </w:rPr>
              <w:t>一阶段</w:t>
            </w:r>
          </w:p>
        </w:tc>
        <w:tc>
          <w:tcPr>
            <w:tcW w:w="4006" w:type="dxa"/>
            <w:noWrap w:val="0"/>
            <w:vAlign w:val="center"/>
          </w:tcPr>
          <w:p>
            <w:pPr>
              <w:pStyle w:val="208"/>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kern w:val="2"/>
                <w:sz w:val="21"/>
                <w:szCs w:val="21"/>
                <w:shd w:val="clear" w:color="auto" w:fill="auto"/>
                <w:lang w:val="en-US" w:eastAsia="zh-CN" w:bidi="ar-SA"/>
              </w:rPr>
            </w:pPr>
            <w:r>
              <w:rPr>
                <w:rFonts w:hint="eastAsia" w:ascii="仿宋" w:hAnsi="仿宋" w:eastAsia="仿宋" w:cs="仿宋"/>
                <w:color w:val="auto"/>
                <w:kern w:val="2"/>
                <w:sz w:val="21"/>
                <w:szCs w:val="21"/>
                <w:shd w:val="clear" w:color="auto" w:fill="auto"/>
                <w:lang w:val="en-US" w:eastAsia="zh-CN" w:bidi="ar-SA"/>
              </w:rPr>
              <w:t>乙方向甲方提供《活动策划执行方案》并经甲方书面确认后，由乙方提出付款申请，经甲方批准后支付合同暂定的该场活动价款的10%。乙方需按合同规定提交付款申请、工作成果及证明文件。</w:t>
            </w:r>
          </w:p>
        </w:tc>
        <w:tc>
          <w:tcPr>
            <w:tcW w:w="2604" w:type="dxa"/>
            <w:noWrap w:val="0"/>
            <w:vAlign w:val="center"/>
          </w:tcPr>
          <w:p>
            <w:pPr>
              <w:pStyle w:val="208"/>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auto"/>
                <w:kern w:val="0"/>
                <w:sz w:val="20"/>
                <w:shd w:val="clear" w:color="auto" w:fill="auto"/>
              </w:rPr>
            </w:pPr>
            <w:r>
              <w:rPr>
                <w:rFonts w:hint="eastAsia" w:ascii="仿宋" w:hAnsi="仿宋" w:eastAsia="仿宋" w:cs="仿宋"/>
                <w:color w:val="auto"/>
                <w:kern w:val="0"/>
                <w:sz w:val="20"/>
                <w:shd w:val="clear" w:color="auto" w:fill="auto"/>
                <w:lang w:val="zh-TW"/>
              </w:rPr>
              <w:t>支付</w:t>
            </w:r>
            <w:r>
              <w:rPr>
                <w:rFonts w:hint="eastAsia" w:ascii="仿宋" w:hAnsi="仿宋" w:eastAsia="仿宋" w:cs="仿宋"/>
                <w:color w:val="auto"/>
                <w:kern w:val="0"/>
                <w:sz w:val="20"/>
                <w:shd w:val="clear" w:color="auto" w:fill="auto"/>
                <w:lang w:val="en-US" w:eastAsia="zh-CN"/>
              </w:rPr>
              <w:t>活动部分合同约定总价</w:t>
            </w:r>
            <w:r>
              <w:rPr>
                <w:rFonts w:hint="eastAsia" w:ascii="仿宋" w:hAnsi="仿宋" w:eastAsia="仿宋" w:cs="仿宋"/>
                <w:color w:val="auto"/>
                <w:kern w:val="0"/>
                <w:sz w:val="20"/>
                <w:shd w:val="clear" w:color="auto" w:fill="auto"/>
                <w:lang w:val="zh-TW"/>
              </w:rPr>
              <w:t>的</w:t>
            </w:r>
            <w:r>
              <w:rPr>
                <w:rFonts w:hint="eastAsia" w:ascii="仿宋" w:hAnsi="仿宋" w:eastAsia="仿宋" w:cs="仿宋"/>
                <w:color w:val="auto"/>
                <w:kern w:val="0"/>
                <w:sz w:val="20"/>
                <w:shd w:val="clear" w:color="auto" w:fill="auto"/>
                <w:lang w:val="en-US" w:eastAsia="zh-CN"/>
              </w:rPr>
              <w:t>10</w:t>
            </w:r>
            <w:r>
              <w:rPr>
                <w:rFonts w:hint="eastAsia" w:ascii="仿宋" w:hAnsi="仿宋" w:eastAsia="仿宋" w:cs="仿宋"/>
                <w:color w:val="auto"/>
                <w:kern w:val="0"/>
                <w:sz w:val="20"/>
                <w:shd w:val="clear" w:color="auto" w:fill="auto"/>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167" w:type="dxa"/>
            <w:vMerge w:val="continue"/>
            <w:noWrap w:val="0"/>
            <w:vAlign w:val="center"/>
          </w:tcPr>
          <w:p>
            <w:pPr>
              <w:pStyle w:val="208"/>
              <w:spacing w:line="240" w:lineRule="exact"/>
              <w:jc w:val="center"/>
              <w:rPr>
                <w:rFonts w:hint="eastAsia" w:ascii="仿宋" w:hAnsi="仿宋" w:eastAsia="仿宋" w:cs="仿宋"/>
                <w:color w:val="auto"/>
                <w:kern w:val="0"/>
                <w:sz w:val="20"/>
                <w:shd w:val="clear" w:color="auto" w:fill="auto"/>
                <w:lang w:val="zh-TW"/>
              </w:rPr>
            </w:pPr>
          </w:p>
        </w:tc>
        <w:tc>
          <w:tcPr>
            <w:tcW w:w="1167" w:type="dxa"/>
            <w:noWrap w:val="0"/>
            <w:vAlign w:val="center"/>
          </w:tcPr>
          <w:p>
            <w:pPr>
              <w:pStyle w:val="208"/>
              <w:spacing w:line="240" w:lineRule="exact"/>
              <w:jc w:val="center"/>
              <w:rPr>
                <w:rFonts w:hint="eastAsia" w:ascii="仿宋" w:hAnsi="仿宋" w:eastAsia="仿宋" w:cs="仿宋"/>
                <w:color w:val="auto"/>
                <w:kern w:val="0"/>
                <w:sz w:val="20"/>
                <w:shd w:val="clear" w:color="auto" w:fill="auto"/>
                <w:lang w:val="zh-TW"/>
              </w:rPr>
            </w:pPr>
            <w:r>
              <w:rPr>
                <w:rFonts w:hint="eastAsia" w:ascii="仿宋" w:hAnsi="仿宋" w:eastAsia="仿宋" w:cs="仿宋"/>
                <w:color w:val="auto"/>
                <w:kern w:val="0"/>
                <w:sz w:val="20"/>
                <w:shd w:val="clear" w:color="auto" w:fill="auto"/>
                <w:lang w:val="zh-TW"/>
              </w:rPr>
              <w:t>第</w:t>
            </w:r>
            <w:r>
              <w:rPr>
                <w:rFonts w:hint="eastAsia" w:ascii="仿宋" w:hAnsi="仿宋" w:eastAsia="仿宋" w:cs="仿宋"/>
                <w:color w:val="auto"/>
                <w:kern w:val="0"/>
                <w:sz w:val="20"/>
                <w:shd w:val="clear" w:color="auto" w:fill="auto"/>
                <w:lang w:val="en-US" w:eastAsia="zh-CN"/>
              </w:rPr>
              <w:t>二阶段</w:t>
            </w:r>
          </w:p>
        </w:tc>
        <w:tc>
          <w:tcPr>
            <w:tcW w:w="4006" w:type="dxa"/>
            <w:noWrap w:val="0"/>
            <w:vAlign w:val="center"/>
          </w:tcPr>
          <w:p>
            <w:pPr>
              <w:pStyle w:val="208"/>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 w:hAnsi="仿宋" w:eastAsia="仿宋" w:cs="仿宋"/>
                <w:color w:val="auto"/>
                <w:kern w:val="2"/>
                <w:sz w:val="21"/>
                <w:szCs w:val="21"/>
                <w:shd w:val="clear" w:color="auto" w:fill="auto"/>
                <w:lang w:val="en-US" w:eastAsia="zh-CN" w:bidi="ar-SA"/>
              </w:rPr>
            </w:pPr>
            <w:r>
              <w:rPr>
                <w:rFonts w:hint="eastAsia" w:ascii="仿宋" w:hAnsi="仿宋" w:eastAsia="仿宋" w:cs="仿宋"/>
                <w:color w:val="auto"/>
                <w:kern w:val="2"/>
                <w:sz w:val="21"/>
                <w:szCs w:val="21"/>
                <w:shd w:val="clear" w:color="auto" w:fill="auto"/>
                <w:lang w:val="en-US" w:eastAsia="zh-CN" w:bidi="ar-SA"/>
              </w:rPr>
              <w:t>乙方完成所有KOL及主持人的档期预定并支付订金（或定金）款项后，由乙方提出付款申请，甲方批准后据实结算，最高不超过活动部分总价项下嘉宾邀请部分金额</w:t>
            </w:r>
            <w:r>
              <w:rPr>
                <w:rFonts w:hint="eastAsia" w:ascii="仿宋" w:hAnsi="仿宋" w:eastAsia="仿宋" w:cs="仿宋"/>
                <w:color w:val="auto"/>
                <w:kern w:val="2"/>
                <w:sz w:val="21"/>
                <w:szCs w:val="21"/>
                <w:shd w:val="clear" w:color="auto" w:fill="auto"/>
                <w:lang w:val="zh-TW" w:eastAsia="zh-CN" w:bidi="ar-SA"/>
              </w:rPr>
              <w:t>的</w:t>
            </w:r>
            <w:r>
              <w:rPr>
                <w:rFonts w:hint="eastAsia" w:ascii="仿宋" w:hAnsi="仿宋" w:eastAsia="仿宋" w:cs="仿宋"/>
                <w:color w:val="auto"/>
                <w:kern w:val="2"/>
                <w:sz w:val="21"/>
                <w:szCs w:val="21"/>
                <w:shd w:val="clear" w:color="auto" w:fill="auto"/>
                <w:lang w:val="en-US" w:eastAsia="zh-CN" w:bidi="ar-SA"/>
              </w:rPr>
              <w:t>40</w:t>
            </w:r>
            <w:r>
              <w:rPr>
                <w:rFonts w:hint="eastAsia" w:ascii="仿宋" w:hAnsi="仿宋" w:eastAsia="仿宋" w:cs="仿宋"/>
                <w:color w:val="auto"/>
                <w:kern w:val="2"/>
                <w:sz w:val="21"/>
                <w:szCs w:val="21"/>
                <w:shd w:val="clear" w:color="auto" w:fill="auto"/>
                <w:lang w:val="zh-TW" w:eastAsia="zh-CN" w:bidi="ar-SA"/>
              </w:rPr>
              <w:t>%。</w:t>
            </w:r>
            <w:r>
              <w:rPr>
                <w:rFonts w:hint="eastAsia" w:ascii="仿宋" w:hAnsi="仿宋" w:eastAsia="仿宋" w:cs="仿宋"/>
                <w:color w:val="auto"/>
                <w:kern w:val="2"/>
                <w:sz w:val="21"/>
                <w:szCs w:val="21"/>
                <w:shd w:val="clear" w:color="auto" w:fill="auto"/>
                <w:lang w:val="en-US" w:eastAsia="zh-CN" w:bidi="ar-SA"/>
              </w:rPr>
              <w:t>乙方需提供相关付款凭证。</w:t>
            </w:r>
          </w:p>
        </w:tc>
        <w:tc>
          <w:tcPr>
            <w:tcW w:w="2604" w:type="dxa"/>
            <w:noWrap w:val="0"/>
            <w:vAlign w:val="center"/>
          </w:tcPr>
          <w:p>
            <w:pPr>
              <w:pStyle w:val="208"/>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auto"/>
                <w:kern w:val="0"/>
                <w:sz w:val="20"/>
                <w:shd w:val="clear" w:color="auto" w:fill="auto"/>
                <w:lang w:val="zh-TW"/>
              </w:rPr>
            </w:pPr>
            <w:r>
              <w:rPr>
                <w:rFonts w:hint="eastAsia" w:ascii="仿宋" w:hAnsi="仿宋" w:eastAsia="仿宋" w:cs="仿宋"/>
                <w:color w:val="auto"/>
                <w:kern w:val="0"/>
                <w:sz w:val="20"/>
                <w:shd w:val="clear" w:color="auto" w:fill="auto"/>
                <w:lang w:val="zh-TW"/>
              </w:rPr>
              <w:t>支付</w:t>
            </w:r>
            <w:r>
              <w:rPr>
                <w:rFonts w:hint="eastAsia" w:ascii="仿宋" w:hAnsi="仿宋" w:eastAsia="仿宋" w:cs="仿宋"/>
                <w:color w:val="auto"/>
                <w:kern w:val="0"/>
                <w:sz w:val="20"/>
                <w:shd w:val="clear" w:color="auto" w:fill="auto"/>
                <w:lang w:val="en-US" w:eastAsia="zh-CN"/>
              </w:rPr>
              <w:t>活动部分项下嘉宾邀请合同约定金额</w:t>
            </w:r>
            <w:r>
              <w:rPr>
                <w:rFonts w:hint="eastAsia" w:ascii="仿宋" w:hAnsi="仿宋" w:eastAsia="仿宋" w:cs="仿宋"/>
                <w:color w:val="auto"/>
                <w:kern w:val="0"/>
                <w:sz w:val="20"/>
                <w:shd w:val="clear" w:color="auto" w:fill="auto"/>
                <w:lang w:val="zh-TW"/>
              </w:rPr>
              <w:t>的</w:t>
            </w:r>
            <w:r>
              <w:rPr>
                <w:rFonts w:hint="eastAsia" w:ascii="仿宋" w:hAnsi="仿宋" w:eastAsia="仿宋" w:cs="仿宋"/>
                <w:color w:val="auto"/>
                <w:kern w:val="0"/>
                <w:sz w:val="20"/>
                <w:shd w:val="clear" w:color="auto" w:fill="auto"/>
                <w:lang w:val="en-US" w:eastAsia="zh-CN"/>
              </w:rPr>
              <w:t>40</w:t>
            </w:r>
            <w:r>
              <w:rPr>
                <w:rFonts w:hint="eastAsia" w:ascii="仿宋" w:hAnsi="仿宋" w:eastAsia="仿宋" w:cs="仿宋"/>
                <w:color w:val="auto"/>
                <w:kern w:val="0"/>
                <w:sz w:val="20"/>
                <w:shd w:val="clear" w:color="auto" w:fill="auto"/>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167" w:type="dxa"/>
            <w:vMerge w:val="continue"/>
            <w:noWrap w:val="0"/>
            <w:vAlign w:val="center"/>
          </w:tcPr>
          <w:p>
            <w:pPr>
              <w:pStyle w:val="208"/>
              <w:spacing w:line="240" w:lineRule="exact"/>
              <w:jc w:val="center"/>
              <w:rPr>
                <w:rFonts w:hint="eastAsia" w:ascii="仿宋" w:hAnsi="仿宋" w:eastAsia="仿宋" w:cs="仿宋"/>
                <w:color w:val="auto"/>
                <w:kern w:val="0"/>
                <w:sz w:val="20"/>
                <w:shd w:val="clear" w:color="auto" w:fill="auto"/>
                <w:lang w:val="zh-TW"/>
              </w:rPr>
            </w:pPr>
          </w:p>
        </w:tc>
        <w:tc>
          <w:tcPr>
            <w:tcW w:w="1167" w:type="dxa"/>
            <w:noWrap w:val="0"/>
            <w:vAlign w:val="center"/>
          </w:tcPr>
          <w:p>
            <w:pPr>
              <w:pStyle w:val="208"/>
              <w:spacing w:line="240" w:lineRule="exact"/>
              <w:jc w:val="center"/>
              <w:rPr>
                <w:rFonts w:hint="eastAsia" w:ascii="仿宋" w:hAnsi="仿宋" w:eastAsia="仿宋" w:cs="仿宋"/>
                <w:color w:val="auto"/>
                <w:kern w:val="0"/>
                <w:sz w:val="20"/>
                <w:shd w:val="clear" w:color="auto" w:fill="auto"/>
                <w:lang w:val="zh-TW"/>
              </w:rPr>
            </w:pPr>
            <w:r>
              <w:rPr>
                <w:rFonts w:hint="eastAsia" w:ascii="仿宋" w:hAnsi="仿宋" w:eastAsia="仿宋" w:cs="仿宋"/>
                <w:color w:val="auto"/>
                <w:kern w:val="0"/>
                <w:sz w:val="20"/>
                <w:shd w:val="clear" w:color="auto" w:fill="auto"/>
                <w:lang w:val="zh-TW"/>
              </w:rPr>
              <w:t>第</w:t>
            </w:r>
            <w:r>
              <w:rPr>
                <w:rFonts w:hint="eastAsia" w:ascii="仿宋" w:hAnsi="仿宋" w:eastAsia="仿宋" w:cs="仿宋"/>
                <w:color w:val="auto"/>
                <w:kern w:val="0"/>
                <w:sz w:val="20"/>
                <w:shd w:val="clear" w:color="auto" w:fill="auto"/>
                <w:lang w:val="en-US" w:eastAsia="zh-CN"/>
              </w:rPr>
              <w:t>三阶段</w:t>
            </w:r>
          </w:p>
        </w:tc>
        <w:tc>
          <w:tcPr>
            <w:tcW w:w="4006" w:type="dxa"/>
            <w:noWrap w:val="0"/>
            <w:vAlign w:val="center"/>
          </w:tcPr>
          <w:p>
            <w:pPr>
              <w:pStyle w:val="208"/>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kern w:val="2"/>
                <w:sz w:val="21"/>
                <w:szCs w:val="21"/>
                <w:shd w:val="clear" w:color="auto" w:fill="auto"/>
                <w:lang w:val="en-US" w:eastAsia="zh-CN" w:bidi="ar-SA"/>
              </w:rPr>
            </w:pPr>
            <w:r>
              <w:rPr>
                <w:rFonts w:hint="eastAsia" w:ascii="仿宋" w:hAnsi="仿宋" w:eastAsia="仿宋" w:cs="仿宋"/>
                <w:color w:val="auto"/>
                <w:kern w:val="2"/>
                <w:sz w:val="21"/>
                <w:szCs w:val="21"/>
                <w:shd w:val="clear" w:color="auto" w:fill="auto"/>
                <w:lang w:val="en-US" w:eastAsia="zh-CN" w:bidi="ar-SA"/>
              </w:rPr>
              <w:t>乙方按甲方工作要求完成该场活动约定的全部工作，并向甲方提交工作成果，经甲方书面确认后，由乙方提出付款申请，经甲方批准后支付至该场活动验收结算总价的100%，最高不超过该场活动合同约定暂定总价，乙方需按合同规定提交付款申请、工作成果及证明文件。</w:t>
            </w:r>
          </w:p>
        </w:tc>
        <w:tc>
          <w:tcPr>
            <w:tcW w:w="2604" w:type="dxa"/>
            <w:noWrap w:val="0"/>
            <w:vAlign w:val="center"/>
          </w:tcPr>
          <w:p>
            <w:pPr>
              <w:pStyle w:val="208"/>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auto"/>
                <w:kern w:val="0"/>
                <w:sz w:val="20"/>
                <w:shd w:val="clear" w:color="auto" w:fill="auto"/>
              </w:rPr>
            </w:pPr>
            <w:r>
              <w:rPr>
                <w:rFonts w:hint="eastAsia" w:ascii="仿宋" w:hAnsi="仿宋" w:eastAsia="仿宋" w:cs="仿宋"/>
                <w:color w:val="auto"/>
                <w:kern w:val="0"/>
                <w:sz w:val="20"/>
                <w:shd w:val="clear" w:color="auto" w:fill="auto"/>
                <w:lang w:val="zh-TW"/>
              </w:rPr>
              <w:t>支付</w:t>
            </w:r>
            <w:r>
              <w:rPr>
                <w:rFonts w:hint="eastAsia" w:ascii="仿宋" w:hAnsi="仿宋" w:eastAsia="仿宋" w:cs="仿宋"/>
                <w:color w:val="auto"/>
                <w:kern w:val="0"/>
                <w:sz w:val="20"/>
                <w:shd w:val="clear" w:color="auto" w:fill="auto"/>
                <w:lang w:val="en-US" w:eastAsia="zh-CN"/>
              </w:rPr>
              <w:t>至</w:t>
            </w:r>
            <w:r>
              <w:rPr>
                <w:rFonts w:hint="eastAsia" w:ascii="仿宋" w:hAnsi="仿宋" w:eastAsia="仿宋" w:cs="仿宋"/>
                <w:color w:val="auto"/>
                <w:kern w:val="0"/>
                <w:sz w:val="20"/>
                <w:shd w:val="clear" w:color="auto" w:fill="auto"/>
              </w:rPr>
              <w:t>活动实际验收总价的100%，以及影视片部分的</w:t>
            </w:r>
            <w:r>
              <w:rPr>
                <w:rFonts w:hint="eastAsia" w:ascii="仿宋" w:hAnsi="仿宋" w:eastAsia="仿宋" w:cs="仿宋"/>
                <w:color w:val="auto"/>
                <w:kern w:val="0"/>
                <w:sz w:val="20"/>
                <w:shd w:val="clear" w:color="auto" w:fill="auto"/>
                <w:lang w:val="en-US" w:eastAsia="zh-CN"/>
              </w:rPr>
              <w:t>合同约定总价</w:t>
            </w:r>
            <w:r>
              <w:rPr>
                <w:rFonts w:hint="eastAsia" w:ascii="仿宋" w:hAnsi="仿宋" w:eastAsia="仿宋" w:cs="仿宋"/>
                <w:color w:val="auto"/>
                <w:kern w:val="0"/>
                <w:sz w:val="20"/>
                <w:shd w:val="clear" w:color="auto" w:fill="auto"/>
                <w:lang w:eastAsia="zh-CN"/>
              </w:rPr>
              <w:t>的</w:t>
            </w:r>
            <w:r>
              <w:rPr>
                <w:rFonts w:hint="eastAsia" w:ascii="仿宋" w:hAnsi="仿宋" w:eastAsia="仿宋" w:cs="仿宋"/>
                <w:color w:val="auto"/>
                <w:kern w:val="0"/>
                <w:sz w:val="20"/>
                <w:shd w:val="clear" w:color="auto" w:fill="auto"/>
              </w:rPr>
              <w:t>30%款项。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4" w:hRule="atLeast"/>
          <w:jc w:val="center"/>
        </w:trPr>
        <w:tc>
          <w:tcPr>
            <w:tcW w:w="1167" w:type="dxa"/>
            <w:vMerge w:val="restart"/>
            <w:noWrap w:val="0"/>
            <w:vAlign w:val="center"/>
          </w:tcPr>
          <w:p>
            <w:pPr>
              <w:pStyle w:val="208"/>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 w:hAnsi="仿宋" w:eastAsia="仿宋" w:cs="仿宋"/>
                <w:color w:val="auto"/>
                <w:kern w:val="2"/>
                <w:sz w:val="21"/>
                <w:szCs w:val="21"/>
                <w:shd w:val="clear" w:color="auto" w:fill="auto"/>
                <w:lang w:val="en-US" w:eastAsia="zh-CN" w:bidi="ar-SA"/>
              </w:rPr>
            </w:pPr>
            <w:r>
              <w:rPr>
                <w:rFonts w:hint="eastAsia" w:ascii="仿宋" w:hAnsi="仿宋" w:eastAsia="仿宋" w:cs="仿宋"/>
                <w:color w:val="auto"/>
                <w:kern w:val="2"/>
                <w:sz w:val="21"/>
                <w:szCs w:val="21"/>
                <w:shd w:val="clear" w:color="auto" w:fill="auto"/>
                <w:lang w:val="en-US" w:eastAsia="zh-CN" w:bidi="ar-SA"/>
              </w:rPr>
              <w:t>宣传推广</w:t>
            </w:r>
          </w:p>
        </w:tc>
        <w:tc>
          <w:tcPr>
            <w:tcW w:w="1167" w:type="dxa"/>
            <w:noWrap w:val="0"/>
            <w:vAlign w:val="center"/>
          </w:tcPr>
          <w:p>
            <w:pPr>
              <w:pStyle w:val="208"/>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 w:hAnsi="仿宋" w:eastAsia="仿宋" w:cs="仿宋"/>
                <w:color w:val="auto"/>
                <w:kern w:val="2"/>
                <w:sz w:val="21"/>
                <w:szCs w:val="21"/>
                <w:shd w:val="clear" w:color="auto" w:fill="auto"/>
                <w:lang w:val="en-US" w:eastAsia="zh-CN" w:bidi="ar-SA"/>
              </w:rPr>
            </w:pPr>
            <w:r>
              <w:rPr>
                <w:rFonts w:hint="eastAsia" w:ascii="仿宋" w:hAnsi="仿宋" w:eastAsia="仿宋" w:cs="仿宋"/>
                <w:color w:val="auto"/>
                <w:kern w:val="2"/>
                <w:sz w:val="21"/>
                <w:szCs w:val="21"/>
                <w:shd w:val="clear" w:color="auto" w:fill="auto"/>
                <w:lang w:val="en-US" w:eastAsia="zh-CN" w:bidi="ar-SA"/>
              </w:rPr>
              <w:t>自媒体大V、原创深度报道及主流媒体通稿、硬广推广等</w:t>
            </w:r>
          </w:p>
        </w:tc>
        <w:tc>
          <w:tcPr>
            <w:tcW w:w="4006" w:type="dxa"/>
            <w:noWrap w:val="0"/>
            <w:vAlign w:val="center"/>
          </w:tcPr>
          <w:p>
            <w:pPr>
              <w:pStyle w:val="208"/>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仿宋" w:hAnsi="仿宋" w:eastAsia="仿宋" w:cs="仿宋"/>
                <w:color w:val="auto"/>
                <w:kern w:val="2"/>
                <w:sz w:val="21"/>
                <w:szCs w:val="21"/>
                <w:shd w:val="clear" w:color="auto" w:fill="auto"/>
                <w:lang w:val="en-US" w:eastAsia="zh-CN" w:bidi="ar-SA"/>
              </w:rPr>
            </w:pPr>
            <w:r>
              <w:rPr>
                <w:rFonts w:hint="eastAsia" w:ascii="仿宋" w:hAnsi="仿宋" w:eastAsia="仿宋" w:cs="仿宋"/>
                <w:color w:val="auto"/>
                <w:kern w:val="2"/>
                <w:sz w:val="21"/>
                <w:szCs w:val="21"/>
                <w:shd w:val="clear" w:color="auto" w:fill="auto"/>
                <w:lang w:val="en-US" w:eastAsia="zh-CN" w:bidi="ar-SA"/>
              </w:rPr>
              <w:t>按甲方要求，每完成一个媒体投放或广告发布后，乙方向甲方提交书面付款申请及相关资料（验收材料、《广告发布确认书》），经甲方验收合格进行书面确认后支付该渠道对应的推广费用。该部分结算价不超过宣传推广部分的合同暂定总价。</w:t>
            </w:r>
          </w:p>
        </w:tc>
        <w:tc>
          <w:tcPr>
            <w:tcW w:w="2604" w:type="dxa"/>
            <w:noWrap w:val="0"/>
            <w:vAlign w:val="center"/>
          </w:tcPr>
          <w:p>
            <w:pPr>
              <w:pStyle w:val="208"/>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kern w:val="2"/>
                <w:sz w:val="21"/>
                <w:szCs w:val="21"/>
                <w:shd w:val="clear" w:color="auto" w:fill="auto"/>
                <w:lang w:val="zh-TW" w:eastAsia="zh-CN" w:bidi="ar-SA"/>
              </w:rPr>
            </w:pPr>
            <w:r>
              <w:rPr>
                <w:rFonts w:hint="eastAsia" w:ascii="仿宋" w:hAnsi="仿宋" w:eastAsia="仿宋" w:cs="仿宋"/>
                <w:color w:val="auto"/>
                <w:kern w:val="2"/>
                <w:sz w:val="21"/>
                <w:szCs w:val="21"/>
                <w:shd w:val="clear" w:color="auto" w:fill="auto"/>
                <w:lang w:val="en-US" w:eastAsia="zh-CN" w:bidi="ar-SA"/>
              </w:rPr>
              <w:t>支付至已完成媒体投放或广告部分合同价款的100%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4" w:hRule="atLeast"/>
          <w:jc w:val="center"/>
        </w:trPr>
        <w:tc>
          <w:tcPr>
            <w:tcW w:w="1167" w:type="dxa"/>
            <w:vMerge w:val="continue"/>
            <w:noWrap w:val="0"/>
            <w:vAlign w:val="center"/>
          </w:tcPr>
          <w:p>
            <w:pPr>
              <w:pStyle w:val="208"/>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kern w:val="2"/>
                <w:sz w:val="21"/>
                <w:szCs w:val="21"/>
                <w:shd w:val="clear" w:color="auto" w:fill="auto"/>
                <w:lang w:val="zh-TW" w:eastAsia="zh-CN" w:bidi="ar-SA"/>
              </w:rPr>
            </w:pPr>
          </w:p>
        </w:tc>
        <w:tc>
          <w:tcPr>
            <w:tcW w:w="1167" w:type="dxa"/>
            <w:noWrap w:val="0"/>
            <w:vAlign w:val="center"/>
          </w:tcPr>
          <w:p>
            <w:pPr>
              <w:pStyle w:val="208"/>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kern w:val="2"/>
                <w:sz w:val="21"/>
                <w:szCs w:val="21"/>
                <w:shd w:val="clear" w:color="auto" w:fill="auto"/>
                <w:lang w:val="zh-TW" w:eastAsia="zh-CN" w:bidi="ar-SA"/>
              </w:rPr>
            </w:pPr>
            <w:r>
              <w:rPr>
                <w:rFonts w:hint="eastAsia" w:ascii="仿宋" w:hAnsi="仿宋" w:eastAsia="仿宋" w:cs="仿宋"/>
                <w:color w:val="auto"/>
                <w:kern w:val="2"/>
                <w:sz w:val="21"/>
                <w:szCs w:val="21"/>
                <w:shd w:val="clear" w:color="auto" w:fill="auto"/>
                <w:lang w:val="en-US" w:eastAsia="zh-CN" w:bidi="ar-SA"/>
              </w:rPr>
              <w:t>关于TOD综合开发模式研究及推广</w:t>
            </w:r>
          </w:p>
        </w:tc>
        <w:tc>
          <w:tcPr>
            <w:tcW w:w="4006" w:type="dxa"/>
            <w:noWrap w:val="0"/>
            <w:vAlign w:val="center"/>
          </w:tcPr>
          <w:p>
            <w:pPr>
              <w:pStyle w:val="208"/>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kern w:val="2"/>
                <w:sz w:val="21"/>
                <w:szCs w:val="21"/>
                <w:shd w:val="clear" w:color="auto" w:fill="auto"/>
                <w:lang w:val="zh-TW" w:eastAsia="zh-CN" w:bidi="ar-SA"/>
              </w:rPr>
            </w:pPr>
            <w:r>
              <w:rPr>
                <w:rFonts w:hint="eastAsia" w:ascii="仿宋" w:hAnsi="仿宋" w:eastAsia="仿宋" w:cs="仿宋"/>
                <w:color w:val="auto"/>
                <w:kern w:val="2"/>
                <w:sz w:val="21"/>
                <w:szCs w:val="21"/>
                <w:shd w:val="clear" w:color="auto" w:fill="auto"/>
                <w:lang w:val="en-US" w:eastAsia="zh-CN" w:bidi="ar-SA"/>
              </w:rPr>
              <w:t>乙方启动该项工作后支付该项费用的10%；完成研究报告大纲并经甲方确认通过后支付该项费用的20%；完成研究报告初稿并经甲方确认后支付该项费用的60%，研究报告按甲方要求修改完成并确认通过，且完成对外发布后支付剩余10%款项。</w:t>
            </w:r>
          </w:p>
        </w:tc>
        <w:tc>
          <w:tcPr>
            <w:tcW w:w="2604" w:type="dxa"/>
            <w:noWrap w:val="0"/>
            <w:vAlign w:val="center"/>
          </w:tcPr>
          <w:p>
            <w:pPr>
              <w:pStyle w:val="208"/>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 w:hAnsi="仿宋" w:eastAsia="仿宋" w:cs="仿宋"/>
                <w:color w:val="auto"/>
                <w:kern w:val="2"/>
                <w:sz w:val="21"/>
                <w:szCs w:val="21"/>
                <w:shd w:val="clear" w:color="auto" w:fill="auto"/>
                <w:lang w:val="en-US" w:eastAsia="zh-CN" w:bidi="ar-SA"/>
              </w:rPr>
            </w:pPr>
            <w:r>
              <w:rPr>
                <w:rFonts w:hint="eastAsia" w:ascii="仿宋" w:hAnsi="仿宋" w:eastAsia="仿宋" w:cs="仿宋"/>
                <w:color w:val="auto"/>
                <w:kern w:val="2"/>
                <w:sz w:val="21"/>
                <w:szCs w:val="21"/>
                <w:shd w:val="clear" w:color="auto" w:fill="auto"/>
                <w:lang w:val="en-US" w:eastAsia="zh-CN" w:bidi="ar-SA"/>
              </w:rPr>
              <w:t>支按支付条件所列里程碑节点支付，最高不超过该部分合同价款的100%</w:t>
            </w:r>
          </w:p>
        </w:tc>
      </w:tr>
    </w:tbl>
    <w:p>
      <w:pPr>
        <w:pStyle w:val="47"/>
        <w:rPr>
          <w:rFonts w:hint="default" w:ascii="宋体" w:hAnsi="宋体"/>
          <w:color w:val="auto"/>
          <w:sz w:val="24"/>
          <w:szCs w:val="24"/>
          <w:highlight w:val="none"/>
          <w:shd w:val="clear" w:color="auto" w:fill="auto"/>
        </w:rPr>
      </w:pPr>
    </w:p>
    <w:p>
      <w:pPr>
        <w:adjustRightInd w:val="0"/>
        <w:snapToGrid w:val="0"/>
        <w:spacing w:line="360" w:lineRule="auto"/>
        <w:ind w:firstLine="480" w:firstLineChars="200"/>
        <w:rPr>
          <w:rFonts w:hint="eastAsia" w:ascii="宋体" w:hAnsi="宋体"/>
          <w:color w:val="auto"/>
          <w:sz w:val="24"/>
          <w:szCs w:val="24"/>
          <w:highlight w:val="none"/>
          <w:shd w:val="clear" w:color="auto" w:fill="auto"/>
          <w:lang w:val="en-US" w:eastAsia="zh-CN"/>
        </w:rPr>
      </w:pPr>
    </w:p>
    <w:p>
      <w:pPr>
        <w:adjustRightInd w:val="0"/>
        <w:snapToGrid w:val="0"/>
        <w:spacing w:line="360" w:lineRule="auto"/>
        <w:ind w:firstLine="480" w:firstLineChars="200"/>
        <w:rPr>
          <w:rFonts w:hint="eastAsia"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每次付款应由乙方根据合同规定提出付款申请，经甲方审核通过后</w:t>
      </w:r>
      <w:r>
        <w:rPr>
          <w:rFonts w:hint="eastAsia" w:ascii="宋体" w:hAnsi="宋体"/>
          <w:color w:val="auto"/>
          <w:sz w:val="24"/>
          <w:szCs w:val="24"/>
          <w:highlight w:val="none"/>
          <w:shd w:val="clear" w:color="auto" w:fill="auto"/>
          <w:lang w:val="en-US" w:eastAsia="zh-CN"/>
        </w:rPr>
        <w:t>21</w:t>
      </w:r>
      <w:r>
        <w:rPr>
          <w:rFonts w:hint="eastAsia" w:ascii="宋体" w:hAnsi="宋体"/>
          <w:color w:val="auto"/>
          <w:sz w:val="24"/>
          <w:szCs w:val="24"/>
          <w:highlight w:val="none"/>
          <w:shd w:val="clear" w:color="auto" w:fill="auto"/>
        </w:rPr>
        <w:t>个工作日内支付。</w:t>
      </w:r>
    </w:p>
    <w:permEnd w:id="0"/>
    <w:p>
      <w:pPr>
        <w:adjustRightInd w:val="0"/>
        <w:snapToGrid w:val="0"/>
        <w:spacing w:line="360" w:lineRule="auto"/>
        <w:ind w:firstLine="480" w:firstLineChars="200"/>
        <w:rPr>
          <w:rFonts w:hint="eastAsia"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（2</w:t>
      </w:r>
      <w:r>
        <w:rPr>
          <w:rFonts w:ascii="宋体" w:hAnsi="宋体"/>
          <w:color w:val="auto"/>
          <w:sz w:val="24"/>
          <w:szCs w:val="24"/>
          <w:highlight w:val="none"/>
          <w:shd w:val="clear" w:color="auto" w:fill="auto"/>
        </w:rPr>
        <w:t>）</w:t>
      </w:r>
      <w:r>
        <w:rPr>
          <w:rFonts w:hint="eastAsia" w:ascii="宋体" w:hAnsi="宋体"/>
          <w:color w:val="auto"/>
          <w:sz w:val="24"/>
          <w:szCs w:val="24"/>
          <w:highlight w:val="none"/>
          <w:shd w:val="clear" w:color="auto" w:fill="auto"/>
        </w:rPr>
        <w:t>乙方应在甲方付款前，向甲方提供正式的增值税专用发票，否则甲方有权拒绝付款，且并不因此承担任何违约责任，乙方仍应按本合同约定履行义务。</w:t>
      </w:r>
      <w:bookmarkStart w:id="113" w:name="_Toc144605000"/>
      <w:bookmarkEnd w:id="113"/>
    </w:p>
    <w:p>
      <w:pPr>
        <w:pStyle w:val="47"/>
        <w:numPr>
          <w:ilvl w:val="0"/>
          <w:numId w:val="0"/>
        </w:numPr>
        <w:ind w:leftChars="200"/>
        <w:rPr>
          <w:color w:val="auto"/>
          <w:highlight w:val="none"/>
          <w:shd w:val="clear" w:color="auto" w:fill="auto"/>
        </w:rPr>
      </w:pPr>
    </w:p>
    <w:p>
      <w:pPr>
        <w:tabs>
          <w:tab w:val="left" w:pos="840"/>
        </w:tabs>
        <w:adjustRightInd w:val="0"/>
        <w:snapToGrid w:val="0"/>
        <w:spacing w:line="360"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（三）违约条款</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1.根据项目需要，甲方有权对相关服务的全部或部分项目执行或取消或甲方要求暂停制作或终止本合同，未开始执行的甲方不承担费用，已开始执行的，乙方可要求甲方支付对经甲方确认的乙方已完成的工作量部分费用，乙方不得要求其他补偿或赔偿。</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2.在合同期内，若乙方的工作质量达不到甲方的要求的，累计或连续发生三次以上的，甲方可解除本合同。</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3.乙方不能按合同约定之要求及期限或甲方调整后的期限按时完成各项工作，包括乙方未按甲方或合同要求及时、准确提供甲方所需之稿件、电子文件等，或相关方案、策划，不按甲方要求按时按量执行宣传推广渠道等或其它迟延提供服务的行为，均视为乙方违约。每逾期1日，甲方有权</w:t>
      </w:r>
      <w:r>
        <w:rPr>
          <w:rFonts w:hint="eastAsia" w:ascii="宋体" w:hAnsi="宋体"/>
          <w:color w:val="auto"/>
          <w:sz w:val="24"/>
          <w:szCs w:val="24"/>
          <w:highlight w:val="none"/>
          <w:shd w:val="clear" w:color="auto" w:fill="auto"/>
          <w:lang w:val="en-US" w:eastAsia="zh-CN"/>
        </w:rPr>
        <w:t>要求乙方按每天人民币1000元支付违约金</w:t>
      </w:r>
      <w:r>
        <w:rPr>
          <w:rFonts w:hint="eastAsia" w:ascii="宋体" w:hAnsi="宋体"/>
          <w:color w:val="auto"/>
          <w:sz w:val="24"/>
          <w:szCs w:val="24"/>
          <w:highlight w:val="none"/>
          <w:shd w:val="clear" w:color="auto" w:fill="auto"/>
        </w:rPr>
        <w:t>，该违约金可直接在应付</w:t>
      </w:r>
      <w:r>
        <w:rPr>
          <w:rFonts w:hint="eastAsia" w:ascii="宋体" w:hAnsi="宋体"/>
          <w:color w:val="auto"/>
          <w:sz w:val="24"/>
          <w:szCs w:val="24"/>
          <w:highlight w:val="none"/>
          <w:shd w:val="clear" w:color="auto" w:fill="auto"/>
          <w:lang w:val="en-US" w:eastAsia="zh-CN"/>
        </w:rPr>
        <w:t>的费用</w:t>
      </w:r>
      <w:r>
        <w:rPr>
          <w:rFonts w:hint="eastAsia" w:ascii="宋体" w:hAnsi="宋体"/>
          <w:color w:val="auto"/>
          <w:sz w:val="24"/>
          <w:szCs w:val="24"/>
          <w:highlight w:val="none"/>
          <w:shd w:val="clear" w:color="auto" w:fill="auto"/>
        </w:rPr>
        <w:t>中予以扣除</w:t>
      </w:r>
      <w:r>
        <w:rPr>
          <w:rFonts w:hint="eastAsia" w:ascii="宋体" w:hAnsi="宋体"/>
          <w:color w:val="auto"/>
          <w:sz w:val="24"/>
          <w:szCs w:val="24"/>
          <w:highlight w:val="none"/>
          <w:shd w:val="clear" w:color="auto" w:fill="auto"/>
          <w:lang w:eastAsia="zh-CN"/>
        </w:rPr>
        <w:t>；</w:t>
      </w:r>
      <w:r>
        <w:rPr>
          <w:rFonts w:hint="eastAsia" w:ascii="宋体" w:hAnsi="宋体"/>
          <w:color w:val="auto"/>
          <w:sz w:val="24"/>
          <w:szCs w:val="24"/>
          <w:highlight w:val="none"/>
          <w:shd w:val="clear" w:color="auto" w:fill="auto"/>
        </w:rPr>
        <w:t>并承担因乙方迟延交付工作给甲方造成的全部损失。逾期达</w:t>
      </w:r>
      <w:r>
        <w:rPr>
          <w:rFonts w:hint="eastAsia" w:ascii="宋体" w:hAnsi="宋体"/>
          <w:color w:val="auto"/>
          <w:sz w:val="24"/>
          <w:szCs w:val="24"/>
          <w:highlight w:val="none"/>
          <w:shd w:val="clear" w:color="auto" w:fill="auto"/>
          <w:lang w:val="en-US" w:eastAsia="zh-CN"/>
        </w:rPr>
        <w:t>5</w:t>
      </w:r>
      <w:r>
        <w:rPr>
          <w:rFonts w:hint="eastAsia" w:ascii="宋体" w:hAnsi="宋体"/>
          <w:color w:val="auto"/>
          <w:sz w:val="24"/>
          <w:szCs w:val="24"/>
          <w:highlight w:val="none"/>
          <w:shd w:val="clear" w:color="auto" w:fill="auto"/>
        </w:rPr>
        <w:t>日的，甲方有权解除本合同</w:t>
      </w:r>
      <w:r>
        <w:rPr>
          <w:rFonts w:hint="eastAsia" w:ascii="宋体" w:hAnsi="宋体"/>
          <w:color w:val="auto"/>
          <w:sz w:val="24"/>
          <w:szCs w:val="24"/>
          <w:highlight w:val="none"/>
          <w:shd w:val="clear" w:color="auto" w:fill="auto"/>
          <w:lang w:eastAsia="zh-CN"/>
        </w:rPr>
        <w:t>，</w:t>
      </w:r>
      <w:r>
        <w:rPr>
          <w:rFonts w:hint="eastAsia" w:ascii="宋体" w:hAnsi="宋体"/>
          <w:color w:val="auto"/>
          <w:sz w:val="24"/>
          <w:szCs w:val="24"/>
          <w:highlight w:val="none"/>
          <w:shd w:val="clear" w:color="auto" w:fill="auto"/>
        </w:rPr>
        <w:t>乙方除应按合同总金额的15%支付违约金外，还应承担由此给甲方造成的直接、间接经济损失及相应的法律责任。如乙方所服务内容非因甲方原因发生3次以上迟延交付情况，乙方应当向甲方承担合同总金额5%的违约金，发生5次以上，甲方有权解除本合同；对此给甲方造成的损失，乙方还应赔偿甲方损失。如乙方无正当理由部分或全部不履行本合同时，甲方有权解除合同，乙方须按合同总额的20％支付违约金。</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4.合同期内，如因乙方原因造成甲方损失或损害甲方商誉的，甲方有权解除本合同。</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5.如因乙方的原因造成活动取消或不能顺利进行或不能按甲方要求按时按量执行宣传推广渠道，则视为乙方违约，甲方有权要求乙方向甲方支付相当于该次活动总金额5%的违约金，对此给甲方造成损失的，乙方还应赔偿甲方损失。</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6．如乙方实际提供的活动内容、流程及组织的人员与合同所约定的活动内容、流程不符，或者未按约定提供活动所需的物料、设施、设备，或不能按甲方要求按时按量执行宣传推广渠道，则甲方有权扣减相应的费用，且乙方必须保证活动能够顺利进行，否则，甲方有权要求乙方按该次活动总金额5%赔偿甲方损失，并由乙方退还已支付的全部款项。乙方应在甲方通知后3日内付清，逾期按应付款的日0.5%计算支付违约金。对此给甲方造成损失的，乙方还应赔偿甲方损失。</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7.乙方未经甲方许可擅自更改甲方活动方案，擅自更改推广内容、形式、平台的，甲方有权选择解除本合同或要求乙方在限定期限内完成推广服务。甲方选择解除本合同的，甲方有权拒绝向乙方支付相应的推广费用，乙方应返还甲方已支付的相关费用（如有），并每次向甲方支付合同总价款5%的违约金。甲方选择要求乙方限期完成推广的，乙方应按期完成；若延期完成推广，每次需承担合同总价款5%的违约金。</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8．如乙方在未征得甲方同意的前提下，擅自以甲方名义向任何第三方做出承诺、发布文件等，或传播、捏造或失实、夸大有关甲方及甲方关联公司的负面信息，损害甲方商誉的，甲方有权解除本合同，并停止支付剩余款项。因该负面信息造成甲方及关联公司其它损失的，乙方还应赔偿损失，同时乙方有义务负责消除因负面信息给甲方及关联公司造成的不利影响。</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9.如乙方违反本合同知识产权条款约定的义务，甲方有权解除合同，同时乙方应向甲方支付合同总额的20%的违约金；如造成甲方损失的，乙方还应赔偿甲方损失。</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10．若乙方违约，乙方除按约定承担违约责任外，还必须承担甲方因追溯乙方责任而产生的合理的调查费用、律师代理费、诉讼费（仲裁费）、业务费、审计费、交通费、餐饮费、住宿费及其它与追溯乙方责任有关的所有费用。</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11．甲方有权每场活动/推广服务后安排一次履约评价，若上述服务举办期较为密集，则每月安排一次履约评价，最后以甲方实际情况安排为准，如乙方连续两次履约评价评分分值均在80分以下，甲方可无条件单方解除该合同。</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12.甲方有权从应支付给乙方的款项中直接扣除乙方应承担的违约金等款项，如不足赔偿甲方的损失的，甲方有权继续向乙方追偿。</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13．乙方违反本合同其它约定的，经甲方书面通知限期改正或履行，而期满仍未改正或履行的，甲方有权解除本合同。</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p>
    <w:p>
      <w:pPr>
        <w:spacing w:line="312" w:lineRule="auto"/>
        <w:ind w:firstLine="482" w:firstLineChars="200"/>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六、保密</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甲方提供给乙方所有的资料、文件、图纸等，均视为保密，未经甲方书面许可，乙方不得泄漏给除甲方相关人员之外的任何个人或其他单位，不管本合同因何种原因终止，本条款一直有效，如乙方违反此条款，一经发现，甲方随时有权就此要求乙方做出不低于总合同款项15%的赔偿。</w:t>
      </w:r>
    </w:p>
    <w:p>
      <w:pPr>
        <w:spacing w:line="312" w:lineRule="auto"/>
        <w:ind w:firstLine="482" w:firstLineChars="200"/>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七、合同的变更与解除</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1、合同生效后，即具有法律约束力，除本合同有相关约定外，任何一方不得随意变更或解除合同。</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2、由于不可抗力的原因，使合同无法完全履行的时候，经双方协商，可以变更或解除合同。</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3、本合同的任何修改，由双方协商同意并另行签订补充协议。</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4、如甲方安排乙方从事本项目工作范围以外的项目或其他额外项目，双方应按照本合同的规定进行协商，经协商一致，另行签订补充协议。</w:t>
      </w:r>
    </w:p>
    <w:p>
      <w:pPr>
        <w:spacing w:line="312" w:lineRule="auto"/>
        <w:ind w:firstLine="482" w:firstLineChars="200"/>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八、争议解决</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 xml:space="preserve">在合同履行过程中发生争议，甲乙双方应当协商解决。如协商不成，任何一方均有权将争议提交甲方所在地法院诉讼解决。 </w:t>
      </w:r>
    </w:p>
    <w:p>
      <w:pPr>
        <w:spacing w:line="312" w:lineRule="auto"/>
        <w:ind w:firstLine="482" w:firstLineChars="200"/>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九、其他</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1、本合同经双方法定代表人或授权代表签字，并加盖公章或合同专用章后即为生效。</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2、本合同的任何修改，由双方协商同意并另行签订补充合同。</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3、本合同一式拾份，正本一式贰份，甲乙双方各执壹份，副本一式捌份，甲方柒份，乙方壹份。正本与副本不一致，以正本为准。</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附件1</w:t>
      </w:r>
      <w:r>
        <w:rPr>
          <w:rFonts w:ascii="宋体" w:hAnsi="宋体"/>
          <w:color w:val="auto"/>
          <w:spacing w:val="-4"/>
          <w:sz w:val="24"/>
          <w:szCs w:val="24"/>
          <w:highlight w:val="none"/>
          <w:shd w:val="clear" w:color="auto" w:fill="auto"/>
        </w:rPr>
        <w:t>.</w:t>
      </w:r>
      <w:r>
        <w:rPr>
          <w:rFonts w:hint="eastAsia"/>
          <w:color w:val="auto"/>
          <w:highlight w:val="none"/>
          <w:shd w:val="clear" w:color="auto" w:fill="auto"/>
        </w:rPr>
        <w:t xml:space="preserve"> </w:t>
      </w:r>
      <w:r>
        <w:rPr>
          <w:rFonts w:hint="eastAsia" w:ascii="宋体" w:hAnsi="宋体"/>
          <w:color w:val="auto"/>
          <w:spacing w:val="-4"/>
          <w:sz w:val="24"/>
          <w:szCs w:val="24"/>
          <w:highlight w:val="none"/>
          <w:shd w:val="clear" w:color="auto" w:fill="auto"/>
        </w:rPr>
        <w:t>服务清单价格明细表</w:t>
      </w:r>
    </w:p>
    <w:p>
      <w:pPr>
        <w:tabs>
          <w:tab w:val="left" w:pos="840"/>
        </w:tabs>
        <w:adjustRightInd w:val="0"/>
        <w:snapToGrid w:val="0"/>
        <w:spacing w:line="312" w:lineRule="auto"/>
        <w:ind w:firstLine="928" w:firstLineChars="4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2</w:t>
      </w:r>
      <w:r>
        <w:rPr>
          <w:rFonts w:ascii="宋体" w:hAnsi="宋体"/>
          <w:color w:val="auto"/>
          <w:spacing w:val="-4"/>
          <w:sz w:val="24"/>
          <w:szCs w:val="24"/>
          <w:highlight w:val="none"/>
          <w:shd w:val="clear" w:color="auto" w:fill="auto"/>
        </w:rPr>
        <w:t xml:space="preserve">. </w:t>
      </w:r>
      <w:r>
        <w:rPr>
          <w:rFonts w:hint="eastAsia" w:ascii="宋体" w:hAnsi="宋体"/>
          <w:color w:val="auto"/>
          <w:spacing w:val="-4"/>
          <w:sz w:val="24"/>
          <w:szCs w:val="24"/>
          <w:highlight w:val="none"/>
          <w:shd w:val="clear" w:color="auto" w:fill="auto"/>
        </w:rPr>
        <w:t>合同执行阶段履约评价表</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 xml:space="preserve">    </w:t>
      </w:r>
    </w:p>
    <w:p>
      <w:pPr>
        <w:spacing w:line="312" w:lineRule="auto"/>
        <w:rPr>
          <w:rFonts w:ascii="宋体" w:hAnsi="宋体"/>
          <w:color w:val="auto"/>
          <w:spacing w:val="-4"/>
          <w:sz w:val="24"/>
          <w:szCs w:val="24"/>
          <w:highlight w:val="none"/>
          <w:shd w:val="clear" w:color="auto" w:fill="auto"/>
        </w:rPr>
      </w:pPr>
    </w:p>
    <w:tbl>
      <w:tblPr>
        <w:tblStyle w:val="48"/>
        <w:tblW w:w="10173" w:type="dxa"/>
        <w:tblInd w:w="-318" w:type="dxa"/>
        <w:tblLayout w:type="fixed"/>
        <w:tblCellMar>
          <w:top w:w="0" w:type="dxa"/>
          <w:left w:w="108" w:type="dxa"/>
          <w:bottom w:w="0" w:type="dxa"/>
          <w:right w:w="108" w:type="dxa"/>
        </w:tblCellMar>
      </w:tblPr>
      <w:tblGrid>
        <w:gridCol w:w="2238"/>
        <w:gridCol w:w="541"/>
        <w:gridCol w:w="2072"/>
        <w:gridCol w:w="166"/>
        <w:gridCol w:w="2072"/>
        <w:gridCol w:w="846"/>
        <w:gridCol w:w="2238"/>
      </w:tblGrid>
      <w:tr>
        <w:tblPrEx>
          <w:tblCellMar>
            <w:top w:w="0" w:type="dxa"/>
            <w:left w:w="108" w:type="dxa"/>
            <w:bottom w:w="0" w:type="dxa"/>
            <w:right w:w="108" w:type="dxa"/>
          </w:tblCellMar>
        </w:tblPrEx>
        <w:trPr>
          <w:trHeight w:val="812" w:hRule="exact"/>
        </w:trPr>
        <w:tc>
          <w:tcPr>
            <w:tcW w:w="2238" w:type="dxa"/>
          </w:tcPr>
          <w:p>
            <w:pPr>
              <w:rPr>
                <w:rFonts w:ascii="宋体" w:hAnsi="宋体"/>
                <w:b/>
                <w:color w:val="auto"/>
                <w:sz w:val="30"/>
                <w:szCs w:val="30"/>
                <w:highlight w:val="none"/>
                <w:shd w:val="clear" w:color="auto" w:fill="auto"/>
              </w:rPr>
            </w:pPr>
            <w:r>
              <w:rPr>
                <w:rFonts w:hint="eastAsia" w:ascii="宋体" w:hAnsi="宋体"/>
                <w:b/>
                <w:color w:val="auto"/>
                <w:sz w:val="30"/>
                <w:szCs w:val="30"/>
                <w:highlight w:val="none"/>
                <w:shd w:val="clear" w:color="auto" w:fill="auto"/>
              </w:rPr>
              <w:t>甲方</w:t>
            </w:r>
            <w:r>
              <w:rPr>
                <w:rFonts w:ascii="宋体" w:hAnsi="宋体"/>
                <w:b/>
                <w:color w:val="auto"/>
                <w:sz w:val="30"/>
                <w:szCs w:val="30"/>
                <w:highlight w:val="none"/>
                <w:shd w:val="clear" w:color="auto" w:fill="auto"/>
              </w:rPr>
              <w:t>(</w:t>
            </w:r>
            <w:r>
              <w:rPr>
                <w:rFonts w:hint="eastAsia" w:ascii="宋体" w:hAnsi="宋体"/>
                <w:b/>
                <w:color w:val="auto"/>
                <w:sz w:val="30"/>
                <w:szCs w:val="30"/>
                <w:highlight w:val="none"/>
                <w:shd w:val="clear" w:color="auto" w:fill="auto"/>
              </w:rPr>
              <w:t>盖</w:t>
            </w:r>
            <w:r>
              <w:rPr>
                <w:rFonts w:ascii="宋体" w:hAnsi="宋体"/>
                <w:b/>
                <w:color w:val="auto"/>
                <w:sz w:val="30"/>
                <w:szCs w:val="30"/>
                <w:highlight w:val="none"/>
                <w:shd w:val="clear" w:color="auto" w:fill="auto"/>
              </w:rPr>
              <w:t>章)：</w:t>
            </w:r>
          </w:p>
        </w:tc>
        <w:tc>
          <w:tcPr>
            <w:tcW w:w="2779" w:type="dxa"/>
            <w:gridSpan w:val="3"/>
          </w:tcPr>
          <w:p>
            <w:pPr>
              <w:spacing w:before="25" w:line="240" w:lineRule="atLeast"/>
              <w:rPr>
                <w:rFonts w:ascii="宋体" w:hAnsi="宋体"/>
                <w:b/>
                <w:color w:val="auto"/>
                <w:sz w:val="28"/>
                <w:szCs w:val="28"/>
                <w:highlight w:val="none"/>
                <w:shd w:val="clear" w:color="auto" w:fill="auto"/>
              </w:rPr>
            </w:pPr>
          </w:p>
        </w:tc>
        <w:tc>
          <w:tcPr>
            <w:tcW w:w="2072" w:type="dxa"/>
          </w:tcPr>
          <w:p>
            <w:pPr>
              <w:spacing w:line="240" w:lineRule="atLeast"/>
              <w:rPr>
                <w:rFonts w:ascii="宋体" w:hAnsi="宋体"/>
                <w:b/>
                <w:color w:val="auto"/>
                <w:sz w:val="28"/>
                <w:szCs w:val="28"/>
                <w:highlight w:val="none"/>
                <w:shd w:val="clear" w:color="auto" w:fill="auto"/>
              </w:rPr>
            </w:pPr>
            <w:r>
              <w:rPr>
                <w:rFonts w:ascii="宋体" w:hAnsi="宋体"/>
                <w:b/>
                <w:color w:val="auto"/>
                <w:sz w:val="28"/>
                <w:szCs w:val="28"/>
                <w:highlight w:val="none"/>
                <w:shd w:val="clear" w:color="auto" w:fill="auto"/>
              </w:rPr>
              <w:t>法定代表人</w:t>
            </w:r>
            <w:r>
              <w:rPr>
                <w:rFonts w:hint="eastAsia" w:ascii="宋体" w:hAnsi="宋体"/>
                <w:b/>
                <w:color w:val="auto"/>
                <w:sz w:val="28"/>
                <w:szCs w:val="28"/>
                <w:highlight w:val="none"/>
                <w:shd w:val="clear" w:color="auto" w:fill="auto"/>
              </w:rPr>
              <w:t>或授权代表</w:t>
            </w:r>
            <w:r>
              <w:rPr>
                <w:rFonts w:ascii="宋体" w:hAnsi="宋体"/>
                <w:b/>
                <w:color w:val="auto"/>
                <w:sz w:val="28"/>
                <w:szCs w:val="28"/>
                <w:highlight w:val="none"/>
                <w:shd w:val="clear" w:color="auto" w:fill="auto"/>
              </w:rPr>
              <w:t>：</w:t>
            </w:r>
          </w:p>
        </w:tc>
        <w:tc>
          <w:tcPr>
            <w:tcW w:w="3084" w:type="dxa"/>
            <w:gridSpan w:val="2"/>
          </w:tcPr>
          <w:p>
            <w:pPr>
              <w:rPr>
                <w:rFonts w:ascii="宋体" w:hAnsi="宋体"/>
                <w:color w:val="auto"/>
                <w:sz w:val="24"/>
                <w:highlight w:val="none"/>
                <w:shd w:val="clear" w:color="auto" w:fill="auto"/>
              </w:rPr>
            </w:pPr>
          </w:p>
        </w:tc>
      </w:tr>
      <w:tr>
        <w:tblPrEx>
          <w:tblCellMar>
            <w:top w:w="0" w:type="dxa"/>
            <w:left w:w="108" w:type="dxa"/>
            <w:bottom w:w="0" w:type="dxa"/>
            <w:right w:w="108" w:type="dxa"/>
          </w:tblCellMar>
        </w:tblPrEx>
        <w:trPr>
          <w:trHeight w:val="852" w:hRule="exact"/>
        </w:trPr>
        <w:tc>
          <w:tcPr>
            <w:tcW w:w="2238" w:type="dxa"/>
          </w:tcPr>
          <w:p>
            <w:pPr>
              <w:rPr>
                <w:rFonts w:ascii="宋体" w:hAnsi="宋体"/>
                <w:color w:val="auto"/>
                <w:sz w:val="24"/>
                <w:highlight w:val="none"/>
                <w:shd w:val="clear" w:color="auto" w:fill="auto"/>
              </w:rPr>
            </w:pPr>
            <w:r>
              <w:rPr>
                <w:rFonts w:ascii="宋体" w:hAnsi="宋体"/>
                <w:color w:val="auto"/>
                <w:sz w:val="24"/>
                <w:highlight w:val="none"/>
                <w:shd w:val="clear" w:color="auto" w:fill="auto"/>
              </w:rPr>
              <w:t>住    所：</w:t>
            </w:r>
          </w:p>
        </w:tc>
        <w:tc>
          <w:tcPr>
            <w:tcW w:w="2779" w:type="dxa"/>
            <w:gridSpan w:val="3"/>
          </w:tcPr>
          <w:p>
            <w:pPr>
              <w:rPr>
                <w:rFonts w:ascii="宋体" w:hAnsi="宋体"/>
                <w:color w:val="auto"/>
                <w:sz w:val="24"/>
                <w:highlight w:val="none"/>
                <w:shd w:val="clear" w:color="auto" w:fill="auto"/>
              </w:rPr>
            </w:pPr>
          </w:p>
        </w:tc>
        <w:tc>
          <w:tcPr>
            <w:tcW w:w="2072" w:type="dxa"/>
          </w:tcPr>
          <w:p>
            <w:pPr>
              <w:rPr>
                <w:rFonts w:ascii="宋体" w:hAnsi="宋体"/>
                <w:color w:val="auto"/>
                <w:sz w:val="24"/>
                <w:highlight w:val="none"/>
                <w:shd w:val="clear" w:color="auto" w:fill="auto"/>
              </w:rPr>
            </w:pPr>
          </w:p>
        </w:tc>
        <w:tc>
          <w:tcPr>
            <w:tcW w:w="3084" w:type="dxa"/>
            <w:gridSpan w:val="2"/>
          </w:tcPr>
          <w:p>
            <w:pPr>
              <w:rPr>
                <w:rFonts w:ascii="宋体" w:hAnsi="宋体"/>
                <w:color w:val="auto"/>
                <w:sz w:val="24"/>
                <w:highlight w:val="none"/>
                <w:shd w:val="clear" w:color="auto" w:fill="auto"/>
              </w:rPr>
            </w:pPr>
          </w:p>
        </w:tc>
      </w:tr>
      <w:tr>
        <w:tblPrEx>
          <w:tblCellMar>
            <w:top w:w="0" w:type="dxa"/>
            <w:left w:w="108" w:type="dxa"/>
            <w:bottom w:w="0" w:type="dxa"/>
            <w:right w:w="108" w:type="dxa"/>
          </w:tblCellMar>
        </w:tblPrEx>
        <w:trPr>
          <w:trHeight w:val="566" w:hRule="exact"/>
        </w:trPr>
        <w:tc>
          <w:tcPr>
            <w:tcW w:w="2238" w:type="dxa"/>
          </w:tcPr>
          <w:p>
            <w:pPr>
              <w:rPr>
                <w:rFonts w:ascii="宋体" w:hAnsi="宋体"/>
                <w:color w:val="auto"/>
                <w:sz w:val="24"/>
                <w:highlight w:val="none"/>
                <w:shd w:val="clear" w:color="auto" w:fill="auto"/>
              </w:rPr>
            </w:pPr>
            <w:r>
              <w:rPr>
                <w:rFonts w:ascii="宋体" w:hAnsi="宋体"/>
                <w:color w:val="auto"/>
                <w:sz w:val="24"/>
                <w:highlight w:val="none"/>
                <w:shd w:val="clear" w:color="auto" w:fill="auto"/>
              </w:rPr>
              <w:t>电    话：</w:t>
            </w:r>
          </w:p>
        </w:tc>
        <w:tc>
          <w:tcPr>
            <w:tcW w:w="2779" w:type="dxa"/>
            <w:gridSpan w:val="3"/>
          </w:tcPr>
          <w:p>
            <w:pPr>
              <w:rPr>
                <w:rFonts w:ascii="宋体" w:hAnsi="宋体"/>
                <w:color w:val="auto"/>
                <w:sz w:val="24"/>
                <w:highlight w:val="none"/>
                <w:shd w:val="clear" w:color="auto" w:fill="auto"/>
              </w:rPr>
            </w:pPr>
          </w:p>
        </w:tc>
        <w:tc>
          <w:tcPr>
            <w:tcW w:w="2072" w:type="dxa"/>
          </w:tcPr>
          <w:p>
            <w:pPr>
              <w:rPr>
                <w:rFonts w:ascii="宋体" w:hAnsi="宋体"/>
                <w:color w:val="auto"/>
                <w:sz w:val="24"/>
                <w:highlight w:val="none"/>
                <w:shd w:val="clear" w:color="auto" w:fill="auto"/>
              </w:rPr>
            </w:pPr>
            <w:r>
              <w:rPr>
                <w:rFonts w:ascii="宋体" w:hAnsi="宋体"/>
                <w:color w:val="auto"/>
                <w:sz w:val="24"/>
                <w:highlight w:val="none"/>
                <w:shd w:val="clear" w:color="auto" w:fill="auto"/>
              </w:rPr>
              <w:t>传    真：</w:t>
            </w:r>
          </w:p>
        </w:tc>
        <w:tc>
          <w:tcPr>
            <w:tcW w:w="3084" w:type="dxa"/>
            <w:gridSpan w:val="2"/>
          </w:tcPr>
          <w:p>
            <w:pPr>
              <w:rPr>
                <w:rFonts w:ascii="宋体" w:hAnsi="宋体"/>
                <w:color w:val="auto"/>
                <w:sz w:val="24"/>
                <w:highlight w:val="none"/>
                <w:shd w:val="clear" w:color="auto" w:fill="auto"/>
              </w:rPr>
            </w:pPr>
          </w:p>
        </w:tc>
      </w:tr>
      <w:tr>
        <w:tblPrEx>
          <w:tblCellMar>
            <w:top w:w="0" w:type="dxa"/>
            <w:left w:w="108" w:type="dxa"/>
            <w:bottom w:w="0" w:type="dxa"/>
            <w:right w:w="108" w:type="dxa"/>
          </w:tblCellMar>
        </w:tblPrEx>
        <w:trPr>
          <w:trHeight w:val="716" w:hRule="exact"/>
        </w:trPr>
        <w:tc>
          <w:tcPr>
            <w:tcW w:w="2238" w:type="dxa"/>
          </w:tcPr>
          <w:p>
            <w:pPr>
              <w:rPr>
                <w:rFonts w:ascii="宋体" w:hAnsi="宋体"/>
                <w:color w:val="auto"/>
                <w:sz w:val="24"/>
                <w:highlight w:val="none"/>
                <w:shd w:val="clear" w:color="auto" w:fill="auto"/>
              </w:rPr>
            </w:pPr>
            <w:r>
              <w:rPr>
                <w:rFonts w:ascii="宋体" w:hAnsi="宋体"/>
                <w:color w:val="auto"/>
                <w:sz w:val="24"/>
                <w:highlight w:val="none"/>
                <w:shd w:val="clear" w:color="auto" w:fill="auto"/>
              </w:rPr>
              <w:t>开户银行：</w:t>
            </w:r>
          </w:p>
        </w:tc>
        <w:tc>
          <w:tcPr>
            <w:tcW w:w="2779" w:type="dxa"/>
            <w:gridSpan w:val="3"/>
          </w:tcPr>
          <w:p>
            <w:pPr>
              <w:rPr>
                <w:rFonts w:ascii="宋体" w:hAnsi="宋体"/>
                <w:color w:val="auto"/>
                <w:sz w:val="24"/>
                <w:highlight w:val="none"/>
                <w:shd w:val="clear" w:color="auto" w:fill="auto"/>
              </w:rPr>
            </w:pPr>
          </w:p>
        </w:tc>
        <w:tc>
          <w:tcPr>
            <w:tcW w:w="2072" w:type="dxa"/>
          </w:tcPr>
          <w:p>
            <w:pPr>
              <w:rPr>
                <w:rFonts w:ascii="宋体" w:hAnsi="宋体"/>
                <w:color w:val="auto"/>
                <w:sz w:val="24"/>
                <w:highlight w:val="none"/>
                <w:shd w:val="clear" w:color="auto" w:fill="auto"/>
              </w:rPr>
            </w:pPr>
            <w:r>
              <w:rPr>
                <w:rFonts w:ascii="宋体" w:hAnsi="宋体"/>
                <w:color w:val="auto"/>
                <w:sz w:val="24"/>
                <w:highlight w:val="none"/>
                <w:shd w:val="clear" w:color="auto" w:fill="auto"/>
              </w:rPr>
              <w:t>开户全名：</w:t>
            </w:r>
          </w:p>
        </w:tc>
        <w:tc>
          <w:tcPr>
            <w:tcW w:w="3084" w:type="dxa"/>
            <w:gridSpan w:val="2"/>
          </w:tcPr>
          <w:p>
            <w:pPr>
              <w:rPr>
                <w:rFonts w:ascii="宋体" w:hAnsi="宋体"/>
                <w:color w:val="auto"/>
                <w:sz w:val="24"/>
                <w:highlight w:val="none"/>
                <w:shd w:val="clear" w:color="auto" w:fill="auto"/>
              </w:rPr>
            </w:pPr>
          </w:p>
        </w:tc>
      </w:tr>
      <w:tr>
        <w:tblPrEx>
          <w:tblCellMar>
            <w:top w:w="0" w:type="dxa"/>
            <w:left w:w="108" w:type="dxa"/>
            <w:bottom w:w="0" w:type="dxa"/>
            <w:right w:w="108" w:type="dxa"/>
          </w:tblCellMar>
        </w:tblPrEx>
        <w:trPr>
          <w:trHeight w:val="699" w:hRule="exact"/>
        </w:trPr>
        <w:tc>
          <w:tcPr>
            <w:tcW w:w="2238" w:type="dxa"/>
          </w:tcPr>
          <w:p>
            <w:pPr>
              <w:jc w:val="left"/>
              <w:rPr>
                <w:rFonts w:ascii="宋体" w:hAnsi="宋体"/>
                <w:color w:val="auto"/>
                <w:sz w:val="24"/>
                <w:highlight w:val="none"/>
                <w:shd w:val="clear" w:color="auto" w:fill="auto"/>
              </w:rPr>
            </w:pPr>
            <w:r>
              <w:rPr>
                <w:rFonts w:ascii="宋体" w:hAnsi="宋体"/>
                <w:color w:val="auto"/>
                <w:sz w:val="24"/>
                <w:highlight w:val="none"/>
                <w:shd w:val="clear" w:color="auto" w:fill="auto"/>
              </w:rPr>
              <w:t xml:space="preserve">账  </w:t>
            </w:r>
            <w:r>
              <w:rPr>
                <w:rFonts w:hint="eastAsia" w:ascii="宋体" w:hAnsi="宋体"/>
                <w:color w:val="auto"/>
                <w:sz w:val="24"/>
                <w:highlight w:val="none"/>
                <w:shd w:val="clear" w:color="auto" w:fill="auto"/>
              </w:rPr>
              <w:t xml:space="preserve"> </w:t>
            </w:r>
            <w:r>
              <w:rPr>
                <w:rFonts w:ascii="宋体" w:hAnsi="宋体"/>
                <w:color w:val="auto"/>
                <w:sz w:val="24"/>
                <w:highlight w:val="none"/>
                <w:shd w:val="clear" w:color="auto" w:fill="auto"/>
              </w:rPr>
              <w:t xml:space="preserve"> 号</w:t>
            </w:r>
            <w:r>
              <w:rPr>
                <w:rFonts w:hint="eastAsia" w:ascii="宋体" w:hAnsi="宋体"/>
                <w:color w:val="auto"/>
                <w:sz w:val="24"/>
                <w:highlight w:val="none"/>
                <w:shd w:val="clear" w:color="auto" w:fill="auto"/>
              </w:rPr>
              <w:t>：</w:t>
            </w:r>
          </w:p>
        </w:tc>
        <w:tc>
          <w:tcPr>
            <w:tcW w:w="2779" w:type="dxa"/>
            <w:gridSpan w:val="3"/>
          </w:tcPr>
          <w:p>
            <w:pPr>
              <w:rPr>
                <w:rFonts w:ascii="宋体" w:hAnsi="宋体"/>
                <w:color w:val="auto"/>
                <w:sz w:val="24"/>
                <w:highlight w:val="none"/>
                <w:shd w:val="clear" w:color="auto" w:fill="auto"/>
              </w:rPr>
            </w:pPr>
          </w:p>
        </w:tc>
        <w:tc>
          <w:tcPr>
            <w:tcW w:w="2072" w:type="dxa"/>
          </w:tcPr>
          <w:p>
            <w:pPr>
              <w:rPr>
                <w:rFonts w:ascii="宋体" w:hAnsi="宋体"/>
                <w:color w:val="auto"/>
                <w:sz w:val="24"/>
                <w:highlight w:val="none"/>
                <w:shd w:val="clear" w:color="auto" w:fill="auto"/>
              </w:rPr>
            </w:pPr>
            <w:r>
              <w:rPr>
                <w:rFonts w:ascii="宋体" w:hAnsi="宋体"/>
                <w:color w:val="auto"/>
                <w:sz w:val="24"/>
                <w:highlight w:val="none"/>
                <w:shd w:val="clear" w:color="auto" w:fill="auto"/>
              </w:rPr>
              <w:t>邮政编码：</w:t>
            </w:r>
          </w:p>
        </w:tc>
        <w:tc>
          <w:tcPr>
            <w:tcW w:w="3084" w:type="dxa"/>
            <w:gridSpan w:val="2"/>
          </w:tcPr>
          <w:p>
            <w:pPr>
              <w:rPr>
                <w:rFonts w:ascii="宋体" w:hAnsi="宋体"/>
                <w:color w:val="auto"/>
                <w:sz w:val="24"/>
                <w:highlight w:val="none"/>
                <w:shd w:val="clear" w:color="auto" w:fill="auto"/>
              </w:rPr>
            </w:pPr>
          </w:p>
        </w:tc>
      </w:tr>
      <w:tr>
        <w:tblPrEx>
          <w:tblCellMar>
            <w:top w:w="0" w:type="dxa"/>
            <w:left w:w="108" w:type="dxa"/>
            <w:bottom w:w="0" w:type="dxa"/>
            <w:right w:w="108" w:type="dxa"/>
          </w:tblCellMar>
        </w:tblPrEx>
        <w:trPr>
          <w:trHeight w:val="978" w:hRule="exact"/>
        </w:trPr>
        <w:tc>
          <w:tcPr>
            <w:tcW w:w="2238" w:type="dxa"/>
          </w:tcPr>
          <w:p>
            <w:pPr>
              <w:rPr>
                <w:rFonts w:ascii="宋体" w:hAnsi="宋体"/>
                <w:color w:val="auto"/>
                <w:sz w:val="24"/>
                <w:highlight w:val="none"/>
                <w:shd w:val="clear" w:color="auto" w:fill="auto"/>
              </w:rPr>
            </w:pPr>
            <w:r>
              <w:rPr>
                <w:rFonts w:hint="eastAsia" w:ascii="宋体" w:hAnsi="宋体"/>
                <w:color w:val="auto"/>
                <w:sz w:val="24"/>
                <w:highlight w:val="none"/>
                <w:shd w:val="clear" w:color="auto" w:fill="auto"/>
              </w:rPr>
              <w:t>项目主管部门经办人及电话：</w:t>
            </w:r>
          </w:p>
        </w:tc>
        <w:tc>
          <w:tcPr>
            <w:tcW w:w="2779" w:type="dxa"/>
            <w:gridSpan w:val="3"/>
          </w:tcPr>
          <w:p>
            <w:pPr>
              <w:rPr>
                <w:rFonts w:ascii="宋体" w:hAnsi="宋体"/>
                <w:color w:val="auto"/>
                <w:szCs w:val="21"/>
                <w:highlight w:val="none"/>
                <w:shd w:val="clear" w:color="auto" w:fill="auto"/>
              </w:rPr>
            </w:pPr>
          </w:p>
        </w:tc>
        <w:tc>
          <w:tcPr>
            <w:tcW w:w="2072" w:type="dxa"/>
          </w:tcPr>
          <w:p>
            <w:pPr>
              <w:rPr>
                <w:rFonts w:ascii="宋体" w:hAnsi="宋体"/>
                <w:color w:val="auto"/>
                <w:sz w:val="24"/>
                <w:highlight w:val="none"/>
                <w:shd w:val="clear" w:color="auto" w:fill="auto"/>
              </w:rPr>
            </w:pPr>
            <w:r>
              <w:rPr>
                <w:rFonts w:hint="eastAsia" w:ascii="宋体" w:hAnsi="宋体"/>
                <w:color w:val="auto"/>
                <w:sz w:val="24"/>
                <w:highlight w:val="none"/>
                <w:shd w:val="clear" w:color="auto" w:fill="auto"/>
              </w:rPr>
              <w:t>项目主管部门审核人：</w:t>
            </w:r>
          </w:p>
        </w:tc>
        <w:tc>
          <w:tcPr>
            <w:tcW w:w="3084" w:type="dxa"/>
            <w:gridSpan w:val="2"/>
          </w:tcPr>
          <w:p>
            <w:pPr>
              <w:rPr>
                <w:rFonts w:ascii="宋体" w:hAnsi="宋体"/>
                <w:color w:val="auto"/>
                <w:szCs w:val="21"/>
                <w:highlight w:val="none"/>
                <w:shd w:val="clear" w:color="auto" w:fill="auto"/>
              </w:rPr>
            </w:pPr>
          </w:p>
        </w:tc>
      </w:tr>
      <w:tr>
        <w:tblPrEx>
          <w:tblCellMar>
            <w:top w:w="0" w:type="dxa"/>
            <w:left w:w="108" w:type="dxa"/>
            <w:bottom w:w="0" w:type="dxa"/>
            <w:right w:w="108" w:type="dxa"/>
          </w:tblCellMar>
        </w:tblPrEx>
        <w:trPr>
          <w:trHeight w:val="1721" w:hRule="exact"/>
        </w:trPr>
        <w:tc>
          <w:tcPr>
            <w:tcW w:w="2238" w:type="dxa"/>
          </w:tcPr>
          <w:p>
            <w:pPr>
              <w:rPr>
                <w:rFonts w:ascii="宋体" w:hAnsi="宋体"/>
                <w:color w:val="auto"/>
                <w:sz w:val="24"/>
                <w:highlight w:val="none"/>
                <w:shd w:val="clear" w:color="auto" w:fill="auto"/>
              </w:rPr>
            </w:pPr>
            <w:r>
              <w:rPr>
                <w:rFonts w:hint="eastAsia" w:ascii="宋体" w:hAnsi="宋体"/>
                <w:color w:val="auto"/>
                <w:sz w:val="24"/>
                <w:highlight w:val="none"/>
                <w:shd w:val="clear" w:color="auto" w:fill="auto"/>
              </w:rPr>
              <w:t>合约部门经办人及电话:</w:t>
            </w:r>
          </w:p>
          <w:p>
            <w:pPr>
              <w:rPr>
                <w:rFonts w:ascii="宋体" w:hAnsi="宋体"/>
                <w:color w:val="auto"/>
                <w:sz w:val="24"/>
                <w:highlight w:val="none"/>
                <w:shd w:val="clear" w:color="auto" w:fill="auto"/>
              </w:rPr>
            </w:pPr>
          </w:p>
          <w:p>
            <w:pPr>
              <w:rPr>
                <w:rFonts w:ascii="宋体" w:hAnsi="宋体"/>
                <w:color w:val="auto"/>
                <w:sz w:val="24"/>
                <w:highlight w:val="none"/>
                <w:shd w:val="clear" w:color="auto" w:fill="auto"/>
              </w:rPr>
            </w:pPr>
          </w:p>
        </w:tc>
        <w:tc>
          <w:tcPr>
            <w:tcW w:w="2779" w:type="dxa"/>
            <w:gridSpan w:val="3"/>
          </w:tcPr>
          <w:p>
            <w:pPr>
              <w:rPr>
                <w:rFonts w:ascii="宋体" w:hAnsi="宋体"/>
                <w:color w:val="auto"/>
                <w:szCs w:val="21"/>
                <w:highlight w:val="none"/>
                <w:shd w:val="clear" w:color="auto" w:fill="auto"/>
              </w:rPr>
            </w:pPr>
          </w:p>
        </w:tc>
        <w:tc>
          <w:tcPr>
            <w:tcW w:w="2072" w:type="dxa"/>
          </w:tcPr>
          <w:p>
            <w:pPr>
              <w:rPr>
                <w:rFonts w:ascii="宋体" w:hAnsi="宋体"/>
                <w:color w:val="auto"/>
                <w:sz w:val="24"/>
                <w:highlight w:val="none"/>
                <w:shd w:val="clear" w:color="auto" w:fill="auto"/>
              </w:rPr>
            </w:pPr>
            <w:r>
              <w:rPr>
                <w:rFonts w:hint="eastAsia" w:ascii="宋体" w:hAnsi="宋体"/>
                <w:color w:val="auto"/>
                <w:sz w:val="24"/>
                <w:highlight w:val="none"/>
                <w:shd w:val="clear" w:color="auto" w:fill="auto"/>
              </w:rPr>
              <w:t>合约部门审核人：</w:t>
            </w:r>
          </w:p>
        </w:tc>
        <w:tc>
          <w:tcPr>
            <w:tcW w:w="3084" w:type="dxa"/>
            <w:gridSpan w:val="2"/>
          </w:tcPr>
          <w:p>
            <w:pPr>
              <w:rPr>
                <w:rFonts w:ascii="宋体" w:hAnsi="宋体"/>
                <w:color w:val="auto"/>
                <w:szCs w:val="21"/>
                <w:highlight w:val="none"/>
                <w:shd w:val="clear" w:color="auto" w:fill="auto"/>
              </w:rPr>
            </w:pPr>
          </w:p>
          <w:p>
            <w:pPr>
              <w:rPr>
                <w:rFonts w:ascii="宋体" w:hAnsi="宋体"/>
                <w:color w:val="auto"/>
                <w:szCs w:val="21"/>
                <w:highlight w:val="none"/>
                <w:shd w:val="clear" w:color="auto" w:fill="auto"/>
              </w:rPr>
            </w:pPr>
          </w:p>
          <w:p>
            <w:pPr>
              <w:rPr>
                <w:rFonts w:ascii="宋体" w:hAnsi="宋体"/>
                <w:color w:val="auto"/>
                <w:szCs w:val="21"/>
                <w:highlight w:val="none"/>
                <w:shd w:val="clear" w:color="auto" w:fill="auto"/>
              </w:rPr>
            </w:pPr>
          </w:p>
          <w:p>
            <w:pPr>
              <w:rPr>
                <w:rFonts w:ascii="宋体" w:hAnsi="宋体"/>
                <w:color w:val="auto"/>
                <w:szCs w:val="21"/>
                <w:highlight w:val="none"/>
                <w:shd w:val="clear" w:color="auto" w:fill="auto"/>
              </w:rPr>
            </w:pPr>
          </w:p>
          <w:p>
            <w:pPr>
              <w:rPr>
                <w:rFonts w:ascii="宋体" w:hAnsi="宋体"/>
                <w:color w:val="auto"/>
                <w:szCs w:val="21"/>
                <w:highlight w:val="none"/>
                <w:shd w:val="clear" w:color="auto" w:fill="auto"/>
              </w:rPr>
            </w:pPr>
          </w:p>
        </w:tc>
      </w:tr>
      <w:tr>
        <w:tblPrEx>
          <w:tblCellMar>
            <w:top w:w="0" w:type="dxa"/>
            <w:left w:w="108" w:type="dxa"/>
            <w:bottom w:w="0" w:type="dxa"/>
            <w:right w:w="108" w:type="dxa"/>
          </w:tblCellMar>
        </w:tblPrEx>
        <w:trPr>
          <w:gridAfter w:val="1"/>
          <w:wAfter w:w="2238" w:type="dxa"/>
          <w:trHeight w:val="66" w:hRule="exact"/>
        </w:trPr>
        <w:tc>
          <w:tcPr>
            <w:tcW w:w="2779" w:type="dxa"/>
            <w:gridSpan w:val="2"/>
          </w:tcPr>
          <w:p>
            <w:pPr>
              <w:adjustRightInd w:val="0"/>
              <w:snapToGrid w:val="0"/>
              <w:spacing w:line="360" w:lineRule="auto"/>
              <w:rPr>
                <w:rFonts w:ascii="宋体" w:hAnsi="宋体"/>
                <w:color w:val="auto"/>
                <w:sz w:val="24"/>
                <w:szCs w:val="24"/>
                <w:highlight w:val="none"/>
                <w:shd w:val="clear" w:color="auto" w:fill="auto"/>
              </w:rPr>
            </w:pPr>
          </w:p>
        </w:tc>
        <w:tc>
          <w:tcPr>
            <w:tcW w:w="2072" w:type="dxa"/>
          </w:tcPr>
          <w:p>
            <w:pPr>
              <w:adjustRightInd w:val="0"/>
              <w:snapToGrid w:val="0"/>
              <w:spacing w:line="360" w:lineRule="auto"/>
              <w:rPr>
                <w:rFonts w:ascii="宋体" w:hAnsi="宋体"/>
                <w:color w:val="auto"/>
                <w:sz w:val="24"/>
                <w:szCs w:val="24"/>
                <w:highlight w:val="none"/>
                <w:shd w:val="clear" w:color="auto" w:fill="auto"/>
              </w:rPr>
            </w:pPr>
          </w:p>
        </w:tc>
        <w:tc>
          <w:tcPr>
            <w:tcW w:w="3084" w:type="dxa"/>
            <w:gridSpan w:val="3"/>
          </w:tcPr>
          <w:p>
            <w:pPr>
              <w:adjustRightInd w:val="0"/>
              <w:snapToGrid w:val="0"/>
              <w:spacing w:line="360" w:lineRule="auto"/>
              <w:rPr>
                <w:rFonts w:ascii="宋体" w:hAnsi="宋体"/>
                <w:color w:val="auto"/>
                <w:sz w:val="24"/>
                <w:szCs w:val="24"/>
                <w:highlight w:val="none"/>
                <w:shd w:val="clear" w:color="auto" w:fill="auto"/>
              </w:rPr>
            </w:pPr>
          </w:p>
        </w:tc>
      </w:tr>
      <w:tr>
        <w:tblPrEx>
          <w:tblCellMar>
            <w:top w:w="0" w:type="dxa"/>
            <w:left w:w="108" w:type="dxa"/>
            <w:bottom w:w="0" w:type="dxa"/>
            <w:right w:w="108" w:type="dxa"/>
          </w:tblCellMar>
        </w:tblPrEx>
        <w:trPr>
          <w:trHeight w:val="776" w:hRule="exact"/>
        </w:trPr>
        <w:tc>
          <w:tcPr>
            <w:tcW w:w="2238" w:type="dxa"/>
          </w:tcPr>
          <w:p>
            <w:pPr>
              <w:adjustRightInd w:val="0"/>
              <w:snapToGrid w:val="0"/>
              <w:spacing w:line="360" w:lineRule="auto"/>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乙方</w:t>
            </w:r>
            <w:r>
              <w:rPr>
                <w:rFonts w:ascii="宋体" w:hAnsi="宋体"/>
                <w:b/>
                <w:color w:val="auto"/>
                <w:sz w:val="24"/>
                <w:szCs w:val="24"/>
                <w:highlight w:val="none"/>
                <w:shd w:val="clear" w:color="auto" w:fill="auto"/>
              </w:rPr>
              <w:t>(</w:t>
            </w:r>
            <w:r>
              <w:rPr>
                <w:rFonts w:hint="eastAsia" w:ascii="宋体" w:hAnsi="宋体"/>
                <w:b/>
                <w:color w:val="auto"/>
                <w:sz w:val="24"/>
                <w:szCs w:val="24"/>
                <w:highlight w:val="none"/>
                <w:shd w:val="clear" w:color="auto" w:fill="auto"/>
              </w:rPr>
              <w:t>盖</w:t>
            </w:r>
            <w:r>
              <w:rPr>
                <w:rFonts w:ascii="宋体" w:hAnsi="宋体"/>
                <w:b/>
                <w:color w:val="auto"/>
                <w:sz w:val="24"/>
                <w:szCs w:val="24"/>
                <w:highlight w:val="none"/>
                <w:shd w:val="clear" w:color="auto" w:fill="auto"/>
              </w:rPr>
              <w:t>章)：</w:t>
            </w:r>
          </w:p>
        </w:tc>
        <w:tc>
          <w:tcPr>
            <w:tcW w:w="2779" w:type="dxa"/>
            <w:gridSpan w:val="3"/>
          </w:tcPr>
          <w:p>
            <w:pPr>
              <w:adjustRightInd w:val="0"/>
              <w:snapToGrid w:val="0"/>
              <w:spacing w:line="360" w:lineRule="auto"/>
              <w:rPr>
                <w:rFonts w:ascii="宋体" w:hAnsi="宋体"/>
                <w:b/>
                <w:color w:val="auto"/>
                <w:sz w:val="24"/>
                <w:szCs w:val="24"/>
                <w:highlight w:val="none"/>
                <w:shd w:val="clear" w:color="auto" w:fill="auto"/>
              </w:rPr>
            </w:pPr>
          </w:p>
        </w:tc>
        <w:tc>
          <w:tcPr>
            <w:tcW w:w="2072" w:type="dxa"/>
          </w:tcPr>
          <w:p>
            <w:pPr>
              <w:adjustRightInd w:val="0"/>
              <w:snapToGrid w:val="0"/>
              <w:spacing w:line="360" w:lineRule="auto"/>
              <w:rPr>
                <w:rFonts w:ascii="宋体" w:hAnsi="宋体"/>
                <w:b/>
                <w:color w:val="auto"/>
                <w:sz w:val="24"/>
                <w:szCs w:val="24"/>
                <w:highlight w:val="none"/>
                <w:shd w:val="clear" w:color="auto" w:fill="auto"/>
              </w:rPr>
            </w:pPr>
            <w:r>
              <w:rPr>
                <w:rFonts w:ascii="宋体" w:hAnsi="宋体"/>
                <w:b/>
                <w:color w:val="auto"/>
                <w:sz w:val="24"/>
                <w:szCs w:val="24"/>
                <w:highlight w:val="none"/>
                <w:shd w:val="clear" w:color="auto" w:fill="auto"/>
              </w:rPr>
              <w:t>法定代表人</w:t>
            </w:r>
            <w:r>
              <w:rPr>
                <w:rFonts w:hint="eastAsia" w:ascii="宋体" w:hAnsi="宋体"/>
                <w:b/>
                <w:color w:val="auto"/>
                <w:sz w:val="24"/>
                <w:szCs w:val="24"/>
                <w:highlight w:val="none"/>
                <w:shd w:val="clear" w:color="auto" w:fill="auto"/>
              </w:rPr>
              <w:t>或授权代表</w:t>
            </w:r>
            <w:r>
              <w:rPr>
                <w:rFonts w:ascii="宋体" w:hAnsi="宋体"/>
                <w:b/>
                <w:color w:val="auto"/>
                <w:sz w:val="24"/>
                <w:szCs w:val="24"/>
                <w:highlight w:val="none"/>
                <w:shd w:val="clear" w:color="auto" w:fill="auto"/>
              </w:rPr>
              <w:t>：</w:t>
            </w:r>
          </w:p>
        </w:tc>
        <w:tc>
          <w:tcPr>
            <w:tcW w:w="3084" w:type="dxa"/>
            <w:gridSpan w:val="2"/>
          </w:tcPr>
          <w:p>
            <w:pPr>
              <w:adjustRightInd w:val="0"/>
              <w:snapToGrid w:val="0"/>
              <w:spacing w:line="360" w:lineRule="auto"/>
              <w:rPr>
                <w:rFonts w:ascii="宋体" w:hAnsi="宋体"/>
                <w:color w:val="auto"/>
                <w:sz w:val="24"/>
                <w:szCs w:val="24"/>
                <w:highlight w:val="none"/>
                <w:shd w:val="clear" w:color="auto" w:fill="auto"/>
              </w:rPr>
            </w:pPr>
          </w:p>
        </w:tc>
      </w:tr>
      <w:tr>
        <w:tblPrEx>
          <w:tblCellMar>
            <w:top w:w="0" w:type="dxa"/>
            <w:left w:w="108" w:type="dxa"/>
            <w:bottom w:w="0" w:type="dxa"/>
            <w:right w:w="108" w:type="dxa"/>
          </w:tblCellMar>
        </w:tblPrEx>
        <w:trPr>
          <w:trHeight w:val="709" w:hRule="exact"/>
        </w:trPr>
        <w:tc>
          <w:tcPr>
            <w:tcW w:w="2238" w:type="dxa"/>
          </w:tcPr>
          <w:p>
            <w:pPr>
              <w:adjustRightInd w:val="0"/>
              <w:snapToGrid w:val="0"/>
              <w:spacing w:line="360" w:lineRule="auto"/>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住    所：</w:t>
            </w:r>
          </w:p>
        </w:tc>
        <w:tc>
          <w:tcPr>
            <w:tcW w:w="2779" w:type="dxa"/>
            <w:gridSpan w:val="3"/>
          </w:tcPr>
          <w:p>
            <w:pPr>
              <w:adjustRightInd w:val="0"/>
              <w:snapToGrid w:val="0"/>
              <w:spacing w:line="360" w:lineRule="auto"/>
              <w:rPr>
                <w:rFonts w:ascii="宋体" w:hAnsi="宋体"/>
                <w:color w:val="auto"/>
                <w:sz w:val="24"/>
                <w:szCs w:val="24"/>
                <w:highlight w:val="none"/>
                <w:shd w:val="clear" w:color="auto" w:fill="auto"/>
              </w:rPr>
            </w:pPr>
          </w:p>
          <w:p>
            <w:pPr>
              <w:adjustRightInd w:val="0"/>
              <w:snapToGrid w:val="0"/>
              <w:spacing w:line="360" w:lineRule="auto"/>
              <w:rPr>
                <w:rFonts w:ascii="宋体" w:hAnsi="宋体"/>
                <w:color w:val="auto"/>
                <w:sz w:val="24"/>
                <w:szCs w:val="24"/>
                <w:highlight w:val="none"/>
                <w:shd w:val="clear" w:color="auto" w:fill="auto"/>
              </w:rPr>
            </w:pPr>
          </w:p>
        </w:tc>
        <w:tc>
          <w:tcPr>
            <w:tcW w:w="2072" w:type="dxa"/>
          </w:tcPr>
          <w:p>
            <w:pPr>
              <w:adjustRightInd w:val="0"/>
              <w:snapToGrid w:val="0"/>
              <w:spacing w:line="360" w:lineRule="auto"/>
              <w:rPr>
                <w:rFonts w:ascii="宋体" w:hAnsi="宋体"/>
                <w:color w:val="auto"/>
                <w:sz w:val="24"/>
                <w:szCs w:val="24"/>
                <w:highlight w:val="none"/>
                <w:shd w:val="clear" w:color="auto" w:fill="auto"/>
              </w:rPr>
            </w:pPr>
          </w:p>
        </w:tc>
        <w:tc>
          <w:tcPr>
            <w:tcW w:w="3084" w:type="dxa"/>
            <w:gridSpan w:val="2"/>
          </w:tcPr>
          <w:p>
            <w:pPr>
              <w:adjustRightInd w:val="0"/>
              <w:snapToGrid w:val="0"/>
              <w:spacing w:line="360" w:lineRule="auto"/>
              <w:rPr>
                <w:rFonts w:ascii="宋体" w:hAnsi="宋体"/>
                <w:color w:val="auto"/>
                <w:sz w:val="24"/>
                <w:szCs w:val="24"/>
                <w:highlight w:val="none"/>
                <w:shd w:val="clear" w:color="auto" w:fill="auto"/>
              </w:rPr>
            </w:pPr>
          </w:p>
        </w:tc>
      </w:tr>
      <w:tr>
        <w:tblPrEx>
          <w:tblCellMar>
            <w:top w:w="0" w:type="dxa"/>
            <w:left w:w="108" w:type="dxa"/>
            <w:bottom w:w="0" w:type="dxa"/>
            <w:right w:w="108" w:type="dxa"/>
          </w:tblCellMar>
        </w:tblPrEx>
        <w:trPr>
          <w:trHeight w:val="568" w:hRule="exact"/>
        </w:trPr>
        <w:tc>
          <w:tcPr>
            <w:tcW w:w="2238" w:type="dxa"/>
          </w:tcPr>
          <w:p>
            <w:pPr>
              <w:adjustRightInd w:val="0"/>
              <w:snapToGrid w:val="0"/>
              <w:spacing w:line="360" w:lineRule="auto"/>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电    话：</w:t>
            </w:r>
          </w:p>
        </w:tc>
        <w:tc>
          <w:tcPr>
            <w:tcW w:w="2779" w:type="dxa"/>
            <w:gridSpan w:val="3"/>
          </w:tcPr>
          <w:p>
            <w:pPr>
              <w:adjustRightInd w:val="0"/>
              <w:snapToGrid w:val="0"/>
              <w:spacing w:line="360" w:lineRule="auto"/>
              <w:rPr>
                <w:rFonts w:ascii="宋体" w:hAnsi="宋体"/>
                <w:color w:val="auto"/>
                <w:sz w:val="24"/>
                <w:szCs w:val="24"/>
                <w:highlight w:val="none"/>
                <w:shd w:val="clear" w:color="auto" w:fill="auto"/>
              </w:rPr>
            </w:pPr>
          </w:p>
        </w:tc>
        <w:tc>
          <w:tcPr>
            <w:tcW w:w="2072" w:type="dxa"/>
          </w:tcPr>
          <w:p>
            <w:pPr>
              <w:adjustRightInd w:val="0"/>
              <w:snapToGrid w:val="0"/>
              <w:spacing w:line="360" w:lineRule="auto"/>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传    真：</w:t>
            </w:r>
          </w:p>
        </w:tc>
        <w:tc>
          <w:tcPr>
            <w:tcW w:w="3084" w:type="dxa"/>
            <w:gridSpan w:val="2"/>
          </w:tcPr>
          <w:p>
            <w:pPr>
              <w:adjustRightInd w:val="0"/>
              <w:snapToGrid w:val="0"/>
              <w:spacing w:line="360" w:lineRule="auto"/>
              <w:rPr>
                <w:rFonts w:ascii="宋体" w:hAnsi="宋体"/>
                <w:color w:val="auto"/>
                <w:sz w:val="24"/>
                <w:szCs w:val="24"/>
                <w:highlight w:val="none"/>
                <w:shd w:val="clear" w:color="auto" w:fill="auto"/>
              </w:rPr>
            </w:pPr>
          </w:p>
        </w:tc>
      </w:tr>
      <w:tr>
        <w:tblPrEx>
          <w:tblCellMar>
            <w:top w:w="0" w:type="dxa"/>
            <w:left w:w="108" w:type="dxa"/>
            <w:bottom w:w="0" w:type="dxa"/>
            <w:right w:w="108" w:type="dxa"/>
          </w:tblCellMar>
        </w:tblPrEx>
        <w:trPr>
          <w:trHeight w:val="1067" w:hRule="exact"/>
        </w:trPr>
        <w:tc>
          <w:tcPr>
            <w:tcW w:w="2238" w:type="dxa"/>
          </w:tcPr>
          <w:p>
            <w:pPr>
              <w:adjustRightInd w:val="0"/>
              <w:snapToGrid w:val="0"/>
              <w:spacing w:line="360" w:lineRule="auto"/>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开户银行：</w:t>
            </w:r>
          </w:p>
        </w:tc>
        <w:tc>
          <w:tcPr>
            <w:tcW w:w="2779" w:type="dxa"/>
            <w:gridSpan w:val="3"/>
          </w:tcPr>
          <w:p>
            <w:pPr>
              <w:adjustRightInd w:val="0"/>
              <w:snapToGrid w:val="0"/>
              <w:spacing w:line="360" w:lineRule="auto"/>
              <w:rPr>
                <w:rFonts w:ascii="宋体" w:hAnsi="宋体"/>
                <w:color w:val="auto"/>
                <w:sz w:val="24"/>
                <w:szCs w:val="24"/>
                <w:highlight w:val="none"/>
                <w:shd w:val="clear" w:color="auto" w:fill="auto"/>
              </w:rPr>
            </w:pPr>
          </w:p>
        </w:tc>
        <w:tc>
          <w:tcPr>
            <w:tcW w:w="2072" w:type="dxa"/>
          </w:tcPr>
          <w:p>
            <w:pPr>
              <w:adjustRightInd w:val="0"/>
              <w:snapToGrid w:val="0"/>
              <w:spacing w:line="360" w:lineRule="auto"/>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开户全名：</w:t>
            </w:r>
          </w:p>
        </w:tc>
        <w:tc>
          <w:tcPr>
            <w:tcW w:w="3084" w:type="dxa"/>
            <w:gridSpan w:val="2"/>
          </w:tcPr>
          <w:p>
            <w:pPr>
              <w:adjustRightInd w:val="0"/>
              <w:snapToGrid w:val="0"/>
              <w:spacing w:line="360" w:lineRule="auto"/>
              <w:rPr>
                <w:rFonts w:ascii="宋体" w:hAnsi="宋体"/>
                <w:color w:val="auto"/>
                <w:sz w:val="24"/>
                <w:szCs w:val="24"/>
                <w:highlight w:val="none"/>
                <w:shd w:val="clear" w:color="auto" w:fill="auto"/>
              </w:rPr>
            </w:pPr>
          </w:p>
        </w:tc>
      </w:tr>
      <w:tr>
        <w:tblPrEx>
          <w:tblCellMar>
            <w:top w:w="0" w:type="dxa"/>
            <w:left w:w="108" w:type="dxa"/>
            <w:bottom w:w="0" w:type="dxa"/>
            <w:right w:w="108" w:type="dxa"/>
          </w:tblCellMar>
        </w:tblPrEx>
        <w:trPr>
          <w:trHeight w:val="556" w:hRule="exact"/>
        </w:trPr>
        <w:tc>
          <w:tcPr>
            <w:tcW w:w="2238" w:type="dxa"/>
          </w:tcPr>
          <w:p>
            <w:pPr>
              <w:adjustRightInd w:val="0"/>
              <w:snapToGrid w:val="0"/>
              <w:spacing w:line="360" w:lineRule="auto"/>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账    号</w:t>
            </w:r>
            <w:r>
              <w:rPr>
                <w:rFonts w:hint="eastAsia" w:ascii="宋体" w:hAnsi="宋体"/>
                <w:color w:val="auto"/>
                <w:sz w:val="24"/>
                <w:szCs w:val="24"/>
                <w:highlight w:val="none"/>
                <w:shd w:val="clear" w:color="auto" w:fill="auto"/>
              </w:rPr>
              <w:t>：</w:t>
            </w:r>
          </w:p>
        </w:tc>
        <w:tc>
          <w:tcPr>
            <w:tcW w:w="2779" w:type="dxa"/>
            <w:gridSpan w:val="3"/>
          </w:tcPr>
          <w:p>
            <w:pPr>
              <w:adjustRightInd w:val="0"/>
              <w:snapToGrid w:val="0"/>
              <w:spacing w:line="360" w:lineRule="auto"/>
              <w:rPr>
                <w:rFonts w:ascii="宋体" w:hAnsi="宋体"/>
                <w:color w:val="auto"/>
                <w:sz w:val="24"/>
                <w:szCs w:val="24"/>
                <w:highlight w:val="none"/>
                <w:shd w:val="clear" w:color="auto" w:fill="auto"/>
              </w:rPr>
            </w:pPr>
          </w:p>
        </w:tc>
        <w:tc>
          <w:tcPr>
            <w:tcW w:w="2072" w:type="dxa"/>
          </w:tcPr>
          <w:p>
            <w:pPr>
              <w:adjustRightInd w:val="0"/>
              <w:snapToGrid w:val="0"/>
              <w:spacing w:line="360" w:lineRule="auto"/>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邮政编码：</w:t>
            </w:r>
          </w:p>
        </w:tc>
        <w:tc>
          <w:tcPr>
            <w:tcW w:w="3084" w:type="dxa"/>
            <w:gridSpan w:val="2"/>
          </w:tcPr>
          <w:p>
            <w:pPr>
              <w:adjustRightInd w:val="0"/>
              <w:snapToGrid w:val="0"/>
              <w:spacing w:line="360" w:lineRule="auto"/>
              <w:rPr>
                <w:rFonts w:ascii="宋体" w:hAnsi="宋体"/>
                <w:color w:val="auto"/>
                <w:sz w:val="24"/>
                <w:szCs w:val="24"/>
                <w:highlight w:val="none"/>
                <w:shd w:val="clear" w:color="auto" w:fill="auto"/>
              </w:rPr>
            </w:pPr>
          </w:p>
        </w:tc>
      </w:tr>
      <w:tr>
        <w:tblPrEx>
          <w:tblCellMar>
            <w:top w:w="0" w:type="dxa"/>
            <w:left w:w="108" w:type="dxa"/>
            <w:bottom w:w="0" w:type="dxa"/>
            <w:right w:w="108" w:type="dxa"/>
          </w:tblCellMar>
        </w:tblPrEx>
        <w:trPr>
          <w:trHeight w:val="562" w:hRule="exact"/>
        </w:trPr>
        <w:tc>
          <w:tcPr>
            <w:tcW w:w="2238" w:type="dxa"/>
          </w:tcPr>
          <w:p>
            <w:pPr>
              <w:adjustRightInd w:val="0"/>
              <w:snapToGrid w:val="0"/>
              <w:spacing w:line="360" w:lineRule="auto"/>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乙方经办人：</w:t>
            </w:r>
          </w:p>
        </w:tc>
        <w:tc>
          <w:tcPr>
            <w:tcW w:w="2779" w:type="dxa"/>
            <w:gridSpan w:val="3"/>
          </w:tcPr>
          <w:p>
            <w:pPr>
              <w:adjustRightInd w:val="0"/>
              <w:snapToGrid w:val="0"/>
              <w:spacing w:line="360" w:lineRule="auto"/>
              <w:rPr>
                <w:rFonts w:ascii="宋体" w:hAnsi="宋体"/>
                <w:color w:val="auto"/>
                <w:sz w:val="24"/>
                <w:szCs w:val="24"/>
                <w:highlight w:val="none"/>
                <w:shd w:val="clear" w:color="auto" w:fill="auto"/>
              </w:rPr>
            </w:pPr>
          </w:p>
        </w:tc>
        <w:tc>
          <w:tcPr>
            <w:tcW w:w="2072" w:type="dxa"/>
          </w:tcPr>
          <w:p>
            <w:pPr>
              <w:adjustRightInd w:val="0"/>
              <w:snapToGrid w:val="0"/>
              <w:spacing w:line="360" w:lineRule="auto"/>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乙方经办人电话：</w:t>
            </w:r>
          </w:p>
        </w:tc>
        <w:tc>
          <w:tcPr>
            <w:tcW w:w="3084" w:type="dxa"/>
            <w:gridSpan w:val="2"/>
          </w:tcPr>
          <w:p>
            <w:pPr>
              <w:adjustRightInd w:val="0"/>
              <w:snapToGrid w:val="0"/>
              <w:spacing w:line="360" w:lineRule="auto"/>
              <w:rPr>
                <w:rFonts w:ascii="宋体" w:hAnsi="宋体"/>
                <w:color w:val="auto"/>
                <w:sz w:val="24"/>
                <w:szCs w:val="24"/>
                <w:highlight w:val="none"/>
                <w:shd w:val="clear" w:color="auto" w:fill="auto"/>
              </w:rPr>
            </w:pPr>
          </w:p>
        </w:tc>
      </w:tr>
      <w:tr>
        <w:tblPrEx>
          <w:tblCellMar>
            <w:top w:w="0" w:type="dxa"/>
            <w:left w:w="108" w:type="dxa"/>
            <w:bottom w:w="0" w:type="dxa"/>
            <w:right w:w="108" w:type="dxa"/>
          </w:tblCellMar>
        </w:tblPrEx>
        <w:trPr>
          <w:trHeight w:val="570" w:hRule="exact"/>
        </w:trPr>
        <w:tc>
          <w:tcPr>
            <w:tcW w:w="2238" w:type="dxa"/>
          </w:tcPr>
          <w:p>
            <w:pPr>
              <w:adjustRightInd w:val="0"/>
              <w:snapToGrid w:val="0"/>
              <w:spacing w:line="360" w:lineRule="auto"/>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合同签署地点：</w:t>
            </w:r>
          </w:p>
        </w:tc>
        <w:tc>
          <w:tcPr>
            <w:tcW w:w="2779" w:type="dxa"/>
            <w:gridSpan w:val="3"/>
          </w:tcPr>
          <w:p>
            <w:pPr>
              <w:adjustRightInd w:val="0"/>
              <w:snapToGrid w:val="0"/>
              <w:spacing w:line="360" w:lineRule="auto"/>
              <w:rPr>
                <w:rFonts w:ascii="宋体" w:hAnsi="宋体"/>
                <w:b/>
                <w:color w:val="auto"/>
                <w:sz w:val="24"/>
                <w:szCs w:val="24"/>
                <w:highlight w:val="none"/>
                <w:shd w:val="clear" w:color="auto" w:fill="auto"/>
              </w:rPr>
            </w:pPr>
          </w:p>
        </w:tc>
        <w:tc>
          <w:tcPr>
            <w:tcW w:w="2072" w:type="dxa"/>
          </w:tcPr>
          <w:p>
            <w:pPr>
              <w:adjustRightInd w:val="0"/>
              <w:snapToGrid w:val="0"/>
              <w:spacing w:line="360" w:lineRule="auto"/>
              <w:rPr>
                <w:rFonts w:ascii="宋体" w:hAnsi="宋体"/>
                <w:color w:val="auto"/>
                <w:sz w:val="24"/>
                <w:szCs w:val="24"/>
                <w:highlight w:val="none"/>
                <w:shd w:val="clear" w:color="auto" w:fill="auto"/>
              </w:rPr>
            </w:pPr>
          </w:p>
        </w:tc>
        <w:tc>
          <w:tcPr>
            <w:tcW w:w="3084" w:type="dxa"/>
            <w:gridSpan w:val="2"/>
          </w:tcPr>
          <w:p>
            <w:pPr>
              <w:adjustRightInd w:val="0"/>
              <w:snapToGrid w:val="0"/>
              <w:spacing w:line="360" w:lineRule="auto"/>
              <w:rPr>
                <w:rFonts w:ascii="宋体" w:hAnsi="宋体"/>
                <w:color w:val="auto"/>
                <w:sz w:val="24"/>
                <w:szCs w:val="24"/>
                <w:highlight w:val="none"/>
                <w:shd w:val="clear" w:color="auto" w:fill="auto"/>
              </w:rPr>
            </w:pPr>
          </w:p>
        </w:tc>
      </w:tr>
      <w:tr>
        <w:tblPrEx>
          <w:tblCellMar>
            <w:top w:w="0" w:type="dxa"/>
            <w:left w:w="108" w:type="dxa"/>
            <w:bottom w:w="0" w:type="dxa"/>
            <w:right w:w="108" w:type="dxa"/>
          </w:tblCellMar>
        </w:tblPrEx>
        <w:trPr>
          <w:trHeight w:val="682" w:hRule="exact"/>
        </w:trPr>
        <w:tc>
          <w:tcPr>
            <w:tcW w:w="2238" w:type="dxa"/>
          </w:tcPr>
          <w:p>
            <w:pPr>
              <w:adjustRightInd w:val="0"/>
              <w:snapToGrid w:val="0"/>
              <w:spacing w:line="360" w:lineRule="auto"/>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时      间：</w:t>
            </w:r>
          </w:p>
        </w:tc>
        <w:tc>
          <w:tcPr>
            <w:tcW w:w="2779" w:type="dxa"/>
            <w:gridSpan w:val="3"/>
          </w:tcPr>
          <w:p>
            <w:pPr>
              <w:adjustRightInd w:val="0"/>
              <w:snapToGrid w:val="0"/>
              <w:spacing w:line="360" w:lineRule="auto"/>
              <w:rPr>
                <w:rFonts w:ascii="宋体" w:hAnsi="宋体"/>
                <w:b/>
                <w:color w:val="auto"/>
                <w:sz w:val="24"/>
                <w:szCs w:val="24"/>
                <w:highlight w:val="none"/>
                <w:shd w:val="clear" w:color="auto" w:fill="auto"/>
              </w:rPr>
            </w:pPr>
          </w:p>
        </w:tc>
        <w:tc>
          <w:tcPr>
            <w:tcW w:w="2072" w:type="dxa"/>
          </w:tcPr>
          <w:p>
            <w:pPr>
              <w:adjustRightInd w:val="0"/>
              <w:snapToGrid w:val="0"/>
              <w:spacing w:line="360" w:lineRule="auto"/>
              <w:rPr>
                <w:rFonts w:ascii="宋体" w:hAnsi="宋体"/>
                <w:color w:val="auto"/>
                <w:sz w:val="24"/>
                <w:szCs w:val="24"/>
                <w:highlight w:val="none"/>
                <w:shd w:val="clear" w:color="auto" w:fill="auto"/>
              </w:rPr>
            </w:pPr>
          </w:p>
        </w:tc>
        <w:tc>
          <w:tcPr>
            <w:tcW w:w="3084" w:type="dxa"/>
            <w:gridSpan w:val="2"/>
          </w:tcPr>
          <w:p>
            <w:pPr>
              <w:adjustRightInd w:val="0"/>
              <w:snapToGrid w:val="0"/>
              <w:spacing w:line="360" w:lineRule="auto"/>
              <w:rPr>
                <w:rFonts w:ascii="宋体" w:hAnsi="宋体"/>
                <w:color w:val="auto"/>
                <w:sz w:val="24"/>
                <w:szCs w:val="24"/>
                <w:highlight w:val="none"/>
                <w:shd w:val="clear" w:color="auto" w:fill="auto"/>
              </w:rPr>
            </w:pPr>
          </w:p>
        </w:tc>
      </w:tr>
    </w:tbl>
    <w:p>
      <w:pPr>
        <w:pStyle w:val="47"/>
        <w:ind w:firstLine="400"/>
        <w:rPr>
          <w:color w:val="auto"/>
          <w:highlight w:val="none"/>
          <w:shd w:val="clear" w:color="auto" w:fill="auto"/>
        </w:rPr>
      </w:pPr>
    </w:p>
    <w:p>
      <w:pPr>
        <w:widowControl/>
        <w:jc w:val="left"/>
        <w:rPr>
          <w:rFonts w:ascii="宋体" w:hAnsi="宋体"/>
          <w:b/>
          <w:color w:val="auto"/>
          <w:sz w:val="22"/>
          <w:szCs w:val="22"/>
          <w:highlight w:val="none"/>
          <w:shd w:val="clear" w:color="auto" w:fill="auto"/>
        </w:rPr>
      </w:pPr>
      <w:r>
        <w:rPr>
          <w:rFonts w:ascii="宋体" w:hAnsi="宋体"/>
          <w:b/>
          <w:color w:val="auto"/>
          <w:sz w:val="22"/>
          <w:szCs w:val="22"/>
          <w:highlight w:val="none"/>
          <w:shd w:val="clear" w:color="auto" w:fill="auto"/>
        </w:rPr>
        <w:br w:type="page"/>
      </w:r>
    </w:p>
    <w:p>
      <w:pPr>
        <w:rPr>
          <w:rFonts w:ascii="宋体" w:hAnsi="宋体"/>
          <w:b/>
          <w:color w:val="auto"/>
          <w:sz w:val="22"/>
          <w:szCs w:val="22"/>
          <w:highlight w:val="none"/>
          <w:shd w:val="clear" w:color="auto" w:fill="auto"/>
        </w:rPr>
      </w:pPr>
      <w:r>
        <w:rPr>
          <w:rFonts w:hint="eastAsia" w:ascii="宋体" w:hAnsi="宋体"/>
          <w:b/>
          <w:color w:val="auto"/>
          <w:sz w:val="22"/>
          <w:szCs w:val="22"/>
          <w:highlight w:val="none"/>
          <w:shd w:val="clear" w:color="auto" w:fill="auto"/>
        </w:rPr>
        <w:t>合同附件1：《服务清单价格明细表》</w:t>
      </w:r>
    </w:p>
    <w:p>
      <w:pPr>
        <w:rPr>
          <w:rFonts w:ascii="宋体" w:hAnsi="宋体"/>
          <w:b/>
          <w:color w:val="auto"/>
          <w:sz w:val="22"/>
          <w:szCs w:val="22"/>
          <w:highlight w:val="none"/>
          <w:shd w:val="clear" w:color="auto" w:fill="auto"/>
        </w:rPr>
      </w:pPr>
      <w:r>
        <w:rPr>
          <w:rFonts w:hint="eastAsia" w:ascii="宋体" w:hAnsi="宋体"/>
          <w:b/>
          <w:color w:val="auto"/>
          <w:sz w:val="22"/>
          <w:szCs w:val="22"/>
          <w:highlight w:val="none"/>
          <w:shd w:val="clear" w:color="auto" w:fill="auto"/>
        </w:rPr>
        <w:t>合同附件2：《合同执行阶段履约评价表》</w:t>
      </w:r>
    </w:p>
    <w:p>
      <w:pPr>
        <w:spacing w:line="360" w:lineRule="auto"/>
        <w:jc w:val="center"/>
        <w:rPr>
          <w:rFonts w:ascii="宋体" w:hAnsi="宋体" w:cs="宋体"/>
          <w:b/>
          <w:bCs/>
          <w:color w:val="auto"/>
          <w:kern w:val="0"/>
          <w:sz w:val="32"/>
          <w:szCs w:val="32"/>
          <w:highlight w:val="none"/>
          <w:shd w:val="clear" w:color="auto" w:fill="auto"/>
        </w:rPr>
      </w:pPr>
      <w:r>
        <w:rPr>
          <w:rFonts w:hint="eastAsia" w:ascii="宋体" w:hAnsi="宋体" w:cs="宋体"/>
          <w:b/>
          <w:bCs/>
          <w:color w:val="auto"/>
          <w:kern w:val="0"/>
          <w:sz w:val="32"/>
          <w:szCs w:val="32"/>
          <w:highlight w:val="none"/>
          <w:shd w:val="clear" w:color="auto" w:fill="auto"/>
        </w:rPr>
        <w:t>合同执行阶段履约评价表</w:t>
      </w:r>
    </w:p>
    <w:tbl>
      <w:tblPr>
        <w:tblStyle w:val="48"/>
        <w:tblW w:w="10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435"/>
        <w:gridCol w:w="1110"/>
        <w:gridCol w:w="701"/>
        <w:gridCol w:w="1480"/>
        <w:gridCol w:w="5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合同单位</w:t>
            </w:r>
          </w:p>
        </w:tc>
        <w:tc>
          <w:tcPr>
            <w:tcW w:w="224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服务项目</w:t>
            </w: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合同名称</w:t>
            </w:r>
          </w:p>
        </w:tc>
        <w:tc>
          <w:tcPr>
            <w:tcW w:w="224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合同编号</w:t>
            </w: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服务期限</w:t>
            </w:r>
          </w:p>
        </w:tc>
        <w:tc>
          <w:tcPr>
            <w:tcW w:w="224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　</w:t>
            </w:r>
            <w:r>
              <w:rPr>
                <w:rFonts w:cs="宋体" w:asciiTheme="minorEastAsia" w:hAnsiTheme="minorEastAsia" w:eastAsiaTheme="minorEastAsia"/>
                <w:color w:val="auto"/>
                <w:kern w:val="0"/>
                <w:sz w:val="16"/>
                <w:szCs w:val="16"/>
                <w:highlight w:val="none"/>
                <w:shd w:val="clear" w:color="auto" w:fill="auto"/>
              </w:rPr>
              <w:t xml:space="preserve"> </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评价类型</w:t>
            </w: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 xml:space="preserve">□单场活动/包装/推广服务履约评价 </w:t>
            </w:r>
            <w:r>
              <w:rPr>
                <w:rFonts w:cs="宋体" w:asciiTheme="minorEastAsia" w:hAnsiTheme="minorEastAsia" w:eastAsiaTheme="minorEastAsia"/>
                <w:color w:val="auto"/>
                <w:kern w:val="0"/>
                <w:sz w:val="16"/>
                <w:szCs w:val="16"/>
                <w:highlight w:val="none"/>
                <w:shd w:val="clear" w:color="auto" w:fill="auto"/>
              </w:rPr>
              <w:t xml:space="preserve">  </w:t>
            </w:r>
          </w:p>
          <w:p>
            <w:pPr>
              <w:widowControl/>
              <w:jc w:val="left"/>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 xml:space="preserve">□月度履约评价 </w:t>
            </w:r>
            <w:r>
              <w:rPr>
                <w:rFonts w:cs="宋体" w:asciiTheme="minorEastAsia" w:hAnsiTheme="minorEastAsia" w:eastAsiaTheme="minorEastAsia"/>
                <w:color w:val="auto"/>
                <w:kern w:val="0"/>
                <w:sz w:val="16"/>
                <w:szCs w:val="16"/>
                <w:highlight w:val="none"/>
                <w:shd w:val="clear" w:color="auto" w:fill="auto"/>
              </w:rPr>
              <w:t xml:space="preserve">     </w:t>
            </w:r>
            <w:r>
              <w:rPr>
                <w:rFonts w:hint="eastAsia" w:cs="宋体" w:asciiTheme="minorEastAsia" w:hAnsiTheme="minorEastAsia" w:eastAsiaTheme="minorEastAsia"/>
                <w:color w:val="auto"/>
                <w:kern w:val="0"/>
                <w:sz w:val="16"/>
                <w:szCs w:val="16"/>
                <w:highlight w:val="none"/>
                <w:shd w:val="clear" w:color="auto" w:fill="auto"/>
              </w:rPr>
              <w:t>□ 年度履约评价      □合同完毕履约评价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评价期限</w:t>
            </w:r>
          </w:p>
        </w:tc>
        <w:tc>
          <w:tcPr>
            <w:tcW w:w="224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评价具体活动/包装/推广事项</w:t>
            </w: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color w:val="auto"/>
                <w:kern w:val="0"/>
                <w:sz w:val="16"/>
                <w:szCs w:val="16"/>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0521" w:type="dxa"/>
            <w:gridSpan w:val="6"/>
            <w:tcBorders>
              <w:top w:val="single" w:color="auto" w:sz="4" w:space="0"/>
              <w:left w:val="single" w:color="auto" w:sz="4" w:space="0"/>
              <w:bottom w:val="single" w:color="auto" w:sz="4" w:space="0"/>
              <w:right w:val="single" w:color="auto" w:sz="4" w:space="0"/>
            </w:tcBorders>
            <w:vAlign w:val="center"/>
          </w:tcPr>
          <w:p>
            <w:pPr>
              <w:widowControl/>
              <w:jc w:val="left"/>
              <w:rPr>
                <w:color w:val="auto"/>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得分说明：</w:t>
            </w:r>
            <w:r>
              <w:rPr>
                <w:rFonts w:hint="eastAsia"/>
                <w:color w:val="auto"/>
                <w:sz w:val="16"/>
                <w:szCs w:val="16"/>
                <w:highlight w:val="none"/>
                <w:shd w:val="clear" w:color="auto" w:fill="auto"/>
              </w:rPr>
              <w:t>甲方有权每场活动/推广/采购服务后安排一次履约评价，若上述服务举办期较为密集，则每月安排一次履约评价，最后以甲方实际情况安排为准，如乙方连续两次履约评价评分分值均在80分以下，甲方可无条件单方解除该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2662"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类别</w:t>
            </w:r>
          </w:p>
        </w:tc>
        <w:tc>
          <w:tcPr>
            <w:tcW w:w="701"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分值</w:t>
            </w:r>
          </w:p>
        </w:tc>
        <w:tc>
          <w:tcPr>
            <w:tcW w:w="1480"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评分</w:t>
            </w:r>
          </w:p>
        </w:tc>
        <w:tc>
          <w:tcPr>
            <w:tcW w:w="5676"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得分说明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方案特色</w:t>
            </w:r>
            <w:r>
              <w:rPr>
                <w:rFonts w:hint="eastAsia" w:cs="宋体" w:asciiTheme="minorEastAsia" w:hAnsiTheme="minorEastAsia" w:eastAsiaTheme="minorEastAsia"/>
                <w:b/>
                <w:bCs/>
                <w:color w:val="auto"/>
                <w:kern w:val="0"/>
                <w:sz w:val="16"/>
                <w:szCs w:val="16"/>
                <w:highlight w:val="none"/>
                <w:shd w:val="clear" w:color="auto" w:fill="auto"/>
              </w:rPr>
              <w:br w:type="textWrapping"/>
            </w:r>
            <w:r>
              <w:rPr>
                <w:rFonts w:hint="eastAsia" w:cs="宋体" w:asciiTheme="minorEastAsia" w:hAnsiTheme="minorEastAsia" w:eastAsiaTheme="minorEastAsia"/>
                <w:b/>
                <w:bCs/>
                <w:color w:val="auto"/>
                <w:kern w:val="0"/>
                <w:sz w:val="16"/>
                <w:szCs w:val="16"/>
                <w:highlight w:val="none"/>
                <w:shd w:val="clear" w:color="auto" w:fill="auto"/>
              </w:rPr>
              <w:t>（20分）</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出品亮点出彩有创新性方案或技术建议，符合项目调性，具备市场特色</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20</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17-20：方案或技术有亮点，非常出彩，非常契合项目调性气质</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13-16：方案或技术有一定的特色，能够符合项目要求</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9-12：方案或技术一般，但能够进行执行</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5-8：方案或技术较弱，需要多次协调更改完成</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0-4：方案或技术较差，不具备可执行性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出品质量</w:t>
            </w:r>
            <w:r>
              <w:rPr>
                <w:rFonts w:hint="eastAsia" w:cs="宋体" w:asciiTheme="minorEastAsia" w:hAnsiTheme="minorEastAsia" w:eastAsiaTheme="minorEastAsia"/>
                <w:b/>
                <w:bCs/>
                <w:color w:val="auto"/>
                <w:kern w:val="0"/>
                <w:sz w:val="16"/>
                <w:szCs w:val="16"/>
                <w:highlight w:val="none"/>
                <w:shd w:val="clear" w:color="auto" w:fill="auto"/>
              </w:rPr>
              <w:br w:type="textWrapping"/>
            </w:r>
            <w:r>
              <w:rPr>
                <w:rFonts w:hint="eastAsia" w:cs="宋体" w:asciiTheme="minorEastAsia" w:hAnsiTheme="minorEastAsia" w:eastAsiaTheme="minorEastAsia"/>
                <w:b/>
                <w:bCs/>
                <w:color w:val="auto"/>
                <w:kern w:val="0"/>
                <w:sz w:val="16"/>
                <w:szCs w:val="16"/>
                <w:highlight w:val="none"/>
                <w:shd w:val="clear" w:color="auto" w:fill="auto"/>
              </w:rPr>
              <w:t>（50分）</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实际效果与提交甲方方案或甲方要求吻合度高</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50</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41-50：实际效果与提交甲方方案完全吻合、甚至超越方案</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31-40：实际效果与提交甲方方案基本吻合，差异在可接受范围</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21-30：实际效果与提交甲方方案吻合度一般，个别差距较大</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11-20：实际效果与提交甲方方案半数以上项目不吻合</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0-10：实际效果与提交甲方方案基本不吻合，给甲方造成实际性损失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1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团队服务</w:t>
            </w:r>
            <w:r>
              <w:rPr>
                <w:rFonts w:hint="eastAsia" w:cs="宋体" w:asciiTheme="minorEastAsia" w:hAnsiTheme="minorEastAsia" w:eastAsiaTheme="minorEastAsia"/>
                <w:b/>
                <w:bCs/>
                <w:color w:val="auto"/>
                <w:kern w:val="0"/>
                <w:sz w:val="16"/>
                <w:szCs w:val="16"/>
                <w:highlight w:val="none"/>
                <w:shd w:val="clear" w:color="auto" w:fill="auto"/>
              </w:rPr>
              <w:br w:type="textWrapping"/>
            </w:r>
            <w:r>
              <w:rPr>
                <w:rFonts w:hint="eastAsia" w:cs="宋体" w:asciiTheme="minorEastAsia" w:hAnsiTheme="minorEastAsia" w:eastAsiaTheme="minorEastAsia"/>
                <w:b/>
                <w:bCs/>
                <w:color w:val="auto"/>
                <w:kern w:val="0"/>
                <w:sz w:val="16"/>
                <w:szCs w:val="16"/>
                <w:highlight w:val="none"/>
                <w:shd w:val="clear" w:color="auto" w:fill="auto"/>
              </w:rPr>
              <w:t>（15分）</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配合度：相应沟通机制及反馈机制，对甲方需求的理解、配合、调整</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10</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9-10：保持主动、积极配合，沟通、理解能力强，热情服务态度</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7-8：对于需求能尽量满足，能保证活动顺利进行，态度良好</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5-6：配合度一般，沟通有1-2个障碍点，态度一般</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3-4：经常较难沟通协调，沟通不顺畅，服务不积极</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0-2：沟通困难，服务态度差，甚至出现电话关机、无人处理事务的恶劣情况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b/>
                <w:bCs/>
                <w:color w:val="auto"/>
                <w:kern w:val="0"/>
                <w:sz w:val="16"/>
                <w:szCs w:val="16"/>
                <w:highlight w:val="none"/>
                <w:shd w:val="clear" w:color="auto" w:fill="auto"/>
              </w:rPr>
            </w:pP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服务稳定：核心成员的稳定性</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5</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5：团队稳定性高，沟通主动积极及时顺畅</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4：团队稳定性较高，保持持续顺畅沟通</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3：团队稳定性一般，但能够保证正常对接</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2：团队变更，工作交接，勉强能够推进</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0-1：团队变更频繁，无交接，工作开展不顺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计划管理</w:t>
            </w:r>
            <w:r>
              <w:rPr>
                <w:rFonts w:hint="eastAsia" w:cs="宋体" w:asciiTheme="minorEastAsia" w:hAnsiTheme="minorEastAsia" w:eastAsiaTheme="minorEastAsia"/>
                <w:b/>
                <w:bCs/>
                <w:color w:val="auto"/>
                <w:kern w:val="0"/>
                <w:sz w:val="16"/>
                <w:szCs w:val="16"/>
                <w:highlight w:val="none"/>
                <w:shd w:val="clear" w:color="auto" w:fill="auto"/>
              </w:rPr>
              <w:br w:type="textWrapping"/>
            </w:r>
            <w:r>
              <w:rPr>
                <w:rFonts w:hint="eastAsia" w:cs="宋体" w:asciiTheme="minorEastAsia" w:hAnsiTheme="minorEastAsia" w:eastAsiaTheme="minorEastAsia"/>
                <w:b/>
                <w:bCs/>
                <w:color w:val="auto"/>
                <w:kern w:val="0"/>
                <w:sz w:val="16"/>
                <w:szCs w:val="16"/>
                <w:highlight w:val="none"/>
                <w:shd w:val="clear" w:color="auto" w:fill="auto"/>
              </w:rPr>
              <w:t>（10分）</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工作按照计划按节点提交成果的及时</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10</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9-10：完全按计划进行，过程中每个节点成果均按时提交</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7-8：基本按计划进行，过程中每个节点成果基本按时提交，延误在可接受范围</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5-6：大多数按照计划进行，个别重大节点延误给甲方工作顺利开展造成困扰</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3-4：基本未按计划进行，出现多个重大节点延误，给甲方工作顺利开展造成较大的困扰</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0-2：延迟完成情况较为严重，并给甲方造成实质性的损失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合约管理</w:t>
            </w:r>
            <w:r>
              <w:rPr>
                <w:rFonts w:hint="eastAsia" w:cs="宋体" w:asciiTheme="minorEastAsia" w:hAnsiTheme="minorEastAsia" w:eastAsiaTheme="minorEastAsia"/>
                <w:b/>
                <w:bCs/>
                <w:color w:val="auto"/>
                <w:kern w:val="0"/>
                <w:sz w:val="16"/>
                <w:szCs w:val="16"/>
                <w:highlight w:val="none"/>
                <w:shd w:val="clear" w:color="auto" w:fill="auto"/>
              </w:rPr>
              <w:br w:type="textWrapping"/>
            </w:r>
            <w:r>
              <w:rPr>
                <w:rFonts w:hint="eastAsia" w:cs="宋体" w:asciiTheme="minorEastAsia" w:hAnsiTheme="minorEastAsia" w:eastAsiaTheme="minorEastAsia"/>
                <w:b/>
                <w:bCs/>
                <w:color w:val="auto"/>
                <w:kern w:val="0"/>
                <w:sz w:val="16"/>
                <w:szCs w:val="16"/>
                <w:highlight w:val="none"/>
                <w:shd w:val="clear" w:color="auto" w:fill="auto"/>
              </w:rPr>
              <w:t>（5分）</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管理情况：严格按照合约完成工作成果，配合付款</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5</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5：严格按照合约出色完成工作成果，积极配合付款</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4：基本按照合约完成工作成果，比较配合付款</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3：能按照合约完成工作成果，能配合付款</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2：工作成果与合约有偏差，需要不断督促才能配合付款</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0-1：工作成果与合约相违背，不配合付款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2662"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得分合计</w:t>
            </w:r>
          </w:p>
        </w:tc>
        <w:tc>
          <w:tcPr>
            <w:tcW w:w="701"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p>
        </w:tc>
        <w:tc>
          <w:tcPr>
            <w:tcW w:w="1480"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c>
          <w:tcPr>
            <w:tcW w:w="5676"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552" w:type="dxa"/>
            <w:gridSpan w:val="2"/>
            <w:vMerge w:val="restart"/>
            <w:tcBorders>
              <w:top w:val="single" w:color="auto" w:sz="4" w:space="0"/>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加减分项</w:t>
            </w:r>
          </w:p>
        </w:tc>
        <w:tc>
          <w:tcPr>
            <w:tcW w:w="1109" w:type="dxa"/>
            <w:tcBorders>
              <w:top w:val="single" w:color="auto" w:sz="4" w:space="0"/>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严重失误</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5</w:t>
            </w:r>
          </w:p>
        </w:tc>
        <w:tc>
          <w:tcPr>
            <w:tcW w:w="1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c>
          <w:tcPr>
            <w:tcW w:w="56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因出品把控失误造成甲方名誉损失或财务损失，每违反1次扣2-3分，最多不超过5分。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552" w:type="dxa"/>
            <w:gridSpan w:val="2"/>
            <w:vMerge w:val="continue"/>
            <w:tcBorders>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p>
        </w:tc>
        <w:tc>
          <w:tcPr>
            <w:tcW w:w="1109" w:type="dxa"/>
            <w:tcBorders>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资源整合</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5</w:t>
            </w:r>
          </w:p>
        </w:tc>
        <w:tc>
          <w:tcPr>
            <w:tcW w:w="1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c>
          <w:tcPr>
            <w:tcW w:w="56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调动公司资源协助活动开展及项目销售，酌情每次加分1-2分，依次类推，最多不超过5分。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2662" w:type="dxa"/>
            <w:gridSpan w:val="3"/>
            <w:tcBorders>
              <w:left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得分汇总</w:t>
            </w:r>
          </w:p>
        </w:tc>
        <w:tc>
          <w:tcPr>
            <w:tcW w:w="701"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c>
          <w:tcPr>
            <w:tcW w:w="1480"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c>
          <w:tcPr>
            <w:tcW w:w="5676"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2662" w:type="dxa"/>
            <w:gridSpan w:val="3"/>
            <w:tcBorders>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整体评价</w:t>
            </w:r>
          </w:p>
        </w:tc>
        <w:tc>
          <w:tcPr>
            <w:tcW w:w="78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2662" w:type="dxa"/>
            <w:gridSpan w:val="3"/>
            <w:tcBorders>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评价人（签字）</w:t>
            </w:r>
          </w:p>
        </w:tc>
        <w:tc>
          <w:tcPr>
            <w:tcW w:w="78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r>
    </w:tbl>
    <w:p>
      <w:pPr>
        <w:widowControl/>
        <w:spacing w:line="480" w:lineRule="atLeast"/>
        <w:jc w:val="left"/>
        <w:rPr>
          <w:rFonts w:ascii="宋体" w:hAnsi="宋体"/>
          <w:b/>
          <w:color w:val="auto"/>
          <w:sz w:val="44"/>
          <w:szCs w:val="44"/>
          <w:highlight w:val="none"/>
          <w:shd w:val="clear" w:color="auto" w:fill="auto"/>
        </w:rPr>
      </w:pPr>
    </w:p>
    <w:sectPr>
      <w:headerReference r:id="rId6" w:type="default"/>
      <w:pgSz w:w="11907" w:h="16840"/>
      <w:pgMar w:top="1440" w:right="1134" w:bottom="1440" w:left="1440" w:header="720" w:footer="89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ourier">
    <w:altName w:val="Courier New"/>
    <w:panose1 w:val="02070409020205020404"/>
    <w:charset w:val="00"/>
    <w:family w:val="modern"/>
    <w:pitch w:val="default"/>
    <w:sig w:usb0="00000000" w:usb1="00000000" w:usb2="00000000" w:usb3="00000000" w:csb0="00000001" w:csb1="00000000"/>
  </w:font>
  <w:font w:name="Heiti SC Light">
    <w:altName w:val="微软雅黑"/>
    <w:panose1 w:val="00000000000000000000"/>
    <w:charset w:val="50"/>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font-weight : 400">
    <w:altName w:val="微软雅黑"/>
    <w:panose1 w:val="00000000000000000000"/>
    <w:charset w:val="00"/>
    <w:family w:val="auto"/>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tabs>
        <w:tab w:val="left" w:pos="5134"/>
        <w:tab w:val="clear" w:pos="4153"/>
        <w:tab w:val="clear" w:pos="8306"/>
      </w:tabs>
      <w:rPr>
        <w:sz w:val="11"/>
        <w:szCs w:val="11"/>
      </w:rPr>
    </w:pPr>
    <w:r>
      <w:rPr>
        <w:sz w:val="11"/>
        <w:szCs w:val="11"/>
      </w:rPr>
      <mc:AlternateContent>
        <mc:Choice Requires="wps">
          <w:drawing>
            <wp:anchor distT="0" distB="0" distL="114300" distR="114300" simplePos="0" relativeHeight="251659264" behindDoc="0" locked="0" layoutInCell="1" allowOverlap="1">
              <wp:simplePos x="0" y="0"/>
              <wp:positionH relativeFrom="margin">
                <wp:posOffset>2905125</wp:posOffset>
              </wp:positionH>
              <wp:positionV relativeFrom="paragraph">
                <wp:posOffset>635</wp:posOffset>
              </wp:positionV>
              <wp:extent cx="247650" cy="200025"/>
              <wp:effectExtent l="0" t="0" r="0" b="9525"/>
              <wp:wrapNone/>
              <wp:docPr id="2" name="文本框 2"/>
              <wp:cNvGraphicFramePr/>
              <a:graphic xmlns:a="http://schemas.openxmlformats.org/drawingml/2006/main">
                <a:graphicData uri="http://schemas.microsoft.com/office/word/2010/wordprocessingShape">
                  <wps:wsp>
                    <wps:cNvSpPr txBox="1"/>
                    <wps:spPr>
                      <a:xfrm>
                        <a:off x="0" y="0"/>
                        <a:ext cx="247650" cy="200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28.75pt;margin-top:0.05pt;height:15.75pt;width:19.5pt;mso-position-horizontal-relative:margin;z-index:251659264;mso-width-relative:page;mso-height-relative:page;" filled="f" stroked="f" coordsize="21600,21600" o:gfxdata="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TAVQA1AAAAAcBAAAPAAAAAAAAAAEAIAAAACIAAABkcnMvZG93bnJldi54bWxQSwECFAAU&#10;AAAACACHTuJA0tj2XS4CAABVBAAADgAAAAAAAAABACAAAAAjAQAAZHJzL2Uyb0RvYy54bWxQSwUG&#10;AAAAAAYABgBZAQAAwwUAAAAA&#10;">
              <v:fill on="f" focussize="0,0"/>
              <v:stroke on="f" weight="0.5pt"/>
              <v:imagedata o:title=""/>
              <o:lock v:ext="edit" aspectratio="f"/>
              <v:textbox inset="0mm,0mm,0mm,0mm">
                <w:txbxContent>
                  <w:p>
                    <w:pPr>
                      <w:pStyle w:val="30"/>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2FA79F"/>
    <w:multiLevelType w:val="singleLevel"/>
    <w:tmpl w:val="A92FA79F"/>
    <w:lvl w:ilvl="0" w:tentative="0">
      <w:start w:val="1"/>
      <w:numFmt w:val="decimal"/>
      <w:lvlText w:val="%1."/>
      <w:lvlJc w:val="left"/>
      <w:pPr>
        <w:ind w:left="425" w:hanging="425"/>
      </w:pPr>
      <w:rPr>
        <w:rFonts w:hint="default"/>
      </w:rPr>
    </w:lvl>
  </w:abstractNum>
  <w:abstractNum w:abstractNumId="1">
    <w:nsid w:val="B15E2B15"/>
    <w:multiLevelType w:val="multilevel"/>
    <w:tmpl w:val="B15E2B15"/>
    <w:lvl w:ilvl="0" w:tentative="0">
      <w:start w:val="1"/>
      <w:numFmt w:val="decimal"/>
      <w:lvlText w:val="(%1)"/>
      <w:lvlJc w:val="left"/>
      <w:pPr>
        <w:ind w:left="900" w:hanging="420"/>
      </w:pPr>
      <w:rPr>
        <w:rFonts w:hint="eastAsia"/>
        <w:snapToGrid w:val="0"/>
        <w:spacing w:val="20"/>
        <w:w w:val="100"/>
        <w:kern w:val="0"/>
        <w:position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C150F0BE"/>
    <w:multiLevelType w:val="singleLevel"/>
    <w:tmpl w:val="C150F0BE"/>
    <w:lvl w:ilvl="0" w:tentative="0">
      <w:start w:val="1"/>
      <w:numFmt w:val="decimal"/>
      <w:lvlText w:val="%1."/>
      <w:lvlJc w:val="left"/>
      <w:pPr>
        <w:ind w:left="425" w:hanging="425"/>
      </w:pPr>
      <w:rPr>
        <w:rFonts w:hint="default"/>
      </w:rPr>
    </w:lvl>
  </w:abstractNum>
  <w:abstractNum w:abstractNumId="3">
    <w:nsid w:val="CA6FA4D4"/>
    <w:multiLevelType w:val="multilevel"/>
    <w:tmpl w:val="CA6FA4D4"/>
    <w:lvl w:ilvl="0" w:tentative="0">
      <w:start w:val="1"/>
      <w:numFmt w:val="decimal"/>
      <w:lvlText w:val="(%1)"/>
      <w:lvlJc w:val="left"/>
      <w:pPr>
        <w:ind w:left="420" w:hanging="420"/>
      </w:pPr>
      <w:rPr>
        <w:rFonts w:hint="eastAsia"/>
        <w:snapToGrid w:val="0"/>
        <w:spacing w:val="20"/>
        <w:w w:val="100"/>
        <w:kern w:val="0"/>
        <w:position w:val="0"/>
      </w:rPr>
    </w:lvl>
    <w:lvl w:ilvl="1" w:tentative="0">
      <w:start w:val="1"/>
      <w:numFmt w:val="lowerLetter"/>
      <w:lvlText w:val="%2)"/>
      <w:lvlJc w:val="left"/>
      <w:pPr>
        <w:ind w:left="840" w:hanging="420"/>
      </w:pPr>
    </w:lvl>
    <w:lvl w:ilvl="2" w:tentative="0">
      <w:start w:val="1"/>
      <w:numFmt w:val="decimalEnclosedCircle"/>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BD052BC"/>
    <w:multiLevelType w:val="multilevel"/>
    <w:tmpl w:val="0BD052BC"/>
    <w:lvl w:ilvl="0" w:tentative="0">
      <w:start w:val="1"/>
      <w:numFmt w:val="decimal"/>
      <w:lvlText w:val="(%1)"/>
      <w:lvlJc w:val="left"/>
      <w:pPr>
        <w:ind w:left="900" w:hanging="420"/>
      </w:pPr>
      <w:rPr>
        <w:rFonts w:hint="eastAsia"/>
        <w:snapToGrid w:val="0"/>
        <w:spacing w:val="20"/>
        <w:w w:val="100"/>
        <w:kern w:val="0"/>
        <w:position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13CB962E"/>
    <w:multiLevelType w:val="singleLevel"/>
    <w:tmpl w:val="13CB962E"/>
    <w:lvl w:ilvl="0" w:tentative="0">
      <w:start w:val="1"/>
      <w:numFmt w:val="chineseCounting"/>
      <w:suff w:val="nothing"/>
      <w:lvlText w:val="（%1）"/>
      <w:lvlJc w:val="left"/>
      <w:pPr>
        <w:ind w:left="0" w:firstLine="420"/>
      </w:pPr>
      <w:rPr>
        <w:rFonts w:hint="eastAsia"/>
      </w:rPr>
    </w:lvl>
  </w:abstractNum>
  <w:abstractNum w:abstractNumId="6">
    <w:nsid w:val="16F017A3"/>
    <w:multiLevelType w:val="multilevel"/>
    <w:tmpl w:val="16F017A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AD34A3E"/>
    <w:multiLevelType w:val="multilevel"/>
    <w:tmpl w:val="1AD34A3E"/>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1AD82761"/>
    <w:multiLevelType w:val="singleLevel"/>
    <w:tmpl w:val="1AD82761"/>
    <w:lvl w:ilvl="0" w:tentative="0">
      <w:start w:val="1"/>
      <w:numFmt w:val="decimal"/>
      <w:lvlText w:val="%1."/>
      <w:lvlJc w:val="left"/>
      <w:pPr>
        <w:ind w:left="425" w:hanging="425"/>
      </w:pPr>
      <w:rPr>
        <w:rFonts w:hint="default"/>
      </w:rPr>
    </w:lvl>
  </w:abstractNum>
  <w:abstractNum w:abstractNumId="9">
    <w:nsid w:val="1BDE436E"/>
    <w:multiLevelType w:val="multilevel"/>
    <w:tmpl w:val="1BDE436E"/>
    <w:lvl w:ilvl="0" w:tentative="0">
      <w:start w:val="1"/>
      <w:numFmt w:val="decimal"/>
      <w:lvlText w:val="%1."/>
      <w:lvlJc w:val="left"/>
      <w:pPr>
        <w:ind w:left="1320" w:hanging="420"/>
      </w:p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10">
    <w:nsid w:val="1CC5723C"/>
    <w:multiLevelType w:val="multilevel"/>
    <w:tmpl w:val="1CC5723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2612280D"/>
    <w:multiLevelType w:val="multilevel"/>
    <w:tmpl w:val="2612280D"/>
    <w:lvl w:ilvl="0" w:tentative="0">
      <w:start w:val="1"/>
      <w:numFmt w:val="decimal"/>
      <w:lvlText w:val="%1."/>
      <w:lvlJc w:val="left"/>
      <w:pPr>
        <w:ind w:left="1060" w:hanging="42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2">
    <w:nsid w:val="286D25DC"/>
    <w:multiLevelType w:val="multilevel"/>
    <w:tmpl w:val="286D25DC"/>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5024449"/>
    <w:multiLevelType w:val="multilevel"/>
    <w:tmpl w:val="3502444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3D523681"/>
    <w:multiLevelType w:val="multilevel"/>
    <w:tmpl w:val="3D523681"/>
    <w:lvl w:ilvl="0" w:tentative="0">
      <w:start w:val="1"/>
      <w:numFmt w:val="decimal"/>
      <w:lvlText w:val="(%1)"/>
      <w:lvlJc w:val="left"/>
      <w:pPr>
        <w:ind w:left="420" w:hanging="420"/>
      </w:pPr>
      <w:rPr>
        <w:rFonts w:hint="eastAsia"/>
        <w:snapToGrid w:val="0"/>
        <w:spacing w:val="20"/>
        <w:w w:val="100"/>
        <w:kern w:val="0"/>
        <w:position w:val="0"/>
      </w:rPr>
    </w:lvl>
    <w:lvl w:ilvl="1" w:tentative="0">
      <w:start w:val="1"/>
      <w:numFmt w:val="lowerLetter"/>
      <w:lvlText w:val="%2)"/>
      <w:lvlJc w:val="left"/>
      <w:pPr>
        <w:ind w:left="840" w:hanging="420"/>
      </w:pPr>
    </w:lvl>
    <w:lvl w:ilvl="2" w:tentative="0">
      <w:start w:val="1"/>
      <w:numFmt w:val="decimalEnclosedCircle"/>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37E7EB8"/>
    <w:multiLevelType w:val="multilevel"/>
    <w:tmpl w:val="437E7EB8"/>
    <w:lvl w:ilvl="0" w:tentative="0">
      <w:start w:val="1"/>
      <w:numFmt w:val="decimal"/>
      <w:lvlText w:val="%1."/>
      <w:lvlJc w:val="left"/>
      <w:pPr>
        <w:ind w:left="900" w:hanging="420"/>
      </w:pPr>
      <w:rPr>
        <w:b w:val="0"/>
        <w:bCs/>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43C650FB"/>
    <w:multiLevelType w:val="multilevel"/>
    <w:tmpl w:val="43C650FB"/>
    <w:lvl w:ilvl="0" w:tentative="0">
      <w:start w:val="1"/>
      <w:numFmt w:val="chineseCountingThousand"/>
      <w:pStyle w:val="194"/>
      <w:lvlText w:val="第%1条"/>
      <w:lvlJc w:val="left"/>
      <w:pPr>
        <w:tabs>
          <w:tab w:val="left" w:pos="851"/>
        </w:tabs>
        <w:ind w:left="851" w:hanging="851"/>
      </w:pPr>
      <w:rPr>
        <w:rFonts w:hint="eastAsia"/>
      </w:rPr>
    </w:lvl>
    <w:lvl w:ilvl="1" w:tentative="0">
      <w:start w:val="1"/>
      <w:numFmt w:val="decimal"/>
      <w:pStyle w:val="195"/>
      <w:isLgl/>
      <w:lvlText w:val="%1.%2"/>
      <w:lvlJc w:val="left"/>
      <w:pPr>
        <w:tabs>
          <w:tab w:val="left" w:pos="851"/>
        </w:tabs>
        <w:ind w:left="851" w:hanging="851"/>
      </w:pPr>
      <w:rPr>
        <w:rFonts w:hint="eastAsia"/>
      </w:rPr>
    </w:lvl>
    <w:lvl w:ilvl="2" w:tentative="0">
      <w:start w:val="1"/>
      <w:numFmt w:val="decimal"/>
      <w:pStyle w:val="197"/>
      <w:isLgl/>
      <w:lvlText w:val="%1.%2.%3"/>
      <w:lvlJc w:val="left"/>
      <w:pPr>
        <w:tabs>
          <w:tab w:val="left" w:pos="1985"/>
        </w:tabs>
        <w:ind w:left="1985" w:hanging="1134"/>
      </w:pPr>
      <w:rPr>
        <w:rFonts w:hint="eastAsia"/>
      </w:rPr>
    </w:lvl>
    <w:lvl w:ilvl="3" w:tentative="0">
      <w:start w:val="1"/>
      <w:numFmt w:val="decimal"/>
      <w:pStyle w:val="198"/>
      <w:lvlText w:val="(%4)"/>
      <w:lvlJc w:val="left"/>
      <w:pPr>
        <w:tabs>
          <w:tab w:val="left" w:pos="2552"/>
        </w:tabs>
        <w:ind w:left="2552" w:hanging="567"/>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7">
    <w:nsid w:val="48A828C6"/>
    <w:multiLevelType w:val="multilevel"/>
    <w:tmpl w:val="48A828C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4E3C1414"/>
    <w:multiLevelType w:val="multilevel"/>
    <w:tmpl w:val="4E3C1414"/>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9">
    <w:nsid w:val="519B6CF6"/>
    <w:multiLevelType w:val="multilevel"/>
    <w:tmpl w:val="519B6CF6"/>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0">
    <w:nsid w:val="51C9BDF6"/>
    <w:multiLevelType w:val="singleLevel"/>
    <w:tmpl w:val="51C9BDF6"/>
    <w:lvl w:ilvl="0" w:tentative="0">
      <w:start w:val="4"/>
      <w:numFmt w:val="chineseCounting"/>
      <w:suff w:val="nothing"/>
      <w:lvlText w:val="%1、"/>
      <w:lvlJc w:val="left"/>
      <w:rPr>
        <w:rFonts w:hint="eastAsia"/>
      </w:rPr>
    </w:lvl>
  </w:abstractNum>
  <w:abstractNum w:abstractNumId="21">
    <w:nsid w:val="66BE5200"/>
    <w:multiLevelType w:val="multilevel"/>
    <w:tmpl w:val="66BE5200"/>
    <w:lvl w:ilvl="0" w:tentative="0">
      <w:start w:val="1"/>
      <w:numFmt w:val="chineseCountingThousand"/>
      <w:lvlText w:val="(%1)"/>
      <w:lvlJc w:val="left"/>
      <w:pPr>
        <w:ind w:left="900" w:hanging="420"/>
      </w:pPr>
    </w:lvl>
    <w:lvl w:ilvl="1" w:tentative="0">
      <w:start w:val="1"/>
      <w:numFmt w:val="chineseCountingThousand"/>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2">
    <w:nsid w:val="6A567CE9"/>
    <w:multiLevelType w:val="singleLevel"/>
    <w:tmpl w:val="6A567CE9"/>
    <w:lvl w:ilvl="0" w:tentative="0">
      <w:start w:val="1"/>
      <w:numFmt w:val="chineseCounting"/>
      <w:suff w:val="nothing"/>
      <w:lvlText w:val="（%1）"/>
      <w:lvlJc w:val="left"/>
      <w:rPr>
        <w:rFonts w:hint="eastAsia"/>
      </w:rPr>
    </w:lvl>
  </w:abstractNum>
  <w:abstractNum w:abstractNumId="23">
    <w:nsid w:val="6DB21D4F"/>
    <w:multiLevelType w:val="multilevel"/>
    <w:tmpl w:val="6DB21D4F"/>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4">
    <w:nsid w:val="71FE69AD"/>
    <w:multiLevelType w:val="multilevel"/>
    <w:tmpl w:val="71FE69A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7A9C043D"/>
    <w:multiLevelType w:val="multilevel"/>
    <w:tmpl w:val="7A9C043D"/>
    <w:lvl w:ilvl="0" w:tentative="0">
      <w:start w:val="1"/>
      <w:numFmt w:val="decimal"/>
      <w:lvlText w:val="%1."/>
      <w:lvlJc w:val="left"/>
      <w:pPr>
        <w:ind w:left="42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6">
    <w:nsid w:val="7BC6359E"/>
    <w:multiLevelType w:val="multilevel"/>
    <w:tmpl w:val="7BC6359E"/>
    <w:lvl w:ilvl="0" w:tentative="0">
      <w:start w:val="1"/>
      <w:numFmt w:val="chineseCountingThousand"/>
      <w:lvlText w:val="(%1)"/>
      <w:lvlJc w:val="left"/>
    </w:lvl>
    <w:lvl w:ilvl="1" w:tentative="0">
      <w:start w:val="1"/>
      <w:numFmt w:val="lowerLetter"/>
      <w:lvlText w:val="%2)"/>
      <w:lvlJc w:val="left"/>
      <w:pPr>
        <w:ind w:left="1834" w:hanging="420"/>
      </w:pPr>
    </w:lvl>
    <w:lvl w:ilvl="2" w:tentative="0">
      <w:start w:val="1"/>
      <w:numFmt w:val="lowerRoman"/>
      <w:lvlText w:val="%3."/>
      <w:lvlJc w:val="right"/>
      <w:pPr>
        <w:ind w:left="2254" w:hanging="420"/>
      </w:pPr>
    </w:lvl>
    <w:lvl w:ilvl="3" w:tentative="0">
      <w:start w:val="1"/>
      <w:numFmt w:val="decimal"/>
      <w:lvlText w:val="%4."/>
      <w:lvlJc w:val="left"/>
      <w:pPr>
        <w:ind w:left="2674" w:hanging="420"/>
      </w:pPr>
    </w:lvl>
    <w:lvl w:ilvl="4" w:tentative="0">
      <w:start w:val="1"/>
      <w:numFmt w:val="lowerLetter"/>
      <w:lvlText w:val="%5)"/>
      <w:lvlJc w:val="left"/>
      <w:pPr>
        <w:ind w:left="3094" w:hanging="420"/>
      </w:pPr>
    </w:lvl>
    <w:lvl w:ilvl="5" w:tentative="0">
      <w:start w:val="1"/>
      <w:numFmt w:val="lowerRoman"/>
      <w:lvlText w:val="%6."/>
      <w:lvlJc w:val="right"/>
      <w:pPr>
        <w:ind w:left="3514" w:hanging="420"/>
      </w:pPr>
    </w:lvl>
    <w:lvl w:ilvl="6" w:tentative="0">
      <w:start w:val="1"/>
      <w:numFmt w:val="decimal"/>
      <w:lvlText w:val="%7."/>
      <w:lvlJc w:val="left"/>
      <w:pPr>
        <w:ind w:left="3934" w:hanging="420"/>
      </w:pPr>
    </w:lvl>
    <w:lvl w:ilvl="7" w:tentative="0">
      <w:start w:val="1"/>
      <w:numFmt w:val="lowerLetter"/>
      <w:lvlText w:val="%8)"/>
      <w:lvlJc w:val="left"/>
      <w:pPr>
        <w:ind w:left="4354" w:hanging="420"/>
      </w:pPr>
    </w:lvl>
    <w:lvl w:ilvl="8" w:tentative="0">
      <w:start w:val="1"/>
      <w:numFmt w:val="lowerRoman"/>
      <w:lvlText w:val="%9."/>
      <w:lvlJc w:val="right"/>
      <w:pPr>
        <w:ind w:left="4774" w:hanging="420"/>
      </w:pPr>
    </w:lvl>
  </w:abstractNum>
  <w:num w:numId="1">
    <w:abstractNumId w:val="16"/>
  </w:num>
  <w:num w:numId="2">
    <w:abstractNumId w:val="24"/>
  </w:num>
  <w:num w:numId="3">
    <w:abstractNumId w:val="6"/>
  </w:num>
  <w:num w:numId="4">
    <w:abstractNumId w:val="17"/>
  </w:num>
  <w:num w:numId="5">
    <w:abstractNumId w:val="13"/>
  </w:num>
  <w:num w:numId="6">
    <w:abstractNumId w:val="22"/>
  </w:num>
  <w:num w:numId="7">
    <w:abstractNumId w:val="0"/>
  </w:num>
  <w:num w:numId="8">
    <w:abstractNumId w:val="11"/>
  </w:num>
  <w:num w:numId="9">
    <w:abstractNumId w:val="26"/>
  </w:num>
  <w:num w:numId="10">
    <w:abstractNumId w:val="8"/>
  </w:num>
  <w:num w:numId="11">
    <w:abstractNumId w:val="20"/>
  </w:num>
  <w:num w:numId="12">
    <w:abstractNumId w:val="21"/>
  </w:num>
  <w:num w:numId="13">
    <w:abstractNumId w:val="25"/>
  </w:num>
  <w:num w:numId="14">
    <w:abstractNumId w:val="23"/>
  </w:num>
  <w:num w:numId="15">
    <w:abstractNumId w:val="15"/>
  </w:num>
  <w:num w:numId="16">
    <w:abstractNumId w:val="12"/>
  </w:num>
  <w:num w:numId="17">
    <w:abstractNumId w:val="5"/>
  </w:num>
  <w:num w:numId="18">
    <w:abstractNumId w:val="2"/>
  </w:num>
  <w:num w:numId="19">
    <w:abstractNumId w:val="18"/>
  </w:num>
  <w:num w:numId="20">
    <w:abstractNumId w:val="7"/>
  </w:num>
  <w:num w:numId="21">
    <w:abstractNumId w:val="19"/>
  </w:num>
  <w:num w:numId="22">
    <w:abstractNumId w:val="4"/>
  </w:num>
  <w:num w:numId="23">
    <w:abstractNumId w:val="14"/>
  </w:num>
  <w:num w:numId="24">
    <w:abstractNumId w:val="9"/>
  </w:num>
  <w:num w:numId="25">
    <w:abstractNumId w:val="1"/>
  </w:num>
  <w:num w:numId="26">
    <w:abstractNumId w:val="3"/>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hjODZhODQzN2VkYmQyYWFjNzFlODY5YjQ4MDk4MGQifQ=="/>
  </w:docVars>
  <w:rsids>
    <w:rsidRoot w:val="00170C43"/>
    <w:rsid w:val="00000C4D"/>
    <w:rsid w:val="00000CF8"/>
    <w:rsid w:val="00002AB0"/>
    <w:rsid w:val="000033BF"/>
    <w:rsid w:val="0000410C"/>
    <w:rsid w:val="000041A6"/>
    <w:rsid w:val="00005DC2"/>
    <w:rsid w:val="00007253"/>
    <w:rsid w:val="0000744D"/>
    <w:rsid w:val="00007A3F"/>
    <w:rsid w:val="00007D57"/>
    <w:rsid w:val="00010304"/>
    <w:rsid w:val="00010AC6"/>
    <w:rsid w:val="0001114A"/>
    <w:rsid w:val="000139F6"/>
    <w:rsid w:val="0001685F"/>
    <w:rsid w:val="00016EED"/>
    <w:rsid w:val="000176A0"/>
    <w:rsid w:val="00017B53"/>
    <w:rsid w:val="00017BB8"/>
    <w:rsid w:val="00017E21"/>
    <w:rsid w:val="00021C5F"/>
    <w:rsid w:val="00021C8F"/>
    <w:rsid w:val="00022CB3"/>
    <w:rsid w:val="00022CB7"/>
    <w:rsid w:val="00022D35"/>
    <w:rsid w:val="0002329A"/>
    <w:rsid w:val="00023532"/>
    <w:rsid w:val="00023DAA"/>
    <w:rsid w:val="00024201"/>
    <w:rsid w:val="00024ED4"/>
    <w:rsid w:val="00025A13"/>
    <w:rsid w:val="00026C31"/>
    <w:rsid w:val="0003016A"/>
    <w:rsid w:val="0003078C"/>
    <w:rsid w:val="00031140"/>
    <w:rsid w:val="00031520"/>
    <w:rsid w:val="00031AD3"/>
    <w:rsid w:val="00031F90"/>
    <w:rsid w:val="00031FA6"/>
    <w:rsid w:val="00032313"/>
    <w:rsid w:val="000335B0"/>
    <w:rsid w:val="0003476F"/>
    <w:rsid w:val="00034827"/>
    <w:rsid w:val="00036C9E"/>
    <w:rsid w:val="00036DA2"/>
    <w:rsid w:val="0003798F"/>
    <w:rsid w:val="0004034F"/>
    <w:rsid w:val="000407D0"/>
    <w:rsid w:val="00040F44"/>
    <w:rsid w:val="000417C4"/>
    <w:rsid w:val="00041D3F"/>
    <w:rsid w:val="00042339"/>
    <w:rsid w:val="00042862"/>
    <w:rsid w:val="000430D7"/>
    <w:rsid w:val="000436F3"/>
    <w:rsid w:val="00045D1B"/>
    <w:rsid w:val="00045F30"/>
    <w:rsid w:val="00045F89"/>
    <w:rsid w:val="0004678C"/>
    <w:rsid w:val="000472E7"/>
    <w:rsid w:val="000478B6"/>
    <w:rsid w:val="00051066"/>
    <w:rsid w:val="000518A8"/>
    <w:rsid w:val="00051EB0"/>
    <w:rsid w:val="00053596"/>
    <w:rsid w:val="000549CE"/>
    <w:rsid w:val="00055C94"/>
    <w:rsid w:val="00055DE4"/>
    <w:rsid w:val="00055EC8"/>
    <w:rsid w:val="00056E35"/>
    <w:rsid w:val="0005716A"/>
    <w:rsid w:val="000572A6"/>
    <w:rsid w:val="00060899"/>
    <w:rsid w:val="0006342A"/>
    <w:rsid w:val="00063B0B"/>
    <w:rsid w:val="00063D2A"/>
    <w:rsid w:val="00063E9B"/>
    <w:rsid w:val="0006570D"/>
    <w:rsid w:val="00065BE8"/>
    <w:rsid w:val="000669AD"/>
    <w:rsid w:val="00066A53"/>
    <w:rsid w:val="000704E7"/>
    <w:rsid w:val="00070B06"/>
    <w:rsid w:val="00071D7C"/>
    <w:rsid w:val="000720B7"/>
    <w:rsid w:val="000720C0"/>
    <w:rsid w:val="0007307C"/>
    <w:rsid w:val="000733D7"/>
    <w:rsid w:val="0007358D"/>
    <w:rsid w:val="00073864"/>
    <w:rsid w:val="00073BB5"/>
    <w:rsid w:val="0007455E"/>
    <w:rsid w:val="000747DB"/>
    <w:rsid w:val="00074BD9"/>
    <w:rsid w:val="00075C81"/>
    <w:rsid w:val="00075E3F"/>
    <w:rsid w:val="00077416"/>
    <w:rsid w:val="000807AA"/>
    <w:rsid w:val="000816C6"/>
    <w:rsid w:val="00081A71"/>
    <w:rsid w:val="0008246F"/>
    <w:rsid w:val="00083576"/>
    <w:rsid w:val="00084BFD"/>
    <w:rsid w:val="00084F0B"/>
    <w:rsid w:val="00084FA4"/>
    <w:rsid w:val="000851DC"/>
    <w:rsid w:val="000857A5"/>
    <w:rsid w:val="000864CD"/>
    <w:rsid w:val="00087AA0"/>
    <w:rsid w:val="00090C35"/>
    <w:rsid w:val="00095D27"/>
    <w:rsid w:val="00095D77"/>
    <w:rsid w:val="0009740B"/>
    <w:rsid w:val="000A0EE3"/>
    <w:rsid w:val="000A0F1E"/>
    <w:rsid w:val="000A1DD2"/>
    <w:rsid w:val="000A1EDD"/>
    <w:rsid w:val="000A2FBA"/>
    <w:rsid w:val="000A3015"/>
    <w:rsid w:val="000A32BF"/>
    <w:rsid w:val="000A4E55"/>
    <w:rsid w:val="000A51BE"/>
    <w:rsid w:val="000A5B28"/>
    <w:rsid w:val="000A609E"/>
    <w:rsid w:val="000A6383"/>
    <w:rsid w:val="000A740B"/>
    <w:rsid w:val="000B0708"/>
    <w:rsid w:val="000B2129"/>
    <w:rsid w:val="000B2491"/>
    <w:rsid w:val="000B2C13"/>
    <w:rsid w:val="000B2C88"/>
    <w:rsid w:val="000B318E"/>
    <w:rsid w:val="000B36CB"/>
    <w:rsid w:val="000B3A6B"/>
    <w:rsid w:val="000B3B11"/>
    <w:rsid w:val="000B3BF1"/>
    <w:rsid w:val="000B42C9"/>
    <w:rsid w:val="000B442B"/>
    <w:rsid w:val="000B4F29"/>
    <w:rsid w:val="000B620E"/>
    <w:rsid w:val="000B67D0"/>
    <w:rsid w:val="000B6CC8"/>
    <w:rsid w:val="000C017F"/>
    <w:rsid w:val="000C09E7"/>
    <w:rsid w:val="000C0A80"/>
    <w:rsid w:val="000C0AAA"/>
    <w:rsid w:val="000C139C"/>
    <w:rsid w:val="000C38A8"/>
    <w:rsid w:val="000C3D09"/>
    <w:rsid w:val="000C4F48"/>
    <w:rsid w:val="000C6905"/>
    <w:rsid w:val="000C700E"/>
    <w:rsid w:val="000C7D67"/>
    <w:rsid w:val="000D07C3"/>
    <w:rsid w:val="000D0D8C"/>
    <w:rsid w:val="000D0FC3"/>
    <w:rsid w:val="000D1685"/>
    <w:rsid w:val="000D375C"/>
    <w:rsid w:val="000D59D7"/>
    <w:rsid w:val="000D5EAA"/>
    <w:rsid w:val="000D643B"/>
    <w:rsid w:val="000D6DAC"/>
    <w:rsid w:val="000D6E6D"/>
    <w:rsid w:val="000D7BCF"/>
    <w:rsid w:val="000E1B23"/>
    <w:rsid w:val="000E1DAD"/>
    <w:rsid w:val="000E4F77"/>
    <w:rsid w:val="000E6685"/>
    <w:rsid w:val="000E6899"/>
    <w:rsid w:val="000E6C4F"/>
    <w:rsid w:val="000E6D3B"/>
    <w:rsid w:val="000F017B"/>
    <w:rsid w:val="000F0468"/>
    <w:rsid w:val="000F0CAA"/>
    <w:rsid w:val="000F28E2"/>
    <w:rsid w:val="000F2AE4"/>
    <w:rsid w:val="000F3506"/>
    <w:rsid w:val="000F369C"/>
    <w:rsid w:val="000F3D10"/>
    <w:rsid w:val="000F4391"/>
    <w:rsid w:val="000F5282"/>
    <w:rsid w:val="000F6CE3"/>
    <w:rsid w:val="000F7A77"/>
    <w:rsid w:val="0010094D"/>
    <w:rsid w:val="00101081"/>
    <w:rsid w:val="00103672"/>
    <w:rsid w:val="00103A89"/>
    <w:rsid w:val="00104EE2"/>
    <w:rsid w:val="001052FD"/>
    <w:rsid w:val="00105671"/>
    <w:rsid w:val="00105D40"/>
    <w:rsid w:val="00106547"/>
    <w:rsid w:val="00107328"/>
    <w:rsid w:val="00111126"/>
    <w:rsid w:val="00111559"/>
    <w:rsid w:val="001138F7"/>
    <w:rsid w:val="00113B48"/>
    <w:rsid w:val="00114E54"/>
    <w:rsid w:val="001155F5"/>
    <w:rsid w:val="001158C8"/>
    <w:rsid w:val="00115932"/>
    <w:rsid w:val="00115A01"/>
    <w:rsid w:val="00115D76"/>
    <w:rsid w:val="001213DC"/>
    <w:rsid w:val="00121666"/>
    <w:rsid w:val="00121C34"/>
    <w:rsid w:val="00122471"/>
    <w:rsid w:val="0012260B"/>
    <w:rsid w:val="00122C05"/>
    <w:rsid w:val="00126348"/>
    <w:rsid w:val="001270F1"/>
    <w:rsid w:val="0013072B"/>
    <w:rsid w:val="00130A97"/>
    <w:rsid w:val="001312B5"/>
    <w:rsid w:val="00131AD2"/>
    <w:rsid w:val="001326A3"/>
    <w:rsid w:val="00132B5D"/>
    <w:rsid w:val="001334CE"/>
    <w:rsid w:val="00134455"/>
    <w:rsid w:val="00135BBA"/>
    <w:rsid w:val="001362CA"/>
    <w:rsid w:val="00136DED"/>
    <w:rsid w:val="00137F90"/>
    <w:rsid w:val="001410ED"/>
    <w:rsid w:val="001420A9"/>
    <w:rsid w:val="001421CA"/>
    <w:rsid w:val="00142DCE"/>
    <w:rsid w:val="001434B3"/>
    <w:rsid w:val="001442F5"/>
    <w:rsid w:val="00144CD2"/>
    <w:rsid w:val="00144D84"/>
    <w:rsid w:val="00144E73"/>
    <w:rsid w:val="00145BCD"/>
    <w:rsid w:val="001469E8"/>
    <w:rsid w:val="00147929"/>
    <w:rsid w:val="00150B16"/>
    <w:rsid w:val="0015142F"/>
    <w:rsid w:val="00152809"/>
    <w:rsid w:val="00152DBA"/>
    <w:rsid w:val="00155F8E"/>
    <w:rsid w:val="00155FF2"/>
    <w:rsid w:val="0015641D"/>
    <w:rsid w:val="0016022A"/>
    <w:rsid w:val="00160686"/>
    <w:rsid w:val="00160AB3"/>
    <w:rsid w:val="00160E1F"/>
    <w:rsid w:val="001613DF"/>
    <w:rsid w:val="00162B05"/>
    <w:rsid w:val="00162BA7"/>
    <w:rsid w:val="001630D4"/>
    <w:rsid w:val="00163592"/>
    <w:rsid w:val="0016369B"/>
    <w:rsid w:val="00163B81"/>
    <w:rsid w:val="001649BE"/>
    <w:rsid w:val="001657DD"/>
    <w:rsid w:val="0016622C"/>
    <w:rsid w:val="001663AE"/>
    <w:rsid w:val="001665D0"/>
    <w:rsid w:val="00166874"/>
    <w:rsid w:val="00170C20"/>
    <w:rsid w:val="00170C43"/>
    <w:rsid w:val="0017138A"/>
    <w:rsid w:val="001714DB"/>
    <w:rsid w:val="00171838"/>
    <w:rsid w:val="00172061"/>
    <w:rsid w:val="001723EB"/>
    <w:rsid w:val="00172C13"/>
    <w:rsid w:val="001739EE"/>
    <w:rsid w:val="00173F20"/>
    <w:rsid w:val="001743FA"/>
    <w:rsid w:val="0017454B"/>
    <w:rsid w:val="00175207"/>
    <w:rsid w:val="0017526E"/>
    <w:rsid w:val="001757CB"/>
    <w:rsid w:val="001757F2"/>
    <w:rsid w:val="0017583B"/>
    <w:rsid w:val="0017599C"/>
    <w:rsid w:val="00175B30"/>
    <w:rsid w:val="001763B0"/>
    <w:rsid w:val="00176F0B"/>
    <w:rsid w:val="001775E4"/>
    <w:rsid w:val="00177BBA"/>
    <w:rsid w:val="00181918"/>
    <w:rsid w:val="00181BB4"/>
    <w:rsid w:val="001823AC"/>
    <w:rsid w:val="001828F8"/>
    <w:rsid w:val="00183AFE"/>
    <w:rsid w:val="00183F78"/>
    <w:rsid w:val="0018452D"/>
    <w:rsid w:val="00184FCE"/>
    <w:rsid w:val="001860F0"/>
    <w:rsid w:val="00187A89"/>
    <w:rsid w:val="00190237"/>
    <w:rsid w:val="00191106"/>
    <w:rsid w:val="00191318"/>
    <w:rsid w:val="001929F0"/>
    <w:rsid w:val="00192ABA"/>
    <w:rsid w:val="00192C23"/>
    <w:rsid w:val="00192C69"/>
    <w:rsid w:val="00192F55"/>
    <w:rsid w:val="00193D81"/>
    <w:rsid w:val="00194765"/>
    <w:rsid w:val="00195C6C"/>
    <w:rsid w:val="00195F65"/>
    <w:rsid w:val="00196AF0"/>
    <w:rsid w:val="00197038"/>
    <w:rsid w:val="001974CF"/>
    <w:rsid w:val="001974DE"/>
    <w:rsid w:val="001A0727"/>
    <w:rsid w:val="001A0A3E"/>
    <w:rsid w:val="001A2003"/>
    <w:rsid w:val="001A21D1"/>
    <w:rsid w:val="001A294B"/>
    <w:rsid w:val="001A2B51"/>
    <w:rsid w:val="001A306B"/>
    <w:rsid w:val="001A4377"/>
    <w:rsid w:val="001A548D"/>
    <w:rsid w:val="001A560D"/>
    <w:rsid w:val="001A6633"/>
    <w:rsid w:val="001A6C33"/>
    <w:rsid w:val="001A7ED9"/>
    <w:rsid w:val="001B005F"/>
    <w:rsid w:val="001B016A"/>
    <w:rsid w:val="001B0703"/>
    <w:rsid w:val="001B1D10"/>
    <w:rsid w:val="001B3324"/>
    <w:rsid w:val="001B61FC"/>
    <w:rsid w:val="001B6A82"/>
    <w:rsid w:val="001B6DD0"/>
    <w:rsid w:val="001B7A82"/>
    <w:rsid w:val="001C0E6E"/>
    <w:rsid w:val="001C0E89"/>
    <w:rsid w:val="001C2C06"/>
    <w:rsid w:val="001C327D"/>
    <w:rsid w:val="001C3D2F"/>
    <w:rsid w:val="001C5ECD"/>
    <w:rsid w:val="001C5FCE"/>
    <w:rsid w:val="001C646E"/>
    <w:rsid w:val="001C6A0D"/>
    <w:rsid w:val="001C6C06"/>
    <w:rsid w:val="001C7FD5"/>
    <w:rsid w:val="001D009D"/>
    <w:rsid w:val="001D01F6"/>
    <w:rsid w:val="001D05FC"/>
    <w:rsid w:val="001D0B1F"/>
    <w:rsid w:val="001D13A2"/>
    <w:rsid w:val="001D2D15"/>
    <w:rsid w:val="001D355B"/>
    <w:rsid w:val="001D3727"/>
    <w:rsid w:val="001D69CA"/>
    <w:rsid w:val="001D6AE6"/>
    <w:rsid w:val="001D72C2"/>
    <w:rsid w:val="001E12C9"/>
    <w:rsid w:val="001E178B"/>
    <w:rsid w:val="001E1A08"/>
    <w:rsid w:val="001E3A2C"/>
    <w:rsid w:val="001E3FCB"/>
    <w:rsid w:val="001E41C0"/>
    <w:rsid w:val="001E6E27"/>
    <w:rsid w:val="001E7069"/>
    <w:rsid w:val="001F0041"/>
    <w:rsid w:val="001F0AC2"/>
    <w:rsid w:val="001F0C32"/>
    <w:rsid w:val="001F1A29"/>
    <w:rsid w:val="001F2C41"/>
    <w:rsid w:val="001F4AF4"/>
    <w:rsid w:val="001F4C7C"/>
    <w:rsid w:val="001F69A6"/>
    <w:rsid w:val="001F75A1"/>
    <w:rsid w:val="002016B9"/>
    <w:rsid w:val="0020219B"/>
    <w:rsid w:val="00203E6F"/>
    <w:rsid w:val="0020579B"/>
    <w:rsid w:val="00205AAB"/>
    <w:rsid w:val="00206B15"/>
    <w:rsid w:val="00207770"/>
    <w:rsid w:val="0020791A"/>
    <w:rsid w:val="002100B5"/>
    <w:rsid w:val="00210360"/>
    <w:rsid w:val="002103D9"/>
    <w:rsid w:val="00210DB5"/>
    <w:rsid w:val="00211830"/>
    <w:rsid w:val="002126EB"/>
    <w:rsid w:val="002162D7"/>
    <w:rsid w:val="002164D2"/>
    <w:rsid w:val="0022083E"/>
    <w:rsid w:val="00220F92"/>
    <w:rsid w:val="00221141"/>
    <w:rsid w:val="0022395A"/>
    <w:rsid w:val="002245FA"/>
    <w:rsid w:val="00224EDC"/>
    <w:rsid w:val="002253F0"/>
    <w:rsid w:val="002259BA"/>
    <w:rsid w:val="00225EB1"/>
    <w:rsid w:val="002265E9"/>
    <w:rsid w:val="00230341"/>
    <w:rsid w:val="0023044C"/>
    <w:rsid w:val="00230EE6"/>
    <w:rsid w:val="00231369"/>
    <w:rsid w:val="00232787"/>
    <w:rsid w:val="0023288B"/>
    <w:rsid w:val="00232B5C"/>
    <w:rsid w:val="002330C6"/>
    <w:rsid w:val="0023407E"/>
    <w:rsid w:val="00234280"/>
    <w:rsid w:val="00234D6D"/>
    <w:rsid w:val="0023563E"/>
    <w:rsid w:val="00236369"/>
    <w:rsid w:val="00237FC5"/>
    <w:rsid w:val="002409B1"/>
    <w:rsid w:val="00240CC7"/>
    <w:rsid w:val="00241163"/>
    <w:rsid w:val="002413C9"/>
    <w:rsid w:val="002416FB"/>
    <w:rsid w:val="00241702"/>
    <w:rsid w:val="0024244F"/>
    <w:rsid w:val="00243BA6"/>
    <w:rsid w:val="002440A5"/>
    <w:rsid w:val="00244DD5"/>
    <w:rsid w:val="0024503B"/>
    <w:rsid w:val="00245728"/>
    <w:rsid w:val="00245855"/>
    <w:rsid w:val="002471EF"/>
    <w:rsid w:val="0024741D"/>
    <w:rsid w:val="002516C2"/>
    <w:rsid w:val="00252423"/>
    <w:rsid w:val="00254960"/>
    <w:rsid w:val="00255237"/>
    <w:rsid w:val="00255C91"/>
    <w:rsid w:val="002573A4"/>
    <w:rsid w:val="002577A6"/>
    <w:rsid w:val="00257E27"/>
    <w:rsid w:val="002602D2"/>
    <w:rsid w:val="00260EB4"/>
    <w:rsid w:val="00261149"/>
    <w:rsid w:val="0026167C"/>
    <w:rsid w:val="00261E93"/>
    <w:rsid w:val="002622D3"/>
    <w:rsid w:val="00263E6B"/>
    <w:rsid w:val="00263FC3"/>
    <w:rsid w:val="00264955"/>
    <w:rsid w:val="00264D6F"/>
    <w:rsid w:val="0026556D"/>
    <w:rsid w:val="002657D2"/>
    <w:rsid w:val="00265E77"/>
    <w:rsid w:val="002661DB"/>
    <w:rsid w:val="002668D4"/>
    <w:rsid w:val="00266AB1"/>
    <w:rsid w:val="00266D7B"/>
    <w:rsid w:val="00267313"/>
    <w:rsid w:val="002677C2"/>
    <w:rsid w:val="00267A1D"/>
    <w:rsid w:val="00267BD8"/>
    <w:rsid w:val="00267FF1"/>
    <w:rsid w:val="002719A0"/>
    <w:rsid w:val="00273347"/>
    <w:rsid w:val="002734C4"/>
    <w:rsid w:val="0027375C"/>
    <w:rsid w:val="0027388F"/>
    <w:rsid w:val="00274145"/>
    <w:rsid w:val="00274484"/>
    <w:rsid w:val="00275D29"/>
    <w:rsid w:val="002766EC"/>
    <w:rsid w:val="00276820"/>
    <w:rsid w:val="00276D8B"/>
    <w:rsid w:val="0028033E"/>
    <w:rsid w:val="0028116B"/>
    <w:rsid w:val="0028176E"/>
    <w:rsid w:val="0028197C"/>
    <w:rsid w:val="002821AA"/>
    <w:rsid w:val="0028251F"/>
    <w:rsid w:val="002835AF"/>
    <w:rsid w:val="002838D0"/>
    <w:rsid w:val="0028401D"/>
    <w:rsid w:val="0028447E"/>
    <w:rsid w:val="0028713C"/>
    <w:rsid w:val="00290052"/>
    <w:rsid w:val="00290B79"/>
    <w:rsid w:val="00290DFD"/>
    <w:rsid w:val="00291532"/>
    <w:rsid w:val="00292125"/>
    <w:rsid w:val="0029306F"/>
    <w:rsid w:val="00293895"/>
    <w:rsid w:val="00293F17"/>
    <w:rsid w:val="00293F9E"/>
    <w:rsid w:val="002945B0"/>
    <w:rsid w:val="002949E6"/>
    <w:rsid w:val="002A2D1D"/>
    <w:rsid w:val="002A3578"/>
    <w:rsid w:val="002A3589"/>
    <w:rsid w:val="002A3B09"/>
    <w:rsid w:val="002A3E1A"/>
    <w:rsid w:val="002A55B3"/>
    <w:rsid w:val="002A5D66"/>
    <w:rsid w:val="002A7AFE"/>
    <w:rsid w:val="002A7E40"/>
    <w:rsid w:val="002A7E7C"/>
    <w:rsid w:val="002B0044"/>
    <w:rsid w:val="002B10CF"/>
    <w:rsid w:val="002B1A1D"/>
    <w:rsid w:val="002B1BD6"/>
    <w:rsid w:val="002B2720"/>
    <w:rsid w:val="002B27A2"/>
    <w:rsid w:val="002B2F6E"/>
    <w:rsid w:val="002B3591"/>
    <w:rsid w:val="002B3ED0"/>
    <w:rsid w:val="002B4273"/>
    <w:rsid w:val="002B50FA"/>
    <w:rsid w:val="002B53E5"/>
    <w:rsid w:val="002B5DE1"/>
    <w:rsid w:val="002B7FF4"/>
    <w:rsid w:val="002C04B1"/>
    <w:rsid w:val="002C0547"/>
    <w:rsid w:val="002C2165"/>
    <w:rsid w:val="002C3A12"/>
    <w:rsid w:val="002C3F62"/>
    <w:rsid w:val="002C400C"/>
    <w:rsid w:val="002C4E6A"/>
    <w:rsid w:val="002C4F2D"/>
    <w:rsid w:val="002C54A4"/>
    <w:rsid w:val="002C77BD"/>
    <w:rsid w:val="002D1116"/>
    <w:rsid w:val="002D13D5"/>
    <w:rsid w:val="002D34B9"/>
    <w:rsid w:val="002D4808"/>
    <w:rsid w:val="002D4E04"/>
    <w:rsid w:val="002D5640"/>
    <w:rsid w:val="002D6248"/>
    <w:rsid w:val="002D67B3"/>
    <w:rsid w:val="002D6B41"/>
    <w:rsid w:val="002D7144"/>
    <w:rsid w:val="002E1F42"/>
    <w:rsid w:val="002E2C6D"/>
    <w:rsid w:val="002E322D"/>
    <w:rsid w:val="002E328C"/>
    <w:rsid w:val="002E4FD3"/>
    <w:rsid w:val="002E5E6B"/>
    <w:rsid w:val="002E5EE1"/>
    <w:rsid w:val="002E60D8"/>
    <w:rsid w:val="002E784D"/>
    <w:rsid w:val="002F0669"/>
    <w:rsid w:val="002F1B22"/>
    <w:rsid w:val="002F27D6"/>
    <w:rsid w:val="002F3CFF"/>
    <w:rsid w:val="002F4672"/>
    <w:rsid w:val="002F5756"/>
    <w:rsid w:val="002F5D0C"/>
    <w:rsid w:val="002F6FFE"/>
    <w:rsid w:val="003005D6"/>
    <w:rsid w:val="00300797"/>
    <w:rsid w:val="00301737"/>
    <w:rsid w:val="003022D8"/>
    <w:rsid w:val="00302508"/>
    <w:rsid w:val="0030389A"/>
    <w:rsid w:val="00303B99"/>
    <w:rsid w:val="00305C30"/>
    <w:rsid w:val="0030670E"/>
    <w:rsid w:val="00306C44"/>
    <w:rsid w:val="00306DE3"/>
    <w:rsid w:val="00307D1F"/>
    <w:rsid w:val="00311B3B"/>
    <w:rsid w:val="00311E3A"/>
    <w:rsid w:val="00313269"/>
    <w:rsid w:val="00314C6E"/>
    <w:rsid w:val="0031554D"/>
    <w:rsid w:val="003165D1"/>
    <w:rsid w:val="00317CC5"/>
    <w:rsid w:val="0032081E"/>
    <w:rsid w:val="0032094F"/>
    <w:rsid w:val="00320A9B"/>
    <w:rsid w:val="00321021"/>
    <w:rsid w:val="003213E1"/>
    <w:rsid w:val="003218E6"/>
    <w:rsid w:val="00321B49"/>
    <w:rsid w:val="00321DDC"/>
    <w:rsid w:val="00322418"/>
    <w:rsid w:val="003239F5"/>
    <w:rsid w:val="0032432B"/>
    <w:rsid w:val="00324860"/>
    <w:rsid w:val="003264DD"/>
    <w:rsid w:val="003274BD"/>
    <w:rsid w:val="003302CF"/>
    <w:rsid w:val="00330912"/>
    <w:rsid w:val="00331018"/>
    <w:rsid w:val="00331435"/>
    <w:rsid w:val="0033231F"/>
    <w:rsid w:val="00333E6B"/>
    <w:rsid w:val="003344DA"/>
    <w:rsid w:val="0033461E"/>
    <w:rsid w:val="00335C9D"/>
    <w:rsid w:val="00335F9A"/>
    <w:rsid w:val="00336717"/>
    <w:rsid w:val="0033713A"/>
    <w:rsid w:val="0033719A"/>
    <w:rsid w:val="003377C1"/>
    <w:rsid w:val="003401F1"/>
    <w:rsid w:val="00340EC7"/>
    <w:rsid w:val="00341396"/>
    <w:rsid w:val="00341DFA"/>
    <w:rsid w:val="003423F7"/>
    <w:rsid w:val="0034298C"/>
    <w:rsid w:val="00342FEC"/>
    <w:rsid w:val="0034335F"/>
    <w:rsid w:val="00344308"/>
    <w:rsid w:val="003449BE"/>
    <w:rsid w:val="00345D11"/>
    <w:rsid w:val="00347EBB"/>
    <w:rsid w:val="003505F5"/>
    <w:rsid w:val="003512B0"/>
    <w:rsid w:val="0035134B"/>
    <w:rsid w:val="00351689"/>
    <w:rsid w:val="00352194"/>
    <w:rsid w:val="003523F3"/>
    <w:rsid w:val="00352E9B"/>
    <w:rsid w:val="0035445D"/>
    <w:rsid w:val="00354923"/>
    <w:rsid w:val="00355DA1"/>
    <w:rsid w:val="00361619"/>
    <w:rsid w:val="00364121"/>
    <w:rsid w:val="00364BD2"/>
    <w:rsid w:val="003650F9"/>
    <w:rsid w:val="00367677"/>
    <w:rsid w:val="00367FCE"/>
    <w:rsid w:val="00370566"/>
    <w:rsid w:val="00370F20"/>
    <w:rsid w:val="00371DE4"/>
    <w:rsid w:val="00373D0F"/>
    <w:rsid w:val="00374371"/>
    <w:rsid w:val="003747E2"/>
    <w:rsid w:val="003748EC"/>
    <w:rsid w:val="00374B40"/>
    <w:rsid w:val="0037505A"/>
    <w:rsid w:val="003756E7"/>
    <w:rsid w:val="003758AB"/>
    <w:rsid w:val="00376A56"/>
    <w:rsid w:val="00376F88"/>
    <w:rsid w:val="00377910"/>
    <w:rsid w:val="00380671"/>
    <w:rsid w:val="00381410"/>
    <w:rsid w:val="0038172A"/>
    <w:rsid w:val="00381AE6"/>
    <w:rsid w:val="00383B12"/>
    <w:rsid w:val="00386C06"/>
    <w:rsid w:val="00387E02"/>
    <w:rsid w:val="00392246"/>
    <w:rsid w:val="00392CD5"/>
    <w:rsid w:val="00392E4C"/>
    <w:rsid w:val="00395B49"/>
    <w:rsid w:val="00396250"/>
    <w:rsid w:val="00396306"/>
    <w:rsid w:val="0039793D"/>
    <w:rsid w:val="003A1E60"/>
    <w:rsid w:val="003A2824"/>
    <w:rsid w:val="003A2EBF"/>
    <w:rsid w:val="003A51FC"/>
    <w:rsid w:val="003A5CB1"/>
    <w:rsid w:val="003A5E72"/>
    <w:rsid w:val="003A6345"/>
    <w:rsid w:val="003B08F9"/>
    <w:rsid w:val="003B107A"/>
    <w:rsid w:val="003B1B21"/>
    <w:rsid w:val="003B297F"/>
    <w:rsid w:val="003B2A28"/>
    <w:rsid w:val="003B35B1"/>
    <w:rsid w:val="003B3CF1"/>
    <w:rsid w:val="003B4197"/>
    <w:rsid w:val="003B457F"/>
    <w:rsid w:val="003B4AD8"/>
    <w:rsid w:val="003B5125"/>
    <w:rsid w:val="003B561A"/>
    <w:rsid w:val="003B6021"/>
    <w:rsid w:val="003B632A"/>
    <w:rsid w:val="003B6774"/>
    <w:rsid w:val="003C0A7B"/>
    <w:rsid w:val="003C1012"/>
    <w:rsid w:val="003C18AA"/>
    <w:rsid w:val="003C1E08"/>
    <w:rsid w:val="003C5762"/>
    <w:rsid w:val="003C5851"/>
    <w:rsid w:val="003C77BB"/>
    <w:rsid w:val="003D0514"/>
    <w:rsid w:val="003D0636"/>
    <w:rsid w:val="003D0986"/>
    <w:rsid w:val="003D1DBF"/>
    <w:rsid w:val="003D37ED"/>
    <w:rsid w:val="003D5C56"/>
    <w:rsid w:val="003D5D0A"/>
    <w:rsid w:val="003D70F1"/>
    <w:rsid w:val="003D75E6"/>
    <w:rsid w:val="003E3891"/>
    <w:rsid w:val="003E41DE"/>
    <w:rsid w:val="003E4FE3"/>
    <w:rsid w:val="003E573C"/>
    <w:rsid w:val="003E6586"/>
    <w:rsid w:val="003E6F62"/>
    <w:rsid w:val="003E7209"/>
    <w:rsid w:val="003E7351"/>
    <w:rsid w:val="003E76E8"/>
    <w:rsid w:val="003F0DD2"/>
    <w:rsid w:val="003F101B"/>
    <w:rsid w:val="003F1063"/>
    <w:rsid w:val="003F135B"/>
    <w:rsid w:val="003F170D"/>
    <w:rsid w:val="003F25D2"/>
    <w:rsid w:val="003F2D6B"/>
    <w:rsid w:val="003F3914"/>
    <w:rsid w:val="003F3F57"/>
    <w:rsid w:val="003F42BD"/>
    <w:rsid w:val="003F4BC1"/>
    <w:rsid w:val="003F546B"/>
    <w:rsid w:val="003F5F55"/>
    <w:rsid w:val="003F7958"/>
    <w:rsid w:val="004011CB"/>
    <w:rsid w:val="004011CE"/>
    <w:rsid w:val="00401438"/>
    <w:rsid w:val="00402674"/>
    <w:rsid w:val="004027A2"/>
    <w:rsid w:val="00402A5B"/>
    <w:rsid w:val="0040323D"/>
    <w:rsid w:val="00403606"/>
    <w:rsid w:val="004048C5"/>
    <w:rsid w:val="004056F3"/>
    <w:rsid w:val="00405DCA"/>
    <w:rsid w:val="0040747B"/>
    <w:rsid w:val="00407EDB"/>
    <w:rsid w:val="00410B62"/>
    <w:rsid w:val="004110E3"/>
    <w:rsid w:val="00413D92"/>
    <w:rsid w:val="0041460E"/>
    <w:rsid w:val="00414A26"/>
    <w:rsid w:val="00414EC6"/>
    <w:rsid w:val="0041616B"/>
    <w:rsid w:val="004162CB"/>
    <w:rsid w:val="00416B87"/>
    <w:rsid w:val="00416D61"/>
    <w:rsid w:val="004179C1"/>
    <w:rsid w:val="00423528"/>
    <w:rsid w:val="0042375F"/>
    <w:rsid w:val="00424CA8"/>
    <w:rsid w:val="0042687C"/>
    <w:rsid w:val="00426F48"/>
    <w:rsid w:val="004305E8"/>
    <w:rsid w:val="00430634"/>
    <w:rsid w:val="0043208D"/>
    <w:rsid w:val="0043232D"/>
    <w:rsid w:val="00433779"/>
    <w:rsid w:val="00433ED5"/>
    <w:rsid w:val="00433F5B"/>
    <w:rsid w:val="0043451E"/>
    <w:rsid w:val="00435A75"/>
    <w:rsid w:val="00435B01"/>
    <w:rsid w:val="00435D96"/>
    <w:rsid w:val="00436590"/>
    <w:rsid w:val="0044088F"/>
    <w:rsid w:val="004422D0"/>
    <w:rsid w:val="00446BBB"/>
    <w:rsid w:val="00447D52"/>
    <w:rsid w:val="00451F1D"/>
    <w:rsid w:val="00452396"/>
    <w:rsid w:val="00454D28"/>
    <w:rsid w:val="00454E4A"/>
    <w:rsid w:val="00455838"/>
    <w:rsid w:val="0045588E"/>
    <w:rsid w:val="00455C02"/>
    <w:rsid w:val="00456486"/>
    <w:rsid w:val="004565E4"/>
    <w:rsid w:val="004570B5"/>
    <w:rsid w:val="00457F1D"/>
    <w:rsid w:val="00461A5D"/>
    <w:rsid w:val="004620A4"/>
    <w:rsid w:val="00462117"/>
    <w:rsid w:val="0046244A"/>
    <w:rsid w:val="0046278E"/>
    <w:rsid w:val="00463A50"/>
    <w:rsid w:val="00465B1C"/>
    <w:rsid w:val="00467140"/>
    <w:rsid w:val="00467AFF"/>
    <w:rsid w:val="00471C07"/>
    <w:rsid w:val="00473CA9"/>
    <w:rsid w:val="00473E2C"/>
    <w:rsid w:val="00475F10"/>
    <w:rsid w:val="00477B96"/>
    <w:rsid w:val="00480CD9"/>
    <w:rsid w:val="00482E62"/>
    <w:rsid w:val="004833F6"/>
    <w:rsid w:val="00483585"/>
    <w:rsid w:val="00484883"/>
    <w:rsid w:val="00484BCA"/>
    <w:rsid w:val="00485D9F"/>
    <w:rsid w:val="004863DC"/>
    <w:rsid w:val="00486497"/>
    <w:rsid w:val="00486F65"/>
    <w:rsid w:val="004902BB"/>
    <w:rsid w:val="00490600"/>
    <w:rsid w:val="004916E2"/>
    <w:rsid w:val="00491D86"/>
    <w:rsid w:val="00492102"/>
    <w:rsid w:val="00492A22"/>
    <w:rsid w:val="004934C4"/>
    <w:rsid w:val="00493D56"/>
    <w:rsid w:val="00493E41"/>
    <w:rsid w:val="0049418D"/>
    <w:rsid w:val="00494433"/>
    <w:rsid w:val="004953F9"/>
    <w:rsid w:val="00497D07"/>
    <w:rsid w:val="004A0D3B"/>
    <w:rsid w:val="004A140C"/>
    <w:rsid w:val="004A16BE"/>
    <w:rsid w:val="004A19AB"/>
    <w:rsid w:val="004A1F72"/>
    <w:rsid w:val="004A225B"/>
    <w:rsid w:val="004A25A2"/>
    <w:rsid w:val="004A25F4"/>
    <w:rsid w:val="004A5500"/>
    <w:rsid w:val="004A6CDA"/>
    <w:rsid w:val="004B009D"/>
    <w:rsid w:val="004B0255"/>
    <w:rsid w:val="004B16D4"/>
    <w:rsid w:val="004B1C63"/>
    <w:rsid w:val="004B1D84"/>
    <w:rsid w:val="004B2708"/>
    <w:rsid w:val="004B386B"/>
    <w:rsid w:val="004B3EA6"/>
    <w:rsid w:val="004B6951"/>
    <w:rsid w:val="004B7023"/>
    <w:rsid w:val="004B7259"/>
    <w:rsid w:val="004C0C65"/>
    <w:rsid w:val="004C0E63"/>
    <w:rsid w:val="004C11FC"/>
    <w:rsid w:val="004C1B5D"/>
    <w:rsid w:val="004C58D3"/>
    <w:rsid w:val="004C62EA"/>
    <w:rsid w:val="004C63D1"/>
    <w:rsid w:val="004C77C5"/>
    <w:rsid w:val="004C784F"/>
    <w:rsid w:val="004C7F21"/>
    <w:rsid w:val="004C7F68"/>
    <w:rsid w:val="004D06E4"/>
    <w:rsid w:val="004D0B05"/>
    <w:rsid w:val="004D0E2C"/>
    <w:rsid w:val="004D1D87"/>
    <w:rsid w:val="004D1E60"/>
    <w:rsid w:val="004D3456"/>
    <w:rsid w:val="004D48C1"/>
    <w:rsid w:val="004D4C1F"/>
    <w:rsid w:val="004D573E"/>
    <w:rsid w:val="004D5A17"/>
    <w:rsid w:val="004D5E41"/>
    <w:rsid w:val="004D6B1F"/>
    <w:rsid w:val="004E0468"/>
    <w:rsid w:val="004E1918"/>
    <w:rsid w:val="004E199D"/>
    <w:rsid w:val="004E1B15"/>
    <w:rsid w:val="004E1C57"/>
    <w:rsid w:val="004E29B0"/>
    <w:rsid w:val="004E3294"/>
    <w:rsid w:val="004E4552"/>
    <w:rsid w:val="004E46A8"/>
    <w:rsid w:val="004E54B5"/>
    <w:rsid w:val="004E57CC"/>
    <w:rsid w:val="004E58F9"/>
    <w:rsid w:val="004E6545"/>
    <w:rsid w:val="004E6697"/>
    <w:rsid w:val="004E7D42"/>
    <w:rsid w:val="004E7E9B"/>
    <w:rsid w:val="004F0FEA"/>
    <w:rsid w:val="004F343C"/>
    <w:rsid w:val="004F3863"/>
    <w:rsid w:val="004F41D4"/>
    <w:rsid w:val="004F5A47"/>
    <w:rsid w:val="004F70B2"/>
    <w:rsid w:val="004F7139"/>
    <w:rsid w:val="004F7C38"/>
    <w:rsid w:val="00500464"/>
    <w:rsid w:val="005005E6"/>
    <w:rsid w:val="00500773"/>
    <w:rsid w:val="0050176A"/>
    <w:rsid w:val="00501B92"/>
    <w:rsid w:val="00501F1D"/>
    <w:rsid w:val="005025B4"/>
    <w:rsid w:val="00502898"/>
    <w:rsid w:val="0050560F"/>
    <w:rsid w:val="005056C7"/>
    <w:rsid w:val="00505D82"/>
    <w:rsid w:val="005069E7"/>
    <w:rsid w:val="005070AC"/>
    <w:rsid w:val="00511414"/>
    <w:rsid w:val="00511716"/>
    <w:rsid w:val="005118D1"/>
    <w:rsid w:val="005124EA"/>
    <w:rsid w:val="005125D9"/>
    <w:rsid w:val="00512951"/>
    <w:rsid w:val="0051343D"/>
    <w:rsid w:val="00514172"/>
    <w:rsid w:val="005143A5"/>
    <w:rsid w:val="005147A4"/>
    <w:rsid w:val="00514BE9"/>
    <w:rsid w:val="00515990"/>
    <w:rsid w:val="0051614C"/>
    <w:rsid w:val="005172B9"/>
    <w:rsid w:val="00517AA5"/>
    <w:rsid w:val="00517E9C"/>
    <w:rsid w:val="00517EEB"/>
    <w:rsid w:val="005208E9"/>
    <w:rsid w:val="00522E4B"/>
    <w:rsid w:val="00523B7E"/>
    <w:rsid w:val="00524E36"/>
    <w:rsid w:val="00525716"/>
    <w:rsid w:val="00525D5D"/>
    <w:rsid w:val="00527551"/>
    <w:rsid w:val="005277D9"/>
    <w:rsid w:val="0053015A"/>
    <w:rsid w:val="005303E4"/>
    <w:rsid w:val="00530474"/>
    <w:rsid w:val="0053101B"/>
    <w:rsid w:val="0053143F"/>
    <w:rsid w:val="00531F77"/>
    <w:rsid w:val="0053296B"/>
    <w:rsid w:val="0053377B"/>
    <w:rsid w:val="00534E60"/>
    <w:rsid w:val="005351F0"/>
    <w:rsid w:val="0053563E"/>
    <w:rsid w:val="005356F8"/>
    <w:rsid w:val="00536968"/>
    <w:rsid w:val="00536C00"/>
    <w:rsid w:val="00537230"/>
    <w:rsid w:val="005376CD"/>
    <w:rsid w:val="00537CB7"/>
    <w:rsid w:val="00540FD3"/>
    <w:rsid w:val="00542257"/>
    <w:rsid w:val="00542ACB"/>
    <w:rsid w:val="00542B7F"/>
    <w:rsid w:val="00542BB1"/>
    <w:rsid w:val="00542D1C"/>
    <w:rsid w:val="005432A7"/>
    <w:rsid w:val="00545159"/>
    <w:rsid w:val="00547092"/>
    <w:rsid w:val="00547480"/>
    <w:rsid w:val="00550288"/>
    <w:rsid w:val="0055094D"/>
    <w:rsid w:val="00550D1C"/>
    <w:rsid w:val="00550F12"/>
    <w:rsid w:val="0055182A"/>
    <w:rsid w:val="00551E88"/>
    <w:rsid w:val="00552098"/>
    <w:rsid w:val="00552193"/>
    <w:rsid w:val="00553168"/>
    <w:rsid w:val="00553987"/>
    <w:rsid w:val="00555433"/>
    <w:rsid w:val="00556770"/>
    <w:rsid w:val="005572D2"/>
    <w:rsid w:val="00557474"/>
    <w:rsid w:val="005575F9"/>
    <w:rsid w:val="005576D0"/>
    <w:rsid w:val="00557866"/>
    <w:rsid w:val="00557CAE"/>
    <w:rsid w:val="00560FB1"/>
    <w:rsid w:val="005613F8"/>
    <w:rsid w:val="00562FAE"/>
    <w:rsid w:val="00563746"/>
    <w:rsid w:val="00564A19"/>
    <w:rsid w:val="00564C11"/>
    <w:rsid w:val="00566BB9"/>
    <w:rsid w:val="0056795E"/>
    <w:rsid w:val="00570554"/>
    <w:rsid w:val="005717A4"/>
    <w:rsid w:val="00574527"/>
    <w:rsid w:val="00574D0B"/>
    <w:rsid w:val="00574E89"/>
    <w:rsid w:val="00575165"/>
    <w:rsid w:val="00575C75"/>
    <w:rsid w:val="0057722D"/>
    <w:rsid w:val="005774B8"/>
    <w:rsid w:val="00581568"/>
    <w:rsid w:val="00582998"/>
    <w:rsid w:val="00582C34"/>
    <w:rsid w:val="00584AC0"/>
    <w:rsid w:val="00585884"/>
    <w:rsid w:val="005869E3"/>
    <w:rsid w:val="00587AC3"/>
    <w:rsid w:val="00592019"/>
    <w:rsid w:val="00592CE1"/>
    <w:rsid w:val="00593975"/>
    <w:rsid w:val="00594777"/>
    <w:rsid w:val="00595512"/>
    <w:rsid w:val="00595D1F"/>
    <w:rsid w:val="00596856"/>
    <w:rsid w:val="005A072B"/>
    <w:rsid w:val="005A11C5"/>
    <w:rsid w:val="005A1D0A"/>
    <w:rsid w:val="005A2B3C"/>
    <w:rsid w:val="005A39FB"/>
    <w:rsid w:val="005A3A51"/>
    <w:rsid w:val="005A447F"/>
    <w:rsid w:val="005A486B"/>
    <w:rsid w:val="005A4E46"/>
    <w:rsid w:val="005A520F"/>
    <w:rsid w:val="005A5AEC"/>
    <w:rsid w:val="005A657C"/>
    <w:rsid w:val="005A74F4"/>
    <w:rsid w:val="005A7749"/>
    <w:rsid w:val="005A7C23"/>
    <w:rsid w:val="005A7DA2"/>
    <w:rsid w:val="005B01B6"/>
    <w:rsid w:val="005B0517"/>
    <w:rsid w:val="005B07B9"/>
    <w:rsid w:val="005B0BC6"/>
    <w:rsid w:val="005B195D"/>
    <w:rsid w:val="005B1D88"/>
    <w:rsid w:val="005B3A97"/>
    <w:rsid w:val="005B623B"/>
    <w:rsid w:val="005B6D34"/>
    <w:rsid w:val="005C027F"/>
    <w:rsid w:val="005C077F"/>
    <w:rsid w:val="005C0C29"/>
    <w:rsid w:val="005C2484"/>
    <w:rsid w:val="005C3281"/>
    <w:rsid w:val="005C3A6F"/>
    <w:rsid w:val="005C4020"/>
    <w:rsid w:val="005C4414"/>
    <w:rsid w:val="005C44E1"/>
    <w:rsid w:val="005C46D1"/>
    <w:rsid w:val="005C4A2E"/>
    <w:rsid w:val="005C5D01"/>
    <w:rsid w:val="005C6389"/>
    <w:rsid w:val="005C6F1F"/>
    <w:rsid w:val="005C7115"/>
    <w:rsid w:val="005C7BD9"/>
    <w:rsid w:val="005D0C9E"/>
    <w:rsid w:val="005D0E50"/>
    <w:rsid w:val="005D2168"/>
    <w:rsid w:val="005D31C8"/>
    <w:rsid w:val="005D3D29"/>
    <w:rsid w:val="005D420E"/>
    <w:rsid w:val="005D4D31"/>
    <w:rsid w:val="005D5417"/>
    <w:rsid w:val="005D5513"/>
    <w:rsid w:val="005D7677"/>
    <w:rsid w:val="005E2314"/>
    <w:rsid w:val="005E3BE9"/>
    <w:rsid w:val="005E4484"/>
    <w:rsid w:val="005E4FAB"/>
    <w:rsid w:val="005E500C"/>
    <w:rsid w:val="005E503E"/>
    <w:rsid w:val="005E6B1A"/>
    <w:rsid w:val="005E7908"/>
    <w:rsid w:val="005F04CB"/>
    <w:rsid w:val="005F072C"/>
    <w:rsid w:val="005F1C1D"/>
    <w:rsid w:val="005F1E94"/>
    <w:rsid w:val="005F3589"/>
    <w:rsid w:val="005F3A43"/>
    <w:rsid w:val="005F4586"/>
    <w:rsid w:val="005F5A89"/>
    <w:rsid w:val="005F6D8A"/>
    <w:rsid w:val="005F717F"/>
    <w:rsid w:val="005F71B3"/>
    <w:rsid w:val="00600F1F"/>
    <w:rsid w:val="00603995"/>
    <w:rsid w:val="00605693"/>
    <w:rsid w:val="00605C92"/>
    <w:rsid w:val="00605FCF"/>
    <w:rsid w:val="006061C8"/>
    <w:rsid w:val="00606355"/>
    <w:rsid w:val="00607937"/>
    <w:rsid w:val="006101C4"/>
    <w:rsid w:val="00610605"/>
    <w:rsid w:val="00611CFD"/>
    <w:rsid w:val="006120AE"/>
    <w:rsid w:val="006135DC"/>
    <w:rsid w:val="00613E77"/>
    <w:rsid w:val="0061409F"/>
    <w:rsid w:val="006151A6"/>
    <w:rsid w:val="0061524E"/>
    <w:rsid w:val="00615292"/>
    <w:rsid w:val="00615499"/>
    <w:rsid w:val="006156A4"/>
    <w:rsid w:val="00615D8B"/>
    <w:rsid w:val="00616C7A"/>
    <w:rsid w:val="00620EDC"/>
    <w:rsid w:val="00621B29"/>
    <w:rsid w:val="00622884"/>
    <w:rsid w:val="00623115"/>
    <w:rsid w:val="0062322E"/>
    <w:rsid w:val="00623278"/>
    <w:rsid w:val="00623627"/>
    <w:rsid w:val="00623E09"/>
    <w:rsid w:val="00624223"/>
    <w:rsid w:val="006279AF"/>
    <w:rsid w:val="00630074"/>
    <w:rsid w:val="00630DD1"/>
    <w:rsid w:val="00631020"/>
    <w:rsid w:val="00631060"/>
    <w:rsid w:val="006313FC"/>
    <w:rsid w:val="006316A9"/>
    <w:rsid w:val="006323D9"/>
    <w:rsid w:val="00632721"/>
    <w:rsid w:val="00634F28"/>
    <w:rsid w:val="00636A90"/>
    <w:rsid w:val="00636AA8"/>
    <w:rsid w:val="00640BEB"/>
    <w:rsid w:val="00640C95"/>
    <w:rsid w:val="0064104C"/>
    <w:rsid w:val="00641978"/>
    <w:rsid w:val="00641BDD"/>
    <w:rsid w:val="00642BB3"/>
    <w:rsid w:val="006434D8"/>
    <w:rsid w:val="00643FB6"/>
    <w:rsid w:val="00644090"/>
    <w:rsid w:val="0064454B"/>
    <w:rsid w:val="00644AA0"/>
    <w:rsid w:val="00645856"/>
    <w:rsid w:val="00645BF8"/>
    <w:rsid w:val="0064748A"/>
    <w:rsid w:val="006475D4"/>
    <w:rsid w:val="0065149D"/>
    <w:rsid w:val="00651C24"/>
    <w:rsid w:val="00652506"/>
    <w:rsid w:val="0065279D"/>
    <w:rsid w:val="00652B03"/>
    <w:rsid w:val="006540DB"/>
    <w:rsid w:val="0065427D"/>
    <w:rsid w:val="006549D5"/>
    <w:rsid w:val="006549FC"/>
    <w:rsid w:val="0065696F"/>
    <w:rsid w:val="006607AF"/>
    <w:rsid w:val="00663E46"/>
    <w:rsid w:val="006643C0"/>
    <w:rsid w:val="006652B6"/>
    <w:rsid w:val="00666279"/>
    <w:rsid w:val="00666744"/>
    <w:rsid w:val="00666D8E"/>
    <w:rsid w:val="00667153"/>
    <w:rsid w:val="00670050"/>
    <w:rsid w:val="00670A5B"/>
    <w:rsid w:val="0067116A"/>
    <w:rsid w:val="00671887"/>
    <w:rsid w:val="00671951"/>
    <w:rsid w:val="00671A84"/>
    <w:rsid w:val="006743B9"/>
    <w:rsid w:val="00674A48"/>
    <w:rsid w:val="00674AB7"/>
    <w:rsid w:val="0067503D"/>
    <w:rsid w:val="00675DCF"/>
    <w:rsid w:val="00675E5F"/>
    <w:rsid w:val="006767A4"/>
    <w:rsid w:val="00676EBA"/>
    <w:rsid w:val="00680D1D"/>
    <w:rsid w:val="00681051"/>
    <w:rsid w:val="00681E7F"/>
    <w:rsid w:val="00682E70"/>
    <w:rsid w:val="006830C9"/>
    <w:rsid w:val="0068330A"/>
    <w:rsid w:val="00683B09"/>
    <w:rsid w:val="00683C5F"/>
    <w:rsid w:val="00683D38"/>
    <w:rsid w:val="00684203"/>
    <w:rsid w:val="00684659"/>
    <w:rsid w:val="0068509D"/>
    <w:rsid w:val="00685A06"/>
    <w:rsid w:val="0068790B"/>
    <w:rsid w:val="00687F7F"/>
    <w:rsid w:val="0069130D"/>
    <w:rsid w:val="00692855"/>
    <w:rsid w:val="00692CEC"/>
    <w:rsid w:val="00692EA1"/>
    <w:rsid w:val="006935D0"/>
    <w:rsid w:val="00693914"/>
    <w:rsid w:val="00694D48"/>
    <w:rsid w:val="00696A34"/>
    <w:rsid w:val="00697940"/>
    <w:rsid w:val="006A0765"/>
    <w:rsid w:val="006A0D6C"/>
    <w:rsid w:val="006A1830"/>
    <w:rsid w:val="006A414F"/>
    <w:rsid w:val="006A6134"/>
    <w:rsid w:val="006A6FD8"/>
    <w:rsid w:val="006B042D"/>
    <w:rsid w:val="006B139F"/>
    <w:rsid w:val="006B154D"/>
    <w:rsid w:val="006B19A1"/>
    <w:rsid w:val="006B5165"/>
    <w:rsid w:val="006B566E"/>
    <w:rsid w:val="006B5C37"/>
    <w:rsid w:val="006B73AF"/>
    <w:rsid w:val="006C03C6"/>
    <w:rsid w:val="006C0C78"/>
    <w:rsid w:val="006C154D"/>
    <w:rsid w:val="006C1841"/>
    <w:rsid w:val="006C2B72"/>
    <w:rsid w:val="006C3542"/>
    <w:rsid w:val="006C5618"/>
    <w:rsid w:val="006C57F6"/>
    <w:rsid w:val="006C58D0"/>
    <w:rsid w:val="006C7BDA"/>
    <w:rsid w:val="006C7EF1"/>
    <w:rsid w:val="006D081A"/>
    <w:rsid w:val="006D0C0A"/>
    <w:rsid w:val="006D1511"/>
    <w:rsid w:val="006D2186"/>
    <w:rsid w:val="006D25A2"/>
    <w:rsid w:val="006D2604"/>
    <w:rsid w:val="006D2844"/>
    <w:rsid w:val="006D4BE5"/>
    <w:rsid w:val="006D4EF4"/>
    <w:rsid w:val="006D555D"/>
    <w:rsid w:val="006D5F3E"/>
    <w:rsid w:val="006D6AA3"/>
    <w:rsid w:val="006D6BA7"/>
    <w:rsid w:val="006D775A"/>
    <w:rsid w:val="006E01B5"/>
    <w:rsid w:val="006E0401"/>
    <w:rsid w:val="006E113F"/>
    <w:rsid w:val="006E131E"/>
    <w:rsid w:val="006E24FC"/>
    <w:rsid w:val="006E25A7"/>
    <w:rsid w:val="006E33FF"/>
    <w:rsid w:val="006E3F6D"/>
    <w:rsid w:val="006E4258"/>
    <w:rsid w:val="006E66A7"/>
    <w:rsid w:val="006E717B"/>
    <w:rsid w:val="006F04AF"/>
    <w:rsid w:val="006F0800"/>
    <w:rsid w:val="006F08C6"/>
    <w:rsid w:val="006F176F"/>
    <w:rsid w:val="006F2138"/>
    <w:rsid w:val="006F28AA"/>
    <w:rsid w:val="006F2A5F"/>
    <w:rsid w:val="006F2DC4"/>
    <w:rsid w:val="006F32E3"/>
    <w:rsid w:val="006F39D4"/>
    <w:rsid w:val="006F3C4C"/>
    <w:rsid w:val="006F469A"/>
    <w:rsid w:val="006F4EC1"/>
    <w:rsid w:val="006F5086"/>
    <w:rsid w:val="006F5633"/>
    <w:rsid w:val="006F7F5D"/>
    <w:rsid w:val="00701AF4"/>
    <w:rsid w:val="007038BF"/>
    <w:rsid w:val="007038FE"/>
    <w:rsid w:val="00703BD5"/>
    <w:rsid w:val="00705406"/>
    <w:rsid w:val="007058C7"/>
    <w:rsid w:val="007059E2"/>
    <w:rsid w:val="00707D6F"/>
    <w:rsid w:val="00711503"/>
    <w:rsid w:val="00712DD0"/>
    <w:rsid w:val="00713842"/>
    <w:rsid w:val="0071577D"/>
    <w:rsid w:val="00717356"/>
    <w:rsid w:val="007214DD"/>
    <w:rsid w:val="00721ABD"/>
    <w:rsid w:val="00722955"/>
    <w:rsid w:val="00723DB7"/>
    <w:rsid w:val="00724102"/>
    <w:rsid w:val="0072543D"/>
    <w:rsid w:val="00726CFD"/>
    <w:rsid w:val="00727B2B"/>
    <w:rsid w:val="00730D5E"/>
    <w:rsid w:val="007317B5"/>
    <w:rsid w:val="00732DF0"/>
    <w:rsid w:val="00733172"/>
    <w:rsid w:val="00733784"/>
    <w:rsid w:val="00733E68"/>
    <w:rsid w:val="0073532C"/>
    <w:rsid w:val="00735D64"/>
    <w:rsid w:val="00736133"/>
    <w:rsid w:val="007363E3"/>
    <w:rsid w:val="00736824"/>
    <w:rsid w:val="00736D70"/>
    <w:rsid w:val="00741488"/>
    <w:rsid w:val="00741A0E"/>
    <w:rsid w:val="007427D6"/>
    <w:rsid w:val="0074281F"/>
    <w:rsid w:val="00742F4C"/>
    <w:rsid w:val="007433EF"/>
    <w:rsid w:val="0074357D"/>
    <w:rsid w:val="00743C34"/>
    <w:rsid w:val="00743D6F"/>
    <w:rsid w:val="0074421A"/>
    <w:rsid w:val="0074533E"/>
    <w:rsid w:val="007461A5"/>
    <w:rsid w:val="0074767F"/>
    <w:rsid w:val="00747FC2"/>
    <w:rsid w:val="00747FD0"/>
    <w:rsid w:val="007505A5"/>
    <w:rsid w:val="007511B2"/>
    <w:rsid w:val="00751A60"/>
    <w:rsid w:val="00752EDE"/>
    <w:rsid w:val="00753A2D"/>
    <w:rsid w:val="00753DD3"/>
    <w:rsid w:val="00754D88"/>
    <w:rsid w:val="00754E87"/>
    <w:rsid w:val="0075525B"/>
    <w:rsid w:val="00755851"/>
    <w:rsid w:val="0075636F"/>
    <w:rsid w:val="00756E47"/>
    <w:rsid w:val="00756E9F"/>
    <w:rsid w:val="00757641"/>
    <w:rsid w:val="00757ADC"/>
    <w:rsid w:val="00757F1B"/>
    <w:rsid w:val="00760786"/>
    <w:rsid w:val="00760C7F"/>
    <w:rsid w:val="00761065"/>
    <w:rsid w:val="00763976"/>
    <w:rsid w:val="00763ACD"/>
    <w:rsid w:val="00764DBC"/>
    <w:rsid w:val="007652B4"/>
    <w:rsid w:val="007657C6"/>
    <w:rsid w:val="00765A1F"/>
    <w:rsid w:val="007669A2"/>
    <w:rsid w:val="00767ACA"/>
    <w:rsid w:val="00770384"/>
    <w:rsid w:val="00771982"/>
    <w:rsid w:val="007738A8"/>
    <w:rsid w:val="007744C5"/>
    <w:rsid w:val="007757E7"/>
    <w:rsid w:val="00775845"/>
    <w:rsid w:val="00775DF2"/>
    <w:rsid w:val="00777558"/>
    <w:rsid w:val="00780BC4"/>
    <w:rsid w:val="00780E9C"/>
    <w:rsid w:val="00781E22"/>
    <w:rsid w:val="00781FF2"/>
    <w:rsid w:val="00782220"/>
    <w:rsid w:val="007823A0"/>
    <w:rsid w:val="007827F4"/>
    <w:rsid w:val="0078313D"/>
    <w:rsid w:val="007832EB"/>
    <w:rsid w:val="00783C0C"/>
    <w:rsid w:val="00784BD7"/>
    <w:rsid w:val="00785555"/>
    <w:rsid w:val="00785D8F"/>
    <w:rsid w:val="0078711F"/>
    <w:rsid w:val="00787878"/>
    <w:rsid w:val="0078792A"/>
    <w:rsid w:val="00787D8F"/>
    <w:rsid w:val="00787E1C"/>
    <w:rsid w:val="007924AB"/>
    <w:rsid w:val="00792608"/>
    <w:rsid w:val="00792805"/>
    <w:rsid w:val="0079386F"/>
    <w:rsid w:val="00795000"/>
    <w:rsid w:val="007956B2"/>
    <w:rsid w:val="00795BB5"/>
    <w:rsid w:val="00796D83"/>
    <w:rsid w:val="00796F3C"/>
    <w:rsid w:val="007971B9"/>
    <w:rsid w:val="007971D2"/>
    <w:rsid w:val="007A069F"/>
    <w:rsid w:val="007A0BA0"/>
    <w:rsid w:val="007A2675"/>
    <w:rsid w:val="007A2ED6"/>
    <w:rsid w:val="007A3123"/>
    <w:rsid w:val="007A3AEF"/>
    <w:rsid w:val="007A487E"/>
    <w:rsid w:val="007A4991"/>
    <w:rsid w:val="007A7B2B"/>
    <w:rsid w:val="007B0073"/>
    <w:rsid w:val="007B0F3B"/>
    <w:rsid w:val="007B1209"/>
    <w:rsid w:val="007B3130"/>
    <w:rsid w:val="007B356A"/>
    <w:rsid w:val="007B4EBA"/>
    <w:rsid w:val="007B7657"/>
    <w:rsid w:val="007C0925"/>
    <w:rsid w:val="007C17DD"/>
    <w:rsid w:val="007C1A3D"/>
    <w:rsid w:val="007C20BB"/>
    <w:rsid w:val="007C3EBC"/>
    <w:rsid w:val="007C4C5D"/>
    <w:rsid w:val="007C5C31"/>
    <w:rsid w:val="007C700A"/>
    <w:rsid w:val="007C702E"/>
    <w:rsid w:val="007C769C"/>
    <w:rsid w:val="007C7EC6"/>
    <w:rsid w:val="007D08F5"/>
    <w:rsid w:val="007D0A77"/>
    <w:rsid w:val="007D19C3"/>
    <w:rsid w:val="007D1EA4"/>
    <w:rsid w:val="007D37A1"/>
    <w:rsid w:val="007D3D16"/>
    <w:rsid w:val="007D4952"/>
    <w:rsid w:val="007D55BB"/>
    <w:rsid w:val="007D6FD8"/>
    <w:rsid w:val="007D7588"/>
    <w:rsid w:val="007D770D"/>
    <w:rsid w:val="007D7811"/>
    <w:rsid w:val="007E0DC0"/>
    <w:rsid w:val="007E17CA"/>
    <w:rsid w:val="007E2366"/>
    <w:rsid w:val="007E23A7"/>
    <w:rsid w:val="007E44C2"/>
    <w:rsid w:val="007E51AE"/>
    <w:rsid w:val="007E5E0E"/>
    <w:rsid w:val="007E621A"/>
    <w:rsid w:val="007E6E4C"/>
    <w:rsid w:val="007E7D19"/>
    <w:rsid w:val="007F096F"/>
    <w:rsid w:val="007F1A97"/>
    <w:rsid w:val="007F2BAE"/>
    <w:rsid w:val="007F3169"/>
    <w:rsid w:val="007F3CD9"/>
    <w:rsid w:val="007F3D9A"/>
    <w:rsid w:val="007F3F1D"/>
    <w:rsid w:val="007F4143"/>
    <w:rsid w:val="007F5470"/>
    <w:rsid w:val="007F54CC"/>
    <w:rsid w:val="007F5B81"/>
    <w:rsid w:val="007F73B1"/>
    <w:rsid w:val="007F7B8F"/>
    <w:rsid w:val="008010AC"/>
    <w:rsid w:val="008011A5"/>
    <w:rsid w:val="00801928"/>
    <w:rsid w:val="00801D57"/>
    <w:rsid w:val="0080204F"/>
    <w:rsid w:val="00802580"/>
    <w:rsid w:val="00803937"/>
    <w:rsid w:val="00803C61"/>
    <w:rsid w:val="00804DDD"/>
    <w:rsid w:val="00805196"/>
    <w:rsid w:val="00805342"/>
    <w:rsid w:val="00805D2E"/>
    <w:rsid w:val="0080645C"/>
    <w:rsid w:val="00806655"/>
    <w:rsid w:val="008076C9"/>
    <w:rsid w:val="0081080A"/>
    <w:rsid w:val="008115C9"/>
    <w:rsid w:val="00812D1F"/>
    <w:rsid w:val="0081345C"/>
    <w:rsid w:val="00814008"/>
    <w:rsid w:val="0081491E"/>
    <w:rsid w:val="00814EB4"/>
    <w:rsid w:val="00815EE1"/>
    <w:rsid w:val="00816646"/>
    <w:rsid w:val="008178FA"/>
    <w:rsid w:val="0082037F"/>
    <w:rsid w:val="00821CE1"/>
    <w:rsid w:val="00821F08"/>
    <w:rsid w:val="00822498"/>
    <w:rsid w:val="008224A2"/>
    <w:rsid w:val="00823D79"/>
    <w:rsid w:val="0082470B"/>
    <w:rsid w:val="008249A8"/>
    <w:rsid w:val="0082633B"/>
    <w:rsid w:val="00826C7A"/>
    <w:rsid w:val="0082736A"/>
    <w:rsid w:val="00827556"/>
    <w:rsid w:val="008277C3"/>
    <w:rsid w:val="00832AE2"/>
    <w:rsid w:val="00832BB1"/>
    <w:rsid w:val="008337F4"/>
    <w:rsid w:val="008338F1"/>
    <w:rsid w:val="00833F26"/>
    <w:rsid w:val="0083479F"/>
    <w:rsid w:val="00837442"/>
    <w:rsid w:val="00837C02"/>
    <w:rsid w:val="0084132C"/>
    <w:rsid w:val="00843834"/>
    <w:rsid w:val="008445E4"/>
    <w:rsid w:val="0084460F"/>
    <w:rsid w:val="00844C2A"/>
    <w:rsid w:val="008451B0"/>
    <w:rsid w:val="008459E1"/>
    <w:rsid w:val="00845B31"/>
    <w:rsid w:val="00846DC9"/>
    <w:rsid w:val="00847250"/>
    <w:rsid w:val="008508CE"/>
    <w:rsid w:val="00850D92"/>
    <w:rsid w:val="00850EBB"/>
    <w:rsid w:val="0085184E"/>
    <w:rsid w:val="00851C9A"/>
    <w:rsid w:val="00851DB4"/>
    <w:rsid w:val="00851E6A"/>
    <w:rsid w:val="00852EA0"/>
    <w:rsid w:val="00853F0C"/>
    <w:rsid w:val="00854D0E"/>
    <w:rsid w:val="008551BF"/>
    <w:rsid w:val="00855968"/>
    <w:rsid w:val="00855B0C"/>
    <w:rsid w:val="0085737D"/>
    <w:rsid w:val="00857456"/>
    <w:rsid w:val="0085763B"/>
    <w:rsid w:val="00857AE6"/>
    <w:rsid w:val="00861968"/>
    <w:rsid w:val="00862BC6"/>
    <w:rsid w:val="00863DD6"/>
    <w:rsid w:val="00864527"/>
    <w:rsid w:val="00864FB9"/>
    <w:rsid w:val="00865367"/>
    <w:rsid w:val="008659BD"/>
    <w:rsid w:val="0087174A"/>
    <w:rsid w:val="00872365"/>
    <w:rsid w:val="00873BB2"/>
    <w:rsid w:val="00874DEF"/>
    <w:rsid w:val="0087715F"/>
    <w:rsid w:val="00877210"/>
    <w:rsid w:val="008809E1"/>
    <w:rsid w:val="008815EE"/>
    <w:rsid w:val="00882B88"/>
    <w:rsid w:val="00883267"/>
    <w:rsid w:val="00884C5C"/>
    <w:rsid w:val="00884D00"/>
    <w:rsid w:val="00885031"/>
    <w:rsid w:val="00885261"/>
    <w:rsid w:val="00885733"/>
    <w:rsid w:val="00890038"/>
    <w:rsid w:val="008905A9"/>
    <w:rsid w:val="0089155D"/>
    <w:rsid w:val="008915B9"/>
    <w:rsid w:val="00891741"/>
    <w:rsid w:val="00891812"/>
    <w:rsid w:val="00891CB7"/>
    <w:rsid w:val="008933D6"/>
    <w:rsid w:val="008A0903"/>
    <w:rsid w:val="008A1044"/>
    <w:rsid w:val="008A194D"/>
    <w:rsid w:val="008A1A17"/>
    <w:rsid w:val="008A294B"/>
    <w:rsid w:val="008A56FC"/>
    <w:rsid w:val="008A6623"/>
    <w:rsid w:val="008A6EB2"/>
    <w:rsid w:val="008A79B4"/>
    <w:rsid w:val="008A7C7F"/>
    <w:rsid w:val="008A7D73"/>
    <w:rsid w:val="008A7D7F"/>
    <w:rsid w:val="008B05E6"/>
    <w:rsid w:val="008B1979"/>
    <w:rsid w:val="008B206D"/>
    <w:rsid w:val="008B2860"/>
    <w:rsid w:val="008B2BE5"/>
    <w:rsid w:val="008B3004"/>
    <w:rsid w:val="008B30B6"/>
    <w:rsid w:val="008B3BE5"/>
    <w:rsid w:val="008B3C26"/>
    <w:rsid w:val="008B43D6"/>
    <w:rsid w:val="008B4D0D"/>
    <w:rsid w:val="008B556B"/>
    <w:rsid w:val="008B5BA6"/>
    <w:rsid w:val="008B5C86"/>
    <w:rsid w:val="008B7054"/>
    <w:rsid w:val="008B73B9"/>
    <w:rsid w:val="008B7637"/>
    <w:rsid w:val="008C2642"/>
    <w:rsid w:val="008C36C1"/>
    <w:rsid w:val="008C3A63"/>
    <w:rsid w:val="008C6019"/>
    <w:rsid w:val="008C6192"/>
    <w:rsid w:val="008C7EF6"/>
    <w:rsid w:val="008D0435"/>
    <w:rsid w:val="008D29DC"/>
    <w:rsid w:val="008D2CD6"/>
    <w:rsid w:val="008D456D"/>
    <w:rsid w:val="008D6905"/>
    <w:rsid w:val="008D6A41"/>
    <w:rsid w:val="008D78FE"/>
    <w:rsid w:val="008E04EC"/>
    <w:rsid w:val="008E0673"/>
    <w:rsid w:val="008E0EA7"/>
    <w:rsid w:val="008E19AB"/>
    <w:rsid w:val="008E243A"/>
    <w:rsid w:val="008E3200"/>
    <w:rsid w:val="008E3BD4"/>
    <w:rsid w:val="008E6DCE"/>
    <w:rsid w:val="008E6EB7"/>
    <w:rsid w:val="008E7AFF"/>
    <w:rsid w:val="008F11DC"/>
    <w:rsid w:val="008F17AB"/>
    <w:rsid w:val="008F3033"/>
    <w:rsid w:val="008F323B"/>
    <w:rsid w:val="008F333C"/>
    <w:rsid w:val="008F570D"/>
    <w:rsid w:val="008F6DD0"/>
    <w:rsid w:val="008F71C6"/>
    <w:rsid w:val="008F77D1"/>
    <w:rsid w:val="00900333"/>
    <w:rsid w:val="00900816"/>
    <w:rsid w:val="009009C0"/>
    <w:rsid w:val="009018DB"/>
    <w:rsid w:val="00901FE0"/>
    <w:rsid w:val="00903DAF"/>
    <w:rsid w:val="00905785"/>
    <w:rsid w:val="009057E1"/>
    <w:rsid w:val="009062B5"/>
    <w:rsid w:val="00906F10"/>
    <w:rsid w:val="00911638"/>
    <w:rsid w:val="0091226C"/>
    <w:rsid w:val="009126EC"/>
    <w:rsid w:val="0091284D"/>
    <w:rsid w:val="00912A19"/>
    <w:rsid w:val="00912E39"/>
    <w:rsid w:val="009140A3"/>
    <w:rsid w:val="009145B2"/>
    <w:rsid w:val="00914DE8"/>
    <w:rsid w:val="009165A5"/>
    <w:rsid w:val="009243CB"/>
    <w:rsid w:val="009247B1"/>
    <w:rsid w:val="00924A3E"/>
    <w:rsid w:val="00926B6A"/>
    <w:rsid w:val="00927494"/>
    <w:rsid w:val="009277F9"/>
    <w:rsid w:val="009300BA"/>
    <w:rsid w:val="00931081"/>
    <w:rsid w:val="00931BC1"/>
    <w:rsid w:val="00932211"/>
    <w:rsid w:val="00932C1E"/>
    <w:rsid w:val="00933221"/>
    <w:rsid w:val="00933F66"/>
    <w:rsid w:val="00935C9C"/>
    <w:rsid w:val="00937268"/>
    <w:rsid w:val="009376AF"/>
    <w:rsid w:val="0093787C"/>
    <w:rsid w:val="0094157C"/>
    <w:rsid w:val="00941E85"/>
    <w:rsid w:val="00942E07"/>
    <w:rsid w:val="00943444"/>
    <w:rsid w:val="0094348A"/>
    <w:rsid w:val="009441FB"/>
    <w:rsid w:val="009454A8"/>
    <w:rsid w:val="00945B55"/>
    <w:rsid w:val="0094622B"/>
    <w:rsid w:val="00946637"/>
    <w:rsid w:val="009467D7"/>
    <w:rsid w:val="009479F9"/>
    <w:rsid w:val="00947C81"/>
    <w:rsid w:val="00950ECA"/>
    <w:rsid w:val="009515FE"/>
    <w:rsid w:val="00952723"/>
    <w:rsid w:val="0095283F"/>
    <w:rsid w:val="00952BD9"/>
    <w:rsid w:val="00954047"/>
    <w:rsid w:val="009544A2"/>
    <w:rsid w:val="00954609"/>
    <w:rsid w:val="0095519B"/>
    <w:rsid w:val="00955803"/>
    <w:rsid w:val="00955AA3"/>
    <w:rsid w:val="009560C0"/>
    <w:rsid w:val="00956967"/>
    <w:rsid w:val="00956AE6"/>
    <w:rsid w:val="00956ED1"/>
    <w:rsid w:val="00957F80"/>
    <w:rsid w:val="009613D3"/>
    <w:rsid w:val="00961D3B"/>
    <w:rsid w:val="00962381"/>
    <w:rsid w:val="00962992"/>
    <w:rsid w:val="0096384C"/>
    <w:rsid w:val="00963D9E"/>
    <w:rsid w:val="00964374"/>
    <w:rsid w:val="009647D6"/>
    <w:rsid w:val="00965DBC"/>
    <w:rsid w:val="00967589"/>
    <w:rsid w:val="00967664"/>
    <w:rsid w:val="0097076F"/>
    <w:rsid w:val="00971106"/>
    <w:rsid w:val="00971D01"/>
    <w:rsid w:val="009729F3"/>
    <w:rsid w:val="00972A53"/>
    <w:rsid w:val="00973222"/>
    <w:rsid w:val="00973AE9"/>
    <w:rsid w:val="009756F6"/>
    <w:rsid w:val="00975D73"/>
    <w:rsid w:val="0097611B"/>
    <w:rsid w:val="009762AA"/>
    <w:rsid w:val="0097648B"/>
    <w:rsid w:val="009773CA"/>
    <w:rsid w:val="0097781B"/>
    <w:rsid w:val="0098009E"/>
    <w:rsid w:val="0098027F"/>
    <w:rsid w:val="00981D82"/>
    <w:rsid w:val="00983042"/>
    <w:rsid w:val="009832EB"/>
    <w:rsid w:val="0098347F"/>
    <w:rsid w:val="0098583F"/>
    <w:rsid w:val="00986477"/>
    <w:rsid w:val="0098784C"/>
    <w:rsid w:val="009901E2"/>
    <w:rsid w:val="00990C6A"/>
    <w:rsid w:val="00991371"/>
    <w:rsid w:val="009918B3"/>
    <w:rsid w:val="00991DE5"/>
    <w:rsid w:val="00991F8C"/>
    <w:rsid w:val="00992F80"/>
    <w:rsid w:val="00994A8E"/>
    <w:rsid w:val="009958C4"/>
    <w:rsid w:val="00995CC9"/>
    <w:rsid w:val="00996781"/>
    <w:rsid w:val="00996D0B"/>
    <w:rsid w:val="009972CF"/>
    <w:rsid w:val="0099758C"/>
    <w:rsid w:val="009A02C6"/>
    <w:rsid w:val="009A0378"/>
    <w:rsid w:val="009A08F8"/>
    <w:rsid w:val="009A10CE"/>
    <w:rsid w:val="009A1166"/>
    <w:rsid w:val="009A1756"/>
    <w:rsid w:val="009A20F1"/>
    <w:rsid w:val="009A3ADA"/>
    <w:rsid w:val="009A4E0F"/>
    <w:rsid w:val="009A50C3"/>
    <w:rsid w:val="009A64C2"/>
    <w:rsid w:val="009B0A7F"/>
    <w:rsid w:val="009B0D10"/>
    <w:rsid w:val="009B13CF"/>
    <w:rsid w:val="009B2000"/>
    <w:rsid w:val="009B546A"/>
    <w:rsid w:val="009B590C"/>
    <w:rsid w:val="009B5DD3"/>
    <w:rsid w:val="009B7148"/>
    <w:rsid w:val="009B75A4"/>
    <w:rsid w:val="009B7870"/>
    <w:rsid w:val="009C1C58"/>
    <w:rsid w:val="009C1C70"/>
    <w:rsid w:val="009C2743"/>
    <w:rsid w:val="009C2798"/>
    <w:rsid w:val="009C41B6"/>
    <w:rsid w:val="009C4721"/>
    <w:rsid w:val="009C51EF"/>
    <w:rsid w:val="009C549A"/>
    <w:rsid w:val="009C5BE2"/>
    <w:rsid w:val="009C5E6D"/>
    <w:rsid w:val="009C70DF"/>
    <w:rsid w:val="009C75BF"/>
    <w:rsid w:val="009D0440"/>
    <w:rsid w:val="009D059D"/>
    <w:rsid w:val="009D0E3B"/>
    <w:rsid w:val="009D1435"/>
    <w:rsid w:val="009D22BA"/>
    <w:rsid w:val="009D2C27"/>
    <w:rsid w:val="009D2D8D"/>
    <w:rsid w:val="009D36A6"/>
    <w:rsid w:val="009D421D"/>
    <w:rsid w:val="009D4291"/>
    <w:rsid w:val="009D5225"/>
    <w:rsid w:val="009D69A1"/>
    <w:rsid w:val="009D6A4C"/>
    <w:rsid w:val="009D6D80"/>
    <w:rsid w:val="009D70DC"/>
    <w:rsid w:val="009E0662"/>
    <w:rsid w:val="009E15CA"/>
    <w:rsid w:val="009E27AB"/>
    <w:rsid w:val="009E2BB6"/>
    <w:rsid w:val="009E3B38"/>
    <w:rsid w:val="009E4158"/>
    <w:rsid w:val="009E4477"/>
    <w:rsid w:val="009E4C25"/>
    <w:rsid w:val="009E5054"/>
    <w:rsid w:val="009E535D"/>
    <w:rsid w:val="009E57DD"/>
    <w:rsid w:val="009E654B"/>
    <w:rsid w:val="009E7415"/>
    <w:rsid w:val="009F05A5"/>
    <w:rsid w:val="009F148C"/>
    <w:rsid w:val="009F25A0"/>
    <w:rsid w:val="009F2EFE"/>
    <w:rsid w:val="009F2F79"/>
    <w:rsid w:val="009F43DC"/>
    <w:rsid w:val="009F5621"/>
    <w:rsid w:val="009F5B71"/>
    <w:rsid w:val="009F7FDD"/>
    <w:rsid w:val="00A01572"/>
    <w:rsid w:val="00A01FD7"/>
    <w:rsid w:val="00A045CE"/>
    <w:rsid w:val="00A054CE"/>
    <w:rsid w:val="00A05BC2"/>
    <w:rsid w:val="00A05E34"/>
    <w:rsid w:val="00A06600"/>
    <w:rsid w:val="00A107A6"/>
    <w:rsid w:val="00A10B13"/>
    <w:rsid w:val="00A11E64"/>
    <w:rsid w:val="00A127B8"/>
    <w:rsid w:val="00A1470E"/>
    <w:rsid w:val="00A147E1"/>
    <w:rsid w:val="00A14F5B"/>
    <w:rsid w:val="00A15247"/>
    <w:rsid w:val="00A15749"/>
    <w:rsid w:val="00A16140"/>
    <w:rsid w:val="00A1626A"/>
    <w:rsid w:val="00A16CCD"/>
    <w:rsid w:val="00A2015A"/>
    <w:rsid w:val="00A20DBD"/>
    <w:rsid w:val="00A20F57"/>
    <w:rsid w:val="00A24A60"/>
    <w:rsid w:val="00A259AC"/>
    <w:rsid w:val="00A26FF5"/>
    <w:rsid w:val="00A304B0"/>
    <w:rsid w:val="00A30AEF"/>
    <w:rsid w:val="00A30BFE"/>
    <w:rsid w:val="00A32984"/>
    <w:rsid w:val="00A33546"/>
    <w:rsid w:val="00A337A0"/>
    <w:rsid w:val="00A35DA3"/>
    <w:rsid w:val="00A36087"/>
    <w:rsid w:val="00A3615C"/>
    <w:rsid w:val="00A36568"/>
    <w:rsid w:val="00A3683B"/>
    <w:rsid w:val="00A43537"/>
    <w:rsid w:val="00A43CF0"/>
    <w:rsid w:val="00A4435C"/>
    <w:rsid w:val="00A449BD"/>
    <w:rsid w:val="00A44D0B"/>
    <w:rsid w:val="00A45293"/>
    <w:rsid w:val="00A458C8"/>
    <w:rsid w:val="00A45AE4"/>
    <w:rsid w:val="00A45D33"/>
    <w:rsid w:val="00A46B17"/>
    <w:rsid w:val="00A46D7B"/>
    <w:rsid w:val="00A46E0F"/>
    <w:rsid w:val="00A4781D"/>
    <w:rsid w:val="00A47E3D"/>
    <w:rsid w:val="00A50D97"/>
    <w:rsid w:val="00A5214B"/>
    <w:rsid w:val="00A5289F"/>
    <w:rsid w:val="00A52A63"/>
    <w:rsid w:val="00A5337A"/>
    <w:rsid w:val="00A53536"/>
    <w:rsid w:val="00A53622"/>
    <w:rsid w:val="00A53C66"/>
    <w:rsid w:val="00A53E5E"/>
    <w:rsid w:val="00A562FA"/>
    <w:rsid w:val="00A5707B"/>
    <w:rsid w:val="00A57387"/>
    <w:rsid w:val="00A57F41"/>
    <w:rsid w:val="00A600A2"/>
    <w:rsid w:val="00A60C3F"/>
    <w:rsid w:val="00A61C44"/>
    <w:rsid w:val="00A62A7C"/>
    <w:rsid w:val="00A6346A"/>
    <w:rsid w:val="00A63B94"/>
    <w:rsid w:val="00A64BEB"/>
    <w:rsid w:val="00A6555E"/>
    <w:rsid w:val="00A70026"/>
    <w:rsid w:val="00A70968"/>
    <w:rsid w:val="00A70B1E"/>
    <w:rsid w:val="00A731AC"/>
    <w:rsid w:val="00A74C61"/>
    <w:rsid w:val="00A759EC"/>
    <w:rsid w:val="00A75E6C"/>
    <w:rsid w:val="00A76832"/>
    <w:rsid w:val="00A773F4"/>
    <w:rsid w:val="00A77CB7"/>
    <w:rsid w:val="00A80643"/>
    <w:rsid w:val="00A8283A"/>
    <w:rsid w:val="00A830F5"/>
    <w:rsid w:val="00A83C8B"/>
    <w:rsid w:val="00A84539"/>
    <w:rsid w:val="00A85D60"/>
    <w:rsid w:val="00A8631D"/>
    <w:rsid w:val="00A865F0"/>
    <w:rsid w:val="00A870B9"/>
    <w:rsid w:val="00A877FC"/>
    <w:rsid w:val="00A879AE"/>
    <w:rsid w:val="00A90B1E"/>
    <w:rsid w:val="00A90F16"/>
    <w:rsid w:val="00A90F17"/>
    <w:rsid w:val="00A911DC"/>
    <w:rsid w:val="00A93234"/>
    <w:rsid w:val="00A96845"/>
    <w:rsid w:val="00A97559"/>
    <w:rsid w:val="00A97F64"/>
    <w:rsid w:val="00AA1E3F"/>
    <w:rsid w:val="00AA1EF2"/>
    <w:rsid w:val="00AA25C7"/>
    <w:rsid w:val="00AA324F"/>
    <w:rsid w:val="00AA3A18"/>
    <w:rsid w:val="00AA4A5F"/>
    <w:rsid w:val="00AA5F26"/>
    <w:rsid w:val="00AA63E3"/>
    <w:rsid w:val="00AB0954"/>
    <w:rsid w:val="00AB0EB2"/>
    <w:rsid w:val="00AB22D5"/>
    <w:rsid w:val="00AB254C"/>
    <w:rsid w:val="00AB25F0"/>
    <w:rsid w:val="00AB4741"/>
    <w:rsid w:val="00AB67A5"/>
    <w:rsid w:val="00AB7549"/>
    <w:rsid w:val="00AB756D"/>
    <w:rsid w:val="00AC049F"/>
    <w:rsid w:val="00AC130A"/>
    <w:rsid w:val="00AC131E"/>
    <w:rsid w:val="00AC1385"/>
    <w:rsid w:val="00AC16F3"/>
    <w:rsid w:val="00AC338D"/>
    <w:rsid w:val="00AC4BB5"/>
    <w:rsid w:val="00AC5572"/>
    <w:rsid w:val="00AC5C2D"/>
    <w:rsid w:val="00AC6773"/>
    <w:rsid w:val="00AC711F"/>
    <w:rsid w:val="00AC763C"/>
    <w:rsid w:val="00AC76AF"/>
    <w:rsid w:val="00AD082C"/>
    <w:rsid w:val="00AD1E45"/>
    <w:rsid w:val="00AD23A1"/>
    <w:rsid w:val="00AD24D7"/>
    <w:rsid w:val="00AD3A1E"/>
    <w:rsid w:val="00AD3E2C"/>
    <w:rsid w:val="00AD420F"/>
    <w:rsid w:val="00AD547F"/>
    <w:rsid w:val="00AD6656"/>
    <w:rsid w:val="00AD7277"/>
    <w:rsid w:val="00AE05ED"/>
    <w:rsid w:val="00AE07E0"/>
    <w:rsid w:val="00AE0862"/>
    <w:rsid w:val="00AE0A9A"/>
    <w:rsid w:val="00AE148F"/>
    <w:rsid w:val="00AE2615"/>
    <w:rsid w:val="00AE30C4"/>
    <w:rsid w:val="00AE3AA0"/>
    <w:rsid w:val="00AE3F99"/>
    <w:rsid w:val="00AE6738"/>
    <w:rsid w:val="00AE7BAB"/>
    <w:rsid w:val="00AE7D9C"/>
    <w:rsid w:val="00AF00D7"/>
    <w:rsid w:val="00AF3932"/>
    <w:rsid w:val="00AF4479"/>
    <w:rsid w:val="00AF495B"/>
    <w:rsid w:val="00AF6BCB"/>
    <w:rsid w:val="00AF6C32"/>
    <w:rsid w:val="00AF758E"/>
    <w:rsid w:val="00AF7CCF"/>
    <w:rsid w:val="00B00C4D"/>
    <w:rsid w:val="00B017B0"/>
    <w:rsid w:val="00B02F78"/>
    <w:rsid w:val="00B04ADB"/>
    <w:rsid w:val="00B05DB2"/>
    <w:rsid w:val="00B06010"/>
    <w:rsid w:val="00B06503"/>
    <w:rsid w:val="00B06681"/>
    <w:rsid w:val="00B1035C"/>
    <w:rsid w:val="00B10599"/>
    <w:rsid w:val="00B10F92"/>
    <w:rsid w:val="00B1107B"/>
    <w:rsid w:val="00B1339A"/>
    <w:rsid w:val="00B13BED"/>
    <w:rsid w:val="00B14D06"/>
    <w:rsid w:val="00B16383"/>
    <w:rsid w:val="00B16721"/>
    <w:rsid w:val="00B175CA"/>
    <w:rsid w:val="00B202D6"/>
    <w:rsid w:val="00B20716"/>
    <w:rsid w:val="00B22D0B"/>
    <w:rsid w:val="00B2327C"/>
    <w:rsid w:val="00B24FCC"/>
    <w:rsid w:val="00B256D6"/>
    <w:rsid w:val="00B26AB0"/>
    <w:rsid w:val="00B27E4A"/>
    <w:rsid w:val="00B3135A"/>
    <w:rsid w:val="00B363A4"/>
    <w:rsid w:val="00B37D3C"/>
    <w:rsid w:val="00B40596"/>
    <w:rsid w:val="00B405DD"/>
    <w:rsid w:val="00B40E3B"/>
    <w:rsid w:val="00B41032"/>
    <w:rsid w:val="00B4157A"/>
    <w:rsid w:val="00B4254C"/>
    <w:rsid w:val="00B44988"/>
    <w:rsid w:val="00B44D48"/>
    <w:rsid w:val="00B462B3"/>
    <w:rsid w:val="00B47143"/>
    <w:rsid w:val="00B47CC3"/>
    <w:rsid w:val="00B518CD"/>
    <w:rsid w:val="00B5226D"/>
    <w:rsid w:val="00B52DAA"/>
    <w:rsid w:val="00B53221"/>
    <w:rsid w:val="00B534C1"/>
    <w:rsid w:val="00B535C9"/>
    <w:rsid w:val="00B53FD3"/>
    <w:rsid w:val="00B542DC"/>
    <w:rsid w:val="00B54740"/>
    <w:rsid w:val="00B54BCF"/>
    <w:rsid w:val="00B55A82"/>
    <w:rsid w:val="00B55E5C"/>
    <w:rsid w:val="00B560E3"/>
    <w:rsid w:val="00B60644"/>
    <w:rsid w:val="00B607A1"/>
    <w:rsid w:val="00B60FE1"/>
    <w:rsid w:val="00B62123"/>
    <w:rsid w:val="00B62C79"/>
    <w:rsid w:val="00B62D6B"/>
    <w:rsid w:val="00B65640"/>
    <w:rsid w:val="00B65C6B"/>
    <w:rsid w:val="00B66130"/>
    <w:rsid w:val="00B67E27"/>
    <w:rsid w:val="00B700E3"/>
    <w:rsid w:val="00B70983"/>
    <w:rsid w:val="00B711E3"/>
    <w:rsid w:val="00B71554"/>
    <w:rsid w:val="00B7288E"/>
    <w:rsid w:val="00B73EF1"/>
    <w:rsid w:val="00B763F9"/>
    <w:rsid w:val="00B76A92"/>
    <w:rsid w:val="00B77719"/>
    <w:rsid w:val="00B77EA5"/>
    <w:rsid w:val="00B80FAC"/>
    <w:rsid w:val="00B8141F"/>
    <w:rsid w:val="00B81C1E"/>
    <w:rsid w:val="00B820E6"/>
    <w:rsid w:val="00B833B8"/>
    <w:rsid w:val="00B8381A"/>
    <w:rsid w:val="00B83FF1"/>
    <w:rsid w:val="00B8447D"/>
    <w:rsid w:val="00B8518D"/>
    <w:rsid w:val="00B851FB"/>
    <w:rsid w:val="00B86237"/>
    <w:rsid w:val="00B862FC"/>
    <w:rsid w:val="00B864CD"/>
    <w:rsid w:val="00B86618"/>
    <w:rsid w:val="00B86C8E"/>
    <w:rsid w:val="00B86F6E"/>
    <w:rsid w:val="00B86FFA"/>
    <w:rsid w:val="00B87621"/>
    <w:rsid w:val="00B87A14"/>
    <w:rsid w:val="00B9114F"/>
    <w:rsid w:val="00B92A04"/>
    <w:rsid w:val="00B93392"/>
    <w:rsid w:val="00B93A75"/>
    <w:rsid w:val="00B9410C"/>
    <w:rsid w:val="00B94115"/>
    <w:rsid w:val="00B960F6"/>
    <w:rsid w:val="00B97B46"/>
    <w:rsid w:val="00B97D79"/>
    <w:rsid w:val="00BA0311"/>
    <w:rsid w:val="00BA0DA9"/>
    <w:rsid w:val="00BA1877"/>
    <w:rsid w:val="00BA4774"/>
    <w:rsid w:val="00BA48C7"/>
    <w:rsid w:val="00BA4A49"/>
    <w:rsid w:val="00BA54BB"/>
    <w:rsid w:val="00BA7EF3"/>
    <w:rsid w:val="00BB00A5"/>
    <w:rsid w:val="00BB0977"/>
    <w:rsid w:val="00BB0CAB"/>
    <w:rsid w:val="00BB1628"/>
    <w:rsid w:val="00BB25BA"/>
    <w:rsid w:val="00BB43F7"/>
    <w:rsid w:val="00BB46B5"/>
    <w:rsid w:val="00BB4D70"/>
    <w:rsid w:val="00BB67C6"/>
    <w:rsid w:val="00BB7124"/>
    <w:rsid w:val="00BB7716"/>
    <w:rsid w:val="00BB7DCB"/>
    <w:rsid w:val="00BC0950"/>
    <w:rsid w:val="00BC0A66"/>
    <w:rsid w:val="00BC2C4B"/>
    <w:rsid w:val="00BC38A9"/>
    <w:rsid w:val="00BC3E66"/>
    <w:rsid w:val="00BC4C76"/>
    <w:rsid w:val="00BC4ED1"/>
    <w:rsid w:val="00BC503D"/>
    <w:rsid w:val="00BC7BA8"/>
    <w:rsid w:val="00BD0D24"/>
    <w:rsid w:val="00BD0DF6"/>
    <w:rsid w:val="00BD12F2"/>
    <w:rsid w:val="00BD17F8"/>
    <w:rsid w:val="00BD267E"/>
    <w:rsid w:val="00BD3900"/>
    <w:rsid w:val="00BD3F71"/>
    <w:rsid w:val="00BD5D50"/>
    <w:rsid w:val="00BD6B63"/>
    <w:rsid w:val="00BD6CA8"/>
    <w:rsid w:val="00BD7067"/>
    <w:rsid w:val="00BE0789"/>
    <w:rsid w:val="00BE1081"/>
    <w:rsid w:val="00BE19B4"/>
    <w:rsid w:val="00BE1EA1"/>
    <w:rsid w:val="00BE274F"/>
    <w:rsid w:val="00BE4A69"/>
    <w:rsid w:val="00BE6465"/>
    <w:rsid w:val="00BE6722"/>
    <w:rsid w:val="00BE6F33"/>
    <w:rsid w:val="00BE74F5"/>
    <w:rsid w:val="00BF0F7E"/>
    <w:rsid w:val="00BF1057"/>
    <w:rsid w:val="00BF224F"/>
    <w:rsid w:val="00BF26E0"/>
    <w:rsid w:val="00BF45A0"/>
    <w:rsid w:val="00BF4B3C"/>
    <w:rsid w:val="00BF5B3C"/>
    <w:rsid w:val="00BF5F7B"/>
    <w:rsid w:val="00BF6C9E"/>
    <w:rsid w:val="00C00600"/>
    <w:rsid w:val="00C0090F"/>
    <w:rsid w:val="00C0280D"/>
    <w:rsid w:val="00C0382D"/>
    <w:rsid w:val="00C03C8F"/>
    <w:rsid w:val="00C048E4"/>
    <w:rsid w:val="00C05E29"/>
    <w:rsid w:val="00C0647D"/>
    <w:rsid w:val="00C06D77"/>
    <w:rsid w:val="00C077ED"/>
    <w:rsid w:val="00C07AC7"/>
    <w:rsid w:val="00C102A8"/>
    <w:rsid w:val="00C10A0E"/>
    <w:rsid w:val="00C119D0"/>
    <w:rsid w:val="00C11A71"/>
    <w:rsid w:val="00C1209C"/>
    <w:rsid w:val="00C12939"/>
    <w:rsid w:val="00C12A29"/>
    <w:rsid w:val="00C13441"/>
    <w:rsid w:val="00C13EA5"/>
    <w:rsid w:val="00C14078"/>
    <w:rsid w:val="00C15674"/>
    <w:rsid w:val="00C16AEB"/>
    <w:rsid w:val="00C16D5E"/>
    <w:rsid w:val="00C178A1"/>
    <w:rsid w:val="00C203D0"/>
    <w:rsid w:val="00C20B49"/>
    <w:rsid w:val="00C22128"/>
    <w:rsid w:val="00C22914"/>
    <w:rsid w:val="00C22E25"/>
    <w:rsid w:val="00C232CC"/>
    <w:rsid w:val="00C254DB"/>
    <w:rsid w:val="00C26165"/>
    <w:rsid w:val="00C3152E"/>
    <w:rsid w:val="00C319BE"/>
    <w:rsid w:val="00C334F1"/>
    <w:rsid w:val="00C33620"/>
    <w:rsid w:val="00C33BBE"/>
    <w:rsid w:val="00C33E45"/>
    <w:rsid w:val="00C34162"/>
    <w:rsid w:val="00C3422F"/>
    <w:rsid w:val="00C3429D"/>
    <w:rsid w:val="00C342FD"/>
    <w:rsid w:val="00C343D9"/>
    <w:rsid w:val="00C3722F"/>
    <w:rsid w:val="00C37525"/>
    <w:rsid w:val="00C40C6F"/>
    <w:rsid w:val="00C41B46"/>
    <w:rsid w:val="00C42230"/>
    <w:rsid w:val="00C4233B"/>
    <w:rsid w:val="00C4280D"/>
    <w:rsid w:val="00C42AF5"/>
    <w:rsid w:val="00C43812"/>
    <w:rsid w:val="00C43934"/>
    <w:rsid w:val="00C43B79"/>
    <w:rsid w:val="00C43DC9"/>
    <w:rsid w:val="00C44CF9"/>
    <w:rsid w:val="00C45A07"/>
    <w:rsid w:val="00C46810"/>
    <w:rsid w:val="00C47638"/>
    <w:rsid w:val="00C476CA"/>
    <w:rsid w:val="00C47701"/>
    <w:rsid w:val="00C47E5C"/>
    <w:rsid w:val="00C47F7E"/>
    <w:rsid w:val="00C50A8E"/>
    <w:rsid w:val="00C52DDB"/>
    <w:rsid w:val="00C53254"/>
    <w:rsid w:val="00C53883"/>
    <w:rsid w:val="00C5490B"/>
    <w:rsid w:val="00C55345"/>
    <w:rsid w:val="00C555F4"/>
    <w:rsid w:val="00C57A04"/>
    <w:rsid w:val="00C57AB7"/>
    <w:rsid w:val="00C57BA2"/>
    <w:rsid w:val="00C608C7"/>
    <w:rsid w:val="00C60BF5"/>
    <w:rsid w:val="00C617B1"/>
    <w:rsid w:val="00C62671"/>
    <w:rsid w:val="00C62C41"/>
    <w:rsid w:val="00C6337E"/>
    <w:rsid w:val="00C639A5"/>
    <w:rsid w:val="00C63C61"/>
    <w:rsid w:val="00C64009"/>
    <w:rsid w:val="00C64290"/>
    <w:rsid w:val="00C64EC9"/>
    <w:rsid w:val="00C6512E"/>
    <w:rsid w:val="00C65AFE"/>
    <w:rsid w:val="00C65E3C"/>
    <w:rsid w:val="00C67566"/>
    <w:rsid w:val="00C67DCB"/>
    <w:rsid w:val="00C70444"/>
    <w:rsid w:val="00C70E1D"/>
    <w:rsid w:val="00C7211D"/>
    <w:rsid w:val="00C73179"/>
    <w:rsid w:val="00C732B0"/>
    <w:rsid w:val="00C738FE"/>
    <w:rsid w:val="00C7568C"/>
    <w:rsid w:val="00C7594A"/>
    <w:rsid w:val="00C767AC"/>
    <w:rsid w:val="00C76E66"/>
    <w:rsid w:val="00C77756"/>
    <w:rsid w:val="00C7799C"/>
    <w:rsid w:val="00C77D71"/>
    <w:rsid w:val="00C80341"/>
    <w:rsid w:val="00C8077F"/>
    <w:rsid w:val="00C8230C"/>
    <w:rsid w:val="00C845FC"/>
    <w:rsid w:val="00C84AD2"/>
    <w:rsid w:val="00C85294"/>
    <w:rsid w:val="00C86977"/>
    <w:rsid w:val="00C86C1B"/>
    <w:rsid w:val="00C87F68"/>
    <w:rsid w:val="00C91572"/>
    <w:rsid w:val="00C9230B"/>
    <w:rsid w:val="00C927E4"/>
    <w:rsid w:val="00C9563D"/>
    <w:rsid w:val="00C95861"/>
    <w:rsid w:val="00C9652B"/>
    <w:rsid w:val="00C96572"/>
    <w:rsid w:val="00C97A3B"/>
    <w:rsid w:val="00CA033D"/>
    <w:rsid w:val="00CA06A2"/>
    <w:rsid w:val="00CA1CF4"/>
    <w:rsid w:val="00CA295F"/>
    <w:rsid w:val="00CA2D54"/>
    <w:rsid w:val="00CA32CB"/>
    <w:rsid w:val="00CA3639"/>
    <w:rsid w:val="00CA3CDD"/>
    <w:rsid w:val="00CA538D"/>
    <w:rsid w:val="00CA5426"/>
    <w:rsid w:val="00CA549A"/>
    <w:rsid w:val="00CA59BD"/>
    <w:rsid w:val="00CA63A5"/>
    <w:rsid w:val="00CA665E"/>
    <w:rsid w:val="00CB07EA"/>
    <w:rsid w:val="00CB0A88"/>
    <w:rsid w:val="00CB4421"/>
    <w:rsid w:val="00CB4486"/>
    <w:rsid w:val="00CB69D9"/>
    <w:rsid w:val="00CB726E"/>
    <w:rsid w:val="00CC0883"/>
    <w:rsid w:val="00CC0F84"/>
    <w:rsid w:val="00CC2ED8"/>
    <w:rsid w:val="00CC438E"/>
    <w:rsid w:val="00CC5448"/>
    <w:rsid w:val="00CC66ED"/>
    <w:rsid w:val="00CC7286"/>
    <w:rsid w:val="00CC74F5"/>
    <w:rsid w:val="00CC7702"/>
    <w:rsid w:val="00CC7FFA"/>
    <w:rsid w:val="00CD25CA"/>
    <w:rsid w:val="00CD3019"/>
    <w:rsid w:val="00CD49C6"/>
    <w:rsid w:val="00CD4AC9"/>
    <w:rsid w:val="00CD53F3"/>
    <w:rsid w:val="00CD5561"/>
    <w:rsid w:val="00CD6345"/>
    <w:rsid w:val="00CD638E"/>
    <w:rsid w:val="00CD6DE6"/>
    <w:rsid w:val="00CD7603"/>
    <w:rsid w:val="00CD7B55"/>
    <w:rsid w:val="00CE1168"/>
    <w:rsid w:val="00CE23D0"/>
    <w:rsid w:val="00CE3838"/>
    <w:rsid w:val="00CE6D44"/>
    <w:rsid w:val="00CE6E11"/>
    <w:rsid w:val="00CE736C"/>
    <w:rsid w:val="00CE7F04"/>
    <w:rsid w:val="00CE7FCF"/>
    <w:rsid w:val="00CF0AD3"/>
    <w:rsid w:val="00CF0FE0"/>
    <w:rsid w:val="00CF13FE"/>
    <w:rsid w:val="00CF1875"/>
    <w:rsid w:val="00CF1EB5"/>
    <w:rsid w:val="00CF2746"/>
    <w:rsid w:val="00CF2C66"/>
    <w:rsid w:val="00CF58F1"/>
    <w:rsid w:val="00CF5A58"/>
    <w:rsid w:val="00CF5E7B"/>
    <w:rsid w:val="00CF6008"/>
    <w:rsid w:val="00CF78C0"/>
    <w:rsid w:val="00CF7B17"/>
    <w:rsid w:val="00D0037D"/>
    <w:rsid w:val="00D00406"/>
    <w:rsid w:val="00D010D2"/>
    <w:rsid w:val="00D0174F"/>
    <w:rsid w:val="00D02018"/>
    <w:rsid w:val="00D02410"/>
    <w:rsid w:val="00D02B82"/>
    <w:rsid w:val="00D02BE1"/>
    <w:rsid w:val="00D0338F"/>
    <w:rsid w:val="00D048FE"/>
    <w:rsid w:val="00D05CB2"/>
    <w:rsid w:val="00D06344"/>
    <w:rsid w:val="00D07B1D"/>
    <w:rsid w:val="00D10310"/>
    <w:rsid w:val="00D111B0"/>
    <w:rsid w:val="00D118CA"/>
    <w:rsid w:val="00D128FA"/>
    <w:rsid w:val="00D13683"/>
    <w:rsid w:val="00D13CA9"/>
    <w:rsid w:val="00D13FA7"/>
    <w:rsid w:val="00D14661"/>
    <w:rsid w:val="00D14A6B"/>
    <w:rsid w:val="00D15287"/>
    <w:rsid w:val="00D155E6"/>
    <w:rsid w:val="00D20849"/>
    <w:rsid w:val="00D24115"/>
    <w:rsid w:val="00D241F0"/>
    <w:rsid w:val="00D24495"/>
    <w:rsid w:val="00D25126"/>
    <w:rsid w:val="00D26FBD"/>
    <w:rsid w:val="00D278E7"/>
    <w:rsid w:val="00D27DC9"/>
    <w:rsid w:val="00D27EC1"/>
    <w:rsid w:val="00D30268"/>
    <w:rsid w:val="00D30A2F"/>
    <w:rsid w:val="00D31D9F"/>
    <w:rsid w:val="00D3420F"/>
    <w:rsid w:val="00D34812"/>
    <w:rsid w:val="00D34AB3"/>
    <w:rsid w:val="00D34DA4"/>
    <w:rsid w:val="00D352C7"/>
    <w:rsid w:val="00D355EE"/>
    <w:rsid w:val="00D367AA"/>
    <w:rsid w:val="00D37072"/>
    <w:rsid w:val="00D379EB"/>
    <w:rsid w:val="00D37B3C"/>
    <w:rsid w:val="00D40437"/>
    <w:rsid w:val="00D40CDA"/>
    <w:rsid w:val="00D418D7"/>
    <w:rsid w:val="00D429F5"/>
    <w:rsid w:val="00D42F0F"/>
    <w:rsid w:val="00D4313F"/>
    <w:rsid w:val="00D43359"/>
    <w:rsid w:val="00D43651"/>
    <w:rsid w:val="00D43C1B"/>
    <w:rsid w:val="00D43FE7"/>
    <w:rsid w:val="00D4429E"/>
    <w:rsid w:val="00D455C0"/>
    <w:rsid w:val="00D465E4"/>
    <w:rsid w:val="00D46823"/>
    <w:rsid w:val="00D46B7C"/>
    <w:rsid w:val="00D46BA1"/>
    <w:rsid w:val="00D46BBC"/>
    <w:rsid w:val="00D46FDC"/>
    <w:rsid w:val="00D50608"/>
    <w:rsid w:val="00D5061B"/>
    <w:rsid w:val="00D5089C"/>
    <w:rsid w:val="00D50E0B"/>
    <w:rsid w:val="00D51318"/>
    <w:rsid w:val="00D51BA7"/>
    <w:rsid w:val="00D52AFA"/>
    <w:rsid w:val="00D5322E"/>
    <w:rsid w:val="00D55739"/>
    <w:rsid w:val="00D5707C"/>
    <w:rsid w:val="00D5728E"/>
    <w:rsid w:val="00D6003F"/>
    <w:rsid w:val="00D6173F"/>
    <w:rsid w:val="00D6224E"/>
    <w:rsid w:val="00D622D3"/>
    <w:rsid w:val="00D62519"/>
    <w:rsid w:val="00D62594"/>
    <w:rsid w:val="00D63D26"/>
    <w:rsid w:val="00D64D37"/>
    <w:rsid w:val="00D65077"/>
    <w:rsid w:val="00D651E3"/>
    <w:rsid w:val="00D668DC"/>
    <w:rsid w:val="00D675BA"/>
    <w:rsid w:val="00D70707"/>
    <w:rsid w:val="00D70908"/>
    <w:rsid w:val="00D70B23"/>
    <w:rsid w:val="00D71448"/>
    <w:rsid w:val="00D71ACE"/>
    <w:rsid w:val="00D72A41"/>
    <w:rsid w:val="00D7302C"/>
    <w:rsid w:val="00D7378D"/>
    <w:rsid w:val="00D75231"/>
    <w:rsid w:val="00D753D6"/>
    <w:rsid w:val="00D75663"/>
    <w:rsid w:val="00D75F1A"/>
    <w:rsid w:val="00D76B9A"/>
    <w:rsid w:val="00D77610"/>
    <w:rsid w:val="00D80FFE"/>
    <w:rsid w:val="00D8289B"/>
    <w:rsid w:val="00D83AB7"/>
    <w:rsid w:val="00D84396"/>
    <w:rsid w:val="00D84618"/>
    <w:rsid w:val="00D85581"/>
    <w:rsid w:val="00D85966"/>
    <w:rsid w:val="00D8639A"/>
    <w:rsid w:val="00D906BB"/>
    <w:rsid w:val="00D906CD"/>
    <w:rsid w:val="00D90B35"/>
    <w:rsid w:val="00D90CC8"/>
    <w:rsid w:val="00D917F4"/>
    <w:rsid w:val="00D933D8"/>
    <w:rsid w:val="00D95FD6"/>
    <w:rsid w:val="00DA0DCB"/>
    <w:rsid w:val="00DA112D"/>
    <w:rsid w:val="00DA114E"/>
    <w:rsid w:val="00DA1670"/>
    <w:rsid w:val="00DA1DE9"/>
    <w:rsid w:val="00DA238A"/>
    <w:rsid w:val="00DA239A"/>
    <w:rsid w:val="00DA25CE"/>
    <w:rsid w:val="00DA303F"/>
    <w:rsid w:val="00DA3196"/>
    <w:rsid w:val="00DA3956"/>
    <w:rsid w:val="00DA45F9"/>
    <w:rsid w:val="00DA5960"/>
    <w:rsid w:val="00DA6833"/>
    <w:rsid w:val="00DA6A1A"/>
    <w:rsid w:val="00DB03F4"/>
    <w:rsid w:val="00DB0914"/>
    <w:rsid w:val="00DB21AE"/>
    <w:rsid w:val="00DB21B5"/>
    <w:rsid w:val="00DB2546"/>
    <w:rsid w:val="00DB27CE"/>
    <w:rsid w:val="00DB34FE"/>
    <w:rsid w:val="00DB590C"/>
    <w:rsid w:val="00DB5B5C"/>
    <w:rsid w:val="00DB5EC2"/>
    <w:rsid w:val="00DB647B"/>
    <w:rsid w:val="00DB69DD"/>
    <w:rsid w:val="00DC0C30"/>
    <w:rsid w:val="00DC0D10"/>
    <w:rsid w:val="00DC27F2"/>
    <w:rsid w:val="00DC2879"/>
    <w:rsid w:val="00DC3638"/>
    <w:rsid w:val="00DC5387"/>
    <w:rsid w:val="00DC57EF"/>
    <w:rsid w:val="00DC6C9C"/>
    <w:rsid w:val="00DC7615"/>
    <w:rsid w:val="00DC7830"/>
    <w:rsid w:val="00DC7BEF"/>
    <w:rsid w:val="00DD0B79"/>
    <w:rsid w:val="00DD14E4"/>
    <w:rsid w:val="00DD4845"/>
    <w:rsid w:val="00DD54DE"/>
    <w:rsid w:val="00DD5B8F"/>
    <w:rsid w:val="00DD5D1B"/>
    <w:rsid w:val="00DD6D96"/>
    <w:rsid w:val="00DD6F46"/>
    <w:rsid w:val="00DE018D"/>
    <w:rsid w:val="00DE301D"/>
    <w:rsid w:val="00DE3B79"/>
    <w:rsid w:val="00DE4BAD"/>
    <w:rsid w:val="00DE511C"/>
    <w:rsid w:val="00DE5444"/>
    <w:rsid w:val="00DE61D0"/>
    <w:rsid w:val="00DE66DF"/>
    <w:rsid w:val="00DE7C3F"/>
    <w:rsid w:val="00DE7F59"/>
    <w:rsid w:val="00DF15B7"/>
    <w:rsid w:val="00DF23F9"/>
    <w:rsid w:val="00DF35AD"/>
    <w:rsid w:val="00DF47C9"/>
    <w:rsid w:val="00DF4E94"/>
    <w:rsid w:val="00DF5DE0"/>
    <w:rsid w:val="00E0174F"/>
    <w:rsid w:val="00E01A52"/>
    <w:rsid w:val="00E021B8"/>
    <w:rsid w:val="00E02808"/>
    <w:rsid w:val="00E02EBC"/>
    <w:rsid w:val="00E05098"/>
    <w:rsid w:val="00E05B6C"/>
    <w:rsid w:val="00E05C2B"/>
    <w:rsid w:val="00E061E6"/>
    <w:rsid w:val="00E0749E"/>
    <w:rsid w:val="00E075B4"/>
    <w:rsid w:val="00E0793B"/>
    <w:rsid w:val="00E106FE"/>
    <w:rsid w:val="00E10892"/>
    <w:rsid w:val="00E11459"/>
    <w:rsid w:val="00E12737"/>
    <w:rsid w:val="00E12CF7"/>
    <w:rsid w:val="00E12DBC"/>
    <w:rsid w:val="00E13A4C"/>
    <w:rsid w:val="00E149A4"/>
    <w:rsid w:val="00E14C04"/>
    <w:rsid w:val="00E171A0"/>
    <w:rsid w:val="00E174DF"/>
    <w:rsid w:val="00E20D3B"/>
    <w:rsid w:val="00E2160B"/>
    <w:rsid w:val="00E21A7F"/>
    <w:rsid w:val="00E23D4A"/>
    <w:rsid w:val="00E23E07"/>
    <w:rsid w:val="00E251D6"/>
    <w:rsid w:val="00E25C78"/>
    <w:rsid w:val="00E25E3B"/>
    <w:rsid w:val="00E2668A"/>
    <w:rsid w:val="00E26849"/>
    <w:rsid w:val="00E31019"/>
    <w:rsid w:val="00E311D8"/>
    <w:rsid w:val="00E312DE"/>
    <w:rsid w:val="00E31643"/>
    <w:rsid w:val="00E345F2"/>
    <w:rsid w:val="00E34751"/>
    <w:rsid w:val="00E35905"/>
    <w:rsid w:val="00E35F1F"/>
    <w:rsid w:val="00E36160"/>
    <w:rsid w:val="00E362B8"/>
    <w:rsid w:val="00E375AF"/>
    <w:rsid w:val="00E37FB6"/>
    <w:rsid w:val="00E40420"/>
    <w:rsid w:val="00E417C1"/>
    <w:rsid w:val="00E422C5"/>
    <w:rsid w:val="00E425E9"/>
    <w:rsid w:val="00E42F36"/>
    <w:rsid w:val="00E43522"/>
    <w:rsid w:val="00E43DB8"/>
    <w:rsid w:val="00E4444E"/>
    <w:rsid w:val="00E451BE"/>
    <w:rsid w:val="00E453A5"/>
    <w:rsid w:val="00E46EBC"/>
    <w:rsid w:val="00E470E9"/>
    <w:rsid w:val="00E473D9"/>
    <w:rsid w:val="00E47A7B"/>
    <w:rsid w:val="00E50B19"/>
    <w:rsid w:val="00E50F94"/>
    <w:rsid w:val="00E52844"/>
    <w:rsid w:val="00E52FC7"/>
    <w:rsid w:val="00E53382"/>
    <w:rsid w:val="00E53634"/>
    <w:rsid w:val="00E54822"/>
    <w:rsid w:val="00E557EE"/>
    <w:rsid w:val="00E566C3"/>
    <w:rsid w:val="00E568A6"/>
    <w:rsid w:val="00E56975"/>
    <w:rsid w:val="00E56A98"/>
    <w:rsid w:val="00E57768"/>
    <w:rsid w:val="00E57BF9"/>
    <w:rsid w:val="00E603AC"/>
    <w:rsid w:val="00E6094E"/>
    <w:rsid w:val="00E62060"/>
    <w:rsid w:val="00E624BB"/>
    <w:rsid w:val="00E66056"/>
    <w:rsid w:val="00E67603"/>
    <w:rsid w:val="00E67D47"/>
    <w:rsid w:val="00E707D8"/>
    <w:rsid w:val="00E70B6A"/>
    <w:rsid w:val="00E70B96"/>
    <w:rsid w:val="00E72443"/>
    <w:rsid w:val="00E74101"/>
    <w:rsid w:val="00E74351"/>
    <w:rsid w:val="00E7484F"/>
    <w:rsid w:val="00E74D3C"/>
    <w:rsid w:val="00E76C11"/>
    <w:rsid w:val="00E76D24"/>
    <w:rsid w:val="00E7744B"/>
    <w:rsid w:val="00E80E07"/>
    <w:rsid w:val="00E814BF"/>
    <w:rsid w:val="00E817DD"/>
    <w:rsid w:val="00E8198F"/>
    <w:rsid w:val="00E81D46"/>
    <w:rsid w:val="00E82144"/>
    <w:rsid w:val="00E82DD4"/>
    <w:rsid w:val="00E8345A"/>
    <w:rsid w:val="00E83D41"/>
    <w:rsid w:val="00E85E4A"/>
    <w:rsid w:val="00E86AF9"/>
    <w:rsid w:val="00E91795"/>
    <w:rsid w:val="00E91B42"/>
    <w:rsid w:val="00E928B5"/>
    <w:rsid w:val="00E9458C"/>
    <w:rsid w:val="00E9559E"/>
    <w:rsid w:val="00E96C67"/>
    <w:rsid w:val="00E9787E"/>
    <w:rsid w:val="00E97B4E"/>
    <w:rsid w:val="00E97F5E"/>
    <w:rsid w:val="00EA06FC"/>
    <w:rsid w:val="00EA0BBF"/>
    <w:rsid w:val="00EA0BEC"/>
    <w:rsid w:val="00EA155B"/>
    <w:rsid w:val="00EA1616"/>
    <w:rsid w:val="00EA1B44"/>
    <w:rsid w:val="00EA273A"/>
    <w:rsid w:val="00EA2A12"/>
    <w:rsid w:val="00EA3417"/>
    <w:rsid w:val="00EA3E5A"/>
    <w:rsid w:val="00EA5929"/>
    <w:rsid w:val="00EA6E37"/>
    <w:rsid w:val="00EB00FF"/>
    <w:rsid w:val="00EB0932"/>
    <w:rsid w:val="00EB127C"/>
    <w:rsid w:val="00EB19A8"/>
    <w:rsid w:val="00EB1B59"/>
    <w:rsid w:val="00EB2B0D"/>
    <w:rsid w:val="00EB4F2B"/>
    <w:rsid w:val="00EB571B"/>
    <w:rsid w:val="00EB5A36"/>
    <w:rsid w:val="00EB5FA7"/>
    <w:rsid w:val="00EB65AA"/>
    <w:rsid w:val="00EB7876"/>
    <w:rsid w:val="00EB7D2D"/>
    <w:rsid w:val="00EC099B"/>
    <w:rsid w:val="00EC2A77"/>
    <w:rsid w:val="00EC2D26"/>
    <w:rsid w:val="00EC3018"/>
    <w:rsid w:val="00EC314C"/>
    <w:rsid w:val="00EC395D"/>
    <w:rsid w:val="00EC40D2"/>
    <w:rsid w:val="00EC48A1"/>
    <w:rsid w:val="00EC4971"/>
    <w:rsid w:val="00EC4D75"/>
    <w:rsid w:val="00EC5A78"/>
    <w:rsid w:val="00EC784A"/>
    <w:rsid w:val="00ED28FD"/>
    <w:rsid w:val="00ED2A1A"/>
    <w:rsid w:val="00ED2C3D"/>
    <w:rsid w:val="00ED4087"/>
    <w:rsid w:val="00ED5ACE"/>
    <w:rsid w:val="00ED744F"/>
    <w:rsid w:val="00ED770B"/>
    <w:rsid w:val="00EE1617"/>
    <w:rsid w:val="00EE1A11"/>
    <w:rsid w:val="00EE1B12"/>
    <w:rsid w:val="00EE1DE3"/>
    <w:rsid w:val="00EE3141"/>
    <w:rsid w:val="00EE3A28"/>
    <w:rsid w:val="00EE4487"/>
    <w:rsid w:val="00EE4A2F"/>
    <w:rsid w:val="00EE524B"/>
    <w:rsid w:val="00EE57EA"/>
    <w:rsid w:val="00EE6D98"/>
    <w:rsid w:val="00EE71A5"/>
    <w:rsid w:val="00EE79D4"/>
    <w:rsid w:val="00EF0922"/>
    <w:rsid w:val="00EF18AA"/>
    <w:rsid w:val="00EF255A"/>
    <w:rsid w:val="00EF3E87"/>
    <w:rsid w:val="00EF4286"/>
    <w:rsid w:val="00EF499E"/>
    <w:rsid w:val="00EF6757"/>
    <w:rsid w:val="00EF6CAE"/>
    <w:rsid w:val="00F00C77"/>
    <w:rsid w:val="00F01997"/>
    <w:rsid w:val="00F02BA6"/>
    <w:rsid w:val="00F0318A"/>
    <w:rsid w:val="00F035D7"/>
    <w:rsid w:val="00F03622"/>
    <w:rsid w:val="00F03EB5"/>
    <w:rsid w:val="00F04970"/>
    <w:rsid w:val="00F04A39"/>
    <w:rsid w:val="00F04BFB"/>
    <w:rsid w:val="00F05535"/>
    <w:rsid w:val="00F06685"/>
    <w:rsid w:val="00F069D4"/>
    <w:rsid w:val="00F079B5"/>
    <w:rsid w:val="00F07C4B"/>
    <w:rsid w:val="00F101D7"/>
    <w:rsid w:val="00F10715"/>
    <w:rsid w:val="00F11B84"/>
    <w:rsid w:val="00F12944"/>
    <w:rsid w:val="00F13FBE"/>
    <w:rsid w:val="00F14045"/>
    <w:rsid w:val="00F1542B"/>
    <w:rsid w:val="00F159D6"/>
    <w:rsid w:val="00F16A65"/>
    <w:rsid w:val="00F16E80"/>
    <w:rsid w:val="00F20820"/>
    <w:rsid w:val="00F2346C"/>
    <w:rsid w:val="00F23C05"/>
    <w:rsid w:val="00F23ED2"/>
    <w:rsid w:val="00F247FD"/>
    <w:rsid w:val="00F2537F"/>
    <w:rsid w:val="00F253C9"/>
    <w:rsid w:val="00F259B4"/>
    <w:rsid w:val="00F305A9"/>
    <w:rsid w:val="00F307A4"/>
    <w:rsid w:val="00F308A4"/>
    <w:rsid w:val="00F3221E"/>
    <w:rsid w:val="00F325AB"/>
    <w:rsid w:val="00F332D9"/>
    <w:rsid w:val="00F334D4"/>
    <w:rsid w:val="00F349B7"/>
    <w:rsid w:val="00F34E52"/>
    <w:rsid w:val="00F35388"/>
    <w:rsid w:val="00F362CC"/>
    <w:rsid w:val="00F3740F"/>
    <w:rsid w:val="00F40048"/>
    <w:rsid w:val="00F40EC6"/>
    <w:rsid w:val="00F417E5"/>
    <w:rsid w:val="00F422F1"/>
    <w:rsid w:val="00F43A09"/>
    <w:rsid w:val="00F440BB"/>
    <w:rsid w:val="00F44383"/>
    <w:rsid w:val="00F450C6"/>
    <w:rsid w:val="00F460A2"/>
    <w:rsid w:val="00F46229"/>
    <w:rsid w:val="00F462DB"/>
    <w:rsid w:val="00F50228"/>
    <w:rsid w:val="00F50C2D"/>
    <w:rsid w:val="00F51FBE"/>
    <w:rsid w:val="00F52DFB"/>
    <w:rsid w:val="00F54031"/>
    <w:rsid w:val="00F54134"/>
    <w:rsid w:val="00F5450B"/>
    <w:rsid w:val="00F54790"/>
    <w:rsid w:val="00F5512D"/>
    <w:rsid w:val="00F558D4"/>
    <w:rsid w:val="00F56099"/>
    <w:rsid w:val="00F561C6"/>
    <w:rsid w:val="00F56C2E"/>
    <w:rsid w:val="00F56FB1"/>
    <w:rsid w:val="00F576DF"/>
    <w:rsid w:val="00F603C3"/>
    <w:rsid w:val="00F60B54"/>
    <w:rsid w:val="00F62751"/>
    <w:rsid w:val="00F63463"/>
    <w:rsid w:val="00F63B9B"/>
    <w:rsid w:val="00F660EE"/>
    <w:rsid w:val="00F669CC"/>
    <w:rsid w:val="00F671BC"/>
    <w:rsid w:val="00F67496"/>
    <w:rsid w:val="00F67F6A"/>
    <w:rsid w:val="00F706B2"/>
    <w:rsid w:val="00F70A3E"/>
    <w:rsid w:val="00F70E47"/>
    <w:rsid w:val="00F71202"/>
    <w:rsid w:val="00F72315"/>
    <w:rsid w:val="00F72637"/>
    <w:rsid w:val="00F7294D"/>
    <w:rsid w:val="00F72A6F"/>
    <w:rsid w:val="00F7373D"/>
    <w:rsid w:val="00F73817"/>
    <w:rsid w:val="00F74038"/>
    <w:rsid w:val="00F74800"/>
    <w:rsid w:val="00F74E6E"/>
    <w:rsid w:val="00F75452"/>
    <w:rsid w:val="00F75AC4"/>
    <w:rsid w:val="00F75E81"/>
    <w:rsid w:val="00F763C6"/>
    <w:rsid w:val="00F77AB6"/>
    <w:rsid w:val="00F80351"/>
    <w:rsid w:val="00F80531"/>
    <w:rsid w:val="00F80728"/>
    <w:rsid w:val="00F80D4B"/>
    <w:rsid w:val="00F8283F"/>
    <w:rsid w:val="00F82C92"/>
    <w:rsid w:val="00F84E5A"/>
    <w:rsid w:val="00F84F4C"/>
    <w:rsid w:val="00F85037"/>
    <w:rsid w:val="00F85AC1"/>
    <w:rsid w:val="00F86110"/>
    <w:rsid w:val="00F862B6"/>
    <w:rsid w:val="00F868AB"/>
    <w:rsid w:val="00F8736F"/>
    <w:rsid w:val="00F8748A"/>
    <w:rsid w:val="00F90A7A"/>
    <w:rsid w:val="00F926D8"/>
    <w:rsid w:val="00FA0A4B"/>
    <w:rsid w:val="00FA1127"/>
    <w:rsid w:val="00FA1414"/>
    <w:rsid w:val="00FA2B8C"/>
    <w:rsid w:val="00FA4574"/>
    <w:rsid w:val="00FA46FD"/>
    <w:rsid w:val="00FA4AE5"/>
    <w:rsid w:val="00FA57D5"/>
    <w:rsid w:val="00FA5CE9"/>
    <w:rsid w:val="00FA7092"/>
    <w:rsid w:val="00FA74DD"/>
    <w:rsid w:val="00FB02E5"/>
    <w:rsid w:val="00FB07A6"/>
    <w:rsid w:val="00FB17B8"/>
    <w:rsid w:val="00FB1D54"/>
    <w:rsid w:val="00FB2309"/>
    <w:rsid w:val="00FB333C"/>
    <w:rsid w:val="00FB3EA9"/>
    <w:rsid w:val="00FB4886"/>
    <w:rsid w:val="00FB550A"/>
    <w:rsid w:val="00FB6272"/>
    <w:rsid w:val="00FB7964"/>
    <w:rsid w:val="00FC0848"/>
    <w:rsid w:val="00FC0AC4"/>
    <w:rsid w:val="00FC12B6"/>
    <w:rsid w:val="00FC12FE"/>
    <w:rsid w:val="00FC294E"/>
    <w:rsid w:val="00FC3CB1"/>
    <w:rsid w:val="00FC4965"/>
    <w:rsid w:val="00FC6A65"/>
    <w:rsid w:val="00FD00A0"/>
    <w:rsid w:val="00FD18A8"/>
    <w:rsid w:val="00FD28D1"/>
    <w:rsid w:val="00FD3231"/>
    <w:rsid w:val="00FD3FB4"/>
    <w:rsid w:val="00FD41DA"/>
    <w:rsid w:val="00FD480E"/>
    <w:rsid w:val="00FD4841"/>
    <w:rsid w:val="00FD6066"/>
    <w:rsid w:val="00FD6714"/>
    <w:rsid w:val="00FD7921"/>
    <w:rsid w:val="00FD7ECE"/>
    <w:rsid w:val="00FE0667"/>
    <w:rsid w:val="00FE13EE"/>
    <w:rsid w:val="00FE1BCA"/>
    <w:rsid w:val="00FE1E43"/>
    <w:rsid w:val="00FE1F9C"/>
    <w:rsid w:val="00FE2E31"/>
    <w:rsid w:val="00FE34FB"/>
    <w:rsid w:val="00FE4CC4"/>
    <w:rsid w:val="00FE51F3"/>
    <w:rsid w:val="00FE56EF"/>
    <w:rsid w:val="00FE5BB9"/>
    <w:rsid w:val="00FE7168"/>
    <w:rsid w:val="00FF0B13"/>
    <w:rsid w:val="00FF18D6"/>
    <w:rsid w:val="00FF4209"/>
    <w:rsid w:val="00FF4590"/>
    <w:rsid w:val="00FF5994"/>
    <w:rsid w:val="00FF5D7E"/>
    <w:rsid w:val="00FF5D87"/>
    <w:rsid w:val="00FF64FC"/>
    <w:rsid w:val="00FF7755"/>
    <w:rsid w:val="01480465"/>
    <w:rsid w:val="01E87214"/>
    <w:rsid w:val="02C17569"/>
    <w:rsid w:val="048441CD"/>
    <w:rsid w:val="06816832"/>
    <w:rsid w:val="089320F1"/>
    <w:rsid w:val="09C92AF8"/>
    <w:rsid w:val="0B422EB0"/>
    <w:rsid w:val="0DF726AB"/>
    <w:rsid w:val="0E295359"/>
    <w:rsid w:val="109068B7"/>
    <w:rsid w:val="10C7736C"/>
    <w:rsid w:val="10CB3753"/>
    <w:rsid w:val="11906838"/>
    <w:rsid w:val="11E025A6"/>
    <w:rsid w:val="150C01A9"/>
    <w:rsid w:val="19BA3865"/>
    <w:rsid w:val="1A9E4390"/>
    <w:rsid w:val="1C6A78A5"/>
    <w:rsid w:val="1DB21FDA"/>
    <w:rsid w:val="1F7511A3"/>
    <w:rsid w:val="23235D79"/>
    <w:rsid w:val="24F90806"/>
    <w:rsid w:val="253065A2"/>
    <w:rsid w:val="25DA52BB"/>
    <w:rsid w:val="25F20506"/>
    <w:rsid w:val="264F6342"/>
    <w:rsid w:val="26857E51"/>
    <w:rsid w:val="2B0C7D82"/>
    <w:rsid w:val="2C480C30"/>
    <w:rsid w:val="2D525BE0"/>
    <w:rsid w:val="2DB95B2F"/>
    <w:rsid w:val="31B01B77"/>
    <w:rsid w:val="321E1FE0"/>
    <w:rsid w:val="32BD4F6E"/>
    <w:rsid w:val="32D05422"/>
    <w:rsid w:val="350E6022"/>
    <w:rsid w:val="355B5A56"/>
    <w:rsid w:val="36784344"/>
    <w:rsid w:val="3834095B"/>
    <w:rsid w:val="39797823"/>
    <w:rsid w:val="3B337EE8"/>
    <w:rsid w:val="42F550D3"/>
    <w:rsid w:val="43505F05"/>
    <w:rsid w:val="43BA4DA4"/>
    <w:rsid w:val="46091031"/>
    <w:rsid w:val="48C13F01"/>
    <w:rsid w:val="49D66406"/>
    <w:rsid w:val="4B6547AE"/>
    <w:rsid w:val="4B756271"/>
    <w:rsid w:val="4B757961"/>
    <w:rsid w:val="4BA61376"/>
    <w:rsid w:val="4DD32A7B"/>
    <w:rsid w:val="4E4C6ED8"/>
    <w:rsid w:val="4F3C78CA"/>
    <w:rsid w:val="4FDA199F"/>
    <w:rsid w:val="506452EC"/>
    <w:rsid w:val="51024D01"/>
    <w:rsid w:val="5369527C"/>
    <w:rsid w:val="54D71CC3"/>
    <w:rsid w:val="54EE4175"/>
    <w:rsid w:val="5A8E06C7"/>
    <w:rsid w:val="5B425A62"/>
    <w:rsid w:val="5D6F4CCD"/>
    <w:rsid w:val="5EEA4714"/>
    <w:rsid w:val="605477B4"/>
    <w:rsid w:val="60D34B6F"/>
    <w:rsid w:val="61B64AEC"/>
    <w:rsid w:val="623C6860"/>
    <w:rsid w:val="62CE2067"/>
    <w:rsid w:val="62D71A59"/>
    <w:rsid w:val="63A57424"/>
    <w:rsid w:val="65A90B99"/>
    <w:rsid w:val="65D9563A"/>
    <w:rsid w:val="663523C7"/>
    <w:rsid w:val="6649236D"/>
    <w:rsid w:val="66BE4F79"/>
    <w:rsid w:val="694B56CC"/>
    <w:rsid w:val="6B8C0A1A"/>
    <w:rsid w:val="6C9A438B"/>
    <w:rsid w:val="6D857307"/>
    <w:rsid w:val="6EE168B2"/>
    <w:rsid w:val="71357A85"/>
    <w:rsid w:val="717453ED"/>
    <w:rsid w:val="74853ADC"/>
    <w:rsid w:val="74DD2E20"/>
    <w:rsid w:val="76B36933"/>
    <w:rsid w:val="76F14AD1"/>
    <w:rsid w:val="77A31EE1"/>
    <w:rsid w:val="7884267F"/>
    <w:rsid w:val="791C6705"/>
    <w:rsid w:val="7AB6385A"/>
    <w:rsid w:val="7AD31002"/>
    <w:rsid w:val="7B77510B"/>
    <w:rsid w:val="7CAF65E3"/>
    <w:rsid w:val="7CF976F6"/>
    <w:rsid w:val="7D9A7397"/>
    <w:rsid w:val="7EF04D26"/>
    <w:rsid w:val="7F206E95"/>
    <w:rsid w:val="7F5664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99"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58"/>
    <w:qFormat/>
    <w:uiPriority w:val="0"/>
    <w:pPr>
      <w:keepNext/>
      <w:keepLines/>
      <w:adjustRightInd w:val="0"/>
      <w:spacing w:before="340" w:after="330" w:line="578" w:lineRule="atLeast"/>
      <w:jc w:val="center"/>
      <w:textAlignment w:val="baseline"/>
      <w:outlineLvl w:val="0"/>
    </w:pPr>
    <w:rPr>
      <w:b/>
      <w:kern w:val="44"/>
      <w:sz w:val="20"/>
    </w:rPr>
  </w:style>
  <w:style w:type="paragraph" w:styleId="4">
    <w:name w:val="heading 2"/>
    <w:basedOn w:val="1"/>
    <w:next w:val="1"/>
    <w:link w:val="59"/>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5">
    <w:name w:val="heading 3"/>
    <w:basedOn w:val="1"/>
    <w:next w:val="1"/>
    <w:link w:val="60"/>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6">
    <w:name w:val="heading 4"/>
    <w:basedOn w:val="1"/>
    <w:next w:val="1"/>
    <w:link w:val="61"/>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rPr>
  </w:style>
  <w:style w:type="paragraph" w:styleId="7">
    <w:name w:val="heading 5"/>
    <w:basedOn w:val="1"/>
    <w:next w:val="1"/>
    <w:link w:val="62"/>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8">
    <w:name w:val="heading 6"/>
    <w:basedOn w:val="1"/>
    <w:next w:val="1"/>
    <w:link w:val="63"/>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rPr>
  </w:style>
  <w:style w:type="paragraph" w:styleId="9">
    <w:name w:val="heading 7"/>
    <w:basedOn w:val="1"/>
    <w:next w:val="1"/>
    <w:link w:val="64"/>
    <w:qFormat/>
    <w:uiPriority w:val="0"/>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10">
    <w:name w:val="heading 8"/>
    <w:basedOn w:val="1"/>
    <w:next w:val="1"/>
    <w:link w:val="65"/>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0"/>
    </w:rPr>
  </w:style>
  <w:style w:type="paragraph" w:styleId="11">
    <w:name w:val="heading 9"/>
    <w:basedOn w:val="1"/>
    <w:next w:val="1"/>
    <w:link w:val="66"/>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70"/>
    <w:qFormat/>
    <w:uiPriority w:val="0"/>
    <w:pPr>
      <w:spacing w:line="360" w:lineRule="auto"/>
    </w:pPr>
    <w:rPr>
      <w:kern w:val="0"/>
      <w:sz w:val="20"/>
    </w:rPr>
  </w:style>
  <w:style w:type="paragraph" w:styleId="12">
    <w:name w:val="toc 7"/>
    <w:basedOn w:val="1"/>
    <w:next w:val="1"/>
    <w:qFormat/>
    <w:uiPriority w:val="0"/>
    <w:pPr>
      <w:ind w:left="2520"/>
    </w:pPr>
  </w:style>
  <w:style w:type="paragraph" w:styleId="13">
    <w:name w:val="index 8"/>
    <w:basedOn w:val="1"/>
    <w:next w:val="1"/>
    <w:qFormat/>
    <w:uiPriority w:val="0"/>
    <w:pPr>
      <w:ind w:left="2940"/>
    </w:pPr>
  </w:style>
  <w:style w:type="paragraph" w:styleId="14">
    <w:name w:val="Normal Indent"/>
    <w:basedOn w:val="1"/>
    <w:qFormat/>
    <w:uiPriority w:val="0"/>
    <w:pPr>
      <w:ind w:firstLine="420"/>
    </w:pPr>
  </w:style>
  <w:style w:type="paragraph" w:styleId="15">
    <w:name w:val="index 5"/>
    <w:basedOn w:val="1"/>
    <w:next w:val="1"/>
    <w:qFormat/>
    <w:uiPriority w:val="0"/>
    <w:pPr>
      <w:ind w:left="1680"/>
    </w:pPr>
  </w:style>
  <w:style w:type="paragraph" w:styleId="16">
    <w:name w:val="Document Map"/>
    <w:basedOn w:val="1"/>
    <w:link w:val="69"/>
    <w:qFormat/>
    <w:uiPriority w:val="0"/>
    <w:pPr>
      <w:shd w:val="clear" w:color="auto" w:fill="000080"/>
    </w:pPr>
    <w:rPr>
      <w:kern w:val="0"/>
      <w:sz w:val="20"/>
    </w:rPr>
  </w:style>
  <w:style w:type="paragraph" w:styleId="17">
    <w:name w:val="annotation text"/>
    <w:basedOn w:val="1"/>
    <w:link w:val="67"/>
    <w:unhideWhenUsed/>
    <w:qFormat/>
    <w:uiPriority w:val="99"/>
    <w:pPr>
      <w:jc w:val="left"/>
    </w:pPr>
  </w:style>
  <w:style w:type="paragraph" w:styleId="18">
    <w:name w:val="index 6"/>
    <w:basedOn w:val="1"/>
    <w:next w:val="1"/>
    <w:qFormat/>
    <w:uiPriority w:val="0"/>
    <w:pPr>
      <w:ind w:left="2100"/>
    </w:pPr>
  </w:style>
  <w:style w:type="paragraph" w:styleId="19">
    <w:name w:val="Body Text Indent"/>
    <w:basedOn w:val="1"/>
    <w:next w:val="20"/>
    <w:link w:val="71"/>
    <w:qFormat/>
    <w:uiPriority w:val="0"/>
    <w:pPr>
      <w:spacing w:line="360" w:lineRule="auto"/>
      <w:ind w:left="540" w:leftChars="257" w:firstLine="360" w:firstLineChars="150"/>
    </w:pPr>
    <w:rPr>
      <w:kern w:val="0"/>
      <w:sz w:val="20"/>
    </w:rPr>
  </w:style>
  <w:style w:type="paragraph" w:styleId="20">
    <w:name w:val="envelope return"/>
    <w:basedOn w:val="1"/>
    <w:qFormat/>
    <w:uiPriority w:val="0"/>
    <w:rPr>
      <w:rFonts w:ascii="Arial" w:hAnsi="Arial"/>
    </w:rPr>
  </w:style>
  <w:style w:type="paragraph" w:styleId="21">
    <w:name w:val="index 4"/>
    <w:basedOn w:val="1"/>
    <w:next w:val="1"/>
    <w:qFormat/>
    <w:uiPriority w:val="0"/>
    <w:pPr>
      <w:ind w:left="1260"/>
    </w:pPr>
  </w:style>
  <w:style w:type="paragraph" w:styleId="22">
    <w:name w:val="toc 5"/>
    <w:basedOn w:val="1"/>
    <w:next w:val="1"/>
    <w:qFormat/>
    <w:uiPriority w:val="0"/>
    <w:pPr>
      <w:ind w:left="1680"/>
    </w:pPr>
  </w:style>
  <w:style w:type="paragraph" w:styleId="23">
    <w:name w:val="toc 3"/>
    <w:basedOn w:val="1"/>
    <w:next w:val="1"/>
    <w:qFormat/>
    <w:uiPriority w:val="39"/>
    <w:pPr>
      <w:tabs>
        <w:tab w:val="left" w:pos="1680"/>
        <w:tab w:val="right" w:leader="dot" w:pos="9755"/>
      </w:tabs>
      <w:adjustRightInd w:val="0"/>
      <w:snapToGrid w:val="0"/>
      <w:spacing w:line="560" w:lineRule="exact"/>
      <w:ind w:firstLine="960" w:firstLineChars="400"/>
      <w:textAlignment w:val="baseline"/>
    </w:pPr>
    <w:rPr>
      <w:sz w:val="24"/>
      <w:szCs w:val="24"/>
    </w:rPr>
  </w:style>
  <w:style w:type="paragraph" w:styleId="24">
    <w:name w:val="Plain Text"/>
    <w:basedOn w:val="1"/>
    <w:link w:val="72"/>
    <w:qFormat/>
    <w:uiPriority w:val="0"/>
    <w:pPr>
      <w:adjustRightInd w:val="0"/>
      <w:spacing w:line="312" w:lineRule="atLeast"/>
      <w:textAlignment w:val="baseline"/>
    </w:pPr>
    <w:rPr>
      <w:rFonts w:ascii="宋体" w:hAnsi="Courier New"/>
      <w:kern w:val="0"/>
      <w:sz w:val="20"/>
    </w:rPr>
  </w:style>
  <w:style w:type="paragraph" w:styleId="25">
    <w:name w:val="toc 8"/>
    <w:basedOn w:val="1"/>
    <w:next w:val="1"/>
    <w:qFormat/>
    <w:uiPriority w:val="0"/>
    <w:pPr>
      <w:ind w:left="2940"/>
    </w:pPr>
  </w:style>
  <w:style w:type="paragraph" w:styleId="26">
    <w:name w:val="index 3"/>
    <w:basedOn w:val="1"/>
    <w:next w:val="1"/>
    <w:qFormat/>
    <w:uiPriority w:val="0"/>
    <w:pPr>
      <w:ind w:left="840"/>
    </w:pPr>
  </w:style>
  <w:style w:type="paragraph" w:styleId="27">
    <w:name w:val="Date"/>
    <w:basedOn w:val="1"/>
    <w:next w:val="1"/>
    <w:link w:val="73"/>
    <w:qFormat/>
    <w:uiPriority w:val="0"/>
    <w:rPr>
      <w:kern w:val="0"/>
      <w:sz w:val="28"/>
    </w:rPr>
  </w:style>
  <w:style w:type="paragraph" w:styleId="28">
    <w:name w:val="Body Text Indent 2"/>
    <w:basedOn w:val="1"/>
    <w:link w:val="74"/>
    <w:qFormat/>
    <w:uiPriority w:val="0"/>
    <w:pPr>
      <w:ind w:left="840"/>
    </w:pPr>
    <w:rPr>
      <w:kern w:val="0"/>
      <w:sz w:val="20"/>
    </w:rPr>
  </w:style>
  <w:style w:type="paragraph" w:styleId="29">
    <w:name w:val="Balloon Text"/>
    <w:basedOn w:val="1"/>
    <w:link w:val="75"/>
    <w:qFormat/>
    <w:uiPriority w:val="0"/>
    <w:rPr>
      <w:kern w:val="0"/>
      <w:sz w:val="18"/>
      <w:szCs w:val="18"/>
    </w:rPr>
  </w:style>
  <w:style w:type="paragraph" w:styleId="30">
    <w:name w:val="footer"/>
    <w:basedOn w:val="1"/>
    <w:link w:val="57"/>
    <w:unhideWhenUsed/>
    <w:qFormat/>
    <w:uiPriority w:val="99"/>
    <w:pPr>
      <w:tabs>
        <w:tab w:val="center" w:pos="4153"/>
        <w:tab w:val="right" w:pos="8306"/>
      </w:tabs>
      <w:snapToGrid w:val="0"/>
      <w:jc w:val="left"/>
    </w:pPr>
    <w:rPr>
      <w:sz w:val="18"/>
      <w:szCs w:val="18"/>
    </w:rPr>
  </w:style>
  <w:style w:type="paragraph" w:styleId="31">
    <w:name w:val="header"/>
    <w:basedOn w:val="1"/>
    <w:link w:val="56"/>
    <w:unhideWhenUsed/>
    <w:qFormat/>
    <w:uiPriority w:val="99"/>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snapToGrid w:val="0"/>
      <w:spacing w:line="520" w:lineRule="exact"/>
      <w:ind w:firstLine="200" w:firstLineChars="200"/>
    </w:pPr>
    <w:rPr>
      <w:rFonts w:eastAsia="黑体"/>
      <w:color w:val="000000"/>
      <w:sz w:val="24"/>
      <w:szCs w:val="24"/>
    </w:rPr>
  </w:style>
  <w:style w:type="paragraph" w:styleId="33">
    <w:name w:val="toc 4"/>
    <w:basedOn w:val="1"/>
    <w:next w:val="1"/>
    <w:qFormat/>
    <w:uiPriority w:val="0"/>
    <w:pPr>
      <w:ind w:left="1260"/>
    </w:pPr>
  </w:style>
  <w:style w:type="paragraph" w:styleId="34">
    <w:name w:val="index heading"/>
    <w:basedOn w:val="1"/>
    <w:next w:val="35"/>
    <w:qFormat/>
    <w:uiPriority w:val="0"/>
  </w:style>
  <w:style w:type="paragraph" w:styleId="35">
    <w:name w:val="index 1"/>
    <w:basedOn w:val="1"/>
    <w:next w:val="1"/>
    <w:unhideWhenUsed/>
    <w:qFormat/>
    <w:uiPriority w:val="0"/>
  </w:style>
  <w:style w:type="paragraph" w:styleId="36">
    <w:name w:val="toc 6"/>
    <w:basedOn w:val="1"/>
    <w:next w:val="1"/>
    <w:qFormat/>
    <w:uiPriority w:val="0"/>
    <w:pPr>
      <w:ind w:left="2100"/>
    </w:pPr>
  </w:style>
  <w:style w:type="paragraph" w:styleId="37">
    <w:name w:val="Body Text Indent 3"/>
    <w:basedOn w:val="1"/>
    <w:link w:val="76"/>
    <w:qFormat/>
    <w:uiPriority w:val="0"/>
    <w:pPr>
      <w:spacing w:line="400" w:lineRule="atLeast"/>
      <w:ind w:left="360" w:firstLine="410" w:firstLineChars="171"/>
    </w:pPr>
    <w:rPr>
      <w:kern w:val="0"/>
      <w:sz w:val="20"/>
    </w:rPr>
  </w:style>
  <w:style w:type="paragraph" w:styleId="38">
    <w:name w:val="index 7"/>
    <w:basedOn w:val="1"/>
    <w:next w:val="1"/>
    <w:qFormat/>
    <w:uiPriority w:val="0"/>
    <w:pPr>
      <w:ind w:left="2520"/>
    </w:pPr>
  </w:style>
  <w:style w:type="paragraph" w:styleId="39">
    <w:name w:val="index 9"/>
    <w:basedOn w:val="1"/>
    <w:next w:val="1"/>
    <w:qFormat/>
    <w:uiPriority w:val="0"/>
    <w:pPr>
      <w:ind w:left="3360"/>
    </w:pPr>
  </w:style>
  <w:style w:type="paragraph" w:styleId="40">
    <w:name w:val="toc 2"/>
    <w:basedOn w:val="1"/>
    <w:next w:val="1"/>
    <w:qFormat/>
    <w:uiPriority w:val="39"/>
    <w:pPr>
      <w:snapToGrid w:val="0"/>
      <w:spacing w:line="480" w:lineRule="exact"/>
      <w:ind w:firstLine="300" w:firstLineChars="300"/>
    </w:pPr>
    <w:rPr>
      <w:sz w:val="24"/>
      <w:szCs w:val="24"/>
    </w:rPr>
  </w:style>
  <w:style w:type="paragraph" w:styleId="41">
    <w:name w:val="toc 9"/>
    <w:basedOn w:val="1"/>
    <w:next w:val="1"/>
    <w:qFormat/>
    <w:uiPriority w:val="0"/>
    <w:pPr>
      <w:ind w:left="3360"/>
    </w:pPr>
  </w:style>
  <w:style w:type="paragraph" w:styleId="42">
    <w:name w:val="HTML Preformatted"/>
    <w:basedOn w:val="1"/>
    <w:link w:val="77"/>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43">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4">
    <w:name w:val="index 2"/>
    <w:basedOn w:val="1"/>
    <w:next w:val="1"/>
    <w:qFormat/>
    <w:uiPriority w:val="0"/>
    <w:pPr>
      <w:ind w:left="420"/>
    </w:pPr>
  </w:style>
  <w:style w:type="paragraph" w:styleId="45">
    <w:name w:val="Title"/>
    <w:basedOn w:val="1"/>
    <w:link w:val="78"/>
    <w:qFormat/>
    <w:uiPriority w:val="0"/>
    <w:pPr>
      <w:spacing w:before="240" w:after="60" w:line="540" w:lineRule="exact"/>
      <w:outlineLvl w:val="0"/>
    </w:pPr>
    <w:rPr>
      <w:rFonts w:eastAsia="仿宋_GB2312" w:cs="Cambria"/>
      <w:b/>
      <w:bCs/>
      <w:kern w:val="0"/>
      <w:sz w:val="32"/>
      <w:szCs w:val="32"/>
    </w:rPr>
  </w:style>
  <w:style w:type="paragraph" w:styleId="46">
    <w:name w:val="annotation subject"/>
    <w:basedOn w:val="17"/>
    <w:next w:val="17"/>
    <w:link w:val="68"/>
    <w:qFormat/>
    <w:uiPriority w:val="0"/>
    <w:rPr>
      <w:b/>
      <w:bCs/>
      <w:kern w:val="0"/>
      <w:sz w:val="20"/>
    </w:rPr>
  </w:style>
  <w:style w:type="paragraph" w:styleId="47">
    <w:name w:val="Body Text First Indent 2"/>
    <w:basedOn w:val="19"/>
    <w:qFormat/>
    <w:uiPriority w:val="0"/>
    <w:pPr>
      <w:spacing w:line="240" w:lineRule="auto"/>
      <w:ind w:firstLine="420" w:firstLineChars="200"/>
    </w:pPr>
    <w:rPr>
      <w:rFonts w:ascii="宋体"/>
      <w:color w:val="000000"/>
      <w:szCs w:val="24"/>
    </w:rPr>
  </w:style>
  <w:style w:type="table" w:styleId="49">
    <w:name w:val="Table Grid"/>
    <w:basedOn w:val="4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page number"/>
    <w:qFormat/>
    <w:uiPriority w:val="0"/>
    <w:rPr>
      <w:rFonts w:ascii="Times New Roman" w:hAnsi="Times New Roman" w:eastAsia="宋体" w:cs="Times New Roman"/>
      <w:lang w:val="en-US" w:eastAsia="zh-CN" w:bidi="ar-SA"/>
    </w:rPr>
  </w:style>
  <w:style w:type="character" w:styleId="52">
    <w:name w:val="FollowedHyperlink"/>
    <w:qFormat/>
    <w:uiPriority w:val="0"/>
    <w:rPr>
      <w:rFonts w:ascii="Times New Roman" w:hAnsi="Times New Roman" w:eastAsia="宋体" w:cs="Times New Roman"/>
      <w:color w:val="800080"/>
      <w:u w:val="single"/>
      <w:lang w:val="en-US" w:eastAsia="zh-CN" w:bidi="ar-SA"/>
    </w:rPr>
  </w:style>
  <w:style w:type="character" w:styleId="53">
    <w:name w:val="HTML Typewriter"/>
    <w:qFormat/>
    <w:uiPriority w:val="0"/>
    <w:rPr>
      <w:rFonts w:ascii="Courier New" w:hAnsi="Courier New" w:eastAsia="宋体" w:cs="Courier New"/>
      <w:sz w:val="20"/>
      <w:szCs w:val="20"/>
      <w:lang w:val="en-US" w:eastAsia="zh-CN" w:bidi="ar-SA"/>
    </w:rPr>
  </w:style>
  <w:style w:type="character" w:styleId="54">
    <w:name w:val="Hyperlink"/>
    <w:qFormat/>
    <w:uiPriority w:val="99"/>
    <w:rPr>
      <w:rFonts w:ascii="Times New Roman" w:hAnsi="Times New Roman" w:eastAsia="宋体" w:cs="Times New Roman"/>
      <w:color w:val="0000FF"/>
      <w:u w:val="single"/>
      <w:lang w:val="en-US" w:eastAsia="zh-CN" w:bidi="ar-SA"/>
    </w:rPr>
  </w:style>
  <w:style w:type="character" w:styleId="55">
    <w:name w:val="annotation reference"/>
    <w:qFormat/>
    <w:uiPriority w:val="0"/>
    <w:rPr>
      <w:rFonts w:ascii="Times New Roman" w:hAnsi="Times New Roman" w:eastAsia="宋体" w:cs="Times New Roman"/>
      <w:sz w:val="21"/>
      <w:szCs w:val="21"/>
      <w:lang w:val="en-US" w:eastAsia="zh-CN" w:bidi="ar-SA"/>
    </w:rPr>
  </w:style>
  <w:style w:type="character" w:customStyle="1" w:styleId="56">
    <w:name w:val="页眉 字符"/>
    <w:basedOn w:val="50"/>
    <w:link w:val="31"/>
    <w:qFormat/>
    <w:uiPriority w:val="99"/>
    <w:rPr>
      <w:sz w:val="18"/>
      <w:szCs w:val="18"/>
    </w:rPr>
  </w:style>
  <w:style w:type="character" w:customStyle="1" w:styleId="57">
    <w:name w:val="页脚 字符"/>
    <w:basedOn w:val="50"/>
    <w:link w:val="30"/>
    <w:qFormat/>
    <w:uiPriority w:val="99"/>
    <w:rPr>
      <w:sz w:val="18"/>
      <w:szCs w:val="18"/>
    </w:rPr>
  </w:style>
  <w:style w:type="character" w:customStyle="1" w:styleId="58">
    <w:name w:val="标题 1 字符"/>
    <w:basedOn w:val="50"/>
    <w:link w:val="3"/>
    <w:qFormat/>
    <w:uiPriority w:val="0"/>
    <w:rPr>
      <w:rFonts w:ascii="Times New Roman" w:hAnsi="Times New Roman" w:eastAsia="宋体" w:cs="Times New Roman"/>
      <w:b/>
      <w:kern w:val="44"/>
      <w:sz w:val="20"/>
      <w:szCs w:val="20"/>
    </w:rPr>
  </w:style>
  <w:style w:type="character" w:customStyle="1" w:styleId="59">
    <w:name w:val="标题 2 字符"/>
    <w:basedOn w:val="50"/>
    <w:link w:val="4"/>
    <w:qFormat/>
    <w:uiPriority w:val="0"/>
    <w:rPr>
      <w:rFonts w:ascii="黑体" w:hAnsi="Arial" w:eastAsia="黑体" w:cs="Times New Roman"/>
      <w:kern w:val="0"/>
      <w:sz w:val="28"/>
      <w:szCs w:val="20"/>
    </w:rPr>
  </w:style>
  <w:style w:type="character" w:customStyle="1" w:styleId="60">
    <w:name w:val="标题 3 字符"/>
    <w:basedOn w:val="50"/>
    <w:link w:val="5"/>
    <w:qFormat/>
    <w:uiPriority w:val="0"/>
    <w:rPr>
      <w:rFonts w:ascii="Times New Roman" w:hAnsi="Times New Roman" w:eastAsia="宋体" w:cs="Times New Roman"/>
      <w:b/>
      <w:kern w:val="0"/>
      <w:sz w:val="32"/>
      <w:szCs w:val="20"/>
    </w:rPr>
  </w:style>
  <w:style w:type="character" w:customStyle="1" w:styleId="61">
    <w:name w:val="标题 4 字符"/>
    <w:basedOn w:val="50"/>
    <w:link w:val="6"/>
    <w:qFormat/>
    <w:uiPriority w:val="0"/>
    <w:rPr>
      <w:rFonts w:ascii="Arial" w:hAnsi="Arial" w:eastAsia="黑体" w:cs="Times New Roman"/>
      <w:b/>
      <w:kern w:val="0"/>
      <w:sz w:val="28"/>
      <w:szCs w:val="20"/>
    </w:rPr>
  </w:style>
  <w:style w:type="character" w:customStyle="1" w:styleId="62">
    <w:name w:val="标题 5 字符"/>
    <w:basedOn w:val="50"/>
    <w:link w:val="7"/>
    <w:qFormat/>
    <w:uiPriority w:val="0"/>
    <w:rPr>
      <w:rFonts w:ascii="Times New Roman" w:hAnsi="Times New Roman" w:eastAsia="宋体" w:cs="Times New Roman"/>
      <w:b/>
      <w:kern w:val="0"/>
      <w:sz w:val="28"/>
      <w:szCs w:val="20"/>
    </w:rPr>
  </w:style>
  <w:style w:type="character" w:customStyle="1" w:styleId="63">
    <w:name w:val="标题 6 字符"/>
    <w:basedOn w:val="50"/>
    <w:link w:val="8"/>
    <w:qFormat/>
    <w:uiPriority w:val="0"/>
    <w:rPr>
      <w:rFonts w:ascii="Arial" w:hAnsi="Arial" w:eastAsia="黑体" w:cs="Times New Roman"/>
      <w:b/>
      <w:kern w:val="0"/>
      <w:sz w:val="20"/>
      <w:szCs w:val="20"/>
    </w:rPr>
  </w:style>
  <w:style w:type="character" w:customStyle="1" w:styleId="64">
    <w:name w:val="标题 7 字符"/>
    <w:basedOn w:val="50"/>
    <w:link w:val="9"/>
    <w:qFormat/>
    <w:uiPriority w:val="0"/>
    <w:rPr>
      <w:rFonts w:ascii="Times New Roman" w:hAnsi="Times New Roman" w:eastAsia="宋体" w:cs="Times New Roman"/>
      <w:b/>
      <w:kern w:val="0"/>
      <w:sz w:val="20"/>
      <w:szCs w:val="20"/>
    </w:rPr>
  </w:style>
  <w:style w:type="character" w:customStyle="1" w:styleId="65">
    <w:name w:val="标题 8 字符"/>
    <w:basedOn w:val="50"/>
    <w:link w:val="10"/>
    <w:qFormat/>
    <w:uiPriority w:val="0"/>
    <w:rPr>
      <w:rFonts w:ascii="Arial" w:hAnsi="Arial" w:eastAsia="黑体" w:cs="Times New Roman"/>
      <w:kern w:val="0"/>
      <w:sz w:val="20"/>
      <w:szCs w:val="20"/>
    </w:rPr>
  </w:style>
  <w:style w:type="character" w:customStyle="1" w:styleId="66">
    <w:name w:val="标题 9 字符"/>
    <w:basedOn w:val="50"/>
    <w:link w:val="11"/>
    <w:qFormat/>
    <w:uiPriority w:val="0"/>
    <w:rPr>
      <w:rFonts w:ascii="Arial" w:hAnsi="Arial" w:eastAsia="黑体" w:cs="Times New Roman"/>
      <w:kern w:val="0"/>
      <w:szCs w:val="20"/>
    </w:rPr>
  </w:style>
  <w:style w:type="character" w:customStyle="1" w:styleId="67">
    <w:name w:val="批注文字 字符"/>
    <w:basedOn w:val="50"/>
    <w:link w:val="17"/>
    <w:qFormat/>
    <w:uiPriority w:val="99"/>
    <w:rPr>
      <w:rFonts w:ascii="Times New Roman" w:hAnsi="Times New Roman" w:eastAsia="宋体" w:cs="Times New Roman"/>
      <w:szCs w:val="20"/>
    </w:rPr>
  </w:style>
  <w:style w:type="character" w:customStyle="1" w:styleId="68">
    <w:name w:val="批注主题 字符"/>
    <w:basedOn w:val="67"/>
    <w:link w:val="46"/>
    <w:qFormat/>
    <w:uiPriority w:val="0"/>
    <w:rPr>
      <w:rFonts w:ascii="Times New Roman" w:hAnsi="Times New Roman" w:eastAsia="宋体" w:cs="Times New Roman"/>
      <w:b/>
      <w:bCs/>
      <w:kern w:val="0"/>
      <w:sz w:val="20"/>
      <w:szCs w:val="20"/>
    </w:rPr>
  </w:style>
  <w:style w:type="character" w:customStyle="1" w:styleId="69">
    <w:name w:val="文档结构图 字符"/>
    <w:basedOn w:val="50"/>
    <w:link w:val="16"/>
    <w:qFormat/>
    <w:uiPriority w:val="0"/>
    <w:rPr>
      <w:rFonts w:ascii="Times New Roman" w:hAnsi="Times New Roman" w:eastAsia="宋体" w:cs="Times New Roman"/>
      <w:kern w:val="0"/>
      <w:sz w:val="20"/>
      <w:szCs w:val="20"/>
      <w:shd w:val="clear" w:color="auto" w:fill="000080"/>
    </w:rPr>
  </w:style>
  <w:style w:type="character" w:customStyle="1" w:styleId="70">
    <w:name w:val="正文文本 字符"/>
    <w:basedOn w:val="50"/>
    <w:link w:val="2"/>
    <w:qFormat/>
    <w:uiPriority w:val="0"/>
    <w:rPr>
      <w:rFonts w:ascii="Times New Roman" w:hAnsi="Times New Roman" w:eastAsia="宋体" w:cs="Times New Roman"/>
      <w:kern w:val="0"/>
      <w:sz w:val="20"/>
      <w:szCs w:val="20"/>
    </w:rPr>
  </w:style>
  <w:style w:type="character" w:customStyle="1" w:styleId="71">
    <w:name w:val="正文文本缩进 字符"/>
    <w:basedOn w:val="50"/>
    <w:link w:val="19"/>
    <w:qFormat/>
    <w:uiPriority w:val="0"/>
    <w:rPr>
      <w:rFonts w:ascii="Times New Roman" w:hAnsi="Times New Roman" w:eastAsia="宋体" w:cs="Times New Roman"/>
      <w:kern w:val="0"/>
      <w:sz w:val="20"/>
      <w:szCs w:val="20"/>
    </w:rPr>
  </w:style>
  <w:style w:type="character" w:customStyle="1" w:styleId="72">
    <w:name w:val="纯文本 字符"/>
    <w:basedOn w:val="50"/>
    <w:link w:val="24"/>
    <w:qFormat/>
    <w:uiPriority w:val="0"/>
    <w:rPr>
      <w:rFonts w:ascii="宋体" w:hAnsi="Courier New" w:eastAsia="宋体" w:cs="Times New Roman"/>
      <w:kern w:val="0"/>
      <w:sz w:val="20"/>
      <w:szCs w:val="20"/>
    </w:rPr>
  </w:style>
  <w:style w:type="character" w:customStyle="1" w:styleId="73">
    <w:name w:val="日期 字符"/>
    <w:basedOn w:val="50"/>
    <w:link w:val="27"/>
    <w:qFormat/>
    <w:uiPriority w:val="0"/>
    <w:rPr>
      <w:rFonts w:ascii="Times New Roman" w:hAnsi="Times New Roman" w:eastAsia="宋体" w:cs="Times New Roman"/>
      <w:kern w:val="0"/>
      <w:sz w:val="28"/>
      <w:szCs w:val="20"/>
    </w:rPr>
  </w:style>
  <w:style w:type="character" w:customStyle="1" w:styleId="74">
    <w:name w:val="正文文本缩进 2 字符"/>
    <w:basedOn w:val="50"/>
    <w:link w:val="28"/>
    <w:qFormat/>
    <w:uiPriority w:val="0"/>
    <w:rPr>
      <w:rFonts w:ascii="Times New Roman" w:hAnsi="Times New Roman" w:eastAsia="宋体" w:cs="Times New Roman"/>
      <w:kern w:val="0"/>
      <w:sz w:val="20"/>
      <w:szCs w:val="20"/>
    </w:rPr>
  </w:style>
  <w:style w:type="character" w:customStyle="1" w:styleId="75">
    <w:name w:val="批注框文本 字符"/>
    <w:basedOn w:val="50"/>
    <w:link w:val="29"/>
    <w:qFormat/>
    <w:uiPriority w:val="0"/>
    <w:rPr>
      <w:rFonts w:ascii="Times New Roman" w:hAnsi="Times New Roman" w:eastAsia="宋体" w:cs="Times New Roman"/>
      <w:kern w:val="0"/>
      <w:sz w:val="18"/>
      <w:szCs w:val="18"/>
    </w:rPr>
  </w:style>
  <w:style w:type="character" w:customStyle="1" w:styleId="76">
    <w:name w:val="正文文本缩进 3 字符"/>
    <w:basedOn w:val="50"/>
    <w:link w:val="37"/>
    <w:qFormat/>
    <w:uiPriority w:val="0"/>
    <w:rPr>
      <w:rFonts w:ascii="Times New Roman" w:hAnsi="Times New Roman" w:eastAsia="宋体" w:cs="Times New Roman"/>
      <w:kern w:val="0"/>
      <w:sz w:val="20"/>
      <w:szCs w:val="20"/>
    </w:rPr>
  </w:style>
  <w:style w:type="character" w:customStyle="1" w:styleId="77">
    <w:name w:val="HTML 预设格式 字符"/>
    <w:basedOn w:val="50"/>
    <w:link w:val="42"/>
    <w:qFormat/>
    <w:uiPriority w:val="99"/>
    <w:rPr>
      <w:rFonts w:ascii="宋体" w:hAnsi="宋体" w:eastAsia="宋体" w:cs="Times New Roman"/>
      <w:kern w:val="0"/>
      <w:sz w:val="20"/>
      <w:szCs w:val="20"/>
    </w:rPr>
  </w:style>
  <w:style w:type="character" w:customStyle="1" w:styleId="78">
    <w:name w:val="标题 字符"/>
    <w:basedOn w:val="50"/>
    <w:link w:val="45"/>
    <w:qFormat/>
    <w:uiPriority w:val="0"/>
    <w:rPr>
      <w:rFonts w:ascii="Times New Roman" w:hAnsi="Times New Roman" w:eastAsia="仿宋_GB2312" w:cs="Cambria"/>
      <w:b/>
      <w:bCs/>
      <w:kern w:val="0"/>
      <w:sz w:val="32"/>
      <w:szCs w:val="32"/>
    </w:rPr>
  </w:style>
  <w:style w:type="paragraph" w:customStyle="1" w:styleId="79">
    <w:name w:val="列出段落1"/>
    <w:basedOn w:val="1"/>
    <w:qFormat/>
    <w:uiPriority w:val="34"/>
    <w:pPr>
      <w:ind w:firstLine="420" w:firstLineChars="200"/>
    </w:pPr>
  </w:style>
  <w:style w:type="paragraph" w:customStyle="1" w:styleId="80">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81">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82">
    <w:name w:val="合同格式"/>
    <w:basedOn w:val="5"/>
    <w:qFormat/>
    <w:uiPriority w:val="0"/>
    <w:pPr>
      <w:widowControl/>
      <w:adjustRightInd/>
      <w:spacing w:before="360" w:line="240" w:lineRule="auto"/>
      <w:ind w:left="0" w:firstLine="0"/>
      <w:jc w:val="center"/>
      <w:textAlignment w:val="auto"/>
    </w:pPr>
    <w:rPr>
      <w:rFonts w:eastAsia="黑体"/>
      <w:sz w:val="30"/>
    </w:rPr>
  </w:style>
  <w:style w:type="paragraph" w:customStyle="1" w:styleId="8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84">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5">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6">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87">
    <w:name w:val="xl40"/>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88">
    <w:name w:val="xl4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9">
    <w:name w:val="资料表"/>
    <w:basedOn w:val="86"/>
    <w:qFormat/>
    <w:uiPriority w:val="0"/>
    <w:rPr>
      <w:rFonts w:ascii="Times New Roman"/>
    </w:rPr>
  </w:style>
  <w:style w:type="paragraph" w:customStyle="1" w:styleId="90">
    <w:name w:val="纯文本1"/>
    <w:basedOn w:val="1"/>
    <w:qFormat/>
    <w:uiPriority w:val="0"/>
    <w:pPr>
      <w:adjustRightInd w:val="0"/>
      <w:spacing w:line="312" w:lineRule="atLeast"/>
      <w:ind w:left="425" w:leftChars="202" w:firstLine="425"/>
      <w:textAlignment w:val="baseline"/>
    </w:pPr>
    <w:rPr>
      <w:rFonts w:ascii="宋体" w:hAnsi="Courier New"/>
      <w:kern w:val="0"/>
    </w:rPr>
  </w:style>
  <w:style w:type="paragraph" w:customStyle="1" w:styleId="91">
    <w:name w:val="xl53"/>
    <w:basedOn w:val="1"/>
    <w:qFormat/>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2">
    <w:name w:val="正文文本缩进1"/>
    <w:basedOn w:val="1"/>
    <w:qFormat/>
    <w:uiPriority w:val="0"/>
    <w:pPr>
      <w:spacing w:line="360" w:lineRule="auto"/>
      <w:ind w:left="540" w:leftChars="257" w:firstLine="360" w:firstLineChars="150"/>
    </w:pPr>
    <w:rPr>
      <w:sz w:val="24"/>
    </w:rPr>
  </w:style>
  <w:style w:type="paragraph" w:customStyle="1" w:styleId="93">
    <w:name w:val="xl3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4">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5">
    <w:name w:val="样式1"/>
    <w:basedOn w:val="1"/>
    <w:qFormat/>
    <w:uiPriority w:val="0"/>
    <w:pPr>
      <w:adjustRightInd w:val="0"/>
      <w:spacing w:before="120" w:after="120" w:line="120" w:lineRule="exact"/>
    </w:pPr>
    <w:rPr>
      <w:color w:val="FF00FF"/>
      <w:kern w:val="0"/>
      <w:sz w:val="24"/>
    </w:rPr>
  </w:style>
  <w:style w:type="paragraph" w:customStyle="1" w:styleId="96">
    <w:name w:val="xl5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97">
    <w:name w:val="xl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8">
    <w:name w:val="xl5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9">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100">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1">
    <w:name w:val="xl3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2">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03">
    <w:name w:val="xl38"/>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4">
    <w:name w:val="xl41"/>
    <w:basedOn w:val="1"/>
    <w:qFormat/>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0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6">
    <w:name w:val="_Style 80"/>
    <w:semiHidden/>
    <w:qFormat/>
    <w:uiPriority w:val="99"/>
    <w:rPr>
      <w:rFonts w:ascii="Times New Roman" w:hAnsi="Times New Roman" w:eastAsia="宋体" w:cs="Times New Roman"/>
      <w:kern w:val="2"/>
      <w:sz w:val="21"/>
      <w:lang w:val="en-US" w:eastAsia="zh-CN" w:bidi="ar-SA"/>
    </w:rPr>
  </w:style>
  <w:style w:type="paragraph" w:customStyle="1" w:styleId="107">
    <w:name w:val="字元 字元"/>
    <w:basedOn w:val="1"/>
    <w:qFormat/>
    <w:uiPriority w:val="0"/>
    <w:rPr>
      <w:rFonts w:ascii="仿宋_GB2312" w:eastAsia="仿宋_GB2312"/>
      <w:b/>
      <w:sz w:val="32"/>
      <w:szCs w:val="32"/>
    </w:rPr>
  </w:style>
  <w:style w:type="paragraph" w:customStyle="1" w:styleId="108">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09">
    <w:name w:val="投标书格式"/>
    <w:basedOn w:val="5"/>
    <w:qFormat/>
    <w:uiPriority w:val="0"/>
    <w:pPr>
      <w:widowControl/>
      <w:adjustRightInd/>
      <w:spacing w:before="360" w:line="240" w:lineRule="auto"/>
      <w:ind w:left="0" w:firstLine="0"/>
      <w:jc w:val="center"/>
      <w:textAlignment w:val="auto"/>
    </w:pPr>
    <w:rPr>
      <w:rFonts w:eastAsia="黑体"/>
      <w:sz w:val="30"/>
    </w:rPr>
  </w:style>
  <w:style w:type="paragraph" w:customStyle="1" w:styleId="110">
    <w:name w:val="默认段落字体 Para Char Char Char Char"/>
    <w:basedOn w:val="1"/>
    <w:qFormat/>
    <w:uiPriority w:val="0"/>
    <w:rPr>
      <w:szCs w:val="21"/>
    </w:rPr>
  </w:style>
  <w:style w:type="paragraph" w:customStyle="1" w:styleId="111">
    <w:name w:val="无间距1"/>
    <w:link w:val="145"/>
    <w:qFormat/>
    <w:uiPriority w:val="0"/>
    <w:rPr>
      <w:rFonts w:ascii="Times New Roman" w:hAnsi="Times New Roman" w:eastAsia="宋体" w:cs="Times New Roman"/>
      <w:kern w:val="2"/>
      <w:sz w:val="22"/>
      <w:szCs w:val="22"/>
      <w:lang w:val="en-US" w:eastAsia="zh-CN" w:bidi="ar-SA"/>
    </w:rPr>
  </w:style>
  <w:style w:type="paragraph" w:customStyle="1" w:styleId="112">
    <w:name w:val="xl5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3">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4">
    <w:name w:val="font7"/>
    <w:basedOn w:val="1"/>
    <w:qFormat/>
    <w:uiPriority w:val="0"/>
    <w:pPr>
      <w:widowControl/>
      <w:spacing w:before="100" w:beforeAutospacing="1" w:after="100" w:afterAutospacing="1"/>
      <w:jc w:val="left"/>
    </w:pPr>
    <w:rPr>
      <w:b/>
      <w:bCs/>
      <w:kern w:val="0"/>
      <w:sz w:val="32"/>
      <w:szCs w:val="32"/>
    </w:rPr>
  </w:style>
  <w:style w:type="paragraph" w:styleId="115">
    <w:name w:val="List Paragraph"/>
    <w:basedOn w:val="1"/>
    <w:link w:val="200"/>
    <w:qFormat/>
    <w:uiPriority w:val="34"/>
    <w:pPr>
      <w:ind w:firstLine="420" w:firstLineChars="200"/>
    </w:pPr>
  </w:style>
  <w:style w:type="paragraph" w:customStyle="1" w:styleId="116">
    <w:name w:val="xl2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17">
    <w:name w:val="xl51"/>
    <w:basedOn w:val="1"/>
    <w:qFormat/>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18">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9">
    <w:name w:val="修订版本号1"/>
    <w:qFormat/>
    <w:uiPriority w:val="0"/>
    <w:rPr>
      <w:rFonts w:ascii="Times New Roman" w:hAnsi="Times New Roman" w:eastAsia="宋体" w:cs="Times New Roman"/>
      <w:kern w:val="2"/>
      <w:sz w:val="21"/>
      <w:lang w:val="en-US" w:eastAsia="zh-CN" w:bidi="ar-SA"/>
    </w:rPr>
  </w:style>
  <w:style w:type="paragraph" w:customStyle="1" w:styleId="120">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21">
    <w:name w:val="xl30"/>
    <w:basedOn w:val="1"/>
    <w:qFormat/>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22">
    <w:name w:val="Char Char2 Char Char Char Char1 Char Char Char Char Char Char1 Char Char Char Char1"/>
    <w:basedOn w:val="1"/>
    <w:qFormat/>
    <w:uiPriority w:val="0"/>
    <w:pPr>
      <w:widowControl/>
      <w:spacing w:after="160" w:line="240" w:lineRule="exact"/>
      <w:jc w:val="left"/>
    </w:pPr>
    <w:rPr>
      <w:rFonts w:ascii="Verdana" w:hAnsi="Verdana"/>
      <w:kern w:val="0"/>
      <w:lang w:eastAsia="en-US"/>
    </w:rPr>
  </w:style>
  <w:style w:type="paragraph" w:customStyle="1" w:styleId="123">
    <w:name w:val="xl3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4">
    <w:name w:val="font8"/>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25">
    <w:name w:val="xl6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6">
    <w:name w:val="xl5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7">
    <w:name w:val="xl54"/>
    <w:basedOn w:val="1"/>
    <w:qFormat/>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8">
    <w:name w:val="xl5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29">
    <w:name w:val="xl4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30">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1">
    <w:name w:val="xl3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32">
    <w:name w:val="默认段落字体 Para Char Char Char Char Char Char Char"/>
    <w:basedOn w:val="1"/>
    <w:qFormat/>
    <w:uiPriority w:val="0"/>
    <w:rPr>
      <w:rFonts w:ascii="Tahoma" w:hAnsi="Tahoma"/>
      <w:sz w:val="24"/>
    </w:rPr>
  </w:style>
  <w:style w:type="paragraph" w:customStyle="1" w:styleId="133">
    <w:name w:val="Char Char1 Char Char Char Char Char Char Char Char Char Char Char Char"/>
    <w:basedOn w:val="1"/>
    <w:qFormat/>
    <w:uiPriority w:val="0"/>
    <w:rPr>
      <w:szCs w:val="24"/>
    </w:rPr>
  </w:style>
  <w:style w:type="paragraph" w:customStyle="1" w:styleId="134">
    <w:name w:val="Char Char Char Char Char Char Char Char Char Char"/>
    <w:basedOn w:val="1"/>
    <w:qFormat/>
    <w:uiPriority w:val="0"/>
    <w:rPr>
      <w:rFonts w:ascii="Tahoma" w:hAnsi="Tahoma" w:cs="Tahoma"/>
      <w:sz w:val="24"/>
      <w:szCs w:val="24"/>
    </w:rPr>
  </w:style>
  <w:style w:type="paragraph" w:customStyle="1" w:styleId="135">
    <w:name w:val="xl2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6">
    <w:name w:val="xl52"/>
    <w:basedOn w:val="1"/>
    <w:qFormat/>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37">
    <w:name w:val="正文（首行缩进两字）"/>
    <w:basedOn w:val="1"/>
    <w:qFormat/>
    <w:uiPriority w:val="0"/>
  </w:style>
  <w:style w:type="paragraph" w:customStyle="1" w:styleId="138">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9">
    <w:name w:val="xl3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0">
    <w:name w:val="xl4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41">
    <w:name w:val="xl6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42">
    <w:name w:val="列出段落2"/>
    <w:basedOn w:val="1"/>
    <w:qFormat/>
    <w:uiPriority w:val="0"/>
    <w:pPr>
      <w:widowControl/>
      <w:ind w:firstLine="420" w:firstLineChars="200"/>
      <w:jc w:val="left"/>
    </w:pPr>
    <w:rPr>
      <w:kern w:val="0"/>
      <w:sz w:val="24"/>
    </w:rPr>
  </w:style>
  <w:style w:type="character" w:customStyle="1" w:styleId="143">
    <w:name w:val="页眉 Char1"/>
    <w:qFormat/>
    <w:uiPriority w:val="0"/>
    <w:rPr>
      <w:rFonts w:ascii="Times New Roman" w:hAnsi="Times New Roman" w:eastAsia="宋体" w:cs="Times New Roman"/>
      <w:kern w:val="2"/>
      <w:sz w:val="18"/>
      <w:szCs w:val="18"/>
      <w:lang w:val="en-US" w:eastAsia="zh-CN" w:bidi="ar-SA"/>
    </w:rPr>
  </w:style>
  <w:style w:type="character" w:customStyle="1" w:styleId="144">
    <w:name w:val="正文文本字符1"/>
    <w:semiHidden/>
    <w:qFormat/>
    <w:uiPriority w:val="99"/>
    <w:rPr>
      <w:rFonts w:ascii="Times New Roman" w:hAnsi="Times New Roman" w:eastAsia="宋体" w:cs="Times New Roman"/>
      <w:sz w:val="21"/>
      <w:szCs w:val="20"/>
    </w:rPr>
  </w:style>
  <w:style w:type="character" w:customStyle="1" w:styleId="145">
    <w:name w:val="无间隔 Char"/>
    <w:link w:val="111"/>
    <w:qFormat/>
    <w:uiPriority w:val="0"/>
    <w:rPr>
      <w:rFonts w:ascii="Times New Roman" w:hAnsi="Times New Roman" w:eastAsia="宋体" w:cs="Times New Roman"/>
      <w:sz w:val="22"/>
    </w:rPr>
  </w:style>
  <w:style w:type="character" w:customStyle="1" w:styleId="146">
    <w:name w:val="正文文本缩进 3字符1"/>
    <w:semiHidden/>
    <w:qFormat/>
    <w:uiPriority w:val="99"/>
    <w:rPr>
      <w:rFonts w:ascii="Times New Roman" w:hAnsi="Times New Roman" w:eastAsia="宋体" w:cs="Times New Roman"/>
      <w:sz w:val="16"/>
      <w:szCs w:val="16"/>
    </w:rPr>
  </w:style>
  <w:style w:type="character" w:customStyle="1" w:styleId="147">
    <w:name w:val="日期 Char1"/>
    <w:qFormat/>
    <w:uiPriority w:val="0"/>
    <w:rPr>
      <w:rFonts w:ascii="Times New Roman" w:hAnsi="Times New Roman" w:eastAsia="宋体" w:cs="Times New Roman"/>
      <w:kern w:val="2"/>
      <w:sz w:val="21"/>
      <w:lang w:val="en-US" w:eastAsia="zh-CN" w:bidi="ar-SA"/>
    </w:rPr>
  </w:style>
  <w:style w:type="character" w:customStyle="1" w:styleId="148">
    <w:name w:val="正文文本 Char1"/>
    <w:qFormat/>
    <w:uiPriority w:val="0"/>
    <w:rPr>
      <w:rFonts w:ascii="Times New Roman" w:hAnsi="Times New Roman" w:eastAsia="宋体" w:cs="Times New Roman"/>
      <w:kern w:val="2"/>
      <w:sz w:val="21"/>
      <w:lang w:val="en-US" w:eastAsia="zh-CN" w:bidi="ar-SA"/>
    </w:rPr>
  </w:style>
  <w:style w:type="character" w:customStyle="1" w:styleId="149">
    <w:name w:val="页脚 Char1"/>
    <w:qFormat/>
    <w:uiPriority w:val="0"/>
    <w:rPr>
      <w:rFonts w:ascii="Times New Roman" w:hAnsi="Times New Roman" w:eastAsia="宋体" w:cs="Times New Roman"/>
      <w:kern w:val="2"/>
      <w:sz w:val="18"/>
      <w:szCs w:val="18"/>
      <w:lang w:val="en-US" w:eastAsia="zh-CN" w:bidi="ar-SA"/>
    </w:rPr>
  </w:style>
  <w:style w:type="character" w:customStyle="1" w:styleId="150">
    <w:name w:val="apple-converted-space"/>
    <w:qFormat/>
    <w:uiPriority w:val="0"/>
    <w:rPr>
      <w:rFonts w:ascii="Times New Roman" w:hAnsi="Times New Roman" w:eastAsia="宋体" w:cs="Times New Roman"/>
      <w:lang w:val="en-US" w:eastAsia="zh-CN" w:bidi="ar-SA"/>
    </w:rPr>
  </w:style>
  <w:style w:type="character" w:customStyle="1" w:styleId="151">
    <w:name w:val="批注主题字符1"/>
    <w:semiHidden/>
    <w:qFormat/>
    <w:uiPriority w:val="99"/>
    <w:rPr>
      <w:rFonts w:ascii="Times New Roman" w:hAnsi="Times New Roman" w:eastAsia="宋体" w:cs="Times New Roman"/>
      <w:b/>
      <w:bCs/>
      <w:sz w:val="21"/>
      <w:szCs w:val="20"/>
    </w:rPr>
  </w:style>
  <w:style w:type="character" w:customStyle="1" w:styleId="152">
    <w:name w:val="批注主题 Char1"/>
    <w:qFormat/>
    <w:uiPriority w:val="0"/>
    <w:rPr>
      <w:rFonts w:ascii="Times New Roman" w:hAnsi="Times New Roman" w:eastAsia="宋体" w:cs="Times New Roman"/>
      <w:b/>
      <w:bCs/>
      <w:kern w:val="2"/>
      <w:sz w:val="21"/>
      <w:szCs w:val="20"/>
      <w:lang w:val="en-US" w:eastAsia="zh-CN" w:bidi="ar-SA"/>
    </w:rPr>
  </w:style>
  <w:style w:type="character" w:customStyle="1" w:styleId="153">
    <w:name w:val="页脚字符1"/>
    <w:semiHidden/>
    <w:qFormat/>
    <w:uiPriority w:val="99"/>
    <w:rPr>
      <w:rFonts w:ascii="Times New Roman" w:hAnsi="Times New Roman" w:eastAsia="宋体" w:cs="Times New Roman"/>
      <w:sz w:val="18"/>
      <w:szCs w:val="18"/>
    </w:rPr>
  </w:style>
  <w:style w:type="character" w:customStyle="1" w:styleId="154">
    <w:name w:val="页码1"/>
    <w:qFormat/>
    <w:uiPriority w:val="0"/>
    <w:rPr>
      <w:rFonts w:ascii="Times New Roman" w:hAnsi="Times New Roman" w:eastAsia="宋体" w:cs="Times New Roman"/>
      <w:lang w:val="en-US" w:eastAsia="zh-CN" w:bidi="ar-SA"/>
    </w:rPr>
  </w:style>
  <w:style w:type="character" w:customStyle="1" w:styleId="155">
    <w:name w:val="文档结构图 Char1"/>
    <w:qFormat/>
    <w:uiPriority w:val="0"/>
    <w:rPr>
      <w:rFonts w:ascii="宋体" w:hAnsi="Times New Roman" w:eastAsia="宋体" w:cs="Times New Roman"/>
      <w:kern w:val="2"/>
      <w:sz w:val="18"/>
      <w:szCs w:val="18"/>
      <w:lang w:val="en-US" w:eastAsia="zh-CN" w:bidi="ar-SA"/>
    </w:rPr>
  </w:style>
  <w:style w:type="character" w:customStyle="1" w:styleId="156">
    <w:name w:val="正文文本缩进 2字符1"/>
    <w:semiHidden/>
    <w:qFormat/>
    <w:uiPriority w:val="99"/>
    <w:rPr>
      <w:rFonts w:ascii="Times New Roman" w:hAnsi="Times New Roman" w:eastAsia="宋体" w:cs="Times New Roman"/>
      <w:sz w:val="21"/>
      <w:szCs w:val="20"/>
    </w:rPr>
  </w:style>
  <w:style w:type="character" w:customStyle="1" w:styleId="157">
    <w:name w:val="纯文本字符1"/>
    <w:semiHidden/>
    <w:qFormat/>
    <w:uiPriority w:val="99"/>
    <w:rPr>
      <w:rFonts w:ascii="宋体" w:hAnsi="Courier" w:eastAsia="宋体" w:cs="Times New Roman"/>
    </w:rPr>
  </w:style>
  <w:style w:type="character" w:customStyle="1" w:styleId="158">
    <w:name w:val="批注文字 Char1"/>
    <w:qFormat/>
    <w:uiPriority w:val="0"/>
    <w:rPr>
      <w:rFonts w:ascii="Times New Roman" w:hAnsi="Times New Roman" w:eastAsia="宋体" w:cs="Times New Roman"/>
      <w:sz w:val="21"/>
      <w:szCs w:val="20"/>
    </w:rPr>
  </w:style>
  <w:style w:type="character" w:customStyle="1" w:styleId="159">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160">
    <w:name w:val="批注框文本字符1"/>
    <w:semiHidden/>
    <w:qFormat/>
    <w:uiPriority w:val="99"/>
    <w:rPr>
      <w:rFonts w:ascii="Heiti SC Light" w:hAnsi="Times New Roman" w:eastAsia="Heiti SC Light" w:cs="Times New Roman"/>
      <w:sz w:val="18"/>
      <w:szCs w:val="18"/>
    </w:rPr>
  </w:style>
  <w:style w:type="character" w:customStyle="1" w:styleId="161">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162">
    <w:name w:val="页眉字符1"/>
    <w:semiHidden/>
    <w:qFormat/>
    <w:uiPriority w:val="99"/>
    <w:rPr>
      <w:rFonts w:ascii="Times New Roman" w:hAnsi="Times New Roman" w:eastAsia="宋体" w:cs="Times New Roman"/>
      <w:sz w:val="18"/>
      <w:szCs w:val="18"/>
    </w:rPr>
  </w:style>
  <w:style w:type="character" w:customStyle="1" w:styleId="163">
    <w:name w:val="纯文本 Char1"/>
    <w:qFormat/>
    <w:uiPriority w:val="0"/>
    <w:rPr>
      <w:rFonts w:ascii="宋体" w:hAnsi="Courier New" w:eastAsia="宋体" w:cs="Courier New"/>
      <w:kern w:val="2"/>
      <w:sz w:val="21"/>
      <w:szCs w:val="21"/>
      <w:lang w:val="en-US" w:eastAsia="zh-CN" w:bidi="ar-SA"/>
    </w:rPr>
  </w:style>
  <w:style w:type="character" w:customStyle="1" w:styleId="164">
    <w:name w:val="正文文本缩进 2 Char1"/>
    <w:qFormat/>
    <w:uiPriority w:val="0"/>
    <w:rPr>
      <w:rFonts w:ascii="Times New Roman" w:hAnsi="Times New Roman" w:eastAsia="宋体" w:cs="Times New Roman"/>
      <w:kern w:val="2"/>
      <w:sz w:val="21"/>
      <w:lang w:val="en-US" w:eastAsia="zh-CN" w:bidi="ar-SA"/>
    </w:rPr>
  </w:style>
  <w:style w:type="character" w:customStyle="1" w:styleId="165">
    <w:name w:val="文档结构图 字符1"/>
    <w:semiHidden/>
    <w:qFormat/>
    <w:uiPriority w:val="99"/>
    <w:rPr>
      <w:rFonts w:ascii="Heiti SC Light" w:hAnsi="Times New Roman" w:eastAsia="Heiti SC Light" w:cs="Times New Roman"/>
    </w:rPr>
  </w:style>
  <w:style w:type="character" w:customStyle="1" w:styleId="166">
    <w:name w:val="正文文本缩进 Char1"/>
    <w:qFormat/>
    <w:uiPriority w:val="0"/>
    <w:rPr>
      <w:rFonts w:ascii="Times New Roman" w:hAnsi="Times New Roman" w:eastAsia="宋体" w:cs="Times New Roman"/>
      <w:kern w:val="2"/>
      <w:sz w:val="21"/>
      <w:lang w:val="en-US" w:eastAsia="zh-CN" w:bidi="ar-SA"/>
    </w:rPr>
  </w:style>
  <w:style w:type="character" w:customStyle="1" w:styleId="167">
    <w:name w:val="正文文本缩进字符1"/>
    <w:semiHidden/>
    <w:qFormat/>
    <w:uiPriority w:val="99"/>
    <w:rPr>
      <w:rFonts w:ascii="Times New Roman" w:hAnsi="Times New Roman" w:eastAsia="宋体" w:cs="Times New Roman"/>
      <w:sz w:val="21"/>
      <w:szCs w:val="20"/>
    </w:rPr>
  </w:style>
  <w:style w:type="character" w:customStyle="1" w:styleId="168">
    <w:name w:val="日期字符1"/>
    <w:semiHidden/>
    <w:qFormat/>
    <w:uiPriority w:val="99"/>
    <w:rPr>
      <w:rFonts w:ascii="Times New Roman" w:hAnsi="Times New Roman" w:eastAsia="宋体" w:cs="Times New Roman"/>
      <w:sz w:val="21"/>
      <w:szCs w:val="20"/>
    </w:rPr>
  </w:style>
  <w:style w:type="table" w:customStyle="1" w:styleId="169">
    <w:name w:val="网格表 1 浅色1"/>
    <w:basedOn w:val="48"/>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70">
    <w:name w:val="纯文本 字符1"/>
    <w:semiHidden/>
    <w:qFormat/>
    <w:locked/>
    <w:uiPriority w:val="0"/>
    <w:rPr>
      <w:rFonts w:ascii="宋体" w:hAnsi="Courier New"/>
    </w:rPr>
  </w:style>
  <w:style w:type="character" w:customStyle="1" w:styleId="171">
    <w:name w:val="Header or footer|1_"/>
    <w:qFormat/>
    <w:uiPriority w:val="0"/>
    <w:rPr>
      <w:rFonts w:ascii="PMingLiU" w:hAnsi="PMingLiU" w:eastAsia="PMingLiU" w:cs="PMingLiU"/>
      <w:sz w:val="17"/>
      <w:szCs w:val="17"/>
      <w:u w:val="none"/>
    </w:rPr>
  </w:style>
  <w:style w:type="character" w:customStyle="1" w:styleId="172">
    <w:name w:val="Header or footer|1"/>
    <w:semiHidden/>
    <w:unhideWhenUsed/>
    <w:qFormat/>
    <w:uiPriority w:val="0"/>
    <w:rPr>
      <w:rFonts w:ascii="PMingLiU" w:hAnsi="PMingLiU" w:eastAsia="PMingLiU" w:cs="PMingLiU"/>
      <w:color w:val="000000"/>
      <w:spacing w:val="0"/>
      <w:w w:val="100"/>
      <w:position w:val="0"/>
      <w:sz w:val="17"/>
      <w:szCs w:val="17"/>
      <w:u w:val="none"/>
      <w:lang w:val="zh-CN" w:eastAsia="zh-CN" w:bidi="zh-CN"/>
    </w:rPr>
  </w:style>
  <w:style w:type="character" w:customStyle="1" w:styleId="173">
    <w:name w:val="Body text|2 Exact"/>
    <w:semiHidden/>
    <w:unhideWhenUsed/>
    <w:qFormat/>
    <w:uiPriority w:val="0"/>
    <w:rPr>
      <w:rFonts w:ascii="PMingLiU" w:hAnsi="PMingLiU" w:eastAsia="PMingLiU" w:cs="PMingLiU"/>
      <w:sz w:val="22"/>
      <w:szCs w:val="22"/>
      <w:u w:val="none"/>
      <w:lang w:val="en-US" w:eastAsia="en-US" w:bidi="en-US"/>
    </w:rPr>
  </w:style>
  <w:style w:type="character" w:customStyle="1" w:styleId="174">
    <w:name w:val="Body text|3 Exact"/>
    <w:link w:val="175"/>
    <w:qFormat/>
    <w:uiPriority w:val="0"/>
    <w:rPr>
      <w:rFonts w:ascii="PMingLiU" w:hAnsi="PMingLiU" w:eastAsia="PMingLiU" w:cs="PMingLiU"/>
      <w:w w:val="350"/>
      <w:sz w:val="32"/>
      <w:szCs w:val="32"/>
      <w:shd w:val="clear" w:color="auto" w:fill="FFFFFF"/>
      <w:lang w:eastAsia="en-US" w:bidi="en-US"/>
    </w:rPr>
  </w:style>
  <w:style w:type="paragraph" w:customStyle="1" w:styleId="175">
    <w:name w:val="Body text|3"/>
    <w:basedOn w:val="1"/>
    <w:link w:val="174"/>
    <w:qFormat/>
    <w:uiPriority w:val="0"/>
    <w:pPr>
      <w:shd w:val="clear" w:color="auto" w:fill="FFFFFF"/>
      <w:spacing w:line="320" w:lineRule="exact"/>
      <w:jc w:val="left"/>
    </w:pPr>
    <w:rPr>
      <w:rFonts w:ascii="PMingLiU" w:hAnsi="PMingLiU" w:eastAsia="PMingLiU" w:cs="PMingLiU"/>
      <w:w w:val="350"/>
      <w:sz w:val="32"/>
      <w:szCs w:val="32"/>
      <w:lang w:eastAsia="en-US" w:bidi="en-US"/>
    </w:rPr>
  </w:style>
  <w:style w:type="character" w:customStyle="1" w:styleId="176">
    <w:name w:val="Body text|2_"/>
    <w:link w:val="177"/>
    <w:qFormat/>
    <w:uiPriority w:val="0"/>
    <w:rPr>
      <w:rFonts w:ascii="PMingLiU" w:hAnsi="PMingLiU" w:eastAsia="PMingLiU" w:cs="PMingLiU"/>
      <w:sz w:val="22"/>
      <w:shd w:val="clear" w:color="auto" w:fill="FFFFFF"/>
    </w:rPr>
  </w:style>
  <w:style w:type="paragraph" w:customStyle="1" w:styleId="177">
    <w:name w:val="Body text|2"/>
    <w:basedOn w:val="1"/>
    <w:link w:val="176"/>
    <w:qFormat/>
    <w:uiPriority w:val="0"/>
    <w:pPr>
      <w:shd w:val="clear" w:color="auto" w:fill="FFFFFF"/>
      <w:spacing w:after="1020" w:line="220" w:lineRule="exact"/>
      <w:ind w:hanging="1100"/>
      <w:jc w:val="right"/>
    </w:pPr>
    <w:rPr>
      <w:rFonts w:ascii="PMingLiU" w:hAnsi="PMingLiU" w:eastAsia="PMingLiU" w:cs="PMingLiU"/>
      <w:sz w:val="22"/>
      <w:szCs w:val="22"/>
    </w:rPr>
  </w:style>
  <w:style w:type="character" w:customStyle="1" w:styleId="178">
    <w:name w:val="Body text|2 + Scaling 90%"/>
    <w:semiHidden/>
    <w:unhideWhenUsed/>
    <w:qFormat/>
    <w:uiPriority w:val="0"/>
    <w:rPr>
      <w:rFonts w:ascii="PMingLiU" w:hAnsi="PMingLiU" w:eastAsia="PMingLiU" w:cs="PMingLiU"/>
      <w:color w:val="000000"/>
      <w:spacing w:val="0"/>
      <w:w w:val="90"/>
      <w:position w:val="0"/>
      <w:sz w:val="22"/>
      <w:szCs w:val="22"/>
      <w:shd w:val="clear" w:color="auto" w:fill="FFFFFF"/>
      <w:lang w:val="en-US" w:eastAsia="en-US" w:bidi="en-US"/>
    </w:rPr>
  </w:style>
  <w:style w:type="character" w:customStyle="1" w:styleId="179">
    <w:name w:val="Body text|2 + 11.5 pt"/>
    <w:semiHidden/>
    <w:unhideWhenUsed/>
    <w:qFormat/>
    <w:uiPriority w:val="0"/>
    <w:rPr>
      <w:rFonts w:ascii="PMingLiU" w:hAnsi="PMingLiU" w:eastAsia="PMingLiU" w:cs="PMingLiU"/>
      <w:b/>
      <w:bCs/>
      <w:color w:val="000000"/>
      <w:spacing w:val="20"/>
      <w:w w:val="100"/>
      <w:position w:val="0"/>
      <w:sz w:val="23"/>
      <w:szCs w:val="23"/>
      <w:shd w:val="clear" w:color="auto" w:fill="FFFFFF"/>
      <w:lang w:val="zh-CN" w:eastAsia="zh-CN" w:bidi="zh-CN"/>
    </w:rPr>
  </w:style>
  <w:style w:type="character" w:customStyle="1" w:styleId="180">
    <w:name w:val="Body text|2 + Spacing 2 pt"/>
    <w:semiHidden/>
    <w:unhideWhenUsed/>
    <w:qFormat/>
    <w:uiPriority w:val="0"/>
    <w:rPr>
      <w:rFonts w:ascii="PMingLiU" w:hAnsi="PMingLiU" w:eastAsia="PMingLiU" w:cs="PMingLiU"/>
      <w:color w:val="000000"/>
      <w:spacing w:val="40"/>
      <w:w w:val="100"/>
      <w:position w:val="0"/>
      <w:sz w:val="22"/>
      <w:szCs w:val="22"/>
      <w:shd w:val="clear" w:color="auto" w:fill="FFFFFF"/>
      <w:lang w:val="zh-CN" w:eastAsia="zh-CN" w:bidi="zh-CN"/>
    </w:rPr>
  </w:style>
  <w:style w:type="character" w:customStyle="1" w:styleId="181">
    <w:name w:val="Heading #2|1_"/>
    <w:link w:val="182"/>
    <w:qFormat/>
    <w:uiPriority w:val="0"/>
    <w:rPr>
      <w:rFonts w:ascii="PMingLiU" w:hAnsi="PMingLiU" w:eastAsia="PMingLiU" w:cs="PMingLiU"/>
      <w:b/>
      <w:bCs/>
      <w:spacing w:val="20"/>
      <w:sz w:val="23"/>
      <w:szCs w:val="23"/>
      <w:shd w:val="clear" w:color="auto" w:fill="FFFFFF"/>
    </w:rPr>
  </w:style>
  <w:style w:type="paragraph" w:customStyle="1" w:styleId="182">
    <w:name w:val="Heading #2|1"/>
    <w:basedOn w:val="1"/>
    <w:link w:val="181"/>
    <w:qFormat/>
    <w:uiPriority w:val="0"/>
    <w:pPr>
      <w:shd w:val="clear" w:color="auto" w:fill="FFFFFF"/>
      <w:spacing w:after="120" w:line="504" w:lineRule="exact"/>
      <w:ind w:hanging="880"/>
      <w:jc w:val="distribute"/>
      <w:outlineLvl w:val="1"/>
    </w:pPr>
    <w:rPr>
      <w:rFonts w:ascii="PMingLiU" w:hAnsi="PMingLiU" w:eastAsia="PMingLiU" w:cs="PMingLiU"/>
      <w:b/>
      <w:bCs/>
      <w:spacing w:val="20"/>
      <w:sz w:val="23"/>
      <w:szCs w:val="23"/>
    </w:rPr>
  </w:style>
  <w:style w:type="character" w:customStyle="1" w:styleId="183">
    <w:name w:val="Body text|2 + Bold"/>
    <w:semiHidden/>
    <w:unhideWhenUsed/>
    <w:qFormat/>
    <w:uiPriority w:val="0"/>
    <w:rPr>
      <w:rFonts w:ascii="PMingLiU" w:hAnsi="PMingLiU" w:eastAsia="PMingLiU" w:cs="PMingLiU"/>
      <w:b/>
      <w:bCs/>
      <w:color w:val="000000"/>
      <w:spacing w:val="0"/>
      <w:w w:val="100"/>
      <w:position w:val="0"/>
      <w:sz w:val="22"/>
      <w:szCs w:val="22"/>
      <w:shd w:val="clear" w:color="auto" w:fill="FFFFFF"/>
      <w:lang w:val="zh-CN" w:eastAsia="zh-CN" w:bidi="zh-CN"/>
    </w:rPr>
  </w:style>
  <w:style w:type="character" w:customStyle="1" w:styleId="184">
    <w:name w:val="Heading #2|1 + Spacing 2 pt"/>
    <w:semiHidden/>
    <w:unhideWhenUsed/>
    <w:qFormat/>
    <w:uiPriority w:val="0"/>
    <w:rPr>
      <w:rFonts w:ascii="PMingLiU" w:hAnsi="PMingLiU" w:eastAsia="PMingLiU" w:cs="PMingLiU"/>
      <w:b/>
      <w:bCs/>
      <w:color w:val="000000"/>
      <w:spacing w:val="50"/>
      <w:w w:val="100"/>
      <w:position w:val="0"/>
      <w:sz w:val="23"/>
      <w:szCs w:val="23"/>
      <w:shd w:val="clear" w:color="auto" w:fill="FFFFFF"/>
      <w:lang w:val="zh-CN" w:eastAsia="zh-CN" w:bidi="zh-CN"/>
    </w:rPr>
  </w:style>
  <w:style w:type="character" w:customStyle="1" w:styleId="185">
    <w:name w:val="Body text|4_"/>
    <w:link w:val="186"/>
    <w:qFormat/>
    <w:uiPriority w:val="0"/>
    <w:rPr>
      <w:rFonts w:ascii="PMingLiU" w:hAnsi="PMingLiU" w:eastAsia="PMingLiU" w:cs="PMingLiU"/>
      <w:sz w:val="19"/>
      <w:szCs w:val="19"/>
      <w:shd w:val="clear" w:color="auto" w:fill="FFFFFF"/>
    </w:rPr>
  </w:style>
  <w:style w:type="paragraph" w:customStyle="1" w:styleId="186">
    <w:name w:val="Body text|4"/>
    <w:basedOn w:val="1"/>
    <w:link w:val="185"/>
    <w:qFormat/>
    <w:uiPriority w:val="0"/>
    <w:pPr>
      <w:shd w:val="clear" w:color="auto" w:fill="FFFFFF"/>
      <w:spacing w:line="461" w:lineRule="exact"/>
      <w:ind w:hanging="1960"/>
      <w:jc w:val="distribute"/>
    </w:pPr>
    <w:rPr>
      <w:rFonts w:ascii="PMingLiU" w:hAnsi="PMingLiU" w:eastAsia="PMingLiU" w:cs="PMingLiU"/>
      <w:sz w:val="19"/>
      <w:szCs w:val="19"/>
    </w:rPr>
  </w:style>
  <w:style w:type="character" w:customStyle="1" w:styleId="187">
    <w:name w:val="Body text|4 + 11 pt"/>
    <w:semiHidden/>
    <w:unhideWhenUsed/>
    <w:qFormat/>
    <w:uiPriority w:val="0"/>
    <w:rPr>
      <w:rFonts w:ascii="PMingLiU" w:hAnsi="PMingLiU" w:eastAsia="PMingLiU" w:cs="PMingLiU"/>
      <w:color w:val="000000"/>
      <w:spacing w:val="0"/>
      <w:w w:val="100"/>
      <w:position w:val="0"/>
      <w:sz w:val="22"/>
      <w:szCs w:val="22"/>
      <w:shd w:val="clear" w:color="auto" w:fill="FFFFFF"/>
      <w:lang w:val="zh-CN" w:eastAsia="zh-CN" w:bidi="zh-CN"/>
    </w:rPr>
  </w:style>
  <w:style w:type="character" w:customStyle="1" w:styleId="188">
    <w:name w:val="Body text|5_"/>
    <w:link w:val="189"/>
    <w:qFormat/>
    <w:uiPriority w:val="0"/>
    <w:rPr>
      <w:sz w:val="8"/>
      <w:szCs w:val="8"/>
      <w:shd w:val="clear" w:color="auto" w:fill="FFFFFF"/>
      <w:lang w:eastAsia="en-US" w:bidi="en-US"/>
    </w:rPr>
  </w:style>
  <w:style w:type="paragraph" w:customStyle="1" w:styleId="189">
    <w:name w:val="Body text|5"/>
    <w:basedOn w:val="1"/>
    <w:link w:val="188"/>
    <w:qFormat/>
    <w:uiPriority w:val="0"/>
    <w:pPr>
      <w:shd w:val="clear" w:color="auto" w:fill="FFFFFF"/>
      <w:spacing w:after="260" w:line="88" w:lineRule="exact"/>
      <w:jc w:val="left"/>
    </w:pPr>
    <w:rPr>
      <w:rFonts w:asciiTheme="minorHAnsi" w:hAnsiTheme="minorHAnsi" w:eastAsiaTheme="minorEastAsia" w:cstheme="minorBidi"/>
      <w:sz w:val="8"/>
      <w:szCs w:val="8"/>
      <w:lang w:eastAsia="en-US" w:bidi="en-US"/>
    </w:rPr>
  </w:style>
  <w:style w:type="character" w:customStyle="1" w:styleId="190">
    <w:name w:val="font11"/>
    <w:qFormat/>
    <w:uiPriority w:val="0"/>
    <w:rPr>
      <w:rFonts w:hint="eastAsia" w:ascii="宋体" w:hAnsi="宋体" w:eastAsia="宋体" w:cs="宋体"/>
      <w:color w:val="000000"/>
      <w:sz w:val="22"/>
      <w:szCs w:val="22"/>
      <w:u w:val="none"/>
    </w:rPr>
  </w:style>
  <w:style w:type="character" w:customStyle="1" w:styleId="191">
    <w:name w:val="font01"/>
    <w:qFormat/>
    <w:uiPriority w:val="0"/>
    <w:rPr>
      <w:rFonts w:ascii="font-weight : 400" w:hAnsi="font-weight : 400" w:eastAsia="font-weight : 400" w:cs="font-weight : 400"/>
      <w:color w:val="000000"/>
      <w:sz w:val="22"/>
      <w:szCs w:val="22"/>
      <w:u w:val="none"/>
    </w:rPr>
  </w:style>
  <w:style w:type="paragraph" w:customStyle="1" w:styleId="192">
    <w:name w:val="列出段落11"/>
    <w:basedOn w:val="1"/>
    <w:qFormat/>
    <w:uiPriority w:val="34"/>
    <w:pPr>
      <w:widowControl/>
      <w:spacing w:after="200" w:line="360" w:lineRule="auto"/>
      <w:ind w:left="720"/>
      <w:contextualSpacing/>
      <w:jc w:val="left"/>
    </w:pPr>
    <w:rPr>
      <w:rFonts w:ascii="Calibri" w:hAnsi="Calibri" w:eastAsia="微软雅黑"/>
      <w:color w:val="000000"/>
      <w:kern w:val="0"/>
      <w:sz w:val="24"/>
      <w:szCs w:val="22"/>
      <w:lang w:eastAsia="en-US" w:bidi="en-US"/>
    </w:rPr>
  </w:style>
  <w:style w:type="character" w:styleId="193">
    <w:name w:val="Placeholder Text"/>
    <w:basedOn w:val="50"/>
    <w:semiHidden/>
    <w:qFormat/>
    <w:uiPriority w:val="99"/>
    <w:rPr>
      <w:color w:val="808080"/>
    </w:rPr>
  </w:style>
  <w:style w:type="paragraph" w:customStyle="1" w:styleId="194">
    <w:name w:val="A1一级标题"/>
    <w:basedOn w:val="1"/>
    <w:qFormat/>
    <w:uiPriority w:val="0"/>
    <w:pPr>
      <w:widowControl/>
      <w:numPr>
        <w:ilvl w:val="0"/>
        <w:numId w:val="1"/>
      </w:numPr>
      <w:spacing w:before="156" w:beforeLines="50" w:after="156" w:line="360" w:lineRule="auto"/>
      <w:jc w:val="left"/>
      <w:outlineLvl w:val="0"/>
    </w:pPr>
    <w:rPr>
      <w:rFonts w:eastAsia="华文中宋"/>
      <w:b/>
      <w:sz w:val="24"/>
      <w:szCs w:val="24"/>
    </w:rPr>
  </w:style>
  <w:style w:type="paragraph" w:customStyle="1" w:styleId="195">
    <w:name w:val="B1二级标题"/>
    <w:basedOn w:val="1"/>
    <w:link w:val="196"/>
    <w:qFormat/>
    <w:uiPriority w:val="99"/>
    <w:pPr>
      <w:widowControl/>
      <w:numPr>
        <w:ilvl w:val="1"/>
        <w:numId w:val="1"/>
      </w:numPr>
      <w:spacing w:before="156" w:beforeLines="50" w:after="156" w:line="360" w:lineRule="auto"/>
      <w:jc w:val="left"/>
      <w:outlineLvl w:val="1"/>
    </w:pPr>
    <w:rPr>
      <w:sz w:val="24"/>
      <w:szCs w:val="24"/>
    </w:rPr>
  </w:style>
  <w:style w:type="character" w:customStyle="1" w:styleId="196">
    <w:name w:val="B1二级标题 Char"/>
    <w:link w:val="195"/>
    <w:qFormat/>
    <w:uiPriority w:val="99"/>
    <w:rPr>
      <w:rFonts w:ascii="Times New Roman" w:hAnsi="Times New Roman" w:eastAsia="宋体" w:cs="Times New Roman"/>
      <w:sz w:val="24"/>
      <w:szCs w:val="24"/>
    </w:rPr>
  </w:style>
  <w:style w:type="paragraph" w:customStyle="1" w:styleId="197">
    <w:name w:val="C1三级标题"/>
    <w:basedOn w:val="1"/>
    <w:qFormat/>
    <w:uiPriority w:val="0"/>
    <w:pPr>
      <w:widowControl/>
      <w:numPr>
        <w:ilvl w:val="2"/>
        <w:numId w:val="1"/>
      </w:numPr>
      <w:spacing w:before="156" w:beforeLines="50" w:after="156" w:line="360" w:lineRule="auto"/>
      <w:jc w:val="left"/>
      <w:outlineLvl w:val="2"/>
    </w:pPr>
    <w:rPr>
      <w:sz w:val="24"/>
      <w:szCs w:val="24"/>
    </w:rPr>
  </w:style>
  <w:style w:type="paragraph" w:customStyle="1" w:styleId="198">
    <w:name w:val="D1四级标题"/>
    <w:basedOn w:val="1"/>
    <w:qFormat/>
    <w:uiPriority w:val="0"/>
    <w:pPr>
      <w:widowControl/>
      <w:numPr>
        <w:ilvl w:val="3"/>
        <w:numId w:val="1"/>
      </w:numPr>
      <w:spacing w:before="156" w:beforeLines="50" w:after="156" w:line="360" w:lineRule="auto"/>
      <w:jc w:val="left"/>
      <w:outlineLvl w:val="3"/>
    </w:pPr>
    <w:rPr>
      <w:sz w:val="24"/>
      <w:szCs w:val="24"/>
    </w:rPr>
  </w:style>
  <w:style w:type="table" w:customStyle="1" w:styleId="199">
    <w:name w:val="网格型1"/>
    <w:basedOn w:val="4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0">
    <w:name w:val="列表段落 字符"/>
    <w:link w:val="115"/>
    <w:qFormat/>
    <w:uiPriority w:val="99"/>
    <w:rPr>
      <w:rFonts w:ascii="Times New Roman" w:hAnsi="Times New Roman"/>
      <w:kern w:val="2"/>
      <w:sz w:val="21"/>
    </w:rPr>
  </w:style>
  <w:style w:type="paragraph" w:customStyle="1" w:styleId="201">
    <w:name w:val="修订1"/>
    <w:hidden/>
    <w:semiHidden/>
    <w:qFormat/>
    <w:uiPriority w:val="99"/>
    <w:rPr>
      <w:rFonts w:ascii="Times New Roman" w:hAnsi="Times New Roman" w:eastAsia="宋体" w:cs="Times New Roman"/>
      <w:kern w:val="2"/>
      <w:sz w:val="21"/>
      <w:lang w:val="en-US" w:eastAsia="zh-CN" w:bidi="ar-SA"/>
    </w:rPr>
  </w:style>
  <w:style w:type="character" w:customStyle="1" w:styleId="202">
    <w:name w:val="纯文本 Char"/>
    <w:qFormat/>
    <w:uiPriority w:val="0"/>
    <w:rPr>
      <w:rFonts w:ascii="宋体" w:hAnsi="Courier New" w:eastAsia="宋体" w:cs="Times New Roman"/>
    </w:rPr>
  </w:style>
  <w:style w:type="paragraph" w:customStyle="1" w:styleId="203">
    <w:name w:val="_Style 200"/>
    <w:basedOn w:val="1"/>
    <w:next w:val="115"/>
    <w:link w:val="204"/>
    <w:qFormat/>
    <w:uiPriority w:val="34"/>
    <w:pPr>
      <w:ind w:firstLine="420" w:firstLineChars="200"/>
    </w:pPr>
  </w:style>
  <w:style w:type="character" w:customStyle="1" w:styleId="204">
    <w:name w:val="列出段落 Char"/>
    <w:link w:val="203"/>
    <w:qFormat/>
    <w:uiPriority w:val="34"/>
    <w:rPr>
      <w:rFonts w:ascii="Times New Roman" w:hAnsi="Times New Roman"/>
      <w:kern w:val="2"/>
      <w:sz w:val="21"/>
    </w:rPr>
  </w:style>
  <w:style w:type="paragraph" w:customStyle="1" w:styleId="205">
    <w:name w:val="彩色列表 - 着色 11"/>
    <w:basedOn w:val="1"/>
    <w:qFormat/>
    <w:uiPriority w:val="99"/>
    <w:pPr>
      <w:ind w:firstLine="420" w:firstLineChars="200"/>
    </w:pPr>
  </w:style>
  <w:style w:type="character" w:customStyle="1" w:styleId="206">
    <w:name w:val="font21"/>
    <w:qFormat/>
    <w:uiPriority w:val="0"/>
    <w:rPr>
      <w:rFonts w:hint="eastAsia" w:ascii="微软雅黑" w:hAnsi="微软雅黑" w:eastAsia="微软雅黑" w:cs="微软雅黑"/>
      <w:color w:val="000000"/>
      <w:sz w:val="18"/>
      <w:szCs w:val="18"/>
      <w:u w:val="none"/>
    </w:rPr>
  </w:style>
  <w:style w:type="paragraph" w:customStyle="1" w:styleId="207">
    <w:name w:val="修订2"/>
    <w:hidden/>
    <w:semiHidden/>
    <w:qFormat/>
    <w:uiPriority w:val="99"/>
    <w:rPr>
      <w:rFonts w:ascii="Times New Roman" w:hAnsi="Times New Roman" w:eastAsia="宋体" w:cs="Times New Roman"/>
      <w:kern w:val="2"/>
      <w:sz w:val="21"/>
      <w:lang w:val="en-US" w:eastAsia="zh-CN" w:bidi="ar-SA"/>
    </w:rPr>
  </w:style>
  <w:style w:type="paragraph" w:styleId="208">
    <w:name w:val="No Spacing"/>
    <w:qFormat/>
    <w:uiPriority w:val="0"/>
    <w:pPr>
      <w:widowControl w:val="0"/>
      <w:jc w:val="both"/>
    </w:pPr>
    <w:rPr>
      <w:rFonts w:ascii="Calibri" w:hAnsi="Calibri" w:eastAsia="Calibri" w:cs="Calibri"/>
      <w:color w:val="000000"/>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54AEED-12B0-42E6-924A-7C85BCB4F5D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67</Pages>
  <Words>29581</Words>
  <Characters>30497</Characters>
  <Lines>257</Lines>
  <Paragraphs>72</Paragraphs>
  <TotalTime>11</TotalTime>
  <ScaleCrop>false</ScaleCrop>
  <LinksUpToDate>false</LinksUpToDate>
  <CharactersWithSpaces>32425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2022-03-14T09:24:00Z</dcterms:created>
  <dc:creator>郑晓伟</dc:creator>
  <cp:lastModifiedBy>wish</cp:lastModifiedBy>
  <cp:lastPrinted>2022-03-18T13:03:00Z</cp:lastPrinted>
  <dcterms:modified xsi:type="dcterms:W3CDTF">2022-10-12T01:14:43Z</dcterms:modified>
  <dc:title>前海时代项目定位及物业发展建议研究服务项目比选文件</dc:title>
  <cp:revision>318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07A14AFAD2F4451DB596674A99AA70A2</vt:lpwstr>
  </property>
</Properties>
</file>