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附件2</w:t>
      </w:r>
    </w:p>
    <w:p>
      <w:pPr>
        <w:spacing w:line="560" w:lineRule="exact"/>
        <w:ind w:firstLine="663" w:firstLineChars="150"/>
        <w:jc w:val="center"/>
        <w:rPr>
          <w:rFonts w:ascii="宋体" w:hAnsi="宋体" w:cs="宋体"/>
          <w:b/>
          <w:sz w:val="44"/>
          <w:szCs w:val="44"/>
        </w:rPr>
      </w:pPr>
      <w:r>
        <w:rPr>
          <w:rFonts w:hint="eastAsia" w:ascii="宋体" w:hAnsi="宋体" w:cs="宋体"/>
          <w:b/>
          <w:sz w:val="44"/>
          <w:szCs w:val="44"/>
        </w:rPr>
        <w:t>深圳地铁置业集团有限公司</w:t>
      </w:r>
    </w:p>
    <w:p>
      <w:pPr>
        <w:spacing w:line="560" w:lineRule="exact"/>
        <w:ind w:firstLine="663" w:firstLineChars="150"/>
        <w:jc w:val="center"/>
        <w:rPr>
          <w:rFonts w:ascii="宋体" w:hAnsi="宋体" w:cs="宋体"/>
          <w:b/>
          <w:sz w:val="44"/>
          <w:szCs w:val="44"/>
        </w:rPr>
      </w:pPr>
      <w:bookmarkStart w:id="0" w:name="_GoBack"/>
      <w:r>
        <w:rPr>
          <w:rFonts w:hint="eastAsia" w:ascii="宋体" w:hAnsi="宋体" w:cs="宋体"/>
          <w:b/>
          <w:sz w:val="44"/>
          <w:szCs w:val="44"/>
        </w:rPr>
        <w:t>工程维修管理工作指引</w:t>
      </w:r>
    </w:p>
    <w:bookmarkEnd w:id="0"/>
    <w:p>
      <w:pPr>
        <w:spacing w:line="480" w:lineRule="exact"/>
        <w:contextualSpacing/>
        <w:jc w:val="center"/>
        <w:rPr>
          <w:rFonts w:ascii="Times New Roman" w:hAnsi="Times New Roman"/>
          <w:bCs/>
          <w:caps/>
          <w:smallCaps/>
          <w:sz w:val="44"/>
          <w:szCs w:val="30"/>
        </w:rPr>
      </w:pPr>
    </w:p>
    <w:p>
      <w:pPr>
        <w:pStyle w:val="4"/>
        <w:numPr>
          <w:ilvl w:val="0"/>
          <w:numId w:val="1"/>
        </w:numPr>
        <w:spacing w:line="360" w:lineRule="auto"/>
        <w:ind w:firstLineChars="0"/>
        <w:rPr>
          <w:rFonts w:ascii="宋体" w:hAnsi="宋体" w:cs="宋体"/>
          <w:b/>
          <w:sz w:val="24"/>
          <w:szCs w:val="24"/>
        </w:rPr>
      </w:pPr>
      <w:r>
        <w:rPr>
          <w:rFonts w:hint="eastAsia" w:ascii="宋体" w:hAnsi="宋体" w:cs="宋体"/>
          <w:b/>
          <w:sz w:val="24"/>
          <w:szCs w:val="24"/>
        </w:rPr>
        <w:t>目的</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规范深圳地铁置业集团有限公司（以下简称“公司”）工程项目竣工验收通过后的维保、维修等事务的处理流程，以确保快速、高效地处理工程维修事务。</w:t>
      </w:r>
    </w:p>
    <w:p>
      <w:pPr>
        <w:adjustRightInd w:val="0"/>
        <w:spacing w:line="480" w:lineRule="exact"/>
        <w:ind w:left="424" w:leftChars="202"/>
        <w:contextualSpacing/>
        <w:rPr>
          <w:rFonts w:ascii="宋体" w:hAnsi="宋体"/>
          <w:bCs/>
          <w:sz w:val="24"/>
          <w:szCs w:val="21"/>
        </w:rPr>
      </w:pPr>
    </w:p>
    <w:p>
      <w:pPr>
        <w:pStyle w:val="4"/>
        <w:numPr>
          <w:ilvl w:val="0"/>
          <w:numId w:val="1"/>
        </w:numPr>
        <w:spacing w:line="360" w:lineRule="auto"/>
        <w:ind w:firstLineChars="0"/>
        <w:rPr>
          <w:rFonts w:ascii="宋体" w:hAnsi="宋体" w:cs="宋体"/>
          <w:b/>
          <w:sz w:val="24"/>
          <w:szCs w:val="24"/>
        </w:rPr>
      </w:pPr>
      <w:r>
        <w:rPr>
          <w:rFonts w:hint="eastAsia" w:ascii="宋体" w:hAnsi="宋体" w:cs="宋体"/>
          <w:b/>
          <w:sz w:val="24"/>
          <w:szCs w:val="24"/>
        </w:rPr>
        <w:t>适用范围</w:t>
      </w:r>
    </w:p>
    <w:p>
      <w:pPr>
        <w:adjustRightInd w:val="0"/>
        <w:snapToGrid w:val="0"/>
        <w:spacing w:line="480" w:lineRule="exact"/>
        <w:ind w:left="368" w:leftChars="175"/>
        <w:rPr>
          <w:rFonts w:ascii="宋体" w:hAnsi="宋体"/>
          <w:color w:val="FF0000"/>
          <w:sz w:val="24"/>
        </w:rPr>
      </w:pPr>
      <w:r>
        <w:rPr>
          <w:rFonts w:hint="eastAsia" w:ascii="宋体" w:hAnsi="宋体"/>
          <w:bCs/>
          <w:sz w:val="24"/>
          <w:szCs w:val="21"/>
        </w:rPr>
        <w:t>本指引适用于公司</w:t>
      </w:r>
      <w:r>
        <w:rPr>
          <w:rFonts w:hint="eastAsia"/>
          <w:sz w:val="24"/>
          <w:szCs w:val="24"/>
        </w:rPr>
        <w:t>本部、</w:t>
      </w:r>
      <w:r>
        <w:rPr>
          <w:rFonts w:hint="eastAsia"/>
          <w:sz w:val="24"/>
        </w:rPr>
        <w:t>下属公司及受托管理公司所</w:t>
      </w:r>
      <w:r>
        <w:rPr>
          <w:sz w:val="24"/>
        </w:rPr>
        <w:t>管辖</w:t>
      </w:r>
      <w:r>
        <w:rPr>
          <w:rFonts w:hint="eastAsia"/>
          <w:sz w:val="24"/>
        </w:rPr>
        <w:t>的</w:t>
      </w:r>
      <w:r>
        <w:rPr>
          <w:sz w:val="24"/>
        </w:rPr>
        <w:t>自主开发项目</w:t>
      </w:r>
      <w:r>
        <w:rPr>
          <w:rFonts w:hint="eastAsia" w:ascii="宋体" w:hAnsi="宋体"/>
          <w:bCs/>
          <w:sz w:val="24"/>
          <w:szCs w:val="21"/>
        </w:rPr>
        <w:t>（含保障房），</w:t>
      </w:r>
      <w:r>
        <w:rPr>
          <w:rFonts w:hint="eastAsia"/>
          <w:sz w:val="24"/>
        </w:rPr>
        <w:t>所管辖</w:t>
      </w:r>
      <w:r>
        <w:rPr>
          <w:sz w:val="24"/>
        </w:rPr>
        <w:t>的</w:t>
      </w:r>
      <w:r>
        <w:rPr>
          <w:rFonts w:ascii="宋体" w:hAnsi="宋体"/>
          <w:sz w:val="24"/>
        </w:rPr>
        <w:t>合作开发</w:t>
      </w:r>
      <w:r>
        <w:rPr>
          <w:rFonts w:hint="eastAsia" w:ascii="宋体" w:hAnsi="宋体"/>
          <w:sz w:val="24"/>
        </w:rPr>
        <w:t>项目可</w:t>
      </w:r>
      <w:r>
        <w:rPr>
          <w:rFonts w:ascii="宋体" w:hAnsi="宋体"/>
          <w:sz w:val="24"/>
        </w:rPr>
        <w:t>参照执行</w:t>
      </w:r>
      <w:r>
        <w:rPr>
          <w:rFonts w:hint="eastAsia" w:ascii="宋体" w:hAnsi="宋体"/>
          <w:sz w:val="24"/>
        </w:rPr>
        <w:t>。</w:t>
      </w:r>
    </w:p>
    <w:p>
      <w:pPr>
        <w:adjustRightInd w:val="0"/>
        <w:spacing w:line="480" w:lineRule="exact"/>
        <w:contextualSpacing/>
        <w:rPr>
          <w:rFonts w:ascii="宋体" w:hAnsi="宋体"/>
          <w:bCs/>
          <w:sz w:val="24"/>
          <w:szCs w:val="21"/>
        </w:rPr>
      </w:pPr>
    </w:p>
    <w:p>
      <w:pPr>
        <w:pStyle w:val="4"/>
        <w:numPr>
          <w:ilvl w:val="0"/>
          <w:numId w:val="1"/>
        </w:numPr>
        <w:spacing w:line="360" w:lineRule="auto"/>
        <w:ind w:firstLineChars="0"/>
        <w:rPr>
          <w:rFonts w:ascii="宋体" w:hAnsi="宋体" w:cs="宋体"/>
          <w:b/>
          <w:sz w:val="24"/>
          <w:szCs w:val="24"/>
        </w:rPr>
      </w:pPr>
      <w:r>
        <w:rPr>
          <w:rFonts w:hint="eastAsia" w:ascii="宋体" w:hAnsi="宋体" w:cs="宋体"/>
          <w:b/>
          <w:sz w:val="24"/>
          <w:szCs w:val="24"/>
        </w:rPr>
        <w:t>术语和定义</w:t>
      </w:r>
    </w:p>
    <w:p>
      <w:pPr>
        <w:pStyle w:val="4"/>
        <w:numPr>
          <w:ilvl w:val="0"/>
          <w:numId w:val="2"/>
        </w:numPr>
        <w:adjustRightInd w:val="0"/>
        <w:spacing w:line="480" w:lineRule="exact"/>
        <w:ind w:firstLineChars="0"/>
        <w:contextualSpacing/>
        <w:rPr>
          <w:rFonts w:ascii="宋体" w:hAnsi="宋体" w:eastAsia="仿宋"/>
          <w:b/>
          <w:bCs/>
          <w:sz w:val="24"/>
          <w:szCs w:val="21"/>
        </w:rPr>
      </w:pPr>
      <w:r>
        <w:rPr>
          <w:rFonts w:hint="eastAsia" w:ascii="宋体" w:hAnsi="宋体"/>
          <w:b/>
          <w:bCs/>
          <w:sz w:val="24"/>
          <w:szCs w:val="21"/>
        </w:rPr>
        <w:t>项目的保修期</w:t>
      </w:r>
    </w:p>
    <w:p>
      <w:pPr>
        <w:pStyle w:val="4"/>
        <w:numPr>
          <w:ilvl w:val="2"/>
          <w:numId w:val="3"/>
        </w:numPr>
        <w:spacing w:line="360" w:lineRule="auto"/>
        <w:ind w:left="9" w:hanging="9" w:firstLineChars="0"/>
        <w:rPr>
          <w:rFonts w:ascii="宋体" w:hAnsi="宋体" w:cs="宋体"/>
          <w:sz w:val="24"/>
          <w:szCs w:val="24"/>
        </w:rPr>
      </w:pPr>
      <w:r>
        <w:rPr>
          <w:rFonts w:hint="eastAsia" w:ascii="宋体" w:hAnsi="宋体" w:cs="宋体"/>
          <w:sz w:val="24"/>
          <w:szCs w:val="24"/>
        </w:rPr>
        <w:t xml:space="preserve">承包单位对开发商的保修期指从竣工验收合格之日起至合同保修期满为止。 </w:t>
      </w:r>
    </w:p>
    <w:p>
      <w:pPr>
        <w:pStyle w:val="4"/>
        <w:numPr>
          <w:ilvl w:val="2"/>
          <w:numId w:val="3"/>
        </w:numPr>
        <w:spacing w:line="360" w:lineRule="auto"/>
        <w:ind w:left="9" w:hanging="9" w:firstLineChars="0"/>
        <w:rPr>
          <w:rFonts w:ascii="宋体" w:hAnsi="宋体" w:cs="宋体"/>
          <w:sz w:val="24"/>
          <w:szCs w:val="24"/>
        </w:rPr>
      </w:pPr>
      <w:r>
        <w:rPr>
          <w:rFonts w:hint="eastAsia" w:ascii="宋体" w:hAnsi="宋体" w:cs="宋体"/>
          <w:sz w:val="24"/>
          <w:szCs w:val="24"/>
        </w:rPr>
        <w:t>开发商对业主的保修期为房屋交付日起至国家规定的保修期限。</w:t>
      </w:r>
    </w:p>
    <w:p>
      <w:pPr>
        <w:pStyle w:val="4"/>
        <w:numPr>
          <w:ilvl w:val="2"/>
          <w:numId w:val="3"/>
        </w:numPr>
        <w:spacing w:line="360" w:lineRule="auto"/>
        <w:ind w:left="9" w:hanging="9" w:firstLineChars="0"/>
        <w:rPr>
          <w:rFonts w:ascii="宋体" w:hAnsi="宋体" w:cs="宋体"/>
          <w:sz w:val="24"/>
          <w:szCs w:val="24"/>
        </w:rPr>
      </w:pPr>
      <w:r>
        <w:rPr>
          <w:rFonts w:hint="eastAsia" w:ascii="宋体" w:hAnsi="宋体" w:cs="宋体"/>
          <w:sz w:val="24"/>
          <w:szCs w:val="24"/>
        </w:rPr>
        <w:t xml:space="preserve">除满足上述的保修期限外，项目竣工验收合格之日起至房屋交付日时间差的保修  </w:t>
      </w:r>
    </w:p>
    <w:p>
      <w:pPr>
        <w:pStyle w:val="4"/>
        <w:spacing w:line="360" w:lineRule="auto"/>
        <w:ind w:firstLine="840" w:firstLineChars="350"/>
        <w:rPr>
          <w:rFonts w:ascii="宋体" w:hAnsi="宋体" w:cs="宋体"/>
          <w:sz w:val="24"/>
          <w:szCs w:val="24"/>
        </w:rPr>
      </w:pPr>
      <w:r>
        <w:rPr>
          <w:rFonts w:hint="eastAsia" w:ascii="宋体" w:hAnsi="宋体" w:cs="宋体"/>
          <w:sz w:val="24"/>
          <w:szCs w:val="24"/>
        </w:rPr>
        <w:t>仍由开发商承担。</w:t>
      </w:r>
    </w:p>
    <w:p>
      <w:pPr>
        <w:pStyle w:val="4"/>
        <w:numPr>
          <w:ilvl w:val="0"/>
          <w:numId w:val="2"/>
        </w:numPr>
        <w:adjustRightInd w:val="0"/>
        <w:spacing w:line="480" w:lineRule="exact"/>
        <w:ind w:firstLineChars="0"/>
        <w:contextualSpacing/>
        <w:rPr>
          <w:rFonts w:ascii="宋体" w:hAnsi="宋体"/>
          <w:b/>
          <w:bCs/>
          <w:sz w:val="24"/>
          <w:szCs w:val="21"/>
        </w:rPr>
      </w:pPr>
      <w:r>
        <w:rPr>
          <w:rFonts w:hint="eastAsia" w:ascii="宋体" w:hAnsi="宋体"/>
          <w:b/>
          <w:bCs/>
          <w:sz w:val="24"/>
          <w:szCs w:val="21"/>
        </w:rPr>
        <w:t>维修项目</w:t>
      </w:r>
    </w:p>
    <w:p>
      <w:pPr>
        <w:pStyle w:val="4"/>
        <w:numPr>
          <w:ilvl w:val="2"/>
          <w:numId w:val="4"/>
        </w:numPr>
        <w:spacing w:line="360" w:lineRule="auto"/>
        <w:ind w:left="9" w:hanging="9" w:firstLineChars="0"/>
        <w:rPr>
          <w:rFonts w:ascii="宋体" w:hAnsi="宋体" w:cs="宋体"/>
          <w:sz w:val="24"/>
          <w:szCs w:val="24"/>
        </w:rPr>
      </w:pPr>
      <w:r>
        <w:rPr>
          <w:rFonts w:hint="eastAsia" w:ascii="宋体" w:hAnsi="宋体" w:cs="宋体"/>
          <w:sz w:val="24"/>
          <w:szCs w:val="24"/>
        </w:rPr>
        <w:t>正常维修工程：指有计划进行的维修工作。</w:t>
      </w:r>
    </w:p>
    <w:p>
      <w:pPr>
        <w:pStyle w:val="4"/>
        <w:numPr>
          <w:ilvl w:val="2"/>
          <w:numId w:val="4"/>
        </w:numPr>
        <w:spacing w:line="360" w:lineRule="auto"/>
        <w:ind w:left="794" w:hanging="794" w:firstLineChars="0"/>
        <w:rPr>
          <w:rFonts w:ascii="宋体" w:hAnsi="宋体" w:cs="宋体"/>
          <w:sz w:val="24"/>
          <w:szCs w:val="24"/>
        </w:rPr>
      </w:pPr>
      <w:r>
        <w:rPr>
          <w:rFonts w:hint="eastAsia" w:ascii="宋体" w:hAnsi="宋体" w:cs="宋体"/>
          <w:sz w:val="24"/>
          <w:szCs w:val="24"/>
        </w:rPr>
        <w:t>紧急维修工程：指因相关事项一定程度上影响住户正常生活、经营，须立刻进行维修的项目。</w:t>
      </w:r>
    </w:p>
    <w:p>
      <w:pPr>
        <w:pStyle w:val="4"/>
        <w:numPr>
          <w:ilvl w:val="2"/>
          <w:numId w:val="4"/>
        </w:numPr>
        <w:spacing w:line="360" w:lineRule="auto"/>
        <w:ind w:left="794" w:hanging="794" w:firstLineChars="0"/>
        <w:rPr>
          <w:rFonts w:ascii="宋体" w:hAnsi="宋体" w:cs="宋体"/>
          <w:sz w:val="24"/>
          <w:szCs w:val="24"/>
        </w:rPr>
      </w:pPr>
      <w:r>
        <w:rPr>
          <w:rFonts w:hint="eastAsia" w:ascii="宋体" w:hAnsi="宋体" w:cs="宋体"/>
          <w:sz w:val="24"/>
          <w:szCs w:val="24"/>
        </w:rPr>
        <w:t>抢修工程：指相关事项涉及人身安全、公共安全，对社会生活影响较大，必须立刻进行维修的项目。</w:t>
      </w:r>
    </w:p>
    <w:p>
      <w:pPr>
        <w:pStyle w:val="4"/>
        <w:numPr>
          <w:ilvl w:val="0"/>
          <w:numId w:val="2"/>
        </w:numPr>
        <w:adjustRightInd w:val="0"/>
        <w:spacing w:line="480" w:lineRule="exact"/>
        <w:ind w:firstLineChars="0"/>
        <w:contextualSpacing/>
        <w:rPr>
          <w:rFonts w:ascii="宋体" w:hAnsi="宋体"/>
          <w:b/>
          <w:bCs/>
          <w:sz w:val="24"/>
          <w:szCs w:val="21"/>
        </w:rPr>
      </w:pPr>
      <w:r>
        <w:rPr>
          <w:rFonts w:hint="eastAsia" w:ascii="宋体" w:hAnsi="宋体"/>
          <w:b/>
          <w:bCs/>
          <w:sz w:val="24"/>
          <w:szCs w:val="21"/>
        </w:rPr>
        <w:t>重大维修事项</w:t>
      </w:r>
    </w:p>
    <w:p>
      <w:pPr>
        <w:pStyle w:val="4"/>
        <w:numPr>
          <w:ilvl w:val="2"/>
          <w:numId w:val="5"/>
        </w:numPr>
        <w:spacing w:line="360" w:lineRule="auto"/>
        <w:ind w:left="794" w:hanging="794" w:firstLineChars="0"/>
        <w:rPr>
          <w:rFonts w:ascii="宋体" w:hAnsi="宋体" w:cs="宋体"/>
          <w:sz w:val="24"/>
          <w:szCs w:val="24"/>
        </w:rPr>
      </w:pPr>
      <w:r>
        <w:rPr>
          <w:rFonts w:hint="eastAsia" w:ascii="宋体" w:hAnsi="宋体" w:cs="宋体"/>
          <w:sz w:val="24"/>
          <w:szCs w:val="24"/>
        </w:rPr>
        <w:t>重大系统性问题，如大量渗漏水问题、大量墙纸发霉问题、空鼓开裂等。</w:t>
      </w:r>
    </w:p>
    <w:p>
      <w:pPr>
        <w:pStyle w:val="4"/>
        <w:numPr>
          <w:ilvl w:val="2"/>
          <w:numId w:val="5"/>
        </w:numPr>
        <w:spacing w:line="360" w:lineRule="auto"/>
        <w:ind w:left="794" w:hanging="794" w:firstLineChars="0"/>
        <w:rPr>
          <w:rFonts w:ascii="宋体" w:hAnsi="宋体" w:cs="宋体"/>
          <w:sz w:val="24"/>
          <w:szCs w:val="24"/>
        </w:rPr>
      </w:pPr>
      <w:r>
        <w:rPr>
          <w:rFonts w:hint="eastAsia" w:ascii="宋体" w:hAnsi="宋体" w:cs="宋体"/>
          <w:sz w:val="24"/>
          <w:szCs w:val="24"/>
        </w:rPr>
        <w:t>对于工艺复杂、施工难度大的维修任务。</w:t>
      </w:r>
    </w:p>
    <w:p>
      <w:pPr>
        <w:pStyle w:val="4"/>
        <w:numPr>
          <w:ilvl w:val="2"/>
          <w:numId w:val="5"/>
        </w:numPr>
        <w:spacing w:line="360" w:lineRule="auto"/>
        <w:ind w:left="794" w:hanging="794" w:firstLineChars="0"/>
        <w:rPr>
          <w:rFonts w:ascii="宋体" w:hAnsi="宋体" w:cs="宋体"/>
          <w:sz w:val="24"/>
          <w:szCs w:val="24"/>
        </w:rPr>
      </w:pPr>
      <w:r>
        <w:rPr>
          <w:rFonts w:hint="eastAsia" w:ascii="宋体" w:hAnsi="宋体" w:cs="宋体"/>
          <w:sz w:val="24"/>
          <w:szCs w:val="24"/>
        </w:rPr>
        <w:t>同部位、同一问题发生2次以上的重复维修。</w:t>
      </w:r>
    </w:p>
    <w:p>
      <w:pPr>
        <w:pStyle w:val="4"/>
        <w:numPr>
          <w:ilvl w:val="2"/>
          <w:numId w:val="5"/>
        </w:numPr>
        <w:spacing w:line="360" w:lineRule="auto"/>
        <w:ind w:left="794" w:hanging="794" w:firstLineChars="0"/>
        <w:rPr>
          <w:rFonts w:ascii="宋体" w:hAnsi="宋体" w:cs="宋体"/>
          <w:sz w:val="24"/>
          <w:szCs w:val="24"/>
        </w:rPr>
      </w:pPr>
      <w:r>
        <w:rPr>
          <w:rFonts w:hint="eastAsia" w:ascii="宋体" w:hAnsi="宋体" w:cs="宋体"/>
          <w:sz w:val="24"/>
          <w:szCs w:val="24"/>
        </w:rPr>
        <w:t>维修金额大于5万元的维修事项。</w:t>
      </w:r>
    </w:p>
    <w:p>
      <w:pPr>
        <w:pStyle w:val="4"/>
        <w:spacing w:line="360" w:lineRule="auto"/>
        <w:ind w:firstLine="0" w:firstLineChars="0"/>
        <w:rPr>
          <w:rFonts w:ascii="宋体" w:hAnsi="宋体" w:cs="宋体"/>
          <w:b/>
          <w:sz w:val="24"/>
          <w:szCs w:val="24"/>
        </w:rPr>
      </w:pPr>
      <w:r>
        <w:rPr>
          <w:rFonts w:hint="eastAsia" w:ascii="宋体" w:hAnsi="宋体" w:cs="宋体"/>
          <w:sz w:val="24"/>
          <w:szCs w:val="24"/>
        </w:rPr>
        <w:t>3.4</w:t>
      </w:r>
      <w:r>
        <w:rPr>
          <w:rFonts w:hint="eastAsia" w:ascii="宋体" w:hAnsi="宋体" w:cs="宋体"/>
          <w:b/>
          <w:sz w:val="24"/>
          <w:szCs w:val="24"/>
        </w:rPr>
        <w:t>维修工作类型</w:t>
      </w:r>
    </w:p>
    <w:p>
      <w:pPr>
        <w:ind w:left="904" w:leftChars="202" w:hanging="480" w:hangingChars="200"/>
        <w:rPr>
          <w:rFonts w:ascii="宋体" w:hAnsi="宋体"/>
          <w:bCs/>
          <w:sz w:val="24"/>
          <w:szCs w:val="21"/>
        </w:rPr>
      </w:pPr>
      <w:r>
        <w:rPr>
          <w:rFonts w:hint="eastAsia" w:ascii="宋体" w:hAnsi="宋体"/>
          <w:bCs/>
          <w:sz w:val="24"/>
          <w:szCs w:val="21"/>
        </w:rPr>
        <w:t>根据维修特点，分三种类型维修程序，其内容及适用范围如下：</w:t>
      </w:r>
    </w:p>
    <w:p>
      <w:pPr>
        <w:rPr>
          <w:rFonts w:ascii="宋体" w:hAnsi="宋体"/>
          <w:b/>
          <w:bCs/>
          <w:sz w:val="24"/>
          <w:szCs w:val="21"/>
        </w:rPr>
      </w:pPr>
      <w:r>
        <w:rPr>
          <w:rFonts w:hint="eastAsia" w:ascii="宋体" w:hAnsi="宋体"/>
          <w:bCs/>
          <w:sz w:val="24"/>
          <w:szCs w:val="21"/>
        </w:rPr>
        <w:t>3.4.1</w:t>
      </w:r>
      <w:r>
        <w:rPr>
          <w:rFonts w:hint="eastAsia" w:ascii="宋体" w:hAnsi="宋体"/>
          <w:b/>
          <w:bCs/>
          <w:sz w:val="24"/>
          <w:szCs w:val="21"/>
        </w:rPr>
        <w:t>快捷维修</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是指维修责任明确、不需制定维修方案的维修，也包括影响客户正常使用功能的紧急维修工程（如电梯、扶梯等）、抢修工程，由客服或物业直接派单给施工单位进行维修。</w:t>
      </w:r>
    </w:p>
    <w:p>
      <w:pPr>
        <w:pStyle w:val="4"/>
        <w:adjustRightInd w:val="0"/>
        <w:spacing w:line="480" w:lineRule="exact"/>
        <w:ind w:firstLine="0" w:firstLineChars="0"/>
        <w:contextualSpacing/>
        <w:rPr>
          <w:rFonts w:ascii="宋体" w:hAnsi="宋体"/>
          <w:b/>
          <w:bCs/>
          <w:sz w:val="24"/>
          <w:szCs w:val="21"/>
        </w:rPr>
      </w:pPr>
      <w:r>
        <w:rPr>
          <w:rFonts w:hint="eastAsia" w:ascii="宋体" w:hAnsi="宋体"/>
          <w:b/>
          <w:bCs/>
          <w:sz w:val="24"/>
          <w:szCs w:val="21"/>
        </w:rPr>
        <w:t>3.4.2正常维修</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是指除快捷方式和非正常程序范围之外的正常维修工程和重大维修事项。</w:t>
      </w:r>
    </w:p>
    <w:p>
      <w:pPr>
        <w:pStyle w:val="4"/>
        <w:adjustRightInd w:val="0"/>
        <w:spacing w:line="480" w:lineRule="exact"/>
        <w:ind w:firstLine="0" w:firstLineChars="0"/>
        <w:contextualSpacing/>
        <w:outlineLvl w:val="0"/>
        <w:rPr>
          <w:rFonts w:ascii="宋体" w:hAnsi="宋体" w:eastAsia="仿宋"/>
          <w:b/>
          <w:bCs/>
          <w:color w:val="000000"/>
          <w:sz w:val="24"/>
          <w:szCs w:val="21"/>
        </w:rPr>
      </w:pPr>
      <w:r>
        <w:rPr>
          <w:rFonts w:hint="eastAsia" w:ascii="宋体" w:hAnsi="宋体"/>
          <w:b/>
          <w:bCs/>
          <w:sz w:val="24"/>
          <w:szCs w:val="21"/>
        </w:rPr>
        <w:t>3.4.3非正常维修（即启动第三方维修）</w:t>
      </w:r>
    </w:p>
    <w:p>
      <w:pPr>
        <w:adjustRightInd w:val="0"/>
        <w:spacing w:line="480" w:lineRule="exact"/>
        <w:ind w:left="424" w:leftChars="202"/>
        <w:contextualSpacing/>
        <w:rPr>
          <w:rFonts w:ascii="宋体" w:hAnsi="宋体" w:cs="宋体"/>
          <w:sz w:val="24"/>
          <w:szCs w:val="24"/>
        </w:rPr>
      </w:pPr>
      <w:r>
        <w:rPr>
          <w:rFonts w:hint="eastAsia" w:ascii="宋体" w:hAnsi="宋体"/>
          <w:bCs/>
          <w:sz w:val="24"/>
          <w:szCs w:val="21"/>
        </w:rPr>
        <w:t>是指需启动第三方维修的程序，主要范围包括：</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1）施工单位维修不力：</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（1） 接到我司维修通知（书面）拒不到现场处理问题；</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（2） 超过约定的到场时间（维修单要求时间）后仍未赶到现场；</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（3） 超过规定的时间仍未完成有关工程维修任务，且不主动向我司报告故意拖延；</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（4） 对同一位置经过两次维修仍未解决造成投诉的；</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（5） 因维修人员服务行为造成客户强烈投诉；</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（6） 在工程质量缺陷处理过程中有不负责任的做法、使用不合格的维修材料、偷工减料行为；</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（7） 维修标准达不到规范及我司要求。</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2）存在设计缺陷需整改且维修金额不超过直接委托标准的。</w:t>
      </w:r>
    </w:p>
    <w:p>
      <w:pPr>
        <w:adjustRightInd w:val="0"/>
        <w:spacing w:line="480" w:lineRule="exact"/>
        <w:ind w:left="424" w:leftChars="202"/>
        <w:contextualSpacing/>
      </w:pPr>
      <w:r>
        <w:rPr>
          <w:rFonts w:hint="eastAsia" w:ascii="宋体" w:hAnsi="宋体"/>
          <w:bCs/>
          <w:sz w:val="24"/>
          <w:szCs w:val="21"/>
        </w:rPr>
        <w:t>3）施工单位保修期已过，尚在开发商承诺保修期内的。</w:t>
      </w:r>
    </w:p>
    <w:p>
      <w:pPr>
        <w:pStyle w:val="4"/>
        <w:adjustRightInd w:val="0"/>
        <w:spacing w:line="480" w:lineRule="exact"/>
        <w:ind w:firstLine="0" w:firstLineChars="0"/>
        <w:contextualSpacing/>
        <w:rPr>
          <w:rFonts w:ascii="宋体" w:hAnsi="宋体"/>
          <w:b/>
          <w:bCs/>
          <w:sz w:val="24"/>
          <w:szCs w:val="21"/>
        </w:rPr>
      </w:pPr>
      <w:r>
        <w:rPr>
          <w:rFonts w:hint="eastAsia" w:ascii="宋体" w:hAnsi="宋体"/>
          <w:b/>
          <w:bCs/>
          <w:sz w:val="24"/>
          <w:szCs w:val="21"/>
        </w:rPr>
        <w:t>3.5设计缺陷</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指产品在最初设计时由于未考虑全面，而使产品在使用中存在的一些潜在的缺陷而必须整改的内容。</w:t>
      </w:r>
    </w:p>
    <w:p>
      <w:pPr>
        <w:pStyle w:val="4"/>
        <w:adjustRightInd w:val="0"/>
        <w:spacing w:line="480" w:lineRule="exact"/>
        <w:ind w:firstLine="0" w:firstLineChars="0"/>
        <w:contextualSpacing/>
        <w:rPr>
          <w:rFonts w:ascii="宋体" w:hAnsi="宋体"/>
          <w:b/>
          <w:bCs/>
          <w:sz w:val="24"/>
          <w:szCs w:val="21"/>
        </w:rPr>
      </w:pPr>
      <w:r>
        <w:rPr>
          <w:rFonts w:hint="eastAsia" w:ascii="宋体" w:hAnsi="宋体"/>
          <w:b/>
          <w:bCs/>
          <w:sz w:val="24"/>
          <w:szCs w:val="21"/>
        </w:rPr>
        <w:t>3.6部门及单位</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物业管理公司（简称物业）是指具有相应资质条件、经营物业管理业务的公司及其项目物业管理处；其他有关部门未特别说明的，均指公司所属部门。</w:t>
      </w:r>
    </w:p>
    <w:p>
      <w:pPr>
        <w:adjustRightInd w:val="0"/>
        <w:spacing w:line="480" w:lineRule="exact"/>
        <w:ind w:left="424" w:leftChars="202"/>
        <w:contextualSpacing/>
        <w:rPr>
          <w:rFonts w:ascii="宋体" w:hAnsi="宋体"/>
          <w:bCs/>
          <w:sz w:val="24"/>
          <w:szCs w:val="21"/>
        </w:rPr>
      </w:pPr>
    </w:p>
    <w:p>
      <w:pPr>
        <w:pStyle w:val="4"/>
        <w:numPr>
          <w:ilvl w:val="0"/>
          <w:numId w:val="1"/>
        </w:numPr>
        <w:spacing w:line="360" w:lineRule="auto"/>
        <w:ind w:firstLineChars="0"/>
        <w:outlineLvl w:val="0"/>
        <w:rPr>
          <w:rFonts w:ascii="宋体" w:hAnsi="宋体" w:cs="宋体"/>
          <w:b/>
          <w:sz w:val="24"/>
          <w:szCs w:val="24"/>
        </w:rPr>
      </w:pPr>
      <w:r>
        <w:rPr>
          <w:rFonts w:hint="eastAsia" w:ascii="宋体" w:hAnsi="宋体" w:cs="宋体"/>
          <w:b/>
          <w:sz w:val="24"/>
          <w:szCs w:val="24"/>
        </w:rPr>
        <w:t>职责</w:t>
      </w:r>
    </w:p>
    <w:p>
      <w:pPr>
        <w:pStyle w:val="4"/>
        <w:adjustRightInd w:val="0"/>
        <w:spacing w:line="480" w:lineRule="exact"/>
        <w:ind w:firstLine="0" w:firstLineChars="0"/>
        <w:contextualSpacing/>
        <w:rPr>
          <w:rFonts w:ascii="宋体" w:hAnsi="宋体" w:cs="宋体"/>
          <w:sz w:val="24"/>
          <w:szCs w:val="24"/>
        </w:rPr>
      </w:pPr>
      <w:r>
        <w:rPr>
          <w:rFonts w:hint="eastAsia" w:ascii="宋体" w:hAnsi="宋体"/>
          <w:b/>
          <w:bCs/>
          <w:sz w:val="24"/>
          <w:szCs w:val="21"/>
        </w:rPr>
        <w:t>4.1快捷维修：</w:t>
      </w:r>
    </w:p>
    <w:p>
      <w:pPr>
        <w:pStyle w:val="4"/>
        <w:spacing w:line="360" w:lineRule="auto"/>
        <w:ind w:left="720" w:hanging="720" w:hangingChars="300"/>
        <w:outlineLvl w:val="0"/>
        <w:rPr>
          <w:rFonts w:ascii="宋体" w:hAnsi="宋体" w:cs="宋体"/>
          <w:sz w:val="24"/>
          <w:szCs w:val="24"/>
        </w:rPr>
      </w:pPr>
      <w:r>
        <w:rPr>
          <w:rFonts w:hint="eastAsia" w:ascii="宋体" w:hAnsi="宋体" w:cs="宋体"/>
          <w:sz w:val="24"/>
          <w:szCs w:val="24"/>
        </w:rPr>
        <w:t>4.1.1客户服务部：受理客户投诉，并判定维修类型；负责快捷维修派单；负责维修结果的回访、反馈。</w:t>
      </w:r>
    </w:p>
    <w:p>
      <w:pPr>
        <w:pStyle w:val="4"/>
        <w:spacing w:line="360" w:lineRule="auto"/>
        <w:ind w:left="720" w:hanging="720" w:hangingChars="300"/>
        <w:outlineLvl w:val="0"/>
        <w:rPr>
          <w:rFonts w:ascii="宋体" w:hAnsi="宋体" w:cs="宋体"/>
          <w:sz w:val="24"/>
          <w:szCs w:val="24"/>
        </w:rPr>
      </w:pPr>
      <w:r>
        <w:rPr>
          <w:rFonts w:hint="eastAsia" w:ascii="宋体" w:hAnsi="宋体" w:cs="宋体"/>
          <w:sz w:val="24"/>
          <w:szCs w:val="24"/>
        </w:rPr>
        <w:t>4.1.2物业公司：由公司委托物业管理公司全程负责管理，包括与客户对接、派单、过程管理和验收、交付等工作。</w:t>
      </w:r>
    </w:p>
    <w:p>
      <w:pPr>
        <w:pStyle w:val="4"/>
        <w:spacing w:line="360" w:lineRule="auto"/>
        <w:ind w:left="480" w:hanging="480" w:hangingChars="200"/>
        <w:outlineLvl w:val="0"/>
        <w:rPr>
          <w:rFonts w:ascii="宋体" w:hAnsi="宋体" w:cs="宋体"/>
          <w:sz w:val="24"/>
          <w:szCs w:val="24"/>
        </w:rPr>
      </w:pPr>
      <w:r>
        <w:rPr>
          <w:rFonts w:hint="eastAsia" w:ascii="宋体" w:hAnsi="宋体" w:cs="宋体"/>
          <w:sz w:val="24"/>
          <w:szCs w:val="24"/>
        </w:rPr>
        <w:t>4.1.3项目部：负责统筹快捷维修，包括验收、交付。</w:t>
      </w:r>
    </w:p>
    <w:p>
      <w:pPr>
        <w:pStyle w:val="4"/>
        <w:spacing w:line="360" w:lineRule="auto"/>
        <w:ind w:left="480" w:hanging="480" w:hangingChars="200"/>
        <w:outlineLvl w:val="0"/>
        <w:rPr>
          <w:rFonts w:ascii="宋体" w:hAnsi="宋体" w:cs="宋体"/>
          <w:sz w:val="24"/>
          <w:szCs w:val="24"/>
        </w:rPr>
      </w:pPr>
      <w:r>
        <w:rPr>
          <w:rFonts w:hint="eastAsia" w:ascii="宋体" w:hAnsi="宋体" w:cs="宋体"/>
          <w:sz w:val="24"/>
          <w:szCs w:val="24"/>
        </w:rPr>
        <w:t>4.1.4安监工程部：督促维修工作落实。</w:t>
      </w:r>
    </w:p>
    <w:p>
      <w:pPr>
        <w:pStyle w:val="4"/>
        <w:adjustRightInd w:val="0"/>
        <w:spacing w:line="480" w:lineRule="exact"/>
        <w:ind w:firstLine="0" w:firstLineChars="0"/>
        <w:contextualSpacing/>
        <w:rPr>
          <w:rFonts w:ascii="宋体" w:hAnsi="宋体" w:cs="宋体"/>
          <w:sz w:val="24"/>
          <w:szCs w:val="24"/>
        </w:rPr>
      </w:pPr>
      <w:r>
        <w:rPr>
          <w:rFonts w:hint="eastAsia" w:ascii="宋体" w:hAnsi="宋体"/>
          <w:b/>
          <w:bCs/>
          <w:sz w:val="24"/>
          <w:szCs w:val="21"/>
        </w:rPr>
        <w:t>4.2正常维修:</w:t>
      </w:r>
    </w:p>
    <w:p>
      <w:pPr>
        <w:pStyle w:val="4"/>
        <w:spacing w:line="360" w:lineRule="auto"/>
        <w:ind w:left="480" w:hanging="480" w:hangingChars="200"/>
        <w:rPr>
          <w:rFonts w:ascii="宋体" w:hAnsi="宋体" w:cs="宋体"/>
          <w:bCs/>
          <w:sz w:val="24"/>
          <w:szCs w:val="24"/>
        </w:rPr>
      </w:pPr>
      <w:r>
        <w:rPr>
          <w:rFonts w:hint="eastAsia" w:ascii="宋体" w:hAnsi="宋体" w:cs="宋体"/>
          <w:bCs/>
          <w:sz w:val="24"/>
          <w:szCs w:val="24"/>
        </w:rPr>
        <w:t>4.2.1客户服务部：</w:t>
      </w:r>
      <w:r>
        <w:rPr>
          <w:rFonts w:hint="eastAsia" w:ascii="宋体" w:hAnsi="宋体" w:cs="宋体"/>
          <w:sz w:val="24"/>
          <w:szCs w:val="24"/>
        </w:rPr>
        <w:t>受理客户投诉，并确定维修类型；负责维修结果的回访、反馈。</w:t>
      </w:r>
    </w:p>
    <w:p>
      <w:pPr>
        <w:pStyle w:val="4"/>
        <w:spacing w:line="360" w:lineRule="auto"/>
        <w:ind w:left="720" w:hanging="720" w:hangingChars="300"/>
        <w:rPr>
          <w:rFonts w:ascii="宋体" w:hAnsi="宋体" w:eastAsia="仿宋" w:cs="宋体"/>
          <w:bCs/>
          <w:sz w:val="24"/>
          <w:szCs w:val="24"/>
        </w:rPr>
      </w:pPr>
      <w:r>
        <w:rPr>
          <w:rFonts w:hint="eastAsia" w:ascii="宋体" w:hAnsi="宋体" w:cs="宋体"/>
          <w:bCs/>
          <w:sz w:val="24"/>
          <w:szCs w:val="24"/>
        </w:rPr>
        <w:t>4.2.2项目部：</w:t>
      </w:r>
      <w:r>
        <w:rPr>
          <w:rFonts w:hint="eastAsia" w:ascii="宋体" w:hAnsi="宋体" w:cs="宋体"/>
          <w:sz w:val="24"/>
          <w:szCs w:val="24"/>
        </w:rPr>
        <w:t>在项目部解散前，负责做好维保工作，包括施工单位的指派、维修、过程管控、验收及交付等工作。</w:t>
      </w:r>
    </w:p>
    <w:p>
      <w:pPr>
        <w:pStyle w:val="4"/>
        <w:spacing w:line="360" w:lineRule="auto"/>
        <w:ind w:left="720" w:hanging="720" w:hangingChars="300"/>
        <w:rPr>
          <w:rFonts w:ascii="宋体" w:hAnsi="宋体" w:cs="宋体"/>
          <w:bCs/>
          <w:sz w:val="24"/>
          <w:szCs w:val="24"/>
        </w:rPr>
      </w:pPr>
      <w:r>
        <w:rPr>
          <w:rFonts w:hint="eastAsia" w:ascii="宋体" w:hAnsi="宋体" w:cs="宋体"/>
          <w:bCs/>
          <w:sz w:val="24"/>
          <w:szCs w:val="24"/>
        </w:rPr>
        <w:t>4.2.3物业公司：</w:t>
      </w:r>
      <w:r>
        <w:rPr>
          <w:rFonts w:hint="eastAsia" w:ascii="宋体" w:hAnsi="宋体" w:cs="宋体"/>
          <w:sz w:val="24"/>
          <w:szCs w:val="24"/>
        </w:rPr>
        <w:t>配合做好相应的维保工作。主要负责与客户的对接及沟通协调、现场查勘、反馈信息，并协助做好现场监管、过程跟踪、验收、交付等工作；</w:t>
      </w:r>
    </w:p>
    <w:p>
      <w:pPr>
        <w:pStyle w:val="4"/>
        <w:spacing w:line="360" w:lineRule="auto"/>
        <w:ind w:left="480" w:hanging="480" w:hangingChars="200"/>
        <w:rPr>
          <w:rFonts w:ascii="宋体" w:hAnsi="宋体" w:eastAsia="仿宋" w:cs="宋体"/>
          <w:bCs/>
          <w:sz w:val="24"/>
          <w:szCs w:val="24"/>
        </w:rPr>
      </w:pPr>
      <w:r>
        <w:rPr>
          <w:rFonts w:hint="eastAsia" w:ascii="宋体" w:hAnsi="宋体" w:cs="宋体"/>
          <w:bCs/>
          <w:sz w:val="24"/>
          <w:szCs w:val="24"/>
        </w:rPr>
        <w:t>4.2.4安监工程部：</w:t>
      </w:r>
      <w:r>
        <w:rPr>
          <w:rFonts w:hint="eastAsia" w:ascii="宋体" w:hAnsi="宋体" w:cs="宋体"/>
          <w:sz w:val="24"/>
          <w:szCs w:val="24"/>
        </w:rPr>
        <w:t>在项目解散之后，负责做好维保工作。</w:t>
      </w:r>
    </w:p>
    <w:p>
      <w:pPr>
        <w:pStyle w:val="4"/>
        <w:spacing w:line="360" w:lineRule="auto"/>
        <w:ind w:left="720" w:hanging="720" w:hangingChars="300"/>
        <w:rPr>
          <w:rFonts w:ascii="宋体" w:hAnsi="宋体" w:cs="宋体"/>
          <w:sz w:val="24"/>
          <w:szCs w:val="24"/>
        </w:rPr>
      </w:pPr>
      <w:r>
        <w:rPr>
          <w:rFonts w:hint="eastAsia" w:ascii="宋体" w:hAnsi="宋体" w:cs="宋体"/>
          <w:bCs/>
          <w:sz w:val="24"/>
          <w:szCs w:val="24"/>
        </w:rPr>
        <w:t>4.2.5规划设计部：</w:t>
      </w:r>
      <w:r>
        <w:rPr>
          <w:rFonts w:hint="eastAsia" w:ascii="宋体" w:hAnsi="宋体" w:cs="宋体"/>
          <w:sz w:val="24"/>
          <w:szCs w:val="24"/>
        </w:rPr>
        <w:t>负责组织重大维修或设计缺陷整改有关的施工图出图；参与审核重大维修方案。</w:t>
      </w:r>
    </w:p>
    <w:p>
      <w:pPr>
        <w:pStyle w:val="4"/>
        <w:adjustRightInd w:val="0"/>
        <w:spacing w:line="480" w:lineRule="exact"/>
        <w:ind w:left="482" w:hanging="482" w:hangingChars="200"/>
        <w:contextualSpacing/>
        <w:rPr>
          <w:rFonts w:ascii="宋体" w:hAnsi="宋体"/>
          <w:b/>
          <w:bCs/>
          <w:sz w:val="24"/>
          <w:szCs w:val="21"/>
        </w:rPr>
      </w:pPr>
      <w:r>
        <w:rPr>
          <w:rFonts w:hint="eastAsia" w:ascii="宋体" w:hAnsi="宋体"/>
          <w:b/>
          <w:bCs/>
          <w:sz w:val="24"/>
          <w:szCs w:val="21"/>
        </w:rPr>
        <w:t>4.3非正常维修:</w:t>
      </w:r>
    </w:p>
    <w:p>
      <w:pPr>
        <w:spacing w:line="360" w:lineRule="auto"/>
        <w:ind w:left="480" w:hanging="480" w:hangingChars="200"/>
        <w:jc w:val="left"/>
        <w:rPr>
          <w:rFonts w:ascii="宋体" w:hAnsi="宋体" w:cs="宋体"/>
          <w:sz w:val="24"/>
          <w:szCs w:val="24"/>
        </w:rPr>
      </w:pPr>
      <w:r>
        <w:rPr>
          <w:rFonts w:hint="eastAsia" w:ascii="宋体" w:hAnsi="宋体" w:cs="宋体"/>
          <w:sz w:val="24"/>
          <w:szCs w:val="24"/>
        </w:rPr>
        <w:t>4.3.1客户服务部：受理客户投诉；负责维修结果的回访、反馈。</w:t>
      </w:r>
    </w:p>
    <w:p>
      <w:pPr>
        <w:pStyle w:val="4"/>
        <w:spacing w:line="360" w:lineRule="auto"/>
        <w:ind w:left="600" w:hanging="600" w:hangingChars="250"/>
        <w:rPr>
          <w:rFonts w:ascii="宋体" w:hAnsi="宋体" w:cs="宋体"/>
          <w:sz w:val="24"/>
          <w:szCs w:val="24"/>
        </w:rPr>
      </w:pPr>
      <w:r>
        <w:rPr>
          <w:rFonts w:hint="eastAsia" w:ascii="宋体" w:hAnsi="宋体" w:cs="宋体"/>
          <w:sz w:val="24"/>
          <w:szCs w:val="24"/>
        </w:rPr>
        <w:t>4.3.2物业公司：配合做好相应的维保工作。主要负责与客户的对接及沟通协调、现场查勘、反馈信息，并协助做好现场监管、过程跟踪、验收、交付等工作。</w:t>
      </w:r>
    </w:p>
    <w:p>
      <w:pPr>
        <w:pStyle w:val="4"/>
        <w:spacing w:line="360" w:lineRule="auto"/>
        <w:ind w:left="480" w:hanging="480" w:hangingChars="200"/>
        <w:rPr>
          <w:rFonts w:ascii="宋体" w:hAnsi="宋体" w:cs="宋体"/>
          <w:sz w:val="24"/>
          <w:szCs w:val="24"/>
        </w:rPr>
      </w:pPr>
      <w:r>
        <w:rPr>
          <w:rFonts w:hint="eastAsia" w:ascii="宋体" w:hAnsi="宋体" w:cs="宋体"/>
          <w:sz w:val="24"/>
          <w:szCs w:val="24"/>
        </w:rPr>
        <w:t>4.3.3项目部：在解散之前，协助第三方维保单位做好维保工作。</w:t>
      </w:r>
    </w:p>
    <w:p>
      <w:pPr>
        <w:pStyle w:val="4"/>
        <w:spacing w:line="360" w:lineRule="auto"/>
        <w:ind w:left="600" w:hanging="600" w:hangingChars="250"/>
        <w:rPr>
          <w:rFonts w:ascii="宋体" w:hAnsi="宋体" w:cs="宋体"/>
          <w:sz w:val="24"/>
          <w:szCs w:val="24"/>
        </w:rPr>
      </w:pPr>
      <w:r>
        <w:rPr>
          <w:rFonts w:hint="eastAsia" w:ascii="宋体" w:hAnsi="宋体" w:cs="宋体"/>
          <w:sz w:val="24"/>
          <w:szCs w:val="24"/>
        </w:rPr>
        <w:t>4.3.4安监工程部：审核维修方案；在项目部解散之后，负责第三方维保单位做好维保工作。</w:t>
      </w:r>
    </w:p>
    <w:p>
      <w:pPr>
        <w:pStyle w:val="4"/>
        <w:spacing w:line="360" w:lineRule="auto"/>
        <w:ind w:left="600" w:hanging="600" w:hangingChars="250"/>
        <w:rPr>
          <w:rFonts w:ascii="宋体" w:hAnsi="宋体" w:cs="宋体"/>
          <w:sz w:val="24"/>
          <w:szCs w:val="24"/>
        </w:rPr>
      </w:pPr>
      <w:r>
        <w:rPr>
          <w:rFonts w:hint="eastAsia" w:ascii="宋体" w:hAnsi="宋体" w:cs="宋体"/>
          <w:sz w:val="24"/>
          <w:szCs w:val="24"/>
        </w:rPr>
        <w:t>4.3.5规划设计部：负责组织重大维修或设计缺陷整改有关的施工图出图；参与审核重大维修方案。</w:t>
      </w:r>
    </w:p>
    <w:p>
      <w:pPr>
        <w:pStyle w:val="4"/>
        <w:spacing w:line="360" w:lineRule="auto"/>
        <w:ind w:left="480" w:hanging="480" w:hangingChars="200"/>
        <w:rPr>
          <w:rFonts w:ascii="宋体" w:hAnsi="宋体" w:cs="宋体"/>
          <w:sz w:val="24"/>
          <w:szCs w:val="24"/>
        </w:rPr>
      </w:pPr>
      <w:r>
        <w:rPr>
          <w:rFonts w:hint="eastAsia" w:ascii="宋体" w:hAnsi="宋体" w:cs="宋体"/>
          <w:sz w:val="24"/>
          <w:szCs w:val="24"/>
        </w:rPr>
        <w:t>4.3.6成本合约部：审核维修方案；有关费用审核。</w:t>
      </w:r>
    </w:p>
    <w:p>
      <w:pPr>
        <w:pStyle w:val="4"/>
        <w:spacing w:line="360" w:lineRule="auto"/>
        <w:ind w:left="480" w:hanging="480" w:hangingChars="200"/>
        <w:rPr>
          <w:rFonts w:ascii="宋体" w:hAnsi="宋体" w:cs="宋体"/>
          <w:sz w:val="24"/>
          <w:szCs w:val="24"/>
        </w:rPr>
      </w:pPr>
      <w:r>
        <w:rPr>
          <w:rFonts w:hint="eastAsia" w:ascii="宋体" w:hAnsi="宋体" w:cs="宋体"/>
          <w:sz w:val="24"/>
          <w:szCs w:val="24"/>
        </w:rPr>
        <w:t>4.3.7计划财务部：费用的支付、扣款等。</w:t>
      </w:r>
    </w:p>
    <w:p>
      <w:pPr>
        <w:pStyle w:val="4"/>
        <w:spacing w:line="360" w:lineRule="auto"/>
        <w:ind w:left="480" w:hanging="480" w:hangingChars="200"/>
        <w:rPr>
          <w:rFonts w:ascii="宋体" w:hAnsi="宋体" w:cs="宋体"/>
          <w:sz w:val="24"/>
          <w:szCs w:val="24"/>
        </w:rPr>
      </w:pPr>
    </w:p>
    <w:p>
      <w:pPr>
        <w:pStyle w:val="4"/>
        <w:spacing w:line="360" w:lineRule="auto"/>
        <w:ind w:left="482" w:hanging="482" w:hangingChars="200"/>
        <w:rPr>
          <w:rFonts w:ascii="宋体" w:hAnsi="宋体" w:cs="宋体"/>
          <w:b/>
          <w:sz w:val="24"/>
          <w:szCs w:val="24"/>
        </w:rPr>
      </w:pPr>
      <w:r>
        <w:rPr>
          <w:rFonts w:hint="eastAsia" w:ascii="宋体" w:hAnsi="宋体" w:cs="宋体"/>
          <w:b/>
          <w:sz w:val="24"/>
          <w:szCs w:val="24"/>
        </w:rPr>
        <w:t>5.管理流程</w:t>
      </w:r>
    </w:p>
    <w:p>
      <w:pPr>
        <w:pStyle w:val="4"/>
        <w:spacing w:line="360" w:lineRule="auto"/>
        <w:ind w:left="480" w:hanging="480" w:hangingChars="200"/>
        <w:outlineLvl w:val="0"/>
        <w:rPr>
          <w:rFonts w:ascii="宋体" w:hAnsi="宋体" w:eastAsia="仿宋" w:cs="宋体"/>
          <w:sz w:val="24"/>
          <w:szCs w:val="24"/>
        </w:rPr>
      </w:pPr>
      <w:r>
        <w:rPr>
          <w:rFonts w:hint="eastAsia" w:ascii="宋体" w:hAnsi="宋体" w:cs="宋体"/>
          <w:sz w:val="24"/>
          <w:szCs w:val="24"/>
        </w:rPr>
        <w:t>5.1快捷维修流程说明：为了提高维修时效，物业或客服部根据接单情况，确定如符合快捷维修范围，直接指令维保单位进场维保，维修完成后，由物业组织验收、交付业主，并在开发商客服部备案。</w:t>
      </w:r>
    </w:p>
    <w:p>
      <w:pPr>
        <w:pStyle w:val="4"/>
        <w:spacing w:line="360" w:lineRule="auto"/>
        <w:ind w:left="480" w:hanging="480" w:hangingChars="200"/>
        <w:rPr>
          <w:rFonts w:ascii="宋体" w:hAnsi="宋体" w:cs="宋体"/>
          <w:sz w:val="24"/>
          <w:szCs w:val="24"/>
        </w:rPr>
      </w:pPr>
      <w:r>
        <w:rPr>
          <w:rFonts w:hint="eastAsia" w:ascii="宋体" w:hAnsi="宋体" w:cs="宋体"/>
          <w:sz w:val="24"/>
          <w:szCs w:val="24"/>
        </w:rPr>
        <w:t>5.2正常维修程序流程说明：客服部、物业根据接单情况，确定符合“正常维修”范围，及时将有关情况告知项目部或安监工程部，项目部或安监工程部通知维保单位进场维保，维修完成后，由项目部或安监工程部组织验收、交付业主。</w:t>
      </w:r>
    </w:p>
    <w:p>
      <w:pPr>
        <w:pStyle w:val="4"/>
        <w:spacing w:line="360" w:lineRule="auto"/>
        <w:ind w:left="480" w:hanging="480" w:hangingChars="200"/>
        <w:rPr>
          <w:rFonts w:ascii="宋体" w:hAnsi="宋体" w:cs="宋体"/>
          <w:sz w:val="24"/>
          <w:szCs w:val="24"/>
        </w:rPr>
      </w:pPr>
      <w:r>
        <w:rPr>
          <w:rFonts w:hint="eastAsia" w:ascii="宋体" w:hAnsi="宋体" w:cs="宋体"/>
          <w:sz w:val="24"/>
          <w:szCs w:val="24"/>
        </w:rPr>
        <w:t>5.3启动第三方维修流程：安监工程部根据维修需求情况确定属于“非正常维修”或公司相关会议决策使用第三方维保单位即启动第三方维修流程，通知第三方维修单位进场维修，并组织有关的方案及费用审核，必要时安监工程部协调原项目对口人员参与，维修完成后组织验收、交付业主。</w:t>
      </w:r>
    </w:p>
    <w:p>
      <w:pPr>
        <w:pStyle w:val="4"/>
        <w:spacing w:line="360" w:lineRule="auto"/>
        <w:ind w:firstLine="0" w:firstLineChars="0"/>
        <w:rPr>
          <w:rFonts w:ascii="宋体" w:hAnsi="宋体" w:cs="宋体"/>
          <w:sz w:val="24"/>
          <w:szCs w:val="24"/>
        </w:rPr>
      </w:pPr>
    </w:p>
    <w:p>
      <w:pPr>
        <w:pStyle w:val="4"/>
        <w:adjustRightInd w:val="0"/>
        <w:spacing w:line="480" w:lineRule="exact"/>
        <w:ind w:firstLine="0" w:firstLineChars="0"/>
        <w:contextualSpacing/>
        <w:rPr>
          <w:rFonts w:ascii="宋体" w:hAnsi="宋体"/>
          <w:b/>
          <w:bCs/>
          <w:sz w:val="24"/>
          <w:szCs w:val="21"/>
        </w:rPr>
      </w:pPr>
      <w:r>
        <w:rPr>
          <w:rFonts w:hint="eastAsia" w:ascii="宋体" w:hAnsi="宋体"/>
          <w:b/>
          <w:bCs/>
          <w:sz w:val="24"/>
          <w:szCs w:val="21"/>
        </w:rPr>
        <w:t>6.管理规定</w:t>
      </w:r>
    </w:p>
    <w:p>
      <w:pPr>
        <w:pStyle w:val="4"/>
        <w:adjustRightInd w:val="0"/>
        <w:spacing w:line="480" w:lineRule="exact"/>
        <w:ind w:firstLine="0" w:firstLineChars="0"/>
        <w:contextualSpacing/>
        <w:rPr>
          <w:rFonts w:ascii="宋体" w:hAnsi="宋体"/>
          <w:b/>
          <w:bCs/>
          <w:sz w:val="24"/>
          <w:szCs w:val="21"/>
        </w:rPr>
      </w:pPr>
      <w:r>
        <w:rPr>
          <w:rFonts w:hint="eastAsia" w:ascii="宋体" w:hAnsi="宋体"/>
          <w:b/>
          <w:bCs/>
          <w:sz w:val="24"/>
          <w:szCs w:val="21"/>
        </w:rPr>
        <w:t>6.1维修时限</w:t>
      </w:r>
    </w:p>
    <w:p>
      <w:pPr>
        <w:pStyle w:val="4"/>
        <w:spacing w:line="360" w:lineRule="auto"/>
        <w:ind w:left="480" w:hanging="480" w:hangingChars="200"/>
        <w:rPr>
          <w:rFonts w:ascii="宋体" w:hAnsi="宋体" w:cs="宋体"/>
          <w:sz w:val="24"/>
          <w:szCs w:val="24"/>
        </w:rPr>
      </w:pPr>
      <w:r>
        <w:rPr>
          <w:rFonts w:hint="eastAsia" w:ascii="宋体" w:hAnsi="宋体" w:cs="宋体"/>
          <w:sz w:val="24"/>
          <w:szCs w:val="24"/>
        </w:rPr>
        <w:t>6.1.1维修方案和预算审批时间：原则上，正常维修工程、紧急维修工程1天内完成审批。</w:t>
      </w:r>
    </w:p>
    <w:p>
      <w:pPr>
        <w:pStyle w:val="4"/>
        <w:spacing w:line="360" w:lineRule="auto"/>
        <w:ind w:left="480" w:hanging="480" w:hangingChars="200"/>
        <w:rPr>
          <w:rFonts w:ascii="宋体" w:hAnsi="宋体" w:cs="宋体"/>
          <w:sz w:val="24"/>
          <w:szCs w:val="24"/>
        </w:rPr>
      </w:pPr>
      <w:r>
        <w:rPr>
          <w:rFonts w:hint="eastAsia" w:ascii="宋体" w:hAnsi="宋体" w:cs="宋体"/>
          <w:sz w:val="24"/>
          <w:szCs w:val="24"/>
        </w:rPr>
        <w:t>6.1.2抢修工程的方案，先审核电子版，经同意可以先施工，并同步办理签字审批手续。</w:t>
      </w:r>
    </w:p>
    <w:p>
      <w:pPr>
        <w:pStyle w:val="4"/>
        <w:spacing w:line="360" w:lineRule="auto"/>
        <w:ind w:left="720" w:hanging="720" w:hangingChars="300"/>
        <w:rPr>
          <w:rFonts w:ascii="宋体" w:hAnsi="宋体" w:cs="宋体"/>
          <w:sz w:val="24"/>
          <w:szCs w:val="24"/>
        </w:rPr>
      </w:pPr>
      <w:r>
        <w:rPr>
          <w:rFonts w:hint="eastAsia" w:ascii="宋体" w:hAnsi="宋体" w:cs="宋体"/>
          <w:sz w:val="24"/>
          <w:szCs w:val="24"/>
        </w:rPr>
        <w:t>6.1.3为提高审批效率，让维修单位及时进场维修，可以建立微信群，先初步审核电子版，审核通过后即可开始维修，并同办理审批签字手续。</w:t>
      </w:r>
    </w:p>
    <w:p>
      <w:pPr>
        <w:pStyle w:val="4"/>
        <w:spacing w:line="360" w:lineRule="auto"/>
        <w:ind w:left="480" w:hanging="480" w:hangingChars="200"/>
        <w:rPr>
          <w:rFonts w:ascii="宋体" w:hAnsi="宋体" w:cs="宋体"/>
          <w:sz w:val="24"/>
          <w:szCs w:val="24"/>
        </w:rPr>
      </w:pPr>
      <w:r>
        <w:rPr>
          <w:rFonts w:hint="eastAsia" w:ascii="宋体" w:hAnsi="宋体" w:cs="宋体"/>
          <w:sz w:val="24"/>
          <w:szCs w:val="24"/>
        </w:rPr>
        <w:t>6.1.4审批部门包括物业公司、安监工程部、成本合约部、规划设计部。</w:t>
      </w:r>
    </w:p>
    <w:p>
      <w:pPr>
        <w:pStyle w:val="4"/>
        <w:spacing w:line="360" w:lineRule="auto"/>
        <w:ind w:left="720" w:hanging="720" w:hangingChars="300"/>
        <w:rPr>
          <w:rFonts w:ascii="宋体" w:hAnsi="宋体" w:cs="宋体"/>
          <w:sz w:val="24"/>
          <w:szCs w:val="24"/>
        </w:rPr>
      </w:pPr>
      <w:r>
        <w:rPr>
          <w:rFonts w:hint="eastAsia" w:ascii="宋体" w:hAnsi="宋体" w:cs="宋体"/>
          <w:sz w:val="24"/>
          <w:szCs w:val="24"/>
        </w:rPr>
        <w:t>6.1.5维修的勘查、方案编制、进场及审批时限要求（适用于原责任单位及第三方维保单位）见下表。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5"/>
        <w:gridCol w:w="1767"/>
        <w:gridCol w:w="2551"/>
        <w:gridCol w:w="1344"/>
        <w:gridCol w:w="1344"/>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shd w:val="clear" w:color="auto" w:fill="auto"/>
            <w:noWrap/>
          </w:tcPr>
          <w:p>
            <w:pPr>
              <w:jc w:val="center"/>
              <w:rPr>
                <w:rFonts w:ascii="宋体" w:hAnsi="宋体" w:cs="宋体"/>
                <w:szCs w:val="21"/>
              </w:rPr>
            </w:pPr>
            <w:r>
              <w:rPr>
                <w:rFonts w:hint="eastAsia" w:ascii="宋体" w:hAnsi="宋体" w:cs="宋体"/>
                <w:szCs w:val="21"/>
              </w:rPr>
              <w:t>类型</w:t>
            </w:r>
          </w:p>
        </w:tc>
        <w:tc>
          <w:tcPr>
            <w:tcW w:w="1767" w:type="dxa"/>
            <w:shd w:val="clear" w:color="auto" w:fill="auto"/>
            <w:noWrap/>
          </w:tcPr>
          <w:p>
            <w:pPr>
              <w:jc w:val="center"/>
              <w:rPr>
                <w:rFonts w:ascii="宋体" w:hAnsi="宋体" w:cs="宋体"/>
                <w:szCs w:val="21"/>
              </w:rPr>
            </w:pPr>
            <w:r>
              <w:rPr>
                <w:rFonts w:hint="eastAsia" w:ascii="宋体" w:hAnsi="宋体" w:cs="宋体"/>
                <w:szCs w:val="21"/>
              </w:rPr>
              <w:t>现场勘查</w:t>
            </w:r>
          </w:p>
        </w:tc>
        <w:tc>
          <w:tcPr>
            <w:tcW w:w="2551" w:type="dxa"/>
            <w:shd w:val="clear" w:color="auto" w:fill="auto"/>
            <w:noWrap/>
          </w:tcPr>
          <w:p>
            <w:pPr>
              <w:jc w:val="center"/>
              <w:rPr>
                <w:rFonts w:ascii="宋体" w:hAnsi="宋体" w:cs="宋体"/>
                <w:szCs w:val="21"/>
              </w:rPr>
            </w:pPr>
            <w:r>
              <w:rPr>
                <w:rFonts w:hint="eastAsia" w:ascii="宋体" w:hAnsi="宋体" w:cs="宋体"/>
                <w:szCs w:val="21"/>
              </w:rPr>
              <w:t>编制书面维修方案和预算</w:t>
            </w:r>
          </w:p>
        </w:tc>
        <w:tc>
          <w:tcPr>
            <w:tcW w:w="1344" w:type="dxa"/>
            <w:shd w:val="clear" w:color="auto" w:fill="auto"/>
            <w:noWrap/>
          </w:tcPr>
          <w:p>
            <w:pPr>
              <w:jc w:val="center"/>
              <w:rPr>
                <w:rFonts w:ascii="宋体" w:hAnsi="宋体" w:cs="宋体"/>
                <w:szCs w:val="21"/>
              </w:rPr>
            </w:pPr>
            <w:r>
              <w:rPr>
                <w:rFonts w:hint="eastAsia" w:ascii="宋体" w:hAnsi="宋体" w:cs="宋体"/>
                <w:szCs w:val="21"/>
              </w:rPr>
              <w:t>方案审核、审批时间</w:t>
            </w:r>
          </w:p>
        </w:tc>
        <w:tc>
          <w:tcPr>
            <w:tcW w:w="1344" w:type="dxa"/>
            <w:shd w:val="clear" w:color="auto" w:fill="auto"/>
            <w:noWrap/>
          </w:tcPr>
          <w:p>
            <w:pPr>
              <w:jc w:val="center"/>
              <w:rPr>
                <w:rFonts w:ascii="宋体" w:hAnsi="宋体" w:cs="宋体"/>
                <w:szCs w:val="21"/>
              </w:rPr>
            </w:pPr>
            <w:r>
              <w:rPr>
                <w:rFonts w:hint="eastAsia" w:ascii="宋体" w:hAnsi="宋体" w:cs="宋体"/>
                <w:szCs w:val="21"/>
              </w:rPr>
              <w:t>进场维修</w:t>
            </w:r>
          </w:p>
        </w:tc>
        <w:tc>
          <w:tcPr>
            <w:tcW w:w="1447" w:type="dxa"/>
            <w:shd w:val="clear" w:color="auto" w:fill="auto"/>
            <w:noWrap/>
          </w:tcPr>
          <w:p>
            <w:pPr>
              <w:jc w:val="center"/>
              <w:rPr>
                <w:rFonts w:ascii="宋体" w:hAnsi="宋体" w:cs="宋体"/>
                <w:szCs w:val="21"/>
              </w:rPr>
            </w:pPr>
            <w:r>
              <w:rPr>
                <w:rFonts w:hint="eastAsia" w:ascii="宋体" w:hAnsi="宋体" w:cs="宋体"/>
                <w:szCs w:val="21"/>
              </w:rPr>
              <w:t>维修完成时间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35" w:type="dxa"/>
            <w:shd w:val="clear" w:color="auto" w:fill="auto"/>
            <w:noWrap/>
          </w:tcPr>
          <w:p>
            <w:pPr>
              <w:jc w:val="center"/>
              <w:rPr>
                <w:rFonts w:ascii="宋体" w:hAnsi="宋体" w:cs="宋体"/>
                <w:szCs w:val="21"/>
              </w:rPr>
            </w:pPr>
            <w:r>
              <w:rPr>
                <w:rFonts w:hint="eastAsia" w:ascii="宋体" w:hAnsi="宋体" w:cs="宋体"/>
                <w:szCs w:val="21"/>
              </w:rPr>
              <w:t>正常维修</w:t>
            </w:r>
          </w:p>
        </w:tc>
        <w:tc>
          <w:tcPr>
            <w:tcW w:w="1767" w:type="dxa"/>
            <w:shd w:val="clear" w:color="auto" w:fill="auto"/>
            <w:noWrap/>
          </w:tcPr>
          <w:p>
            <w:pPr>
              <w:jc w:val="left"/>
              <w:rPr>
                <w:rFonts w:ascii="宋体" w:hAnsi="宋体" w:cs="宋体"/>
                <w:szCs w:val="21"/>
              </w:rPr>
            </w:pPr>
            <w:r>
              <w:rPr>
                <w:rFonts w:hint="eastAsia" w:ascii="宋体" w:hAnsi="宋体" w:cs="宋体"/>
                <w:szCs w:val="21"/>
              </w:rPr>
              <w:t>接到维修任务1天内</w:t>
            </w:r>
          </w:p>
        </w:tc>
        <w:tc>
          <w:tcPr>
            <w:tcW w:w="2551" w:type="dxa"/>
            <w:shd w:val="clear" w:color="auto" w:fill="auto"/>
            <w:noWrap/>
          </w:tcPr>
          <w:p>
            <w:pPr>
              <w:jc w:val="left"/>
              <w:rPr>
                <w:rFonts w:ascii="宋体" w:hAnsi="宋体" w:cs="宋体"/>
                <w:szCs w:val="21"/>
              </w:rPr>
            </w:pPr>
            <w:r>
              <w:rPr>
                <w:rFonts w:hint="eastAsia" w:ascii="宋体" w:hAnsi="宋体" w:cs="宋体"/>
                <w:szCs w:val="21"/>
              </w:rPr>
              <w:t>现场勘查后2天内</w:t>
            </w:r>
          </w:p>
        </w:tc>
        <w:tc>
          <w:tcPr>
            <w:tcW w:w="1344" w:type="dxa"/>
            <w:shd w:val="clear" w:color="auto" w:fill="auto"/>
            <w:noWrap/>
          </w:tcPr>
          <w:p>
            <w:pPr>
              <w:jc w:val="left"/>
              <w:rPr>
                <w:rFonts w:ascii="宋体" w:hAnsi="宋体" w:cs="宋体"/>
                <w:szCs w:val="21"/>
              </w:rPr>
            </w:pPr>
            <w:r>
              <w:rPr>
                <w:rFonts w:hint="eastAsia" w:ascii="宋体" w:hAnsi="宋体" w:cs="宋体"/>
                <w:szCs w:val="21"/>
              </w:rPr>
              <w:t>1天内</w:t>
            </w:r>
          </w:p>
        </w:tc>
        <w:tc>
          <w:tcPr>
            <w:tcW w:w="1344" w:type="dxa"/>
            <w:shd w:val="clear" w:color="auto" w:fill="auto"/>
            <w:noWrap/>
          </w:tcPr>
          <w:p>
            <w:pPr>
              <w:jc w:val="left"/>
              <w:rPr>
                <w:rFonts w:ascii="宋体" w:hAnsi="宋体" w:cs="宋体"/>
                <w:szCs w:val="21"/>
              </w:rPr>
            </w:pPr>
            <w:r>
              <w:rPr>
                <w:rFonts w:hint="eastAsia" w:ascii="宋体" w:hAnsi="宋体" w:cs="宋体"/>
                <w:szCs w:val="21"/>
              </w:rPr>
              <w:t>确定方案后1天内</w:t>
            </w:r>
          </w:p>
        </w:tc>
        <w:tc>
          <w:tcPr>
            <w:tcW w:w="1447" w:type="dxa"/>
            <w:shd w:val="clear" w:color="auto" w:fill="auto"/>
            <w:noWrap/>
          </w:tcPr>
          <w:p>
            <w:pPr>
              <w:jc w:val="left"/>
              <w:rPr>
                <w:rFonts w:ascii="宋体" w:hAnsi="宋体" w:cs="宋体"/>
                <w:szCs w:val="21"/>
              </w:rPr>
            </w:pPr>
            <w:r>
              <w:rPr>
                <w:rFonts w:hint="eastAsia" w:ascii="宋体" w:hAnsi="宋体" w:cs="宋体"/>
                <w:szCs w:val="21"/>
              </w:rPr>
              <w:t>按委托单约定时间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shd w:val="clear" w:color="auto" w:fill="auto"/>
            <w:noWrap/>
          </w:tcPr>
          <w:p>
            <w:pPr>
              <w:jc w:val="center"/>
              <w:rPr>
                <w:rFonts w:ascii="宋体" w:hAnsi="宋体" w:cs="宋体"/>
                <w:szCs w:val="21"/>
              </w:rPr>
            </w:pPr>
            <w:r>
              <w:rPr>
                <w:rFonts w:hint="eastAsia" w:ascii="宋体" w:hAnsi="宋体" w:cs="宋体"/>
                <w:szCs w:val="21"/>
              </w:rPr>
              <w:t>紧急维修</w:t>
            </w:r>
          </w:p>
        </w:tc>
        <w:tc>
          <w:tcPr>
            <w:tcW w:w="1767" w:type="dxa"/>
            <w:shd w:val="clear" w:color="auto" w:fill="auto"/>
            <w:noWrap/>
          </w:tcPr>
          <w:p>
            <w:pPr>
              <w:jc w:val="left"/>
              <w:rPr>
                <w:rFonts w:ascii="宋体" w:hAnsi="宋体" w:cs="宋体"/>
                <w:szCs w:val="21"/>
              </w:rPr>
            </w:pPr>
            <w:r>
              <w:rPr>
                <w:rFonts w:hint="eastAsia" w:ascii="宋体" w:hAnsi="宋体" w:cs="宋体"/>
                <w:szCs w:val="21"/>
              </w:rPr>
              <w:t>接到维修任务1天内</w:t>
            </w:r>
          </w:p>
        </w:tc>
        <w:tc>
          <w:tcPr>
            <w:tcW w:w="2551" w:type="dxa"/>
            <w:shd w:val="clear" w:color="auto" w:fill="auto"/>
            <w:noWrap/>
          </w:tcPr>
          <w:p>
            <w:pPr>
              <w:jc w:val="left"/>
              <w:rPr>
                <w:rFonts w:ascii="宋体" w:hAnsi="宋体" w:cs="宋体"/>
                <w:szCs w:val="21"/>
              </w:rPr>
            </w:pPr>
            <w:r>
              <w:rPr>
                <w:rFonts w:hint="eastAsia" w:ascii="宋体" w:hAnsi="宋体" w:cs="宋体"/>
                <w:szCs w:val="21"/>
              </w:rPr>
              <w:t>现场勘查后1天内</w:t>
            </w:r>
          </w:p>
        </w:tc>
        <w:tc>
          <w:tcPr>
            <w:tcW w:w="1344" w:type="dxa"/>
            <w:shd w:val="clear" w:color="auto" w:fill="auto"/>
            <w:noWrap/>
          </w:tcPr>
          <w:p>
            <w:pPr>
              <w:jc w:val="left"/>
              <w:rPr>
                <w:rFonts w:ascii="宋体" w:hAnsi="宋体" w:cs="宋体"/>
                <w:szCs w:val="21"/>
              </w:rPr>
            </w:pPr>
            <w:r>
              <w:rPr>
                <w:rFonts w:hint="eastAsia" w:ascii="宋体" w:hAnsi="宋体" w:cs="宋体"/>
                <w:szCs w:val="21"/>
              </w:rPr>
              <w:t>1天内</w:t>
            </w:r>
          </w:p>
        </w:tc>
        <w:tc>
          <w:tcPr>
            <w:tcW w:w="1344" w:type="dxa"/>
            <w:shd w:val="clear" w:color="auto" w:fill="auto"/>
            <w:noWrap/>
          </w:tcPr>
          <w:p>
            <w:pPr>
              <w:jc w:val="left"/>
              <w:rPr>
                <w:rFonts w:ascii="宋体" w:hAnsi="宋体" w:cs="宋体"/>
                <w:szCs w:val="21"/>
              </w:rPr>
            </w:pPr>
            <w:r>
              <w:rPr>
                <w:rFonts w:hint="eastAsia" w:ascii="宋体" w:hAnsi="宋体" w:cs="宋体"/>
                <w:szCs w:val="21"/>
              </w:rPr>
              <w:t>委托单约定开工日期</w:t>
            </w:r>
          </w:p>
        </w:tc>
        <w:tc>
          <w:tcPr>
            <w:tcW w:w="1447" w:type="dxa"/>
            <w:shd w:val="clear" w:color="auto" w:fill="auto"/>
            <w:noWrap/>
          </w:tcPr>
          <w:p>
            <w:pPr>
              <w:jc w:val="left"/>
              <w:rPr>
                <w:rFonts w:ascii="宋体" w:hAnsi="宋体" w:cs="宋体"/>
                <w:szCs w:val="21"/>
              </w:rPr>
            </w:pPr>
            <w:r>
              <w:rPr>
                <w:rFonts w:hint="eastAsia" w:ascii="宋体" w:hAnsi="宋体" w:cs="宋体"/>
                <w:szCs w:val="21"/>
              </w:rPr>
              <w:t>按委托单约定时间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5" w:type="dxa"/>
            <w:shd w:val="clear" w:color="auto" w:fill="auto"/>
            <w:noWrap/>
          </w:tcPr>
          <w:p>
            <w:pPr>
              <w:jc w:val="center"/>
              <w:rPr>
                <w:rFonts w:ascii="宋体" w:hAnsi="宋体" w:cs="宋体"/>
                <w:szCs w:val="21"/>
              </w:rPr>
            </w:pPr>
          </w:p>
          <w:p>
            <w:pPr>
              <w:jc w:val="center"/>
              <w:rPr>
                <w:rFonts w:ascii="宋体" w:hAnsi="宋体" w:cs="宋体"/>
                <w:szCs w:val="21"/>
              </w:rPr>
            </w:pPr>
            <w:r>
              <w:rPr>
                <w:rFonts w:hint="eastAsia" w:ascii="宋体" w:hAnsi="宋体" w:cs="宋体"/>
                <w:szCs w:val="21"/>
              </w:rPr>
              <w:t>抢修</w:t>
            </w:r>
          </w:p>
        </w:tc>
        <w:tc>
          <w:tcPr>
            <w:tcW w:w="1767" w:type="dxa"/>
            <w:shd w:val="clear" w:color="auto" w:fill="auto"/>
            <w:noWrap/>
          </w:tcPr>
          <w:p>
            <w:pPr>
              <w:jc w:val="left"/>
              <w:rPr>
                <w:rFonts w:ascii="宋体" w:hAnsi="宋体" w:cs="宋体"/>
                <w:szCs w:val="21"/>
              </w:rPr>
            </w:pPr>
            <w:r>
              <w:rPr>
                <w:rFonts w:hint="eastAsia" w:ascii="宋体" w:hAnsi="宋体" w:cs="宋体"/>
                <w:szCs w:val="21"/>
              </w:rPr>
              <w:t>驻点小区1小时内，驻点片区2小时内</w:t>
            </w:r>
          </w:p>
        </w:tc>
        <w:tc>
          <w:tcPr>
            <w:tcW w:w="2551" w:type="dxa"/>
            <w:shd w:val="clear" w:color="auto" w:fill="auto"/>
            <w:noWrap/>
          </w:tcPr>
          <w:p>
            <w:pPr>
              <w:jc w:val="left"/>
              <w:rPr>
                <w:rFonts w:ascii="宋体" w:hAnsi="宋体" w:cs="宋体"/>
                <w:szCs w:val="21"/>
              </w:rPr>
            </w:pPr>
            <w:r>
              <w:rPr>
                <w:rFonts w:hint="eastAsia" w:ascii="宋体" w:hAnsi="宋体" w:cs="宋体"/>
                <w:szCs w:val="21"/>
              </w:rPr>
              <w:t>立即将现场照片及拟定方案通过通讯工具及时向物业和甲方汇报，待抢修完成后再补报书面的维修方案和预算</w:t>
            </w:r>
          </w:p>
        </w:tc>
        <w:tc>
          <w:tcPr>
            <w:tcW w:w="1344" w:type="dxa"/>
            <w:shd w:val="clear" w:color="auto" w:fill="auto"/>
            <w:noWrap/>
          </w:tcPr>
          <w:p>
            <w:pPr>
              <w:jc w:val="left"/>
              <w:rPr>
                <w:rFonts w:ascii="宋体" w:hAnsi="宋体" w:cs="宋体"/>
                <w:szCs w:val="21"/>
              </w:rPr>
            </w:pPr>
            <w:r>
              <w:rPr>
                <w:rFonts w:hint="eastAsia" w:ascii="宋体" w:hAnsi="宋体" w:cs="宋体"/>
                <w:szCs w:val="21"/>
              </w:rPr>
              <w:t>先审电版，经同意可以先施工，并同步办理审批手续。</w:t>
            </w:r>
          </w:p>
        </w:tc>
        <w:tc>
          <w:tcPr>
            <w:tcW w:w="1344" w:type="dxa"/>
            <w:shd w:val="clear" w:color="auto" w:fill="auto"/>
            <w:noWrap/>
          </w:tcPr>
          <w:p>
            <w:pPr>
              <w:jc w:val="left"/>
              <w:rPr>
                <w:rFonts w:ascii="宋体" w:hAnsi="宋体" w:cs="宋体"/>
                <w:szCs w:val="21"/>
              </w:rPr>
            </w:pPr>
            <w:r>
              <w:rPr>
                <w:rFonts w:hint="eastAsia" w:ascii="宋体" w:hAnsi="宋体" w:cs="宋体"/>
                <w:szCs w:val="21"/>
              </w:rPr>
              <w:t>拟定方案经物业和甲方同意后先行抢修</w:t>
            </w:r>
          </w:p>
        </w:tc>
        <w:tc>
          <w:tcPr>
            <w:tcW w:w="1447" w:type="dxa"/>
            <w:shd w:val="clear" w:color="auto" w:fill="auto"/>
            <w:noWrap/>
          </w:tcPr>
          <w:p>
            <w:pPr>
              <w:jc w:val="left"/>
              <w:rPr>
                <w:rFonts w:ascii="宋体" w:hAnsi="宋体" w:cs="宋体"/>
                <w:szCs w:val="21"/>
              </w:rPr>
            </w:pPr>
            <w:r>
              <w:rPr>
                <w:rFonts w:hint="eastAsia" w:ascii="宋体" w:hAnsi="宋体" w:cs="宋体"/>
                <w:szCs w:val="21"/>
              </w:rPr>
              <w:t>按委托单约定时间</w:t>
            </w:r>
          </w:p>
        </w:tc>
      </w:tr>
    </w:tbl>
    <w:p>
      <w:pPr>
        <w:spacing w:line="560" w:lineRule="exact"/>
        <w:ind w:firstLine="602" w:firstLineChars="200"/>
        <w:rPr>
          <w:rFonts w:ascii="仿宋" w:hAnsi="仿宋" w:eastAsia="仿宋"/>
          <w:b/>
          <w:sz w:val="30"/>
          <w:szCs w:val="30"/>
        </w:rPr>
      </w:pPr>
    </w:p>
    <w:p>
      <w:pPr>
        <w:pStyle w:val="4"/>
        <w:adjustRightInd w:val="0"/>
        <w:spacing w:line="480" w:lineRule="exact"/>
        <w:ind w:firstLine="0" w:firstLineChars="0"/>
        <w:contextualSpacing/>
        <w:rPr>
          <w:rFonts w:ascii="宋体" w:hAnsi="宋体"/>
          <w:b/>
          <w:bCs/>
          <w:sz w:val="24"/>
          <w:szCs w:val="21"/>
        </w:rPr>
      </w:pPr>
      <w:r>
        <w:rPr>
          <w:rFonts w:hint="eastAsia" w:ascii="宋体" w:hAnsi="宋体"/>
          <w:b/>
          <w:bCs/>
          <w:sz w:val="24"/>
          <w:szCs w:val="21"/>
        </w:rPr>
        <w:t>6.2维修费用</w:t>
      </w:r>
    </w:p>
    <w:p>
      <w:pPr>
        <w:pStyle w:val="4"/>
        <w:spacing w:line="360" w:lineRule="auto"/>
        <w:ind w:left="720" w:hanging="720" w:hangingChars="300"/>
        <w:rPr>
          <w:rFonts w:ascii="宋体" w:hAnsi="宋体" w:cs="宋体"/>
          <w:sz w:val="24"/>
          <w:szCs w:val="24"/>
        </w:rPr>
      </w:pPr>
      <w:r>
        <w:rPr>
          <w:rFonts w:hint="eastAsia" w:ascii="宋体" w:hAnsi="宋体" w:cs="宋体"/>
          <w:sz w:val="24"/>
          <w:szCs w:val="24"/>
        </w:rPr>
        <w:t>6.2.1第三方维修发生的工程量、费用，按照公司权责管理手册的相关程序进行审批。</w:t>
      </w:r>
    </w:p>
    <w:p>
      <w:pPr>
        <w:pStyle w:val="4"/>
        <w:spacing w:line="360" w:lineRule="auto"/>
        <w:ind w:firstLine="0" w:firstLineChars="0"/>
        <w:rPr>
          <w:rFonts w:ascii="宋体" w:hAnsi="宋体" w:cs="宋体"/>
          <w:sz w:val="24"/>
          <w:szCs w:val="24"/>
        </w:rPr>
      </w:pPr>
      <w:r>
        <w:rPr>
          <w:rFonts w:hint="eastAsia" w:ascii="宋体" w:hAnsi="宋体" w:cs="宋体"/>
          <w:sz w:val="24"/>
          <w:szCs w:val="24"/>
        </w:rPr>
        <w:t>6.2.2因原施工单位责任造成的第三方维修扣款</w:t>
      </w:r>
    </w:p>
    <w:p>
      <w:pPr>
        <w:pStyle w:val="4"/>
        <w:spacing w:line="360" w:lineRule="auto"/>
        <w:ind w:left="630" w:leftChars="300" w:firstLine="0" w:firstLineChars="0"/>
        <w:rPr>
          <w:rFonts w:ascii="宋体" w:hAnsi="宋体" w:eastAsia="仿宋" w:cs="宋体"/>
          <w:sz w:val="24"/>
          <w:szCs w:val="24"/>
        </w:rPr>
      </w:pPr>
      <w:r>
        <w:rPr>
          <w:rFonts w:hint="eastAsia" w:ascii="宋体" w:hAnsi="宋体" w:cs="宋体"/>
          <w:sz w:val="24"/>
          <w:szCs w:val="24"/>
        </w:rPr>
        <w:t>因原施工单位责任造成的第三方维修，在启动第三方维修流程时，安监工程部组织下发原责任施工单位《启动第三方维修告知函》，在维修结束时组织对原责任施工单位下发《扣款通知书》，并抄送成本合约部、计划财务部等部门，有关部门对原责任单位发起扣款流程。</w:t>
      </w:r>
    </w:p>
    <w:p>
      <w:pPr>
        <w:pStyle w:val="4"/>
        <w:spacing w:line="360" w:lineRule="auto"/>
        <w:ind w:firstLine="0" w:firstLineChars="0"/>
        <w:rPr>
          <w:rFonts w:ascii="宋体" w:hAnsi="宋体" w:cs="宋体"/>
          <w:b/>
          <w:sz w:val="24"/>
          <w:szCs w:val="24"/>
        </w:rPr>
      </w:pPr>
      <w:r>
        <w:rPr>
          <w:rFonts w:hint="eastAsia" w:ascii="宋体" w:hAnsi="宋体" w:cs="宋体"/>
          <w:b/>
          <w:sz w:val="24"/>
          <w:szCs w:val="24"/>
        </w:rPr>
        <w:t>6.3属客户责任的维修</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若需维修事项系客户原因导致，由物业安排维修。</w:t>
      </w:r>
    </w:p>
    <w:p>
      <w:pPr>
        <w:pStyle w:val="4"/>
        <w:spacing w:line="360" w:lineRule="auto"/>
        <w:ind w:firstLine="0" w:firstLineChars="0"/>
        <w:outlineLvl w:val="0"/>
        <w:rPr>
          <w:rFonts w:ascii="宋体" w:hAnsi="宋体" w:eastAsia="仿宋" w:cs="宋体"/>
          <w:b/>
          <w:sz w:val="24"/>
          <w:szCs w:val="24"/>
        </w:rPr>
      </w:pPr>
      <w:r>
        <w:rPr>
          <w:rFonts w:hint="eastAsia" w:ascii="宋体" w:hAnsi="宋体" w:cs="宋体"/>
          <w:b/>
          <w:sz w:val="24"/>
          <w:szCs w:val="24"/>
        </w:rPr>
        <w:t>6.4维修回访</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客户服务部根据完成情况进行维修回访。维修回访意见纳入原责任单位及第三方维修单位履约评价考核的内容。</w:t>
      </w:r>
    </w:p>
    <w:p>
      <w:pPr>
        <w:pStyle w:val="4"/>
        <w:spacing w:line="360" w:lineRule="auto"/>
        <w:ind w:firstLine="0" w:firstLineChars="0"/>
        <w:outlineLvl w:val="0"/>
        <w:rPr>
          <w:rFonts w:ascii="宋体" w:hAnsi="宋体" w:eastAsia="仿宋" w:cs="宋体"/>
          <w:b/>
          <w:sz w:val="24"/>
          <w:szCs w:val="24"/>
        </w:rPr>
      </w:pPr>
      <w:r>
        <w:rPr>
          <w:rFonts w:hint="eastAsia" w:ascii="宋体" w:hAnsi="宋体" w:cs="宋体"/>
          <w:b/>
          <w:sz w:val="24"/>
          <w:szCs w:val="24"/>
        </w:rPr>
        <w:t>6.5保修责任划分及认定</w:t>
      </w:r>
    </w:p>
    <w:p>
      <w:pPr>
        <w:adjustRightInd w:val="0"/>
        <w:spacing w:line="480" w:lineRule="exact"/>
        <w:ind w:left="424" w:leftChars="202"/>
        <w:contextualSpacing/>
        <w:rPr>
          <w:rFonts w:ascii="宋体" w:hAnsi="宋体"/>
          <w:bCs/>
          <w:sz w:val="24"/>
          <w:szCs w:val="21"/>
        </w:rPr>
      </w:pPr>
      <w:r>
        <w:rPr>
          <w:rFonts w:hint="eastAsia" w:ascii="宋体" w:hAnsi="宋体"/>
          <w:bCs/>
          <w:sz w:val="24"/>
          <w:szCs w:val="21"/>
        </w:rPr>
        <w:t>保修责任需根据合同及有关办法、规定进行划分及认定，结合不同维修的类型组织认定，即：</w:t>
      </w:r>
    </w:p>
    <w:p>
      <w:pPr>
        <w:adjustRightInd w:val="0"/>
        <w:spacing w:line="480" w:lineRule="exact"/>
        <w:contextualSpacing/>
        <w:rPr>
          <w:rFonts w:ascii="宋体" w:hAnsi="宋体"/>
          <w:bCs/>
          <w:sz w:val="24"/>
          <w:szCs w:val="21"/>
        </w:rPr>
      </w:pPr>
      <w:r>
        <w:rPr>
          <w:rFonts w:hint="eastAsia" w:ascii="宋体" w:hAnsi="宋体"/>
          <w:bCs/>
          <w:sz w:val="24"/>
          <w:szCs w:val="21"/>
        </w:rPr>
        <w:t>6.5.1快捷维修由客服部或物业组织划分、认定保修责任；</w:t>
      </w:r>
    </w:p>
    <w:p>
      <w:pPr>
        <w:adjustRightInd w:val="0"/>
        <w:spacing w:line="480" w:lineRule="exact"/>
        <w:contextualSpacing/>
        <w:rPr>
          <w:rFonts w:ascii="宋体" w:hAnsi="宋体"/>
          <w:bCs/>
          <w:sz w:val="24"/>
          <w:szCs w:val="21"/>
        </w:rPr>
      </w:pPr>
      <w:r>
        <w:rPr>
          <w:rFonts w:hint="eastAsia" w:ascii="宋体" w:hAnsi="宋体"/>
          <w:bCs/>
          <w:sz w:val="24"/>
          <w:szCs w:val="21"/>
        </w:rPr>
        <w:t>6.5.2正常维修项目部或安监工程部组织划分、认定保修责任，由分管领导审批；</w:t>
      </w:r>
    </w:p>
    <w:p>
      <w:pPr>
        <w:adjustRightInd w:val="0"/>
        <w:spacing w:line="480" w:lineRule="exact"/>
        <w:contextualSpacing/>
        <w:rPr>
          <w:rFonts w:ascii="宋体" w:hAnsi="宋体"/>
          <w:bCs/>
          <w:sz w:val="24"/>
          <w:szCs w:val="21"/>
        </w:rPr>
      </w:pPr>
      <w:r>
        <w:rPr>
          <w:rFonts w:hint="eastAsia" w:ascii="宋体" w:hAnsi="宋体"/>
          <w:bCs/>
          <w:sz w:val="24"/>
          <w:szCs w:val="21"/>
        </w:rPr>
        <w:t>6.5.3非正常维修分别由安监工程部组织划分、认定保修责任，由分管领导审批；</w:t>
      </w:r>
    </w:p>
    <w:p>
      <w:pPr>
        <w:adjustRightInd w:val="0"/>
        <w:spacing w:line="480" w:lineRule="exact"/>
        <w:ind w:left="874" w:leftChars="302" w:hanging="240" w:hangingChars="100"/>
        <w:contextualSpacing/>
        <w:rPr>
          <w:rFonts w:ascii="宋体" w:hAnsi="宋体" w:cs="宋体"/>
          <w:sz w:val="24"/>
          <w:szCs w:val="24"/>
        </w:rPr>
      </w:pPr>
      <w:r>
        <w:rPr>
          <w:rFonts w:hint="eastAsia" w:ascii="宋体" w:hAnsi="宋体"/>
          <w:bCs/>
          <w:sz w:val="24"/>
          <w:szCs w:val="21"/>
        </w:rPr>
        <w:t>必要时应组织有关部门及监理单位等单位参与保修责任划分、认定。</w:t>
      </w:r>
    </w:p>
    <w:p>
      <w:pPr>
        <w:pStyle w:val="4"/>
        <w:spacing w:line="360" w:lineRule="auto"/>
        <w:ind w:firstLine="0" w:firstLineChars="0"/>
        <w:outlineLvl w:val="0"/>
        <w:rPr>
          <w:rFonts w:ascii="宋体" w:hAnsi="宋体" w:eastAsia="仿宋" w:cs="宋体"/>
          <w:b/>
          <w:sz w:val="24"/>
          <w:szCs w:val="24"/>
        </w:rPr>
      </w:pPr>
      <w:r>
        <w:rPr>
          <w:rFonts w:hint="eastAsia" w:ascii="宋体" w:hAnsi="宋体" w:cs="宋体"/>
          <w:b/>
          <w:sz w:val="24"/>
          <w:szCs w:val="24"/>
        </w:rPr>
        <w:t>6.6保修责任追责</w:t>
      </w:r>
    </w:p>
    <w:p>
      <w:pPr>
        <w:adjustRightInd w:val="0"/>
        <w:spacing w:line="480" w:lineRule="exact"/>
        <w:contextualSpacing/>
        <w:rPr>
          <w:rFonts w:ascii="宋体" w:hAnsi="宋体"/>
          <w:bCs/>
          <w:sz w:val="24"/>
          <w:szCs w:val="21"/>
        </w:rPr>
      </w:pPr>
      <w:r>
        <w:rPr>
          <w:rFonts w:hint="eastAsia" w:ascii="宋体" w:hAnsi="宋体"/>
          <w:bCs/>
          <w:sz w:val="24"/>
          <w:szCs w:val="21"/>
        </w:rPr>
        <w:t>6.6.1同一事项（同一单）</w:t>
      </w:r>
    </w:p>
    <w:p>
      <w:pPr>
        <w:adjustRightInd w:val="0"/>
        <w:spacing w:line="480" w:lineRule="exact"/>
        <w:ind w:left="634" w:leftChars="302"/>
        <w:contextualSpacing/>
        <w:rPr>
          <w:rFonts w:ascii="宋体" w:hAnsi="宋体"/>
          <w:bCs/>
          <w:sz w:val="24"/>
          <w:szCs w:val="21"/>
        </w:rPr>
      </w:pPr>
      <w:r>
        <w:rPr>
          <w:rFonts w:hint="eastAsia" w:ascii="宋体" w:hAnsi="宋体"/>
          <w:bCs/>
          <w:sz w:val="24"/>
          <w:szCs w:val="21"/>
        </w:rPr>
        <w:t>责任单位维保滞后一次（进行警告）→再不执行（可确定为维保不力）→即启动第三方维保→扣除本次维保费的2倍费用→从质保金中扣除</w:t>
      </w:r>
    </w:p>
    <w:p>
      <w:pPr>
        <w:adjustRightInd w:val="0"/>
        <w:spacing w:line="480" w:lineRule="exact"/>
        <w:contextualSpacing/>
        <w:rPr>
          <w:rFonts w:ascii="宋体" w:hAnsi="宋体"/>
          <w:bCs/>
          <w:sz w:val="24"/>
          <w:szCs w:val="21"/>
        </w:rPr>
      </w:pPr>
      <w:r>
        <w:rPr>
          <w:rFonts w:hint="eastAsia" w:ascii="宋体" w:hAnsi="宋体"/>
          <w:bCs/>
          <w:sz w:val="24"/>
          <w:szCs w:val="21"/>
        </w:rPr>
        <w:t>6.6.2不同事项（第二单）</w:t>
      </w:r>
    </w:p>
    <w:p>
      <w:pPr>
        <w:adjustRightInd w:val="0"/>
        <w:spacing w:line="480" w:lineRule="exact"/>
        <w:ind w:left="634" w:leftChars="302"/>
        <w:contextualSpacing/>
        <w:rPr>
          <w:rFonts w:ascii="宋体" w:hAnsi="宋体"/>
          <w:bCs/>
          <w:sz w:val="24"/>
          <w:szCs w:val="21"/>
        </w:rPr>
      </w:pPr>
      <w:r>
        <w:rPr>
          <w:rFonts w:hint="eastAsia" w:ascii="宋体" w:hAnsi="宋体"/>
          <w:bCs/>
          <w:sz w:val="24"/>
          <w:szCs w:val="21"/>
        </w:rPr>
        <w:t>责任单位维保滞后→即启动第三方维保→扣除本次维保费的3倍费用→从质保金中扣除</w:t>
      </w:r>
    </w:p>
    <w:p>
      <w:pPr>
        <w:adjustRightInd w:val="0"/>
        <w:spacing w:line="480" w:lineRule="exact"/>
        <w:contextualSpacing/>
        <w:rPr>
          <w:rFonts w:ascii="宋体" w:hAnsi="宋体"/>
          <w:bCs/>
          <w:sz w:val="24"/>
          <w:szCs w:val="21"/>
        </w:rPr>
      </w:pPr>
      <w:r>
        <w:rPr>
          <w:rFonts w:hint="eastAsia" w:ascii="宋体" w:hAnsi="宋体"/>
          <w:bCs/>
          <w:sz w:val="24"/>
          <w:szCs w:val="21"/>
        </w:rPr>
        <w:t>6.6.3不同事项（第三单）</w:t>
      </w:r>
    </w:p>
    <w:p>
      <w:pPr>
        <w:adjustRightInd w:val="0"/>
        <w:spacing w:line="480" w:lineRule="exact"/>
        <w:ind w:left="634" w:leftChars="302"/>
        <w:contextualSpacing/>
        <w:rPr>
          <w:rFonts w:ascii="宋体" w:hAnsi="宋体"/>
          <w:bCs/>
          <w:sz w:val="24"/>
          <w:szCs w:val="21"/>
        </w:rPr>
      </w:pPr>
      <w:r>
        <w:rPr>
          <w:rFonts w:hint="eastAsia" w:ascii="宋体" w:hAnsi="宋体"/>
          <w:bCs/>
          <w:sz w:val="24"/>
          <w:szCs w:val="21"/>
        </w:rPr>
        <w:t>责任单位维保滞后→即由第三方维保单位暂时接管该单位的维保工作，并扣留全部质保金（用于第三方维保）→不免除质量追责</w:t>
      </w:r>
    </w:p>
    <w:p>
      <w:pPr>
        <w:adjustRightInd w:val="0"/>
        <w:spacing w:line="480" w:lineRule="exact"/>
        <w:ind w:left="600" w:hanging="600" w:hangingChars="250"/>
        <w:contextualSpacing/>
        <w:rPr>
          <w:rFonts w:ascii="宋体" w:hAnsi="宋体"/>
          <w:bCs/>
          <w:sz w:val="24"/>
          <w:szCs w:val="21"/>
        </w:rPr>
      </w:pPr>
      <w:r>
        <w:rPr>
          <w:rFonts w:hint="eastAsia" w:ascii="宋体" w:hAnsi="宋体"/>
          <w:bCs/>
          <w:sz w:val="24"/>
          <w:szCs w:val="21"/>
        </w:rPr>
        <w:t>6.6.4对维修不及时的责任单位，扣除相应的质保金，监理单位承担相应的连带责任，按比例扣除质保金，还要分别发通报批评。</w:t>
      </w:r>
    </w:p>
    <w:p>
      <w:pPr>
        <w:adjustRightInd w:val="0"/>
        <w:spacing w:line="480" w:lineRule="exact"/>
        <w:ind w:left="600" w:hanging="600" w:hangingChars="250"/>
        <w:contextualSpacing/>
        <w:rPr>
          <w:rFonts w:ascii="宋体" w:hAnsi="宋体"/>
          <w:bCs/>
          <w:sz w:val="24"/>
          <w:szCs w:val="21"/>
        </w:rPr>
      </w:pPr>
      <w:r>
        <w:rPr>
          <w:rFonts w:hint="eastAsia" w:ascii="宋体" w:hAnsi="宋体"/>
          <w:bCs/>
          <w:sz w:val="24"/>
          <w:szCs w:val="21"/>
        </w:rPr>
        <w:t>6.6.5连续3次不按时维修的，除扣留全部质保金外，相应承包商列入黑名单并抄送住建局，3年内不得参加我司的任何投标；并根据合同及有关办法、规定追究有关单位的责任。</w:t>
      </w:r>
    </w:p>
    <w:p>
      <w:pPr>
        <w:adjustRightInd w:val="0"/>
        <w:spacing w:line="480" w:lineRule="exact"/>
        <w:contextualSpacing/>
        <w:rPr>
          <w:rFonts w:ascii="宋体" w:hAnsi="宋体"/>
          <w:bCs/>
          <w:sz w:val="24"/>
          <w:szCs w:val="21"/>
        </w:rPr>
      </w:pPr>
      <w:r>
        <w:rPr>
          <w:rFonts w:hint="eastAsia" w:ascii="宋体" w:hAnsi="宋体"/>
          <w:bCs/>
          <w:sz w:val="24"/>
          <w:szCs w:val="21"/>
        </w:rPr>
        <w:t>6.6.6责任认定结果及履行维修责任情况纳入履约考核评价体系。</w:t>
      </w:r>
    </w:p>
    <w:p>
      <w:pPr>
        <w:adjustRightInd w:val="0"/>
        <w:spacing w:line="480" w:lineRule="exact"/>
        <w:ind w:left="600" w:hanging="600" w:hangingChars="250"/>
        <w:contextualSpacing/>
        <w:rPr>
          <w:rFonts w:ascii="宋体" w:hAnsi="宋体"/>
          <w:bCs/>
          <w:sz w:val="24"/>
          <w:szCs w:val="21"/>
        </w:rPr>
      </w:pPr>
      <w:r>
        <w:rPr>
          <w:rFonts w:hint="eastAsia" w:ascii="宋体" w:hAnsi="宋体"/>
          <w:bCs/>
          <w:sz w:val="24"/>
          <w:szCs w:val="21"/>
        </w:rPr>
        <w:t>6.6.7各施工单位、监理单位在申请支付质保金时，需安监工程部、客户服务部、物业审核该单位是否已履行合同保修义务，并结合验收、回访以及客户满意度情况进行审核。</w:t>
      </w:r>
    </w:p>
    <w:p>
      <w:pPr>
        <w:pStyle w:val="4"/>
        <w:spacing w:line="360" w:lineRule="auto"/>
        <w:ind w:firstLine="0" w:firstLineChars="0"/>
        <w:outlineLvl w:val="0"/>
        <w:rPr>
          <w:rFonts w:ascii="宋体" w:hAnsi="宋体" w:cs="宋体"/>
          <w:b/>
          <w:sz w:val="24"/>
          <w:szCs w:val="24"/>
        </w:rPr>
      </w:pPr>
      <w:r>
        <w:rPr>
          <w:rFonts w:hint="eastAsia" w:ascii="宋体" w:hAnsi="宋体" w:cs="宋体"/>
          <w:b/>
          <w:sz w:val="24"/>
          <w:szCs w:val="24"/>
        </w:rPr>
        <w:t>6.7其它</w:t>
      </w:r>
    </w:p>
    <w:p>
      <w:pPr>
        <w:adjustRightInd w:val="0"/>
        <w:spacing w:line="480" w:lineRule="exact"/>
        <w:ind w:left="720" w:hanging="720" w:hangingChars="300"/>
        <w:contextualSpacing/>
        <w:rPr>
          <w:rFonts w:ascii="宋体" w:hAnsi="宋体"/>
          <w:bCs/>
          <w:sz w:val="24"/>
          <w:szCs w:val="21"/>
        </w:rPr>
      </w:pPr>
      <w:r>
        <w:rPr>
          <w:rFonts w:hint="eastAsia" w:ascii="宋体" w:hAnsi="宋体"/>
          <w:bCs/>
          <w:sz w:val="24"/>
          <w:szCs w:val="21"/>
        </w:rPr>
        <w:t>6.7.1各项目物业交接时，项目部负责组织各责任施工单位、物业公司依据工程承包合同、物业委托合同、工程担保合同的具体情况签订三方保修合同，并组织落实与物业管理公司有关的委托事务。</w:t>
      </w:r>
    </w:p>
    <w:p>
      <w:pPr>
        <w:adjustRightInd w:val="0"/>
        <w:spacing w:line="480" w:lineRule="exact"/>
        <w:ind w:left="720" w:hanging="720" w:hangingChars="300"/>
        <w:contextualSpacing/>
        <w:rPr>
          <w:rFonts w:ascii="宋体" w:hAnsi="宋体"/>
          <w:bCs/>
          <w:sz w:val="24"/>
          <w:szCs w:val="21"/>
        </w:rPr>
      </w:pPr>
      <w:r>
        <w:rPr>
          <w:rFonts w:hint="eastAsia" w:ascii="宋体" w:hAnsi="宋体"/>
          <w:bCs/>
          <w:sz w:val="24"/>
          <w:szCs w:val="21"/>
        </w:rPr>
        <w:t>6.7.2各项目入伙后至少半年内，项目部不得解散，并确保集中处理客户提出的各种维保问题，直至客户满意。原则上，维保问题未整改完，不得解散项目部。</w:t>
      </w:r>
    </w:p>
    <w:p>
      <w:pPr>
        <w:adjustRightInd w:val="0"/>
        <w:spacing w:line="480" w:lineRule="exact"/>
        <w:ind w:left="720" w:hanging="720" w:hangingChars="300"/>
        <w:contextualSpacing/>
        <w:rPr>
          <w:rFonts w:ascii="宋体" w:hAnsi="宋体"/>
          <w:bCs/>
          <w:sz w:val="24"/>
          <w:szCs w:val="21"/>
        </w:rPr>
      </w:pPr>
      <w:r>
        <w:rPr>
          <w:rFonts w:hint="eastAsia" w:ascii="宋体" w:hAnsi="宋体"/>
          <w:bCs/>
          <w:sz w:val="24"/>
          <w:szCs w:val="21"/>
        </w:rPr>
        <w:t>6.7.3项目部（公司）解散前，应确保已发现的问题全部整改合格后，再将有关工程维修业务及资料等移交安监工程部。否则，不予接收。</w:t>
      </w:r>
    </w:p>
    <w:p>
      <w:pPr>
        <w:adjustRightInd w:val="0"/>
        <w:spacing w:line="480" w:lineRule="exact"/>
        <w:ind w:left="720" w:hanging="720" w:hangingChars="300"/>
        <w:contextualSpacing/>
        <w:rPr>
          <w:rFonts w:ascii="宋体" w:hAnsi="宋体"/>
          <w:bCs/>
          <w:sz w:val="24"/>
          <w:szCs w:val="21"/>
        </w:rPr>
      </w:pPr>
      <w:r>
        <w:rPr>
          <w:rFonts w:hint="eastAsia" w:ascii="宋体" w:hAnsi="宋体"/>
          <w:bCs/>
          <w:sz w:val="24"/>
          <w:szCs w:val="21"/>
        </w:rPr>
        <w:t>6.7.4质保期内发现的问题未及时整改完成的，应由原责任单位继续组织整改至完成。</w:t>
      </w:r>
    </w:p>
    <w:p>
      <w:pPr>
        <w:adjustRightInd w:val="0"/>
        <w:spacing w:line="480" w:lineRule="exact"/>
        <w:ind w:left="720" w:hanging="720" w:hangingChars="300"/>
        <w:contextualSpacing/>
        <w:rPr>
          <w:rFonts w:ascii="宋体" w:hAnsi="宋体"/>
          <w:bCs/>
          <w:sz w:val="24"/>
          <w:szCs w:val="21"/>
        </w:rPr>
      </w:pPr>
      <w:r>
        <w:rPr>
          <w:rFonts w:hint="eastAsia" w:ascii="宋体" w:hAnsi="宋体"/>
          <w:bCs/>
          <w:sz w:val="24"/>
          <w:szCs w:val="21"/>
        </w:rPr>
        <w:t>6.7.5各有关部门、单位应做好质保金支付的管控，确保质保期内的资金保障，并督促监理单位切实履行质保期内的职责。同时，做好第三方维保单位维修费用的管理和把控，原则上不超过该项目的质保金。</w:t>
      </w:r>
    </w:p>
    <w:p>
      <w:pPr>
        <w:adjustRightInd w:val="0"/>
        <w:spacing w:line="480" w:lineRule="exact"/>
        <w:ind w:left="720" w:hanging="720" w:hangingChars="300"/>
        <w:contextualSpacing/>
        <w:rPr>
          <w:rFonts w:ascii="宋体" w:hAnsi="宋体"/>
          <w:bCs/>
          <w:sz w:val="24"/>
          <w:szCs w:val="21"/>
        </w:rPr>
      </w:pPr>
      <w:r>
        <w:rPr>
          <w:rFonts w:hint="eastAsia" w:ascii="宋体" w:hAnsi="宋体"/>
          <w:bCs/>
          <w:sz w:val="24"/>
          <w:szCs w:val="21"/>
        </w:rPr>
        <w:t>6.7.6项目部、安监工程部、客户服务部、物业根据维修类型进行委托，填写《单项维修施工委托单》。</w:t>
      </w:r>
    </w:p>
    <w:p>
      <w:pPr>
        <w:adjustRightInd w:val="0"/>
        <w:spacing w:line="480" w:lineRule="exact"/>
        <w:ind w:left="424" w:leftChars="202"/>
        <w:contextualSpacing/>
        <w:rPr>
          <w:rFonts w:ascii="宋体" w:hAnsi="宋体"/>
          <w:bCs/>
          <w:sz w:val="24"/>
          <w:szCs w:val="21"/>
        </w:rPr>
      </w:pPr>
    </w:p>
    <w:p>
      <w:pPr>
        <w:spacing w:line="480" w:lineRule="exact"/>
        <w:contextualSpacing/>
        <w:rPr>
          <w:rFonts w:ascii="宋体" w:hAnsi="宋体"/>
          <w:b/>
          <w:sz w:val="24"/>
          <w:szCs w:val="21"/>
        </w:rPr>
      </w:pPr>
      <w:r>
        <w:rPr>
          <w:rFonts w:hint="eastAsia" w:ascii="宋体" w:hAnsi="宋体"/>
          <w:b/>
          <w:sz w:val="24"/>
          <w:szCs w:val="21"/>
        </w:rPr>
        <w:t>7</w:t>
      </w:r>
      <w:r>
        <w:rPr>
          <w:rFonts w:ascii="宋体" w:hAnsi="宋体"/>
          <w:b/>
          <w:sz w:val="24"/>
          <w:szCs w:val="21"/>
        </w:rPr>
        <w:t>.</w:t>
      </w:r>
      <w:r>
        <w:rPr>
          <w:rFonts w:hint="eastAsia" w:ascii="宋体" w:hAnsi="宋体"/>
          <w:b/>
          <w:sz w:val="24"/>
          <w:szCs w:val="21"/>
        </w:rPr>
        <w:t>相关表格、记录、模板</w:t>
      </w:r>
    </w:p>
    <w:p>
      <w:pPr>
        <w:adjustRightInd w:val="0"/>
        <w:spacing w:line="480" w:lineRule="exact"/>
        <w:contextualSpacing/>
        <w:rPr>
          <w:rFonts w:ascii="宋体" w:hAnsi="宋体"/>
          <w:bCs/>
          <w:sz w:val="24"/>
          <w:szCs w:val="21"/>
        </w:rPr>
      </w:pPr>
      <w:r>
        <w:rPr>
          <w:rFonts w:hint="eastAsia" w:ascii="宋体" w:hAnsi="宋体"/>
          <w:bCs/>
          <w:sz w:val="24"/>
          <w:szCs w:val="21"/>
        </w:rPr>
        <w:t>7</w:t>
      </w:r>
      <w:r>
        <w:rPr>
          <w:rFonts w:ascii="宋体" w:hAnsi="宋体"/>
          <w:bCs/>
          <w:sz w:val="24"/>
          <w:szCs w:val="21"/>
        </w:rPr>
        <w:t>.1</w:t>
      </w:r>
      <w:r>
        <w:rPr>
          <w:rFonts w:hint="eastAsia" w:ascii="宋体" w:hAnsi="宋体"/>
          <w:bCs/>
          <w:sz w:val="24"/>
          <w:szCs w:val="21"/>
        </w:rPr>
        <w:t>《单项维修施工委托单》</w:t>
      </w:r>
    </w:p>
    <w:p>
      <w:pPr>
        <w:adjustRightInd w:val="0"/>
        <w:spacing w:line="480" w:lineRule="exact"/>
        <w:ind w:left="567"/>
        <w:contextualSpacing/>
        <w:rPr>
          <w:rFonts w:ascii="宋体" w:hAnsi="宋体"/>
          <w:sz w:val="24"/>
          <w:szCs w:val="21"/>
        </w:rPr>
      </w:pPr>
    </w:p>
    <w:p>
      <w:pPr>
        <w:spacing w:line="480" w:lineRule="exact"/>
        <w:contextualSpacing/>
        <w:rPr>
          <w:rFonts w:ascii="宋体" w:hAnsi="宋体"/>
          <w:b/>
          <w:sz w:val="24"/>
          <w:szCs w:val="21"/>
        </w:rPr>
      </w:pPr>
      <w:r>
        <w:rPr>
          <w:rFonts w:hint="eastAsia" w:ascii="宋体" w:hAnsi="宋体"/>
          <w:b/>
          <w:sz w:val="24"/>
          <w:szCs w:val="21"/>
        </w:rPr>
        <w:t>8</w:t>
      </w:r>
      <w:r>
        <w:rPr>
          <w:rFonts w:ascii="宋体" w:hAnsi="宋体"/>
          <w:b/>
          <w:sz w:val="24"/>
          <w:szCs w:val="21"/>
        </w:rPr>
        <w:t>.</w:t>
      </w:r>
      <w:r>
        <w:rPr>
          <w:rFonts w:hint="eastAsia" w:ascii="宋体" w:hAnsi="宋体"/>
          <w:b/>
          <w:sz w:val="24"/>
          <w:szCs w:val="21"/>
        </w:rPr>
        <w:t>相关文件</w:t>
      </w:r>
    </w:p>
    <w:p>
      <w:pPr>
        <w:spacing w:line="360" w:lineRule="auto"/>
        <w:ind w:right="840"/>
        <w:outlineLvl w:val="0"/>
        <w:rPr>
          <w:rFonts w:ascii="宋体" w:hAnsi="宋体"/>
        </w:rPr>
      </w:pPr>
      <w:r>
        <w:rPr>
          <w:rFonts w:hint="eastAsia" w:ascii="宋体" w:hAnsi="宋体" w:cs="宋体"/>
          <w:sz w:val="24"/>
          <w:szCs w:val="24"/>
        </w:rPr>
        <w:t>无</w:t>
      </w:r>
    </w:p>
    <w:p>
      <w:pPr>
        <w:spacing w:line="360" w:lineRule="auto"/>
        <w:ind w:right="840"/>
        <w:jc w:val="center"/>
        <w:outlineLvl w:val="0"/>
        <w:rPr>
          <w:rFonts w:ascii="宋体" w:hAnsi="宋体"/>
        </w:rPr>
      </w:pPr>
    </w:p>
    <w:p>
      <w:pPr>
        <w:spacing w:line="360" w:lineRule="auto"/>
        <w:ind w:right="840"/>
        <w:jc w:val="center"/>
        <w:outlineLvl w:val="0"/>
        <w:rPr>
          <w:rFonts w:ascii="宋体" w:hAnsi="宋体"/>
        </w:rPr>
      </w:pPr>
    </w:p>
    <w:p>
      <w:pPr>
        <w:spacing w:line="360" w:lineRule="auto"/>
        <w:ind w:right="840"/>
        <w:outlineLvl w:val="0"/>
        <w:rPr>
          <w:rFonts w:ascii="宋体" w:hAnsi="宋体"/>
        </w:rPr>
      </w:pPr>
    </w:p>
    <w:p>
      <w:pPr>
        <w:spacing w:line="360" w:lineRule="auto"/>
        <w:ind w:right="840"/>
        <w:jc w:val="center"/>
        <w:outlineLvl w:val="0"/>
        <w:rPr>
          <w:rFonts w:ascii="黑体" w:eastAsia="黑体"/>
          <w:sz w:val="32"/>
        </w:rPr>
      </w:pPr>
      <w:r>
        <w:rPr>
          <w:rFonts w:hint="eastAsia" w:ascii="宋体" w:hAnsi="宋体"/>
        </w:rPr>
        <w:t xml:space="preserve">    NO：</w:t>
      </w:r>
    </w:p>
    <w:p>
      <w:pPr>
        <w:spacing w:beforeLines="50" w:afterLines="50"/>
        <w:jc w:val="center"/>
        <w:rPr>
          <w:rFonts w:ascii="黑体" w:eastAsia="黑体"/>
          <w:sz w:val="32"/>
        </w:rPr>
      </w:pPr>
      <w:r>
        <w:rPr>
          <w:rFonts w:hint="eastAsia" w:ascii="黑体" w:eastAsia="黑体"/>
          <w:sz w:val="32"/>
        </w:rPr>
        <w:t>单项维修施工委托单</w:t>
      </w:r>
    </w:p>
    <w:tbl>
      <w:tblPr>
        <w:tblStyle w:val="2"/>
        <w:tblpPr w:leftFromText="180" w:rightFromText="180" w:vertAnchor="page" w:horzAnchor="margin" w:tblpXSpec="center" w:tblpY="487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709"/>
        <w:gridCol w:w="711"/>
        <w:gridCol w:w="850"/>
        <w:gridCol w:w="854"/>
        <w:gridCol w:w="1089"/>
        <w:gridCol w:w="18"/>
        <w:gridCol w:w="823"/>
        <w:gridCol w:w="283"/>
        <w:gridCol w:w="289"/>
        <w:gridCol w:w="499"/>
        <w:gridCol w:w="318"/>
        <w:gridCol w:w="313"/>
        <w:gridCol w:w="241"/>
        <w:gridCol w:w="552"/>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3" w:type="dxa"/>
            <w:noWrap/>
            <w:vAlign w:val="center"/>
          </w:tcPr>
          <w:p>
            <w:pPr>
              <w:tabs>
                <w:tab w:val="left" w:pos="3075"/>
              </w:tabs>
              <w:ind w:leftChars="-67" w:hanging="140" w:hangingChars="67"/>
              <w:jc w:val="left"/>
            </w:pPr>
            <w:r>
              <w:rPr>
                <w:rFonts w:hint="eastAsia" w:ascii="宋体" w:hAnsi="宋体"/>
              </w:rPr>
              <w:t>管理处名称：                               日   期：            年    月    日.</w:t>
            </w:r>
            <w:r>
              <w:rPr>
                <w:rFonts w:hint="eastAsia"/>
              </w:rPr>
              <w:t>客户名称</w:t>
            </w:r>
          </w:p>
        </w:tc>
        <w:tc>
          <w:tcPr>
            <w:tcW w:w="3124" w:type="dxa"/>
            <w:gridSpan w:val="4"/>
            <w:noWrap/>
            <w:vAlign w:val="center"/>
          </w:tcPr>
          <w:p>
            <w:pPr>
              <w:tabs>
                <w:tab w:val="left" w:pos="3075"/>
              </w:tabs>
              <w:ind w:leftChars="-67" w:hanging="140" w:hangingChars="67"/>
              <w:jc w:val="left"/>
            </w:pPr>
          </w:p>
        </w:tc>
        <w:tc>
          <w:tcPr>
            <w:tcW w:w="1089" w:type="dxa"/>
            <w:noWrap/>
            <w:vAlign w:val="center"/>
          </w:tcPr>
          <w:p>
            <w:pPr>
              <w:tabs>
                <w:tab w:val="left" w:pos="3075"/>
              </w:tabs>
              <w:ind w:leftChars="-67" w:hanging="140" w:hangingChars="67"/>
              <w:jc w:val="left"/>
            </w:pPr>
            <w:r>
              <w:rPr>
                <w:rFonts w:hint="eastAsia"/>
              </w:rPr>
              <w:t>报修人</w:t>
            </w:r>
          </w:p>
        </w:tc>
        <w:tc>
          <w:tcPr>
            <w:tcW w:w="1413" w:type="dxa"/>
            <w:gridSpan w:val="4"/>
            <w:noWrap/>
            <w:vAlign w:val="center"/>
          </w:tcPr>
          <w:p>
            <w:pPr>
              <w:tabs>
                <w:tab w:val="left" w:pos="3075"/>
              </w:tabs>
              <w:ind w:leftChars="-67" w:hanging="140" w:hangingChars="67"/>
              <w:jc w:val="left"/>
            </w:pPr>
          </w:p>
        </w:tc>
        <w:tc>
          <w:tcPr>
            <w:tcW w:w="1130" w:type="dxa"/>
            <w:gridSpan w:val="3"/>
            <w:noWrap/>
            <w:vAlign w:val="center"/>
          </w:tcPr>
          <w:p>
            <w:pPr>
              <w:tabs>
                <w:tab w:val="left" w:pos="3075"/>
              </w:tabs>
              <w:ind w:leftChars="-67" w:hanging="140" w:hangingChars="67"/>
              <w:jc w:val="left"/>
            </w:pPr>
            <w:r>
              <w:rPr>
                <w:rFonts w:hint="eastAsia"/>
              </w:rPr>
              <w:t>电话号码</w:t>
            </w:r>
          </w:p>
        </w:tc>
        <w:tc>
          <w:tcPr>
            <w:tcW w:w="1900" w:type="dxa"/>
            <w:gridSpan w:val="3"/>
            <w:noWrap/>
            <w:vAlign w:val="center"/>
          </w:tcPr>
          <w:p>
            <w:pPr>
              <w:tabs>
                <w:tab w:val="left" w:pos="3075"/>
              </w:tabs>
              <w:ind w:leftChars="-67" w:hanging="140" w:hangingChars="67"/>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3" w:type="dxa"/>
            <w:noWrap/>
            <w:vAlign w:val="center"/>
          </w:tcPr>
          <w:p>
            <w:pPr>
              <w:jc w:val="center"/>
            </w:pPr>
            <w:r>
              <w:rPr>
                <w:rFonts w:hint="eastAsia"/>
              </w:rPr>
              <w:t>报修内容</w:t>
            </w:r>
          </w:p>
        </w:tc>
        <w:tc>
          <w:tcPr>
            <w:tcW w:w="3124" w:type="dxa"/>
            <w:gridSpan w:val="4"/>
            <w:noWrap/>
            <w:vAlign w:val="center"/>
          </w:tcPr>
          <w:p>
            <w:pPr>
              <w:jc w:val="center"/>
            </w:pPr>
          </w:p>
        </w:tc>
        <w:tc>
          <w:tcPr>
            <w:tcW w:w="1089" w:type="dxa"/>
            <w:noWrap/>
            <w:vAlign w:val="center"/>
          </w:tcPr>
          <w:p>
            <w:pPr>
              <w:jc w:val="center"/>
            </w:pPr>
            <w:r>
              <w:rPr>
                <w:rFonts w:hint="eastAsia"/>
              </w:rPr>
              <w:t>维修地址</w:t>
            </w:r>
          </w:p>
        </w:tc>
        <w:tc>
          <w:tcPr>
            <w:tcW w:w="1413" w:type="dxa"/>
            <w:gridSpan w:val="4"/>
            <w:noWrap/>
            <w:vAlign w:val="center"/>
          </w:tcPr>
          <w:p>
            <w:pPr>
              <w:jc w:val="center"/>
            </w:pPr>
          </w:p>
        </w:tc>
        <w:tc>
          <w:tcPr>
            <w:tcW w:w="1130" w:type="dxa"/>
            <w:gridSpan w:val="3"/>
            <w:noWrap/>
            <w:vAlign w:val="center"/>
          </w:tcPr>
          <w:p>
            <w:pPr>
              <w:jc w:val="center"/>
              <w:rPr>
                <w:rFonts w:ascii="宋体" w:hAnsi="宋体"/>
              </w:rPr>
            </w:pPr>
            <w:r>
              <w:rPr>
                <w:rFonts w:hint="eastAsia"/>
              </w:rPr>
              <w:t>发单时间</w:t>
            </w:r>
          </w:p>
        </w:tc>
        <w:tc>
          <w:tcPr>
            <w:tcW w:w="1900" w:type="dxa"/>
            <w:gridSpan w:val="3"/>
            <w:noWrap/>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3" w:type="dxa"/>
            <w:noWrap/>
            <w:vAlign w:val="center"/>
          </w:tcPr>
          <w:p>
            <w:pPr>
              <w:jc w:val="center"/>
            </w:pPr>
            <w:r>
              <w:rPr>
                <w:rFonts w:hint="eastAsia"/>
              </w:rPr>
              <w:t>维修性质</w:t>
            </w:r>
          </w:p>
        </w:tc>
        <w:tc>
          <w:tcPr>
            <w:tcW w:w="3124" w:type="dxa"/>
            <w:gridSpan w:val="4"/>
            <w:noWrap/>
            <w:vAlign w:val="center"/>
          </w:tcPr>
          <w:p>
            <w:pPr>
              <w:jc w:val="center"/>
            </w:pPr>
            <w:r>
              <w:rPr>
                <w:rFonts w:hint="eastAsia" w:ascii="宋体" w:hAnsi="宋体"/>
              </w:rPr>
              <w:t>□  有偿服务  □  无偿服务</w:t>
            </w:r>
          </w:p>
        </w:tc>
        <w:tc>
          <w:tcPr>
            <w:tcW w:w="1089" w:type="dxa"/>
            <w:noWrap/>
            <w:vAlign w:val="center"/>
          </w:tcPr>
          <w:p>
            <w:pPr>
              <w:jc w:val="center"/>
            </w:pPr>
            <w:r>
              <w:rPr>
                <w:rFonts w:hint="eastAsia"/>
              </w:rPr>
              <w:t>派单人</w:t>
            </w:r>
          </w:p>
        </w:tc>
        <w:tc>
          <w:tcPr>
            <w:tcW w:w="1413" w:type="dxa"/>
            <w:gridSpan w:val="4"/>
            <w:noWrap/>
            <w:vAlign w:val="center"/>
          </w:tcPr>
          <w:p>
            <w:pPr>
              <w:jc w:val="center"/>
            </w:pPr>
          </w:p>
        </w:tc>
        <w:tc>
          <w:tcPr>
            <w:tcW w:w="1130" w:type="dxa"/>
            <w:gridSpan w:val="3"/>
            <w:noWrap/>
            <w:vAlign w:val="center"/>
          </w:tcPr>
          <w:p>
            <w:pPr>
              <w:jc w:val="center"/>
            </w:pPr>
            <w:r>
              <w:rPr>
                <w:rFonts w:hint="eastAsia"/>
              </w:rPr>
              <w:t>回单时间</w:t>
            </w:r>
          </w:p>
        </w:tc>
        <w:tc>
          <w:tcPr>
            <w:tcW w:w="1900" w:type="dxa"/>
            <w:gridSpan w:val="3"/>
            <w:noWrap/>
            <w:vAlign w:val="center"/>
          </w:tcPr>
          <w:p>
            <w:pPr>
              <w:jc w:val="righ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3" w:type="dxa"/>
            <w:noWrap/>
            <w:vAlign w:val="center"/>
          </w:tcPr>
          <w:p>
            <w:pPr>
              <w:jc w:val="center"/>
            </w:pPr>
            <w:r>
              <w:rPr>
                <w:rFonts w:hint="eastAsia"/>
              </w:rPr>
              <w:t>原来责任单位</w:t>
            </w:r>
          </w:p>
        </w:tc>
        <w:tc>
          <w:tcPr>
            <w:tcW w:w="3124" w:type="dxa"/>
            <w:gridSpan w:val="4"/>
            <w:noWrap/>
            <w:vAlign w:val="center"/>
          </w:tcPr>
          <w:p>
            <w:pPr>
              <w:jc w:val="center"/>
              <w:rPr>
                <w:rFonts w:ascii="宋体" w:hAnsi="宋体"/>
              </w:rPr>
            </w:pPr>
          </w:p>
        </w:tc>
        <w:tc>
          <w:tcPr>
            <w:tcW w:w="1089" w:type="dxa"/>
            <w:noWrap/>
            <w:vAlign w:val="center"/>
          </w:tcPr>
          <w:p>
            <w:pPr>
              <w:jc w:val="center"/>
            </w:pPr>
            <w:r>
              <w:rPr>
                <w:rFonts w:hint="eastAsia"/>
              </w:rPr>
              <w:t>维修单位</w:t>
            </w:r>
          </w:p>
        </w:tc>
        <w:tc>
          <w:tcPr>
            <w:tcW w:w="4443" w:type="dxa"/>
            <w:gridSpan w:val="10"/>
            <w:noWrap/>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889" w:type="dxa"/>
            <w:gridSpan w:val="16"/>
            <w:noWrap/>
            <w:vAlign w:val="center"/>
          </w:tcPr>
          <w:p>
            <w:pPr>
              <w:jc w:val="left"/>
              <w:rPr>
                <w:rFonts w:ascii="宋体" w:hAnsi="宋体"/>
              </w:rPr>
            </w:pPr>
            <w:r>
              <w:rPr>
                <w:rFonts w:hint="eastAsia"/>
              </w:rPr>
              <w:t>维修开始及完成时间：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357" w:type="dxa"/>
            <w:gridSpan w:val="5"/>
            <w:noWrap/>
            <w:vAlign w:val="center"/>
          </w:tcPr>
          <w:p>
            <w:pPr>
              <w:jc w:val="center"/>
              <w:rPr>
                <w:b/>
              </w:rPr>
            </w:pPr>
            <w:r>
              <w:rPr>
                <w:rFonts w:hint="eastAsia"/>
                <w:b/>
              </w:rPr>
              <w:t>维修费用</w:t>
            </w:r>
          </w:p>
        </w:tc>
        <w:tc>
          <w:tcPr>
            <w:tcW w:w="1089" w:type="dxa"/>
            <w:noWrap/>
            <w:vAlign w:val="center"/>
          </w:tcPr>
          <w:p>
            <w:pPr>
              <w:jc w:val="center"/>
            </w:pPr>
            <w:r>
              <w:rPr>
                <w:rFonts w:hint="eastAsia"/>
                <w:szCs w:val="21"/>
              </w:rPr>
              <w:t>维修人员</w:t>
            </w:r>
          </w:p>
        </w:tc>
        <w:tc>
          <w:tcPr>
            <w:tcW w:w="4443" w:type="dxa"/>
            <w:gridSpan w:val="10"/>
            <w:noWrap/>
            <w:vAlign w:val="center"/>
          </w:tcPr>
          <w:p>
            <w:pPr>
              <w:jc w:val="center"/>
              <w:rPr>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233" w:type="dxa"/>
            <w:vMerge w:val="restart"/>
            <w:noWrap/>
            <w:vAlign w:val="center"/>
          </w:tcPr>
          <w:p>
            <w:pPr>
              <w:jc w:val="center"/>
            </w:pPr>
            <w:r>
              <w:rPr>
                <w:rFonts w:hint="eastAsia"/>
              </w:rPr>
              <w:t>项目名称</w:t>
            </w:r>
          </w:p>
        </w:tc>
        <w:tc>
          <w:tcPr>
            <w:tcW w:w="709" w:type="dxa"/>
            <w:vMerge w:val="restart"/>
            <w:noWrap/>
            <w:vAlign w:val="center"/>
          </w:tcPr>
          <w:p>
            <w:pPr>
              <w:jc w:val="center"/>
            </w:pPr>
            <w:r>
              <w:rPr>
                <w:rFonts w:hint="eastAsia"/>
              </w:rPr>
              <w:t>单位</w:t>
            </w:r>
          </w:p>
        </w:tc>
        <w:tc>
          <w:tcPr>
            <w:tcW w:w="711" w:type="dxa"/>
            <w:vMerge w:val="restart"/>
            <w:noWrap/>
            <w:vAlign w:val="center"/>
          </w:tcPr>
          <w:p>
            <w:pPr>
              <w:jc w:val="center"/>
            </w:pPr>
            <w:r>
              <w:rPr>
                <w:rFonts w:hint="eastAsia"/>
              </w:rPr>
              <w:t>数量</w:t>
            </w:r>
          </w:p>
        </w:tc>
        <w:tc>
          <w:tcPr>
            <w:tcW w:w="850" w:type="dxa"/>
            <w:vMerge w:val="restart"/>
            <w:noWrap/>
            <w:vAlign w:val="center"/>
          </w:tcPr>
          <w:p>
            <w:pPr>
              <w:jc w:val="center"/>
            </w:pPr>
            <w:r>
              <w:rPr>
                <w:rFonts w:hint="eastAsia"/>
              </w:rPr>
              <w:t>单价</w:t>
            </w:r>
          </w:p>
        </w:tc>
        <w:tc>
          <w:tcPr>
            <w:tcW w:w="854" w:type="dxa"/>
            <w:vMerge w:val="restart"/>
            <w:noWrap/>
            <w:vAlign w:val="center"/>
          </w:tcPr>
          <w:p>
            <w:pPr>
              <w:jc w:val="center"/>
            </w:pPr>
            <w:r>
              <w:rPr>
                <w:rFonts w:hint="eastAsia"/>
              </w:rPr>
              <w:t>合价</w:t>
            </w:r>
          </w:p>
        </w:tc>
        <w:tc>
          <w:tcPr>
            <w:tcW w:w="3873" w:type="dxa"/>
            <w:gridSpan w:val="9"/>
            <w:noWrap/>
            <w:vAlign w:val="center"/>
          </w:tcPr>
          <w:p>
            <w:pPr>
              <w:jc w:val="center"/>
              <w:rPr>
                <w:szCs w:val="21"/>
              </w:rPr>
            </w:pPr>
            <w:r>
              <w:rPr>
                <w:rFonts w:hint="eastAsia"/>
                <w:b/>
                <w:szCs w:val="21"/>
              </w:rPr>
              <w:t>验收意见</w:t>
            </w:r>
          </w:p>
        </w:tc>
        <w:tc>
          <w:tcPr>
            <w:tcW w:w="1659" w:type="dxa"/>
            <w:gridSpan w:val="2"/>
            <w:vMerge w:val="restart"/>
            <w:noWrap/>
            <w:vAlign w:val="center"/>
          </w:tcPr>
          <w:p>
            <w:pPr>
              <w:jc w:val="center"/>
            </w:pPr>
            <w:r>
              <w:rPr>
                <w:rFonts w:hint="eastAsia"/>
                <w:b/>
                <w:szCs w:val="21"/>
              </w:rPr>
              <w:t>客户确认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233" w:type="dxa"/>
            <w:vMerge w:val="continue"/>
            <w:noWrap/>
            <w:vAlign w:val="center"/>
          </w:tcPr>
          <w:p>
            <w:pPr>
              <w:jc w:val="center"/>
            </w:pPr>
          </w:p>
        </w:tc>
        <w:tc>
          <w:tcPr>
            <w:tcW w:w="709" w:type="dxa"/>
            <w:vMerge w:val="continue"/>
            <w:noWrap/>
            <w:vAlign w:val="center"/>
          </w:tcPr>
          <w:p>
            <w:pPr>
              <w:jc w:val="center"/>
            </w:pPr>
          </w:p>
        </w:tc>
        <w:tc>
          <w:tcPr>
            <w:tcW w:w="711" w:type="dxa"/>
            <w:vMerge w:val="continue"/>
            <w:noWrap/>
            <w:vAlign w:val="center"/>
          </w:tcPr>
          <w:p>
            <w:pPr>
              <w:jc w:val="center"/>
            </w:pPr>
          </w:p>
        </w:tc>
        <w:tc>
          <w:tcPr>
            <w:tcW w:w="850" w:type="dxa"/>
            <w:vMerge w:val="continue"/>
            <w:noWrap/>
            <w:vAlign w:val="center"/>
          </w:tcPr>
          <w:p>
            <w:pPr>
              <w:jc w:val="center"/>
            </w:pPr>
          </w:p>
        </w:tc>
        <w:tc>
          <w:tcPr>
            <w:tcW w:w="854" w:type="dxa"/>
            <w:vMerge w:val="continue"/>
            <w:noWrap/>
            <w:vAlign w:val="center"/>
          </w:tcPr>
          <w:p>
            <w:pPr>
              <w:jc w:val="center"/>
            </w:pPr>
          </w:p>
        </w:tc>
        <w:tc>
          <w:tcPr>
            <w:tcW w:w="1107" w:type="dxa"/>
            <w:gridSpan w:val="2"/>
            <w:tcBorders>
              <w:tl2br w:val="single" w:color="auto" w:sz="4" w:space="0"/>
            </w:tcBorders>
            <w:noWrap/>
            <w:vAlign w:val="center"/>
          </w:tcPr>
          <w:p>
            <w:pPr>
              <w:jc w:val="center"/>
              <w:rPr>
                <w:szCs w:val="21"/>
              </w:rPr>
            </w:pPr>
          </w:p>
        </w:tc>
        <w:tc>
          <w:tcPr>
            <w:tcW w:w="823" w:type="dxa"/>
            <w:noWrap/>
            <w:vAlign w:val="center"/>
          </w:tcPr>
          <w:p>
            <w:pPr>
              <w:jc w:val="center"/>
              <w:rPr>
                <w:szCs w:val="21"/>
              </w:rPr>
            </w:pPr>
            <w:r>
              <w:rPr>
                <w:rFonts w:hint="eastAsia"/>
                <w:szCs w:val="21"/>
              </w:rPr>
              <w:t>满意</w:t>
            </w:r>
          </w:p>
        </w:tc>
        <w:tc>
          <w:tcPr>
            <w:tcW w:w="1071" w:type="dxa"/>
            <w:gridSpan w:val="3"/>
            <w:noWrap/>
            <w:vAlign w:val="center"/>
          </w:tcPr>
          <w:p>
            <w:pPr>
              <w:rPr>
                <w:szCs w:val="21"/>
              </w:rPr>
            </w:pPr>
            <w:r>
              <w:rPr>
                <w:rFonts w:hint="eastAsia"/>
                <w:szCs w:val="21"/>
              </w:rPr>
              <w:t>基本满意</w:t>
            </w:r>
          </w:p>
        </w:tc>
        <w:tc>
          <w:tcPr>
            <w:tcW w:w="872" w:type="dxa"/>
            <w:gridSpan w:val="3"/>
            <w:noWrap/>
            <w:vAlign w:val="center"/>
          </w:tcPr>
          <w:p>
            <w:pPr>
              <w:rPr>
                <w:szCs w:val="21"/>
              </w:rPr>
            </w:pPr>
            <w:r>
              <w:rPr>
                <w:rFonts w:hint="eastAsia"/>
                <w:szCs w:val="21"/>
              </w:rPr>
              <w:t>不满意</w:t>
            </w:r>
          </w:p>
        </w:tc>
        <w:tc>
          <w:tcPr>
            <w:tcW w:w="1659" w:type="dxa"/>
            <w:gridSpan w:val="2"/>
            <w:vMerge w:val="continue"/>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3" w:type="dxa"/>
            <w:noWrap/>
            <w:vAlign w:val="center"/>
          </w:tcPr>
          <w:p>
            <w:pPr>
              <w:jc w:val="center"/>
              <w:rPr>
                <w:b/>
              </w:rPr>
            </w:pPr>
          </w:p>
        </w:tc>
        <w:tc>
          <w:tcPr>
            <w:tcW w:w="709" w:type="dxa"/>
            <w:noWrap/>
            <w:vAlign w:val="center"/>
          </w:tcPr>
          <w:p>
            <w:pPr>
              <w:jc w:val="center"/>
              <w:rPr>
                <w:b/>
              </w:rPr>
            </w:pPr>
          </w:p>
        </w:tc>
        <w:tc>
          <w:tcPr>
            <w:tcW w:w="711" w:type="dxa"/>
            <w:noWrap/>
            <w:vAlign w:val="center"/>
          </w:tcPr>
          <w:p>
            <w:pPr>
              <w:jc w:val="center"/>
              <w:rPr>
                <w:b/>
              </w:rPr>
            </w:pPr>
          </w:p>
        </w:tc>
        <w:tc>
          <w:tcPr>
            <w:tcW w:w="850" w:type="dxa"/>
            <w:noWrap/>
            <w:vAlign w:val="center"/>
          </w:tcPr>
          <w:p>
            <w:pPr>
              <w:jc w:val="center"/>
              <w:rPr>
                <w:b/>
              </w:rPr>
            </w:pPr>
          </w:p>
        </w:tc>
        <w:tc>
          <w:tcPr>
            <w:tcW w:w="854" w:type="dxa"/>
            <w:noWrap/>
            <w:vAlign w:val="center"/>
          </w:tcPr>
          <w:p>
            <w:pPr>
              <w:jc w:val="center"/>
              <w:rPr>
                <w:b/>
              </w:rPr>
            </w:pPr>
          </w:p>
        </w:tc>
        <w:tc>
          <w:tcPr>
            <w:tcW w:w="1107" w:type="dxa"/>
            <w:gridSpan w:val="2"/>
            <w:noWrap/>
            <w:vAlign w:val="center"/>
          </w:tcPr>
          <w:p>
            <w:pPr>
              <w:jc w:val="center"/>
              <w:rPr>
                <w:szCs w:val="21"/>
              </w:rPr>
            </w:pPr>
            <w:r>
              <w:rPr>
                <w:rFonts w:hint="eastAsia"/>
                <w:szCs w:val="21"/>
              </w:rPr>
              <w:t>维修质量</w:t>
            </w:r>
          </w:p>
        </w:tc>
        <w:tc>
          <w:tcPr>
            <w:tcW w:w="823" w:type="dxa"/>
            <w:noWrap/>
            <w:vAlign w:val="center"/>
          </w:tcPr>
          <w:p>
            <w:pPr>
              <w:rPr>
                <w:szCs w:val="21"/>
              </w:rPr>
            </w:pPr>
          </w:p>
        </w:tc>
        <w:tc>
          <w:tcPr>
            <w:tcW w:w="1071" w:type="dxa"/>
            <w:gridSpan w:val="3"/>
            <w:noWrap/>
            <w:vAlign w:val="center"/>
          </w:tcPr>
          <w:p>
            <w:pPr>
              <w:jc w:val="center"/>
              <w:rPr>
                <w:szCs w:val="21"/>
              </w:rPr>
            </w:pPr>
          </w:p>
        </w:tc>
        <w:tc>
          <w:tcPr>
            <w:tcW w:w="872" w:type="dxa"/>
            <w:gridSpan w:val="3"/>
            <w:noWrap/>
            <w:vAlign w:val="center"/>
          </w:tcPr>
          <w:p>
            <w:pPr>
              <w:jc w:val="center"/>
              <w:rPr>
                <w:szCs w:val="21"/>
              </w:rPr>
            </w:pPr>
          </w:p>
        </w:tc>
        <w:tc>
          <w:tcPr>
            <w:tcW w:w="1659" w:type="dxa"/>
            <w:gridSpan w:val="2"/>
            <w:vMerge w:val="restart"/>
            <w:noWrap/>
            <w:vAlign w:val="center"/>
          </w:tcPr>
          <w:p>
            <w:pPr>
              <w:jc w:val="center"/>
              <w:rPr>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3" w:type="dxa"/>
            <w:noWrap/>
            <w:vAlign w:val="center"/>
          </w:tcPr>
          <w:p>
            <w:pPr>
              <w:jc w:val="center"/>
              <w:rPr>
                <w:b/>
              </w:rPr>
            </w:pPr>
          </w:p>
        </w:tc>
        <w:tc>
          <w:tcPr>
            <w:tcW w:w="709" w:type="dxa"/>
            <w:noWrap/>
            <w:vAlign w:val="center"/>
          </w:tcPr>
          <w:p>
            <w:pPr>
              <w:jc w:val="center"/>
              <w:rPr>
                <w:b/>
              </w:rPr>
            </w:pPr>
          </w:p>
        </w:tc>
        <w:tc>
          <w:tcPr>
            <w:tcW w:w="711" w:type="dxa"/>
            <w:noWrap/>
            <w:vAlign w:val="center"/>
          </w:tcPr>
          <w:p>
            <w:pPr>
              <w:jc w:val="center"/>
              <w:rPr>
                <w:b/>
              </w:rPr>
            </w:pPr>
          </w:p>
        </w:tc>
        <w:tc>
          <w:tcPr>
            <w:tcW w:w="850" w:type="dxa"/>
            <w:noWrap/>
            <w:vAlign w:val="center"/>
          </w:tcPr>
          <w:p>
            <w:pPr>
              <w:jc w:val="center"/>
              <w:rPr>
                <w:b/>
              </w:rPr>
            </w:pPr>
          </w:p>
        </w:tc>
        <w:tc>
          <w:tcPr>
            <w:tcW w:w="854" w:type="dxa"/>
            <w:noWrap/>
            <w:vAlign w:val="center"/>
          </w:tcPr>
          <w:p>
            <w:pPr>
              <w:jc w:val="center"/>
              <w:rPr>
                <w:b/>
              </w:rPr>
            </w:pPr>
          </w:p>
        </w:tc>
        <w:tc>
          <w:tcPr>
            <w:tcW w:w="1107" w:type="dxa"/>
            <w:gridSpan w:val="2"/>
            <w:noWrap/>
            <w:vAlign w:val="center"/>
          </w:tcPr>
          <w:p>
            <w:pPr>
              <w:jc w:val="center"/>
              <w:rPr>
                <w:szCs w:val="21"/>
              </w:rPr>
            </w:pPr>
            <w:r>
              <w:rPr>
                <w:rFonts w:hint="eastAsia"/>
                <w:szCs w:val="21"/>
              </w:rPr>
              <w:t>服务态度</w:t>
            </w:r>
          </w:p>
        </w:tc>
        <w:tc>
          <w:tcPr>
            <w:tcW w:w="823" w:type="dxa"/>
            <w:noWrap/>
            <w:vAlign w:val="center"/>
          </w:tcPr>
          <w:p>
            <w:pPr>
              <w:rPr>
                <w:szCs w:val="21"/>
              </w:rPr>
            </w:pPr>
          </w:p>
        </w:tc>
        <w:tc>
          <w:tcPr>
            <w:tcW w:w="1071" w:type="dxa"/>
            <w:gridSpan w:val="3"/>
            <w:noWrap/>
            <w:vAlign w:val="center"/>
          </w:tcPr>
          <w:p>
            <w:pPr>
              <w:jc w:val="center"/>
              <w:rPr>
                <w:szCs w:val="21"/>
              </w:rPr>
            </w:pPr>
          </w:p>
        </w:tc>
        <w:tc>
          <w:tcPr>
            <w:tcW w:w="872" w:type="dxa"/>
            <w:gridSpan w:val="3"/>
            <w:noWrap/>
            <w:vAlign w:val="center"/>
          </w:tcPr>
          <w:p>
            <w:pPr>
              <w:jc w:val="center"/>
              <w:rPr>
                <w:szCs w:val="21"/>
              </w:rPr>
            </w:pPr>
          </w:p>
        </w:tc>
        <w:tc>
          <w:tcPr>
            <w:tcW w:w="1659" w:type="dxa"/>
            <w:gridSpan w:val="2"/>
            <w:vMerge w:val="continue"/>
            <w:noWrap/>
            <w:vAlign w:val="center"/>
          </w:tcPr>
          <w:p>
            <w:pPr>
              <w:jc w:val="center"/>
              <w:rPr>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3" w:type="dxa"/>
            <w:noWrap/>
            <w:vAlign w:val="center"/>
          </w:tcPr>
          <w:p>
            <w:pPr>
              <w:jc w:val="center"/>
              <w:rPr>
                <w:b/>
              </w:rPr>
            </w:pPr>
          </w:p>
        </w:tc>
        <w:tc>
          <w:tcPr>
            <w:tcW w:w="709" w:type="dxa"/>
            <w:noWrap/>
            <w:vAlign w:val="center"/>
          </w:tcPr>
          <w:p>
            <w:pPr>
              <w:jc w:val="center"/>
              <w:rPr>
                <w:b/>
              </w:rPr>
            </w:pPr>
          </w:p>
        </w:tc>
        <w:tc>
          <w:tcPr>
            <w:tcW w:w="711" w:type="dxa"/>
            <w:noWrap/>
            <w:vAlign w:val="center"/>
          </w:tcPr>
          <w:p>
            <w:pPr>
              <w:jc w:val="center"/>
              <w:rPr>
                <w:b/>
              </w:rPr>
            </w:pPr>
          </w:p>
        </w:tc>
        <w:tc>
          <w:tcPr>
            <w:tcW w:w="850" w:type="dxa"/>
            <w:noWrap/>
            <w:vAlign w:val="center"/>
          </w:tcPr>
          <w:p>
            <w:pPr>
              <w:jc w:val="center"/>
              <w:rPr>
                <w:b/>
              </w:rPr>
            </w:pPr>
          </w:p>
        </w:tc>
        <w:tc>
          <w:tcPr>
            <w:tcW w:w="854" w:type="dxa"/>
            <w:noWrap/>
            <w:vAlign w:val="center"/>
          </w:tcPr>
          <w:p>
            <w:pPr>
              <w:jc w:val="center"/>
              <w:rPr>
                <w:b/>
              </w:rPr>
            </w:pPr>
          </w:p>
        </w:tc>
        <w:tc>
          <w:tcPr>
            <w:tcW w:w="1107" w:type="dxa"/>
            <w:gridSpan w:val="2"/>
            <w:vMerge w:val="restart"/>
            <w:noWrap/>
            <w:vAlign w:val="center"/>
          </w:tcPr>
          <w:p>
            <w:pPr>
              <w:jc w:val="center"/>
              <w:rPr>
                <w:b/>
                <w:spacing w:val="-12"/>
                <w:szCs w:val="21"/>
              </w:rPr>
            </w:pPr>
            <w:r>
              <w:rPr>
                <w:rFonts w:hint="eastAsia"/>
                <w:b/>
                <w:spacing w:val="-12"/>
                <w:szCs w:val="21"/>
              </w:rPr>
              <w:t>回   访</w:t>
            </w:r>
          </w:p>
          <w:p>
            <w:pPr>
              <w:jc w:val="center"/>
              <w:rPr>
                <w:b/>
                <w:szCs w:val="21"/>
              </w:rPr>
            </w:pPr>
            <w:r>
              <w:rPr>
                <w:rFonts w:hint="eastAsia"/>
                <w:spacing w:val="-12"/>
                <w:szCs w:val="21"/>
              </w:rPr>
              <w:t>（公共区域项目可不回访）</w:t>
            </w:r>
          </w:p>
        </w:tc>
        <w:tc>
          <w:tcPr>
            <w:tcW w:w="823" w:type="dxa"/>
            <w:noWrap/>
          </w:tcPr>
          <w:p>
            <w:pPr>
              <w:jc w:val="center"/>
            </w:pPr>
            <w:r>
              <w:rPr>
                <w:rFonts w:hint="eastAsia"/>
              </w:rPr>
              <w:t>是否</w:t>
            </w:r>
          </w:p>
          <w:p>
            <w:pPr>
              <w:jc w:val="center"/>
            </w:pPr>
            <w:r>
              <w:rPr>
                <w:rFonts w:hint="eastAsia"/>
              </w:rPr>
              <w:t>回访</w:t>
            </w:r>
          </w:p>
        </w:tc>
        <w:tc>
          <w:tcPr>
            <w:tcW w:w="1071" w:type="dxa"/>
            <w:gridSpan w:val="3"/>
            <w:noWrap/>
          </w:tcPr>
          <w:p>
            <w:pPr>
              <w:jc w:val="center"/>
              <w:rPr>
                <w:szCs w:val="21"/>
              </w:rPr>
            </w:pPr>
            <w:r>
              <w:rPr>
                <w:rFonts w:hint="eastAsia"/>
                <w:szCs w:val="21"/>
              </w:rPr>
              <w:t>回访</w:t>
            </w:r>
          </w:p>
          <w:p>
            <w:pPr>
              <w:jc w:val="center"/>
            </w:pPr>
            <w:r>
              <w:rPr>
                <w:rFonts w:hint="eastAsia"/>
                <w:szCs w:val="21"/>
              </w:rPr>
              <w:t>人员</w:t>
            </w:r>
          </w:p>
        </w:tc>
        <w:tc>
          <w:tcPr>
            <w:tcW w:w="872" w:type="dxa"/>
            <w:gridSpan w:val="3"/>
            <w:noWrap/>
          </w:tcPr>
          <w:p>
            <w:pPr>
              <w:jc w:val="center"/>
              <w:rPr>
                <w:szCs w:val="21"/>
              </w:rPr>
            </w:pPr>
            <w:r>
              <w:rPr>
                <w:rFonts w:hint="eastAsia"/>
                <w:szCs w:val="21"/>
              </w:rPr>
              <w:t>回访</w:t>
            </w:r>
          </w:p>
          <w:p>
            <w:pPr>
              <w:jc w:val="center"/>
            </w:pPr>
            <w:r>
              <w:rPr>
                <w:rFonts w:hint="eastAsia"/>
                <w:szCs w:val="21"/>
              </w:rPr>
              <w:t>方式</w:t>
            </w:r>
          </w:p>
        </w:tc>
        <w:tc>
          <w:tcPr>
            <w:tcW w:w="1659" w:type="dxa"/>
            <w:gridSpan w:val="2"/>
            <w:noWrap/>
          </w:tcPr>
          <w:p>
            <w:pPr>
              <w:spacing w:line="280" w:lineRule="exact"/>
              <w:jc w:val="center"/>
              <w:rPr>
                <w:szCs w:val="21"/>
              </w:rPr>
            </w:pPr>
            <w:r>
              <w:rPr>
                <w:rFonts w:hint="eastAsia"/>
                <w:szCs w:val="21"/>
              </w:rPr>
              <w:t>回访</w:t>
            </w:r>
          </w:p>
          <w:p>
            <w:pPr>
              <w:jc w:val="center"/>
            </w:pPr>
            <w:r>
              <w:rPr>
                <w:rFonts w:hint="eastAsia"/>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233" w:type="dxa"/>
            <w:noWrap/>
            <w:vAlign w:val="center"/>
          </w:tcPr>
          <w:p>
            <w:pPr>
              <w:jc w:val="center"/>
              <w:rPr>
                <w:b/>
              </w:rPr>
            </w:pPr>
          </w:p>
        </w:tc>
        <w:tc>
          <w:tcPr>
            <w:tcW w:w="709" w:type="dxa"/>
            <w:noWrap/>
            <w:vAlign w:val="center"/>
          </w:tcPr>
          <w:p>
            <w:pPr>
              <w:jc w:val="center"/>
              <w:rPr>
                <w:b/>
              </w:rPr>
            </w:pPr>
          </w:p>
        </w:tc>
        <w:tc>
          <w:tcPr>
            <w:tcW w:w="711" w:type="dxa"/>
            <w:noWrap/>
            <w:vAlign w:val="center"/>
          </w:tcPr>
          <w:p>
            <w:pPr>
              <w:jc w:val="center"/>
              <w:rPr>
                <w:b/>
              </w:rPr>
            </w:pPr>
          </w:p>
        </w:tc>
        <w:tc>
          <w:tcPr>
            <w:tcW w:w="850" w:type="dxa"/>
            <w:noWrap/>
            <w:vAlign w:val="center"/>
          </w:tcPr>
          <w:p>
            <w:pPr>
              <w:jc w:val="center"/>
              <w:rPr>
                <w:b/>
              </w:rPr>
            </w:pPr>
          </w:p>
        </w:tc>
        <w:tc>
          <w:tcPr>
            <w:tcW w:w="854" w:type="dxa"/>
            <w:noWrap/>
            <w:vAlign w:val="center"/>
          </w:tcPr>
          <w:p>
            <w:pPr>
              <w:jc w:val="center"/>
              <w:rPr>
                <w:b/>
              </w:rPr>
            </w:pPr>
          </w:p>
        </w:tc>
        <w:tc>
          <w:tcPr>
            <w:tcW w:w="1107" w:type="dxa"/>
            <w:gridSpan w:val="2"/>
            <w:vMerge w:val="continue"/>
            <w:noWrap/>
            <w:vAlign w:val="center"/>
          </w:tcPr>
          <w:p>
            <w:pPr>
              <w:jc w:val="center"/>
              <w:rPr>
                <w:b/>
                <w:szCs w:val="21"/>
              </w:rPr>
            </w:pPr>
          </w:p>
        </w:tc>
        <w:tc>
          <w:tcPr>
            <w:tcW w:w="823" w:type="dxa"/>
            <w:noWrap/>
          </w:tcPr>
          <w:p>
            <w:pPr>
              <w:jc w:val="center"/>
            </w:pPr>
          </w:p>
        </w:tc>
        <w:tc>
          <w:tcPr>
            <w:tcW w:w="1071" w:type="dxa"/>
            <w:gridSpan w:val="3"/>
            <w:noWrap/>
          </w:tcPr>
          <w:p>
            <w:pPr>
              <w:jc w:val="center"/>
              <w:rPr>
                <w:szCs w:val="21"/>
              </w:rPr>
            </w:pPr>
          </w:p>
        </w:tc>
        <w:tc>
          <w:tcPr>
            <w:tcW w:w="872" w:type="dxa"/>
            <w:gridSpan w:val="3"/>
            <w:noWrap/>
          </w:tcPr>
          <w:p>
            <w:pPr>
              <w:jc w:val="center"/>
              <w:rPr>
                <w:szCs w:val="21"/>
              </w:rPr>
            </w:pPr>
          </w:p>
        </w:tc>
        <w:tc>
          <w:tcPr>
            <w:tcW w:w="1659" w:type="dxa"/>
            <w:gridSpan w:val="2"/>
            <w:noWrap/>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33" w:type="dxa"/>
            <w:noWrap/>
            <w:vAlign w:val="center"/>
          </w:tcPr>
          <w:p>
            <w:pPr>
              <w:jc w:val="center"/>
              <w:rPr>
                <w:b/>
              </w:rPr>
            </w:pPr>
          </w:p>
        </w:tc>
        <w:tc>
          <w:tcPr>
            <w:tcW w:w="709" w:type="dxa"/>
            <w:noWrap/>
            <w:vAlign w:val="center"/>
          </w:tcPr>
          <w:p>
            <w:pPr>
              <w:jc w:val="center"/>
              <w:rPr>
                <w:b/>
              </w:rPr>
            </w:pPr>
          </w:p>
        </w:tc>
        <w:tc>
          <w:tcPr>
            <w:tcW w:w="711" w:type="dxa"/>
            <w:noWrap/>
            <w:vAlign w:val="center"/>
          </w:tcPr>
          <w:p>
            <w:pPr>
              <w:jc w:val="center"/>
              <w:rPr>
                <w:b/>
              </w:rPr>
            </w:pPr>
          </w:p>
        </w:tc>
        <w:tc>
          <w:tcPr>
            <w:tcW w:w="850" w:type="dxa"/>
            <w:noWrap/>
            <w:vAlign w:val="center"/>
          </w:tcPr>
          <w:p>
            <w:pPr>
              <w:jc w:val="center"/>
              <w:rPr>
                <w:b/>
              </w:rPr>
            </w:pPr>
          </w:p>
        </w:tc>
        <w:tc>
          <w:tcPr>
            <w:tcW w:w="854" w:type="dxa"/>
            <w:noWrap/>
            <w:vAlign w:val="center"/>
          </w:tcPr>
          <w:p>
            <w:pPr>
              <w:jc w:val="center"/>
              <w:rPr>
                <w:b/>
              </w:rPr>
            </w:pPr>
          </w:p>
        </w:tc>
        <w:tc>
          <w:tcPr>
            <w:tcW w:w="1107" w:type="dxa"/>
            <w:gridSpan w:val="2"/>
            <w:vMerge w:val="continue"/>
            <w:noWrap/>
            <w:vAlign w:val="center"/>
          </w:tcPr>
          <w:p>
            <w:pPr>
              <w:jc w:val="center"/>
              <w:rPr>
                <w:b/>
                <w:szCs w:val="21"/>
              </w:rPr>
            </w:pPr>
          </w:p>
        </w:tc>
        <w:tc>
          <w:tcPr>
            <w:tcW w:w="4425" w:type="dxa"/>
            <w:gridSpan w:val="9"/>
            <w:tcBorders>
              <w:bottom w:val="single" w:color="auto" w:sz="4" w:space="0"/>
            </w:tcBorders>
            <w:noWrap/>
            <w:vAlign w:val="center"/>
          </w:tcPr>
          <w:p>
            <w:pPr>
              <w:jc w:val="center"/>
              <w:rPr>
                <w:b/>
                <w:spacing w:val="-12"/>
                <w:sz w:val="24"/>
              </w:rPr>
            </w:pPr>
            <w:r>
              <w:rPr>
                <w:rFonts w:hint="eastAsia"/>
                <w:b/>
                <w:spacing w:val="-12"/>
                <w:szCs w:val="21"/>
              </w:rPr>
              <w:t>回 访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233" w:type="dxa"/>
            <w:noWrap/>
            <w:vAlign w:val="center"/>
          </w:tcPr>
          <w:p>
            <w:pPr>
              <w:jc w:val="center"/>
              <w:rPr>
                <w:b/>
              </w:rPr>
            </w:pPr>
          </w:p>
        </w:tc>
        <w:tc>
          <w:tcPr>
            <w:tcW w:w="709" w:type="dxa"/>
            <w:noWrap/>
            <w:vAlign w:val="center"/>
          </w:tcPr>
          <w:p>
            <w:pPr>
              <w:jc w:val="center"/>
              <w:rPr>
                <w:b/>
              </w:rPr>
            </w:pPr>
          </w:p>
        </w:tc>
        <w:tc>
          <w:tcPr>
            <w:tcW w:w="711" w:type="dxa"/>
            <w:noWrap/>
            <w:vAlign w:val="center"/>
          </w:tcPr>
          <w:p>
            <w:pPr>
              <w:jc w:val="center"/>
              <w:rPr>
                <w:b/>
              </w:rPr>
            </w:pPr>
          </w:p>
        </w:tc>
        <w:tc>
          <w:tcPr>
            <w:tcW w:w="850" w:type="dxa"/>
            <w:noWrap/>
            <w:vAlign w:val="center"/>
          </w:tcPr>
          <w:p>
            <w:pPr>
              <w:jc w:val="center"/>
              <w:rPr>
                <w:b/>
              </w:rPr>
            </w:pPr>
          </w:p>
        </w:tc>
        <w:tc>
          <w:tcPr>
            <w:tcW w:w="854" w:type="dxa"/>
            <w:noWrap/>
            <w:vAlign w:val="center"/>
          </w:tcPr>
          <w:p>
            <w:pPr>
              <w:jc w:val="center"/>
              <w:rPr>
                <w:b/>
              </w:rPr>
            </w:pPr>
          </w:p>
        </w:tc>
        <w:tc>
          <w:tcPr>
            <w:tcW w:w="1107" w:type="dxa"/>
            <w:gridSpan w:val="2"/>
            <w:vMerge w:val="continue"/>
            <w:noWrap/>
            <w:vAlign w:val="center"/>
          </w:tcPr>
          <w:p>
            <w:pPr>
              <w:jc w:val="center"/>
              <w:rPr>
                <w:b/>
                <w:szCs w:val="21"/>
              </w:rPr>
            </w:pPr>
          </w:p>
        </w:tc>
        <w:tc>
          <w:tcPr>
            <w:tcW w:w="1106" w:type="dxa"/>
            <w:gridSpan w:val="2"/>
            <w:tcBorders>
              <w:tl2br w:val="single" w:color="auto" w:sz="4" w:space="0"/>
            </w:tcBorders>
            <w:noWrap/>
            <w:vAlign w:val="center"/>
          </w:tcPr>
          <w:p>
            <w:pPr>
              <w:jc w:val="center"/>
              <w:rPr>
                <w:b/>
                <w:szCs w:val="21"/>
              </w:rPr>
            </w:pPr>
          </w:p>
        </w:tc>
        <w:tc>
          <w:tcPr>
            <w:tcW w:w="1106" w:type="dxa"/>
            <w:gridSpan w:val="3"/>
            <w:noWrap/>
            <w:vAlign w:val="center"/>
          </w:tcPr>
          <w:p>
            <w:pPr>
              <w:jc w:val="center"/>
              <w:rPr>
                <w:szCs w:val="21"/>
              </w:rPr>
            </w:pPr>
            <w:r>
              <w:rPr>
                <w:rFonts w:hint="eastAsia"/>
                <w:szCs w:val="21"/>
              </w:rPr>
              <w:t>满意</w:t>
            </w:r>
          </w:p>
        </w:tc>
        <w:tc>
          <w:tcPr>
            <w:tcW w:w="1106" w:type="dxa"/>
            <w:gridSpan w:val="3"/>
            <w:noWrap/>
            <w:vAlign w:val="center"/>
          </w:tcPr>
          <w:p>
            <w:pPr>
              <w:spacing w:line="280" w:lineRule="exact"/>
              <w:jc w:val="center"/>
              <w:rPr>
                <w:szCs w:val="21"/>
              </w:rPr>
            </w:pPr>
            <w:r>
              <w:rPr>
                <w:rFonts w:hint="eastAsia"/>
                <w:szCs w:val="21"/>
              </w:rPr>
              <w:t>基本满意</w:t>
            </w:r>
          </w:p>
        </w:tc>
        <w:tc>
          <w:tcPr>
            <w:tcW w:w="1107" w:type="dxa"/>
            <w:noWrap/>
            <w:vAlign w:val="center"/>
          </w:tcPr>
          <w:p>
            <w:pPr>
              <w:jc w:val="center"/>
              <w:rPr>
                <w:szCs w:val="21"/>
              </w:rPr>
            </w:pPr>
            <w:r>
              <w:rPr>
                <w:rFonts w:hint="eastAsia"/>
                <w:szCs w:val="2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33" w:type="dxa"/>
            <w:noWrap/>
            <w:vAlign w:val="center"/>
          </w:tcPr>
          <w:p>
            <w:pPr>
              <w:jc w:val="center"/>
              <w:rPr>
                <w:b/>
              </w:rPr>
            </w:pPr>
          </w:p>
        </w:tc>
        <w:tc>
          <w:tcPr>
            <w:tcW w:w="709" w:type="dxa"/>
            <w:noWrap/>
            <w:vAlign w:val="center"/>
          </w:tcPr>
          <w:p>
            <w:pPr>
              <w:jc w:val="center"/>
              <w:rPr>
                <w:b/>
              </w:rPr>
            </w:pPr>
          </w:p>
        </w:tc>
        <w:tc>
          <w:tcPr>
            <w:tcW w:w="711" w:type="dxa"/>
            <w:noWrap/>
            <w:vAlign w:val="center"/>
          </w:tcPr>
          <w:p>
            <w:pPr>
              <w:jc w:val="center"/>
              <w:rPr>
                <w:b/>
              </w:rPr>
            </w:pPr>
          </w:p>
        </w:tc>
        <w:tc>
          <w:tcPr>
            <w:tcW w:w="850" w:type="dxa"/>
            <w:noWrap/>
            <w:vAlign w:val="center"/>
          </w:tcPr>
          <w:p>
            <w:pPr>
              <w:jc w:val="center"/>
              <w:rPr>
                <w:b/>
              </w:rPr>
            </w:pPr>
          </w:p>
        </w:tc>
        <w:tc>
          <w:tcPr>
            <w:tcW w:w="854" w:type="dxa"/>
            <w:noWrap/>
            <w:vAlign w:val="center"/>
          </w:tcPr>
          <w:p>
            <w:pPr>
              <w:jc w:val="center"/>
              <w:rPr>
                <w:b/>
              </w:rPr>
            </w:pPr>
          </w:p>
        </w:tc>
        <w:tc>
          <w:tcPr>
            <w:tcW w:w="1107" w:type="dxa"/>
            <w:gridSpan w:val="2"/>
            <w:vMerge w:val="continue"/>
            <w:noWrap/>
            <w:vAlign w:val="center"/>
          </w:tcPr>
          <w:p>
            <w:pPr>
              <w:jc w:val="center"/>
              <w:rPr>
                <w:b/>
                <w:szCs w:val="21"/>
              </w:rPr>
            </w:pPr>
          </w:p>
        </w:tc>
        <w:tc>
          <w:tcPr>
            <w:tcW w:w="1106" w:type="dxa"/>
            <w:gridSpan w:val="2"/>
            <w:noWrap/>
            <w:vAlign w:val="center"/>
          </w:tcPr>
          <w:p>
            <w:pPr>
              <w:jc w:val="center"/>
              <w:rPr>
                <w:b/>
                <w:szCs w:val="21"/>
              </w:rPr>
            </w:pPr>
            <w:r>
              <w:rPr>
                <w:rFonts w:hint="eastAsia"/>
                <w:spacing w:val="-12"/>
                <w:szCs w:val="21"/>
              </w:rPr>
              <w:t>维修质量</w:t>
            </w:r>
          </w:p>
        </w:tc>
        <w:tc>
          <w:tcPr>
            <w:tcW w:w="1106" w:type="dxa"/>
            <w:gridSpan w:val="3"/>
            <w:noWrap/>
            <w:vAlign w:val="center"/>
          </w:tcPr>
          <w:p>
            <w:pPr>
              <w:jc w:val="center"/>
              <w:rPr>
                <w:b/>
                <w:szCs w:val="21"/>
              </w:rPr>
            </w:pPr>
          </w:p>
        </w:tc>
        <w:tc>
          <w:tcPr>
            <w:tcW w:w="1106" w:type="dxa"/>
            <w:gridSpan w:val="3"/>
            <w:noWrap/>
            <w:vAlign w:val="center"/>
          </w:tcPr>
          <w:p>
            <w:pPr>
              <w:jc w:val="center"/>
              <w:rPr>
                <w:b/>
                <w:szCs w:val="21"/>
              </w:rPr>
            </w:pPr>
          </w:p>
        </w:tc>
        <w:tc>
          <w:tcPr>
            <w:tcW w:w="1107" w:type="dxa"/>
            <w:noWrap/>
            <w:vAlign w:val="center"/>
          </w:tcPr>
          <w:p>
            <w:pPr>
              <w:jc w:val="center"/>
              <w:rPr>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33" w:type="dxa"/>
            <w:noWrap/>
            <w:vAlign w:val="center"/>
          </w:tcPr>
          <w:p>
            <w:pPr>
              <w:jc w:val="center"/>
            </w:pPr>
            <w:r>
              <w:rPr>
                <w:rFonts w:hint="eastAsia"/>
              </w:rPr>
              <w:t>合计</w:t>
            </w:r>
          </w:p>
        </w:tc>
        <w:tc>
          <w:tcPr>
            <w:tcW w:w="3124" w:type="dxa"/>
            <w:gridSpan w:val="4"/>
            <w:noWrap/>
            <w:vAlign w:val="center"/>
          </w:tcPr>
          <w:p>
            <w:pPr>
              <w:jc w:val="center"/>
            </w:pPr>
            <w:r>
              <w:rPr>
                <w:rFonts w:hint="eastAsia"/>
              </w:rPr>
              <w:t>（或附件清单）</w:t>
            </w:r>
          </w:p>
        </w:tc>
        <w:tc>
          <w:tcPr>
            <w:tcW w:w="1107" w:type="dxa"/>
            <w:gridSpan w:val="2"/>
            <w:vMerge w:val="continue"/>
            <w:noWrap/>
            <w:vAlign w:val="center"/>
          </w:tcPr>
          <w:p>
            <w:pPr>
              <w:jc w:val="center"/>
              <w:rPr>
                <w:szCs w:val="21"/>
              </w:rPr>
            </w:pPr>
          </w:p>
        </w:tc>
        <w:tc>
          <w:tcPr>
            <w:tcW w:w="1106" w:type="dxa"/>
            <w:gridSpan w:val="2"/>
            <w:noWrap/>
            <w:vAlign w:val="center"/>
          </w:tcPr>
          <w:p>
            <w:pPr>
              <w:jc w:val="center"/>
              <w:rPr>
                <w:szCs w:val="21"/>
              </w:rPr>
            </w:pPr>
            <w:r>
              <w:rPr>
                <w:rFonts w:hint="eastAsia"/>
                <w:spacing w:val="-12"/>
                <w:szCs w:val="21"/>
              </w:rPr>
              <w:t>服务态度</w:t>
            </w:r>
          </w:p>
        </w:tc>
        <w:tc>
          <w:tcPr>
            <w:tcW w:w="1106" w:type="dxa"/>
            <w:gridSpan w:val="3"/>
            <w:noWrap/>
            <w:vAlign w:val="center"/>
          </w:tcPr>
          <w:p>
            <w:pPr>
              <w:jc w:val="center"/>
              <w:rPr>
                <w:szCs w:val="21"/>
              </w:rPr>
            </w:pPr>
          </w:p>
        </w:tc>
        <w:tc>
          <w:tcPr>
            <w:tcW w:w="1106" w:type="dxa"/>
            <w:gridSpan w:val="3"/>
            <w:noWrap/>
            <w:vAlign w:val="center"/>
          </w:tcPr>
          <w:p>
            <w:pPr>
              <w:jc w:val="center"/>
              <w:rPr>
                <w:szCs w:val="21"/>
              </w:rPr>
            </w:pPr>
          </w:p>
        </w:tc>
        <w:tc>
          <w:tcPr>
            <w:tcW w:w="1107" w:type="dxa"/>
            <w:noWrap/>
            <w:vAlign w:val="center"/>
          </w:tcPr>
          <w:p>
            <w:pPr>
              <w:jc w:val="center"/>
              <w:rPr>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3" w:type="dxa"/>
            <w:noWrap/>
            <w:vAlign w:val="center"/>
          </w:tcPr>
          <w:p>
            <w:pPr>
              <w:jc w:val="center"/>
            </w:pPr>
            <w:r>
              <w:rPr>
                <w:rFonts w:hint="eastAsia"/>
              </w:rPr>
              <w:t>金额(大写) 合计</w:t>
            </w:r>
          </w:p>
        </w:tc>
        <w:tc>
          <w:tcPr>
            <w:tcW w:w="3124" w:type="dxa"/>
            <w:gridSpan w:val="4"/>
            <w:noWrap/>
            <w:vAlign w:val="center"/>
          </w:tcPr>
          <w:p>
            <w:pPr>
              <w:jc w:val="center"/>
              <w:rPr>
                <w:b/>
              </w:rPr>
            </w:pPr>
          </w:p>
        </w:tc>
        <w:tc>
          <w:tcPr>
            <w:tcW w:w="1107" w:type="dxa"/>
            <w:gridSpan w:val="2"/>
            <w:vMerge w:val="continue"/>
            <w:noWrap/>
            <w:vAlign w:val="center"/>
          </w:tcPr>
          <w:p>
            <w:pPr>
              <w:jc w:val="center"/>
              <w:rPr>
                <w:szCs w:val="21"/>
              </w:rPr>
            </w:pPr>
          </w:p>
        </w:tc>
        <w:tc>
          <w:tcPr>
            <w:tcW w:w="4425" w:type="dxa"/>
            <w:gridSpan w:val="9"/>
            <w:noWrap/>
            <w:vAlign w:val="center"/>
          </w:tcPr>
          <w:p>
            <w:pPr>
              <w:jc w:val="center"/>
              <w:rPr>
                <w:b/>
                <w:spacing w:val="-12"/>
                <w:sz w:val="24"/>
              </w:rPr>
            </w:pPr>
            <w:r>
              <w:rPr>
                <w:rFonts w:hint="eastAsia"/>
                <w:szCs w:val="21"/>
              </w:rPr>
              <w:t>回访部门：客户服务部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33" w:type="dxa"/>
            <w:noWrap/>
            <w:vAlign w:val="center"/>
          </w:tcPr>
          <w:p>
            <w:pPr>
              <w:jc w:val="center"/>
              <w:rPr>
                <w:b/>
                <w:spacing w:val="-12"/>
                <w:szCs w:val="21"/>
              </w:rPr>
            </w:pPr>
            <w:r>
              <w:rPr>
                <w:rFonts w:hint="eastAsia"/>
                <w:b/>
                <w:szCs w:val="21"/>
              </w:rPr>
              <w:t>备  注</w:t>
            </w:r>
          </w:p>
        </w:tc>
        <w:tc>
          <w:tcPr>
            <w:tcW w:w="8656" w:type="dxa"/>
            <w:gridSpan w:val="15"/>
            <w:noWrap/>
            <w:vAlign w:val="center"/>
          </w:tcPr>
          <w:p>
            <w:pPr>
              <w:jc w:val="center"/>
              <w:rPr>
                <w:szCs w:val="21"/>
              </w:rPr>
            </w:pPr>
          </w:p>
        </w:tc>
      </w:tr>
    </w:tbl>
    <w:p>
      <w:pPr>
        <w:widowControl/>
        <w:jc w:val="left"/>
        <w:rPr>
          <w:rFonts w:ascii="仿宋" w:hAnsi="仿宋" w:eastAsia="仿宋" w:cs="仿宋"/>
          <w:sz w:val="30"/>
          <w:szCs w:val="30"/>
        </w:rPr>
      </w:pPr>
    </w:p>
    <w:p>
      <w:pPr>
        <w:spacing w:line="360" w:lineRule="auto"/>
        <w:jc w:val="left"/>
      </w:pPr>
      <w:r>
        <w:rPr>
          <w:rFonts w:hint="eastAsia" w:cs="宋体"/>
        </w:rPr>
        <w:t>（附件</w:t>
      </w:r>
      <w:r>
        <w:t>1</w:t>
      </w:r>
      <w:r>
        <w:rPr>
          <w:rFonts w:hint="eastAsia"/>
        </w:rPr>
        <w:t>）</w:t>
      </w:r>
    </w:p>
    <w:p>
      <w:pPr>
        <w:spacing w:line="360" w:lineRule="auto"/>
      </w:pPr>
    </w:p>
    <w:p>
      <w:pPr>
        <w:spacing w:line="360" w:lineRule="auto"/>
        <w:ind w:right="840"/>
        <w:jc w:val="center"/>
        <w:rPr>
          <w:rFonts w:ascii="黑体" w:eastAsia="黑体" w:cs="黑体"/>
          <w:sz w:val="32"/>
        </w:rPr>
      </w:pPr>
      <w:r>
        <w:rPr>
          <w:rFonts w:hint="eastAsia" w:ascii="宋体" w:hAnsi="宋体" w:cs="宋体"/>
        </w:rPr>
        <w:t xml:space="preserve">                                               NO：</w:t>
      </w:r>
    </w:p>
    <w:p>
      <w:pPr>
        <w:spacing w:beforeLines="50" w:afterLines="50"/>
        <w:jc w:val="center"/>
        <w:rPr>
          <w:rFonts w:ascii="黑体" w:eastAsia="黑体" w:cs="黑体"/>
          <w:sz w:val="32"/>
        </w:rPr>
      </w:pPr>
      <w:r>
        <w:rPr>
          <w:rFonts w:hint="eastAsia" w:ascii="黑体" w:eastAsia="黑体" w:cs="黑体"/>
          <w:sz w:val="32"/>
        </w:rPr>
        <w:t>单项维修施工委托单</w:t>
      </w:r>
    </w:p>
    <w:p>
      <w:pPr>
        <w:tabs>
          <w:tab w:val="left" w:pos="3075"/>
        </w:tabs>
        <w:ind w:leftChars="-67" w:hanging="140" w:hangingChars="67"/>
        <w:rPr>
          <w:rFonts w:ascii="宋体" w:hAnsi="宋体" w:cs="宋体"/>
        </w:rPr>
      </w:pPr>
      <w:r>
        <w:rPr>
          <w:rFonts w:hint="eastAsia" w:ascii="宋体" w:hAnsi="宋体" w:cs="宋体"/>
        </w:rPr>
        <w:t>管理处名称：日期：年月日</w:t>
      </w:r>
    </w:p>
    <w:tbl>
      <w:tblPr>
        <w:tblStyle w:val="2"/>
        <w:tblpPr w:leftFromText="180" w:rightFromText="180" w:vertAnchor="page" w:horzAnchor="page" w:tblpX="1167" w:tblpY="3888"/>
        <w:tblW w:w="9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708"/>
        <w:gridCol w:w="710"/>
        <w:gridCol w:w="849"/>
        <w:gridCol w:w="853"/>
        <w:gridCol w:w="1088"/>
        <w:gridCol w:w="17"/>
        <w:gridCol w:w="822"/>
        <w:gridCol w:w="282"/>
        <w:gridCol w:w="288"/>
        <w:gridCol w:w="498"/>
        <w:gridCol w:w="317"/>
        <w:gridCol w:w="312"/>
        <w:gridCol w:w="240"/>
        <w:gridCol w:w="551"/>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客户名称</w:t>
            </w:r>
          </w:p>
        </w:tc>
        <w:tc>
          <w:tcPr>
            <w:tcW w:w="3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报修人</w:t>
            </w:r>
          </w:p>
        </w:tc>
        <w:tc>
          <w:tcPr>
            <w:tcW w:w="140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1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电话号码</w:t>
            </w:r>
          </w:p>
        </w:tc>
        <w:tc>
          <w:tcPr>
            <w:tcW w:w="18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报修内容</w:t>
            </w:r>
          </w:p>
        </w:tc>
        <w:tc>
          <w:tcPr>
            <w:tcW w:w="3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维修地址</w:t>
            </w:r>
          </w:p>
        </w:tc>
        <w:tc>
          <w:tcPr>
            <w:tcW w:w="140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1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r>
              <w:rPr>
                <w:rFonts w:hint="eastAsia" w:cs="宋体"/>
              </w:rPr>
              <w:t>发单时间</w:t>
            </w:r>
          </w:p>
        </w:tc>
        <w:tc>
          <w:tcPr>
            <w:tcW w:w="18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维修性质</w:t>
            </w:r>
          </w:p>
        </w:tc>
        <w:tc>
          <w:tcPr>
            <w:tcW w:w="3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ascii="宋体" w:hAnsi="宋体" w:cs="宋体"/>
              </w:rPr>
              <w:t>□有偿服务□无偿服务</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派单人</w:t>
            </w:r>
          </w:p>
        </w:tc>
        <w:tc>
          <w:tcPr>
            <w:tcW w:w="140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pPr>
          </w:p>
        </w:tc>
        <w:tc>
          <w:tcPr>
            <w:tcW w:w="112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回单时间</w:t>
            </w:r>
          </w:p>
        </w:tc>
        <w:tc>
          <w:tcPr>
            <w:tcW w:w="189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原来责任单位</w:t>
            </w:r>
          </w:p>
        </w:tc>
        <w:tc>
          <w:tcPr>
            <w:tcW w:w="3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维修单位</w:t>
            </w:r>
          </w:p>
        </w:tc>
        <w:tc>
          <w:tcPr>
            <w:tcW w:w="443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873" w:type="dxa"/>
            <w:gridSpan w:val="16"/>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cs="宋体"/>
              </w:rPr>
            </w:pPr>
            <w:r>
              <w:rPr>
                <w:rFonts w:hint="eastAsia" w:cs="宋体"/>
              </w:rPr>
              <w:t>维修开始及完成时间：年月日至年月日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35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r>
              <w:rPr>
                <w:rFonts w:hint="eastAsia" w:cs="宋体"/>
                <w:b/>
              </w:rPr>
              <w:t>维修费用</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szCs w:val="21"/>
              </w:rPr>
              <w:t>维修人员</w:t>
            </w:r>
          </w:p>
        </w:tc>
        <w:tc>
          <w:tcPr>
            <w:tcW w:w="4433"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23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项目名称</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单位</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数量</w:t>
            </w:r>
          </w:p>
        </w:tc>
        <w:tc>
          <w:tcPr>
            <w:tcW w:w="8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单价</w:t>
            </w:r>
          </w:p>
        </w:tc>
        <w:tc>
          <w:tcPr>
            <w:tcW w:w="8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合价</w:t>
            </w:r>
          </w:p>
        </w:tc>
        <w:tc>
          <w:tcPr>
            <w:tcW w:w="3864"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cs="宋体"/>
                <w:b/>
                <w:szCs w:val="21"/>
              </w:rPr>
              <w:t>验收意见</w:t>
            </w:r>
          </w:p>
        </w:tc>
        <w:tc>
          <w:tcPr>
            <w:tcW w:w="165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b/>
                <w:szCs w:val="21"/>
              </w:rPr>
              <w:t>客户确认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23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70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7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8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8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1105"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jc w:val="center"/>
              <w:rPr>
                <w:szCs w:val="21"/>
              </w:rPr>
            </w:pP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cs="宋体"/>
                <w:szCs w:val="21"/>
              </w:rPr>
              <w:t>满意</w:t>
            </w:r>
          </w:p>
        </w:tc>
        <w:tc>
          <w:tcPr>
            <w:tcW w:w="10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cs="宋体"/>
                <w:szCs w:val="21"/>
              </w:rPr>
              <w:t>基本满意</w:t>
            </w:r>
          </w:p>
        </w:tc>
        <w:tc>
          <w:tcPr>
            <w:tcW w:w="8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r>
              <w:rPr>
                <w:rFonts w:hint="eastAsia" w:cs="宋体"/>
                <w:szCs w:val="21"/>
              </w:rPr>
              <w:t>不满意</w:t>
            </w:r>
          </w:p>
        </w:tc>
        <w:tc>
          <w:tcPr>
            <w:tcW w:w="165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cs="宋体"/>
                <w:szCs w:val="21"/>
              </w:rPr>
              <w:t>维修质量</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p>
        </w:tc>
        <w:tc>
          <w:tcPr>
            <w:tcW w:w="10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8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165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11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cs="宋体"/>
                <w:szCs w:val="21"/>
              </w:rPr>
              <w:t>服务态度</w:t>
            </w:r>
          </w:p>
        </w:tc>
        <w:tc>
          <w:tcPr>
            <w:tcW w:w="822" w:type="dxa"/>
            <w:tcBorders>
              <w:top w:val="single" w:color="auto" w:sz="4" w:space="0"/>
              <w:left w:val="single" w:color="auto" w:sz="4" w:space="0"/>
              <w:bottom w:val="single" w:color="auto" w:sz="4" w:space="0"/>
              <w:right w:val="single" w:color="auto" w:sz="4" w:space="0"/>
            </w:tcBorders>
            <w:shd w:val="clear" w:color="auto" w:fill="auto"/>
            <w:vAlign w:val="center"/>
          </w:tcPr>
          <w:p>
            <w:pPr>
              <w:rPr>
                <w:szCs w:val="21"/>
              </w:rPr>
            </w:pPr>
          </w:p>
        </w:tc>
        <w:tc>
          <w:tcPr>
            <w:tcW w:w="106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8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165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110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pacing w:val="-12"/>
                <w:szCs w:val="21"/>
              </w:rPr>
            </w:pPr>
            <w:r>
              <w:rPr>
                <w:rFonts w:hint="eastAsia" w:cs="宋体"/>
                <w:b/>
                <w:spacing w:val="-12"/>
                <w:szCs w:val="21"/>
              </w:rPr>
              <w:t>回访</w:t>
            </w:r>
          </w:p>
          <w:p>
            <w:pPr>
              <w:jc w:val="center"/>
              <w:rPr>
                <w:b/>
                <w:szCs w:val="21"/>
              </w:rPr>
            </w:pPr>
            <w:r>
              <w:rPr>
                <w:rFonts w:hint="eastAsia" w:cs="宋体"/>
                <w:spacing w:val="-12"/>
                <w:szCs w:val="21"/>
              </w:rPr>
              <w:t>（公共区域项目可不回访）</w:t>
            </w:r>
          </w:p>
        </w:tc>
        <w:tc>
          <w:tcPr>
            <w:tcW w:w="822" w:type="dxa"/>
            <w:tcBorders>
              <w:top w:val="single" w:color="auto" w:sz="4" w:space="0"/>
              <w:left w:val="single" w:color="auto" w:sz="4" w:space="0"/>
              <w:bottom w:val="single" w:color="auto" w:sz="4" w:space="0"/>
              <w:right w:val="single" w:color="auto" w:sz="4" w:space="0"/>
            </w:tcBorders>
            <w:shd w:val="clear" w:color="auto" w:fill="auto"/>
          </w:tcPr>
          <w:p>
            <w:pPr>
              <w:jc w:val="center"/>
            </w:pPr>
            <w:r>
              <w:rPr>
                <w:rFonts w:hint="eastAsia" w:cs="宋体"/>
              </w:rPr>
              <w:t>是否</w:t>
            </w:r>
          </w:p>
          <w:p>
            <w:pPr>
              <w:jc w:val="center"/>
            </w:pPr>
            <w:r>
              <w:rPr>
                <w:rFonts w:hint="eastAsia" w:cs="宋体"/>
              </w:rPr>
              <w:t>回访</w:t>
            </w:r>
          </w:p>
        </w:tc>
        <w:tc>
          <w:tcPr>
            <w:tcW w:w="1068"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r>
              <w:rPr>
                <w:rFonts w:hint="eastAsia" w:cs="宋体"/>
                <w:szCs w:val="21"/>
              </w:rPr>
              <w:t>回访</w:t>
            </w:r>
          </w:p>
          <w:p>
            <w:pPr>
              <w:jc w:val="center"/>
            </w:pPr>
            <w:r>
              <w:rPr>
                <w:rFonts w:hint="eastAsia" w:cs="宋体"/>
                <w:szCs w:val="21"/>
              </w:rPr>
              <w:t>人员</w:t>
            </w:r>
          </w:p>
        </w:tc>
        <w:tc>
          <w:tcPr>
            <w:tcW w:w="869"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r>
              <w:rPr>
                <w:rFonts w:hint="eastAsia" w:cs="宋体"/>
                <w:szCs w:val="21"/>
              </w:rPr>
              <w:t>回访</w:t>
            </w:r>
          </w:p>
          <w:p>
            <w:pPr>
              <w:jc w:val="center"/>
            </w:pPr>
            <w:r>
              <w:rPr>
                <w:rFonts w:hint="eastAsia" w:cs="宋体"/>
                <w:szCs w:val="21"/>
              </w:rPr>
              <w:t>方式</w:t>
            </w:r>
          </w:p>
        </w:tc>
        <w:tc>
          <w:tcPr>
            <w:tcW w:w="1657" w:type="dxa"/>
            <w:gridSpan w:val="2"/>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center"/>
              <w:rPr>
                <w:szCs w:val="21"/>
              </w:rPr>
            </w:pPr>
            <w:r>
              <w:rPr>
                <w:rFonts w:hint="eastAsia" w:cs="宋体"/>
                <w:szCs w:val="21"/>
              </w:rPr>
              <w:t>回访</w:t>
            </w:r>
          </w:p>
          <w:p>
            <w:pPr>
              <w:jc w:val="center"/>
            </w:pPr>
            <w:r>
              <w:rPr>
                <w:rFonts w:hint="eastAsia" w:cs="宋体"/>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822" w:type="dxa"/>
            <w:tcBorders>
              <w:top w:val="single" w:color="auto" w:sz="4" w:space="0"/>
              <w:left w:val="single" w:color="auto" w:sz="4" w:space="0"/>
              <w:bottom w:val="single" w:color="auto" w:sz="4" w:space="0"/>
              <w:right w:val="single" w:color="auto" w:sz="4" w:space="0"/>
            </w:tcBorders>
            <w:shd w:val="clear" w:color="auto" w:fill="auto"/>
          </w:tcPr>
          <w:p>
            <w:pPr>
              <w:jc w:val="center"/>
            </w:pPr>
          </w:p>
        </w:tc>
        <w:tc>
          <w:tcPr>
            <w:tcW w:w="1068"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p>
        </w:tc>
        <w:tc>
          <w:tcPr>
            <w:tcW w:w="869" w:type="dxa"/>
            <w:gridSpan w:val="3"/>
            <w:tcBorders>
              <w:top w:val="single" w:color="auto" w:sz="4" w:space="0"/>
              <w:left w:val="single" w:color="auto" w:sz="4" w:space="0"/>
              <w:bottom w:val="single" w:color="auto" w:sz="4" w:space="0"/>
              <w:right w:val="single" w:color="auto" w:sz="4" w:space="0"/>
            </w:tcBorders>
            <w:shd w:val="clear" w:color="auto" w:fill="auto"/>
          </w:tcPr>
          <w:p>
            <w:pPr>
              <w:jc w:val="center"/>
              <w:rPr>
                <w:szCs w:val="21"/>
              </w:rPr>
            </w:pPr>
          </w:p>
        </w:tc>
        <w:tc>
          <w:tcPr>
            <w:tcW w:w="1657" w:type="dxa"/>
            <w:gridSpan w:val="2"/>
            <w:tcBorders>
              <w:top w:val="single" w:color="auto" w:sz="4" w:space="0"/>
              <w:left w:val="single" w:color="auto" w:sz="4" w:space="0"/>
              <w:bottom w:val="single" w:color="auto" w:sz="4" w:space="0"/>
              <w:right w:val="single" w:color="auto" w:sz="4" w:space="0"/>
            </w:tcBorders>
            <w:shd w:val="clear" w:color="auto" w:fill="auto"/>
          </w:tcPr>
          <w:p>
            <w:pPr>
              <w:spacing w:line="28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41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pacing w:val="-12"/>
                <w:sz w:val="24"/>
              </w:rPr>
            </w:pPr>
            <w:r>
              <w:rPr>
                <w:rFonts w:hint="eastAsia" w:cs="宋体"/>
                <w:b/>
                <w:spacing w:val="-12"/>
                <w:szCs w:val="21"/>
              </w:rPr>
              <w:t>回访内容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1104" w:type="dxa"/>
            <w:gridSpan w:val="2"/>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jc w:val="center"/>
              <w:rPr>
                <w:b/>
                <w:szCs w:val="21"/>
              </w:rPr>
            </w:pPr>
          </w:p>
        </w:tc>
        <w:tc>
          <w:tcPr>
            <w:tcW w:w="11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cs="宋体"/>
                <w:szCs w:val="21"/>
              </w:rPr>
              <w:t>满意</w:t>
            </w:r>
          </w:p>
        </w:tc>
        <w:tc>
          <w:tcPr>
            <w:tcW w:w="11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szCs w:val="21"/>
              </w:rPr>
            </w:pPr>
            <w:r>
              <w:rPr>
                <w:rFonts w:hint="eastAsia" w:cs="宋体"/>
                <w:szCs w:val="21"/>
              </w:rPr>
              <w:t>基本满意</w:t>
            </w: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cs="宋体"/>
                <w:szCs w:val="21"/>
              </w:rPr>
              <w:t>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71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84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85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1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Cs w:val="21"/>
              </w:rPr>
            </w:pPr>
            <w:r>
              <w:rPr>
                <w:rFonts w:hint="eastAsia" w:cs="宋体"/>
                <w:spacing w:val="-12"/>
                <w:szCs w:val="21"/>
              </w:rPr>
              <w:t>维修质量</w:t>
            </w:r>
          </w:p>
        </w:tc>
        <w:tc>
          <w:tcPr>
            <w:tcW w:w="11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Cs w:val="21"/>
              </w:rPr>
            </w:pPr>
          </w:p>
        </w:tc>
        <w:tc>
          <w:tcPr>
            <w:tcW w:w="11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Cs w:val="21"/>
              </w:rPr>
            </w:pP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合计</w:t>
            </w:r>
          </w:p>
        </w:tc>
        <w:tc>
          <w:tcPr>
            <w:tcW w:w="3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（或附件清单）</w:t>
            </w: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11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r>
              <w:rPr>
                <w:rFonts w:hint="eastAsia" w:cs="宋体"/>
                <w:spacing w:val="-12"/>
                <w:szCs w:val="21"/>
              </w:rPr>
              <w:t>服务态度</w:t>
            </w:r>
          </w:p>
        </w:tc>
        <w:tc>
          <w:tcPr>
            <w:tcW w:w="11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110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c>
          <w:tcPr>
            <w:tcW w:w="110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pacing w:val="-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cs="宋体"/>
              </w:rPr>
              <w:t>金额</w:t>
            </w:r>
            <w:r>
              <w:t>(</w:t>
            </w:r>
            <w:r>
              <w:rPr>
                <w:rFonts w:hint="eastAsia" w:cs="宋体"/>
              </w:rPr>
              <w:t>大写</w:t>
            </w:r>
            <w:r>
              <w:t xml:space="preserve">) </w:t>
            </w:r>
            <w:r>
              <w:rPr>
                <w:rFonts w:hint="eastAsia" w:cs="宋体"/>
              </w:rPr>
              <w:t>合计</w:t>
            </w:r>
          </w:p>
        </w:tc>
        <w:tc>
          <w:tcPr>
            <w:tcW w:w="312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rPr>
            </w:pPr>
          </w:p>
        </w:tc>
        <w:tc>
          <w:tcPr>
            <w:tcW w:w="110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tc>
        <w:tc>
          <w:tcPr>
            <w:tcW w:w="441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pacing w:val="-12"/>
                <w:sz w:val="24"/>
              </w:rPr>
            </w:pPr>
            <w:r>
              <w:rPr>
                <w:rFonts w:hint="eastAsia" w:cs="宋体"/>
                <w:szCs w:val="21"/>
              </w:rPr>
              <w:t>回访部门：客户服务部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3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pacing w:val="-12"/>
                <w:szCs w:val="21"/>
              </w:rPr>
            </w:pPr>
            <w:r>
              <w:rPr>
                <w:rFonts w:hint="eastAsia" w:cs="宋体"/>
                <w:b/>
                <w:szCs w:val="21"/>
              </w:rPr>
              <w:t>备注</w:t>
            </w:r>
          </w:p>
        </w:tc>
        <w:tc>
          <w:tcPr>
            <w:tcW w:w="8641"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Cs w:val="21"/>
              </w:rPr>
            </w:pPr>
          </w:p>
        </w:tc>
      </w:tr>
    </w:tbl>
    <w:p>
      <w:pPr>
        <w:adjustRightInd w:val="0"/>
        <w:snapToGrid w:val="0"/>
        <w:spacing w:line="360" w:lineRule="auto"/>
        <w:rPr>
          <w:rFonts w:ascii="宋体" w:hAnsi="宋体"/>
          <w:b/>
          <w:kern w:val="0"/>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E4316"/>
    <w:multiLevelType w:val="multilevel"/>
    <w:tmpl w:val="067E4316"/>
    <w:lvl w:ilvl="0" w:tentative="0">
      <w:start w:val="1"/>
      <w:numFmt w:val="decimal"/>
      <w:lvlText w:val="%1"/>
      <w:lvlJc w:val="left"/>
      <w:pPr>
        <w:ind w:left="425" w:hanging="425"/>
      </w:pPr>
      <w:rPr>
        <w:rFonts w:hint="eastAsia"/>
      </w:rPr>
    </w:lvl>
    <w:lvl w:ilvl="1" w:tentative="0">
      <w:start w:val="1"/>
      <w:numFmt w:val="decimal"/>
      <w:lvlText w:val="%1.%2"/>
      <w:lvlJc w:val="left"/>
      <w:pPr>
        <w:ind w:left="709" w:hanging="567"/>
      </w:pPr>
      <w:rPr>
        <w:rFonts w:hint="default" w:ascii="宋体" w:hAnsi="宋体" w:eastAsia="宋体" w:cs="Times New Roman"/>
        <w:b/>
      </w:rPr>
    </w:lvl>
    <w:lvl w:ilvl="2" w:tentative="0">
      <w:start w:val="1"/>
      <w:numFmt w:val="decimal"/>
      <w:lvlText w:val="3.2.%3"/>
      <w:lvlJc w:val="left"/>
      <w:pPr>
        <w:ind w:left="709" w:hanging="709"/>
      </w:pPr>
      <w:rPr>
        <w:rFonts w:hint="eastAsia" w:ascii="宋体" w:hAnsi="宋体" w:eastAsia="宋体"/>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5DA30935"/>
    <w:multiLevelType w:val="multilevel"/>
    <w:tmpl w:val="5DA30935"/>
    <w:lvl w:ilvl="0" w:tentative="0">
      <w:start w:val="1"/>
      <w:numFmt w:val="decimal"/>
      <w:lvlText w:val="%1."/>
      <w:lvlJc w:val="left"/>
      <w:pPr>
        <w:ind w:left="420" w:hanging="420"/>
      </w:pPr>
      <w:rPr>
        <w:rFonts w:hint="default"/>
      </w:rPr>
    </w:lvl>
    <w:lvl w:ilvl="1" w:tentative="0">
      <w:start w:val="1"/>
      <w:numFmt w:val="decimal"/>
      <w:lvlText w:val="3.%2"/>
      <w:lvlJc w:val="left"/>
      <w:pPr>
        <w:ind w:left="720" w:hanging="720"/>
      </w:pPr>
      <w:rPr>
        <w:rFonts w:hint="eastAsia" w:ascii="宋体" w:hAnsi="宋体" w:eastAsia="宋体"/>
        <w:b/>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440" w:hanging="144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2160" w:hanging="2160"/>
      </w:pPr>
      <w:rPr>
        <w:rFonts w:hint="default"/>
      </w:rPr>
    </w:lvl>
    <w:lvl w:ilvl="8" w:tentative="0">
      <w:start w:val="1"/>
      <w:numFmt w:val="decimal"/>
      <w:isLgl/>
      <w:lvlText w:val="%1.%2.%3.%4.%5.%6.%7.%8.%9"/>
      <w:lvlJc w:val="left"/>
      <w:pPr>
        <w:ind w:left="2160" w:hanging="2160"/>
      </w:pPr>
      <w:rPr>
        <w:rFonts w:hint="default"/>
      </w:rPr>
    </w:lvl>
  </w:abstractNum>
  <w:abstractNum w:abstractNumId="2">
    <w:nsid w:val="6B211DCC"/>
    <w:multiLevelType w:val="multilevel"/>
    <w:tmpl w:val="6B211DCC"/>
    <w:lvl w:ilvl="0" w:tentative="0">
      <w:start w:val="1"/>
      <w:numFmt w:val="decimal"/>
      <w:lvlText w:val="%1"/>
      <w:lvlJc w:val="left"/>
      <w:pPr>
        <w:ind w:left="425" w:hanging="425"/>
      </w:pPr>
      <w:rPr>
        <w:rFonts w:hint="eastAsia"/>
      </w:rPr>
    </w:lvl>
    <w:lvl w:ilvl="1" w:tentative="0">
      <w:start w:val="1"/>
      <w:numFmt w:val="decimal"/>
      <w:lvlText w:val="%1.%2"/>
      <w:lvlJc w:val="left"/>
      <w:pPr>
        <w:ind w:left="709" w:hanging="567"/>
      </w:pPr>
      <w:rPr>
        <w:rFonts w:hint="default" w:ascii="宋体" w:hAnsi="宋体" w:eastAsia="宋体" w:cs="Times New Roman"/>
        <w:b/>
      </w:rPr>
    </w:lvl>
    <w:lvl w:ilvl="2" w:tentative="0">
      <w:start w:val="1"/>
      <w:numFmt w:val="decimal"/>
      <w:lvlText w:val="3.3.%3"/>
      <w:lvlJc w:val="left"/>
      <w:pPr>
        <w:ind w:left="709" w:hanging="709"/>
      </w:pPr>
      <w:rPr>
        <w:rFonts w:hint="eastAsia" w:ascii="宋体" w:hAnsi="宋体" w:eastAsia="宋体"/>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3">
    <w:nsid w:val="76B02131"/>
    <w:multiLevelType w:val="multilevel"/>
    <w:tmpl w:val="76B02131"/>
    <w:lvl w:ilvl="0" w:tentative="0">
      <w:start w:val="1"/>
      <w:numFmt w:val="decimal"/>
      <w:lvlText w:val="3.%1"/>
      <w:lvlJc w:val="left"/>
      <w:pPr>
        <w:ind w:left="420" w:hanging="420"/>
      </w:pPr>
      <w:rPr>
        <w:rFonts w:hint="eastAsia" w:ascii="宋体" w:hAnsi="宋体" w:eastAsia="宋体"/>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7D206F3"/>
    <w:multiLevelType w:val="multilevel"/>
    <w:tmpl w:val="77D206F3"/>
    <w:lvl w:ilvl="0" w:tentative="0">
      <w:start w:val="1"/>
      <w:numFmt w:val="decimal"/>
      <w:lvlText w:val="%1"/>
      <w:lvlJc w:val="left"/>
      <w:pPr>
        <w:ind w:left="425" w:hanging="425"/>
      </w:pPr>
      <w:rPr>
        <w:rFonts w:hint="eastAsia"/>
      </w:rPr>
    </w:lvl>
    <w:lvl w:ilvl="1" w:tentative="0">
      <w:start w:val="1"/>
      <w:numFmt w:val="decimal"/>
      <w:lvlText w:val="%1.%2"/>
      <w:lvlJc w:val="left"/>
      <w:pPr>
        <w:ind w:left="709" w:hanging="567"/>
      </w:pPr>
      <w:rPr>
        <w:rFonts w:hint="default" w:ascii="宋体" w:hAnsi="宋体" w:eastAsia="宋体" w:cs="Times New Roman"/>
        <w:b/>
      </w:rPr>
    </w:lvl>
    <w:lvl w:ilvl="2" w:tentative="0">
      <w:start w:val="1"/>
      <w:numFmt w:val="decimal"/>
      <w:lvlText w:val="3.1.%3"/>
      <w:lvlJc w:val="left"/>
      <w:pPr>
        <w:ind w:left="709" w:hanging="709"/>
      </w:pPr>
      <w:rPr>
        <w:rFonts w:hint="eastAsia" w:ascii="宋体" w:hAnsi="宋体" w:eastAsia="宋体"/>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2MDk1YWM3OTU4ZGU2Yjc2YjljOWNlNjc3MDMwMjAifQ=="/>
  </w:docVars>
  <w:rsids>
    <w:rsidRoot w:val="07F0280A"/>
    <w:rsid w:val="07F028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D7F0DB"/>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2022-08-23T02:42:00Z</dcterms:created>
  <dc:creator>H g z</dc:creator>
  <cp:lastModifiedBy>H g z</cp:lastModifiedBy>
  <dcterms:modified xsi:type="dcterms:W3CDTF">2022-08-23T02:42:47Z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7AF0E19ED2644FB4945A47AACAE15D96</vt:lpwstr>
  </property>
</Properties>
</file>