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962"/>
        </w:tabs>
        <w:spacing w:line="400" w:lineRule="exact"/>
        <w:jc w:val="left"/>
        <w:rPr>
          <w:sz w:val="36"/>
          <w:szCs w:val="36"/>
        </w:rPr>
      </w:pPr>
      <w:r>
        <w:rPr>
          <w:rFonts w:hint="eastAsia"/>
          <w:sz w:val="36"/>
          <w:szCs w:val="36"/>
        </w:rPr>
        <w:t>第四章合同部分</w:t>
      </w:r>
    </w:p>
    <w:p>
      <w:pPr>
        <w:tabs>
          <w:tab w:val="left" w:pos="720"/>
        </w:tabs>
        <w:spacing w:line="360" w:lineRule="auto"/>
        <w:rPr>
          <w:rFonts w:ascii="宋体" w:hAnsi="宋体"/>
          <w:b/>
          <w:szCs w:val="21"/>
        </w:rPr>
      </w:pPr>
    </w:p>
    <w:p>
      <w:pPr>
        <w:spacing w:line="520" w:lineRule="exact"/>
      </w:pPr>
    </w:p>
    <w:p>
      <w:pPr>
        <w:jc w:val="center"/>
        <w:rPr>
          <w:b/>
          <w:sz w:val="24"/>
          <w:u w:val="single"/>
        </w:rPr>
      </w:pPr>
      <w:r>
        <w:rPr>
          <w:rFonts w:hint="eastAsia"/>
          <w:b/>
          <w:sz w:val="24"/>
        </w:rPr>
        <w:t>合同编号：</w:t>
      </w:r>
    </w:p>
    <w:p>
      <w:pPr>
        <w:rPr>
          <w:b/>
          <w:sz w:val="28"/>
          <w:szCs w:val="28"/>
        </w:rPr>
      </w:pPr>
    </w:p>
    <w:p>
      <w:pPr>
        <w:jc w:val="center"/>
        <w:rPr>
          <w:b/>
          <w:sz w:val="44"/>
          <w:szCs w:val="44"/>
        </w:rPr>
      </w:pPr>
    </w:p>
    <w:p>
      <w:pPr>
        <w:jc w:val="center"/>
        <w:rPr>
          <w:b/>
          <w:sz w:val="44"/>
          <w:szCs w:val="44"/>
        </w:rPr>
      </w:pPr>
    </w:p>
    <w:p>
      <w:pPr>
        <w:tabs>
          <w:tab w:val="left" w:pos="5719"/>
        </w:tabs>
        <w:jc w:val="center"/>
        <w:rPr>
          <w:b/>
          <w:sz w:val="44"/>
          <w:szCs w:val="44"/>
        </w:rPr>
      </w:pPr>
    </w:p>
    <w:p>
      <w:pPr>
        <w:jc w:val="center"/>
        <w:rPr>
          <w:b/>
          <w:sz w:val="44"/>
          <w:szCs w:val="44"/>
        </w:rPr>
      </w:pPr>
    </w:p>
    <w:p>
      <w:pPr>
        <w:jc w:val="center"/>
        <w:rPr>
          <w:rFonts w:ascii="宋体" w:hAnsi="宋体"/>
          <w:b/>
          <w:sz w:val="72"/>
          <w:szCs w:val="72"/>
        </w:rPr>
      </w:pPr>
      <w:r>
        <w:rPr>
          <w:rFonts w:hint="eastAsia" w:ascii="宋体" w:hAnsi="宋体"/>
          <w:b/>
          <w:sz w:val="72"/>
          <w:szCs w:val="72"/>
        </w:rPr>
        <w:t>施工合同</w:t>
      </w:r>
    </w:p>
    <w:p>
      <w:pPr>
        <w:jc w:val="center"/>
        <w:rPr>
          <w:b/>
          <w:sz w:val="44"/>
          <w:szCs w:val="44"/>
        </w:rPr>
      </w:pPr>
    </w:p>
    <w:p>
      <w:pPr>
        <w:jc w:val="center"/>
        <w:rPr>
          <w:b/>
          <w:sz w:val="72"/>
          <w:szCs w:val="72"/>
        </w:rPr>
      </w:pPr>
    </w:p>
    <w:p>
      <w:pPr>
        <w:jc w:val="center"/>
        <w:rPr>
          <w:b/>
          <w:sz w:val="72"/>
          <w:szCs w:val="72"/>
        </w:rPr>
      </w:pPr>
    </w:p>
    <w:p>
      <w:pPr>
        <w:jc w:val="center"/>
        <w:rPr>
          <w:b/>
          <w:sz w:val="72"/>
          <w:szCs w:val="72"/>
        </w:rPr>
      </w:pPr>
    </w:p>
    <w:p>
      <w:pPr>
        <w:jc w:val="left"/>
        <w:rPr>
          <w:b/>
          <w:sz w:val="36"/>
          <w:szCs w:val="36"/>
        </w:rPr>
      </w:pPr>
    </w:p>
    <w:p>
      <w:pPr>
        <w:jc w:val="left"/>
        <w:rPr>
          <w:rFonts w:hint="eastAsia" w:eastAsia="宋体" w:asciiTheme="minorEastAsia" w:hAnsiTheme="minorEastAsia"/>
          <w:sz w:val="30"/>
          <w:szCs w:val="30"/>
          <w:u w:val="single"/>
          <w:lang w:eastAsia="zh-CN"/>
        </w:rPr>
      </w:pPr>
      <w:r>
        <w:rPr>
          <w:rFonts w:hint="eastAsia"/>
          <w:b/>
          <w:sz w:val="36"/>
          <w:szCs w:val="36"/>
        </w:rPr>
        <w:t>工程名称</w:t>
      </w:r>
      <w:r>
        <w:rPr>
          <w:b/>
          <w:spacing w:val="50"/>
          <w:sz w:val="36"/>
          <w:szCs w:val="36"/>
        </w:rPr>
        <w:t>:</w:t>
      </w:r>
      <w:r>
        <w:rPr>
          <w:rFonts w:hint="eastAsia" w:asciiTheme="minorEastAsia" w:hAnsiTheme="minorEastAsia"/>
          <w:sz w:val="30"/>
          <w:szCs w:val="30"/>
          <w:u w:val="single"/>
          <w:lang w:eastAsia="zh-CN"/>
        </w:rPr>
        <w:t>汇德大厦项目度第三方维保（建筑、装修、防水专业）</w:t>
      </w:r>
    </w:p>
    <w:p>
      <w:pPr>
        <w:tabs>
          <w:tab w:val="left" w:pos="1620"/>
          <w:tab w:val="left" w:pos="1800"/>
          <w:tab w:val="left" w:pos="1980"/>
          <w:tab w:val="left" w:pos="6840"/>
          <w:tab w:val="left" w:pos="7020"/>
          <w:tab w:val="left" w:pos="7200"/>
        </w:tabs>
        <w:jc w:val="left"/>
        <w:rPr>
          <w:b/>
          <w:sz w:val="36"/>
          <w:szCs w:val="36"/>
          <w:u w:val="single"/>
        </w:rPr>
      </w:pPr>
      <w:r>
        <w:rPr>
          <w:rFonts w:hint="eastAsia"/>
          <w:b/>
          <w:spacing w:val="50"/>
          <w:sz w:val="36"/>
          <w:szCs w:val="36"/>
        </w:rPr>
        <w:t>发包人</w:t>
      </w:r>
      <w:r>
        <w:rPr>
          <w:b/>
          <w:spacing w:val="50"/>
          <w:sz w:val="36"/>
          <w:szCs w:val="36"/>
        </w:rPr>
        <w:t>:</w:t>
      </w:r>
      <w:r>
        <w:rPr>
          <w:rFonts w:asciiTheme="minorEastAsia" w:hAnsiTheme="minorEastAsia"/>
          <w:sz w:val="30"/>
          <w:szCs w:val="30"/>
          <w:u w:val="single"/>
        </w:rPr>
        <w:t>深圳市地铁集团有限公司</w:t>
      </w:r>
    </w:p>
    <w:p>
      <w:pPr>
        <w:tabs>
          <w:tab w:val="left" w:pos="1800"/>
          <w:tab w:val="left" w:pos="7200"/>
        </w:tabs>
        <w:jc w:val="left"/>
        <w:rPr>
          <w:b/>
          <w:sz w:val="36"/>
          <w:szCs w:val="36"/>
        </w:rPr>
      </w:pPr>
      <w:r>
        <w:rPr>
          <w:rFonts w:hint="eastAsia"/>
          <w:b/>
          <w:spacing w:val="50"/>
          <w:sz w:val="36"/>
          <w:szCs w:val="36"/>
        </w:rPr>
        <w:t>承包人</w:t>
      </w:r>
      <w:r>
        <w:rPr>
          <w:b/>
          <w:spacing w:val="50"/>
          <w:sz w:val="36"/>
          <w:szCs w:val="36"/>
        </w:rPr>
        <w:t>:</w:t>
      </w:r>
    </w:p>
    <w:p>
      <w:pPr>
        <w:jc w:val="center"/>
        <w:rPr>
          <w:b/>
          <w:sz w:val="44"/>
          <w:szCs w:val="44"/>
        </w:rPr>
      </w:pPr>
    </w:p>
    <w:p>
      <w:pPr>
        <w:jc w:val="center"/>
        <w:rPr>
          <w:sz w:val="28"/>
          <w:szCs w:val="28"/>
        </w:rPr>
        <w:sectPr>
          <w:pgSz w:w="11906" w:h="16838"/>
          <w:pgMar w:top="1440" w:right="1440" w:bottom="1440" w:left="1440" w:header="851" w:footer="992" w:gutter="0"/>
          <w:pgNumType w:fmt="numberInDash"/>
          <w:cols w:space="720" w:num="1"/>
          <w:docGrid w:linePitch="312" w:charSpace="0"/>
        </w:sectPr>
      </w:pPr>
      <w:r>
        <w:rPr>
          <w:rFonts w:hint="eastAsia"/>
          <w:b/>
          <w:sz w:val="36"/>
          <w:szCs w:val="36"/>
        </w:rPr>
        <w:t>二</w:t>
      </w:r>
      <w:r>
        <w:rPr>
          <w:b/>
          <w:sz w:val="36"/>
          <w:szCs w:val="36"/>
        </w:rPr>
        <w:t>0</w:t>
      </w:r>
      <w:r>
        <w:rPr>
          <w:rFonts w:hint="eastAsia"/>
          <w:b/>
          <w:sz w:val="36"/>
          <w:szCs w:val="36"/>
          <w:lang w:eastAsia="zh-CN"/>
        </w:rPr>
        <w:t>二</w:t>
      </w:r>
      <w:r>
        <w:rPr>
          <w:rFonts w:hint="eastAsia"/>
          <w:b/>
          <w:sz w:val="36"/>
          <w:szCs w:val="36"/>
          <w:lang w:val="en-US" w:eastAsia="zh-CN"/>
        </w:rPr>
        <w:t>二</w:t>
      </w:r>
      <w:r>
        <w:rPr>
          <w:rFonts w:hint="eastAsia"/>
          <w:b/>
          <w:sz w:val="36"/>
          <w:szCs w:val="36"/>
        </w:rPr>
        <w:t>年</w:t>
      </w:r>
      <w:r>
        <w:rPr>
          <w:rFonts w:hint="eastAsia"/>
          <w:b/>
          <w:sz w:val="36"/>
          <w:szCs w:val="36"/>
          <w:lang w:eastAsia="zh-CN"/>
        </w:rPr>
        <w:t>九</w:t>
      </w:r>
      <w:r>
        <w:rPr>
          <w:rFonts w:hint="eastAsia"/>
          <w:b/>
          <w:sz w:val="36"/>
          <w:szCs w:val="36"/>
        </w:rPr>
        <w:t>月</w:t>
      </w:r>
    </w:p>
    <w:p>
      <w:pPr>
        <w:spacing w:line="312" w:lineRule="auto"/>
        <w:ind w:right="-506" w:rightChars="-241"/>
        <w:jc w:val="center"/>
        <w:rPr>
          <w:b/>
          <w:sz w:val="44"/>
          <w:szCs w:val="44"/>
        </w:rPr>
      </w:pPr>
      <w:r>
        <w:rPr>
          <w:rFonts w:hint="eastAsia"/>
          <w:b/>
          <w:sz w:val="44"/>
          <w:szCs w:val="44"/>
        </w:rPr>
        <w:t>汇德大厦项目第三方维保</w:t>
      </w:r>
    </w:p>
    <w:p>
      <w:pPr>
        <w:spacing w:line="312" w:lineRule="auto"/>
        <w:ind w:right="-506" w:rightChars="-241"/>
        <w:jc w:val="center"/>
        <w:rPr>
          <w:b/>
          <w:color w:val="000000"/>
          <w:sz w:val="44"/>
          <w:szCs w:val="44"/>
        </w:rPr>
      </w:pPr>
      <w:r>
        <w:rPr>
          <w:rFonts w:hint="eastAsia"/>
          <w:b/>
          <w:color w:val="000000"/>
          <w:sz w:val="44"/>
          <w:szCs w:val="44"/>
        </w:rPr>
        <w:t>（建筑、装修、防水专业）工程</w:t>
      </w:r>
    </w:p>
    <w:p>
      <w:pPr>
        <w:spacing w:line="480" w:lineRule="exact"/>
        <w:ind w:firstLine="201" w:firstLineChars="200"/>
        <w:jc w:val="center"/>
        <w:rPr>
          <w:rFonts w:eastAsia="黑体"/>
          <w:b/>
          <w:color w:val="000000"/>
          <w:sz w:val="10"/>
          <w:szCs w:val="10"/>
        </w:rPr>
      </w:pPr>
    </w:p>
    <w:p>
      <w:pPr>
        <w:spacing w:line="520" w:lineRule="exact"/>
        <w:jc w:val="left"/>
        <w:rPr>
          <w:rFonts w:hint="eastAsia" w:asciiTheme="minorEastAsia" w:hAnsiTheme="minorEastAsia" w:eastAsiaTheme="minorEastAsia" w:cstheme="minorEastAsia"/>
          <w:color w:val="000000"/>
          <w:sz w:val="24"/>
          <w:szCs w:val="24"/>
          <w:u w:val="words"/>
        </w:rPr>
      </w:pPr>
      <w:r>
        <w:rPr>
          <w:rFonts w:hint="eastAsia" w:asciiTheme="minorEastAsia" w:hAnsiTheme="minorEastAsia" w:eastAsiaTheme="minorEastAsia" w:cstheme="minorEastAsia"/>
          <w:b/>
          <w:color w:val="000000"/>
          <w:sz w:val="24"/>
          <w:szCs w:val="24"/>
        </w:rPr>
        <w:t>甲</w:t>
      </w:r>
      <w:r>
        <w:rPr>
          <w:rFonts w:hint="eastAsia" w:asciiTheme="minorEastAsia" w:hAnsiTheme="minorEastAsia" w:eastAsiaTheme="minorEastAsia" w:cstheme="minorEastAsia"/>
          <w:b/>
          <w:sz w:val="24"/>
          <w:szCs w:val="24"/>
        </w:rPr>
        <w:t>方：</w:t>
      </w:r>
      <w:r>
        <w:rPr>
          <w:rFonts w:hint="eastAsia" w:asciiTheme="minorEastAsia" w:hAnsiTheme="minorEastAsia" w:eastAsiaTheme="minorEastAsia" w:cstheme="minorEastAsia"/>
          <w:sz w:val="24"/>
          <w:szCs w:val="24"/>
          <w:u w:val="single"/>
        </w:rPr>
        <w:t>深圳市地铁集团有限公司（发包人）</w:t>
      </w:r>
    </w:p>
    <w:p>
      <w:pPr>
        <w:spacing w:line="520" w:lineRule="exact"/>
        <w:jc w:val="left"/>
        <w:rPr>
          <w:rFonts w:hint="eastAsia" w:asciiTheme="minorEastAsia" w:hAnsiTheme="minorEastAsia" w:eastAsiaTheme="minorEastAsia" w:cstheme="minorEastAsia"/>
          <w:color w:val="000000"/>
          <w:sz w:val="24"/>
          <w:szCs w:val="24"/>
          <w:u w:val="single"/>
        </w:rPr>
      </w:pPr>
      <w:r>
        <w:rPr>
          <w:rFonts w:hint="eastAsia" w:asciiTheme="minorEastAsia" w:hAnsiTheme="minorEastAsia" w:eastAsiaTheme="minorEastAsia" w:cstheme="minorEastAsia"/>
          <w:b/>
          <w:color w:val="000000"/>
          <w:sz w:val="24"/>
          <w:szCs w:val="24"/>
        </w:rPr>
        <w:t>乙方：</w:t>
      </w:r>
      <w:r>
        <w:rPr>
          <w:rFonts w:hint="eastAsia" w:asciiTheme="minorEastAsia" w:hAnsiTheme="minorEastAsia" w:eastAsiaTheme="minorEastAsia" w:cstheme="minorEastAsia"/>
          <w:color w:val="000000"/>
          <w:sz w:val="24"/>
          <w:szCs w:val="24"/>
          <w:u w:val="single"/>
        </w:rPr>
        <w:t>（承包人）</w:t>
      </w:r>
    </w:p>
    <w:p>
      <w:pPr>
        <w:spacing w:line="520" w:lineRule="exact"/>
        <w:jc w:val="left"/>
        <w:rPr>
          <w:rFonts w:hint="eastAsia" w:asciiTheme="minorEastAsia" w:hAnsiTheme="minorEastAsia" w:eastAsiaTheme="minorEastAsia" w:cstheme="minorEastAsia"/>
          <w:b/>
          <w:sz w:val="24"/>
          <w:szCs w:val="24"/>
          <w:u w:val="words"/>
        </w:rPr>
      </w:pP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根据《中华人民共和国</w:t>
      </w:r>
      <w:r>
        <w:rPr>
          <w:rFonts w:hint="eastAsia" w:asciiTheme="minorEastAsia" w:hAnsiTheme="minorEastAsia" w:eastAsiaTheme="minorEastAsia" w:cstheme="minorEastAsia"/>
          <w:sz w:val="24"/>
          <w:szCs w:val="24"/>
          <w:lang w:eastAsia="zh-CN"/>
        </w:rPr>
        <w:t>民法典</w:t>
      </w:r>
      <w:r>
        <w:rPr>
          <w:rFonts w:hint="eastAsia" w:asciiTheme="minorEastAsia" w:hAnsiTheme="minorEastAsia" w:eastAsiaTheme="minorEastAsia" w:cstheme="minorEastAsia"/>
          <w:sz w:val="24"/>
          <w:szCs w:val="24"/>
        </w:rPr>
        <w:t>》、《中华人民共和国建筑法》及相关法律、法规，依照招标结果及招标文件要求，甲乙双方遵循平等、自愿和诚实信用的原则，就甲方房屋修缮工程建设施工事项协商一致，订立本合同。</w:t>
      </w:r>
    </w:p>
    <w:p>
      <w:pPr>
        <w:spacing w:line="520" w:lineRule="exac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一、合同组成</w:t>
      </w:r>
    </w:p>
    <w:p>
      <w:pPr>
        <w:spacing w:line="520" w:lineRule="exact"/>
        <w:ind w:firstLine="42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组成本合同的文件及优先解释顺序如下：</w:t>
      </w:r>
    </w:p>
    <w:p>
      <w:pPr>
        <w:pStyle w:val="2"/>
        <w:spacing w:line="520" w:lineRule="exact"/>
        <w:ind w:firstLine="42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1.本合同；</w:t>
      </w:r>
    </w:p>
    <w:p>
      <w:pPr>
        <w:pStyle w:val="2"/>
        <w:spacing w:line="520" w:lineRule="exact"/>
        <w:ind w:firstLine="42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2.中标通知书；</w:t>
      </w:r>
    </w:p>
    <w:p>
      <w:pPr>
        <w:pStyle w:val="2"/>
        <w:spacing w:line="520" w:lineRule="exact"/>
        <w:ind w:firstLine="42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3.投标承诺函；</w:t>
      </w:r>
    </w:p>
    <w:p>
      <w:pPr>
        <w:pStyle w:val="2"/>
        <w:spacing w:line="520" w:lineRule="exact"/>
        <w:ind w:firstLine="42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4.规范标准及有关技术文件；</w:t>
      </w:r>
    </w:p>
    <w:p>
      <w:pPr>
        <w:pStyle w:val="2"/>
        <w:spacing w:line="520" w:lineRule="exact"/>
        <w:ind w:firstLine="42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5.单项维修施工委托单；</w:t>
      </w:r>
    </w:p>
    <w:p>
      <w:pPr>
        <w:pStyle w:val="2"/>
        <w:spacing w:line="520" w:lineRule="exact"/>
        <w:ind w:firstLine="42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6.维修技术方案或维修工程内容确定表；</w:t>
      </w:r>
    </w:p>
    <w:p>
      <w:pPr>
        <w:pStyle w:val="2"/>
        <w:spacing w:line="520" w:lineRule="exact"/>
        <w:ind w:firstLine="42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7.招标文件；</w:t>
      </w:r>
    </w:p>
    <w:p>
      <w:pPr>
        <w:pStyle w:val="2"/>
        <w:spacing w:line="520" w:lineRule="exact"/>
        <w:ind w:firstLine="42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8.投标文件及澄清回复文件；</w:t>
      </w:r>
    </w:p>
    <w:p>
      <w:pPr>
        <w:pStyle w:val="2"/>
        <w:spacing w:line="520" w:lineRule="exact"/>
        <w:ind w:firstLine="42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9.甲方有关通知及会议纪要；</w:t>
      </w:r>
    </w:p>
    <w:p>
      <w:pPr>
        <w:pStyle w:val="2"/>
        <w:spacing w:line="520" w:lineRule="exact"/>
        <w:ind w:firstLine="42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10.双方有关工程的洽商或变更的书面记录、信函、传真文件等；</w:t>
      </w:r>
    </w:p>
    <w:p>
      <w:pPr>
        <w:pStyle w:val="2"/>
        <w:spacing w:line="520" w:lineRule="exact"/>
        <w:ind w:firstLine="420"/>
        <w:jc w:val="left"/>
        <w:rPr>
          <w:rFonts w:hint="eastAsia" w:asciiTheme="minorEastAsia" w:hAnsiTheme="minorEastAsia" w:eastAsiaTheme="minorEastAsia" w:cstheme="minorEastAsia"/>
          <w:color w:val="000000"/>
          <w:sz w:val="24"/>
          <w:szCs w:val="24"/>
        </w:rPr>
      </w:pPr>
    </w:p>
    <w:p>
      <w:pPr>
        <w:spacing w:line="520" w:lineRule="exact"/>
        <w:jc w:val="left"/>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sz w:val="24"/>
          <w:szCs w:val="24"/>
        </w:rPr>
        <w:t>二、服务内容和范围</w:t>
      </w:r>
    </w:p>
    <w:p>
      <w:pPr>
        <w:spacing w:line="520" w:lineRule="exact"/>
        <w:ind w:firstLine="480"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rPr>
        <w:t>乙方服务内容和范围：甲方委托的房屋维修工程（建筑专业）的勘查、方案编制、施工工作。范围包括且不限于房屋、室内外设施、设备、构筑物、附属物、管道、线缆等的维修。具体维修内容和预估造价由甲乙双方通过签订《单项维修施工委托单》约定。甲方有权调整、取消维修项目或增加、减少维修项目工作内容，乙方不得对工程服务内容和范围发生变化提出任何额外索赔，并保证按合同要求完成减少或增加的所有工程内容。</w:t>
      </w:r>
    </w:p>
    <w:p>
      <w:pPr>
        <w:spacing w:line="520" w:lineRule="exact"/>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三、主体资格</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1、乙方必须具备有效的营业执照、安全生产许可证和相应的专业资质。</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2、乙方须设立项目管理组负责本合同约定服务事项的实施工作，项目管理组成员及资格最低要求如下：</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1）驻点技术管理员1名：建筑工程、土木工程、电气或给排水工程专业，具备3年以上（含3年）建筑工程相关工作经验（受权办理任务承接、数据签收、负责维修方案编制、报审、监督、质检工作等）。</w:t>
      </w:r>
    </w:p>
    <w:p>
      <w:pPr>
        <w:spacing w:line="520" w:lineRule="exact"/>
        <w:ind w:firstLine="480" w:firstLineChars="200"/>
        <w:rPr>
          <w:rFonts w:hint="eastAsia" w:asciiTheme="minorEastAsia" w:hAnsiTheme="minorEastAsia" w:eastAsiaTheme="minorEastAsia" w:cstheme="minorEastAsia"/>
          <w:sz w:val="24"/>
          <w:szCs w:val="24"/>
          <w:highlight w:val="cyan"/>
        </w:rPr>
      </w:pPr>
      <w:r>
        <w:rPr>
          <w:rFonts w:hint="eastAsia" w:asciiTheme="minorEastAsia" w:hAnsiTheme="minorEastAsia" w:eastAsiaTheme="minorEastAsia" w:cstheme="minorEastAsia"/>
          <w:sz w:val="24"/>
          <w:szCs w:val="24"/>
        </w:rPr>
        <w:t>2）安全员1名：持安全资格证书C本；</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color w:val="000000"/>
          <w:sz w:val="24"/>
          <w:szCs w:val="24"/>
        </w:rPr>
        <w:t>3、</w:t>
      </w:r>
      <w:r>
        <w:rPr>
          <w:rFonts w:hint="eastAsia" w:asciiTheme="minorEastAsia" w:hAnsiTheme="minorEastAsia" w:eastAsiaTheme="minorEastAsia" w:cstheme="minorEastAsia"/>
          <w:sz w:val="24"/>
          <w:szCs w:val="24"/>
        </w:rPr>
        <w:t>签订本合同时，乙方将项目管理组成员任命书及成员信息报甲方备案。项目管理组成员应相对固定，如乙方更换项目经理及受权人，乙方须提前1个月以书面形式告知甲方，经甲方同意后方可变更，并重新备案。</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4、乙方须指定驻点技术管理员手机号码作为接收项目信息的专用号码，并保证该号码的收发信息畅通。签订本合同时，乙方将该号码的授权书报甲方备案。</w:t>
      </w:r>
    </w:p>
    <w:p>
      <w:pPr>
        <w:spacing w:line="520" w:lineRule="exact"/>
        <w:ind w:firstLine="480"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bCs/>
          <w:color w:val="000000"/>
          <w:sz w:val="24"/>
          <w:szCs w:val="24"/>
        </w:rPr>
        <w:t>5、</w:t>
      </w:r>
      <w:r>
        <w:rPr>
          <w:rFonts w:hint="eastAsia" w:asciiTheme="minorEastAsia" w:hAnsiTheme="minorEastAsia" w:eastAsiaTheme="minorEastAsia" w:cstheme="minorEastAsia"/>
          <w:sz w:val="24"/>
          <w:szCs w:val="24"/>
        </w:rPr>
        <w:t>合同实施期间，乙方的营业执照、资质范围等级、主体分拆合并等重大事项变更，须告知甲方。乙方任命的项目管理组成员资格证、上岗证等资格文件以及有关设备合格年审证等证件过期、变更、注销等应告知甲方，乙方应及时补充人员或设备满足项目实施需要。</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6、乙方项目管理组管理人员须具备良好的沟通能力、协调能力和服务意识，并具备较强的紧急维修组织能力和服务意识。</w:t>
      </w:r>
    </w:p>
    <w:p>
      <w:pPr>
        <w:spacing w:line="520" w:lineRule="exact"/>
        <w:ind w:firstLine="480"/>
        <w:rPr>
          <w:rFonts w:hint="eastAsia" w:asciiTheme="minorEastAsia" w:hAnsiTheme="minorEastAsia" w:eastAsiaTheme="minorEastAsia" w:cstheme="minorEastAsia"/>
          <w:color w:val="000000"/>
          <w:sz w:val="24"/>
          <w:szCs w:val="24"/>
        </w:rPr>
      </w:pPr>
    </w:p>
    <w:p>
      <w:pPr>
        <w:spacing w:line="520" w:lineRule="exact"/>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四、保证金</w:t>
      </w:r>
    </w:p>
    <w:p>
      <w:pPr>
        <w:spacing w:line="520" w:lineRule="exact"/>
        <w:ind w:firstLine="480"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bCs/>
          <w:color w:val="000000"/>
          <w:sz w:val="24"/>
          <w:szCs w:val="24"/>
        </w:rPr>
        <w:t>1、</w:t>
      </w:r>
      <w:r>
        <w:rPr>
          <w:rFonts w:hint="eastAsia" w:asciiTheme="minorEastAsia" w:hAnsiTheme="minorEastAsia" w:eastAsiaTheme="minorEastAsia" w:cstheme="minorEastAsia"/>
          <w:sz w:val="24"/>
          <w:szCs w:val="24"/>
        </w:rPr>
        <w:t>乙方收到中标通知书后，须在15个工作日向甲方提交1万元人民币的履约保函作为履约保证金后，方可签订合同。逾期未提交者，视为弃权，甲方可在落选单位中抽签替补。</w:t>
      </w:r>
    </w:p>
    <w:p>
      <w:pPr>
        <w:spacing w:line="520" w:lineRule="exact"/>
        <w:ind w:firstLine="480"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rPr>
        <w:t>2、履约保证金因违约事项被甲方扣减后，乙方须及时补足履约保证金（15日前当月内补足，15日后下月补足）。</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3、签订本合同时，乙方须将工程款收款账号、工程款签收人报甲方备案。</w:t>
      </w:r>
    </w:p>
    <w:p>
      <w:pPr>
        <w:spacing w:line="520" w:lineRule="exact"/>
        <w:ind w:firstLine="480" w:firstLineChars="200"/>
        <w:rPr>
          <w:rFonts w:hint="eastAsia" w:asciiTheme="minorEastAsia" w:hAnsiTheme="minorEastAsia" w:eastAsiaTheme="minorEastAsia" w:cstheme="minorEastAsia"/>
          <w:sz w:val="24"/>
          <w:szCs w:val="24"/>
        </w:rPr>
      </w:pPr>
    </w:p>
    <w:p>
      <w:pPr>
        <w:spacing w:line="520" w:lineRule="exact"/>
        <w:jc w:val="center"/>
        <w:rPr>
          <w:rFonts w:hint="eastAsia" w:asciiTheme="minorEastAsia" w:hAnsiTheme="minorEastAsia" w:eastAsiaTheme="minorEastAsia" w:cstheme="minorEastAsia"/>
          <w:color w:val="000000"/>
          <w:sz w:val="24"/>
          <w:szCs w:val="24"/>
        </w:rPr>
      </w:pPr>
    </w:p>
    <w:p>
      <w:pPr>
        <w:spacing w:line="520" w:lineRule="exact"/>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五、承包商考评</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1、甲方根据相关标准规范并结合维修项目特点，根据《</w:t>
      </w:r>
      <w:r>
        <w:rPr>
          <w:rFonts w:hint="eastAsia" w:asciiTheme="minorEastAsia" w:hAnsiTheme="minorEastAsia" w:eastAsiaTheme="minorEastAsia" w:cstheme="minorEastAsia"/>
          <w:kern w:val="2"/>
          <w:sz w:val="24"/>
          <w:szCs w:val="24"/>
        </w:rPr>
        <w:t>深圳地铁置业集团有限公司合同单位履约评价工作指引(试行)</w:t>
      </w:r>
      <w:r>
        <w:rPr>
          <w:rFonts w:hint="eastAsia" w:asciiTheme="minorEastAsia" w:hAnsiTheme="minorEastAsia" w:eastAsiaTheme="minorEastAsia" w:cstheme="minorEastAsia"/>
          <w:sz w:val="24"/>
          <w:szCs w:val="24"/>
        </w:rPr>
        <w:t>》及有关办法、规定对乙方考评。</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2、如乙方出现维保不力的情况，甲方可对乙方采取暂停或终止乙方承接资格等措施。考评情况可作为下一轮招标采购的评分参考依据。</w:t>
      </w:r>
    </w:p>
    <w:p>
      <w:pPr>
        <w:spacing w:line="520" w:lineRule="exact"/>
        <w:ind w:firstLine="480"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bCs/>
          <w:color w:val="000000"/>
          <w:sz w:val="24"/>
          <w:szCs w:val="24"/>
        </w:rPr>
        <w:t>3、</w:t>
      </w:r>
      <w:r>
        <w:rPr>
          <w:rFonts w:hint="eastAsia" w:asciiTheme="minorEastAsia" w:hAnsiTheme="minorEastAsia" w:eastAsiaTheme="minorEastAsia" w:cstheme="minorEastAsia"/>
          <w:sz w:val="24"/>
          <w:szCs w:val="24"/>
        </w:rPr>
        <w:t>甲方实行样板维修考评。甲乙双方合作初期（通常为第一次单项维修施工委托），乙方须按单项维修施工委托单及相关技术、材料、工艺要求，完成样板维修项目施工。样板维修通过竣工验收后，乙方须严格按照样板项目的标准开展后续维修服务工作。</w:t>
      </w:r>
    </w:p>
    <w:p>
      <w:pPr>
        <w:spacing w:line="520" w:lineRule="exact"/>
        <w:ind w:firstLine="480"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rPr>
        <w:t>4、如甲方考评须罚扣乙方违约金时，直接从乙方的履约保证金中扣除。</w:t>
      </w:r>
    </w:p>
    <w:p>
      <w:pPr>
        <w:spacing w:line="520" w:lineRule="exact"/>
        <w:ind w:firstLine="480" w:firstLineChars="200"/>
        <w:rPr>
          <w:rFonts w:hint="eastAsia" w:asciiTheme="minorEastAsia" w:hAnsiTheme="minorEastAsia" w:eastAsiaTheme="minorEastAsia" w:cstheme="minorEastAsia"/>
          <w:sz w:val="24"/>
          <w:szCs w:val="24"/>
          <w:lang w:eastAsia="zh-TW"/>
        </w:rPr>
      </w:pPr>
    </w:p>
    <w:p>
      <w:pPr>
        <w:spacing w:line="520" w:lineRule="exact"/>
        <w:jc w:val="left"/>
        <w:rPr>
          <w:rFonts w:hint="eastAsia" w:asciiTheme="minorEastAsia" w:hAnsiTheme="minorEastAsia" w:eastAsiaTheme="minorEastAsia" w:cstheme="minorEastAsia"/>
          <w:color w:val="000000"/>
          <w:sz w:val="24"/>
          <w:szCs w:val="24"/>
          <w:lang w:eastAsia="zh-TW"/>
        </w:rPr>
      </w:pPr>
      <w:r>
        <w:rPr>
          <w:rFonts w:hint="eastAsia" w:asciiTheme="minorEastAsia" w:hAnsiTheme="minorEastAsia" w:eastAsiaTheme="minorEastAsia" w:cstheme="minorEastAsia"/>
          <w:color w:val="000000"/>
          <w:sz w:val="24"/>
          <w:szCs w:val="24"/>
        </w:rPr>
        <w:t>六、单项维修施工委托</w:t>
      </w:r>
    </w:p>
    <w:p>
      <w:pPr>
        <w:spacing w:line="520" w:lineRule="exact"/>
        <w:ind w:firstLine="480"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bCs/>
          <w:color w:val="000000"/>
          <w:sz w:val="24"/>
          <w:szCs w:val="24"/>
        </w:rPr>
        <w:t>1、</w:t>
      </w:r>
      <w:r>
        <w:rPr>
          <w:rFonts w:hint="eastAsia" w:asciiTheme="minorEastAsia" w:hAnsiTheme="minorEastAsia" w:eastAsiaTheme="minorEastAsia" w:cstheme="minorEastAsia"/>
          <w:sz w:val="24"/>
          <w:szCs w:val="24"/>
        </w:rPr>
        <w:t>甲方可根据管理需要，按以下原则委托单项维修工程：</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维修不受区域限制，甲方根据工程特点、承包人服务水平、承包人已承接的工程数量等情况在符合资格的承包人中进行任务分配、调剂。</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2、如经考评，乙方被暂停或停止维修项目承接资格，甲方将从其余符合考评资格条件的承包人中确定一家承包人，承接乙方任务区域内的维修任务。</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3、乙方无正当理由，拒绝接受甲方委托的紧急维修、抢修任务，或接受任务后不作为的，甲方可依据《物业开发总部合同单位履约评价办法》及有关办法、规定考评处理。</w:t>
      </w:r>
    </w:p>
    <w:p>
      <w:pPr>
        <w:spacing w:line="520" w:lineRule="exact"/>
        <w:ind w:firstLine="480" w:firstLineChars="200"/>
        <w:jc w:val="left"/>
        <w:rPr>
          <w:rFonts w:hint="eastAsia" w:asciiTheme="minorEastAsia" w:hAnsiTheme="minorEastAsia" w:eastAsiaTheme="minorEastAsia" w:cstheme="minorEastAsia"/>
          <w:color w:val="000000"/>
          <w:sz w:val="24"/>
          <w:szCs w:val="24"/>
        </w:rPr>
      </w:pPr>
    </w:p>
    <w:p>
      <w:pPr>
        <w:spacing w:line="520" w:lineRule="exact"/>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七、现场勘查和方案编制</w:t>
      </w:r>
    </w:p>
    <w:p>
      <w:pPr>
        <w:spacing w:line="520" w:lineRule="exact"/>
        <w:ind w:firstLine="480"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bCs/>
          <w:color w:val="000000"/>
          <w:sz w:val="24"/>
          <w:szCs w:val="24"/>
        </w:rPr>
        <w:t>1、</w:t>
      </w:r>
      <w:r>
        <w:rPr>
          <w:rFonts w:hint="eastAsia" w:asciiTheme="minorEastAsia" w:hAnsiTheme="minorEastAsia" w:eastAsiaTheme="minorEastAsia" w:cstheme="minorEastAsia"/>
          <w:sz w:val="24"/>
          <w:szCs w:val="24"/>
        </w:rPr>
        <w:t>乙方接受委托任务后，须将技术管理员和其它技术人员派驻驻点，以及时响应维修任务。项目技术管理员为维修业务直接对接人。甲方将对派驻人员的出勤情况进行严格监督、考评。</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2、甲方按维修项目的紧急程度，将维修项目分为正常维修工程、紧急维修工程和抢修工程。</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1）.正常维修工程：指有计划进行的维修工作。</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2）.紧急维修工程：指因相关事项一定程度上影响住户正常生活、经营，须立刻进行维修的项目。</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3）.抢修工程：指相关事项涉及人身安全、公共安全，对社会生活影响较大，必须立刻进行维修的项目。</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color w:val="000000"/>
          <w:sz w:val="24"/>
          <w:szCs w:val="24"/>
        </w:rPr>
        <w:t>3、</w:t>
      </w:r>
      <w:r>
        <w:rPr>
          <w:rFonts w:hint="eastAsia" w:asciiTheme="minorEastAsia" w:hAnsiTheme="minorEastAsia" w:eastAsiaTheme="minorEastAsia" w:cstheme="minorEastAsia"/>
          <w:sz w:val="24"/>
          <w:szCs w:val="24"/>
        </w:rPr>
        <w:t>第三方维保单位接到维修申报或维修任务后，技术管理员须按时间要求（正常维修1天内；紧急维修1天内；抢修即刻）及时预约甲方或甲方委托人一同进行现场勘查，现场拟订维修方案，并按时间要求（正常维修勘查后2天内；紧急维修勘查后1天内）及时编制书面维修方案和预算，报甲方或甲方委托人审核确定。抢修项目，现场勘查时，第三方维保单位须将现场照片和拟订方案通过通讯工具及时向甲方或甲方委托人报告。经甲方或甲方委托人同意后，先行实施抢修。抢修完成后2天内补报相应书面维修方案和预算。</w:t>
      </w:r>
    </w:p>
    <w:p>
      <w:pPr>
        <w:spacing w:line="520" w:lineRule="exact"/>
        <w:ind w:firstLine="480" w:firstLineChars="200"/>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sz w:val="24"/>
          <w:szCs w:val="24"/>
        </w:rPr>
        <w:t>4、单项维修工程的预算（估算）只是委托单的暂估价，不作为工程款结算依据。</w:t>
      </w:r>
    </w:p>
    <w:p>
      <w:pPr>
        <w:spacing w:line="520" w:lineRule="exact"/>
        <w:ind w:firstLine="480" w:firstLineChars="200"/>
        <w:rPr>
          <w:rFonts w:hint="eastAsia" w:asciiTheme="minorEastAsia" w:hAnsiTheme="minorEastAsia" w:eastAsiaTheme="minorEastAsia" w:cstheme="minorEastAsia"/>
          <w:sz w:val="24"/>
          <w:szCs w:val="24"/>
        </w:rPr>
      </w:pPr>
    </w:p>
    <w:p>
      <w:pPr>
        <w:spacing w:line="520" w:lineRule="exact"/>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八、开工条件</w:t>
      </w:r>
    </w:p>
    <w:p>
      <w:pPr>
        <w:spacing w:line="520" w:lineRule="exact"/>
        <w:ind w:firstLine="480"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bCs/>
          <w:color w:val="000000"/>
          <w:sz w:val="24"/>
          <w:szCs w:val="24"/>
        </w:rPr>
        <w:t>1、</w:t>
      </w:r>
      <w:r>
        <w:rPr>
          <w:rFonts w:hint="eastAsia" w:asciiTheme="minorEastAsia" w:hAnsiTheme="minorEastAsia" w:eastAsiaTheme="minorEastAsia" w:cstheme="minorEastAsia"/>
          <w:sz w:val="24"/>
          <w:szCs w:val="24"/>
        </w:rPr>
        <w:t>乙方须具备高度的服务意识，储备人力、物力，随时做好进场紧急维修、急修准备。单项维修工程开工时间要求如下：</w:t>
      </w:r>
    </w:p>
    <w:p>
      <w:pPr>
        <w:spacing w:line="520" w:lineRule="exact"/>
        <w:ind w:firstLine="480"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rPr>
        <w:t>正常维修工程：甲方确定维修方案后第二天内；</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紧急维修工程：《单项维修施工委托单》约定的开工日期；</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抢修工程：接到紧急维修指令后，驻点小区1个小时内，驻点片区2个小区内；</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对非紧急维修工程的有人房维修，乙方最迟应在维修方案确定后次日与物业取得联系，协商进场施工事宜。</w:t>
      </w:r>
    </w:p>
    <w:p>
      <w:pPr>
        <w:spacing w:line="520" w:lineRule="exact"/>
        <w:ind w:firstLine="480"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rPr>
        <w:t>2、单项维修工程开工前，乙方应详细勘查施工现场，在落实国家、行业安全文明施工等相关要求及本合同相关约定后，向甲方或甲方委托人申请开工。甲方或甲方委托人对开工条件进行检查核实后，准予开工。如属危险性较大的分部分项工程，须编制专项施工方案，经审批后方可开工。</w:t>
      </w:r>
    </w:p>
    <w:p>
      <w:pPr>
        <w:spacing w:line="520" w:lineRule="exact"/>
        <w:ind w:firstLine="482"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b/>
          <w:color w:val="000000"/>
          <w:sz w:val="24"/>
          <w:szCs w:val="24"/>
        </w:rPr>
        <w:t>3、</w:t>
      </w:r>
      <w:r>
        <w:rPr>
          <w:rFonts w:hint="eastAsia" w:asciiTheme="minorEastAsia" w:hAnsiTheme="minorEastAsia" w:eastAsiaTheme="minorEastAsia" w:cstheme="minorEastAsia"/>
          <w:sz w:val="24"/>
          <w:szCs w:val="24"/>
        </w:rPr>
        <w:t>乙方须到项目所在地物业办理施工进场手续。维修期间，乙方须服从物业对施工现场的协调管理。</w:t>
      </w:r>
    </w:p>
    <w:p>
      <w:pPr>
        <w:spacing w:line="520" w:lineRule="exact"/>
        <w:ind w:firstLine="480"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rPr>
        <w:t>4、对于有人房维修项目，乙方须制作维修服务评价卡，施工前将评价卡交住户，接受住户监督。评价卡须载明施工单位、项目负责人、联系人、联系电话、投诉电话等信息。维修完成后，住户在评价卡上填写回馈意见。甲方将根据回馈意见对乙方进行考评。</w:t>
      </w:r>
    </w:p>
    <w:p>
      <w:pPr>
        <w:spacing w:line="520" w:lineRule="exact"/>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z w:val="24"/>
          <w:szCs w:val="24"/>
        </w:rPr>
        <w:t>5、</w:t>
      </w:r>
      <w:r>
        <w:rPr>
          <w:rFonts w:hint="eastAsia" w:asciiTheme="minorEastAsia" w:hAnsiTheme="minorEastAsia" w:eastAsiaTheme="minorEastAsia" w:cstheme="minorEastAsia"/>
          <w:sz w:val="24"/>
          <w:szCs w:val="24"/>
        </w:rPr>
        <w:t>对于空房维修项目，乙方须制作项目信息表，施工前将信息表粘贴于进户门位置，接受管理处及其他住户监督。信息表须载明施工单位、项目负责人、联系人、联系电话、投诉电话等信息。甲方将对信息表粘贴情况进行检查考评。</w:t>
      </w:r>
    </w:p>
    <w:p>
      <w:pPr>
        <w:spacing w:line="520" w:lineRule="exact"/>
        <w:ind w:firstLine="480"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rPr>
        <w:t>6、项目管理人员、施工人员，进入施工现场须佩戴工牌。进入现场时，须向住户或管理处工作人员出示工牌，接受监督。</w:t>
      </w:r>
    </w:p>
    <w:p>
      <w:pPr>
        <w:spacing w:line="520" w:lineRule="exact"/>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z w:val="24"/>
          <w:szCs w:val="24"/>
        </w:rPr>
        <w:t>7、</w:t>
      </w:r>
      <w:r>
        <w:rPr>
          <w:rFonts w:hint="eastAsia" w:asciiTheme="minorEastAsia" w:hAnsiTheme="minorEastAsia" w:eastAsiaTheme="minorEastAsia" w:cstheme="minorEastAsia"/>
          <w:sz w:val="24"/>
          <w:szCs w:val="24"/>
        </w:rPr>
        <w:t>乙方施工管理人员、工人不得在施工房屋内居住。</w:t>
      </w:r>
    </w:p>
    <w:p>
      <w:pPr>
        <w:spacing w:line="520" w:lineRule="exact"/>
        <w:ind w:firstLine="480"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rPr>
        <w:t>8、维修施工现场所需水电均由乙方联系相关部门接驳、安装及拆除。水电费用包含在单项维修合同价中，由乙方结清。</w:t>
      </w:r>
    </w:p>
    <w:p>
      <w:pPr>
        <w:spacing w:line="520" w:lineRule="exact"/>
        <w:ind w:firstLine="480"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rPr>
        <w:t>9、乙方进行维修开挖前，须向相关部门充分了解各类管线、涵洞的设置及走向，对地下设施进行保护，禁止野蛮施工、盲目施工。因乙方保护措施不当造成的地下设施设备损毁责任，由乙方承担。</w:t>
      </w:r>
    </w:p>
    <w:p>
      <w:pPr>
        <w:spacing w:line="520" w:lineRule="exact"/>
        <w:jc w:val="both"/>
        <w:rPr>
          <w:rFonts w:hint="eastAsia" w:asciiTheme="minorEastAsia" w:hAnsiTheme="minorEastAsia" w:eastAsiaTheme="minorEastAsia" w:cstheme="minorEastAsia"/>
          <w:color w:val="000000"/>
          <w:sz w:val="24"/>
          <w:szCs w:val="24"/>
        </w:rPr>
      </w:pPr>
    </w:p>
    <w:p>
      <w:pPr>
        <w:spacing w:line="520" w:lineRule="exact"/>
        <w:jc w:val="left"/>
        <w:rPr>
          <w:rFonts w:hint="eastAsia" w:asciiTheme="minorEastAsia" w:hAnsiTheme="minorEastAsia" w:eastAsiaTheme="minorEastAsia" w:cstheme="minorEastAsia"/>
          <w:color w:val="000000"/>
          <w:sz w:val="24"/>
          <w:szCs w:val="24"/>
          <w:lang w:eastAsia="zh-TW"/>
        </w:rPr>
      </w:pPr>
      <w:r>
        <w:rPr>
          <w:rFonts w:hint="eastAsia" w:asciiTheme="minorEastAsia" w:hAnsiTheme="minorEastAsia" w:eastAsiaTheme="minorEastAsia" w:cstheme="minorEastAsia"/>
          <w:color w:val="000000"/>
          <w:sz w:val="24"/>
          <w:szCs w:val="24"/>
        </w:rPr>
        <w:t>九、安全文明施工</w:t>
      </w:r>
    </w:p>
    <w:p>
      <w:pPr>
        <w:spacing w:line="520" w:lineRule="exact"/>
        <w:ind w:firstLine="482"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b/>
          <w:color w:val="000000"/>
          <w:sz w:val="24"/>
          <w:szCs w:val="24"/>
        </w:rPr>
        <w:t>1、</w:t>
      </w:r>
      <w:r>
        <w:rPr>
          <w:rFonts w:hint="eastAsia" w:asciiTheme="minorEastAsia" w:hAnsiTheme="minorEastAsia" w:eastAsiaTheme="minorEastAsia" w:cstheme="minorEastAsia"/>
          <w:sz w:val="24"/>
          <w:szCs w:val="24"/>
        </w:rPr>
        <w:t>乙方须认真贯彻执行国家、地方和行业安全生产法律、法规及相关规定，建立健全安全生产规章制度，设立安全生产管理机构、认真履行安全生产职责。签订本合同时，乙方须将公司和项目管理组安全生产管理机构情况报甲方备案。</w:t>
      </w:r>
    </w:p>
    <w:p>
      <w:pPr>
        <w:spacing w:line="520" w:lineRule="exact"/>
        <w:ind w:firstLine="480"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rPr>
        <w:t>2、具体维修项目开工前，乙方须做好安全文明施工教育，逐级落实安全技术交底，认真勘察项目施工现场，确保作业环境安全。</w:t>
      </w:r>
    </w:p>
    <w:p>
      <w:pPr>
        <w:spacing w:line="520" w:lineRule="exact"/>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z w:val="24"/>
          <w:szCs w:val="24"/>
        </w:rPr>
        <w:t>3、</w:t>
      </w:r>
      <w:r>
        <w:rPr>
          <w:rFonts w:hint="eastAsia" w:asciiTheme="minorEastAsia" w:hAnsiTheme="minorEastAsia" w:eastAsiaTheme="minorEastAsia" w:cstheme="minorEastAsia"/>
          <w:sz w:val="24"/>
          <w:szCs w:val="24"/>
        </w:rPr>
        <w:t>乙方必须为进入施工现场的施工管理人员、施工作业人员购买意外伤害保险，并提供合格的安全防护用品。</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4、乙方负责施工场地安全保卫、围挡围护、交通疏导等工作，并根据施工现场实际情况设置安全、文明施工保护设施、安全标志等。</w:t>
      </w:r>
    </w:p>
    <w:p>
      <w:pPr>
        <w:spacing w:line="520" w:lineRule="exact"/>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z w:val="24"/>
          <w:szCs w:val="24"/>
        </w:rPr>
        <w:t>5、</w:t>
      </w:r>
      <w:r>
        <w:rPr>
          <w:rFonts w:hint="eastAsia" w:asciiTheme="minorEastAsia" w:hAnsiTheme="minorEastAsia" w:eastAsiaTheme="minorEastAsia" w:cstheme="minorEastAsia"/>
          <w:sz w:val="24"/>
          <w:szCs w:val="24"/>
        </w:rPr>
        <w:t>维修施工过程中，乙方如存在违章操作、违反安全规程、忽视安全隐患，应立即进行整改。甲方可根据有关办法、规定对乙方考评。</w:t>
      </w:r>
    </w:p>
    <w:p>
      <w:pPr>
        <w:spacing w:line="520" w:lineRule="exact"/>
        <w:ind w:firstLine="480"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rPr>
        <w:t>6、维修实施过程中，乙方应充分考虑维修项目物业、租户及相邻住户要求，注重施工过程的环境保护，降低和减少噪音污染、大气污染，落实建设主管部门、环保部门相关安全文明施工管理规定。如乙方违反上述约定，甲方可根据有关办法、规定对乙方考评。</w:t>
      </w:r>
    </w:p>
    <w:p>
      <w:pPr>
        <w:spacing w:line="520" w:lineRule="exact"/>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z w:val="24"/>
          <w:szCs w:val="24"/>
        </w:rPr>
        <w:t>7、</w:t>
      </w:r>
      <w:r>
        <w:rPr>
          <w:rFonts w:hint="eastAsia" w:asciiTheme="minorEastAsia" w:hAnsiTheme="minorEastAsia" w:eastAsiaTheme="minorEastAsia" w:cstheme="minorEastAsia"/>
          <w:sz w:val="24"/>
          <w:szCs w:val="24"/>
        </w:rPr>
        <w:t>乙方在维修实施过程中应与住户保持良好的沟通，做到礼貌用语，避免产生纠纷。未征得住户同意不得在室内吸烟、不穿鞋套。如因乙方原因与租户产生纠纷致使甲方名誉、利益受损，责任由乙方承担。甲方可根据有关办法、规定对乙方考评。</w:t>
      </w:r>
    </w:p>
    <w:p>
      <w:pPr>
        <w:spacing w:line="520" w:lineRule="exact"/>
        <w:ind w:firstLine="480"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rPr>
        <w:t>8、乙方应按甲方及甲方委托人要求，清运施工场地及临时占用场地的余土、垃圾。做到工完场清，保持现场清洁整齐。</w:t>
      </w:r>
    </w:p>
    <w:p>
      <w:pPr>
        <w:spacing w:line="520" w:lineRule="exact"/>
        <w:ind w:firstLine="482"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b/>
          <w:color w:val="000000"/>
          <w:sz w:val="24"/>
          <w:szCs w:val="24"/>
        </w:rPr>
        <w:t>9、</w:t>
      </w:r>
      <w:r>
        <w:rPr>
          <w:rFonts w:hint="eastAsia" w:asciiTheme="minorEastAsia" w:hAnsiTheme="minorEastAsia" w:eastAsiaTheme="minorEastAsia" w:cstheme="minorEastAsia"/>
          <w:sz w:val="24"/>
          <w:szCs w:val="24"/>
        </w:rPr>
        <w:t>在维修项目实施过程中，发生安全事故或造成财产损失的，乙方除承担相应法律、法规规定的责任和义务外。甲方有权在应付工程款中扣除赔偿款，不足部分甲方或有关权利人有权向乙方追偿。</w:t>
      </w:r>
    </w:p>
    <w:p>
      <w:pPr>
        <w:spacing w:line="520" w:lineRule="exact"/>
        <w:ind w:firstLine="480"/>
        <w:rPr>
          <w:rFonts w:hint="eastAsia" w:asciiTheme="minorEastAsia" w:hAnsiTheme="minorEastAsia" w:eastAsiaTheme="minorEastAsia" w:cstheme="minorEastAsia"/>
          <w:color w:val="000000"/>
          <w:sz w:val="24"/>
          <w:szCs w:val="24"/>
          <w:lang w:eastAsia="zh-TW"/>
        </w:rPr>
      </w:pPr>
    </w:p>
    <w:p>
      <w:pPr>
        <w:spacing w:line="520" w:lineRule="exact"/>
        <w:jc w:val="left"/>
        <w:rPr>
          <w:rFonts w:hint="eastAsia" w:asciiTheme="minorEastAsia" w:hAnsiTheme="minorEastAsia" w:eastAsiaTheme="minorEastAsia" w:cstheme="minorEastAsia"/>
          <w:color w:val="000000"/>
          <w:sz w:val="24"/>
          <w:szCs w:val="24"/>
          <w:lang w:eastAsia="zh-TW"/>
        </w:rPr>
      </w:pPr>
      <w:r>
        <w:rPr>
          <w:rFonts w:hint="eastAsia" w:asciiTheme="minorEastAsia" w:hAnsiTheme="minorEastAsia" w:eastAsiaTheme="minorEastAsia" w:cstheme="minorEastAsia"/>
          <w:color w:val="000000"/>
          <w:sz w:val="24"/>
          <w:szCs w:val="24"/>
        </w:rPr>
        <w:t>十、工程质量</w:t>
      </w:r>
    </w:p>
    <w:p>
      <w:pPr>
        <w:spacing w:line="520" w:lineRule="exact"/>
        <w:ind w:firstLine="482"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b/>
          <w:color w:val="000000"/>
          <w:sz w:val="24"/>
          <w:szCs w:val="24"/>
        </w:rPr>
        <w:t>1、</w:t>
      </w:r>
      <w:r>
        <w:rPr>
          <w:rFonts w:hint="eastAsia" w:asciiTheme="minorEastAsia" w:hAnsiTheme="minorEastAsia" w:eastAsiaTheme="minorEastAsia" w:cstheme="minorEastAsia"/>
          <w:sz w:val="24"/>
          <w:szCs w:val="24"/>
        </w:rPr>
        <w:t>乙方须认真贯彻执行国家、地方和行业相关工程质量法律、法规及相关规定，建立健全质量管理体系，落实质量责任制度。</w:t>
      </w:r>
    </w:p>
    <w:p>
      <w:pPr>
        <w:spacing w:line="520" w:lineRule="exact"/>
        <w:ind w:firstLine="480"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rPr>
        <w:t>2、维修施工前，乙方应充分掌握项目的设计文件和维修技术要求。如有疑问，应及时向甲方反映。否则，所引起的责任及损失，全部由乙方承担。</w:t>
      </w:r>
    </w:p>
    <w:p>
      <w:pPr>
        <w:spacing w:line="520" w:lineRule="exact"/>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z w:val="24"/>
          <w:szCs w:val="24"/>
        </w:rPr>
        <w:t>3、</w:t>
      </w:r>
      <w:r>
        <w:rPr>
          <w:rFonts w:hint="eastAsia" w:asciiTheme="minorEastAsia" w:hAnsiTheme="minorEastAsia" w:eastAsiaTheme="minorEastAsia" w:cstheme="minorEastAsia"/>
          <w:sz w:val="24"/>
          <w:szCs w:val="24"/>
        </w:rPr>
        <w:t>乙方须落实技术培训和技术交底制度。维修施工的所有人员应进行技术培训和技术交底，确保施工质量。</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4、维修施工材料规定：</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用于工程的施工材料、成品或半成品必须是合格产品，相关合格证、检测报告须作为工程数据进行备案存档。</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2）.用于工程的施工材料、成品或半成品规格、型号、及参考品牌范围等内容，须将样品报甲方确认后，方可使用。</w:t>
      </w:r>
    </w:p>
    <w:p>
      <w:pPr>
        <w:spacing w:line="520" w:lineRule="exact"/>
        <w:ind w:firstLine="480"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rPr>
        <w:t>3）经甲方查实，乙方在维修工程项目中使用假冒伪劣产品、材料，或未经甲方同意，使用不符合工程技术文件要求的产品、材料，乙方须立即整改，并承担一切责任。甲方可根据有关办法、规定对乙方考评。</w:t>
      </w:r>
    </w:p>
    <w:p>
      <w:pPr>
        <w:spacing w:line="520" w:lineRule="exact"/>
        <w:ind w:firstLine="480"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rPr>
        <w:t>4）乙方采购材料设备时，不得在相关采购合同中约定材料设备供货商保留享有用于维修项目中的任何材料、设备的所有权，否则，乙方应承担由此导致的甲方所有损失。</w:t>
      </w:r>
    </w:p>
    <w:p>
      <w:pPr>
        <w:spacing w:line="520" w:lineRule="exact"/>
        <w:ind w:firstLine="482"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b/>
          <w:color w:val="000000"/>
          <w:sz w:val="24"/>
          <w:szCs w:val="24"/>
        </w:rPr>
        <w:t>5）</w:t>
      </w:r>
      <w:r>
        <w:rPr>
          <w:rFonts w:hint="eastAsia" w:asciiTheme="minorEastAsia" w:hAnsiTheme="minorEastAsia" w:eastAsiaTheme="minorEastAsia" w:cstheme="minorEastAsia"/>
          <w:sz w:val="24"/>
          <w:szCs w:val="24"/>
        </w:rPr>
        <w:t>乙方如违反相关质量规定，造成质量事故或被责令进行质量整改但未按期完成整改的，须承担相应法律责任及赔偿责任。甲方可根据有关办法、规定对乙方考评。</w:t>
      </w:r>
    </w:p>
    <w:p>
      <w:pPr>
        <w:spacing w:line="520" w:lineRule="exact"/>
        <w:ind w:firstLine="480"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rPr>
        <w:t>6）国家、行业及工程所在地地方标准、规范存在不一致时，选用较高及最新要求的标准、规范。如较高与最新不一致的，以最新的标准、规范为准。</w:t>
      </w:r>
    </w:p>
    <w:p>
      <w:pPr>
        <w:spacing w:line="520" w:lineRule="exact"/>
        <w:ind w:firstLine="480" w:firstLineChars="200"/>
        <w:rPr>
          <w:rFonts w:hint="eastAsia" w:asciiTheme="minorEastAsia" w:hAnsiTheme="minorEastAsia" w:eastAsiaTheme="minorEastAsia" w:cstheme="minorEastAsia"/>
          <w:color w:val="000000"/>
          <w:sz w:val="24"/>
          <w:szCs w:val="24"/>
          <w:lang w:eastAsia="zh-TW"/>
        </w:rPr>
      </w:pPr>
    </w:p>
    <w:p>
      <w:pPr>
        <w:spacing w:line="520" w:lineRule="exact"/>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十一、施工工期</w:t>
      </w:r>
    </w:p>
    <w:p>
      <w:pPr>
        <w:spacing w:line="520" w:lineRule="exact"/>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z w:val="24"/>
          <w:szCs w:val="24"/>
        </w:rPr>
        <w:t>1、</w:t>
      </w:r>
      <w:r>
        <w:rPr>
          <w:rFonts w:hint="eastAsia" w:asciiTheme="minorEastAsia" w:hAnsiTheme="minorEastAsia" w:eastAsiaTheme="minorEastAsia" w:cstheme="minorEastAsia"/>
          <w:sz w:val="24"/>
          <w:szCs w:val="24"/>
        </w:rPr>
        <w:t>单项维修项目的施工工期根据维修工程量、维修事项的紧急程度，由《单项维修施工委托单》约定。</w:t>
      </w:r>
    </w:p>
    <w:p>
      <w:pPr>
        <w:spacing w:line="520" w:lineRule="exact"/>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z w:val="24"/>
          <w:szCs w:val="24"/>
        </w:rPr>
        <w:t>2、</w:t>
      </w:r>
      <w:r>
        <w:rPr>
          <w:rFonts w:hint="eastAsia" w:asciiTheme="minorEastAsia" w:hAnsiTheme="minorEastAsia" w:eastAsiaTheme="minorEastAsia" w:cstheme="minorEastAsia"/>
          <w:sz w:val="24"/>
          <w:szCs w:val="24"/>
        </w:rPr>
        <w:t>乙方须准确掌握维修方案和单项维修施工委托单要求，按现场实际情况认真编制维修施工进度计划。</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3、根据施工进度计划，乙方应合理配置人员、机械、材料等资源，重点控制关键工序的质量、工期。</w:t>
      </w:r>
    </w:p>
    <w:p>
      <w:pPr>
        <w:spacing w:line="520" w:lineRule="exact"/>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z w:val="24"/>
          <w:szCs w:val="24"/>
        </w:rPr>
        <w:t>4、</w:t>
      </w:r>
      <w:r>
        <w:rPr>
          <w:rFonts w:hint="eastAsia" w:asciiTheme="minorEastAsia" w:hAnsiTheme="minorEastAsia" w:eastAsiaTheme="minorEastAsia" w:cstheme="minorEastAsia"/>
          <w:sz w:val="24"/>
          <w:szCs w:val="24"/>
        </w:rPr>
        <w:t>单项维修项目竣工时间规定如下：</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竣工验收合格的，竣工时间为乙方申报竣工验收时间；</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竣工验收不合格，整改后重新组织竣工验收并合格的，竣工时间为重新申报竣工验收时间。</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如甲方接到重新组织竣工验收申请后，未能及时组织竣工验收的，延迟时间从工期中扣除。</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5、单项维修项目，无正当理由，无法按期竣工验收的，甲方依据有关办法和规定对乙方进行处理。</w:t>
      </w:r>
    </w:p>
    <w:p>
      <w:pPr>
        <w:spacing w:line="520" w:lineRule="exact"/>
        <w:ind w:firstLine="482"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b/>
          <w:color w:val="000000"/>
          <w:sz w:val="24"/>
          <w:szCs w:val="24"/>
        </w:rPr>
        <w:t>6、</w:t>
      </w:r>
      <w:r>
        <w:rPr>
          <w:rFonts w:hint="eastAsia" w:asciiTheme="minorEastAsia" w:hAnsiTheme="minorEastAsia" w:eastAsiaTheme="minorEastAsia" w:cstheme="minorEastAsia"/>
          <w:sz w:val="24"/>
          <w:szCs w:val="24"/>
        </w:rPr>
        <w:t>单项维修项目超工期无正当理由7天的，甲方可终止对应的单项维修施工委托单，并暂停乙方承接资格一个月。乙方须在单项维修施工委托单终止后5天内退出施工场地，并将已完工程移交甲方。甲乙双方根据已完工程量进行结算。</w:t>
      </w:r>
    </w:p>
    <w:p>
      <w:pPr>
        <w:spacing w:line="520" w:lineRule="exact"/>
        <w:ind w:firstLine="480"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rPr>
        <w:t>7、非乙方原因引起的工期延误，乙方应在3天内提交《工期延长申请表》、书面说明至甲方。经核实后，工期可按核实结果进行延长。</w:t>
      </w:r>
    </w:p>
    <w:p>
      <w:pPr>
        <w:spacing w:line="520" w:lineRule="exact"/>
        <w:ind w:firstLine="482"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b/>
          <w:color w:val="000000"/>
          <w:sz w:val="24"/>
          <w:szCs w:val="24"/>
        </w:rPr>
        <w:t>8、</w:t>
      </w:r>
      <w:r>
        <w:rPr>
          <w:rFonts w:hint="eastAsia" w:asciiTheme="minorEastAsia" w:hAnsiTheme="minorEastAsia" w:eastAsiaTheme="minorEastAsia" w:cstheme="minorEastAsia"/>
          <w:sz w:val="24"/>
          <w:szCs w:val="24"/>
        </w:rPr>
        <w:t>甲方、房屋使用方等因乙方工期延误产生的经济损失，全部由乙方承担，甲方可从应付工程款中扣除相关损失费用。</w:t>
      </w:r>
    </w:p>
    <w:p>
      <w:pPr>
        <w:spacing w:line="520" w:lineRule="exact"/>
        <w:ind w:firstLine="480"/>
        <w:rPr>
          <w:rFonts w:hint="eastAsia" w:asciiTheme="minorEastAsia" w:hAnsiTheme="minorEastAsia" w:eastAsiaTheme="minorEastAsia" w:cstheme="minorEastAsia"/>
          <w:color w:val="000000"/>
          <w:sz w:val="24"/>
          <w:szCs w:val="24"/>
          <w:lang w:eastAsia="zh-TW"/>
        </w:rPr>
      </w:pPr>
    </w:p>
    <w:p>
      <w:pPr>
        <w:spacing w:line="520" w:lineRule="exac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十二、现场签证</w:t>
      </w:r>
    </w:p>
    <w:p>
      <w:pPr>
        <w:spacing w:line="520" w:lineRule="exact"/>
        <w:ind w:firstLine="482"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b/>
          <w:color w:val="000000"/>
          <w:sz w:val="24"/>
          <w:szCs w:val="24"/>
        </w:rPr>
        <w:t>1、</w:t>
      </w:r>
      <w:r>
        <w:rPr>
          <w:rFonts w:hint="eastAsia" w:asciiTheme="minorEastAsia" w:hAnsiTheme="minorEastAsia" w:eastAsiaTheme="minorEastAsia" w:cstheme="minorEastAsia"/>
          <w:sz w:val="24"/>
          <w:szCs w:val="24"/>
        </w:rPr>
        <w:t>乙方须严格按照甲方审定的维修方案和《单项维修施工委托单》的维修内容进行维修施工，无特殊情况，不予签证。如确因现场实际情况导致不得不进行现场签证时，乙方应在签证内容实施前5天将签证原因及事项报甲方核实批准。乙方在取得甲方书面许可后，方可进行签证内容施工。</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2、未经甲方确认的现场工程量变更和现场签证所发生的费用，甲方可不予支付。</w:t>
      </w:r>
    </w:p>
    <w:p>
      <w:pPr>
        <w:spacing w:line="520" w:lineRule="exact"/>
        <w:ind w:firstLine="480"/>
        <w:rPr>
          <w:rFonts w:hint="eastAsia" w:asciiTheme="minorEastAsia" w:hAnsiTheme="minorEastAsia" w:eastAsiaTheme="minorEastAsia" w:cstheme="minorEastAsia"/>
          <w:color w:val="000000"/>
          <w:sz w:val="24"/>
          <w:szCs w:val="24"/>
        </w:rPr>
      </w:pPr>
    </w:p>
    <w:p>
      <w:pPr>
        <w:spacing w:line="520" w:lineRule="exact"/>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十三、工程验收</w:t>
      </w:r>
    </w:p>
    <w:p>
      <w:pPr>
        <w:spacing w:line="520" w:lineRule="exact"/>
        <w:ind w:firstLine="482"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b/>
          <w:color w:val="000000"/>
          <w:sz w:val="24"/>
          <w:szCs w:val="24"/>
        </w:rPr>
        <w:t>1、</w:t>
      </w:r>
      <w:r>
        <w:rPr>
          <w:rFonts w:hint="eastAsia" w:asciiTheme="minorEastAsia" w:hAnsiTheme="minorEastAsia" w:eastAsiaTheme="minorEastAsia" w:cstheme="minorEastAsia"/>
          <w:sz w:val="24"/>
          <w:szCs w:val="24"/>
        </w:rPr>
        <w:t>隐蔽工程隐蔽前须报甲方或甲方委托人验收，验收合格后，乙方方可对隐蔽工程进行隐蔽。乙方应做好隐蔽工程验收记录。甲方对隐蔽工程验收情况进行抽检或巡查。</w:t>
      </w:r>
    </w:p>
    <w:p>
      <w:pPr>
        <w:spacing w:line="520" w:lineRule="exact"/>
        <w:ind w:firstLine="480"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rPr>
        <w:t>2、竣工验收前，乙方应进行自检。乙方自检合格后，报甲方验收合格，乙方结清施工现场用水用电费用，将结清费用单据及房屋钥匙（如有）交甲方指定人员，并向甲方申请竣工验收。维修工程质量须符合合同约定及相关专业验收规范要求。</w:t>
      </w:r>
    </w:p>
    <w:p>
      <w:pPr>
        <w:spacing w:line="520" w:lineRule="exact"/>
        <w:ind w:firstLine="482"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b/>
          <w:color w:val="000000"/>
          <w:sz w:val="24"/>
          <w:szCs w:val="24"/>
        </w:rPr>
        <w:t>3、</w:t>
      </w:r>
      <w:r>
        <w:rPr>
          <w:rFonts w:hint="eastAsia" w:asciiTheme="minorEastAsia" w:hAnsiTheme="minorEastAsia" w:eastAsiaTheme="minorEastAsia" w:cstheme="minorEastAsia"/>
          <w:sz w:val="24"/>
          <w:szCs w:val="24"/>
        </w:rPr>
        <w:t>竣工验收按甲方制定的相关工程验收办法进行验收。维修工程须由甲方、乙方两方进行现场验收；甲方或甲方委托人对维修工程进行现场复核，并严格考评。有人居住房屋的维修，乙方须将住户服务评价卡收集后，报甲方回访复核。</w:t>
      </w:r>
    </w:p>
    <w:p>
      <w:pPr>
        <w:spacing w:line="520" w:lineRule="exact"/>
        <w:ind w:firstLine="480"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rPr>
        <w:t>4、竣工验收时，参与验收各方须根据现场情况，共同核实完成工程量，并签署核实意见。竣工验收通过后，各方共同签署工程验收证明。</w:t>
      </w:r>
    </w:p>
    <w:p>
      <w:pPr>
        <w:spacing w:line="520" w:lineRule="exact"/>
        <w:ind w:firstLine="482"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b/>
          <w:color w:val="000000"/>
          <w:sz w:val="24"/>
          <w:szCs w:val="24"/>
        </w:rPr>
        <w:t>5、</w:t>
      </w:r>
      <w:r>
        <w:rPr>
          <w:rFonts w:hint="eastAsia" w:asciiTheme="minorEastAsia" w:hAnsiTheme="minorEastAsia" w:eastAsiaTheme="minorEastAsia" w:cstheme="minorEastAsia"/>
          <w:sz w:val="24"/>
          <w:szCs w:val="24"/>
        </w:rPr>
        <w:t>单项维修工程未通过竣工验收的，乙方应在规定时间内完成整改。整改完成后，重新申请竣工验收。同一空房维修项目三次竣工验收未通过，甲方可单方面终止合同。同一有住户居住的房屋维修项目两次竣工验收未通过，甲方可单方面终止合同。累计情况及相应违约金，按考评办法进行处理。</w:t>
      </w:r>
    </w:p>
    <w:p>
      <w:pPr>
        <w:spacing w:line="520" w:lineRule="exact"/>
        <w:ind w:firstLine="480"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rPr>
        <w:t>6、项目竣工验收移交前，施工场地范围内所有乙方完成的成品、半成品均由乙方承担保护责任。竣工验收通过后，乙方将需要移交的设施设备移交相关各方，并办理移交手续。</w:t>
      </w:r>
    </w:p>
    <w:p>
      <w:pPr>
        <w:spacing w:line="520" w:lineRule="exact"/>
        <w:ind w:firstLine="480"/>
        <w:rPr>
          <w:rFonts w:hint="eastAsia" w:asciiTheme="minorEastAsia" w:hAnsiTheme="minorEastAsia" w:eastAsiaTheme="minorEastAsia" w:cstheme="minorEastAsia"/>
          <w:color w:val="000000"/>
          <w:sz w:val="24"/>
          <w:szCs w:val="24"/>
          <w:lang w:eastAsia="zh-TW"/>
        </w:rPr>
      </w:pPr>
    </w:p>
    <w:p>
      <w:pPr>
        <w:spacing w:line="520" w:lineRule="exact"/>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十四、劳务分包</w:t>
      </w:r>
    </w:p>
    <w:p>
      <w:pPr>
        <w:spacing w:line="520" w:lineRule="exact"/>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z w:val="24"/>
          <w:szCs w:val="24"/>
        </w:rPr>
        <w:t>1、</w:t>
      </w:r>
      <w:r>
        <w:rPr>
          <w:rFonts w:hint="eastAsia" w:asciiTheme="minorEastAsia" w:hAnsiTheme="minorEastAsia" w:eastAsiaTheme="minorEastAsia" w:cstheme="minorEastAsia"/>
          <w:sz w:val="24"/>
          <w:szCs w:val="24"/>
        </w:rPr>
        <w:t>乙方承接的单项维修工程必须由乙方自行完成。乙方不得将项目进行转包、违法分包，不得雇佣无劳动合同关系的人员进场施工。</w:t>
      </w:r>
    </w:p>
    <w:p>
      <w:pPr>
        <w:spacing w:line="520" w:lineRule="exact"/>
        <w:ind w:firstLine="480"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rPr>
        <w:t>2、乙方将劳务进行分包的，应将劳务发包给具有相应资质的劳务分包单位，并与劳务分包单位签订劳务分包合同。乙方须按劳务分包合同约定及时足额支付劳务费用。</w:t>
      </w:r>
    </w:p>
    <w:p>
      <w:pPr>
        <w:spacing w:line="520" w:lineRule="exact"/>
        <w:ind w:firstLine="482"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b/>
          <w:color w:val="000000"/>
          <w:sz w:val="24"/>
          <w:szCs w:val="24"/>
        </w:rPr>
        <w:t>3、</w:t>
      </w:r>
      <w:r>
        <w:rPr>
          <w:rFonts w:hint="eastAsia" w:asciiTheme="minorEastAsia" w:hAnsiTheme="minorEastAsia" w:eastAsiaTheme="minorEastAsia" w:cstheme="minorEastAsia"/>
          <w:sz w:val="24"/>
          <w:szCs w:val="24"/>
        </w:rPr>
        <w:t>乙方应及时结清雇佣工人工资。如因乙方劳资纠纷引起工人群体性事件，或对甲方名誉造成损害，甲方可终止本合同，全部责任及损失由乙方承担。</w:t>
      </w:r>
    </w:p>
    <w:p>
      <w:pPr>
        <w:spacing w:line="520" w:lineRule="exact"/>
        <w:ind w:firstLine="420"/>
        <w:rPr>
          <w:rFonts w:hint="eastAsia" w:asciiTheme="minorEastAsia" w:hAnsiTheme="minorEastAsia" w:eastAsiaTheme="minorEastAsia" w:cstheme="minorEastAsia"/>
          <w:color w:val="000000"/>
          <w:sz w:val="24"/>
          <w:szCs w:val="24"/>
          <w:lang w:eastAsia="zh-TW"/>
        </w:rPr>
      </w:pPr>
    </w:p>
    <w:p>
      <w:pPr>
        <w:spacing w:line="520" w:lineRule="exact"/>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十五、工程数据</w:t>
      </w:r>
    </w:p>
    <w:p>
      <w:pPr>
        <w:spacing w:line="520" w:lineRule="exact"/>
        <w:ind w:firstLine="482"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b/>
          <w:color w:val="000000"/>
          <w:sz w:val="24"/>
          <w:szCs w:val="24"/>
        </w:rPr>
        <w:t>1、</w:t>
      </w:r>
      <w:r>
        <w:rPr>
          <w:rFonts w:hint="eastAsia" w:asciiTheme="minorEastAsia" w:hAnsiTheme="minorEastAsia" w:eastAsiaTheme="minorEastAsia" w:cstheme="minorEastAsia"/>
          <w:sz w:val="24"/>
          <w:szCs w:val="24"/>
        </w:rPr>
        <w:t>维修项目实施过程中，乙方须按甲方提供的工程数据样板格式做好工程数据签订、整理工作。工程数据须与项目实际进度情况同步。无特殊情况，甲方不予补办工程数据。</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2、乙方应按甲方要求报送以下竣工资料：</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1）《单项维修施工委托单》；</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2）甲乙双方签字确认的已完成维修工程量；</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3）设计变更图纸、变更令；</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4）施工现场签证；</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5）工程验收证明；</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6）开、竣工报告；</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7）材料进场报验单及相关合格证书、报告等；</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8）结算书。</w:t>
      </w:r>
    </w:p>
    <w:p>
      <w:pPr>
        <w:spacing w:line="520" w:lineRule="exact"/>
        <w:rPr>
          <w:rFonts w:hint="eastAsia" w:asciiTheme="minorEastAsia" w:hAnsiTheme="minorEastAsia" w:eastAsiaTheme="minorEastAsia" w:cstheme="minorEastAsia"/>
          <w:color w:val="000000"/>
          <w:sz w:val="24"/>
          <w:szCs w:val="24"/>
        </w:rPr>
      </w:pPr>
    </w:p>
    <w:p>
      <w:pPr>
        <w:spacing w:line="520" w:lineRule="exact"/>
        <w:jc w:val="left"/>
        <w:rPr>
          <w:rFonts w:hint="eastAsia" w:asciiTheme="minorEastAsia" w:hAnsiTheme="minorEastAsia" w:eastAsiaTheme="minorEastAsia" w:cstheme="minorEastAsia"/>
          <w:color w:val="000000"/>
          <w:sz w:val="24"/>
          <w:szCs w:val="24"/>
          <w:highlight w:val="yellow"/>
        </w:rPr>
      </w:pPr>
      <w:r>
        <w:rPr>
          <w:rFonts w:hint="eastAsia" w:asciiTheme="minorEastAsia" w:hAnsiTheme="minorEastAsia" w:eastAsiaTheme="minorEastAsia" w:cstheme="minorEastAsia"/>
          <w:color w:val="000000"/>
          <w:sz w:val="24"/>
          <w:szCs w:val="24"/>
          <w:highlight w:val="yellow"/>
        </w:rPr>
        <w:t>十六、合同价款、结算及支付</w:t>
      </w:r>
    </w:p>
    <w:p>
      <w:pPr>
        <w:spacing w:line="440" w:lineRule="exact"/>
        <w:ind w:firstLine="476"/>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w:t>
      </w:r>
      <w:r>
        <w:rPr>
          <w:rFonts w:hint="eastAsia" w:asciiTheme="minorEastAsia" w:hAnsiTheme="minorEastAsia" w:eastAsiaTheme="minorEastAsia" w:cstheme="minorEastAsia"/>
          <w:sz w:val="24"/>
          <w:szCs w:val="24"/>
        </w:rPr>
        <w:t>暂定合同价（含税总金额）：</w:t>
      </w:r>
      <w:r>
        <w:rPr>
          <w:rFonts w:hint="eastAsia" w:asciiTheme="minorEastAsia" w:hAnsiTheme="minorEastAsia" w:eastAsiaTheme="minorEastAsia" w:cstheme="minorEastAsia"/>
          <w:sz w:val="24"/>
          <w:szCs w:val="24"/>
          <w:lang w:val="en-US" w:eastAsia="zh-CN"/>
        </w:rPr>
        <w:t>198</w:t>
      </w:r>
      <w:r>
        <w:rPr>
          <w:rFonts w:hint="eastAsia" w:asciiTheme="minorEastAsia" w:hAnsiTheme="minorEastAsia" w:eastAsiaTheme="minorEastAsia" w:cstheme="minorEastAsia"/>
          <w:sz w:val="24"/>
          <w:szCs w:val="24"/>
        </w:rPr>
        <w:t>万元（维保金额累计超过</w:t>
      </w:r>
      <w:r>
        <w:rPr>
          <w:rFonts w:hint="eastAsia" w:asciiTheme="minorEastAsia" w:hAnsiTheme="minorEastAsia" w:eastAsiaTheme="minorEastAsia" w:cstheme="minorEastAsia"/>
          <w:sz w:val="24"/>
          <w:szCs w:val="24"/>
          <w:lang w:val="en-US" w:eastAsia="zh-CN"/>
        </w:rPr>
        <w:t>198</w:t>
      </w:r>
      <w:r>
        <w:rPr>
          <w:rFonts w:hint="eastAsia" w:asciiTheme="minorEastAsia" w:hAnsiTheme="minorEastAsia" w:eastAsiaTheme="minorEastAsia" w:cstheme="minorEastAsia"/>
          <w:sz w:val="24"/>
          <w:szCs w:val="24"/>
        </w:rPr>
        <w:t>万元或超过两年服务期限终止合同）；</w:t>
      </w:r>
    </w:p>
    <w:p>
      <w:pPr>
        <w:spacing w:line="520" w:lineRule="exact"/>
        <w:ind w:firstLine="360" w:firstLineChars="15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rPr>
        <w:t>2、甲方收到竣工结算资料后，对资料的格式、真实性、完整性等进行审核。对符合结算要求的结算书进行审核。对不符合结算要求的结算数据，返回乙方进行整改。乙方须在5个工作日内完成整改，并重新申报。</w:t>
      </w:r>
    </w:p>
    <w:p>
      <w:pPr>
        <w:spacing w:line="520" w:lineRule="exact"/>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z w:val="24"/>
          <w:szCs w:val="24"/>
        </w:rPr>
        <w:t>3、</w:t>
      </w:r>
      <w:r>
        <w:rPr>
          <w:rFonts w:hint="eastAsia" w:asciiTheme="minorEastAsia" w:hAnsiTheme="minorEastAsia" w:eastAsiaTheme="minorEastAsia" w:cstheme="minorEastAsia"/>
          <w:sz w:val="24"/>
          <w:szCs w:val="24"/>
        </w:rPr>
        <w:t>维修工程量及费用按下列要求计算。</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1）、工程量依据《深圳市房屋修缮工程消耗量定额（2011）》、《深圳市安装工程消耗量标准(2003)》等相关定额的工程量计算规则，按实际完成且经验收合格的工程量计算；</w:t>
      </w:r>
    </w:p>
    <w:p>
      <w:pPr>
        <w:spacing w:line="520" w:lineRule="exact"/>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eastAsia="zh-CN"/>
        </w:rPr>
        <w:t>依据深圳市现行相关计价文件</w:t>
      </w:r>
      <w:r>
        <w:rPr>
          <w:rFonts w:hint="eastAsia" w:asciiTheme="minorEastAsia" w:hAnsiTheme="minorEastAsia" w:eastAsiaTheme="minorEastAsia" w:cstheme="minorEastAsia"/>
          <w:sz w:val="24"/>
          <w:szCs w:val="24"/>
        </w:rPr>
        <w:t>《深圳市房屋修缮工程消耗量定额（2011）》、《深圳市安装工程消耗量标准(20</w:t>
      </w: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eastAsiaTheme="minorEastAsia" w:cstheme="minorEastAsia"/>
          <w:sz w:val="24"/>
          <w:szCs w:val="24"/>
        </w:rPr>
        <w:t>)》等相关定额</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信息价按</w:t>
      </w:r>
      <w:r>
        <w:rPr>
          <w:rFonts w:hint="eastAsia" w:asciiTheme="minorEastAsia" w:hAnsiTheme="minorEastAsia" w:eastAsiaTheme="minorEastAsia" w:cstheme="minorEastAsia"/>
          <w:sz w:val="24"/>
          <w:szCs w:val="24"/>
          <w:lang w:eastAsia="zh-CN"/>
        </w:rPr>
        <w:t>施工</w:t>
      </w:r>
      <w:r>
        <w:rPr>
          <w:rFonts w:hint="eastAsia" w:asciiTheme="minorEastAsia" w:hAnsiTheme="minorEastAsia" w:eastAsiaTheme="minorEastAsia" w:cstheme="minorEastAsia"/>
          <w:sz w:val="24"/>
          <w:szCs w:val="24"/>
        </w:rPr>
        <w:t>当期《深圳市建设工程价格信息》平均信息价</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取费按《深圳市建设工程计价规程（2017）》，其中费率执行《深圳市建设工程计价费率标准（2018）》房屋修缮工程的推荐费率</w:t>
      </w:r>
      <w:r>
        <w:rPr>
          <w:rFonts w:hint="eastAsia" w:asciiTheme="minorEastAsia" w:hAnsiTheme="minorEastAsia" w:eastAsiaTheme="minorEastAsia" w:cstheme="minorEastAsia"/>
          <w:sz w:val="24"/>
          <w:szCs w:val="24"/>
          <w:lang w:eastAsia="zh-CN"/>
        </w:rPr>
        <w:t>；工程造价（含税）下浮</w:t>
      </w:r>
      <w:r>
        <w:rPr>
          <w:rFonts w:hint="eastAsia" w:asciiTheme="minorEastAsia" w:hAnsiTheme="minorEastAsia" w:eastAsiaTheme="minorEastAsia" w:cstheme="minorEastAsia"/>
          <w:sz w:val="24"/>
          <w:szCs w:val="24"/>
          <w:highlight w:val="yellow"/>
          <w:u w:val="single"/>
          <w:lang w:val="en-US" w:eastAsia="zh-CN"/>
        </w:rPr>
        <w:t xml:space="preserve">     </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（其中安全文明措施费</w:t>
      </w:r>
      <w:bookmarkStart w:id="0" w:name="_GoBack"/>
      <w:bookmarkEnd w:id="0"/>
      <w:r>
        <w:rPr>
          <w:rFonts w:hint="eastAsia" w:asciiTheme="minorEastAsia" w:hAnsiTheme="minorEastAsia" w:eastAsiaTheme="minorEastAsia" w:cstheme="minorEastAsia"/>
          <w:sz w:val="24"/>
          <w:szCs w:val="24"/>
        </w:rPr>
        <w:t>不下浮）</w:t>
      </w:r>
      <w:r>
        <w:rPr>
          <w:rFonts w:hint="eastAsia" w:asciiTheme="minorEastAsia" w:hAnsiTheme="minorEastAsia" w:eastAsiaTheme="minorEastAsia" w:cstheme="minorEastAsia"/>
          <w:sz w:val="24"/>
          <w:szCs w:val="24"/>
          <w:highlight w:val="yellow"/>
          <w:lang w:val="en-US" w:eastAsia="zh-CN"/>
        </w:rPr>
        <w:t>，扣除相应违约金后作为最终结算造价</w:t>
      </w:r>
      <w:r>
        <w:rPr>
          <w:rFonts w:hint="eastAsia" w:asciiTheme="minorEastAsia" w:hAnsiTheme="minorEastAsia" w:eastAsiaTheme="minorEastAsia" w:cstheme="minorEastAsia"/>
          <w:sz w:val="24"/>
          <w:szCs w:val="24"/>
          <w:lang w:eastAsia="zh-CN"/>
        </w:rPr>
        <w:t>。</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）、上述标准或规范如有发布最新发布版本，则按最新发布版本执行。</w:t>
      </w:r>
    </w:p>
    <w:p>
      <w:pPr>
        <w:spacing w:line="520" w:lineRule="exact"/>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）、如上述消耗量或定额未包含的项目可参照深圳市建筑工程、建筑装饰工程的相关消耗量标准套价。</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工程造价管理部门发布的价格信息没有的材料、设备价格，按《深圳市建设工程材料设备询价采购办法》（深建规﹝2015﹞5号）执行，材料、设备按本办法询价的，该材料、设备价不再按中标净下浮率进行下浮。</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）、不能按《深圳市建设工程材料设备询价采购办法》询价的材料设备价格，按照附件《深圳地铁诺德投资发展有限公司询价采购及认价操作细则（试行）》执行。</w:t>
      </w:r>
    </w:p>
    <w:p>
      <w:pPr>
        <w:spacing w:line="520" w:lineRule="exact"/>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z w:val="24"/>
          <w:szCs w:val="24"/>
        </w:rPr>
        <w:t>4、</w:t>
      </w:r>
      <w:r>
        <w:rPr>
          <w:rFonts w:hint="eastAsia" w:asciiTheme="minorEastAsia" w:hAnsiTheme="minorEastAsia" w:eastAsiaTheme="minorEastAsia" w:cstheme="minorEastAsia"/>
          <w:sz w:val="24"/>
          <w:szCs w:val="24"/>
        </w:rPr>
        <w:t>甲方对结算的审定结果进行检查，如发现乙方串通造价咨询单位蓄意提高维修结算金额，弄虚作假的，甲方可依据《</w:t>
      </w:r>
      <w:r>
        <w:rPr>
          <w:rFonts w:hint="eastAsia" w:asciiTheme="minorEastAsia" w:hAnsiTheme="minorEastAsia" w:eastAsiaTheme="minorEastAsia" w:cstheme="minorEastAsia"/>
          <w:kern w:val="2"/>
          <w:sz w:val="24"/>
          <w:szCs w:val="24"/>
        </w:rPr>
        <w:t>深圳地铁置业集团有限公司合同单位履约评价工作指引(试行)</w:t>
      </w:r>
      <w:r>
        <w:rPr>
          <w:rFonts w:hint="eastAsia" w:asciiTheme="minorEastAsia" w:hAnsiTheme="minorEastAsia" w:eastAsiaTheme="minorEastAsia" w:cstheme="minorEastAsia"/>
          <w:sz w:val="24"/>
          <w:szCs w:val="24"/>
        </w:rPr>
        <w:t>》及有关办法、规定处理。</w:t>
      </w:r>
    </w:p>
    <w:p>
      <w:pPr>
        <w:spacing w:line="520" w:lineRule="exact"/>
        <w:ind w:firstLine="482" w:firstLineChars="200"/>
        <w:rPr>
          <w:rFonts w:hint="eastAsia" w:asciiTheme="minorEastAsia" w:hAnsiTheme="minorEastAsia" w:eastAsiaTheme="minorEastAsia" w:cstheme="minorEastAsia"/>
          <w:b/>
          <w:bCs/>
          <w:sz w:val="24"/>
          <w:szCs w:val="24"/>
          <w:highlight w:val="yellow"/>
        </w:rPr>
      </w:pPr>
      <w:r>
        <w:rPr>
          <w:rFonts w:hint="eastAsia" w:asciiTheme="minorEastAsia" w:hAnsiTheme="minorEastAsia" w:eastAsiaTheme="minorEastAsia" w:cstheme="minorEastAsia"/>
          <w:b/>
          <w:bCs/>
          <w:sz w:val="24"/>
          <w:szCs w:val="24"/>
          <w:highlight w:val="yellow"/>
          <w:lang w:val="en-US" w:eastAsia="zh-CN"/>
        </w:rPr>
        <w:t>5、</w:t>
      </w:r>
      <w:r>
        <w:rPr>
          <w:rFonts w:hint="eastAsia" w:asciiTheme="minorEastAsia" w:hAnsiTheme="minorEastAsia" w:eastAsiaTheme="minorEastAsia" w:cstheme="minorEastAsia"/>
          <w:b/>
          <w:bCs/>
          <w:sz w:val="24"/>
          <w:szCs w:val="24"/>
          <w:highlight w:val="yellow"/>
          <w:lang w:eastAsia="zh-CN"/>
        </w:rPr>
        <w:t>乙方</w:t>
      </w:r>
      <w:r>
        <w:rPr>
          <w:rFonts w:hint="eastAsia" w:asciiTheme="minorEastAsia" w:hAnsiTheme="minorEastAsia" w:eastAsiaTheme="minorEastAsia" w:cstheme="minorEastAsia"/>
          <w:b/>
          <w:bCs/>
          <w:sz w:val="24"/>
          <w:szCs w:val="24"/>
          <w:highlight w:val="yellow"/>
        </w:rPr>
        <w:t>提交的结算书不得高估冒算。</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乙方</w:t>
      </w:r>
      <w:r>
        <w:rPr>
          <w:rFonts w:hint="eastAsia" w:asciiTheme="minorEastAsia" w:hAnsiTheme="minorEastAsia" w:eastAsiaTheme="minorEastAsia" w:cstheme="minorEastAsia"/>
          <w:sz w:val="24"/>
          <w:szCs w:val="24"/>
        </w:rPr>
        <w:t>结算核减率(核减率=|(</w:t>
      </w:r>
      <w:r>
        <w:rPr>
          <w:rFonts w:hint="eastAsia" w:asciiTheme="minorEastAsia" w:hAnsiTheme="minorEastAsia" w:eastAsiaTheme="minorEastAsia" w:cstheme="minorEastAsia"/>
          <w:sz w:val="24"/>
          <w:szCs w:val="24"/>
          <w:lang w:eastAsia="zh-CN"/>
        </w:rPr>
        <w:t>乙方</w:t>
      </w:r>
      <w:r>
        <w:rPr>
          <w:rFonts w:hint="eastAsia" w:asciiTheme="minorEastAsia" w:hAnsiTheme="minorEastAsia" w:eastAsiaTheme="minorEastAsia" w:cstheme="minorEastAsia"/>
          <w:sz w:val="24"/>
          <w:szCs w:val="24"/>
        </w:rPr>
        <w:t>送审造价-</w:t>
      </w:r>
      <w:r>
        <w:rPr>
          <w:rFonts w:hint="eastAsia" w:asciiTheme="minorEastAsia" w:hAnsiTheme="minorEastAsia" w:eastAsiaTheme="minorEastAsia" w:cstheme="minorEastAsia"/>
          <w:sz w:val="24"/>
          <w:szCs w:val="24"/>
          <w:lang w:eastAsia="zh-CN"/>
        </w:rPr>
        <w:t>甲方</w:t>
      </w:r>
      <w:r>
        <w:rPr>
          <w:rFonts w:hint="eastAsia" w:asciiTheme="minorEastAsia" w:hAnsiTheme="minorEastAsia" w:eastAsiaTheme="minorEastAsia" w:cstheme="minorEastAsia"/>
          <w:sz w:val="24"/>
          <w:szCs w:val="24"/>
        </w:rPr>
        <w:t>审定造价)/</w:t>
      </w:r>
      <w:r>
        <w:rPr>
          <w:rFonts w:hint="eastAsia" w:asciiTheme="minorEastAsia" w:hAnsiTheme="minorEastAsia" w:eastAsiaTheme="minorEastAsia" w:cstheme="minorEastAsia"/>
          <w:sz w:val="24"/>
          <w:szCs w:val="24"/>
          <w:lang w:eastAsia="zh-CN"/>
        </w:rPr>
        <w:t>乙方</w:t>
      </w:r>
      <w:r>
        <w:rPr>
          <w:rFonts w:hint="eastAsia" w:asciiTheme="minorEastAsia" w:hAnsiTheme="minorEastAsia" w:eastAsiaTheme="minorEastAsia" w:cstheme="minorEastAsia"/>
          <w:sz w:val="24"/>
          <w:szCs w:val="24"/>
        </w:rPr>
        <w:t>送审造价|)超过10%的处罚(</w:t>
      </w:r>
      <w:r>
        <w:rPr>
          <w:rFonts w:hint="eastAsia" w:asciiTheme="minorEastAsia" w:hAnsiTheme="minorEastAsia" w:eastAsiaTheme="minorEastAsia" w:cstheme="minorEastAsia"/>
          <w:sz w:val="24"/>
          <w:szCs w:val="24"/>
          <w:lang w:eastAsia="zh-CN"/>
        </w:rPr>
        <w:t>甲乙</w:t>
      </w:r>
      <w:r>
        <w:rPr>
          <w:rFonts w:hint="eastAsia" w:asciiTheme="minorEastAsia" w:hAnsiTheme="minorEastAsia" w:eastAsiaTheme="minorEastAsia" w:cstheme="minorEastAsia"/>
          <w:sz w:val="24"/>
          <w:szCs w:val="24"/>
        </w:rPr>
        <w:t>双方争议金额除外)如下：</w:t>
      </w:r>
      <w:r>
        <w:rPr>
          <w:rFonts w:hint="eastAsia" w:asciiTheme="minorEastAsia" w:hAnsiTheme="minorEastAsia" w:eastAsiaTheme="minorEastAsia" w:cstheme="minorEastAsia"/>
          <w:sz w:val="24"/>
          <w:szCs w:val="24"/>
          <w:lang w:eastAsia="zh-CN"/>
        </w:rPr>
        <w:t>乙方</w:t>
      </w:r>
      <w:r>
        <w:rPr>
          <w:rFonts w:hint="eastAsia" w:asciiTheme="minorEastAsia" w:hAnsiTheme="minorEastAsia" w:eastAsiaTheme="minorEastAsia" w:cstheme="minorEastAsia"/>
          <w:sz w:val="24"/>
          <w:szCs w:val="24"/>
        </w:rPr>
        <w:t>按以下方式承担违约金：违约金=|</w:t>
      </w:r>
      <w:r>
        <w:rPr>
          <w:rFonts w:hint="eastAsia" w:asciiTheme="minorEastAsia" w:hAnsiTheme="minorEastAsia" w:eastAsiaTheme="minorEastAsia" w:cstheme="minorEastAsia"/>
          <w:sz w:val="24"/>
          <w:szCs w:val="24"/>
          <w:lang w:eastAsia="zh-CN"/>
        </w:rPr>
        <w:t>乙方</w:t>
      </w:r>
      <w:r>
        <w:rPr>
          <w:rFonts w:hint="eastAsia" w:asciiTheme="minorEastAsia" w:hAnsiTheme="minorEastAsia" w:eastAsiaTheme="minorEastAsia" w:cstheme="minorEastAsia"/>
          <w:sz w:val="24"/>
          <w:szCs w:val="24"/>
        </w:rPr>
        <w:t>送审造价×(核减率-10%)×10%|，</w:t>
      </w:r>
      <w:r>
        <w:rPr>
          <w:rFonts w:hint="eastAsia" w:asciiTheme="minorEastAsia" w:hAnsiTheme="minorEastAsia" w:eastAsiaTheme="minorEastAsia" w:cstheme="minorEastAsia"/>
          <w:sz w:val="24"/>
          <w:szCs w:val="24"/>
          <w:lang w:eastAsia="zh-CN"/>
        </w:rPr>
        <w:t>甲方</w:t>
      </w:r>
      <w:r>
        <w:rPr>
          <w:rFonts w:hint="eastAsia" w:asciiTheme="minorEastAsia" w:hAnsiTheme="minorEastAsia" w:eastAsiaTheme="minorEastAsia" w:cstheme="minorEastAsia"/>
          <w:sz w:val="24"/>
          <w:szCs w:val="24"/>
        </w:rPr>
        <w:t>有权在向</w:t>
      </w:r>
      <w:r>
        <w:rPr>
          <w:rFonts w:hint="eastAsia" w:asciiTheme="minorEastAsia" w:hAnsiTheme="minorEastAsia" w:eastAsiaTheme="minorEastAsia" w:cstheme="minorEastAsia"/>
          <w:sz w:val="24"/>
          <w:szCs w:val="24"/>
          <w:lang w:eastAsia="zh-CN"/>
        </w:rPr>
        <w:t>乙方</w:t>
      </w:r>
      <w:r>
        <w:rPr>
          <w:rFonts w:hint="eastAsia" w:asciiTheme="minorEastAsia" w:hAnsiTheme="minorEastAsia" w:eastAsiaTheme="minorEastAsia" w:cstheme="minorEastAsia"/>
          <w:sz w:val="24"/>
          <w:szCs w:val="24"/>
        </w:rPr>
        <w:t>支付预付款、工程进度款、结算款等环节直接扣除或可从履约保证金、履约保函中获得索赔。</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、维修工程款支付:</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1）本工程无预付款；</w:t>
      </w:r>
    </w:p>
    <w:p>
      <w:pPr>
        <w:spacing w:line="520" w:lineRule="exact"/>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2）结算款：单项维修项目竣工验收1个月内支付结算余额（不含质保金）</w:t>
      </w:r>
      <w:r>
        <w:rPr>
          <w:rFonts w:hint="eastAsia" w:asciiTheme="minorEastAsia" w:hAnsiTheme="minorEastAsia" w:eastAsiaTheme="minorEastAsia" w:cstheme="minorEastAsia"/>
          <w:sz w:val="24"/>
          <w:szCs w:val="24"/>
          <w:lang w:eastAsia="zh-CN"/>
        </w:rPr>
        <w:t>注：</w:t>
      </w:r>
      <w:r>
        <w:rPr>
          <w:rFonts w:hint="eastAsia" w:asciiTheme="minorEastAsia" w:hAnsiTheme="minorEastAsia" w:eastAsiaTheme="minorEastAsia" w:cstheme="minorEastAsia"/>
          <w:sz w:val="24"/>
          <w:szCs w:val="24"/>
          <w:u w:val="single"/>
          <w:lang w:eastAsia="zh-CN"/>
        </w:rPr>
        <w:t>付款资料还需提供工人工资发放情况证明</w:t>
      </w:r>
      <w:r>
        <w:rPr>
          <w:rFonts w:hint="eastAsia" w:asciiTheme="minorEastAsia" w:hAnsiTheme="minorEastAsia" w:eastAsiaTheme="minorEastAsia" w:cstheme="minorEastAsia"/>
          <w:sz w:val="24"/>
          <w:szCs w:val="24"/>
          <w:lang w:eastAsia="zh-CN"/>
        </w:rPr>
        <w:t>。</w:t>
      </w:r>
    </w:p>
    <w:p>
      <w:pPr>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3）质保金为合同总价的3%，待保修期限届满后支付。</w:t>
      </w:r>
    </w:p>
    <w:p>
      <w:pPr>
        <w:spacing w:line="520" w:lineRule="exact"/>
        <w:ind w:firstLine="482"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b/>
          <w:color w:val="000000"/>
          <w:sz w:val="24"/>
          <w:szCs w:val="24"/>
          <w:lang w:val="en-US" w:eastAsia="zh-CN"/>
        </w:rPr>
        <w:t>7</w:t>
      </w:r>
      <w:r>
        <w:rPr>
          <w:rFonts w:hint="eastAsia" w:asciiTheme="minorEastAsia" w:hAnsiTheme="minorEastAsia" w:eastAsiaTheme="minorEastAsia" w:cstheme="minorEastAsia"/>
          <w:b/>
          <w:color w:val="000000"/>
          <w:sz w:val="24"/>
          <w:szCs w:val="24"/>
        </w:rPr>
        <w:t>、</w:t>
      </w:r>
      <w:r>
        <w:rPr>
          <w:rFonts w:hint="eastAsia" w:asciiTheme="minorEastAsia" w:hAnsiTheme="minorEastAsia" w:eastAsiaTheme="minorEastAsia" w:cstheme="minorEastAsia"/>
          <w:sz w:val="24"/>
          <w:szCs w:val="24"/>
        </w:rPr>
        <w:t>如乙方的竣工资料及结算书超期递交，或资料结算书不符合要求致使工程款支付时间超出支付期限，导致甲方无法支付工程款，责任由乙方承担。</w:t>
      </w:r>
    </w:p>
    <w:p>
      <w:pPr>
        <w:spacing w:line="520" w:lineRule="exact"/>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十七、工程保修</w:t>
      </w:r>
    </w:p>
    <w:p>
      <w:pPr>
        <w:spacing w:line="520" w:lineRule="exact"/>
        <w:ind w:firstLine="482"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b/>
          <w:color w:val="000000"/>
          <w:sz w:val="24"/>
          <w:szCs w:val="24"/>
        </w:rPr>
        <w:t>1、</w:t>
      </w:r>
      <w:r>
        <w:rPr>
          <w:rFonts w:hint="eastAsia" w:asciiTheme="minorEastAsia" w:hAnsiTheme="minorEastAsia" w:eastAsiaTheme="minorEastAsia" w:cstheme="minorEastAsia"/>
          <w:sz w:val="24"/>
          <w:szCs w:val="24"/>
        </w:rPr>
        <w:t>本维修工程项目中防水分项工程保修期为五年，其它分项工程保修期为贰年。设施设备有特殊要求的，参照设施设备保修要求进行保修。保修期从竣工验收合格之日起计。</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2、乙方应按以下时间要求进行保修响应：</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1）.严重影响租户计划生活或涉及人身安全、公共安全的保修，乙方应在接到通知后2小时内到场开始保修。</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3、乙方应在接到通知后2天内开始保修工作；</w:t>
      </w:r>
    </w:p>
    <w:p>
      <w:pPr>
        <w:spacing w:line="520" w:lineRule="exact"/>
        <w:ind w:firstLine="480"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rPr>
        <w:t>4、乙方在接到保修通知后未进行保修或未按时进行保修，甲方有权从乙方保修款中扣除相应费用进行维修。同时甲方可将乙方违约行为上报建设主管部门和深圳市采购中心。</w:t>
      </w:r>
    </w:p>
    <w:p>
      <w:pPr>
        <w:spacing w:line="520" w:lineRule="exact"/>
        <w:ind w:firstLine="482"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b/>
          <w:color w:val="000000"/>
          <w:sz w:val="24"/>
          <w:szCs w:val="24"/>
        </w:rPr>
        <w:t>5、</w:t>
      </w:r>
      <w:r>
        <w:rPr>
          <w:rFonts w:hint="eastAsia" w:asciiTheme="minorEastAsia" w:hAnsiTheme="minorEastAsia" w:eastAsiaTheme="minorEastAsia" w:cstheme="minorEastAsia"/>
          <w:sz w:val="24"/>
          <w:szCs w:val="24"/>
        </w:rPr>
        <w:t>由乙方保修问题导致甲方、租户或第三人的名誉、人身、财产受到损害的，由乙方承担相应法律责任及经济赔偿责任。</w:t>
      </w:r>
    </w:p>
    <w:p>
      <w:pPr>
        <w:spacing w:line="520" w:lineRule="exact"/>
        <w:rPr>
          <w:rFonts w:hint="eastAsia" w:asciiTheme="minorEastAsia" w:hAnsiTheme="minorEastAsia" w:eastAsiaTheme="minorEastAsia" w:cstheme="minorEastAsia"/>
          <w:color w:val="000000"/>
          <w:sz w:val="24"/>
          <w:szCs w:val="24"/>
          <w:lang w:eastAsia="zh-TW"/>
        </w:rPr>
      </w:pPr>
    </w:p>
    <w:p>
      <w:pPr>
        <w:spacing w:line="520" w:lineRule="exac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十八、其他约定</w:t>
      </w:r>
    </w:p>
    <w:p>
      <w:pPr>
        <w:spacing w:line="520" w:lineRule="exact"/>
        <w:ind w:firstLine="482"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b/>
          <w:color w:val="000000"/>
          <w:sz w:val="24"/>
          <w:szCs w:val="24"/>
        </w:rPr>
        <w:t>1、</w:t>
      </w:r>
      <w:r>
        <w:rPr>
          <w:rFonts w:hint="eastAsia" w:asciiTheme="minorEastAsia" w:hAnsiTheme="minorEastAsia" w:eastAsiaTheme="minorEastAsia" w:cstheme="minorEastAsia"/>
          <w:sz w:val="24"/>
          <w:szCs w:val="24"/>
        </w:rPr>
        <w:t>在维修实施过程中，乙方不得假借甲方名义从事有关活动（包括语言超范围解释维修标准、维修范围、换房等），应维护甲方的名誉及利益。如因乙方原因对甲方名誉和利益造成损害，甲方可依据《深圳地铁置业集团合同单位履约评价办法》及有关办法、规定处理。</w:t>
      </w:r>
    </w:p>
    <w:p>
      <w:pPr>
        <w:spacing w:line="520" w:lineRule="exact"/>
        <w:ind w:firstLine="480"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rPr>
        <w:t>2、乙方除履行本合同规定的相关事宜外，不得将相关资料用于其他用途。乙方应对项目涉及的租户信息保密。</w:t>
      </w:r>
    </w:p>
    <w:p>
      <w:pPr>
        <w:spacing w:line="520" w:lineRule="exact"/>
        <w:ind w:firstLine="720" w:firstLineChars="300"/>
        <w:rPr>
          <w:rFonts w:hint="eastAsia" w:asciiTheme="minorEastAsia" w:hAnsiTheme="minorEastAsia" w:eastAsiaTheme="minorEastAsia" w:cstheme="minorEastAsia"/>
          <w:color w:val="000000"/>
          <w:sz w:val="24"/>
          <w:szCs w:val="24"/>
          <w:lang w:eastAsia="zh-TW"/>
        </w:rPr>
      </w:pPr>
    </w:p>
    <w:p>
      <w:pPr>
        <w:spacing w:line="520" w:lineRule="exac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十九、不可抗力</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如出现甲乙双方订立本合同时无法预见，并导致本合同不能继续履行的不可抗力情形，本合同可自行终止。</w:t>
      </w:r>
    </w:p>
    <w:p>
      <w:pPr>
        <w:spacing w:line="520" w:lineRule="exact"/>
        <w:ind w:firstLine="435"/>
        <w:jc w:val="left"/>
        <w:rPr>
          <w:rFonts w:hint="eastAsia" w:asciiTheme="minorEastAsia" w:hAnsiTheme="minorEastAsia" w:eastAsiaTheme="minorEastAsia" w:cstheme="minorEastAsia"/>
          <w:color w:val="000000"/>
          <w:sz w:val="24"/>
          <w:szCs w:val="24"/>
        </w:rPr>
      </w:pPr>
    </w:p>
    <w:p>
      <w:pPr>
        <w:spacing w:line="520" w:lineRule="exac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二十、争议及解决</w:t>
      </w:r>
    </w:p>
    <w:p>
      <w:pPr>
        <w:spacing w:line="520" w:lineRule="exact"/>
        <w:ind w:firstLine="480"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rPr>
        <w:t>合同双方同意，任何涉及本合同及其附件的争议应由双方通过友好协商解决。如协商不成，可提交有关主管部门调解。如调解仍未能达成一致意见时，提交甲方所在地人民法院提起诉讼。</w:t>
      </w:r>
    </w:p>
    <w:p>
      <w:pPr>
        <w:spacing w:line="520" w:lineRule="exact"/>
        <w:jc w:val="both"/>
        <w:rPr>
          <w:rFonts w:hint="eastAsia" w:asciiTheme="minorEastAsia" w:hAnsiTheme="minorEastAsia" w:eastAsiaTheme="minorEastAsia" w:cstheme="minorEastAsia"/>
          <w:color w:val="000000"/>
          <w:sz w:val="24"/>
          <w:szCs w:val="24"/>
        </w:rPr>
      </w:pPr>
    </w:p>
    <w:p>
      <w:pPr>
        <w:spacing w:line="520" w:lineRule="exac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二十一、合同期限及文本</w:t>
      </w:r>
    </w:p>
    <w:p>
      <w:pPr>
        <w:spacing w:line="520" w:lineRule="exact"/>
        <w:ind w:firstLine="482" w:firstLineChars="200"/>
        <w:rPr>
          <w:rFonts w:hint="eastAsia" w:asciiTheme="minorEastAsia" w:hAnsiTheme="minorEastAsia" w:eastAsiaTheme="minorEastAsia" w:cstheme="minorEastAsia"/>
          <w:color w:val="C00000"/>
          <w:sz w:val="24"/>
          <w:szCs w:val="24"/>
        </w:rPr>
      </w:pPr>
      <w:r>
        <w:rPr>
          <w:rFonts w:hint="eastAsia" w:asciiTheme="minorEastAsia" w:hAnsiTheme="minorEastAsia" w:eastAsiaTheme="minorEastAsia" w:cstheme="minorEastAsia"/>
          <w:b/>
          <w:color w:val="000000"/>
          <w:sz w:val="24"/>
          <w:szCs w:val="24"/>
        </w:rPr>
        <w:t>1、</w:t>
      </w:r>
      <w:r>
        <w:rPr>
          <w:rFonts w:hint="eastAsia" w:asciiTheme="minorEastAsia" w:hAnsiTheme="minorEastAsia" w:eastAsiaTheme="minorEastAsia" w:cstheme="minorEastAsia"/>
          <w:color w:val="C00000"/>
          <w:sz w:val="24"/>
          <w:szCs w:val="24"/>
        </w:rPr>
        <w:t>本合同有效期为24个月，自202</w:t>
      </w:r>
      <w:r>
        <w:rPr>
          <w:rFonts w:hint="eastAsia" w:asciiTheme="minorEastAsia" w:hAnsiTheme="minorEastAsia" w:eastAsiaTheme="minorEastAsia" w:cstheme="minorEastAsia"/>
          <w:color w:val="C00000"/>
          <w:sz w:val="24"/>
          <w:szCs w:val="24"/>
          <w:lang w:val="en-US" w:eastAsia="zh-CN"/>
        </w:rPr>
        <w:t>2</w:t>
      </w:r>
      <w:r>
        <w:rPr>
          <w:rFonts w:hint="eastAsia" w:asciiTheme="minorEastAsia" w:hAnsiTheme="minorEastAsia" w:eastAsiaTheme="minorEastAsia" w:cstheme="minorEastAsia"/>
          <w:color w:val="C00000"/>
          <w:sz w:val="24"/>
          <w:szCs w:val="24"/>
        </w:rPr>
        <w:t>年</w:t>
      </w:r>
      <w:r>
        <w:rPr>
          <w:rFonts w:hint="eastAsia" w:asciiTheme="minorEastAsia" w:hAnsiTheme="minorEastAsia" w:eastAsiaTheme="minorEastAsia" w:cstheme="minorEastAsia"/>
          <w:color w:val="C00000"/>
          <w:sz w:val="24"/>
          <w:szCs w:val="24"/>
          <w:lang w:val="en-US" w:eastAsia="zh-CN"/>
        </w:rPr>
        <w:t xml:space="preserve">   </w:t>
      </w:r>
      <w:r>
        <w:rPr>
          <w:rFonts w:hint="eastAsia" w:asciiTheme="minorEastAsia" w:hAnsiTheme="minorEastAsia" w:eastAsiaTheme="minorEastAsia" w:cstheme="minorEastAsia"/>
          <w:color w:val="C00000"/>
          <w:sz w:val="24"/>
          <w:szCs w:val="24"/>
        </w:rPr>
        <w:t>月</w:t>
      </w:r>
      <w:r>
        <w:rPr>
          <w:rFonts w:hint="eastAsia" w:asciiTheme="minorEastAsia" w:hAnsiTheme="minorEastAsia" w:eastAsiaTheme="minorEastAsia" w:cstheme="minorEastAsia"/>
          <w:color w:val="C00000"/>
          <w:sz w:val="24"/>
          <w:szCs w:val="24"/>
          <w:lang w:val="en-US" w:eastAsia="zh-CN"/>
        </w:rPr>
        <w:t xml:space="preserve">   </w:t>
      </w:r>
      <w:r>
        <w:rPr>
          <w:rFonts w:hint="eastAsia" w:asciiTheme="minorEastAsia" w:hAnsiTheme="minorEastAsia" w:eastAsiaTheme="minorEastAsia" w:cstheme="minorEastAsia"/>
          <w:color w:val="C00000"/>
          <w:sz w:val="24"/>
          <w:szCs w:val="24"/>
        </w:rPr>
        <w:t>日至202</w:t>
      </w:r>
      <w:r>
        <w:rPr>
          <w:rFonts w:hint="eastAsia" w:asciiTheme="minorEastAsia" w:hAnsiTheme="minorEastAsia" w:eastAsiaTheme="minorEastAsia" w:cstheme="minorEastAsia"/>
          <w:color w:val="C00000"/>
          <w:sz w:val="24"/>
          <w:szCs w:val="24"/>
          <w:lang w:val="en-US" w:eastAsia="zh-CN"/>
        </w:rPr>
        <w:t>4</w:t>
      </w:r>
      <w:r>
        <w:rPr>
          <w:rFonts w:hint="eastAsia" w:asciiTheme="minorEastAsia" w:hAnsiTheme="minorEastAsia" w:eastAsiaTheme="minorEastAsia" w:cstheme="minorEastAsia"/>
          <w:color w:val="C00000"/>
          <w:sz w:val="24"/>
          <w:szCs w:val="24"/>
        </w:rPr>
        <w:t>年</w:t>
      </w:r>
      <w:r>
        <w:rPr>
          <w:rFonts w:hint="eastAsia" w:asciiTheme="minorEastAsia" w:hAnsiTheme="minorEastAsia" w:eastAsiaTheme="minorEastAsia" w:cstheme="minorEastAsia"/>
          <w:color w:val="C00000"/>
          <w:sz w:val="24"/>
          <w:szCs w:val="24"/>
          <w:lang w:val="en-US" w:eastAsia="zh-CN"/>
        </w:rPr>
        <w:t xml:space="preserve">  </w:t>
      </w:r>
      <w:r>
        <w:rPr>
          <w:rFonts w:hint="eastAsia" w:asciiTheme="minorEastAsia" w:hAnsiTheme="minorEastAsia" w:eastAsiaTheme="minorEastAsia" w:cstheme="minorEastAsia"/>
          <w:color w:val="C00000"/>
          <w:sz w:val="24"/>
          <w:szCs w:val="24"/>
        </w:rPr>
        <w:t>月</w:t>
      </w:r>
      <w:r>
        <w:rPr>
          <w:rFonts w:hint="eastAsia" w:asciiTheme="minorEastAsia" w:hAnsiTheme="minorEastAsia" w:eastAsiaTheme="minorEastAsia" w:cstheme="minorEastAsia"/>
          <w:color w:val="C00000"/>
          <w:sz w:val="24"/>
          <w:szCs w:val="24"/>
          <w:lang w:val="en-US" w:eastAsia="zh-CN"/>
        </w:rPr>
        <w:t xml:space="preserve">   </w:t>
      </w:r>
      <w:r>
        <w:rPr>
          <w:rFonts w:hint="eastAsia" w:asciiTheme="minorEastAsia" w:hAnsiTheme="minorEastAsia" w:eastAsiaTheme="minorEastAsia" w:cstheme="minorEastAsia"/>
          <w:color w:val="C00000"/>
          <w:sz w:val="24"/>
          <w:szCs w:val="24"/>
        </w:rPr>
        <w:t>日止。</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2、本合同有效期内签定的单项维修施工委托单有效。</w:t>
      </w:r>
    </w:p>
    <w:p>
      <w:pPr>
        <w:spacing w:line="440" w:lineRule="exact"/>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z w:val="24"/>
          <w:szCs w:val="24"/>
        </w:rPr>
        <w:t>3、</w:t>
      </w:r>
      <w:r>
        <w:rPr>
          <w:rFonts w:hint="eastAsia" w:asciiTheme="minorEastAsia" w:hAnsiTheme="minorEastAsia" w:eastAsiaTheme="minorEastAsia" w:cstheme="minorEastAsia"/>
          <w:sz w:val="24"/>
          <w:szCs w:val="24"/>
        </w:rPr>
        <w:t>本合同</w:t>
      </w:r>
      <w:r>
        <w:rPr>
          <w:rFonts w:hint="eastAsia" w:asciiTheme="minorEastAsia" w:hAnsiTheme="minorEastAsia" w:eastAsiaTheme="minorEastAsia" w:cstheme="minorEastAsia"/>
          <w:sz w:val="24"/>
          <w:szCs w:val="24"/>
          <w:u w:val="single"/>
          <w:lang w:val="en-US" w:eastAsia="zh-CN"/>
        </w:rPr>
        <w:t>14</w:t>
      </w:r>
      <w:r>
        <w:rPr>
          <w:rFonts w:hint="eastAsia" w:asciiTheme="minorEastAsia" w:hAnsiTheme="minorEastAsia" w:eastAsiaTheme="minorEastAsia" w:cstheme="minorEastAsia"/>
          <w:sz w:val="24"/>
          <w:szCs w:val="24"/>
        </w:rPr>
        <w:t>份，发包人执</w:t>
      </w:r>
      <w:r>
        <w:rPr>
          <w:rFonts w:hint="eastAsia" w:asciiTheme="minorEastAsia" w:hAnsiTheme="minorEastAsia" w:eastAsiaTheme="minorEastAsia" w:cstheme="minorEastAsia"/>
          <w:sz w:val="24"/>
          <w:szCs w:val="24"/>
          <w:u w:val="single"/>
        </w:rPr>
        <w:t>10</w:t>
      </w:r>
      <w:r>
        <w:rPr>
          <w:rFonts w:hint="eastAsia" w:asciiTheme="minorEastAsia" w:hAnsiTheme="minorEastAsia" w:eastAsiaTheme="minorEastAsia" w:cstheme="minorEastAsia"/>
          <w:sz w:val="24"/>
          <w:szCs w:val="24"/>
        </w:rPr>
        <w:t>份，承包人执</w:t>
      </w:r>
      <w:r>
        <w:rPr>
          <w:rFonts w:hint="eastAsia" w:asciiTheme="minorEastAsia" w:hAnsiTheme="minorEastAsia" w:eastAsiaTheme="minorEastAsia" w:cstheme="minorEastAsia"/>
          <w:sz w:val="24"/>
          <w:szCs w:val="24"/>
          <w:u w:val="single"/>
        </w:rPr>
        <w:t>4</w:t>
      </w:r>
      <w:r>
        <w:rPr>
          <w:rFonts w:hint="eastAsia" w:asciiTheme="minorEastAsia" w:hAnsiTheme="minorEastAsia" w:eastAsiaTheme="minorEastAsia" w:cstheme="minorEastAsia"/>
          <w:sz w:val="24"/>
          <w:szCs w:val="24"/>
        </w:rPr>
        <w:t>份，均具同等效力，自双方签字或盖章之日起生效。</w:t>
      </w:r>
    </w:p>
    <w:p>
      <w:pPr>
        <w:spacing w:line="440" w:lineRule="exact"/>
        <w:ind w:firstLine="480" w:firstLineChars="200"/>
        <w:rPr>
          <w:rFonts w:hint="eastAsia" w:asciiTheme="minorEastAsia" w:hAnsiTheme="minorEastAsia" w:eastAsiaTheme="minorEastAsia" w:cstheme="minorEastAsia"/>
          <w:sz w:val="24"/>
          <w:szCs w:val="24"/>
        </w:rPr>
      </w:pPr>
    </w:p>
    <w:p>
      <w:pPr>
        <w:pStyle w:val="3"/>
        <w:widowControl/>
        <w:spacing w:line="360" w:lineRule="auto"/>
        <w:ind w:left="640" w:hanging="480" w:hangingChars="200"/>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sz w:val="24"/>
          <w:szCs w:val="24"/>
        </w:rPr>
        <w:t>二十二、附件：</w:t>
      </w:r>
    </w:p>
    <w:p>
      <w:pPr>
        <w:pStyle w:val="3"/>
        <w:widowControl/>
        <w:spacing w:line="360" w:lineRule="auto"/>
        <w:ind w:left="560" w:hanging="480" w:hangingChars="200"/>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1.《深圳地铁置业集团有限公司合同单位履约评价工作指引(试行)》</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2.《深圳地铁置业集团有限公司工程维修管理工作指引》</w:t>
      </w:r>
    </w:p>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b w:val="0"/>
          <w:sz w:val="24"/>
          <w:szCs w:val="24"/>
        </w:rPr>
        <w:t>深圳地铁置业集团有限公司第三方维保单位管理规定</w:t>
      </w:r>
      <w:r>
        <w:rPr>
          <w:rFonts w:hint="eastAsia" w:asciiTheme="minorEastAsia" w:hAnsiTheme="minorEastAsia" w:eastAsiaTheme="minorEastAsia" w:cstheme="minorEastAsia"/>
          <w:sz w:val="24"/>
          <w:szCs w:val="24"/>
        </w:rPr>
        <w:t>》</w:t>
      </w:r>
    </w:p>
    <w:p>
      <w:p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工程质量保修书</w:t>
      </w:r>
      <w:r>
        <w:rPr>
          <w:rFonts w:hint="eastAsia" w:asciiTheme="minorEastAsia" w:hAnsiTheme="minorEastAsia" w:eastAsiaTheme="minorEastAsia" w:cstheme="minorEastAsia"/>
          <w:sz w:val="24"/>
          <w:szCs w:val="24"/>
          <w:lang w:eastAsia="zh-CN"/>
        </w:rPr>
        <w:t>》</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b w:val="0"/>
          <w:bCs w:val="0"/>
          <w:kern w:val="2"/>
          <w:sz w:val="24"/>
          <w:szCs w:val="24"/>
        </w:rPr>
        <w:t>深圳地铁诺德投资发展有限公司询价采购及认质认价材料操作细则(试行）</w:t>
      </w:r>
      <w:r>
        <w:rPr>
          <w:rFonts w:hint="eastAsia" w:asciiTheme="minorEastAsia" w:hAnsiTheme="minorEastAsia" w:eastAsiaTheme="minorEastAsia" w:cstheme="minorEastAsia"/>
          <w:sz w:val="24"/>
          <w:szCs w:val="24"/>
          <w:lang w:val="en-US" w:eastAsia="zh-CN"/>
        </w:rPr>
        <w:t>》</w:t>
      </w:r>
    </w:p>
    <w:p>
      <w:pPr>
        <w:pStyle w:val="3"/>
        <w:widowControl/>
        <w:spacing w:line="360" w:lineRule="auto"/>
        <w:ind w:left="560" w:hanging="480" w:hanging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2"/>
          <w:sz w:val="24"/>
          <w:szCs w:val="24"/>
        </w:rPr>
        <w:t>备注：上述办法如有发布最新版本，则按最新发布版本执行。</w:t>
      </w:r>
    </w:p>
    <w:p>
      <w:pPr>
        <w:spacing w:line="360" w:lineRule="auto"/>
        <w:ind w:firstLine="0" w:firstLineChars="0"/>
        <w:jc w:val="left"/>
        <w:rPr>
          <w:rFonts w:hint="eastAsia" w:asciiTheme="minorEastAsia" w:hAnsiTheme="minorEastAsia" w:eastAsiaTheme="minorEastAsia" w:cstheme="minorEastAsia"/>
          <w:sz w:val="24"/>
          <w:szCs w:val="24"/>
        </w:rPr>
      </w:pPr>
    </w:p>
    <w:p>
      <w:pPr>
        <w:spacing w:line="360" w:lineRule="auto"/>
        <w:ind w:firstLine="0" w:firstLineChars="0"/>
        <w:jc w:val="left"/>
        <w:rPr>
          <w:rFonts w:hint="eastAsia" w:asciiTheme="minorEastAsia" w:hAnsiTheme="minorEastAsia" w:eastAsiaTheme="minorEastAsia" w:cstheme="minorEastAsia"/>
          <w:sz w:val="24"/>
          <w:szCs w:val="24"/>
        </w:rPr>
      </w:pPr>
    </w:p>
    <w:p>
      <w:pPr>
        <w:spacing w:line="360" w:lineRule="auto"/>
        <w:ind w:firstLine="0" w:firstLineChars="0"/>
        <w:jc w:val="left"/>
        <w:rPr>
          <w:rFonts w:hint="eastAsia" w:asciiTheme="minorEastAsia" w:hAnsiTheme="minorEastAsia" w:eastAsiaTheme="minorEastAsia" w:cstheme="minorEastAsia"/>
          <w:sz w:val="24"/>
          <w:szCs w:val="24"/>
        </w:rPr>
      </w:pPr>
    </w:p>
    <w:p>
      <w:pPr>
        <w:rPr>
          <w:rFonts w:ascii="宋体"/>
          <w:sz w:val="24"/>
          <w:szCs w:val="24"/>
        </w:rPr>
      </w:pPr>
      <w:r>
        <w:rPr>
          <w:rFonts w:ascii="宋体"/>
          <w:sz w:val="24"/>
          <w:szCs w:val="24"/>
        </w:rPr>
        <w:br w:type="page"/>
      </w:r>
    </w:p>
    <w:p>
      <w:pPr>
        <w:spacing w:line="440" w:lineRule="exact"/>
        <w:ind w:firstLine="480" w:firstLineChars="200"/>
        <w:rPr>
          <w:rFonts w:ascii="宋体"/>
          <w:sz w:val="24"/>
          <w:szCs w:val="24"/>
        </w:rPr>
      </w:pPr>
    </w:p>
    <w:tbl>
      <w:tblPr>
        <w:tblStyle w:val="4"/>
        <w:tblW w:w="9346" w:type="dxa"/>
        <w:jc w:val="center"/>
        <w:tblLayout w:type="fixed"/>
        <w:tblCellMar>
          <w:top w:w="0" w:type="dxa"/>
          <w:left w:w="108" w:type="dxa"/>
          <w:bottom w:w="0" w:type="dxa"/>
          <w:right w:w="108" w:type="dxa"/>
        </w:tblCellMar>
      </w:tblPr>
      <w:tblGrid>
        <w:gridCol w:w="2110"/>
        <w:gridCol w:w="2841"/>
        <w:gridCol w:w="2127"/>
        <w:gridCol w:w="2268"/>
      </w:tblGrid>
      <w:tr>
        <w:tblPrEx>
          <w:tblCellMar>
            <w:top w:w="0" w:type="dxa"/>
            <w:left w:w="108" w:type="dxa"/>
            <w:bottom w:w="0" w:type="dxa"/>
            <w:right w:w="108" w:type="dxa"/>
          </w:tblCellMar>
        </w:tblPrEx>
        <w:trPr>
          <w:trHeight w:val="1093" w:hRule="atLeast"/>
          <w:jc w:val="center"/>
        </w:trPr>
        <w:tc>
          <w:tcPr>
            <w:tcW w:w="2110" w:type="dxa"/>
            <w:vAlign w:val="center"/>
          </w:tcPr>
          <w:p>
            <w:pPr>
              <w:spacing w:line="400" w:lineRule="exact"/>
              <w:rPr>
                <w:sz w:val="24"/>
                <w:szCs w:val="24"/>
              </w:rPr>
            </w:pPr>
            <w:r>
              <w:rPr>
                <w:rFonts w:hint="eastAsia"/>
                <w:sz w:val="24"/>
                <w:szCs w:val="24"/>
              </w:rPr>
              <w:t>业主</w:t>
            </w:r>
            <w:r>
              <w:rPr>
                <w:sz w:val="24"/>
                <w:szCs w:val="24"/>
              </w:rPr>
              <w:t>(</w:t>
            </w:r>
            <w:r>
              <w:rPr>
                <w:rFonts w:hint="eastAsia"/>
                <w:sz w:val="24"/>
                <w:szCs w:val="24"/>
              </w:rPr>
              <w:t>公章</w:t>
            </w:r>
            <w:r>
              <w:rPr>
                <w:sz w:val="24"/>
                <w:szCs w:val="24"/>
              </w:rPr>
              <w:t>)</w:t>
            </w:r>
            <w:r>
              <w:rPr>
                <w:rFonts w:hint="eastAsia"/>
                <w:sz w:val="24"/>
                <w:szCs w:val="24"/>
              </w:rPr>
              <w:t>：</w:t>
            </w:r>
          </w:p>
        </w:tc>
        <w:tc>
          <w:tcPr>
            <w:tcW w:w="2841" w:type="dxa"/>
            <w:vAlign w:val="center"/>
          </w:tcPr>
          <w:p>
            <w:pPr>
              <w:spacing w:line="400" w:lineRule="exact"/>
              <w:rPr>
                <w:sz w:val="24"/>
                <w:szCs w:val="24"/>
              </w:rPr>
            </w:pPr>
            <w:r>
              <w:rPr>
                <w:rFonts w:hint="eastAsia"/>
                <w:sz w:val="24"/>
                <w:szCs w:val="24"/>
              </w:rPr>
              <w:t>深圳市地铁集团有限公司</w:t>
            </w:r>
          </w:p>
        </w:tc>
        <w:tc>
          <w:tcPr>
            <w:tcW w:w="2127" w:type="dxa"/>
            <w:vAlign w:val="center"/>
          </w:tcPr>
          <w:p>
            <w:pPr>
              <w:spacing w:line="400" w:lineRule="exact"/>
              <w:rPr>
                <w:sz w:val="24"/>
                <w:szCs w:val="24"/>
              </w:rPr>
            </w:pPr>
            <w:r>
              <w:rPr>
                <w:rFonts w:hint="eastAsia"/>
                <w:sz w:val="24"/>
                <w:szCs w:val="24"/>
              </w:rPr>
              <w:t>法定代表人或授权代表：</w:t>
            </w:r>
          </w:p>
        </w:tc>
        <w:tc>
          <w:tcPr>
            <w:tcW w:w="2268" w:type="dxa"/>
            <w:vAlign w:val="center"/>
          </w:tcPr>
          <w:p>
            <w:pPr>
              <w:spacing w:line="400" w:lineRule="exact"/>
              <w:rPr>
                <w:sz w:val="24"/>
                <w:szCs w:val="24"/>
                <w:u w:val="single"/>
              </w:rPr>
            </w:pPr>
          </w:p>
        </w:tc>
      </w:tr>
      <w:tr>
        <w:tblPrEx>
          <w:tblCellMar>
            <w:top w:w="0" w:type="dxa"/>
            <w:left w:w="108" w:type="dxa"/>
            <w:bottom w:w="0" w:type="dxa"/>
            <w:right w:w="108" w:type="dxa"/>
          </w:tblCellMar>
        </w:tblPrEx>
        <w:trPr>
          <w:trHeight w:val="839" w:hRule="atLeast"/>
          <w:jc w:val="center"/>
        </w:trPr>
        <w:tc>
          <w:tcPr>
            <w:tcW w:w="2110" w:type="dxa"/>
            <w:vAlign w:val="center"/>
          </w:tcPr>
          <w:p>
            <w:pPr>
              <w:spacing w:line="400" w:lineRule="exact"/>
              <w:rPr>
                <w:sz w:val="24"/>
                <w:szCs w:val="24"/>
              </w:rPr>
            </w:pPr>
            <w:r>
              <w:rPr>
                <w:rFonts w:hint="eastAsia"/>
                <w:sz w:val="24"/>
                <w:szCs w:val="24"/>
              </w:rPr>
              <w:t>住所：</w:t>
            </w:r>
          </w:p>
        </w:tc>
        <w:tc>
          <w:tcPr>
            <w:tcW w:w="2841" w:type="dxa"/>
            <w:vAlign w:val="center"/>
          </w:tcPr>
          <w:p>
            <w:pPr>
              <w:spacing w:line="400" w:lineRule="exact"/>
              <w:rPr>
                <w:sz w:val="24"/>
                <w:szCs w:val="24"/>
              </w:rPr>
            </w:pPr>
            <w:r>
              <w:rPr>
                <w:rFonts w:hint="eastAsia"/>
                <w:sz w:val="24"/>
                <w:szCs w:val="24"/>
              </w:rPr>
              <w:t>深圳市福田区福中一路</w:t>
            </w:r>
            <w:r>
              <w:rPr>
                <w:sz w:val="24"/>
                <w:szCs w:val="24"/>
              </w:rPr>
              <w:t>1016</w:t>
            </w:r>
            <w:r>
              <w:rPr>
                <w:rFonts w:hint="eastAsia"/>
                <w:sz w:val="24"/>
                <w:szCs w:val="24"/>
              </w:rPr>
              <w:t>号地铁大厦</w:t>
            </w:r>
          </w:p>
        </w:tc>
        <w:tc>
          <w:tcPr>
            <w:tcW w:w="2127" w:type="dxa"/>
            <w:vAlign w:val="center"/>
          </w:tcPr>
          <w:p>
            <w:pPr>
              <w:spacing w:line="400" w:lineRule="exact"/>
              <w:rPr>
                <w:sz w:val="24"/>
                <w:szCs w:val="24"/>
              </w:rPr>
            </w:pPr>
          </w:p>
        </w:tc>
        <w:tc>
          <w:tcPr>
            <w:tcW w:w="2268" w:type="dxa"/>
            <w:vAlign w:val="center"/>
          </w:tcPr>
          <w:p>
            <w:pPr>
              <w:spacing w:line="400" w:lineRule="exact"/>
              <w:rPr>
                <w:sz w:val="24"/>
                <w:szCs w:val="24"/>
                <w:u w:val="single"/>
              </w:rPr>
            </w:pPr>
          </w:p>
        </w:tc>
      </w:tr>
      <w:tr>
        <w:tblPrEx>
          <w:tblCellMar>
            <w:top w:w="0" w:type="dxa"/>
            <w:left w:w="108" w:type="dxa"/>
            <w:bottom w:w="0" w:type="dxa"/>
            <w:right w:w="108" w:type="dxa"/>
          </w:tblCellMar>
        </w:tblPrEx>
        <w:trPr>
          <w:trHeight w:val="562" w:hRule="atLeast"/>
          <w:jc w:val="center"/>
        </w:trPr>
        <w:tc>
          <w:tcPr>
            <w:tcW w:w="2110" w:type="dxa"/>
            <w:vAlign w:val="center"/>
          </w:tcPr>
          <w:p>
            <w:pPr>
              <w:spacing w:line="400" w:lineRule="exact"/>
              <w:rPr>
                <w:sz w:val="24"/>
                <w:szCs w:val="24"/>
              </w:rPr>
            </w:pPr>
            <w:r>
              <w:rPr>
                <w:rFonts w:hint="eastAsia"/>
                <w:sz w:val="24"/>
                <w:szCs w:val="24"/>
              </w:rPr>
              <w:t>电话：</w:t>
            </w:r>
          </w:p>
        </w:tc>
        <w:tc>
          <w:tcPr>
            <w:tcW w:w="2841" w:type="dxa"/>
            <w:vAlign w:val="center"/>
          </w:tcPr>
          <w:p>
            <w:pPr>
              <w:spacing w:line="400" w:lineRule="exact"/>
              <w:rPr>
                <w:sz w:val="24"/>
                <w:szCs w:val="24"/>
              </w:rPr>
            </w:pPr>
            <w:r>
              <w:rPr>
                <w:sz w:val="24"/>
                <w:szCs w:val="24"/>
              </w:rPr>
              <w:t>0755-23992600</w:t>
            </w:r>
          </w:p>
        </w:tc>
        <w:tc>
          <w:tcPr>
            <w:tcW w:w="2127" w:type="dxa"/>
            <w:vAlign w:val="center"/>
          </w:tcPr>
          <w:p>
            <w:pPr>
              <w:spacing w:line="400" w:lineRule="exact"/>
              <w:rPr>
                <w:sz w:val="24"/>
                <w:szCs w:val="24"/>
              </w:rPr>
            </w:pPr>
            <w:r>
              <w:rPr>
                <w:rFonts w:hint="eastAsia"/>
                <w:sz w:val="24"/>
                <w:szCs w:val="24"/>
              </w:rPr>
              <w:t>传真：</w:t>
            </w:r>
          </w:p>
        </w:tc>
        <w:tc>
          <w:tcPr>
            <w:tcW w:w="2268" w:type="dxa"/>
            <w:vAlign w:val="center"/>
          </w:tcPr>
          <w:p>
            <w:pPr>
              <w:spacing w:line="400" w:lineRule="exact"/>
              <w:rPr>
                <w:sz w:val="24"/>
                <w:szCs w:val="24"/>
                <w:u w:val="single"/>
              </w:rPr>
            </w:pPr>
            <w:r>
              <w:rPr>
                <w:sz w:val="24"/>
                <w:szCs w:val="24"/>
                <w:u w:val="single"/>
              </w:rPr>
              <w:t>0755-23992555</w:t>
            </w:r>
          </w:p>
        </w:tc>
      </w:tr>
      <w:tr>
        <w:tblPrEx>
          <w:tblCellMar>
            <w:top w:w="0" w:type="dxa"/>
            <w:left w:w="108" w:type="dxa"/>
            <w:bottom w:w="0" w:type="dxa"/>
            <w:right w:w="108" w:type="dxa"/>
          </w:tblCellMar>
        </w:tblPrEx>
        <w:trPr>
          <w:trHeight w:val="805" w:hRule="atLeast"/>
          <w:jc w:val="center"/>
        </w:trPr>
        <w:tc>
          <w:tcPr>
            <w:tcW w:w="2110" w:type="dxa"/>
            <w:vAlign w:val="center"/>
          </w:tcPr>
          <w:p>
            <w:pPr>
              <w:spacing w:line="400" w:lineRule="exact"/>
              <w:rPr>
                <w:sz w:val="24"/>
                <w:szCs w:val="24"/>
              </w:rPr>
            </w:pPr>
            <w:r>
              <w:rPr>
                <w:rFonts w:hint="eastAsia"/>
                <w:sz w:val="24"/>
                <w:szCs w:val="24"/>
              </w:rPr>
              <w:t>开户银行：</w:t>
            </w:r>
          </w:p>
        </w:tc>
        <w:tc>
          <w:tcPr>
            <w:tcW w:w="2841" w:type="dxa"/>
            <w:vAlign w:val="center"/>
          </w:tcPr>
          <w:p>
            <w:pPr>
              <w:spacing w:line="400" w:lineRule="exact"/>
              <w:rPr>
                <w:sz w:val="24"/>
                <w:szCs w:val="24"/>
              </w:rPr>
            </w:pPr>
            <w:r>
              <w:rPr>
                <w:rFonts w:hint="eastAsia"/>
                <w:sz w:val="24"/>
                <w:szCs w:val="24"/>
              </w:rPr>
              <w:t>招行地铁大厦支行</w:t>
            </w:r>
          </w:p>
        </w:tc>
        <w:tc>
          <w:tcPr>
            <w:tcW w:w="2127" w:type="dxa"/>
            <w:vAlign w:val="center"/>
          </w:tcPr>
          <w:p>
            <w:pPr>
              <w:spacing w:line="400" w:lineRule="exact"/>
              <w:rPr>
                <w:sz w:val="24"/>
                <w:szCs w:val="24"/>
              </w:rPr>
            </w:pPr>
            <w:r>
              <w:rPr>
                <w:rFonts w:hint="eastAsia"/>
                <w:sz w:val="24"/>
                <w:szCs w:val="24"/>
              </w:rPr>
              <w:t>开户全名：</w:t>
            </w:r>
          </w:p>
        </w:tc>
        <w:tc>
          <w:tcPr>
            <w:tcW w:w="2268" w:type="dxa"/>
            <w:vAlign w:val="center"/>
          </w:tcPr>
          <w:p>
            <w:pPr>
              <w:spacing w:line="400" w:lineRule="exact"/>
              <w:rPr>
                <w:sz w:val="24"/>
                <w:szCs w:val="24"/>
                <w:u w:val="single"/>
              </w:rPr>
            </w:pPr>
            <w:r>
              <w:rPr>
                <w:rFonts w:hint="eastAsia"/>
                <w:sz w:val="24"/>
                <w:szCs w:val="24"/>
                <w:u w:val="single"/>
              </w:rPr>
              <w:t>深圳市地铁集团有限公司</w:t>
            </w:r>
          </w:p>
        </w:tc>
      </w:tr>
      <w:tr>
        <w:tblPrEx>
          <w:tblCellMar>
            <w:top w:w="0" w:type="dxa"/>
            <w:left w:w="108" w:type="dxa"/>
            <w:bottom w:w="0" w:type="dxa"/>
            <w:right w:w="108" w:type="dxa"/>
          </w:tblCellMar>
        </w:tblPrEx>
        <w:trPr>
          <w:trHeight w:val="746" w:hRule="atLeast"/>
          <w:jc w:val="center"/>
        </w:trPr>
        <w:tc>
          <w:tcPr>
            <w:tcW w:w="2110" w:type="dxa"/>
            <w:vAlign w:val="center"/>
          </w:tcPr>
          <w:p>
            <w:pPr>
              <w:spacing w:line="400" w:lineRule="exact"/>
              <w:rPr>
                <w:sz w:val="24"/>
                <w:szCs w:val="24"/>
              </w:rPr>
            </w:pPr>
            <w:r>
              <w:rPr>
                <w:rFonts w:hint="eastAsia"/>
                <w:sz w:val="24"/>
                <w:szCs w:val="24"/>
              </w:rPr>
              <w:t>账号：</w:t>
            </w:r>
          </w:p>
        </w:tc>
        <w:tc>
          <w:tcPr>
            <w:tcW w:w="2841" w:type="dxa"/>
            <w:vAlign w:val="center"/>
          </w:tcPr>
          <w:p>
            <w:pPr>
              <w:spacing w:line="400" w:lineRule="exact"/>
              <w:rPr>
                <w:sz w:val="24"/>
                <w:szCs w:val="24"/>
              </w:rPr>
            </w:pPr>
          </w:p>
        </w:tc>
        <w:tc>
          <w:tcPr>
            <w:tcW w:w="2127" w:type="dxa"/>
            <w:vAlign w:val="center"/>
          </w:tcPr>
          <w:p>
            <w:pPr>
              <w:spacing w:line="400" w:lineRule="exact"/>
              <w:rPr>
                <w:sz w:val="24"/>
                <w:szCs w:val="24"/>
              </w:rPr>
            </w:pPr>
            <w:r>
              <w:rPr>
                <w:rFonts w:hint="eastAsia"/>
                <w:sz w:val="24"/>
                <w:szCs w:val="24"/>
              </w:rPr>
              <w:t>邮政编码：</w:t>
            </w:r>
          </w:p>
        </w:tc>
        <w:tc>
          <w:tcPr>
            <w:tcW w:w="2268" w:type="dxa"/>
            <w:vAlign w:val="center"/>
          </w:tcPr>
          <w:p>
            <w:pPr>
              <w:spacing w:line="400" w:lineRule="exact"/>
              <w:rPr>
                <w:sz w:val="24"/>
                <w:szCs w:val="24"/>
                <w:u w:val="single"/>
              </w:rPr>
            </w:pPr>
          </w:p>
        </w:tc>
      </w:tr>
      <w:tr>
        <w:tblPrEx>
          <w:tblCellMar>
            <w:top w:w="0" w:type="dxa"/>
            <w:left w:w="108" w:type="dxa"/>
            <w:bottom w:w="0" w:type="dxa"/>
            <w:right w:w="108" w:type="dxa"/>
          </w:tblCellMar>
        </w:tblPrEx>
        <w:trPr>
          <w:trHeight w:val="1093" w:hRule="atLeast"/>
          <w:jc w:val="center"/>
        </w:trPr>
        <w:tc>
          <w:tcPr>
            <w:tcW w:w="2110" w:type="dxa"/>
            <w:vAlign w:val="center"/>
          </w:tcPr>
          <w:p>
            <w:pPr>
              <w:spacing w:line="400" w:lineRule="exact"/>
              <w:rPr>
                <w:sz w:val="24"/>
                <w:szCs w:val="24"/>
              </w:rPr>
            </w:pPr>
            <w:r>
              <w:rPr>
                <w:rFonts w:hint="eastAsia"/>
                <w:sz w:val="24"/>
                <w:szCs w:val="24"/>
              </w:rPr>
              <w:t>项目主管部门经办人及电话：</w:t>
            </w:r>
          </w:p>
        </w:tc>
        <w:tc>
          <w:tcPr>
            <w:tcW w:w="2841" w:type="dxa"/>
            <w:vAlign w:val="center"/>
          </w:tcPr>
          <w:p>
            <w:pPr>
              <w:spacing w:line="400" w:lineRule="exact"/>
              <w:rPr>
                <w:sz w:val="24"/>
                <w:szCs w:val="24"/>
              </w:rPr>
            </w:pPr>
          </w:p>
        </w:tc>
        <w:tc>
          <w:tcPr>
            <w:tcW w:w="2127" w:type="dxa"/>
            <w:vAlign w:val="center"/>
          </w:tcPr>
          <w:p>
            <w:pPr>
              <w:spacing w:line="400" w:lineRule="exact"/>
              <w:rPr>
                <w:sz w:val="24"/>
                <w:szCs w:val="24"/>
              </w:rPr>
            </w:pPr>
            <w:r>
              <w:rPr>
                <w:rFonts w:hint="eastAsia"/>
                <w:sz w:val="24"/>
                <w:szCs w:val="24"/>
              </w:rPr>
              <w:t>项目主管部门审核人：</w:t>
            </w:r>
          </w:p>
        </w:tc>
        <w:tc>
          <w:tcPr>
            <w:tcW w:w="2268" w:type="dxa"/>
            <w:vAlign w:val="center"/>
          </w:tcPr>
          <w:p>
            <w:pPr>
              <w:spacing w:line="400" w:lineRule="exact"/>
              <w:rPr>
                <w:sz w:val="24"/>
                <w:szCs w:val="24"/>
                <w:u w:val="single"/>
              </w:rPr>
            </w:pPr>
          </w:p>
        </w:tc>
      </w:tr>
      <w:tr>
        <w:tblPrEx>
          <w:tblCellMar>
            <w:top w:w="0" w:type="dxa"/>
            <w:left w:w="108" w:type="dxa"/>
            <w:bottom w:w="0" w:type="dxa"/>
            <w:right w:w="108" w:type="dxa"/>
          </w:tblCellMar>
        </w:tblPrEx>
        <w:trPr>
          <w:trHeight w:val="1093" w:hRule="atLeast"/>
          <w:jc w:val="center"/>
        </w:trPr>
        <w:tc>
          <w:tcPr>
            <w:tcW w:w="2110" w:type="dxa"/>
            <w:vAlign w:val="center"/>
          </w:tcPr>
          <w:p>
            <w:pPr>
              <w:spacing w:line="400" w:lineRule="exact"/>
              <w:rPr>
                <w:sz w:val="24"/>
                <w:szCs w:val="24"/>
              </w:rPr>
            </w:pPr>
            <w:r>
              <w:rPr>
                <w:rFonts w:hint="eastAsia"/>
                <w:sz w:val="24"/>
                <w:szCs w:val="24"/>
              </w:rPr>
              <w:t>合约部门经办人及电话</w:t>
            </w:r>
            <w:r>
              <w:rPr>
                <w:sz w:val="24"/>
                <w:szCs w:val="24"/>
              </w:rPr>
              <w:t>:</w:t>
            </w:r>
          </w:p>
        </w:tc>
        <w:tc>
          <w:tcPr>
            <w:tcW w:w="2841" w:type="dxa"/>
            <w:vAlign w:val="center"/>
          </w:tcPr>
          <w:p>
            <w:pPr>
              <w:spacing w:line="400" w:lineRule="exact"/>
              <w:rPr>
                <w:sz w:val="24"/>
                <w:szCs w:val="24"/>
              </w:rPr>
            </w:pPr>
          </w:p>
        </w:tc>
        <w:tc>
          <w:tcPr>
            <w:tcW w:w="2127" w:type="dxa"/>
            <w:vAlign w:val="center"/>
          </w:tcPr>
          <w:p>
            <w:pPr>
              <w:spacing w:line="400" w:lineRule="exact"/>
              <w:rPr>
                <w:sz w:val="24"/>
                <w:szCs w:val="24"/>
              </w:rPr>
            </w:pPr>
            <w:r>
              <w:rPr>
                <w:rFonts w:hint="eastAsia"/>
                <w:sz w:val="24"/>
                <w:szCs w:val="24"/>
              </w:rPr>
              <w:t>合约部门审核人：</w:t>
            </w:r>
          </w:p>
        </w:tc>
        <w:tc>
          <w:tcPr>
            <w:tcW w:w="2268" w:type="dxa"/>
            <w:vAlign w:val="center"/>
          </w:tcPr>
          <w:p>
            <w:pPr>
              <w:spacing w:line="400" w:lineRule="exact"/>
              <w:rPr>
                <w:sz w:val="24"/>
                <w:szCs w:val="24"/>
                <w:u w:val="single"/>
              </w:rPr>
            </w:pPr>
          </w:p>
        </w:tc>
      </w:tr>
      <w:tr>
        <w:tblPrEx>
          <w:tblCellMar>
            <w:top w:w="0" w:type="dxa"/>
            <w:left w:w="108" w:type="dxa"/>
            <w:bottom w:w="0" w:type="dxa"/>
            <w:right w:w="108" w:type="dxa"/>
          </w:tblCellMar>
        </w:tblPrEx>
        <w:trPr>
          <w:trHeight w:val="1093" w:hRule="atLeast"/>
          <w:jc w:val="center"/>
        </w:trPr>
        <w:tc>
          <w:tcPr>
            <w:tcW w:w="2110" w:type="dxa"/>
            <w:vAlign w:val="center"/>
          </w:tcPr>
          <w:p>
            <w:pPr>
              <w:spacing w:line="400" w:lineRule="exact"/>
              <w:rPr>
                <w:sz w:val="24"/>
                <w:szCs w:val="24"/>
              </w:rPr>
            </w:pPr>
            <w:r>
              <w:rPr>
                <w:rFonts w:hint="eastAsia"/>
                <w:sz w:val="24"/>
                <w:szCs w:val="24"/>
              </w:rPr>
              <w:t>承包商</w:t>
            </w:r>
            <w:r>
              <w:rPr>
                <w:sz w:val="24"/>
                <w:szCs w:val="24"/>
              </w:rPr>
              <w:t>(</w:t>
            </w:r>
            <w:r>
              <w:rPr>
                <w:rFonts w:hint="eastAsia"/>
                <w:sz w:val="24"/>
                <w:szCs w:val="24"/>
              </w:rPr>
              <w:t>公章</w:t>
            </w:r>
            <w:r>
              <w:rPr>
                <w:sz w:val="24"/>
                <w:szCs w:val="24"/>
              </w:rPr>
              <w:t>)</w:t>
            </w:r>
            <w:r>
              <w:rPr>
                <w:rFonts w:hint="eastAsia"/>
                <w:sz w:val="24"/>
                <w:szCs w:val="24"/>
              </w:rPr>
              <w:t>：</w:t>
            </w:r>
          </w:p>
        </w:tc>
        <w:tc>
          <w:tcPr>
            <w:tcW w:w="2841" w:type="dxa"/>
            <w:vAlign w:val="center"/>
          </w:tcPr>
          <w:p>
            <w:pPr>
              <w:spacing w:line="400" w:lineRule="exact"/>
              <w:rPr>
                <w:sz w:val="24"/>
                <w:szCs w:val="24"/>
              </w:rPr>
            </w:pPr>
          </w:p>
        </w:tc>
        <w:tc>
          <w:tcPr>
            <w:tcW w:w="2127" w:type="dxa"/>
            <w:vAlign w:val="center"/>
          </w:tcPr>
          <w:p>
            <w:pPr>
              <w:spacing w:line="400" w:lineRule="exact"/>
              <w:rPr>
                <w:sz w:val="24"/>
                <w:szCs w:val="24"/>
              </w:rPr>
            </w:pPr>
            <w:r>
              <w:rPr>
                <w:rFonts w:hint="eastAsia"/>
                <w:sz w:val="24"/>
                <w:szCs w:val="24"/>
              </w:rPr>
              <w:t>法定代表人或授权代表：</w:t>
            </w:r>
          </w:p>
        </w:tc>
        <w:tc>
          <w:tcPr>
            <w:tcW w:w="2268" w:type="dxa"/>
            <w:vAlign w:val="center"/>
          </w:tcPr>
          <w:p>
            <w:pPr>
              <w:spacing w:line="400" w:lineRule="exact"/>
              <w:rPr>
                <w:sz w:val="24"/>
                <w:szCs w:val="24"/>
                <w:u w:val="single"/>
              </w:rPr>
            </w:pPr>
          </w:p>
        </w:tc>
      </w:tr>
      <w:tr>
        <w:tblPrEx>
          <w:tblCellMar>
            <w:top w:w="0" w:type="dxa"/>
            <w:left w:w="108" w:type="dxa"/>
            <w:bottom w:w="0" w:type="dxa"/>
            <w:right w:w="108" w:type="dxa"/>
          </w:tblCellMar>
        </w:tblPrEx>
        <w:trPr>
          <w:trHeight w:val="1093" w:hRule="atLeast"/>
          <w:jc w:val="center"/>
        </w:trPr>
        <w:tc>
          <w:tcPr>
            <w:tcW w:w="2110" w:type="dxa"/>
            <w:vAlign w:val="center"/>
          </w:tcPr>
          <w:p>
            <w:pPr>
              <w:spacing w:line="400" w:lineRule="exact"/>
              <w:rPr>
                <w:sz w:val="24"/>
                <w:szCs w:val="24"/>
              </w:rPr>
            </w:pPr>
            <w:r>
              <w:rPr>
                <w:rFonts w:hint="eastAsia"/>
                <w:sz w:val="24"/>
                <w:szCs w:val="24"/>
              </w:rPr>
              <w:t>住所：</w:t>
            </w:r>
          </w:p>
        </w:tc>
        <w:tc>
          <w:tcPr>
            <w:tcW w:w="2841" w:type="dxa"/>
            <w:vAlign w:val="center"/>
          </w:tcPr>
          <w:p>
            <w:pPr>
              <w:spacing w:line="400" w:lineRule="exact"/>
              <w:rPr>
                <w:sz w:val="24"/>
                <w:szCs w:val="24"/>
              </w:rPr>
            </w:pPr>
          </w:p>
        </w:tc>
        <w:tc>
          <w:tcPr>
            <w:tcW w:w="2127" w:type="dxa"/>
            <w:vAlign w:val="center"/>
          </w:tcPr>
          <w:p>
            <w:pPr>
              <w:spacing w:line="400" w:lineRule="exact"/>
              <w:rPr>
                <w:sz w:val="24"/>
                <w:szCs w:val="24"/>
              </w:rPr>
            </w:pPr>
          </w:p>
        </w:tc>
        <w:tc>
          <w:tcPr>
            <w:tcW w:w="2268" w:type="dxa"/>
            <w:vAlign w:val="center"/>
          </w:tcPr>
          <w:p>
            <w:pPr>
              <w:spacing w:line="400" w:lineRule="exact"/>
              <w:rPr>
                <w:sz w:val="24"/>
                <w:szCs w:val="24"/>
                <w:u w:val="single"/>
              </w:rPr>
            </w:pPr>
          </w:p>
        </w:tc>
      </w:tr>
      <w:tr>
        <w:tblPrEx>
          <w:tblCellMar>
            <w:top w:w="0" w:type="dxa"/>
            <w:left w:w="108" w:type="dxa"/>
            <w:bottom w:w="0" w:type="dxa"/>
            <w:right w:w="108" w:type="dxa"/>
          </w:tblCellMar>
        </w:tblPrEx>
        <w:trPr>
          <w:trHeight w:val="746" w:hRule="atLeast"/>
          <w:jc w:val="center"/>
        </w:trPr>
        <w:tc>
          <w:tcPr>
            <w:tcW w:w="2110" w:type="dxa"/>
            <w:vAlign w:val="center"/>
          </w:tcPr>
          <w:p>
            <w:pPr>
              <w:spacing w:line="400" w:lineRule="exact"/>
              <w:rPr>
                <w:sz w:val="24"/>
                <w:szCs w:val="24"/>
              </w:rPr>
            </w:pPr>
            <w:r>
              <w:rPr>
                <w:rFonts w:hint="eastAsia"/>
                <w:sz w:val="24"/>
                <w:szCs w:val="24"/>
              </w:rPr>
              <w:t>电话：</w:t>
            </w:r>
          </w:p>
        </w:tc>
        <w:tc>
          <w:tcPr>
            <w:tcW w:w="2841" w:type="dxa"/>
            <w:vAlign w:val="center"/>
          </w:tcPr>
          <w:p>
            <w:pPr>
              <w:spacing w:line="400" w:lineRule="exact"/>
              <w:rPr>
                <w:sz w:val="24"/>
                <w:szCs w:val="24"/>
              </w:rPr>
            </w:pPr>
          </w:p>
        </w:tc>
        <w:tc>
          <w:tcPr>
            <w:tcW w:w="2127" w:type="dxa"/>
            <w:vAlign w:val="center"/>
          </w:tcPr>
          <w:p>
            <w:pPr>
              <w:spacing w:line="400" w:lineRule="exact"/>
              <w:rPr>
                <w:sz w:val="24"/>
                <w:szCs w:val="24"/>
              </w:rPr>
            </w:pPr>
            <w:r>
              <w:rPr>
                <w:rFonts w:hint="eastAsia"/>
                <w:sz w:val="24"/>
                <w:szCs w:val="24"/>
              </w:rPr>
              <w:t>传真：</w:t>
            </w:r>
          </w:p>
        </w:tc>
        <w:tc>
          <w:tcPr>
            <w:tcW w:w="2268" w:type="dxa"/>
            <w:vAlign w:val="center"/>
          </w:tcPr>
          <w:p>
            <w:pPr>
              <w:spacing w:line="400" w:lineRule="exact"/>
              <w:rPr>
                <w:sz w:val="24"/>
                <w:szCs w:val="24"/>
                <w:u w:val="single"/>
              </w:rPr>
            </w:pPr>
          </w:p>
        </w:tc>
      </w:tr>
      <w:tr>
        <w:tblPrEx>
          <w:tblCellMar>
            <w:top w:w="0" w:type="dxa"/>
            <w:left w:w="108" w:type="dxa"/>
            <w:bottom w:w="0" w:type="dxa"/>
            <w:right w:w="108" w:type="dxa"/>
          </w:tblCellMar>
        </w:tblPrEx>
        <w:trPr>
          <w:trHeight w:val="700" w:hRule="atLeast"/>
          <w:jc w:val="center"/>
        </w:trPr>
        <w:tc>
          <w:tcPr>
            <w:tcW w:w="2110" w:type="dxa"/>
            <w:vAlign w:val="center"/>
          </w:tcPr>
          <w:p>
            <w:pPr>
              <w:spacing w:line="400" w:lineRule="exact"/>
              <w:rPr>
                <w:sz w:val="24"/>
                <w:szCs w:val="24"/>
              </w:rPr>
            </w:pPr>
            <w:r>
              <w:rPr>
                <w:rFonts w:hint="eastAsia"/>
                <w:sz w:val="24"/>
                <w:szCs w:val="24"/>
              </w:rPr>
              <w:t>开户银行：</w:t>
            </w:r>
          </w:p>
        </w:tc>
        <w:tc>
          <w:tcPr>
            <w:tcW w:w="2841" w:type="dxa"/>
            <w:vAlign w:val="center"/>
          </w:tcPr>
          <w:p>
            <w:pPr>
              <w:spacing w:line="400" w:lineRule="exact"/>
              <w:rPr>
                <w:sz w:val="24"/>
                <w:szCs w:val="24"/>
              </w:rPr>
            </w:pPr>
          </w:p>
        </w:tc>
        <w:tc>
          <w:tcPr>
            <w:tcW w:w="2127" w:type="dxa"/>
            <w:vAlign w:val="center"/>
          </w:tcPr>
          <w:p>
            <w:pPr>
              <w:spacing w:line="400" w:lineRule="exact"/>
              <w:rPr>
                <w:sz w:val="24"/>
                <w:szCs w:val="24"/>
              </w:rPr>
            </w:pPr>
            <w:r>
              <w:rPr>
                <w:rFonts w:hint="eastAsia"/>
                <w:sz w:val="24"/>
                <w:szCs w:val="24"/>
              </w:rPr>
              <w:t>开户全名：</w:t>
            </w:r>
          </w:p>
        </w:tc>
        <w:tc>
          <w:tcPr>
            <w:tcW w:w="2268" w:type="dxa"/>
            <w:vAlign w:val="center"/>
          </w:tcPr>
          <w:p>
            <w:pPr>
              <w:spacing w:line="400" w:lineRule="exact"/>
              <w:rPr>
                <w:sz w:val="24"/>
                <w:szCs w:val="24"/>
                <w:u w:val="single"/>
              </w:rPr>
            </w:pPr>
          </w:p>
        </w:tc>
      </w:tr>
      <w:tr>
        <w:tblPrEx>
          <w:tblCellMar>
            <w:top w:w="0" w:type="dxa"/>
            <w:left w:w="108" w:type="dxa"/>
            <w:bottom w:w="0" w:type="dxa"/>
            <w:right w:w="108" w:type="dxa"/>
          </w:tblCellMar>
        </w:tblPrEx>
        <w:trPr>
          <w:trHeight w:val="678" w:hRule="atLeast"/>
          <w:jc w:val="center"/>
        </w:trPr>
        <w:tc>
          <w:tcPr>
            <w:tcW w:w="2110" w:type="dxa"/>
            <w:vAlign w:val="center"/>
          </w:tcPr>
          <w:p>
            <w:pPr>
              <w:spacing w:line="400" w:lineRule="exact"/>
              <w:rPr>
                <w:sz w:val="24"/>
                <w:szCs w:val="24"/>
              </w:rPr>
            </w:pPr>
            <w:r>
              <w:rPr>
                <w:rFonts w:hint="eastAsia"/>
                <w:sz w:val="24"/>
                <w:szCs w:val="24"/>
              </w:rPr>
              <w:t>账号：</w:t>
            </w:r>
          </w:p>
        </w:tc>
        <w:tc>
          <w:tcPr>
            <w:tcW w:w="2841" w:type="dxa"/>
            <w:vAlign w:val="center"/>
          </w:tcPr>
          <w:p>
            <w:pPr>
              <w:spacing w:line="400" w:lineRule="exact"/>
              <w:rPr>
                <w:sz w:val="24"/>
                <w:szCs w:val="24"/>
              </w:rPr>
            </w:pPr>
          </w:p>
        </w:tc>
        <w:tc>
          <w:tcPr>
            <w:tcW w:w="2127" w:type="dxa"/>
            <w:vAlign w:val="center"/>
          </w:tcPr>
          <w:p>
            <w:pPr>
              <w:spacing w:line="400" w:lineRule="exact"/>
              <w:rPr>
                <w:sz w:val="24"/>
                <w:szCs w:val="24"/>
              </w:rPr>
            </w:pPr>
            <w:r>
              <w:rPr>
                <w:rFonts w:hint="eastAsia"/>
                <w:sz w:val="24"/>
                <w:szCs w:val="24"/>
              </w:rPr>
              <w:t>邮政编码：</w:t>
            </w:r>
          </w:p>
        </w:tc>
        <w:tc>
          <w:tcPr>
            <w:tcW w:w="2268" w:type="dxa"/>
            <w:vAlign w:val="center"/>
          </w:tcPr>
          <w:p>
            <w:pPr>
              <w:spacing w:line="400" w:lineRule="exact"/>
              <w:rPr>
                <w:sz w:val="24"/>
                <w:szCs w:val="24"/>
                <w:u w:val="single"/>
              </w:rPr>
            </w:pPr>
          </w:p>
        </w:tc>
      </w:tr>
      <w:tr>
        <w:tblPrEx>
          <w:tblCellMar>
            <w:top w:w="0" w:type="dxa"/>
            <w:left w:w="108" w:type="dxa"/>
            <w:bottom w:w="0" w:type="dxa"/>
            <w:right w:w="108" w:type="dxa"/>
          </w:tblCellMar>
        </w:tblPrEx>
        <w:trPr>
          <w:trHeight w:val="1093" w:hRule="atLeast"/>
          <w:jc w:val="center"/>
        </w:trPr>
        <w:tc>
          <w:tcPr>
            <w:tcW w:w="2110" w:type="dxa"/>
            <w:vAlign w:val="center"/>
          </w:tcPr>
          <w:p>
            <w:pPr>
              <w:spacing w:line="400" w:lineRule="exact"/>
              <w:rPr>
                <w:sz w:val="24"/>
                <w:szCs w:val="24"/>
              </w:rPr>
            </w:pPr>
            <w:r>
              <w:rPr>
                <w:rFonts w:hint="eastAsia"/>
                <w:sz w:val="24"/>
                <w:szCs w:val="24"/>
              </w:rPr>
              <w:t>承包商经办人：</w:t>
            </w:r>
          </w:p>
        </w:tc>
        <w:tc>
          <w:tcPr>
            <w:tcW w:w="2841" w:type="dxa"/>
            <w:vAlign w:val="center"/>
          </w:tcPr>
          <w:p>
            <w:pPr>
              <w:spacing w:line="400" w:lineRule="exact"/>
              <w:rPr>
                <w:sz w:val="24"/>
                <w:szCs w:val="24"/>
              </w:rPr>
            </w:pPr>
          </w:p>
        </w:tc>
        <w:tc>
          <w:tcPr>
            <w:tcW w:w="2127" w:type="dxa"/>
            <w:vAlign w:val="center"/>
          </w:tcPr>
          <w:p>
            <w:pPr>
              <w:spacing w:line="400" w:lineRule="exact"/>
              <w:rPr>
                <w:sz w:val="24"/>
                <w:szCs w:val="24"/>
              </w:rPr>
            </w:pPr>
            <w:r>
              <w:rPr>
                <w:rFonts w:hint="eastAsia"/>
                <w:sz w:val="24"/>
                <w:szCs w:val="24"/>
              </w:rPr>
              <w:t>承包商经办人电话：</w:t>
            </w:r>
          </w:p>
        </w:tc>
        <w:tc>
          <w:tcPr>
            <w:tcW w:w="2268" w:type="dxa"/>
            <w:vAlign w:val="center"/>
          </w:tcPr>
          <w:p>
            <w:pPr>
              <w:spacing w:line="400" w:lineRule="exact"/>
              <w:rPr>
                <w:sz w:val="24"/>
                <w:szCs w:val="24"/>
                <w:u w:val="single"/>
              </w:rPr>
            </w:pPr>
          </w:p>
        </w:tc>
      </w:tr>
      <w:tr>
        <w:tblPrEx>
          <w:tblCellMar>
            <w:top w:w="0" w:type="dxa"/>
            <w:left w:w="108" w:type="dxa"/>
            <w:bottom w:w="0" w:type="dxa"/>
            <w:right w:w="108" w:type="dxa"/>
          </w:tblCellMar>
        </w:tblPrEx>
        <w:trPr>
          <w:trHeight w:val="539" w:hRule="atLeast"/>
          <w:jc w:val="center"/>
        </w:trPr>
        <w:tc>
          <w:tcPr>
            <w:tcW w:w="2110" w:type="dxa"/>
            <w:vAlign w:val="center"/>
          </w:tcPr>
          <w:p>
            <w:pPr>
              <w:spacing w:line="400" w:lineRule="exact"/>
              <w:rPr>
                <w:sz w:val="24"/>
                <w:szCs w:val="24"/>
              </w:rPr>
            </w:pPr>
            <w:r>
              <w:rPr>
                <w:rFonts w:hint="eastAsia"/>
                <w:sz w:val="24"/>
                <w:szCs w:val="24"/>
              </w:rPr>
              <w:t>合同签署地点：</w:t>
            </w:r>
          </w:p>
        </w:tc>
        <w:tc>
          <w:tcPr>
            <w:tcW w:w="2841" w:type="dxa"/>
            <w:vAlign w:val="center"/>
          </w:tcPr>
          <w:p>
            <w:pPr>
              <w:spacing w:line="400" w:lineRule="exact"/>
              <w:rPr>
                <w:sz w:val="24"/>
                <w:szCs w:val="24"/>
              </w:rPr>
            </w:pPr>
            <w:r>
              <w:rPr>
                <w:rFonts w:hint="eastAsia"/>
                <w:sz w:val="24"/>
                <w:szCs w:val="24"/>
              </w:rPr>
              <w:t>深圳</w:t>
            </w:r>
          </w:p>
        </w:tc>
        <w:tc>
          <w:tcPr>
            <w:tcW w:w="2127" w:type="dxa"/>
            <w:vAlign w:val="center"/>
          </w:tcPr>
          <w:p>
            <w:pPr>
              <w:spacing w:line="400" w:lineRule="exact"/>
              <w:rPr>
                <w:sz w:val="24"/>
                <w:szCs w:val="24"/>
              </w:rPr>
            </w:pPr>
          </w:p>
        </w:tc>
        <w:tc>
          <w:tcPr>
            <w:tcW w:w="2268" w:type="dxa"/>
            <w:vAlign w:val="center"/>
          </w:tcPr>
          <w:p>
            <w:pPr>
              <w:spacing w:line="400" w:lineRule="exact"/>
              <w:rPr>
                <w:sz w:val="24"/>
                <w:szCs w:val="24"/>
                <w:u w:val="single"/>
              </w:rPr>
            </w:pPr>
          </w:p>
        </w:tc>
      </w:tr>
      <w:tr>
        <w:tblPrEx>
          <w:tblCellMar>
            <w:top w:w="0" w:type="dxa"/>
            <w:left w:w="108" w:type="dxa"/>
            <w:bottom w:w="0" w:type="dxa"/>
            <w:right w:w="108" w:type="dxa"/>
          </w:tblCellMar>
        </w:tblPrEx>
        <w:trPr>
          <w:trHeight w:val="574" w:hRule="atLeast"/>
          <w:jc w:val="center"/>
        </w:trPr>
        <w:tc>
          <w:tcPr>
            <w:tcW w:w="2110" w:type="dxa"/>
            <w:vAlign w:val="center"/>
          </w:tcPr>
          <w:p>
            <w:pPr>
              <w:spacing w:line="400" w:lineRule="exact"/>
              <w:rPr>
                <w:sz w:val="24"/>
                <w:szCs w:val="24"/>
              </w:rPr>
            </w:pPr>
            <w:r>
              <w:rPr>
                <w:rFonts w:hint="eastAsia"/>
                <w:sz w:val="24"/>
                <w:szCs w:val="24"/>
              </w:rPr>
              <w:t>时间：</w:t>
            </w:r>
          </w:p>
        </w:tc>
        <w:tc>
          <w:tcPr>
            <w:tcW w:w="2841" w:type="dxa"/>
            <w:vAlign w:val="center"/>
          </w:tcPr>
          <w:p>
            <w:pPr>
              <w:spacing w:line="400" w:lineRule="exact"/>
              <w:ind w:firstLine="480" w:firstLineChars="200"/>
              <w:rPr>
                <w:sz w:val="24"/>
                <w:szCs w:val="24"/>
              </w:rPr>
            </w:pPr>
            <w:r>
              <w:rPr>
                <w:rFonts w:hint="eastAsia"/>
                <w:sz w:val="24"/>
                <w:szCs w:val="24"/>
              </w:rPr>
              <w:t>年月日</w:t>
            </w:r>
          </w:p>
        </w:tc>
        <w:tc>
          <w:tcPr>
            <w:tcW w:w="2127" w:type="dxa"/>
            <w:vAlign w:val="center"/>
          </w:tcPr>
          <w:p>
            <w:pPr>
              <w:spacing w:line="400" w:lineRule="exact"/>
              <w:rPr>
                <w:sz w:val="24"/>
                <w:szCs w:val="24"/>
              </w:rPr>
            </w:pPr>
          </w:p>
        </w:tc>
        <w:tc>
          <w:tcPr>
            <w:tcW w:w="2268" w:type="dxa"/>
            <w:vAlign w:val="center"/>
          </w:tcPr>
          <w:p>
            <w:pPr>
              <w:spacing w:line="400" w:lineRule="exact"/>
              <w:rPr>
                <w:sz w:val="24"/>
                <w:szCs w:val="24"/>
                <w:u w:val="single"/>
              </w:rPr>
            </w:pPr>
          </w:p>
        </w:tc>
      </w:tr>
    </w:tbl>
    <w:p/>
    <w:sectPr>
      <w:pgSz w:w="11906" w:h="16838"/>
      <w:pgMar w:top="1440" w:right="1440" w:bottom="1440" w:left="1440" w:header="851" w:footer="510"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2MDk1YWM3OTU4ZGU2Yjc2YjljOWNlNjc3MDMwMjAifQ=="/>
  </w:docVars>
  <w:rsids>
    <w:rsidRoot w:val="0E8C3010"/>
    <w:rsid w:val="08053F66"/>
    <w:rsid w:val="0E8C3010"/>
    <w:rsid w:val="46875871"/>
    <w:rsid w:val="57031EFC"/>
    <w:rsid w:val="586310BC"/>
    <w:rsid w:val="5C3D4A1F"/>
    <w:rsid w:val="5D3535CB"/>
    <w:rsid w:val="6EE96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theme="minorBidi"/>
      <w:kern w:val="10"/>
    </w:r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D7F0DB"/>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2022-08-23T02:58:00Z</dcterms:created>
  <dc:creator>H g z</dc:creator>
  <cp:lastModifiedBy>H g z</cp:lastModifiedBy>
  <dcterms:modified xsi:type="dcterms:W3CDTF">2022-08-23T08:37:37Z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B88AA15E315549C79D67CD0A14E65289</vt:lpwstr>
  </property>
</Properties>
</file>