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pacing w:val="36"/>
          <w:sz w:val="44"/>
          <w:szCs w:val="44"/>
        </w:rPr>
      </w:pPr>
      <w:bookmarkStart w:id="0" w:name="法定代表人或其委托代理人封面"/>
    </w:p>
    <w:p>
      <w:pPr>
        <w:spacing w:line="360" w:lineRule="auto"/>
        <w:jc w:val="center"/>
        <w:rPr>
          <w:rFonts w:ascii="宋体" w:hAnsi="宋体"/>
          <w:b/>
          <w:spacing w:val="36"/>
          <w:sz w:val="44"/>
          <w:szCs w:val="44"/>
        </w:rPr>
      </w:pPr>
    </w:p>
    <w:p>
      <w:pPr>
        <w:spacing w:line="360" w:lineRule="auto"/>
        <w:jc w:val="center"/>
        <w:rPr>
          <w:rFonts w:ascii="宋体" w:hAnsi="宋体"/>
          <w:b/>
          <w:bCs/>
          <w:spacing w:val="36"/>
          <w:sz w:val="44"/>
          <w:szCs w:val="44"/>
        </w:rPr>
      </w:pPr>
      <w:r>
        <w:rPr>
          <w:rFonts w:hint="eastAsia" w:ascii="宋体" w:hAnsi="宋体"/>
          <w:b/>
          <w:spacing w:val="36"/>
          <w:sz w:val="44"/>
          <w:szCs w:val="44"/>
        </w:rPr>
        <w:t>深铁集团房地产开发企业一级资质</w:t>
      </w:r>
      <w:r>
        <w:rPr>
          <w:rFonts w:hint="eastAsia" w:ascii="宋体" w:hAnsi="宋体"/>
          <w:b/>
          <w:spacing w:val="36"/>
          <w:sz w:val="44"/>
          <w:szCs w:val="44"/>
          <w:lang w:eastAsia="zh-Hans"/>
        </w:rPr>
        <w:t>申报服务</w:t>
      </w:r>
    </w:p>
    <w:p>
      <w:pPr>
        <w:spacing w:line="360" w:lineRule="auto"/>
        <w:jc w:val="center"/>
        <w:rPr>
          <w:rFonts w:ascii="宋体" w:hAnsi="宋体"/>
          <w:b/>
          <w:sz w:val="2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5"/>
        <w:spacing w:line="360" w:lineRule="auto"/>
        <w:jc w:val="center"/>
        <w:rPr>
          <w:rFonts w:hAnsi="宋体"/>
          <w:sz w:val="23"/>
          <w:szCs w:val="23"/>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napToGrid w:val="0"/>
        <w:spacing w:line="360" w:lineRule="auto"/>
        <w:rPr>
          <w:rFonts w:hAnsi="宋体"/>
          <w:b/>
          <w:bCs/>
          <w:spacing w:val="70"/>
          <w:sz w:val="32"/>
          <w:szCs w:val="32"/>
        </w:rPr>
      </w:pPr>
    </w:p>
    <w:p>
      <w:pPr>
        <w:pStyle w:val="25"/>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lang w:eastAsia="zh-Hans"/>
        </w:rPr>
        <w:t>深圳</w:t>
      </w:r>
      <w:r>
        <w:rPr>
          <w:rFonts w:hint="eastAsia" w:hAnsi="宋体"/>
          <w:b/>
          <w:bCs/>
          <w:sz w:val="36"/>
          <w:szCs w:val="36"/>
          <w:u w:val="single"/>
          <w:lang w:eastAsia="zh-Hans"/>
        </w:rPr>
        <w:t>市地铁</w:t>
      </w:r>
      <w:r>
        <w:rPr>
          <w:rFonts w:hint="eastAsia" w:hAnsi="宋体"/>
          <w:b/>
          <w:bCs/>
          <w:sz w:val="36"/>
          <w:szCs w:val="36"/>
          <w:u w:val="single"/>
        </w:rPr>
        <w:t>集团有限公司</w:t>
      </w:r>
    </w:p>
    <w:p>
      <w:pPr>
        <w:pStyle w:val="25"/>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u w:val="single"/>
          <w:lang w:eastAsia="zh-Hans"/>
        </w:rPr>
        <w:t>辛杰</w:t>
      </w:r>
      <w:r>
        <w:rPr>
          <w:rFonts w:hint="eastAsia" w:hAnsi="宋体"/>
          <w:b/>
          <w:bCs/>
          <w:sz w:val="32"/>
          <w:szCs w:val="32"/>
          <w:u w:val="single"/>
        </w:rPr>
        <w:t xml:space="preserve">          </w:t>
      </w:r>
    </w:p>
    <w:p>
      <w:pPr>
        <w:spacing w:line="360" w:lineRule="auto"/>
        <w:jc w:val="center"/>
        <w:rPr>
          <w:rFonts w:ascii="宋体" w:hAnsi="宋体"/>
          <w:b/>
          <w:bCs/>
          <w:sz w:val="32"/>
          <w:szCs w:val="32"/>
        </w:rPr>
      </w:pPr>
    </w:p>
    <w:p>
      <w:pPr>
        <w:pStyle w:val="48"/>
        <w:ind w:firstLine="643"/>
        <w:rPr>
          <w:rFonts w:ascii="宋体" w:hAnsi="宋体"/>
          <w:b/>
          <w:bCs/>
          <w:sz w:val="32"/>
          <w:szCs w:val="32"/>
        </w:rPr>
      </w:pPr>
    </w:p>
    <w:p>
      <w:pPr>
        <w:pStyle w:val="48"/>
        <w:ind w:firstLine="643"/>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二〇二二年九月</w:t>
      </w:r>
      <w:bookmarkStart w:id="1" w:name="_Toc188623169"/>
      <w:bookmarkStart w:id="2" w:name="_Toc385992323"/>
      <w:bookmarkStart w:id="3" w:name="_Toc389620163"/>
      <w:bookmarkStart w:id="4" w:name="_Toc497549383"/>
      <w:r>
        <w:rPr>
          <w:rFonts w:hint="eastAsia" w:ascii="宋体" w:hAnsi="宋体"/>
          <w:b/>
          <w:sz w:val="36"/>
        </w:rPr>
        <w:t xml:space="preserve"> </w:t>
      </w:r>
      <w:bookmarkEnd w:id="0"/>
      <w:bookmarkEnd w:id="1"/>
      <w:bookmarkStart w:id="5" w:name="_Toc188623172"/>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3"/>
        <w:spacing w:before="240" w:line="360" w:lineRule="auto"/>
        <w:rPr>
          <w:rFonts w:ascii="宋体" w:hAnsi="宋体"/>
          <w:b w:val="0"/>
          <w:sz w:val="44"/>
          <w:szCs w:val="44"/>
        </w:rPr>
      </w:pPr>
      <w:bookmarkStart w:id="6" w:name="_Toc518494113"/>
      <w:bookmarkStart w:id="7" w:name="_Toc372555578"/>
      <w:bookmarkStart w:id="8" w:name="_Toc276575914"/>
      <w:bookmarkStart w:id="9" w:name="_Toc57731942"/>
      <w:bookmarkStart w:id="10" w:name="_Toc197404895"/>
      <w:bookmarkStart w:id="11" w:name="_Toc39758874"/>
      <w:bookmarkStart w:id="12" w:name="_Toc191203192"/>
      <w:bookmarkStart w:id="13" w:name="_Toc372555579"/>
      <w:bookmarkStart w:id="14" w:name="_Toc29995568"/>
      <w:bookmarkStart w:id="15" w:name="_Toc188439083"/>
      <w:bookmarkStart w:id="16" w:name="_Toc402782153"/>
      <w:r>
        <w:rPr>
          <w:rFonts w:hint="eastAsia" w:ascii="宋体" w:hAnsi="宋体"/>
          <w:b w:val="0"/>
          <w:sz w:val="44"/>
          <w:szCs w:val="44"/>
        </w:rPr>
        <w:t>致参选人</w:t>
      </w:r>
      <w:bookmarkEnd w:id="6"/>
      <w:bookmarkEnd w:id="7"/>
      <w:bookmarkEnd w:id="8"/>
      <w:bookmarkEnd w:id="9"/>
      <w:bookmarkEnd w:id="10"/>
    </w:p>
    <w:p>
      <w:pPr>
        <w:pStyle w:val="25"/>
        <w:spacing w:before="240" w:beforeLines="100" w:after="120" w:afterLines="50" w:line="360" w:lineRule="auto"/>
        <w:ind w:firstLine="480" w:firstLineChars="200"/>
        <w:rPr>
          <w:rFonts w:hAnsi="宋体"/>
          <w:sz w:val="24"/>
        </w:rPr>
      </w:pPr>
      <w:r>
        <w:rPr>
          <w:rFonts w:hint="eastAsia" w:hAnsi="宋体"/>
          <w:sz w:val="24"/>
        </w:rPr>
        <w:t>本比选文件是依据有关法律、法规、规章和规范性文件的规定，根据本比选项目的特点和需要编制的。</w:t>
      </w:r>
    </w:p>
    <w:p>
      <w:pPr>
        <w:pStyle w:val="25"/>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r>
        <w:rPr>
          <w:rFonts w:hint="eastAsia" w:hAnsi="宋体"/>
          <w:sz w:val="24"/>
        </w:rPr>
        <w:t>工作内容和基本要求。我们要求参选人必须完全响应本比选文件的实质性内容。</w:t>
      </w:r>
    </w:p>
    <w:p>
      <w:pPr>
        <w:pStyle w:val="25"/>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5"/>
        <w:spacing w:line="360" w:lineRule="auto"/>
        <w:ind w:firstLine="420" w:firstLineChars="175"/>
        <w:rPr>
          <w:rFonts w:hAnsi="宋体"/>
          <w:sz w:val="24"/>
        </w:rPr>
      </w:pPr>
    </w:p>
    <w:p>
      <w:pPr>
        <w:pStyle w:val="25"/>
        <w:spacing w:line="360" w:lineRule="auto"/>
        <w:ind w:firstLine="420" w:firstLineChars="175"/>
        <w:rPr>
          <w:rFonts w:hAnsi="宋体"/>
          <w:sz w:val="24"/>
        </w:rPr>
      </w:pPr>
      <w:r>
        <w:rPr>
          <w:rFonts w:hint="eastAsia" w:hAnsi="宋体"/>
          <w:sz w:val="24"/>
        </w:rPr>
        <w:t>比选人（盖章）：</w:t>
      </w:r>
      <w:r>
        <w:rPr>
          <w:rFonts w:hint="eastAsia" w:hAnsi="宋体"/>
          <w:sz w:val="24"/>
          <w:lang w:eastAsia="zh-Hans"/>
        </w:rPr>
        <w:t>深圳市地铁</w:t>
      </w:r>
      <w:r>
        <w:rPr>
          <w:rFonts w:hint="eastAsia" w:hAnsi="宋体"/>
          <w:sz w:val="24"/>
        </w:rPr>
        <w:t>集团有限公司</w:t>
      </w:r>
    </w:p>
    <w:p>
      <w:pPr>
        <w:pStyle w:val="25"/>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深圳市福田区深南大道6011-8号深铁置业大厦50楼</w:t>
      </w:r>
    </w:p>
    <w:p>
      <w:pPr>
        <w:pStyle w:val="25"/>
        <w:spacing w:line="360" w:lineRule="auto"/>
        <w:ind w:right="94" w:rightChars="45" w:firstLine="420" w:firstLineChars="175"/>
        <w:rPr>
          <w:rFonts w:hAnsi="宋体"/>
          <w:sz w:val="24"/>
        </w:rPr>
      </w:pPr>
      <w:r>
        <w:rPr>
          <w:rFonts w:hint="eastAsia" w:hAnsi="宋体"/>
          <w:sz w:val="24"/>
        </w:rPr>
        <w:t>邮政编码：</w:t>
      </w:r>
    </w:p>
    <w:p>
      <w:pPr>
        <w:pStyle w:val="25"/>
        <w:spacing w:line="360" w:lineRule="auto"/>
        <w:ind w:firstLine="420" w:firstLineChars="175"/>
        <w:rPr>
          <w:rFonts w:hAnsi="宋体"/>
          <w:sz w:val="24"/>
        </w:rPr>
      </w:pPr>
      <w:r>
        <w:rPr>
          <w:rFonts w:hint="eastAsia" w:hAnsi="宋体"/>
          <w:sz w:val="24"/>
        </w:rPr>
        <w:t>联 系 人：</w:t>
      </w:r>
      <w:r>
        <w:rPr>
          <w:rFonts w:hint="eastAsia" w:hAnsi="宋体"/>
          <w:sz w:val="24"/>
          <w:lang w:eastAsia="zh-Hans"/>
        </w:rPr>
        <w:t>周小姐</w:t>
      </w:r>
    </w:p>
    <w:p>
      <w:pPr>
        <w:pStyle w:val="25"/>
        <w:spacing w:line="360" w:lineRule="auto"/>
        <w:ind w:firstLine="420" w:firstLineChars="175"/>
        <w:rPr>
          <w:rFonts w:hAnsi="宋体"/>
          <w:sz w:val="24"/>
        </w:rPr>
      </w:pPr>
      <w:r>
        <w:rPr>
          <w:rFonts w:hint="eastAsia" w:hAnsi="宋体"/>
          <w:sz w:val="24"/>
        </w:rPr>
        <w:t>传真：</w:t>
      </w:r>
    </w:p>
    <w:p>
      <w:pPr>
        <w:pStyle w:val="25"/>
        <w:spacing w:line="360" w:lineRule="auto"/>
        <w:ind w:firstLine="420" w:firstLineChars="175"/>
        <w:rPr>
          <w:rFonts w:hAnsi="宋体"/>
          <w:sz w:val="24"/>
        </w:rPr>
      </w:pPr>
      <w:r>
        <w:rPr>
          <w:rFonts w:hint="eastAsia" w:hAnsi="宋体"/>
          <w:sz w:val="24"/>
        </w:rPr>
        <w:t>联系电话：18673198799</w:t>
      </w:r>
    </w:p>
    <w:p>
      <w:pPr>
        <w:pStyle w:val="25"/>
        <w:spacing w:line="360" w:lineRule="auto"/>
        <w:ind w:firstLine="420" w:firstLineChars="175"/>
        <w:rPr>
          <w:rFonts w:hAnsi="宋体"/>
          <w:sz w:val="24"/>
        </w:rPr>
      </w:pPr>
      <w:r>
        <w:rPr>
          <w:rFonts w:hint="eastAsia" w:hAnsi="宋体"/>
          <w:sz w:val="24"/>
        </w:rPr>
        <w:t>电    邮：</w:t>
      </w:r>
    </w:p>
    <w:p>
      <w:pPr>
        <w:pStyle w:val="25"/>
        <w:spacing w:line="360" w:lineRule="auto"/>
        <w:ind w:firstLine="420" w:firstLineChars="175"/>
        <w:rPr>
          <w:rFonts w:hAnsi="宋体"/>
          <w:sz w:val="24"/>
          <w:u w:val="single"/>
        </w:rPr>
      </w:pPr>
      <w:r>
        <w:rPr>
          <w:rFonts w:hint="eastAsia" w:hAnsi="宋体"/>
          <w:sz w:val="24"/>
        </w:rPr>
        <w:t>日    期：2022年</w:t>
      </w:r>
      <w:r>
        <w:rPr>
          <w:rFonts w:hAnsi="宋体"/>
          <w:sz w:val="24"/>
        </w:rPr>
        <w:t xml:space="preserve">  </w:t>
      </w:r>
      <w:r>
        <w:rPr>
          <w:rFonts w:hint="eastAsia" w:hAnsi="宋体"/>
          <w:sz w:val="24"/>
        </w:rPr>
        <w:t>月XX 日</w:t>
      </w:r>
      <w:bookmarkEnd w:id="11"/>
      <w:bookmarkEnd w:id="12"/>
      <w:bookmarkEnd w:id="13"/>
      <w:bookmarkEnd w:id="14"/>
      <w:bookmarkEnd w:id="15"/>
      <w:bookmarkEnd w:id="16"/>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3"/>
        <w:spacing w:before="240" w:line="360" w:lineRule="auto"/>
        <w:rPr>
          <w:rFonts w:ascii="宋体" w:hAnsi="宋体"/>
          <w:b w:val="0"/>
          <w:sz w:val="44"/>
          <w:szCs w:val="44"/>
        </w:rPr>
      </w:pPr>
      <w:bookmarkStart w:id="17" w:name="_Toc57731943"/>
      <w:bookmarkStart w:id="18" w:name="_Toc518494114"/>
    </w:p>
    <w:p>
      <w:pPr>
        <w:pStyle w:val="3"/>
        <w:spacing w:before="240" w:line="360" w:lineRule="auto"/>
        <w:rPr>
          <w:rFonts w:ascii="宋体" w:hAnsi="宋体"/>
          <w:b w:val="0"/>
          <w:sz w:val="44"/>
          <w:szCs w:val="44"/>
        </w:rPr>
      </w:pPr>
      <w:r>
        <w:rPr>
          <w:rFonts w:hint="eastAsia" w:ascii="宋体" w:hAnsi="宋体"/>
          <w:b w:val="0"/>
          <w:sz w:val="44"/>
          <w:szCs w:val="44"/>
        </w:rPr>
        <w:t>参选文件</w:t>
      </w:r>
      <w:bookmarkStart w:id="19" w:name="OLE_LINK1"/>
      <w:r>
        <w:rPr>
          <w:rFonts w:hint="eastAsia" w:ascii="宋体" w:hAnsi="宋体"/>
          <w:b w:val="0"/>
          <w:sz w:val="44"/>
          <w:szCs w:val="44"/>
        </w:rPr>
        <w:t>无效和废标的情形</w:t>
      </w:r>
      <w:bookmarkEnd w:id="19"/>
      <w:r>
        <w:rPr>
          <w:rFonts w:hint="eastAsia" w:ascii="宋体" w:hAnsi="宋体"/>
          <w:b w:val="0"/>
          <w:sz w:val="44"/>
          <w:szCs w:val="44"/>
        </w:rPr>
        <w:t>摘要</w:t>
      </w:r>
      <w:bookmarkEnd w:id="17"/>
      <w:bookmarkEnd w:id="18"/>
    </w:p>
    <w:p>
      <w:pPr>
        <w:pStyle w:val="25"/>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2.参选文件未按规定编制并加盖参选人公章的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5．参选人的报价超出本项目参选上限价；</w:t>
      </w:r>
    </w:p>
    <w:p>
      <w:pPr>
        <w:spacing w:line="360" w:lineRule="auto"/>
        <w:ind w:left="480"/>
        <w:rPr>
          <w:rFonts w:ascii="宋体" w:hAnsi="宋体"/>
          <w:sz w:val="24"/>
        </w:rPr>
      </w:pPr>
      <w:r>
        <w:rPr>
          <w:rFonts w:hint="eastAsia" w:ascii="宋体" w:hAnsi="宋体"/>
          <w:sz w:val="24"/>
        </w:rPr>
        <w:t>6. 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numPr>
          <w:ilvl w:val="0"/>
          <w:numId w:val="2"/>
        </w:numPr>
        <w:adjustRightInd w:val="0"/>
        <w:snapToGrid w:val="0"/>
        <w:spacing w:line="360" w:lineRule="auto"/>
        <w:ind w:left="0" w:firstLine="480" w:firstLineChars="200"/>
        <w:rPr>
          <w:rFonts w:ascii="宋体" w:hAnsi="宋体"/>
          <w:sz w:val="24"/>
          <w:szCs w:val="24"/>
        </w:rPr>
      </w:pPr>
      <w:bookmarkStart w:id="20" w:name="_Toc57731944"/>
      <w:bookmarkStart w:id="21" w:name="_Toc434234570"/>
      <w:r>
        <w:rPr>
          <w:rFonts w:hint="eastAsia" w:ascii="宋体" w:hAnsi="宋体"/>
          <w:sz w:val="24"/>
          <w:szCs w:val="24"/>
        </w:rPr>
        <w:t>参选人以他人的名义参选或出现串通参选、弄虚作假情形的：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不同参选人的参选文件相互混装的；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255"/>
          <w:numId w:val="0"/>
        </w:numPr>
        <w:adjustRightInd w:val="0"/>
        <w:snapToGrid w:val="0"/>
        <w:spacing w:line="360" w:lineRule="auto"/>
        <w:ind w:left="420" w:leftChars="200"/>
        <w:rPr>
          <w:rFonts w:ascii="宋体" w:hAnsi="宋体"/>
          <w:sz w:val="24"/>
          <w:szCs w:val="24"/>
        </w:rPr>
      </w:pPr>
      <w:r>
        <w:rPr>
          <w:rFonts w:hint="eastAsia" w:ascii="宋体" w:hAnsi="宋体"/>
          <w:sz w:val="24"/>
          <w:szCs w:val="24"/>
        </w:rPr>
        <w:t>10. 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当参选人出现上述10条的情形时，比选人将该参选人列入比选人不良诚信行为名录，并保留对外公示的权利。</w:t>
      </w:r>
    </w:p>
    <w:p>
      <w:pPr>
        <w:adjustRightInd w:val="0"/>
        <w:snapToGrid w:val="0"/>
        <w:spacing w:line="360" w:lineRule="auto"/>
        <w:ind w:left="480"/>
        <w:rPr>
          <w:rFonts w:ascii="宋体" w:hAnsi="宋体"/>
          <w:b/>
          <w:color w:val="0D0D0D"/>
          <w:sz w:val="24"/>
        </w:rPr>
      </w:pPr>
      <w:r>
        <w:rPr>
          <w:rFonts w:hint="eastAsia" w:ascii="宋体" w:hAnsi="宋体"/>
          <w:b/>
          <w:color w:val="0D0D0D"/>
          <w:sz w:val="24"/>
        </w:rPr>
        <w:t>四</w:t>
      </w:r>
      <w:r>
        <w:rPr>
          <w:rFonts w:ascii="宋体" w:hAnsi="宋体"/>
          <w:b/>
          <w:color w:val="0D0D0D"/>
          <w:sz w:val="24"/>
        </w:rPr>
        <w:t>、本项目不接受有下列情形之一的企业或从业人员参选：</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1</w:t>
      </w:r>
      <w:r>
        <w:rPr>
          <w:rFonts w:hint="eastAsia" w:ascii="宋体" w:hAnsi="宋体"/>
          <w:color w:val="0D0D0D"/>
          <w:sz w:val="24"/>
        </w:rPr>
        <w:t>、</w:t>
      </w:r>
      <w:r>
        <w:rPr>
          <w:rFonts w:ascii="宋体" w:hAnsi="宋体"/>
          <w:color w:val="0D0D0D"/>
          <w:sz w:val="24"/>
        </w:rPr>
        <w:t>2019</w:t>
      </w:r>
      <w:r>
        <w:rPr>
          <w:rFonts w:hint="eastAsia" w:ascii="宋体" w:hAnsi="宋体"/>
          <w:color w:val="0D0D0D"/>
          <w:sz w:val="24"/>
        </w:rPr>
        <w:t>年</w:t>
      </w:r>
      <w:r>
        <w:rPr>
          <w:rFonts w:hint="eastAsia" w:ascii="宋体" w:hAnsi="宋体"/>
          <w:color w:val="0D0D0D"/>
          <w:sz w:val="24"/>
          <w:lang w:val="en-US" w:eastAsia="zh-CN"/>
        </w:rPr>
        <w:t>7</w:t>
      </w:r>
      <w:r>
        <w:rPr>
          <w:rFonts w:ascii="宋体" w:hAnsi="宋体"/>
          <w:color w:val="0D0D0D"/>
          <w:sz w:val="24"/>
        </w:rPr>
        <w:t>月1日以来，有串通参选不良行为记录或涉嫌串通参选，并正在接受城市主管部门调查的参选申请人；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0D0D0D"/>
          <w:sz w:val="24"/>
        </w:rPr>
      </w:pPr>
      <w:r>
        <w:rPr>
          <w:rFonts w:ascii="宋体" w:hAnsi="宋体"/>
          <w:color w:val="0D0D0D"/>
          <w:sz w:val="24"/>
        </w:rPr>
        <w:t>2</w:t>
      </w:r>
      <w:r>
        <w:rPr>
          <w:rFonts w:hint="eastAsia" w:ascii="宋体" w:hAnsi="宋体"/>
          <w:color w:val="0D0D0D"/>
          <w:sz w:val="24"/>
        </w:rPr>
        <w:t>、</w:t>
      </w:r>
      <w:r>
        <w:rPr>
          <w:rFonts w:ascii="宋体" w:hAnsi="宋体"/>
          <w:color w:val="0D0D0D"/>
          <w:sz w:val="24"/>
        </w:rPr>
        <w:t>2019年</w:t>
      </w:r>
      <w:r>
        <w:rPr>
          <w:rFonts w:hint="eastAsia" w:ascii="宋体" w:hAnsi="宋体"/>
          <w:color w:val="0D0D0D"/>
          <w:sz w:val="24"/>
          <w:lang w:val="en-US" w:eastAsia="zh-CN"/>
        </w:rPr>
        <w:t>7</w:t>
      </w:r>
      <w:r>
        <w:rPr>
          <w:rFonts w:ascii="宋体" w:hAnsi="宋体"/>
          <w:color w:val="0D0D0D"/>
          <w:sz w:val="24"/>
        </w:rPr>
        <w:t>月1日以来，在深圳市地铁集团有限公司或下属单位合同履约评价考核等级</w:t>
      </w:r>
      <w:r>
        <w:rPr>
          <w:rFonts w:hint="eastAsia" w:ascii="宋体" w:hAnsi="宋体"/>
          <w:color w:val="0D0D0D"/>
          <w:sz w:val="24"/>
          <w:lang w:val="en-US" w:eastAsia="zh-CN"/>
        </w:rPr>
        <w:t>不合格或者等级</w:t>
      </w:r>
      <w:r>
        <w:rPr>
          <w:rFonts w:ascii="宋体" w:hAnsi="宋体"/>
          <w:color w:val="0D0D0D"/>
          <w:sz w:val="24"/>
        </w:rPr>
        <w:t>为D的参选申请人不得参选。</w:t>
      </w:r>
    </w:p>
    <w:p>
      <w:pPr>
        <w:adjustRightInd w:val="0"/>
        <w:snapToGrid w:val="0"/>
        <w:spacing w:line="360" w:lineRule="auto"/>
        <w:ind w:left="482"/>
        <w:rPr>
          <w:rFonts w:ascii="宋体" w:hAnsi="宋体"/>
          <w:color w:val="0D0D0D"/>
          <w:sz w:val="24"/>
        </w:rPr>
      </w:pPr>
      <w:r>
        <w:rPr>
          <w:rFonts w:ascii="宋体" w:hAnsi="宋体"/>
          <w:color w:val="0D0D0D"/>
          <w:sz w:val="24"/>
        </w:rPr>
        <w:t>3、联合体参选申请人。</w:t>
      </w:r>
    </w:p>
    <w:p>
      <w:pPr>
        <w:pStyle w:val="48"/>
      </w:pPr>
    </w:p>
    <w:p>
      <w:pPr>
        <w:pStyle w:val="4"/>
        <w:spacing w:line="360" w:lineRule="auto"/>
        <w:jc w:val="both"/>
        <w:rPr>
          <w:rFonts w:ascii="宋体" w:hAnsi="宋体" w:eastAsia="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48"/>
        <w:spacing w:line="360" w:lineRule="auto"/>
        <w:ind w:left="0" w:leftChars="0" w:firstLine="0" w:firstLineChars="0"/>
      </w:pPr>
    </w:p>
    <w:p>
      <w:pPr>
        <w:pStyle w:val="48"/>
        <w:spacing w:line="360" w:lineRule="auto"/>
        <w:ind w:left="0" w:leftChars="0" w:firstLine="0" w:firstLineChars="0"/>
      </w:pPr>
    </w:p>
    <w:p>
      <w:pPr>
        <w:pStyle w:val="4"/>
        <w:spacing w:line="360" w:lineRule="auto"/>
        <w:rPr>
          <w:rFonts w:ascii="宋体" w:hAnsi="宋体" w:eastAsia="宋体"/>
          <w:b/>
          <w:sz w:val="44"/>
          <w:szCs w:val="44"/>
        </w:rPr>
      </w:pPr>
      <w:r>
        <w:rPr>
          <w:rFonts w:hint="eastAsia" w:ascii="宋体" w:hAnsi="宋体" w:eastAsia="宋体"/>
          <w:b/>
          <w:sz w:val="44"/>
          <w:szCs w:val="44"/>
        </w:rPr>
        <w:t>比选公告</w:t>
      </w:r>
      <w:bookmarkEnd w:id="20"/>
      <w:bookmarkEnd w:id="21"/>
    </w:p>
    <w:p>
      <w:pPr>
        <w:pStyle w:val="25"/>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r>
        <w:rPr>
          <w:rFonts w:hint="eastAsia" w:hAnsi="宋体"/>
          <w:b/>
          <w:sz w:val="24"/>
          <w:szCs w:val="24"/>
        </w:rPr>
        <w:t>（以下简称“本项目”）</w:t>
      </w:r>
      <w:r>
        <w:rPr>
          <w:rFonts w:hint="eastAsia" w:hAnsi="宋体"/>
          <w:sz w:val="24"/>
          <w:szCs w:val="24"/>
        </w:rPr>
        <w:t>进行公开比选，欢迎符合本比选公告公布资质要求的参选</w:t>
      </w:r>
      <w:r>
        <w:rPr>
          <w:rFonts w:hAnsi="宋体"/>
          <w:sz w:val="24"/>
          <w:szCs w:val="24"/>
        </w:rPr>
        <w:t>人</w:t>
      </w:r>
      <w:r>
        <w:rPr>
          <w:rFonts w:hint="eastAsia" w:hAnsi="宋体"/>
          <w:sz w:val="24"/>
          <w:szCs w:val="24"/>
        </w:rPr>
        <w:t>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22" w:name="_Toc57731945"/>
      <w:r>
        <w:rPr>
          <w:rFonts w:hint="eastAsia" w:ascii="宋体" w:hAnsi="宋体"/>
          <w:b/>
          <w:kern w:val="0"/>
          <w:sz w:val="24"/>
          <w:szCs w:val="24"/>
        </w:rPr>
        <w:t>一、项目名称</w:t>
      </w:r>
      <w:bookmarkEnd w:id="22"/>
    </w:p>
    <w:p>
      <w:pPr>
        <w:spacing w:line="360" w:lineRule="auto"/>
        <w:ind w:firstLine="482" w:firstLineChars="200"/>
        <w:rPr>
          <w:rFonts w:ascii="宋体" w:hAnsi="宋体"/>
          <w:sz w:val="24"/>
          <w:szCs w:val="24"/>
        </w:rPr>
      </w:pPr>
      <w:bookmarkStart w:id="23" w:name="_Toc57731946"/>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r>
        <w:rPr>
          <w:rFonts w:hint="eastAsia" w:hAnsi="宋体"/>
          <w:sz w:val="24"/>
          <w:szCs w:val="24"/>
        </w:rPr>
        <w:t>。</w:t>
      </w:r>
    </w:p>
    <w:p>
      <w:pPr>
        <w:numPr>
          <w:ilvl w:val="0"/>
          <w:numId w:val="3"/>
        </w:numPr>
        <w:spacing w:line="360" w:lineRule="auto"/>
        <w:ind w:left="479" w:leftChars="228"/>
        <w:rPr>
          <w:rFonts w:ascii="宋体" w:hAnsi="宋体"/>
          <w:b/>
          <w:kern w:val="0"/>
          <w:sz w:val="24"/>
          <w:szCs w:val="24"/>
        </w:rPr>
      </w:pPr>
      <w:r>
        <w:rPr>
          <w:rFonts w:hint="eastAsia" w:ascii="宋体" w:hAnsi="宋体"/>
          <w:b/>
          <w:kern w:val="0"/>
          <w:sz w:val="24"/>
          <w:szCs w:val="24"/>
        </w:rPr>
        <w:t>项目概况</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目前深铁集团为房地产开发二级资质企业，已具备业绩方面一级资质的申请条件。现开展升级房地产开发企业一级资质的申报工作。</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一级资质的审批流程为广东省住建厅初审，国家住建部终审。材料分为纸质材料和网上系统提报两个部分。需提供的材料包括但不限于：</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1.已竣工项目的投资计划批准（备案）文件、国有土地使用权证、建设用地规划许可证、建设工程规划许可证、建筑工程施工许可证、商品房预售许可证、建设工程竣工验收备案文件。</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2.在建项目建设进度说明，在建项目的投资计划批准（备案）文件、国有土地使用权证、建设用地规划许可证、建设工程规划许可证、建筑工程施工许可证、商品房预售许可证。</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3.企业工程技术、财务、统计等业务负责人的任职文件、职称证书和身份证，建筑、结构、财务、房地产及有关经济类的专业管理人员的最近6个月以上的社会保险缴纳凭证。</w:t>
      </w:r>
    </w:p>
    <w:p>
      <w:pPr>
        <w:adjustRightInd w:val="0"/>
        <w:snapToGrid w:val="0"/>
        <w:spacing w:line="360" w:lineRule="auto"/>
        <w:ind w:firstLine="480" w:firstLineChars="200"/>
        <w:rPr>
          <w:rFonts w:ascii="宋体" w:hAnsi="宋体"/>
          <w:color w:val="0D0D0D"/>
          <w:sz w:val="24"/>
        </w:rPr>
      </w:pPr>
      <w:r>
        <w:rPr>
          <w:rFonts w:hint="eastAsia" w:ascii="宋体" w:hAnsi="宋体"/>
          <w:color w:val="0D0D0D"/>
          <w:sz w:val="24"/>
        </w:rPr>
        <w:t>4.上年度资产负债表、关于企业上年度财务状况的承诺书、完善的质量保证体系执行情况说明、《住宅质量保证书》和《住宅使用说明书》样本等材料。</w:t>
      </w:r>
    </w:p>
    <w:p>
      <w:pPr>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3"/>
      <w:bookmarkStart w:id="24" w:name="_Toc57731947"/>
    </w:p>
    <w:p>
      <w:pPr>
        <w:spacing w:line="360" w:lineRule="auto"/>
        <w:ind w:firstLine="480" w:firstLineChars="200"/>
        <w:rPr>
          <w:rFonts w:hAnsi="宋体"/>
          <w:bCs/>
          <w:color w:val="0D0D0D"/>
          <w:sz w:val="24"/>
          <w:szCs w:val="22"/>
        </w:rPr>
      </w:pPr>
      <w:r>
        <w:rPr>
          <w:rFonts w:hint="eastAsia" w:hAnsi="宋体"/>
          <w:bCs/>
          <w:color w:val="0D0D0D"/>
          <w:sz w:val="24"/>
          <w:szCs w:val="22"/>
        </w:rPr>
        <w:t xml:space="preserve">比选范围包括但不限于： </w:t>
      </w:r>
    </w:p>
    <w:p>
      <w:pPr>
        <w:spacing w:line="360" w:lineRule="auto"/>
        <w:ind w:firstLine="480" w:firstLineChars="200"/>
        <w:rPr>
          <w:rFonts w:ascii="宋体" w:hAnsi="宋体"/>
          <w:b/>
          <w:kern w:val="0"/>
          <w:sz w:val="24"/>
          <w:szCs w:val="24"/>
        </w:rPr>
      </w:pPr>
      <w:r>
        <w:rPr>
          <w:rFonts w:hint="eastAsia" w:hAnsi="宋体"/>
          <w:bCs/>
          <w:color w:val="0D0D0D"/>
          <w:sz w:val="24"/>
          <w:szCs w:val="22"/>
        </w:rPr>
        <w:t>搜集、汇总及整理房地产开发资质申报的相关文件资料，包括但不限于公司治理文件、任职文件、开发业绩情况、项目投资情况、专业人员职称情况等；并于国家住建部最近评审批次上会前上报开发资质核准资料，在甲方规定时限内为深圳市地铁集团有限公司取得房地产开发企业一级资质；制作、填写线上线下相关资质申报材料，整理、制作线上线下全套资质申报材料，并根据收文单位要求与甲方指令，及时跟进申报材料的完善与修订工作；代为交接、领取房地产开发企业资质申报过程中的往来文件和资质核准许可文件；代表甲方协调相关主管部门、单位的沟通工作。</w:t>
      </w:r>
    </w:p>
    <w:p>
      <w:pPr>
        <w:spacing w:line="360" w:lineRule="auto"/>
        <w:ind w:firstLine="482" w:firstLineChars="200"/>
        <w:rPr>
          <w:rFonts w:ascii="宋体" w:hAnsi="宋体"/>
          <w:b/>
          <w:kern w:val="0"/>
          <w:sz w:val="24"/>
          <w:szCs w:val="24"/>
        </w:rPr>
      </w:pPr>
      <w:r>
        <w:rPr>
          <w:rFonts w:hint="eastAsia" w:ascii="宋体" w:hAnsi="宋体"/>
          <w:b/>
          <w:kern w:val="0"/>
          <w:sz w:val="24"/>
          <w:szCs w:val="24"/>
        </w:rPr>
        <w:t>四、比选控制价格</w:t>
      </w:r>
      <w:bookmarkEnd w:id="24"/>
    </w:p>
    <w:p>
      <w:pPr>
        <w:pStyle w:val="25"/>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Ansi="宋体"/>
          <w:b/>
          <w:bCs/>
          <w:sz w:val="24"/>
          <w:szCs w:val="24"/>
          <w:u w:val="single"/>
        </w:rPr>
        <w:t>120</w:t>
      </w:r>
      <w:r>
        <w:rPr>
          <w:rFonts w:hint="eastAsia" w:hAnsi="宋体"/>
          <w:b/>
          <w:bCs/>
          <w:sz w:val="24"/>
          <w:szCs w:val="24"/>
          <w:u w:val="single"/>
        </w:rPr>
        <w:t>万元（含税）</w:t>
      </w:r>
      <w:r>
        <w:rPr>
          <w:rFonts w:hint="eastAsia" w:hAnsi="宋体"/>
          <w:sz w:val="24"/>
          <w:szCs w:val="24"/>
        </w:rPr>
        <w:t>。参选人报价高于总额最高上限价将作为无效标处理。</w:t>
      </w:r>
    </w:p>
    <w:p>
      <w:pPr>
        <w:pStyle w:val="25"/>
        <w:numPr>
          <w:ilvl w:val="0"/>
          <w:numId w:val="4"/>
        </w:numPr>
        <w:spacing w:line="360" w:lineRule="auto"/>
        <w:ind w:firstLine="482" w:firstLineChars="200"/>
        <w:rPr>
          <w:rFonts w:hAnsi="宋体"/>
          <w:b/>
          <w:color w:val="0D0D0D"/>
          <w:sz w:val="24"/>
          <w:szCs w:val="22"/>
        </w:rPr>
      </w:pPr>
      <w:bookmarkStart w:id="25" w:name="_Toc57731948"/>
      <w:r>
        <w:rPr>
          <w:rFonts w:hint="eastAsia" w:hAnsi="宋体"/>
          <w:b/>
          <w:sz w:val="24"/>
          <w:szCs w:val="24"/>
        </w:rPr>
        <w:t>参选人资格要求</w:t>
      </w:r>
      <w:bookmarkEnd w:id="25"/>
      <w:bookmarkStart w:id="26" w:name="_Toc57731949"/>
    </w:p>
    <w:p>
      <w:pPr>
        <w:spacing w:line="360" w:lineRule="auto"/>
        <w:ind w:firstLine="480" w:firstLineChars="200"/>
        <w:rPr>
          <w:rFonts w:hAnsi="宋体"/>
          <w:bCs/>
          <w:color w:val="0D0D0D"/>
          <w:sz w:val="24"/>
          <w:szCs w:val="22"/>
        </w:rPr>
      </w:pPr>
      <w:r>
        <w:rPr>
          <w:rFonts w:hint="eastAsia" w:hAnsi="宋体"/>
          <w:bCs/>
          <w:color w:val="0D0D0D"/>
          <w:sz w:val="24"/>
          <w:szCs w:val="22"/>
        </w:rPr>
        <w:t>（一）参选人资质要求：参选单位必须是在中华人民共和国境内依法注册的具备法人资格的企业,需于2019年</w:t>
      </w:r>
      <w:r>
        <w:rPr>
          <w:rFonts w:hint="eastAsia" w:hAnsi="宋体"/>
          <w:bCs/>
          <w:color w:val="0D0D0D"/>
          <w:sz w:val="24"/>
          <w:szCs w:val="22"/>
          <w:lang w:val="en-US" w:eastAsia="zh-CN"/>
        </w:rPr>
        <w:t>7</w:t>
      </w:r>
      <w:r>
        <w:rPr>
          <w:rFonts w:hint="eastAsia" w:hAnsi="宋体"/>
          <w:bCs/>
          <w:color w:val="0D0D0D"/>
          <w:sz w:val="24"/>
          <w:szCs w:val="22"/>
        </w:rPr>
        <w:t>月1日之前成立。</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（二）参选人业绩要求：提供2019年</w:t>
      </w:r>
      <w:r>
        <w:rPr>
          <w:rFonts w:hint="eastAsia" w:hAnsi="宋体"/>
          <w:bCs/>
          <w:color w:val="0D0D0D"/>
          <w:sz w:val="24"/>
          <w:szCs w:val="22"/>
          <w:lang w:val="en-US" w:eastAsia="zh-CN"/>
        </w:rPr>
        <w:t>7</w:t>
      </w:r>
      <w:r>
        <w:rPr>
          <w:rFonts w:hint="eastAsia" w:hAnsi="宋体"/>
          <w:bCs/>
          <w:color w:val="0D0D0D"/>
          <w:sz w:val="24"/>
          <w:szCs w:val="22"/>
        </w:rPr>
        <w:t>月1日之后，深圳市房地产开发企业一级资质办理成功案例一个，提供合同关键页及一级资质办理成功相关证明复印件（时间以合同签订时间为准，复印件加盖公章，原件备查）。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w:t>
      </w:r>
      <w:r>
        <w:rPr>
          <w:rFonts w:hint="eastAsia" w:hAnsi="宋体"/>
          <w:bCs/>
          <w:color w:val="0D0D0D"/>
          <w:sz w:val="24"/>
          <w:szCs w:val="22"/>
          <w:lang w:eastAsia="zh-Hans"/>
        </w:rPr>
        <w:t>三</w:t>
      </w:r>
      <w:r>
        <w:rPr>
          <w:rFonts w:hint="eastAsia" w:hAnsi="宋体"/>
          <w:bCs/>
          <w:color w:val="0D0D0D"/>
          <w:sz w:val="24"/>
          <w:szCs w:val="22"/>
        </w:rPr>
        <w:t>）2019年</w:t>
      </w:r>
      <w:r>
        <w:rPr>
          <w:rFonts w:hint="eastAsia" w:hAnsi="宋体"/>
          <w:bCs/>
          <w:color w:val="0D0D0D"/>
          <w:sz w:val="24"/>
          <w:szCs w:val="22"/>
          <w:lang w:val="en-US" w:eastAsia="zh-CN"/>
        </w:rPr>
        <w:t>7</w:t>
      </w:r>
      <w:r>
        <w:rPr>
          <w:rFonts w:hint="eastAsia" w:hAnsi="宋体"/>
          <w:bCs/>
          <w:color w:val="0D0D0D"/>
          <w:sz w:val="24"/>
          <w:szCs w:val="22"/>
        </w:rPr>
        <w:t>月1日以来，有串通参选不良行为记录或涉嫌串通参选，并正在接受城市主管部门调查的参选申请人不得参选。</w:t>
      </w:r>
    </w:p>
    <w:p>
      <w:pPr>
        <w:spacing w:line="360" w:lineRule="auto"/>
        <w:ind w:firstLine="480" w:firstLineChars="200"/>
        <w:rPr>
          <w:rFonts w:hAnsi="宋体"/>
          <w:bCs/>
          <w:color w:val="0D0D0D"/>
          <w:sz w:val="24"/>
          <w:szCs w:val="22"/>
          <w:highlight w:val="none"/>
        </w:rPr>
      </w:pPr>
      <w:r>
        <w:rPr>
          <w:rFonts w:hint="eastAsia" w:hAnsi="宋体"/>
          <w:bCs/>
          <w:color w:val="0D0D0D"/>
          <w:sz w:val="24"/>
          <w:szCs w:val="22"/>
          <w:highlight w:val="none"/>
        </w:rPr>
        <w:t>（</w:t>
      </w:r>
      <w:r>
        <w:rPr>
          <w:rFonts w:hint="eastAsia" w:hAnsi="宋体"/>
          <w:bCs/>
          <w:color w:val="0D0D0D"/>
          <w:sz w:val="24"/>
          <w:szCs w:val="22"/>
          <w:highlight w:val="none"/>
          <w:lang w:eastAsia="zh-Hans"/>
        </w:rPr>
        <w:t>四</w:t>
      </w:r>
      <w:r>
        <w:rPr>
          <w:rFonts w:hint="eastAsia" w:hAnsi="宋体"/>
          <w:bCs/>
          <w:color w:val="0D0D0D"/>
          <w:sz w:val="24"/>
          <w:szCs w:val="22"/>
          <w:highlight w:val="none"/>
        </w:rPr>
        <w:t>）2019年</w:t>
      </w:r>
      <w:r>
        <w:rPr>
          <w:rFonts w:hint="eastAsia" w:hAnsi="宋体"/>
          <w:bCs/>
          <w:color w:val="0D0D0D"/>
          <w:sz w:val="24"/>
          <w:szCs w:val="22"/>
          <w:highlight w:val="none"/>
          <w:lang w:val="en-US" w:eastAsia="zh-CN"/>
        </w:rPr>
        <w:t>7</w:t>
      </w:r>
      <w:r>
        <w:rPr>
          <w:rFonts w:hint="eastAsia" w:hAnsi="宋体"/>
          <w:bCs/>
          <w:color w:val="0D0D0D"/>
          <w:sz w:val="24"/>
          <w:szCs w:val="22"/>
          <w:highlight w:val="none"/>
        </w:rPr>
        <w:t>月1日以来，在深圳市地铁集团有限公司或下属单位合同履约评价考核等级不合格</w:t>
      </w:r>
      <w:r>
        <w:rPr>
          <w:rFonts w:hint="eastAsia" w:hAnsi="宋体"/>
          <w:bCs/>
          <w:color w:val="0D0D0D"/>
          <w:sz w:val="24"/>
          <w:szCs w:val="22"/>
          <w:highlight w:val="none"/>
          <w:lang w:val="en-US" w:eastAsia="zh-CN"/>
        </w:rPr>
        <w:t>或者等级为D</w:t>
      </w:r>
      <w:r>
        <w:rPr>
          <w:rFonts w:hint="eastAsia" w:hAnsi="宋体"/>
          <w:bCs/>
          <w:color w:val="0D0D0D"/>
          <w:sz w:val="24"/>
          <w:szCs w:val="22"/>
          <w:highlight w:val="none"/>
        </w:rPr>
        <w:t>的参选申请人不得参选。</w:t>
      </w:r>
    </w:p>
    <w:p>
      <w:pPr>
        <w:spacing w:line="360" w:lineRule="auto"/>
        <w:ind w:firstLine="480" w:firstLineChars="200"/>
        <w:rPr>
          <w:rFonts w:hAnsi="宋体"/>
          <w:bCs/>
          <w:color w:val="0D0D0D"/>
          <w:sz w:val="24"/>
          <w:szCs w:val="22"/>
          <w:highlight w:val="none"/>
        </w:rPr>
      </w:pPr>
      <w:r>
        <w:rPr>
          <w:rFonts w:hint="eastAsia" w:hAnsi="宋体"/>
          <w:bCs/>
          <w:color w:val="0D0D0D"/>
          <w:sz w:val="24"/>
          <w:szCs w:val="22"/>
          <w:highlight w:val="none"/>
        </w:rPr>
        <w:t>（</w:t>
      </w:r>
      <w:r>
        <w:rPr>
          <w:rFonts w:hint="eastAsia" w:hAnsi="宋体"/>
          <w:bCs/>
          <w:color w:val="0D0D0D"/>
          <w:sz w:val="24"/>
          <w:szCs w:val="22"/>
          <w:highlight w:val="none"/>
          <w:lang w:val="en-US" w:eastAsia="zh-CN"/>
        </w:rPr>
        <w:t>五</w:t>
      </w:r>
      <w:r>
        <w:rPr>
          <w:rFonts w:hint="eastAsia" w:hAnsi="宋体"/>
          <w:bCs/>
          <w:color w:val="0D0D0D"/>
          <w:sz w:val="24"/>
          <w:szCs w:val="22"/>
          <w:highlight w:val="none"/>
        </w:rPr>
        <w:t>）不接受联合体投标。</w:t>
      </w:r>
    </w:p>
    <w:p>
      <w:pPr>
        <w:spacing w:line="360" w:lineRule="auto"/>
        <w:ind w:firstLine="482" w:firstLineChars="200"/>
        <w:rPr>
          <w:rFonts w:ascii="宋体" w:hAnsi="宋体"/>
          <w:b/>
          <w:kern w:val="0"/>
          <w:sz w:val="24"/>
          <w:szCs w:val="24"/>
        </w:rPr>
      </w:pPr>
      <w:r>
        <w:rPr>
          <w:rFonts w:hint="eastAsia" w:ascii="宋体" w:hAnsi="宋体"/>
          <w:b/>
          <w:kern w:val="0"/>
          <w:sz w:val="24"/>
          <w:szCs w:val="24"/>
        </w:rPr>
        <w:t>六、参选时间、地点</w:t>
      </w:r>
      <w:bookmarkEnd w:id="26"/>
    </w:p>
    <w:tbl>
      <w:tblPr>
        <w:tblStyle w:val="49"/>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bookmarkStart w:id="27" w:name="_Toc57731950"/>
            <w:r>
              <w:rPr>
                <w:rFonts w:hint="eastAsia" w:ascii="宋体" w:hAnsi="宋体"/>
                <w:color w:val="0C0C0C"/>
                <w:sz w:val="24"/>
                <w:szCs w:val="24"/>
              </w:rPr>
              <w:t>序号</w:t>
            </w:r>
          </w:p>
        </w:tc>
        <w:tc>
          <w:tcPr>
            <w:tcW w:w="860"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color w:val="000000" w:themeColor="text1"/>
                <w:kern w:val="0"/>
                <w:sz w:val="24"/>
                <w:szCs w:val="24"/>
                <w:highlight w:val="none"/>
                <w14:textFill>
                  <w14:solidFill>
                    <w14:schemeClr w14:val="tx1"/>
                  </w14:solidFill>
                </w14:textFill>
              </w:rPr>
              <w:t>暂定202</w:t>
            </w:r>
            <w:r>
              <w:rPr>
                <w:rFonts w:ascii="宋体" w:hAnsi="宋体"/>
                <w:color w:val="000000" w:themeColor="text1"/>
                <w:kern w:val="0"/>
                <w:sz w:val="24"/>
                <w:szCs w:val="24"/>
                <w:highlight w:val="none"/>
                <w14:textFill>
                  <w14:solidFill>
                    <w14:schemeClr w14:val="tx1"/>
                  </w14:solidFill>
                </w14:textFill>
              </w:rPr>
              <w:t>2</w:t>
            </w:r>
            <w:r>
              <w:rPr>
                <w:rFonts w:hint="eastAsia" w:ascii="宋体" w:hAnsi="宋体"/>
                <w:color w:val="000000" w:themeColor="text1"/>
                <w:kern w:val="0"/>
                <w:sz w:val="24"/>
                <w:szCs w:val="24"/>
                <w:highlight w:val="none"/>
                <w:lang w:eastAsia="zh-Hans"/>
                <w14:textFill>
                  <w14:solidFill>
                    <w14:schemeClr w14:val="tx1"/>
                  </w14:solidFill>
                </w14:textFill>
              </w:rPr>
              <w:t>年</w:t>
            </w:r>
            <w:r>
              <w:rPr>
                <w:rFonts w:hint="eastAsia" w:ascii="宋体" w:hAnsi="宋体"/>
                <w:color w:val="000000" w:themeColor="text1"/>
                <w:kern w:val="0"/>
                <w:sz w:val="24"/>
                <w:szCs w:val="24"/>
                <w:highlight w:val="none"/>
                <w14:textFill>
                  <w14:solidFill>
                    <w14:schemeClr w14:val="tx1"/>
                  </w14:solidFill>
                </w14:textFill>
              </w:rPr>
              <w:t xml:space="preserve">9月 </w:t>
            </w:r>
            <w:r>
              <w:rPr>
                <w:rFonts w:hint="eastAsia" w:ascii="宋体" w:hAnsi="宋体"/>
                <w:color w:val="000000" w:themeColor="text1"/>
                <w:kern w:val="0"/>
                <w:sz w:val="24"/>
                <w:szCs w:val="24"/>
                <w:highlight w:val="none"/>
                <w:lang w:val="en-US" w:eastAsia="zh-CN"/>
                <w14:textFill>
                  <w14:solidFill>
                    <w14:schemeClr w14:val="tx1"/>
                  </w14:solidFill>
                </w14:textFill>
              </w:rPr>
              <w:t>6</w:t>
            </w:r>
            <w:r>
              <w:rPr>
                <w:rFonts w:hint="eastAsia" w:ascii="宋体" w:hAnsi="宋体"/>
                <w:color w:val="000000" w:themeColor="text1"/>
                <w:kern w:val="0"/>
                <w:sz w:val="24"/>
                <w:szCs w:val="24"/>
                <w:highlight w:val="none"/>
                <w14:textFill>
                  <w14:solidFill>
                    <w14:schemeClr w14:val="tx1"/>
                  </w14:solidFill>
                </w14:textFill>
              </w:rPr>
              <w:t>日</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暂定2022年9月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 xml:space="preserve"> 日 </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暂定2022年9月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日</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kern w:val="0"/>
                <w:sz w:val="24"/>
                <w:szCs w:val="24"/>
              </w:rPr>
            </w:pPr>
            <w:r>
              <w:rPr>
                <w:rFonts w:hint="eastAsia" w:ascii="宋体" w:hAnsi="宋体"/>
                <w:snapToGrid w:val="0"/>
                <w:sz w:val="24"/>
                <w:szCs w:val="24"/>
              </w:rPr>
              <w:t>开标地点：深圳市福田区福中一路地铁大厦深圳地铁智能评定标中心进行开评标</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七、参选所需材料</w:t>
      </w:r>
      <w:bookmarkEnd w:id="27"/>
    </w:p>
    <w:p>
      <w:pPr>
        <w:spacing w:line="360" w:lineRule="auto"/>
        <w:ind w:firstLine="480" w:firstLineChars="200"/>
        <w:rPr>
          <w:rFonts w:hAnsi="宋体"/>
          <w:bCs/>
          <w:color w:val="0D0D0D"/>
          <w:sz w:val="24"/>
          <w:szCs w:val="22"/>
        </w:rPr>
      </w:pPr>
      <w:r>
        <w:rPr>
          <w:rFonts w:hint="eastAsia" w:hAnsi="宋体"/>
          <w:bCs/>
          <w:color w:val="0D0D0D"/>
          <w:sz w:val="24"/>
          <w:szCs w:val="22"/>
        </w:rPr>
        <w:t>（一）参选人营业执照复印件（加盖公章）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（二）法定代表人资格证明书原件（加盖公章）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（三）法定代表人身份证复印件（加盖公章）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（四）法定代表人授权委托书原件（加盖公章）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（五）被授权人身份证复印件（加盖公章）</w:t>
      </w:r>
    </w:p>
    <w:p>
      <w:pPr>
        <w:spacing w:line="360" w:lineRule="auto"/>
        <w:ind w:firstLine="480" w:firstLineChars="200"/>
      </w:pPr>
      <w:r>
        <w:rPr>
          <w:rFonts w:hint="eastAsia" w:hAnsi="宋体"/>
          <w:bCs/>
          <w:color w:val="0D0D0D"/>
          <w:sz w:val="24"/>
          <w:szCs w:val="22"/>
        </w:rPr>
        <w:t>(如递交参选文件的为参选人的法定代表人，须携带法定代表人证明书及本人身份证原件和复印件；如递交参选文件的不是参选人的法定代表人，除携带本人身份证复印件外，还需携带法定代表人证明书和法定代表人身份证复印件及授权委托书。)</w:t>
      </w:r>
    </w:p>
    <w:p>
      <w:pPr>
        <w:spacing w:line="360" w:lineRule="auto"/>
        <w:ind w:firstLine="480" w:firstLineChars="200"/>
        <w:rPr>
          <w:rFonts w:hAnsi="宋体"/>
          <w:bCs/>
          <w:color w:val="0D0D0D"/>
          <w:sz w:val="24"/>
          <w:szCs w:val="22"/>
        </w:rPr>
      </w:pPr>
      <w:r>
        <w:rPr>
          <w:rFonts w:hint="eastAsia" w:hAnsi="宋体"/>
          <w:bCs/>
          <w:color w:val="0D0D0D"/>
          <w:sz w:val="24"/>
          <w:szCs w:val="22"/>
        </w:rPr>
        <w:t>（六）公司业绩等资格证明文件（加盖公章），即参选单位自2019年1月1日之后，深圳市房地产开发企业一级资质办理成功案例一个，提供合同完整文本及一级资质办理成功相关证明（时间以合同签订时间为准，复印件加盖公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（七）根据比选文件编制的参选文件（比选文件获取：深圳地铁智能招采管理平台（https://cg.shenzhenmc.com）</w:t>
      </w:r>
    </w:p>
    <w:p>
      <w:pPr>
        <w:pStyle w:val="2"/>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八、参选联系人</w:t>
      </w:r>
    </w:p>
    <w:p>
      <w:pPr>
        <w:pStyle w:val="25"/>
        <w:spacing w:line="360" w:lineRule="auto"/>
        <w:ind w:firstLine="480" w:firstLineChars="200"/>
        <w:rPr>
          <w:rFonts w:hAnsi="宋体"/>
          <w:sz w:val="24"/>
          <w:szCs w:val="24"/>
        </w:rPr>
      </w:pPr>
      <w:r>
        <w:rPr>
          <w:rFonts w:hint="eastAsia" w:hAnsi="宋体"/>
          <w:sz w:val="24"/>
          <w:szCs w:val="24"/>
        </w:rPr>
        <w:t xml:space="preserve">联系人： </w:t>
      </w:r>
      <w:r>
        <w:rPr>
          <w:rFonts w:hint="eastAsia" w:hAnsi="宋体"/>
          <w:sz w:val="24"/>
          <w:szCs w:val="24"/>
          <w:lang w:eastAsia="zh-Hans"/>
        </w:rPr>
        <w:t>周小姐</w:t>
      </w:r>
    </w:p>
    <w:p>
      <w:pPr>
        <w:pStyle w:val="25"/>
        <w:spacing w:line="360" w:lineRule="auto"/>
        <w:ind w:firstLine="420" w:firstLineChars="175"/>
        <w:rPr>
          <w:rFonts w:hAnsi="宋体"/>
          <w:sz w:val="24"/>
        </w:rPr>
      </w:pPr>
      <w:r>
        <w:rPr>
          <w:rFonts w:hint="eastAsia" w:hAnsi="宋体"/>
          <w:sz w:val="24"/>
          <w:szCs w:val="24"/>
        </w:rPr>
        <w:t>联系电话：</w:t>
      </w:r>
      <w:r>
        <w:rPr>
          <w:rFonts w:hAnsi="宋体"/>
          <w:sz w:val="24"/>
        </w:rPr>
        <w:t>18673198799</w:t>
      </w:r>
    </w:p>
    <w:p>
      <w:pPr>
        <w:pStyle w:val="25"/>
        <w:spacing w:line="360" w:lineRule="auto"/>
        <w:ind w:firstLine="480" w:firstLineChars="200"/>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r>
        <w:rPr>
          <w:rFonts w:hint="eastAsia" w:hAnsi="宋体"/>
          <w:sz w:val="24"/>
          <w:szCs w:val="24"/>
          <w:lang w:eastAsia="zh-Hans"/>
        </w:rPr>
        <w:t>深圳市地铁</w:t>
      </w:r>
      <w:r>
        <w:rPr>
          <w:rFonts w:hint="eastAsia" w:hAnsi="宋体"/>
          <w:sz w:val="24"/>
          <w:szCs w:val="24"/>
        </w:rPr>
        <w:t>集团有限公司</w:t>
      </w:r>
    </w:p>
    <w:p>
      <w:pPr>
        <w:pStyle w:val="25"/>
        <w:spacing w:line="360" w:lineRule="auto"/>
        <w:ind w:firstLine="480" w:firstLineChars="200"/>
        <w:jc w:val="right"/>
        <w:rPr>
          <w:rFonts w:hAnsi="宋体"/>
          <w:sz w:val="24"/>
          <w:szCs w:val="24"/>
        </w:rPr>
      </w:pPr>
      <w:r>
        <w:rPr>
          <w:rFonts w:hint="eastAsia" w:hAnsi="宋体"/>
          <w:sz w:val="24"/>
          <w:szCs w:val="24"/>
        </w:rPr>
        <w:t>2022年</w:t>
      </w:r>
      <w:r>
        <w:rPr>
          <w:rFonts w:hAnsi="宋体"/>
          <w:sz w:val="24"/>
          <w:szCs w:val="24"/>
        </w:rPr>
        <w:t xml:space="preserve"> </w:t>
      </w:r>
      <w:r>
        <w:rPr>
          <w:rFonts w:hint="eastAsia" w:hAnsi="宋体"/>
          <w:sz w:val="24"/>
          <w:szCs w:val="24"/>
        </w:rPr>
        <w:t>月XX日</w:t>
      </w:r>
      <w:r>
        <w:rPr>
          <w:rFonts w:hint="eastAsia" w:hAnsi="宋体"/>
          <w:sz w:val="24"/>
          <w:szCs w:val="24"/>
        </w:rPr>
        <w:br w:type="page"/>
      </w:r>
      <w:bookmarkStart w:id="28" w:name="_Toc57731951"/>
    </w:p>
    <w:p>
      <w:pPr>
        <w:pStyle w:val="25"/>
        <w:spacing w:line="360" w:lineRule="auto"/>
        <w:ind w:firstLine="3092" w:firstLineChars="700"/>
        <w:rPr>
          <w:rFonts w:hAnsi="宋体"/>
          <w:b/>
          <w:sz w:val="44"/>
          <w:szCs w:val="44"/>
        </w:rPr>
      </w:pPr>
      <w:r>
        <w:rPr>
          <w:rFonts w:hint="eastAsia" w:hAnsi="宋体"/>
          <w:b/>
          <w:sz w:val="44"/>
          <w:szCs w:val="44"/>
        </w:rPr>
        <w:t>第一篇  参选须知</w:t>
      </w:r>
      <w:bookmarkEnd w:id="28"/>
    </w:p>
    <w:p>
      <w:pPr>
        <w:pStyle w:val="4"/>
        <w:spacing w:line="360" w:lineRule="auto"/>
        <w:rPr>
          <w:rFonts w:ascii="宋体" w:hAnsi="宋体" w:eastAsia="宋体"/>
          <w:b/>
        </w:rPr>
      </w:pPr>
      <w:bookmarkStart w:id="29" w:name="_Toc197404897"/>
      <w:bookmarkStart w:id="30" w:name="_Toc518494117"/>
      <w:bookmarkStart w:id="31" w:name="_Toc57731952"/>
      <w:r>
        <w:rPr>
          <w:rFonts w:hint="eastAsia" w:ascii="宋体" w:hAnsi="宋体" w:eastAsia="宋体"/>
          <w:b/>
        </w:rPr>
        <w:t>第一章 总则</w:t>
      </w:r>
      <w:bookmarkEnd w:id="29"/>
      <w:bookmarkEnd w:id="30"/>
      <w:bookmarkEnd w:id="31"/>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2" w:name="_Toc57731953"/>
      <w:bookmarkStart w:id="33" w:name="_Toc518494118"/>
      <w:r>
        <w:rPr>
          <w:rFonts w:hint="eastAsia" w:ascii="宋体" w:hAnsi="宋体"/>
          <w:b/>
          <w:kern w:val="0"/>
          <w:sz w:val="24"/>
          <w:szCs w:val="24"/>
        </w:rPr>
        <w:t>一、项目概况</w:t>
      </w:r>
      <w:bookmarkEnd w:id="32"/>
      <w:bookmarkEnd w:id="33"/>
    </w:p>
    <w:p>
      <w:pPr>
        <w:pStyle w:val="2"/>
        <w:ind w:firstLine="480" w:firstLineChars="200"/>
        <w:rPr>
          <w:rFonts w:hAnsi="宋体"/>
          <w:bCs/>
          <w:color w:val="0D0D0D"/>
          <w:sz w:val="24"/>
          <w:szCs w:val="22"/>
        </w:rPr>
      </w:pPr>
      <w:r>
        <w:rPr>
          <w:rFonts w:hint="eastAsia" w:hAnsi="宋体"/>
          <w:bCs/>
          <w:color w:val="0D0D0D"/>
          <w:sz w:val="24"/>
          <w:szCs w:val="22"/>
        </w:rPr>
        <w:t>目前深铁集团为房地产开发二级资质企业，已具备业绩方面一级资质的申请条件。现开展升级房地产开发企业一级资质的申报工作。</w:t>
      </w:r>
    </w:p>
    <w:p>
      <w:pPr>
        <w:pStyle w:val="2"/>
        <w:ind w:firstLine="480" w:firstLineChars="200"/>
        <w:rPr>
          <w:rFonts w:hAnsi="宋体"/>
          <w:bCs/>
          <w:color w:val="0D0D0D"/>
          <w:sz w:val="24"/>
          <w:szCs w:val="22"/>
        </w:rPr>
      </w:pPr>
      <w:r>
        <w:rPr>
          <w:rFonts w:hint="eastAsia" w:hAnsi="宋体"/>
          <w:bCs/>
          <w:color w:val="0D0D0D"/>
          <w:sz w:val="24"/>
          <w:szCs w:val="22"/>
        </w:rPr>
        <w:t>一级资质的审批流程为广东省住建厅初审，国家住建部终审。材料分为纸质材料和网上系统提报两个部分。需提供的材料包括但不限于：</w:t>
      </w:r>
    </w:p>
    <w:p>
      <w:pPr>
        <w:pStyle w:val="2"/>
        <w:ind w:firstLine="480" w:firstLineChars="200"/>
        <w:rPr>
          <w:rFonts w:hAnsi="宋体"/>
          <w:bCs/>
          <w:color w:val="0D0D0D"/>
          <w:sz w:val="24"/>
          <w:szCs w:val="22"/>
        </w:rPr>
      </w:pPr>
      <w:r>
        <w:rPr>
          <w:rFonts w:hint="eastAsia" w:hAnsi="宋体"/>
          <w:bCs/>
          <w:color w:val="0D0D0D"/>
          <w:sz w:val="24"/>
          <w:szCs w:val="22"/>
        </w:rPr>
        <w:t>1.已竣工项目的投资计划批准（备案）文件、国有土地使用权证、建设用地规划许可证、建设工程规划许可证、建筑工程施工许可证、商品房预售许可证、建设工程竣工验收备案文件。</w:t>
      </w:r>
    </w:p>
    <w:p>
      <w:pPr>
        <w:pStyle w:val="2"/>
        <w:ind w:firstLine="480" w:firstLineChars="200"/>
        <w:rPr>
          <w:rFonts w:hAnsi="宋体"/>
          <w:bCs/>
          <w:color w:val="0D0D0D"/>
          <w:sz w:val="24"/>
          <w:szCs w:val="22"/>
        </w:rPr>
      </w:pPr>
      <w:r>
        <w:rPr>
          <w:rFonts w:hint="eastAsia" w:hAnsi="宋体"/>
          <w:bCs/>
          <w:color w:val="0D0D0D"/>
          <w:sz w:val="24"/>
          <w:szCs w:val="22"/>
        </w:rPr>
        <w:t>2.在建项目建设进度说明，在建项目的投资计划批准（备案）文件、国有土地使用权证、建设用地规划许可证、建设工程规划许可证、建筑工程施工许可证、商品房预售许可证。</w:t>
      </w:r>
    </w:p>
    <w:p>
      <w:pPr>
        <w:pStyle w:val="2"/>
        <w:ind w:firstLine="480" w:firstLineChars="200"/>
        <w:rPr>
          <w:rFonts w:hAnsi="宋体"/>
          <w:bCs/>
          <w:color w:val="0D0D0D"/>
          <w:sz w:val="24"/>
          <w:szCs w:val="22"/>
        </w:rPr>
      </w:pPr>
      <w:r>
        <w:rPr>
          <w:rFonts w:hint="eastAsia" w:hAnsi="宋体"/>
          <w:bCs/>
          <w:color w:val="0D0D0D"/>
          <w:sz w:val="24"/>
          <w:szCs w:val="22"/>
        </w:rPr>
        <w:t>3.企业工程技术、财务、统计等业务负责人的任职文件、职称证书和身份证，建筑、结构、财务、房地产及有关经济类的专业管理人员的最近6个月以上的社会保险缴纳凭证。</w:t>
      </w:r>
    </w:p>
    <w:p>
      <w:pPr>
        <w:keepNext/>
        <w:keepLines/>
        <w:tabs>
          <w:tab w:val="left" w:pos="1260"/>
        </w:tabs>
        <w:adjustRightInd w:val="0"/>
        <w:spacing w:line="480" w:lineRule="auto"/>
        <w:ind w:firstLine="480" w:firstLineChars="200"/>
        <w:textAlignment w:val="baseline"/>
        <w:outlineLvl w:val="2"/>
        <w:rPr>
          <w:rFonts w:hAnsi="宋体"/>
          <w:bCs/>
          <w:color w:val="0D0D0D"/>
          <w:sz w:val="24"/>
          <w:szCs w:val="22"/>
        </w:rPr>
      </w:pPr>
      <w:r>
        <w:rPr>
          <w:rFonts w:hint="eastAsia" w:hAnsi="宋体"/>
          <w:bCs/>
          <w:color w:val="0D0D0D"/>
          <w:sz w:val="24"/>
          <w:szCs w:val="22"/>
        </w:rPr>
        <w:t>4.上年度资产负债表、关于企业上年度财务状况的承诺书、完善的质量保证体系执行情况说明、《住宅质量保证书》和《住宅使用说明书》样本等材料。</w:t>
      </w:r>
    </w:p>
    <w:p>
      <w:pPr>
        <w:keepNext/>
        <w:keepLines/>
        <w:numPr>
          <w:ilvl w:val="0"/>
          <w:numId w:val="5"/>
        </w:numPr>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34" w:name="_Toc57731954"/>
      <w:bookmarkStart w:id="35" w:name="_Toc518494119"/>
      <w:r>
        <w:rPr>
          <w:rFonts w:hint="eastAsia" w:ascii="宋体" w:hAnsi="宋体"/>
          <w:b/>
          <w:kern w:val="0"/>
          <w:sz w:val="24"/>
          <w:szCs w:val="24"/>
        </w:rPr>
        <w:t>服务内容</w:t>
      </w:r>
      <w:bookmarkEnd w:id="34"/>
      <w:bookmarkEnd w:id="35"/>
      <w:bookmarkStart w:id="36" w:name="_Toc57731955"/>
      <w:bookmarkStart w:id="37" w:name="_Toc518494120"/>
    </w:p>
    <w:p>
      <w:pPr>
        <w:spacing w:line="360" w:lineRule="auto"/>
        <w:ind w:firstLine="480" w:firstLineChars="200"/>
        <w:rPr>
          <w:rFonts w:hint="eastAsia" w:hAnsi="宋体"/>
          <w:bCs/>
          <w:color w:val="0D0D0D"/>
          <w:sz w:val="24"/>
          <w:szCs w:val="22"/>
        </w:rPr>
      </w:pPr>
      <w:r>
        <w:rPr>
          <w:rFonts w:hint="eastAsia" w:hAnsi="宋体"/>
          <w:bCs/>
          <w:color w:val="0D0D0D"/>
          <w:sz w:val="24"/>
          <w:szCs w:val="22"/>
        </w:rPr>
        <w:t xml:space="preserve">比选范围包括但不限于： </w:t>
      </w:r>
    </w:p>
    <w:p>
      <w:pPr>
        <w:keepNext w:val="0"/>
        <w:keepLines w:val="0"/>
        <w:adjustRightInd/>
        <w:spacing w:line="360" w:lineRule="auto"/>
        <w:ind w:firstLine="480" w:firstLineChars="200"/>
        <w:textAlignment w:val="auto"/>
        <w:outlineLvl w:val="9"/>
        <w:rPr>
          <w:rFonts w:ascii="宋体" w:hAnsi="宋体"/>
          <w:b/>
          <w:kern w:val="0"/>
          <w:sz w:val="24"/>
          <w:szCs w:val="24"/>
        </w:rPr>
      </w:pPr>
      <w:r>
        <w:rPr>
          <w:rFonts w:hint="eastAsia" w:hAnsi="宋体"/>
          <w:bCs/>
          <w:color w:val="0D0D0D"/>
          <w:sz w:val="24"/>
          <w:szCs w:val="22"/>
        </w:rPr>
        <w:t>搜集、汇总及整理房地产开发资质申报的相关文件资料，包括但不限于公司治理文件、任职文件、开发业绩情况、项目投资情况、专业人员职称情况等；并于国家住建部最近评审批次上会前上报开发资质核准资料，在甲</w:t>
      </w:r>
      <w:r>
        <w:rPr>
          <w:rFonts w:hAnsi="宋体"/>
          <w:bCs/>
          <w:color w:val="0D0D0D"/>
          <w:sz w:val="24"/>
          <w:szCs w:val="22"/>
        </w:rPr>
        <w:t>方</w:t>
      </w:r>
      <w:r>
        <w:rPr>
          <w:rFonts w:hint="eastAsia" w:hAnsi="宋体"/>
          <w:bCs/>
          <w:color w:val="0D0D0D"/>
          <w:sz w:val="24"/>
          <w:szCs w:val="22"/>
        </w:rPr>
        <w:t>规定时限内为深圳市地铁集团有限公司取得房地产开发企业一级资质；制作、填写线上线下相关资质申报材料，整理、制作线上线下全套资质申报材料，并根据收文单位要求与甲方指令，及时跟进申报材料的完善与修订工作；代为交接、领取房地产开发企业资质申报过程中的往来文件和资质核准许可文件；代表甲方协调相关主管部门、单位的沟通工作。</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6"/>
      <w:bookmarkEnd w:id="37"/>
    </w:p>
    <w:p>
      <w:pPr>
        <w:spacing w:line="360" w:lineRule="auto"/>
        <w:ind w:firstLine="480" w:firstLineChars="200"/>
        <w:rPr>
          <w:rFonts w:ascii="宋体" w:hAnsi="宋体"/>
          <w:color w:val="0D0D0D"/>
          <w:sz w:val="24"/>
          <w:szCs w:val="24"/>
        </w:rPr>
      </w:pPr>
      <w:bookmarkStart w:id="38" w:name="_Toc518494121"/>
      <w:bookmarkStart w:id="39" w:name="_Toc57731956"/>
      <w:r>
        <w:rPr>
          <w:rFonts w:hint="eastAsia" w:ascii="宋体" w:hAnsi="宋体" w:cs="宋体"/>
          <w:sz w:val="24"/>
          <w:szCs w:val="24"/>
        </w:rPr>
        <w:t>（一）签约主体：</w:t>
      </w:r>
      <w:r>
        <w:rPr>
          <w:rFonts w:hint="eastAsia" w:ascii="宋体" w:hAnsi="宋体" w:cs="宋体"/>
          <w:color w:val="000000"/>
          <w:sz w:val="24"/>
          <w:szCs w:val="24"/>
        </w:rPr>
        <w:t>深圳市地铁集团有限公司</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（二）服务期限：</w:t>
      </w:r>
      <w:r>
        <w:rPr>
          <w:rFonts w:hint="eastAsia" w:ascii="宋体" w:hAnsi="宋体" w:cs="宋体"/>
          <w:color w:val="000000"/>
          <w:sz w:val="24"/>
          <w:szCs w:val="24"/>
        </w:rPr>
        <w:t>本合同签订之日起至本合同全部工作完成之日止。</w:t>
      </w:r>
    </w:p>
    <w:p>
      <w:pPr>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8"/>
      <w:bookmarkEnd w:id="39"/>
      <w:bookmarkStart w:id="40" w:name="_Toc197404900"/>
      <w:bookmarkStart w:id="41" w:name="_Toc57731957"/>
      <w:bookmarkStart w:id="42" w:name="_Toc518494122"/>
    </w:p>
    <w:p>
      <w:pPr>
        <w:spacing w:line="360" w:lineRule="auto"/>
        <w:ind w:firstLine="480" w:firstLineChars="200"/>
        <w:rPr>
          <w:rFonts w:hAnsi="宋体"/>
          <w:bCs/>
          <w:color w:val="0D0D0D"/>
          <w:sz w:val="24"/>
          <w:szCs w:val="22"/>
        </w:rPr>
      </w:pPr>
      <w:r>
        <w:rPr>
          <w:rFonts w:hint="eastAsia" w:hAnsi="宋体"/>
          <w:bCs/>
          <w:color w:val="0D0D0D"/>
          <w:sz w:val="24"/>
          <w:szCs w:val="22"/>
        </w:rPr>
        <w:t>（一）参选人资质要求：参选单位必须是在中华人民共和国境内依法注册的具备法人资格的企业,需于2019年</w:t>
      </w:r>
      <w:r>
        <w:rPr>
          <w:rFonts w:hint="eastAsia" w:hAnsi="宋体"/>
          <w:bCs/>
          <w:color w:val="0D0D0D"/>
          <w:sz w:val="24"/>
          <w:szCs w:val="22"/>
          <w:lang w:val="en-US" w:eastAsia="zh-CN"/>
        </w:rPr>
        <w:t>7</w:t>
      </w:r>
      <w:r>
        <w:rPr>
          <w:rFonts w:hint="eastAsia" w:hAnsi="宋体"/>
          <w:bCs/>
          <w:color w:val="0D0D0D"/>
          <w:sz w:val="24"/>
          <w:szCs w:val="22"/>
        </w:rPr>
        <w:t>月1日之前成立。</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（二）参选人业绩要求：提供2019年</w:t>
      </w:r>
      <w:r>
        <w:rPr>
          <w:rFonts w:hint="eastAsia" w:hAnsi="宋体"/>
          <w:bCs/>
          <w:color w:val="0D0D0D"/>
          <w:sz w:val="24"/>
          <w:szCs w:val="22"/>
          <w:lang w:val="en-US" w:eastAsia="zh-CN"/>
        </w:rPr>
        <w:t>7</w:t>
      </w:r>
      <w:r>
        <w:rPr>
          <w:rFonts w:hint="eastAsia" w:hAnsi="宋体"/>
          <w:bCs/>
          <w:color w:val="0D0D0D"/>
          <w:sz w:val="24"/>
          <w:szCs w:val="22"/>
        </w:rPr>
        <w:t>月1日之后，深圳市房地产开发企业一级资质办理成功案例一个，提供合同关键页及一级资质办理成功相关证明复印件（时间以合同签订时间为准，复印件加盖公章，原件备查）。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w:t>
      </w:r>
      <w:r>
        <w:rPr>
          <w:rFonts w:hint="eastAsia" w:hAnsi="宋体"/>
          <w:bCs/>
          <w:color w:val="0D0D0D"/>
          <w:sz w:val="24"/>
          <w:szCs w:val="22"/>
          <w:lang w:eastAsia="zh-Hans"/>
        </w:rPr>
        <w:t>三</w:t>
      </w:r>
      <w:r>
        <w:rPr>
          <w:rFonts w:hint="eastAsia" w:hAnsi="宋体"/>
          <w:bCs/>
          <w:color w:val="0D0D0D"/>
          <w:sz w:val="24"/>
          <w:szCs w:val="22"/>
        </w:rPr>
        <w:t>）2019年</w:t>
      </w:r>
      <w:r>
        <w:rPr>
          <w:rFonts w:hint="eastAsia" w:hAnsi="宋体"/>
          <w:bCs/>
          <w:color w:val="0D0D0D"/>
          <w:sz w:val="24"/>
          <w:szCs w:val="22"/>
          <w:lang w:val="en-US" w:eastAsia="zh-CN"/>
        </w:rPr>
        <w:t>7</w:t>
      </w:r>
      <w:r>
        <w:rPr>
          <w:rFonts w:hint="eastAsia" w:hAnsi="宋体"/>
          <w:bCs/>
          <w:color w:val="0D0D0D"/>
          <w:sz w:val="24"/>
          <w:szCs w:val="22"/>
        </w:rPr>
        <w:t>月1日以来，有串通参选不良行为记录或涉嫌串通参选，并正在接受城市主管部门调查的参选申请人不得参选。</w:t>
      </w:r>
    </w:p>
    <w:p>
      <w:pPr>
        <w:spacing w:line="360" w:lineRule="auto"/>
        <w:ind w:firstLine="480" w:firstLineChars="200"/>
        <w:rPr>
          <w:rFonts w:hAnsi="宋体"/>
          <w:bCs/>
          <w:color w:val="0D0D0D"/>
          <w:sz w:val="24"/>
          <w:szCs w:val="22"/>
          <w:highlight w:val="none"/>
        </w:rPr>
      </w:pPr>
      <w:r>
        <w:rPr>
          <w:rFonts w:hint="eastAsia" w:hAnsi="宋体"/>
          <w:bCs/>
          <w:color w:val="0D0D0D"/>
          <w:sz w:val="24"/>
          <w:szCs w:val="22"/>
          <w:highlight w:val="none"/>
        </w:rPr>
        <w:t>（</w:t>
      </w:r>
      <w:r>
        <w:rPr>
          <w:rFonts w:hint="eastAsia" w:hAnsi="宋体"/>
          <w:bCs/>
          <w:color w:val="0D0D0D"/>
          <w:sz w:val="24"/>
          <w:szCs w:val="22"/>
          <w:highlight w:val="none"/>
          <w:lang w:eastAsia="zh-Hans"/>
        </w:rPr>
        <w:t>四</w:t>
      </w:r>
      <w:r>
        <w:rPr>
          <w:rFonts w:hint="eastAsia" w:hAnsi="宋体"/>
          <w:bCs/>
          <w:color w:val="0D0D0D"/>
          <w:sz w:val="24"/>
          <w:szCs w:val="22"/>
          <w:highlight w:val="none"/>
        </w:rPr>
        <w:t>）2019年</w:t>
      </w:r>
      <w:r>
        <w:rPr>
          <w:rFonts w:hint="eastAsia" w:hAnsi="宋体"/>
          <w:bCs/>
          <w:color w:val="0D0D0D"/>
          <w:sz w:val="24"/>
          <w:szCs w:val="22"/>
          <w:highlight w:val="none"/>
          <w:lang w:val="en-US" w:eastAsia="zh-CN"/>
        </w:rPr>
        <w:t>7</w:t>
      </w:r>
      <w:r>
        <w:rPr>
          <w:rFonts w:hint="eastAsia" w:hAnsi="宋体"/>
          <w:bCs/>
          <w:color w:val="0D0D0D"/>
          <w:sz w:val="24"/>
          <w:szCs w:val="22"/>
          <w:highlight w:val="none"/>
        </w:rPr>
        <w:t>月1日以来，在深圳市地铁集团有限公司或下属单位合同履约评价考核等级不合格</w:t>
      </w:r>
      <w:r>
        <w:rPr>
          <w:rFonts w:hint="eastAsia" w:hAnsi="宋体"/>
          <w:bCs/>
          <w:color w:val="0D0D0D"/>
          <w:sz w:val="24"/>
          <w:szCs w:val="22"/>
          <w:highlight w:val="none"/>
          <w:lang w:val="en-US" w:eastAsia="zh-CN"/>
        </w:rPr>
        <w:t>或者等级为D</w:t>
      </w:r>
      <w:r>
        <w:rPr>
          <w:rFonts w:hint="eastAsia" w:hAnsi="宋体"/>
          <w:bCs/>
          <w:color w:val="0D0D0D"/>
          <w:sz w:val="24"/>
          <w:szCs w:val="22"/>
          <w:highlight w:val="none"/>
        </w:rPr>
        <w:t>的参选申请人不得参选。</w:t>
      </w:r>
    </w:p>
    <w:p>
      <w:pPr>
        <w:spacing w:line="360" w:lineRule="auto"/>
        <w:ind w:firstLine="480" w:firstLineChars="200"/>
        <w:rPr>
          <w:rFonts w:hAnsi="宋体"/>
          <w:bCs/>
          <w:color w:val="0D0D0D"/>
          <w:sz w:val="24"/>
          <w:szCs w:val="22"/>
          <w:highlight w:val="none"/>
        </w:rPr>
      </w:pPr>
      <w:r>
        <w:rPr>
          <w:rFonts w:hint="eastAsia" w:hAnsi="宋体"/>
          <w:bCs/>
          <w:color w:val="0D0D0D"/>
          <w:sz w:val="24"/>
          <w:szCs w:val="22"/>
          <w:highlight w:val="none"/>
        </w:rPr>
        <w:t>（</w:t>
      </w:r>
      <w:r>
        <w:rPr>
          <w:rFonts w:hint="eastAsia" w:hAnsi="宋体"/>
          <w:bCs/>
          <w:color w:val="0D0D0D"/>
          <w:sz w:val="24"/>
          <w:szCs w:val="22"/>
          <w:highlight w:val="none"/>
          <w:lang w:val="en-US" w:eastAsia="zh-CN"/>
        </w:rPr>
        <w:t>五</w:t>
      </w:r>
      <w:r>
        <w:rPr>
          <w:rFonts w:hint="eastAsia" w:hAnsi="宋体"/>
          <w:bCs/>
          <w:color w:val="0D0D0D"/>
          <w:sz w:val="24"/>
          <w:szCs w:val="22"/>
          <w:highlight w:val="none"/>
        </w:rPr>
        <w:t>）不接受联合体投标。</w:t>
      </w:r>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五、比选、参选的</w:t>
      </w:r>
      <w:bookmarkEnd w:id="40"/>
      <w:r>
        <w:rPr>
          <w:rFonts w:hint="eastAsia" w:ascii="宋体" w:hAnsi="宋体"/>
          <w:b/>
          <w:kern w:val="0"/>
          <w:sz w:val="24"/>
          <w:szCs w:val="24"/>
          <w:highlight w:val="none"/>
        </w:rPr>
        <w:t>时间安排</w:t>
      </w:r>
      <w:bookmarkEnd w:id="41"/>
      <w:bookmarkEnd w:id="42"/>
    </w:p>
    <w:tbl>
      <w:tblPr>
        <w:tblStyle w:val="49"/>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highlight w:val="none"/>
              </w:rPr>
            </w:pPr>
            <w:r>
              <w:rPr>
                <w:rFonts w:hint="eastAsia" w:ascii="宋体" w:hAnsi="宋体"/>
                <w:color w:val="0C0C0C"/>
                <w:sz w:val="24"/>
                <w:szCs w:val="24"/>
                <w:highlight w:val="none"/>
              </w:rPr>
              <w:t>序号</w:t>
            </w:r>
          </w:p>
        </w:tc>
        <w:tc>
          <w:tcPr>
            <w:tcW w:w="860"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highlight w:val="none"/>
              </w:rPr>
            </w:pPr>
            <w:r>
              <w:rPr>
                <w:rFonts w:hint="eastAsia" w:ascii="宋体" w:hAnsi="宋体"/>
                <w:color w:val="0C0C0C"/>
                <w:sz w:val="24"/>
                <w:szCs w:val="24"/>
                <w:highlight w:val="none"/>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highlight w:val="none"/>
              </w:rPr>
            </w:pPr>
            <w:r>
              <w:rPr>
                <w:rFonts w:hint="eastAsia" w:ascii="宋体" w:hAnsi="宋体"/>
                <w:color w:val="0C0C0C"/>
                <w:sz w:val="24"/>
                <w:szCs w:val="24"/>
                <w:highlight w:val="none"/>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highlight w:val="none"/>
              </w:rPr>
            </w:pPr>
            <w:r>
              <w:rPr>
                <w:rFonts w:hint="eastAsia" w:ascii="宋体" w:hAnsi="宋体"/>
                <w:color w:val="0C0C0C"/>
                <w:sz w:val="24"/>
                <w:szCs w:val="24"/>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1</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暂定2022年  9月 </w:t>
            </w:r>
            <w:r>
              <w:rPr>
                <w:rFonts w:hint="eastAsia" w:ascii="宋体" w:hAnsi="宋体"/>
                <w:kern w:val="0"/>
                <w:sz w:val="24"/>
                <w:szCs w:val="24"/>
                <w:highlight w:val="none"/>
                <w:lang w:val="en-US" w:eastAsia="zh-CN"/>
              </w:rPr>
              <w:t>6</w:t>
            </w:r>
            <w:r>
              <w:rPr>
                <w:rFonts w:hint="eastAsia" w:ascii="宋体" w:hAnsi="宋体"/>
                <w:kern w:val="0"/>
                <w:sz w:val="24"/>
                <w:szCs w:val="24"/>
                <w:highlight w:val="none"/>
              </w:rPr>
              <w:t xml:space="preserve"> 日</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2</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暂定2022年9月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 xml:space="preserve">日 </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highlight w:val="none"/>
              </w:rPr>
            </w:pPr>
            <w:r>
              <w:rPr>
                <w:rFonts w:ascii="宋体" w:hAnsi="宋体"/>
                <w:snapToGrid w:val="0"/>
                <w:sz w:val="24"/>
                <w:szCs w:val="24"/>
                <w:highlight w:val="none"/>
              </w:rPr>
              <w:t>电子版参选文件递交平台：</w:t>
            </w:r>
            <w:r>
              <w:rPr>
                <w:rFonts w:hint="eastAsia" w:ascii="宋体" w:hAnsi="宋体"/>
                <w:snapToGrid w:val="0"/>
                <w:sz w:val="24"/>
                <w:szCs w:val="24"/>
                <w:highlight w:val="none"/>
              </w:rPr>
              <w:t>深圳地铁智能招采管理平台（</w:t>
            </w:r>
            <w:r>
              <w:rPr>
                <w:rFonts w:ascii="宋体" w:hAnsi="宋体"/>
                <w:snapToGrid w:val="0"/>
                <w:sz w:val="24"/>
                <w:szCs w:val="24"/>
                <w:highlight w:val="none"/>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highlight w:val="none"/>
              </w:rPr>
            </w:pPr>
            <w:r>
              <w:rPr>
                <w:rFonts w:hint="eastAsia" w:ascii="宋体" w:hAnsi="宋体"/>
                <w:kern w:val="0"/>
                <w:sz w:val="24"/>
                <w:szCs w:val="24"/>
                <w:highlight w:val="none"/>
              </w:rPr>
              <w:t>3</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 xml:space="preserve">暂定2022年 9月 </w:t>
            </w:r>
            <w:r>
              <w:rPr>
                <w:rFonts w:hint="eastAsia" w:ascii="宋体" w:hAnsi="宋体"/>
                <w:kern w:val="0"/>
                <w:sz w:val="24"/>
                <w:szCs w:val="24"/>
                <w:highlight w:val="none"/>
                <w:lang w:val="en-US" w:eastAsia="zh-CN"/>
              </w:rPr>
              <w:t>20</w:t>
            </w:r>
            <w:r>
              <w:rPr>
                <w:rFonts w:hint="eastAsia" w:ascii="宋体" w:hAnsi="宋体"/>
                <w:kern w:val="0"/>
                <w:sz w:val="24"/>
                <w:szCs w:val="24"/>
                <w:highlight w:val="none"/>
              </w:rPr>
              <w:t xml:space="preserve">日 </w:t>
            </w:r>
          </w:p>
        </w:tc>
        <w:tc>
          <w:tcPr>
            <w:tcW w:w="2687" w:type="pct"/>
            <w:tcBorders>
              <w:top w:val="single" w:color="auto" w:sz="4" w:space="0"/>
              <w:left w:val="single" w:color="auto" w:sz="4" w:space="0"/>
              <w:bottom w:val="single" w:color="auto" w:sz="4" w:space="0"/>
              <w:right w:val="single" w:color="auto" w:sz="4" w:space="0"/>
            </w:tcBorders>
            <w:vAlign w:val="center"/>
          </w:tcPr>
          <w:p>
            <w:pPr>
              <w:rPr>
                <w:highlight w:val="none"/>
              </w:rPr>
            </w:pPr>
            <w:r>
              <w:rPr>
                <w:rFonts w:ascii="宋体" w:hAnsi="宋体"/>
                <w:snapToGrid w:val="0"/>
                <w:sz w:val="24"/>
                <w:szCs w:val="24"/>
                <w:highlight w:val="none"/>
              </w:rPr>
              <w:t>开标地点：深圳市福田区福中一路地铁大厦深圳地铁智能评定标中心进行开评标</w:t>
            </w:r>
          </w:p>
          <w:p>
            <w:pPr>
              <w:spacing w:line="360" w:lineRule="auto"/>
              <w:jc w:val="left"/>
              <w:rPr>
                <w:rFonts w:ascii="宋体" w:hAnsi="宋体"/>
                <w:kern w:val="0"/>
                <w:sz w:val="24"/>
                <w:szCs w:val="24"/>
                <w:highlight w:val="none"/>
              </w:rPr>
            </w:pPr>
          </w:p>
        </w:tc>
      </w:tr>
    </w:tbl>
    <w:p>
      <w:pPr>
        <w:pStyle w:val="20"/>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3" w:name="_Toc518494123"/>
      <w:bookmarkStart w:id="44" w:name="_Toc57731958"/>
      <w:r>
        <w:rPr>
          <w:rFonts w:hint="eastAsia" w:ascii="宋体" w:hAnsi="宋体"/>
          <w:b/>
          <w:kern w:val="0"/>
          <w:sz w:val="24"/>
          <w:szCs w:val="24"/>
        </w:rPr>
        <w:t>六、参选费用</w:t>
      </w:r>
      <w:bookmarkEnd w:id="43"/>
      <w:bookmarkEnd w:id="44"/>
    </w:p>
    <w:p>
      <w:pPr>
        <w:pStyle w:val="20"/>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5" w:name="_Toc518494124"/>
      <w:bookmarkStart w:id="46" w:name="_Toc57731959"/>
      <w:r>
        <w:rPr>
          <w:rFonts w:hint="eastAsia" w:ascii="宋体" w:hAnsi="宋体"/>
          <w:b/>
          <w:kern w:val="0"/>
          <w:sz w:val="24"/>
          <w:szCs w:val="24"/>
        </w:rPr>
        <w:t>七、参选报价限价</w:t>
      </w:r>
      <w:bookmarkEnd w:id="45"/>
      <w:bookmarkEnd w:id="46"/>
    </w:p>
    <w:p>
      <w:pPr>
        <w:pStyle w:val="25"/>
        <w:tabs>
          <w:tab w:val="right" w:pos="9026"/>
        </w:tabs>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Ansi="宋体"/>
          <w:b/>
          <w:bCs/>
          <w:sz w:val="24"/>
          <w:szCs w:val="24"/>
          <w:u w:val="single"/>
        </w:rPr>
        <w:t>120</w:t>
      </w:r>
      <w:r>
        <w:rPr>
          <w:rFonts w:hint="eastAsia" w:hAnsi="宋体"/>
          <w:b/>
          <w:bCs/>
          <w:sz w:val="24"/>
          <w:szCs w:val="24"/>
          <w:u w:val="single"/>
        </w:rPr>
        <w:t>万元</w:t>
      </w:r>
      <w:r>
        <w:rPr>
          <w:rFonts w:hint="eastAsia" w:hAnsi="宋体"/>
          <w:sz w:val="24"/>
          <w:szCs w:val="24"/>
        </w:rPr>
        <w:t>（含税）。参选人报价高于总额最高上限价将作为无效标处理。</w:t>
      </w:r>
    </w:p>
    <w:p>
      <w:pPr>
        <w:pStyle w:val="4"/>
        <w:spacing w:after="0" w:line="360" w:lineRule="auto"/>
        <w:rPr>
          <w:szCs w:val="28"/>
        </w:rPr>
      </w:pPr>
      <w:r>
        <w:rPr>
          <w:rFonts w:hint="eastAsia"/>
        </w:rPr>
        <w:br w:type="page"/>
      </w:r>
      <w:bookmarkStart w:id="47" w:name="_Toc57731960"/>
      <w:r>
        <w:rPr>
          <w:rFonts w:hint="eastAsia" w:ascii="宋体" w:hAnsi="宋体" w:eastAsia="宋体"/>
          <w:b/>
          <w:szCs w:val="28"/>
        </w:rPr>
        <w:t>第二章  比选文件</w:t>
      </w:r>
      <w:bookmarkEnd w:id="47"/>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8" w:name="_Toc57731961"/>
      <w:bookmarkStart w:id="49" w:name="_Toc518494126"/>
      <w:r>
        <w:rPr>
          <w:rFonts w:hint="eastAsia" w:ascii="宋体" w:hAnsi="宋体"/>
          <w:b/>
          <w:kern w:val="0"/>
          <w:sz w:val="24"/>
          <w:szCs w:val="24"/>
        </w:rPr>
        <w:t>一、比选文件的构成</w:t>
      </w:r>
      <w:bookmarkEnd w:id="48"/>
      <w:bookmarkEnd w:id="49"/>
    </w:p>
    <w:p>
      <w:pPr>
        <w:pStyle w:val="20"/>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rPr>
        <w:t>深铁集团房地产开发企业一级资质申报服务</w:t>
      </w:r>
      <w:r>
        <w:rPr>
          <w:rFonts w:hint="eastAsia" w:ascii="宋体" w:hAnsi="宋体"/>
          <w:sz w:val="24"/>
        </w:rPr>
        <w:t>工作任务及要求、合同条款等，比选文件由下述部分组成：</w:t>
      </w:r>
    </w:p>
    <w:p>
      <w:pPr>
        <w:adjustRightInd w:val="0"/>
        <w:snapToGrid w:val="0"/>
        <w:spacing w:line="360" w:lineRule="auto"/>
        <w:ind w:left="479"/>
        <w:rPr>
          <w:rFonts w:eastAsia="Times New Roman"/>
          <w:sz w:val="24"/>
          <w:szCs w:val="32"/>
        </w:rPr>
      </w:pPr>
      <w:bookmarkStart w:id="50" w:name="_Toc57731962"/>
      <w:bookmarkStart w:id="51" w:name="_Toc518494127"/>
      <w:bookmarkStart w:id="52" w:name="_Toc197404903"/>
      <w:r>
        <w:rPr>
          <w:rFonts w:hint="eastAsia" w:ascii="宋体" w:hAnsi="宋体" w:cs="宋体"/>
          <w:sz w:val="24"/>
          <w:szCs w:val="32"/>
        </w:rPr>
        <w:t>致参选人</w:t>
      </w:r>
    </w:p>
    <w:p>
      <w:pPr>
        <w:adjustRightInd w:val="0"/>
        <w:snapToGrid w:val="0"/>
        <w:spacing w:line="360" w:lineRule="auto"/>
        <w:ind w:left="479"/>
        <w:rPr>
          <w:rFonts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rPr>
          <w:rFonts w:eastAsia="Times New Roman"/>
          <w:sz w:val="24"/>
          <w:szCs w:val="32"/>
        </w:rPr>
      </w:pPr>
      <w:r>
        <w:rPr>
          <w:rFonts w:hint="eastAsia" w:ascii="宋体" w:hAnsi="宋体" w:cs="宋体"/>
          <w:sz w:val="24"/>
          <w:szCs w:val="32"/>
        </w:rPr>
        <w:t>第一篇</w:t>
      </w:r>
      <w:r>
        <w:rPr>
          <w:rFonts w:hint="eastAsia"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rPr>
          <w:rFonts w:eastAsia="Times New Roman"/>
          <w:sz w:val="24"/>
          <w:szCs w:val="32"/>
        </w:rPr>
      </w:pPr>
      <w:r>
        <w:rPr>
          <w:rFonts w:hint="eastAsia" w:ascii="宋体" w:hAnsi="宋体" w:cs="宋体"/>
          <w:sz w:val="24"/>
          <w:szCs w:val="32"/>
        </w:rPr>
        <w:t>第二篇</w:t>
      </w:r>
      <w:r>
        <w:rPr>
          <w:rFonts w:hint="eastAsia"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rPr>
          <w:rFonts w:eastAsia="Times New Roman"/>
          <w:sz w:val="24"/>
          <w:szCs w:val="32"/>
        </w:rPr>
      </w:pPr>
      <w:r>
        <w:rPr>
          <w:rFonts w:hint="eastAsia" w:ascii="宋体" w:hAnsi="宋体" w:cs="宋体"/>
          <w:sz w:val="24"/>
          <w:szCs w:val="32"/>
        </w:rPr>
        <w:t>第三篇</w:t>
      </w:r>
      <w:r>
        <w:rPr>
          <w:rFonts w:hint="eastAsia" w:eastAsia="Times New Roman"/>
          <w:sz w:val="24"/>
          <w:szCs w:val="32"/>
        </w:rPr>
        <w:t xml:space="preserve"> </w:t>
      </w:r>
      <w:r>
        <w:rPr>
          <w:rFonts w:hint="eastAsia" w:ascii="宋体" w:hAnsi="宋体" w:cs="宋体"/>
          <w:sz w:val="24"/>
          <w:szCs w:val="32"/>
        </w:rPr>
        <w:t>合同条款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50"/>
      <w:bookmarkEnd w:id="51"/>
      <w:bookmarkEnd w:id="52"/>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ascii="宋体" w:hAnsi="宋体"/>
          <w:kern w:val="0"/>
          <w:sz w:val="24"/>
          <w:szCs w:val="24"/>
        </w:rPr>
        <w:t>深铁招采网、深圳地铁官网、国资委阳光采购平台</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参选截止日3日前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4"/>
        <w:spacing w:after="0" w:line="360" w:lineRule="auto"/>
        <w:rPr>
          <w:rFonts w:ascii="宋体" w:hAnsi="宋体" w:eastAsia="宋体"/>
          <w:b/>
          <w:szCs w:val="28"/>
        </w:rPr>
      </w:pPr>
      <w:bookmarkStart w:id="53" w:name="_Toc57731963"/>
      <w:bookmarkStart w:id="54" w:name="_Toc518494128"/>
      <w:r>
        <w:rPr>
          <w:rFonts w:hint="eastAsia" w:ascii="宋体" w:hAnsi="宋体" w:eastAsia="宋体"/>
          <w:b/>
          <w:szCs w:val="28"/>
        </w:rPr>
        <w:t>第三章  参选文件的编写</w:t>
      </w:r>
      <w:bookmarkEnd w:id="53"/>
      <w:bookmarkEnd w:id="54"/>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5" w:name="_Toc197404905"/>
      <w:bookmarkStart w:id="56" w:name="_Toc57731964"/>
      <w:bookmarkStart w:id="57" w:name="_Toc518494129"/>
      <w:r>
        <w:rPr>
          <w:rFonts w:hint="eastAsia" w:ascii="宋体" w:hAnsi="宋体"/>
          <w:b/>
          <w:kern w:val="0"/>
          <w:sz w:val="24"/>
          <w:szCs w:val="24"/>
        </w:rPr>
        <w:t>一、参选文件的组成及要求</w:t>
      </w:r>
      <w:bookmarkEnd w:id="55"/>
      <w:bookmarkEnd w:id="56"/>
      <w:bookmarkEnd w:id="57"/>
    </w:p>
    <w:p>
      <w:pPr>
        <w:pStyle w:val="20"/>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20"/>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参选文件格式要求：参选文件采用中文编写。</w:t>
      </w:r>
    </w:p>
    <w:p>
      <w:pPr>
        <w:pStyle w:val="20"/>
        <w:tabs>
          <w:tab w:val="left" w:pos="945"/>
          <w:tab w:val="left" w:pos="1275"/>
        </w:tabs>
        <w:snapToGrid w:val="0"/>
        <w:spacing w:line="360" w:lineRule="auto"/>
        <w:ind w:left="0" w:leftChars="0" w:firstLine="482" w:firstLineChars="200"/>
        <w:jc w:val="left"/>
        <w:rPr>
          <w:rFonts w:ascii="宋体" w:hAnsi="宋体"/>
          <w:b/>
          <w:bCs/>
          <w:sz w:val="24"/>
          <w:u w:val="single"/>
        </w:rPr>
      </w:pPr>
      <w:r>
        <w:rPr>
          <w:rFonts w:hint="eastAsia" w:ascii="宋体" w:hAnsi="宋体"/>
          <w:b/>
          <w:bCs/>
          <w:sz w:val="24"/>
          <w:szCs w:val="21"/>
          <w:u w:val="single"/>
        </w:rPr>
        <w:t>投标文件建议按照“技术标书”、“商务标书”分成两册后，按要求分别上传深圳地铁智能招采管理平台（</w:t>
      </w:r>
      <w:r>
        <w:rPr>
          <w:rFonts w:ascii="宋体" w:hAnsi="宋体"/>
          <w:b/>
          <w:bCs/>
          <w:sz w:val="24"/>
          <w:szCs w:val="21"/>
          <w:u w:val="single"/>
        </w:rPr>
        <w:t>https://cg.shenzhenmc.com/）</w:t>
      </w:r>
      <w:r>
        <w:rPr>
          <w:rFonts w:hint="eastAsia" w:ascii="宋体" w:hAnsi="宋体"/>
          <w:b/>
          <w:bCs/>
          <w:sz w:val="24"/>
          <w:szCs w:val="21"/>
          <w:u w:val="single"/>
        </w:rPr>
        <w:t>。</w:t>
      </w:r>
    </w:p>
    <w:p>
      <w:pPr>
        <w:keepNext/>
        <w:keepLines/>
        <w:tabs>
          <w:tab w:val="left" w:pos="1260"/>
        </w:tabs>
        <w:adjustRightInd w:val="0"/>
        <w:spacing w:line="360" w:lineRule="auto"/>
        <w:ind w:left="420" w:leftChars="200"/>
        <w:textAlignment w:val="baseline"/>
        <w:outlineLvl w:val="2"/>
        <w:rPr>
          <w:rFonts w:ascii="宋体" w:hAnsi="宋体"/>
          <w:b/>
          <w:kern w:val="0"/>
          <w:sz w:val="24"/>
          <w:szCs w:val="24"/>
        </w:rPr>
      </w:pPr>
      <w:bookmarkStart w:id="58" w:name="_Toc518494130"/>
      <w:bookmarkStart w:id="59" w:name="_Toc57731965"/>
      <w:bookmarkStart w:id="60" w:name="_Toc197404906"/>
      <w:r>
        <w:rPr>
          <w:rFonts w:hint="eastAsia" w:ascii="宋体" w:hAnsi="宋体"/>
          <w:b/>
          <w:kern w:val="0"/>
          <w:sz w:val="24"/>
          <w:szCs w:val="24"/>
        </w:rPr>
        <w:t>二、参选文件内容编写要求</w:t>
      </w:r>
      <w:bookmarkEnd w:id="5"/>
      <w:bookmarkEnd w:id="58"/>
      <w:bookmarkEnd w:id="59"/>
      <w:bookmarkEnd w:id="60"/>
    </w:p>
    <w:p>
      <w:pPr>
        <w:keepNext/>
        <w:keepLines/>
        <w:tabs>
          <w:tab w:val="left" w:pos="1260"/>
        </w:tabs>
        <w:adjustRightInd w:val="0"/>
        <w:spacing w:line="360" w:lineRule="auto"/>
        <w:ind w:firstLine="482" w:firstLineChars="200"/>
        <w:textAlignment w:val="baseline"/>
        <w:outlineLvl w:val="2"/>
        <w:rPr>
          <w:rFonts w:ascii="宋体" w:hAnsi="宋体"/>
          <w:b/>
          <w:bCs/>
          <w:color w:val="0D0D0D"/>
          <w:sz w:val="24"/>
          <w:szCs w:val="24"/>
        </w:rPr>
      </w:pPr>
      <w:r>
        <w:rPr>
          <w:rFonts w:hint="eastAsia" w:ascii="宋体" w:hAnsi="宋体"/>
          <w:b/>
          <w:bCs/>
          <w:color w:val="0D0D0D"/>
          <w:sz w:val="24"/>
          <w:szCs w:val="24"/>
        </w:rPr>
        <w:t>（一）</w:t>
      </w:r>
      <w:r>
        <w:rPr>
          <w:rFonts w:hint="eastAsia" w:ascii="宋体" w:hAnsi="宋体"/>
          <w:b/>
          <w:bCs/>
          <w:color w:val="0D0D0D"/>
          <w:sz w:val="24"/>
          <w:szCs w:val="24"/>
          <w:u w:val="single"/>
        </w:rPr>
        <w:t>“技术标书”</w:t>
      </w:r>
      <w:r>
        <w:rPr>
          <w:rFonts w:hint="eastAsia" w:ascii="宋体" w:hAnsi="宋体"/>
          <w:b/>
          <w:bCs/>
          <w:color w:val="0D0D0D"/>
          <w:sz w:val="24"/>
          <w:szCs w:val="24"/>
        </w:rPr>
        <w:t>的编写</w:t>
      </w:r>
    </w:p>
    <w:p>
      <w:pPr>
        <w:pStyle w:val="25"/>
        <w:spacing w:line="360" w:lineRule="auto"/>
        <w:ind w:left="425"/>
        <w:rPr>
          <w:rFonts w:hAnsi="宋体"/>
          <w:color w:val="0D0D0D"/>
          <w:sz w:val="24"/>
          <w:szCs w:val="24"/>
        </w:rPr>
      </w:pPr>
      <w:r>
        <w:rPr>
          <w:rFonts w:hint="eastAsia" w:hAnsi="宋体"/>
          <w:color w:val="0D0D0D"/>
          <w:sz w:val="24"/>
          <w:szCs w:val="24"/>
        </w:rPr>
        <w:t>参选人应按照比选文件第二篇“参选文件格式”中技术标书部分的要求编写技术标书，</w:t>
      </w:r>
      <w:r>
        <w:rPr>
          <w:rFonts w:hint="eastAsia" w:hAnsi="宋体"/>
          <w:b/>
          <w:bCs/>
          <w:color w:val="0D0D0D"/>
          <w:sz w:val="24"/>
          <w:szCs w:val="24"/>
        </w:rPr>
        <w:t>“技术标书”</w:t>
      </w:r>
      <w:r>
        <w:rPr>
          <w:rFonts w:hint="eastAsia" w:hAnsi="宋体"/>
          <w:color w:val="0D0D0D"/>
          <w:sz w:val="24"/>
          <w:szCs w:val="24"/>
        </w:rPr>
        <w:t>根据参选文件要求应包括以下几个主要内容：</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参选人营业执照复印件（加盖公章）；</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法定代表人资格证明书（加盖公章）；</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法定代表人身份证复印件（加盖公章，核验原件）；</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法定代表人授权委托书（如有，加盖公章）；</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被授权人身份证复印件（如有，加盖公章，核验原件）；</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资质要求的业绩证明材料（加盖公章）：</w:t>
      </w:r>
      <w:r>
        <w:rPr>
          <w:rFonts w:hint="eastAsia" w:hAnsi="宋体"/>
          <w:bCs/>
          <w:color w:val="0D0D0D"/>
          <w:sz w:val="24"/>
          <w:szCs w:val="22"/>
        </w:rPr>
        <w:t>参选</w:t>
      </w:r>
      <w:r>
        <w:rPr>
          <w:rFonts w:hint="eastAsia" w:ascii="Times New Roman" w:hAnsi="宋体"/>
          <w:bCs/>
          <w:color w:val="0D0D0D"/>
          <w:sz w:val="24"/>
          <w:szCs w:val="22"/>
        </w:rPr>
        <w:t>单位自2019年</w:t>
      </w:r>
      <w:r>
        <w:rPr>
          <w:rFonts w:hint="eastAsia" w:ascii="Times New Roman" w:hAnsi="宋体"/>
          <w:bCs/>
          <w:color w:val="0D0D0D"/>
          <w:sz w:val="24"/>
          <w:szCs w:val="22"/>
          <w:lang w:val="en-US" w:eastAsia="zh-CN"/>
        </w:rPr>
        <w:t>7</w:t>
      </w:r>
      <w:r>
        <w:rPr>
          <w:rFonts w:hint="eastAsia" w:ascii="Times New Roman" w:hAnsi="宋体"/>
          <w:bCs/>
          <w:color w:val="0D0D0D"/>
          <w:sz w:val="24"/>
          <w:szCs w:val="22"/>
        </w:rPr>
        <w:t>月1日之后，深圳市房地产开发企业一级资质办理成功案例一个，提供合同完整文本及一级资质办理成功相关证明（时间以合同签订时间为准，复印件加盖公章，原件备查）。</w:t>
      </w:r>
    </w:p>
    <w:p>
      <w:pPr>
        <w:pStyle w:val="25"/>
        <w:numPr>
          <w:ilvl w:val="0"/>
          <w:numId w:val="6"/>
        </w:numPr>
        <w:spacing w:line="360" w:lineRule="auto"/>
        <w:ind w:left="420"/>
        <w:rPr>
          <w:rFonts w:hAnsi="宋体"/>
          <w:color w:val="0D0D0D"/>
          <w:sz w:val="24"/>
          <w:szCs w:val="24"/>
        </w:rPr>
      </w:pPr>
      <w:r>
        <w:rPr>
          <w:rFonts w:hint="eastAsia" w:hAnsi="宋体"/>
          <w:color w:val="0D0D0D"/>
          <w:sz w:val="24"/>
          <w:szCs w:val="24"/>
        </w:rPr>
        <w:t>技术标评审所需证明材料：</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①需提供能证明公司注册资金的市场监督局网站工商信息查询页，并加盖参选单位公章；</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②提供参选单位自2019年1月1日之后，深圳市房地产开发企业一级资质办理成功案例，以上案例均需提供服务合同关键页（包括工作内容、签约时间、合同签署页）及一级资质办理成功相关证明复印件，时间以合同签约时间为准；</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③需提供营业执照或办公场地租赁合同或房屋所有证或其它物管单位证明文件的复印件，并加盖参选单位公章；</w:t>
      </w:r>
    </w:p>
    <w:p>
      <w:pPr>
        <w:pStyle w:val="21"/>
        <w:rPr>
          <w:rFonts w:ascii="Arial" w:hAnsi="Arial"/>
          <w:color w:val="auto"/>
          <w:sz w:val="21"/>
          <w:szCs w:val="21"/>
          <w:highlight w:val="none"/>
        </w:rPr>
      </w:pPr>
      <w:r>
        <w:rPr>
          <w:rFonts w:hint="eastAsia" w:ascii="宋体" w:hAnsi="宋体"/>
          <w:color w:val="0D0D0D"/>
          <w:sz w:val="24"/>
          <w:szCs w:val="24"/>
          <w:highlight w:val="none"/>
        </w:rPr>
        <w:t xml:space="preserve">    ④提供申报方案，整体方案详尽细致，重点关注对资质办理中疑难点问题的解决能力，并突出方案亮点。</w:t>
      </w:r>
    </w:p>
    <w:p>
      <w:pPr>
        <w:pStyle w:val="20"/>
        <w:snapToGrid w:val="0"/>
        <w:spacing w:after="0" w:line="360" w:lineRule="auto"/>
        <w:ind w:leftChars="0"/>
        <w:rPr>
          <w:rFonts w:ascii="宋体" w:hAnsi="宋体"/>
          <w:color w:val="0D0D0D"/>
          <w:sz w:val="24"/>
          <w:szCs w:val="24"/>
        </w:rPr>
      </w:pPr>
      <w:r>
        <w:rPr>
          <w:rFonts w:hint="eastAsia" w:ascii="宋体" w:hAnsi="宋体"/>
          <w:color w:val="0D0D0D"/>
          <w:sz w:val="24"/>
          <w:szCs w:val="24"/>
          <w:highlight w:val="none"/>
        </w:rPr>
        <w:t>项目资料真实性及业绩由参选人负责核实，以上提供的证书（证件等）必须在有效期内，</w:t>
      </w:r>
      <w:r>
        <w:rPr>
          <w:rFonts w:hint="eastAsia" w:ascii="宋体" w:hAnsi="宋体"/>
          <w:color w:val="0D0D0D"/>
          <w:sz w:val="24"/>
          <w:szCs w:val="24"/>
        </w:rPr>
        <w:t>并加盖公章。若比选人查实上述信息不真实，参选人将负全责。</w:t>
      </w:r>
    </w:p>
    <w:p>
      <w:pPr>
        <w:pStyle w:val="20"/>
        <w:snapToGrid w:val="0"/>
        <w:spacing w:after="0" w:line="360" w:lineRule="auto"/>
        <w:ind w:leftChars="0"/>
        <w:rPr>
          <w:rFonts w:ascii="宋体" w:hAnsi="宋体"/>
          <w:b/>
          <w:bCs/>
          <w:color w:val="0D0D0D"/>
          <w:sz w:val="24"/>
          <w:szCs w:val="24"/>
        </w:rPr>
      </w:pPr>
      <w:r>
        <w:rPr>
          <w:rFonts w:hint="eastAsia" w:ascii="宋体" w:hAnsi="宋体"/>
          <w:b/>
          <w:bCs/>
          <w:color w:val="0D0D0D"/>
          <w:sz w:val="24"/>
          <w:szCs w:val="24"/>
        </w:rPr>
        <w:t>（二）</w:t>
      </w:r>
      <w:r>
        <w:rPr>
          <w:rFonts w:hint="eastAsia" w:ascii="宋体" w:hAnsi="宋体"/>
          <w:b/>
          <w:bCs/>
          <w:color w:val="0D0D0D"/>
          <w:sz w:val="24"/>
          <w:szCs w:val="24"/>
          <w:u w:val="single"/>
        </w:rPr>
        <w:t>“商务标书”</w:t>
      </w:r>
      <w:r>
        <w:rPr>
          <w:rFonts w:hint="eastAsia" w:ascii="宋体" w:hAnsi="宋体"/>
          <w:b/>
          <w:bCs/>
          <w:color w:val="0D0D0D"/>
          <w:sz w:val="24"/>
          <w:szCs w:val="24"/>
        </w:rPr>
        <w:t>的编写</w:t>
      </w:r>
    </w:p>
    <w:p>
      <w:pPr>
        <w:pStyle w:val="25"/>
        <w:spacing w:line="360" w:lineRule="auto"/>
        <w:ind w:left="425"/>
        <w:rPr>
          <w:rFonts w:hAnsi="宋体"/>
          <w:sz w:val="24"/>
          <w:szCs w:val="24"/>
        </w:rPr>
      </w:pPr>
      <w:r>
        <w:rPr>
          <w:rFonts w:hint="eastAsia" w:hAnsi="宋体"/>
          <w:color w:val="0D0D0D" w:themeColor="text1" w:themeTint="F2"/>
          <w:sz w:val="24"/>
          <w:szCs w:val="24"/>
          <w14:textFill>
            <w14:solidFill>
              <w14:schemeClr w14:val="tx1">
                <w14:lumMod w14:val="95000"/>
                <w14:lumOff w14:val="5000"/>
              </w14:schemeClr>
            </w14:solidFill>
          </w14:textFill>
        </w:rPr>
        <w:t>1.商务标书应包括以</w:t>
      </w:r>
      <w:r>
        <w:rPr>
          <w:rFonts w:hint="eastAsia" w:hAnsi="宋体"/>
          <w:sz w:val="24"/>
          <w:szCs w:val="24"/>
        </w:rPr>
        <w:t>下几个主要内容：</w:t>
      </w:r>
    </w:p>
    <w:p>
      <w:pPr>
        <w:pStyle w:val="25"/>
        <w:tabs>
          <w:tab w:val="left" w:pos="6300"/>
        </w:tabs>
        <w:spacing w:line="360" w:lineRule="auto"/>
        <w:ind w:left="425" w:firstLine="480" w:firstLineChars="200"/>
        <w:rPr>
          <w:rFonts w:hAnsi="宋体"/>
          <w:color w:val="0D0D0D"/>
          <w:sz w:val="24"/>
          <w:szCs w:val="24"/>
        </w:rPr>
      </w:pPr>
      <w:r>
        <w:rPr>
          <w:rFonts w:hint="eastAsia" w:hAnsi="宋体"/>
          <w:color w:val="0D0D0D"/>
          <w:sz w:val="24"/>
          <w:szCs w:val="24"/>
        </w:rPr>
        <w:t>深铁集团房地产开发企业一级资质申报服务</w:t>
      </w:r>
      <w:r>
        <w:rPr>
          <w:rFonts w:hint="eastAsia" w:hAnsi="宋体"/>
          <w:sz w:val="24"/>
          <w:szCs w:val="24"/>
        </w:rPr>
        <w:t>商务标书</w:t>
      </w:r>
    </w:p>
    <w:p>
      <w:pPr>
        <w:widowControl/>
        <w:overflowPunct w:val="0"/>
        <w:autoSpaceDE w:val="0"/>
        <w:autoSpaceDN w:val="0"/>
        <w:adjustRightInd w:val="0"/>
        <w:spacing w:line="360" w:lineRule="auto"/>
        <w:ind w:left="480"/>
        <w:jc w:val="left"/>
        <w:textAlignment w:val="baseline"/>
        <w:rPr>
          <w:rFonts w:ascii="宋体" w:hAnsi="宋体"/>
          <w:sz w:val="24"/>
          <w:szCs w:val="24"/>
        </w:rPr>
      </w:pPr>
      <w:r>
        <w:rPr>
          <w:rFonts w:hint="eastAsia" w:ascii="宋体" w:hAnsi="宋体"/>
          <w:sz w:val="24"/>
          <w:szCs w:val="24"/>
        </w:rPr>
        <w:t>（1）参选函；</w:t>
      </w:r>
      <w:r>
        <w:rPr>
          <w:rFonts w:hint="eastAsia" w:ascii="宋体" w:hAnsi="宋体"/>
          <w:sz w:val="24"/>
        </w:rPr>
        <w:t>（2）报价表。</w:t>
      </w:r>
    </w:p>
    <w:p>
      <w:pPr>
        <w:pStyle w:val="20"/>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20"/>
        <w:snapToGrid w:val="0"/>
        <w:spacing w:line="360" w:lineRule="auto"/>
        <w:ind w:left="0" w:leftChars="0" w:firstLine="480" w:firstLineChars="200"/>
        <w:rPr>
          <w:rFonts w:ascii="宋体" w:hAnsi="宋体"/>
          <w:sz w:val="24"/>
          <w:szCs w:val="24"/>
        </w:rPr>
      </w:pPr>
      <w:bookmarkStart w:id="61" w:name="_Toc402782173"/>
      <w:bookmarkStart w:id="62" w:name="_Toc197404910"/>
      <w:r>
        <w:rPr>
          <w:rFonts w:hint="eastAsia" w:ascii="宋体" w:hAnsi="宋体"/>
          <w:sz w:val="24"/>
          <w:szCs w:val="24"/>
        </w:rPr>
        <w:t>3．比选人认为参选人自备设施、工作人员的保险及劳动保护等费用已包含在参选人的参选报价中。</w:t>
      </w:r>
    </w:p>
    <w:p>
      <w:pPr>
        <w:pStyle w:val="20"/>
        <w:snapToGrid w:val="0"/>
        <w:spacing w:line="360" w:lineRule="auto"/>
        <w:ind w:left="0" w:leftChars="0" w:firstLine="480" w:firstLineChars="200"/>
        <w:rPr>
          <w:rFonts w:ascii="宋体" w:hAnsi="宋体"/>
          <w:sz w:val="24"/>
          <w:szCs w:val="24"/>
        </w:rPr>
      </w:pPr>
      <w:r>
        <w:rPr>
          <w:rFonts w:hint="eastAsia" w:ascii="宋体" w:hAnsi="宋体"/>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pPr>
        <w:pStyle w:val="20"/>
        <w:snapToGrid w:val="0"/>
        <w:spacing w:line="360" w:lineRule="auto"/>
        <w:ind w:left="0" w:leftChars="0" w:firstLine="480" w:firstLineChars="200"/>
        <w:rPr>
          <w:rFonts w:ascii="宋体" w:hAnsi="宋体"/>
          <w:sz w:val="24"/>
          <w:szCs w:val="24"/>
        </w:rPr>
      </w:pPr>
      <w:r>
        <w:rPr>
          <w:rFonts w:hint="eastAsia" w:ascii="宋体" w:hAnsi="宋体"/>
          <w:sz w:val="24"/>
          <w:szCs w:val="24"/>
        </w:rPr>
        <w:t>5．本次参选报价为服务总报价，</w:t>
      </w:r>
      <w:r>
        <w:rPr>
          <w:rFonts w:hint="eastAsia" w:ascii="宋体" w:hAnsi="宋体"/>
          <w:color w:val="0D0D0D" w:themeColor="text1" w:themeTint="F2"/>
          <w:sz w:val="24"/>
          <w:szCs w:val="24"/>
          <w14:textFill>
            <w14:solidFill>
              <w14:schemeClr w14:val="tx1">
                <w14:lumMod w14:val="95000"/>
                <w14:lumOff w14:val="5000"/>
              </w14:schemeClr>
            </w14:solidFill>
          </w14:textFill>
        </w:rPr>
        <w:t>最高限价为人民币</w:t>
      </w:r>
      <w:r>
        <w:rPr>
          <w:rFonts w:ascii="宋体" w:hAnsi="宋体"/>
          <w:b/>
          <w:bCs/>
          <w:color w:val="0D0D0D" w:themeColor="text1" w:themeTint="F2"/>
          <w:sz w:val="24"/>
          <w:szCs w:val="24"/>
          <w:u w:val="single"/>
          <w14:textFill>
            <w14:solidFill>
              <w14:schemeClr w14:val="tx1">
                <w14:lumMod w14:val="95000"/>
                <w14:lumOff w14:val="5000"/>
              </w14:schemeClr>
            </w14:solidFill>
          </w14:textFill>
        </w:rPr>
        <w:t>120</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万元（含税）</w:t>
      </w:r>
      <w:r>
        <w:rPr>
          <w:rFonts w:hint="eastAsia" w:ascii="宋体" w:hAnsi="宋体"/>
          <w:color w:val="0D0D0D" w:themeColor="text1" w:themeTint="F2"/>
          <w:sz w:val="24"/>
          <w:szCs w:val="24"/>
          <w14:textFill>
            <w14:solidFill>
              <w14:schemeClr w14:val="tx1">
                <w14:lumMod w14:val="95000"/>
                <w14:lumOff w14:val="5000"/>
              </w14:schemeClr>
            </w14:solidFill>
          </w14:textFill>
        </w:rPr>
        <w:t>。参选人报价高于总额最高上限价将作为无效标处理</w:t>
      </w:r>
      <w:r>
        <w:rPr>
          <w:rFonts w:hint="eastAsia" w:ascii="宋体" w:hAnsi="宋体"/>
          <w:sz w:val="24"/>
          <w:szCs w:val="24"/>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3" w:name="_Toc57731966"/>
      <w:r>
        <w:rPr>
          <w:rFonts w:hint="eastAsia" w:ascii="宋体" w:hAnsi="宋体"/>
          <w:b/>
          <w:kern w:val="0"/>
          <w:sz w:val="24"/>
          <w:szCs w:val="24"/>
        </w:rPr>
        <w:t>三、参选人的承诺</w:t>
      </w:r>
      <w:bookmarkEnd w:id="63"/>
      <w:r>
        <w:rPr>
          <w:rFonts w:hint="eastAsia" w:ascii="宋体" w:hAnsi="宋体"/>
          <w:b/>
          <w:kern w:val="0"/>
          <w:sz w:val="24"/>
          <w:szCs w:val="24"/>
        </w:rPr>
        <w:t xml:space="preserve"> </w:t>
      </w:r>
    </w:p>
    <w:p>
      <w:pPr>
        <w:pStyle w:val="20"/>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20"/>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20"/>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20"/>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20"/>
        <w:numPr>
          <w:ilvl w:val="255"/>
          <w:numId w:val="0"/>
        </w:numPr>
        <w:spacing w:after="0" w:line="360" w:lineRule="auto"/>
        <w:ind w:left="96" w:firstLine="324" w:firstLineChars="135"/>
        <w:rPr>
          <w:rFonts w:ascii="宋体" w:hAnsi="宋体"/>
          <w:sz w:val="24"/>
        </w:rPr>
      </w:pPr>
      <w:r>
        <w:rPr>
          <w:rFonts w:hint="eastAsia" w:ascii="宋体" w:hAnsi="宋体"/>
          <w:sz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4"/>
        <w:spacing w:line="360" w:lineRule="auto"/>
        <w:rPr>
          <w:rFonts w:ascii="宋体" w:hAnsi="宋体" w:eastAsia="宋体"/>
          <w:b/>
          <w:szCs w:val="28"/>
        </w:rPr>
      </w:pPr>
      <w:bookmarkStart w:id="64" w:name="_Toc197404908"/>
      <w:bookmarkStart w:id="65" w:name="_Toc518494132"/>
      <w:bookmarkStart w:id="66" w:name="_Toc57731967"/>
      <w:r>
        <w:rPr>
          <w:rFonts w:hint="eastAsia" w:ascii="宋体" w:hAnsi="宋体" w:eastAsia="宋体"/>
          <w:b/>
          <w:szCs w:val="28"/>
        </w:rPr>
        <w:t>第四章 参选文件的签章要求</w:t>
      </w:r>
      <w:bookmarkEnd w:id="64"/>
      <w:bookmarkEnd w:id="65"/>
      <w:bookmarkEnd w:id="66"/>
    </w:p>
    <w:p>
      <w:pPr>
        <w:pStyle w:val="20"/>
        <w:snapToGrid w:val="0"/>
        <w:spacing w:line="360" w:lineRule="auto"/>
        <w:ind w:left="0" w:leftChars="0" w:firstLine="482" w:firstLineChars="200"/>
        <w:rPr>
          <w:rFonts w:ascii="宋体" w:hAnsi="宋体"/>
          <w:b/>
          <w:color w:val="0D0D0D"/>
          <w:sz w:val="24"/>
        </w:rPr>
      </w:pPr>
      <w:bookmarkStart w:id="67" w:name="_Toc36527859"/>
      <w:bookmarkStart w:id="68" w:name="_Toc518494133"/>
      <w:bookmarkStart w:id="69" w:name="_Toc197404909"/>
      <w:bookmarkStart w:id="70" w:name="_Toc57731971"/>
      <w:r>
        <w:rPr>
          <w:rFonts w:hint="eastAsia" w:ascii="宋体" w:hAnsi="宋体"/>
          <w:b/>
          <w:color w:val="0D0D0D"/>
          <w:sz w:val="24"/>
        </w:rPr>
        <w:t>一、参选文件的份数</w:t>
      </w:r>
    </w:p>
    <w:p>
      <w:pPr>
        <w:pStyle w:val="20"/>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“技术标书”；1套“商务标书”</w:t>
      </w:r>
      <w:r>
        <w:rPr>
          <w:rFonts w:hint="eastAsia" w:ascii="宋体" w:hAnsi="宋体"/>
          <w:color w:val="0D0D0D"/>
          <w:sz w:val="24"/>
        </w:rPr>
        <w:t>。</w:t>
      </w:r>
    </w:p>
    <w:p>
      <w:pPr>
        <w:pStyle w:val="20"/>
        <w:snapToGrid w:val="0"/>
        <w:spacing w:line="360" w:lineRule="auto"/>
        <w:ind w:left="0" w:leftChars="0" w:firstLine="482" w:firstLineChars="200"/>
        <w:rPr>
          <w:rFonts w:ascii="宋体" w:hAnsi="宋体"/>
          <w:b/>
          <w:color w:val="0D0D0D"/>
          <w:sz w:val="24"/>
        </w:rPr>
      </w:pPr>
      <w:r>
        <w:rPr>
          <w:rFonts w:hint="eastAsia" w:ascii="宋体" w:hAnsi="宋体"/>
          <w:b/>
          <w:color w:val="0D0D0D"/>
          <w:sz w:val="24"/>
        </w:rPr>
        <w:t>二、参选文件的签章</w:t>
      </w:r>
    </w:p>
    <w:p>
      <w:pPr>
        <w:pStyle w:val="20"/>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（一）所有参选文件（正、副本）均须加按要求盖公章。</w:t>
      </w:r>
    </w:p>
    <w:p>
      <w:pPr>
        <w:pStyle w:val="20"/>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20"/>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20"/>
        <w:snapToGrid w:val="0"/>
        <w:spacing w:line="360" w:lineRule="auto"/>
        <w:ind w:left="0" w:leftChars="0" w:firstLine="482" w:firstLineChars="200"/>
        <w:rPr>
          <w:rFonts w:ascii="宋体" w:hAnsi="宋体"/>
          <w:b/>
          <w:color w:val="0D0D0D"/>
          <w:sz w:val="24"/>
        </w:rPr>
      </w:pPr>
      <w:bookmarkStart w:id="71" w:name="_Toc36527858"/>
      <w:r>
        <w:rPr>
          <w:rFonts w:hint="eastAsia" w:ascii="宋体" w:hAnsi="宋体"/>
          <w:b/>
          <w:color w:val="0D0D0D"/>
          <w:sz w:val="24"/>
        </w:rPr>
        <w:t>三、参选文件的</w:t>
      </w:r>
      <w:bookmarkEnd w:id="71"/>
      <w:r>
        <w:rPr>
          <w:rFonts w:hint="eastAsia" w:ascii="宋体" w:hAnsi="宋体"/>
          <w:b/>
          <w:color w:val="0D0D0D"/>
          <w:sz w:val="24"/>
        </w:rPr>
        <w:t>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color w:val="0D0D0D"/>
          <w:sz w:val="24"/>
        </w:rPr>
        <w:t>将参选文件的所有技术标书</w:t>
      </w:r>
      <w:r>
        <w:rPr>
          <w:rFonts w:ascii="宋体" w:hAnsi="宋体"/>
          <w:b/>
          <w:color w:val="0D0D0D"/>
          <w:sz w:val="24"/>
        </w:rPr>
        <w:t>、</w:t>
      </w:r>
      <w:r>
        <w:rPr>
          <w:rFonts w:hint="eastAsia" w:ascii="宋体" w:hAnsi="宋体"/>
          <w:b/>
          <w:color w:val="0D0D0D"/>
          <w:sz w:val="24"/>
        </w:rPr>
        <w:t>商务标书分别按要求编写分册，按如下要求加写标识：</w:t>
      </w:r>
    </w:p>
    <w:p>
      <w:pPr>
        <w:adjustRightInd w:val="0"/>
        <w:snapToGrid w:val="0"/>
        <w:spacing w:line="360" w:lineRule="auto"/>
        <w:ind w:firstLine="482" w:firstLineChars="200"/>
        <w:rPr>
          <w:rFonts w:ascii="宋体" w:hAnsi="宋体"/>
          <w:b/>
          <w:sz w:val="24"/>
          <w:szCs w:val="24"/>
          <w:u w:val="single"/>
        </w:rPr>
      </w:pPr>
      <w:r>
        <w:rPr>
          <w:rFonts w:hint="eastAsia" w:ascii="宋体" w:hAnsi="宋体"/>
          <w:b/>
          <w:sz w:val="24"/>
          <w:szCs w:val="24"/>
        </w:rPr>
        <w:t>项目名称：</w:t>
      </w:r>
      <w:r>
        <w:rPr>
          <w:rFonts w:hint="eastAsia" w:ascii="宋体" w:hAnsi="宋体"/>
          <w:b/>
          <w:sz w:val="24"/>
          <w:szCs w:val="24"/>
          <w:u w:val="single"/>
        </w:rPr>
        <w:t>深铁集团房地产开发企业一级资质申报服务参选文件</w:t>
      </w:r>
    </w:p>
    <w:p>
      <w:pPr>
        <w:adjustRightInd w:val="0"/>
        <w:snapToGrid w:val="0"/>
        <w:spacing w:line="360" w:lineRule="auto"/>
        <w:ind w:firstLine="482" w:firstLineChars="200"/>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pPr>
        <w:adjustRightInd w:val="0"/>
        <w:snapToGrid w:val="0"/>
        <w:spacing w:line="360" w:lineRule="auto"/>
        <w:ind w:firstLine="482" w:firstLineChars="200"/>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pPr>
        <w:adjustRightInd w:val="0"/>
        <w:snapToGrid w:val="0"/>
        <w:spacing w:line="360" w:lineRule="auto"/>
        <w:ind w:firstLine="482" w:firstLineChars="200"/>
        <w:rPr>
          <w:rFonts w:ascii="宋体" w:hAnsi="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2022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Cs w:val="21"/>
        </w:rPr>
        <w:br w:type="page"/>
      </w:r>
    </w:p>
    <w:p>
      <w:pPr>
        <w:pStyle w:val="4"/>
        <w:spacing w:before="140" w:after="0" w:line="360" w:lineRule="auto"/>
        <w:rPr>
          <w:rFonts w:ascii="宋体" w:hAnsi="宋体" w:eastAsia="宋体"/>
          <w:b/>
        </w:rPr>
      </w:pPr>
      <w:r>
        <w:rPr>
          <w:rFonts w:hint="eastAsia" w:ascii="宋体" w:hAnsi="宋体" w:eastAsia="宋体"/>
          <w:b/>
        </w:rPr>
        <w:t xml:space="preserve">第五章 </w:t>
      </w:r>
      <w:bookmarkEnd w:id="67"/>
      <w:r>
        <w:rPr>
          <w:rFonts w:hint="eastAsia" w:ascii="宋体" w:hAnsi="宋体" w:eastAsia="宋体"/>
          <w:b/>
        </w:rPr>
        <w:t>参选文件递交</w:t>
      </w:r>
      <w:bookmarkEnd w:id="68"/>
      <w:bookmarkEnd w:id="69"/>
      <w:bookmarkEnd w:id="70"/>
    </w:p>
    <w:p>
      <w:pPr>
        <w:spacing w:line="360" w:lineRule="auto"/>
        <w:ind w:firstLine="482" w:firstLineChars="200"/>
        <w:rPr>
          <w:rFonts w:ascii="宋体" w:hAnsi="宋体"/>
          <w:b/>
          <w:bCs/>
          <w:sz w:val="24"/>
        </w:rPr>
      </w:pPr>
      <w:r>
        <w:rPr>
          <w:rFonts w:hint="eastAsia" w:ascii="宋体" w:hAnsi="宋体"/>
          <w:b/>
          <w:bCs/>
          <w:sz w:val="24"/>
        </w:rPr>
        <w:t>一、参选人应按本参选须知规定的平台地点、日期和时间递交参选文件。</w:t>
      </w:r>
    </w:p>
    <w:p>
      <w:pPr>
        <w:numPr>
          <w:ilvl w:val="255"/>
          <w:numId w:val="0"/>
        </w:numPr>
        <w:adjustRightInd w:val="0"/>
        <w:snapToGrid w:val="0"/>
        <w:spacing w:line="360" w:lineRule="auto"/>
        <w:ind w:left="420" w:leftChars="200"/>
        <w:rPr>
          <w:rFonts w:ascii="宋体" w:hAnsi="宋体"/>
          <w:bCs/>
          <w:sz w:val="24"/>
          <w:szCs w:val="24"/>
        </w:rPr>
      </w:pPr>
      <w:bookmarkStart w:id="72" w:name="_Toc36527860"/>
      <w:r>
        <w:rPr>
          <w:rFonts w:ascii="宋体" w:hAnsi="宋体"/>
          <w:bCs/>
          <w:sz w:val="24"/>
          <w:szCs w:val="24"/>
        </w:rPr>
        <w:t>电子版参选文件递交平台：</w:t>
      </w:r>
      <w:r>
        <w:rPr>
          <w:rFonts w:hint="eastAsia" w:ascii="宋体" w:hAnsi="宋体"/>
          <w:bCs/>
          <w:sz w:val="24"/>
          <w:szCs w:val="24"/>
        </w:rPr>
        <w:t>深圳地铁智能招采管理平台（</w:t>
      </w:r>
      <w:r>
        <w:rPr>
          <w:rFonts w:ascii="宋体" w:hAnsi="宋体"/>
          <w:bCs/>
          <w:sz w:val="24"/>
          <w:szCs w:val="24"/>
        </w:rPr>
        <w:t>https://cg.shenzhenmc.com/）</w:t>
      </w:r>
      <w:r>
        <w:rPr>
          <w:rFonts w:hint="eastAsia" w:ascii="宋体" w:hAnsi="宋体"/>
          <w:bCs/>
          <w:sz w:val="24"/>
          <w:szCs w:val="24"/>
        </w:rPr>
        <w:t>。</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文件的签署人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spacing w:line="360" w:lineRule="auto"/>
        <w:ind w:firstLine="482" w:firstLineChars="200"/>
        <w:rPr>
          <w:rFonts w:ascii="宋体" w:hAnsi="宋体"/>
          <w:sz w:val="24"/>
        </w:rPr>
      </w:pPr>
      <w:r>
        <w:rPr>
          <w:rFonts w:hint="eastAsia" w:ascii="宋体" w:hAnsi="宋体"/>
          <w:b/>
          <w:bCs/>
          <w:sz w:val="24"/>
        </w:rPr>
        <w:t>二、迟到的参选文件</w:t>
      </w:r>
      <w:bookmarkEnd w:id="72"/>
    </w:p>
    <w:p>
      <w:pPr>
        <w:spacing w:line="360" w:lineRule="auto"/>
        <w:ind w:firstLine="480" w:firstLineChars="200"/>
        <w:rPr>
          <w:rFonts w:ascii="宋体" w:hAnsi="宋体"/>
          <w:b/>
          <w:sz w:val="24"/>
        </w:rPr>
      </w:pPr>
      <w:r>
        <w:rPr>
          <w:rFonts w:hint="eastAsia" w:ascii="宋体" w:hAnsi="宋体"/>
          <w:sz w:val="24"/>
        </w:rPr>
        <w:t>在本参选须知第一章第四条规定的参选截止期以后上传至</w:t>
      </w:r>
      <w:r>
        <w:rPr>
          <w:rFonts w:hint="eastAsia" w:ascii="宋体" w:hAnsi="宋体"/>
          <w:bCs/>
          <w:sz w:val="24"/>
          <w:szCs w:val="24"/>
        </w:rPr>
        <w:t>深圳地铁智能招采管理平台</w:t>
      </w:r>
      <w:r>
        <w:rPr>
          <w:rFonts w:hint="eastAsia" w:ascii="宋体" w:hAnsi="宋体"/>
          <w:sz w:val="24"/>
        </w:rPr>
        <w:t>的参选文件将不予受理。参选人在递交参选文件时应遵照工作人员的安排有秩序地进行。</w:t>
      </w:r>
    </w:p>
    <w:p>
      <w:pPr>
        <w:pStyle w:val="4"/>
        <w:spacing w:after="0" w:line="360" w:lineRule="auto"/>
        <w:rPr>
          <w:rFonts w:ascii="宋体" w:hAnsi="宋体" w:eastAsia="宋体"/>
          <w:b/>
        </w:rPr>
      </w:pPr>
      <w:bookmarkStart w:id="73" w:name="_Toc57731972"/>
      <w:r>
        <w:rPr>
          <w:rFonts w:hint="eastAsia" w:ascii="宋体" w:hAnsi="宋体" w:eastAsia="宋体"/>
          <w:b/>
        </w:rPr>
        <w:t>第六章  参选有效期</w:t>
      </w:r>
      <w:bookmarkEnd w:id="73"/>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4"/>
        <w:spacing w:after="0" w:line="360" w:lineRule="auto"/>
        <w:rPr>
          <w:rFonts w:ascii="宋体" w:hAnsi="宋体" w:eastAsia="宋体"/>
          <w:b/>
        </w:rPr>
      </w:pPr>
      <w:bookmarkStart w:id="74" w:name="_Toc57731973"/>
      <w:bookmarkStart w:id="75" w:name="_Toc518494135"/>
      <w:r>
        <w:rPr>
          <w:rFonts w:hint="eastAsia" w:ascii="宋体" w:hAnsi="宋体" w:eastAsia="宋体"/>
          <w:b/>
        </w:rPr>
        <w:t>第七章  开标</w:t>
      </w:r>
      <w:bookmarkEnd w:id="74"/>
      <w:bookmarkEnd w:id="75"/>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一、截标后首先进入开标环节，比选人将于参选须知所规定的时间和地点公开举行开标会议，所有参选人代表均可参加。</w:t>
      </w:r>
    </w:p>
    <w:p>
      <w:pPr>
        <w:spacing w:line="360" w:lineRule="auto"/>
        <w:ind w:firstLine="480" w:firstLineChars="200"/>
        <w:rPr>
          <w:rFonts w:ascii="宋体" w:hAnsi="宋体"/>
          <w:sz w:val="24"/>
          <w:szCs w:val="24"/>
        </w:rPr>
      </w:pPr>
      <w:r>
        <w:rPr>
          <w:rFonts w:hint="eastAsia" w:ascii="宋体" w:hAnsi="宋体"/>
          <w:sz w:val="24"/>
          <w:szCs w:val="24"/>
        </w:rPr>
        <w:t>二、若参选人参加开标现场会议，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四、由比选人监审人员及参选人监督检查所有参选文件的上传情况，也可以由比选人委托的公证机构进行检查并公证。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76" w:name="_Hlk77375959"/>
      <w:r>
        <w:rPr>
          <w:rFonts w:hint="eastAsia" w:ascii="宋体" w:hAnsi="宋体"/>
          <w:sz w:val="24"/>
          <w:szCs w:val="24"/>
        </w:rPr>
        <w:t>经确认无误后，</w:t>
      </w:r>
      <w:bookmarkStart w:id="77" w:name="_Hlk77373092"/>
      <w:r>
        <w:rPr>
          <w:rFonts w:hint="eastAsia" w:ascii="宋体" w:hAnsi="宋体"/>
          <w:sz w:val="24"/>
          <w:szCs w:val="24"/>
        </w:rPr>
        <w:t>由比选人</w:t>
      </w:r>
      <w:r>
        <w:rPr>
          <w:rFonts w:hint="eastAsia" w:ascii="宋体" w:hAnsi="宋体"/>
          <w:bCs w:val="0"/>
          <w:sz w:val="24"/>
          <w:szCs w:val="24"/>
        </w:rPr>
        <w:t>当众在线开启所有参选文件，先开技术标，再开商务标</w:t>
      </w:r>
      <w:r>
        <w:rPr>
          <w:rFonts w:hint="eastAsia" w:ascii="宋体" w:hAnsi="宋体"/>
          <w:sz w:val="24"/>
          <w:szCs w:val="24"/>
        </w:rPr>
        <w:t>。比选人工作人员宣读参选人名称、参选报价等</w:t>
      </w:r>
      <w:bookmarkEnd w:id="76"/>
      <w:bookmarkEnd w:id="77"/>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六、比选人将作开标记录，以存档备查。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sz w:val="24"/>
          <w:szCs w:val="24"/>
        </w:rPr>
      </w:pPr>
      <w:r>
        <w:rPr>
          <w:rFonts w:hint="eastAsia" w:ascii="宋体" w:hAnsi="宋体"/>
          <w:sz w:val="24"/>
          <w:szCs w:val="24"/>
        </w:rPr>
        <w:t>八、开标结束后，进入评标环节。</w:t>
      </w:r>
      <w:r>
        <w:rPr>
          <w:rFonts w:hint="eastAsia" w:ascii="宋体" w:hAnsi="宋体"/>
          <w:bCs w:val="0"/>
          <w:sz w:val="24"/>
          <w:szCs w:val="24"/>
        </w:rPr>
        <w:t>根据评标“先评技术标，再评商务标”的原则，比选人先仅将技术标书移交评标委员会</w:t>
      </w:r>
      <w:r>
        <w:rPr>
          <w:rFonts w:ascii="宋体" w:hAnsi="宋体"/>
          <w:bCs w:val="0"/>
          <w:sz w:val="24"/>
          <w:szCs w:val="24"/>
        </w:rPr>
        <w:t>,待技术标书评审完成后再移交商务标书。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（2）参选文件未按规定编制并加盖参选人公章的；</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4"/>
        <w:spacing w:after="0" w:line="360" w:lineRule="auto"/>
        <w:rPr>
          <w:rFonts w:ascii="宋体" w:hAnsi="宋体" w:eastAsia="宋体"/>
          <w:b/>
        </w:rPr>
      </w:pPr>
      <w:bookmarkStart w:id="78" w:name="_Toc57731974"/>
      <w:bookmarkStart w:id="79" w:name="_Toc518494136"/>
      <w:r>
        <w:rPr>
          <w:rFonts w:hint="eastAsia" w:ascii="宋体" w:hAnsi="宋体" w:eastAsia="宋体"/>
          <w:b/>
        </w:rPr>
        <w:t>第八章 评标</w:t>
      </w:r>
      <w:bookmarkEnd w:id="78"/>
      <w:bookmarkEnd w:id="79"/>
    </w:p>
    <w:p>
      <w:pPr>
        <w:pStyle w:val="237"/>
        <w:spacing w:line="360" w:lineRule="auto"/>
        <w:ind w:firstLine="480" w:firstLineChars="200"/>
        <w:rPr>
          <w:rFonts w:ascii="宋体" w:hAnsi="宋体"/>
          <w:bCs/>
          <w:sz w:val="24"/>
          <w:szCs w:val="24"/>
        </w:rPr>
      </w:pPr>
      <w:bookmarkStart w:id="80" w:name="_Hlk77373757"/>
      <w:r>
        <w:rPr>
          <w:rFonts w:hint="eastAsia" w:ascii="宋体" w:hAnsi="宋体"/>
          <w:bCs/>
          <w:sz w:val="24"/>
          <w:szCs w:val="24"/>
        </w:rPr>
        <w:t>一、开标完成结束后，进入评标环节。评标委员会由比选人组建，采用“综合评估法”，先评技术标，再评商务标，满分为</w:t>
      </w:r>
      <w:r>
        <w:rPr>
          <w:rFonts w:ascii="宋体" w:hAnsi="宋体"/>
          <w:bCs/>
          <w:sz w:val="24"/>
          <w:szCs w:val="24"/>
        </w:rPr>
        <w:t>100分，其中：</w:t>
      </w:r>
      <w:r>
        <w:rPr>
          <w:rFonts w:ascii="宋体" w:hAnsi="宋体"/>
          <w:bCs/>
          <w:sz w:val="24"/>
          <w:szCs w:val="24"/>
          <w:highlight w:val="none"/>
        </w:rPr>
        <w:t>技术</w:t>
      </w:r>
      <w:r>
        <w:rPr>
          <w:rFonts w:hint="eastAsia" w:ascii="宋体" w:hAnsi="宋体"/>
          <w:bCs/>
          <w:sz w:val="24"/>
          <w:szCs w:val="24"/>
          <w:highlight w:val="none"/>
        </w:rPr>
        <w:t>标</w:t>
      </w:r>
      <w:r>
        <w:rPr>
          <w:rFonts w:ascii="宋体" w:hAnsi="宋体"/>
          <w:bCs/>
          <w:sz w:val="24"/>
          <w:szCs w:val="24"/>
          <w:highlight w:val="none"/>
        </w:rPr>
        <w:t>50分，商务标50</w:t>
      </w:r>
      <w:r>
        <w:rPr>
          <w:rFonts w:hint="eastAsia" w:ascii="宋体" w:hAnsi="宋体"/>
          <w:bCs/>
          <w:sz w:val="24"/>
          <w:szCs w:val="24"/>
          <w:highlight w:val="none"/>
        </w:rPr>
        <w:t>分。评</w:t>
      </w:r>
      <w:r>
        <w:rPr>
          <w:rFonts w:hint="eastAsia" w:ascii="宋体" w:hAnsi="宋体"/>
          <w:bCs/>
          <w:sz w:val="24"/>
          <w:szCs w:val="24"/>
        </w:rPr>
        <w:t xml:space="preserve">标方法及评分标准详见附件《评标办法》。 </w:t>
      </w:r>
    </w:p>
    <w:p>
      <w:pPr>
        <w:spacing w:line="360" w:lineRule="auto"/>
        <w:ind w:firstLine="480" w:firstLineChars="200"/>
        <w:rPr>
          <w:rFonts w:ascii="宋体" w:hAnsi="宋体"/>
          <w:bCs/>
          <w:sz w:val="24"/>
          <w:szCs w:val="24"/>
        </w:rPr>
      </w:pPr>
      <w:r>
        <w:rPr>
          <w:rFonts w:hint="eastAsia" w:ascii="宋体" w:hAnsi="宋体"/>
          <w:bCs/>
          <w:sz w:val="24"/>
          <w:szCs w:val="24"/>
        </w:rPr>
        <w:t>二、评标</w:t>
      </w:r>
      <w:bookmarkEnd w:id="80"/>
    </w:p>
    <w:p>
      <w:pPr>
        <w:spacing w:line="360" w:lineRule="auto"/>
        <w:ind w:firstLine="480" w:firstLineChars="200"/>
        <w:rPr>
          <w:rFonts w:ascii="宋体" w:hAnsi="宋体"/>
          <w:bCs/>
          <w:sz w:val="24"/>
          <w:szCs w:val="24"/>
        </w:rPr>
      </w:pPr>
      <w:r>
        <w:rPr>
          <w:rFonts w:hint="eastAsia" w:ascii="宋体" w:hAnsi="宋体"/>
          <w:bCs/>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w:t>
      </w:r>
      <w:r>
        <w:rPr>
          <w:rFonts w:hint="eastAsia" w:ascii="宋体" w:hAnsi="宋体"/>
          <w:bCs/>
          <w:sz w:val="24"/>
          <w:szCs w:val="24"/>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255"/>
          <w:numId w:val="0"/>
        </w:numPr>
        <w:adjustRightInd/>
        <w:snapToGrid/>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w:t>
      </w:r>
      <w:r>
        <w:rPr>
          <w:rFonts w:ascii="宋体" w:hAnsi="宋体"/>
          <w:bCs/>
          <w:sz w:val="24"/>
          <w:szCs w:val="24"/>
        </w:rPr>
        <w:t>3家的，比选人宣布本次比选失败，重新组织比选。</w:t>
      </w:r>
    </w:p>
    <w:p>
      <w:pPr>
        <w:spacing w:line="360" w:lineRule="auto"/>
        <w:ind w:firstLine="480" w:firstLineChars="200"/>
        <w:rPr>
          <w:rFonts w:ascii="宋体" w:hAnsi="宋体"/>
          <w:bCs/>
          <w:sz w:val="24"/>
          <w:szCs w:val="24"/>
          <w:highlight w:val="none"/>
        </w:rPr>
      </w:pPr>
      <w:r>
        <w:rPr>
          <w:rFonts w:hint="eastAsia" w:ascii="宋体" w:hAnsi="宋体"/>
          <w:bCs/>
          <w:sz w:val="24"/>
          <w:szCs w:val="24"/>
        </w:rPr>
        <w:t>（3）评标委员会按照评审标准对合格参选文件的技术标进行详细评审（详见评审附表），评审完成后，评审分数不得再更改。经评审后，技术标得分前4名的有效参选人方可进入下一阶段商务标的评审（若出现得分并列导致大于</w:t>
      </w:r>
      <w:r>
        <w:rPr>
          <w:rFonts w:hint="eastAsia" w:ascii="宋体" w:hAnsi="宋体"/>
          <w:bCs/>
          <w:sz w:val="24"/>
          <w:szCs w:val="24"/>
          <w:lang w:val="en-US" w:eastAsia="zh-CN"/>
        </w:rPr>
        <w:t>4</w:t>
      </w:r>
      <w:r>
        <w:rPr>
          <w:rFonts w:hint="eastAsia" w:ascii="宋体" w:hAnsi="宋体"/>
          <w:bCs/>
          <w:sz w:val="24"/>
          <w:szCs w:val="24"/>
        </w:rPr>
        <w:t>家的情况，则并列的有效参选人共同进入下一阶段商务标的评审）</w:t>
      </w:r>
    </w:p>
    <w:p>
      <w:pPr>
        <w:spacing w:line="360" w:lineRule="auto"/>
        <w:ind w:firstLine="482" w:firstLineChars="0"/>
        <w:rPr>
          <w:rFonts w:ascii="宋体" w:hAnsi="宋体"/>
          <w:b/>
          <w:sz w:val="24"/>
          <w:szCs w:val="24"/>
          <w:highlight w:val="none"/>
        </w:rPr>
      </w:pPr>
      <w:r>
        <w:rPr>
          <w:rFonts w:hint="eastAsia" w:ascii="宋体" w:hAnsi="宋体"/>
          <w:b/>
          <w:sz w:val="24"/>
          <w:szCs w:val="24"/>
          <w:highlight w:val="none"/>
        </w:rPr>
        <w:t>商务标评审：</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1</w:t>
      </w:r>
      <w:r>
        <w:rPr>
          <w:rFonts w:hint="eastAsia" w:ascii="宋体" w:hAnsi="宋体"/>
          <w:bCs/>
          <w:sz w:val="24"/>
          <w:szCs w:val="24"/>
          <w:highlight w:val="none"/>
          <w:lang w:eastAsia="zh-CN"/>
        </w:rPr>
        <w:t>）</w:t>
      </w:r>
      <w:r>
        <w:rPr>
          <w:rFonts w:hint="eastAsia" w:ascii="宋体" w:hAnsi="宋体"/>
          <w:bCs/>
          <w:sz w:val="24"/>
          <w:szCs w:val="24"/>
          <w:highlight w:val="none"/>
        </w:rPr>
        <w:t>第二阶段，技术标评审完成后，技术标前</w:t>
      </w:r>
      <w:r>
        <w:rPr>
          <w:rFonts w:ascii="宋体" w:hAnsi="宋体"/>
          <w:bCs/>
          <w:sz w:val="24"/>
          <w:szCs w:val="24"/>
          <w:highlight w:val="none"/>
        </w:rPr>
        <w:t>4名的有</w:t>
      </w:r>
      <w:r>
        <w:rPr>
          <w:rFonts w:hint="eastAsia" w:ascii="宋体" w:hAnsi="宋体"/>
          <w:bCs/>
          <w:sz w:val="24"/>
          <w:szCs w:val="24"/>
          <w:highlight w:val="none"/>
        </w:rPr>
        <w:t>效参选</w:t>
      </w:r>
      <w:r>
        <w:rPr>
          <w:rFonts w:hint="eastAsia" w:ascii="宋体" w:hAnsi="宋体"/>
          <w:bCs/>
          <w:sz w:val="24"/>
          <w:szCs w:val="24"/>
        </w:rPr>
        <w:t>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lang w:eastAsia="zh-CN"/>
        </w:rPr>
        <w:t>（</w:t>
      </w:r>
      <w:r>
        <w:rPr>
          <w:rFonts w:hint="eastAsia" w:ascii="宋体" w:hAnsi="宋体"/>
          <w:bCs/>
          <w:sz w:val="24"/>
          <w:szCs w:val="24"/>
          <w:lang w:val="en-US" w:eastAsia="zh-CN"/>
        </w:rPr>
        <w:t>2</w:t>
      </w:r>
      <w:r>
        <w:rPr>
          <w:rFonts w:hint="eastAsia" w:ascii="宋体" w:hAnsi="宋体"/>
          <w:bCs/>
          <w:sz w:val="24"/>
          <w:szCs w:val="24"/>
          <w:lang w:eastAsia="zh-CN"/>
        </w:rPr>
        <w:t>）</w:t>
      </w:r>
      <w:r>
        <w:rPr>
          <w:rFonts w:hint="eastAsia" w:ascii="宋体" w:hAnsi="宋体"/>
          <w:bCs/>
          <w:sz w:val="24"/>
          <w:szCs w:val="24"/>
        </w:rPr>
        <w:t>经商务标初步审查，评标委员会作出无效标或者废标处理，致进入商务标详细评审环节的有效参选人不足</w:t>
      </w:r>
      <w:r>
        <w:rPr>
          <w:rFonts w:ascii="宋体" w:hAnsi="宋体"/>
          <w:bCs/>
          <w:sz w:val="24"/>
          <w:szCs w:val="24"/>
        </w:rPr>
        <w:t>3家，则根据技术标得分，从排名第四起进行递补。若递补后仍不足3家，比选人宣布本次比选失败，重新组织比选。</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rPr>
        <w:t>（3）以参选人所报服务费总价作为商务标评审依据。</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rPr>
        <w:t>（4）参选人的参选报价中如出现算术错误，将按以下方法进行调整：</w:t>
      </w:r>
    </w:p>
    <w:p>
      <w:pPr>
        <w:numPr>
          <w:ilvl w:val="-1"/>
          <w:numId w:val="0"/>
        </w:numPr>
        <w:spacing w:line="360" w:lineRule="auto"/>
        <w:ind w:left="0" w:firstLine="480" w:firstLineChars="200"/>
        <w:rPr>
          <w:rFonts w:ascii="宋体" w:hAnsi="宋体"/>
          <w:bCs/>
          <w:sz w:val="24"/>
          <w:szCs w:val="24"/>
        </w:rPr>
      </w:pPr>
      <w:r>
        <w:rPr>
          <w:rFonts w:ascii="Calibri" w:hAnsi="Calibri" w:cs="Calibri"/>
          <w:bCs/>
          <w:sz w:val="24"/>
          <w:szCs w:val="24"/>
        </w:rPr>
        <w:t>①</w:t>
      </w:r>
      <w:r>
        <w:rPr>
          <w:rFonts w:hint="eastAsia" w:ascii="宋体" w:hAnsi="宋体"/>
          <w:bCs/>
          <w:sz w:val="24"/>
          <w:szCs w:val="24"/>
        </w:rPr>
        <w:t>参选</w:t>
      </w:r>
      <w:r>
        <w:rPr>
          <w:rFonts w:ascii="宋体" w:hAnsi="宋体"/>
          <w:bCs/>
          <w:sz w:val="24"/>
          <w:szCs w:val="24"/>
        </w:rPr>
        <w:t>文件中大写金额与小写金额不一致的，以金额</w:t>
      </w:r>
      <w:r>
        <w:rPr>
          <w:rFonts w:hint="eastAsia" w:ascii="宋体" w:hAnsi="宋体"/>
          <w:bCs/>
          <w:sz w:val="24"/>
          <w:szCs w:val="24"/>
        </w:rPr>
        <w:t>低的</w:t>
      </w:r>
      <w:r>
        <w:rPr>
          <w:rFonts w:ascii="宋体" w:hAnsi="宋体"/>
          <w:bCs/>
          <w:sz w:val="24"/>
          <w:szCs w:val="24"/>
        </w:rPr>
        <w:t>为准</w:t>
      </w:r>
      <w:r>
        <w:rPr>
          <w:rFonts w:hint="eastAsia" w:ascii="宋体" w:hAnsi="宋体"/>
          <w:bCs/>
          <w:sz w:val="24"/>
          <w:szCs w:val="24"/>
        </w:rPr>
        <w:t>；</w:t>
      </w:r>
    </w:p>
    <w:p>
      <w:pPr>
        <w:numPr>
          <w:ilvl w:val="-1"/>
          <w:numId w:val="0"/>
        </w:numPr>
        <w:spacing w:line="360" w:lineRule="auto"/>
        <w:ind w:left="0" w:firstLine="480" w:firstLineChars="200"/>
        <w:rPr>
          <w:rFonts w:ascii="宋体" w:hAnsi="宋体"/>
          <w:bCs/>
          <w:sz w:val="24"/>
          <w:szCs w:val="24"/>
        </w:rPr>
      </w:pPr>
      <w:r>
        <w:rPr>
          <w:rFonts w:ascii="Calibri" w:hAnsi="Calibri" w:cs="Calibri"/>
          <w:bCs/>
          <w:sz w:val="24"/>
          <w:szCs w:val="24"/>
        </w:rPr>
        <w:t>②</w:t>
      </w:r>
      <w:r>
        <w:rPr>
          <w:rFonts w:ascii="宋体" w:hAnsi="宋体"/>
          <w:bCs/>
          <w:sz w:val="24"/>
          <w:szCs w:val="24"/>
        </w:rPr>
        <w:t>总价金额与按单价计算的总金额不一致的，以单价计算的总金额为准。除非单价有明显的小数点错误，此时应以合价金额为准，调整单价</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ascii="宋体" w:hAnsi="宋体"/>
          <w:bCs/>
          <w:sz w:val="24"/>
          <w:szCs w:val="24"/>
        </w:rPr>
        <w:t>按照本规定的调整方法确定的调整后报价，须取得</w:t>
      </w:r>
      <w:r>
        <w:rPr>
          <w:rFonts w:hint="eastAsia" w:ascii="宋体" w:hAnsi="宋体"/>
          <w:bCs/>
          <w:sz w:val="24"/>
          <w:szCs w:val="24"/>
        </w:rPr>
        <w:t>参选</w:t>
      </w:r>
      <w:r>
        <w:rPr>
          <w:rFonts w:ascii="宋体" w:hAnsi="宋体"/>
          <w:bCs/>
          <w:sz w:val="24"/>
          <w:szCs w:val="24"/>
        </w:rPr>
        <w:t>人同意并书面签字确认。如果</w:t>
      </w:r>
      <w:r>
        <w:rPr>
          <w:rFonts w:hint="eastAsia" w:ascii="宋体" w:hAnsi="宋体"/>
          <w:bCs/>
          <w:sz w:val="24"/>
          <w:szCs w:val="24"/>
        </w:rPr>
        <w:t>参选</w:t>
      </w:r>
      <w:r>
        <w:rPr>
          <w:rFonts w:ascii="宋体" w:hAnsi="宋体"/>
          <w:bCs/>
          <w:sz w:val="24"/>
          <w:szCs w:val="24"/>
        </w:rPr>
        <w:t>人拒不接受调整方法以及调整后的报价的，其</w:t>
      </w:r>
      <w:r>
        <w:rPr>
          <w:rFonts w:hint="eastAsia" w:ascii="宋体" w:hAnsi="宋体"/>
          <w:bCs/>
          <w:sz w:val="24"/>
          <w:szCs w:val="24"/>
        </w:rPr>
        <w:t>参选</w:t>
      </w:r>
      <w:r>
        <w:rPr>
          <w:rFonts w:ascii="宋体" w:hAnsi="宋体"/>
          <w:bCs/>
          <w:sz w:val="24"/>
          <w:szCs w:val="24"/>
        </w:rPr>
        <w:t>将被拒绝。</w:t>
      </w:r>
    </w:p>
    <w:p>
      <w:pPr>
        <w:spacing w:line="360" w:lineRule="auto"/>
        <w:ind w:firstLine="480" w:firstLineChars="200"/>
        <w:rPr>
          <w:rFonts w:ascii="宋体" w:hAnsi="宋体"/>
          <w:bCs/>
          <w:sz w:val="24"/>
          <w:szCs w:val="24"/>
        </w:rPr>
      </w:pPr>
      <w:r>
        <w:rPr>
          <w:rFonts w:hint="eastAsia" w:ascii="宋体" w:hAnsi="宋体"/>
          <w:bCs/>
          <w:sz w:val="24"/>
          <w:szCs w:val="24"/>
        </w:rPr>
        <w:t>中选</w:t>
      </w:r>
      <w:r>
        <w:rPr>
          <w:rFonts w:ascii="宋体" w:hAnsi="宋体"/>
          <w:bCs/>
          <w:sz w:val="24"/>
          <w:szCs w:val="24"/>
        </w:rPr>
        <w:t>人的</w:t>
      </w:r>
      <w:r>
        <w:rPr>
          <w:rFonts w:hint="eastAsia" w:ascii="宋体" w:hAnsi="宋体"/>
          <w:bCs/>
          <w:sz w:val="24"/>
          <w:szCs w:val="24"/>
        </w:rPr>
        <w:t>参选</w:t>
      </w:r>
      <w:r>
        <w:rPr>
          <w:rFonts w:ascii="宋体" w:hAnsi="宋体"/>
          <w:bCs/>
          <w:sz w:val="24"/>
          <w:szCs w:val="24"/>
        </w:rPr>
        <w:t>报价是按照本节规定进行了调整的，其中</w:t>
      </w:r>
      <w:r>
        <w:rPr>
          <w:rFonts w:hint="eastAsia" w:ascii="宋体" w:hAnsi="宋体"/>
          <w:bCs/>
          <w:sz w:val="24"/>
          <w:szCs w:val="24"/>
        </w:rPr>
        <w:t>选</w:t>
      </w:r>
      <w:r>
        <w:rPr>
          <w:rFonts w:ascii="宋体" w:hAnsi="宋体"/>
          <w:bCs/>
          <w:sz w:val="24"/>
          <w:szCs w:val="24"/>
        </w:rPr>
        <w:t>价按就低不就高的原则确定。如果</w:t>
      </w:r>
      <w:r>
        <w:rPr>
          <w:rFonts w:hint="eastAsia" w:ascii="宋体" w:hAnsi="宋体"/>
          <w:bCs/>
          <w:sz w:val="24"/>
          <w:szCs w:val="24"/>
        </w:rPr>
        <w:t>参选</w:t>
      </w:r>
      <w:r>
        <w:rPr>
          <w:rFonts w:ascii="宋体" w:hAnsi="宋体"/>
          <w:bCs/>
          <w:sz w:val="24"/>
          <w:szCs w:val="24"/>
        </w:rPr>
        <w:t>人拒不接受的，其</w:t>
      </w:r>
      <w:r>
        <w:rPr>
          <w:rFonts w:hint="eastAsia" w:ascii="宋体" w:hAnsi="宋体"/>
          <w:bCs/>
          <w:sz w:val="24"/>
          <w:szCs w:val="24"/>
        </w:rPr>
        <w:t>参选</w:t>
      </w:r>
      <w:r>
        <w:rPr>
          <w:rFonts w:ascii="宋体" w:hAnsi="宋体"/>
          <w:bCs/>
          <w:sz w:val="24"/>
          <w:szCs w:val="24"/>
        </w:rPr>
        <w:t>将被拒绝。</w:t>
      </w:r>
    </w:p>
    <w:p>
      <w:pPr>
        <w:spacing w:line="360" w:lineRule="auto"/>
        <w:ind w:firstLine="480" w:firstLineChars="200"/>
        <w:rPr>
          <w:rFonts w:ascii="宋体" w:hAnsi="宋体"/>
          <w:bCs/>
          <w:sz w:val="24"/>
          <w:szCs w:val="24"/>
        </w:rPr>
      </w:pPr>
      <w:r>
        <w:rPr>
          <w:rFonts w:hint="eastAsia" w:ascii="宋体" w:hAnsi="宋体"/>
          <w:bCs/>
          <w:sz w:val="24"/>
          <w:szCs w:val="24"/>
        </w:rPr>
        <w:t>参选</w:t>
      </w:r>
      <w:r>
        <w:rPr>
          <w:rFonts w:ascii="宋体" w:hAnsi="宋体"/>
          <w:bCs/>
          <w:sz w:val="24"/>
          <w:szCs w:val="24"/>
        </w:rPr>
        <w:t>人的</w:t>
      </w:r>
      <w:r>
        <w:rPr>
          <w:rFonts w:hint="eastAsia" w:ascii="宋体" w:hAnsi="宋体"/>
          <w:bCs/>
          <w:sz w:val="24"/>
          <w:szCs w:val="24"/>
        </w:rPr>
        <w:t>参选</w:t>
      </w:r>
      <w:r>
        <w:rPr>
          <w:rFonts w:ascii="宋体" w:hAnsi="宋体"/>
          <w:bCs/>
          <w:sz w:val="24"/>
          <w:szCs w:val="24"/>
        </w:rPr>
        <w:t>报价的总价小于调整后的报价，中标价即为投标人的</w:t>
      </w:r>
      <w:r>
        <w:rPr>
          <w:rFonts w:hint="eastAsia" w:ascii="宋体" w:hAnsi="宋体"/>
          <w:bCs/>
          <w:sz w:val="24"/>
          <w:szCs w:val="24"/>
        </w:rPr>
        <w:t>参选</w:t>
      </w:r>
      <w:r>
        <w:rPr>
          <w:rFonts w:ascii="宋体" w:hAnsi="宋体"/>
          <w:bCs/>
          <w:sz w:val="24"/>
          <w:szCs w:val="24"/>
        </w:rPr>
        <w:t>报价的总价；</w:t>
      </w:r>
      <w:r>
        <w:rPr>
          <w:rFonts w:hint="eastAsia" w:ascii="宋体" w:hAnsi="宋体"/>
          <w:bCs/>
          <w:sz w:val="24"/>
          <w:szCs w:val="24"/>
        </w:rPr>
        <w:t>参选</w:t>
      </w:r>
      <w:r>
        <w:rPr>
          <w:rFonts w:ascii="宋体" w:hAnsi="宋体"/>
          <w:bCs/>
          <w:sz w:val="24"/>
          <w:szCs w:val="24"/>
        </w:rPr>
        <w:t>报价的总价大于调整后的报价，中</w:t>
      </w:r>
      <w:r>
        <w:rPr>
          <w:rFonts w:hint="eastAsia" w:ascii="宋体" w:hAnsi="宋体"/>
          <w:bCs/>
          <w:sz w:val="24"/>
          <w:szCs w:val="24"/>
        </w:rPr>
        <w:t>选</w:t>
      </w:r>
      <w:r>
        <w:rPr>
          <w:rFonts w:ascii="宋体" w:hAnsi="宋体"/>
          <w:bCs/>
          <w:sz w:val="24"/>
          <w:szCs w:val="24"/>
        </w:rPr>
        <w:t>价仍为</w:t>
      </w:r>
      <w:r>
        <w:rPr>
          <w:rFonts w:hint="eastAsia" w:ascii="宋体" w:hAnsi="宋体"/>
          <w:bCs/>
          <w:sz w:val="24"/>
          <w:szCs w:val="24"/>
        </w:rPr>
        <w:t>参选</w:t>
      </w:r>
      <w:r>
        <w:rPr>
          <w:rFonts w:ascii="宋体" w:hAnsi="宋体"/>
          <w:bCs/>
          <w:sz w:val="24"/>
          <w:szCs w:val="24"/>
        </w:rPr>
        <w:t>人的</w:t>
      </w:r>
      <w:r>
        <w:rPr>
          <w:rFonts w:hint="eastAsia" w:ascii="宋体" w:hAnsi="宋体"/>
          <w:bCs/>
          <w:sz w:val="24"/>
          <w:szCs w:val="24"/>
        </w:rPr>
        <w:t>参选</w:t>
      </w:r>
      <w:r>
        <w:rPr>
          <w:rFonts w:ascii="宋体" w:hAnsi="宋体"/>
          <w:bCs/>
          <w:sz w:val="24"/>
          <w:szCs w:val="24"/>
        </w:rPr>
        <w:t>报价的总价，调整后的报价与</w:t>
      </w:r>
      <w:r>
        <w:rPr>
          <w:rFonts w:hint="eastAsia" w:ascii="宋体" w:hAnsi="宋体"/>
          <w:bCs/>
          <w:sz w:val="24"/>
          <w:szCs w:val="24"/>
        </w:rPr>
        <w:t>参选</w:t>
      </w:r>
      <w:r>
        <w:rPr>
          <w:rFonts w:ascii="宋体" w:hAnsi="宋体"/>
          <w:bCs/>
          <w:sz w:val="24"/>
          <w:szCs w:val="24"/>
        </w:rPr>
        <w:t>报价的总价之间的差值部分则计入暂列金额。</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rPr>
        <w:t>（5）商务标初步审查后，评标委员会按照商务标计算公式，完成商务标分数计算。</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rPr>
        <w:t>（6）若各参选人的报价，如出现税率不一致的情况，则以不含税总价作为参选人的报价进行商务标分数计算；若税率一致，则以含税总价作为参选人的报价进行商务标分数计算。</w:t>
      </w:r>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rPr>
        <w:t>（7）</w:t>
      </w:r>
      <w:r>
        <w:rPr>
          <w:rFonts w:hint="eastAsia" w:ascii="宋体" w:hAnsi="宋体"/>
          <w:bCs/>
          <w:sz w:val="24"/>
          <w:szCs w:val="24"/>
          <w:highlight w:val="none"/>
        </w:rPr>
        <w:t>其他情况均按照价格审核计算后，以</w:t>
      </w:r>
      <w:r>
        <w:rPr>
          <w:rFonts w:hint="eastAsia" w:ascii="宋体" w:hAnsi="宋体"/>
          <w:bCs/>
          <w:sz w:val="24"/>
          <w:szCs w:val="24"/>
        </w:rPr>
        <w:t>不利于参选人的原则予以调整。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pStyle w:val="4"/>
        <w:spacing w:after="0" w:line="360" w:lineRule="auto"/>
        <w:rPr>
          <w:rFonts w:ascii="宋体" w:hAnsi="宋体" w:eastAsia="宋体"/>
          <w:b/>
        </w:rPr>
      </w:pPr>
      <w:bookmarkStart w:id="81" w:name="_Toc434234592"/>
      <w:bookmarkStart w:id="82" w:name="_Toc290560899"/>
      <w:bookmarkStart w:id="83" w:name="_Toc197404913"/>
      <w:bookmarkStart w:id="84" w:name="_Toc388259588"/>
      <w:bookmarkStart w:id="85" w:name="_Toc518494137"/>
      <w:bookmarkStart w:id="86" w:name="_Toc57731975"/>
      <w:r>
        <w:rPr>
          <w:rFonts w:hint="eastAsia" w:ascii="宋体" w:hAnsi="宋体" w:eastAsia="宋体"/>
          <w:b/>
        </w:rPr>
        <w:t>第九章  确定中选人</w:t>
      </w:r>
      <w:bookmarkEnd w:id="81"/>
      <w:bookmarkEnd w:id="82"/>
      <w:bookmarkEnd w:id="83"/>
      <w:bookmarkEnd w:id="84"/>
      <w:bookmarkEnd w:id="85"/>
      <w:bookmarkEnd w:id="86"/>
    </w:p>
    <w:p>
      <w:pPr>
        <w:pStyle w:val="25"/>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5"/>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三、在参选有效期内，比选人将中选结果在“深圳地铁官网”、“国资委阳光采购平台”、“深铁招采网”公示，公示</w:t>
      </w:r>
      <w:r>
        <w:rPr>
          <w:rFonts w:hint="eastAsia" w:hAnsi="宋体"/>
          <w:b/>
          <w:bCs/>
          <w:sz w:val="24"/>
          <w:u w:val="single"/>
        </w:rPr>
        <w:t>3个工作日</w:t>
      </w:r>
      <w:r>
        <w:rPr>
          <w:rFonts w:hint="eastAsia" w:hAnsi="宋体"/>
          <w:bCs/>
          <w:sz w:val="24"/>
        </w:rPr>
        <w:t>无异议的，比选人将向中选候选人发出中选通知书。</w:t>
      </w:r>
    </w:p>
    <w:p>
      <w:pPr>
        <w:pStyle w:val="4"/>
        <w:spacing w:after="0" w:line="360" w:lineRule="auto"/>
        <w:rPr>
          <w:rFonts w:ascii="宋体" w:hAnsi="宋体" w:eastAsia="宋体"/>
          <w:b/>
        </w:rPr>
      </w:pPr>
      <w:bookmarkStart w:id="87" w:name="_Toc518494138"/>
      <w:bookmarkStart w:id="88" w:name="_Toc57731976"/>
      <w:r>
        <w:rPr>
          <w:rFonts w:hint="eastAsia" w:ascii="宋体" w:hAnsi="宋体" w:eastAsia="宋体"/>
          <w:b/>
        </w:rPr>
        <w:t>第十章  合同的授予</w:t>
      </w:r>
      <w:bookmarkEnd w:id="87"/>
      <w:bookmarkEnd w:id="88"/>
    </w:p>
    <w:p>
      <w:pPr>
        <w:pStyle w:val="20"/>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ascii="宋体" w:hAnsi="宋体"/>
          <w:b/>
          <w:bCs/>
          <w:sz w:val="24"/>
        </w:rPr>
        <w:t>30</w:t>
      </w:r>
      <w:r>
        <w:rPr>
          <w:rFonts w:hint="eastAsia" w:ascii="宋体" w:hAnsi="宋体"/>
          <w:b/>
          <w:bCs/>
          <w:sz w:val="24"/>
        </w:rPr>
        <w:t>天</w:t>
      </w:r>
      <w:r>
        <w:rPr>
          <w:rFonts w:hint="eastAsia" w:ascii="宋体" w:hAnsi="宋体"/>
          <w:sz w:val="24"/>
        </w:rPr>
        <w:t>内，根据比选文件和中选人的参选文件签订合同。</w:t>
      </w:r>
    </w:p>
    <w:p>
      <w:pPr>
        <w:pStyle w:val="20"/>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20"/>
        <w:tabs>
          <w:tab w:val="left" w:pos="1050"/>
        </w:tabs>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排名，依次重新确定中选人候选人。依次确定其他中选候选人与比选人的预期差距较大的，或者对比选人明显不利的，比选人可以重新比选。</w:t>
      </w:r>
    </w:p>
    <w:p>
      <w:pPr>
        <w:spacing w:line="360" w:lineRule="auto"/>
        <w:ind w:firstLine="480" w:firstLineChars="200"/>
        <w:rPr>
          <w:rFonts w:ascii="宋体" w:hAnsi="宋体"/>
          <w:color w:val="0D0D0D"/>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w:t>
      </w:r>
      <w:bookmarkEnd w:id="61"/>
      <w:bookmarkEnd w:id="62"/>
      <w:bookmarkStart w:id="89" w:name="_Toc399494429"/>
      <w:bookmarkStart w:id="90" w:name="_Toc518494139"/>
      <w:bookmarkStart w:id="91" w:name="_Toc57731977"/>
      <w:bookmarkStart w:id="92" w:name="_Toc197404912"/>
      <w:r>
        <w:rPr>
          <w:rFonts w:hint="eastAsia" w:ascii="宋体" w:hAnsi="宋体" w:cs="宋体"/>
          <w:sz w:val="24"/>
          <w:szCs w:val="24"/>
          <w:lang w:eastAsia="zh-Hans"/>
        </w:rPr>
        <w:t>签约主体</w:t>
      </w:r>
      <w:r>
        <w:rPr>
          <w:rFonts w:hint="eastAsia" w:ascii="宋体" w:hAnsi="宋体"/>
          <w:color w:val="0D0D0D"/>
          <w:sz w:val="24"/>
          <w:szCs w:val="24"/>
        </w:rPr>
        <w:t>：</w:t>
      </w:r>
      <w:r>
        <w:rPr>
          <w:rFonts w:hint="eastAsia" w:ascii="宋体" w:hAnsi="宋体"/>
          <w:color w:val="0D0D0D"/>
          <w:sz w:val="24"/>
          <w:szCs w:val="24"/>
          <w:lang w:eastAsia="zh-Hans"/>
        </w:rPr>
        <w:t>深圳市地铁集团有限公司</w:t>
      </w:r>
    </w:p>
    <w:p>
      <w:pPr>
        <w:pStyle w:val="4"/>
        <w:spacing w:after="0" w:line="360" w:lineRule="auto"/>
        <w:jc w:val="both"/>
      </w:pPr>
    </w:p>
    <w:p>
      <w:pPr>
        <w:pStyle w:val="4"/>
        <w:spacing w:after="0" w:line="360" w:lineRule="auto"/>
      </w:pPr>
      <w:r>
        <w:rPr>
          <w:rFonts w:hint="eastAsia"/>
        </w:rPr>
        <w:t>附件：评标</w:t>
      </w:r>
      <w:bookmarkEnd w:id="89"/>
      <w:r>
        <w:rPr>
          <w:rFonts w:hint="eastAsia"/>
        </w:rPr>
        <w:t>办法</w:t>
      </w:r>
      <w:bookmarkEnd w:id="90"/>
      <w:bookmarkEnd w:id="91"/>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bookmarkStart w:id="93" w:name="_Toc518494140"/>
      <w:bookmarkStart w:id="94" w:name="_Toc276575939"/>
      <w:bookmarkStart w:id="95" w:name="_Toc57731978"/>
      <w:r>
        <w:rPr>
          <w:rFonts w:hint="eastAsia" w:ascii="宋体" w:hAnsi="宋体"/>
          <w:b/>
          <w:kern w:val="0"/>
          <w:sz w:val="24"/>
          <w:szCs w:val="24"/>
        </w:rPr>
        <w:t>一、总</w:t>
      </w:r>
      <w:bookmarkEnd w:id="93"/>
      <w:bookmarkEnd w:id="94"/>
      <w:r>
        <w:rPr>
          <w:rFonts w:hint="eastAsia" w:ascii="宋体" w:hAnsi="宋体"/>
          <w:b/>
          <w:kern w:val="0"/>
          <w:sz w:val="24"/>
          <w:szCs w:val="24"/>
        </w:rPr>
        <w:t>则</w:t>
      </w:r>
      <w:bookmarkEnd w:id="95"/>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6" w:name="_Toc57731979"/>
      <w:bookmarkStart w:id="97" w:name="_Toc518494141"/>
      <w:r>
        <w:rPr>
          <w:rFonts w:hint="eastAsia" w:ascii="宋体" w:hAnsi="宋体"/>
          <w:b/>
          <w:kern w:val="0"/>
          <w:sz w:val="24"/>
          <w:szCs w:val="24"/>
        </w:rPr>
        <w:t>二、评定标组织</w:t>
      </w:r>
      <w:bookmarkEnd w:id="96"/>
      <w:bookmarkEnd w:id="97"/>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（一）评标委员会组成</w:t>
      </w:r>
    </w:p>
    <w:p>
      <w:pPr>
        <w:spacing w:line="360" w:lineRule="auto"/>
        <w:ind w:firstLine="480" w:firstLineChars="200"/>
        <w:rPr>
          <w:rFonts w:hint="eastAsia" w:ascii="宋体" w:hAnsi="宋体"/>
          <w:sz w:val="24"/>
          <w:szCs w:val="24"/>
        </w:rPr>
      </w:pPr>
      <w:r>
        <w:rPr>
          <w:rFonts w:hint="eastAsia" w:ascii="宋体" w:hAnsi="宋体"/>
          <w:sz w:val="24"/>
          <w:szCs w:val="24"/>
        </w:rPr>
        <w:t>评标委员会由比选人组建，评标委员会由7名成员组成。</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98" w:name="_Toc57731980"/>
      <w:bookmarkStart w:id="99" w:name="_Toc518494142"/>
      <w:r>
        <w:rPr>
          <w:rFonts w:hint="eastAsia" w:ascii="宋体" w:hAnsi="宋体"/>
          <w:b/>
          <w:kern w:val="0"/>
          <w:sz w:val="24"/>
          <w:szCs w:val="24"/>
        </w:rPr>
        <w:t>三、评标方</w:t>
      </w:r>
      <w:r>
        <w:rPr>
          <w:rFonts w:hint="eastAsia" w:ascii="宋体" w:hAnsi="宋体"/>
          <w:b/>
          <w:kern w:val="0"/>
          <w:sz w:val="24"/>
          <w:szCs w:val="24"/>
          <w:highlight w:val="none"/>
        </w:rPr>
        <w:t>法与程序</w:t>
      </w:r>
      <w:bookmarkEnd w:id="98"/>
      <w:bookmarkEnd w:id="99"/>
    </w:p>
    <w:p>
      <w:pPr>
        <w:numPr>
          <w:ilvl w:val="-1"/>
          <w:numId w:val="0"/>
        </w:numPr>
        <w:spacing w:line="360" w:lineRule="auto"/>
        <w:ind w:left="0" w:firstLine="480" w:firstLineChars="200"/>
        <w:rPr>
          <w:rFonts w:ascii="宋体" w:hAnsi="宋体"/>
          <w:bCs/>
          <w:sz w:val="24"/>
          <w:szCs w:val="24"/>
        </w:rPr>
      </w:pPr>
      <w:r>
        <w:rPr>
          <w:rFonts w:hint="eastAsia" w:ascii="宋体" w:hAnsi="宋体"/>
          <w:bCs/>
          <w:sz w:val="24"/>
          <w:szCs w:val="24"/>
          <w:highlight w:val="none"/>
        </w:rPr>
        <w:t>（一）本次评标采用“综合评分法”，先评技术标，再评商务标，满分为</w:t>
      </w:r>
      <w:r>
        <w:rPr>
          <w:rFonts w:ascii="宋体" w:hAnsi="宋体"/>
          <w:bCs/>
          <w:sz w:val="24"/>
          <w:szCs w:val="24"/>
          <w:highlight w:val="none"/>
        </w:rPr>
        <w:t>100分，其中：技术标50分</w:t>
      </w:r>
      <w:r>
        <w:rPr>
          <w:rFonts w:hint="eastAsia" w:ascii="宋体" w:hAnsi="宋体"/>
          <w:bCs/>
          <w:sz w:val="24"/>
          <w:szCs w:val="24"/>
          <w:highlight w:val="none"/>
        </w:rPr>
        <w:t>，商务标</w:t>
      </w:r>
      <w:r>
        <w:rPr>
          <w:rFonts w:ascii="宋体" w:hAnsi="宋体"/>
          <w:bCs/>
          <w:sz w:val="24"/>
          <w:szCs w:val="24"/>
          <w:highlight w:val="none"/>
        </w:rPr>
        <w:t>50</w:t>
      </w:r>
      <w:r>
        <w:rPr>
          <w:rFonts w:hint="eastAsia" w:ascii="宋体" w:hAnsi="宋体"/>
          <w:bCs/>
          <w:sz w:val="24"/>
          <w:szCs w:val="24"/>
          <w:highlight w:val="none"/>
        </w:rPr>
        <w:t>分。评标委员会先按照技术标评分标准对各参选人技术文件进行打分，各评委评分的算术平</w:t>
      </w:r>
      <w:r>
        <w:rPr>
          <w:rFonts w:hint="eastAsia" w:ascii="宋体" w:hAnsi="宋体"/>
          <w:bCs/>
          <w:sz w:val="24"/>
          <w:szCs w:val="24"/>
        </w:rPr>
        <w:t>均值为该参选人技术标得分。然后评标委员会再按照商务</w:t>
      </w:r>
      <w:r>
        <w:rPr>
          <w:rFonts w:hint="eastAsia" w:ascii="宋体" w:hAnsi="宋体"/>
          <w:b w:val="0"/>
          <w:bCs w:val="0"/>
          <w:sz w:val="24"/>
          <w:szCs w:val="24"/>
        </w:rPr>
        <w:t>标</w:t>
      </w:r>
      <w:r>
        <w:rPr>
          <w:rFonts w:hint="eastAsia" w:ascii="宋体" w:hAnsi="宋体"/>
          <w:b/>
          <w:bCs/>
          <w:sz w:val="24"/>
          <w:szCs w:val="24"/>
        </w:rPr>
        <w:t>计算公式对各参选人商务报价进行评分，最后汇总参选人技术及商务标得分，并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spacing w:line="360" w:lineRule="auto"/>
        <w:ind w:firstLine="480" w:firstLineChars="200"/>
        <w:rPr>
          <w:rFonts w:hAnsi="宋体"/>
          <w:sz w:val="24"/>
          <w:szCs w:val="24"/>
        </w:rPr>
      </w:pPr>
      <w:bookmarkStart w:id="100" w:name="_Toc518494143"/>
      <w:r>
        <w:rPr>
          <w:rFonts w:hint="eastAsia" w:hAnsi="宋体"/>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255"/>
          <w:numId w:val="0"/>
        </w:numPr>
        <w:spacing w:line="360" w:lineRule="auto"/>
        <w:ind w:left="0" w:firstLine="480" w:firstLineChars="200"/>
        <w:rPr>
          <w:rFonts w:ascii="宋体" w:hAnsi="宋体"/>
          <w:bCs/>
          <w:sz w:val="24"/>
          <w:szCs w:val="24"/>
        </w:rPr>
      </w:pPr>
      <w:r>
        <w:rPr>
          <w:rFonts w:hint="eastAsia" w:ascii="宋体" w:hAnsi="宋体"/>
          <w:bCs/>
          <w:sz w:val="24"/>
          <w:szCs w:val="24"/>
        </w:rPr>
        <w:t>（1）第一阶段，先将所有合格参选文件的技术标书移交至评标委员会，评标委员会对参选文件的技术标书进行初步评审（有效性审查），只有通过初步评审的技术标书才有资格进入下一步的详细评审。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rPr>
      </w:pPr>
      <w:r>
        <w:rPr>
          <w:rFonts w:hint="eastAsia" w:ascii="宋体" w:hAnsi="宋体"/>
          <w:bCs/>
          <w:sz w:val="24"/>
          <w:szCs w:val="24"/>
        </w:rPr>
        <w:t>（3）评标委员会按照评审标准对合格参选文件的技术标进行详细评审（详见评审附表），评审完成后，评审分数不得再更改。经评审后，技术标得分前4名的有效参选人方可进入下一阶段商务标的评审（若出现得分并列导致大于</w:t>
      </w:r>
      <w:r>
        <w:rPr>
          <w:rFonts w:hint="eastAsia" w:ascii="宋体" w:hAnsi="宋体"/>
          <w:bCs/>
          <w:sz w:val="24"/>
          <w:szCs w:val="24"/>
          <w:lang w:val="en-US" w:eastAsia="zh-CN"/>
        </w:rPr>
        <w:t>4</w:t>
      </w:r>
      <w:r>
        <w:rPr>
          <w:rFonts w:hint="eastAsia" w:ascii="宋体" w:hAnsi="宋体"/>
          <w:bCs/>
          <w:sz w:val="24"/>
          <w:szCs w:val="24"/>
        </w:rPr>
        <w:t>家的情况，则并列的有效参选人共同进入下一阶段商务标的评审）</w:t>
      </w:r>
    </w:p>
    <w:p>
      <w:pPr>
        <w:spacing w:line="360" w:lineRule="auto"/>
        <w:ind w:firstLine="482"/>
        <w:rPr>
          <w:rFonts w:ascii="宋体" w:hAnsi="宋体"/>
          <w:b/>
          <w:sz w:val="24"/>
          <w:szCs w:val="24"/>
        </w:rPr>
      </w:pPr>
      <w:r>
        <w:rPr>
          <w:rFonts w:hint="eastAsia" w:ascii="宋体" w:hAnsi="宋体"/>
          <w:b/>
          <w:sz w:val="24"/>
          <w:szCs w:val="24"/>
        </w:rPr>
        <w:t>商务标评审：</w:t>
      </w:r>
    </w:p>
    <w:p>
      <w:pPr>
        <w:numPr>
          <w:ilvl w:val="255"/>
          <w:numId w:val="0"/>
        </w:numPr>
        <w:spacing w:line="360" w:lineRule="auto"/>
        <w:ind w:left="0" w:firstLine="480" w:firstLineChars="200"/>
        <w:rPr>
          <w:rFonts w:ascii="宋体" w:hAnsi="宋体"/>
          <w:bCs/>
          <w:sz w:val="24"/>
          <w:szCs w:val="24"/>
        </w:rPr>
      </w:pPr>
      <w:r>
        <w:rPr>
          <w:rFonts w:hint="eastAsia" w:ascii="宋体" w:hAnsi="宋体"/>
          <w:bCs/>
          <w:sz w:val="24"/>
          <w:szCs w:val="24"/>
        </w:rPr>
        <w:t>（1）第二阶段，技术标评审完成后，技术标前4名的有效参选人方可进入下一</w:t>
      </w:r>
      <w:bookmarkStart w:id="125" w:name="_GoBack"/>
      <w:bookmarkEnd w:id="125"/>
      <w:r>
        <w:rPr>
          <w:rFonts w:hint="eastAsia" w:ascii="宋体" w:hAnsi="宋体"/>
          <w:bCs/>
          <w:sz w:val="24"/>
          <w:szCs w:val="24"/>
        </w:rPr>
        <w:t>阶段商务标的评审。开标工作人员将商务标书移交评标委员会，评标委员会对商务标部分进行初步评审（有效性审查），只有通过初步评审的商务标文件才有资格进入下一步的详细评审。</w:t>
      </w:r>
    </w:p>
    <w:p>
      <w:pPr>
        <w:numPr>
          <w:ilvl w:val="255"/>
          <w:numId w:val="0"/>
        </w:numPr>
        <w:spacing w:line="360" w:lineRule="auto"/>
        <w:ind w:left="0" w:firstLine="480" w:firstLineChars="200"/>
        <w:rPr>
          <w:rFonts w:ascii="宋体" w:hAnsi="宋体"/>
          <w:bCs/>
          <w:sz w:val="24"/>
          <w:szCs w:val="24"/>
        </w:rPr>
      </w:pPr>
      <w:r>
        <w:rPr>
          <w:rFonts w:hint="eastAsia" w:ascii="宋体" w:hAnsi="宋体"/>
          <w:bCs/>
          <w:sz w:val="24"/>
          <w:szCs w:val="24"/>
        </w:rPr>
        <w:t>（2）经商务标初步审查，评标委员会作出无效标或者废标处理，致进入商务标详细评审环节的有效参选人不足3家，则根据技术标得分，从排名第四名起进行递补。若递补后仍不足3家，比选人宣布本次比选失败，重新组织比选。</w:t>
      </w:r>
    </w:p>
    <w:p>
      <w:pPr>
        <w:numPr>
          <w:ilvl w:val="255"/>
          <w:numId w:val="0"/>
        </w:numPr>
        <w:spacing w:line="360" w:lineRule="auto"/>
        <w:ind w:leftChars="200" w:firstLine="0" w:firstLineChars="0"/>
        <w:rPr>
          <w:rFonts w:ascii="宋体" w:hAnsi="宋体"/>
          <w:bCs/>
          <w:sz w:val="24"/>
          <w:szCs w:val="24"/>
        </w:rPr>
      </w:pPr>
      <w:r>
        <w:rPr>
          <w:rFonts w:hint="eastAsia" w:ascii="宋体" w:hAnsi="宋体"/>
          <w:bCs/>
          <w:sz w:val="24"/>
          <w:szCs w:val="24"/>
        </w:rPr>
        <w:t>（3）以参选人所报服务费总价作为商务标评审依据。</w:t>
      </w:r>
    </w:p>
    <w:p>
      <w:pPr>
        <w:numPr>
          <w:ilvl w:val="255"/>
          <w:numId w:val="0"/>
        </w:numPr>
        <w:spacing w:line="360" w:lineRule="auto"/>
        <w:ind w:leftChars="200" w:firstLine="0" w:firstLineChars="0"/>
        <w:rPr>
          <w:rFonts w:ascii="宋体" w:hAnsi="宋体"/>
          <w:bCs/>
          <w:sz w:val="24"/>
          <w:szCs w:val="24"/>
        </w:rPr>
      </w:pPr>
      <w:r>
        <w:rPr>
          <w:rFonts w:hint="eastAsia" w:ascii="宋体" w:hAnsi="宋体"/>
          <w:bCs/>
          <w:sz w:val="24"/>
          <w:szCs w:val="24"/>
        </w:rPr>
        <w:t>（4）参选人的参选报价中如出现算术错误，将按以下方法进行调整：</w:t>
      </w:r>
    </w:p>
    <w:p>
      <w:pPr>
        <w:numPr>
          <w:ilvl w:val="255"/>
          <w:numId w:val="0"/>
        </w:numPr>
        <w:spacing w:line="360" w:lineRule="auto"/>
        <w:ind w:left="420" w:leftChars="200" w:firstLine="0" w:firstLineChars="0"/>
        <w:rPr>
          <w:rFonts w:ascii="宋体" w:hAnsi="宋体"/>
          <w:bCs/>
          <w:sz w:val="24"/>
          <w:szCs w:val="24"/>
        </w:rPr>
      </w:pPr>
      <w:r>
        <w:rPr>
          <w:rFonts w:ascii="Calibri" w:hAnsi="Calibri" w:cs="Calibri"/>
          <w:bCs/>
          <w:sz w:val="24"/>
          <w:szCs w:val="24"/>
        </w:rPr>
        <w:t>①</w:t>
      </w:r>
      <w:r>
        <w:rPr>
          <w:rFonts w:hint="eastAsia" w:ascii="宋体" w:hAnsi="宋体"/>
          <w:bCs/>
          <w:sz w:val="24"/>
          <w:szCs w:val="24"/>
        </w:rPr>
        <w:t>参选文件中大写金额与小写金额不一致的，以金额低的为准；</w:t>
      </w:r>
    </w:p>
    <w:p>
      <w:pPr>
        <w:numPr>
          <w:ilvl w:val="255"/>
          <w:numId w:val="0"/>
        </w:numPr>
        <w:spacing w:line="360" w:lineRule="auto"/>
        <w:ind w:left="420" w:leftChars="200" w:firstLine="0" w:firstLineChars="0"/>
        <w:rPr>
          <w:rFonts w:ascii="宋体" w:hAnsi="宋体"/>
          <w:bCs/>
          <w:sz w:val="24"/>
          <w:szCs w:val="24"/>
        </w:rPr>
      </w:pPr>
      <w:r>
        <w:rPr>
          <w:rFonts w:ascii="Calibri" w:hAnsi="Calibri" w:cs="Calibri"/>
          <w:bCs/>
          <w:sz w:val="24"/>
          <w:szCs w:val="24"/>
        </w:rPr>
        <w:t>②</w:t>
      </w:r>
      <w:r>
        <w:rPr>
          <w:rFonts w:hint="eastAsia" w:ascii="宋体" w:hAnsi="宋体"/>
          <w:bCs/>
          <w:sz w:val="24"/>
          <w:szCs w:val="24"/>
        </w:rPr>
        <w:t>总价金额与按单价计算的总金额不一致的，以单价计算的总金额为准。除非单价有明显的小数点错误，此时应以合价金额为准，调整单价。</w:t>
      </w:r>
    </w:p>
    <w:p>
      <w:pPr>
        <w:spacing w:line="360" w:lineRule="auto"/>
        <w:ind w:firstLine="480" w:firstLineChars="200"/>
        <w:rPr>
          <w:rFonts w:ascii="宋体" w:hAnsi="宋体"/>
          <w:bCs/>
          <w:sz w:val="24"/>
          <w:szCs w:val="24"/>
        </w:rPr>
      </w:pPr>
      <w:r>
        <w:rPr>
          <w:rFonts w:hint="eastAsia" w:ascii="宋体" w:hAnsi="宋体"/>
          <w:bCs/>
          <w:sz w:val="24"/>
          <w:szCs w:val="24"/>
        </w:rPr>
        <w:t>按照本规定的调整方法确定的调整后报价，须取得参选人同意并书面签字确认。如果参选人拒不接受调整方法以及调整后的报价的，其参选将被拒绝。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中选人的参选报价是按照本节规定进行了调整的，其中选价按就低不就高的原则确定。如果参选人拒不接受的，其参选将被拒绝。</w:t>
      </w:r>
    </w:p>
    <w:p>
      <w:pPr>
        <w:spacing w:line="360" w:lineRule="auto"/>
        <w:ind w:firstLine="480" w:firstLineChars="200"/>
        <w:rPr>
          <w:rFonts w:ascii="宋体" w:hAnsi="宋体"/>
          <w:bCs/>
          <w:sz w:val="24"/>
          <w:szCs w:val="24"/>
        </w:rPr>
      </w:pPr>
      <w:r>
        <w:rPr>
          <w:rFonts w:hint="eastAsia" w:ascii="宋体" w:hAnsi="宋体"/>
          <w:bCs/>
          <w:sz w:val="24"/>
          <w:szCs w:val="24"/>
        </w:rPr>
        <w:t>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numPr>
          <w:ilvl w:val="255"/>
          <w:numId w:val="0"/>
        </w:numPr>
        <w:spacing w:line="360" w:lineRule="auto"/>
        <w:ind w:leftChars="200" w:firstLine="0" w:firstLineChars="0"/>
        <w:rPr>
          <w:rFonts w:ascii="宋体" w:hAnsi="宋体"/>
          <w:bCs/>
          <w:sz w:val="24"/>
          <w:szCs w:val="24"/>
        </w:rPr>
      </w:pPr>
      <w:r>
        <w:rPr>
          <w:rFonts w:hint="eastAsia" w:ascii="宋体" w:hAnsi="宋体"/>
          <w:bCs/>
          <w:sz w:val="24"/>
          <w:szCs w:val="24"/>
        </w:rPr>
        <w:t>（5）商务标初步审查后，评标委员会按照商务标计算公式，完成商务标分数计算。</w:t>
      </w:r>
    </w:p>
    <w:p>
      <w:pPr>
        <w:numPr>
          <w:ilvl w:val="255"/>
          <w:numId w:val="0"/>
        </w:numPr>
        <w:spacing w:line="360" w:lineRule="auto"/>
        <w:ind w:left="0" w:firstLine="480" w:firstLineChars="200"/>
        <w:rPr>
          <w:rFonts w:ascii="宋体" w:hAnsi="宋体"/>
          <w:bCs/>
          <w:sz w:val="24"/>
          <w:szCs w:val="24"/>
        </w:rPr>
      </w:pPr>
      <w:r>
        <w:rPr>
          <w:rFonts w:hint="eastAsia" w:ascii="宋体" w:hAnsi="宋体"/>
          <w:bCs/>
          <w:sz w:val="24"/>
          <w:szCs w:val="24"/>
        </w:rPr>
        <w:t>（6）若各参选人的报价，如出现税率不一致的情况，则以不含税总价作为参选人的报价进行商务标分数计算；若税率一致，则以含税总价作为参选人的报价进行商务标分数计算。</w:t>
      </w:r>
    </w:p>
    <w:p>
      <w:pPr>
        <w:numPr>
          <w:ilvl w:val="255"/>
          <w:numId w:val="0"/>
        </w:numPr>
        <w:spacing w:line="360" w:lineRule="auto"/>
        <w:ind w:left="0" w:firstLine="480" w:firstLineChars="200"/>
        <w:rPr>
          <w:rFonts w:ascii="宋体" w:hAnsi="宋体"/>
          <w:bCs/>
          <w:sz w:val="24"/>
          <w:szCs w:val="24"/>
        </w:rPr>
      </w:pPr>
      <w:r>
        <w:rPr>
          <w:rFonts w:hint="eastAsia" w:ascii="宋体" w:hAnsi="宋体"/>
          <w:bCs/>
          <w:sz w:val="24"/>
          <w:szCs w:val="24"/>
        </w:rPr>
        <w:t>（7）其他情况均按照价格审核计算后，以不利于参选人的原则予以调整。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101" w:name="_Toc57731981"/>
      <w:r>
        <w:rPr>
          <w:rFonts w:hint="eastAsia" w:ascii="宋体" w:hAnsi="宋体"/>
          <w:b/>
          <w:kern w:val="0"/>
          <w:sz w:val="24"/>
          <w:szCs w:val="24"/>
        </w:rPr>
        <w:t>四、评审标准</w:t>
      </w:r>
      <w:bookmarkEnd w:id="100"/>
      <w:bookmarkEnd w:id="101"/>
    </w:p>
    <w:p>
      <w:pPr>
        <w:spacing w:line="360" w:lineRule="auto"/>
        <w:ind w:firstLine="480" w:firstLineChars="200"/>
        <w:rPr>
          <w:rFonts w:ascii="宋体" w:hAnsi="宋体"/>
          <w:color w:val="0D0D0D"/>
          <w:sz w:val="24"/>
          <w:szCs w:val="24"/>
        </w:rPr>
      </w:pPr>
      <w:bookmarkStart w:id="102" w:name="_Toc518494144"/>
      <w:bookmarkStart w:id="103" w:name="_Toc57731982"/>
      <w:r>
        <w:rPr>
          <w:rFonts w:hint="eastAsia" w:ascii="宋体" w:hAnsi="宋体"/>
          <w:color w:val="0D0D0D"/>
          <w:sz w:val="24"/>
          <w:szCs w:val="24"/>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2"/>
      <w:bookmarkEnd w:id="103"/>
    </w:p>
    <w:p>
      <w:pPr>
        <w:tabs>
          <w:tab w:val="left" w:pos="851"/>
        </w:tabs>
        <w:spacing w:line="360" w:lineRule="auto"/>
        <w:ind w:firstLine="480" w:firstLineChars="200"/>
        <w:rPr>
          <w:rFonts w:ascii="宋体" w:hAnsi="宋体"/>
          <w:color w:val="000000"/>
          <w:sz w:val="24"/>
          <w:szCs w:val="24"/>
        </w:rPr>
      </w:pPr>
      <w:bookmarkStart w:id="104" w:name="_Toc518494145"/>
      <w:r>
        <w:rPr>
          <w:rFonts w:hint="eastAsia"/>
          <w:color w:val="0D0D0D" w:themeColor="text1" w:themeTint="F2"/>
          <w:sz w:val="24"/>
          <w:szCs w:val="24"/>
          <w14:textFill>
            <w14:solidFill>
              <w14:schemeClr w14:val="tx1">
                <w14:lumMod w14:val="95000"/>
                <w14:lumOff w14:val="5000"/>
              </w14:schemeClr>
            </w14:solidFill>
          </w14:textFill>
        </w:rPr>
        <w:t>中选人的总报价即为中选价。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5" w:name="_Toc57731983"/>
      <w:r>
        <w:rPr>
          <w:rFonts w:hint="eastAsia" w:ascii="宋体" w:hAnsi="宋体"/>
          <w:b/>
          <w:kern w:val="0"/>
          <w:sz w:val="24"/>
          <w:szCs w:val="24"/>
        </w:rPr>
        <w:t>六、定标</w:t>
      </w:r>
      <w:bookmarkEnd w:id="104"/>
      <w:bookmarkEnd w:id="105"/>
    </w:p>
    <w:p>
      <w:pPr>
        <w:spacing w:line="360" w:lineRule="auto"/>
        <w:ind w:firstLine="480" w:firstLineChars="200"/>
        <w:rPr>
          <w:rFonts w:ascii="宋体" w:hAnsi="宋体"/>
          <w:sz w:val="24"/>
          <w:szCs w:val="24"/>
        </w:rPr>
      </w:pPr>
      <w:bookmarkStart w:id="106"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7" w:name="_Toc57731984"/>
      <w:r>
        <w:rPr>
          <w:rFonts w:hint="eastAsia" w:ascii="宋体" w:hAnsi="宋体"/>
          <w:b/>
          <w:kern w:val="0"/>
          <w:sz w:val="24"/>
          <w:szCs w:val="24"/>
        </w:rPr>
        <w:t>七、评标守则</w:t>
      </w:r>
      <w:bookmarkEnd w:id="106"/>
      <w:bookmarkEnd w:id="107"/>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20"/>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附表1：参选人签到表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60" w:lineRule="auto"/>
        <w:jc w:val="center"/>
        <w:rPr>
          <w:rFonts w:ascii="宋体" w:hAnsi="宋体" w:cs="宋体"/>
          <w:b/>
          <w:bCs/>
          <w:kern w:val="0"/>
          <w:sz w:val="32"/>
          <w:szCs w:val="32"/>
        </w:rPr>
      </w:pP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9"/>
        <w:tblW w:w="9135" w:type="dxa"/>
        <w:jc w:val="center"/>
        <w:tblLayout w:type="fixed"/>
        <w:tblCellMar>
          <w:top w:w="0" w:type="dxa"/>
          <w:left w:w="0" w:type="dxa"/>
          <w:bottom w:w="0" w:type="dxa"/>
          <w:right w:w="0" w:type="dxa"/>
        </w:tblCellMar>
      </w:tblPr>
      <w:tblGrid>
        <w:gridCol w:w="721"/>
        <w:gridCol w:w="3060"/>
        <w:gridCol w:w="1725"/>
        <w:gridCol w:w="1951"/>
        <w:gridCol w:w="1678"/>
      </w:tblGrid>
      <w:tr>
        <w:tblPrEx>
          <w:tblCellMar>
            <w:top w:w="0" w:type="dxa"/>
            <w:left w:w="0" w:type="dxa"/>
            <w:bottom w:w="0" w:type="dxa"/>
            <w:right w:w="0" w:type="dxa"/>
          </w:tblCellMar>
        </w:tblPrEx>
        <w:trPr>
          <w:trHeight w:val="676"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rPr>
          <w:trHeight w:val="69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7</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8</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9</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10</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5"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rPr>
                <w:rFonts w:ascii="宋体" w:hAnsi="宋体"/>
                <w:sz w:val="24"/>
                <w:szCs w:val="24"/>
              </w:rPr>
            </w:pPr>
          </w:p>
          <w:p>
            <w:pPr>
              <w:widowControl/>
              <w:spacing w:line="360" w:lineRule="auto"/>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监督(签名)：</w:t>
            </w:r>
          </w:p>
        </w:tc>
      </w:tr>
      <w:bookmarkEnd w:id="2"/>
      <w:bookmarkEnd w:id="3"/>
      <w:bookmarkEnd w:id="4"/>
      <w:bookmarkEnd w:id="92"/>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深铁集团房地产开发企业一级资质申报服务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r>
        <w:rPr>
          <w:rFonts w:hint="eastAsia" w:ascii="宋体" w:hAnsi="宋体"/>
          <w:sz w:val="24"/>
          <w:szCs w:val="24"/>
        </w:rPr>
        <w:t>日期： 2022年   月   日</w:t>
      </w:r>
    </w:p>
    <w:tbl>
      <w:tblPr>
        <w:tblStyle w:val="49"/>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661"/>
        <w:gridCol w:w="1556"/>
        <w:gridCol w:w="1556"/>
        <w:gridCol w:w="1556"/>
        <w:gridCol w:w="1556"/>
        <w:gridCol w:w="1556"/>
        <w:gridCol w:w="1556"/>
        <w:gridCol w:w="155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56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4268" w:type="pct"/>
            <w:gridSpan w:val="8"/>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6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6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62"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 w:val="18"/>
                <w:szCs w:val="18"/>
              </w:rPr>
              <w:t>参选文件在截止时间前递交（电子版）</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2"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总报价（元）</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bl>
    <w:p>
      <w:pPr>
        <w:pStyle w:val="20"/>
        <w:spacing w:line="360" w:lineRule="auto"/>
        <w:ind w:left="118" w:leftChars="56"/>
        <w:rPr>
          <w:rFonts w:ascii="宋体" w:hAnsi="宋体"/>
          <w:b/>
          <w:sz w:val="24"/>
          <w:szCs w:val="24"/>
        </w:rPr>
      </w:pPr>
    </w:p>
    <w:p>
      <w:pPr>
        <w:pStyle w:val="20"/>
        <w:spacing w:line="360" w:lineRule="auto"/>
        <w:ind w:left="118" w:leftChars="56"/>
        <w:rPr>
          <w:rFonts w:ascii="宋体" w:hAnsi="宋体"/>
          <w:b/>
          <w:sz w:val="24"/>
          <w:szCs w:val="24"/>
        </w:rPr>
      </w:pPr>
      <w:r>
        <w:rPr>
          <w:rFonts w:hint="eastAsia" w:ascii="宋体" w:hAnsi="宋体"/>
          <w:b/>
          <w:sz w:val="24"/>
          <w:szCs w:val="24"/>
        </w:rPr>
        <w:t>记录人签名：</w:t>
      </w:r>
    </w:p>
    <w:p>
      <w:pPr>
        <w:pStyle w:val="20"/>
        <w:spacing w:line="360" w:lineRule="auto"/>
        <w:ind w:left="118" w:leftChars="56"/>
        <w:rPr>
          <w:rFonts w:ascii="宋体" w:hAnsi="宋体"/>
          <w:b/>
          <w:sz w:val="24"/>
          <w:szCs w:val="24"/>
        </w:rPr>
      </w:pPr>
      <w:r>
        <w:rPr>
          <w:rFonts w:hint="eastAsia" w:ascii="宋体" w:hAnsi="宋体"/>
          <w:b/>
          <w:sz w:val="24"/>
          <w:szCs w:val="24"/>
        </w:rPr>
        <w:t>复核人签名：</w:t>
      </w:r>
    </w:p>
    <w:p>
      <w:pPr>
        <w:pStyle w:val="20"/>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rPr>
          <w:rFonts w:ascii="宋体" w:hAnsi="宋体" w:cs="宋体"/>
          <w:b/>
          <w:bCs/>
          <w:color w:val="0D0D0D"/>
          <w:kern w:val="0"/>
          <w:sz w:val="24"/>
          <w:szCs w:val="24"/>
        </w:rPr>
      </w:pPr>
      <w:r>
        <w:rPr>
          <w:rFonts w:ascii="宋体" w:hAnsi="宋体" w:cs="宋体"/>
          <w:b/>
          <w:bCs/>
          <w:color w:val="0D0D0D"/>
          <w:kern w:val="0"/>
          <w:sz w:val="24"/>
          <w:szCs w:val="24"/>
        </w:rPr>
        <w:br w:type="page"/>
      </w:r>
    </w:p>
    <w:p>
      <w:pPr>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技术标初步评审表</w:t>
      </w:r>
    </w:p>
    <w:p>
      <w:pPr>
        <w:spacing w:after="120" w:afterLines="50" w:line="360" w:lineRule="auto"/>
        <w:ind w:right="350"/>
        <w:jc w:val="center"/>
        <w:rPr>
          <w:rFonts w:ascii="宋体" w:hAnsi="宋体"/>
          <w:b/>
          <w:bCs/>
          <w:snapToGrid w:val="0"/>
          <w:sz w:val="28"/>
          <w:szCs w:val="24"/>
        </w:rPr>
      </w:pPr>
      <w:r>
        <w:rPr>
          <w:rFonts w:ascii="宋体" w:hAnsi="宋体"/>
          <w:b/>
          <w:sz w:val="28"/>
          <w:szCs w:val="24"/>
        </w:rPr>
        <w:t>技术标初步评审</w:t>
      </w:r>
      <w:r>
        <w:rPr>
          <w:rFonts w:hint="eastAsia" w:ascii="宋体" w:hAnsi="宋体"/>
          <w:b/>
          <w:bCs/>
          <w:snapToGrid w:val="0"/>
          <w:sz w:val="28"/>
          <w:szCs w:val="24"/>
        </w:rPr>
        <w:t>表</w:t>
      </w:r>
    </w:p>
    <w:p>
      <w:pPr>
        <w:pStyle w:val="48"/>
        <w:ind w:left="0" w:leftChars="0" w:firstLine="0" w:firstLineChars="0"/>
        <w:rPr>
          <w:u w:val="single"/>
        </w:rPr>
      </w:pPr>
      <w:r>
        <w:rPr>
          <w:rFonts w:hint="eastAsia" w:ascii="宋体" w:hAnsi="宋体" w:cs="宋体"/>
          <w:b/>
          <w:color w:val="0D0D0D"/>
          <w:kern w:val="0"/>
          <w:sz w:val="24"/>
          <w:szCs w:val="28"/>
        </w:rPr>
        <w:t>项目名称：</w:t>
      </w:r>
      <w:r>
        <w:rPr>
          <w:rFonts w:hint="eastAsia" w:ascii="宋体" w:hAnsi="宋体" w:cs="宋体"/>
          <w:b/>
          <w:color w:val="0D0D0D"/>
          <w:kern w:val="0"/>
          <w:sz w:val="24"/>
          <w:szCs w:val="28"/>
          <w:u w:val="single"/>
        </w:rPr>
        <w:t>深铁集团房地产开发企业一级资质申报服务</w:t>
      </w:r>
    </w:p>
    <w:tbl>
      <w:tblPr>
        <w:tblStyle w:val="49"/>
        <w:tblpPr w:leftFromText="180" w:rightFromText="180" w:vertAnchor="text" w:horzAnchor="page" w:tblpX="923" w:tblpY="466"/>
        <w:tblOverlap w:val="never"/>
        <w:tblW w:w="14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8350"/>
        <w:gridCol w:w="996"/>
        <w:gridCol w:w="1187"/>
        <w:gridCol w:w="1184"/>
        <w:gridCol w:w="1187"/>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Merge w:val="restart"/>
            <w:vAlign w:val="center"/>
          </w:tcPr>
          <w:p>
            <w:pPr>
              <w:jc w:val="center"/>
              <w:rPr>
                <w:rFonts w:ascii="宋体" w:hAnsi="宋体"/>
                <w:b/>
                <w:bCs/>
                <w:snapToGrid w:val="0"/>
                <w:szCs w:val="21"/>
              </w:rPr>
            </w:pPr>
            <w:r>
              <w:rPr>
                <w:rFonts w:hint="eastAsia" w:ascii="宋体" w:hAnsi="宋体"/>
                <w:b/>
                <w:bCs/>
                <w:snapToGrid w:val="0"/>
                <w:szCs w:val="21"/>
              </w:rPr>
              <w:t>序号</w:t>
            </w:r>
          </w:p>
        </w:tc>
        <w:tc>
          <w:tcPr>
            <w:tcW w:w="8350" w:type="dxa"/>
            <w:vMerge w:val="restart"/>
            <w:vAlign w:val="center"/>
          </w:tcPr>
          <w:p>
            <w:pPr>
              <w:jc w:val="center"/>
              <w:rPr>
                <w:rFonts w:ascii="宋体" w:hAnsi="宋体"/>
                <w:b/>
                <w:bCs/>
                <w:snapToGrid w:val="0"/>
                <w:szCs w:val="21"/>
              </w:rPr>
            </w:pPr>
            <w:r>
              <w:rPr>
                <w:rFonts w:hint="eastAsia" w:ascii="宋体" w:hAnsi="宋体"/>
                <w:b/>
                <w:bCs/>
                <w:snapToGrid w:val="0"/>
                <w:szCs w:val="21"/>
              </w:rPr>
              <w:t>审查</w:t>
            </w:r>
            <w:r>
              <w:rPr>
                <w:rFonts w:ascii="宋体" w:hAnsi="宋体"/>
                <w:b/>
                <w:bCs/>
                <w:snapToGrid w:val="0"/>
                <w:szCs w:val="21"/>
              </w:rPr>
              <w:t>内容</w:t>
            </w:r>
          </w:p>
        </w:tc>
        <w:tc>
          <w:tcPr>
            <w:tcW w:w="5847" w:type="dxa"/>
            <w:gridSpan w:val="5"/>
            <w:vAlign w:val="center"/>
          </w:tcPr>
          <w:p>
            <w:pPr>
              <w:jc w:val="center"/>
              <w:rPr>
                <w:rFonts w:ascii="宋体" w:hAnsi="宋体"/>
                <w:b/>
                <w:bCs/>
                <w:snapToGrid w:val="0"/>
                <w:szCs w:val="21"/>
              </w:rPr>
            </w:pPr>
            <w:r>
              <w:rPr>
                <w:rFonts w:hint="eastAsia" w:ascii="宋体" w:hAnsi="宋体"/>
                <w:b/>
                <w:bCs/>
                <w:snapToGrid w:val="0"/>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Merge w:val="continue"/>
            <w:vAlign w:val="center"/>
          </w:tcPr>
          <w:p>
            <w:pPr>
              <w:jc w:val="center"/>
              <w:rPr>
                <w:rFonts w:ascii="宋体" w:hAnsi="宋体"/>
                <w:b/>
                <w:bCs/>
                <w:snapToGrid w:val="0"/>
                <w:szCs w:val="21"/>
              </w:rPr>
            </w:pPr>
          </w:p>
        </w:tc>
        <w:tc>
          <w:tcPr>
            <w:tcW w:w="8350" w:type="dxa"/>
            <w:vMerge w:val="continue"/>
            <w:vAlign w:val="center"/>
          </w:tcPr>
          <w:p>
            <w:pPr>
              <w:jc w:val="right"/>
              <w:rPr>
                <w:rFonts w:ascii="宋体" w:hAnsi="宋体"/>
                <w:b/>
                <w:bCs/>
                <w:snapToGrid w:val="0"/>
                <w:szCs w:val="21"/>
              </w:rPr>
            </w:pPr>
          </w:p>
        </w:tc>
        <w:tc>
          <w:tcPr>
            <w:tcW w:w="996" w:type="dxa"/>
            <w:vAlign w:val="center"/>
          </w:tcPr>
          <w:p>
            <w:pPr>
              <w:rPr>
                <w:rFonts w:ascii="宋体" w:hAnsi="宋体"/>
                <w:b/>
                <w:bCs/>
                <w:snapToGrid w:val="0"/>
                <w:szCs w:val="21"/>
              </w:rPr>
            </w:pPr>
            <w:r>
              <w:rPr>
                <w:rFonts w:hint="eastAsia" w:ascii="宋体" w:hAnsi="宋体"/>
                <w:b/>
                <w:bCs/>
                <w:snapToGrid w:val="0"/>
                <w:szCs w:val="21"/>
              </w:rPr>
              <w:t>参选人1</w:t>
            </w:r>
          </w:p>
        </w:tc>
        <w:tc>
          <w:tcPr>
            <w:tcW w:w="1187" w:type="dxa"/>
            <w:vAlign w:val="center"/>
          </w:tcPr>
          <w:p>
            <w:pPr>
              <w:rPr>
                <w:rFonts w:ascii="宋体" w:hAnsi="宋体"/>
                <w:b/>
                <w:bCs/>
                <w:snapToGrid w:val="0"/>
                <w:szCs w:val="21"/>
              </w:rPr>
            </w:pPr>
            <w:r>
              <w:rPr>
                <w:rFonts w:hint="eastAsia" w:ascii="宋体" w:hAnsi="宋体"/>
                <w:b/>
                <w:bCs/>
                <w:snapToGrid w:val="0"/>
                <w:szCs w:val="21"/>
              </w:rPr>
              <w:t>参选人2</w:t>
            </w:r>
          </w:p>
        </w:tc>
        <w:tc>
          <w:tcPr>
            <w:tcW w:w="1184" w:type="dxa"/>
            <w:vAlign w:val="center"/>
          </w:tcPr>
          <w:p>
            <w:pPr>
              <w:rPr>
                <w:rFonts w:ascii="宋体" w:hAnsi="宋体"/>
                <w:b/>
                <w:bCs/>
                <w:snapToGrid w:val="0"/>
                <w:szCs w:val="21"/>
              </w:rPr>
            </w:pPr>
            <w:r>
              <w:rPr>
                <w:rFonts w:hint="eastAsia" w:ascii="宋体" w:hAnsi="宋体"/>
                <w:b/>
                <w:bCs/>
                <w:snapToGrid w:val="0"/>
                <w:szCs w:val="21"/>
              </w:rPr>
              <w:t>参选人3</w:t>
            </w:r>
          </w:p>
        </w:tc>
        <w:tc>
          <w:tcPr>
            <w:tcW w:w="1187" w:type="dxa"/>
            <w:vAlign w:val="center"/>
          </w:tcPr>
          <w:p>
            <w:pPr>
              <w:rPr>
                <w:rFonts w:ascii="宋体" w:hAnsi="宋体"/>
                <w:b/>
                <w:bCs/>
                <w:snapToGrid w:val="0"/>
                <w:szCs w:val="21"/>
              </w:rPr>
            </w:pPr>
            <w:r>
              <w:rPr>
                <w:rFonts w:hint="eastAsia" w:ascii="宋体" w:hAnsi="宋体"/>
                <w:b/>
                <w:bCs/>
                <w:snapToGrid w:val="0"/>
                <w:szCs w:val="21"/>
              </w:rPr>
              <w:t>参选人4</w:t>
            </w:r>
          </w:p>
        </w:tc>
        <w:tc>
          <w:tcPr>
            <w:tcW w:w="1293" w:type="dxa"/>
            <w:vAlign w:val="center"/>
          </w:tcPr>
          <w:p>
            <w:pPr>
              <w:rPr>
                <w:rFonts w:ascii="宋体" w:hAnsi="宋体"/>
                <w:b/>
                <w:bCs/>
                <w:snapToGrid w:val="0"/>
                <w:szCs w:val="21"/>
              </w:rPr>
            </w:pPr>
            <w:r>
              <w:rPr>
                <w:rFonts w:hint="eastAsia" w:ascii="宋体" w:hAnsi="宋体"/>
                <w:b/>
                <w:bCs/>
                <w:snapToGrid w:val="0"/>
                <w:szCs w:val="21"/>
              </w:rPr>
              <w:t>参选人</w:t>
            </w:r>
            <w:r>
              <w:rPr>
                <w:rFonts w:ascii="宋体" w:hAnsi="宋体"/>
                <w:b/>
                <w:bCs/>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1</w:t>
            </w:r>
          </w:p>
        </w:tc>
        <w:tc>
          <w:tcPr>
            <w:tcW w:w="8350" w:type="dxa"/>
            <w:vAlign w:val="center"/>
          </w:tcPr>
          <w:p>
            <w:pPr>
              <w:rPr>
                <w:rFonts w:ascii="宋体" w:hAnsi="宋体"/>
                <w:kern w:val="0"/>
                <w:szCs w:val="21"/>
              </w:rPr>
            </w:pPr>
            <w:r>
              <w:rPr>
                <w:rFonts w:hint="eastAsia" w:ascii="宋体" w:hAnsi="宋体"/>
                <w:szCs w:val="21"/>
              </w:rPr>
              <w:t>参选文件按要求加盖参选人公章。</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2</w:t>
            </w:r>
          </w:p>
        </w:tc>
        <w:tc>
          <w:tcPr>
            <w:tcW w:w="8350" w:type="dxa"/>
            <w:vAlign w:val="center"/>
          </w:tcPr>
          <w:p>
            <w:pPr>
              <w:rPr>
                <w:rFonts w:ascii="宋体" w:hAnsi="宋体"/>
                <w:kern w:val="0"/>
                <w:szCs w:val="21"/>
              </w:rPr>
            </w:pPr>
            <w:r>
              <w:rPr>
                <w:rFonts w:hint="eastAsia" w:ascii="宋体" w:hAnsi="宋体"/>
                <w:szCs w:val="21"/>
              </w:rPr>
              <w:t>参选文件经法定代表人或其委托代理人签字或盖章，或由委托代理人签字并随参选文件一起提供“法定代表人授权书”原件。</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3</w:t>
            </w:r>
          </w:p>
        </w:tc>
        <w:tc>
          <w:tcPr>
            <w:tcW w:w="8350" w:type="dxa"/>
            <w:vAlign w:val="center"/>
          </w:tcPr>
          <w:p>
            <w:pPr>
              <w:rPr>
                <w:rFonts w:ascii="宋体" w:hAnsi="宋体"/>
                <w:kern w:val="0"/>
                <w:szCs w:val="21"/>
              </w:rPr>
            </w:pPr>
            <w:r>
              <w:rPr>
                <w:rFonts w:hint="eastAsia" w:ascii="宋体" w:hAnsi="宋体" w:cs="仿宋_GB2312"/>
                <w:szCs w:val="21"/>
              </w:rPr>
              <w:t>参选单位必须是在中华人民共和国境内依法注册的具备法人资格的企业,需于2019年</w:t>
            </w:r>
            <w:r>
              <w:rPr>
                <w:rFonts w:hint="eastAsia" w:ascii="宋体" w:hAnsi="宋体" w:cs="仿宋_GB2312"/>
                <w:szCs w:val="21"/>
                <w:lang w:val="en-US" w:eastAsia="zh-CN"/>
              </w:rPr>
              <w:t>7</w:t>
            </w:r>
            <w:r>
              <w:rPr>
                <w:rFonts w:hint="eastAsia" w:ascii="宋体" w:hAnsi="宋体" w:cs="仿宋_GB2312"/>
                <w:szCs w:val="21"/>
              </w:rPr>
              <w:t>月1日之前成立。</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2"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4</w:t>
            </w:r>
          </w:p>
        </w:tc>
        <w:tc>
          <w:tcPr>
            <w:tcW w:w="8350" w:type="dxa"/>
            <w:vAlign w:val="center"/>
          </w:tcPr>
          <w:p>
            <w:pPr>
              <w:rPr>
                <w:rFonts w:ascii="宋体" w:hAnsi="宋体"/>
                <w:kern w:val="0"/>
                <w:szCs w:val="21"/>
              </w:rPr>
            </w:pPr>
            <w:r>
              <w:rPr>
                <w:rFonts w:hint="eastAsia" w:ascii="宋体" w:hAnsi="宋体"/>
                <w:kern w:val="0"/>
                <w:szCs w:val="21"/>
              </w:rPr>
              <w:t>提供2019年</w:t>
            </w:r>
            <w:r>
              <w:rPr>
                <w:rFonts w:hint="eastAsia" w:ascii="宋体" w:hAnsi="宋体"/>
                <w:kern w:val="0"/>
                <w:szCs w:val="21"/>
                <w:lang w:val="en-US" w:eastAsia="zh-CN"/>
              </w:rPr>
              <w:t>7</w:t>
            </w:r>
            <w:r>
              <w:rPr>
                <w:rFonts w:hint="eastAsia" w:ascii="宋体" w:hAnsi="宋体"/>
                <w:kern w:val="0"/>
                <w:szCs w:val="21"/>
              </w:rPr>
              <w:t>月1日之后，深圳市房地产开发企业一级资质办理成功案例一个，提供合同关键页及一级资质办理成功相关证明复印件（时间以合同签订时间为准，复印件加盖公章，原件备查）。</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877" w:type="dxa"/>
            <w:gridSpan w:val="2"/>
            <w:vAlign w:val="center"/>
          </w:tcPr>
          <w:p>
            <w:pPr>
              <w:jc w:val="center"/>
              <w:rPr>
                <w:rFonts w:ascii="宋体" w:hAnsi="宋体"/>
                <w:b/>
                <w:bCs/>
                <w:snapToGrid w:val="0"/>
                <w:szCs w:val="21"/>
              </w:rPr>
            </w:pPr>
            <w:r>
              <w:rPr>
                <w:rFonts w:hint="eastAsia" w:ascii="宋体" w:hAnsi="宋体"/>
                <w:b/>
                <w:bCs/>
                <w:snapToGrid w:val="0"/>
                <w:szCs w:val="21"/>
              </w:rPr>
              <w:t>评审结论</w:t>
            </w:r>
          </w:p>
        </w:tc>
        <w:tc>
          <w:tcPr>
            <w:tcW w:w="996" w:type="dxa"/>
            <w:vAlign w:val="center"/>
          </w:tcPr>
          <w:p>
            <w:pPr>
              <w:jc w:val="center"/>
              <w:rPr>
                <w:rFonts w:ascii="宋体" w:hAnsi="宋体"/>
                <w:b/>
                <w:bCs/>
                <w:snapToGrid w:val="0"/>
                <w:szCs w:val="21"/>
              </w:rPr>
            </w:pPr>
          </w:p>
        </w:tc>
        <w:tc>
          <w:tcPr>
            <w:tcW w:w="1187" w:type="dxa"/>
            <w:vAlign w:val="center"/>
          </w:tcPr>
          <w:p>
            <w:pPr>
              <w:jc w:val="center"/>
              <w:rPr>
                <w:rFonts w:ascii="宋体" w:hAnsi="宋体"/>
                <w:b/>
                <w:bCs/>
                <w:snapToGrid w:val="0"/>
                <w:szCs w:val="21"/>
              </w:rPr>
            </w:pPr>
          </w:p>
        </w:tc>
        <w:tc>
          <w:tcPr>
            <w:tcW w:w="1184" w:type="dxa"/>
            <w:vAlign w:val="center"/>
          </w:tcPr>
          <w:p>
            <w:pPr>
              <w:jc w:val="center"/>
              <w:rPr>
                <w:rFonts w:ascii="宋体" w:hAnsi="宋体"/>
                <w:b/>
                <w:bCs/>
                <w:snapToGrid w:val="0"/>
                <w:szCs w:val="21"/>
              </w:rPr>
            </w:pPr>
          </w:p>
        </w:tc>
        <w:tc>
          <w:tcPr>
            <w:tcW w:w="1187" w:type="dxa"/>
            <w:vAlign w:val="center"/>
          </w:tcPr>
          <w:p>
            <w:pPr>
              <w:jc w:val="center"/>
              <w:rPr>
                <w:rFonts w:ascii="宋体" w:hAnsi="宋体"/>
                <w:b/>
                <w:bCs/>
                <w:snapToGrid w:val="0"/>
                <w:szCs w:val="21"/>
              </w:rPr>
            </w:pPr>
          </w:p>
        </w:tc>
        <w:tc>
          <w:tcPr>
            <w:tcW w:w="1293" w:type="dxa"/>
            <w:vAlign w:val="center"/>
          </w:tcPr>
          <w:p>
            <w:pPr>
              <w:jc w:val="center"/>
              <w:rPr>
                <w:rFonts w:ascii="宋体" w:hAnsi="宋体"/>
                <w:b/>
                <w:bCs/>
                <w:snapToGrid w:val="0"/>
                <w:szCs w:val="21"/>
              </w:rPr>
            </w:pPr>
          </w:p>
        </w:tc>
      </w:tr>
    </w:tbl>
    <w:p>
      <w:pPr>
        <w:tabs>
          <w:tab w:val="left" w:pos="0"/>
        </w:tabs>
        <w:snapToGrid w:val="0"/>
        <w:spacing w:line="360" w:lineRule="auto"/>
        <w:rPr>
          <w:rFonts w:ascii="宋体" w:hAnsi="宋体"/>
          <w:color w:val="0D0D0D"/>
          <w:szCs w:val="21"/>
        </w:rPr>
      </w:pPr>
      <w:r>
        <w:rPr>
          <w:rFonts w:hint="eastAsia" w:ascii="宋体" w:hAnsi="宋体"/>
          <w:b/>
          <w:color w:val="0D0D0D"/>
          <w:szCs w:val="21"/>
        </w:rPr>
        <w:t>说明：</w:t>
      </w:r>
      <w:r>
        <w:rPr>
          <w:rFonts w:hint="eastAsia" w:ascii="宋体" w:hAnsi="宋体"/>
          <w:color w:val="0D0D0D"/>
          <w:szCs w:val="21"/>
        </w:rPr>
        <w:t>1、评审通过的用“√”表示，未通过的用“×”表示。结论用“合格”或“不合格”表示。</w:t>
      </w:r>
    </w:p>
    <w:p>
      <w:pPr>
        <w:tabs>
          <w:tab w:val="left" w:pos="0"/>
        </w:tabs>
        <w:snapToGrid w:val="0"/>
        <w:spacing w:line="360" w:lineRule="auto"/>
        <w:ind w:firstLine="630" w:firstLineChars="300"/>
        <w:rPr>
          <w:rFonts w:ascii="宋体" w:hAnsi="宋体"/>
          <w:color w:val="0D0D0D"/>
          <w:szCs w:val="21"/>
        </w:rPr>
      </w:pPr>
      <w:r>
        <w:rPr>
          <w:rFonts w:hint="eastAsia" w:ascii="宋体" w:hAnsi="宋体"/>
          <w:color w:val="0D0D0D"/>
          <w:szCs w:val="21"/>
        </w:rPr>
        <w:t>2、只有以上项目全部通过，评审结论为“合格”，否则结论为“不合格”。</w:t>
      </w:r>
    </w:p>
    <w:p>
      <w:pPr>
        <w:tabs>
          <w:tab w:val="left" w:pos="0"/>
        </w:tabs>
        <w:snapToGrid w:val="0"/>
        <w:spacing w:line="360" w:lineRule="auto"/>
        <w:rPr>
          <w:rFonts w:ascii="宋体" w:hAnsi="宋体"/>
          <w:b/>
          <w:color w:val="0D0D0D"/>
          <w:szCs w:val="21"/>
        </w:rPr>
      </w:pPr>
      <w:r>
        <w:rPr>
          <w:rFonts w:hint="eastAsia" w:ascii="宋体" w:hAnsi="宋体"/>
          <w:b/>
          <w:color w:val="0D0D0D"/>
          <w:szCs w:val="21"/>
        </w:rPr>
        <w:t xml:space="preserve">评标委员会（签名）：                                                           监督（签名）： </w:t>
      </w:r>
      <w:r>
        <w:rPr>
          <w:rFonts w:ascii="宋体" w:hAnsi="宋体"/>
          <w:b/>
          <w:color w:val="0D0D0D"/>
          <w:szCs w:val="21"/>
        </w:rPr>
        <w:t xml:space="preserve">    </w:t>
      </w:r>
      <w:r>
        <w:rPr>
          <w:rFonts w:hint="eastAsia" w:ascii="宋体" w:hAnsi="宋体"/>
          <w:b/>
          <w:color w:val="0D0D0D"/>
          <w:szCs w:val="21"/>
        </w:rPr>
        <w:t xml:space="preserve">  </w:t>
      </w:r>
      <w:r>
        <w:rPr>
          <w:rFonts w:ascii="宋体" w:hAnsi="宋体"/>
          <w:b/>
          <w:color w:val="0D0D0D"/>
          <w:szCs w:val="21"/>
        </w:rPr>
        <w:t xml:space="preserve">           </w:t>
      </w:r>
      <w:r>
        <w:rPr>
          <w:rFonts w:hint="eastAsia" w:ascii="宋体" w:hAnsi="宋体"/>
          <w:b/>
          <w:color w:val="0D0D0D"/>
          <w:szCs w:val="21"/>
        </w:rPr>
        <w:t>日期：2022年  月   日</w:t>
      </w:r>
      <w:r>
        <w:rPr>
          <w:rFonts w:ascii="宋体" w:hAnsi="宋体"/>
          <w:b/>
          <w:color w:val="0D0D0D"/>
          <w:szCs w:val="21"/>
        </w:rPr>
        <w:t xml:space="preserve"> </w:t>
      </w:r>
    </w:p>
    <w:p>
      <w:pPr>
        <w:widowControl/>
        <w:jc w:val="left"/>
        <w:rPr>
          <w:rFonts w:ascii="宋体" w:hAnsi="宋体"/>
        </w:rPr>
      </w:pPr>
      <w:r>
        <w:rPr>
          <w:rFonts w:ascii="宋体" w:hAnsi="宋体"/>
        </w:rPr>
        <w:br w:type="page"/>
      </w:r>
    </w:p>
    <w:p>
      <w:pPr>
        <w:pStyle w:val="48"/>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0D0D0D"/>
          <w:sz w:val="24"/>
          <w:szCs w:val="24"/>
        </w:rPr>
      </w:pPr>
      <w:r>
        <w:rPr>
          <w:rFonts w:hint="eastAsia" w:ascii="宋体" w:hAnsi="宋体" w:cs="宋体"/>
          <w:b/>
          <w:bCs/>
          <w:color w:val="0D0D0D"/>
          <w:kern w:val="0"/>
          <w:sz w:val="24"/>
          <w:szCs w:val="24"/>
        </w:rPr>
        <w:t xml:space="preserve">  附件</w:t>
      </w:r>
      <w:r>
        <w:rPr>
          <w:rFonts w:ascii="宋体" w:hAnsi="宋体" w:cs="宋体"/>
          <w:b/>
          <w:bCs/>
          <w:color w:val="0D0D0D"/>
          <w:kern w:val="0"/>
          <w:sz w:val="24"/>
          <w:szCs w:val="24"/>
        </w:rPr>
        <w:t>4</w:t>
      </w:r>
      <w:r>
        <w:rPr>
          <w:rFonts w:hint="eastAsia" w:ascii="宋体" w:hAnsi="宋体" w:cs="宋体"/>
          <w:b/>
          <w:bCs/>
          <w:color w:val="0D0D0D"/>
          <w:kern w:val="0"/>
          <w:sz w:val="24"/>
          <w:szCs w:val="24"/>
        </w:rPr>
        <w:t>：技术标详细评分表</w:t>
      </w:r>
    </w:p>
    <w:p>
      <w:pPr>
        <w:spacing w:line="276" w:lineRule="auto"/>
        <w:jc w:val="center"/>
        <w:rPr>
          <w:rFonts w:ascii="宋体" w:hAnsi="宋体"/>
          <w:b/>
          <w:bCs/>
          <w:snapToGrid w:val="0"/>
          <w:sz w:val="28"/>
          <w:szCs w:val="24"/>
          <w:highlight w:val="none"/>
        </w:rPr>
      </w:pPr>
      <w:r>
        <w:rPr>
          <w:rFonts w:hint="eastAsia"/>
          <w:b/>
          <w:sz w:val="28"/>
          <w:szCs w:val="24"/>
          <w:highlight w:val="none"/>
        </w:rPr>
        <w:t>技术</w:t>
      </w:r>
      <w:r>
        <w:rPr>
          <w:b/>
          <w:sz w:val="28"/>
          <w:szCs w:val="24"/>
          <w:highlight w:val="none"/>
        </w:rPr>
        <w:t>标</w:t>
      </w:r>
      <w:r>
        <w:rPr>
          <w:rFonts w:hint="eastAsia"/>
          <w:b/>
          <w:sz w:val="28"/>
          <w:szCs w:val="24"/>
          <w:highlight w:val="none"/>
        </w:rPr>
        <w:t>详细评分</w:t>
      </w:r>
      <w:r>
        <w:rPr>
          <w:rFonts w:hint="eastAsia" w:ascii="宋体" w:hAnsi="宋体"/>
          <w:b/>
          <w:bCs/>
          <w:snapToGrid w:val="0"/>
          <w:sz w:val="28"/>
          <w:szCs w:val="24"/>
          <w:highlight w:val="none"/>
        </w:rPr>
        <w:t>表</w:t>
      </w:r>
    </w:p>
    <w:p>
      <w:pPr>
        <w:spacing w:after="120" w:afterLines="50" w:line="360" w:lineRule="auto"/>
        <w:ind w:right="630"/>
        <w:rPr>
          <w:rFonts w:ascii="宋体" w:hAnsi="宋体" w:cs="宋体"/>
          <w:b/>
          <w:color w:val="0D0D0D"/>
          <w:kern w:val="0"/>
          <w:sz w:val="24"/>
          <w:szCs w:val="28"/>
        </w:rPr>
      </w:pPr>
      <w:r>
        <w:rPr>
          <w:rFonts w:hint="eastAsia" w:ascii="宋体" w:hAnsi="宋体" w:cs="宋体"/>
          <w:b/>
          <w:color w:val="0D0D0D"/>
          <w:kern w:val="0"/>
          <w:sz w:val="24"/>
          <w:szCs w:val="28"/>
        </w:rPr>
        <w:t>项目名称：</w:t>
      </w:r>
      <w:r>
        <w:rPr>
          <w:rFonts w:hint="eastAsia" w:ascii="宋体" w:hAnsi="宋体" w:cs="宋体"/>
          <w:b/>
          <w:color w:val="0D0D0D"/>
          <w:kern w:val="0"/>
          <w:sz w:val="24"/>
          <w:szCs w:val="28"/>
          <w:u w:val="single"/>
        </w:rPr>
        <w:t>深铁集团房地产开发企业一级资质申报服务</w:t>
      </w:r>
    </w:p>
    <w:tbl>
      <w:tblPr>
        <w:tblStyle w:val="49"/>
        <w:tblpPr w:leftFromText="180" w:rightFromText="180" w:vertAnchor="text" w:horzAnchor="page" w:tblpX="1131" w:tblpY="752"/>
        <w:tblOverlap w:val="never"/>
        <w:tblW w:w="14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834"/>
        <w:gridCol w:w="8419"/>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231" w:type="dxa"/>
            <w:vMerge w:val="restart"/>
            <w:noWrap/>
            <w:vAlign w:val="center"/>
          </w:tcPr>
          <w:p>
            <w:pPr>
              <w:adjustRightInd w:val="0"/>
              <w:snapToGrid w:val="0"/>
              <w:spacing w:line="560" w:lineRule="exact"/>
              <w:rPr>
                <w:rFonts w:ascii="宋体" w:hAnsi="宋体"/>
                <w:color w:val="000000"/>
                <w:szCs w:val="21"/>
              </w:rPr>
            </w:pPr>
            <w:r>
              <w:rPr>
                <w:rFonts w:hint="eastAsia" w:ascii="宋体" w:hAnsi="宋体"/>
                <w:color w:val="000000"/>
                <w:szCs w:val="21"/>
              </w:rPr>
              <w:t>序号</w:t>
            </w:r>
          </w:p>
        </w:tc>
        <w:tc>
          <w:tcPr>
            <w:tcW w:w="2834" w:type="dxa"/>
            <w:vMerge w:val="restart"/>
            <w:vAlign w:val="center"/>
          </w:tcPr>
          <w:p>
            <w:pPr>
              <w:widowControl/>
              <w:autoSpaceDE w:val="0"/>
              <w:autoSpaceDN w:val="0"/>
              <w:adjustRightInd w:val="0"/>
              <w:spacing w:line="560" w:lineRule="exact"/>
              <w:rPr>
                <w:rFonts w:ascii="宋体" w:hAnsi="宋体"/>
                <w:color w:val="000000"/>
                <w:szCs w:val="21"/>
              </w:rPr>
            </w:pPr>
            <w:r>
              <w:rPr>
                <w:rFonts w:hint="eastAsia" w:ascii="宋体" w:hAnsi="宋体"/>
                <w:color w:val="000000"/>
                <w:szCs w:val="21"/>
              </w:rPr>
              <w:t>评审项目</w:t>
            </w:r>
          </w:p>
        </w:tc>
        <w:tc>
          <w:tcPr>
            <w:tcW w:w="8419" w:type="dxa"/>
            <w:vMerge w:val="restart"/>
            <w:vAlign w:val="center"/>
          </w:tcPr>
          <w:p>
            <w:pPr>
              <w:widowControl/>
              <w:autoSpaceDE w:val="0"/>
              <w:autoSpaceDN w:val="0"/>
              <w:adjustRightInd w:val="0"/>
              <w:spacing w:line="560" w:lineRule="exact"/>
              <w:ind w:firstLine="420" w:firstLineChars="200"/>
              <w:jc w:val="center"/>
              <w:rPr>
                <w:rFonts w:ascii="宋体" w:hAnsi="宋体"/>
                <w:color w:val="000000"/>
                <w:szCs w:val="21"/>
              </w:rPr>
            </w:pPr>
            <w:r>
              <w:rPr>
                <w:rFonts w:hint="eastAsia" w:ascii="宋体" w:hAnsi="宋体"/>
                <w:color w:val="000000"/>
                <w:szCs w:val="21"/>
              </w:rPr>
              <w:t>评审细项</w:t>
            </w:r>
          </w:p>
        </w:tc>
        <w:tc>
          <w:tcPr>
            <w:tcW w:w="2086" w:type="dxa"/>
            <w:vMerge w:val="restart"/>
            <w:vAlign w:val="center"/>
          </w:tcPr>
          <w:p>
            <w:pPr>
              <w:adjustRightInd w:val="0"/>
              <w:snapToGrid w:val="0"/>
              <w:spacing w:line="560" w:lineRule="exact"/>
              <w:rPr>
                <w:rFonts w:ascii="宋体" w:hAnsi="宋体"/>
                <w:color w:val="000000"/>
                <w:szCs w:val="21"/>
              </w:rPr>
            </w:pPr>
            <w:r>
              <w:rPr>
                <w:rFonts w:hint="eastAsia" w:ascii="宋体" w:hAnsi="宋体"/>
                <w:color w:val="000000"/>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1231" w:type="dxa"/>
            <w:vMerge w:val="continue"/>
            <w:noWrap/>
            <w:vAlign w:val="center"/>
          </w:tcPr>
          <w:p>
            <w:pPr>
              <w:widowControl/>
              <w:adjustRightInd w:val="0"/>
              <w:snapToGrid w:val="0"/>
              <w:spacing w:line="560" w:lineRule="exact"/>
              <w:ind w:firstLine="420" w:firstLineChars="200"/>
              <w:rPr>
                <w:rFonts w:ascii="宋体" w:hAnsi="宋体"/>
                <w:color w:val="000000"/>
                <w:szCs w:val="21"/>
              </w:rPr>
            </w:pPr>
          </w:p>
        </w:tc>
        <w:tc>
          <w:tcPr>
            <w:tcW w:w="2834" w:type="dxa"/>
            <w:vMerge w:val="continue"/>
            <w:vAlign w:val="center"/>
          </w:tcPr>
          <w:p>
            <w:pPr>
              <w:widowControl/>
              <w:adjustRightInd w:val="0"/>
              <w:snapToGrid w:val="0"/>
              <w:spacing w:line="560" w:lineRule="exact"/>
              <w:ind w:firstLine="420" w:firstLineChars="200"/>
              <w:jc w:val="center"/>
              <w:rPr>
                <w:rFonts w:ascii="宋体" w:hAnsi="宋体"/>
                <w:color w:val="000000"/>
                <w:szCs w:val="21"/>
              </w:rPr>
            </w:pPr>
          </w:p>
        </w:tc>
        <w:tc>
          <w:tcPr>
            <w:tcW w:w="8419" w:type="dxa"/>
            <w:vMerge w:val="continue"/>
            <w:vAlign w:val="center"/>
          </w:tcPr>
          <w:p>
            <w:pPr>
              <w:widowControl/>
              <w:adjustRightInd w:val="0"/>
              <w:snapToGrid w:val="0"/>
              <w:spacing w:line="560" w:lineRule="exact"/>
              <w:ind w:firstLine="420" w:firstLineChars="200"/>
              <w:jc w:val="center"/>
              <w:rPr>
                <w:rFonts w:ascii="宋体" w:hAnsi="宋体"/>
                <w:color w:val="000000"/>
                <w:szCs w:val="21"/>
              </w:rPr>
            </w:pPr>
          </w:p>
        </w:tc>
        <w:tc>
          <w:tcPr>
            <w:tcW w:w="2086" w:type="dxa"/>
            <w:vMerge w:val="continue"/>
            <w:vAlign w:val="center"/>
          </w:tcPr>
          <w:p>
            <w:pPr>
              <w:widowControl/>
              <w:adjustRightInd w:val="0"/>
              <w:snapToGrid w:val="0"/>
              <w:spacing w:line="560" w:lineRule="exact"/>
              <w:ind w:firstLine="420" w:firstLineChars="20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2" w:hRule="atLeast"/>
        </w:trPr>
        <w:tc>
          <w:tcPr>
            <w:tcW w:w="1231" w:type="dxa"/>
            <w:noWrap/>
            <w:vAlign w:val="center"/>
          </w:tcPr>
          <w:p>
            <w:pPr>
              <w:widowControl/>
              <w:adjustRightInd w:val="0"/>
              <w:snapToGrid w:val="0"/>
              <w:spacing w:line="560" w:lineRule="exact"/>
              <w:jc w:val="left"/>
              <w:rPr>
                <w:rFonts w:ascii="宋体" w:hAnsi="宋体"/>
                <w:color w:val="000000"/>
                <w:szCs w:val="21"/>
              </w:rPr>
            </w:pPr>
            <w:r>
              <w:rPr>
                <w:rFonts w:hint="eastAsia" w:ascii="宋体" w:hAnsi="宋体"/>
                <w:color w:val="000000"/>
                <w:szCs w:val="21"/>
              </w:rPr>
              <w:t>1</w:t>
            </w:r>
          </w:p>
        </w:tc>
        <w:tc>
          <w:tcPr>
            <w:tcW w:w="2834" w:type="dxa"/>
            <w:vAlign w:val="center"/>
          </w:tcPr>
          <w:p>
            <w:pPr>
              <w:widowControl/>
              <w:adjustRightInd w:val="0"/>
              <w:snapToGrid w:val="0"/>
              <w:spacing w:line="560" w:lineRule="exact"/>
              <w:rPr>
                <w:rFonts w:ascii="宋体" w:hAnsi="宋体"/>
                <w:b/>
                <w:bCs/>
                <w:color w:val="000000"/>
                <w:szCs w:val="21"/>
              </w:rPr>
            </w:pPr>
            <w:r>
              <w:rPr>
                <w:rFonts w:hint="eastAsia" w:ascii="宋体" w:hAnsi="宋体" w:cs="宋体"/>
                <w:b/>
                <w:bCs/>
                <w:color w:val="000000"/>
                <w:szCs w:val="21"/>
              </w:rPr>
              <w:t>公司资质</w:t>
            </w:r>
          </w:p>
        </w:tc>
        <w:tc>
          <w:tcPr>
            <w:tcW w:w="8419" w:type="dxa"/>
            <w:vAlign w:val="center"/>
          </w:tcPr>
          <w:p>
            <w:pPr>
              <w:widowControl/>
              <w:adjustRightInd w:val="0"/>
              <w:snapToGrid w:val="0"/>
              <w:jc w:val="left"/>
              <w:rPr>
                <w:rFonts w:ascii="宋体" w:hAnsi="宋体" w:cs="宋体"/>
                <w:szCs w:val="21"/>
              </w:rPr>
            </w:pPr>
            <w:r>
              <w:rPr>
                <w:rFonts w:ascii="宋体" w:hAnsi="宋体" w:cs="宋体"/>
                <w:szCs w:val="21"/>
              </w:rPr>
              <w:t>公司注册资金＜300万元得</w:t>
            </w:r>
            <w:r>
              <w:rPr>
                <w:rFonts w:hint="eastAsia" w:ascii="宋体" w:hAnsi="宋体" w:cs="宋体"/>
                <w:szCs w:val="21"/>
              </w:rPr>
              <w:t>1</w:t>
            </w:r>
            <w:r>
              <w:rPr>
                <w:rFonts w:ascii="宋体" w:hAnsi="宋体" w:cs="宋体"/>
                <w:szCs w:val="21"/>
              </w:rPr>
              <w:t>分，300万元≤公司注册资金＜500万元得</w:t>
            </w:r>
            <w:r>
              <w:rPr>
                <w:rFonts w:hint="eastAsia" w:ascii="宋体" w:hAnsi="宋体" w:cs="宋体"/>
                <w:szCs w:val="21"/>
              </w:rPr>
              <w:t>3</w:t>
            </w:r>
            <w:r>
              <w:rPr>
                <w:rFonts w:ascii="宋体" w:hAnsi="宋体" w:cs="宋体"/>
                <w:szCs w:val="21"/>
              </w:rPr>
              <w:t>分，500万元≤公司注册资金得</w:t>
            </w:r>
            <w:r>
              <w:rPr>
                <w:rFonts w:hint="eastAsia" w:ascii="宋体" w:hAnsi="宋体" w:cs="宋体"/>
                <w:szCs w:val="21"/>
              </w:rPr>
              <w:t>5</w:t>
            </w:r>
            <w:r>
              <w:rPr>
                <w:rFonts w:ascii="宋体" w:hAnsi="宋体" w:cs="宋体"/>
                <w:szCs w:val="21"/>
              </w:rPr>
              <w:t>分</w:t>
            </w:r>
            <w:r>
              <w:rPr>
                <w:rFonts w:hint="eastAsia" w:ascii="宋体" w:hAnsi="宋体" w:cs="宋体"/>
                <w:szCs w:val="21"/>
              </w:rPr>
              <w:t>。</w:t>
            </w:r>
          </w:p>
          <w:p>
            <w:pPr>
              <w:widowControl/>
              <w:adjustRightInd w:val="0"/>
              <w:snapToGrid w:val="0"/>
              <w:jc w:val="left"/>
              <w:rPr>
                <w:rFonts w:ascii="宋体" w:hAnsi="宋体"/>
                <w:color w:val="000000"/>
                <w:szCs w:val="21"/>
                <w:highlight w:val="yellow"/>
              </w:rPr>
            </w:pPr>
            <w:r>
              <w:rPr>
                <w:rFonts w:hint="eastAsia" w:ascii="宋体" w:hAnsi="宋体" w:cs="宋体"/>
                <w:szCs w:val="21"/>
              </w:rPr>
              <w:t>需提供市场监督局网站工商信息查询页，</w:t>
            </w:r>
            <w:r>
              <w:rPr>
                <w:rFonts w:hint="eastAsia" w:ascii="宋体" w:hAnsi="宋体" w:cs="宋体"/>
                <w:color w:val="000000"/>
                <w:szCs w:val="21"/>
              </w:rPr>
              <w:t>并加盖参选单位公章</w:t>
            </w:r>
            <w:r>
              <w:rPr>
                <w:rFonts w:hint="eastAsia" w:ascii="宋体" w:hAnsi="宋体" w:cs="宋体"/>
                <w:szCs w:val="21"/>
              </w:rPr>
              <w:t>。</w:t>
            </w:r>
          </w:p>
        </w:tc>
        <w:tc>
          <w:tcPr>
            <w:tcW w:w="2086" w:type="dxa"/>
            <w:vAlign w:val="center"/>
          </w:tcPr>
          <w:p>
            <w:pPr>
              <w:widowControl/>
              <w:adjustRightInd w:val="0"/>
              <w:snapToGrid w:val="0"/>
              <w:spacing w:line="560" w:lineRule="exact"/>
              <w:rPr>
                <w:rFonts w:ascii="宋体" w:hAnsi="宋体"/>
                <w:color w:val="000000"/>
                <w:szCs w:val="21"/>
                <w:highlight w:val="yellow"/>
              </w:rPr>
            </w:pPr>
            <w:r>
              <w:rPr>
                <w:rFonts w:hint="eastAsia" w:ascii="宋体" w:hAnsi="宋体" w:cs="宋体"/>
                <w:b/>
                <w:bCs/>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40" w:hRule="atLeast"/>
        </w:trPr>
        <w:tc>
          <w:tcPr>
            <w:tcW w:w="1231" w:type="dxa"/>
            <w:noWrap/>
            <w:vAlign w:val="center"/>
          </w:tcPr>
          <w:p>
            <w:pPr>
              <w:widowControl/>
              <w:adjustRightInd w:val="0"/>
              <w:snapToGrid w:val="0"/>
              <w:spacing w:line="560" w:lineRule="exact"/>
              <w:jc w:val="left"/>
              <w:rPr>
                <w:rFonts w:ascii="宋体" w:hAnsi="宋体"/>
                <w:color w:val="000000"/>
                <w:szCs w:val="21"/>
              </w:rPr>
            </w:pPr>
            <w:r>
              <w:rPr>
                <w:rFonts w:hint="eastAsia" w:ascii="宋体" w:hAnsi="宋体"/>
                <w:color w:val="000000"/>
                <w:szCs w:val="21"/>
              </w:rPr>
              <w:t>2</w:t>
            </w:r>
          </w:p>
        </w:tc>
        <w:tc>
          <w:tcPr>
            <w:tcW w:w="2834" w:type="dxa"/>
            <w:vAlign w:val="center"/>
          </w:tcPr>
          <w:p>
            <w:pPr>
              <w:widowControl/>
              <w:adjustRightInd w:val="0"/>
              <w:snapToGrid w:val="0"/>
              <w:spacing w:line="560" w:lineRule="exact"/>
              <w:rPr>
                <w:rFonts w:ascii="宋体" w:hAnsi="宋体"/>
                <w:color w:val="000000"/>
                <w:szCs w:val="21"/>
              </w:rPr>
            </w:pPr>
            <w:r>
              <w:rPr>
                <w:rFonts w:hint="eastAsia" w:ascii="宋体" w:hAnsi="宋体" w:cs="宋体"/>
                <w:b/>
                <w:bCs/>
                <w:color w:val="000000"/>
                <w:szCs w:val="21"/>
              </w:rPr>
              <w:t>公司业绩</w:t>
            </w:r>
          </w:p>
        </w:tc>
        <w:tc>
          <w:tcPr>
            <w:tcW w:w="8419" w:type="dxa"/>
            <w:vAlign w:val="center"/>
          </w:tcPr>
          <w:p>
            <w:pPr>
              <w:tabs>
                <w:tab w:val="left" w:pos="487"/>
              </w:tabs>
              <w:spacing w:line="300" w:lineRule="exact"/>
              <w:jc w:val="left"/>
              <w:rPr>
                <w:rFonts w:ascii="宋体" w:hAnsi="宋体" w:cs="宋体"/>
                <w:szCs w:val="21"/>
              </w:rPr>
            </w:pPr>
            <w:r>
              <w:rPr>
                <w:rFonts w:hint="eastAsia" w:ascii="宋体" w:hAnsi="宋体" w:cs="宋体"/>
                <w:szCs w:val="21"/>
              </w:rPr>
              <w:t>2019年1月1日起，深圳市房地产开发企业一级资质办理成功案例四个，得20分；</w:t>
            </w:r>
          </w:p>
          <w:p>
            <w:pPr>
              <w:tabs>
                <w:tab w:val="left" w:pos="487"/>
              </w:tabs>
              <w:spacing w:line="300" w:lineRule="exact"/>
              <w:jc w:val="left"/>
              <w:rPr>
                <w:rFonts w:ascii="宋体" w:hAnsi="宋体" w:cs="宋体"/>
                <w:szCs w:val="21"/>
              </w:rPr>
            </w:pPr>
            <w:r>
              <w:rPr>
                <w:rFonts w:hint="eastAsia" w:ascii="宋体" w:hAnsi="宋体" w:cs="宋体"/>
                <w:szCs w:val="21"/>
              </w:rPr>
              <w:t>2019年1月1日起，深圳市房地产开发企业一级资质办理成功案例三个，得15分；</w:t>
            </w:r>
          </w:p>
          <w:p>
            <w:pPr>
              <w:tabs>
                <w:tab w:val="left" w:pos="487"/>
              </w:tabs>
              <w:spacing w:line="300" w:lineRule="exact"/>
              <w:jc w:val="left"/>
              <w:rPr>
                <w:rFonts w:ascii="宋体" w:hAnsi="宋体" w:cs="宋体"/>
                <w:szCs w:val="21"/>
              </w:rPr>
            </w:pPr>
            <w:r>
              <w:rPr>
                <w:rFonts w:hint="eastAsia" w:ascii="宋体" w:hAnsi="宋体" w:cs="宋体"/>
                <w:szCs w:val="21"/>
              </w:rPr>
              <w:t>2019年1月1日起，深圳市房地产开发企业一级资质办理成功案例两个，得10分；</w:t>
            </w:r>
          </w:p>
          <w:p>
            <w:pPr>
              <w:tabs>
                <w:tab w:val="left" w:pos="487"/>
              </w:tabs>
              <w:spacing w:line="300" w:lineRule="exact"/>
              <w:jc w:val="left"/>
            </w:pPr>
            <w:r>
              <w:rPr>
                <w:rFonts w:hint="eastAsia" w:ascii="宋体" w:hAnsi="宋体" w:cs="宋体"/>
                <w:szCs w:val="21"/>
              </w:rPr>
              <w:t>2019年1月1日起，深圳市房地产开发企业一级资质办理成功案例一个，得5分；</w:t>
            </w:r>
          </w:p>
          <w:p>
            <w:pPr>
              <w:tabs>
                <w:tab w:val="left" w:pos="487"/>
              </w:tabs>
              <w:spacing w:line="300" w:lineRule="exact"/>
              <w:jc w:val="left"/>
              <w:rPr>
                <w:rFonts w:ascii="宋体" w:hAnsi="宋体" w:cs="宋体"/>
                <w:szCs w:val="21"/>
              </w:rPr>
            </w:pPr>
            <w:r>
              <w:rPr>
                <w:rFonts w:hint="eastAsia" w:ascii="宋体" w:hAnsi="宋体" w:cs="宋体"/>
                <w:color w:val="000000"/>
                <w:szCs w:val="21"/>
              </w:rPr>
              <w:t>无深圳市</w:t>
            </w:r>
            <w:r>
              <w:rPr>
                <w:rFonts w:hint="eastAsia" w:ascii="宋体" w:hAnsi="宋体" w:cs="宋体"/>
                <w:szCs w:val="21"/>
              </w:rPr>
              <w:t>房地产开发企业一级资质办理成功案例，得0分。</w:t>
            </w:r>
          </w:p>
          <w:p>
            <w:pPr>
              <w:tabs>
                <w:tab w:val="left" w:pos="487"/>
              </w:tabs>
              <w:spacing w:line="300" w:lineRule="exact"/>
              <w:jc w:val="left"/>
              <w:rPr>
                <w:rFonts w:ascii="宋体" w:hAnsi="宋体"/>
                <w:color w:val="000000"/>
                <w:szCs w:val="21"/>
                <w:highlight w:val="yellow"/>
              </w:rPr>
            </w:pPr>
            <w:r>
              <w:rPr>
                <w:rFonts w:hint="eastAsia"/>
                <w:lang w:val="zh-TW" w:eastAsia="zh-TW"/>
              </w:rPr>
              <w:t>以上案例均需提供服务合同关键页</w:t>
            </w:r>
            <w:r>
              <w:rPr>
                <w:rFonts w:hint="eastAsia"/>
                <w:szCs w:val="21"/>
                <w:lang w:val="zh-TW"/>
              </w:rPr>
              <w:t>（</w:t>
            </w:r>
            <w:r>
              <w:rPr>
                <w:rFonts w:ascii="宋体" w:hAnsi="宋体" w:cs="宋体"/>
                <w:szCs w:val="21"/>
              </w:rPr>
              <w:t>包括工作内容、签约时间、合同签署页</w:t>
            </w:r>
            <w:r>
              <w:rPr>
                <w:rFonts w:hint="eastAsia"/>
                <w:szCs w:val="21"/>
                <w:lang w:val="zh-TW"/>
              </w:rPr>
              <w:t>）</w:t>
            </w:r>
            <w:r>
              <w:rPr>
                <w:rFonts w:hint="eastAsia"/>
                <w:szCs w:val="22"/>
                <w:lang w:val="zh-TW" w:eastAsia="zh-TW"/>
              </w:rPr>
              <w:t>及一级资质办理成功相关证明</w:t>
            </w:r>
            <w:r>
              <w:rPr>
                <w:rFonts w:hint="eastAsia"/>
                <w:lang w:val="zh-TW" w:eastAsia="zh-TW"/>
              </w:rPr>
              <w:t>复印件</w:t>
            </w:r>
            <w:r>
              <w:rPr>
                <w:rFonts w:hint="eastAsia"/>
                <w:lang w:val="zh-TW"/>
              </w:rPr>
              <w:t>，</w:t>
            </w:r>
            <w:r>
              <w:rPr>
                <w:rFonts w:hint="eastAsia"/>
              </w:rPr>
              <w:t>时间以合同签约时间为准，</w:t>
            </w:r>
            <w:r>
              <w:rPr>
                <w:rFonts w:hint="eastAsia" w:ascii="宋体" w:hAnsi="宋体" w:cs="宋体"/>
                <w:color w:val="000000"/>
                <w:szCs w:val="21"/>
              </w:rPr>
              <w:t>未提供的不得分</w:t>
            </w:r>
            <w:r>
              <w:rPr>
                <w:rFonts w:hint="eastAsia"/>
                <w:lang w:val="zh-TW" w:eastAsia="zh-TW"/>
              </w:rPr>
              <w:t>。（本项最高</w:t>
            </w:r>
            <w:r>
              <w:rPr>
                <w:rFonts w:hint="eastAsia"/>
              </w:rPr>
              <w:t>20</w:t>
            </w:r>
            <w:r>
              <w:rPr>
                <w:rFonts w:hint="eastAsia"/>
                <w:lang w:val="zh-TW" w:eastAsia="zh-TW"/>
              </w:rPr>
              <w:t>分）</w:t>
            </w:r>
          </w:p>
        </w:tc>
        <w:tc>
          <w:tcPr>
            <w:tcW w:w="2086" w:type="dxa"/>
            <w:vAlign w:val="center"/>
          </w:tcPr>
          <w:p>
            <w:pPr>
              <w:widowControl/>
              <w:adjustRightInd w:val="0"/>
              <w:snapToGrid w:val="0"/>
              <w:spacing w:line="560" w:lineRule="exact"/>
              <w:rPr>
                <w:rFonts w:ascii="宋体" w:hAnsi="宋体"/>
                <w:color w:val="000000"/>
                <w:sz w:val="22"/>
                <w:szCs w:val="22"/>
              </w:rPr>
            </w:pPr>
            <w:r>
              <w:rPr>
                <w:rFonts w:hint="eastAsia" w:ascii="宋体" w:hAnsi="宋体" w:cs="宋体"/>
                <w:b/>
                <w:bCs/>
                <w:color w:val="000000"/>
                <w:sz w:val="22"/>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56" w:hRule="atLeast"/>
        </w:trPr>
        <w:tc>
          <w:tcPr>
            <w:tcW w:w="1231" w:type="dxa"/>
            <w:noWrap/>
            <w:vAlign w:val="center"/>
          </w:tcPr>
          <w:p>
            <w:pPr>
              <w:widowControl/>
              <w:adjustRightInd w:val="0"/>
              <w:snapToGrid w:val="0"/>
              <w:spacing w:line="560" w:lineRule="exact"/>
              <w:jc w:val="left"/>
              <w:rPr>
                <w:rFonts w:ascii="宋体" w:hAnsi="宋体"/>
                <w:color w:val="000000"/>
                <w:szCs w:val="21"/>
              </w:rPr>
            </w:pPr>
            <w:r>
              <w:rPr>
                <w:rFonts w:hint="eastAsia" w:ascii="宋体" w:hAnsi="宋体"/>
                <w:color w:val="000000"/>
                <w:szCs w:val="21"/>
              </w:rPr>
              <w:t>3</w:t>
            </w:r>
          </w:p>
        </w:tc>
        <w:tc>
          <w:tcPr>
            <w:tcW w:w="2834" w:type="dxa"/>
            <w:vAlign w:val="center"/>
          </w:tcPr>
          <w:p>
            <w:pPr>
              <w:widowControl/>
              <w:adjustRightInd w:val="0"/>
              <w:snapToGrid w:val="0"/>
              <w:spacing w:line="560" w:lineRule="exact"/>
              <w:rPr>
                <w:rFonts w:ascii="仿宋_GB2312" w:hAnsi="宋体" w:eastAsia="仿宋_GB2312"/>
                <w:color w:val="000000"/>
                <w:sz w:val="32"/>
                <w:szCs w:val="32"/>
              </w:rPr>
            </w:pPr>
            <w:r>
              <w:rPr>
                <w:rFonts w:hint="eastAsia" w:ascii="宋体" w:hAnsi="宋体" w:cs="宋体"/>
                <w:b/>
                <w:bCs/>
                <w:color w:val="000000"/>
                <w:szCs w:val="21"/>
              </w:rPr>
              <w:t>服务团队</w:t>
            </w:r>
          </w:p>
        </w:tc>
        <w:tc>
          <w:tcPr>
            <w:tcW w:w="8419" w:type="dxa"/>
            <w:vAlign w:val="center"/>
          </w:tcPr>
          <w:p>
            <w:pPr>
              <w:jc w:val="left"/>
              <w:rPr>
                <w:rFonts w:ascii="宋体" w:hAnsi="宋体" w:cs="宋体"/>
                <w:color w:val="000000"/>
                <w:szCs w:val="21"/>
              </w:rPr>
            </w:pPr>
            <w:r>
              <w:rPr>
                <w:rFonts w:hint="eastAsia" w:ascii="宋体" w:hAnsi="宋体" w:cs="宋体"/>
                <w:color w:val="000000"/>
                <w:szCs w:val="21"/>
              </w:rPr>
              <w:t>在深圳市</w:t>
            </w:r>
            <w:r>
              <w:rPr>
                <w:rFonts w:ascii="宋体" w:hAnsi="宋体" w:cs="宋体"/>
                <w:color w:val="000000"/>
                <w:szCs w:val="21"/>
              </w:rPr>
              <w:t>设有</w:t>
            </w:r>
            <w:r>
              <w:rPr>
                <w:rFonts w:hint="eastAsia" w:ascii="宋体" w:hAnsi="宋体" w:cs="宋体"/>
                <w:color w:val="000000"/>
                <w:szCs w:val="21"/>
              </w:rPr>
              <w:t>分公司或办事机构的得10分；</w:t>
            </w:r>
          </w:p>
          <w:p>
            <w:pPr>
              <w:jc w:val="left"/>
              <w:rPr>
                <w:rFonts w:ascii="宋体" w:hAnsi="宋体" w:cs="宋体"/>
                <w:color w:val="000000"/>
                <w:szCs w:val="21"/>
              </w:rPr>
            </w:pPr>
            <w:r>
              <w:rPr>
                <w:rFonts w:hint="eastAsia" w:ascii="宋体" w:hAnsi="宋体" w:cs="宋体"/>
                <w:color w:val="000000"/>
                <w:szCs w:val="21"/>
              </w:rPr>
              <w:t>在广东省（除深圳市外）</w:t>
            </w:r>
            <w:r>
              <w:rPr>
                <w:rFonts w:ascii="宋体" w:hAnsi="宋体" w:cs="宋体"/>
                <w:color w:val="000000"/>
                <w:szCs w:val="21"/>
              </w:rPr>
              <w:t>设有</w:t>
            </w:r>
            <w:r>
              <w:rPr>
                <w:rFonts w:hint="eastAsia" w:ascii="宋体" w:hAnsi="宋体" w:cs="宋体"/>
                <w:color w:val="000000"/>
                <w:szCs w:val="21"/>
              </w:rPr>
              <w:t>分公司或办事机构的得5分；</w:t>
            </w:r>
          </w:p>
          <w:p>
            <w:pPr>
              <w:jc w:val="left"/>
              <w:rPr>
                <w:rFonts w:ascii="宋体" w:hAnsi="宋体" w:cs="宋体"/>
                <w:color w:val="000000"/>
                <w:szCs w:val="21"/>
              </w:rPr>
            </w:pPr>
            <w:r>
              <w:rPr>
                <w:rFonts w:hint="eastAsia" w:ascii="宋体" w:hAnsi="宋体" w:cs="宋体"/>
                <w:color w:val="000000"/>
                <w:szCs w:val="21"/>
              </w:rPr>
              <w:t>在广东省外其他城市</w:t>
            </w:r>
            <w:r>
              <w:rPr>
                <w:rFonts w:ascii="宋体" w:hAnsi="宋体" w:cs="宋体"/>
                <w:color w:val="000000"/>
                <w:szCs w:val="21"/>
              </w:rPr>
              <w:t>设有</w:t>
            </w:r>
            <w:r>
              <w:rPr>
                <w:rFonts w:hint="eastAsia" w:ascii="宋体" w:hAnsi="宋体" w:cs="宋体"/>
                <w:color w:val="000000"/>
                <w:szCs w:val="21"/>
              </w:rPr>
              <w:t>分公司或办事机构的得0分。</w:t>
            </w:r>
          </w:p>
          <w:p>
            <w:pPr>
              <w:widowControl/>
              <w:jc w:val="left"/>
              <w:rPr>
                <w:rFonts w:ascii="仿宋_GB2312" w:hAnsi="宋体" w:eastAsia="仿宋_GB2312"/>
                <w:color w:val="000000"/>
                <w:szCs w:val="21"/>
                <w:highlight w:val="yellow"/>
              </w:rPr>
            </w:pPr>
            <w:r>
              <w:rPr>
                <w:rFonts w:hint="eastAsia" w:ascii="宋体" w:hAnsi="宋体" w:cs="宋体"/>
                <w:color w:val="000000"/>
                <w:szCs w:val="21"/>
              </w:rPr>
              <w:t>需提供营业执照或办公场地租赁合同或房屋所有证或其它物管单位证明文件的复印件，并加盖参选单位公章。</w:t>
            </w:r>
          </w:p>
        </w:tc>
        <w:tc>
          <w:tcPr>
            <w:tcW w:w="2086" w:type="dxa"/>
            <w:vAlign w:val="center"/>
          </w:tcPr>
          <w:p>
            <w:pPr>
              <w:widowControl/>
              <w:adjustRightInd w:val="0"/>
              <w:snapToGrid w:val="0"/>
              <w:spacing w:line="560" w:lineRule="exact"/>
              <w:rPr>
                <w:rFonts w:ascii="仿宋_GB2312" w:hAnsi="宋体"/>
                <w:color w:val="000000"/>
                <w:sz w:val="36"/>
                <w:szCs w:val="36"/>
              </w:rPr>
            </w:pPr>
            <w:r>
              <w:rPr>
                <w:rFonts w:hint="eastAsia" w:ascii="宋体" w:hAnsi="宋体" w:cs="宋体"/>
                <w:b/>
                <w:bCs/>
                <w:color w:val="000000"/>
                <w:sz w:val="22"/>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2" w:hRule="atLeast"/>
        </w:trPr>
        <w:tc>
          <w:tcPr>
            <w:tcW w:w="1231" w:type="dxa"/>
            <w:noWrap/>
            <w:vAlign w:val="center"/>
          </w:tcPr>
          <w:p>
            <w:pPr>
              <w:widowControl/>
              <w:adjustRightInd w:val="0"/>
              <w:snapToGrid w:val="0"/>
              <w:spacing w:line="560" w:lineRule="exact"/>
              <w:jc w:val="left"/>
              <w:rPr>
                <w:rFonts w:ascii="宋体" w:hAnsi="宋体"/>
                <w:color w:val="000000"/>
                <w:szCs w:val="21"/>
              </w:rPr>
            </w:pPr>
            <w:r>
              <w:rPr>
                <w:rFonts w:hint="eastAsia" w:ascii="宋体" w:hAnsi="宋体"/>
                <w:color w:val="000000"/>
                <w:szCs w:val="21"/>
              </w:rPr>
              <w:t>4</w:t>
            </w:r>
          </w:p>
        </w:tc>
        <w:tc>
          <w:tcPr>
            <w:tcW w:w="2834" w:type="dxa"/>
            <w:vAlign w:val="center"/>
          </w:tcPr>
          <w:p>
            <w:pPr>
              <w:widowControl/>
              <w:adjustRightInd w:val="0"/>
              <w:snapToGrid w:val="0"/>
              <w:spacing w:line="560" w:lineRule="exact"/>
              <w:rPr>
                <w:rFonts w:ascii="宋体" w:hAnsi="宋体" w:cs="宋体"/>
                <w:b/>
                <w:bCs/>
                <w:color w:val="000000"/>
                <w:szCs w:val="21"/>
              </w:rPr>
            </w:pPr>
            <w:r>
              <w:rPr>
                <w:rFonts w:hint="eastAsia" w:ascii="宋体" w:hAnsi="宋体" w:cs="宋体"/>
                <w:b/>
                <w:bCs/>
                <w:color w:val="000000"/>
                <w:szCs w:val="21"/>
              </w:rPr>
              <w:t>申报方案</w:t>
            </w:r>
          </w:p>
        </w:tc>
        <w:tc>
          <w:tcPr>
            <w:tcW w:w="8419" w:type="dxa"/>
            <w:vAlign w:val="center"/>
          </w:tcPr>
          <w:p>
            <w:pPr>
              <w:widowControl/>
              <w:adjustRightInd w:val="0"/>
              <w:snapToGrid w:val="0"/>
              <w:spacing w:line="360" w:lineRule="auto"/>
              <w:jc w:val="left"/>
              <w:rPr>
                <w:rFonts w:ascii="宋体" w:hAnsi="宋体" w:cs="宋体"/>
                <w:color w:val="000000"/>
                <w:szCs w:val="22"/>
              </w:rPr>
            </w:pPr>
            <w:r>
              <w:rPr>
                <w:rFonts w:hint="eastAsia" w:ascii="宋体" w:hAnsi="宋体" w:cs="宋体"/>
                <w:color w:val="000000"/>
                <w:szCs w:val="22"/>
              </w:rPr>
              <w:t>对申报方案进行横向比较：</w:t>
            </w:r>
          </w:p>
          <w:p>
            <w:pPr>
              <w:widowControl/>
              <w:numPr>
                <w:ilvl w:val="0"/>
                <w:numId w:val="7"/>
              </w:numPr>
              <w:adjustRightInd w:val="0"/>
              <w:snapToGrid w:val="0"/>
              <w:spacing w:line="360" w:lineRule="auto"/>
              <w:jc w:val="left"/>
              <w:rPr>
                <w:rFonts w:ascii="宋体" w:hAnsi="宋体" w:cs="宋体"/>
              </w:rPr>
            </w:pPr>
            <w:r>
              <w:rPr>
                <w:rFonts w:hint="eastAsia" w:ascii="宋体" w:hAnsi="宋体" w:cs="宋体"/>
              </w:rPr>
              <w:t>整体方案详尽细致，重点关注对资质办理中疑难点问题的解决能力。（本项最高5分）；</w:t>
            </w:r>
          </w:p>
          <w:p>
            <w:pPr>
              <w:widowControl/>
              <w:numPr>
                <w:ilvl w:val="0"/>
                <w:numId w:val="7"/>
              </w:numPr>
              <w:adjustRightInd w:val="0"/>
              <w:snapToGrid w:val="0"/>
              <w:spacing w:line="360" w:lineRule="auto"/>
              <w:jc w:val="left"/>
              <w:rPr>
                <w:rFonts w:ascii="宋体" w:hAnsi="宋体" w:cs="宋体"/>
                <w:color w:val="000000"/>
                <w:szCs w:val="21"/>
              </w:rPr>
            </w:pPr>
            <w:r>
              <w:rPr>
                <w:rFonts w:hint="eastAsia" w:ascii="宋体" w:hAnsi="宋体" w:cs="宋体"/>
                <w:szCs w:val="22"/>
              </w:rPr>
              <w:t>方案亮点：针对</w:t>
            </w:r>
            <w:r>
              <w:rPr>
                <w:rFonts w:hint="eastAsia" w:ascii="宋体" w:hAnsi="宋体" w:cs="宋体"/>
                <w:color w:val="000000"/>
                <w:szCs w:val="22"/>
              </w:rPr>
              <w:t>职称人员及业绩数据补充、业绩数据导入等申报细节</w:t>
            </w:r>
            <w:r>
              <w:rPr>
                <w:rFonts w:hint="eastAsia" w:ascii="宋体" w:hAnsi="宋体" w:cs="宋体"/>
                <w:szCs w:val="22"/>
              </w:rPr>
              <w:t>，</w:t>
            </w:r>
            <w:r>
              <w:rPr>
                <w:rFonts w:hint="eastAsia" w:ascii="宋体" w:hAnsi="宋体" w:cs="宋体"/>
              </w:rPr>
              <w:t>提供快速解决问题的预案</w:t>
            </w:r>
            <w:r>
              <w:rPr>
                <w:rFonts w:hint="eastAsia" w:ascii="宋体" w:hAnsi="宋体" w:cs="宋体"/>
                <w:color w:val="000000"/>
                <w:szCs w:val="22"/>
              </w:rPr>
              <w:t>。</w:t>
            </w:r>
            <w:r>
              <w:rPr>
                <w:rFonts w:hint="eastAsia" w:ascii="宋体" w:hAnsi="宋体" w:cs="宋体"/>
              </w:rPr>
              <w:t>（本项最高10分）</w:t>
            </w:r>
          </w:p>
        </w:tc>
        <w:tc>
          <w:tcPr>
            <w:tcW w:w="2086" w:type="dxa"/>
            <w:vAlign w:val="center"/>
          </w:tcPr>
          <w:p>
            <w:pPr>
              <w:widowControl/>
              <w:adjustRightInd w:val="0"/>
              <w:snapToGrid w:val="0"/>
              <w:spacing w:line="560" w:lineRule="exact"/>
              <w:rPr>
                <w:rFonts w:ascii="宋体" w:hAnsi="宋体" w:cs="宋体"/>
                <w:b/>
                <w:bCs/>
                <w:color w:val="000000"/>
                <w:sz w:val="22"/>
                <w:szCs w:val="22"/>
              </w:rPr>
            </w:pPr>
            <w:r>
              <w:rPr>
                <w:rFonts w:hint="eastAsia" w:ascii="宋体" w:hAnsi="宋体" w:cs="宋体"/>
                <w:b/>
                <w:bCs/>
                <w:color w:val="000000"/>
                <w:sz w:val="22"/>
                <w:szCs w:val="22"/>
              </w:rPr>
              <w:t>15</w:t>
            </w:r>
          </w:p>
        </w:tc>
      </w:tr>
    </w:tbl>
    <w:p>
      <w:pPr>
        <w:ind w:left="0" w:leftChars="0" w:firstLine="0" w:firstLineChars="0"/>
        <w:rPr>
          <w:rFonts w:ascii="宋体" w:hAnsi="宋体"/>
          <w:b/>
          <w:color w:val="0D0D0D"/>
          <w:sz w:val="24"/>
          <w:szCs w:val="24"/>
        </w:rPr>
      </w:pPr>
      <w:r>
        <w:rPr>
          <w:rFonts w:ascii="宋体" w:hAnsi="宋体"/>
          <w:b/>
          <w:color w:val="0D0D0D"/>
          <w:sz w:val="24"/>
          <w:szCs w:val="24"/>
        </w:rPr>
        <w:br w:type="page"/>
      </w:r>
    </w:p>
    <w:p>
      <w:pPr>
        <w:pStyle w:val="48"/>
        <w:spacing w:line="360" w:lineRule="auto"/>
        <w:ind w:left="0" w:leftChars="0" w:firstLine="0" w:firstLineChars="0"/>
      </w:pPr>
      <w:r>
        <w:rPr>
          <w:rFonts w:hint="eastAsia"/>
        </w:rPr>
        <w:t>附表5</w:t>
      </w:r>
    </w:p>
    <w:p>
      <w:pPr>
        <w:pStyle w:val="48"/>
        <w:spacing w:line="360" w:lineRule="auto"/>
        <w:ind w:left="0" w:leftChars="0" w:firstLine="0" w:firstLineChars="0"/>
        <w:jc w:val="center"/>
        <w:rPr>
          <w:rFonts w:ascii="宋体" w:hAnsi="宋体"/>
          <w:b/>
          <w:bCs/>
          <w:snapToGrid w:val="0"/>
          <w:sz w:val="28"/>
          <w:szCs w:val="24"/>
        </w:rPr>
      </w:pPr>
      <w:r>
        <w:rPr>
          <w:rFonts w:hint="eastAsia" w:ascii="宋体" w:hAnsi="宋体"/>
          <w:b/>
          <w:bCs/>
          <w:snapToGrid w:val="0"/>
          <w:sz w:val="28"/>
          <w:szCs w:val="24"/>
        </w:rPr>
        <w:t>技术标详细评审结果汇总表</w:t>
      </w:r>
    </w:p>
    <w:p>
      <w:pPr>
        <w:jc w:val="left"/>
        <w:rPr>
          <w:rFonts w:hint="eastAsia" w:hAnsi="宋体"/>
          <w:b/>
          <w:bCs/>
          <w:sz w:val="24"/>
          <w:szCs w:val="24"/>
          <w:u w:val="none"/>
          <w:lang w:eastAsia="zh-Hans"/>
        </w:rPr>
      </w:pPr>
      <w:r>
        <w:rPr>
          <w:rFonts w:hint="eastAsia" w:ascii="宋体" w:hAnsi="宋体"/>
          <w:b/>
          <w:bCs/>
          <w:snapToGrid w:val="0"/>
          <w:szCs w:val="24"/>
        </w:rPr>
        <w:t>比选项目名称：</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p>
    <w:p>
      <w:pPr>
        <w:jc w:val="left"/>
        <w:rPr>
          <w:rFonts w:ascii="宋体" w:hAnsi="宋体"/>
          <w:b/>
          <w:bCs/>
          <w:snapToGrid w:val="0"/>
          <w:szCs w:val="24"/>
        </w:rPr>
      </w:pPr>
    </w:p>
    <w:tbl>
      <w:tblPr>
        <w:tblStyle w:val="49"/>
        <w:tblW w:w="46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3882"/>
        <w:gridCol w:w="1008"/>
        <w:gridCol w:w="1008"/>
        <w:gridCol w:w="1008"/>
        <w:gridCol w:w="1008"/>
        <w:gridCol w:w="1008"/>
        <w:gridCol w:w="1008"/>
        <w:gridCol w:w="1017"/>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restart"/>
            <w:vAlign w:val="center"/>
          </w:tcPr>
          <w:p>
            <w:pPr>
              <w:jc w:val="center"/>
              <w:rPr>
                <w:rFonts w:ascii="宋体" w:hAnsi="宋体"/>
                <w:b/>
                <w:bCs/>
                <w:snapToGrid w:val="0"/>
                <w:szCs w:val="24"/>
              </w:rPr>
            </w:pPr>
            <w:r>
              <w:rPr>
                <w:rFonts w:hint="eastAsia" w:ascii="宋体" w:hAnsi="宋体"/>
                <w:b/>
                <w:bCs/>
                <w:snapToGrid w:val="0"/>
                <w:szCs w:val="24"/>
              </w:rPr>
              <w:t>序号</w:t>
            </w:r>
          </w:p>
        </w:tc>
        <w:tc>
          <w:tcPr>
            <w:tcW w:w="1475" w:type="pct"/>
            <w:vMerge w:val="restart"/>
            <w:vAlign w:val="center"/>
          </w:tcPr>
          <w:p>
            <w:pPr>
              <w:jc w:val="center"/>
              <w:rPr>
                <w:rFonts w:ascii="宋体" w:hAnsi="宋体"/>
                <w:b/>
                <w:bCs/>
                <w:snapToGrid w:val="0"/>
                <w:szCs w:val="24"/>
              </w:rPr>
            </w:pPr>
            <w:r>
              <w:rPr>
                <w:rFonts w:hint="eastAsia" w:ascii="宋体" w:hAnsi="宋体"/>
                <w:b/>
                <w:bCs/>
                <w:snapToGrid w:val="0"/>
                <w:szCs w:val="24"/>
              </w:rPr>
              <w:t>参选人名称</w:t>
            </w:r>
          </w:p>
        </w:tc>
        <w:tc>
          <w:tcPr>
            <w:tcW w:w="2684" w:type="pct"/>
            <w:gridSpan w:val="7"/>
            <w:vAlign w:val="center"/>
          </w:tcPr>
          <w:p>
            <w:pPr>
              <w:jc w:val="center"/>
              <w:rPr>
                <w:rFonts w:ascii="宋体" w:hAnsi="宋体" w:cs="宋体"/>
                <w:b/>
                <w:color w:val="000000"/>
                <w:szCs w:val="24"/>
              </w:rPr>
            </w:pPr>
            <w:r>
              <w:rPr>
                <w:rFonts w:hint="eastAsia" w:ascii="宋体" w:hAnsi="宋体"/>
                <w:b/>
                <w:bCs/>
                <w:snapToGrid w:val="0"/>
                <w:szCs w:val="24"/>
              </w:rPr>
              <w:t>评标</w:t>
            </w:r>
            <w:r>
              <w:rPr>
                <w:rFonts w:ascii="宋体" w:hAnsi="宋体"/>
                <w:b/>
                <w:bCs/>
                <w:snapToGrid w:val="0"/>
                <w:szCs w:val="24"/>
              </w:rPr>
              <w:t>委员会</w:t>
            </w:r>
          </w:p>
        </w:tc>
        <w:tc>
          <w:tcPr>
            <w:tcW w:w="570" w:type="pct"/>
            <w:vMerge w:val="restart"/>
            <w:vAlign w:val="center"/>
          </w:tcPr>
          <w:p>
            <w:pPr>
              <w:jc w:val="center"/>
              <w:rPr>
                <w:rFonts w:ascii="宋体" w:hAnsi="宋体"/>
                <w:b/>
                <w:bCs/>
                <w:snapToGrid w:val="0"/>
                <w:szCs w:val="24"/>
              </w:rPr>
            </w:pPr>
            <w:r>
              <w:rPr>
                <w:rFonts w:hint="eastAsia" w:ascii="宋体" w:hAnsi="宋体" w:cs="宋体"/>
                <w:b/>
                <w:color w:val="000000"/>
                <w:szCs w:val="24"/>
              </w:rPr>
              <w:t>技术标得分</w:t>
            </w:r>
            <w:r>
              <w:rPr>
                <w:rFonts w:ascii="宋体" w:hAnsi="宋体" w:cs="宋体"/>
                <w:b/>
                <w:color w:val="000000"/>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continue"/>
            <w:vAlign w:val="center"/>
          </w:tcPr>
          <w:p>
            <w:pPr>
              <w:jc w:val="center"/>
              <w:rPr>
                <w:rFonts w:ascii="宋体" w:hAnsi="宋体"/>
                <w:b/>
                <w:bCs/>
                <w:snapToGrid w:val="0"/>
                <w:szCs w:val="24"/>
              </w:rPr>
            </w:pPr>
          </w:p>
        </w:tc>
        <w:tc>
          <w:tcPr>
            <w:tcW w:w="1475" w:type="pct"/>
            <w:vMerge w:val="continue"/>
            <w:vAlign w:val="center"/>
          </w:tcPr>
          <w:p>
            <w:pPr>
              <w:jc w:val="center"/>
              <w:rPr>
                <w:rFonts w:ascii="宋体" w:hAnsi="宋体"/>
                <w:b/>
                <w:bCs/>
                <w:snapToGrid w:val="0"/>
                <w:szCs w:val="24"/>
              </w:rPr>
            </w:pP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评委1</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2</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3</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4</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5</w:t>
            </w:r>
          </w:p>
        </w:tc>
        <w:tc>
          <w:tcPr>
            <w:tcW w:w="383" w:type="pct"/>
            <w:vAlign w:val="center"/>
          </w:tcPr>
          <w:p>
            <w:pPr>
              <w:jc w:val="center"/>
              <w:rPr>
                <w:rFonts w:ascii="宋体" w:hAnsi="宋体" w:cs="宋体"/>
                <w:b/>
                <w:color w:val="000000"/>
                <w:szCs w:val="24"/>
              </w:rPr>
            </w:pPr>
            <w:r>
              <w:rPr>
                <w:rFonts w:hint="eastAsia" w:ascii="宋体" w:hAnsi="宋体"/>
                <w:b/>
                <w:bCs/>
                <w:snapToGrid w:val="0"/>
                <w:szCs w:val="24"/>
              </w:rPr>
              <w:t>评委</w:t>
            </w:r>
            <w:r>
              <w:rPr>
                <w:rFonts w:ascii="宋体" w:hAnsi="宋体"/>
                <w:b/>
                <w:bCs/>
                <w:snapToGrid w:val="0"/>
                <w:szCs w:val="24"/>
              </w:rPr>
              <w:t>6</w:t>
            </w:r>
          </w:p>
        </w:tc>
        <w:tc>
          <w:tcPr>
            <w:tcW w:w="383" w:type="pct"/>
            <w:vAlign w:val="center"/>
          </w:tcPr>
          <w:p>
            <w:pPr>
              <w:jc w:val="center"/>
              <w:rPr>
                <w:rFonts w:ascii="宋体" w:hAnsi="宋体" w:cs="宋体"/>
                <w:b/>
                <w:color w:val="000000"/>
                <w:szCs w:val="24"/>
              </w:rPr>
            </w:pPr>
            <w:r>
              <w:rPr>
                <w:rFonts w:hint="eastAsia" w:ascii="宋体" w:hAnsi="宋体"/>
                <w:b/>
                <w:bCs/>
                <w:snapToGrid w:val="0"/>
                <w:szCs w:val="24"/>
              </w:rPr>
              <w:t>评委</w:t>
            </w:r>
            <w:r>
              <w:rPr>
                <w:rFonts w:ascii="宋体" w:hAnsi="宋体"/>
                <w:b/>
                <w:bCs/>
                <w:snapToGrid w:val="0"/>
                <w:szCs w:val="24"/>
              </w:rPr>
              <w:t>7</w:t>
            </w:r>
          </w:p>
        </w:tc>
        <w:tc>
          <w:tcPr>
            <w:tcW w:w="570" w:type="pct"/>
            <w:vMerge w:val="continue"/>
            <w:vAlign w:val="center"/>
          </w:tcPr>
          <w:p>
            <w:pPr>
              <w:jc w:val="center"/>
              <w:rPr>
                <w:rFonts w:ascii="宋体" w:hAnsi="宋体" w:cs="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1</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2</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3</w:t>
            </w:r>
          </w:p>
        </w:tc>
        <w:tc>
          <w:tcPr>
            <w:tcW w:w="1475"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4</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bl>
    <w:p>
      <w:pPr>
        <w:rPr>
          <w:rFonts w:hint="eastAsia" w:ascii="宋体" w:hAnsi="宋体"/>
          <w:snapToGrid w:val="0"/>
          <w:szCs w:val="24"/>
        </w:rPr>
      </w:pPr>
    </w:p>
    <w:p>
      <w:pPr>
        <w:rPr>
          <w:rFonts w:ascii="宋体" w:hAnsi="宋体"/>
          <w:szCs w:val="24"/>
        </w:rPr>
      </w:pPr>
      <w:r>
        <w:rPr>
          <w:rFonts w:hint="eastAsia" w:ascii="宋体" w:hAnsi="宋体"/>
          <w:snapToGrid w:val="0"/>
          <w:szCs w:val="24"/>
        </w:rPr>
        <w:t>说明：</w:t>
      </w:r>
      <w:r>
        <w:rPr>
          <w:rFonts w:hint="eastAsia" w:ascii="宋体" w:hAnsi="宋体"/>
          <w:szCs w:val="24"/>
        </w:rPr>
        <w:t>1</w:t>
      </w:r>
      <w:r>
        <w:rPr>
          <w:rFonts w:ascii="宋体" w:hAnsi="宋体"/>
          <w:szCs w:val="24"/>
        </w:rPr>
        <w:t>.</w:t>
      </w:r>
      <w:r>
        <w:rPr>
          <w:rFonts w:hint="eastAsia" w:ascii="宋体" w:hAnsi="宋体"/>
          <w:szCs w:val="24"/>
        </w:rPr>
        <w:t>参选人技术标得分的计算办法：取各评委对每一个参选人的技术标评审得分值的算术平均值，即为该参选人技术标得分</w:t>
      </w:r>
      <w:r>
        <w:rPr>
          <w:rFonts w:ascii="宋体" w:hAnsi="宋体"/>
          <w:szCs w:val="24"/>
        </w:rPr>
        <w:t>。</w:t>
      </w:r>
    </w:p>
    <w:p>
      <w:pPr>
        <w:ind w:firstLine="630" w:firstLineChars="300"/>
        <w:rPr>
          <w:rFonts w:ascii="宋体" w:hAnsi="宋体"/>
          <w:bCs/>
          <w:szCs w:val="24"/>
        </w:rPr>
      </w:pPr>
      <w:r>
        <w:rPr>
          <w:rFonts w:hint="eastAsia" w:ascii="宋体" w:hAnsi="宋体"/>
          <w:szCs w:val="24"/>
        </w:rPr>
        <w:t>2</w:t>
      </w:r>
      <w:r>
        <w:rPr>
          <w:rFonts w:ascii="宋体" w:hAnsi="宋体"/>
          <w:szCs w:val="24"/>
        </w:rPr>
        <w:t>.</w:t>
      </w:r>
      <w:r>
        <w:rPr>
          <w:rFonts w:hint="eastAsia" w:ascii="宋体" w:hAnsi="宋体"/>
          <w:szCs w:val="24"/>
        </w:rPr>
        <w:t>技术标</w:t>
      </w:r>
      <w:r>
        <w:rPr>
          <w:rFonts w:hint="eastAsia" w:ascii="宋体" w:hAnsi="宋体"/>
          <w:bCs/>
          <w:szCs w:val="24"/>
        </w:rPr>
        <w:t>得分的算术平均值保留小数点后两位数字，且四舍五入。</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评标委员会（签名）</w:t>
            </w:r>
            <w:r>
              <w:rPr>
                <w:rFonts w:ascii="宋体" w:hAnsi="宋体"/>
                <w:b/>
                <w:bCs/>
                <w:snapToGrid w:val="0"/>
                <w:szCs w:val="24"/>
              </w:rPr>
              <w:t>：</w:t>
            </w:r>
          </w:p>
        </w:tc>
        <w:tc>
          <w:tcPr>
            <w:tcW w:w="2500" w:type="pct"/>
            <w:vAlign w:val="center"/>
          </w:tcPr>
          <w:p>
            <w:pPr>
              <w:jc w:val="right"/>
              <w:rPr>
                <w:rFonts w:ascii="宋体" w:hAnsi="宋体"/>
                <w:b/>
                <w:bCs/>
                <w:snapToGrid w:val="0"/>
                <w:szCs w:val="24"/>
              </w:rPr>
            </w:pPr>
          </w:p>
        </w:tc>
      </w:tr>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监督（签名）：</w:t>
            </w:r>
          </w:p>
        </w:tc>
        <w:tc>
          <w:tcPr>
            <w:tcW w:w="2500" w:type="pct"/>
            <w:vAlign w:val="center"/>
          </w:tcPr>
          <w:p>
            <w:pPr>
              <w:jc w:val="right"/>
              <w:rPr>
                <w:rFonts w:ascii="宋体" w:hAnsi="宋体"/>
                <w:b/>
                <w:snapToGrid w:val="0"/>
                <w:szCs w:val="24"/>
              </w:rPr>
            </w:pPr>
            <w:r>
              <w:rPr>
                <w:rFonts w:hint="eastAsia" w:ascii="宋体" w:hAnsi="宋体"/>
                <w:snapToGrid w:val="0"/>
                <w:szCs w:val="24"/>
              </w:rPr>
              <w:t xml:space="preserve">日期：     年     月     </w:t>
            </w:r>
            <w:r>
              <w:rPr>
                <w:rFonts w:hint="eastAsia" w:ascii="宋体" w:hAnsi="宋体"/>
                <w:bCs/>
                <w:snapToGrid w:val="0"/>
                <w:szCs w:val="24"/>
              </w:rPr>
              <w:t>日</w:t>
            </w:r>
          </w:p>
        </w:tc>
      </w:tr>
    </w:tbl>
    <w:p>
      <w:r>
        <w:br w:type="page"/>
      </w:r>
    </w:p>
    <w:p>
      <w:pPr>
        <w:rPr>
          <w:rFonts w:ascii="宋体" w:hAnsi="宋体"/>
          <w:snapToGrid w:val="0"/>
          <w:szCs w:val="24"/>
        </w:rPr>
      </w:pPr>
      <w:r>
        <w:rPr>
          <w:rFonts w:hint="eastAsia" w:ascii="宋体" w:hAnsi="宋体"/>
          <w:snapToGrid w:val="0"/>
          <w:szCs w:val="24"/>
        </w:rPr>
        <w:t>附表</w:t>
      </w:r>
      <w:r>
        <w:rPr>
          <w:rFonts w:ascii="宋体" w:hAnsi="宋体"/>
          <w:snapToGrid w:val="0"/>
          <w:szCs w:val="24"/>
        </w:rPr>
        <w:t>6</w:t>
      </w:r>
    </w:p>
    <w:p>
      <w:pPr>
        <w:jc w:val="center"/>
        <w:rPr>
          <w:rFonts w:ascii="宋体" w:hAnsi="宋体"/>
          <w:b/>
          <w:bCs/>
          <w:snapToGrid w:val="0"/>
          <w:sz w:val="28"/>
          <w:szCs w:val="24"/>
        </w:rPr>
      </w:pPr>
      <w:r>
        <w:rPr>
          <w:rFonts w:hint="eastAsia" w:ascii="宋体" w:hAnsi="宋体"/>
          <w:b/>
          <w:sz w:val="28"/>
          <w:szCs w:val="24"/>
        </w:rPr>
        <w:t>商务</w:t>
      </w:r>
      <w:r>
        <w:rPr>
          <w:rFonts w:ascii="宋体" w:hAnsi="宋体"/>
          <w:b/>
          <w:sz w:val="28"/>
          <w:szCs w:val="24"/>
        </w:rPr>
        <w:t>标初步评审</w:t>
      </w:r>
      <w:r>
        <w:rPr>
          <w:rFonts w:hint="eastAsia" w:ascii="宋体" w:hAnsi="宋体"/>
          <w:b/>
          <w:bCs/>
          <w:snapToGrid w:val="0"/>
          <w:sz w:val="28"/>
          <w:szCs w:val="24"/>
        </w:rPr>
        <w:t>表</w:t>
      </w:r>
    </w:p>
    <w:p>
      <w:pPr>
        <w:jc w:val="left"/>
        <w:rPr>
          <w:rFonts w:hint="eastAsia" w:hAnsi="宋体"/>
          <w:b/>
          <w:bCs/>
          <w:sz w:val="24"/>
          <w:szCs w:val="24"/>
          <w:u w:val="single"/>
          <w:lang w:eastAsia="zh-Hans"/>
        </w:rPr>
      </w:pPr>
      <w:r>
        <w:rPr>
          <w:rFonts w:hint="eastAsia" w:ascii="宋体" w:hAnsi="宋体"/>
          <w:b/>
          <w:bCs/>
          <w:snapToGrid w:val="0"/>
          <w:szCs w:val="24"/>
          <w:highlight w:val="none"/>
        </w:rPr>
        <w:t>比选项目名称：</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p>
    <w:p>
      <w:pPr>
        <w:jc w:val="left"/>
        <w:rPr>
          <w:rFonts w:ascii="宋体" w:hAnsi="宋体"/>
          <w:b/>
          <w:bCs/>
          <w:snapToGrid w:val="0"/>
          <w:szCs w:val="24"/>
        </w:rPr>
      </w:pPr>
    </w:p>
    <w:tbl>
      <w:tblPr>
        <w:tblStyle w:val="49"/>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365"/>
        <w:gridCol w:w="1188"/>
        <w:gridCol w:w="1191"/>
        <w:gridCol w:w="1188"/>
        <w:gridCol w:w="1191"/>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restart"/>
            <w:vAlign w:val="center"/>
          </w:tcPr>
          <w:p>
            <w:pPr>
              <w:jc w:val="center"/>
              <w:rPr>
                <w:rFonts w:ascii="宋体" w:hAnsi="宋体"/>
                <w:b/>
                <w:bCs/>
                <w:snapToGrid w:val="0"/>
                <w:szCs w:val="24"/>
              </w:rPr>
            </w:pPr>
            <w:r>
              <w:rPr>
                <w:rFonts w:hint="eastAsia" w:ascii="宋体" w:hAnsi="宋体"/>
                <w:b/>
                <w:bCs/>
                <w:snapToGrid w:val="0"/>
                <w:szCs w:val="24"/>
              </w:rPr>
              <w:t>序号</w:t>
            </w:r>
          </w:p>
        </w:tc>
        <w:tc>
          <w:tcPr>
            <w:tcW w:w="2609" w:type="pct"/>
            <w:vMerge w:val="restart"/>
            <w:vAlign w:val="center"/>
          </w:tcPr>
          <w:p>
            <w:pPr>
              <w:jc w:val="center"/>
              <w:rPr>
                <w:rFonts w:ascii="宋体" w:hAnsi="宋体"/>
                <w:b/>
                <w:bCs/>
                <w:snapToGrid w:val="0"/>
                <w:szCs w:val="24"/>
              </w:rPr>
            </w:pPr>
            <w:r>
              <w:rPr>
                <w:rFonts w:hint="eastAsia" w:ascii="宋体" w:hAnsi="宋体"/>
                <w:b/>
                <w:bCs/>
                <w:snapToGrid w:val="0"/>
                <w:szCs w:val="24"/>
              </w:rPr>
              <w:t>审查</w:t>
            </w:r>
            <w:r>
              <w:rPr>
                <w:rFonts w:ascii="宋体" w:hAnsi="宋体"/>
                <w:b/>
                <w:bCs/>
                <w:snapToGrid w:val="0"/>
                <w:szCs w:val="24"/>
              </w:rPr>
              <w:t>内容</w:t>
            </w:r>
          </w:p>
        </w:tc>
        <w:tc>
          <w:tcPr>
            <w:tcW w:w="2138" w:type="pct"/>
            <w:gridSpan w:val="5"/>
            <w:vAlign w:val="center"/>
          </w:tcPr>
          <w:p>
            <w:pPr>
              <w:jc w:val="center"/>
              <w:rPr>
                <w:rFonts w:ascii="宋体" w:hAnsi="宋体"/>
                <w:b/>
                <w:bCs/>
                <w:snapToGrid w:val="0"/>
                <w:szCs w:val="24"/>
              </w:rPr>
            </w:pPr>
            <w:r>
              <w:rPr>
                <w:rFonts w:hint="eastAsia" w:ascii="宋体" w:hAnsi="宋体"/>
                <w:b/>
                <w:bCs/>
                <w:snapToGrid w:val="0"/>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continue"/>
            <w:vAlign w:val="center"/>
          </w:tcPr>
          <w:p>
            <w:pPr>
              <w:jc w:val="center"/>
              <w:rPr>
                <w:rFonts w:ascii="宋体" w:hAnsi="宋体"/>
                <w:b/>
                <w:bCs/>
                <w:snapToGrid w:val="0"/>
                <w:szCs w:val="24"/>
              </w:rPr>
            </w:pPr>
          </w:p>
        </w:tc>
        <w:tc>
          <w:tcPr>
            <w:tcW w:w="2609" w:type="pct"/>
            <w:vMerge w:val="continue"/>
            <w:vAlign w:val="center"/>
          </w:tcPr>
          <w:p>
            <w:pPr>
              <w:jc w:val="right"/>
              <w:rPr>
                <w:rFonts w:ascii="宋体" w:hAnsi="宋体"/>
                <w:b/>
                <w:bCs/>
                <w:snapToGrid w:val="0"/>
                <w:szCs w:val="24"/>
              </w:rPr>
            </w:pPr>
          </w:p>
        </w:tc>
        <w:tc>
          <w:tcPr>
            <w:tcW w:w="421" w:type="pct"/>
            <w:vAlign w:val="center"/>
          </w:tcPr>
          <w:p>
            <w:pPr>
              <w:rPr>
                <w:rFonts w:ascii="宋体" w:hAnsi="宋体"/>
                <w:b/>
                <w:bCs/>
                <w:snapToGrid w:val="0"/>
                <w:szCs w:val="24"/>
              </w:rPr>
            </w:pPr>
            <w:r>
              <w:rPr>
                <w:rFonts w:hint="eastAsia" w:ascii="宋体" w:hAnsi="宋体"/>
                <w:b/>
                <w:bCs/>
                <w:snapToGrid w:val="0"/>
                <w:szCs w:val="24"/>
              </w:rPr>
              <w:t>参选人1</w:t>
            </w:r>
          </w:p>
        </w:tc>
        <w:tc>
          <w:tcPr>
            <w:tcW w:w="422" w:type="pct"/>
            <w:vAlign w:val="center"/>
          </w:tcPr>
          <w:p>
            <w:pPr>
              <w:rPr>
                <w:rFonts w:ascii="宋体" w:hAnsi="宋体"/>
                <w:b/>
                <w:bCs/>
                <w:snapToGrid w:val="0"/>
                <w:szCs w:val="24"/>
              </w:rPr>
            </w:pPr>
            <w:r>
              <w:rPr>
                <w:rFonts w:hint="eastAsia" w:ascii="宋体" w:hAnsi="宋体"/>
                <w:b/>
                <w:bCs/>
                <w:snapToGrid w:val="0"/>
                <w:szCs w:val="24"/>
              </w:rPr>
              <w:t>参选人2</w:t>
            </w:r>
          </w:p>
        </w:tc>
        <w:tc>
          <w:tcPr>
            <w:tcW w:w="421" w:type="pct"/>
            <w:vAlign w:val="center"/>
          </w:tcPr>
          <w:p>
            <w:pPr>
              <w:rPr>
                <w:rFonts w:ascii="宋体" w:hAnsi="宋体"/>
                <w:b/>
                <w:bCs/>
                <w:snapToGrid w:val="0"/>
                <w:szCs w:val="24"/>
              </w:rPr>
            </w:pPr>
            <w:r>
              <w:rPr>
                <w:rFonts w:hint="eastAsia" w:ascii="宋体" w:hAnsi="宋体"/>
                <w:b/>
                <w:bCs/>
                <w:snapToGrid w:val="0"/>
                <w:szCs w:val="24"/>
              </w:rPr>
              <w:t>参选人3</w:t>
            </w:r>
          </w:p>
        </w:tc>
        <w:tc>
          <w:tcPr>
            <w:tcW w:w="422" w:type="pct"/>
            <w:vAlign w:val="center"/>
          </w:tcPr>
          <w:p>
            <w:pPr>
              <w:rPr>
                <w:rFonts w:ascii="宋体" w:hAnsi="宋体"/>
                <w:b/>
                <w:bCs/>
                <w:snapToGrid w:val="0"/>
                <w:szCs w:val="24"/>
              </w:rPr>
            </w:pPr>
            <w:r>
              <w:rPr>
                <w:rFonts w:hint="eastAsia" w:ascii="宋体" w:hAnsi="宋体"/>
                <w:b/>
                <w:bCs/>
                <w:snapToGrid w:val="0"/>
                <w:szCs w:val="24"/>
              </w:rPr>
              <w:t>参选人4</w:t>
            </w:r>
          </w:p>
        </w:tc>
        <w:tc>
          <w:tcPr>
            <w:tcW w:w="452" w:type="pct"/>
            <w:vAlign w:val="center"/>
          </w:tcPr>
          <w:p>
            <w:pPr>
              <w:rPr>
                <w:rFonts w:ascii="宋体" w:hAnsi="宋体"/>
                <w:b/>
                <w:bCs/>
                <w:snapToGrid w:val="0"/>
                <w:szCs w:val="24"/>
              </w:rPr>
            </w:pPr>
            <w:r>
              <w:rPr>
                <w:rFonts w:hint="eastAsia" w:ascii="宋体" w:hAnsi="宋体"/>
                <w:b/>
                <w:bCs/>
                <w:snapToGrid w:val="0"/>
                <w:szCs w:val="24"/>
              </w:rPr>
              <w:t>参选人</w:t>
            </w:r>
            <w:r>
              <w:rPr>
                <w:rFonts w:ascii="宋体" w:hAnsi="宋体"/>
                <w:b/>
                <w:bCs/>
                <w:snapToGrid w:val="0"/>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1</w:t>
            </w:r>
          </w:p>
        </w:tc>
        <w:tc>
          <w:tcPr>
            <w:tcW w:w="2609" w:type="pct"/>
            <w:vAlign w:val="center"/>
          </w:tcPr>
          <w:p>
            <w:pPr>
              <w:rPr>
                <w:rFonts w:ascii="宋体" w:hAnsi="宋体"/>
                <w:kern w:val="0"/>
                <w:szCs w:val="24"/>
              </w:rPr>
            </w:pPr>
            <w:r>
              <w:rPr>
                <w:rFonts w:hint="eastAsia" w:ascii="宋体" w:hAnsi="宋体" w:cs="宋体"/>
                <w:szCs w:val="21"/>
              </w:rPr>
              <w:t>商务标文件按要求加盖参选人公章。</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2</w:t>
            </w:r>
          </w:p>
        </w:tc>
        <w:tc>
          <w:tcPr>
            <w:tcW w:w="2609" w:type="pct"/>
            <w:vAlign w:val="center"/>
          </w:tcPr>
          <w:p>
            <w:pPr>
              <w:rPr>
                <w:rFonts w:ascii="宋体" w:hAnsi="宋体"/>
                <w:kern w:val="0"/>
                <w:szCs w:val="24"/>
              </w:rPr>
            </w:pPr>
            <w:r>
              <w:rPr>
                <w:rFonts w:hint="eastAsia" w:ascii="宋体" w:hAnsi="宋体" w:cs="宋体"/>
                <w:szCs w:val="21"/>
              </w:rPr>
              <w:t>《参选函》中的内容按比选文件的要求填写并签字盖章。</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3</w:t>
            </w:r>
          </w:p>
        </w:tc>
        <w:tc>
          <w:tcPr>
            <w:tcW w:w="2609" w:type="pct"/>
            <w:vAlign w:val="center"/>
          </w:tcPr>
          <w:p>
            <w:pPr>
              <w:rPr>
                <w:rFonts w:ascii="宋体" w:hAnsi="宋体"/>
                <w:kern w:val="0"/>
                <w:szCs w:val="24"/>
              </w:rPr>
            </w:pPr>
            <w:r>
              <w:rPr>
                <w:rFonts w:hint="eastAsia" w:ascii="宋体" w:hAnsi="宋体" w:cs="宋体"/>
                <w:szCs w:val="21"/>
              </w:rPr>
              <w:t>参选人的报价不高于控制价。</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ascii="宋体" w:hAnsi="宋体"/>
                <w:bCs/>
                <w:snapToGrid w:val="0"/>
                <w:szCs w:val="24"/>
              </w:rPr>
              <w:t>4</w:t>
            </w:r>
          </w:p>
        </w:tc>
        <w:tc>
          <w:tcPr>
            <w:tcW w:w="2609" w:type="pct"/>
            <w:vAlign w:val="center"/>
          </w:tcPr>
          <w:p>
            <w:pPr>
              <w:rPr>
                <w:rFonts w:ascii="宋体" w:hAnsi="宋体"/>
                <w:kern w:val="0"/>
                <w:szCs w:val="24"/>
              </w:rPr>
            </w:pPr>
            <w:r>
              <w:rPr>
                <w:rFonts w:hint="eastAsia" w:ascii="宋体" w:hAnsi="宋体" w:cs="宋体"/>
                <w:szCs w:val="21"/>
              </w:rPr>
              <w:t>参选人的报价清单与比选文件报价清单项目内容一致。</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pct"/>
            <w:gridSpan w:val="2"/>
            <w:vAlign w:val="center"/>
          </w:tcPr>
          <w:p>
            <w:pPr>
              <w:jc w:val="center"/>
              <w:rPr>
                <w:rFonts w:ascii="宋体" w:hAnsi="宋体"/>
                <w:b/>
                <w:bCs/>
                <w:snapToGrid w:val="0"/>
                <w:szCs w:val="24"/>
              </w:rPr>
            </w:pPr>
            <w:r>
              <w:rPr>
                <w:rFonts w:hint="eastAsia" w:ascii="宋体" w:hAnsi="宋体"/>
                <w:b/>
                <w:bCs/>
                <w:snapToGrid w:val="0"/>
                <w:szCs w:val="24"/>
              </w:rPr>
              <w:t>评审结论</w:t>
            </w:r>
          </w:p>
        </w:tc>
        <w:tc>
          <w:tcPr>
            <w:tcW w:w="421" w:type="pct"/>
            <w:vAlign w:val="center"/>
          </w:tcPr>
          <w:p>
            <w:pPr>
              <w:jc w:val="center"/>
              <w:rPr>
                <w:rFonts w:ascii="宋体" w:hAnsi="宋体"/>
                <w:b/>
                <w:bCs/>
                <w:snapToGrid w:val="0"/>
                <w:szCs w:val="24"/>
              </w:rPr>
            </w:pPr>
          </w:p>
        </w:tc>
        <w:tc>
          <w:tcPr>
            <w:tcW w:w="422" w:type="pct"/>
            <w:vAlign w:val="center"/>
          </w:tcPr>
          <w:p>
            <w:pPr>
              <w:jc w:val="center"/>
              <w:rPr>
                <w:rFonts w:ascii="宋体" w:hAnsi="宋体"/>
                <w:b/>
                <w:bCs/>
                <w:snapToGrid w:val="0"/>
                <w:szCs w:val="24"/>
              </w:rPr>
            </w:pPr>
          </w:p>
        </w:tc>
        <w:tc>
          <w:tcPr>
            <w:tcW w:w="421" w:type="pct"/>
            <w:vAlign w:val="center"/>
          </w:tcPr>
          <w:p>
            <w:pPr>
              <w:jc w:val="center"/>
              <w:rPr>
                <w:rFonts w:ascii="宋体" w:hAnsi="宋体"/>
                <w:b/>
                <w:bCs/>
                <w:snapToGrid w:val="0"/>
                <w:szCs w:val="24"/>
              </w:rPr>
            </w:pPr>
          </w:p>
        </w:tc>
        <w:tc>
          <w:tcPr>
            <w:tcW w:w="422" w:type="pct"/>
            <w:vAlign w:val="center"/>
          </w:tcPr>
          <w:p>
            <w:pPr>
              <w:jc w:val="center"/>
              <w:rPr>
                <w:rFonts w:ascii="宋体" w:hAnsi="宋体"/>
                <w:b/>
                <w:bCs/>
                <w:snapToGrid w:val="0"/>
                <w:szCs w:val="24"/>
              </w:rPr>
            </w:pPr>
          </w:p>
        </w:tc>
        <w:tc>
          <w:tcPr>
            <w:tcW w:w="452" w:type="pct"/>
            <w:vAlign w:val="center"/>
          </w:tcPr>
          <w:p>
            <w:pPr>
              <w:jc w:val="center"/>
              <w:rPr>
                <w:rFonts w:ascii="宋体" w:hAnsi="宋体"/>
                <w:b/>
                <w:bCs/>
                <w:snapToGrid w:val="0"/>
                <w:szCs w:val="24"/>
              </w:rPr>
            </w:pPr>
          </w:p>
        </w:tc>
      </w:tr>
    </w:tbl>
    <w:p>
      <w:pPr>
        <w:rPr>
          <w:rFonts w:hint="eastAsia" w:ascii="宋体" w:hAnsi="宋体"/>
          <w:bCs/>
          <w:snapToGrid w:val="0"/>
          <w:szCs w:val="24"/>
        </w:rPr>
      </w:pPr>
    </w:p>
    <w:p>
      <w:pPr>
        <w:rPr>
          <w:rFonts w:ascii="宋体" w:hAnsi="宋体"/>
          <w:bCs/>
          <w:szCs w:val="24"/>
        </w:rPr>
      </w:pPr>
      <w:r>
        <w:rPr>
          <w:rFonts w:hint="eastAsia" w:ascii="宋体" w:hAnsi="宋体"/>
          <w:bCs/>
          <w:snapToGrid w:val="0"/>
          <w:szCs w:val="24"/>
        </w:rPr>
        <w:t>说明：1</w:t>
      </w:r>
      <w:r>
        <w:rPr>
          <w:rFonts w:ascii="宋体" w:hAnsi="宋体"/>
          <w:bCs/>
          <w:snapToGrid w:val="0"/>
          <w:szCs w:val="24"/>
        </w:rPr>
        <w:t>.</w:t>
      </w:r>
      <w:r>
        <w:rPr>
          <w:rFonts w:hint="eastAsia" w:ascii="宋体" w:hAnsi="宋体"/>
          <w:bCs/>
          <w:szCs w:val="24"/>
        </w:rPr>
        <w:t>评审通过的用“√”表示，未通过的用“×”表示。结论用“合格”或“不合格”表示。</w:t>
      </w:r>
    </w:p>
    <w:p>
      <w:pPr>
        <w:ind w:firstLine="630" w:firstLineChars="300"/>
        <w:rPr>
          <w:rFonts w:ascii="宋体" w:hAnsi="宋体"/>
          <w:bCs/>
          <w:snapToGrid w:val="0"/>
          <w:szCs w:val="24"/>
        </w:rPr>
      </w:pPr>
      <w:r>
        <w:rPr>
          <w:rFonts w:hint="eastAsia" w:ascii="宋体" w:hAnsi="宋体"/>
          <w:bCs/>
          <w:szCs w:val="24"/>
        </w:rPr>
        <w:t>2</w:t>
      </w:r>
      <w:r>
        <w:rPr>
          <w:rFonts w:ascii="宋体" w:hAnsi="宋体"/>
          <w:bCs/>
          <w:szCs w:val="24"/>
        </w:rPr>
        <w:t>.</w:t>
      </w:r>
      <w:r>
        <w:rPr>
          <w:rFonts w:hint="eastAsia" w:ascii="宋体" w:hAnsi="宋体"/>
          <w:bCs/>
          <w:szCs w:val="24"/>
        </w:rPr>
        <w:t>只有以上项目全部通过，评审结论为“合格”，否则结论为“不合格”。</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评标委员会（签名）：</w:t>
            </w:r>
          </w:p>
          <w:p>
            <w:pPr>
              <w:rPr>
                <w:rFonts w:ascii="宋体" w:hAnsi="宋体"/>
                <w:b/>
                <w:snapToGrid w:val="0"/>
                <w:szCs w:val="24"/>
              </w:rPr>
            </w:pPr>
            <w:r>
              <w:rPr>
                <w:rFonts w:hint="eastAsia" w:ascii="宋体" w:hAnsi="宋体"/>
                <w:b/>
                <w:bCs/>
                <w:snapToGrid w:val="0"/>
                <w:szCs w:val="24"/>
              </w:rPr>
              <w:t>监督（签名）：</w:t>
            </w:r>
          </w:p>
        </w:tc>
        <w:tc>
          <w:tcPr>
            <w:tcW w:w="2500" w:type="pct"/>
            <w:vAlign w:val="bottom"/>
          </w:tcPr>
          <w:p>
            <w:pPr>
              <w:jc w:val="right"/>
              <w:rPr>
                <w:rFonts w:ascii="宋体" w:hAnsi="宋体"/>
                <w:b/>
                <w:snapToGrid w:val="0"/>
                <w:szCs w:val="24"/>
              </w:rPr>
            </w:pPr>
            <w:r>
              <w:rPr>
                <w:rFonts w:hint="eastAsia" w:ascii="宋体" w:hAnsi="宋体"/>
                <w:snapToGrid w:val="0"/>
                <w:szCs w:val="24"/>
              </w:rPr>
              <w:t xml:space="preserve">日期：    </w:t>
            </w:r>
            <w:r>
              <w:rPr>
                <w:rFonts w:hint="eastAsia" w:ascii="宋体" w:hAnsi="宋体"/>
                <w:bCs/>
                <w:snapToGrid w:val="0"/>
                <w:szCs w:val="24"/>
              </w:rPr>
              <w:t xml:space="preserve"> 年     月     日</w:t>
            </w:r>
          </w:p>
        </w:tc>
      </w:tr>
    </w:tbl>
    <w:p>
      <w:pPr>
        <w:spacing w:line="276" w:lineRule="auto"/>
        <w:rPr>
          <w:rFonts w:ascii="宋体" w:hAnsi="宋体"/>
          <w:snapToGrid w:val="0"/>
          <w:szCs w:val="24"/>
        </w:rPr>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spacing w:line="276" w:lineRule="auto"/>
        <w:rPr>
          <w:rFonts w:ascii="宋体" w:hAnsi="宋体"/>
          <w:snapToGrid w:val="0"/>
          <w:szCs w:val="24"/>
          <w:highlight w:val="none"/>
        </w:rPr>
      </w:pPr>
      <w:r>
        <w:rPr>
          <w:rFonts w:hint="eastAsia" w:ascii="宋体" w:hAnsi="宋体"/>
          <w:snapToGrid w:val="0"/>
          <w:szCs w:val="24"/>
        </w:rPr>
        <w:t>附表</w:t>
      </w:r>
      <w:r>
        <w:rPr>
          <w:rFonts w:ascii="宋体" w:hAnsi="宋体"/>
          <w:snapToGrid w:val="0"/>
          <w:szCs w:val="24"/>
        </w:rPr>
        <w:t>7</w:t>
      </w:r>
    </w:p>
    <w:p>
      <w:pPr>
        <w:spacing w:line="276" w:lineRule="auto"/>
        <w:jc w:val="center"/>
        <w:rPr>
          <w:rFonts w:ascii="宋体" w:hAnsi="宋体"/>
          <w:b/>
          <w:bCs/>
          <w:snapToGrid w:val="0"/>
          <w:sz w:val="28"/>
          <w:szCs w:val="24"/>
          <w:highlight w:val="none"/>
        </w:rPr>
      </w:pPr>
      <w:r>
        <w:rPr>
          <w:rFonts w:hint="eastAsia"/>
          <w:b/>
          <w:sz w:val="28"/>
          <w:szCs w:val="24"/>
          <w:highlight w:val="none"/>
        </w:rPr>
        <w:t>商务</w:t>
      </w:r>
      <w:r>
        <w:rPr>
          <w:b/>
          <w:sz w:val="28"/>
          <w:szCs w:val="24"/>
          <w:highlight w:val="none"/>
        </w:rPr>
        <w:t>标</w:t>
      </w:r>
      <w:r>
        <w:rPr>
          <w:rFonts w:hint="eastAsia"/>
          <w:b/>
          <w:sz w:val="28"/>
          <w:szCs w:val="24"/>
          <w:highlight w:val="none"/>
        </w:rPr>
        <w:t>详细评分</w:t>
      </w:r>
      <w:r>
        <w:rPr>
          <w:rFonts w:hint="eastAsia" w:ascii="宋体" w:hAnsi="宋体"/>
          <w:b/>
          <w:bCs/>
          <w:snapToGrid w:val="0"/>
          <w:sz w:val="28"/>
          <w:szCs w:val="24"/>
          <w:highlight w:val="none"/>
        </w:rPr>
        <w:t>表</w:t>
      </w:r>
    </w:p>
    <w:p>
      <w:pPr>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hAnsi="宋体"/>
          <w:b/>
          <w:bCs/>
          <w:sz w:val="24"/>
          <w:szCs w:val="24"/>
          <w:highlight w:val="none"/>
          <w:u w:val="single"/>
        </w:rPr>
        <w:t>深铁集团房地产开发企业一级资质</w:t>
      </w:r>
      <w:r>
        <w:rPr>
          <w:rFonts w:hint="eastAsia" w:hAnsi="宋体"/>
          <w:b/>
          <w:bCs/>
          <w:sz w:val="24"/>
          <w:szCs w:val="24"/>
          <w:highlight w:val="none"/>
          <w:u w:val="single"/>
          <w:lang w:eastAsia="zh-Hans"/>
        </w:rPr>
        <w:t>申报服务</w:t>
      </w:r>
    </w:p>
    <w:tbl>
      <w:tblPr>
        <w:tblStyle w:val="49"/>
        <w:tblpPr w:leftFromText="180" w:rightFromText="180" w:vertAnchor="text" w:horzAnchor="page" w:tblpX="1541" w:tblpY="434"/>
        <w:tblOverlap w:val="never"/>
        <w:tblW w:w="49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1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25" w:type="pct"/>
          </w:tcPr>
          <w:p>
            <w:pPr>
              <w:widowControl/>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评审内容</w:t>
            </w:r>
          </w:p>
        </w:tc>
        <w:tc>
          <w:tcPr>
            <w:tcW w:w="4274" w:type="pct"/>
          </w:tcPr>
          <w:p>
            <w:pPr>
              <w:widowControl/>
              <w:spacing w:line="360" w:lineRule="auto"/>
              <w:jc w:val="center"/>
              <w:rPr>
                <w:rFonts w:ascii="宋体" w:hAnsi="宋体" w:cs="宋体"/>
                <w:b/>
                <w:bCs/>
                <w:color w:val="000000"/>
                <w:kern w:val="0"/>
                <w:szCs w:val="21"/>
              </w:rPr>
            </w:pPr>
            <w:r>
              <w:rPr>
                <w:rFonts w:hint="eastAsia" w:ascii="宋体" w:hAnsi="宋体" w:cs="宋体"/>
                <w:b/>
                <w:bCs/>
                <w:color w:val="000000"/>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5" w:type="pct"/>
          </w:tcPr>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adjustRightInd w:val="0"/>
              <w:snapToGrid w:val="0"/>
              <w:spacing w:line="360" w:lineRule="auto"/>
              <w:jc w:val="center"/>
              <w:rPr>
                <w:rFonts w:ascii="宋体" w:hAnsi="宋体" w:cs="宋体"/>
                <w:color w:val="000000"/>
                <w:kern w:val="0"/>
                <w:sz w:val="24"/>
                <w:szCs w:val="24"/>
              </w:rPr>
            </w:pPr>
          </w:p>
          <w:p>
            <w:pPr>
              <w:snapToGrid w:val="0"/>
              <w:spacing w:line="288" w:lineRule="auto"/>
              <w:jc w:val="center"/>
              <w:rPr>
                <w:rFonts w:ascii="宋体" w:hAnsi="宋体"/>
                <w:color w:val="000000"/>
                <w:szCs w:val="24"/>
              </w:rPr>
            </w:pPr>
            <w:r>
              <w:rPr>
                <w:rFonts w:hint="eastAsia" w:ascii="宋体" w:hAnsi="宋体"/>
                <w:color w:val="000000"/>
                <w:szCs w:val="24"/>
              </w:rPr>
              <w:t>报 价</w:t>
            </w:r>
          </w:p>
          <w:p>
            <w:pPr>
              <w:snapToGrid w:val="0"/>
              <w:spacing w:line="288" w:lineRule="auto"/>
              <w:jc w:val="center"/>
              <w:rPr>
                <w:rFonts w:ascii="宋体" w:hAnsi="宋体"/>
                <w:color w:val="000000"/>
                <w:szCs w:val="21"/>
              </w:rPr>
            </w:pPr>
            <w:r>
              <w:rPr>
                <w:rFonts w:hint="eastAsia" w:ascii="宋体" w:hAnsi="宋体"/>
                <w:color w:val="000000"/>
                <w:szCs w:val="24"/>
              </w:rPr>
              <w:t>（万元）</w:t>
            </w:r>
          </w:p>
        </w:tc>
        <w:tc>
          <w:tcPr>
            <w:tcW w:w="4274" w:type="pct"/>
            <w:vAlign w:val="center"/>
          </w:tcPr>
          <w:p>
            <w:pPr>
              <w:spacing w:line="560" w:lineRule="exact"/>
              <w:ind w:left="166" w:right="132" w:rightChars="63" w:hanging="165" w:hangingChars="79"/>
              <w:jc w:val="left"/>
              <w:rPr>
                <w:rFonts w:ascii="宋体" w:hAnsi="宋体"/>
                <w:color w:val="000000"/>
                <w:szCs w:val="24"/>
              </w:rPr>
            </w:pPr>
            <w:r>
              <w:rPr>
                <w:rFonts w:hint="eastAsia" w:ascii="宋体" w:hAnsi="宋体"/>
                <w:color w:val="000000"/>
                <w:szCs w:val="24"/>
              </w:rPr>
              <w:t>（1）商务标根据参选人所报的报价评分。</w:t>
            </w:r>
          </w:p>
          <w:p>
            <w:pPr>
              <w:spacing w:line="560" w:lineRule="exact"/>
              <w:ind w:left="166" w:right="132" w:rightChars="63" w:hanging="165" w:hangingChars="79"/>
              <w:jc w:val="left"/>
              <w:rPr>
                <w:rFonts w:ascii="仿宋_GB2312" w:hAnsi="仿宋_GB2312" w:eastAsia="仿宋_GB2312" w:cs="仿宋_GB2312"/>
                <w:color w:val="000000"/>
                <w:szCs w:val="21"/>
                <w:highlight w:val="cyan"/>
              </w:rPr>
            </w:pPr>
            <w:r>
              <w:rPr>
                <w:rFonts w:hint="eastAsia" w:ascii="宋体" w:hAnsi="宋体"/>
                <w:color w:val="000000"/>
                <w:szCs w:val="24"/>
              </w:rPr>
              <w:t>（2）商务分的确定：以进入商务标环节的所有参选人所报的服务费次低价为基准价且为满分</w:t>
            </w:r>
            <w:r>
              <w:rPr>
                <w:rFonts w:hint="eastAsia" w:ascii="宋体" w:hAnsi="宋体" w:cs="宋体"/>
                <w:color w:val="000000"/>
                <w:szCs w:val="21"/>
                <w:u w:val="single"/>
              </w:rPr>
              <w:t>50</w:t>
            </w:r>
            <w:r>
              <w:rPr>
                <w:rFonts w:hint="eastAsia" w:ascii="宋体" w:hAnsi="宋体"/>
                <w:color w:val="000000"/>
                <w:szCs w:val="24"/>
              </w:rPr>
              <w:t>分。若进入商务标环节的参选人仅3家，则以最低价为基准价且满分。若次低价同时为最高价，则以最低价为基准价且为满分。按下列公式计算：</w:t>
            </w:r>
            <w:r>
              <w:rPr>
                <w:rFonts w:hint="eastAsia" w:ascii="宋体" w:hAnsi="宋体"/>
                <w:color w:val="000000"/>
                <w:szCs w:val="24"/>
              </w:rPr>
              <w:br w:type="textWrapping"/>
            </w:r>
            <w:r>
              <w:rPr>
                <w:rFonts w:hAnsi="宋体" w:cs="宋体"/>
                <w:color w:val="000000"/>
                <w:sz w:val="24"/>
              </w:rPr>
              <w:t>Fn=（</w:t>
            </w:r>
            <w:r>
              <w:rPr>
                <w:rFonts w:hint="eastAsia" w:ascii="仿宋_GB2312" w:hAnsi="仿宋_GB2312" w:eastAsia="仿宋_GB2312" w:cs="仿宋_GB2312"/>
                <w:color w:val="000000"/>
                <w:sz w:val="24"/>
                <w:szCs w:val="24"/>
                <w:u w:val="single"/>
              </w:rPr>
              <w:t>50</w:t>
            </w:r>
            <w:r>
              <w:rPr>
                <w:rFonts w:hAnsi="宋体" w:cs="宋体"/>
                <w:color w:val="000000"/>
                <w:sz w:val="24"/>
                <w:szCs w:val="24"/>
              </w:rPr>
              <w:t xml:space="preserve"> </w:t>
            </w:r>
            <w:r>
              <w:rPr>
                <w:rFonts w:hint="eastAsia" w:hAnsi="宋体" w:cs="宋体"/>
                <w:color w:val="000000"/>
                <w:sz w:val="24"/>
                <w:szCs w:val="24"/>
              </w:rPr>
              <w:t>—</w:t>
            </w:r>
            <w:r>
              <w:rPr>
                <w:rFonts w:hint="eastAsia" w:ascii="仿宋_GB2312" w:hAnsi="仿宋_GB2312" w:eastAsia="仿宋_GB2312" w:cs="仿宋_GB2312"/>
                <w:color w:val="000000"/>
                <w:sz w:val="24"/>
                <w:szCs w:val="24"/>
                <w:u w:val="single"/>
              </w:rPr>
              <w:t>50</w:t>
            </w:r>
            <w:r>
              <w:rPr>
                <w:rFonts w:hAnsi="宋体" w:cs="宋体"/>
                <w:color w:val="000000"/>
                <w:sz w:val="24"/>
              </w:rPr>
              <w:t>×│Sn-Sj│/Sj） </w:t>
            </w:r>
            <w:r>
              <w:rPr>
                <w:rFonts w:hint="eastAsia" w:ascii="宋体" w:hAnsi="宋体"/>
                <w:color w:val="000000"/>
                <w:szCs w:val="24"/>
              </w:rPr>
              <w:br w:type="textWrapping"/>
            </w:r>
            <w:r>
              <w:rPr>
                <w:rFonts w:hint="eastAsia" w:ascii="宋体" w:hAnsi="宋体"/>
                <w:color w:val="000000"/>
                <w:szCs w:val="24"/>
              </w:rPr>
              <w:t>其中：Fn—第n参选人的商务得分（当Fn小于零分时，该参选人的商务得分按零分计）。</w:t>
            </w:r>
            <w:r>
              <w:rPr>
                <w:rFonts w:hint="eastAsia" w:ascii="宋体" w:hAnsi="宋体"/>
                <w:color w:val="000000"/>
                <w:szCs w:val="24"/>
              </w:rPr>
              <w:br w:type="textWrapping"/>
            </w:r>
            <w:r>
              <w:rPr>
                <w:rFonts w:hint="eastAsia" w:ascii="宋体" w:hAnsi="宋体"/>
                <w:color w:val="000000"/>
                <w:szCs w:val="24"/>
              </w:rPr>
              <w:t>Sn—第n参选人的服务费</w:t>
            </w:r>
            <w:r>
              <w:rPr>
                <w:rFonts w:hint="eastAsia" w:ascii="宋体" w:hAnsi="宋体"/>
                <w:color w:val="000000"/>
                <w:szCs w:val="24"/>
              </w:rPr>
              <w:br w:type="textWrapping"/>
            </w:r>
            <w:r>
              <w:rPr>
                <w:rFonts w:hint="eastAsia" w:ascii="宋体" w:hAnsi="宋体"/>
                <w:color w:val="000000"/>
                <w:szCs w:val="24"/>
              </w:rPr>
              <w:t>Sj—以进入商务标的所有参选人所报的服务费基准价</w:t>
            </w:r>
            <w:r>
              <w:rPr>
                <w:rFonts w:hint="eastAsia" w:ascii="宋体" w:hAnsi="宋体"/>
                <w:color w:val="000000"/>
                <w:szCs w:val="24"/>
              </w:rPr>
              <w:br w:type="textWrapping"/>
            </w:r>
            <w:r>
              <w:rPr>
                <w:rFonts w:hint="eastAsia" w:ascii="宋体" w:hAnsi="宋体"/>
                <w:color w:val="000000"/>
                <w:szCs w:val="24"/>
              </w:rPr>
              <w:t>备注：</w:t>
            </w:r>
            <w:r>
              <w:rPr>
                <w:rFonts w:hint="eastAsia" w:ascii="宋体" w:hAnsi="宋体"/>
                <w:color w:val="000000"/>
                <w:szCs w:val="24"/>
              </w:rPr>
              <w:br w:type="textWrapping"/>
            </w:r>
            <w:r>
              <w:rPr>
                <w:rFonts w:hint="eastAsia" w:ascii="宋体" w:hAnsi="宋体"/>
                <w:color w:val="000000"/>
                <w:szCs w:val="24"/>
              </w:rPr>
              <w:t>若各参选人的报价，如出现税率不一致的情况，则以不含税总价作为参选人的报价进行商务标分数计算；若税率一致，则以含税总价作为参选人的报价进行商务标分数计算。</w:t>
            </w:r>
          </w:p>
        </w:tc>
      </w:tr>
    </w:tbl>
    <w:p>
      <w:pPr>
        <w:pStyle w:val="48"/>
        <w:spacing w:line="360" w:lineRule="auto"/>
        <w:ind w:left="0" w:leftChars="0" w:firstLine="0" w:firstLineChars="0"/>
      </w:pPr>
    </w:p>
    <w:p>
      <w:pPr>
        <w:rPr>
          <w:rFonts w:ascii="宋体" w:hAnsi="宋体"/>
          <w:b/>
          <w:bCs/>
          <w:snapToGrid w:val="0"/>
          <w:szCs w:val="21"/>
        </w:rPr>
      </w:pPr>
      <w:r>
        <w:rPr>
          <w:rFonts w:hint="eastAsia" w:ascii="宋体" w:hAnsi="宋体"/>
          <w:bCs/>
          <w:snapToGrid w:val="0"/>
          <w:szCs w:val="21"/>
        </w:rPr>
        <w:t>说明：商务标得分的算术平均值保留小数点后两位数字，且四舍五入。</w:t>
      </w:r>
    </w:p>
    <w:p>
      <w:pPr>
        <w:rPr>
          <w:rFonts w:ascii="宋体" w:hAnsi="宋体"/>
          <w:b/>
          <w:bCs/>
          <w:snapToGrid w:val="0"/>
          <w:szCs w:val="24"/>
        </w:rPr>
      </w:pPr>
      <w:r>
        <w:rPr>
          <w:rFonts w:hint="eastAsia" w:ascii="宋体" w:hAnsi="宋体"/>
          <w:b/>
          <w:bCs/>
          <w:snapToGrid w:val="0"/>
          <w:szCs w:val="24"/>
        </w:rPr>
        <w:t>评标委员会（签名）：</w:t>
      </w:r>
    </w:p>
    <w:p>
      <w:pPr>
        <w:pStyle w:val="48"/>
        <w:spacing w:line="360" w:lineRule="auto"/>
        <w:ind w:left="0" w:leftChars="0" w:firstLine="0" w:firstLineChars="0"/>
      </w:pPr>
      <w:r>
        <w:rPr>
          <w:rFonts w:hint="eastAsia" w:ascii="宋体" w:hAnsi="宋体"/>
          <w:b/>
          <w:bCs/>
          <w:snapToGrid w:val="0"/>
          <w:szCs w:val="24"/>
        </w:rPr>
        <w:t>监督（签名）：</w:t>
      </w:r>
    </w:p>
    <w:p>
      <w:pPr>
        <w:spacing w:line="276" w:lineRule="auto"/>
        <w:rPr>
          <w:rFonts w:ascii="宋体" w:hAnsi="宋体"/>
          <w:snapToGrid w:val="0"/>
          <w:sz w:val="20"/>
          <w:szCs w:val="24"/>
        </w:rPr>
      </w:pPr>
      <w:r>
        <w:rPr>
          <w:rFonts w:hint="eastAsia" w:ascii="宋体" w:hAnsi="宋体"/>
          <w:snapToGrid w:val="0"/>
          <w:sz w:val="20"/>
          <w:szCs w:val="24"/>
        </w:rPr>
        <w:t>附表</w:t>
      </w:r>
      <w:r>
        <w:rPr>
          <w:rFonts w:ascii="宋体" w:hAnsi="宋体"/>
          <w:snapToGrid w:val="0"/>
          <w:sz w:val="20"/>
          <w:szCs w:val="24"/>
        </w:rPr>
        <w:t>8</w:t>
      </w:r>
    </w:p>
    <w:p>
      <w:pPr>
        <w:jc w:val="center"/>
        <w:rPr>
          <w:rFonts w:ascii="宋体" w:hAnsi="宋体"/>
          <w:b/>
          <w:bCs/>
          <w:snapToGrid w:val="0"/>
          <w:sz w:val="28"/>
          <w:szCs w:val="28"/>
        </w:rPr>
      </w:pPr>
      <w:r>
        <w:rPr>
          <w:rFonts w:hint="eastAsia" w:ascii="宋体" w:hAnsi="宋体"/>
          <w:b/>
          <w:bCs/>
          <w:snapToGrid w:val="0"/>
          <w:sz w:val="28"/>
          <w:szCs w:val="28"/>
        </w:rPr>
        <w:t>最终得分结果汇总表</w:t>
      </w:r>
    </w:p>
    <w:p>
      <w:pPr>
        <w:jc w:val="left"/>
        <w:rPr>
          <w:rFonts w:ascii="宋体" w:hAnsi="宋体"/>
          <w:b/>
          <w:bCs/>
          <w:snapToGrid w:val="0"/>
          <w:szCs w:val="24"/>
          <w:u w:val="none"/>
        </w:rPr>
      </w:pPr>
      <w:r>
        <w:rPr>
          <w:rFonts w:hint="eastAsia" w:ascii="宋体" w:hAnsi="宋体"/>
          <w:b/>
          <w:bCs/>
          <w:snapToGrid w:val="0"/>
          <w:szCs w:val="24"/>
        </w:rPr>
        <w:t>比选项目名称：</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4472"/>
        <w:gridCol w:w="2209"/>
        <w:gridCol w:w="2212"/>
        <w:gridCol w:w="2121"/>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82" w:type="pct"/>
            <w:vAlign w:val="center"/>
          </w:tcPr>
          <w:p>
            <w:pPr>
              <w:jc w:val="center"/>
              <w:rPr>
                <w:rFonts w:ascii="宋体" w:hAnsi="宋体"/>
                <w:b/>
                <w:bCs/>
                <w:snapToGrid w:val="0"/>
                <w:szCs w:val="24"/>
              </w:rPr>
            </w:pPr>
            <w:r>
              <w:rPr>
                <w:rFonts w:hint="eastAsia" w:ascii="宋体" w:hAnsi="宋体" w:cs="宋体"/>
                <w:b/>
                <w:bCs/>
                <w:szCs w:val="21"/>
              </w:rPr>
              <w:t>序号</w:t>
            </w:r>
          </w:p>
        </w:tc>
        <w:tc>
          <w:tcPr>
            <w:tcW w:w="1577" w:type="pct"/>
            <w:vAlign w:val="center"/>
          </w:tcPr>
          <w:p>
            <w:pPr>
              <w:jc w:val="center"/>
              <w:rPr>
                <w:rFonts w:ascii="宋体" w:hAnsi="宋体"/>
                <w:b/>
                <w:bCs/>
                <w:snapToGrid w:val="0"/>
                <w:szCs w:val="24"/>
              </w:rPr>
            </w:pPr>
            <w:r>
              <w:rPr>
                <w:rFonts w:hint="eastAsia" w:ascii="宋体" w:hAnsi="宋体" w:cs="宋体"/>
                <w:b/>
                <w:bCs/>
                <w:szCs w:val="21"/>
              </w:rPr>
              <w:t>参选人</w:t>
            </w:r>
          </w:p>
        </w:tc>
        <w:tc>
          <w:tcPr>
            <w:tcW w:w="779" w:type="pct"/>
            <w:vAlign w:val="center"/>
          </w:tcPr>
          <w:p>
            <w:pPr>
              <w:jc w:val="center"/>
              <w:rPr>
                <w:rFonts w:ascii="宋体" w:hAnsi="宋体" w:cs="宋体"/>
                <w:b/>
                <w:bCs/>
                <w:szCs w:val="21"/>
              </w:rPr>
            </w:pPr>
            <w:r>
              <w:rPr>
                <w:rFonts w:hint="eastAsia" w:ascii="宋体" w:hAnsi="宋体" w:cs="宋体"/>
                <w:b/>
                <w:bCs/>
                <w:szCs w:val="21"/>
              </w:rPr>
              <w:t>En</w:t>
            </w:r>
          </w:p>
          <w:p>
            <w:pPr>
              <w:jc w:val="center"/>
              <w:rPr>
                <w:rFonts w:ascii="宋体" w:hAnsi="宋体"/>
                <w:b/>
                <w:bCs/>
                <w:snapToGrid w:val="0"/>
                <w:szCs w:val="24"/>
              </w:rPr>
            </w:pPr>
            <w:r>
              <w:rPr>
                <w:rFonts w:hint="eastAsia" w:ascii="宋体" w:hAnsi="宋体" w:cs="宋体"/>
                <w:b/>
                <w:bCs/>
                <w:szCs w:val="21"/>
              </w:rPr>
              <w:t>（技术标得分）</w:t>
            </w:r>
          </w:p>
        </w:tc>
        <w:tc>
          <w:tcPr>
            <w:tcW w:w="780" w:type="pct"/>
            <w:vAlign w:val="center"/>
          </w:tcPr>
          <w:p>
            <w:pPr>
              <w:jc w:val="center"/>
              <w:rPr>
                <w:rFonts w:ascii="宋体" w:hAnsi="宋体" w:cs="宋体"/>
                <w:b/>
                <w:bCs/>
                <w:szCs w:val="21"/>
              </w:rPr>
            </w:pPr>
            <w:r>
              <w:rPr>
                <w:rFonts w:hint="eastAsia" w:ascii="宋体" w:hAnsi="宋体" w:cs="宋体"/>
                <w:b/>
                <w:bCs/>
                <w:szCs w:val="21"/>
              </w:rPr>
              <w:t>Fn</w:t>
            </w:r>
          </w:p>
          <w:p>
            <w:pPr>
              <w:jc w:val="center"/>
              <w:rPr>
                <w:rFonts w:ascii="宋体" w:hAnsi="宋体"/>
                <w:b/>
                <w:bCs/>
                <w:snapToGrid w:val="0"/>
                <w:szCs w:val="24"/>
              </w:rPr>
            </w:pPr>
            <w:r>
              <w:rPr>
                <w:rFonts w:hint="eastAsia" w:ascii="宋体" w:hAnsi="宋体" w:cs="宋体"/>
                <w:b/>
                <w:bCs/>
                <w:szCs w:val="21"/>
              </w:rPr>
              <w:t>（商务标得分）</w:t>
            </w:r>
          </w:p>
        </w:tc>
        <w:tc>
          <w:tcPr>
            <w:tcW w:w="748" w:type="pct"/>
            <w:vAlign w:val="center"/>
          </w:tcPr>
          <w:p>
            <w:pPr>
              <w:jc w:val="center"/>
              <w:rPr>
                <w:rFonts w:ascii="宋体" w:hAnsi="宋体" w:cs="宋体"/>
                <w:b/>
                <w:bCs/>
                <w:szCs w:val="21"/>
              </w:rPr>
            </w:pPr>
            <w:r>
              <w:rPr>
                <w:rFonts w:hint="eastAsia" w:ascii="宋体" w:hAnsi="宋体" w:cs="宋体"/>
                <w:b/>
                <w:bCs/>
                <w:szCs w:val="21"/>
              </w:rPr>
              <w:t>An</w:t>
            </w:r>
          </w:p>
          <w:p>
            <w:pPr>
              <w:jc w:val="center"/>
              <w:rPr>
                <w:rFonts w:ascii="宋体" w:hAnsi="宋体"/>
                <w:b/>
                <w:bCs/>
                <w:snapToGrid w:val="0"/>
                <w:szCs w:val="24"/>
              </w:rPr>
            </w:pPr>
            <w:r>
              <w:rPr>
                <w:rFonts w:hint="eastAsia" w:ascii="宋体" w:hAnsi="宋体" w:cs="宋体"/>
                <w:b/>
                <w:bCs/>
                <w:szCs w:val="21"/>
              </w:rPr>
              <w:t>（最终得分）</w:t>
            </w:r>
          </w:p>
        </w:tc>
        <w:tc>
          <w:tcPr>
            <w:tcW w:w="733" w:type="pct"/>
            <w:vAlign w:val="center"/>
          </w:tcPr>
          <w:p>
            <w:pPr>
              <w:jc w:val="center"/>
              <w:rPr>
                <w:rFonts w:ascii="宋体" w:hAnsi="宋体"/>
                <w:b/>
                <w:bCs/>
                <w:snapToGrid w:val="0"/>
                <w:szCs w:val="24"/>
              </w:rPr>
            </w:pPr>
            <w:r>
              <w:rPr>
                <w:rFonts w:hint="eastAsia" w:ascii="宋体" w:hAnsi="宋体"/>
                <w:b/>
                <w:bCs/>
                <w:snapToGrid w:val="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1</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restart"/>
            <w:vAlign w:val="center"/>
          </w:tcPr>
          <w:p>
            <w:pPr>
              <w:jc w:val="center"/>
              <w:rPr>
                <w:rFonts w:ascii="宋体" w:hAnsi="宋体"/>
                <w:bCs/>
                <w:snapToGrid w:val="0"/>
                <w:szCs w:val="24"/>
              </w:rPr>
            </w:pPr>
            <w:r>
              <w:rPr>
                <w:rFonts w:hint="eastAsia" w:ascii="宋体" w:hAnsi="宋体" w:cs="宋体"/>
                <w:szCs w:val="21"/>
              </w:rPr>
              <w:t>An=En+F</w:t>
            </w:r>
            <w:r>
              <w:rPr>
                <w:rFonts w:ascii="宋体" w:hAnsi="宋体" w:cs="宋体"/>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2</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continue"/>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3</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continue"/>
            <w:vAlign w:val="center"/>
          </w:tcPr>
          <w:p>
            <w:pPr>
              <w:jc w:val="center"/>
              <w:rPr>
                <w:rFonts w:ascii="宋体" w:hAnsi="宋体"/>
                <w:bCs/>
                <w:snapToGrid w:val="0"/>
                <w:szCs w:val="24"/>
              </w:rPr>
            </w:pPr>
          </w:p>
        </w:tc>
      </w:tr>
    </w:tbl>
    <w:p>
      <w:pPr>
        <w:jc w:val="left"/>
        <w:rPr>
          <w:rFonts w:ascii="宋体" w:hAnsi="宋体"/>
          <w:szCs w:val="24"/>
        </w:rPr>
      </w:pPr>
      <w:r>
        <w:rPr>
          <w:rFonts w:ascii="宋体" w:hAnsi="宋体"/>
          <w:szCs w:val="24"/>
        </w:rPr>
        <w:tab/>
      </w:r>
    </w:p>
    <w:p>
      <w:pPr>
        <w:jc w:val="left"/>
        <w:rPr>
          <w:rFonts w:ascii="宋体" w:hAnsi="宋体"/>
          <w:snapToGrid w:val="0"/>
          <w:szCs w:val="24"/>
        </w:rPr>
      </w:pPr>
      <w:r>
        <w:rPr>
          <w:rFonts w:hint="eastAsia" w:ascii="宋体" w:hAnsi="宋体"/>
          <w:snapToGrid w:val="0"/>
          <w:szCs w:val="24"/>
        </w:rPr>
        <w:t>说明：</w:t>
      </w:r>
      <w:r>
        <w:rPr>
          <w:rFonts w:hint="eastAsia" w:ascii="宋体" w:hAnsi="宋体"/>
          <w:szCs w:val="24"/>
        </w:rPr>
        <w:t>最终得分保留小数点后两位数字，且四舍五入。</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tcPr>
          <w:p>
            <w:pPr>
              <w:rPr>
                <w:rFonts w:ascii="宋体" w:hAnsi="宋体"/>
                <w:b/>
                <w:bCs/>
                <w:snapToGrid w:val="0"/>
                <w:szCs w:val="24"/>
              </w:rPr>
            </w:pPr>
            <w:r>
              <w:rPr>
                <w:rFonts w:hint="eastAsia" w:ascii="宋体" w:hAnsi="宋体"/>
                <w:b/>
                <w:bCs/>
                <w:snapToGrid w:val="0"/>
                <w:szCs w:val="24"/>
              </w:rPr>
              <w:t>评标委员会（签名）：</w:t>
            </w:r>
          </w:p>
        </w:tc>
        <w:tc>
          <w:tcPr>
            <w:tcW w:w="2500" w:type="pct"/>
            <w:vAlign w:val="center"/>
          </w:tcPr>
          <w:p>
            <w:pPr>
              <w:jc w:val="right"/>
              <w:rPr>
                <w:rFonts w:ascii="宋体" w:hAnsi="宋体"/>
                <w:b/>
                <w:bCs/>
                <w:snapToGrid w:val="0"/>
                <w:szCs w:val="24"/>
              </w:rPr>
            </w:pPr>
          </w:p>
        </w:tc>
      </w:tr>
      <w:tr>
        <w:tblPrEx>
          <w:tblCellMar>
            <w:top w:w="0" w:type="dxa"/>
            <w:left w:w="108" w:type="dxa"/>
            <w:bottom w:w="0" w:type="dxa"/>
            <w:right w:w="108" w:type="dxa"/>
          </w:tblCellMar>
        </w:tblPrEx>
        <w:tc>
          <w:tcPr>
            <w:tcW w:w="2500" w:type="pct"/>
          </w:tcPr>
          <w:p>
            <w:pPr>
              <w:rPr>
                <w:rFonts w:ascii="宋体" w:hAnsi="宋体"/>
                <w:b/>
                <w:bCs/>
                <w:snapToGrid w:val="0"/>
                <w:szCs w:val="24"/>
              </w:rPr>
            </w:pPr>
            <w:r>
              <w:rPr>
                <w:rFonts w:hint="eastAsia" w:ascii="宋体" w:hAnsi="宋体"/>
                <w:b/>
                <w:bCs/>
                <w:snapToGrid w:val="0"/>
                <w:szCs w:val="24"/>
              </w:rPr>
              <w:t>监督（签名）：</w:t>
            </w:r>
          </w:p>
        </w:tc>
        <w:tc>
          <w:tcPr>
            <w:tcW w:w="2500" w:type="pct"/>
            <w:vAlign w:val="bottom"/>
          </w:tcPr>
          <w:p>
            <w:pPr>
              <w:jc w:val="right"/>
              <w:rPr>
                <w:rFonts w:ascii="宋体" w:hAnsi="宋体"/>
                <w:b/>
                <w:snapToGrid w:val="0"/>
                <w:szCs w:val="24"/>
              </w:rPr>
            </w:pPr>
            <w:r>
              <w:rPr>
                <w:rFonts w:hint="eastAsia" w:ascii="宋体" w:hAnsi="宋体"/>
                <w:snapToGrid w:val="0"/>
                <w:szCs w:val="24"/>
              </w:rPr>
              <w:t>日期：     年     月     日</w:t>
            </w:r>
          </w:p>
        </w:tc>
      </w:tr>
    </w:tbl>
    <w:p>
      <w:pPr>
        <w:pStyle w:val="48"/>
        <w:spacing w:line="360" w:lineRule="auto"/>
        <w:ind w:left="0" w:leftChars="0" w:firstLine="0" w:firstLineChars="0"/>
      </w:pPr>
    </w:p>
    <w:p>
      <w:pPr>
        <w:pStyle w:val="48"/>
        <w:spacing w:line="360" w:lineRule="auto"/>
        <w:ind w:left="0" w:leftChars="0" w:firstLine="0" w:firstLineChars="0"/>
        <w:sectPr>
          <w:headerReference r:id="rId4" w:type="default"/>
          <w:pgSz w:w="16840" w:h="11907" w:orient="landscape"/>
          <w:pgMar w:top="1440" w:right="1440" w:bottom="1440" w:left="1440" w:header="720" w:footer="992" w:gutter="0"/>
          <w:cols w:space="720" w:num="1"/>
        </w:sectPr>
      </w:pPr>
    </w:p>
    <w:p>
      <w:pPr>
        <w:rPr>
          <w:rFonts w:ascii="宋体" w:hAnsi="宋体"/>
          <w:snapToGrid w:val="0"/>
          <w:szCs w:val="24"/>
        </w:rPr>
      </w:pPr>
      <w:r>
        <w:rPr>
          <w:rFonts w:hint="eastAsia" w:ascii="宋体" w:hAnsi="宋体"/>
          <w:snapToGrid w:val="0"/>
          <w:szCs w:val="24"/>
        </w:rPr>
        <w:t>附表</w:t>
      </w:r>
      <w:r>
        <w:rPr>
          <w:rFonts w:ascii="宋体" w:hAnsi="宋体"/>
          <w:snapToGrid w:val="0"/>
          <w:szCs w:val="24"/>
        </w:rPr>
        <w:t>9</w:t>
      </w:r>
    </w:p>
    <w:p>
      <w:pPr>
        <w:jc w:val="center"/>
        <w:rPr>
          <w:rFonts w:hint="eastAsia" w:ascii="宋体" w:hAnsi="宋体"/>
          <w:b/>
          <w:snapToGrid w:val="0"/>
          <w:sz w:val="28"/>
          <w:szCs w:val="24"/>
        </w:rPr>
      </w:pPr>
      <w:r>
        <w:rPr>
          <w:rFonts w:hint="eastAsia" w:ascii="宋体" w:hAnsi="宋体"/>
          <w:b/>
          <w:snapToGrid w:val="0"/>
          <w:sz w:val="28"/>
          <w:szCs w:val="24"/>
        </w:rPr>
        <w:t>参选人最终得分排序表</w:t>
      </w:r>
    </w:p>
    <w:p>
      <w:pPr>
        <w:pStyle w:val="2"/>
      </w:pPr>
    </w:p>
    <w:p>
      <w:pPr>
        <w:jc w:val="left"/>
        <w:rPr>
          <w:rFonts w:hint="eastAsia" w:hAnsi="宋体"/>
          <w:b/>
          <w:bCs/>
          <w:sz w:val="24"/>
          <w:szCs w:val="24"/>
          <w:u w:val="single"/>
          <w:lang w:eastAsia="zh-Hans"/>
        </w:rPr>
      </w:pPr>
      <w:r>
        <w:rPr>
          <w:rFonts w:hint="eastAsia" w:ascii="宋体" w:hAnsi="宋体"/>
          <w:b/>
          <w:bCs/>
          <w:snapToGrid w:val="0"/>
          <w:szCs w:val="24"/>
        </w:rPr>
        <w:t>比选项目名称：</w:t>
      </w:r>
      <w:r>
        <w:rPr>
          <w:rFonts w:hint="eastAsia" w:hAnsi="宋体"/>
          <w:b/>
          <w:bCs/>
          <w:sz w:val="24"/>
          <w:szCs w:val="24"/>
          <w:u w:val="single"/>
        </w:rPr>
        <w:t>深铁集团房地产开发企业一级资质</w:t>
      </w:r>
      <w:r>
        <w:rPr>
          <w:rFonts w:hint="eastAsia" w:hAnsi="宋体"/>
          <w:b/>
          <w:bCs/>
          <w:sz w:val="24"/>
          <w:szCs w:val="24"/>
          <w:u w:val="single"/>
          <w:lang w:eastAsia="zh-Hans"/>
        </w:rPr>
        <w:t>申报服务</w:t>
      </w:r>
    </w:p>
    <w:p>
      <w:pPr>
        <w:jc w:val="left"/>
        <w:rPr>
          <w:rFonts w:ascii="宋体" w:hAnsi="宋体"/>
          <w:b/>
          <w:bCs/>
          <w:snapToGrid w:val="0"/>
          <w:szCs w:val="24"/>
        </w:rPr>
      </w:pP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3228"/>
        <w:gridCol w:w="1078"/>
        <w:gridCol w:w="1076"/>
        <w:gridCol w:w="3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0" w:type="pct"/>
            <w:vAlign w:val="center"/>
          </w:tcPr>
          <w:p>
            <w:pPr>
              <w:jc w:val="center"/>
              <w:rPr>
                <w:rFonts w:ascii="宋体" w:hAnsi="宋体"/>
                <w:b/>
                <w:szCs w:val="24"/>
              </w:rPr>
            </w:pPr>
            <w:r>
              <w:rPr>
                <w:rFonts w:hint="eastAsia" w:ascii="宋体" w:hAnsi="宋体"/>
                <w:b/>
                <w:szCs w:val="24"/>
              </w:rPr>
              <w:t>序号</w:t>
            </w:r>
          </w:p>
        </w:tc>
        <w:tc>
          <w:tcPr>
            <w:tcW w:w="1746" w:type="pct"/>
            <w:vAlign w:val="center"/>
          </w:tcPr>
          <w:p>
            <w:pPr>
              <w:jc w:val="center"/>
              <w:rPr>
                <w:rFonts w:ascii="宋体" w:hAnsi="宋体"/>
                <w:b/>
                <w:szCs w:val="24"/>
              </w:rPr>
            </w:pPr>
            <w:r>
              <w:rPr>
                <w:rFonts w:hint="eastAsia" w:ascii="宋体" w:hAnsi="宋体"/>
                <w:b/>
                <w:szCs w:val="24"/>
              </w:rPr>
              <w:t>参选人</w:t>
            </w:r>
          </w:p>
        </w:tc>
        <w:tc>
          <w:tcPr>
            <w:tcW w:w="582" w:type="pct"/>
            <w:vAlign w:val="center"/>
          </w:tcPr>
          <w:p>
            <w:pPr>
              <w:jc w:val="center"/>
              <w:rPr>
                <w:rFonts w:ascii="宋体" w:hAnsi="宋体"/>
                <w:b/>
                <w:szCs w:val="24"/>
              </w:rPr>
            </w:pPr>
            <w:r>
              <w:rPr>
                <w:rFonts w:hint="eastAsia" w:ascii="宋体" w:hAnsi="宋体"/>
                <w:b/>
                <w:szCs w:val="24"/>
              </w:rPr>
              <w:t>排名</w:t>
            </w:r>
          </w:p>
        </w:tc>
        <w:tc>
          <w:tcPr>
            <w:tcW w:w="582" w:type="pct"/>
            <w:vAlign w:val="center"/>
          </w:tcPr>
          <w:p>
            <w:pPr>
              <w:jc w:val="center"/>
              <w:rPr>
                <w:rFonts w:ascii="宋体" w:hAnsi="宋体"/>
                <w:b/>
                <w:szCs w:val="24"/>
              </w:rPr>
            </w:pPr>
            <w:r>
              <w:rPr>
                <w:rFonts w:hint="eastAsia" w:ascii="宋体" w:hAnsi="宋体" w:cs="宋体"/>
                <w:b/>
                <w:bCs/>
                <w:szCs w:val="21"/>
              </w:rPr>
              <w:t>An得分</w:t>
            </w:r>
          </w:p>
        </w:tc>
        <w:tc>
          <w:tcPr>
            <w:tcW w:w="1728" w:type="pct"/>
            <w:vAlign w:val="center"/>
          </w:tcPr>
          <w:p>
            <w:pPr>
              <w:jc w:val="center"/>
              <w:rPr>
                <w:rFonts w:ascii="宋体" w:hAnsi="宋体"/>
                <w:b/>
                <w:szCs w:val="24"/>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360" w:type="pct"/>
            <w:vAlign w:val="center"/>
          </w:tcPr>
          <w:p>
            <w:pPr>
              <w:jc w:val="center"/>
              <w:rPr>
                <w:rFonts w:ascii="宋体" w:hAnsi="宋体"/>
                <w:szCs w:val="24"/>
              </w:rPr>
            </w:pPr>
            <w:r>
              <w:rPr>
                <w:rFonts w:hint="eastAsia" w:ascii="宋体" w:hAnsi="宋体"/>
                <w:szCs w:val="24"/>
              </w:rPr>
              <w:t>1</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8" w:type="pct"/>
            <w:vMerge w:val="restart"/>
            <w:vAlign w:val="center"/>
          </w:tcPr>
          <w:p>
            <w:pPr>
              <w:spacing w:line="276" w:lineRule="auto"/>
              <w:rPr>
                <w:rFonts w:ascii="宋体" w:hAnsi="宋体"/>
                <w:szCs w:val="21"/>
              </w:rPr>
            </w:pPr>
            <w:r>
              <w:rPr>
                <w:rFonts w:hint="eastAsia" w:ascii="宋体" w:hAnsi="宋体"/>
                <w:szCs w:val="21"/>
              </w:rPr>
              <w:t>按照参选人的最终得分值由高到低排列名次，推荐排名第一的参选人为中选候选人。若出现综合得分相同的情形，以技术标得分高者排在先；若技术标得分相同的（以保留小数点后两位且四舍五入为准），以商务标报价低者排在先；若报价相同的，以抽签的形式确定中选候选人。最终，评标委员会推荐一名中选候选人，并形成评标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0" w:type="pct"/>
            <w:vAlign w:val="center"/>
          </w:tcPr>
          <w:p>
            <w:pPr>
              <w:jc w:val="center"/>
              <w:rPr>
                <w:rFonts w:ascii="宋体" w:hAnsi="宋体"/>
                <w:szCs w:val="24"/>
              </w:rPr>
            </w:pPr>
            <w:r>
              <w:rPr>
                <w:rFonts w:hint="eastAsia" w:ascii="宋体" w:hAnsi="宋体"/>
                <w:szCs w:val="24"/>
              </w:rPr>
              <w:t>2</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8" w:type="pct"/>
            <w:vMerge w:val="continue"/>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0" w:type="pct"/>
            <w:vAlign w:val="center"/>
          </w:tcPr>
          <w:p>
            <w:pPr>
              <w:jc w:val="center"/>
              <w:rPr>
                <w:rFonts w:ascii="宋体" w:hAnsi="宋体"/>
                <w:szCs w:val="24"/>
              </w:rPr>
            </w:pPr>
            <w:r>
              <w:rPr>
                <w:rFonts w:hint="eastAsia" w:ascii="宋体" w:hAnsi="宋体"/>
                <w:szCs w:val="24"/>
              </w:rPr>
              <w:t>3</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8" w:type="pct"/>
            <w:vMerge w:val="continue"/>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89" w:type="pct"/>
            <w:gridSpan w:val="3"/>
            <w:tcBorders>
              <w:top w:val="single" w:color="auto" w:sz="4" w:space="0"/>
              <w:left w:val="nil"/>
              <w:bottom w:val="nil"/>
              <w:right w:val="nil"/>
            </w:tcBorders>
            <w:vAlign w:val="center"/>
          </w:tcPr>
          <w:p>
            <w:pPr>
              <w:rPr>
                <w:rFonts w:ascii="宋体" w:hAnsi="宋体"/>
                <w:b/>
                <w:bCs/>
                <w:snapToGrid w:val="0"/>
                <w:szCs w:val="24"/>
              </w:rPr>
            </w:pPr>
            <w:r>
              <w:rPr>
                <w:rFonts w:hint="eastAsia" w:ascii="宋体" w:hAnsi="宋体"/>
                <w:b/>
                <w:bCs/>
                <w:snapToGrid w:val="0"/>
                <w:szCs w:val="24"/>
              </w:rPr>
              <w:t>评标委员会（签名）：</w:t>
            </w:r>
          </w:p>
          <w:p>
            <w:pPr>
              <w:rPr>
                <w:rFonts w:ascii="宋体" w:hAnsi="宋体"/>
                <w:szCs w:val="24"/>
              </w:rPr>
            </w:pPr>
            <w:r>
              <w:rPr>
                <w:rFonts w:hint="eastAsia" w:ascii="宋体" w:hAnsi="宋体"/>
                <w:b/>
                <w:bCs/>
                <w:snapToGrid w:val="0"/>
                <w:szCs w:val="24"/>
              </w:rPr>
              <w:t>监督（签名）：</w:t>
            </w:r>
          </w:p>
        </w:tc>
        <w:tc>
          <w:tcPr>
            <w:tcW w:w="2310" w:type="pct"/>
            <w:gridSpan w:val="2"/>
            <w:tcBorders>
              <w:top w:val="single" w:color="auto" w:sz="4" w:space="0"/>
              <w:left w:val="nil"/>
              <w:bottom w:val="nil"/>
              <w:right w:val="nil"/>
            </w:tcBorders>
            <w:vAlign w:val="bottom"/>
          </w:tcPr>
          <w:p>
            <w:pPr>
              <w:jc w:val="right"/>
              <w:rPr>
                <w:rFonts w:ascii="宋体" w:hAnsi="宋体"/>
                <w:szCs w:val="24"/>
              </w:rPr>
            </w:pPr>
            <w:r>
              <w:rPr>
                <w:rFonts w:hint="eastAsia" w:ascii="宋体" w:hAnsi="宋体"/>
                <w:snapToGrid w:val="0"/>
                <w:szCs w:val="24"/>
              </w:rPr>
              <w:t>日期：     年     月     日</w:t>
            </w:r>
          </w:p>
        </w:tc>
      </w:tr>
    </w:tbl>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widowControl/>
        <w:spacing w:line="360" w:lineRule="auto"/>
        <w:jc w:val="left"/>
        <w:rPr>
          <w:rFonts w:ascii="宋体" w:hAnsi="宋体" w:cs="宋体"/>
          <w:b/>
          <w:sz w:val="24"/>
          <w:szCs w:val="24"/>
        </w:rPr>
      </w:pPr>
      <w:bookmarkStart w:id="108" w:name="_Toc518494147"/>
      <w:bookmarkStart w:id="109" w:name="_Toc57731985"/>
      <w:r>
        <w:rPr>
          <w:rFonts w:hint="eastAsia" w:ascii="宋体" w:hAnsi="宋体" w:cs="宋体"/>
          <w:b/>
          <w:sz w:val="24"/>
          <w:szCs w:val="24"/>
        </w:rPr>
        <w:t>附件10（此表由评委或参选人填写）</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spacing w:line="360" w:lineRule="auto"/>
        <w:rPr>
          <w:rFonts w:ascii="宋体" w:hAnsi="宋体"/>
          <w:b/>
          <w:bCs/>
          <w:snapToGrid w:val="0"/>
          <w:sz w:val="24"/>
          <w:szCs w:val="24"/>
        </w:rPr>
      </w:pPr>
    </w:p>
    <w:p>
      <w:pPr>
        <w:widowControl/>
        <w:spacing w:line="360" w:lineRule="auto"/>
        <w:jc w:val="left"/>
        <w:rPr>
          <w:rFonts w:hAnsi="宋体"/>
          <w:b/>
          <w:bCs/>
          <w:sz w:val="24"/>
          <w:szCs w:val="24"/>
          <w:u w:val="single"/>
        </w:rPr>
      </w:pPr>
      <w:r>
        <w:rPr>
          <w:rFonts w:hint="eastAsia" w:ascii="宋体" w:hAnsi="宋体"/>
          <w:sz w:val="24"/>
          <w:szCs w:val="24"/>
        </w:rPr>
        <w:t>项目名称：</w:t>
      </w:r>
      <w:r>
        <w:rPr>
          <w:rFonts w:hint="eastAsia" w:hAnsi="宋体"/>
          <w:b/>
          <w:bCs/>
          <w:sz w:val="24"/>
          <w:szCs w:val="24"/>
          <w:u w:val="single"/>
        </w:rPr>
        <w:t>深铁集团房地产开发企业一级资质申报服务</w:t>
      </w:r>
    </w:p>
    <w:p>
      <w:pPr>
        <w:spacing w:line="360" w:lineRule="auto"/>
        <w:jc w:val="left"/>
        <w:rPr>
          <w:rFonts w:ascii="宋体" w:hAnsi="宋体"/>
          <w:sz w:val="24"/>
          <w:szCs w:val="24"/>
        </w:rPr>
      </w:pPr>
      <w:r>
        <w:rPr>
          <w:rFonts w:hint="eastAsia" w:ascii="宋体" w:hAnsi="宋体"/>
          <w:sz w:val="24"/>
          <w:szCs w:val="24"/>
        </w:rPr>
        <w:t>日期：2022年  月  日</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需要说明的</w:t>
            </w:r>
          </w:p>
          <w:p>
            <w:pPr>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评委签字</w:t>
            </w:r>
          </w:p>
          <w:p>
            <w:pPr>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bl>
    <w:p>
      <w:pPr>
        <w:spacing w:line="360" w:lineRule="auto"/>
        <w:rPr>
          <w:rFonts w:ascii="宋体" w:hAnsi="宋体"/>
          <w:sz w:val="24"/>
          <w:szCs w:val="24"/>
        </w:rPr>
      </w:pPr>
    </w:p>
    <w:p>
      <w:pPr>
        <w:pStyle w:val="3"/>
        <w:spacing w:line="360" w:lineRule="auto"/>
        <w:rPr>
          <w:rFonts w:ascii="宋体" w:hAnsi="宋体"/>
          <w:b w:val="0"/>
          <w:sz w:val="44"/>
          <w:szCs w:val="44"/>
        </w:rPr>
      </w:pPr>
      <w:r>
        <w:rPr>
          <w:rFonts w:hint="eastAsia" w:ascii="宋体" w:hAnsi="宋体"/>
          <w:b w:val="0"/>
          <w:sz w:val="44"/>
          <w:szCs w:val="44"/>
        </w:rPr>
        <w:t>第二篇  参选文件格式</w:t>
      </w:r>
      <w:bookmarkEnd w:id="108"/>
      <w:bookmarkEnd w:id="109"/>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5"/>
        <w:spacing w:before="1440" w:beforeLines="600" w:line="360" w:lineRule="auto"/>
        <w:jc w:val="center"/>
        <w:rPr>
          <w:rFonts w:hAnsi="宋体"/>
          <w:b/>
          <w:color w:val="0D0D0D"/>
          <w:sz w:val="44"/>
          <w:szCs w:val="44"/>
        </w:rPr>
      </w:pPr>
      <w:r>
        <w:rPr>
          <w:rFonts w:hint="eastAsia" w:hAnsi="宋体"/>
          <w:b/>
          <w:color w:val="0D0D0D"/>
          <w:sz w:val="44"/>
          <w:szCs w:val="44"/>
        </w:rPr>
        <w:t>深铁集团房地产开发企业一级资质申报服务</w:t>
      </w:r>
    </w:p>
    <w:p>
      <w:pPr>
        <w:pStyle w:val="25"/>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5"/>
        <w:spacing w:line="360" w:lineRule="auto"/>
        <w:jc w:val="center"/>
        <w:rPr>
          <w:rFonts w:hAnsi="宋体"/>
          <w:b/>
          <w:color w:val="0D0D0D"/>
          <w:sz w:val="44"/>
          <w:szCs w:val="44"/>
        </w:rPr>
      </w:pPr>
      <w:r>
        <w:rPr>
          <w:rFonts w:hint="eastAsia" w:hAnsi="宋体"/>
          <w:b/>
          <w:color w:val="0D0D0D"/>
          <w:sz w:val="44"/>
          <w:szCs w:val="44"/>
        </w:rPr>
        <w:t>（</w:t>
      </w:r>
      <w:bookmarkStart w:id="110" w:name="_Toc92971375"/>
      <w:r>
        <w:rPr>
          <w:rFonts w:hint="eastAsia" w:hAnsi="宋体"/>
          <w:b/>
          <w:color w:val="0D0D0D"/>
          <w:sz w:val="44"/>
          <w:szCs w:val="44"/>
        </w:rPr>
        <w:t>技术标书</w:t>
      </w:r>
      <w:bookmarkEnd w:id="110"/>
      <w:r>
        <w:rPr>
          <w:rFonts w:hAnsi="宋体"/>
          <w:b/>
          <w:color w:val="0D0D0D"/>
          <w:sz w:val="44"/>
          <w:szCs w:val="44"/>
        </w:rPr>
        <w:t>）</w:t>
      </w:r>
    </w:p>
    <w:p>
      <w:pPr>
        <w:pStyle w:val="25"/>
        <w:spacing w:line="360" w:lineRule="auto"/>
        <w:rPr>
          <w:rFonts w:hAnsi="宋体"/>
          <w:color w:val="0D0D0D"/>
          <w:sz w:val="23"/>
          <w:szCs w:val="23"/>
        </w:rPr>
      </w:pPr>
    </w:p>
    <w:p>
      <w:pPr>
        <w:jc w:val="center"/>
        <w:rPr>
          <w:rFonts w:ascii="黑体" w:hAnsi="黑体" w:eastAsia="黑体"/>
          <w:sz w:val="84"/>
          <w:szCs w:val="84"/>
        </w:rPr>
      </w:pPr>
    </w:p>
    <w:p>
      <w:pPr>
        <w:ind w:left="420" w:leftChars="200" w:firstLine="482"/>
        <w:rPr>
          <w:bCs/>
          <w:sz w:val="24"/>
          <w:szCs w:val="24"/>
        </w:rPr>
      </w:pPr>
      <w:r>
        <w:rPr>
          <w:rFonts w:hint="eastAsia"/>
          <w:bCs/>
          <w:sz w:val="24"/>
          <w:szCs w:val="24"/>
        </w:rPr>
        <w:t>参选</w:t>
      </w:r>
      <w:r>
        <w:rPr>
          <w:bCs/>
          <w:sz w:val="24"/>
          <w:szCs w:val="24"/>
        </w:rPr>
        <w:t>人声明：</w:t>
      </w:r>
    </w:p>
    <w:p>
      <w:pPr>
        <w:ind w:left="420" w:leftChars="200" w:firstLine="482"/>
        <w:rPr>
          <w:bCs/>
          <w:sz w:val="24"/>
          <w:szCs w:val="24"/>
        </w:rPr>
      </w:pPr>
      <w:r>
        <w:rPr>
          <w:bCs/>
          <w:sz w:val="24"/>
          <w:szCs w:val="24"/>
        </w:rPr>
        <w:t>我司（单位）对本标书所提供文件的真实性、准确性、有效性负全部责任。</w:t>
      </w:r>
    </w:p>
    <w:p>
      <w:pPr>
        <w:pStyle w:val="25"/>
        <w:spacing w:before="360" w:beforeLines="150" w:after="360" w:afterLines="150" w:line="360" w:lineRule="auto"/>
        <w:rPr>
          <w:rFonts w:hAnsi="宋体"/>
          <w:b/>
          <w:bCs/>
          <w:color w:val="0D0D0D"/>
          <w:sz w:val="28"/>
          <w:szCs w:val="28"/>
        </w:rPr>
      </w:pP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spacing w:line="360" w:lineRule="auto"/>
        <w:jc w:val="right"/>
        <w:rPr>
          <w:sz w:val="28"/>
          <w:szCs w:val="28"/>
        </w:rPr>
      </w:pPr>
      <w:r>
        <w:rPr>
          <w:sz w:val="28"/>
          <w:szCs w:val="28"/>
        </w:rPr>
        <w:t>（本页须独立成页）</w:t>
      </w:r>
    </w:p>
    <w:p>
      <w:pPr>
        <w:jc w:val="left"/>
        <w:rPr>
          <w:sz w:val="28"/>
          <w:szCs w:val="28"/>
        </w:rPr>
      </w:pPr>
      <w:r>
        <w:rPr>
          <w:sz w:val="28"/>
          <w:szCs w:val="28"/>
        </w:rPr>
        <w:br w:type="page"/>
      </w:r>
    </w:p>
    <w:p>
      <w:pPr>
        <w:spacing w:line="360" w:lineRule="auto"/>
        <w:jc w:val="center"/>
        <w:rPr>
          <w:sz w:val="28"/>
          <w:szCs w:val="28"/>
        </w:rPr>
      </w:pPr>
    </w:p>
    <w:p>
      <w:pPr>
        <w:spacing w:line="360" w:lineRule="auto"/>
        <w:jc w:val="center"/>
        <w:rPr>
          <w:rFonts w:ascii="宋体" w:hAnsi="宋体"/>
          <w:b/>
          <w:bCs/>
          <w:color w:val="0D0D0D"/>
          <w:sz w:val="28"/>
          <w:szCs w:val="28"/>
        </w:rPr>
      </w:pPr>
    </w:p>
    <w:p>
      <w:pPr>
        <w:spacing w:line="360" w:lineRule="auto"/>
        <w:jc w:val="center"/>
        <w:rPr>
          <w:rFonts w:ascii="宋体" w:hAnsi="宋体"/>
          <w:color w:val="0D0D0D"/>
        </w:rPr>
      </w:pPr>
      <w:bookmarkStart w:id="111" w:name="_Toc19191474"/>
      <w:r>
        <w:rPr>
          <w:rFonts w:hint="eastAsia" w:ascii="宋体" w:hAnsi="宋体"/>
          <w:color w:val="0D0D0D"/>
          <w:sz w:val="52"/>
          <w:szCs w:val="52"/>
          <w:u w:val="single"/>
        </w:rPr>
        <w:t>技术标书目录</w:t>
      </w:r>
      <w:bookmarkEnd w:id="111"/>
    </w:p>
    <w:p>
      <w:pPr>
        <w:pStyle w:val="119"/>
        <w:numPr>
          <w:ilvl w:val="0"/>
          <w:numId w:val="8"/>
        </w:numPr>
        <w:spacing w:before="50" w:line="360" w:lineRule="auto"/>
        <w:ind w:hanging="652"/>
        <w:rPr>
          <w:rFonts w:ascii="Times New Roman" w:cs="Times New Roman"/>
          <w:b/>
          <w:color w:val="0D0D0D"/>
          <w:szCs w:val="28"/>
        </w:rPr>
      </w:pPr>
      <w:r>
        <w:rPr>
          <w:rFonts w:hint="eastAsia" w:ascii="Times New Roman" w:cs="Times New Roman"/>
          <w:b/>
          <w:color w:val="0D0D0D"/>
          <w:szCs w:val="28"/>
        </w:rPr>
        <w:t>参选人营业执照复印件（加盖公章）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二、法定代表人资格证明书原件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三、法定代表人身份证复印件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四、法定代表人授权委托书原件</w:t>
      </w:r>
      <w:r>
        <w:rPr>
          <w:rFonts w:ascii="Times New Roman" w:cs="Times New Roman"/>
          <w:b/>
          <w:color w:val="0D0D0D"/>
          <w:szCs w:val="28"/>
        </w:rPr>
        <w:t>（加盖公章）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五、被授权人身份证复印件（加盖公章）</w:t>
      </w:r>
    </w:p>
    <w:p>
      <w:pPr>
        <w:pStyle w:val="119"/>
        <w:spacing w:before="50" w:line="360" w:lineRule="auto"/>
        <w:ind w:firstLine="471" w:firstLineChars="196"/>
        <w:rPr>
          <w:rFonts w:ascii="Times New Roman" w:cs="Times New Roman"/>
          <w:b/>
          <w:color w:val="0D0D0D"/>
          <w:szCs w:val="28"/>
        </w:rPr>
      </w:pPr>
      <w:r>
        <w:rPr>
          <w:rFonts w:hint="eastAsia" w:ascii="Times New Roman" w:cs="Times New Roman"/>
          <w:b/>
          <w:color w:val="0D0D0D"/>
          <w:szCs w:val="28"/>
        </w:rPr>
        <w:t>六、资格审查所需证明材料：（清晰的复印件，加盖公章）</w:t>
      </w:r>
    </w:p>
    <w:p>
      <w:pPr>
        <w:adjustRightInd w:val="0"/>
        <w:snapToGrid w:val="0"/>
        <w:spacing w:line="360" w:lineRule="auto"/>
        <w:ind w:firstLine="420" w:firstLineChars="200"/>
        <w:rPr>
          <w:rFonts w:ascii="宋体" w:hAnsi="宋体"/>
          <w:bCs/>
          <w:szCs w:val="24"/>
        </w:rPr>
      </w:pPr>
      <w:r>
        <w:rPr>
          <w:rFonts w:hint="eastAsia" w:ascii="宋体" w:hAnsi="宋体"/>
          <w:bCs/>
          <w:szCs w:val="24"/>
        </w:rPr>
        <w:t>①参选单位必须是在中华人民共和国境内依法注册的具备法人资格的企业,需于2019年</w:t>
      </w:r>
      <w:r>
        <w:rPr>
          <w:rFonts w:hint="eastAsia" w:ascii="宋体" w:hAnsi="宋体"/>
          <w:bCs/>
          <w:szCs w:val="24"/>
          <w:lang w:val="en-US" w:eastAsia="zh-CN"/>
        </w:rPr>
        <w:t>7</w:t>
      </w:r>
      <w:r>
        <w:rPr>
          <w:rFonts w:hint="eastAsia" w:ascii="宋体" w:hAnsi="宋体"/>
          <w:bCs/>
          <w:szCs w:val="24"/>
        </w:rPr>
        <w:t>月1日之前成立。</w:t>
      </w:r>
    </w:p>
    <w:p>
      <w:pPr>
        <w:adjustRightInd w:val="0"/>
        <w:snapToGrid w:val="0"/>
        <w:spacing w:line="360" w:lineRule="auto"/>
        <w:ind w:firstLine="420" w:firstLineChars="200"/>
        <w:rPr>
          <w:rFonts w:hint="eastAsia" w:ascii="宋体" w:hAnsi="宋体"/>
          <w:bCs/>
          <w:szCs w:val="24"/>
        </w:rPr>
      </w:pPr>
      <w:r>
        <w:rPr>
          <w:rFonts w:hint="eastAsia" w:ascii="宋体" w:hAnsi="宋体"/>
          <w:bCs/>
          <w:szCs w:val="24"/>
        </w:rPr>
        <w:t>②</w:t>
      </w:r>
      <w:r>
        <w:rPr>
          <w:rFonts w:hint="eastAsia" w:ascii="宋体" w:hAnsi="宋体" w:eastAsia="宋体" w:cs="Times New Roman"/>
          <w:bCs/>
          <w:color w:val="auto"/>
          <w:szCs w:val="24"/>
        </w:rPr>
        <w:t>提供2019年</w:t>
      </w:r>
      <w:r>
        <w:rPr>
          <w:rFonts w:hint="eastAsia" w:ascii="宋体" w:hAnsi="宋体" w:cs="Times New Roman"/>
          <w:bCs/>
          <w:color w:val="auto"/>
          <w:szCs w:val="24"/>
          <w:lang w:val="en-US" w:eastAsia="zh-CN"/>
        </w:rPr>
        <w:t>7</w:t>
      </w:r>
      <w:r>
        <w:rPr>
          <w:rFonts w:hint="eastAsia" w:ascii="宋体" w:hAnsi="宋体" w:eastAsia="宋体" w:cs="Times New Roman"/>
          <w:bCs/>
          <w:color w:val="auto"/>
          <w:szCs w:val="24"/>
        </w:rPr>
        <w:t>月1日之后，深圳市房地产开发企业一级资质办理成功案例一个，提供合同关键页及一级资质办理成功相关证明复印件（时间以合同签订时间为准，复印件加盖公章，原件备查）</w:t>
      </w:r>
      <w:r>
        <w:rPr>
          <w:rFonts w:hint="eastAsia" w:ascii="宋体" w:hAnsi="宋体" w:cs="Times New Roman"/>
          <w:bCs/>
          <w:szCs w:val="24"/>
          <w:lang w:eastAsia="zh-CN"/>
        </w:rPr>
        <w:t>。</w:t>
      </w:r>
    </w:p>
    <w:p>
      <w:pPr>
        <w:adjustRightInd w:val="0"/>
        <w:snapToGrid w:val="0"/>
        <w:spacing w:line="360" w:lineRule="auto"/>
        <w:rPr>
          <w:bCs/>
          <w:szCs w:val="32"/>
        </w:rPr>
      </w:pPr>
      <w:r>
        <w:rPr>
          <w:bCs/>
          <w:szCs w:val="32"/>
        </w:rPr>
        <w:t>特别说明：</w:t>
      </w:r>
    </w:p>
    <w:p>
      <w:pPr>
        <w:adjustRightInd w:val="0"/>
        <w:snapToGrid w:val="0"/>
        <w:spacing w:line="360" w:lineRule="auto"/>
        <w:rPr>
          <w:rFonts w:ascii="宋体" w:hAnsi="宋体" w:cs="宋体"/>
          <w:bCs/>
          <w:szCs w:val="32"/>
        </w:rPr>
      </w:pPr>
      <w:r>
        <w:rPr>
          <w:rFonts w:hint="eastAsia" w:ascii="宋体" w:hAnsi="宋体" w:cs="宋体"/>
          <w:bCs/>
          <w:szCs w:val="32"/>
        </w:rPr>
        <w:t>项目资料真实性及业绩由参选人负责核实，以上提供的证书（证件等）必须在有效期内，并加盖公章。若比选人查实上述信息不真实，参选人将负全责，比选人有权按照</w:t>
      </w:r>
      <w:r>
        <w:rPr>
          <w:rFonts w:eastAsia="Times New Roman"/>
          <w:bCs/>
          <w:szCs w:val="32"/>
        </w:rPr>
        <w:t>“</w:t>
      </w:r>
      <w:r>
        <w:rPr>
          <w:rFonts w:hint="eastAsia" w:ascii="宋体" w:hAnsi="宋体" w:cs="宋体"/>
          <w:bCs/>
          <w:szCs w:val="32"/>
        </w:rPr>
        <w:t>不利于参选人</w:t>
      </w:r>
      <w:r>
        <w:rPr>
          <w:rFonts w:eastAsia="Times New Roman"/>
          <w:bCs/>
          <w:szCs w:val="32"/>
        </w:rPr>
        <w:t>”</w:t>
      </w:r>
      <w:r>
        <w:rPr>
          <w:rFonts w:hint="eastAsia" w:ascii="宋体" w:hAnsi="宋体" w:cs="宋体"/>
          <w:bCs/>
          <w:szCs w:val="32"/>
        </w:rPr>
        <w:t>的原则处理。</w:t>
      </w:r>
    </w:p>
    <w:p>
      <w:pPr>
        <w:pStyle w:val="119"/>
        <w:spacing w:before="50" w:line="360" w:lineRule="auto"/>
        <w:ind w:firstLine="471" w:firstLineChars="196"/>
        <w:rPr>
          <w:b/>
          <w:color w:val="0D0D0D"/>
          <w:szCs w:val="28"/>
        </w:rPr>
      </w:pPr>
      <w:r>
        <w:rPr>
          <w:rFonts w:hint="eastAsia" w:ascii="Times New Roman" w:hAnsi="宋体" w:cs="Times New Roman"/>
          <w:b/>
          <w:bCs/>
          <w:color w:val="0D0D0D"/>
          <w:szCs w:val="28"/>
        </w:rPr>
        <w:t>七、技术标评审所需证明材料</w:t>
      </w:r>
      <w:r>
        <w:rPr>
          <w:rFonts w:hint="eastAsia" w:ascii="Times New Roman" w:cs="Times New Roman"/>
          <w:b/>
          <w:color w:val="0D0D0D"/>
          <w:szCs w:val="28"/>
        </w:rPr>
        <w:t>（清晰的复印件，加盖公章）</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①需提供能证明公司注册资金的市场监督局网站工商信息查询页，并加盖参选单位公章；</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②提供参选单位自2019年1月1日之后，深圳市房地产开发企业一级资质办理成功案例，以上案例均需提供服务合同关键页（包括工作内容、签约时间、合同签署页）及一级资质办理成功相关证明复印件，时间以合同签约时间为准；</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③需提供营业执照或办公场地租赁合同或房屋所有证或其它物管单位证明文件的复印件，并加盖参选单位公章；</w:t>
      </w:r>
    </w:p>
    <w:p>
      <w:pPr>
        <w:pStyle w:val="21"/>
        <w:rPr>
          <w:highlight w:val="none"/>
        </w:rPr>
      </w:pPr>
      <w:r>
        <w:rPr>
          <w:rFonts w:hint="eastAsia" w:ascii="宋体" w:hAnsi="宋体"/>
          <w:color w:val="0D0D0D"/>
          <w:sz w:val="24"/>
          <w:szCs w:val="24"/>
          <w:highlight w:val="none"/>
        </w:rPr>
        <w:t xml:space="preserve">    ④提供申报方案，整体方案详尽细致，重点关注对资质办理中疑难点问题的解决能力，并突出方案亮点。</w:t>
      </w:r>
    </w:p>
    <w:p>
      <w:pPr>
        <w:pStyle w:val="5"/>
        <w:spacing w:line="360" w:lineRule="auto"/>
        <w:ind w:left="0" w:firstLine="0"/>
        <w:rPr>
          <w:rFonts w:ascii="宋体" w:hAnsi="宋体"/>
          <w:color w:val="0D0D0D"/>
          <w:sz w:val="24"/>
        </w:rPr>
      </w:pPr>
      <w:bookmarkStart w:id="112" w:name="_Toc53991862"/>
      <w:r>
        <w:rPr>
          <w:rFonts w:hint="eastAsia" w:ascii="宋体" w:hAnsi="宋体"/>
          <w:color w:val="0D0D0D"/>
          <w:sz w:val="24"/>
        </w:rPr>
        <w:t>一、参选人营业执照复印件（加盖公章）</w:t>
      </w:r>
      <w:bookmarkEnd w:id="112"/>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pStyle w:val="5"/>
        <w:numPr>
          <w:ilvl w:val="2"/>
          <w:numId w:val="0"/>
        </w:numPr>
        <w:spacing w:line="360" w:lineRule="auto"/>
        <w:rPr>
          <w:rFonts w:ascii="宋体" w:hAnsi="宋体"/>
          <w:color w:val="0D0D0D"/>
          <w:sz w:val="24"/>
        </w:rPr>
      </w:pPr>
      <w:bookmarkStart w:id="113" w:name="_Toc510187106"/>
      <w:bookmarkStart w:id="114" w:name="_Toc53991863"/>
      <w:r>
        <w:rPr>
          <w:rFonts w:hint="eastAsia" w:ascii="宋体" w:hAnsi="宋体"/>
          <w:color w:val="0D0D0D"/>
          <w:sz w:val="24"/>
        </w:rPr>
        <w:t>二</w:t>
      </w:r>
      <w:r>
        <w:rPr>
          <w:rFonts w:ascii="宋体" w:hAnsi="宋体"/>
          <w:color w:val="0D0D0D"/>
          <w:sz w:val="24"/>
        </w:rPr>
        <w:t>、法定代表人资格证明书</w:t>
      </w:r>
      <w:bookmarkEnd w:id="113"/>
      <w:bookmarkEnd w:id="114"/>
      <w:r>
        <w:rPr>
          <w:rFonts w:ascii="宋体" w:hAnsi="宋体"/>
          <w:color w:val="0D0D0D"/>
          <w:sz w:val="24"/>
        </w:rPr>
        <w:t>（加盖公章）</w:t>
      </w:r>
    </w:p>
    <w:p>
      <w:pPr>
        <w:spacing w:line="360" w:lineRule="auto"/>
        <w:ind w:firstLine="5651"/>
        <w:rPr>
          <w:rFonts w:eastAsia="华文中宋"/>
          <w:color w:val="0D0D0D"/>
          <w:sz w:val="24"/>
        </w:rPr>
      </w:pPr>
    </w:p>
    <w:p>
      <w:pPr>
        <w:pStyle w:val="25"/>
        <w:spacing w:after="120" w:afterLines="50" w:line="360" w:lineRule="auto"/>
        <w:jc w:val="center"/>
        <w:rPr>
          <w:rFonts w:ascii="Times New Roman" w:hAnsi="Times New Roman" w:eastAsia="华文细黑"/>
          <w:color w:val="0D0D0D"/>
          <w:sz w:val="44"/>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5"/>
        <w:spacing w:line="360" w:lineRule="auto"/>
        <w:ind w:firstLine="480" w:firstLineChars="200"/>
        <w:rPr>
          <w:rFonts w:ascii="Times New Roman" w:hAnsi="Times New Roman"/>
          <w:color w:val="0D0D0D"/>
          <w:sz w:val="24"/>
          <w:szCs w:val="24"/>
        </w:rPr>
      </w:pPr>
    </w:p>
    <w:p>
      <w:pPr>
        <w:pStyle w:val="25"/>
        <w:spacing w:line="360" w:lineRule="auto"/>
        <w:ind w:left="279" w:leftChars="133"/>
        <w:rPr>
          <w:rFonts w:ascii="Times New Roman" w:hAnsi="Times New Roman"/>
          <w:color w:val="0D0D0D"/>
          <w:sz w:val="24"/>
          <w:szCs w:val="24"/>
        </w:rPr>
      </w:pP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5"/>
        <w:spacing w:line="360" w:lineRule="auto"/>
        <w:ind w:left="359" w:leftChars="171"/>
        <w:rPr>
          <w:rFonts w:ascii="Times New Roman" w:hAnsi="Times New Roman"/>
          <w:color w:val="0D0D0D"/>
          <w:sz w:val="24"/>
          <w:szCs w:val="24"/>
        </w:rPr>
      </w:pPr>
    </w:p>
    <w:p>
      <w:pPr>
        <w:pStyle w:val="25"/>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left="133" w:firstLine="1260" w:firstLineChars="525"/>
        <w:rPr>
          <w:rFonts w:ascii="Times New Roman" w:hAnsi="Times New Roman"/>
          <w:color w:val="0D0D0D"/>
          <w:sz w:val="24"/>
          <w:szCs w:val="24"/>
          <w:u w:val="single"/>
        </w:rPr>
      </w:pPr>
    </w:p>
    <w:p>
      <w:pPr>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widowControl/>
        <w:spacing w:line="360" w:lineRule="auto"/>
        <w:jc w:val="left"/>
        <w:rPr>
          <w:color w:val="0D0D0D"/>
          <w:sz w:val="24"/>
          <w:szCs w:val="24"/>
        </w:rPr>
      </w:pPr>
      <w:r>
        <w:rPr>
          <w:color w:val="0D0D0D"/>
          <w:sz w:val="24"/>
          <w:szCs w:val="24"/>
        </w:rPr>
        <w:br w:type="page"/>
      </w:r>
    </w:p>
    <w:p>
      <w:pPr>
        <w:pStyle w:val="5"/>
        <w:tabs>
          <w:tab w:val="left" w:pos="0"/>
          <w:tab w:val="clear" w:pos="1260"/>
        </w:tabs>
        <w:spacing w:line="360" w:lineRule="auto"/>
        <w:ind w:left="0" w:firstLine="0"/>
        <w:rPr>
          <w:rFonts w:ascii="宋体" w:hAnsi="宋体"/>
          <w:color w:val="0D0D0D"/>
          <w:sz w:val="24"/>
        </w:rPr>
      </w:pPr>
      <w:bookmarkStart w:id="115" w:name="_Toc53991864"/>
      <w:bookmarkStart w:id="116" w:name="_Toc510187107"/>
      <w:r>
        <w:rPr>
          <w:rFonts w:hint="eastAsia" w:ascii="宋体" w:hAnsi="宋体"/>
          <w:color w:val="0D0D0D"/>
          <w:sz w:val="24"/>
        </w:rPr>
        <w:t>三、法定代表人身份证复印件</w:t>
      </w:r>
      <w:bookmarkEnd w:id="115"/>
      <w:bookmarkEnd w:id="116"/>
      <w:r>
        <w:rPr>
          <w:rFonts w:hint="eastAsia" w:ascii="宋体" w:hAnsi="宋体"/>
          <w:color w:val="0D0D0D"/>
          <w:sz w:val="24"/>
        </w:rPr>
        <w:t>（盖章）</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5"/>
        <w:tabs>
          <w:tab w:val="left" w:pos="0"/>
          <w:tab w:val="clear" w:pos="1260"/>
        </w:tabs>
        <w:spacing w:line="360" w:lineRule="auto"/>
        <w:ind w:left="0" w:firstLine="0"/>
        <w:rPr>
          <w:rFonts w:ascii="宋体" w:hAnsi="宋体"/>
          <w:color w:val="0D0D0D"/>
          <w:sz w:val="24"/>
        </w:rPr>
      </w:pPr>
      <w:bookmarkStart w:id="117" w:name="_Toc53991865"/>
      <w:bookmarkStart w:id="118" w:name="_Toc510187108"/>
      <w:r>
        <w:rPr>
          <w:rFonts w:hint="eastAsia" w:ascii="宋体" w:hAnsi="宋体"/>
          <w:color w:val="0D0D0D"/>
          <w:sz w:val="24"/>
        </w:rPr>
        <w:t>四、</w:t>
      </w:r>
      <w:r>
        <w:rPr>
          <w:rFonts w:ascii="宋体" w:hAnsi="宋体"/>
          <w:color w:val="0D0D0D"/>
          <w:sz w:val="24"/>
        </w:rPr>
        <w:t>法定代表人授权委托书</w:t>
      </w:r>
      <w:r>
        <w:rPr>
          <w:rFonts w:hint="eastAsia" w:ascii="宋体" w:hAnsi="宋体"/>
          <w:color w:val="0D0D0D"/>
          <w:sz w:val="24"/>
        </w:rPr>
        <w:t>（如有）</w:t>
      </w:r>
      <w:bookmarkEnd w:id="117"/>
      <w:bookmarkEnd w:id="118"/>
    </w:p>
    <w:p>
      <w:pPr>
        <w:spacing w:line="360" w:lineRule="auto"/>
        <w:jc w:val="center"/>
        <w:rPr>
          <w:b/>
          <w:color w:val="0D0D0D"/>
          <w:sz w:val="24"/>
          <w:szCs w:val="24"/>
        </w:rPr>
      </w:pPr>
    </w:p>
    <w:p>
      <w:pPr>
        <w:spacing w:line="360" w:lineRule="auto"/>
        <w:jc w:val="center"/>
        <w:rPr>
          <w:b/>
          <w:color w:val="0D0D0D"/>
          <w:sz w:val="24"/>
          <w:szCs w:val="24"/>
        </w:rPr>
      </w:pPr>
    </w:p>
    <w:p>
      <w:pPr>
        <w:pStyle w:val="14"/>
        <w:spacing w:line="360" w:lineRule="auto"/>
        <w:rPr>
          <w:color w:val="0D0D0D"/>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5"/>
        <w:spacing w:after="120" w:afterLines="50" w:line="360" w:lineRule="auto"/>
        <w:jc w:val="center"/>
        <w:rPr>
          <w:rFonts w:ascii="Times New Roman" w:hAnsi="Times New Roman" w:eastAsia="华文细黑"/>
          <w:color w:val="0D0D0D"/>
          <w:sz w:val="44"/>
        </w:rPr>
      </w:pP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widowControl/>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pStyle w:val="5"/>
        <w:tabs>
          <w:tab w:val="left" w:pos="0"/>
          <w:tab w:val="clear" w:pos="1260"/>
        </w:tabs>
        <w:spacing w:line="360" w:lineRule="auto"/>
        <w:ind w:left="0" w:firstLine="0"/>
        <w:rPr>
          <w:rFonts w:ascii="宋体" w:hAnsi="宋体"/>
          <w:bCs/>
          <w:color w:val="0D0D0D"/>
          <w:sz w:val="24"/>
          <w:szCs w:val="24"/>
        </w:rPr>
      </w:pPr>
      <w:bookmarkStart w:id="119" w:name="_Toc53991866"/>
      <w:bookmarkStart w:id="120" w:name="_Toc510187109"/>
      <w:r>
        <w:rPr>
          <w:rFonts w:hint="eastAsia" w:ascii="宋体" w:hAnsi="宋体"/>
          <w:color w:val="0D0D0D"/>
          <w:sz w:val="24"/>
        </w:rPr>
        <w:t>五、被授权人身份证复印件（如有）</w:t>
      </w:r>
      <w:bookmarkEnd w:id="119"/>
      <w:bookmarkEnd w:id="120"/>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numPr>
          <w:ilvl w:val="0"/>
          <w:numId w:val="4"/>
        </w:numPr>
        <w:adjustRightInd w:val="0"/>
        <w:snapToGrid w:val="0"/>
        <w:spacing w:line="360" w:lineRule="auto"/>
        <w:ind w:firstLine="480" w:firstLineChars="200"/>
        <w:rPr>
          <w:rFonts w:ascii="宋体" w:hAnsi="宋体"/>
          <w:bCs/>
          <w:sz w:val="24"/>
        </w:rPr>
      </w:pPr>
      <w:r>
        <w:rPr>
          <w:rFonts w:hint="eastAsia" w:ascii="宋体" w:hAnsi="宋体"/>
          <w:bCs/>
          <w:sz w:val="24"/>
        </w:rPr>
        <w:t>资格审查所需证明材料，</w:t>
      </w:r>
    </w:p>
    <w:p>
      <w:pPr>
        <w:numPr>
          <w:ilvl w:val="255"/>
          <w:numId w:val="0"/>
        </w:numPr>
        <w:adjustRightInd w:val="0"/>
        <w:snapToGrid w:val="0"/>
        <w:spacing w:line="360" w:lineRule="auto"/>
        <w:ind w:firstLine="420" w:firstLineChars="200"/>
        <w:rPr>
          <w:rFonts w:ascii="宋体" w:hAnsi="宋体"/>
          <w:bCs/>
          <w:szCs w:val="24"/>
        </w:rPr>
      </w:pPr>
      <w:r>
        <w:rPr>
          <w:rFonts w:hint="eastAsia" w:ascii="宋体" w:hAnsi="宋体"/>
          <w:bCs/>
          <w:szCs w:val="24"/>
        </w:rPr>
        <w:t>①参选单位必须是在中华人民共和国境内依法注册的具备法人资格的企业,需于2019年</w:t>
      </w:r>
      <w:r>
        <w:rPr>
          <w:rFonts w:hint="eastAsia" w:ascii="宋体" w:hAnsi="宋体"/>
          <w:bCs/>
          <w:szCs w:val="24"/>
          <w:lang w:val="en-US" w:eastAsia="zh-CN"/>
        </w:rPr>
        <w:t>7</w:t>
      </w:r>
      <w:r>
        <w:rPr>
          <w:rFonts w:hint="eastAsia" w:ascii="宋体" w:hAnsi="宋体"/>
          <w:bCs/>
          <w:szCs w:val="24"/>
        </w:rPr>
        <w:t>月1日之前成立。</w:t>
      </w:r>
    </w:p>
    <w:p>
      <w:pPr>
        <w:adjustRightInd w:val="0"/>
        <w:snapToGrid w:val="0"/>
        <w:spacing w:line="360" w:lineRule="auto"/>
        <w:ind w:firstLine="420" w:firstLineChars="200"/>
        <w:rPr>
          <w:rFonts w:ascii="宋体" w:hAnsi="宋体"/>
          <w:bCs/>
          <w:szCs w:val="24"/>
        </w:rPr>
      </w:pPr>
      <w:r>
        <w:rPr>
          <w:rFonts w:hint="eastAsia" w:ascii="宋体" w:hAnsi="宋体"/>
          <w:bCs/>
          <w:szCs w:val="24"/>
        </w:rPr>
        <w:t>②提供2019年</w:t>
      </w:r>
      <w:r>
        <w:rPr>
          <w:rFonts w:hint="eastAsia" w:ascii="宋体" w:hAnsi="宋体"/>
          <w:bCs/>
          <w:szCs w:val="24"/>
          <w:lang w:val="en-US" w:eastAsia="zh-CN"/>
        </w:rPr>
        <w:t>7</w:t>
      </w:r>
      <w:r>
        <w:rPr>
          <w:rFonts w:hint="eastAsia" w:ascii="宋体" w:hAnsi="宋体"/>
          <w:bCs/>
          <w:szCs w:val="24"/>
        </w:rPr>
        <w:t>月1日之后，深圳市房地产开发企业一级资质办理成功案例一个，提供合同关键页及一级资质办理成功相关证明复印件（时间以合同签订时间为准，复印件加盖公章，原件备查）；</w:t>
      </w:r>
    </w:p>
    <w:p>
      <w:pPr>
        <w:numPr>
          <w:ilvl w:val="0"/>
          <w:numId w:val="4"/>
        </w:numPr>
        <w:snapToGrid w:val="0"/>
        <w:spacing w:line="360" w:lineRule="auto"/>
        <w:ind w:left="0" w:firstLine="480" w:firstLineChars="200"/>
        <w:rPr>
          <w:rFonts w:ascii="宋体" w:hAnsi="宋体"/>
          <w:bCs/>
          <w:color w:val="0D0D0D"/>
          <w:sz w:val="24"/>
          <w:highlight w:val="none"/>
        </w:rPr>
      </w:pPr>
      <w:r>
        <w:rPr>
          <w:rFonts w:hint="eastAsia" w:ascii="宋体" w:hAnsi="宋体"/>
          <w:b w:val="0"/>
          <w:bCs/>
          <w:color w:val="0D0D0D"/>
          <w:sz w:val="24"/>
          <w:szCs w:val="28"/>
          <w:highlight w:val="none"/>
        </w:rPr>
        <w:t>技术标评审所需证明材料（清晰的复印件，加盖公章）</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①需提供能证明公司注册资金的市场监督局网站工商信息查询页，并加盖参选单位公章；</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②提供参选单位自2019年1月1日之后，深圳市房地产开发企业一级资质办理成功案例，以上案例均需提供服务合同关键页（包括工作内容、签约时间、合同签署页）及一级资质办理成功相关证明复印件，时间以合同签约时间为准；</w:t>
      </w:r>
    </w:p>
    <w:p>
      <w:pPr>
        <w:pStyle w:val="20"/>
        <w:snapToGrid w:val="0"/>
        <w:spacing w:after="0" w:line="360" w:lineRule="auto"/>
        <w:ind w:leftChars="0"/>
        <w:rPr>
          <w:rFonts w:ascii="宋体" w:hAnsi="宋体"/>
          <w:color w:val="0D0D0D"/>
          <w:sz w:val="24"/>
          <w:szCs w:val="24"/>
          <w:highlight w:val="none"/>
        </w:rPr>
      </w:pPr>
      <w:r>
        <w:rPr>
          <w:rFonts w:hint="eastAsia" w:ascii="宋体" w:hAnsi="宋体"/>
          <w:color w:val="0D0D0D"/>
          <w:sz w:val="24"/>
          <w:szCs w:val="24"/>
          <w:highlight w:val="none"/>
        </w:rPr>
        <w:t>③需提供营业执照或办公场地租赁合同或房屋所有证或其它物管单位证明文件的复印件，并加盖参选单位公章；</w:t>
      </w:r>
    </w:p>
    <w:p>
      <w:pPr>
        <w:pStyle w:val="21"/>
        <w:rPr>
          <w:highlight w:val="none"/>
        </w:rPr>
      </w:pPr>
      <w:r>
        <w:rPr>
          <w:rFonts w:hint="eastAsia" w:ascii="宋体" w:hAnsi="宋体"/>
          <w:color w:val="0D0D0D"/>
          <w:sz w:val="24"/>
          <w:szCs w:val="24"/>
          <w:highlight w:val="none"/>
        </w:rPr>
        <w:t xml:space="preserve">    ④提供申报方案，整体方案详尽细致，重点关注对资质办理中疑难点问题的解决能力，并突出方案亮点。</w:t>
      </w:r>
    </w:p>
    <w:p>
      <w:pPr>
        <w:numPr>
          <w:ilvl w:val="2"/>
          <w:numId w:val="0"/>
        </w:numPr>
        <w:spacing w:line="360" w:lineRule="auto"/>
        <w:ind w:left="0" w:firstLine="0"/>
        <w:rPr>
          <w:highlight w:val="none"/>
        </w:rPr>
      </w:pPr>
      <w:r>
        <w:rPr>
          <w:highlight w:val="none"/>
        </w:rPr>
        <w:br w:type="page"/>
      </w:r>
    </w:p>
    <w:p>
      <w:pPr>
        <w:spacing w:line="360" w:lineRule="auto"/>
        <w:rPr>
          <w:rFonts w:ascii="宋体" w:hAnsi="宋体"/>
          <w:spacing w:val="36"/>
          <w:sz w:val="44"/>
          <w:szCs w:val="44"/>
        </w:rPr>
      </w:pP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ascii="宋体" w:hAnsi="宋体" w:cs="宋体"/>
          <w:b/>
          <w:sz w:val="44"/>
          <w:szCs w:val="44"/>
        </w:rPr>
      </w:pPr>
      <w:r>
        <w:rPr>
          <w:rFonts w:hint="eastAsia" w:ascii="宋体" w:hAnsi="宋体"/>
          <w:b/>
          <w:spacing w:val="36"/>
          <w:sz w:val="44"/>
          <w:szCs w:val="44"/>
        </w:rPr>
        <w:t>深铁集团房地产开发企业一级资质申报服务</w:t>
      </w:r>
    </w:p>
    <w:p>
      <w:pPr>
        <w:spacing w:line="360" w:lineRule="auto"/>
        <w:jc w:val="center"/>
        <w:rPr>
          <w:rFonts w:ascii="宋体" w:hAnsi="宋体" w:cs="宋体"/>
          <w:b/>
          <w:sz w:val="44"/>
          <w:szCs w:val="44"/>
        </w:rPr>
      </w:pPr>
    </w:p>
    <w:p>
      <w:pPr>
        <w:spacing w:line="360" w:lineRule="auto"/>
        <w:ind w:firstLine="1824" w:firstLineChars="200"/>
        <w:rPr>
          <w:rFonts w:hAnsi="宋体"/>
          <w:bCs/>
          <w:kern w:val="10"/>
          <w:sz w:val="84"/>
          <w:szCs w:val="84"/>
        </w:rPr>
      </w:pPr>
      <w:r>
        <w:rPr>
          <w:rFonts w:hint="eastAsia" w:hAnsi="宋体"/>
          <w:bCs/>
          <w:spacing w:val="36"/>
          <w:kern w:val="10"/>
          <w:sz w:val="84"/>
          <w:szCs w:val="84"/>
        </w:rPr>
        <w:t>参 选 文 件</w:t>
      </w:r>
    </w:p>
    <w:p>
      <w:pPr>
        <w:pStyle w:val="25"/>
        <w:spacing w:line="360" w:lineRule="auto"/>
        <w:jc w:val="center"/>
        <w:rPr>
          <w:rFonts w:hAnsi="宋体"/>
          <w:bCs/>
          <w:sz w:val="17"/>
          <w:szCs w:val="17"/>
        </w:rPr>
      </w:pPr>
    </w:p>
    <w:p>
      <w:pPr>
        <w:pStyle w:val="25"/>
        <w:spacing w:line="360" w:lineRule="auto"/>
        <w:jc w:val="center"/>
        <w:rPr>
          <w:rFonts w:hAnsi="宋体"/>
          <w:b/>
          <w:bCs/>
          <w:sz w:val="52"/>
          <w:szCs w:val="52"/>
        </w:rPr>
      </w:pPr>
      <w:r>
        <w:rPr>
          <w:rFonts w:hint="eastAsia" w:hAnsi="宋体"/>
          <w:b/>
          <w:bCs/>
          <w:sz w:val="52"/>
          <w:szCs w:val="52"/>
        </w:rPr>
        <w:t>商务标书</w:t>
      </w:r>
    </w:p>
    <w:p>
      <w:pPr>
        <w:pStyle w:val="25"/>
        <w:spacing w:line="360" w:lineRule="auto"/>
        <w:jc w:val="center"/>
        <w:rPr>
          <w:rFonts w:hAnsi="宋体"/>
          <w:b/>
          <w:bCs/>
          <w:sz w:val="52"/>
          <w:szCs w:val="52"/>
        </w:rPr>
      </w:pPr>
    </w:p>
    <w:p>
      <w:pPr>
        <w:spacing w:line="520" w:lineRule="exact"/>
        <w:ind w:left="420" w:leftChars="200" w:firstLine="482"/>
        <w:rPr>
          <w:b/>
        </w:rPr>
      </w:pPr>
      <w:r>
        <w:rPr>
          <w:rFonts w:hint="eastAsia"/>
          <w:b/>
        </w:rPr>
        <w:t>参选</w:t>
      </w:r>
      <w:r>
        <w:rPr>
          <w:b/>
        </w:rPr>
        <w:t>人声明：</w:t>
      </w:r>
    </w:p>
    <w:p>
      <w:pPr>
        <w:spacing w:line="520" w:lineRule="exact"/>
        <w:ind w:left="420" w:leftChars="200" w:firstLine="482"/>
        <w:rPr>
          <w:b/>
        </w:rPr>
      </w:pPr>
      <w:r>
        <w:rPr>
          <w:b/>
        </w:rPr>
        <w:t>我司（单位）对本标书所提供文件的真实性、准确性、有效性负全部责任。</w:t>
      </w:r>
    </w:p>
    <w:p>
      <w:pPr>
        <w:pStyle w:val="25"/>
        <w:spacing w:line="360" w:lineRule="auto"/>
        <w:rPr>
          <w:rFonts w:hAnsi="宋体"/>
          <w:b/>
          <w:bCs/>
          <w:sz w:val="52"/>
          <w:szCs w:val="52"/>
        </w:rPr>
      </w:pP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期：2022年   月   日</w:t>
      </w:r>
    </w:p>
    <w:p>
      <w:pPr>
        <w:adjustRightInd w:val="0"/>
        <w:snapToGrid w:val="0"/>
        <w:spacing w:line="360" w:lineRule="auto"/>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rPr>
        <w:t xml:space="preserve"> </w:t>
      </w:r>
      <w:r>
        <w:rPr>
          <w:rFonts w:hint="eastAsia" w:ascii="宋体" w:hAnsi="宋体"/>
          <w:color w:val="0D0D0D"/>
          <w:sz w:val="52"/>
          <w:szCs w:val="52"/>
          <w:u w:val="single"/>
        </w:rPr>
        <w:t>商务标书目录</w:t>
      </w:r>
    </w:p>
    <w:p>
      <w:pPr>
        <w:numPr>
          <w:ilvl w:val="0"/>
          <w:numId w:val="9"/>
        </w:numPr>
        <w:adjustRightInd w:val="0"/>
        <w:snapToGrid w:val="0"/>
        <w:spacing w:before="240"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参选函（加盖公章）</w:t>
      </w:r>
    </w:p>
    <w:p>
      <w:pPr>
        <w:numPr>
          <w:ilvl w:val="0"/>
          <w:numId w:val="9"/>
        </w:numPr>
        <w:adjustRightInd w:val="0"/>
        <w:snapToGrid w:val="0"/>
        <w:spacing w:line="360" w:lineRule="auto"/>
        <w:ind w:left="0"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报价表（加盖公章）</w:t>
      </w:r>
    </w:p>
    <w:p>
      <w:pPr>
        <w:spacing w:line="360" w:lineRule="auto"/>
        <w:jc w:val="center"/>
        <w:rPr>
          <w:rFonts w:ascii="宋体" w:hAnsi="宋体"/>
          <w:b/>
          <w:bCs/>
          <w:sz w:val="28"/>
          <w:szCs w:val="28"/>
        </w:rPr>
      </w:pPr>
    </w:p>
    <w:p>
      <w:pPr>
        <w:pStyle w:val="25"/>
        <w:spacing w:line="360" w:lineRule="auto"/>
        <w:rPr>
          <w:rFonts w:hAnsi="宋体"/>
          <w:b/>
          <w:sz w:val="24"/>
          <w:szCs w:val="24"/>
        </w:rPr>
      </w:pPr>
      <w:r>
        <w:rPr>
          <w:rFonts w:hint="eastAsia" w:hAnsi="宋体"/>
          <w:sz w:val="24"/>
        </w:rPr>
        <w:br w:type="page"/>
      </w:r>
      <w:r>
        <w:rPr>
          <w:rFonts w:hint="eastAsia" w:hAnsi="宋体"/>
          <w:b/>
          <w:sz w:val="24"/>
          <w:szCs w:val="24"/>
        </w:rPr>
        <w:t>一、参选函格式</w:t>
      </w:r>
    </w:p>
    <w:p>
      <w:pPr>
        <w:pStyle w:val="25"/>
        <w:spacing w:before="120" w:beforeLines="50" w:line="360" w:lineRule="auto"/>
        <w:jc w:val="center"/>
        <w:rPr>
          <w:rFonts w:hAnsi="宋体"/>
          <w:b/>
          <w:sz w:val="44"/>
          <w:szCs w:val="44"/>
        </w:rPr>
      </w:pPr>
      <w:r>
        <w:rPr>
          <w:rFonts w:hint="eastAsia" w:hAnsi="宋体"/>
          <w:b/>
          <w:sz w:val="44"/>
          <w:szCs w:val="44"/>
        </w:rPr>
        <w:t>参选函</w:t>
      </w:r>
    </w:p>
    <w:p>
      <w:pPr>
        <w:spacing w:line="360" w:lineRule="auto"/>
        <w:ind w:firstLine="480" w:firstLineChars="200"/>
        <w:rPr>
          <w:rFonts w:ascii="宋体" w:hAnsi="宋体" w:cs="宋体"/>
          <w:sz w:val="24"/>
          <w:szCs w:val="24"/>
          <w:lang w:val="zh-CN"/>
        </w:rPr>
      </w:pP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w:t>
      </w:r>
      <w:r>
        <w:rPr>
          <w:rFonts w:hint="eastAsia" w:ascii="宋体" w:hAnsi="宋体" w:cs="宋体"/>
          <w:sz w:val="24"/>
          <w:szCs w:val="24"/>
          <w:lang w:eastAsia="zh-Hans"/>
        </w:rPr>
        <w:t>深圳市地铁</w:t>
      </w:r>
      <w:r>
        <w:rPr>
          <w:rFonts w:hint="eastAsia" w:ascii="宋体" w:hAnsi="宋体" w:cs="宋体"/>
          <w:sz w:val="24"/>
          <w:szCs w:val="24"/>
          <w:lang w:val="zh-CN"/>
        </w:rPr>
        <w:t>集团有限公司</w:t>
      </w:r>
    </w:p>
    <w:p>
      <w:pPr>
        <w:spacing w:line="360" w:lineRule="auto"/>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1.经分析研究了贵司提供的比选文件，经研究后，我方愿以报价____万（含税）（大写:_________）作为</w:t>
      </w:r>
      <w:r>
        <w:rPr>
          <w:rFonts w:hint="eastAsia" w:ascii="宋体" w:hAnsi="宋体" w:cs="宋体"/>
          <w:b/>
          <w:bCs/>
          <w:sz w:val="24"/>
          <w:szCs w:val="24"/>
          <w:u w:val="single"/>
        </w:rPr>
        <w:t>深铁集团房地产开发企业一级资质申报服务</w:t>
      </w:r>
      <w:r>
        <w:rPr>
          <w:rFonts w:hint="eastAsia" w:ascii="宋体" w:hAnsi="宋体" w:cs="宋体"/>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rPr>
        <w:t>深铁集团房地产开发企业一级资质申报服务</w:t>
      </w:r>
      <w:r>
        <w:rPr>
          <w:rFonts w:hint="eastAsia" w:ascii="宋体" w:hAnsi="宋体" w:cs="宋体"/>
          <w:sz w:val="24"/>
          <w:szCs w:val="24"/>
        </w:rPr>
        <w:t>等相关工作。</w:t>
      </w:r>
    </w:p>
    <w:p>
      <w:pPr>
        <w:spacing w:line="360" w:lineRule="auto"/>
        <w:ind w:firstLine="480" w:firstLineChars="200"/>
        <w:rPr>
          <w:rFonts w:ascii="宋体" w:hAnsi="宋体" w:cs="宋体"/>
          <w:sz w:val="24"/>
          <w:szCs w:val="24"/>
        </w:rPr>
      </w:pPr>
      <w:r>
        <w:rPr>
          <w:rFonts w:hint="eastAsia" w:ascii="宋体" w:hAnsi="宋体" w:cs="宋体"/>
          <w:sz w:val="24"/>
          <w:szCs w:val="24"/>
        </w:rPr>
        <w:t>4.我方承诺若深铁集团房地产开发企业一级资质一次性办理失败，未成功领取一级资质证书，我方全额退还已收费用。</w:t>
      </w:r>
    </w:p>
    <w:p>
      <w:pPr>
        <w:spacing w:line="360" w:lineRule="auto"/>
        <w:ind w:firstLine="480" w:firstLineChars="200"/>
        <w:rPr>
          <w:rFonts w:ascii="宋体" w:hAnsi="宋体" w:cs="宋体"/>
          <w:sz w:val="24"/>
          <w:szCs w:val="24"/>
        </w:rPr>
      </w:pPr>
      <w:r>
        <w:rPr>
          <w:rFonts w:hint="eastAsia" w:ascii="宋体" w:hAnsi="宋体" w:cs="宋体"/>
          <w:sz w:val="24"/>
          <w:szCs w:val="24"/>
        </w:rPr>
        <w:t>5.我方同意在规定的递交参选书截止之日起180天内遵守本参选。在该期限期满之前，本报价对我方始终有约束力，并可随时被接受。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rPr>
      </w:pPr>
      <w:r>
        <w:rPr>
          <w:rFonts w:hint="eastAsia" w:ascii="宋体" w:hAnsi="宋体" w:cs="宋体"/>
          <w:sz w:val="24"/>
          <w:szCs w:val="24"/>
        </w:rPr>
        <w:t>6.如果我方中选，我方保证在接到比选人通知中规定的日期内开始</w:t>
      </w:r>
      <w:r>
        <w:rPr>
          <w:rFonts w:hint="eastAsia" w:ascii="宋体" w:hAnsi="宋体" w:cs="宋体"/>
          <w:b/>
          <w:bCs/>
          <w:sz w:val="24"/>
          <w:szCs w:val="24"/>
          <w:u w:val="single"/>
        </w:rPr>
        <w:t>深铁集团房地产开发企业一级资质申报服务</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spacing w:line="360" w:lineRule="auto"/>
        <w:ind w:firstLine="480" w:firstLineChars="200"/>
        <w:rPr>
          <w:rFonts w:ascii="宋体" w:hAnsi="宋体" w:cs="宋体"/>
          <w:sz w:val="24"/>
          <w:szCs w:val="24"/>
        </w:rPr>
      </w:pPr>
      <w:r>
        <w:rPr>
          <w:rFonts w:hint="eastAsia" w:ascii="宋体" w:hAnsi="宋体" w:cs="宋体"/>
          <w:sz w:val="24"/>
          <w:szCs w:val="24"/>
        </w:rPr>
        <w:t>7.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rPr>
      </w:pPr>
      <w:r>
        <w:rPr>
          <w:rFonts w:hint="eastAsia" w:ascii="宋体" w:hAnsi="宋体" w:cs="宋体"/>
          <w:sz w:val="24"/>
          <w:szCs w:val="24"/>
        </w:rPr>
        <w:t>8.若我方中选本项目，我方承诺本项目可开具增值税专用发票，按合同约定于申请付款前向比选人提供正式的增值税专用发票，否则比选人有权拒绝付款，且并不因此承担任何违约责任。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rPr>
      </w:pPr>
      <w:r>
        <w:rPr>
          <w:rFonts w:hint="eastAsia" w:ascii="宋体" w:hAnsi="宋体" w:cs="宋体"/>
          <w:sz w:val="24"/>
          <w:szCs w:val="24"/>
        </w:rPr>
        <w:t>9.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rPr>
      </w:pPr>
      <w:r>
        <w:rPr>
          <w:rFonts w:hint="eastAsia" w:ascii="宋体" w:hAnsi="宋体" w:cs="宋体"/>
          <w:spacing w:val="-4"/>
          <w:kern w:val="0"/>
          <w:sz w:val="24"/>
          <w:szCs w:val="24"/>
        </w:rPr>
        <w:t>10.我方</w:t>
      </w:r>
      <w:r>
        <w:rPr>
          <w:rFonts w:hint="eastAsia" w:ascii="宋体" w:hAnsi="宋体" w:cs="宋体"/>
          <w:sz w:val="24"/>
          <w:szCs w:val="24"/>
        </w:rPr>
        <w:t>同意：比选人可以在参选有效期截止前，要求延长参选有效期并取得参选人或中标候选人同意。</w:t>
      </w:r>
    </w:p>
    <w:p>
      <w:pPr>
        <w:pStyle w:val="85"/>
        <w:widowControl/>
        <w:spacing w:line="360" w:lineRule="auto"/>
        <w:ind w:firstLine="480"/>
        <w:jc w:val="left"/>
        <w:rPr>
          <w:rFonts w:ascii="宋体" w:hAnsi="宋体" w:eastAsia="宋体" w:cs="宋体"/>
          <w:kern w:val="0"/>
          <w:sz w:val="24"/>
          <w:szCs w:val="24"/>
        </w:rPr>
      </w:pPr>
      <w:r>
        <w:rPr>
          <w:rFonts w:hint="eastAsia" w:ascii="宋体" w:hAnsi="宋体" w:eastAsia="宋体" w:cs="宋体"/>
          <w:sz w:val="24"/>
          <w:szCs w:val="24"/>
        </w:rPr>
        <w:t>11.我方同意：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法人代表或授权委托代理人（签字或盖章）：                 联 系 人：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widowControl/>
        <w:spacing w:line="360" w:lineRule="auto"/>
        <w:jc w:val="left"/>
        <w:rPr>
          <w:rFonts w:ascii="宋体" w:hAnsi="宋体" w:cs="宋体"/>
          <w:sz w:val="24"/>
          <w:szCs w:val="24"/>
        </w:rPr>
        <w:sectPr>
          <w:pgSz w:w="11907" w:h="16840"/>
          <w:pgMar w:top="1440" w:right="1440" w:bottom="1440" w:left="1440" w:header="720" w:footer="992" w:gutter="0"/>
          <w:cols w:space="720" w:num="1"/>
        </w:sectPr>
      </w:pPr>
    </w:p>
    <w:p>
      <w:pPr>
        <w:pStyle w:val="25"/>
        <w:numPr>
          <w:ilvl w:val="0"/>
          <w:numId w:val="8"/>
        </w:numPr>
        <w:spacing w:line="360" w:lineRule="auto"/>
        <w:ind w:hanging="652"/>
        <w:rPr>
          <w:rFonts w:hAnsi="宋体"/>
          <w:b/>
          <w:sz w:val="24"/>
          <w:szCs w:val="24"/>
        </w:rPr>
      </w:pPr>
      <w:r>
        <w:rPr>
          <w:rFonts w:hint="eastAsia" w:hAnsi="宋体"/>
          <w:b/>
          <w:sz w:val="24"/>
          <w:szCs w:val="24"/>
        </w:rPr>
        <w:t>报价单</w:t>
      </w:r>
      <w:bookmarkStart w:id="121" w:name="_Toc57731988"/>
      <w:r>
        <w:rPr>
          <w:rFonts w:hint="eastAsia" w:hAnsi="宋体"/>
          <w:b/>
          <w:sz w:val="24"/>
          <w:szCs w:val="24"/>
        </w:rPr>
        <w:t>（加盖公章）</w:t>
      </w:r>
    </w:p>
    <w:p>
      <w:pPr>
        <w:spacing w:after="120" w:line="360" w:lineRule="auto"/>
        <w:jc w:val="center"/>
        <w:rPr>
          <w:rFonts w:ascii="宋体" w:hAnsi="宋体"/>
          <w:b/>
          <w:kern w:val="10"/>
          <w:sz w:val="24"/>
          <w:szCs w:val="24"/>
        </w:rPr>
      </w:pPr>
      <w:r>
        <w:rPr>
          <w:rFonts w:hint="eastAsia" w:ascii="宋体" w:hAnsi="宋体"/>
          <w:b/>
          <w:sz w:val="32"/>
          <w:szCs w:val="32"/>
        </w:rPr>
        <w:t>深铁集团房地产开发企业一级资质申报服务报价一览表</w:t>
      </w:r>
    </w:p>
    <w:p>
      <w:pPr>
        <w:adjustRightInd w:val="0"/>
        <w:snapToGrid w:val="0"/>
        <w:spacing w:line="360" w:lineRule="auto"/>
        <w:ind w:left="479" w:right="240"/>
        <w:jc w:val="right"/>
        <w:rPr>
          <w:rFonts w:ascii="宋体" w:hAnsi="宋体"/>
          <w:szCs w:val="21"/>
        </w:rPr>
      </w:pPr>
      <w:r>
        <w:rPr>
          <w:rFonts w:hint="eastAsia" w:ascii="宋体" w:hAnsi="宋体"/>
          <w:szCs w:val="21"/>
        </w:rPr>
        <w:t>货币单位：人民币（元）</w:t>
      </w:r>
    </w:p>
    <w:tbl>
      <w:tblPr>
        <w:tblStyle w:val="49"/>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1939"/>
        <w:gridCol w:w="1635"/>
        <w:gridCol w:w="1800"/>
        <w:gridCol w:w="1365"/>
        <w:gridCol w:w="130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jc w:val="center"/>
        </w:trPr>
        <w:tc>
          <w:tcPr>
            <w:tcW w:w="549"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序号</w:t>
            </w:r>
          </w:p>
        </w:tc>
        <w:tc>
          <w:tcPr>
            <w:tcW w:w="1939"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项目名称</w:t>
            </w:r>
          </w:p>
        </w:tc>
        <w:tc>
          <w:tcPr>
            <w:tcW w:w="163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收费内容</w:t>
            </w:r>
          </w:p>
        </w:tc>
        <w:tc>
          <w:tcPr>
            <w:tcW w:w="1800"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分项内容</w:t>
            </w:r>
          </w:p>
        </w:tc>
        <w:tc>
          <w:tcPr>
            <w:tcW w:w="136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不含税价</w:t>
            </w:r>
          </w:p>
        </w:tc>
        <w:tc>
          <w:tcPr>
            <w:tcW w:w="130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税率 %</w:t>
            </w:r>
          </w:p>
        </w:tc>
        <w:tc>
          <w:tcPr>
            <w:tcW w:w="128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49"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939" w:type="dxa"/>
            <w:vMerge w:val="restart"/>
            <w:tcBorders>
              <w:top w:val="single" w:color="auto" w:sz="4" w:space="0"/>
              <w:left w:val="single" w:color="auto" w:sz="4" w:space="0"/>
              <w:right w:val="single" w:color="auto" w:sz="4" w:space="0"/>
            </w:tcBorders>
            <w:vAlign w:val="center"/>
          </w:tcPr>
          <w:p>
            <w:pPr>
              <w:adjustRightInd w:val="0"/>
              <w:snapToGrid w:val="0"/>
              <w:spacing w:line="276" w:lineRule="auto"/>
              <w:jc w:val="left"/>
              <w:rPr>
                <w:rFonts w:ascii="宋体" w:hAnsi="宋体" w:cs="宋体"/>
                <w:sz w:val="24"/>
                <w:szCs w:val="24"/>
              </w:rPr>
            </w:pPr>
            <w:r>
              <w:rPr>
                <w:rFonts w:hint="eastAsia" w:ascii="宋体" w:hAnsi="宋体" w:cs="宋体"/>
                <w:sz w:val="24"/>
                <w:szCs w:val="24"/>
              </w:rPr>
              <w:t>深铁集团房地产开发企业一级资质申报服务</w:t>
            </w:r>
          </w:p>
        </w:tc>
        <w:tc>
          <w:tcPr>
            <w:tcW w:w="1635" w:type="dxa"/>
            <w:vMerge w:val="restart"/>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仿宋" w:hAnsi="仿宋" w:eastAsia="仿宋"/>
                <w:kern w:val="0"/>
                <w:sz w:val="22"/>
                <w:szCs w:val="28"/>
              </w:rPr>
              <w:t>咨询服务费</w:t>
            </w:r>
          </w:p>
        </w:tc>
        <w:tc>
          <w:tcPr>
            <w:tcW w:w="1800" w:type="dxa"/>
            <w:tcBorders>
              <w:top w:val="single" w:color="auto" w:sz="4" w:space="0"/>
              <w:left w:val="single" w:color="auto" w:sz="4" w:space="0"/>
              <w:right w:val="single" w:color="auto" w:sz="4" w:space="0"/>
            </w:tcBorders>
            <w:vAlign w:val="center"/>
          </w:tcPr>
          <w:p>
            <w:pPr>
              <w:spacing w:before="120" w:beforeLines="50" w:line="0" w:lineRule="atLeast"/>
              <w:jc w:val="center"/>
              <w:rPr>
                <w:rFonts w:ascii="宋体" w:hAnsi="宋体" w:cs="宋体"/>
                <w:b/>
                <w:bCs/>
                <w:sz w:val="24"/>
                <w:szCs w:val="24"/>
              </w:rPr>
            </w:pPr>
            <w:r>
              <w:rPr>
                <w:rFonts w:hint="eastAsia" w:ascii="仿宋" w:hAnsi="仿宋" w:eastAsia="仿宋"/>
                <w:kern w:val="0"/>
                <w:sz w:val="22"/>
                <w:szCs w:val="28"/>
              </w:rPr>
              <w:t>省厅专家咨询、资料指导</w:t>
            </w:r>
          </w:p>
        </w:tc>
        <w:tc>
          <w:tcPr>
            <w:tcW w:w="136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c>
          <w:tcPr>
            <w:tcW w:w="130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c>
          <w:tcPr>
            <w:tcW w:w="128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49" w:type="dxa"/>
            <w:vMerge w:val="restart"/>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r>
              <w:rPr>
                <w:rFonts w:hint="eastAsia" w:ascii="宋体" w:hAnsi="宋体" w:cs="宋体"/>
                <w:sz w:val="24"/>
                <w:szCs w:val="24"/>
              </w:rPr>
              <w:t>1</w:t>
            </w:r>
          </w:p>
        </w:tc>
        <w:tc>
          <w:tcPr>
            <w:tcW w:w="1939" w:type="dxa"/>
            <w:vMerge w:val="continue"/>
            <w:tcBorders>
              <w:left w:val="single" w:color="auto" w:sz="4" w:space="0"/>
              <w:right w:val="single" w:color="auto" w:sz="4" w:space="0"/>
            </w:tcBorders>
            <w:vAlign w:val="center"/>
          </w:tcPr>
          <w:p>
            <w:pPr>
              <w:adjustRightInd w:val="0"/>
              <w:snapToGrid w:val="0"/>
              <w:spacing w:line="276" w:lineRule="auto"/>
              <w:jc w:val="left"/>
              <w:rPr>
                <w:rFonts w:ascii="宋体" w:hAnsi="宋体" w:cs="宋体"/>
                <w:sz w:val="24"/>
                <w:szCs w:val="24"/>
              </w:rPr>
            </w:pPr>
          </w:p>
        </w:tc>
        <w:tc>
          <w:tcPr>
            <w:tcW w:w="1635" w:type="dxa"/>
            <w:vMerge w:val="continue"/>
            <w:tcBorders>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c>
          <w:tcPr>
            <w:tcW w:w="1800" w:type="dxa"/>
            <w:tcBorders>
              <w:top w:val="single" w:color="auto" w:sz="4" w:space="0"/>
              <w:left w:val="single" w:color="auto" w:sz="4" w:space="0"/>
              <w:right w:val="single" w:color="auto" w:sz="4" w:space="0"/>
            </w:tcBorders>
            <w:vAlign w:val="center"/>
          </w:tcPr>
          <w:p>
            <w:pPr>
              <w:spacing w:before="120" w:beforeLines="50" w:line="0" w:lineRule="atLeast"/>
              <w:jc w:val="center"/>
              <w:rPr>
                <w:rFonts w:ascii="宋体" w:hAnsi="宋体" w:cs="宋体"/>
                <w:b/>
                <w:bCs/>
                <w:sz w:val="24"/>
                <w:szCs w:val="24"/>
              </w:rPr>
            </w:pPr>
            <w:r>
              <w:rPr>
                <w:rFonts w:hint="eastAsia" w:ascii="仿宋" w:hAnsi="仿宋" w:eastAsia="仿宋"/>
                <w:kern w:val="0"/>
                <w:sz w:val="22"/>
                <w:szCs w:val="28"/>
              </w:rPr>
              <w:t>住建部专家咨询、资料指导</w:t>
            </w:r>
          </w:p>
        </w:tc>
        <w:tc>
          <w:tcPr>
            <w:tcW w:w="136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c>
          <w:tcPr>
            <w:tcW w:w="130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c>
          <w:tcPr>
            <w:tcW w:w="128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549" w:type="dxa"/>
            <w:vMerge w:val="continue"/>
            <w:tcBorders>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939" w:type="dxa"/>
            <w:vMerge w:val="continue"/>
            <w:tcBorders>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635" w:type="dxa"/>
            <w:vMerge w:val="restart"/>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r>
              <w:rPr>
                <w:rFonts w:hint="eastAsia" w:ascii="仿宋" w:hAnsi="仿宋" w:eastAsia="仿宋"/>
                <w:kern w:val="0"/>
                <w:sz w:val="22"/>
                <w:szCs w:val="28"/>
              </w:rPr>
              <w:t>资质申报费</w:t>
            </w:r>
          </w:p>
        </w:tc>
        <w:tc>
          <w:tcPr>
            <w:tcW w:w="1800" w:type="dxa"/>
            <w:tcBorders>
              <w:top w:val="single" w:color="auto" w:sz="4" w:space="0"/>
              <w:left w:val="single" w:color="auto" w:sz="4" w:space="0"/>
              <w:right w:val="single" w:color="auto" w:sz="4" w:space="0"/>
            </w:tcBorders>
            <w:vAlign w:val="center"/>
          </w:tcPr>
          <w:p>
            <w:pPr>
              <w:spacing w:before="120" w:beforeLines="50" w:line="0" w:lineRule="atLeast"/>
              <w:jc w:val="center"/>
              <w:rPr>
                <w:rFonts w:ascii="宋体" w:hAnsi="宋体" w:cs="宋体"/>
                <w:sz w:val="24"/>
                <w:szCs w:val="24"/>
              </w:rPr>
            </w:pPr>
            <w:r>
              <w:rPr>
                <w:rFonts w:hint="eastAsia" w:ascii="仿宋" w:hAnsi="仿宋" w:eastAsia="仿宋"/>
                <w:kern w:val="0"/>
                <w:sz w:val="22"/>
                <w:szCs w:val="28"/>
              </w:rPr>
              <w:t>省厅申报、出函</w:t>
            </w:r>
          </w:p>
        </w:tc>
        <w:tc>
          <w:tcPr>
            <w:tcW w:w="136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30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28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8" w:hRule="atLeast"/>
          <w:jc w:val="center"/>
        </w:trPr>
        <w:tc>
          <w:tcPr>
            <w:tcW w:w="549" w:type="dxa"/>
            <w:tcBorders>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939" w:type="dxa"/>
            <w:vMerge w:val="continue"/>
            <w:tcBorders>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635" w:type="dxa"/>
            <w:vMerge w:val="continue"/>
            <w:tcBorders>
              <w:left w:val="single" w:color="auto" w:sz="4" w:space="0"/>
              <w:right w:val="single" w:color="auto" w:sz="4" w:space="0"/>
            </w:tcBorders>
            <w:vAlign w:val="center"/>
          </w:tcPr>
          <w:p>
            <w:pPr>
              <w:adjustRightInd w:val="0"/>
              <w:snapToGrid w:val="0"/>
              <w:spacing w:line="276" w:lineRule="auto"/>
              <w:jc w:val="center"/>
              <w:rPr>
                <w:rFonts w:ascii="仿宋" w:hAnsi="仿宋" w:eastAsia="仿宋"/>
                <w:kern w:val="0"/>
                <w:sz w:val="22"/>
                <w:szCs w:val="28"/>
              </w:rPr>
            </w:pPr>
          </w:p>
        </w:tc>
        <w:tc>
          <w:tcPr>
            <w:tcW w:w="1800" w:type="dxa"/>
            <w:tcBorders>
              <w:top w:val="single" w:color="auto" w:sz="4" w:space="0"/>
              <w:left w:val="single" w:color="auto" w:sz="4" w:space="0"/>
              <w:right w:val="single" w:color="auto" w:sz="4" w:space="0"/>
            </w:tcBorders>
            <w:vAlign w:val="center"/>
          </w:tcPr>
          <w:p>
            <w:pPr>
              <w:spacing w:before="120" w:beforeLines="50" w:line="0" w:lineRule="atLeast"/>
              <w:jc w:val="center"/>
              <w:rPr>
                <w:rFonts w:ascii="宋体" w:hAnsi="宋体" w:cs="宋体"/>
                <w:sz w:val="24"/>
                <w:szCs w:val="24"/>
              </w:rPr>
            </w:pPr>
            <w:r>
              <w:rPr>
                <w:rFonts w:hint="eastAsia" w:ascii="仿宋" w:hAnsi="仿宋" w:eastAsia="仿宋"/>
                <w:kern w:val="0"/>
                <w:sz w:val="22"/>
                <w:szCs w:val="28"/>
              </w:rPr>
              <w:t>住建部申报、评审</w:t>
            </w:r>
          </w:p>
        </w:tc>
        <w:tc>
          <w:tcPr>
            <w:tcW w:w="136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305"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28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4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总费用合计</w:t>
            </w:r>
          </w:p>
        </w:tc>
        <w:tc>
          <w:tcPr>
            <w:tcW w:w="16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3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c>
          <w:tcPr>
            <w:tcW w:w="128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bl>
    <w:p>
      <w:pPr>
        <w:adjustRightInd w:val="0"/>
        <w:snapToGrid w:val="0"/>
        <w:spacing w:before="240" w:line="360" w:lineRule="auto"/>
        <w:ind w:firstLine="420" w:firstLineChars="200"/>
        <w:rPr>
          <w:rFonts w:eastAsia="Times New Roman"/>
          <w:snapToGrid w:val="0"/>
          <w:szCs w:val="21"/>
        </w:rPr>
      </w:pPr>
      <w:r>
        <w:rPr>
          <w:rFonts w:hint="eastAsia" w:ascii="宋体" w:hAnsi="宋体" w:cs="宋体"/>
          <w:snapToGrid w:val="0"/>
          <w:szCs w:val="21"/>
        </w:rPr>
        <w:t>注：</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报价采用人民币报价，报价为整数。</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报价包含本采购文件所要求的完成本项目以及伴随服务等全过程产生的所有成本和费用以及一切税费。</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所有供应商必须按采购文件要求逐项报价。如出现缺项、漏项、少报、错报时，相应的费用视为包含在报价的其他项目价格中，合同总价不予增加。</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供应商必须提供增值税专用发票。</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报价中的不含税单价在合同执行期间是固定的，不得以任何理由变更。合同的增值税率按照国家税收法规政策变动而调整。</w:t>
      </w:r>
    </w:p>
    <w:p>
      <w:pPr>
        <w:adjustRightInd w:val="0"/>
        <w:snapToGrid w:val="0"/>
        <w:spacing w:line="360" w:lineRule="auto"/>
        <w:rPr>
          <w:rFonts w:ascii="宋体" w:hAnsi="宋体"/>
          <w:sz w:val="24"/>
          <w:szCs w:val="24"/>
        </w:rPr>
      </w:pPr>
    </w:p>
    <w:p>
      <w:pPr>
        <w:adjustRightInd w:val="0"/>
        <w:snapToGrid w:val="0"/>
        <w:spacing w:line="360" w:lineRule="auto"/>
        <w:ind w:firstLine="480" w:firstLineChars="200"/>
        <w:rPr>
          <w:rFonts w:ascii="宋体" w:hAnsi="宋体"/>
          <w:kern w:val="10"/>
          <w:sz w:val="24"/>
          <w:szCs w:val="24"/>
          <w:u w:val="single"/>
        </w:rPr>
      </w:pPr>
      <w:r>
        <w:rPr>
          <w:rFonts w:ascii="宋体" w:hAnsi="宋体"/>
          <w:kern w:val="10"/>
          <w:sz w:val="24"/>
          <w:szCs w:val="24"/>
        </w:rPr>
        <w:t>参选人（盖章）：</w:t>
      </w:r>
      <w:r>
        <w:rPr>
          <w:rFonts w:ascii="宋体" w:hAnsi="宋体"/>
          <w:kern w:val="10"/>
          <w:sz w:val="24"/>
          <w:szCs w:val="24"/>
          <w:u w:val="single"/>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2022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bookmarkEnd w:id="121"/>
    <w:p>
      <w:pPr>
        <w:pStyle w:val="85"/>
        <w:widowControl/>
        <w:spacing w:line="360" w:lineRule="auto"/>
        <w:ind w:firstLine="0" w:firstLineChars="0"/>
        <w:jc w:val="left"/>
        <w:rPr>
          <w:rFonts w:ascii="宋体" w:hAnsi="宋体" w:eastAsia="宋体" w:cs="宋体"/>
          <w:sz w:val="24"/>
          <w:szCs w:val="24"/>
        </w:rPr>
      </w:pPr>
    </w:p>
    <w:p/>
    <w:p>
      <w:pPr>
        <w:jc w:val="center"/>
        <w:rPr>
          <w:rFonts w:ascii="黑体" w:hAnsi="黑体" w:eastAsia="黑体"/>
          <w:sz w:val="28"/>
        </w:rPr>
      </w:pPr>
    </w:p>
    <w:p>
      <w:pPr>
        <w:jc w:val="center"/>
        <w:rPr>
          <w:rFonts w:ascii="黑体" w:hAnsi="黑体" w:eastAsia="黑体"/>
          <w:sz w:val="52"/>
          <w:szCs w:val="36"/>
        </w:rPr>
      </w:pPr>
      <w:r>
        <w:rPr>
          <w:rFonts w:hint="eastAsia" w:ascii="黑体" w:hAnsi="黑体" w:eastAsia="黑体"/>
          <w:sz w:val="52"/>
          <w:szCs w:val="36"/>
        </w:rPr>
        <w:t>深铁集团房地产开发企业一级资质</w:t>
      </w:r>
    </w:p>
    <w:p>
      <w:pPr>
        <w:jc w:val="center"/>
        <w:rPr>
          <w:rFonts w:ascii="黑体" w:hAnsi="黑体" w:eastAsia="黑体"/>
          <w:sz w:val="28"/>
        </w:rPr>
      </w:pPr>
      <w:r>
        <w:rPr>
          <w:rFonts w:hint="eastAsia" w:ascii="黑体" w:hAnsi="黑体" w:eastAsia="黑体"/>
          <w:sz w:val="52"/>
          <w:szCs w:val="36"/>
        </w:rPr>
        <w:t>申报服务合同</w:t>
      </w:r>
    </w:p>
    <w:p>
      <w:pPr>
        <w:jc w:val="center"/>
        <w:rPr>
          <w:rFonts w:ascii="黑体" w:hAnsi="黑体" w:eastAsia="黑体"/>
          <w:sz w:val="28"/>
        </w:rPr>
      </w:pPr>
    </w:p>
    <w:p>
      <w:pPr>
        <w:pStyle w:val="48"/>
      </w:pPr>
    </w:p>
    <w:p>
      <w:pPr>
        <w:pStyle w:val="48"/>
      </w:pPr>
    </w:p>
    <w:p>
      <w:pPr>
        <w:pStyle w:val="48"/>
      </w:pPr>
    </w:p>
    <w:p>
      <w:pPr>
        <w:pStyle w:val="48"/>
      </w:pPr>
    </w:p>
    <w:p>
      <w:pPr>
        <w:pStyle w:val="48"/>
      </w:pPr>
    </w:p>
    <w:p>
      <w:pPr>
        <w:pStyle w:val="48"/>
      </w:pPr>
    </w:p>
    <w:p>
      <w:pPr>
        <w:jc w:val="center"/>
        <w:rPr>
          <w:rFonts w:ascii="黑体" w:hAnsi="黑体" w:eastAsia="黑体"/>
          <w:sz w:val="28"/>
        </w:rPr>
      </w:pPr>
    </w:p>
    <w:p>
      <w:pPr>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jc w:val="center"/>
        <w:rPr>
          <w:rFonts w:ascii="黑体" w:hAnsi="黑体" w:eastAsia="黑体"/>
          <w:sz w:val="84"/>
          <w:szCs w:val="84"/>
        </w:rPr>
      </w:pPr>
    </w:p>
    <w:p>
      <w:pPr>
        <w:pStyle w:val="48"/>
        <w:ind w:firstLine="1680"/>
        <w:rPr>
          <w:rFonts w:ascii="黑体" w:hAnsi="黑体" w:eastAsia="黑体"/>
          <w:sz w:val="84"/>
          <w:szCs w:val="84"/>
        </w:rPr>
      </w:pPr>
    </w:p>
    <w:p>
      <w:pPr>
        <w:pStyle w:val="48"/>
        <w:ind w:left="0" w:leftChars="0" w:firstLine="0" w:firstLineChars="0"/>
        <w:rPr>
          <w:rFonts w:ascii="黑体" w:hAnsi="黑体" w:eastAsia="黑体"/>
          <w:sz w:val="84"/>
          <w:szCs w:val="84"/>
        </w:rPr>
      </w:pPr>
    </w:p>
    <w:p>
      <w:pPr>
        <w:ind w:left="2157" w:leftChars="1027"/>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ind w:left="2157" w:leftChars="1027"/>
        <w:jc w:val="left"/>
        <w:rPr>
          <w:rFonts w:ascii="黑体" w:hAnsi="黑体" w:eastAsia="黑体"/>
          <w:sz w:val="32"/>
        </w:rPr>
      </w:pPr>
    </w:p>
    <w:p>
      <w:pPr>
        <w:ind w:left="2157" w:leftChars="1027"/>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bookmarkStart w:id="122" w:name="_Toc28532556"/>
      <w:r>
        <w:rPr>
          <w:rFonts w:hint="eastAsia" w:ascii="黑体" w:hAnsi="黑体" w:eastAsia="黑体"/>
          <w:sz w:val="32"/>
        </w:rPr>
        <w:t>二</w:t>
      </w:r>
      <w:r>
        <w:rPr>
          <w:rFonts w:ascii="黑体" w:hAnsi="黑体" w:eastAsia="黑体"/>
          <w:sz w:val="32"/>
        </w:rPr>
        <w:t>○</w:t>
      </w:r>
      <w:r>
        <w:rPr>
          <w:rFonts w:hint="eastAsia" w:ascii="黑体" w:hAnsi="黑体" w:eastAsia="黑体"/>
          <w:sz w:val="32"/>
        </w:rPr>
        <w:t>二二</w:t>
      </w:r>
      <w:r>
        <w:rPr>
          <w:rFonts w:ascii="黑体" w:hAnsi="黑体" w:eastAsia="黑体"/>
          <w:sz w:val="32"/>
        </w:rPr>
        <w:t>年</w:t>
      </w:r>
      <w:r>
        <w:rPr>
          <w:rFonts w:hint="eastAsia" w:ascii="黑体" w:hAnsi="黑体" w:eastAsia="黑体"/>
          <w:sz w:val="32"/>
        </w:rPr>
        <w:t xml:space="preserve">   </w:t>
      </w:r>
      <w:r>
        <w:rPr>
          <w:rFonts w:ascii="黑体" w:hAnsi="黑体" w:eastAsia="黑体"/>
          <w:sz w:val="32"/>
        </w:rPr>
        <w:t>月</w:t>
      </w:r>
      <w:bookmarkEnd w:id="122"/>
    </w:p>
    <w:p>
      <w:pPr>
        <w:spacing w:line="276" w:lineRule="auto"/>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委托方（甲方）：</w:t>
      </w: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spacing w:line="360" w:lineRule="auto"/>
        <w:ind w:firstLine="480" w:firstLineChars="200"/>
        <w:rPr>
          <w:sz w:val="24"/>
          <w:szCs w:val="24"/>
        </w:rPr>
      </w:pPr>
      <w:r>
        <w:rPr>
          <w:rFonts w:hint="eastAsia"/>
          <w:sz w:val="24"/>
          <w:szCs w:val="24"/>
        </w:rPr>
        <w:t>经比选，甲方确定乙方为深铁集团房地产开发企业一级资质申报服务的服务单位，并已接受乙方就此提出的报价文件。根据《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》及有关法律、法规的规定，双方本着合法、自愿、诚实信用和友好合作的原则，就甲方委托乙方提供深铁集团房地产开发企业一级资质申报服务，达成本合同，双方恪守信用，共同执行本合同所有条款。</w:t>
      </w:r>
    </w:p>
    <w:p>
      <w:pPr>
        <w:spacing w:line="360" w:lineRule="auto"/>
        <w:ind w:firstLine="482" w:firstLineChars="200"/>
        <w:rPr>
          <w:b/>
          <w:bCs/>
          <w:sz w:val="24"/>
          <w:szCs w:val="24"/>
        </w:rPr>
      </w:pPr>
      <w:r>
        <w:rPr>
          <w:rFonts w:hint="eastAsia"/>
          <w:b/>
          <w:bCs/>
          <w:sz w:val="24"/>
          <w:szCs w:val="24"/>
        </w:rPr>
        <w:t>一、服务内容</w:t>
      </w:r>
    </w:p>
    <w:p>
      <w:pPr>
        <w:spacing w:line="360" w:lineRule="auto"/>
        <w:ind w:firstLine="480" w:firstLineChars="200"/>
        <w:rPr>
          <w:sz w:val="24"/>
          <w:szCs w:val="24"/>
        </w:rPr>
      </w:pPr>
      <w:r>
        <w:rPr>
          <w:rFonts w:hint="eastAsia"/>
          <w:sz w:val="24"/>
          <w:szCs w:val="24"/>
        </w:rPr>
        <w:t>甲方委托乙方承接深铁集团房地产开发企业一级资质申报服务，乙方需配合甲方完成以下事项：</w:t>
      </w:r>
    </w:p>
    <w:p>
      <w:pPr>
        <w:numPr>
          <w:ilvl w:val="0"/>
          <w:numId w:val="11"/>
        </w:numPr>
        <w:spacing w:line="360" w:lineRule="auto"/>
        <w:ind w:firstLine="480" w:firstLineChars="200"/>
        <w:rPr>
          <w:sz w:val="24"/>
          <w:szCs w:val="24"/>
        </w:rPr>
      </w:pPr>
      <w:r>
        <w:rPr>
          <w:rFonts w:hint="eastAsia"/>
          <w:sz w:val="24"/>
          <w:szCs w:val="24"/>
        </w:rPr>
        <w:t>搜集、汇总及整理房地产开发资质申报的相关文件资料，包括但不限于公司治理文件、任职文件、开发业绩情况、项目投资情况、专业人员职称情况等；</w:t>
      </w:r>
    </w:p>
    <w:p>
      <w:pPr>
        <w:numPr>
          <w:ilvl w:val="0"/>
          <w:numId w:val="11"/>
        </w:numPr>
        <w:spacing w:line="360" w:lineRule="auto"/>
        <w:ind w:firstLine="480" w:firstLineChars="200"/>
        <w:rPr>
          <w:sz w:val="24"/>
          <w:szCs w:val="24"/>
        </w:rPr>
      </w:pPr>
      <w:r>
        <w:rPr>
          <w:rFonts w:hint="eastAsia"/>
          <w:sz w:val="24"/>
          <w:szCs w:val="24"/>
        </w:rPr>
        <w:t>于国家住建部最近评审批次上会前上报开发资质核准资料，在甲方规定时限内为甲方取得房地产开发企业一级资质；</w:t>
      </w:r>
    </w:p>
    <w:p>
      <w:pPr>
        <w:numPr>
          <w:ilvl w:val="0"/>
          <w:numId w:val="11"/>
        </w:numPr>
        <w:spacing w:line="360" w:lineRule="auto"/>
        <w:ind w:firstLine="480" w:firstLineChars="200"/>
        <w:rPr>
          <w:sz w:val="24"/>
          <w:szCs w:val="24"/>
        </w:rPr>
      </w:pPr>
      <w:r>
        <w:rPr>
          <w:rFonts w:hint="eastAsia"/>
          <w:sz w:val="24"/>
          <w:szCs w:val="24"/>
        </w:rPr>
        <w:t>制作、填写线上线下相关资质申报材料，整理、制作线上线下全套资质申报材料，并根据收文单位要求与甲方指令，及时跟进申报材料的完善与修订工作；</w:t>
      </w:r>
    </w:p>
    <w:p>
      <w:pPr>
        <w:spacing w:line="360" w:lineRule="auto"/>
        <w:ind w:firstLine="480" w:firstLineChars="200"/>
        <w:rPr>
          <w:sz w:val="24"/>
          <w:szCs w:val="24"/>
        </w:rPr>
      </w:pPr>
      <w:r>
        <w:rPr>
          <w:rFonts w:hint="eastAsia"/>
          <w:sz w:val="24"/>
          <w:szCs w:val="24"/>
        </w:rPr>
        <w:t>（四）代为交接、领取房地产开发企业资质申报过程中的往来文件和资质核准许可文件；</w:t>
      </w:r>
    </w:p>
    <w:p>
      <w:pPr>
        <w:spacing w:line="360" w:lineRule="auto"/>
        <w:ind w:firstLine="480" w:firstLineChars="200"/>
        <w:rPr>
          <w:sz w:val="24"/>
          <w:szCs w:val="24"/>
        </w:rPr>
      </w:pPr>
      <w:r>
        <w:rPr>
          <w:rFonts w:hint="eastAsia"/>
          <w:sz w:val="24"/>
          <w:szCs w:val="24"/>
        </w:rPr>
        <w:t>（五）代表甲方协调相关主管部门、单位的沟通工作。</w:t>
      </w:r>
    </w:p>
    <w:p>
      <w:pPr>
        <w:spacing w:line="360" w:lineRule="auto"/>
        <w:ind w:firstLine="482" w:firstLineChars="200"/>
        <w:rPr>
          <w:b/>
          <w:bCs/>
          <w:sz w:val="24"/>
          <w:szCs w:val="24"/>
        </w:rPr>
      </w:pPr>
      <w:r>
        <w:rPr>
          <w:rFonts w:hint="eastAsia"/>
          <w:b/>
          <w:bCs/>
          <w:sz w:val="24"/>
          <w:szCs w:val="24"/>
        </w:rPr>
        <w:t>二、服务期限</w:t>
      </w:r>
    </w:p>
    <w:p>
      <w:pPr>
        <w:spacing w:line="360" w:lineRule="auto"/>
        <w:ind w:firstLine="480" w:firstLineChars="200"/>
        <w:rPr>
          <w:sz w:val="24"/>
          <w:szCs w:val="24"/>
        </w:rPr>
      </w:pPr>
      <w:r>
        <w:rPr>
          <w:rFonts w:hint="eastAsia"/>
          <w:sz w:val="24"/>
          <w:szCs w:val="24"/>
        </w:rPr>
        <w:t>本合同签订之日起至本合同全部工作完成为止。甲方有权提前终止合同，双方据实结算，除此外，甲方不承担其他责任。</w:t>
      </w:r>
    </w:p>
    <w:p>
      <w:pPr>
        <w:spacing w:line="360" w:lineRule="auto"/>
        <w:ind w:firstLine="482" w:firstLineChars="200"/>
        <w:rPr>
          <w:b/>
          <w:bCs/>
          <w:sz w:val="24"/>
          <w:szCs w:val="24"/>
        </w:rPr>
      </w:pPr>
      <w:r>
        <w:rPr>
          <w:rFonts w:hint="eastAsia"/>
          <w:b/>
          <w:bCs/>
          <w:sz w:val="24"/>
          <w:szCs w:val="24"/>
        </w:rPr>
        <w:t>三、合同价款及付款条款</w:t>
      </w:r>
    </w:p>
    <w:p>
      <w:pPr>
        <w:spacing w:line="360" w:lineRule="auto"/>
        <w:ind w:firstLine="480" w:firstLineChars="200"/>
        <w:rPr>
          <w:sz w:val="24"/>
          <w:szCs w:val="24"/>
        </w:rPr>
      </w:pPr>
      <w:r>
        <w:rPr>
          <w:rFonts w:hint="eastAsia"/>
          <w:sz w:val="24"/>
          <w:szCs w:val="24"/>
        </w:rPr>
        <w:t>（一）计价方法</w:t>
      </w:r>
    </w:p>
    <w:p>
      <w:pPr>
        <w:spacing w:line="360" w:lineRule="auto"/>
        <w:ind w:firstLine="480" w:firstLineChars="200"/>
        <w:rPr>
          <w:sz w:val="24"/>
          <w:szCs w:val="24"/>
        </w:rPr>
      </w:pPr>
      <w:r>
        <w:rPr>
          <w:rFonts w:hint="eastAsia"/>
          <w:sz w:val="24"/>
          <w:szCs w:val="24"/>
        </w:rPr>
        <w:t>总价包干合同。</w:t>
      </w:r>
    </w:p>
    <w:p>
      <w:pPr>
        <w:numPr>
          <w:ilvl w:val="0"/>
          <w:numId w:val="12"/>
        </w:numPr>
        <w:spacing w:line="360" w:lineRule="auto"/>
        <w:ind w:firstLine="480" w:firstLineChars="200"/>
        <w:rPr>
          <w:sz w:val="24"/>
          <w:szCs w:val="24"/>
        </w:rPr>
      </w:pPr>
      <w:r>
        <w:rPr>
          <w:rFonts w:hint="eastAsia"/>
          <w:sz w:val="24"/>
          <w:szCs w:val="24"/>
        </w:rPr>
        <w:t>合同价款</w:t>
      </w:r>
    </w:p>
    <w:p>
      <w:pPr>
        <w:spacing w:line="360" w:lineRule="auto"/>
        <w:ind w:firstLine="480" w:firstLineChars="200"/>
        <w:rPr>
          <w:sz w:val="24"/>
          <w:szCs w:val="24"/>
        </w:rPr>
      </w:pPr>
      <w:r>
        <w:rPr>
          <w:rFonts w:hint="eastAsia"/>
          <w:sz w:val="24"/>
          <w:szCs w:val="24"/>
        </w:rPr>
        <w:t>合同款价：本合同含税总价为XX元，其中不含税价XX元，增值税税额 XX  元，税率XX %。合同的增值税率根据国家税收法规政策变动而调整，不含税价不随增值税率的变化进行调整。</w:t>
      </w:r>
    </w:p>
    <w:p>
      <w:pPr>
        <w:spacing w:line="360" w:lineRule="auto"/>
        <w:ind w:firstLine="480" w:firstLineChars="200"/>
        <w:rPr>
          <w:sz w:val="24"/>
          <w:szCs w:val="24"/>
        </w:rPr>
      </w:pPr>
      <w:r>
        <w:rPr>
          <w:rFonts w:hint="eastAsia"/>
          <w:sz w:val="24"/>
          <w:szCs w:val="24"/>
        </w:rPr>
        <w:t>（三）支付条款</w:t>
      </w:r>
    </w:p>
    <w:p>
      <w:pPr>
        <w:spacing w:line="360" w:lineRule="auto"/>
        <w:ind w:firstLine="480" w:firstLineChars="200"/>
        <w:rPr>
          <w:sz w:val="24"/>
          <w:szCs w:val="24"/>
        </w:rPr>
      </w:pPr>
      <w:r>
        <w:rPr>
          <w:rFonts w:hint="eastAsia"/>
          <w:sz w:val="24"/>
          <w:szCs w:val="24"/>
        </w:rPr>
        <w:t>（1）合同费用原则上根据本项目工作的实际完成情况分阶段按以下比例进行支付。每次付款应由乙方根据合同规定提出付款申请、工作成果及证明文件等验收材料，并提供合法有效的增值税专用发票，经甲方审核通过后21个工作日内支付。</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514"/>
        <w:gridCol w:w="3146"/>
        <w:gridCol w:w="2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 w:type="pct"/>
            <w:vAlign w:val="center"/>
          </w:tcPr>
          <w:p>
            <w:pPr>
              <w:adjustRightInd w:val="0"/>
              <w:snapToGrid w:val="0"/>
              <w:spacing w:line="276" w:lineRule="auto"/>
              <w:jc w:val="center"/>
              <w:rPr>
                <w:rFonts w:ascii="宋体" w:hAnsi="宋体"/>
                <w:color w:val="0D0D0D"/>
                <w:kern w:val="0"/>
                <w:sz w:val="24"/>
                <w:szCs w:val="24"/>
              </w:rPr>
            </w:pPr>
            <w:bookmarkStart w:id="123" w:name="_Hlk97814322"/>
            <w:r>
              <w:rPr>
                <w:rFonts w:hint="eastAsia" w:ascii="宋体" w:hAnsi="宋体"/>
                <w:color w:val="0D0D0D"/>
                <w:kern w:val="0"/>
                <w:sz w:val="24"/>
                <w:szCs w:val="24"/>
              </w:rPr>
              <w:t>工作项目</w:t>
            </w:r>
          </w:p>
        </w:tc>
        <w:tc>
          <w:tcPr>
            <w:tcW w:w="888" w:type="pct"/>
            <w:vAlign w:val="center"/>
          </w:tcPr>
          <w:p>
            <w:pPr>
              <w:adjustRightInd w:val="0"/>
              <w:snapToGrid w:val="0"/>
              <w:spacing w:line="276" w:lineRule="auto"/>
              <w:jc w:val="center"/>
              <w:rPr>
                <w:rFonts w:ascii="宋体" w:hAnsi="宋体"/>
                <w:color w:val="0D0D0D"/>
                <w:kern w:val="0"/>
                <w:sz w:val="24"/>
                <w:szCs w:val="24"/>
              </w:rPr>
            </w:pPr>
            <w:r>
              <w:rPr>
                <w:rFonts w:hint="eastAsia" w:ascii="宋体" w:hAnsi="宋体"/>
                <w:color w:val="0D0D0D"/>
                <w:kern w:val="0"/>
                <w:sz w:val="24"/>
                <w:szCs w:val="24"/>
              </w:rPr>
              <w:t>付款期次</w:t>
            </w:r>
          </w:p>
        </w:tc>
        <w:tc>
          <w:tcPr>
            <w:tcW w:w="1845" w:type="pct"/>
            <w:vAlign w:val="center"/>
          </w:tcPr>
          <w:p>
            <w:pPr>
              <w:adjustRightInd w:val="0"/>
              <w:snapToGrid w:val="0"/>
              <w:spacing w:line="276" w:lineRule="auto"/>
              <w:jc w:val="center"/>
              <w:rPr>
                <w:rFonts w:ascii="宋体" w:hAnsi="宋体"/>
                <w:color w:val="0D0D0D"/>
                <w:kern w:val="0"/>
                <w:sz w:val="24"/>
                <w:szCs w:val="24"/>
              </w:rPr>
            </w:pPr>
            <w:r>
              <w:rPr>
                <w:rFonts w:hint="eastAsia" w:ascii="宋体" w:hAnsi="宋体"/>
                <w:color w:val="0D0D0D"/>
                <w:kern w:val="0"/>
                <w:sz w:val="24"/>
                <w:szCs w:val="24"/>
              </w:rPr>
              <w:t>付款节点</w:t>
            </w:r>
          </w:p>
        </w:tc>
        <w:tc>
          <w:tcPr>
            <w:tcW w:w="1500" w:type="pct"/>
            <w:vAlign w:val="center"/>
          </w:tcPr>
          <w:p>
            <w:pPr>
              <w:adjustRightInd w:val="0"/>
              <w:snapToGrid w:val="0"/>
              <w:spacing w:line="276" w:lineRule="auto"/>
              <w:jc w:val="center"/>
              <w:rPr>
                <w:rFonts w:ascii="宋体" w:hAnsi="宋体"/>
                <w:color w:val="0D0D0D"/>
                <w:kern w:val="0"/>
                <w:sz w:val="24"/>
                <w:szCs w:val="24"/>
              </w:rPr>
            </w:pPr>
            <w:r>
              <w:rPr>
                <w:rFonts w:hint="eastAsia" w:ascii="宋体" w:hAnsi="宋体"/>
                <w:color w:val="0D0D0D"/>
                <w:kern w:val="0"/>
                <w:sz w:val="24"/>
                <w:szCs w:val="24"/>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 w:type="pct"/>
            <w:vMerge w:val="restart"/>
            <w:vAlign w:val="center"/>
          </w:tcPr>
          <w:p>
            <w:pPr>
              <w:adjustRightInd w:val="0"/>
              <w:snapToGrid w:val="0"/>
              <w:spacing w:line="276" w:lineRule="auto"/>
              <w:jc w:val="center"/>
              <w:rPr>
                <w:rFonts w:ascii="宋体" w:hAnsi="宋体"/>
                <w:color w:val="0D0D0D"/>
                <w:kern w:val="0"/>
                <w:sz w:val="24"/>
                <w:szCs w:val="24"/>
              </w:rPr>
            </w:pPr>
            <w:r>
              <w:rPr>
                <w:rFonts w:hint="eastAsia" w:ascii="宋体" w:hAnsi="宋体"/>
                <w:color w:val="0D0D0D"/>
                <w:kern w:val="0"/>
                <w:sz w:val="24"/>
                <w:szCs w:val="24"/>
              </w:rPr>
              <w:t>深铁集团房地产开发企业一级资质申报</w:t>
            </w:r>
          </w:p>
        </w:tc>
        <w:tc>
          <w:tcPr>
            <w:tcW w:w="888"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第一次付款</w:t>
            </w:r>
          </w:p>
        </w:tc>
        <w:tc>
          <w:tcPr>
            <w:tcW w:w="1845" w:type="pct"/>
            <w:vAlign w:val="center"/>
          </w:tcPr>
          <w:p>
            <w:pPr>
              <w:adjustRightInd w:val="0"/>
              <w:snapToGrid w:val="0"/>
              <w:spacing w:line="276" w:lineRule="auto"/>
              <w:rPr>
                <w:rFonts w:ascii="宋体" w:hAnsi="宋体"/>
                <w:color w:val="0D0D0D"/>
                <w:kern w:val="0"/>
                <w:sz w:val="24"/>
                <w:szCs w:val="24"/>
              </w:rPr>
            </w:pPr>
            <w:r>
              <w:rPr>
                <w:rFonts w:hint="eastAsia" w:ascii="宋体" w:hAnsi="宋体" w:cs="宋体"/>
                <w:sz w:val="24"/>
                <w:szCs w:val="24"/>
              </w:rPr>
              <w:t>完成合同签订之后</w:t>
            </w:r>
          </w:p>
        </w:tc>
        <w:tc>
          <w:tcPr>
            <w:tcW w:w="1500"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支付合同总价的1</w:t>
            </w:r>
            <w:r>
              <w:rPr>
                <w:rFonts w:ascii="宋体" w:hAnsi="宋体"/>
                <w:color w:val="0D0D0D"/>
                <w:kern w:val="0"/>
                <w:sz w:val="24"/>
                <w:szCs w:val="24"/>
              </w:rPr>
              <w:t>0</w:t>
            </w:r>
            <w:r>
              <w:rPr>
                <w:rFonts w:hint="eastAsia" w:ascii="宋体" w:hAnsi="宋体"/>
                <w:color w:val="0D0D0D"/>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 w:type="pct"/>
            <w:vMerge w:val="continue"/>
            <w:vAlign w:val="center"/>
          </w:tcPr>
          <w:p>
            <w:pPr>
              <w:adjustRightInd w:val="0"/>
              <w:snapToGrid w:val="0"/>
              <w:spacing w:line="276" w:lineRule="auto"/>
              <w:rPr>
                <w:rFonts w:ascii="宋体" w:hAnsi="宋体"/>
                <w:color w:val="0D0D0D"/>
                <w:kern w:val="0"/>
                <w:sz w:val="24"/>
                <w:szCs w:val="24"/>
              </w:rPr>
            </w:pPr>
          </w:p>
        </w:tc>
        <w:tc>
          <w:tcPr>
            <w:tcW w:w="888"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第二次付款</w:t>
            </w:r>
          </w:p>
        </w:tc>
        <w:tc>
          <w:tcPr>
            <w:tcW w:w="1845" w:type="pct"/>
            <w:vAlign w:val="center"/>
          </w:tcPr>
          <w:p>
            <w:pPr>
              <w:adjustRightInd w:val="0"/>
              <w:snapToGrid w:val="0"/>
              <w:spacing w:line="276" w:lineRule="auto"/>
              <w:rPr>
                <w:rFonts w:ascii="宋体" w:hAnsi="宋体"/>
                <w:color w:val="0D0D0D"/>
                <w:kern w:val="0"/>
                <w:sz w:val="24"/>
                <w:szCs w:val="24"/>
              </w:rPr>
            </w:pPr>
            <w:r>
              <w:rPr>
                <w:rFonts w:ascii="宋体" w:hAnsi="宋体" w:cs="宋体"/>
                <w:sz w:val="24"/>
                <w:szCs w:val="24"/>
              </w:rPr>
              <w:t>通过</w:t>
            </w:r>
            <w:r>
              <w:rPr>
                <w:rFonts w:hint="eastAsia" w:ascii="宋体" w:hAnsi="宋体" w:cs="宋体"/>
                <w:sz w:val="24"/>
                <w:szCs w:val="24"/>
              </w:rPr>
              <w:t>国家</w:t>
            </w:r>
            <w:r>
              <w:rPr>
                <w:rFonts w:ascii="宋体" w:hAnsi="宋体" w:cs="宋体"/>
                <w:sz w:val="24"/>
                <w:szCs w:val="24"/>
              </w:rPr>
              <w:t>住建部评审后（住建部官网公示时间为准）</w:t>
            </w:r>
          </w:p>
        </w:tc>
        <w:tc>
          <w:tcPr>
            <w:tcW w:w="1500"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支付至合同总价的6</w:t>
            </w:r>
            <w:r>
              <w:rPr>
                <w:rFonts w:ascii="宋体" w:hAnsi="宋体"/>
                <w:color w:val="0D0D0D"/>
                <w:kern w:val="0"/>
                <w:sz w:val="24"/>
                <w:szCs w:val="24"/>
              </w:rPr>
              <w:t>0</w:t>
            </w:r>
            <w:r>
              <w:rPr>
                <w:rFonts w:hint="eastAsia" w:ascii="宋体" w:hAnsi="宋体"/>
                <w:color w:val="0D0D0D"/>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 w:type="pct"/>
            <w:vMerge w:val="continue"/>
            <w:vAlign w:val="center"/>
          </w:tcPr>
          <w:p>
            <w:pPr>
              <w:adjustRightInd w:val="0"/>
              <w:snapToGrid w:val="0"/>
              <w:spacing w:line="276" w:lineRule="auto"/>
              <w:rPr>
                <w:rFonts w:ascii="宋体" w:hAnsi="宋体"/>
                <w:color w:val="0D0D0D"/>
                <w:kern w:val="0"/>
                <w:sz w:val="24"/>
                <w:szCs w:val="24"/>
              </w:rPr>
            </w:pPr>
          </w:p>
        </w:tc>
        <w:tc>
          <w:tcPr>
            <w:tcW w:w="888"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第三次付款</w:t>
            </w:r>
          </w:p>
        </w:tc>
        <w:tc>
          <w:tcPr>
            <w:tcW w:w="1845"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领取一级资质证书且完成合同约定的全部工作且完成合同结算后</w:t>
            </w:r>
          </w:p>
        </w:tc>
        <w:tc>
          <w:tcPr>
            <w:tcW w:w="1500" w:type="pct"/>
            <w:vAlign w:val="center"/>
          </w:tcPr>
          <w:p>
            <w:pPr>
              <w:adjustRightInd w:val="0"/>
              <w:snapToGrid w:val="0"/>
              <w:spacing w:line="276" w:lineRule="auto"/>
              <w:rPr>
                <w:rFonts w:ascii="宋体" w:hAnsi="宋体"/>
                <w:color w:val="0D0D0D"/>
                <w:kern w:val="0"/>
                <w:sz w:val="24"/>
                <w:szCs w:val="24"/>
              </w:rPr>
            </w:pPr>
            <w:r>
              <w:rPr>
                <w:rFonts w:hint="eastAsia" w:ascii="宋体" w:hAnsi="宋体"/>
                <w:color w:val="0D0D0D"/>
                <w:kern w:val="0"/>
                <w:sz w:val="24"/>
                <w:szCs w:val="24"/>
              </w:rPr>
              <w:t>完成合同结算后，支付至合同总价的100%。</w:t>
            </w:r>
          </w:p>
        </w:tc>
      </w:tr>
      <w:bookmarkEnd w:id="123"/>
    </w:tbl>
    <w:p>
      <w:pPr>
        <w:pStyle w:val="2"/>
        <w:numPr>
          <w:ilvl w:val="0"/>
          <w:numId w:val="13"/>
        </w:numPr>
        <w:ind w:firstLine="232" w:firstLineChars="100"/>
        <w:rPr>
          <w:rFonts w:ascii="宋体" w:hAnsi="宋体" w:cs="宋体"/>
        </w:rPr>
      </w:pPr>
      <w:r>
        <w:rPr>
          <w:rFonts w:hint="eastAsia" w:ascii="宋体" w:hAnsi="宋体" w:cs="宋体"/>
          <w:spacing w:val="-4"/>
          <w:sz w:val="24"/>
          <w:szCs w:val="24"/>
        </w:rPr>
        <w:t>乙方应在甲方付款前，向甲方提供正式的增值税专用发票，否则甲方有权拒绝付款，且并不因此承担任何违约责任，乙方仍应按本合同约定履行义务。</w:t>
      </w:r>
    </w:p>
    <w:p>
      <w:pPr>
        <w:pStyle w:val="2"/>
        <w:numPr>
          <w:ilvl w:val="0"/>
          <w:numId w:val="13"/>
        </w:numPr>
        <w:ind w:firstLine="240" w:firstLineChars="100"/>
        <w:rPr>
          <w:rFonts w:ascii="宋体" w:hAnsi="宋体" w:cs="宋体"/>
          <w:sz w:val="24"/>
          <w:szCs w:val="24"/>
        </w:rPr>
      </w:pPr>
      <w:r>
        <w:rPr>
          <w:rFonts w:hint="eastAsia" w:ascii="宋体" w:hAnsi="宋体" w:cs="宋体"/>
          <w:sz w:val="24"/>
          <w:szCs w:val="24"/>
        </w:rPr>
        <w:t>合同价款含设计费、制作费、人工费、交通费、政府报批收费、税金等一切乙方为了履行本项目委托事项所产生的费用。本合同价款不因任何事由上浮，包括但不限于不可抗力、价格上涨等因素。乙方不得以任何理由要求调整费用总金额，甲方也无需就本合同项下的服务另行支付其他任何费用。</w:t>
      </w:r>
    </w:p>
    <w:p>
      <w:pPr>
        <w:numPr>
          <w:ilvl w:val="255"/>
          <w:numId w:val="0"/>
        </w:numPr>
        <w:spacing w:line="360" w:lineRule="auto"/>
        <w:ind w:firstLine="482" w:firstLineChars="200"/>
        <w:rPr>
          <w:b/>
          <w:bCs/>
          <w:sz w:val="24"/>
          <w:szCs w:val="24"/>
        </w:rPr>
      </w:pPr>
      <w:r>
        <w:rPr>
          <w:rFonts w:hint="eastAsia"/>
          <w:b/>
          <w:bCs/>
          <w:sz w:val="24"/>
          <w:szCs w:val="24"/>
        </w:rPr>
        <w:t>四、双方的权利义务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（一）甲方的权利义务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w:t>
      </w:r>
      <w:r>
        <w:rPr>
          <w:rFonts w:hint="eastAsia" w:ascii="宋体" w:hAnsi="宋体" w:cs="宋体"/>
          <w:spacing w:val="-4"/>
          <w:sz w:val="24"/>
          <w:szCs w:val="24"/>
          <w:lang w:eastAsia="zh-Hans"/>
        </w:rPr>
        <w:t>.</w:t>
      </w:r>
      <w:r>
        <w:rPr>
          <w:rFonts w:hint="eastAsia" w:ascii="宋体" w:hAnsi="宋体" w:cs="宋体"/>
          <w:spacing w:val="-4"/>
          <w:sz w:val="24"/>
          <w:szCs w:val="24"/>
        </w:rPr>
        <w:t>甲方须提供基础材料包括：1.工商营业执照(企业章程、股东会决议等)和原资质证正副本、法定代表人身份证扫描件及一寸照片4张、年度财务会计报告；2.企业近三年的开发竣工项目（五证）和在建项目相关证明资料。（以上材料中工商和开发项目业绩资料甲方必须提供，其他资料和职称人员提供不齐全的由乙方负责补充），以上所有资料有关主审部门验原件留复印件。</w:t>
      </w:r>
    </w:p>
    <w:p>
      <w:pPr>
        <w:tabs>
          <w:tab w:val="left" w:pos="840"/>
        </w:tabs>
        <w:spacing w:line="360" w:lineRule="auto"/>
        <w:ind w:firstLine="464" w:firstLineChars="200"/>
        <w:rPr>
          <w:rFonts w:ascii="宋体" w:hAnsi="宋体" w:cs="宋体"/>
          <w:spacing w:val="-4"/>
          <w:sz w:val="24"/>
          <w:szCs w:val="24"/>
        </w:rPr>
      </w:pPr>
      <w:r>
        <w:rPr>
          <w:rFonts w:ascii="宋体" w:hAnsi="宋体" w:cs="宋体"/>
          <w:spacing w:val="-4"/>
          <w:sz w:val="24"/>
          <w:szCs w:val="24"/>
        </w:rPr>
        <w:t>2.甲方须配合乙方办理、提供相应的工商及开发项目业绩相关基础资料,</w:t>
      </w:r>
      <w:r>
        <w:rPr>
          <w:rFonts w:hint="eastAsia" w:ascii="宋体" w:hAnsi="宋体" w:cs="宋体"/>
          <w:spacing w:val="-4"/>
          <w:sz w:val="24"/>
          <w:szCs w:val="24"/>
        </w:rPr>
        <w:t>并完成</w:t>
      </w:r>
      <w:r>
        <w:rPr>
          <w:rFonts w:ascii="宋体" w:hAnsi="宋体" w:cs="宋体"/>
          <w:spacing w:val="-4"/>
          <w:sz w:val="24"/>
          <w:szCs w:val="24"/>
        </w:rPr>
        <w:t>企业人员的三库一平台录入。</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（二）乙方的权利义务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1.乙方须收集、汇总及整理甲方提供的房地产开发资质申报相关材料并提出指导意见。</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2.乙方须整理填报广东省厅和住建部网上申报系统，录入资质申报相关材料。</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3.乙方须补充职称人员及相关职称材料，根据收文单位要求与甲方指令，及时跟进申报材料的完善与修订工作。</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4.乙方须代为交接、领取房地产开发企业资质申报过程中的往来文件和资质核准许可文件。</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5.乙方须协调相关主管部门、单位的沟通工作。</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6.乙方须于国家住建部最近评审批次上会前上报开发资质核准资料，在甲方规定时限内为深圳市地铁集团有限公司取得房地产开发企业一级资质。</w:t>
      </w:r>
    </w:p>
    <w:p>
      <w:pPr>
        <w:pStyle w:val="2"/>
        <w:ind w:firstLine="420" w:firstLineChars="200"/>
        <w:rPr>
          <w:rFonts w:ascii="宋体" w:hAnsi="宋体" w:cs="宋体"/>
          <w:spacing w:val="-4"/>
          <w:sz w:val="24"/>
          <w:szCs w:val="24"/>
        </w:rPr>
      </w:pPr>
      <w:r>
        <w:rPr>
          <w:rFonts w:hint="eastAsia"/>
        </w:rPr>
        <w:t>7．其他与本项目相关的工作。</w:t>
      </w:r>
    </w:p>
    <w:p>
      <w:pPr>
        <w:spacing w:line="360" w:lineRule="auto"/>
        <w:ind w:firstLine="482" w:firstLineChars="200"/>
        <w:rPr>
          <w:b/>
          <w:bCs/>
          <w:sz w:val="24"/>
          <w:szCs w:val="24"/>
        </w:rPr>
      </w:pPr>
      <w:r>
        <w:rPr>
          <w:rFonts w:hint="eastAsia"/>
          <w:b/>
          <w:bCs/>
          <w:sz w:val="24"/>
          <w:szCs w:val="24"/>
        </w:rPr>
        <w:t>五、违约责任</w:t>
      </w:r>
    </w:p>
    <w:p>
      <w:pPr>
        <w:spacing w:line="360" w:lineRule="auto"/>
        <w:ind w:firstLine="480" w:firstLineChars="200"/>
        <w:rPr>
          <w:sz w:val="24"/>
          <w:szCs w:val="24"/>
        </w:rPr>
      </w:pPr>
      <w:r>
        <w:rPr>
          <w:rFonts w:hint="eastAsia"/>
          <w:sz w:val="24"/>
          <w:szCs w:val="24"/>
        </w:rPr>
        <w:t>1、乙方必须保证资质办理效率等达到甲方要求，并在甲方要求时限内完成资质申报材料递交工作。如因乙方原因发生逾期，每延误1天，乙方每天人民币1000元向甲方支付违约金，该违约金可直接在应付的合同价款中予以扣除；如逾期7天及以上的，甲方有权单方面解除合同，乙方除应按合同价款的20%支付违约金并退还已收取款项外，还应承担由此给甲方造成的直接、间接经济损失及相应的法律责任。</w:t>
      </w:r>
    </w:p>
    <w:p>
      <w:pPr>
        <w:spacing w:line="360" w:lineRule="auto"/>
        <w:ind w:firstLine="480" w:firstLineChars="200"/>
        <w:rPr>
          <w:sz w:val="24"/>
          <w:szCs w:val="24"/>
        </w:rPr>
      </w:pPr>
      <w:r>
        <w:rPr>
          <w:rFonts w:hint="eastAsia"/>
          <w:sz w:val="24"/>
          <w:szCs w:val="24"/>
        </w:rPr>
        <w:t>2、乙方需负责一级资质全流程线上线下材料申报、服务及咨询工作，如甲方要求乙方执行的资质申报相关事项乙方拒绝配合，则须按合同价款的20％支付给甲方违约金，且甲方有权解除合同。</w:t>
      </w:r>
    </w:p>
    <w:p>
      <w:pPr>
        <w:spacing w:line="360" w:lineRule="auto"/>
        <w:ind w:firstLine="480" w:firstLineChars="200"/>
        <w:rPr>
          <w:sz w:val="24"/>
          <w:szCs w:val="24"/>
        </w:rPr>
      </w:pPr>
      <w:r>
        <w:rPr>
          <w:rFonts w:hint="eastAsia"/>
          <w:sz w:val="24"/>
          <w:szCs w:val="24"/>
        </w:rPr>
        <w:t>3、如乙方无正当理由部分或全部不履行本合同时，甲方有权解除合同，乙方须按合同价款的20％支付给甲方违约金、返还已收取的首期款，并赔偿甲方损失。如乙方因自身原因单方面终止本合同的，应按本合同价款的20%支付违约金并将已收取的款退还给甲方。</w:t>
      </w:r>
    </w:p>
    <w:p>
      <w:pPr>
        <w:spacing w:line="360" w:lineRule="auto"/>
        <w:ind w:firstLine="480" w:firstLineChars="200"/>
      </w:pPr>
      <w:r>
        <w:rPr>
          <w:rFonts w:hint="eastAsia"/>
          <w:sz w:val="24"/>
          <w:szCs w:val="24"/>
        </w:rPr>
        <w:t>4、如深铁集团房地产开发企业一级资质一次性办理失败，未成功领取一级资质证书，乙方需全额退还甲方已支付费用，同时甲方保留一级资质办理失败追诉赔偿的权利。</w:t>
      </w:r>
    </w:p>
    <w:p>
      <w:pPr>
        <w:spacing w:line="360" w:lineRule="auto"/>
        <w:ind w:firstLine="480" w:firstLineChars="200"/>
        <w:rPr>
          <w:sz w:val="24"/>
          <w:szCs w:val="24"/>
        </w:rPr>
      </w:pPr>
      <w:r>
        <w:rPr>
          <w:rFonts w:hint="eastAsia"/>
          <w:sz w:val="24"/>
          <w:szCs w:val="24"/>
        </w:rPr>
        <w:t>5、甲方向乙方提交的一切文件、资料以及乙方为甲方完成的成果及文件，乙方有保密的义务，未经甲方同意，不得泄露或转让给第三方，否则，乙方应向甲方支付合同价款20%的违约金，并承担由此引起的法律责任</w:t>
      </w:r>
      <w:bookmarkStart w:id="124" w:name="_Hlk111820018"/>
      <w:r>
        <w:rPr>
          <w:rFonts w:hint="eastAsia"/>
          <w:sz w:val="24"/>
          <w:szCs w:val="24"/>
        </w:rPr>
        <w:t>，如给甲方造成损失的，乙方须全额赔偿甲方损失</w:t>
      </w:r>
      <w:bookmarkEnd w:id="124"/>
      <w:r>
        <w:rPr>
          <w:rFonts w:hint="eastAsia"/>
          <w:sz w:val="24"/>
          <w:szCs w:val="24"/>
        </w:rPr>
        <w:t>。</w:t>
      </w:r>
    </w:p>
    <w:p>
      <w:pPr>
        <w:pStyle w:val="2"/>
        <w:spacing w:line="360" w:lineRule="auto"/>
        <w:ind w:firstLine="480" w:firstLineChars="200"/>
        <w:rPr>
          <w:rFonts w:hint="eastAsia"/>
          <w:sz w:val="24"/>
          <w:szCs w:val="24"/>
        </w:rPr>
      </w:pPr>
      <w:r>
        <w:rPr>
          <w:sz w:val="24"/>
          <w:szCs w:val="24"/>
        </w:rPr>
        <w:t>6.乙方应在甲方要求的时间内退还全部费用，否则，每逾期一天，向甲方支付合同总价万分之三的违约金直至退还全部费用止。</w:t>
      </w:r>
    </w:p>
    <w:p>
      <w:pPr>
        <w:spacing w:line="360" w:lineRule="auto"/>
        <w:ind w:firstLine="480" w:firstLineChars="200"/>
        <w:rPr>
          <w:szCs w:val="21"/>
        </w:rPr>
      </w:pPr>
      <w:r>
        <w:rPr>
          <w:rFonts w:hint="eastAsia"/>
          <w:sz w:val="24"/>
          <w:szCs w:val="24"/>
        </w:rPr>
        <w:t>上述违约金、</w:t>
      </w:r>
      <w:r>
        <w:rPr>
          <w:sz w:val="24"/>
          <w:szCs w:val="24"/>
        </w:rPr>
        <w:t>赔偿金等</w:t>
      </w:r>
      <w:r>
        <w:rPr>
          <w:rFonts w:hint="eastAsia"/>
          <w:sz w:val="24"/>
          <w:szCs w:val="24"/>
        </w:rPr>
        <w:t>由甲方在应支付给乙方的费用中扣除。不足部分甲方有权追偿。</w:t>
      </w:r>
    </w:p>
    <w:p>
      <w:pPr>
        <w:spacing w:line="360" w:lineRule="auto"/>
        <w:ind w:firstLine="482" w:firstLineChars="200"/>
        <w:rPr>
          <w:b/>
          <w:color w:val="FF0000"/>
          <w:sz w:val="24"/>
          <w:szCs w:val="24"/>
        </w:rPr>
      </w:pPr>
      <w:r>
        <w:rPr>
          <w:rFonts w:hint="eastAsia"/>
          <w:b/>
          <w:sz w:val="24"/>
          <w:szCs w:val="24"/>
        </w:rPr>
        <w:t>六、知识产权</w:t>
      </w:r>
    </w:p>
    <w:p>
      <w:pPr>
        <w:spacing w:line="360" w:lineRule="auto"/>
        <w:ind w:firstLine="480" w:firstLineChars="200"/>
        <w:rPr>
          <w:sz w:val="24"/>
          <w:szCs w:val="24"/>
        </w:rPr>
      </w:pPr>
      <w:r>
        <w:rPr>
          <w:rFonts w:hint="eastAsia"/>
          <w:sz w:val="24"/>
          <w:szCs w:val="24"/>
        </w:rPr>
        <w:t>1.本合同期限内及合同期满后，在甲方按本合同约定支付服务费的情况下，该阶段的全部工作成果所有权和知识产权均归甲方所有，未经甲方同意许可，乙方不得再次在其他项目中使用。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6.乙方违反上述条款有关约定的，单次违约应当向甲方支付实施版价款</w:t>
      </w:r>
      <w:r>
        <w:rPr>
          <w:sz w:val="24"/>
          <w:szCs w:val="24"/>
        </w:rPr>
        <w:t>金额</w:t>
      </w:r>
      <w:r>
        <w:rPr>
          <w:rFonts w:hint="eastAsia"/>
          <w:sz w:val="24"/>
          <w:szCs w:val="24"/>
        </w:rPr>
        <w:t>20%的违约金。</w:t>
      </w:r>
    </w:p>
    <w:p>
      <w:pPr>
        <w:spacing w:line="360" w:lineRule="auto"/>
        <w:ind w:firstLine="482" w:firstLineChars="200"/>
        <w:rPr>
          <w:b/>
          <w:bCs/>
          <w:sz w:val="24"/>
          <w:szCs w:val="24"/>
        </w:rPr>
      </w:pPr>
      <w:r>
        <w:rPr>
          <w:rFonts w:hint="eastAsia"/>
          <w:b/>
          <w:bCs/>
          <w:sz w:val="24"/>
          <w:szCs w:val="24"/>
        </w:rPr>
        <w:t>七、保密</w:t>
      </w:r>
    </w:p>
    <w:p>
      <w:pPr>
        <w:spacing w:line="360" w:lineRule="auto"/>
        <w:ind w:firstLine="480" w:firstLineChars="200"/>
        <w:rPr>
          <w:sz w:val="24"/>
          <w:szCs w:val="24"/>
        </w:rPr>
      </w:pPr>
      <w:r>
        <w:rPr>
          <w:rFonts w:hint="eastAsia"/>
          <w:sz w:val="24"/>
          <w:szCs w:val="24"/>
        </w:rPr>
        <w:t>甲方提供给乙方所有的资料、文件、证书等，均视为保密，未经甲方书面许可，乙方不得泄漏给除甲方相关人员之外的任何个人或其他单位，不管本合同因何种原因终止，本条款一直有效，如乙方违反此条款，一经发现，甲方随时有权就此要求乙方支付不低于总合同款项</w:t>
      </w:r>
      <w:r>
        <w:rPr>
          <w:sz w:val="24"/>
          <w:szCs w:val="24"/>
        </w:rPr>
        <w:t>20</w:t>
      </w:r>
      <w:r>
        <w:rPr>
          <w:rFonts w:hint="eastAsia"/>
          <w:sz w:val="24"/>
          <w:szCs w:val="24"/>
        </w:rPr>
        <w:t>%的违约金。</w:t>
      </w:r>
    </w:p>
    <w:p>
      <w:pPr>
        <w:spacing w:line="360" w:lineRule="auto"/>
        <w:ind w:firstLine="482" w:firstLineChars="200"/>
        <w:rPr>
          <w:b/>
          <w:bCs/>
          <w:sz w:val="24"/>
          <w:szCs w:val="24"/>
        </w:rPr>
      </w:pPr>
      <w:r>
        <w:rPr>
          <w:rFonts w:hint="eastAsia"/>
          <w:b/>
          <w:bCs/>
          <w:sz w:val="24"/>
          <w:szCs w:val="24"/>
        </w:rPr>
        <w:t>八、合同的变更与解除</w:t>
      </w:r>
    </w:p>
    <w:p>
      <w:pPr>
        <w:spacing w:line="360" w:lineRule="auto"/>
        <w:ind w:firstLine="480" w:firstLineChars="200"/>
        <w:rPr>
          <w:sz w:val="24"/>
          <w:szCs w:val="24"/>
        </w:rPr>
      </w:pPr>
      <w:r>
        <w:rPr>
          <w:rFonts w:hint="eastAsia"/>
          <w:sz w:val="24"/>
          <w:szCs w:val="24"/>
        </w:rPr>
        <w:t>1.合同生效后，即具有法律约束力，除本合同有相关约定外，任何一方不得随意变更或解除合同。</w:t>
      </w:r>
    </w:p>
    <w:p>
      <w:pPr>
        <w:spacing w:line="360" w:lineRule="auto"/>
        <w:ind w:firstLine="480" w:firstLineChars="200"/>
        <w:rPr>
          <w:sz w:val="24"/>
          <w:szCs w:val="24"/>
        </w:rPr>
      </w:pPr>
      <w:r>
        <w:rPr>
          <w:rFonts w:hint="eastAsia"/>
          <w:sz w:val="24"/>
          <w:szCs w:val="24"/>
        </w:rPr>
        <w:t>2.由于不可抗力的原因，使合同无法完全履行的时候，经双方协商，可以变更或解除合同。</w:t>
      </w:r>
    </w:p>
    <w:p>
      <w:pPr>
        <w:spacing w:line="360" w:lineRule="auto"/>
        <w:ind w:firstLine="480" w:firstLineChars="200"/>
        <w:rPr>
          <w:sz w:val="24"/>
          <w:szCs w:val="24"/>
        </w:rPr>
      </w:pPr>
      <w:r>
        <w:rPr>
          <w:rFonts w:hint="eastAsia"/>
          <w:sz w:val="24"/>
          <w:szCs w:val="24"/>
        </w:rPr>
        <w:t>3.本合同的任何修改，由双方协商同意并另行签订补充协议。</w:t>
      </w:r>
    </w:p>
    <w:p>
      <w:pPr>
        <w:spacing w:line="360" w:lineRule="auto"/>
        <w:ind w:firstLine="480" w:firstLineChars="200"/>
        <w:rPr>
          <w:sz w:val="24"/>
          <w:szCs w:val="24"/>
        </w:rPr>
      </w:pPr>
      <w:r>
        <w:rPr>
          <w:rFonts w:hint="eastAsia"/>
          <w:sz w:val="24"/>
          <w:szCs w:val="24"/>
        </w:rPr>
        <w:t>4.如甲方安排乙方从事本项目工作范围以外的项目或其他额外项目，双方应按照本合同的规定进行协商，经协商一致，另行签订补充协议。</w:t>
      </w:r>
    </w:p>
    <w:p>
      <w:pPr>
        <w:spacing w:line="360" w:lineRule="auto"/>
        <w:ind w:firstLine="482" w:firstLineChars="200"/>
        <w:rPr>
          <w:b/>
          <w:bCs/>
          <w:sz w:val="24"/>
          <w:szCs w:val="24"/>
        </w:rPr>
      </w:pPr>
      <w:r>
        <w:rPr>
          <w:rFonts w:hint="eastAsia"/>
          <w:b/>
          <w:bCs/>
          <w:sz w:val="24"/>
          <w:szCs w:val="24"/>
        </w:rPr>
        <w:t>九、争议解决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pStyle w:val="2"/>
      </w:pPr>
      <w:r>
        <w:rPr>
          <w:rFonts w:hint="eastAsia"/>
        </w:rPr>
        <w:t xml:space="preserve"> </w:t>
      </w:r>
      <w:r>
        <w:t xml:space="preserve">   </w:t>
      </w:r>
      <w:r>
        <w:rPr>
          <w:b/>
          <w:bCs/>
        </w:rPr>
        <w:t xml:space="preserve"> </w:t>
      </w:r>
      <w:r>
        <w:rPr>
          <w:rFonts w:hint="eastAsia"/>
          <w:b/>
          <w:bCs/>
          <w:sz w:val="24"/>
          <w:szCs w:val="24"/>
        </w:rPr>
        <w:t>十、通知和送达</w:t>
      </w:r>
    </w:p>
    <w:p>
      <w:pPr>
        <w:pStyle w:val="2"/>
        <w:ind w:firstLine="480" w:firstLineChars="200"/>
        <w:rPr>
          <w:sz w:val="24"/>
          <w:szCs w:val="24"/>
        </w:rPr>
      </w:pPr>
      <w:r>
        <w:rPr>
          <w:rFonts w:hint="eastAsia"/>
          <w:sz w:val="24"/>
          <w:szCs w:val="24"/>
        </w:rPr>
        <w:t>双方送达地址和联系人、联系电话。</w:t>
      </w:r>
    </w:p>
    <w:p>
      <w:pPr>
        <w:pStyle w:val="2"/>
        <w:ind w:firstLine="480" w:firstLineChars="200"/>
        <w:rPr>
          <w:sz w:val="24"/>
          <w:szCs w:val="24"/>
        </w:rPr>
      </w:pPr>
      <w:r>
        <w:rPr>
          <w:rFonts w:hint="eastAsia"/>
          <w:sz w:val="24"/>
          <w:szCs w:val="24"/>
        </w:rPr>
        <w:t>甲</w:t>
      </w:r>
      <w:r>
        <w:rPr>
          <w:sz w:val="24"/>
          <w:szCs w:val="24"/>
        </w:rPr>
        <w:t>方</w:t>
      </w:r>
      <w:r>
        <w:rPr>
          <w:rFonts w:hint="eastAsia"/>
          <w:sz w:val="24"/>
          <w:szCs w:val="24"/>
        </w:rPr>
        <w:t>地</w:t>
      </w:r>
      <w:r>
        <w:rPr>
          <w:sz w:val="24"/>
          <w:szCs w:val="24"/>
        </w:rPr>
        <w:t>址：</w:t>
      </w:r>
    </w:p>
    <w:p>
      <w:pPr>
        <w:pStyle w:val="2"/>
        <w:ind w:firstLine="480" w:firstLineChars="200"/>
        <w:rPr>
          <w:sz w:val="24"/>
          <w:szCs w:val="24"/>
        </w:rPr>
      </w:pPr>
      <w:r>
        <w:rPr>
          <w:rFonts w:hint="eastAsia"/>
          <w:sz w:val="24"/>
          <w:szCs w:val="24"/>
        </w:rPr>
        <w:t>联系</w:t>
      </w:r>
      <w:r>
        <w:rPr>
          <w:sz w:val="24"/>
          <w:szCs w:val="24"/>
        </w:rPr>
        <w:t>人</w:t>
      </w:r>
      <w:r>
        <w:rPr>
          <w:rFonts w:hint="eastAsia"/>
          <w:sz w:val="24"/>
          <w:szCs w:val="24"/>
        </w:rPr>
        <w:t xml:space="preserve">：             </w:t>
      </w:r>
    </w:p>
    <w:p>
      <w:pPr>
        <w:pStyle w:val="2"/>
        <w:ind w:firstLine="480" w:firstLineChars="200"/>
        <w:rPr>
          <w:rFonts w:hint="eastAsia"/>
          <w:sz w:val="24"/>
          <w:szCs w:val="24"/>
        </w:rPr>
      </w:pPr>
      <w:r>
        <w:rPr>
          <w:rFonts w:hint="eastAsia"/>
          <w:sz w:val="24"/>
          <w:szCs w:val="24"/>
        </w:rPr>
        <w:t xml:space="preserve"> 联系</w:t>
      </w:r>
      <w:r>
        <w:rPr>
          <w:sz w:val="24"/>
          <w:szCs w:val="24"/>
        </w:rPr>
        <w:t>电话：</w:t>
      </w:r>
    </w:p>
    <w:p>
      <w:pPr>
        <w:pStyle w:val="2"/>
        <w:ind w:firstLine="480" w:firstLineChars="200"/>
        <w:rPr>
          <w:sz w:val="24"/>
          <w:szCs w:val="24"/>
        </w:rPr>
      </w:pPr>
      <w:r>
        <w:rPr>
          <w:rFonts w:hint="eastAsia"/>
          <w:sz w:val="24"/>
          <w:szCs w:val="24"/>
        </w:rPr>
        <w:t>乙</w:t>
      </w:r>
      <w:r>
        <w:rPr>
          <w:sz w:val="24"/>
          <w:szCs w:val="24"/>
        </w:rPr>
        <w:t>方</w:t>
      </w:r>
      <w:r>
        <w:rPr>
          <w:rFonts w:hint="eastAsia"/>
          <w:sz w:val="24"/>
          <w:szCs w:val="24"/>
        </w:rPr>
        <w:t>地</w:t>
      </w:r>
      <w:r>
        <w:rPr>
          <w:sz w:val="24"/>
          <w:szCs w:val="24"/>
        </w:rPr>
        <w:t>址：</w:t>
      </w:r>
    </w:p>
    <w:p>
      <w:pPr>
        <w:pStyle w:val="2"/>
        <w:ind w:firstLine="480" w:firstLineChars="200"/>
        <w:rPr>
          <w:sz w:val="24"/>
          <w:szCs w:val="24"/>
        </w:rPr>
      </w:pPr>
      <w:r>
        <w:rPr>
          <w:rFonts w:hint="eastAsia"/>
          <w:sz w:val="24"/>
          <w:szCs w:val="24"/>
        </w:rPr>
        <w:t>联系</w:t>
      </w:r>
      <w:r>
        <w:rPr>
          <w:sz w:val="24"/>
          <w:szCs w:val="24"/>
        </w:rPr>
        <w:t>人：</w:t>
      </w:r>
    </w:p>
    <w:p>
      <w:pPr>
        <w:pStyle w:val="2"/>
        <w:ind w:firstLine="480" w:firstLineChars="200"/>
        <w:rPr>
          <w:rFonts w:hint="eastAsia"/>
          <w:sz w:val="24"/>
          <w:szCs w:val="24"/>
        </w:rPr>
      </w:pPr>
      <w:r>
        <w:rPr>
          <w:rFonts w:hint="eastAsia"/>
          <w:sz w:val="24"/>
          <w:szCs w:val="24"/>
        </w:rPr>
        <w:t>联系</w:t>
      </w:r>
      <w:r>
        <w:rPr>
          <w:sz w:val="24"/>
          <w:szCs w:val="24"/>
        </w:rPr>
        <w:t>电话：</w:t>
      </w:r>
    </w:p>
    <w:p>
      <w:pPr>
        <w:spacing w:line="360" w:lineRule="auto"/>
        <w:ind w:firstLine="482" w:firstLineChars="200"/>
        <w:rPr>
          <w:b/>
          <w:bCs/>
          <w:sz w:val="24"/>
          <w:szCs w:val="24"/>
        </w:rPr>
      </w:pPr>
      <w:r>
        <w:rPr>
          <w:rFonts w:hint="eastAsia"/>
          <w:b/>
          <w:bCs/>
          <w:sz w:val="24"/>
          <w:szCs w:val="24"/>
        </w:rPr>
        <w:t>十一、其他</w:t>
      </w:r>
    </w:p>
    <w:p>
      <w:pPr>
        <w:spacing w:line="360" w:lineRule="auto"/>
        <w:ind w:firstLine="480" w:firstLineChars="200"/>
        <w:rPr>
          <w:sz w:val="24"/>
          <w:szCs w:val="24"/>
        </w:rPr>
      </w:pPr>
      <w:r>
        <w:rPr>
          <w:rFonts w:hint="eastAsia"/>
          <w:sz w:val="24"/>
          <w:szCs w:val="24"/>
        </w:rPr>
        <w:t>1.本合同经双方法定代表人或授权代表签字，并加盖公章或合同专用章后即为生效。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pStyle w:val="48"/>
        <w:ind w:firstLine="480"/>
        <w:rPr>
          <w:sz w:val="24"/>
          <w:szCs w:val="24"/>
        </w:rPr>
      </w:pPr>
    </w:p>
    <w:p>
      <w:pPr>
        <w:pStyle w:val="48"/>
        <w:ind w:firstLine="480"/>
        <w:rPr>
          <w:sz w:val="24"/>
          <w:szCs w:val="24"/>
        </w:rPr>
      </w:pPr>
    </w:p>
    <w:p>
      <w:pPr>
        <w:pStyle w:val="48"/>
        <w:ind w:firstLine="480"/>
        <w:rPr>
          <w:sz w:val="24"/>
          <w:szCs w:val="24"/>
        </w:rPr>
      </w:pPr>
    </w:p>
    <w:p>
      <w:pPr>
        <w:pStyle w:val="48"/>
        <w:ind w:firstLine="480"/>
        <w:rPr>
          <w:sz w:val="24"/>
          <w:szCs w:val="24"/>
        </w:rPr>
      </w:pPr>
    </w:p>
    <w:p>
      <w:pPr>
        <w:pStyle w:val="48"/>
        <w:ind w:firstLine="480"/>
        <w:rPr>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spacing w:line="360" w:lineRule="auto"/>
        <w:rPr>
          <w:b/>
          <w:bCs/>
          <w:sz w:val="24"/>
          <w:szCs w:val="24"/>
        </w:rPr>
      </w:pPr>
      <w:r>
        <w:rPr>
          <w:rFonts w:hint="eastAsia"/>
          <w:b/>
          <w:bCs/>
          <w:sz w:val="24"/>
          <w:szCs w:val="24"/>
        </w:rPr>
        <w:t>（此页无正文）</w:t>
      </w:r>
    </w:p>
    <w:tbl>
      <w:tblPr>
        <w:tblStyle w:val="49"/>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甲方(公章)：</w:t>
            </w:r>
          </w:p>
        </w:tc>
        <w:tc>
          <w:tcPr>
            <w:tcW w:w="2588" w:type="dxa"/>
          </w:tcPr>
          <w:p>
            <w:pPr>
              <w:spacing w:before="25" w:line="360" w:lineRule="auto"/>
              <w:rPr>
                <w:rFonts w:ascii="宋体" w:hAnsi="宋体"/>
                <w:b/>
                <w:color w:val="0D0D0D"/>
                <w:sz w:val="24"/>
                <w:szCs w:val="24"/>
              </w:rPr>
            </w:pPr>
          </w:p>
        </w:tc>
        <w:tc>
          <w:tcPr>
            <w:tcW w:w="2107" w:type="dxa"/>
          </w:tcPr>
          <w:p>
            <w:pPr>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合约部门经办人及电话:</w:t>
            </w: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544"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544" w:type="dxa"/>
          <w:trHeight w:val="353" w:hRule="exact"/>
        </w:trPr>
        <w:tc>
          <w:tcPr>
            <w:tcW w:w="2379" w:type="dxa"/>
          </w:tcPr>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乙方(公章)：</w:t>
            </w:r>
          </w:p>
        </w:tc>
        <w:tc>
          <w:tcPr>
            <w:tcW w:w="2588" w:type="dxa"/>
          </w:tcPr>
          <w:p>
            <w:pPr>
              <w:spacing w:line="360" w:lineRule="auto"/>
              <w:rPr>
                <w:rFonts w:ascii="宋体" w:hAnsi="宋体"/>
                <w:b/>
                <w:color w:val="0D0D0D"/>
                <w:sz w:val="24"/>
                <w:szCs w:val="24"/>
              </w:rPr>
            </w:pPr>
          </w:p>
        </w:tc>
        <w:tc>
          <w:tcPr>
            <w:tcW w:w="2107" w:type="dxa"/>
          </w:tcPr>
          <w:p>
            <w:pPr>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乙方经办人：</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深  圳</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时      间：</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bl>
    <w:p>
      <w:pPr>
        <w:autoSpaceDE w:val="0"/>
        <w:autoSpaceDN w:val="0"/>
        <w:spacing w:line="360" w:lineRule="auto"/>
        <w:rPr>
          <w:rFonts w:ascii="宋体" w:hAnsi="宋体"/>
          <w:spacing w:val="-4"/>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Microsoft YaHei UI Light"/>
    <w:panose1 w:val="00000000000000000000"/>
    <w:charset w:val="50"/>
    <w:family w:val="auto"/>
    <w:pitch w:val="default"/>
    <w:sig w:usb0="00000000" w:usb1="00000000" w:usb2="00000000" w:usb3="00000000" w:csb0="2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2"/>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15003"/>
    <w:multiLevelType w:val="singleLevel"/>
    <w:tmpl w:val="84115003"/>
    <w:lvl w:ilvl="0" w:tentative="0">
      <w:start w:val="1"/>
      <w:numFmt w:val="decimal"/>
      <w:suff w:val="nothing"/>
      <w:lvlText w:val="（%1）"/>
      <w:lvlJc w:val="left"/>
    </w:lvl>
  </w:abstractNum>
  <w:abstractNum w:abstractNumId="1">
    <w:nsid w:val="9F471458"/>
    <w:multiLevelType w:val="singleLevel"/>
    <w:tmpl w:val="9F471458"/>
    <w:lvl w:ilvl="0" w:tentative="0">
      <w:start w:val="5"/>
      <w:numFmt w:val="chineseCounting"/>
      <w:suff w:val="nothing"/>
      <w:lvlText w:val="%1、"/>
      <w:lvlJc w:val="left"/>
      <w:rPr>
        <w:rFonts w:hint="eastAsia"/>
      </w:rPr>
    </w:lvl>
  </w:abstractNum>
  <w:abstractNum w:abstractNumId="2">
    <w:nsid w:val="A07FAAEC"/>
    <w:multiLevelType w:val="singleLevel"/>
    <w:tmpl w:val="A07FAAEC"/>
    <w:lvl w:ilvl="0" w:tentative="0">
      <w:start w:val="1"/>
      <w:numFmt w:val="decimal"/>
      <w:suff w:val="nothing"/>
      <w:lvlText w:val="%1、"/>
      <w:lvlJc w:val="left"/>
    </w:lvl>
  </w:abstractNum>
  <w:abstractNum w:abstractNumId="3">
    <w:nsid w:val="A9D9BDFE"/>
    <w:multiLevelType w:val="singleLevel"/>
    <w:tmpl w:val="A9D9BDFE"/>
    <w:lvl w:ilvl="0" w:tentative="0">
      <w:start w:val="1"/>
      <w:numFmt w:val="chineseCounting"/>
      <w:suff w:val="nothing"/>
      <w:lvlText w:val="（%1）"/>
      <w:lvlJc w:val="left"/>
      <w:rPr>
        <w:rFonts w:hint="eastAsia"/>
      </w:rPr>
    </w:lvl>
  </w:abstractNum>
  <w:abstractNum w:abstractNumId="4">
    <w:nsid w:val="DADDB84E"/>
    <w:multiLevelType w:val="singleLevel"/>
    <w:tmpl w:val="DADDB84E"/>
    <w:lvl w:ilvl="0" w:tentative="0">
      <w:start w:val="2"/>
      <w:numFmt w:val="chineseCounting"/>
      <w:suff w:val="nothing"/>
      <w:lvlText w:val="%1、"/>
      <w:lvlJc w:val="left"/>
      <w:pPr>
        <w:ind w:left="0" w:firstLine="0"/>
      </w:pPr>
    </w:lvl>
  </w:abstractNum>
  <w:abstractNum w:abstractNumId="5">
    <w:nsid w:val="E5376821"/>
    <w:multiLevelType w:val="singleLevel"/>
    <w:tmpl w:val="E5376821"/>
    <w:lvl w:ilvl="0" w:tentative="0">
      <w:start w:val="2"/>
      <w:numFmt w:val="decimal"/>
      <w:suff w:val="nothing"/>
      <w:lvlText w:val="（%1）"/>
      <w:lvlJc w:val="left"/>
    </w:lvl>
  </w:abstractNum>
  <w:abstractNum w:abstractNumId="6">
    <w:nsid w:val="0ABA1C75"/>
    <w:multiLevelType w:val="singleLevel"/>
    <w:tmpl w:val="0ABA1C75"/>
    <w:lvl w:ilvl="0" w:tentative="0">
      <w:start w:val="2"/>
      <w:numFmt w:val="chineseCounting"/>
      <w:suff w:val="nothing"/>
      <w:lvlText w:val="（%1）"/>
      <w:lvlJc w:val="left"/>
      <w:rPr>
        <w:rFonts w:hint="eastAsia"/>
      </w:rPr>
    </w:lvl>
  </w:abstractNum>
  <w:abstractNum w:abstractNumId="7">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8">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0F907BD"/>
    <w:multiLevelType w:val="singleLevel"/>
    <w:tmpl w:val="40F907BD"/>
    <w:lvl w:ilvl="0" w:tentative="0">
      <w:start w:val="2"/>
      <w:numFmt w:val="chineseCounting"/>
      <w:suff w:val="nothing"/>
      <w:lvlText w:val="%1、"/>
      <w:lvlJc w:val="left"/>
      <w:rPr>
        <w:rFonts w:hint="eastAsia"/>
      </w:rPr>
    </w:lvl>
  </w:abstractNum>
  <w:abstractNum w:abstractNumId="10">
    <w:nsid w:val="43C650FB"/>
    <w:multiLevelType w:val="multilevel"/>
    <w:tmpl w:val="43C650FB"/>
    <w:lvl w:ilvl="0" w:tentative="0">
      <w:start w:val="1"/>
      <w:numFmt w:val="chineseCountingThousand"/>
      <w:lvlText w:val="第%1条"/>
      <w:lvlJc w:val="left"/>
      <w:pPr>
        <w:tabs>
          <w:tab w:val="left" w:pos="851"/>
        </w:tabs>
        <w:ind w:left="851" w:hanging="851"/>
      </w:pPr>
      <w:rPr>
        <w:rFonts w:hint="eastAsia"/>
        <w:lang w:val="en-US"/>
      </w:rPr>
    </w:lvl>
    <w:lvl w:ilvl="1" w:tentative="0">
      <w:start w:val="1"/>
      <w:numFmt w:val="decimal"/>
      <w:pStyle w:val="236"/>
      <w:isLgl/>
      <w:lvlText w:val="%1.%2"/>
      <w:lvlJc w:val="left"/>
      <w:pPr>
        <w:tabs>
          <w:tab w:val="left" w:pos="851"/>
        </w:tabs>
        <w:ind w:left="851" w:hanging="851"/>
      </w:pPr>
      <w:rPr>
        <w:rFonts w:hint="eastAsia"/>
      </w:rPr>
    </w:lvl>
    <w:lvl w:ilvl="2" w:tentative="0">
      <w:start w:val="1"/>
      <w:numFmt w:val="decimal"/>
      <w:isLgl/>
      <w:lvlText w:val="%1.%2.%3"/>
      <w:lvlJc w:val="left"/>
      <w:pPr>
        <w:tabs>
          <w:tab w:val="left" w:pos="2268"/>
        </w:tabs>
        <w:ind w:left="2268" w:hanging="1134"/>
      </w:pPr>
      <w:rPr>
        <w:rFonts w:hint="eastAsia"/>
      </w:rPr>
    </w:lvl>
    <w:lvl w:ilvl="3" w:tentative="0">
      <w:start w:val="1"/>
      <w:numFmt w:val="decimal"/>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2">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8"/>
  </w:num>
  <w:num w:numId="3">
    <w:abstractNumId w:val="9"/>
  </w:num>
  <w:num w:numId="4">
    <w:abstractNumId w:val="1"/>
  </w:num>
  <w:num w:numId="5">
    <w:abstractNumId w:val="4"/>
    <w:lvlOverride w:ilvl="0">
      <w:startOverride w:val="2"/>
    </w:lvlOverride>
  </w:num>
  <w:num w:numId="6">
    <w:abstractNumId w:val="2"/>
  </w:num>
  <w:num w:numId="7">
    <w:abstractNumId w:val="0"/>
  </w:num>
  <w:num w:numId="8">
    <w:abstractNumId w:val="7"/>
  </w:num>
  <w:num w:numId="9">
    <w:abstractNumId w:val="12"/>
  </w:num>
  <w:num w:numId="10">
    <w:abstractNumId w:val="11"/>
  </w:num>
  <w:num w:numId="11">
    <w:abstractNumId w:val="3"/>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CB"/>
    <w:rsid w:val="0001191C"/>
    <w:rsid w:val="00013033"/>
    <w:rsid w:val="000216E2"/>
    <w:rsid w:val="00034BAB"/>
    <w:rsid w:val="00043044"/>
    <w:rsid w:val="00053EDD"/>
    <w:rsid w:val="000B0F6B"/>
    <w:rsid w:val="000C5AD8"/>
    <w:rsid w:val="000D136E"/>
    <w:rsid w:val="000E0D88"/>
    <w:rsid w:val="000F043F"/>
    <w:rsid w:val="000F6F66"/>
    <w:rsid w:val="001669D4"/>
    <w:rsid w:val="0017576E"/>
    <w:rsid w:val="001A5692"/>
    <w:rsid w:val="001A5C24"/>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208"/>
    <w:rsid w:val="0031446C"/>
    <w:rsid w:val="0032322D"/>
    <w:rsid w:val="00355952"/>
    <w:rsid w:val="003611EC"/>
    <w:rsid w:val="00364EBD"/>
    <w:rsid w:val="00395243"/>
    <w:rsid w:val="003A2EA1"/>
    <w:rsid w:val="003B0D8F"/>
    <w:rsid w:val="003C7FA6"/>
    <w:rsid w:val="003D311D"/>
    <w:rsid w:val="003D3273"/>
    <w:rsid w:val="003D3838"/>
    <w:rsid w:val="003D5D5E"/>
    <w:rsid w:val="003E413C"/>
    <w:rsid w:val="003F5107"/>
    <w:rsid w:val="004346F0"/>
    <w:rsid w:val="004428BD"/>
    <w:rsid w:val="004749C9"/>
    <w:rsid w:val="00477C8C"/>
    <w:rsid w:val="00484587"/>
    <w:rsid w:val="00485A5D"/>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6284B"/>
    <w:rsid w:val="00665CBF"/>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E2CC0"/>
    <w:rsid w:val="007F7BEA"/>
    <w:rsid w:val="008102F1"/>
    <w:rsid w:val="008379CB"/>
    <w:rsid w:val="00840F8F"/>
    <w:rsid w:val="00847462"/>
    <w:rsid w:val="00860E60"/>
    <w:rsid w:val="0086448D"/>
    <w:rsid w:val="00867D2C"/>
    <w:rsid w:val="00872158"/>
    <w:rsid w:val="0088729E"/>
    <w:rsid w:val="00893B3C"/>
    <w:rsid w:val="008A0C92"/>
    <w:rsid w:val="008A3461"/>
    <w:rsid w:val="008C124B"/>
    <w:rsid w:val="008E0588"/>
    <w:rsid w:val="008E3A3C"/>
    <w:rsid w:val="008F016E"/>
    <w:rsid w:val="00921B52"/>
    <w:rsid w:val="00944AA2"/>
    <w:rsid w:val="00945032"/>
    <w:rsid w:val="009526AD"/>
    <w:rsid w:val="00970C9B"/>
    <w:rsid w:val="009757D9"/>
    <w:rsid w:val="00980999"/>
    <w:rsid w:val="00983D59"/>
    <w:rsid w:val="00984021"/>
    <w:rsid w:val="00991392"/>
    <w:rsid w:val="00993A89"/>
    <w:rsid w:val="009A150C"/>
    <w:rsid w:val="009A4BE6"/>
    <w:rsid w:val="009A4F58"/>
    <w:rsid w:val="009B1971"/>
    <w:rsid w:val="009E041F"/>
    <w:rsid w:val="009F3DE7"/>
    <w:rsid w:val="009F7903"/>
    <w:rsid w:val="00A00743"/>
    <w:rsid w:val="00A1458E"/>
    <w:rsid w:val="00A17B34"/>
    <w:rsid w:val="00A35D18"/>
    <w:rsid w:val="00A36907"/>
    <w:rsid w:val="00A53800"/>
    <w:rsid w:val="00A62657"/>
    <w:rsid w:val="00A71890"/>
    <w:rsid w:val="00A90CFD"/>
    <w:rsid w:val="00AA1058"/>
    <w:rsid w:val="00AA64BF"/>
    <w:rsid w:val="00AB1BF6"/>
    <w:rsid w:val="00AB53FB"/>
    <w:rsid w:val="00AC38F6"/>
    <w:rsid w:val="00AF4CFC"/>
    <w:rsid w:val="00B05A60"/>
    <w:rsid w:val="00B1744C"/>
    <w:rsid w:val="00B25685"/>
    <w:rsid w:val="00B25C1C"/>
    <w:rsid w:val="00B366AF"/>
    <w:rsid w:val="00B56D51"/>
    <w:rsid w:val="00B6529A"/>
    <w:rsid w:val="00B66207"/>
    <w:rsid w:val="00B66C82"/>
    <w:rsid w:val="00B7201A"/>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8DC"/>
    <w:rsid w:val="00C60A99"/>
    <w:rsid w:val="00C657F9"/>
    <w:rsid w:val="00C65A28"/>
    <w:rsid w:val="00C95A82"/>
    <w:rsid w:val="00CA2076"/>
    <w:rsid w:val="00CA3563"/>
    <w:rsid w:val="00CC5AFA"/>
    <w:rsid w:val="00CC7986"/>
    <w:rsid w:val="00CD7EA4"/>
    <w:rsid w:val="00CE513F"/>
    <w:rsid w:val="00CF71EF"/>
    <w:rsid w:val="00D02321"/>
    <w:rsid w:val="00D27EE5"/>
    <w:rsid w:val="00D3303F"/>
    <w:rsid w:val="00D3660E"/>
    <w:rsid w:val="00D41174"/>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60576D"/>
    <w:rsid w:val="016729E7"/>
    <w:rsid w:val="01B851DF"/>
    <w:rsid w:val="01D92217"/>
    <w:rsid w:val="02287A18"/>
    <w:rsid w:val="032E4D47"/>
    <w:rsid w:val="03895E19"/>
    <w:rsid w:val="05486E45"/>
    <w:rsid w:val="05590B54"/>
    <w:rsid w:val="057F05BD"/>
    <w:rsid w:val="05B16CF7"/>
    <w:rsid w:val="065A3F7A"/>
    <w:rsid w:val="068421C8"/>
    <w:rsid w:val="073A38EF"/>
    <w:rsid w:val="07731F5F"/>
    <w:rsid w:val="07841B34"/>
    <w:rsid w:val="082B5628"/>
    <w:rsid w:val="0889420E"/>
    <w:rsid w:val="08A80FE4"/>
    <w:rsid w:val="08F33B1E"/>
    <w:rsid w:val="09302C8E"/>
    <w:rsid w:val="0A2C15E1"/>
    <w:rsid w:val="0A5F1A8C"/>
    <w:rsid w:val="0C224DD1"/>
    <w:rsid w:val="0D841421"/>
    <w:rsid w:val="0D84767A"/>
    <w:rsid w:val="0EB425E7"/>
    <w:rsid w:val="0F1F177E"/>
    <w:rsid w:val="0F503C2D"/>
    <w:rsid w:val="10354394"/>
    <w:rsid w:val="113B7241"/>
    <w:rsid w:val="11524677"/>
    <w:rsid w:val="116154F9"/>
    <w:rsid w:val="11977352"/>
    <w:rsid w:val="11EA4B82"/>
    <w:rsid w:val="12CA1F6A"/>
    <w:rsid w:val="134E0C3A"/>
    <w:rsid w:val="13B15654"/>
    <w:rsid w:val="142775FE"/>
    <w:rsid w:val="153D3EA6"/>
    <w:rsid w:val="154148ED"/>
    <w:rsid w:val="16443415"/>
    <w:rsid w:val="167378DE"/>
    <w:rsid w:val="17992D80"/>
    <w:rsid w:val="17C80E13"/>
    <w:rsid w:val="187377D0"/>
    <w:rsid w:val="187D53EA"/>
    <w:rsid w:val="1892E405"/>
    <w:rsid w:val="19492209"/>
    <w:rsid w:val="19846B6B"/>
    <w:rsid w:val="19B0563A"/>
    <w:rsid w:val="19C31ED3"/>
    <w:rsid w:val="19C9185E"/>
    <w:rsid w:val="1AA861F5"/>
    <w:rsid w:val="1AE74234"/>
    <w:rsid w:val="1B80312D"/>
    <w:rsid w:val="1CE94904"/>
    <w:rsid w:val="1D1F2F14"/>
    <w:rsid w:val="1D8A4831"/>
    <w:rsid w:val="1D9B2613"/>
    <w:rsid w:val="1DC47E64"/>
    <w:rsid w:val="1DE56E33"/>
    <w:rsid w:val="1E814254"/>
    <w:rsid w:val="1E9062B3"/>
    <w:rsid w:val="1F3C465B"/>
    <w:rsid w:val="1F5F5687"/>
    <w:rsid w:val="209C728D"/>
    <w:rsid w:val="20B93720"/>
    <w:rsid w:val="21194658"/>
    <w:rsid w:val="21D8405F"/>
    <w:rsid w:val="223236E9"/>
    <w:rsid w:val="22AF6AE8"/>
    <w:rsid w:val="23BE3486"/>
    <w:rsid w:val="243B61F5"/>
    <w:rsid w:val="247578DE"/>
    <w:rsid w:val="24A84414"/>
    <w:rsid w:val="25080900"/>
    <w:rsid w:val="254909EB"/>
    <w:rsid w:val="25592D3B"/>
    <w:rsid w:val="25654EF0"/>
    <w:rsid w:val="256C6A29"/>
    <w:rsid w:val="2672343A"/>
    <w:rsid w:val="26B91CE3"/>
    <w:rsid w:val="26DF6A52"/>
    <w:rsid w:val="27D441DE"/>
    <w:rsid w:val="284F23DA"/>
    <w:rsid w:val="2897327F"/>
    <w:rsid w:val="28FF7D52"/>
    <w:rsid w:val="293B7259"/>
    <w:rsid w:val="294670FF"/>
    <w:rsid w:val="297A6593"/>
    <w:rsid w:val="29B96FF4"/>
    <w:rsid w:val="2A81244C"/>
    <w:rsid w:val="2A86581E"/>
    <w:rsid w:val="2B2D41DB"/>
    <w:rsid w:val="2B9176E1"/>
    <w:rsid w:val="2BC6617C"/>
    <w:rsid w:val="2C1E78EF"/>
    <w:rsid w:val="2CBF3847"/>
    <w:rsid w:val="2CE1B07E"/>
    <w:rsid w:val="2D5269E7"/>
    <w:rsid w:val="2D5D0F3D"/>
    <w:rsid w:val="2E874991"/>
    <w:rsid w:val="2E8F0FD2"/>
    <w:rsid w:val="2EF733E4"/>
    <w:rsid w:val="2F1165C0"/>
    <w:rsid w:val="30063319"/>
    <w:rsid w:val="306E0644"/>
    <w:rsid w:val="323D2BEE"/>
    <w:rsid w:val="33B643A0"/>
    <w:rsid w:val="341B1908"/>
    <w:rsid w:val="348376D6"/>
    <w:rsid w:val="352D3822"/>
    <w:rsid w:val="35B20725"/>
    <w:rsid w:val="3638050E"/>
    <w:rsid w:val="366D1437"/>
    <w:rsid w:val="368051C0"/>
    <w:rsid w:val="371049C3"/>
    <w:rsid w:val="381F574B"/>
    <w:rsid w:val="3862000E"/>
    <w:rsid w:val="38635A90"/>
    <w:rsid w:val="38B63592"/>
    <w:rsid w:val="394C5A0D"/>
    <w:rsid w:val="39A86127"/>
    <w:rsid w:val="3A1E03A8"/>
    <w:rsid w:val="3ADF6AA3"/>
    <w:rsid w:val="3C125DD4"/>
    <w:rsid w:val="3C99647A"/>
    <w:rsid w:val="3CA01523"/>
    <w:rsid w:val="3D477A9A"/>
    <w:rsid w:val="3DB977AE"/>
    <w:rsid w:val="3DE33BDC"/>
    <w:rsid w:val="3E374C21"/>
    <w:rsid w:val="3E3A4BA0"/>
    <w:rsid w:val="3FBB7192"/>
    <w:rsid w:val="3FFB2624"/>
    <w:rsid w:val="3FFF7D64"/>
    <w:rsid w:val="41016908"/>
    <w:rsid w:val="413D1A37"/>
    <w:rsid w:val="434268E8"/>
    <w:rsid w:val="44316F05"/>
    <w:rsid w:val="44361940"/>
    <w:rsid w:val="449255AF"/>
    <w:rsid w:val="45392BCE"/>
    <w:rsid w:val="454F3145"/>
    <w:rsid w:val="45901792"/>
    <w:rsid w:val="45AF3EB4"/>
    <w:rsid w:val="468C2B4D"/>
    <w:rsid w:val="4706715A"/>
    <w:rsid w:val="47141BE2"/>
    <w:rsid w:val="47DB39F7"/>
    <w:rsid w:val="482E7CFA"/>
    <w:rsid w:val="483025F1"/>
    <w:rsid w:val="48A74206"/>
    <w:rsid w:val="493E00E4"/>
    <w:rsid w:val="49A14359"/>
    <w:rsid w:val="49DB6B60"/>
    <w:rsid w:val="4A4059B5"/>
    <w:rsid w:val="4CC93A0F"/>
    <w:rsid w:val="4D383F40"/>
    <w:rsid w:val="4D41569F"/>
    <w:rsid w:val="4D41759F"/>
    <w:rsid w:val="4DA57729"/>
    <w:rsid w:val="4DCF7B29"/>
    <w:rsid w:val="4E036E8C"/>
    <w:rsid w:val="4E2B3DA5"/>
    <w:rsid w:val="4E4B4F9B"/>
    <w:rsid w:val="4E8B5AEB"/>
    <w:rsid w:val="4ECC6A24"/>
    <w:rsid w:val="4FF62C75"/>
    <w:rsid w:val="50AA6D4B"/>
    <w:rsid w:val="50B64B03"/>
    <w:rsid w:val="51394DBE"/>
    <w:rsid w:val="513E53EB"/>
    <w:rsid w:val="51FF0996"/>
    <w:rsid w:val="5202754E"/>
    <w:rsid w:val="52B62395"/>
    <w:rsid w:val="52CD6993"/>
    <w:rsid w:val="53C848CE"/>
    <w:rsid w:val="552C2ED2"/>
    <w:rsid w:val="55307107"/>
    <w:rsid w:val="5565188F"/>
    <w:rsid w:val="55F96668"/>
    <w:rsid w:val="564A221E"/>
    <w:rsid w:val="56B91027"/>
    <w:rsid w:val="56FF3BC2"/>
    <w:rsid w:val="579447BF"/>
    <w:rsid w:val="57BD2100"/>
    <w:rsid w:val="57E802A9"/>
    <w:rsid w:val="58350237"/>
    <w:rsid w:val="58771D8E"/>
    <w:rsid w:val="5A8B15BD"/>
    <w:rsid w:val="5AB47BDF"/>
    <w:rsid w:val="5AF6727A"/>
    <w:rsid w:val="5B147DF5"/>
    <w:rsid w:val="5B813AB0"/>
    <w:rsid w:val="5BDC0D8A"/>
    <w:rsid w:val="5C4E7981"/>
    <w:rsid w:val="5D2E11ED"/>
    <w:rsid w:val="5D335675"/>
    <w:rsid w:val="5D801A07"/>
    <w:rsid w:val="5E5D76E0"/>
    <w:rsid w:val="5EDD1D0C"/>
    <w:rsid w:val="5F3A7F20"/>
    <w:rsid w:val="5F417953"/>
    <w:rsid w:val="5F7D2E3A"/>
    <w:rsid w:val="5F7F7B41"/>
    <w:rsid w:val="5FBED4DA"/>
    <w:rsid w:val="5FE845C0"/>
    <w:rsid w:val="5FFE7D6C"/>
    <w:rsid w:val="60B15A1A"/>
    <w:rsid w:val="61E35D28"/>
    <w:rsid w:val="62A62707"/>
    <w:rsid w:val="62B17737"/>
    <w:rsid w:val="62C45016"/>
    <w:rsid w:val="63436BE9"/>
    <w:rsid w:val="63676BA3"/>
    <w:rsid w:val="63895D01"/>
    <w:rsid w:val="63BC515B"/>
    <w:rsid w:val="645D3FE6"/>
    <w:rsid w:val="64867B56"/>
    <w:rsid w:val="64907342"/>
    <w:rsid w:val="665011EC"/>
    <w:rsid w:val="66AB23FE"/>
    <w:rsid w:val="67BF1BD1"/>
    <w:rsid w:val="68567630"/>
    <w:rsid w:val="68A529B7"/>
    <w:rsid w:val="68B17459"/>
    <w:rsid w:val="68B46056"/>
    <w:rsid w:val="6A541EFF"/>
    <w:rsid w:val="6BD35BF3"/>
    <w:rsid w:val="6BEE3769"/>
    <w:rsid w:val="6C955CB1"/>
    <w:rsid w:val="6DEFA775"/>
    <w:rsid w:val="6DFE5FFB"/>
    <w:rsid w:val="6E085B93"/>
    <w:rsid w:val="6E1F2086"/>
    <w:rsid w:val="6FBD7C19"/>
    <w:rsid w:val="6FF420B8"/>
    <w:rsid w:val="70165BBC"/>
    <w:rsid w:val="70553D01"/>
    <w:rsid w:val="70D34129"/>
    <w:rsid w:val="73296793"/>
    <w:rsid w:val="737E50D1"/>
    <w:rsid w:val="73AA230D"/>
    <w:rsid w:val="73E379C8"/>
    <w:rsid w:val="74B23A90"/>
    <w:rsid w:val="74CE55B2"/>
    <w:rsid w:val="74F3CBC9"/>
    <w:rsid w:val="7509538E"/>
    <w:rsid w:val="75377DCD"/>
    <w:rsid w:val="753B598B"/>
    <w:rsid w:val="75DF705D"/>
    <w:rsid w:val="75E64D79"/>
    <w:rsid w:val="76984C2E"/>
    <w:rsid w:val="76CE4E95"/>
    <w:rsid w:val="76FFBD27"/>
    <w:rsid w:val="77FEF074"/>
    <w:rsid w:val="784D39C8"/>
    <w:rsid w:val="78676689"/>
    <w:rsid w:val="78F41CD4"/>
    <w:rsid w:val="791C0615"/>
    <w:rsid w:val="793741EC"/>
    <w:rsid w:val="7A953F53"/>
    <w:rsid w:val="7A9A1C23"/>
    <w:rsid w:val="7BCD4926"/>
    <w:rsid w:val="7BFE8FAA"/>
    <w:rsid w:val="7C1F350C"/>
    <w:rsid w:val="7CAB7003"/>
    <w:rsid w:val="7CFFD089"/>
    <w:rsid w:val="7D066A1B"/>
    <w:rsid w:val="7D694362"/>
    <w:rsid w:val="7D6E0A21"/>
    <w:rsid w:val="7D7B66C4"/>
    <w:rsid w:val="7DE86CAD"/>
    <w:rsid w:val="7DF30921"/>
    <w:rsid w:val="7E815824"/>
    <w:rsid w:val="7E9FE2BE"/>
    <w:rsid w:val="7EDFB2AF"/>
    <w:rsid w:val="7EFA1665"/>
    <w:rsid w:val="7F6DFFAE"/>
    <w:rsid w:val="7FBF4E91"/>
    <w:rsid w:val="7FBFE0DA"/>
    <w:rsid w:val="7FE37B5A"/>
    <w:rsid w:val="7FEF083D"/>
    <w:rsid w:val="7FF19B46"/>
    <w:rsid w:val="7FF7B9E9"/>
    <w:rsid w:val="A7DB4FFA"/>
    <w:rsid w:val="B5BE1BBF"/>
    <w:rsid w:val="B6FD58E3"/>
    <w:rsid w:val="BE57CEDF"/>
    <w:rsid w:val="DBF5CFAA"/>
    <w:rsid w:val="DFEB3FF7"/>
    <w:rsid w:val="DFFCB07F"/>
    <w:rsid w:val="E4330BC4"/>
    <w:rsid w:val="EB5C33A4"/>
    <w:rsid w:val="EBF6CE66"/>
    <w:rsid w:val="EBF749E2"/>
    <w:rsid w:val="F6F5C200"/>
    <w:rsid w:val="F73F19AC"/>
    <w:rsid w:val="F7A73012"/>
    <w:rsid w:val="F7CF9D3C"/>
    <w:rsid w:val="F7DF61A9"/>
    <w:rsid w:val="F7FB644C"/>
    <w:rsid w:val="FBF613C0"/>
    <w:rsid w:val="FE7FAD23"/>
    <w:rsid w:val="FEAF8AB6"/>
    <w:rsid w:val="FED776A3"/>
    <w:rsid w:val="FF7FC629"/>
    <w:rsid w:val="FFABF1C9"/>
    <w:rsid w:val="FFDDD25C"/>
    <w:rsid w:val="FFFDCCF8"/>
    <w:rsid w:val="FFFF9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qFormat="1" w:uiPriority="0"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9"/>
    <w:qFormat/>
    <w:uiPriority w:val="0"/>
    <w:pPr>
      <w:keepNext/>
      <w:keepLines/>
      <w:adjustRightInd w:val="0"/>
      <w:spacing w:before="340" w:after="330" w:line="578" w:lineRule="atLeast"/>
      <w:jc w:val="center"/>
      <w:outlineLvl w:val="0"/>
    </w:pPr>
    <w:rPr>
      <w:b/>
      <w:kern w:val="44"/>
      <w:sz w:val="20"/>
    </w:rPr>
  </w:style>
  <w:style w:type="paragraph" w:styleId="4">
    <w:name w:val="heading 2"/>
    <w:basedOn w:val="1"/>
    <w:next w:val="1"/>
    <w:link w:val="60"/>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5">
    <w:name w:val="heading 3"/>
    <w:basedOn w:val="1"/>
    <w:next w:val="1"/>
    <w:link w:val="61"/>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6">
    <w:name w:val="heading 4"/>
    <w:basedOn w:val="1"/>
    <w:next w:val="1"/>
    <w:link w:val="62"/>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7">
    <w:name w:val="heading 5"/>
    <w:basedOn w:val="1"/>
    <w:next w:val="1"/>
    <w:link w:val="63"/>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8">
    <w:name w:val="heading 6"/>
    <w:basedOn w:val="1"/>
    <w:next w:val="1"/>
    <w:link w:val="64"/>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9">
    <w:name w:val="heading 7"/>
    <w:basedOn w:val="1"/>
    <w:next w:val="1"/>
    <w:link w:val="65"/>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0">
    <w:name w:val="heading 8"/>
    <w:basedOn w:val="1"/>
    <w:next w:val="1"/>
    <w:link w:val="66"/>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1">
    <w:name w:val="heading 9"/>
    <w:basedOn w:val="1"/>
    <w:next w:val="1"/>
    <w:link w:val="67"/>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pPr>
      <w:spacing w:line="480" w:lineRule="auto"/>
    </w:pPr>
  </w:style>
  <w:style w:type="paragraph" w:styleId="12">
    <w:name w:val="toc 7"/>
    <w:basedOn w:val="1"/>
    <w:next w:val="1"/>
    <w:unhideWhenUsed/>
    <w:qFormat/>
    <w:uiPriority w:val="99"/>
    <w:pPr>
      <w:ind w:left="2520"/>
    </w:pPr>
  </w:style>
  <w:style w:type="paragraph" w:styleId="13">
    <w:name w:val="index 8"/>
    <w:basedOn w:val="1"/>
    <w:next w:val="1"/>
    <w:unhideWhenUsed/>
    <w:qFormat/>
    <w:uiPriority w:val="99"/>
    <w:pPr>
      <w:ind w:left="2940"/>
    </w:pPr>
  </w:style>
  <w:style w:type="paragraph" w:styleId="14">
    <w:name w:val="Normal Indent"/>
    <w:basedOn w:val="1"/>
    <w:unhideWhenUsed/>
    <w:qFormat/>
    <w:uiPriority w:val="99"/>
    <w:pPr>
      <w:ind w:firstLine="420"/>
    </w:pPr>
  </w:style>
  <w:style w:type="paragraph" w:styleId="15">
    <w:name w:val="index 5"/>
    <w:basedOn w:val="1"/>
    <w:next w:val="1"/>
    <w:unhideWhenUsed/>
    <w:qFormat/>
    <w:uiPriority w:val="99"/>
    <w:pPr>
      <w:ind w:left="1680"/>
    </w:pPr>
  </w:style>
  <w:style w:type="paragraph" w:styleId="16">
    <w:name w:val="Document Map"/>
    <w:basedOn w:val="1"/>
    <w:link w:val="78"/>
    <w:unhideWhenUsed/>
    <w:qFormat/>
    <w:uiPriority w:val="99"/>
    <w:pPr>
      <w:shd w:val="clear" w:color="auto" w:fill="000080"/>
    </w:pPr>
    <w:rPr>
      <w:kern w:val="0"/>
      <w:sz w:val="20"/>
    </w:rPr>
  </w:style>
  <w:style w:type="paragraph" w:styleId="17">
    <w:name w:val="annotation text"/>
    <w:basedOn w:val="1"/>
    <w:link w:val="183"/>
    <w:unhideWhenUsed/>
    <w:qFormat/>
    <w:uiPriority w:val="99"/>
    <w:pPr>
      <w:jc w:val="left"/>
    </w:pPr>
  </w:style>
  <w:style w:type="paragraph" w:styleId="18">
    <w:name w:val="index 6"/>
    <w:basedOn w:val="1"/>
    <w:next w:val="1"/>
    <w:unhideWhenUsed/>
    <w:qFormat/>
    <w:uiPriority w:val="99"/>
    <w:pPr>
      <w:ind w:left="2100"/>
    </w:pPr>
  </w:style>
  <w:style w:type="paragraph" w:styleId="19">
    <w:name w:val="Body Text"/>
    <w:basedOn w:val="1"/>
    <w:link w:val="74"/>
    <w:unhideWhenUsed/>
    <w:qFormat/>
    <w:uiPriority w:val="99"/>
    <w:pPr>
      <w:spacing w:line="360" w:lineRule="auto"/>
    </w:pPr>
    <w:rPr>
      <w:kern w:val="0"/>
      <w:sz w:val="20"/>
    </w:rPr>
  </w:style>
  <w:style w:type="paragraph" w:styleId="20">
    <w:name w:val="Body Text Indent"/>
    <w:basedOn w:val="1"/>
    <w:next w:val="21"/>
    <w:link w:val="68"/>
    <w:unhideWhenUsed/>
    <w:qFormat/>
    <w:uiPriority w:val="99"/>
    <w:pPr>
      <w:spacing w:after="120"/>
      <w:ind w:left="420" w:leftChars="200"/>
    </w:pPr>
  </w:style>
  <w:style w:type="paragraph" w:styleId="21">
    <w:name w:val="envelope return"/>
    <w:basedOn w:val="1"/>
    <w:unhideWhenUsed/>
    <w:qFormat/>
    <w:uiPriority w:val="99"/>
    <w:pPr>
      <w:snapToGrid w:val="0"/>
    </w:pPr>
    <w:rPr>
      <w:rFonts w:ascii="Arial" w:hAnsi="Arial"/>
    </w:rPr>
  </w:style>
  <w:style w:type="paragraph" w:styleId="22">
    <w:name w:val="index 4"/>
    <w:basedOn w:val="1"/>
    <w:next w:val="1"/>
    <w:unhideWhenUsed/>
    <w:qFormat/>
    <w:uiPriority w:val="99"/>
    <w:pPr>
      <w:ind w:left="1260"/>
    </w:pPr>
  </w:style>
  <w:style w:type="paragraph" w:styleId="23">
    <w:name w:val="toc 5"/>
    <w:basedOn w:val="1"/>
    <w:next w:val="1"/>
    <w:unhideWhenUsed/>
    <w:qFormat/>
    <w:uiPriority w:val="99"/>
    <w:pPr>
      <w:ind w:left="1680"/>
    </w:pPr>
  </w:style>
  <w:style w:type="paragraph" w:styleId="24">
    <w:name w:val="toc 3"/>
    <w:basedOn w:val="1"/>
    <w:next w:val="1"/>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9"/>
    <w:unhideWhenUsed/>
    <w:qFormat/>
    <w:uiPriority w:val="0"/>
    <w:pPr>
      <w:adjustRightInd w:val="0"/>
      <w:spacing w:line="312" w:lineRule="atLeast"/>
    </w:pPr>
    <w:rPr>
      <w:rFonts w:ascii="宋体" w:hAnsi="Courier New"/>
      <w:kern w:val="0"/>
      <w:sz w:val="20"/>
    </w:rPr>
  </w:style>
  <w:style w:type="paragraph" w:styleId="26">
    <w:name w:val="toc 8"/>
    <w:basedOn w:val="1"/>
    <w:next w:val="1"/>
    <w:unhideWhenUsed/>
    <w:qFormat/>
    <w:uiPriority w:val="99"/>
    <w:pPr>
      <w:ind w:left="2940"/>
    </w:pPr>
  </w:style>
  <w:style w:type="paragraph" w:styleId="27">
    <w:name w:val="index 3"/>
    <w:basedOn w:val="1"/>
    <w:next w:val="1"/>
    <w:unhideWhenUsed/>
    <w:qFormat/>
    <w:uiPriority w:val="99"/>
    <w:pPr>
      <w:ind w:left="840"/>
    </w:pPr>
  </w:style>
  <w:style w:type="paragraph" w:styleId="28">
    <w:name w:val="Date"/>
    <w:basedOn w:val="1"/>
    <w:next w:val="1"/>
    <w:link w:val="75"/>
    <w:unhideWhenUsed/>
    <w:qFormat/>
    <w:uiPriority w:val="99"/>
    <w:rPr>
      <w:kern w:val="0"/>
      <w:sz w:val="28"/>
    </w:rPr>
  </w:style>
  <w:style w:type="paragraph" w:styleId="29">
    <w:name w:val="Body Text Indent 2"/>
    <w:basedOn w:val="1"/>
    <w:link w:val="76"/>
    <w:unhideWhenUsed/>
    <w:qFormat/>
    <w:uiPriority w:val="99"/>
    <w:pPr>
      <w:ind w:left="840"/>
    </w:pPr>
    <w:rPr>
      <w:kern w:val="0"/>
      <w:sz w:val="20"/>
    </w:rPr>
  </w:style>
  <w:style w:type="paragraph" w:styleId="30">
    <w:name w:val="Balloon Text"/>
    <w:basedOn w:val="1"/>
    <w:link w:val="81"/>
    <w:unhideWhenUsed/>
    <w:qFormat/>
    <w:uiPriority w:val="99"/>
    <w:rPr>
      <w:kern w:val="0"/>
      <w:sz w:val="18"/>
      <w:szCs w:val="18"/>
    </w:rPr>
  </w:style>
  <w:style w:type="paragraph" w:styleId="31">
    <w:name w:val="footer"/>
    <w:basedOn w:val="1"/>
    <w:link w:val="58"/>
    <w:unhideWhenUsed/>
    <w:qFormat/>
    <w:uiPriority w:val="99"/>
    <w:pPr>
      <w:tabs>
        <w:tab w:val="center" w:pos="4153"/>
        <w:tab w:val="right" w:pos="8306"/>
      </w:tabs>
      <w:snapToGrid w:val="0"/>
      <w:jc w:val="left"/>
    </w:pPr>
    <w:rPr>
      <w:sz w:val="18"/>
      <w:szCs w:val="18"/>
    </w:rPr>
  </w:style>
  <w:style w:type="paragraph" w:styleId="32">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unhideWhenUsed/>
    <w:qFormat/>
    <w:uiPriority w:val="99"/>
    <w:pPr>
      <w:ind w:left="1260"/>
    </w:pPr>
  </w:style>
  <w:style w:type="paragraph" w:styleId="35">
    <w:name w:val="index heading"/>
    <w:basedOn w:val="1"/>
    <w:next w:val="36"/>
    <w:unhideWhenUsed/>
    <w:qFormat/>
    <w:uiPriority w:val="99"/>
  </w:style>
  <w:style w:type="paragraph" w:styleId="36">
    <w:name w:val="index 1"/>
    <w:basedOn w:val="1"/>
    <w:next w:val="1"/>
    <w:unhideWhenUsed/>
    <w:qFormat/>
    <w:uiPriority w:val="99"/>
  </w:style>
  <w:style w:type="paragraph" w:styleId="37">
    <w:name w:val="toc 6"/>
    <w:basedOn w:val="1"/>
    <w:next w:val="1"/>
    <w:unhideWhenUsed/>
    <w:qFormat/>
    <w:uiPriority w:val="99"/>
    <w:pPr>
      <w:ind w:left="2100"/>
    </w:pPr>
  </w:style>
  <w:style w:type="paragraph" w:styleId="38">
    <w:name w:val="Body Text Indent 3"/>
    <w:basedOn w:val="1"/>
    <w:link w:val="77"/>
    <w:unhideWhenUsed/>
    <w:qFormat/>
    <w:uiPriority w:val="99"/>
    <w:pPr>
      <w:spacing w:line="400" w:lineRule="atLeast"/>
      <w:ind w:left="360" w:firstLine="410" w:firstLineChars="171"/>
    </w:pPr>
    <w:rPr>
      <w:kern w:val="0"/>
      <w:sz w:val="20"/>
    </w:rPr>
  </w:style>
  <w:style w:type="paragraph" w:styleId="39">
    <w:name w:val="index 7"/>
    <w:basedOn w:val="1"/>
    <w:next w:val="1"/>
    <w:unhideWhenUsed/>
    <w:qFormat/>
    <w:uiPriority w:val="99"/>
    <w:pPr>
      <w:ind w:left="2520"/>
    </w:pPr>
  </w:style>
  <w:style w:type="paragraph" w:styleId="40">
    <w:name w:val="index 9"/>
    <w:basedOn w:val="1"/>
    <w:next w:val="1"/>
    <w:unhideWhenUsed/>
    <w:qFormat/>
    <w:uiPriority w:val="99"/>
    <w:pPr>
      <w:ind w:left="3360"/>
    </w:pPr>
  </w:style>
  <w:style w:type="paragraph" w:styleId="41">
    <w:name w:val="toc 2"/>
    <w:basedOn w:val="1"/>
    <w:next w:val="1"/>
    <w:unhideWhenUsed/>
    <w:qFormat/>
    <w:uiPriority w:val="39"/>
    <w:pPr>
      <w:snapToGrid w:val="0"/>
      <w:spacing w:line="480" w:lineRule="exact"/>
      <w:ind w:firstLine="300" w:firstLineChars="300"/>
    </w:pPr>
    <w:rPr>
      <w:sz w:val="24"/>
      <w:szCs w:val="24"/>
    </w:rPr>
  </w:style>
  <w:style w:type="paragraph" w:styleId="42">
    <w:name w:val="toc 9"/>
    <w:basedOn w:val="1"/>
    <w:next w:val="1"/>
    <w:unhideWhenUsed/>
    <w:qFormat/>
    <w:uiPriority w:val="99"/>
    <w:pPr>
      <w:ind w:left="3360"/>
    </w:pPr>
  </w:style>
  <w:style w:type="paragraph" w:styleId="43">
    <w:name w:val="HTML Preformatted"/>
    <w:basedOn w:val="1"/>
    <w:link w:val="7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unhideWhenUsed/>
    <w:qFormat/>
    <w:uiPriority w:val="99"/>
    <w:rPr>
      <w:sz w:val="24"/>
      <w:szCs w:val="24"/>
    </w:rPr>
  </w:style>
  <w:style w:type="paragraph" w:styleId="45">
    <w:name w:val="index 2"/>
    <w:basedOn w:val="1"/>
    <w:next w:val="1"/>
    <w:unhideWhenUsed/>
    <w:qFormat/>
    <w:uiPriority w:val="99"/>
    <w:pPr>
      <w:ind w:left="420"/>
    </w:pPr>
  </w:style>
  <w:style w:type="paragraph" w:styleId="46">
    <w:name w:val="Title"/>
    <w:link w:val="73"/>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7"/>
    <w:next w:val="17"/>
    <w:link w:val="80"/>
    <w:unhideWhenUsed/>
    <w:qFormat/>
    <w:uiPriority w:val="99"/>
    <w:rPr>
      <w:b/>
      <w:bCs/>
      <w:kern w:val="0"/>
      <w:sz w:val="20"/>
    </w:rPr>
  </w:style>
  <w:style w:type="paragraph" w:styleId="48">
    <w:name w:val="Body Text First Indent 2"/>
    <w:basedOn w:val="20"/>
    <w:link w:val="69"/>
    <w:unhideWhenUsed/>
    <w:qFormat/>
    <w:uiPriority w:val="99"/>
    <w:pPr>
      <w:ind w:firstLine="420" w:firstLineChars="200"/>
    </w:pPr>
  </w:style>
  <w:style w:type="table" w:styleId="50">
    <w:name w:val="Table Grid"/>
    <w:basedOn w:val="4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page number"/>
    <w:unhideWhenUsed/>
    <w:qFormat/>
    <w:uiPriority w:val="0"/>
    <w:rPr>
      <w:rFonts w:hint="default" w:ascii="Times New Roman" w:hAnsi="Times New Roman" w:eastAsia="宋体" w:cs="Times New Roman"/>
      <w:lang w:val="en-US" w:eastAsia="zh-CN" w:bidi="ar-SA"/>
    </w:rPr>
  </w:style>
  <w:style w:type="character" w:styleId="53">
    <w:name w:val="FollowedHyperlink"/>
    <w:unhideWhenUsed/>
    <w:qFormat/>
    <w:uiPriority w:val="99"/>
    <w:rPr>
      <w:rFonts w:hint="default" w:ascii="Times New Roman" w:hAnsi="Times New Roman" w:eastAsia="宋体" w:cs="Times New Roman"/>
      <w:color w:val="800080"/>
      <w:u w:val="single"/>
      <w:lang w:val="en-US" w:eastAsia="zh-CN" w:bidi="ar-SA"/>
    </w:rPr>
  </w:style>
  <w:style w:type="character" w:styleId="54">
    <w:name w:val="HTML Typewriter"/>
    <w:unhideWhenUsed/>
    <w:qFormat/>
    <w:uiPriority w:val="0"/>
    <w:rPr>
      <w:rFonts w:hint="default" w:ascii="Courier New" w:hAnsi="Courier New" w:eastAsia="宋体" w:cs="Courier New"/>
      <w:sz w:val="24"/>
      <w:szCs w:val="24"/>
      <w:lang w:val="en-US" w:eastAsia="zh-CN" w:bidi="ar-SA"/>
    </w:rPr>
  </w:style>
  <w:style w:type="character" w:styleId="55">
    <w:name w:val="Hyperlink"/>
    <w:unhideWhenUsed/>
    <w:qFormat/>
    <w:uiPriority w:val="99"/>
    <w:rPr>
      <w:rFonts w:hint="default" w:ascii="Times New Roman" w:hAnsi="Times New Roman" w:eastAsia="宋体" w:cs="Times New Roman"/>
      <w:color w:val="0000FF"/>
      <w:u w:val="single"/>
      <w:lang w:val="en-US" w:eastAsia="zh-CN" w:bidi="ar-SA"/>
    </w:rPr>
  </w:style>
  <w:style w:type="character" w:styleId="56">
    <w:name w:val="annotation reference"/>
    <w:unhideWhenUsed/>
    <w:qFormat/>
    <w:uiPriority w:val="99"/>
    <w:rPr>
      <w:rFonts w:hint="default" w:ascii="Times New Roman" w:hAnsi="Times New Roman" w:eastAsia="宋体" w:cs="Times New Roman"/>
      <w:sz w:val="21"/>
      <w:szCs w:val="21"/>
      <w:lang w:val="en-US" w:eastAsia="zh-CN" w:bidi="ar-SA"/>
    </w:rPr>
  </w:style>
  <w:style w:type="character" w:customStyle="1" w:styleId="57">
    <w:name w:val="页眉 Char"/>
    <w:basedOn w:val="51"/>
    <w:link w:val="32"/>
    <w:qFormat/>
    <w:uiPriority w:val="99"/>
    <w:rPr>
      <w:sz w:val="18"/>
      <w:szCs w:val="18"/>
    </w:rPr>
  </w:style>
  <w:style w:type="character" w:customStyle="1" w:styleId="58">
    <w:name w:val="页脚 Char"/>
    <w:basedOn w:val="51"/>
    <w:link w:val="31"/>
    <w:qFormat/>
    <w:uiPriority w:val="99"/>
    <w:rPr>
      <w:sz w:val="18"/>
      <w:szCs w:val="18"/>
    </w:rPr>
  </w:style>
  <w:style w:type="character" w:customStyle="1" w:styleId="59">
    <w:name w:val="标题 1 Char"/>
    <w:basedOn w:val="51"/>
    <w:link w:val="3"/>
    <w:qFormat/>
    <w:uiPriority w:val="0"/>
    <w:rPr>
      <w:rFonts w:ascii="Times New Roman" w:hAnsi="Times New Roman" w:eastAsia="宋体" w:cs="Times New Roman"/>
      <w:b/>
      <w:kern w:val="44"/>
      <w:sz w:val="20"/>
      <w:szCs w:val="20"/>
    </w:rPr>
  </w:style>
  <w:style w:type="character" w:customStyle="1" w:styleId="60">
    <w:name w:val="标题 2 Char"/>
    <w:basedOn w:val="51"/>
    <w:link w:val="4"/>
    <w:semiHidden/>
    <w:qFormat/>
    <w:uiPriority w:val="0"/>
    <w:rPr>
      <w:rFonts w:ascii="黑体" w:hAnsi="Arial" w:eastAsia="黑体" w:cs="宋体"/>
      <w:kern w:val="0"/>
      <w:sz w:val="28"/>
      <w:szCs w:val="20"/>
    </w:rPr>
  </w:style>
  <w:style w:type="character" w:customStyle="1" w:styleId="61">
    <w:name w:val="标题 3 Char"/>
    <w:basedOn w:val="51"/>
    <w:link w:val="5"/>
    <w:semiHidden/>
    <w:qFormat/>
    <w:uiPriority w:val="0"/>
    <w:rPr>
      <w:rFonts w:ascii="Times New Roman" w:hAnsi="Times New Roman" w:eastAsia="宋体" w:cs="Times New Roman"/>
      <w:b/>
      <w:kern w:val="0"/>
      <w:sz w:val="32"/>
      <w:szCs w:val="20"/>
    </w:rPr>
  </w:style>
  <w:style w:type="character" w:customStyle="1" w:styleId="62">
    <w:name w:val="标题 4 Char"/>
    <w:basedOn w:val="51"/>
    <w:link w:val="6"/>
    <w:semiHidden/>
    <w:qFormat/>
    <w:uiPriority w:val="0"/>
    <w:rPr>
      <w:rFonts w:ascii="Arial" w:hAnsi="Arial" w:eastAsia="黑体" w:cs="Times New Roman"/>
      <w:b/>
      <w:kern w:val="0"/>
      <w:sz w:val="28"/>
      <w:szCs w:val="20"/>
    </w:rPr>
  </w:style>
  <w:style w:type="character" w:customStyle="1" w:styleId="63">
    <w:name w:val="标题 5 Char"/>
    <w:basedOn w:val="51"/>
    <w:link w:val="7"/>
    <w:semiHidden/>
    <w:qFormat/>
    <w:uiPriority w:val="0"/>
    <w:rPr>
      <w:rFonts w:ascii="Times New Roman" w:hAnsi="Times New Roman" w:eastAsia="宋体" w:cs="Times New Roman"/>
      <w:b/>
      <w:kern w:val="0"/>
      <w:sz w:val="28"/>
      <w:szCs w:val="20"/>
    </w:rPr>
  </w:style>
  <w:style w:type="character" w:customStyle="1" w:styleId="64">
    <w:name w:val="标题 6 Char"/>
    <w:basedOn w:val="51"/>
    <w:link w:val="8"/>
    <w:semiHidden/>
    <w:qFormat/>
    <w:uiPriority w:val="0"/>
    <w:rPr>
      <w:rFonts w:ascii="Arial" w:hAnsi="Arial" w:eastAsia="黑体" w:cs="Times New Roman"/>
      <w:b/>
      <w:kern w:val="0"/>
      <w:sz w:val="20"/>
      <w:szCs w:val="20"/>
    </w:rPr>
  </w:style>
  <w:style w:type="character" w:customStyle="1" w:styleId="65">
    <w:name w:val="标题 7 Char"/>
    <w:basedOn w:val="51"/>
    <w:link w:val="9"/>
    <w:semiHidden/>
    <w:qFormat/>
    <w:uiPriority w:val="99"/>
    <w:rPr>
      <w:rFonts w:ascii="Times New Roman" w:hAnsi="Times New Roman" w:eastAsia="宋体" w:cs="Times New Roman"/>
      <w:b/>
      <w:kern w:val="0"/>
      <w:sz w:val="20"/>
      <w:szCs w:val="20"/>
    </w:rPr>
  </w:style>
  <w:style w:type="character" w:customStyle="1" w:styleId="66">
    <w:name w:val="标题 8 Char"/>
    <w:basedOn w:val="51"/>
    <w:link w:val="10"/>
    <w:semiHidden/>
    <w:qFormat/>
    <w:uiPriority w:val="99"/>
    <w:rPr>
      <w:rFonts w:ascii="Arial" w:hAnsi="Arial" w:eastAsia="黑体" w:cs="Times New Roman"/>
      <w:kern w:val="0"/>
      <w:sz w:val="20"/>
      <w:szCs w:val="20"/>
    </w:rPr>
  </w:style>
  <w:style w:type="character" w:customStyle="1" w:styleId="67">
    <w:name w:val="标题 9 Char"/>
    <w:basedOn w:val="51"/>
    <w:link w:val="11"/>
    <w:semiHidden/>
    <w:qFormat/>
    <w:uiPriority w:val="99"/>
    <w:rPr>
      <w:rFonts w:ascii="Arial" w:hAnsi="Arial" w:eastAsia="黑体" w:cs="Times New Roman"/>
      <w:kern w:val="0"/>
      <w:szCs w:val="20"/>
    </w:rPr>
  </w:style>
  <w:style w:type="character" w:customStyle="1" w:styleId="68">
    <w:name w:val="正文文本缩进 Char"/>
    <w:basedOn w:val="51"/>
    <w:link w:val="20"/>
    <w:qFormat/>
    <w:uiPriority w:val="99"/>
    <w:rPr>
      <w:rFonts w:ascii="Times New Roman" w:hAnsi="Times New Roman" w:eastAsia="宋体" w:cs="Times New Roman"/>
      <w:szCs w:val="20"/>
    </w:rPr>
  </w:style>
  <w:style w:type="character" w:customStyle="1" w:styleId="69">
    <w:name w:val="正文首行缩进 2 Char"/>
    <w:basedOn w:val="68"/>
    <w:link w:val="48"/>
    <w:qFormat/>
    <w:uiPriority w:val="99"/>
    <w:rPr>
      <w:rFonts w:ascii="Times New Roman" w:hAnsi="Times New Roman" w:eastAsia="宋体" w:cs="Times New Roman"/>
      <w:szCs w:val="20"/>
    </w:rPr>
  </w:style>
  <w:style w:type="character" w:customStyle="1" w:styleId="70">
    <w:name w:val="HTML 预设格式 Char"/>
    <w:basedOn w:val="51"/>
    <w:link w:val="43"/>
    <w:semiHidden/>
    <w:qFormat/>
    <w:uiPriority w:val="0"/>
    <w:rPr>
      <w:rFonts w:ascii="宋体" w:hAnsi="宋体" w:eastAsia="宋体" w:cs="宋体"/>
      <w:kern w:val="0"/>
      <w:sz w:val="20"/>
      <w:szCs w:val="20"/>
    </w:rPr>
  </w:style>
  <w:style w:type="paragraph" w:customStyle="1" w:styleId="71">
    <w:name w:val="msonormal"/>
    <w:basedOn w:val="1"/>
    <w:qFormat/>
    <w:uiPriority w:val="0"/>
    <w:rPr>
      <w:sz w:val="24"/>
      <w:szCs w:val="24"/>
    </w:rPr>
  </w:style>
  <w:style w:type="character" w:customStyle="1" w:styleId="72">
    <w:name w:val="批注文字 字符"/>
    <w:basedOn w:val="51"/>
    <w:semiHidden/>
    <w:qFormat/>
    <w:uiPriority w:val="99"/>
    <w:rPr>
      <w:rFonts w:ascii="Times New Roman" w:hAnsi="Times New Roman" w:eastAsia="宋体" w:cs="Times New Roman"/>
      <w:szCs w:val="20"/>
    </w:rPr>
  </w:style>
  <w:style w:type="character" w:customStyle="1" w:styleId="73">
    <w:name w:val="标题 Char"/>
    <w:basedOn w:val="51"/>
    <w:link w:val="46"/>
    <w:qFormat/>
    <w:uiPriority w:val="99"/>
    <w:rPr>
      <w:rFonts w:ascii="Times New Roman" w:hAnsi="Times New Roman" w:eastAsia="仿宋_GB2312" w:cs="Cambria"/>
      <w:b/>
      <w:bCs/>
      <w:kern w:val="0"/>
      <w:sz w:val="32"/>
      <w:szCs w:val="32"/>
    </w:rPr>
  </w:style>
  <w:style w:type="character" w:customStyle="1" w:styleId="74">
    <w:name w:val="正文文本 Char"/>
    <w:basedOn w:val="51"/>
    <w:link w:val="19"/>
    <w:semiHidden/>
    <w:qFormat/>
    <w:uiPriority w:val="99"/>
    <w:rPr>
      <w:rFonts w:ascii="Times New Roman" w:hAnsi="Times New Roman" w:eastAsia="宋体" w:cs="Times New Roman"/>
      <w:kern w:val="0"/>
      <w:sz w:val="20"/>
      <w:szCs w:val="20"/>
    </w:rPr>
  </w:style>
  <w:style w:type="character" w:customStyle="1" w:styleId="75">
    <w:name w:val="日期 Char"/>
    <w:basedOn w:val="51"/>
    <w:link w:val="28"/>
    <w:semiHidden/>
    <w:qFormat/>
    <w:uiPriority w:val="99"/>
    <w:rPr>
      <w:rFonts w:ascii="Times New Roman" w:hAnsi="Times New Roman" w:eastAsia="宋体" w:cs="Times New Roman"/>
      <w:kern w:val="0"/>
      <w:sz w:val="28"/>
      <w:szCs w:val="20"/>
    </w:rPr>
  </w:style>
  <w:style w:type="character" w:customStyle="1" w:styleId="76">
    <w:name w:val="正文文本缩进 2 Char"/>
    <w:basedOn w:val="51"/>
    <w:link w:val="29"/>
    <w:semiHidden/>
    <w:qFormat/>
    <w:uiPriority w:val="99"/>
    <w:rPr>
      <w:rFonts w:ascii="Times New Roman" w:hAnsi="Times New Roman" w:eastAsia="宋体" w:cs="Times New Roman"/>
      <w:kern w:val="0"/>
      <w:sz w:val="20"/>
      <w:szCs w:val="20"/>
    </w:rPr>
  </w:style>
  <w:style w:type="character" w:customStyle="1" w:styleId="77">
    <w:name w:val="正文文本缩进 3 Char"/>
    <w:basedOn w:val="51"/>
    <w:link w:val="38"/>
    <w:semiHidden/>
    <w:qFormat/>
    <w:uiPriority w:val="99"/>
    <w:rPr>
      <w:rFonts w:ascii="Times New Roman" w:hAnsi="Times New Roman" w:eastAsia="宋体" w:cs="Times New Roman"/>
      <w:kern w:val="0"/>
      <w:sz w:val="20"/>
      <w:szCs w:val="20"/>
    </w:rPr>
  </w:style>
  <w:style w:type="character" w:customStyle="1" w:styleId="78">
    <w:name w:val="文档结构图 Char"/>
    <w:basedOn w:val="51"/>
    <w:link w:val="16"/>
    <w:semiHidden/>
    <w:qFormat/>
    <w:uiPriority w:val="99"/>
    <w:rPr>
      <w:rFonts w:ascii="Times New Roman" w:hAnsi="Times New Roman" w:eastAsia="宋体" w:cs="Times New Roman"/>
      <w:kern w:val="0"/>
      <w:sz w:val="20"/>
      <w:szCs w:val="20"/>
      <w:shd w:val="clear" w:color="auto" w:fill="000080"/>
    </w:rPr>
  </w:style>
  <w:style w:type="character" w:customStyle="1" w:styleId="79">
    <w:name w:val="纯文本 Char"/>
    <w:basedOn w:val="51"/>
    <w:link w:val="25"/>
    <w:qFormat/>
    <w:uiPriority w:val="0"/>
    <w:rPr>
      <w:rFonts w:ascii="宋体" w:hAnsi="Courier New" w:eastAsia="宋体" w:cs="Times New Roman"/>
      <w:kern w:val="0"/>
      <w:sz w:val="20"/>
      <w:szCs w:val="20"/>
    </w:rPr>
  </w:style>
  <w:style w:type="character" w:customStyle="1" w:styleId="80">
    <w:name w:val="批注主题 Char"/>
    <w:basedOn w:val="72"/>
    <w:link w:val="47"/>
    <w:semiHidden/>
    <w:qFormat/>
    <w:uiPriority w:val="99"/>
    <w:rPr>
      <w:rFonts w:ascii="Times New Roman" w:hAnsi="Times New Roman" w:eastAsia="宋体" w:cs="Times New Roman"/>
      <w:b/>
      <w:bCs/>
      <w:kern w:val="0"/>
      <w:sz w:val="20"/>
      <w:szCs w:val="20"/>
    </w:rPr>
  </w:style>
  <w:style w:type="character" w:customStyle="1" w:styleId="81">
    <w:name w:val="批注框文本 Char"/>
    <w:basedOn w:val="51"/>
    <w:link w:val="30"/>
    <w:semiHidden/>
    <w:qFormat/>
    <w:uiPriority w:val="99"/>
    <w:rPr>
      <w:rFonts w:ascii="Times New Roman" w:hAnsi="Times New Roman" w:eastAsia="宋体" w:cs="Times New Roman"/>
      <w:kern w:val="0"/>
      <w:sz w:val="18"/>
      <w:szCs w:val="18"/>
    </w:rPr>
  </w:style>
  <w:style w:type="paragraph" w:customStyle="1" w:styleId="8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3">
    <w:name w:val="修订1"/>
    <w:semiHidden/>
    <w:qFormat/>
    <w:uiPriority w:val="71"/>
    <w:rPr>
      <w:rFonts w:ascii="Times New Roman" w:hAnsi="Times New Roman" w:eastAsia="宋体" w:cs="Times New Roman"/>
      <w:kern w:val="2"/>
      <w:sz w:val="21"/>
      <w:lang w:val="en-US" w:eastAsia="zh-CN" w:bidi="ar-SA"/>
    </w:rPr>
  </w:style>
  <w:style w:type="character" w:customStyle="1" w:styleId="84">
    <w:name w:val="列表段落 字符"/>
    <w:link w:val="85"/>
    <w:qFormat/>
    <w:locked/>
    <w:uiPriority w:val="34"/>
    <w:rPr>
      <w:rFonts w:ascii="Calibri" w:hAnsi="Calibri" w:cs="Calibri"/>
    </w:rPr>
  </w:style>
  <w:style w:type="paragraph" w:customStyle="1" w:styleId="85">
    <w:name w:val="列表段落1"/>
    <w:basedOn w:val="1"/>
    <w:link w:val="84"/>
    <w:qFormat/>
    <w:uiPriority w:val="34"/>
    <w:pPr>
      <w:ind w:firstLine="420" w:firstLineChars="200"/>
    </w:pPr>
    <w:rPr>
      <w:rFonts w:ascii="Calibri" w:hAnsi="Calibri" w:cs="Calibri" w:eastAsiaTheme="minorEastAsia"/>
      <w:szCs w:val="22"/>
    </w:rPr>
  </w:style>
  <w:style w:type="paragraph" w:customStyle="1" w:styleId="86">
    <w:name w:val="TOC 标题1"/>
    <w:basedOn w:val="3"/>
    <w:next w:val="1"/>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7">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8">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9">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3">
    <w:name w:val="列出段落1"/>
    <w:basedOn w:val="1"/>
    <w:qFormat/>
    <w:uiPriority w:val="34"/>
    <w:pPr>
      <w:ind w:firstLine="420" w:firstLineChars="200"/>
    </w:pPr>
  </w:style>
  <w:style w:type="paragraph" w:customStyle="1" w:styleId="94">
    <w:name w:val="默认段落字体 Para Char Char Char Char"/>
    <w:basedOn w:val="1"/>
    <w:qFormat/>
    <w:uiPriority w:val="99"/>
    <w:rPr>
      <w:szCs w:val="21"/>
    </w:rPr>
  </w:style>
  <w:style w:type="paragraph" w:customStyle="1" w:styleId="95">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6">
    <w:name w:val="修订版本号1"/>
    <w:qFormat/>
    <w:uiPriority w:val="99"/>
    <w:rPr>
      <w:rFonts w:ascii="Times New Roman" w:hAnsi="Times New Roman" w:eastAsia="宋体" w:cs="Times New Roman"/>
      <w:kern w:val="2"/>
      <w:sz w:val="21"/>
      <w:lang w:val="en-US" w:eastAsia="zh-CN" w:bidi="ar-SA"/>
    </w:rPr>
  </w:style>
  <w:style w:type="paragraph" w:customStyle="1" w:styleId="97">
    <w:name w:val="默认段落字体 Para Char Char Char Char Char Char Char"/>
    <w:basedOn w:val="1"/>
    <w:qFormat/>
    <w:uiPriority w:val="99"/>
    <w:rPr>
      <w:rFonts w:ascii="Tahoma" w:hAnsi="Tahoma"/>
      <w:sz w:val="24"/>
    </w:rPr>
  </w:style>
  <w:style w:type="paragraph" w:customStyle="1" w:styleId="98">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9">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100">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1">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2">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3">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4">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7">
    <w:name w:val="正文文本缩进1"/>
    <w:basedOn w:val="1"/>
    <w:qFormat/>
    <w:uiPriority w:val="99"/>
    <w:pPr>
      <w:spacing w:line="360" w:lineRule="auto"/>
      <w:ind w:left="540" w:leftChars="257" w:firstLine="360" w:firstLineChars="150"/>
    </w:pPr>
    <w:rPr>
      <w:sz w:val="24"/>
    </w:rPr>
  </w:style>
  <w:style w:type="paragraph" w:customStyle="1" w:styleId="108">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9">
    <w:name w:val="投标书格式"/>
    <w:basedOn w:val="5"/>
    <w:qFormat/>
    <w:uiPriority w:val="99"/>
    <w:pPr>
      <w:widowControl/>
      <w:adjustRightInd/>
      <w:spacing w:before="360" w:line="240" w:lineRule="auto"/>
      <w:ind w:left="0" w:firstLine="0"/>
      <w:jc w:val="center"/>
    </w:pPr>
    <w:rPr>
      <w:rFonts w:eastAsia="黑体"/>
      <w:sz w:val="30"/>
    </w:rPr>
  </w:style>
  <w:style w:type="paragraph" w:customStyle="1" w:styleId="110">
    <w:name w:val="Char Char1 Char Char Char Char Char Char Char Char Char Char Char Char"/>
    <w:basedOn w:val="1"/>
    <w:qFormat/>
    <w:uiPriority w:val="99"/>
    <w:rPr>
      <w:szCs w:val="24"/>
    </w:rPr>
  </w:style>
  <w:style w:type="paragraph" w:customStyle="1" w:styleId="111">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2">
    <w:name w:val="彩色列表 - 着色 1 Char"/>
    <w:link w:val="113"/>
    <w:qFormat/>
    <w:locked/>
    <w:uiPriority w:val="34"/>
  </w:style>
  <w:style w:type="paragraph" w:customStyle="1" w:styleId="113">
    <w:name w:val="彩色列表 - 着色 12"/>
    <w:basedOn w:val="1"/>
    <w:link w:val="112"/>
    <w:qFormat/>
    <w:uiPriority w:val="34"/>
    <w:pPr>
      <w:ind w:firstLine="420" w:firstLineChars="200"/>
    </w:pPr>
    <w:rPr>
      <w:rFonts w:asciiTheme="minorHAnsi" w:hAnsiTheme="minorHAnsi" w:eastAsiaTheme="minorEastAsia" w:cstheme="minorBidi"/>
      <w:szCs w:val="22"/>
    </w:rPr>
  </w:style>
  <w:style w:type="paragraph" w:customStyle="1" w:styleId="114">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5">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6">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7">
    <w:name w:val="正文（首行缩进两字）"/>
    <w:basedOn w:val="1"/>
    <w:qFormat/>
    <w:uiPriority w:val="99"/>
  </w:style>
  <w:style w:type="paragraph" w:customStyle="1" w:styleId="11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0">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1">
    <w:name w:val="样式1"/>
    <w:basedOn w:val="1"/>
    <w:qFormat/>
    <w:uiPriority w:val="99"/>
    <w:pPr>
      <w:adjustRightInd w:val="0"/>
      <w:spacing w:before="120" w:after="120" w:line="120" w:lineRule="exact"/>
    </w:pPr>
    <w:rPr>
      <w:color w:val="FF00FF"/>
      <w:kern w:val="0"/>
      <w:sz w:val="24"/>
    </w:rPr>
  </w:style>
  <w:style w:type="paragraph" w:customStyle="1" w:styleId="122">
    <w:name w:val="Char Char Char Char Char Char Char Char Char Char"/>
    <w:basedOn w:val="1"/>
    <w:qFormat/>
    <w:uiPriority w:val="99"/>
    <w:rPr>
      <w:rFonts w:ascii="Tahoma" w:hAnsi="Tahoma" w:cs="Tahoma"/>
      <w:sz w:val="24"/>
      <w:szCs w:val="24"/>
    </w:rPr>
  </w:style>
  <w:style w:type="paragraph" w:customStyle="1" w:styleId="123">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4">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合同格式"/>
    <w:basedOn w:val="5"/>
    <w:qFormat/>
    <w:uiPriority w:val="99"/>
    <w:pPr>
      <w:widowControl/>
      <w:adjustRightInd/>
      <w:spacing w:before="360" w:line="240" w:lineRule="auto"/>
      <w:ind w:left="0" w:firstLine="0"/>
      <w:jc w:val="center"/>
    </w:pPr>
    <w:rPr>
      <w:rFonts w:eastAsia="黑体"/>
      <w:sz w:val="30"/>
    </w:rPr>
  </w:style>
  <w:style w:type="paragraph" w:customStyle="1" w:styleId="127">
    <w:name w:val="网格表 31"/>
    <w:basedOn w:val="3"/>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8">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9">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0">
    <w:name w:val="字元 字元"/>
    <w:basedOn w:val="1"/>
    <w:qFormat/>
    <w:uiPriority w:val="99"/>
    <w:rPr>
      <w:rFonts w:ascii="仿宋_GB2312" w:eastAsia="仿宋_GB2312"/>
      <w:b/>
      <w:sz w:val="32"/>
      <w:szCs w:val="32"/>
    </w:rPr>
  </w:style>
  <w:style w:type="paragraph" w:customStyle="1" w:styleId="131">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
    <w:name w:val="font7"/>
    <w:basedOn w:val="1"/>
    <w:qFormat/>
    <w:uiPriority w:val="99"/>
    <w:pPr>
      <w:widowControl/>
      <w:spacing w:before="100" w:beforeAutospacing="1" w:after="100" w:afterAutospacing="1"/>
      <w:jc w:val="left"/>
    </w:pPr>
    <w:rPr>
      <w:b/>
      <w:bCs/>
      <w:kern w:val="0"/>
      <w:sz w:val="32"/>
      <w:szCs w:val="32"/>
    </w:rPr>
  </w:style>
  <w:style w:type="paragraph" w:customStyle="1" w:styleId="134">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6">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7">
    <w:name w:val="无间隔 Char"/>
    <w:link w:val="138"/>
    <w:qFormat/>
    <w:locked/>
    <w:uiPriority w:val="0"/>
    <w:rPr>
      <w:sz w:val="22"/>
    </w:rPr>
  </w:style>
  <w:style w:type="paragraph" w:customStyle="1" w:styleId="138">
    <w:name w:val="无间距1"/>
    <w:link w:val="137"/>
    <w:qFormat/>
    <w:uiPriority w:val="0"/>
    <w:rPr>
      <w:rFonts w:asciiTheme="minorHAnsi" w:hAnsiTheme="minorHAnsi" w:eastAsiaTheme="minorEastAsia" w:cstheme="minorBidi"/>
      <w:kern w:val="2"/>
      <w:sz w:val="22"/>
      <w:szCs w:val="22"/>
      <w:lang w:val="en-US" w:eastAsia="zh-CN" w:bidi="ar-SA"/>
    </w:rPr>
  </w:style>
  <w:style w:type="paragraph" w:customStyle="1" w:styleId="139">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40">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1">
    <w:name w:val="彩色列表 - 着色 11"/>
    <w:basedOn w:val="1"/>
    <w:qFormat/>
    <w:uiPriority w:val="99"/>
    <w:pPr>
      <w:ind w:firstLine="420" w:firstLineChars="200"/>
    </w:pPr>
  </w:style>
  <w:style w:type="paragraph" w:customStyle="1" w:styleId="14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4">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5">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6">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7">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8">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9">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0">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1">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2">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3">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4">
    <w:name w:val="文档结构图 字符1"/>
    <w:semiHidden/>
    <w:qFormat/>
    <w:uiPriority w:val="99"/>
    <w:rPr>
      <w:rFonts w:hint="eastAsia" w:ascii="Heiti SC Light" w:hAnsi="Times New Roman" w:eastAsia="Heiti SC Light" w:cs="Times New Roman"/>
    </w:rPr>
  </w:style>
  <w:style w:type="character" w:customStyle="1" w:styleId="155">
    <w:name w:val="序号前置"/>
    <w:qFormat/>
    <w:uiPriority w:val="0"/>
    <w:rPr>
      <w:rFonts w:hint="eastAsia" w:ascii="宋体" w:hAnsi="宋体" w:eastAsia="宋体"/>
    </w:rPr>
  </w:style>
  <w:style w:type="character" w:customStyle="1" w:styleId="156">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7">
    <w:name w:val="纯文本 Char1"/>
    <w:qFormat/>
    <w:uiPriority w:val="0"/>
    <w:rPr>
      <w:rFonts w:hint="eastAsia" w:ascii="宋体" w:hAnsi="Courier New" w:eastAsia="宋体" w:cs="Courier New"/>
      <w:kern w:val="2"/>
      <w:sz w:val="21"/>
      <w:szCs w:val="21"/>
      <w:lang w:val="en-US" w:eastAsia="zh-CN" w:bidi="ar-SA"/>
    </w:rPr>
  </w:style>
  <w:style w:type="character" w:customStyle="1" w:styleId="158">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9">
    <w:name w:val="批注框文本字符1"/>
    <w:semiHidden/>
    <w:qFormat/>
    <w:uiPriority w:val="99"/>
    <w:rPr>
      <w:rFonts w:hint="eastAsia" w:ascii="Heiti SC Light" w:hAnsi="Times New Roman" w:eastAsia="Heiti SC Light" w:cs="Times New Roman"/>
      <w:sz w:val="18"/>
      <w:szCs w:val="18"/>
    </w:rPr>
  </w:style>
  <w:style w:type="character" w:customStyle="1" w:styleId="160">
    <w:name w:val="批注主题字符1"/>
    <w:semiHidden/>
    <w:qFormat/>
    <w:uiPriority w:val="99"/>
    <w:rPr>
      <w:rFonts w:hint="default" w:ascii="Times New Roman" w:hAnsi="Times New Roman" w:eastAsia="宋体" w:cs="Times New Roman"/>
      <w:b/>
      <w:bCs/>
      <w:sz w:val="21"/>
      <w:szCs w:val="20"/>
    </w:rPr>
  </w:style>
  <w:style w:type="character" w:customStyle="1" w:styleId="161">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2">
    <w:name w:val="日期字符1"/>
    <w:semiHidden/>
    <w:qFormat/>
    <w:uiPriority w:val="99"/>
    <w:rPr>
      <w:rFonts w:hint="default" w:ascii="Times New Roman" w:hAnsi="Times New Roman" w:eastAsia="宋体" w:cs="Times New Roman"/>
      <w:sz w:val="21"/>
      <w:szCs w:val="20"/>
    </w:rPr>
  </w:style>
  <w:style w:type="character" w:customStyle="1" w:styleId="163">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4">
    <w:name w:val="正文文本缩进 3字符1"/>
    <w:semiHidden/>
    <w:qFormat/>
    <w:uiPriority w:val="99"/>
    <w:rPr>
      <w:rFonts w:hint="default" w:ascii="Times New Roman" w:hAnsi="Times New Roman" w:eastAsia="宋体" w:cs="Times New Roman"/>
      <w:sz w:val="16"/>
      <w:szCs w:val="16"/>
    </w:rPr>
  </w:style>
  <w:style w:type="character" w:customStyle="1" w:styleId="165">
    <w:name w:val="font01"/>
    <w:qFormat/>
    <w:uiPriority w:val="0"/>
    <w:rPr>
      <w:rFonts w:hint="eastAsia" w:ascii="宋体" w:hAnsi="宋体" w:eastAsia="宋体" w:cs="宋体"/>
      <w:color w:val="000000"/>
      <w:sz w:val="22"/>
      <w:szCs w:val="22"/>
      <w:u w:val="none"/>
    </w:rPr>
  </w:style>
  <w:style w:type="character" w:customStyle="1" w:styleId="166">
    <w:name w:val="正文文本缩进字符1"/>
    <w:semiHidden/>
    <w:qFormat/>
    <w:uiPriority w:val="99"/>
    <w:rPr>
      <w:rFonts w:hint="default" w:ascii="Times New Roman" w:hAnsi="Times New Roman" w:eastAsia="宋体" w:cs="Times New Roman"/>
      <w:sz w:val="21"/>
      <w:szCs w:val="20"/>
    </w:rPr>
  </w:style>
  <w:style w:type="character" w:customStyle="1" w:styleId="167">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8">
    <w:name w:val="日期 Char1"/>
    <w:qFormat/>
    <w:uiPriority w:val="0"/>
    <w:rPr>
      <w:rFonts w:hint="default" w:ascii="Times New Roman" w:hAnsi="Times New Roman" w:eastAsia="宋体" w:cs="Times New Roman"/>
      <w:kern w:val="2"/>
      <w:sz w:val="21"/>
      <w:lang w:val="en-US" w:eastAsia="zh-CN" w:bidi="ar-SA"/>
    </w:rPr>
  </w:style>
  <w:style w:type="character" w:customStyle="1" w:styleId="169">
    <w:name w:val="apple-converted-space"/>
    <w:qFormat/>
    <w:uiPriority w:val="0"/>
    <w:rPr>
      <w:rFonts w:hint="default" w:ascii="Times New Roman" w:hAnsi="Times New Roman" w:eastAsia="宋体" w:cs="Times New Roman"/>
      <w:lang w:val="en-US" w:eastAsia="zh-CN" w:bidi="ar-SA"/>
    </w:rPr>
  </w:style>
  <w:style w:type="character" w:customStyle="1" w:styleId="170">
    <w:name w:val="页脚字符1"/>
    <w:semiHidden/>
    <w:qFormat/>
    <w:uiPriority w:val="99"/>
    <w:rPr>
      <w:rFonts w:hint="default" w:ascii="Times New Roman" w:hAnsi="Times New Roman" w:eastAsia="宋体" w:cs="Times New Roman"/>
      <w:sz w:val="18"/>
      <w:szCs w:val="18"/>
    </w:rPr>
  </w:style>
  <w:style w:type="character" w:customStyle="1" w:styleId="171">
    <w:name w:val="页眉字符1"/>
    <w:semiHidden/>
    <w:qFormat/>
    <w:uiPriority w:val="99"/>
    <w:rPr>
      <w:rFonts w:hint="default" w:ascii="Times New Roman" w:hAnsi="Times New Roman" w:eastAsia="宋体" w:cs="Times New Roman"/>
      <w:sz w:val="18"/>
      <w:szCs w:val="18"/>
    </w:rPr>
  </w:style>
  <w:style w:type="character" w:customStyle="1" w:styleId="172">
    <w:name w:val="正文文本缩进 2字符1"/>
    <w:semiHidden/>
    <w:qFormat/>
    <w:uiPriority w:val="99"/>
    <w:rPr>
      <w:rFonts w:hint="default" w:ascii="Times New Roman" w:hAnsi="Times New Roman" w:eastAsia="宋体" w:cs="Times New Roman"/>
      <w:sz w:val="21"/>
      <w:szCs w:val="20"/>
    </w:rPr>
  </w:style>
  <w:style w:type="character" w:customStyle="1" w:styleId="173">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4">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5">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6">
    <w:name w:val="页码1"/>
    <w:qFormat/>
    <w:uiPriority w:val="0"/>
    <w:rPr>
      <w:rFonts w:hint="default" w:ascii="Times New Roman" w:hAnsi="Times New Roman" w:eastAsia="宋体" w:cs="Times New Roman"/>
      <w:lang w:val="en-US" w:eastAsia="zh-CN" w:bidi="ar-SA"/>
    </w:rPr>
  </w:style>
  <w:style w:type="character" w:customStyle="1" w:styleId="177">
    <w:name w:val="纯文本字符1"/>
    <w:semiHidden/>
    <w:qFormat/>
    <w:uiPriority w:val="99"/>
    <w:rPr>
      <w:rFonts w:hint="eastAsia" w:ascii="宋体" w:hAnsi="Courier" w:eastAsia="宋体" w:cs="Times New Roman"/>
    </w:rPr>
  </w:style>
  <w:style w:type="character" w:customStyle="1" w:styleId="178">
    <w:name w:val="批注文字 Char"/>
    <w:qFormat/>
    <w:uiPriority w:val="99"/>
    <w:rPr>
      <w:rFonts w:hint="default" w:ascii="Times New Roman" w:hAnsi="Times New Roman" w:eastAsia="宋体" w:cs="Times New Roman"/>
      <w:szCs w:val="20"/>
      <w:lang w:val="en-US" w:eastAsia="zh-CN" w:bidi="ar-SA"/>
    </w:rPr>
  </w:style>
  <w:style w:type="character" w:customStyle="1" w:styleId="179">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80">
    <w:name w:val="正文文本字符1"/>
    <w:semiHidden/>
    <w:qFormat/>
    <w:uiPriority w:val="99"/>
    <w:rPr>
      <w:rFonts w:hint="default" w:ascii="Times New Roman" w:hAnsi="Times New Roman" w:eastAsia="宋体" w:cs="Times New Roman"/>
      <w:sz w:val="21"/>
      <w:szCs w:val="20"/>
    </w:rPr>
  </w:style>
  <w:style w:type="character" w:customStyle="1" w:styleId="181">
    <w:name w:val="正文文本缩进 3 字符1"/>
    <w:basedOn w:val="51"/>
    <w:semiHidden/>
    <w:qFormat/>
    <w:uiPriority w:val="99"/>
    <w:rPr>
      <w:kern w:val="2"/>
      <w:sz w:val="16"/>
      <w:szCs w:val="16"/>
    </w:rPr>
  </w:style>
  <w:style w:type="character" w:customStyle="1" w:styleId="182">
    <w:name w:val="纯文本 字符1"/>
    <w:basedOn w:val="51"/>
    <w:semiHidden/>
    <w:qFormat/>
    <w:uiPriority w:val="99"/>
    <w:rPr>
      <w:rFonts w:hint="eastAsia" w:hAnsi="Courier New" w:cs="Courier New" w:asciiTheme="minorEastAsia" w:eastAsiaTheme="minorEastAsia"/>
      <w:kern w:val="2"/>
      <w:sz w:val="21"/>
    </w:rPr>
  </w:style>
  <w:style w:type="character" w:customStyle="1" w:styleId="183">
    <w:name w:val="批注文字 Char1"/>
    <w:basedOn w:val="51"/>
    <w:link w:val="17"/>
    <w:semiHidden/>
    <w:qFormat/>
    <w:locked/>
    <w:uiPriority w:val="99"/>
    <w:rPr>
      <w:rFonts w:ascii="Times New Roman" w:hAnsi="Times New Roman" w:eastAsia="宋体" w:cs="Times New Roman"/>
      <w:szCs w:val="20"/>
    </w:rPr>
  </w:style>
  <w:style w:type="character" w:customStyle="1" w:styleId="184">
    <w:name w:val="批注主题 字符1"/>
    <w:basedOn w:val="183"/>
    <w:semiHidden/>
    <w:qFormat/>
    <w:uiPriority w:val="99"/>
    <w:rPr>
      <w:rFonts w:ascii="Times New Roman" w:hAnsi="Times New Roman" w:eastAsia="宋体" w:cs="Times New Roman"/>
      <w:b/>
      <w:bCs/>
      <w:szCs w:val="20"/>
    </w:rPr>
  </w:style>
  <w:style w:type="character" w:customStyle="1" w:styleId="185">
    <w:name w:val="页眉 字符1"/>
    <w:basedOn w:val="51"/>
    <w:semiHidden/>
    <w:qFormat/>
    <w:uiPriority w:val="99"/>
    <w:rPr>
      <w:kern w:val="2"/>
      <w:sz w:val="18"/>
      <w:szCs w:val="18"/>
    </w:rPr>
  </w:style>
  <w:style w:type="character" w:customStyle="1" w:styleId="186">
    <w:name w:val="文档结构图 字符2"/>
    <w:basedOn w:val="51"/>
    <w:semiHidden/>
    <w:qFormat/>
    <w:uiPriority w:val="99"/>
    <w:rPr>
      <w:rFonts w:hint="eastAsia" w:ascii="Microsoft YaHei UI" w:hAnsi="Microsoft YaHei UI" w:eastAsia="Microsoft YaHei UI"/>
      <w:kern w:val="2"/>
      <w:sz w:val="18"/>
      <w:szCs w:val="18"/>
    </w:rPr>
  </w:style>
  <w:style w:type="character" w:customStyle="1" w:styleId="187">
    <w:name w:val="正文文本缩进 2 字符1"/>
    <w:basedOn w:val="51"/>
    <w:semiHidden/>
    <w:qFormat/>
    <w:uiPriority w:val="99"/>
    <w:rPr>
      <w:kern w:val="2"/>
      <w:sz w:val="21"/>
    </w:rPr>
  </w:style>
  <w:style w:type="character" w:customStyle="1" w:styleId="188">
    <w:name w:val="批注框文本 字符1"/>
    <w:basedOn w:val="51"/>
    <w:semiHidden/>
    <w:qFormat/>
    <w:uiPriority w:val="99"/>
    <w:rPr>
      <w:kern w:val="2"/>
      <w:sz w:val="18"/>
      <w:szCs w:val="18"/>
    </w:rPr>
  </w:style>
  <w:style w:type="character" w:customStyle="1" w:styleId="189">
    <w:name w:val="正文文本 字符1"/>
    <w:basedOn w:val="51"/>
    <w:semiHidden/>
    <w:qFormat/>
    <w:uiPriority w:val="99"/>
    <w:rPr>
      <w:kern w:val="2"/>
      <w:sz w:val="21"/>
    </w:rPr>
  </w:style>
  <w:style w:type="character" w:customStyle="1" w:styleId="190">
    <w:name w:val="标题 字符1"/>
    <w:basedOn w:val="51"/>
    <w:qFormat/>
    <w:uiPriority w:val="10"/>
    <w:rPr>
      <w:rFonts w:hint="eastAsia" w:asciiTheme="majorHAnsi" w:hAnsiTheme="majorHAnsi" w:eastAsiaTheme="majorEastAsia" w:cstheme="majorBidi"/>
      <w:b/>
      <w:bCs/>
      <w:kern w:val="2"/>
      <w:sz w:val="32"/>
      <w:szCs w:val="32"/>
    </w:rPr>
  </w:style>
  <w:style w:type="character" w:customStyle="1" w:styleId="191">
    <w:name w:val="HTML 预设格式 字符1"/>
    <w:basedOn w:val="51"/>
    <w:semiHidden/>
    <w:qFormat/>
    <w:uiPriority w:val="99"/>
    <w:rPr>
      <w:rFonts w:hint="default" w:ascii="Courier New" w:hAnsi="Courier New" w:cs="Courier New"/>
      <w:kern w:val="2"/>
    </w:rPr>
  </w:style>
  <w:style w:type="character" w:customStyle="1" w:styleId="192">
    <w:name w:val="页脚 字符1"/>
    <w:basedOn w:val="51"/>
    <w:semiHidden/>
    <w:qFormat/>
    <w:uiPriority w:val="99"/>
    <w:rPr>
      <w:kern w:val="2"/>
      <w:sz w:val="18"/>
      <w:szCs w:val="18"/>
    </w:rPr>
  </w:style>
  <w:style w:type="character" w:customStyle="1" w:styleId="193">
    <w:name w:val="日期 字符1"/>
    <w:basedOn w:val="51"/>
    <w:semiHidden/>
    <w:qFormat/>
    <w:uiPriority w:val="99"/>
    <w:rPr>
      <w:kern w:val="2"/>
      <w:sz w:val="21"/>
    </w:rPr>
  </w:style>
  <w:style w:type="paragraph" w:customStyle="1" w:styleId="194">
    <w:name w:val="资料表"/>
    <w:basedOn w:val="108"/>
    <w:qFormat/>
    <w:uiPriority w:val="0"/>
    <w:rPr>
      <w:rFonts w:ascii="Times New Roman"/>
    </w:rPr>
  </w:style>
  <w:style w:type="paragraph" w:customStyle="1" w:styleId="195">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6">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7">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8">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9">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0">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2">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7">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8">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0">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2">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4">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6">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7">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9">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2">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3">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5">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1">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4">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5">
    <w:name w:val="修订2"/>
    <w:hidden/>
    <w:semiHidden/>
    <w:qFormat/>
    <w:uiPriority w:val="99"/>
    <w:rPr>
      <w:rFonts w:ascii="Times New Roman" w:hAnsi="Times New Roman" w:eastAsia="宋体" w:cs="Times New Roman"/>
      <w:kern w:val="2"/>
      <w:sz w:val="21"/>
      <w:lang w:val="en-US" w:eastAsia="zh-CN" w:bidi="ar-SA"/>
    </w:rPr>
  </w:style>
  <w:style w:type="paragraph" w:customStyle="1" w:styleId="236">
    <w:name w:val="B1二级标题"/>
    <w:basedOn w:val="1"/>
    <w:qFormat/>
    <w:uiPriority w:val="99"/>
    <w:pPr>
      <w:numPr>
        <w:ilvl w:val="1"/>
        <w:numId w:val="1"/>
      </w:numPr>
      <w:spacing w:before="156" w:beforeLines="50" w:after="156" w:afterLines="50" w:line="360" w:lineRule="auto"/>
      <w:jc w:val="left"/>
      <w:outlineLvl w:val="1"/>
    </w:pPr>
    <w:rPr>
      <w:sz w:val="24"/>
    </w:rPr>
  </w:style>
  <w:style w:type="paragraph" w:styleId="237">
    <w:name w:val="List Paragraph"/>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56</Pages>
  <Words>3797</Words>
  <Characters>21649</Characters>
  <Lines>180</Lines>
  <Paragraphs>50</Paragraphs>
  <TotalTime>13</TotalTime>
  <ScaleCrop>false</ScaleCrop>
  <LinksUpToDate>false</LinksUpToDate>
  <CharactersWithSpaces>25396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2022-08-31T05:16:00Z</dcterms:created>
  <dc:creator>xs</dc:creator>
  <cp:lastModifiedBy>周诗航</cp:lastModifiedBy>
  <cp:lastPrinted>2022-05-18T23:49:00Z</cp:lastPrinted>
  <dcterms:modified xsi:type="dcterms:W3CDTF">2022-09-01T01:26:51Z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046EACF3383944388523B66285C90D09</vt:lpwstr>
  </property>
</Properties>
</file>