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spacing w:val="36"/>
          <w:sz w:val="44"/>
          <w:szCs w:val="44"/>
        </w:rPr>
      </w:pPr>
      <w:r>
        <w:rPr>
          <w:rFonts w:hint="eastAsia" w:ascii="宋体" w:hAnsi="宋体"/>
          <w:b/>
          <w:bCs/>
          <w:spacing w:val="36"/>
          <w:sz w:val="44"/>
          <w:szCs w:val="44"/>
        </w:rPr>
        <w:t>赤湾停车场物业开发项目</w:t>
      </w:r>
    </w:p>
    <w:p>
      <w:pPr>
        <w:spacing w:line="480" w:lineRule="atLeast"/>
        <w:jc w:val="center"/>
        <w:rPr>
          <w:rFonts w:ascii="宋体" w:hAnsi="宋体"/>
          <w:b/>
          <w:bCs/>
          <w:spacing w:val="36"/>
          <w:sz w:val="44"/>
          <w:szCs w:val="44"/>
        </w:rPr>
      </w:pPr>
      <w:r>
        <w:rPr>
          <w:rFonts w:hint="eastAsia" w:ascii="宋体" w:hAnsi="宋体"/>
          <w:b/>
          <w:bCs/>
          <w:spacing w:val="36"/>
          <w:sz w:val="44"/>
          <w:szCs w:val="44"/>
        </w:rPr>
        <w:t>按揭合作银行</w:t>
      </w:r>
    </w:p>
    <w:p>
      <w:pPr>
        <w:spacing w:line="360" w:lineRule="auto"/>
        <w:jc w:val="center"/>
        <w:rPr>
          <w:rFonts w:ascii="宋体" w:hAnsi="宋体"/>
          <w:color w:val="000000"/>
          <w:sz w:val="44"/>
          <w:szCs w:val="4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招标文件</w:t>
      </w:r>
    </w:p>
    <w:p>
      <w:pPr>
        <w:spacing w:line="360" w:lineRule="auto"/>
        <w:jc w:val="center"/>
        <w:rPr>
          <w:rFonts w:ascii="宋体" w:hAnsi="宋体"/>
          <w:b/>
          <w:sz w:val="36"/>
        </w:rPr>
      </w:pPr>
    </w:p>
    <w:p>
      <w:pPr>
        <w:pStyle w:val="25"/>
        <w:spacing w:line="360" w:lineRule="auto"/>
        <w:jc w:val="center"/>
        <w:rPr>
          <w:rFonts w:hAnsi="宋体"/>
          <w:sz w:val="23"/>
          <w:szCs w:val="23"/>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napToGrid w:val="0"/>
        <w:spacing w:line="360" w:lineRule="auto"/>
        <w:ind w:firstLine="1259" w:firstLineChars="273"/>
        <w:rPr>
          <w:rFonts w:hAnsi="宋体"/>
          <w:b/>
          <w:bCs/>
          <w:spacing w:val="70"/>
          <w:sz w:val="32"/>
          <w:szCs w:val="32"/>
        </w:rPr>
      </w:pPr>
    </w:p>
    <w:p>
      <w:pPr>
        <w:pStyle w:val="25"/>
        <w:snapToGrid w:val="0"/>
        <w:spacing w:line="360" w:lineRule="auto"/>
        <w:ind w:firstLine="1259" w:firstLineChars="273"/>
        <w:rPr>
          <w:rFonts w:hAnsi="宋体"/>
          <w:b/>
          <w:bCs/>
          <w:spacing w:val="70"/>
          <w:sz w:val="32"/>
          <w:szCs w:val="32"/>
        </w:rPr>
      </w:pPr>
    </w:p>
    <w:p>
      <w:pPr>
        <w:pStyle w:val="25"/>
        <w:snapToGrid w:val="0"/>
        <w:spacing w:line="480" w:lineRule="atLeast"/>
        <w:ind w:firstLine="1259" w:firstLineChars="273"/>
        <w:rPr>
          <w:rFonts w:hAnsi="宋体"/>
          <w:b/>
          <w:bCs/>
          <w:sz w:val="32"/>
          <w:szCs w:val="32"/>
        </w:rPr>
      </w:pPr>
      <w:r>
        <w:rPr>
          <w:rFonts w:hint="eastAsia" w:hAnsi="宋体"/>
          <w:b/>
          <w:bCs/>
          <w:spacing w:val="70"/>
          <w:sz w:val="32"/>
          <w:szCs w:val="32"/>
        </w:rPr>
        <w:t>招标人：</w:t>
      </w:r>
      <w:r>
        <w:rPr>
          <w:rFonts w:hint="eastAsia" w:hAnsi="宋体"/>
          <w:b/>
          <w:bCs/>
          <w:sz w:val="32"/>
          <w:szCs w:val="32"/>
          <w:u w:val="single"/>
        </w:rPr>
        <w:t xml:space="preserve">深圳市地铁集团有限公司 </w:t>
      </w:r>
    </w:p>
    <w:p>
      <w:pPr>
        <w:pStyle w:val="25"/>
        <w:snapToGrid w:val="0"/>
        <w:spacing w:line="480" w:lineRule="atLeast"/>
        <w:ind w:firstLine="1259" w:firstLineChars="392"/>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spacing w:line="480" w:lineRule="atLeast"/>
        <w:jc w:val="center"/>
        <w:rPr>
          <w:rFonts w:ascii="宋体" w:hAnsi="宋体"/>
          <w:b/>
          <w:bCs/>
          <w:sz w:val="32"/>
          <w:szCs w:val="32"/>
        </w:rPr>
      </w:pPr>
    </w:p>
    <w:p>
      <w:pPr>
        <w:pStyle w:val="202"/>
        <w:spacing w:line="360" w:lineRule="auto"/>
        <w:jc w:val="center"/>
        <w:rPr>
          <w:rFonts w:ascii="宋体" w:hAnsi="宋体"/>
          <w:color w:val="000000"/>
        </w:rPr>
      </w:pPr>
      <w:r>
        <w:rPr>
          <w:rFonts w:hint="eastAsia" w:ascii="宋体" w:hAnsi="宋体"/>
          <w:b/>
          <w:bCs/>
          <w:color w:val="auto"/>
        </w:rPr>
        <w:t>二〇二二年</w:t>
      </w:r>
      <w:r>
        <w:rPr>
          <w:rFonts w:hint="eastAsia" w:ascii="宋体" w:hAnsi="宋体"/>
          <w:b/>
          <w:bCs/>
          <w:color w:val="auto"/>
          <w:lang w:val="en-US" w:eastAsia="zh-CN"/>
        </w:rPr>
        <w:t>八</w:t>
      </w:r>
      <w:r>
        <w:rPr>
          <w:rFonts w:hint="eastAsia" w:ascii="宋体" w:hAnsi="宋体"/>
          <w:b/>
          <w:bCs/>
          <w:color w:val="auto"/>
        </w:rPr>
        <w:t>月</w:t>
      </w:r>
      <w:r>
        <w:rPr>
          <w:rFonts w:ascii="宋体" w:hAnsi="宋体"/>
          <w:b/>
          <w:sz w:val="36"/>
        </w:rPr>
        <w:br w:type="page"/>
      </w:r>
      <w:r>
        <w:rPr>
          <w:rFonts w:ascii="宋体" w:hAnsi="宋体"/>
          <w:color w:val="000000"/>
          <w:lang w:val="zh-CN"/>
        </w:rPr>
        <w:t>目录</w:t>
      </w:r>
    </w:p>
    <w:p>
      <w:pPr>
        <w:pStyle w:val="33"/>
        <w:tabs>
          <w:tab w:val="right" w:leader="dot" w:pos="8766"/>
        </w:tabs>
      </w:pPr>
      <w:bookmarkStart w:id="1271" w:name="_GoBack"/>
      <w:bookmarkEnd w:id="1271"/>
      <w:r>
        <w:rPr>
          <w:rFonts w:ascii="宋体" w:hAnsi="宋体"/>
          <w:bCs/>
          <w:lang w:val="zh-CN"/>
        </w:rPr>
        <w:fldChar w:fldCharType="begin"/>
      </w:r>
      <w:r>
        <w:rPr>
          <w:rFonts w:ascii="宋体" w:hAnsi="宋体"/>
          <w:bCs/>
          <w:lang w:val="zh-CN"/>
        </w:rPr>
        <w:instrText xml:space="preserve"> TOC \o "1-3" \h \z \u </w:instrText>
      </w:r>
      <w:r>
        <w:rPr>
          <w:rFonts w:ascii="宋体" w:hAnsi="宋体"/>
          <w:bCs/>
          <w:lang w:val="zh-CN"/>
        </w:rPr>
        <w:fldChar w:fldCharType="separate"/>
      </w:r>
      <w:r>
        <w:rPr>
          <w:rFonts w:ascii="宋体" w:hAnsi="宋体"/>
          <w:bCs/>
          <w:lang w:val="zh-CN"/>
        </w:rPr>
        <w:fldChar w:fldCharType="begin"/>
      </w:r>
      <w:r>
        <w:rPr>
          <w:rFonts w:ascii="宋体" w:hAnsi="宋体"/>
          <w:bCs/>
          <w:lang w:val="zh-CN"/>
        </w:rPr>
        <w:instrText xml:space="preserve"> HYPERLINK \l _Toc14153 </w:instrText>
      </w:r>
      <w:r>
        <w:rPr>
          <w:rFonts w:ascii="宋体" w:hAnsi="宋体"/>
          <w:bCs/>
          <w:lang w:val="zh-CN"/>
        </w:rPr>
        <w:fldChar w:fldCharType="separate"/>
      </w:r>
      <w:r>
        <w:rPr>
          <w:rFonts w:ascii="宋体" w:hAnsi="宋体"/>
          <w:szCs w:val="44"/>
        </w:rPr>
        <w:t>致</w:t>
      </w:r>
      <w:r>
        <w:rPr>
          <w:rFonts w:hint="eastAsia" w:ascii="宋体" w:hAnsi="宋体"/>
          <w:szCs w:val="44"/>
        </w:rPr>
        <w:t>投标</w:t>
      </w:r>
      <w:r>
        <w:rPr>
          <w:rFonts w:ascii="宋体" w:hAnsi="宋体"/>
          <w:szCs w:val="44"/>
        </w:rPr>
        <w:t>人</w:t>
      </w:r>
      <w:r>
        <w:tab/>
      </w:r>
      <w:r>
        <w:fldChar w:fldCharType="begin"/>
      </w:r>
      <w:r>
        <w:instrText xml:space="preserve"> PAGEREF _Toc14153 \h </w:instrText>
      </w:r>
      <w:r>
        <w:fldChar w:fldCharType="separate"/>
      </w:r>
      <w:r>
        <w:t>4</w:t>
      </w:r>
      <w:r>
        <w:fldChar w:fldCharType="end"/>
      </w:r>
      <w:r>
        <w:rPr>
          <w:rFonts w:ascii="宋体" w:hAnsi="宋体"/>
          <w:bCs/>
          <w:lang w:val="zh-CN"/>
        </w:rPr>
        <w:fldChar w:fldCharType="end"/>
      </w:r>
    </w:p>
    <w:p>
      <w:pPr>
        <w:pStyle w:val="33"/>
        <w:tabs>
          <w:tab w:val="right" w:leader="dot" w:pos="8766"/>
        </w:tabs>
      </w:pPr>
      <w:r>
        <w:rPr>
          <w:rFonts w:ascii="宋体" w:hAnsi="宋体"/>
          <w:bCs/>
          <w:lang w:val="zh-CN"/>
        </w:rPr>
        <w:fldChar w:fldCharType="begin"/>
      </w:r>
      <w:r>
        <w:rPr>
          <w:rFonts w:ascii="宋体" w:hAnsi="宋体"/>
          <w:bCs/>
          <w:lang w:val="zh-CN"/>
        </w:rPr>
        <w:instrText xml:space="preserve"> HYPERLINK \l _Toc26806 </w:instrText>
      </w:r>
      <w:r>
        <w:rPr>
          <w:rFonts w:ascii="宋体" w:hAnsi="宋体"/>
          <w:bCs/>
          <w:lang w:val="zh-CN"/>
        </w:rPr>
        <w:fldChar w:fldCharType="separate"/>
      </w:r>
      <w:r>
        <w:rPr>
          <w:rFonts w:hint="eastAsia" w:ascii="宋体" w:hAnsi="宋体"/>
          <w:szCs w:val="44"/>
        </w:rPr>
        <w:t>投标文件无效和废标的情形摘要</w:t>
      </w:r>
      <w:r>
        <w:tab/>
      </w:r>
      <w:r>
        <w:fldChar w:fldCharType="begin"/>
      </w:r>
      <w:r>
        <w:instrText xml:space="preserve"> PAGEREF _Toc26806 \h </w:instrText>
      </w:r>
      <w:r>
        <w:fldChar w:fldCharType="separate"/>
      </w:r>
      <w:r>
        <w:t>5</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_Toc851 </w:instrText>
      </w:r>
      <w:r>
        <w:rPr>
          <w:rFonts w:ascii="宋体" w:hAnsi="宋体"/>
          <w:bCs/>
          <w:lang w:val="zh-CN"/>
        </w:rPr>
        <w:fldChar w:fldCharType="separate"/>
      </w:r>
      <w:r>
        <w:rPr>
          <w:rFonts w:hint="eastAsia" w:ascii="宋体" w:hAnsi="宋体" w:eastAsia="宋体"/>
          <w:szCs w:val="44"/>
        </w:rPr>
        <w:t>招标公告</w:t>
      </w:r>
      <w:r>
        <w:tab/>
      </w:r>
      <w:r>
        <w:fldChar w:fldCharType="begin"/>
      </w:r>
      <w:r>
        <w:instrText xml:space="preserve"> PAGEREF _Toc851 \h </w:instrText>
      </w:r>
      <w:r>
        <w:fldChar w:fldCharType="separate"/>
      </w:r>
      <w:r>
        <w:t>6</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_Toc26750 </w:instrText>
      </w:r>
      <w:r>
        <w:rPr>
          <w:rFonts w:ascii="宋体" w:hAnsi="宋体"/>
          <w:bCs/>
          <w:lang w:val="zh-CN"/>
        </w:rPr>
        <w:fldChar w:fldCharType="separate"/>
      </w:r>
      <w:r>
        <w:rPr>
          <w:rFonts w:hint="eastAsia" w:ascii="宋体" w:hAnsi="宋体" w:eastAsia="宋体"/>
          <w:szCs w:val="28"/>
        </w:rPr>
        <w:t>第一章 总则</w:t>
      </w:r>
      <w:r>
        <w:tab/>
      </w:r>
      <w:r>
        <w:fldChar w:fldCharType="begin"/>
      </w:r>
      <w:r>
        <w:instrText xml:space="preserve"> PAGEREF _Toc26750 \h </w:instrText>
      </w:r>
      <w:r>
        <w:fldChar w:fldCharType="separate"/>
      </w:r>
      <w:r>
        <w:t>8</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_Toc5351 </w:instrText>
      </w:r>
      <w:r>
        <w:rPr>
          <w:rFonts w:ascii="宋体" w:hAnsi="宋体"/>
          <w:bCs/>
          <w:lang w:val="zh-CN"/>
        </w:rPr>
        <w:fldChar w:fldCharType="separate"/>
      </w:r>
      <w:r>
        <w:rPr>
          <w:rFonts w:ascii="宋体" w:hAnsi="宋体" w:eastAsia="宋体" w:cs="Times New Roman"/>
          <w:kern w:val="0"/>
          <w:szCs w:val="24"/>
          <w:lang w:val="en-US"/>
        </w:rPr>
        <w:t xml:space="preserve">一、 </w:t>
      </w:r>
      <w:r>
        <w:rPr>
          <w:rFonts w:hint="eastAsia" w:ascii="宋体" w:hAnsi="宋体"/>
          <w:kern w:val="0"/>
          <w:szCs w:val="24"/>
        </w:rPr>
        <w:t>项目概况</w:t>
      </w:r>
      <w:r>
        <w:tab/>
      </w:r>
      <w:r>
        <w:fldChar w:fldCharType="begin"/>
      </w:r>
      <w:r>
        <w:instrText xml:space="preserve"> PAGEREF _Toc5351 \h </w:instrText>
      </w:r>
      <w:r>
        <w:fldChar w:fldCharType="separate"/>
      </w:r>
      <w:r>
        <w:t>8</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_Toc19230 </w:instrText>
      </w:r>
      <w:r>
        <w:rPr>
          <w:rFonts w:ascii="宋体" w:hAnsi="宋体"/>
          <w:bCs/>
          <w:lang w:val="zh-CN"/>
        </w:rPr>
        <w:fldChar w:fldCharType="separate"/>
      </w:r>
      <w:r>
        <w:rPr>
          <w:rFonts w:ascii="宋体" w:hAnsi="宋体" w:eastAsia="宋体" w:cs="Times New Roman"/>
          <w:kern w:val="0"/>
          <w:szCs w:val="24"/>
          <w:lang w:val="en-US"/>
        </w:rPr>
        <w:t xml:space="preserve">二、 </w:t>
      </w:r>
      <w:r>
        <w:rPr>
          <w:rFonts w:hint="eastAsia" w:ascii="宋体" w:hAnsi="宋体"/>
          <w:kern w:val="0"/>
          <w:szCs w:val="24"/>
        </w:rPr>
        <w:t>服务内容</w:t>
      </w:r>
      <w:r>
        <w:tab/>
      </w:r>
      <w:r>
        <w:fldChar w:fldCharType="begin"/>
      </w:r>
      <w:r>
        <w:instrText xml:space="preserve"> PAGEREF _Toc19230 \h </w:instrText>
      </w:r>
      <w:r>
        <w:fldChar w:fldCharType="separate"/>
      </w:r>
      <w:r>
        <w:t>8</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_Toc18580 </w:instrText>
      </w:r>
      <w:r>
        <w:rPr>
          <w:rFonts w:ascii="宋体" w:hAnsi="宋体"/>
          <w:bCs/>
          <w:lang w:val="zh-CN"/>
        </w:rPr>
        <w:fldChar w:fldCharType="separate"/>
      </w:r>
      <w:r>
        <w:rPr>
          <w:rFonts w:ascii="宋体" w:hAnsi="宋体" w:eastAsia="宋体" w:cs="Times New Roman"/>
          <w:kern w:val="0"/>
          <w:szCs w:val="24"/>
          <w:lang w:val="en-US"/>
        </w:rPr>
        <w:t xml:space="preserve">三、 </w:t>
      </w:r>
      <w:r>
        <w:rPr>
          <w:rFonts w:hint="eastAsia" w:ascii="宋体" w:hAnsi="宋体"/>
          <w:kern w:val="0"/>
          <w:szCs w:val="24"/>
        </w:rPr>
        <w:t>工作方式及服务期限</w:t>
      </w:r>
      <w:r>
        <w:tab/>
      </w:r>
      <w:r>
        <w:fldChar w:fldCharType="begin"/>
      </w:r>
      <w:r>
        <w:instrText xml:space="preserve"> PAGEREF _Toc18580 \h </w:instrText>
      </w:r>
      <w:r>
        <w:fldChar w:fldCharType="separate"/>
      </w:r>
      <w:r>
        <w:t>8</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_Toc14481 </w:instrText>
      </w:r>
      <w:r>
        <w:rPr>
          <w:rFonts w:ascii="宋体" w:hAnsi="宋体"/>
          <w:bCs/>
          <w:lang w:val="zh-CN"/>
        </w:rPr>
        <w:fldChar w:fldCharType="separate"/>
      </w:r>
      <w:r>
        <w:rPr>
          <w:rFonts w:ascii="宋体" w:hAnsi="宋体" w:eastAsia="宋体" w:cs="Times New Roman"/>
          <w:kern w:val="0"/>
          <w:szCs w:val="24"/>
          <w:lang w:val="en-US"/>
        </w:rPr>
        <w:t xml:space="preserve">四、 </w:t>
      </w:r>
      <w:r>
        <w:rPr>
          <w:rFonts w:hint="eastAsia" w:ascii="宋体" w:hAnsi="宋体"/>
          <w:kern w:val="0"/>
          <w:szCs w:val="24"/>
        </w:rPr>
        <w:t>投标人资格条件</w:t>
      </w:r>
      <w:r>
        <w:tab/>
      </w:r>
      <w:r>
        <w:fldChar w:fldCharType="begin"/>
      </w:r>
      <w:r>
        <w:instrText xml:space="preserve"> PAGEREF _Toc14481 \h </w:instrText>
      </w:r>
      <w:r>
        <w:fldChar w:fldCharType="separate"/>
      </w:r>
      <w:r>
        <w:t>9</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_Toc1702 </w:instrText>
      </w:r>
      <w:r>
        <w:rPr>
          <w:rFonts w:ascii="宋体" w:hAnsi="宋体"/>
          <w:bCs/>
          <w:lang w:val="zh-CN"/>
        </w:rPr>
        <w:fldChar w:fldCharType="separate"/>
      </w:r>
      <w:r>
        <w:rPr>
          <w:rFonts w:hint="eastAsia" w:ascii="宋体" w:hAnsi="宋体"/>
          <w:kern w:val="0"/>
          <w:szCs w:val="24"/>
          <w:lang w:val="en-US" w:eastAsia="zh-CN"/>
        </w:rPr>
        <w:t>五、</w:t>
      </w:r>
      <w:r>
        <w:rPr>
          <w:rFonts w:hint="eastAsia" w:ascii="宋体" w:hAnsi="宋体"/>
          <w:kern w:val="0"/>
          <w:szCs w:val="24"/>
        </w:rPr>
        <w:t>招标、投标的时间安排</w:t>
      </w:r>
      <w:r>
        <w:tab/>
      </w:r>
      <w:r>
        <w:fldChar w:fldCharType="begin"/>
      </w:r>
      <w:r>
        <w:instrText xml:space="preserve"> PAGEREF _Toc1702 \h </w:instrText>
      </w:r>
      <w:r>
        <w:fldChar w:fldCharType="separate"/>
      </w:r>
      <w:r>
        <w:t>10</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_Toc12556 </w:instrText>
      </w:r>
      <w:r>
        <w:rPr>
          <w:rFonts w:ascii="宋体" w:hAnsi="宋体"/>
          <w:bCs/>
          <w:lang w:val="zh-CN"/>
        </w:rPr>
        <w:fldChar w:fldCharType="separate"/>
      </w:r>
      <w:r>
        <w:rPr>
          <w:rFonts w:hint="eastAsia" w:ascii="宋体" w:hAnsi="宋体"/>
          <w:kern w:val="0"/>
          <w:szCs w:val="24"/>
          <w:lang w:val="en-US" w:eastAsia="zh-CN"/>
        </w:rPr>
        <w:t>六</w:t>
      </w:r>
      <w:r>
        <w:rPr>
          <w:rFonts w:hint="eastAsia" w:ascii="宋体" w:hAnsi="宋体"/>
          <w:kern w:val="0"/>
          <w:szCs w:val="24"/>
        </w:rPr>
        <w:t>、投标费用</w:t>
      </w:r>
      <w:r>
        <w:tab/>
      </w:r>
      <w:r>
        <w:fldChar w:fldCharType="begin"/>
      </w:r>
      <w:r>
        <w:instrText xml:space="preserve"> PAGEREF _Toc12556 \h </w:instrText>
      </w:r>
      <w:r>
        <w:fldChar w:fldCharType="separate"/>
      </w:r>
      <w:r>
        <w:t>10</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_Toc14133 </w:instrText>
      </w:r>
      <w:r>
        <w:rPr>
          <w:rFonts w:ascii="宋体" w:hAnsi="宋体"/>
          <w:bCs/>
          <w:lang w:val="zh-CN"/>
        </w:rPr>
        <w:fldChar w:fldCharType="separate"/>
      </w:r>
      <w:r>
        <w:rPr>
          <w:rFonts w:hint="eastAsia" w:ascii="宋体" w:hAnsi="宋体" w:eastAsia="宋体"/>
          <w:szCs w:val="28"/>
        </w:rPr>
        <w:t>第二章  招标文件</w:t>
      </w:r>
      <w:r>
        <w:tab/>
      </w:r>
      <w:r>
        <w:fldChar w:fldCharType="begin"/>
      </w:r>
      <w:r>
        <w:instrText xml:space="preserve"> PAGEREF _Toc14133 \h </w:instrText>
      </w:r>
      <w:r>
        <w:fldChar w:fldCharType="separate"/>
      </w:r>
      <w:r>
        <w:t>10</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_Toc21913 </w:instrText>
      </w:r>
      <w:r>
        <w:rPr>
          <w:rFonts w:ascii="宋体" w:hAnsi="宋体"/>
          <w:bCs/>
          <w:lang w:val="zh-CN"/>
        </w:rPr>
        <w:fldChar w:fldCharType="separate"/>
      </w:r>
      <w:r>
        <w:rPr>
          <w:rFonts w:hint="eastAsia" w:ascii="宋体" w:hAnsi="宋体"/>
          <w:kern w:val="0"/>
          <w:szCs w:val="24"/>
        </w:rPr>
        <w:t>一、招标文件的构成</w:t>
      </w:r>
      <w:r>
        <w:tab/>
      </w:r>
      <w:r>
        <w:fldChar w:fldCharType="begin"/>
      </w:r>
      <w:r>
        <w:instrText xml:space="preserve"> PAGEREF _Toc21913 \h </w:instrText>
      </w:r>
      <w:r>
        <w:fldChar w:fldCharType="separate"/>
      </w:r>
      <w:r>
        <w:t>10</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_Toc25861 </w:instrText>
      </w:r>
      <w:r>
        <w:rPr>
          <w:rFonts w:ascii="宋体" w:hAnsi="宋体"/>
          <w:bCs/>
          <w:lang w:val="zh-CN"/>
        </w:rPr>
        <w:fldChar w:fldCharType="separate"/>
      </w:r>
      <w:r>
        <w:rPr>
          <w:rFonts w:hint="eastAsia" w:ascii="宋体" w:hAnsi="宋体"/>
          <w:kern w:val="0"/>
          <w:szCs w:val="24"/>
        </w:rPr>
        <w:t>二、招标文件的补遗、澄清、修改</w:t>
      </w:r>
      <w:r>
        <w:tab/>
      </w:r>
      <w:r>
        <w:fldChar w:fldCharType="begin"/>
      </w:r>
      <w:r>
        <w:instrText xml:space="preserve"> PAGEREF _Toc25861 \h </w:instrText>
      </w:r>
      <w:r>
        <w:fldChar w:fldCharType="separate"/>
      </w:r>
      <w:r>
        <w:t>10</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_Toc16234 </w:instrText>
      </w:r>
      <w:r>
        <w:rPr>
          <w:rFonts w:ascii="宋体" w:hAnsi="宋体"/>
          <w:bCs/>
          <w:lang w:val="zh-CN"/>
        </w:rPr>
        <w:fldChar w:fldCharType="separate"/>
      </w:r>
      <w:r>
        <w:rPr>
          <w:rFonts w:hint="eastAsia" w:ascii="宋体" w:hAnsi="宋体" w:eastAsia="宋体"/>
          <w:szCs w:val="28"/>
        </w:rPr>
        <w:t>第三章  投标文件的编写</w:t>
      </w:r>
      <w:r>
        <w:tab/>
      </w:r>
      <w:r>
        <w:fldChar w:fldCharType="begin"/>
      </w:r>
      <w:r>
        <w:instrText xml:space="preserve"> PAGEREF _Toc16234 \h </w:instrText>
      </w:r>
      <w:r>
        <w:fldChar w:fldCharType="separate"/>
      </w:r>
      <w:r>
        <w:t>11</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_Toc31982 </w:instrText>
      </w:r>
      <w:r>
        <w:rPr>
          <w:rFonts w:ascii="宋体" w:hAnsi="宋体"/>
          <w:bCs/>
          <w:lang w:val="zh-CN"/>
        </w:rPr>
        <w:fldChar w:fldCharType="separate"/>
      </w:r>
      <w:r>
        <w:rPr>
          <w:rFonts w:hint="eastAsia" w:ascii="宋体" w:hAnsi="宋体"/>
          <w:kern w:val="0"/>
          <w:szCs w:val="24"/>
        </w:rPr>
        <w:t>一、投标文件的组成及要求</w:t>
      </w:r>
      <w:r>
        <w:tab/>
      </w:r>
      <w:r>
        <w:fldChar w:fldCharType="begin"/>
      </w:r>
      <w:r>
        <w:instrText xml:space="preserve"> PAGEREF _Toc31982 \h </w:instrText>
      </w:r>
      <w:r>
        <w:fldChar w:fldCharType="separate"/>
      </w:r>
      <w:r>
        <w:t>11</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_Toc27195 </w:instrText>
      </w:r>
      <w:r>
        <w:rPr>
          <w:rFonts w:ascii="宋体" w:hAnsi="宋体"/>
          <w:bCs/>
          <w:lang w:val="zh-CN"/>
        </w:rPr>
        <w:fldChar w:fldCharType="separate"/>
      </w:r>
      <w:r>
        <w:rPr>
          <w:rFonts w:hint="eastAsia" w:ascii="宋体" w:hAnsi="宋体"/>
          <w:kern w:val="0"/>
          <w:szCs w:val="24"/>
        </w:rPr>
        <w:t>二、投标文件内容编写要求</w:t>
      </w:r>
      <w:r>
        <w:tab/>
      </w:r>
      <w:r>
        <w:fldChar w:fldCharType="begin"/>
      </w:r>
      <w:r>
        <w:instrText xml:space="preserve"> PAGEREF _Toc27195 \h </w:instrText>
      </w:r>
      <w:r>
        <w:fldChar w:fldCharType="separate"/>
      </w:r>
      <w:r>
        <w:t>11</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_Toc19705 </w:instrText>
      </w:r>
      <w:r>
        <w:rPr>
          <w:rFonts w:ascii="宋体" w:hAnsi="宋体"/>
          <w:bCs/>
          <w:lang w:val="zh-CN"/>
        </w:rPr>
        <w:fldChar w:fldCharType="separate"/>
      </w:r>
      <w:r>
        <w:rPr>
          <w:rFonts w:hint="eastAsia" w:ascii="宋体" w:hAnsi="宋体"/>
          <w:kern w:val="0"/>
          <w:szCs w:val="24"/>
        </w:rPr>
        <w:t>三、投标人的承诺</w:t>
      </w:r>
      <w:r>
        <w:tab/>
      </w:r>
      <w:r>
        <w:fldChar w:fldCharType="begin"/>
      </w:r>
      <w:r>
        <w:instrText xml:space="preserve"> PAGEREF _Toc19705 \h </w:instrText>
      </w:r>
      <w:r>
        <w:fldChar w:fldCharType="separate"/>
      </w:r>
      <w:r>
        <w:t>12</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_Toc4163 </w:instrText>
      </w:r>
      <w:r>
        <w:rPr>
          <w:rFonts w:ascii="宋体" w:hAnsi="宋体"/>
          <w:bCs/>
          <w:lang w:val="zh-CN"/>
        </w:rPr>
        <w:fldChar w:fldCharType="separate"/>
      </w:r>
      <w:r>
        <w:rPr>
          <w:rFonts w:hint="eastAsia" w:ascii="宋体" w:hAnsi="宋体" w:eastAsia="宋体"/>
          <w:szCs w:val="28"/>
        </w:rPr>
        <w:t>第四章 投标文件的签章及封装要求</w:t>
      </w:r>
      <w:r>
        <w:tab/>
      </w:r>
      <w:r>
        <w:fldChar w:fldCharType="begin"/>
      </w:r>
      <w:r>
        <w:instrText xml:space="preserve"> PAGEREF _Toc4163 \h </w:instrText>
      </w:r>
      <w:r>
        <w:fldChar w:fldCharType="separate"/>
      </w:r>
      <w:r>
        <w:t>13</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_Toc393 </w:instrText>
      </w:r>
      <w:r>
        <w:rPr>
          <w:rFonts w:ascii="宋体" w:hAnsi="宋体"/>
          <w:bCs/>
          <w:lang w:val="zh-CN"/>
        </w:rPr>
        <w:fldChar w:fldCharType="separate"/>
      </w:r>
      <w:r>
        <w:rPr>
          <w:rFonts w:hint="eastAsia" w:ascii="宋体" w:hAnsi="宋体"/>
          <w:kern w:val="0"/>
          <w:szCs w:val="24"/>
        </w:rPr>
        <w:t>一、投标文件的份数</w:t>
      </w:r>
      <w:r>
        <w:tab/>
      </w:r>
      <w:r>
        <w:fldChar w:fldCharType="begin"/>
      </w:r>
      <w:r>
        <w:instrText xml:space="preserve"> PAGEREF _Toc393 \h </w:instrText>
      </w:r>
      <w:r>
        <w:fldChar w:fldCharType="separate"/>
      </w:r>
      <w:r>
        <w:t>13</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_Toc17207 </w:instrText>
      </w:r>
      <w:r>
        <w:rPr>
          <w:rFonts w:ascii="宋体" w:hAnsi="宋体"/>
          <w:bCs/>
          <w:lang w:val="zh-CN"/>
        </w:rPr>
        <w:fldChar w:fldCharType="separate"/>
      </w:r>
      <w:r>
        <w:rPr>
          <w:rFonts w:hint="eastAsia" w:ascii="宋体" w:hAnsi="宋体"/>
          <w:kern w:val="0"/>
          <w:szCs w:val="24"/>
        </w:rPr>
        <w:t>二、投标文件的签章</w:t>
      </w:r>
      <w:r>
        <w:tab/>
      </w:r>
      <w:r>
        <w:fldChar w:fldCharType="begin"/>
      </w:r>
      <w:r>
        <w:instrText xml:space="preserve"> PAGEREF _Toc17207 \h </w:instrText>
      </w:r>
      <w:r>
        <w:fldChar w:fldCharType="separate"/>
      </w:r>
      <w:r>
        <w:t>13</w:t>
      </w:r>
      <w:r>
        <w:fldChar w:fldCharType="end"/>
      </w:r>
      <w:r>
        <w:rPr>
          <w:rFonts w:ascii="宋体" w:hAnsi="宋体"/>
          <w:bCs/>
          <w:lang w:val="zh-CN"/>
        </w:rPr>
        <w:fldChar w:fldCharType="end"/>
      </w:r>
    </w:p>
    <w:p>
      <w:pPr>
        <w:pStyle w:val="24"/>
        <w:tabs>
          <w:tab w:val="right" w:leader="dot" w:pos="8766"/>
          <w:tab w:val="clear" w:pos="1680"/>
          <w:tab w:val="clear" w:pos="9755"/>
        </w:tabs>
      </w:pPr>
      <w:r>
        <w:rPr>
          <w:rFonts w:ascii="宋体" w:hAnsi="宋体"/>
          <w:bCs/>
          <w:lang w:val="zh-CN"/>
        </w:rPr>
        <w:fldChar w:fldCharType="begin"/>
      </w:r>
      <w:r>
        <w:rPr>
          <w:rFonts w:ascii="宋体" w:hAnsi="宋体"/>
          <w:bCs/>
          <w:lang w:val="zh-CN"/>
        </w:rPr>
        <w:instrText xml:space="preserve"> HYPERLINK \l _Toc10459 </w:instrText>
      </w:r>
      <w:r>
        <w:rPr>
          <w:rFonts w:ascii="宋体" w:hAnsi="宋体"/>
          <w:bCs/>
          <w:lang w:val="zh-CN"/>
        </w:rPr>
        <w:fldChar w:fldCharType="separate"/>
      </w:r>
      <w:r>
        <w:rPr>
          <w:rFonts w:hint="eastAsia" w:ascii="宋体" w:hAnsi="宋体"/>
          <w:kern w:val="0"/>
          <w:szCs w:val="24"/>
        </w:rPr>
        <w:t>三、投标文件的密封与标识</w:t>
      </w:r>
      <w:r>
        <w:tab/>
      </w:r>
      <w:r>
        <w:fldChar w:fldCharType="begin"/>
      </w:r>
      <w:r>
        <w:instrText xml:space="preserve"> PAGEREF _Toc10459 \h </w:instrText>
      </w:r>
      <w:r>
        <w:fldChar w:fldCharType="separate"/>
      </w:r>
      <w:r>
        <w:t>13</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_Toc30297 </w:instrText>
      </w:r>
      <w:r>
        <w:rPr>
          <w:rFonts w:ascii="宋体" w:hAnsi="宋体"/>
          <w:bCs/>
          <w:lang w:val="zh-CN"/>
        </w:rPr>
        <w:fldChar w:fldCharType="separate"/>
      </w:r>
      <w:r>
        <w:rPr>
          <w:rFonts w:hint="eastAsia" w:ascii="宋体" w:hAnsi="宋体" w:eastAsia="宋体"/>
        </w:rPr>
        <w:t>第五章 投标文件递交</w:t>
      </w:r>
      <w:r>
        <w:tab/>
      </w:r>
      <w:r>
        <w:fldChar w:fldCharType="begin"/>
      </w:r>
      <w:r>
        <w:instrText xml:space="preserve"> PAGEREF _Toc30297 \h </w:instrText>
      </w:r>
      <w:r>
        <w:fldChar w:fldCharType="separate"/>
      </w:r>
      <w:r>
        <w:t>13</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_Toc22355 </w:instrText>
      </w:r>
      <w:r>
        <w:rPr>
          <w:rFonts w:ascii="宋体" w:hAnsi="宋体"/>
          <w:bCs/>
          <w:lang w:val="zh-CN"/>
        </w:rPr>
        <w:fldChar w:fldCharType="separate"/>
      </w:r>
      <w:r>
        <w:rPr>
          <w:rFonts w:hint="eastAsia" w:ascii="宋体" w:hAnsi="宋体" w:eastAsia="宋体"/>
        </w:rPr>
        <w:t>第六章  投标有效期</w:t>
      </w:r>
      <w:r>
        <w:tab/>
      </w:r>
      <w:r>
        <w:fldChar w:fldCharType="begin"/>
      </w:r>
      <w:r>
        <w:instrText xml:space="preserve"> PAGEREF _Toc22355 \h </w:instrText>
      </w:r>
      <w:r>
        <w:fldChar w:fldCharType="separate"/>
      </w:r>
      <w:r>
        <w:t>14</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_Toc18938 </w:instrText>
      </w:r>
      <w:r>
        <w:rPr>
          <w:rFonts w:ascii="宋体" w:hAnsi="宋体"/>
          <w:bCs/>
          <w:lang w:val="zh-CN"/>
        </w:rPr>
        <w:fldChar w:fldCharType="separate"/>
      </w:r>
      <w:r>
        <w:rPr>
          <w:rFonts w:hint="eastAsia" w:ascii="宋体" w:hAnsi="宋体" w:eastAsia="宋体"/>
        </w:rPr>
        <w:t>第七章  开标</w:t>
      </w:r>
      <w:r>
        <w:tab/>
      </w:r>
      <w:r>
        <w:fldChar w:fldCharType="begin"/>
      </w:r>
      <w:r>
        <w:instrText xml:space="preserve"> PAGEREF _Toc18938 \h </w:instrText>
      </w:r>
      <w:r>
        <w:fldChar w:fldCharType="separate"/>
      </w:r>
      <w:r>
        <w:t>14</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_Toc7030 </w:instrText>
      </w:r>
      <w:r>
        <w:rPr>
          <w:rFonts w:ascii="宋体" w:hAnsi="宋体"/>
          <w:bCs/>
          <w:lang w:val="zh-CN"/>
        </w:rPr>
        <w:fldChar w:fldCharType="separate"/>
      </w:r>
      <w:r>
        <w:rPr>
          <w:rFonts w:ascii="宋体" w:hAnsi="宋体" w:eastAsia="宋体"/>
        </w:rPr>
        <w:t>第</w:t>
      </w:r>
      <w:r>
        <w:rPr>
          <w:rFonts w:hint="eastAsia" w:ascii="宋体" w:hAnsi="宋体" w:eastAsia="宋体"/>
        </w:rPr>
        <w:t>八</w:t>
      </w:r>
      <w:r>
        <w:rPr>
          <w:rFonts w:ascii="宋体" w:hAnsi="宋体" w:eastAsia="宋体"/>
        </w:rPr>
        <w:t>章</w:t>
      </w:r>
      <w:r>
        <w:rPr>
          <w:rFonts w:hint="eastAsia" w:ascii="宋体" w:hAnsi="宋体" w:eastAsia="宋体"/>
        </w:rPr>
        <w:t xml:space="preserve"> </w:t>
      </w:r>
      <w:r>
        <w:rPr>
          <w:rFonts w:ascii="宋体" w:hAnsi="宋体" w:eastAsia="宋体"/>
        </w:rPr>
        <w:t>评标</w:t>
      </w:r>
      <w:r>
        <w:tab/>
      </w:r>
      <w:r>
        <w:fldChar w:fldCharType="begin"/>
      </w:r>
      <w:r>
        <w:instrText xml:space="preserve"> PAGEREF _Toc7030 \h </w:instrText>
      </w:r>
      <w:r>
        <w:fldChar w:fldCharType="separate"/>
      </w:r>
      <w:r>
        <w:t>15</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_Toc11292 </w:instrText>
      </w:r>
      <w:r>
        <w:rPr>
          <w:rFonts w:ascii="宋体" w:hAnsi="宋体"/>
          <w:bCs/>
          <w:lang w:val="zh-CN"/>
        </w:rPr>
        <w:fldChar w:fldCharType="separate"/>
      </w:r>
      <w:r>
        <w:rPr>
          <w:rFonts w:hint="eastAsia" w:ascii="宋体" w:hAnsi="宋体" w:eastAsia="宋体"/>
        </w:rPr>
        <w:t>第九章  确定中标人</w:t>
      </w:r>
      <w:r>
        <w:tab/>
      </w:r>
      <w:r>
        <w:fldChar w:fldCharType="begin"/>
      </w:r>
      <w:r>
        <w:instrText xml:space="preserve"> PAGEREF _Toc11292 \h </w:instrText>
      </w:r>
      <w:r>
        <w:fldChar w:fldCharType="separate"/>
      </w:r>
      <w:r>
        <w:t>15</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_Toc9864 </w:instrText>
      </w:r>
      <w:r>
        <w:rPr>
          <w:rFonts w:ascii="宋体" w:hAnsi="宋体"/>
          <w:bCs/>
          <w:lang w:val="zh-CN"/>
        </w:rPr>
        <w:fldChar w:fldCharType="separate"/>
      </w:r>
      <w:r>
        <w:rPr>
          <w:rFonts w:hint="eastAsia" w:ascii="宋体" w:hAnsi="宋体" w:eastAsia="宋体"/>
        </w:rPr>
        <w:t>第十章  合同的授予</w:t>
      </w:r>
      <w:r>
        <w:tab/>
      </w:r>
      <w:r>
        <w:fldChar w:fldCharType="begin"/>
      </w:r>
      <w:r>
        <w:instrText xml:space="preserve"> PAGEREF _Toc9864 \h </w:instrText>
      </w:r>
      <w:r>
        <w:fldChar w:fldCharType="separate"/>
      </w:r>
      <w:r>
        <w:t>16</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_Toc16153 </w:instrText>
      </w:r>
      <w:r>
        <w:rPr>
          <w:rFonts w:ascii="宋体" w:hAnsi="宋体"/>
          <w:bCs/>
          <w:lang w:val="zh-CN"/>
        </w:rPr>
        <w:fldChar w:fldCharType="separate"/>
      </w:r>
      <w:r>
        <w:rPr>
          <w:rFonts w:hint="eastAsia"/>
        </w:rPr>
        <w:t>附件1：评标办法</w:t>
      </w:r>
      <w:r>
        <w:tab/>
      </w:r>
      <w:r>
        <w:fldChar w:fldCharType="begin"/>
      </w:r>
      <w:r>
        <w:instrText xml:space="preserve"> PAGEREF _Toc16153 \h </w:instrText>
      </w:r>
      <w:r>
        <w:fldChar w:fldCharType="separate"/>
      </w:r>
      <w:r>
        <w:t>16</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_Toc30489 </w:instrText>
      </w:r>
      <w:r>
        <w:rPr>
          <w:rFonts w:ascii="宋体" w:hAnsi="宋体"/>
          <w:bCs/>
          <w:lang w:val="zh-CN"/>
        </w:rPr>
        <w:fldChar w:fldCharType="separate"/>
      </w:r>
      <w:r>
        <w:rPr>
          <w:rFonts w:hint="eastAsia"/>
        </w:rPr>
        <w:t>附件2：合同</w:t>
      </w:r>
      <w:r>
        <w:tab/>
      </w:r>
      <w:r>
        <w:fldChar w:fldCharType="begin"/>
      </w:r>
      <w:r>
        <w:instrText xml:space="preserve"> PAGEREF _Toc30489 \h </w:instrText>
      </w:r>
      <w:r>
        <w:fldChar w:fldCharType="separate"/>
      </w:r>
      <w:r>
        <w:t>28</w:t>
      </w:r>
      <w:r>
        <w:fldChar w:fldCharType="end"/>
      </w:r>
      <w:r>
        <w:rPr>
          <w:rFonts w:ascii="宋体" w:hAnsi="宋体"/>
          <w:bCs/>
          <w:lang w:val="zh-CN"/>
        </w:rPr>
        <w:fldChar w:fldCharType="end"/>
      </w:r>
    </w:p>
    <w:p>
      <w:pPr>
        <w:pStyle w:val="33"/>
        <w:tabs>
          <w:tab w:val="right" w:leader="dot" w:pos="8766"/>
        </w:tabs>
      </w:pPr>
      <w:r>
        <w:rPr>
          <w:rFonts w:ascii="宋体" w:hAnsi="宋体"/>
          <w:bCs/>
          <w:lang w:val="zh-CN"/>
        </w:rPr>
        <w:fldChar w:fldCharType="begin"/>
      </w:r>
      <w:r>
        <w:rPr>
          <w:rFonts w:ascii="宋体" w:hAnsi="宋体"/>
          <w:bCs/>
          <w:lang w:val="zh-CN"/>
        </w:rPr>
        <w:instrText xml:space="preserve"> HYPERLINK \l _Toc15985 </w:instrText>
      </w:r>
      <w:r>
        <w:rPr>
          <w:rFonts w:ascii="宋体" w:hAnsi="宋体"/>
          <w:bCs/>
          <w:lang w:val="zh-CN"/>
        </w:rPr>
        <w:fldChar w:fldCharType="separate"/>
      </w:r>
      <w:r>
        <w:rPr>
          <w:rFonts w:ascii="宋体" w:hAnsi="宋体"/>
          <w:szCs w:val="44"/>
        </w:rPr>
        <w:t>第</w:t>
      </w:r>
      <w:r>
        <w:rPr>
          <w:rFonts w:hint="eastAsia" w:ascii="宋体" w:hAnsi="宋体"/>
          <w:szCs w:val="44"/>
        </w:rPr>
        <w:t>二篇 投标文件格式</w:t>
      </w:r>
      <w:r>
        <w:tab/>
      </w:r>
      <w:r>
        <w:fldChar w:fldCharType="begin"/>
      </w:r>
      <w:r>
        <w:instrText xml:space="preserve"> PAGEREF _Toc15985 \h </w:instrText>
      </w:r>
      <w:r>
        <w:fldChar w:fldCharType="separate"/>
      </w:r>
      <w:r>
        <w:t>41</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_Toc32014 </w:instrText>
      </w:r>
      <w:r>
        <w:rPr>
          <w:rFonts w:ascii="宋体" w:hAnsi="宋体"/>
          <w:bCs/>
          <w:lang w:val="zh-CN"/>
        </w:rPr>
        <w:fldChar w:fldCharType="separate"/>
      </w:r>
      <w:r>
        <w:rPr>
          <w:rFonts w:hint="eastAsia"/>
        </w:rPr>
        <w:t>资格审查文件目录</w:t>
      </w:r>
      <w:r>
        <w:tab/>
      </w:r>
      <w:r>
        <w:fldChar w:fldCharType="begin"/>
      </w:r>
      <w:r>
        <w:instrText xml:space="preserve"> PAGEREF _Toc32014 \h </w:instrText>
      </w:r>
      <w:r>
        <w:fldChar w:fldCharType="separate"/>
      </w:r>
      <w:r>
        <w:t>43</w:t>
      </w:r>
      <w:r>
        <w:fldChar w:fldCharType="end"/>
      </w:r>
      <w:r>
        <w:rPr>
          <w:rFonts w:ascii="宋体" w:hAnsi="宋体"/>
          <w:bCs/>
          <w:lang w:val="zh-CN"/>
        </w:rPr>
        <w:fldChar w:fldCharType="end"/>
      </w:r>
    </w:p>
    <w:p>
      <w:pPr>
        <w:pStyle w:val="41"/>
        <w:tabs>
          <w:tab w:val="right" w:leader="dot" w:pos="8766"/>
        </w:tabs>
      </w:pPr>
      <w:r>
        <w:rPr>
          <w:rFonts w:ascii="宋体" w:hAnsi="宋体"/>
          <w:bCs/>
          <w:lang w:val="zh-CN"/>
        </w:rPr>
        <w:fldChar w:fldCharType="begin"/>
      </w:r>
      <w:r>
        <w:rPr>
          <w:rFonts w:ascii="宋体" w:hAnsi="宋体"/>
          <w:bCs/>
          <w:lang w:val="zh-CN"/>
        </w:rPr>
        <w:instrText xml:space="preserve"> HYPERLINK \l _Toc6967 </w:instrText>
      </w:r>
      <w:r>
        <w:rPr>
          <w:rFonts w:ascii="宋体" w:hAnsi="宋体"/>
          <w:bCs/>
          <w:lang w:val="zh-CN"/>
        </w:rPr>
        <w:fldChar w:fldCharType="separate"/>
      </w:r>
      <w:r>
        <w:rPr>
          <w:rFonts w:hint="eastAsia"/>
        </w:rPr>
        <w:t>综合评审文件目录</w:t>
      </w:r>
      <w:r>
        <w:tab/>
      </w:r>
      <w:r>
        <w:fldChar w:fldCharType="begin"/>
      </w:r>
      <w:r>
        <w:instrText xml:space="preserve"> PAGEREF _Toc6967 \h </w:instrText>
      </w:r>
      <w:r>
        <w:fldChar w:fldCharType="separate"/>
      </w:r>
      <w:r>
        <w:t>49</w:t>
      </w:r>
      <w:r>
        <w:fldChar w:fldCharType="end"/>
      </w:r>
      <w:r>
        <w:rPr>
          <w:rFonts w:ascii="宋体" w:hAnsi="宋体"/>
          <w:bCs/>
          <w:lang w:val="zh-CN"/>
        </w:rPr>
        <w:fldChar w:fldCharType="end"/>
      </w:r>
    </w:p>
    <w:p>
      <w:pPr>
        <w:tabs>
          <w:tab w:val="right" w:leader="middleDot" w:pos="9450"/>
          <w:tab w:val="right" w:pos="12180"/>
        </w:tabs>
        <w:spacing w:line="360" w:lineRule="auto"/>
        <w:rPr>
          <w:rFonts w:ascii="宋体" w:hAnsi="宋体"/>
        </w:rPr>
      </w:pPr>
      <w:r>
        <w:rPr>
          <w:rFonts w:ascii="宋体" w:hAnsi="宋体"/>
          <w:bCs/>
          <w:lang w:val="zh-CN"/>
        </w:rPr>
        <w:fldChar w:fldCharType="end"/>
      </w:r>
    </w:p>
    <w:p>
      <w:pPr>
        <w:spacing w:line="360" w:lineRule="auto"/>
        <w:rPr>
          <w:rFonts w:hAnsi="宋体"/>
          <w:u w:val="single"/>
        </w:rPr>
        <w:sectPr>
          <w:headerReference r:id="rId4" w:type="first"/>
          <w:headerReference r:id="rId3" w:type="default"/>
          <w:footerReference r:id="rId5" w:type="default"/>
          <w:pgSz w:w="11906" w:h="16838"/>
          <w:pgMar w:top="1440" w:right="1700" w:bottom="1440" w:left="1440" w:header="720" w:footer="890" w:gutter="0"/>
          <w:pgNumType w:start="1"/>
          <w:cols w:space="720" w:num="1"/>
          <w:titlePg/>
          <w:docGrid w:linePitch="312" w:charSpace="0"/>
        </w:sectPr>
      </w:pPr>
    </w:p>
    <w:p>
      <w:pPr>
        <w:pStyle w:val="5"/>
        <w:spacing w:before="240" w:line="360" w:lineRule="auto"/>
        <w:rPr>
          <w:rFonts w:ascii="宋体" w:hAnsi="宋体"/>
          <w:b w:val="0"/>
          <w:sz w:val="44"/>
          <w:szCs w:val="44"/>
        </w:rPr>
      </w:pPr>
      <w:bookmarkStart w:id="0" w:name="_Toc18392"/>
      <w:bookmarkStart w:id="1" w:name="_Toc19244"/>
      <w:bookmarkStart w:id="2" w:name="_Toc23225"/>
      <w:bookmarkStart w:id="3" w:name="_Toc914"/>
      <w:bookmarkStart w:id="4" w:name="_Toc20721"/>
      <w:bookmarkStart w:id="5" w:name="_Toc11392"/>
      <w:bookmarkStart w:id="6" w:name="_Toc14617"/>
      <w:bookmarkStart w:id="7" w:name="_Toc372555578"/>
      <w:bookmarkStart w:id="8" w:name="_Toc11999"/>
      <w:bookmarkStart w:id="9" w:name="_Toc13708"/>
      <w:bookmarkStart w:id="10" w:name="_Toc3914"/>
      <w:bookmarkStart w:id="11" w:name="_Toc13560"/>
      <w:bookmarkStart w:id="12" w:name="_Toc16212"/>
      <w:bookmarkStart w:id="13" w:name="_Toc707"/>
      <w:bookmarkStart w:id="14" w:name="_Toc27328"/>
      <w:bookmarkStart w:id="15" w:name="_Toc13352"/>
      <w:bookmarkStart w:id="16" w:name="_Toc197404895"/>
      <w:bookmarkStart w:id="17" w:name="_Toc13621"/>
      <w:bookmarkStart w:id="18" w:name="_Toc24553"/>
      <w:bookmarkStart w:id="19" w:name="_Toc24109"/>
      <w:bookmarkStart w:id="20" w:name="_Toc3636"/>
      <w:bookmarkStart w:id="21" w:name="_Toc13829"/>
      <w:bookmarkStart w:id="22" w:name="_Toc27446"/>
      <w:bookmarkStart w:id="23" w:name="_Toc22645"/>
      <w:bookmarkStart w:id="24" w:name="_Toc2123"/>
      <w:bookmarkStart w:id="25" w:name="_Toc276575914"/>
      <w:bookmarkStart w:id="26" w:name="_Toc26372"/>
      <w:bookmarkStart w:id="27" w:name="_Toc19031"/>
      <w:bookmarkStart w:id="28" w:name="_Toc16439"/>
      <w:bookmarkStart w:id="29" w:name="_Toc518494113"/>
      <w:bookmarkStart w:id="30" w:name="_Toc57731942"/>
      <w:bookmarkStart w:id="31" w:name="_Toc25718"/>
      <w:bookmarkStart w:id="32" w:name="_Toc7056"/>
      <w:bookmarkStart w:id="33" w:name="_Toc11886"/>
      <w:bookmarkStart w:id="34" w:name="_Toc28977"/>
      <w:bookmarkStart w:id="35" w:name="_Toc3489"/>
      <w:bookmarkStart w:id="36" w:name="_Toc8665"/>
      <w:bookmarkStart w:id="37" w:name="_Toc14153"/>
      <w:bookmarkStart w:id="38" w:name="_Toc39758874"/>
      <w:bookmarkStart w:id="39" w:name="_Toc29995568"/>
      <w:bookmarkStart w:id="40" w:name="_Toc402782153"/>
      <w:r>
        <w:rPr>
          <w:rFonts w:ascii="宋体" w:hAnsi="宋体"/>
          <w:b w:val="0"/>
          <w:sz w:val="44"/>
          <w:szCs w:val="44"/>
        </w:rPr>
        <w:t>致</w:t>
      </w:r>
      <w:r>
        <w:rPr>
          <w:rFonts w:hint="eastAsia" w:ascii="宋体" w:hAnsi="宋体"/>
          <w:b w:val="0"/>
          <w:sz w:val="44"/>
          <w:szCs w:val="44"/>
        </w:rPr>
        <w:t>投标</w:t>
      </w:r>
      <w:r>
        <w:rPr>
          <w:rFonts w:ascii="宋体" w:hAnsi="宋体"/>
          <w:b w:val="0"/>
          <w:sz w:val="44"/>
          <w:szCs w:val="44"/>
        </w:rPr>
        <w:t>人</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pStyle w:val="25"/>
        <w:spacing w:before="240" w:beforeLines="100" w:after="120" w:afterLines="50" w:line="360" w:lineRule="auto"/>
        <w:ind w:firstLine="480" w:firstLineChars="200"/>
        <w:rPr>
          <w:rFonts w:hAnsi="宋体"/>
          <w:sz w:val="24"/>
        </w:rPr>
      </w:pPr>
      <w:r>
        <w:rPr>
          <w:rFonts w:hAnsi="宋体"/>
          <w:sz w:val="24"/>
        </w:rPr>
        <w:t>本</w:t>
      </w:r>
      <w:r>
        <w:rPr>
          <w:rFonts w:hint="eastAsia" w:hAnsi="宋体"/>
          <w:sz w:val="24"/>
        </w:rPr>
        <w:t>招标</w:t>
      </w:r>
      <w:r>
        <w:rPr>
          <w:rFonts w:hAnsi="宋体"/>
          <w:sz w:val="24"/>
        </w:rPr>
        <w:t>文件是依据有关</w:t>
      </w:r>
      <w:r>
        <w:rPr>
          <w:rFonts w:hint="eastAsia" w:hAnsi="宋体"/>
          <w:sz w:val="24"/>
        </w:rPr>
        <w:t>招标投标</w:t>
      </w:r>
      <w:r>
        <w:rPr>
          <w:rFonts w:hAnsi="宋体"/>
          <w:sz w:val="24"/>
        </w:rPr>
        <w:t>的法律、法规、规章和规范性文件的规定，根据本</w:t>
      </w:r>
      <w:r>
        <w:rPr>
          <w:rFonts w:hint="eastAsia" w:hAnsi="宋体"/>
          <w:sz w:val="24"/>
        </w:rPr>
        <w:t>招标项目</w:t>
      </w:r>
      <w:r>
        <w:rPr>
          <w:rFonts w:hAnsi="宋体"/>
          <w:sz w:val="24"/>
        </w:rPr>
        <w:t>的特点和需要编制的。</w:t>
      </w:r>
    </w:p>
    <w:p>
      <w:pPr>
        <w:pStyle w:val="25"/>
        <w:spacing w:before="240" w:beforeLines="100" w:after="120" w:afterLines="50" w:line="360" w:lineRule="auto"/>
        <w:ind w:firstLine="480" w:firstLineChars="200"/>
        <w:rPr>
          <w:rFonts w:hAnsi="宋体"/>
          <w:sz w:val="24"/>
        </w:rPr>
      </w:pPr>
      <w:r>
        <w:rPr>
          <w:rFonts w:hint="eastAsia" w:hAnsi="宋体"/>
          <w:sz w:val="24"/>
        </w:rPr>
        <w:t>招标</w:t>
      </w:r>
      <w:r>
        <w:rPr>
          <w:rFonts w:hAnsi="宋体"/>
          <w:sz w:val="24"/>
        </w:rPr>
        <w:t>文件的编制遵循公开、公平、公正和诚实信用的原则，</w:t>
      </w:r>
      <w:r>
        <w:rPr>
          <w:rFonts w:hint="eastAsia" w:hAnsi="宋体"/>
          <w:sz w:val="24"/>
        </w:rPr>
        <w:t>招标</w:t>
      </w:r>
      <w:r>
        <w:rPr>
          <w:rFonts w:hAnsi="宋体"/>
          <w:sz w:val="24"/>
        </w:rPr>
        <w:t>文件的内容已清楚地反</w:t>
      </w:r>
      <w:r>
        <w:rPr>
          <w:rFonts w:hAnsi="宋体"/>
          <w:sz w:val="24"/>
          <w:szCs w:val="24"/>
        </w:rPr>
        <w:t>映了</w:t>
      </w:r>
      <w:r>
        <w:rPr>
          <w:rFonts w:hint="eastAsia" w:hAnsi="宋体"/>
          <w:bCs/>
          <w:sz w:val="24"/>
          <w:szCs w:val="24"/>
          <w:lang w:eastAsia="zh-CN"/>
        </w:rPr>
        <w:t>赤湾停车场物业开发项目</w:t>
      </w:r>
      <w:r>
        <w:rPr>
          <w:rFonts w:hint="eastAsia" w:hAnsi="宋体"/>
          <w:bCs/>
          <w:sz w:val="24"/>
          <w:szCs w:val="24"/>
        </w:rPr>
        <w:t>按揭合作银行</w:t>
      </w:r>
      <w:r>
        <w:rPr>
          <w:rFonts w:hint="eastAsia" w:hAnsi="宋体"/>
          <w:sz w:val="24"/>
          <w:szCs w:val="24"/>
        </w:rPr>
        <w:t>工作内容</w:t>
      </w:r>
      <w:r>
        <w:rPr>
          <w:rFonts w:hint="eastAsia" w:hAnsi="宋体"/>
          <w:sz w:val="24"/>
        </w:rPr>
        <w:t>和基本</w:t>
      </w:r>
      <w:r>
        <w:rPr>
          <w:rFonts w:hAnsi="宋体"/>
          <w:sz w:val="24"/>
        </w:rPr>
        <w:t>要求。我们要求</w:t>
      </w:r>
      <w:r>
        <w:rPr>
          <w:rFonts w:hint="eastAsia" w:hAnsi="宋体"/>
          <w:sz w:val="24"/>
        </w:rPr>
        <w:t>投标</w:t>
      </w:r>
      <w:r>
        <w:rPr>
          <w:rFonts w:hAnsi="宋体"/>
          <w:sz w:val="24"/>
        </w:rPr>
        <w:t>人必须完全响应本</w:t>
      </w:r>
      <w:r>
        <w:rPr>
          <w:rFonts w:hint="eastAsia" w:hAnsi="宋体"/>
          <w:sz w:val="24"/>
        </w:rPr>
        <w:t>招标</w:t>
      </w:r>
      <w:r>
        <w:rPr>
          <w:rFonts w:hAnsi="宋体"/>
          <w:sz w:val="24"/>
        </w:rPr>
        <w:t>文件的实质性内容。</w:t>
      </w:r>
    </w:p>
    <w:p>
      <w:pPr>
        <w:pStyle w:val="25"/>
        <w:spacing w:before="240" w:beforeLines="100" w:after="120" w:afterLines="50" w:line="360" w:lineRule="auto"/>
        <w:ind w:firstLine="480" w:firstLineChars="200"/>
        <w:rPr>
          <w:rFonts w:hAnsi="宋体"/>
          <w:sz w:val="24"/>
        </w:rPr>
      </w:pPr>
      <w:r>
        <w:rPr>
          <w:rFonts w:hint="eastAsia" w:hAnsi="宋体"/>
          <w:sz w:val="24"/>
          <w:u w:val="single"/>
        </w:rPr>
        <w:t>领取了本招标文件的正式投标人，请</w:t>
      </w:r>
      <w:r>
        <w:rPr>
          <w:rFonts w:hAnsi="宋体"/>
          <w:sz w:val="24"/>
          <w:u w:val="single"/>
        </w:rPr>
        <w:t>随时查看“</w:t>
      </w:r>
      <w:r>
        <w:rPr>
          <w:rFonts w:hint="eastAsia" w:hAnsi="宋体"/>
          <w:sz w:val="24"/>
          <w:u w:val="single"/>
          <w:lang w:val="en-US" w:eastAsia="zh-CN"/>
        </w:rPr>
        <w:t>深圳</w:t>
      </w:r>
      <w:r>
        <w:rPr>
          <w:rFonts w:hint="eastAsia" w:hAnsi="宋体"/>
          <w:sz w:val="24"/>
          <w:u w:val="single"/>
          <w:lang w:eastAsia="zh-CN"/>
        </w:rPr>
        <w:t>地铁官网</w:t>
      </w:r>
      <w:r>
        <w:rPr>
          <w:rFonts w:hAnsi="宋体"/>
          <w:sz w:val="24"/>
          <w:u w:val="single"/>
        </w:rPr>
        <w:t>”</w:t>
      </w:r>
      <w:r>
        <w:rPr>
          <w:rFonts w:hint="eastAsia" w:hAnsi="宋体"/>
          <w:sz w:val="24"/>
          <w:u w:val="single"/>
        </w:rPr>
        <w:t>、“国资委阳光采购平台</w:t>
      </w:r>
      <w:r>
        <w:rPr>
          <w:rFonts w:hAnsi="宋体"/>
          <w:sz w:val="24"/>
          <w:u w:val="single"/>
        </w:rPr>
        <w:t>”、</w:t>
      </w:r>
      <w:r>
        <w:rPr>
          <w:rFonts w:hint="eastAsia" w:hAnsi="宋体"/>
          <w:sz w:val="24"/>
          <w:u w:val="single"/>
        </w:rPr>
        <w:t>“深铁置业微信订阅号</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w:t>
      </w:r>
      <w:r>
        <w:rPr>
          <w:rFonts w:hint="eastAsia" w:hAnsi="宋体"/>
          <w:sz w:val="24"/>
          <w:u w:val="single"/>
        </w:rPr>
        <w:t>投标</w:t>
      </w:r>
      <w:r>
        <w:rPr>
          <w:rFonts w:hAnsi="宋体"/>
          <w:sz w:val="24"/>
          <w:u w:val="single"/>
        </w:rPr>
        <w:t>人自负。</w:t>
      </w:r>
    </w:p>
    <w:p>
      <w:pPr>
        <w:pStyle w:val="25"/>
        <w:spacing w:line="360" w:lineRule="auto"/>
        <w:ind w:firstLine="420" w:firstLineChars="175"/>
        <w:rPr>
          <w:rFonts w:hAnsi="宋体"/>
          <w:sz w:val="24"/>
        </w:rPr>
      </w:pPr>
    </w:p>
    <w:p>
      <w:pPr>
        <w:pStyle w:val="25"/>
        <w:snapToGrid w:val="0"/>
        <w:spacing w:line="480" w:lineRule="auto"/>
        <w:ind w:firstLine="420" w:firstLineChars="175"/>
        <w:rPr>
          <w:rFonts w:ascii="Times New Roman" w:hAnsi="Times New Roman"/>
          <w:sz w:val="24"/>
          <w:szCs w:val="24"/>
        </w:rPr>
      </w:pPr>
      <w:r>
        <w:rPr>
          <w:rFonts w:hint="eastAsia" w:ascii="Times New Roman" w:hAnsi="Times New Roman"/>
          <w:sz w:val="24"/>
          <w:szCs w:val="24"/>
        </w:rPr>
        <w:t>招标</w:t>
      </w:r>
      <w:r>
        <w:rPr>
          <w:rFonts w:ascii="Times New Roman" w:hAnsi="Times New Roman"/>
          <w:sz w:val="24"/>
          <w:szCs w:val="24"/>
        </w:rPr>
        <w:t>人（盖章）：</w:t>
      </w:r>
      <w:r>
        <w:rPr>
          <w:rFonts w:hint="eastAsia" w:ascii="Times New Roman" w:hAnsi="Times New Roman"/>
          <w:sz w:val="24"/>
          <w:szCs w:val="24"/>
        </w:rPr>
        <w:t>深圳市地铁集团有限公司</w:t>
      </w:r>
    </w:p>
    <w:p>
      <w:pPr>
        <w:pStyle w:val="25"/>
        <w:snapToGrid w:val="0"/>
        <w:spacing w:line="480" w:lineRule="auto"/>
        <w:ind w:firstLine="420" w:firstLineChars="175"/>
        <w:rPr>
          <w:rFonts w:ascii="Times New Roman" w:hAnsi="Times New Roman"/>
          <w:sz w:val="24"/>
          <w:szCs w:val="24"/>
        </w:rPr>
      </w:pPr>
      <w:r>
        <w:rPr>
          <w:rFonts w:hint="eastAsia" w:ascii="Times New Roman" w:hAnsi="Times New Roman"/>
          <w:sz w:val="24"/>
          <w:szCs w:val="24"/>
        </w:rPr>
        <w:t>招标人</w:t>
      </w:r>
      <w:r>
        <w:rPr>
          <w:rFonts w:ascii="Times New Roman" w:hAnsi="Times New Roman"/>
          <w:sz w:val="24"/>
          <w:szCs w:val="24"/>
        </w:rPr>
        <w:t xml:space="preserve">地址： </w:t>
      </w:r>
      <w:r>
        <w:rPr>
          <w:rFonts w:hAnsi="宋体" w:cs="宋体"/>
          <w:sz w:val="24"/>
          <w:szCs w:val="24"/>
        </w:rPr>
        <w:t>深圳市福田区深南大道深铁置业大厦五十</w:t>
      </w:r>
      <w:r>
        <w:rPr>
          <w:rFonts w:hint="eastAsia" w:hAnsi="宋体" w:cs="宋体"/>
          <w:sz w:val="24"/>
          <w:szCs w:val="24"/>
        </w:rPr>
        <w:t>一</w:t>
      </w:r>
      <w:r>
        <w:rPr>
          <w:rFonts w:hAnsi="宋体" w:cs="宋体"/>
          <w:sz w:val="24"/>
          <w:szCs w:val="24"/>
        </w:rPr>
        <w:t>层</w:t>
      </w:r>
    </w:p>
    <w:p>
      <w:pPr>
        <w:pStyle w:val="25"/>
        <w:snapToGrid w:val="0"/>
        <w:spacing w:line="480" w:lineRule="auto"/>
        <w:ind w:firstLine="420" w:firstLineChars="175"/>
        <w:rPr>
          <w:rFonts w:ascii="Times New Roman" w:hAnsi="Times New Roman"/>
          <w:sz w:val="24"/>
          <w:szCs w:val="24"/>
        </w:rPr>
      </w:pPr>
      <w:r>
        <w:rPr>
          <w:rFonts w:ascii="Times New Roman" w:hAnsi="Times New Roman"/>
          <w:sz w:val="24"/>
          <w:szCs w:val="24"/>
        </w:rPr>
        <w:t>邮政编码：518000</w:t>
      </w:r>
    </w:p>
    <w:p>
      <w:pPr>
        <w:pStyle w:val="25"/>
        <w:spacing w:line="360" w:lineRule="auto"/>
        <w:ind w:firstLine="420" w:firstLineChars="175"/>
        <w:rPr>
          <w:rFonts w:hAnsi="宋体"/>
          <w:sz w:val="24"/>
        </w:rPr>
      </w:pPr>
      <w:r>
        <w:rPr>
          <w:rFonts w:hAnsi="宋体"/>
          <w:sz w:val="24"/>
        </w:rPr>
        <w:t>联 系 人：</w:t>
      </w:r>
      <w:r>
        <w:rPr>
          <w:rFonts w:hint="eastAsia" w:hAnsi="宋体" w:cs="仿宋_GB2312"/>
          <w:b/>
          <w:bCs/>
          <w:sz w:val="24"/>
          <w:szCs w:val="24"/>
          <w:u w:val="single"/>
        </w:rPr>
        <w:t>周小姐</w:t>
      </w:r>
    </w:p>
    <w:p>
      <w:pPr>
        <w:pStyle w:val="25"/>
        <w:spacing w:line="360" w:lineRule="auto"/>
        <w:ind w:firstLine="420" w:firstLineChars="175"/>
        <w:rPr>
          <w:rFonts w:hAnsi="宋体"/>
          <w:sz w:val="24"/>
        </w:rPr>
      </w:pPr>
      <w:r>
        <w:rPr>
          <w:rFonts w:hAnsi="宋体"/>
          <w:sz w:val="24"/>
        </w:rPr>
        <w:t>联系电话：</w:t>
      </w:r>
      <w:r>
        <w:rPr>
          <w:rFonts w:hint="eastAsia" w:hAnsi="宋体" w:cs="仿宋_GB2312"/>
          <w:b/>
          <w:bCs/>
          <w:sz w:val="24"/>
          <w:szCs w:val="24"/>
          <w:u w:val="single"/>
        </w:rPr>
        <w:t>0755-89987867、89987482</w:t>
      </w:r>
    </w:p>
    <w:p>
      <w:pPr>
        <w:pStyle w:val="25"/>
        <w:spacing w:line="360" w:lineRule="auto"/>
        <w:ind w:firstLine="420" w:firstLineChars="175"/>
        <w:rPr>
          <w:rFonts w:ascii="Times New Roman" w:hAnsi="Times New Roman"/>
          <w:sz w:val="24"/>
          <w:szCs w:val="24"/>
        </w:rPr>
      </w:pPr>
      <w:r>
        <w:rPr>
          <w:rFonts w:hint="eastAsia" w:hAnsi="宋体"/>
          <w:sz w:val="24"/>
        </w:rPr>
        <w:t>电    邮</w:t>
      </w:r>
      <w:r>
        <w:rPr>
          <w:rFonts w:hAnsi="宋体"/>
          <w:sz w:val="24"/>
        </w:rPr>
        <w:t>：</w:t>
      </w:r>
      <w:r>
        <w:rPr>
          <w:rFonts w:hint="eastAsia" w:ascii="Times New Roman" w:hAnsi="Times New Roman"/>
          <w:sz w:val="24"/>
          <w:szCs w:val="24"/>
        </w:rPr>
        <w:t>zhouxingjie@shenzhenmc.com</w:t>
      </w:r>
    </w:p>
    <w:p>
      <w:pPr>
        <w:pStyle w:val="25"/>
        <w:spacing w:line="360" w:lineRule="auto"/>
        <w:ind w:firstLine="420" w:firstLineChars="175"/>
        <w:rPr>
          <w:rFonts w:hAnsi="宋体"/>
          <w:sz w:val="24"/>
        </w:rPr>
      </w:pPr>
      <w:r>
        <w:rPr>
          <w:rFonts w:hAnsi="宋体"/>
          <w:sz w:val="24"/>
        </w:rPr>
        <w:t>日    期：</w:t>
      </w:r>
      <w:r>
        <w:rPr>
          <w:rFonts w:hint="eastAsia" w:hAnsi="宋体" w:cs="仿宋_GB2312"/>
          <w:b/>
          <w:bCs/>
          <w:sz w:val="24"/>
          <w:szCs w:val="24"/>
          <w:u w:val="single"/>
        </w:rPr>
        <w:t>2</w:t>
      </w:r>
      <w:r>
        <w:rPr>
          <w:rFonts w:hAnsi="宋体" w:cs="仿宋_GB2312"/>
          <w:b/>
          <w:bCs/>
          <w:sz w:val="24"/>
          <w:szCs w:val="24"/>
          <w:u w:val="single"/>
        </w:rPr>
        <w:t>022</w:t>
      </w:r>
      <w:r>
        <w:rPr>
          <w:rFonts w:hint="eastAsia" w:hAnsi="宋体"/>
          <w:sz w:val="24"/>
        </w:rPr>
        <w:t>年</w:t>
      </w:r>
      <w:r>
        <w:rPr>
          <w:rFonts w:hint="eastAsia" w:hAnsi="宋体" w:cs="仿宋_GB2312"/>
          <w:b/>
          <w:bCs/>
          <w:sz w:val="24"/>
          <w:szCs w:val="24"/>
          <w:u w:val="single"/>
        </w:rPr>
        <w:t xml:space="preserve"> </w:t>
      </w:r>
      <w:r>
        <w:rPr>
          <w:rFonts w:hint="eastAsia" w:hAnsi="宋体" w:cs="仿宋_GB2312"/>
          <w:b/>
          <w:bCs/>
          <w:sz w:val="24"/>
          <w:szCs w:val="24"/>
          <w:u w:val="single"/>
          <w:lang w:val="en-US" w:eastAsia="zh-CN"/>
        </w:rPr>
        <w:t>8</w:t>
      </w:r>
      <w:r>
        <w:rPr>
          <w:rFonts w:hint="eastAsia" w:hAnsi="宋体"/>
          <w:sz w:val="24"/>
        </w:rPr>
        <w:t>月</w:t>
      </w:r>
      <w:r>
        <w:rPr>
          <w:rFonts w:hint="eastAsia" w:hAnsi="宋体" w:cs="仿宋_GB2312"/>
          <w:b/>
          <w:bCs/>
          <w:sz w:val="24"/>
          <w:szCs w:val="24"/>
          <w:u w:val="single"/>
          <w:lang w:val="en-US" w:eastAsia="zh-CN"/>
        </w:rPr>
        <w:t>3</w:t>
      </w:r>
      <w:r>
        <w:rPr>
          <w:rFonts w:hint="eastAsia" w:hAnsi="宋体"/>
          <w:sz w:val="24"/>
        </w:rPr>
        <w:t>日</w:t>
      </w:r>
    </w:p>
    <w:bookmarkEnd w:id="38"/>
    <w:bookmarkEnd w:id="39"/>
    <w:bookmarkEnd w:id="40"/>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5"/>
        <w:spacing w:before="240" w:line="360" w:lineRule="auto"/>
        <w:rPr>
          <w:rFonts w:ascii="宋体" w:hAnsi="宋体"/>
          <w:b w:val="0"/>
          <w:sz w:val="44"/>
          <w:szCs w:val="44"/>
        </w:rPr>
      </w:pPr>
      <w:bookmarkStart w:id="41" w:name="_Toc8304"/>
      <w:bookmarkStart w:id="42" w:name="_Toc1170"/>
      <w:bookmarkStart w:id="43" w:name="_Toc13688"/>
      <w:bookmarkStart w:id="44" w:name="_Toc15435"/>
      <w:bookmarkStart w:id="45" w:name="_Toc224"/>
      <w:bookmarkStart w:id="46" w:name="_Toc21935"/>
      <w:bookmarkStart w:id="47" w:name="_Toc9902"/>
      <w:bookmarkStart w:id="48" w:name="_Toc11751"/>
      <w:bookmarkStart w:id="49" w:name="_Toc9339"/>
      <w:bookmarkStart w:id="50" w:name="_Toc14514"/>
      <w:bookmarkStart w:id="51" w:name="_Toc22828"/>
      <w:bookmarkStart w:id="52" w:name="_Toc18593"/>
      <w:bookmarkStart w:id="53" w:name="_Toc32511"/>
      <w:bookmarkStart w:id="54" w:name="_Toc3503"/>
      <w:bookmarkStart w:id="55" w:name="_Toc7858"/>
      <w:bookmarkStart w:id="56" w:name="_Toc7791"/>
      <w:bookmarkStart w:id="57" w:name="_Toc3183"/>
      <w:bookmarkStart w:id="58" w:name="_Toc12608"/>
      <w:bookmarkStart w:id="59" w:name="_Toc3042"/>
      <w:bookmarkStart w:id="60" w:name="_Toc4474"/>
      <w:bookmarkStart w:id="61" w:name="_Toc10949"/>
      <w:bookmarkStart w:id="62" w:name="_Toc12915"/>
      <w:bookmarkStart w:id="63" w:name="_Toc2781"/>
      <w:bookmarkStart w:id="64" w:name="_Toc32713"/>
      <w:bookmarkStart w:id="65" w:name="_Toc19315"/>
      <w:bookmarkStart w:id="66" w:name="_Toc10985"/>
      <w:bookmarkStart w:id="67" w:name="_Toc31908"/>
      <w:bookmarkStart w:id="68" w:name="_Toc2351"/>
      <w:bookmarkStart w:id="69" w:name="_Toc3875"/>
      <w:bookmarkStart w:id="70" w:name="_Toc26414"/>
      <w:bookmarkStart w:id="71" w:name="_Toc2133"/>
      <w:bookmarkStart w:id="72" w:name="_Toc14502"/>
      <w:bookmarkStart w:id="73" w:name="_Toc26806"/>
      <w:r>
        <w:rPr>
          <w:rFonts w:hint="eastAsia" w:ascii="宋体" w:hAnsi="宋体"/>
          <w:b w:val="0"/>
          <w:sz w:val="44"/>
          <w:szCs w:val="44"/>
        </w:rPr>
        <w:t>投标文件无效和废标的情形摘要</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25"/>
        <w:spacing w:line="420" w:lineRule="exact"/>
        <w:ind w:firstLine="482" w:firstLineChars="200"/>
        <w:rPr>
          <w:rFonts w:hAnsi="宋体"/>
          <w:b/>
          <w:bCs/>
          <w:sz w:val="24"/>
          <w:szCs w:val="36"/>
        </w:rPr>
      </w:pPr>
      <w:r>
        <w:rPr>
          <w:rFonts w:hint="eastAsia" w:hAnsi="宋体"/>
          <w:b/>
          <w:bCs/>
          <w:sz w:val="24"/>
          <w:szCs w:val="36"/>
        </w:rPr>
        <w:t>本章节是本招标文件中涉及的所有无效标和废标情形的摘要，除出现以下情形外，投标文件的其他任何情形均不得作无效标和废标处理。招标文件中有关无效标和废标条款的阐述与本章节不一致的，以本章节内容为准。</w:t>
      </w:r>
    </w:p>
    <w:p>
      <w:pPr>
        <w:spacing w:line="420" w:lineRule="exact"/>
        <w:ind w:firstLine="472" w:firstLineChars="196"/>
        <w:rPr>
          <w:rFonts w:ascii="宋体" w:hAnsi="宋体"/>
          <w:b/>
          <w:sz w:val="24"/>
          <w:szCs w:val="24"/>
        </w:rPr>
      </w:pPr>
      <w:r>
        <w:rPr>
          <w:rFonts w:hint="eastAsia" w:ascii="宋体" w:hAnsi="宋体"/>
          <w:b/>
          <w:sz w:val="24"/>
          <w:szCs w:val="24"/>
        </w:rPr>
        <w:t>一、投标文件不予受理的情形（由招标人负责判定）:</w:t>
      </w:r>
    </w:p>
    <w:p>
      <w:pPr>
        <w:spacing w:line="420" w:lineRule="exact"/>
        <w:ind w:left="480"/>
        <w:rPr>
          <w:rFonts w:ascii="宋体" w:hAnsi="宋体"/>
          <w:bCs/>
          <w:sz w:val="24"/>
          <w:szCs w:val="32"/>
          <w:u w:val="single"/>
        </w:rPr>
      </w:pPr>
      <w:r>
        <w:rPr>
          <w:rFonts w:hint="eastAsia" w:ascii="宋体" w:hAnsi="宋体"/>
          <w:sz w:val="24"/>
        </w:rPr>
        <w:t>1.</w:t>
      </w:r>
      <w:r>
        <w:rPr>
          <w:rFonts w:hint="eastAsia" w:ascii="宋体" w:hAnsi="宋体"/>
          <w:sz w:val="24"/>
          <w:szCs w:val="24"/>
        </w:rPr>
        <w:t>投标</w:t>
      </w:r>
      <w:r>
        <w:rPr>
          <w:rFonts w:ascii="宋体" w:hAnsi="宋体"/>
          <w:sz w:val="24"/>
          <w:szCs w:val="24"/>
        </w:rPr>
        <w:t>文件在规定的</w:t>
      </w:r>
      <w:r>
        <w:rPr>
          <w:rFonts w:hint="eastAsia" w:ascii="宋体" w:hAnsi="宋体"/>
          <w:sz w:val="24"/>
          <w:szCs w:val="24"/>
        </w:rPr>
        <w:t>投标</w:t>
      </w:r>
      <w:r>
        <w:rPr>
          <w:rFonts w:ascii="宋体" w:hAnsi="宋体"/>
          <w:sz w:val="24"/>
          <w:szCs w:val="24"/>
        </w:rPr>
        <w:t>截止时间以后送达的或者未送达指定地点的；</w:t>
      </w:r>
    </w:p>
    <w:p>
      <w:pPr>
        <w:spacing w:line="420" w:lineRule="exact"/>
        <w:ind w:left="480"/>
        <w:rPr>
          <w:rFonts w:ascii="宋体" w:hAnsi="宋体"/>
          <w:sz w:val="24"/>
        </w:rPr>
      </w:pPr>
      <w:r>
        <w:rPr>
          <w:rFonts w:hint="eastAsia" w:ascii="宋体" w:hAnsi="宋体"/>
          <w:bCs/>
          <w:sz w:val="24"/>
          <w:szCs w:val="24"/>
        </w:rPr>
        <w:t>2.投标文件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w:t>
      </w:r>
      <w:r>
        <w:rPr>
          <w:rFonts w:hint="eastAsia" w:ascii="宋体" w:hAnsi="宋体"/>
          <w:bCs/>
          <w:sz w:val="24"/>
          <w:szCs w:val="24"/>
        </w:rPr>
        <w:t>投标</w:t>
      </w:r>
      <w:r>
        <w:rPr>
          <w:rFonts w:ascii="宋体" w:hAnsi="宋体"/>
          <w:bCs/>
          <w:sz w:val="24"/>
          <w:szCs w:val="24"/>
        </w:rPr>
        <w:t>人公章的</w:t>
      </w:r>
      <w:r>
        <w:rPr>
          <w:rFonts w:hint="eastAsia" w:ascii="宋体" w:hAnsi="宋体"/>
          <w:sz w:val="24"/>
        </w:rPr>
        <w:t>。</w:t>
      </w:r>
    </w:p>
    <w:p>
      <w:pPr>
        <w:spacing w:line="420" w:lineRule="exact"/>
        <w:ind w:firstLine="480" w:firstLineChars="200"/>
        <w:rPr>
          <w:rFonts w:ascii="宋体" w:hAnsi="宋体"/>
          <w:b/>
          <w:sz w:val="24"/>
        </w:rPr>
      </w:pPr>
      <w:r>
        <w:rPr>
          <w:rFonts w:hint="eastAsia" w:ascii="宋体" w:hAnsi="宋体"/>
          <w:sz w:val="24"/>
          <w:szCs w:val="24"/>
        </w:rPr>
        <w:t>二、</w:t>
      </w:r>
      <w:r>
        <w:rPr>
          <w:rFonts w:hint="eastAsia" w:ascii="宋体" w:hAnsi="宋体"/>
          <w:b/>
          <w:sz w:val="24"/>
        </w:rPr>
        <w:t>投标文件有下列情形之一的，初步评审不合格，应作无效标处理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420" w:lineRule="exact"/>
        <w:ind w:left="480"/>
        <w:rPr>
          <w:rFonts w:ascii="宋体" w:hAnsi="宋体"/>
          <w:sz w:val="24"/>
        </w:rPr>
      </w:pPr>
      <w:r>
        <w:rPr>
          <w:rFonts w:hint="eastAsia" w:ascii="宋体" w:hAnsi="宋体"/>
          <w:sz w:val="24"/>
        </w:rPr>
        <w:t>1．投标文件未按要求加盖投标人公章的；</w:t>
      </w:r>
    </w:p>
    <w:p>
      <w:pPr>
        <w:spacing w:line="420" w:lineRule="exact"/>
        <w:ind w:left="480"/>
        <w:rPr>
          <w:rFonts w:ascii="宋体" w:hAnsi="宋体"/>
          <w:sz w:val="24"/>
        </w:rPr>
      </w:pPr>
      <w:r>
        <w:rPr>
          <w:rFonts w:hint="eastAsia" w:ascii="宋体" w:hAnsi="宋体"/>
          <w:sz w:val="24"/>
        </w:rPr>
        <w:t>2．投标文件</w:t>
      </w:r>
      <w:r>
        <w:rPr>
          <w:rFonts w:ascii="宋体" w:hAnsi="宋体"/>
          <w:sz w:val="24"/>
        </w:rPr>
        <w:t>未经法定代表人或其委托代理人签字</w:t>
      </w:r>
      <w:r>
        <w:rPr>
          <w:rFonts w:hint="eastAsia" w:ascii="宋体" w:hAnsi="宋体"/>
          <w:sz w:val="24"/>
        </w:rPr>
        <w:t>或盖章</w:t>
      </w:r>
      <w:r>
        <w:rPr>
          <w:rFonts w:ascii="宋体" w:hAnsi="宋体"/>
          <w:sz w:val="24"/>
        </w:rPr>
        <w:t>的，或由委托代理人签字但未随</w:t>
      </w:r>
      <w:r>
        <w:rPr>
          <w:rFonts w:hint="eastAsia" w:ascii="宋体" w:hAnsi="宋体"/>
          <w:sz w:val="24"/>
        </w:rPr>
        <w:t>投标</w:t>
      </w:r>
      <w:r>
        <w:rPr>
          <w:rFonts w:ascii="宋体" w:hAnsi="宋体"/>
          <w:sz w:val="24"/>
        </w:rPr>
        <w:t>文件一起提供“法定代表人授权书”原件的；</w:t>
      </w:r>
    </w:p>
    <w:p>
      <w:pPr>
        <w:spacing w:line="420" w:lineRule="exact"/>
        <w:ind w:left="480"/>
        <w:rPr>
          <w:rFonts w:ascii="宋体" w:hAnsi="宋体"/>
          <w:sz w:val="24"/>
        </w:rPr>
      </w:pPr>
      <w:r>
        <w:rPr>
          <w:rFonts w:hint="eastAsia" w:ascii="宋体" w:hAnsi="宋体"/>
          <w:sz w:val="24"/>
        </w:rPr>
        <w:t>3．对固定的投标格式文件内容进行了实质性修改，或加进额外的条件；</w:t>
      </w:r>
    </w:p>
    <w:p>
      <w:pPr>
        <w:spacing w:line="420" w:lineRule="exact"/>
        <w:ind w:left="480"/>
        <w:rPr>
          <w:rFonts w:ascii="宋体" w:hAnsi="宋体"/>
          <w:sz w:val="24"/>
        </w:rPr>
      </w:pPr>
      <w:r>
        <w:rPr>
          <w:rFonts w:hint="eastAsia" w:ascii="宋体" w:hAnsi="宋体"/>
          <w:sz w:val="24"/>
        </w:rPr>
        <w:t>4．投标</w:t>
      </w:r>
      <w:r>
        <w:rPr>
          <w:rFonts w:ascii="宋体" w:hAnsi="宋体"/>
          <w:sz w:val="24"/>
        </w:rPr>
        <w:t>函中的内容未按</w:t>
      </w:r>
      <w:r>
        <w:rPr>
          <w:rFonts w:hint="eastAsia" w:ascii="宋体" w:hAnsi="宋体"/>
          <w:sz w:val="24"/>
        </w:rPr>
        <w:t>招标</w:t>
      </w:r>
      <w:r>
        <w:rPr>
          <w:rFonts w:ascii="宋体" w:hAnsi="宋体"/>
          <w:sz w:val="24"/>
        </w:rPr>
        <w:t>文件的</w:t>
      </w:r>
      <w:r>
        <w:rPr>
          <w:rFonts w:hint="eastAsia" w:ascii="宋体" w:hAnsi="宋体"/>
          <w:sz w:val="24"/>
        </w:rPr>
        <w:t>要求</w:t>
      </w:r>
      <w:r>
        <w:rPr>
          <w:rFonts w:ascii="宋体" w:hAnsi="宋体"/>
          <w:sz w:val="24"/>
        </w:rPr>
        <w:t>填写；</w:t>
      </w:r>
    </w:p>
    <w:p>
      <w:pPr>
        <w:spacing w:line="420" w:lineRule="exact"/>
        <w:ind w:left="480"/>
        <w:rPr>
          <w:rFonts w:ascii="宋体" w:hAnsi="宋体"/>
          <w:sz w:val="24"/>
        </w:rPr>
      </w:pPr>
      <w:r>
        <w:rPr>
          <w:rFonts w:hint="eastAsia" w:ascii="宋体" w:hAnsi="宋体"/>
          <w:sz w:val="24"/>
        </w:rPr>
        <w:t>5．投标</w:t>
      </w:r>
      <w:r>
        <w:rPr>
          <w:rFonts w:ascii="宋体" w:hAnsi="宋体"/>
          <w:sz w:val="24"/>
        </w:rPr>
        <w:t>人的</w:t>
      </w:r>
      <w:r>
        <w:rPr>
          <w:rFonts w:hint="eastAsia" w:ascii="宋体" w:hAnsi="宋体"/>
          <w:sz w:val="24"/>
        </w:rPr>
        <w:t>报价超出本项目投标上限价或分项价格上限的；</w:t>
      </w:r>
    </w:p>
    <w:p>
      <w:pPr>
        <w:spacing w:line="420" w:lineRule="exact"/>
        <w:ind w:left="480"/>
        <w:rPr>
          <w:rFonts w:ascii="宋体" w:hAnsi="宋体"/>
          <w:sz w:val="24"/>
        </w:rPr>
      </w:pPr>
      <w:r>
        <w:rPr>
          <w:rFonts w:hint="eastAsia" w:ascii="宋体" w:hAnsi="宋体"/>
          <w:sz w:val="24"/>
        </w:rPr>
        <w:t>6．经审查投标</w:t>
      </w:r>
      <w:r>
        <w:rPr>
          <w:rFonts w:ascii="宋体" w:hAnsi="宋体"/>
          <w:sz w:val="24"/>
        </w:rPr>
        <w:t>人不符合资格要求的</w:t>
      </w:r>
      <w:r>
        <w:rPr>
          <w:rFonts w:hint="eastAsia" w:ascii="宋体" w:hAnsi="宋体"/>
          <w:sz w:val="24"/>
        </w:rPr>
        <w:t>。</w:t>
      </w:r>
    </w:p>
    <w:p>
      <w:pPr>
        <w:spacing w:line="420" w:lineRule="exact"/>
        <w:ind w:left="480"/>
        <w:rPr>
          <w:rFonts w:ascii="宋体" w:hAnsi="宋体"/>
          <w:b/>
          <w:sz w:val="24"/>
        </w:rPr>
      </w:pPr>
      <w:r>
        <w:rPr>
          <w:rFonts w:hint="eastAsia" w:ascii="宋体" w:hAnsi="宋体"/>
          <w:b/>
          <w:sz w:val="24"/>
        </w:rPr>
        <w:t>三、投标文件存在下列情形的，应作废处理（由评标委员会负责判定）：</w:t>
      </w:r>
    </w:p>
    <w:p>
      <w:pPr>
        <w:spacing w:line="420" w:lineRule="exact"/>
        <w:ind w:left="480"/>
        <w:rPr>
          <w:rFonts w:ascii="宋体" w:hAnsi="宋体"/>
          <w:sz w:val="24"/>
        </w:rPr>
      </w:pPr>
      <w:r>
        <w:rPr>
          <w:rFonts w:hint="eastAsia" w:ascii="宋体" w:hAnsi="宋体"/>
          <w:sz w:val="24"/>
        </w:rPr>
        <w:t>1．投标人以他人的名义投标或出现串通投标、弄虚作假情形的：</w:t>
      </w:r>
    </w:p>
    <w:p>
      <w:pPr>
        <w:spacing w:line="420" w:lineRule="exact"/>
        <w:ind w:left="480"/>
        <w:rPr>
          <w:rFonts w:ascii="宋体" w:hAnsi="宋体"/>
          <w:sz w:val="24"/>
        </w:rPr>
      </w:pPr>
      <w:r>
        <w:rPr>
          <w:rFonts w:hint="eastAsia" w:ascii="宋体" w:hAnsi="宋体"/>
          <w:sz w:val="24"/>
        </w:rPr>
        <w:t>2．不同投标人的投标文件内容存在非正常一致的（包括但不限于线上递交投标文件的CPU序号、硬盘序列号、MAC地址、IP地址等）；</w:t>
      </w:r>
    </w:p>
    <w:p>
      <w:pPr>
        <w:spacing w:line="420" w:lineRule="exact"/>
        <w:ind w:left="480"/>
        <w:rPr>
          <w:rFonts w:ascii="宋体" w:hAnsi="宋体"/>
          <w:sz w:val="24"/>
        </w:rPr>
      </w:pPr>
      <w:r>
        <w:rPr>
          <w:rFonts w:hint="eastAsia" w:ascii="宋体" w:hAnsi="宋体"/>
          <w:sz w:val="24"/>
        </w:rPr>
        <w:t>3．不同投标人的投标文件错漏之处一致的；</w:t>
      </w:r>
    </w:p>
    <w:p>
      <w:pPr>
        <w:spacing w:line="420" w:lineRule="exact"/>
        <w:ind w:left="480"/>
        <w:rPr>
          <w:rFonts w:ascii="宋体" w:hAnsi="宋体"/>
          <w:sz w:val="24"/>
        </w:rPr>
      </w:pPr>
      <w:r>
        <w:rPr>
          <w:rFonts w:ascii="宋体" w:hAnsi="宋体"/>
          <w:sz w:val="24"/>
        </w:rPr>
        <w:t>4</w:t>
      </w:r>
      <w:r>
        <w:rPr>
          <w:rFonts w:hint="eastAsia" w:ascii="宋体" w:hAnsi="宋体"/>
          <w:sz w:val="24"/>
        </w:rPr>
        <w:t>．不同投标人的投标报价或者报价组成异常一致或者呈规律性变化的；</w:t>
      </w:r>
    </w:p>
    <w:p>
      <w:pPr>
        <w:spacing w:line="420" w:lineRule="exact"/>
        <w:ind w:left="480"/>
        <w:rPr>
          <w:rFonts w:ascii="宋体" w:hAnsi="宋体"/>
          <w:sz w:val="24"/>
        </w:rPr>
      </w:pPr>
      <w:r>
        <w:rPr>
          <w:rFonts w:ascii="宋体" w:hAnsi="宋体"/>
          <w:sz w:val="24"/>
        </w:rPr>
        <w:t>5</w:t>
      </w:r>
      <w:r>
        <w:rPr>
          <w:rFonts w:hint="eastAsia" w:ascii="宋体" w:hAnsi="宋体"/>
          <w:sz w:val="24"/>
        </w:rPr>
        <w:t>．不同投标人的投标文件由同一单位或者同一个人编制的；</w:t>
      </w:r>
    </w:p>
    <w:p>
      <w:pPr>
        <w:spacing w:line="420" w:lineRule="exact"/>
        <w:ind w:left="480"/>
        <w:rPr>
          <w:rFonts w:ascii="宋体" w:hAnsi="宋体"/>
          <w:sz w:val="24"/>
        </w:rPr>
      </w:pPr>
      <w:r>
        <w:rPr>
          <w:rFonts w:ascii="宋体" w:hAnsi="宋体"/>
          <w:sz w:val="24"/>
        </w:rPr>
        <w:t>6</w:t>
      </w:r>
      <w:r>
        <w:rPr>
          <w:rFonts w:hint="eastAsia" w:ascii="宋体" w:hAnsi="宋体"/>
          <w:sz w:val="24"/>
        </w:rPr>
        <w:t>．不同投标人的投标文件载明的项目负责人与主要技术人员出现同一人的；</w:t>
      </w:r>
    </w:p>
    <w:p>
      <w:pPr>
        <w:spacing w:line="420" w:lineRule="exact"/>
        <w:ind w:left="480"/>
        <w:rPr>
          <w:rFonts w:ascii="宋体" w:hAnsi="宋体"/>
          <w:sz w:val="24"/>
        </w:rPr>
      </w:pPr>
      <w:r>
        <w:rPr>
          <w:rFonts w:hint="eastAsia" w:ascii="宋体" w:hAnsi="宋体"/>
          <w:sz w:val="24"/>
        </w:rPr>
        <w:t>7．不同投标人的投标文件相互混装的；</w:t>
      </w:r>
    </w:p>
    <w:p>
      <w:pPr>
        <w:spacing w:line="420" w:lineRule="exact"/>
        <w:ind w:left="480"/>
        <w:rPr>
          <w:rFonts w:ascii="宋体" w:hAnsi="宋体"/>
          <w:sz w:val="24"/>
        </w:rPr>
      </w:pPr>
      <w:r>
        <w:rPr>
          <w:rFonts w:hint="eastAsia" w:ascii="宋体" w:hAnsi="宋体"/>
          <w:sz w:val="24"/>
        </w:rPr>
        <w:t>8．不同投标人委托同一人投标的；</w:t>
      </w:r>
    </w:p>
    <w:p>
      <w:pPr>
        <w:spacing w:line="420" w:lineRule="exact"/>
        <w:ind w:left="480"/>
        <w:rPr>
          <w:rFonts w:ascii="宋体" w:hAnsi="宋体"/>
          <w:sz w:val="24"/>
        </w:rPr>
      </w:pPr>
      <w:r>
        <w:rPr>
          <w:rFonts w:ascii="宋体" w:hAnsi="宋体"/>
          <w:sz w:val="24"/>
        </w:rPr>
        <w:t>9</w:t>
      </w:r>
      <w:r>
        <w:rPr>
          <w:rFonts w:hint="eastAsia" w:ascii="宋体" w:hAnsi="宋体"/>
          <w:sz w:val="24"/>
        </w:rPr>
        <w:t>．不同投标人聘请同一人为其投标提供技术或者经济咨询服务的，但招标项目本身要求采用专有技术的除外。</w:t>
      </w:r>
    </w:p>
    <w:p>
      <w:pPr>
        <w:spacing w:line="420" w:lineRule="exact"/>
        <w:ind w:left="480"/>
        <w:rPr>
          <w:rFonts w:ascii="宋体" w:hAnsi="宋体"/>
          <w:sz w:val="24"/>
        </w:rPr>
      </w:pPr>
      <w:r>
        <w:rPr>
          <w:rFonts w:ascii="宋体" w:hAnsi="宋体"/>
          <w:sz w:val="24"/>
        </w:rPr>
        <w:t>10</w:t>
      </w:r>
      <w:r>
        <w:rPr>
          <w:rFonts w:hint="eastAsia" w:ascii="宋体" w:hAnsi="宋体"/>
          <w:sz w:val="24"/>
        </w:rPr>
        <w:t>．投标人拒不按照评标委员会要求对投标文件进行澄清、说明、补正的。</w:t>
      </w:r>
      <w:bookmarkStart w:id="74" w:name="_Toc57731944"/>
    </w:p>
    <w:p>
      <w:pPr>
        <w:spacing w:line="420" w:lineRule="exact"/>
        <w:ind w:left="480" w:firstLine="480" w:firstLineChars="200"/>
        <w:rPr>
          <w:rFonts w:ascii="宋体" w:hAnsi="宋体"/>
          <w:sz w:val="24"/>
          <w:szCs w:val="24"/>
        </w:rPr>
      </w:pPr>
      <w:r>
        <w:rPr>
          <w:rFonts w:hint="eastAsia" w:ascii="宋体" w:hAnsi="宋体"/>
          <w:sz w:val="24"/>
          <w:szCs w:val="24"/>
        </w:rPr>
        <w:t>当投标人出现上述10条的情形时，招标人将该投标人列入招标人不良诚信行为名录，并保留对外公示的权利。</w:t>
      </w:r>
    </w:p>
    <w:p>
      <w:pPr>
        <w:pStyle w:val="6"/>
        <w:spacing w:line="360" w:lineRule="auto"/>
        <w:rPr>
          <w:rFonts w:ascii="宋体" w:hAnsi="宋体" w:eastAsia="宋体"/>
          <w:b/>
          <w:sz w:val="44"/>
          <w:szCs w:val="44"/>
        </w:rPr>
      </w:pPr>
      <w:bookmarkStart w:id="75" w:name="_Toc13814"/>
      <w:bookmarkStart w:id="76" w:name="_Toc11778"/>
      <w:bookmarkStart w:id="77" w:name="_Toc26796"/>
      <w:bookmarkStart w:id="78" w:name="_Toc31935"/>
      <w:bookmarkStart w:id="79" w:name="_Toc31092"/>
      <w:bookmarkStart w:id="80" w:name="_Toc27399"/>
      <w:bookmarkStart w:id="81" w:name="_Toc7223"/>
      <w:bookmarkStart w:id="82" w:name="_Toc25670"/>
      <w:bookmarkStart w:id="83" w:name="_Toc2535"/>
      <w:bookmarkStart w:id="84" w:name="_Toc29612"/>
      <w:bookmarkStart w:id="85" w:name="_Toc13672"/>
      <w:bookmarkStart w:id="86" w:name="_Toc15914"/>
      <w:bookmarkStart w:id="87" w:name="_Toc17901"/>
      <w:bookmarkStart w:id="88" w:name="_Toc17149"/>
      <w:bookmarkStart w:id="89" w:name="_Toc16034"/>
      <w:bookmarkStart w:id="90" w:name="_Toc25881"/>
      <w:bookmarkStart w:id="91" w:name="_Toc29003"/>
      <w:bookmarkStart w:id="92" w:name="_Toc18092"/>
      <w:bookmarkStart w:id="93" w:name="_Toc20854"/>
      <w:bookmarkStart w:id="94" w:name="_Toc23493"/>
      <w:bookmarkStart w:id="95" w:name="_Toc19587"/>
      <w:bookmarkStart w:id="96" w:name="_Toc10054"/>
      <w:bookmarkStart w:id="97" w:name="_Toc1950"/>
      <w:bookmarkStart w:id="98" w:name="_Toc5067"/>
      <w:bookmarkStart w:id="99" w:name="_Toc14426"/>
      <w:bookmarkStart w:id="100" w:name="_Toc32651"/>
      <w:bookmarkStart w:id="101" w:name="_Toc22067"/>
      <w:bookmarkStart w:id="102" w:name="_Toc19135"/>
      <w:bookmarkStart w:id="103" w:name="_Toc13983"/>
      <w:bookmarkStart w:id="104" w:name="_Toc20792"/>
      <w:bookmarkStart w:id="105" w:name="_Toc20524"/>
      <w:bookmarkStart w:id="106" w:name="_Toc3679"/>
      <w:bookmarkStart w:id="107" w:name="_Toc851"/>
      <w:r>
        <w:rPr>
          <w:rFonts w:hint="eastAsia" w:ascii="宋体" w:hAnsi="宋体" w:eastAsia="宋体"/>
          <w:b/>
          <w:sz w:val="44"/>
          <w:szCs w:val="44"/>
        </w:rPr>
        <w:t>招标公告</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25"/>
        <w:spacing w:line="400" w:lineRule="exact"/>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rPr>
        <w:t>“</w:t>
      </w:r>
      <w:r>
        <w:rPr>
          <w:rFonts w:hint="eastAsia" w:hAnsi="宋体" w:cs="宋体"/>
          <w:b/>
          <w:bCs/>
          <w:sz w:val="24"/>
          <w:szCs w:val="24"/>
          <w:u w:val="single"/>
        </w:rPr>
        <w:t>赤湾停车场物业开发项目按揭合作银行”</w:t>
      </w:r>
      <w:r>
        <w:rPr>
          <w:rFonts w:hint="eastAsia" w:hAnsi="宋体"/>
          <w:b/>
          <w:sz w:val="24"/>
          <w:szCs w:val="24"/>
        </w:rPr>
        <w:t>（以下</w:t>
      </w:r>
      <w:r>
        <w:rPr>
          <w:rFonts w:hAnsi="宋体"/>
          <w:b/>
          <w:sz w:val="24"/>
          <w:szCs w:val="24"/>
        </w:rPr>
        <w:t>简称“本项目”）</w:t>
      </w:r>
      <w:r>
        <w:rPr>
          <w:rFonts w:hint="eastAsia" w:hAnsi="宋体"/>
          <w:sz w:val="24"/>
          <w:szCs w:val="24"/>
        </w:rPr>
        <w:t>进行公开招标，欢迎符合本招标公告公布资质要求的投标</w:t>
      </w:r>
      <w:r>
        <w:rPr>
          <w:rFonts w:hAnsi="宋体"/>
          <w:sz w:val="24"/>
          <w:szCs w:val="24"/>
        </w:rPr>
        <w:t>人</w:t>
      </w:r>
      <w:r>
        <w:rPr>
          <w:rFonts w:hint="eastAsia" w:hAnsi="宋体"/>
          <w:sz w:val="24"/>
          <w:szCs w:val="24"/>
        </w:rPr>
        <w:t>参加招标。</w:t>
      </w:r>
    </w:p>
    <w:p>
      <w:pPr>
        <w:spacing w:line="400" w:lineRule="exact"/>
        <w:ind w:left="479" w:leftChars="228"/>
        <w:rPr>
          <w:rFonts w:ascii="宋体" w:hAnsi="宋体"/>
          <w:b/>
          <w:kern w:val="0"/>
          <w:sz w:val="24"/>
          <w:szCs w:val="24"/>
        </w:rPr>
      </w:pPr>
      <w:bookmarkStart w:id="108" w:name="_Toc1713"/>
      <w:bookmarkStart w:id="109" w:name="_Toc57731945"/>
      <w:r>
        <w:rPr>
          <w:rFonts w:hint="eastAsia" w:ascii="宋体" w:hAnsi="宋体"/>
          <w:b/>
          <w:kern w:val="0"/>
          <w:sz w:val="24"/>
          <w:szCs w:val="24"/>
        </w:rPr>
        <w:t>一、项目名称</w:t>
      </w:r>
      <w:bookmarkEnd w:id="108"/>
      <w:bookmarkEnd w:id="109"/>
    </w:p>
    <w:p>
      <w:pPr>
        <w:spacing w:line="400" w:lineRule="exact"/>
        <w:ind w:firstLine="480" w:firstLineChars="200"/>
        <w:rPr>
          <w:rFonts w:ascii="宋体" w:hAnsi="宋体"/>
          <w:sz w:val="24"/>
          <w:szCs w:val="24"/>
        </w:rPr>
      </w:pPr>
      <w:r>
        <w:rPr>
          <w:rFonts w:hint="eastAsia" w:ascii="宋体" w:hAnsi="宋体"/>
          <w:bCs/>
          <w:kern w:val="0"/>
          <w:sz w:val="24"/>
          <w:szCs w:val="24"/>
          <w:lang w:eastAsia="zh-CN"/>
        </w:rPr>
        <w:t>赤湾停车场物业开发项目</w:t>
      </w:r>
      <w:r>
        <w:rPr>
          <w:rFonts w:hint="eastAsia" w:ascii="宋体" w:hAnsi="宋体"/>
          <w:bCs/>
          <w:kern w:val="0"/>
          <w:sz w:val="24"/>
          <w:szCs w:val="24"/>
        </w:rPr>
        <w:t>按揭合作银行</w:t>
      </w:r>
    </w:p>
    <w:p>
      <w:pPr>
        <w:spacing w:line="400" w:lineRule="exact"/>
        <w:ind w:left="479" w:leftChars="228"/>
        <w:rPr>
          <w:rFonts w:ascii="宋体" w:hAnsi="宋体"/>
          <w:b/>
          <w:kern w:val="0"/>
          <w:sz w:val="24"/>
          <w:szCs w:val="24"/>
        </w:rPr>
      </w:pPr>
      <w:r>
        <w:rPr>
          <w:rFonts w:hint="eastAsia" w:ascii="宋体" w:hAnsi="宋体"/>
          <w:b/>
          <w:kern w:val="0"/>
          <w:sz w:val="24"/>
          <w:szCs w:val="24"/>
        </w:rPr>
        <w:t>二、招标内容</w:t>
      </w:r>
    </w:p>
    <w:p>
      <w:pPr>
        <w:pStyle w:val="2"/>
        <w:spacing w:line="400" w:lineRule="exact"/>
        <w:ind w:left="0" w:leftChars="0" w:firstLine="480" w:firstLineChars="200"/>
        <w:rPr>
          <w:rFonts w:hint="eastAsia" w:ascii="宋体" w:hAnsi="宋体"/>
          <w:kern w:val="0"/>
          <w:sz w:val="24"/>
          <w:szCs w:val="24"/>
        </w:rPr>
      </w:pPr>
      <w:r>
        <w:rPr>
          <w:rFonts w:hint="eastAsia" w:hAnsi="宋体"/>
          <w:sz w:val="24"/>
        </w:rPr>
        <w:t>本次赤湾停车场物业开发项目拟选择10家银行作为项目按揭合作银行</w:t>
      </w:r>
      <w:r>
        <w:rPr>
          <w:rFonts w:hint="eastAsia" w:hAnsi="宋体"/>
          <w:kern w:val="0"/>
          <w:sz w:val="24"/>
          <w:szCs w:val="24"/>
          <w:lang w:eastAsia="zh-CN"/>
        </w:rPr>
        <w:t>，</w:t>
      </w:r>
      <w:r>
        <w:rPr>
          <w:rFonts w:hint="eastAsia" w:ascii="宋体" w:hAnsi="宋体"/>
          <w:kern w:val="0"/>
          <w:sz w:val="24"/>
          <w:szCs w:val="24"/>
        </w:rPr>
        <w:t>工作内容包括但不限于为</w:t>
      </w:r>
      <w:r>
        <w:rPr>
          <w:rFonts w:hint="eastAsia" w:ascii="宋体" w:hAnsi="宋体"/>
          <w:bCs w:val="0"/>
          <w:kern w:val="0"/>
          <w:sz w:val="24"/>
          <w:szCs w:val="24"/>
        </w:rPr>
        <w:t>赤湾停车场物业开发项目销售期间</w:t>
      </w:r>
      <w:r>
        <w:rPr>
          <w:rFonts w:hint="eastAsia" w:ascii="宋体" w:hAnsi="宋体"/>
          <w:kern w:val="0"/>
          <w:sz w:val="24"/>
          <w:szCs w:val="24"/>
        </w:rPr>
        <w:t>提供下述服务：</w:t>
      </w:r>
    </w:p>
    <w:p>
      <w:pPr>
        <w:pStyle w:val="2"/>
        <w:spacing w:line="400" w:lineRule="exact"/>
        <w:ind w:left="0" w:leftChars="0" w:firstLine="480" w:firstLineChars="200"/>
        <w:rPr>
          <w:rFonts w:hint="eastAsia" w:ascii="宋体" w:hAnsi="宋体"/>
          <w:kern w:val="0"/>
          <w:sz w:val="24"/>
          <w:szCs w:val="24"/>
        </w:rPr>
      </w:pPr>
      <w:r>
        <w:rPr>
          <w:rFonts w:hint="eastAsia" w:ascii="宋体" w:hAnsi="宋体"/>
          <w:kern w:val="0"/>
          <w:sz w:val="24"/>
          <w:szCs w:val="24"/>
        </w:rPr>
        <w:t>（一）为意向购房客户提供资料审核、认筹金冻结服务；</w:t>
      </w:r>
    </w:p>
    <w:p>
      <w:pPr>
        <w:pStyle w:val="2"/>
        <w:spacing w:line="400" w:lineRule="exact"/>
        <w:ind w:left="0" w:leftChars="0" w:firstLine="480" w:firstLineChars="200"/>
        <w:rPr>
          <w:rFonts w:hint="eastAsia" w:ascii="宋体" w:hAnsi="宋体"/>
          <w:kern w:val="0"/>
          <w:sz w:val="24"/>
          <w:szCs w:val="24"/>
        </w:rPr>
      </w:pPr>
      <w:r>
        <w:rPr>
          <w:rFonts w:hint="eastAsia" w:ascii="宋体" w:hAnsi="宋体"/>
          <w:kern w:val="0"/>
          <w:sz w:val="24"/>
          <w:szCs w:val="24"/>
        </w:rPr>
        <w:t>（二）为购房客户提供按揭咨询、定金划转服务；</w:t>
      </w:r>
    </w:p>
    <w:p>
      <w:pPr>
        <w:pStyle w:val="2"/>
        <w:spacing w:line="400" w:lineRule="exact"/>
        <w:ind w:left="0" w:leftChars="0" w:firstLine="480" w:firstLineChars="200"/>
        <w:rPr>
          <w:rFonts w:hint="eastAsia" w:ascii="宋体" w:hAnsi="宋体"/>
          <w:kern w:val="0"/>
          <w:sz w:val="24"/>
          <w:szCs w:val="24"/>
        </w:rPr>
      </w:pPr>
      <w:r>
        <w:rPr>
          <w:rFonts w:hint="eastAsia" w:ascii="宋体" w:hAnsi="宋体"/>
          <w:kern w:val="0"/>
          <w:sz w:val="24"/>
          <w:szCs w:val="24"/>
        </w:rPr>
        <w:t>（三）为符合条件的购房者出具承贷函、提供按揭贷款；</w:t>
      </w:r>
    </w:p>
    <w:p>
      <w:pPr>
        <w:pStyle w:val="2"/>
        <w:spacing w:line="400" w:lineRule="exact"/>
        <w:ind w:left="0" w:leftChars="0" w:firstLine="480" w:firstLineChars="200"/>
        <w:rPr>
          <w:rFonts w:ascii="宋体" w:hAnsi="宋体"/>
          <w:kern w:val="0"/>
          <w:sz w:val="24"/>
          <w:szCs w:val="24"/>
        </w:rPr>
      </w:pPr>
      <w:r>
        <w:rPr>
          <w:rFonts w:hint="eastAsia" w:ascii="宋体" w:hAnsi="宋体"/>
          <w:kern w:val="0"/>
          <w:sz w:val="24"/>
          <w:szCs w:val="24"/>
        </w:rPr>
        <w:t>（四）办理预售商品房买卖合同的抵押登记；</w:t>
      </w:r>
    </w:p>
    <w:p>
      <w:pPr>
        <w:tabs>
          <w:tab w:val="center" w:pos="5059"/>
        </w:tabs>
        <w:spacing w:line="400" w:lineRule="exact"/>
        <w:ind w:firstLine="480" w:firstLineChars="200"/>
        <w:rPr>
          <w:rFonts w:ascii="宋体" w:hAnsi="宋体"/>
          <w:kern w:val="0"/>
          <w:sz w:val="24"/>
          <w:szCs w:val="24"/>
        </w:rPr>
      </w:pPr>
      <w:r>
        <w:rPr>
          <w:rFonts w:hint="eastAsia" w:ascii="宋体" w:hAnsi="宋体"/>
          <w:kern w:val="0"/>
          <w:sz w:val="24"/>
          <w:szCs w:val="24"/>
        </w:rPr>
        <w:t>（五）办理预售商品房产权证，并办理他项权证抵押登记等相关工作；</w:t>
      </w:r>
    </w:p>
    <w:p>
      <w:pPr>
        <w:tabs>
          <w:tab w:val="center" w:pos="5059"/>
        </w:tabs>
        <w:spacing w:line="400" w:lineRule="exact"/>
        <w:ind w:firstLine="480" w:firstLineChars="200"/>
        <w:rPr>
          <w:rFonts w:ascii="宋体" w:hAnsi="宋体"/>
          <w:kern w:val="0"/>
          <w:sz w:val="24"/>
          <w:szCs w:val="24"/>
        </w:rPr>
      </w:pPr>
      <w:r>
        <w:rPr>
          <w:rFonts w:hint="eastAsia" w:ascii="宋体" w:hAnsi="宋体"/>
          <w:kern w:val="0"/>
          <w:sz w:val="24"/>
          <w:szCs w:val="24"/>
        </w:rPr>
        <w:t>（六）根据开发商需求办理资金监管账户开立等事宜；</w:t>
      </w:r>
    </w:p>
    <w:p>
      <w:pPr>
        <w:tabs>
          <w:tab w:val="center" w:pos="5059"/>
        </w:tabs>
        <w:spacing w:line="400" w:lineRule="exact"/>
        <w:ind w:firstLine="480" w:firstLineChars="200"/>
        <w:rPr>
          <w:rFonts w:ascii="宋体" w:hAnsi="宋体"/>
          <w:kern w:val="0"/>
          <w:sz w:val="24"/>
          <w:szCs w:val="24"/>
        </w:rPr>
      </w:pPr>
      <w:r>
        <w:rPr>
          <w:rFonts w:hint="eastAsia" w:ascii="宋体" w:hAnsi="宋体"/>
          <w:kern w:val="0"/>
          <w:sz w:val="24"/>
          <w:szCs w:val="24"/>
        </w:rPr>
        <w:t>（七）完成合作协议约定的其他相关工作。</w:t>
      </w:r>
    </w:p>
    <w:p>
      <w:pPr>
        <w:spacing w:line="400" w:lineRule="exact"/>
        <w:ind w:firstLine="482" w:firstLineChars="200"/>
        <w:rPr>
          <w:rFonts w:hint="eastAsia" w:ascii="宋体" w:hAnsi="宋体"/>
          <w:b/>
          <w:kern w:val="0"/>
          <w:sz w:val="24"/>
          <w:szCs w:val="24"/>
        </w:rPr>
      </w:pPr>
      <w:bookmarkStart w:id="110" w:name="_Toc57731948"/>
      <w:r>
        <w:rPr>
          <w:rFonts w:hint="eastAsia" w:ascii="宋体" w:hAnsi="宋体"/>
          <w:b/>
          <w:kern w:val="0"/>
          <w:sz w:val="24"/>
          <w:szCs w:val="24"/>
        </w:rPr>
        <w:t>三、投标人资格要求</w:t>
      </w:r>
      <w:bookmarkEnd w:id="110"/>
      <w:bookmarkStart w:id="111" w:name="_Hlk77372483"/>
      <w:bookmarkStart w:id="112" w:name="_Toc57731949"/>
    </w:p>
    <w:p>
      <w:pPr>
        <w:pStyle w:val="2"/>
        <w:spacing w:line="400" w:lineRule="exact"/>
        <w:ind w:left="0" w:leftChars="0" w:firstLine="0" w:firstLineChars="0"/>
        <w:rPr>
          <w:rFonts w:hint="eastAsia" w:hAnsi="宋体" w:cs="仿宋_GB2312"/>
          <w:sz w:val="24"/>
          <w:szCs w:val="24"/>
        </w:rPr>
      </w:pPr>
      <w:r>
        <w:rPr>
          <w:rFonts w:hint="eastAsia" w:hAnsi="宋体"/>
          <w:b/>
          <w:kern w:val="0"/>
          <w:sz w:val="24"/>
          <w:szCs w:val="24"/>
          <w:lang w:val="en-US" w:eastAsia="zh-CN"/>
        </w:rPr>
        <w:t xml:space="preserve">    </w:t>
      </w:r>
      <w:bookmarkEnd w:id="111"/>
      <w:r>
        <w:rPr>
          <w:rFonts w:hint="eastAsia" w:hAnsi="宋体" w:cs="仿宋_GB2312"/>
          <w:sz w:val="24"/>
          <w:szCs w:val="24"/>
          <w:lang w:eastAsia="zh-CN"/>
        </w:rPr>
        <w:t>（</w:t>
      </w:r>
      <w:r>
        <w:rPr>
          <w:rFonts w:hint="eastAsia" w:hAnsi="宋体" w:cs="仿宋_GB2312"/>
          <w:sz w:val="24"/>
          <w:szCs w:val="24"/>
        </w:rPr>
        <w:t>一）投标人资质要求：</w:t>
      </w:r>
    </w:p>
    <w:p>
      <w:pPr>
        <w:suppressAutoHyphens/>
        <w:topLinePunct/>
        <w:snapToGrid w:val="0"/>
        <w:spacing w:line="400" w:lineRule="exact"/>
        <w:ind w:firstLine="480" w:firstLineChars="200"/>
        <w:contextualSpacing/>
        <w:rPr>
          <w:rFonts w:hint="eastAsia" w:ascii="宋体" w:hAnsi="宋体" w:cs="宋体"/>
          <w:color w:val="000000"/>
          <w:sz w:val="24"/>
          <w:szCs w:val="24"/>
        </w:rPr>
      </w:pPr>
      <w:r>
        <w:rPr>
          <w:rFonts w:hint="eastAsia" w:hAnsi="宋体" w:cs="仿宋_GB2312"/>
          <w:sz w:val="24"/>
          <w:szCs w:val="24"/>
          <w:lang w:val="en-US" w:eastAsia="zh-CN"/>
        </w:rPr>
        <w:t>1.</w:t>
      </w:r>
      <w:r>
        <w:rPr>
          <w:rFonts w:hAnsi="宋体"/>
          <w:sz w:val="24"/>
          <w:szCs w:val="24"/>
        </w:rPr>
        <w:t>在中华人民共和国境内依法成立的全国性银行机构在深圳设立的分行，或由深圳分行授权的下属支行，</w:t>
      </w:r>
      <w:r>
        <w:rPr>
          <w:rFonts w:hint="eastAsia" w:ascii="宋体" w:hAnsi="宋体" w:cs="宋体"/>
          <w:color w:val="000000"/>
          <w:sz w:val="24"/>
          <w:szCs w:val="24"/>
        </w:rPr>
        <w:t>地铁集团已在该行开户的，由为集团服务的支行参与投标，原则上不再接受该行其他支行的投标；</w:t>
      </w:r>
    </w:p>
    <w:p>
      <w:pPr>
        <w:pStyle w:val="2"/>
        <w:spacing w:line="400" w:lineRule="exact"/>
        <w:ind w:left="0" w:leftChars="0" w:firstLine="480" w:firstLineChars="200"/>
        <w:rPr>
          <w:rFonts w:hint="default" w:eastAsia="宋体"/>
          <w:lang w:val="en-US" w:eastAsia="zh-CN"/>
        </w:rPr>
      </w:pPr>
      <w:r>
        <w:rPr>
          <w:rFonts w:hint="eastAsia" w:hAnsi="宋体"/>
          <w:sz w:val="24"/>
          <w:szCs w:val="24"/>
          <w:lang w:val="en-US" w:eastAsia="zh-CN"/>
        </w:rPr>
        <w:t>2.持有中国银行业监督管理委员会核发的经营金融业务许可证和工商行政管理部门颁发的营业执照。</w:t>
      </w:r>
    </w:p>
    <w:p>
      <w:pPr>
        <w:pStyle w:val="25"/>
        <w:spacing w:line="400" w:lineRule="exact"/>
        <w:ind w:firstLine="480" w:firstLineChars="200"/>
        <w:rPr>
          <w:rFonts w:hint="eastAsia" w:hAnsi="宋体" w:cs="仿宋_GB2312"/>
          <w:sz w:val="24"/>
          <w:szCs w:val="24"/>
        </w:rPr>
      </w:pPr>
      <w:r>
        <w:rPr>
          <w:rFonts w:hint="eastAsia" w:hAnsi="宋体" w:cs="仿宋_GB2312"/>
          <w:sz w:val="24"/>
          <w:szCs w:val="24"/>
          <w:lang w:eastAsia="zh-CN"/>
        </w:rPr>
        <w:t>（</w:t>
      </w:r>
      <w:r>
        <w:rPr>
          <w:rFonts w:hint="eastAsia" w:hAnsi="宋体" w:cs="仿宋_GB2312"/>
          <w:sz w:val="24"/>
          <w:szCs w:val="24"/>
        </w:rPr>
        <w:t>二）投标人业绩要求：</w:t>
      </w:r>
    </w:p>
    <w:p>
      <w:pPr>
        <w:pStyle w:val="25"/>
        <w:spacing w:line="400" w:lineRule="exact"/>
        <w:ind w:firstLine="480" w:firstLineChars="200"/>
        <w:rPr>
          <w:rFonts w:hAnsi="宋体"/>
          <w:sz w:val="24"/>
          <w:szCs w:val="24"/>
        </w:rPr>
      </w:pPr>
      <w:r>
        <w:rPr>
          <w:rFonts w:hint="eastAsia" w:hAnsi="宋体"/>
          <w:sz w:val="24"/>
          <w:szCs w:val="24"/>
        </w:rPr>
        <w:t>投标人须至少满足以下</w:t>
      </w:r>
      <w:r>
        <w:rPr>
          <w:rFonts w:hint="eastAsia" w:hAnsi="宋体"/>
          <w:sz w:val="24"/>
          <w:szCs w:val="24"/>
          <w:lang w:val="en-US" w:eastAsia="zh-CN"/>
        </w:rPr>
        <w:t>二</w:t>
      </w:r>
      <w:r>
        <w:rPr>
          <w:rFonts w:hint="eastAsia" w:hAnsi="宋体"/>
          <w:sz w:val="24"/>
          <w:szCs w:val="24"/>
        </w:rPr>
        <w:t>项业绩指标中的任意一项：</w:t>
      </w:r>
    </w:p>
    <w:p>
      <w:pPr>
        <w:suppressAutoHyphens/>
        <w:topLinePunct/>
        <w:snapToGrid w:val="0"/>
        <w:spacing w:line="400" w:lineRule="exact"/>
        <w:ind w:firstLine="480" w:firstLineChars="200"/>
        <w:contextualSpacing/>
        <w:rPr>
          <w:rFonts w:hint="eastAsia" w:ascii="宋体" w:hAnsi="宋体" w:cs="宋体"/>
          <w:color w:val="000000"/>
          <w:sz w:val="24"/>
          <w:szCs w:val="24"/>
        </w:rPr>
      </w:pPr>
      <w:r>
        <w:rPr>
          <w:rFonts w:hint="eastAsia" w:hAnsi="宋体" w:cs="仿宋_GB2312"/>
          <w:sz w:val="24"/>
          <w:szCs w:val="24"/>
          <w:lang w:val="en-US" w:eastAsia="zh-CN"/>
        </w:rPr>
        <w:t>1.</w:t>
      </w:r>
      <w:r>
        <w:rPr>
          <w:rFonts w:hint="eastAsia" w:ascii="宋体" w:hAnsi="宋体" w:cs="宋体"/>
          <w:color w:val="000000"/>
          <w:sz w:val="24"/>
          <w:szCs w:val="24"/>
        </w:rPr>
        <w:t>近三年（</w:t>
      </w:r>
      <w:r>
        <w:rPr>
          <w:rFonts w:hint="default" w:ascii="宋体" w:hAnsi="宋体" w:cs="Times New Roman"/>
          <w:bCs w:val="0"/>
          <w:kern w:val="0"/>
          <w:sz w:val="24"/>
          <w:szCs w:val="24"/>
        </w:rPr>
        <w:t>2019年1月1日至今</w:t>
      </w:r>
      <w:r>
        <w:rPr>
          <w:rFonts w:hint="eastAsia" w:ascii="宋体" w:hAnsi="宋体" w:cs="宋体"/>
          <w:color w:val="000000"/>
          <w:sz w:val="24"/>
          <w:szCs w:val="24"/>
        </w:rPr>
        <w:t>），为5个以上（含5个）全国50强或深圳20强地产企业品牌提供过深圳地区项目的按揭贷款服务；</w:t>
      </w:r>
    </w:p>
    <w:p>
      <w:pPr>
        <w:pStyle w:val="2"/>
        <w:spacing w:line="400" w:lineRule="exact"/>
        <w:ind w:left="0" w:leftChars="0" w:firstLine="0" w:firstLineChars="0"/>
        <w:rPr>
          <w:rFonts w:hint="eastAsia" w:hAnsi="宋体" w:cs="宋体"/>
          <w:color w:val="000000"/>
          <w:sz w:val="24"/>
          <w:szCs w:val="24"/>
          <w:lang w:val="en-US" w:eastAsia="zh-CN"/>
        </w:rPr>
      </w:pPr>
      <w:r>
        <w:rPr>
          <w:rFonts w:hint="eastAsia" w:hAnsi="宋体" w:cs="宋体"/>
          <w:color w:val="000000"/>
          <w:sz w:val="24"/>
          <w:szCs w:val="24"/>
          <w:lang w:val="en-US" w:eastAsia="zh-CN"/>
        </w:rPr>
        <w:t xml:space="preserve">    2.已购买深铁集团旗下商办物业（以签订的认购书或销售合同为准）或为地铁集团旗下商办物业推介客户并成功认购的金融机构（由经办部门与营销策划部确认后在评标时提供名单）。</w:t>
      </w:r>
    </w:p>
    <w:p>
      <w:pPr>
        <w:topLinePunct/>
        <w:snapToGrid w:val="0"/>
        <w:spacing w:line="400" w:lineRule="exact"/>
        <w:ind w:firstLine="600" w:firstLineChars="250"/>
        <w:contextualSpacing/>
        <w:rPr>
          <w:rFonts w:hint="default" w:eastAsia="宋体"/>
          <w:lang w:val="en-US" w:eastAsia="zh-CN"/>
        </w:rPr>
      </w:pPr>
      <w:r>
        <w:rPr>
          <w:rFonts w:hint="eastAsia" w:hAnsi="宋体" w:cs="宋体"/>
          <w:color w:val="000000"/>
          <w:sz w:val="24"/>
          <w:szCs w:val="24"/>
          <w:lang w:val="en-US" w:eastAsia="zh-CN"/>
        </w:rPr>
        <w:t>备注：</w:t>
      </w:r>
      <w:r>
        <w:rPr>
          <w:rFonts w:hint="eastAsia" w:ascii="宋体" w:hAnsi="宋体" w:cs="宋体"/>
          <w:color w:val="000000"/>
          <w:sz w:val="24"/>
          <w:szCs w:val="24"/>
          <w:lang w:val="en-US" w:eastAsia="zh-CN"/>
        </w:rPr>
        <w:t>第1项业绩指标</w:t>
      </w:r>
      <w:r>
        <w:rPr>
          <w:rFonts w:hint="eastAsia" w:ascii="宋体" w:hAnsi="宋体" w:cs="宋体"/>
          <w:color w:val="000000"/>
          <w:sz w:val="24"/>
          <w:szCs w:val="24"/>
        </w:rPr>
        <w:t>需提供相关的合同复印件或报告封面及盖章相关页；全国50强排名参考2019-2021年中指研究院及克而瑞发布数据；深圳20强排名参考2019-2021年深圳房协发布数据</w:t>
      </w:r>
      <w:r>
        <w:rPr>
          <w:rFonts w:hint="eastAsia" w:ascii="宋体" w:hAnsi="宋体" w:cs="宋体"/>
          <w:color w:val="000000"/>
          <w:sz w:val="24"/>
          <w:szCs w:val="24"/>
          <w:lang w:eastAsia="zh-CN"/>
        </w:rPr>
        <w:t>；</w:t>
      </w:r>
      <w:r>
        <w:rPr>
          <w:rFonts w:hint="eastAsia" w:hAnsi="宋体" w:cs="宋体"/>
          <w:color w:val="000000"/>
          <w:sz w:val="24"/>
          <w:szCs w:val="24"/>
          <w:lang w:val="en-US" w:eastAsia="zh-CN"/>
        </w:rPr>
        <w:t>第2项业绩指标在综合评审时以经办部门与营销策划部确认并在评审现场提供给评委的详细名单为准，不需要投标人提供证明材料。</w:t>
      </w:r>
    </w:p>
    <w:p>
      <w:pPr>
        <w:pStyle w:val="25"/>
        <w:spacing w:line="400" w:lineRule="exact"/>
        <w:ind w:firstLine="480" w:firstLineChars="200"/>
        <w:rPr>
          <w:rFonts w:hAnsi="宋体" w:cs="仿宋_GB2312"/>
          <w:sz w:val="24"/>
          <w:szCs w:val="24"/>
        </w:rPr>
      </w:pPr>
      <w:r>
        <w:rPr>
          <w:rFonts w:hint="eastAsia" w:hAnsi="宋体" w:cs="仿宋_GB2312"/>
          <w:sz w:val="24"/>
          <w:szCs w:val="24"/>
        </w:rPr>
        <w:t>（</w:t>
      </w:r>
      <w:r>
        <w:rPr>
          <w:rFonts w:hint="eastAsia" w:hAnsi="宋体" w:cs="仿宋_GB2312"/>
          <w:sz w:val="24"/>
          <w:szCs w:val="24"/>
          <w:lang w:val="en-US" w:eastAsia="zh-CN"/>
        </w:rPr>
        <w:t>三</w:t>
      </w:r>
      <w:r>
        <w:rPr>
          <w:rFonts w:hint="eastAsia" w:hAnsi="宋体" w:cs="仿宋_GB2312"/>
          <w:sz w:val="24"/>
          <w:szCs w:val="24"/>
        </w:rPr>
        <w:t>）</w:t>
      </w:r>
      <w:r>
        <w:rPr>
          <w:rFonts w:hint="eastAsia" w:hAnsi="宋体" w:cs="宋体"/>
          <w:color w:val="000000"/>
          <w:sz w:val="24"/>
          <w:szCs w:val="24"/>
        </w:rPr>
        <w:t>投标人承诺</w:t>
      </w:r>
      <w:r>
        <w:rPr>
          <w:rFonts w:hint="eastAsia" w:hAnsi="宋体" w:cs="宋体"/>
          <w:color w:val="000000"/>
          <w:sz w:val="24"/>
          <w:szCs w:val="24"/>
          <w:lang w:eastAsia="zh-CN"/>
        </w:rPr>
        <w:t>：</w:t>
      </w:r>
      <w:r>
        <w:rPr>
          <w:rFonts w:hint="eastAsia" w:hAnsi="宋体" w:cs="宋体"/>
          <w:color w:val="000000"/>
          <w:sz w:val="24"/>
          <w:szCs w:val="24"/>
        </w:rPr>
        <w:t>放款时间不超过60（含）日、办理预抵押时间不超过60（含）日；</w:t>
      </w:r>
    </w:p>
    <w:p>
      <w:pPr>
        <w:pStyle w:val="25"/>
        <w:spacing w:line="400" w:lineRule="exact"/>
        <w:ind w:firstLine="480" w:firstLineChars="200"/>
        <w:rPr>
          <w:rFonts w:hint="eastAsia" w:hAnsi="宋体" w:cs="仿宋_GB2312"/>
          <w:sz w:val="24"/>
          <w:szCs w:val="24"/>
        </w:rPr>
      </w:pPr>
      <w:r>
        <w:rPr>
          <w:rFonts w:hint="eastAsia" w:hAnsi="宋体" w:cs="仿宋_GB2312"/>
          <w:sz w:val="24"/>
          <w:szCs w:val="24"/>
        </w:rPr>
        <w:t>（</w:t>
      </w:r>
      <w:r>
        <w:rPr>
          <w:rFonts w:hint="eastAsia" w:hAnsi="宋体" w:cs="仿宋_GB2312"/>
          <w:sz w:val="24"/>
          <w:szCs w:val="24"/>
          <w:lang w:val="en-US" w:eastAsia="zh-CN"/>
        </w:rPr>
        <w:t>四</w:t>
      </w:r>
      <w:r>
        <w:rPr>
          <w:rFonts w:hint="eastAsia" w:hAnsi="宋体" w:cs="仿宋_GB2312"/>
          <w:sz w:val="24"/>
          <w:szCs w:val="24"/>
        </w:rPr>
        <w:t>）存在以下情况的投标人将不被接受投标：</w:t>
      </w:r>
    </w:p>
    <w:p>
      <w:pPr>
        <w:pStyle w:val="25"/>
        <w:spacing w:line="400" w:lineRule="exact"/>
        <w:ind w:firstLine="480" w:firstLineChars="200"/>
        <w:rPr>
          <w:rFonts w:hAnsi="宋体" w:cs="仿宋_GB2312"/>
          <w:sz w:val="24"/>
          <w:szCs w:val="24"/>
        </w:rPr>
      </w:pPr>
      <w:r>
        <w:rPr>
          <w:rFonts w:hint="eastAsia" w:hAnsi="宋体" w:cs="仿宋_GB2312"/>
          <w:sz w:val="24"/>
          <w:szCs w:val="24"/>
          <w:lang w:val="en-US" w:eastAsia="zh-CN"/>
        </w:rPr>
        <w:t>1.自截标前三年以来与深圳市地铁集团有限公司或其下属直管单位有过诉讼、仲裁史，且其诉讼请求、仲裁申请或辩论理由没有被法院、仲裁庭支持的；</w:t>
      </w:r>
    </w:p>
    <w:p>
      <w:pPr>
        <w:pStyle w:val="25"/>
        <w:spacing w:line="400" w:lineRule="exact"/>
        <w:ind w:firstLine="480" w:firstLineChars="200"/>
        <w:rPr>
          <w:rFonts w:hAnsi="宋体" w:cs="仿宋_GB2312"/>
          <w:sz w:val="24"/>
          <w:szCs w:val="24"/>
        </w:rPr>
      </w:pPr>
      <w:r>
        <w:rPr>
          <w:rFonts w:hint="eastAsia" w:hAnsi="宋体" w:cs="仿宋_GB2312"/>
          <w:sz w:val="24"/>
          <w:szCs w:val="24"/>
          <w:lang w:val="en-US" w:eastAsia="zh-CN"/>
        </w:rPr>
        <w:t>2.正与深圳市地铁集团有限公司及下属单位进行诉讼、仲裁，且在截标之日前未达成和解或纠纷化解的；</w:t>
      </w:r>
    </w:p>
    <w:p>
      <w:pPr>
        <w:pStyle w:val="25"/>
        <w:spacing w:line="400" w:lineRule="exact"/>
        <w:ind w:firstLine="480" w:firstLineChars="200"/>
        <w:rPr>
          <w:rFonts w:hAnsi="宋体" w:cs="仿宋_GB2312"/>
          <w:sz w:val="24"/>
          <w:szCs w:val="24"/>
        </w:rPr>
      </w:pPr>
      <w:r>
        <w:rPr>
          <w:rFonts w:hint="eastAsia" w:hAnsi="宋体" w:cs="仿宋_GB2312"/>
          <w:sz w:val="24"/>
          <w:szCs w:val="24"/>
          <w:lang w:val="en-US" w:eastAsia="zh-CN"/>
        </w:rPr>
        <w:t>3.在投标（询价）活动（包括在深圳地铁项目）中因串通投标（报价）被暂停投标（报价）资格期间的投标人；或涉嫌串通投标（报价）并正在接受主管部门调查的；</w:t>
      </w:r>
    </w:p>
    <w:p>
      <w:pPr>
        <w:pStyle w:val="25"/>
        <w:spacing w:line="400" w:lineRule="exact"/>
        <w:ind w:firstLine="480" w:firstLineChars="200"/>
        <w:rPr>
          <w:rFonts w:hAnsi="宋体" w:cs="仿宋_GB2312"/>
          <w:sz w:val="24"/>
          <w:szCs w:val="24"/>
        </w:rPr>
      </w:pPr>
      <w:r>
        <w:rPr>
          <w:rFonts w:hint="eastAsia" w:hAnsi="宋体" w:cs="仿宋_GB2312"/>
          <w:sz w:val="24"/>
          <w:szCs w:val="24"/>
          <w:lang w:val="en-US" w:eastAsia="zh-CN"/>
        </w:rPr>
        <w:t>4.自截标前三年以来在深圳市地铁集团有限公司及下属单位在投标过程中、合同履约过程中有不良行为记录，或者有对深圳市地铁集团有限公司声誉造成损害行为的。</w:t>
      </w:r>
    </w:p>
    <w:p>
      <w:pPr>
        <w:tabs>
          <w:tab w:val="center" w:pos="5059"/>
        </w:tabs>
        <w:spacing w:line="400" w:lineRule="exact"/>
        <w:ind w:firstLine="480" w:firstLineChars="200"/>
        <w:rPr>
          <w:rFonts w:hint="eastAsia" w:ascii="宋体" w:hAnsi="宋体" w:cs="仿宋_GB2312"/>
          <w:kern w:val="0"/>
          <w:sz w:val="24"/>
          <w:szCs w:val="24"/>
        </w:rPr>
      </w:pPr>
      <w:r>
        <w:rPr>
          <w:rFonts w:hint="eastAsia" w:ascii="宋体" w:hAnsi="宋体"/>
          <w:kern w:val="0"/>
          <w:sz w:val="24"/>
          <w:szCs w:val="24"/>
        </w:rPr>
        <w:t>（</w:t>
      </w:r>
      <w:r>
        <w:rPr>
          <w:rFonts w:hint="eastAsia" w:ascii="宋体" w:hAnsi="宋体"/>
          <w:kern w:val="0"/>
          <w:sz w:val="24"/>
          <w:szCs w:val="24"/>
          <w:lang w:val="en-US" w:eastAsia="zh-CN"/>
        </w:rPr>
        <w:t>五</w:t>
      </w:r>
      <w:r>
        <w:rPr>
          <w:rFonts w:hint="eastAsia" w:ascii="宋体" w:hAnsi="宋体"/>
          <w:kern w:val="0"/>
          <w:sz w:val="24"/>
          <w:szCs w:val="24"/>
        </w:rPr>
        <w:t>）联合体要求：不接受联合体投标。单位负责人为同一人或者存在控股、管理关系的不同单位，不得参加同一项目比选。</w:t>
      </w:r>
    </w:p>
    <w:p>
      <w:pPr>
        <w:spacing w:line="360" w:lineRule="auto"/>
        <w:ind w:firstLine="482" w:firstLineChars="200"/>
        <w:rPr>
          <w:rFonts w:ascii="宋体" w:hAnsi="宋体"/>
          <w:b/>
          <w:kern w:val="0"/>
          <w:sz w:val="24"/>
          <w:szCs w:val="24"/>
        </w:rPr>
      </w:pPr>
      <w:r>
        <w:rPr>
          <w:rFonts w:hint="eastAsia" w:ascii="宋体" w:hAnsi="宋体"/>
          <w:b/>
          <w:kern w:val="0"/>
          <w:sz w:val="24"/>
          <w:szCs w:val="24"/>
        </w:rPr>
        <w:t>四、投标时间、</w:t>
      </w:r>
      <w:r>
        <w:rPr>
          <w:rFonts w:ascii="宋体" w:hAnsi="宋体"/>
          <w:b/>
          <w:kern w:val="0"/>
          <w:sz w:val="24"/>
          <w:szCs w:val="24"/>
        </w:rPr>
        <w:t>地点</w:t>
      </w:r>
      <w:bookmarkEnd w:id="112"/>
    </w:p>
    <w:tbl>
      <w:tblPr>
        <w:tblStyle w:val="48"/>
        <w:tblW w:w="88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3027"/>
        <w:gridCol w:w="3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内  容</w:t>
            </w:r>
          </w:p>
        </w:tc>
        <w:tc>
          <w:tcPr>
            <w:tcW w:w="3027"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时间安排</w:t>
            </w:r>
          </w:p>
        </w:tc>
        <w:tc>
          <w:tcPr>
            <w:tcW w:w="3800"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7"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发布招标公告</w:t>
            </w:r>
          </w:p>
          <w:p>
            <w:pPr>
              <w:pStyle w:val="3"/>
              <w:adjustRightInd w:val="0"/>
              <w:snapToGrid w:val="0"/>
              <w:spacing w:line="32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（发标）</w:t>
            </w:r>
          </w:p>
        </w:tc>
        <w:tc>
          <w:tcPr>
            <w:tcW w:w="3027" w:type="dxa"/>
            <w:tcBorders>
              <w:top w:val="single" w:color="auto" w:sz="4" w:space="0"/>
              <w:left w:val="single" w:color="auto" w:sz="4" w:space="0"/>
              <w:bottom w:val="single" w:color="auto" w:sz="4" w:space="0"/>
              <w:right w:val="single" w:color="auto" w:sz="4" w:space="0"/>
            </w:tcBorders>
            <w:vAlign w:val="center"/>
          </w:tcPr>
          <w:p>
            <w:pPr>
              <w:pStyle w:val="25"/>
              <w:spacing w:line="320" w:lineRule="exact"/>
              <w:jc w:val="center"/>
              <w:rPr>
                <w:rFonts w:ascii="楷体" w:hAnsi="楷体" w:eastAsia="楷体" w:cs="楷体"/>
                <w:sz w:val="21"/>
                <w:szCs w:val="21"/>
              </w:rPr>
            </w:pPr>
            <w:r>
              <w:rPr>
                <w:rFonts w:hint="eastAsia" w:ascii="楷体" w:hAnsi="楷体" w:eastAsia="楷体" w:cs="楷体"/>
                <w:bCs/>
                <w:sz w:val="21"/>
                <w:szCs w:val="21"/>
                <w:u w:val="single"/>
              </w:rPr>
              <w:t>2022</w:t>
            </w:r>
            <w:r>
              <w:rPr>
                <w:rFonts w:hint="eastAsia" w:ascii="楷体" w:hAnsi="楷体" w:eastAsia="楷体" w:cs="楷体"/>
                <w:sz w:val="21"/>
                <w:szCs w:val="21"/>
              </w:rPr>
              <w:t>年</w:t>
            </w:r>
            <w:r>
              <w:rPr>
                <w:rFonts w:hint="eastAsia" w:ascii="楷体" w:hAnsi="楷体" w:eastAsia="楷体" w:cs="楷体"/>
                <w:bCs/>
                <w:sz w:val="21"/>
                <w:szCs w:val="21"/>
                <w:u w:val="single"/>
                <w:lang w:val="en-US" w:eastAsia="zh-CN"/>
              </w:rPr>
              <w:t>8</w:t>
            </w:r>
            <w:r>
              <w:rPr>
                <w:rFonts w:hint="eastAsia" w:ascii="楷体" w:hAnsi="楷体" w:eastAsia="楷体" w:cs="楷体"/>
                <w:sz w:val="21"/>
                <w:szCs w:val="21"/>
              </w:rPr>
              <w:t>月</w:t>
            </w:r>
            <w:r>
              <w:rPr>
                <w:rFonts w:hint="eastAsia" w:ascii="楷体" w:hAnsi="楷体" w:eastAsia="楷体" w:cs="楷体"/>
                <w:bCs/>
                <w:sz w:val="21"/>
                <w:szCs w:val="21"/>
                <w:u w:val="single"/>
                <w:lang w:val="en-US" w:eastAsia="zh-CN"/>
              </w:rPr>
              <w:t>3</w:t>
            </w:r>
            <w:r>
              <w:rPr>
                <w:rFonts w:hint="eastAsia" w:ascii="楷体" w:hAnsi="楷体" w:eastAsia="楷体" w:cs="楷体"/>
                <w:sz w:val="21"/>
                <w:szCs w:val="21"/>
              </w:rPr>
              <w:t>日</w:t>
            </w:r>
          </w:p>
        </w:tc>
        <w:tc>
          <w:tcPr>
            <w:tcW w:w="38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484" w:leftChars="44" w:hanging="392" w:hangingChars="187"/>
              <w:jc w:val="left"/>
              <w:rPr>
                <w:rFonts w:ascii="楷体" w:hAnsi="楷体" w:eastAsia="楷体" w:cs="楷体"/>
                <w:bCs/>
                <w:kern w:val="2"/>
                <w:sz w:val="21"/>
                <w:szCs w:val="21"/>
              </w:rPr>
            </w:pPr>
            <w:r>
              <w:rPr>
                <w:rFonts w:hint="eastAsia" w:ascii="楷体" w:hAnsi="楷体" w:eastAsia="楷体" w:cs="楷体"/>
                <w:bCs/>
                <w:kern w:val="2"/>
                <w:sz w:val="21"/>
                <w:szCs w:val="21"/>
                <w:lang w:val="en-US" w:eastAsia="zh-CN"/>
              </w:rPr>
              <w:t>深圳</w:t>
            </w:r>
            <w:r>
              <w:rPr>
                <w:rFonts w:hint="eastAsia" w:ascii="楷体" w:hAnsi="楷体" w:eastAsia="楷体" w:cs="楷体"/>
                <w:bCs/>
                <w:kern w:val="2"/>
                <w:sz w:val="21"/>
                <w:szCs w:val="21"/>
                <w:lang w:eastAsia="zh-CN"/>
              </w:rPr>
              <w:t>地铁官网</w:t>
            </w:r>
            <w:r>
              <w:rPr>
                <w:rFonts w:hint="eastAsia" w:ascii="楷体" w:hAnsi="楷体" w:eastAsia="楷体" w:cs="楷体"/>
                <w:color w:val="000000"/>
                <w:sz w:val="21"/>
                <w:szCs w:val="21"/>
              </w:rPr>
              <w:t>、</w:t>
            </w:r>
            <w:r>
              <w:rPr>
                <w:rFonts w:hint="eastAsia" w:ascii="楷体" w:hAnsi="楷体" w:eastAsia="楷体" w:cs="楷体"/>
                <w:bCs/>
                <w:kern w:val="2"/>
                <w:sz w:val="21"/>
                <w:szCs w:val="21"/>
              </w:rPr>
              <w:t>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48"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截标</w:t>
            </w:r>
          </w:p>
        </w:tc>
        <w:tc>
          <w:tcPr>
            <w:tcW w:w="302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楷体" w:hAnsi="楷体" w:eastAsia="楷体" w:cs="楷体"/>
                <w:bCs/>
                <w:szCs w:val="21"/>
                <w:u w:val="single"/>
              </w:rPr>
            </w:pPr>
            <w:r>
              <w:rPr>
                <w:rFonts w:hint="eastAsia" w:ascii="楷体" w:hAnsi="楷体" w:eastAsia="楷体" w:cs="楷体"/>
                <w:bCs/>
                <w:szCs w:val="21"/>
                <w:u w:val="single"/>
              </w:rPr>
              <w:t>2022</w:t>
            </w:r>
            <w:r>
              <w:rPr>
                <w:rFonts w:hint="eastAsia" w:ascii="楷体" w:hAnsi="楷体" w:eastAsia="楷体" w:cs="楷体"/>
                <w:szCs w:val="21"/>
              </w:rPr>
              <w:t>年</w:t>
            </w:r>
            <w:r>
              <w:rPr>
                <w:rFonts w:hint="eastAsia" w:ascii="楷体" w:hAnsi="楷体" w:eastAsia="楷体" w:cs="楷体"/>
                <w:bCs/>
                <w:szCs w:val="21"/>
                <w:u w:val="single"/>
                <w:lang w:val="en-US" w:eastAsia="zh-CN"/>
              </w:rPr>
              <w:t>8</w:t>
            </w:r>
            <w:r>
              <w:rPr>
                <w:rFonts w:hint="eastAsia" w:ascii="楷体" w:hAnsi="楷体" w:eastAsia="楷体" w:cs="楷体"/>
                <w:szCs w:val="21"/>
              </w:rPr>
              <w:t>月</w:t>
            </w:r>
            <w:r>
              <w:rPr>
                <w:rFonts w:hint="eastAsia" w:ascii="楷体" w:hAnsi="楷体" w:eastAsia="楷体" w:cs="楷体"/>
                <w:szCs w:val="21"/>
                <w:lang w:val="en-US" w:eastAsia="zh-CN"/>
              </w:rPr>
              <w:t>1</w:t>
            </w:r>
            <w:r>
              <w:rPr>
                <w:rFonts w:hint="eastAsia" w:ascii="楷体" w:hAnsi="楷体" w:eastAsia="楷体" w:cs="楷体"/>
                <w:bCs/>
                <w:szCs w:val="21"/>
                <w:u w:val="single"/>
                <w:lang w:val="en-US" w:eastAsia="zh-CN"/>
              </w:rPr>
              <w:t>6</w:t>
            </w:r>
            <w:r>
              <w:rPr>
                <w:rFonts w:hint="eastAsia" w:ascii="楷体" w:hAnsi="楷体" w:eastAsia="楷体" w:cs="楷体"/>
                <w:szCs w:val="21"/>
              </w:rPr>
              <w:t>日</w:t>
            </w:r>
            <w:r>
              <w:rPr>
                <w:rFonts w:hint="eastAsia" w:ascii="楷体" w:hAnsi="楷体" w:eastAsia="楷体" w:cs="楷体"/>
                <w:bCs/>
                <w:szCs w:val="21"/>
                <w:u w:val="single"/>
              </w:rPr>
              <w:t>上</w:t>
            </w:r>
            <w:r>
              <w:rPr>
                <w:rFonts w:hint="eastAsia" w:ascii="楷体" w:hAnsi="楷体" w:eastAsia="楷体" w:cs="楷体"/>
                <w:bCs/>
                <w:szCs w:val="21"/>
              </w:rPr>
              <w:t>午</w:t>
            </w:r>
            <w:r>
              <w:rPr>
                <w:rFonts w:hint="eastAsia" w:ascii="楷体" w:hAnsi="楷体" w:eastAsia="楷体" w:cs="楷体"/>
                <w:bCs/>
                <w:szCs w:val="21"/>
                <w:u w:val="single"/>
              </w:rPr>
              <w:t>09:30</w:t>
            </w:r>
          </w:p>
          <w:p>
            <w:pPr>
              <w:adjustRightInd w:val="0"/>
              <w:snapToGrid w:val="0"/>
              <w:spacing w:line="320" w:lineRule="exact"/>
              <w:jc w:val="center"/>
              <w:rPr>
                <w:rFonts w:ascii="楷体" w:hAnsi="楷体" w:eastAsia="楷体" w:cs="楷体"/>
                <w:bCs/>
                <w:szCs w:val="21"/>
              </w:rPr>
            </w:pPr>
            <w:r>
              <w:rPr>
                <w:rFonts w:hint="eastAsia" w:ascii="楷体" w:hAnsi="楷体" w:eastAsia="楷体" w:cs="楷体"/>
                <w:bCs/>
                <w:szCs w:val="21"/>
              </w:rPr>
              <w:t>（实际截标时间按各投标单位递交纸质投标文件的时间为准）</w:t>
            </w:r>
          </w:p>
        </w:tc>
        <w:tc>
          <w:tcPr>
            <w:tcW w:w="38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281" w:leftChars="44" w:hanging="189" w:hangingChars="90"/>
              <w:jc w:val="both"/>
              <w:rPr>
                <w:rFonts w:ascii="楷体" w:hAnsi="楷体" w:eastAsia="楷体" w:cs="楷体"/>
                <w:bCs/>
                <w:kern w:val="2"/>
                <w:sz w:val="21"/>
                <w:szCs w:val="21"/>
              </w:rPr>
            </w:pPr>
            <w:r>
              <w:rPr>
                <w:rFonts w:hint="eastAsia" w:ascii="楷体" w:hAnsi="楷体" w:eastAsia="楷体" w:cs="楷体"/>
                <w:bCs/>
                <w:kern w:val="2"/>
                <w:sz w:val="21"/>
                <w:szCs w:val="21"/>
              </w:rPr>
              <w:t>纸质版投标文件递交地点：地铁大厦1楼评定标中心指定会议室</w:t>
            </w:r>
          </w:p>
          <w:p>
            <w:pPr>
              <w:pStyle w:val="3"/>
              <w:adjustRightInd w:val="0"/>
              <w:snapToGrid w:val="0"/>
              <w:spacing w:line="320" w:lineRule="exact"/>
              <w:ind w:left="281" w:leftChars="44" w:hanging="189" w:hangingChars="90"/>
              <w:jc w:val="both"/>
              <w:rPr>
                <w:rFonts w:ascii="楷体" w:hAnsi="楷体" w:eastAsia="楷体" w:cs="楷体"/>
                <w:bCs/>
                <w:kern w:val="2"/>
                <w:sz w:val="21"/>
                <w:szCs w:val="21"/>
              </w:rPr>
            </w:pPr>
            <w:r>
              <w:rPr>
                <w:rFonts w:hint="eastAsia" w:ascii="楷体" w:hAnsi="楷体" w:eastAsia="楷体" w:cs="楷体"/>
                <w:bCs/>
                <w:kern w:val="2"/>
                <w:sz w:val="21"/>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开标</w:t>
            </w:r>
          </w:p>
        </w:tc>
        <w:tc>
          <w:tcPr>
            <w:tcW w:w="302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楷体" w:hAnsi="楷体" w:eastAsia="楷体" w:cs="楷体"/>
                <w:bCs/>
                <w:szCs w:val="21"/>
              </w:rPr>
            </w:pPr>
            <w:r>
              <w:rPr>
                <w:rFonts w:hint="eastAsia" w:ascii="楷体" w:hAnsi="楷体" w:eastAsia="楷体" w:cs="楷体"/>
                <w:bCs/>
                <w:szCs w:val="21"/>
                <w:u w:val="single"/>
              </w:rPr>
              <w:t>2022</w:t>
            </w:r>
            <w:r>
              <w:rPr>
                <w:rFonts w:hint="eastAsia" w:ascii="楷体" w:hAnsi="楷体" w:eastAsia="楷体" w:cs="楷体"/>
                <w:szCs w:val="21"/>
              </w:rPr>
              <w:t>年</w:t>
            </w:r>
            <w:r>
              <w:rPr>
                <w:rFonts w:hint="eastAsia" w:ascii="楷体" w:hAnsi="楷体" w:eastAsia="楷体" w:cs="楷体"/>
                <w:bCs/>
                <w:szCs w:val="21"/>
                <w:u w:val="single"/>
                <w:lang w:val="en-US" w:eastAsia="zh-CN"/>
              </w:rPr>
              <w:t>8</w:t>
            </w:r>
            <w:r>
              <w:rPr>
                <w:rFonts w:hint="eastAsia" w:ascii="楷体" w:hAnsi="楷体" w:eastAsia="楷体" w:cs="楷体"/>
                <w:szCs w:val="21"/>
              </w:rPr>
              <w:t>月</w:t>
            </w:r>
            <w:r>
              <w:rPr>
                <w:rFonts w:hint="eastAsia" w:ascii="楷体" w:hAnsi="楷体" w:eastAsia="楷体" w:cs="楷体"/>
                <w:szCs w:val="21"/>
                <w:lang w:val="en-US" w:eastAsia="zh-CN"/>
              </w:rPr>
              <w:t>1</w:t>
            </w:r>
            <w:r>
              <w:rPr>
                <w:rFonts w:hint="eastAsia" w:ascii="楷体" w:hAnsi="楷体" w:eastAsia="楷体" w:cs="楷体"/>
                <w:bCs/>
                <w:szCs w:val="21"/>
                <w:u w:val="single"/>
                <w:lang w:val="en-US" w:eastAsia="zh-CN"/>
              </w:rPr>
              <w:t>6</w:t>
            </w:r>
            <w:r>
              <w:rPr>
                <w:rFonts w:hint="eastAsia" w:ascii="楷体" w:hAnsi="楷体" w:eastAsia="楷体" w:cs="楷体"/>
                <w:szCs w:val="21"/>
              </w:rPr>
              <w:t>日</w:t>
            </w:r>
            <w:r>
              <w:rPr>
                <w:rFonts w:hint="eastAsia" w:ascii="楷体" w:hAnsi="楷体" w:eastAsia="楷体" w:cs="楷体"/>
                <w:bCs/>
                <w:szCs w:val="21"/>
                <w:u w:val="single"/>
              </w:rPr>
              <w:t>上</w:t>
            </w:r>
            <w:r>
              <w:rPr>
                <w:rFonts w:hint="eastAsia" w:ascii="楷体" w:hAnsi="楷体" w:eastAsia="楷体" w:cs="楷体"/>
                <w:bCs/>
                <w:szCs w:val="21"/>
              </w:rPr>
              <w:t>午</w:t>
            </w:r>
            <w:r>
              <w:rPr>
                <w:rFonts w:hint="eastAsia" w:ascii="楷体" w:hAnsi="楷体" w:eastAsia="楷体" w:cs="楷体"/>
                <w:bCs/>
                <w:szCs w:val="21"/>
                <w:u w:val="single"/>
              </w:rPr>
              <w:t>09:30</w:t>
            </w:r>
          </w:p>
        </w:tc>
        <w:tc>
          <w:tcPr>
            <w:tcW w:w="380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20" w:lineRule="exact"/>
              <w:ind w:left="143" w:leftChars="68" w:firstLine="33" w:firstLineChars="16"/>
              <w:jc w:val="left"/>
              <w:rPr>
                <w:rFonts w:ascii="楷体" w:hAnsi="楷体" w:eastAsia="楷体" w:cs="楷体"/>
                <w:bCs/>
                <w:kern w:val="2"/>
                <w:sz w:val="21"/>
                <w:szCs w:val="21"/>
              </w:rPr>
            </w:pPr>
            <w:r>
              <w:rPr>
                <w:rFonts w:hint="eastAsia" w:ascii="楷体" w:hAnsi="楷体" w:eastAsia="楷体" w:cs="楷体"/>
                <w:bCs/>
                <w:kern w:val="2"/>
                <w:sz w:val="21"/>
                <w:szCs w:val="21"/>
              </w:rPr>
              <w:t>开标地点：地铁大厦1楼评定标中心指定会议室</w:t>
            </w:r>
          </w:p>
        </w:tc>
      </w:tr>
    </w:tbl>
    <w:p>
      <w:pPr>
        <w:pStyle w:val="3"/>
        <w:ind w:left="0" w:leftChars="0" w:firstLine="0" w:firstLineChars="0"/>
        <w:rPr>
          <w:rFonts w:ascii="宋体" w:hAnsi="宋体"/>
          <w:kern w:val="2"/>
          <w:sz w:val="24"/>
          <w:szCs w:val="24"/>
        </w:rPr>
      </w:pPr>
      <w:r>
        <w:rPr>
          <w:rFonts w:hint="eastAsia" w:hAnsi="宋体"/>
          <w:color w:val="0D0D0D"/>
          <w:sz w:val="24"/>
          <w:szCs w:val="24"/>
        </w:rPr>
        <w:t>备注：</w:t>
      </w:r>
      <w:r>
        <w:rPr>
          <w:rFonts w:hint="eastAsia" w:ascii="宋体" w:hAnsi="宋体"/>
          <w:kern w:val="2"/>
          <w:sz w:val="24"/>
          <w:szCs w:val="24"/>
        </w:rPr>
        <w:t>以上地点有可能变动。如有变动，以招标人的最新通知为准。</w:t>
      </w:r>
    </w:p>
    <w:p>
      <w:pPr>
        <w:spacing w:line="360" w:lineRule="auto"/>
        <w:ind w:left="479" w:leftChars="228"/>
        <w:rPr>
          <w:rFonts w:ascii="宋体" w:hAnsi="宋体"/>
          <w:b/>
          <w:kern w:val="0"/>
          <w:sz w:val="24"/>
          <w:szCs w:val="24"/>
        </w:rPr>
      </w:pPr>
      <w:bookmarkStart w:id="113" w:name="_Toc9401"/>
      <w:r>
        <w:rPr>
          <w:rFonts w:hint="eastAsia" w:ascii="宋体" w:hAnsi="宋体"/>
          <w:b/>
          <w:kern w:val="0"/>
          <w:sz w:val="24"/>
          <w:szCs w:val="24"/>
        </w:rPr>
        <w:t>五、投标所需材料</w:t>
      </w:r>
      <w:bookmarkEnd w:id="113"/>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根据招标</w:t>
      </w:r>
      <w:r>
        <w:rPr>
          <w:rFonts w:ascii="宋体" w:hAnsi="宋体"/>
          <w:kern w:val="0"/>
          <w:sz w:val="24"/>
          <w:szCs w:val="24"/>
        </w:rPr>
        <w:t>文件编制的</w:t>
      </w:r>
      <w:r>
        <w:rPr>
          <w:rFonts w:hint="eastAsia" w:ascii="宋体" w:hAnsi="宋体"/>
          <w:kern w:val="0"/>
          <w:sz w:val="24"/>
          <w:szCs w:val="24"/>
        </w:rPr>
        <w:t>投标</w:t>
      </w:r>
      <w:r>
        <w:rPr>
          <w:rFonts w:ascii="宋体" w:hAnsi="宋体"/>
          <w:kern w:val="0"/>
          <w:sz w:val="24"/>
          <w:szCs w:val="24"/>
        </w:rPr>
        <w:t>文件</w:t>
      </w:r>
      <w:r>
        <w:rPr>
          <w:rFonts w:hint="eastAsia" w:ascii="宋体" w:hAnsi="宋体"/>
          <w:kern w:val="0"/>
          <w:sz w:val="24"/>
          <w:szCs w:val="24"/>
        </w:rPr>
        <w:t>。</w:t>
      </w:r>
      <w:r>
        <w:rPr>
          <w:rFonts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如递交投标</w:t>
      </w:r>
      <w:r>
        <w:rPr>
          <w:rFonts w:ascii="宋体" w:hAnsi="宋体"/>
          <w:kern w:val="0"/>
          <w:sz w:val="24"/>
          <w:szCs w:val="24"/>
        </w:rPr>
        <w:t>文件的</w:t>
      </w:r>
      <w:r>
        <w:rPr>
          <w:rFonts w:hint="eastAsia" w:ascii="宋体" w:hAnsi="宋体"/>
          <w:kern w:val="0"/>
          <w:sz w:val="24"/>
          <w:szCs w:val="24"/>
        </w:rPr>
        <w:t>为投标单位的法定代表人，须携带法定代表人证明书及本人身份证原件和复印件；如递交投标</w:t>
      </w:r>
      <w:r>
        <w:rPr>
          <w:rFonts w:ascii="宋体" w:hAnsi="宋体"/>
          <w:kern w:val="0"/>
          <w:sz w:val="24"/>
          <w:szCs w:val="24"/>
        </w:rPr>
        <w:t>文件的</w:t>
      </w:r>
      <w:r>
        <w:rPr>
          <w:rFonts w:hint="eastAsia" w:ascii="宋体" w:hAnsi="宋体"/>
          <w:kern w:val="0"/>
          <w:sz w:val="24"/>
          <w:szCs w:val="24"/>
        </w:rPr>
        <w:t>不是投标人的法定代表人，除携带本人身份证复印件外，还需携带法定代表人证明书和法定代表人身份证复印件及授权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spacing w:line="360" w:lineRule="auto"/>
        <w:ind w:left="479" w:leftChars="228"/>
        <w:rPr>
          <w:rFonts w:ascii="宋体" w:hAnsi="宋体"/>
          <w:b/>
          <w:kern w:val="0"/>
          <w:sz w:val="24"/>
          <w:szCs w:val="24"/>
        </w:rPr>
      </w:pPr>
      <w:bookmarkStart w:id="114" w:name="_Toc13862"/>
      <w:r>
        <w:rPr>
          <w:rFonts w:hint="eastAsia" w:ascii="宋体" w:hAnsi="宋体"/>
          <w:b/>
          <w:kern w:val="0"/>
          <w:sz w:val="24"/>
          <w:szCs w:val="24"/>
        </w:rPr>
        <w:t>六、投标联系人</w:t>
      </w:r>
      <w:bookmarkEnd w:id="114"/>
    </w:p>
    <w:p>
      <w:pPr>
        <w:pStyle w:val="25"/>
        <w:snapToGrid w:val="0"/>
        <w:spacing w:line="360" w:lineRule="auto"/>
        <w:ind w:firstLine="480" w:firstLineChars="200"/>
        <w:rPr>
          <w:rFonts w:hAnsi="宋体"/>
          <w:sz w:val="24"/>
        </w:rPr>
      </w:pPr>
      <w:r>
        <w:rPr>
          <w:rFonts w:hint="eastAsia" w:hAnsi="宋体"/>
          <w:sz w:val="24"/>
          <w:szCs w:val="24"/>
        </w:rPr>
        <w:t>联系人：</w:t>
      </w:r>
      <w:r>
        <w:rPr>
          <w:rFonts w:hint="eastAsia" w:hAnsi="宋体"/>
          <w:sz w:val="24"/>
        </w:rPr>
        <w:t>周小姐</w:t>
      </w:r>
    </w:p>
    <w:p>
      <w:pPr>
        <w:pStyle w:val="25"/>
        <w:snapToGrid w:val="0"/>
        <w:spacing w:line="360" w:lineRule="auto"/>
        <w:ind w:firstLine="480" w:firstLineChars="200"/>
        <w:rPr>
          <w:rFonts w:hAnsi="宋体"/>
          <w:sz w:val="24"/>
          <w:szCs w:val="24"/>
        </w:rPr>
      </w:pPr>
      <w:r>
        <w:rPr>
          <w:rFonts w:hint="eastAsia" w:hAnsi="宋体"/>
          <w:sz w:val="24"/>
          <w:szCs w:val="24"/>
        </w:rPr>
        <w:t>联系电话：</w:t>
      </w:r>
      <w:r>
        <w:rPr>
          <w:rFonts w:hint="eastAsia" w:hAnsi="宋体"/>
          <w:b/>
          <w:bCs/>
          <w:sz w:val="24"/>
        </w:rPr>
        <w:t>0755-</w:t>
      </w:r>
      <w:r>
        <w:rPr>
          <w:rFonts w:hint="eastAsia" w:hAnsi="宋体" w:cs="仿宋_GB2312"/>
          <w:b/>
          <w:bCs/>
          <w:sz w:val="24"/>
          <w:szCs w:val="24"/>
          <w:u w:val="single"/>
        </w:rPr>
        <w:t>89987867、89987482</w:t>
      </w:r>
    </w:p>
    <w:p>
      <w:pPr>
        <w:pStyle w:val="25"/>
        <w:snapToGrid w:val="0"/>
        <w:spacing w:line="360" w:lineRule="auto"/>
        <w:ind w:firstLine="480" w:firstLineChars="200"/>
        <w:rPr>
          <w:rFonts w:hAnsi="宋体"/>
          <w:b/>
          <w:bCs/>
          <w:sz w:val="24"/>
          <w:szCs w:val="24"/>
        </w:rPr>
      </w:pPr>
      <w:r>
        <w:rPr>
          <w:rFonts w:hint="eastAsia" w:hAnsi="宋体" w:cs="宋体"/>
          <w:sz w:val="24"/>
          <w:szCs w:val="24"/>
        </w:rPr>
        <w:t>日期：</w:t>
      </w:r>
      <w:r>
        <w:rPr>
          <w:rFonts w:hint="eastAsia" w:hAnsi="宋体"/>
          <w:b/>
          <w:bCs/>
          <w:sz w:val="24"/>
          <w:szCs w:val="24"/>
        </w:rPr>
        <w:t>2</w:t>
      </w:r>
      <w:r>
        <w:rPr>
          <w:rFonts w:hAnsi="宋体"/>
          <w:b/>
          <w:bCs/>
          <w:sz w:val="24"/>
          <w:szCs w:val="24"/>
        </w:rPr>
        <w:t>022</w:t>
      </w:r>
      <w:r>
        <w:rPr>
          <w:rFonts w:hint="eastAsia" w:hAnsi="宋体"/>
          <w:b/>
          <w:bCs/>
          <w:sz w:val="24"/>
          <w:szCs w:val="24"/>
        </w:rPr>
        <w:t>年</w:t>
      </w:r>
      <w:r>
        <w:rPr>
          <w:rFonts w:hint="eastAsia" w:hAnsi="宋体"/>
          <w:b/>
          <w:bCs/>
          <w:sz w:val="24"/>
          <w:szCs w:val="24"/>
          <w:lang w:val="en-US" w:eastAsia="zh-CN"/>
        </w:rPr>
        <w:t>8</w:t>
      </w:r>
      <w:r>
        <w:rPr>
          <w:rFonts w:hint="eastAsia" w:hAnsi="宋体"/>
          <w:b/>
          <w:bCs/>
          <w:sz w:val="24"/>
          <w:szCs w:val="24"/>
        </w:rPr>
        <w:t>月</w:t>
      </w:r>
      <w:r>
        <w:rPr>
          <w:rFonts w:hint="eastAsia" w:hAnsi="宋体"/>
          <w:b/>
          <w:bCs/>
          <w:sz w:val="24"/>
          <w:szCs w:val="24"/>
          <w:lang w:val="en-US" w:eastAsia="zh-CN"/>
        </w:rPr>
        <w:t>2</w:t>
      </w:r>
      <w:r>
        <w:rPr>
          <w:rFonts w:hint="eastAsia" w:hAnsi="宋体"/>
          <w:b/>
          <w:bCs/>
          <w:sz w:val="24"/>
          <w:szCs w:val="24"/>
        </w:rPr>
        <w:t>日</w:t>
      </w:r>
    </w:p>
    <w:p>
      <w:pPr>
        <w:pStyle w:val="25"/>
        <w:spacing w:line="360" w:lineRule="auto"/>
        <w:ind w:right="480"/>
        <w:jc w:val="center"/>
        <w:rPr>
          <w:rFonts w:hAnsi="宋体"/>
          <w:kern w:val="44"/>
          <w:sz w:val="44"/>
          <w:szCs w:val="44"/>
        </w:rPr>
      </w:pPr>
      <w:r>
        <w:rPr>
          <w:rFonts w:hAnsi="宋体"/>
          <w:sz w:val="24"/>
          <w:szCs w:val="24"/>
        </w:rPr>
        <w:br w:type="page"/>
      </w:r>
      <w:bookmarkStart w:id="115" w:name="_Toc57731951"/>
      <w:r>
        <w:rPr>
          <w:rFonts w:hAnsi="宋体"/>
          <w:kern w:val="44"/>
          <w:sz w:val="44"/>
          <w:szCs w:val="44"/>
        </w:rPr>
        <w:t>第一篇  投标须知</w:t>
      </w:r>
      <w:bookmarkEnd w:id="115"/>
    </w:p>
    <w:p>
      <w:pPr>
        <w:pStyle w:val="6"/>
        <w:spacing w:line="360" w:lineRule="auto"/>
        <w:rPr>
          <w:rFonts w:ascii="宋体" w:hAnsi="宋体" w:eastAsia="宋体"/>
          <w:b/>
          <w:szCs w:val="28"/>
        </w:rPr>
      </w:pPr>
      <w:bookmarkStart w:id="116" w:name="_Toc15792"/>
      <w:bookmarkStart w:id="117" w:name="_Toc13403"/>
      <w:bookmarkStart w:id="118" w:name="_Toc22703"/>
      <w:bookmarkStart w:id="119" w:name="_Toc21931"/>
      <w:bookmarkStart w:id="120" w:name="_Toc17113"/>
      <w:bookmarkStart w:id="121" w:name="_Toc24808"/>
      <w:bookmarkStart w:id="122" w:name="_Toc27900"/>
      <w:bookmarkStart w:id="123" w:name="_Toc7155"/>
      <w:bookmarkStart w:id="124" w:name="_Toc26822"/>
      <w:bookmarkStart w:id="125" w:name="_Toc20336"/>
      <w:bookmarkStart w:id="126" w:name="_Toc26669"/>
      <w:bookmarkStart w:id="127" w:name="_Toc9133"/>
      <w:bookmarkStart w:id="128" w:name="_Toc24313"/>
      <w:bookmarkStart w:id="129" w:name="_Toc12604"/>
      <w:bookmarkStart w:id="130" w:name="_Toc14915"/>
      <w:bookmarkStart w:id="131" w:name="_Toc13878"/>
      <w:bookmarkStart w:id="132" w:name="_Toc10945"/>
      <w:bookmarkStart w:id="133" w:name="_Toc57731952"/>
      <w:bookmarkStart w:id="134" w:name="_Toc4198"/>
      <w:bookmarkStart w:id="135" w:name="_Toc29649"/>
      <w:bookmarkStart w:id="136" w:name="_Toc27770"/>
      <w:bookmarkStart w:id="137" w:name="_Toc12001"/>
      <w:bookmarkStart w:id="138" w:name="_Toc518494117"/>
      <w:bookmarkStart w:id="139" w:name="_Toc19033"/>
      <w:bookmarkStart w:id="140" w:name="_Toc18069"/>
      <w:bookmarkStart w:id="141" w:name="_Toc8588"/>
      <w:bookmarkStart w:id="142" w:name="_Toc28491"/>
      <w:bookmarkStart w:id="143" w:name="_Toc18712"/>
      <w:bookmarkStart w:id="144" w:name="_Toc21553"/>
      <w:bookmarkStart w:id="145" w:name="_Toc23138"/>
      <w:bookmarkStart w:id="146" w:name="_Toc7378"/>
      <w:bookmarkStart w:id="147" w:name="_Toc22982"/>
      <w:bookmarkStart w:id="148" w:name="_Toc14414"/>
      <w:bookmarkStart w:id="149" w:name="_Toc6345"/>
      <w:bookmarkStart w:id="150" w:name="_Toc26750"/>
      <w:r>
        <w:rPr>
          <w:rFonts w:hint="eastAsia" w:ascii="宋体" w:hAnsi="宋体" w:eastAsia="宋体"/>
          <w:b/>
          <w:szCs w:val="28"/>
        </w:rPr>
        <w:t>第一章 总则</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keepNext/>
        <w:keepLines/>
        <w:numPr>
          <w:ilvl w:val="0"/>
          <w:numId w:val="2"/>
        </w:numPr>
        <w:tabs>
          <w:tab w:val="left" w:pos="1260"/>
        </w:tabs>
        <w:adjustRightInd w:val="0"/>
        <w:spacing w:before="260" w:after="260" w:line="360" w:lineRule="auto"/>
        <w:ind w:firstLine="720"/>
        <w:textAlignment w:val="baseline"/>
        <w:outlineLvl w:val="2"/>
        <w:rPr>
          <w:rFonts w:ascii="宋体" w:hAnsi="宋体"/>
          <w:b/>
          <w:kern w:val="0"/>
          <w:sz w:val="24"/>
          <w:szCs w:val="24"/>
        </w:rPr>
      </w:pPr>
      <w:bookmarkStart w:id="151" w:name="_Toc3256"/>
      <w:bookmarkStart w:id="152" w:name="_Toc10733"/>
      <w:bookmarkStart w:id="153" w:name="_Toc518494118"/>
      <w:bookmarkStart w:id="154" w:name="_Toc7987"/>
      <w:bookmarkStart w:id="155" w:name="_Toc8334"/>
      <w:bookmarkStart w:id="156" w:name="_Toc19982"/>
      <w:bookmarkStart w:id="157" w:name="_Toc3186"/>
      <w:bookmarkStart w:id="158" w:name="_Toc27136"/>
      <w:bookmarkStart w:id="159" w:name="_Toc22842"/>
      <w:bookmarkStart w:id="160" w:name="_Toc3039"/>
      <w:bookmarkStart w:id="161" w:name="_Toc22855"/>
      <w:bookmarkStart w:id="162" w:name="_Toc7762"/>
      <w:bookmarkStart w:id="163" w:name="_Toc25733"/>
      <w:bookmarkStart w:id="164" w:name="_Toc3541"/>
      <w:bookmarkStart w:id="165" w:name="_Toc5579"/>
      <w:bookmarkStart w:id="166" w:name="_Toc1469"/>
      <w:bookmarkStart w:id="167" w:name="_Toc19878"/>
      <w:bookmarkStart w:id="168" w:name="_Toc483"/>
      <w:bookmarkStart w:id="169" w:name="_Toc13804"/>
      <w:bookmarkStart w:id="170" w:name="_Toc8923"/>
      <w:bookmarkStart w:id="171" w:name="_Toc1801"/>
      <w:bookmarkStart w:id="172" w:name="_Toc57731953"/>
      <w:bookmarkStart w:id="173" w:name="_Toc20470"/>
      <w:bookmarkStart w:id="174" w:name="_Toc31330"/>
      <w:bookmarkStart w:id="175" w:name="_Toc30208"/>
      <w:bookmarkStart w:id="176" w:name="_Toc8382"/>
      <w:bookmarkStart w:id="177" w:name="_Toc30599"/>
      <w:bookmarkStart w:id="178" w:name="_Toc3328"/>
      <w:bookmarkStart w:id="179" w:name="_Toc2212"/>
      <w:bookmarkStart w:id="180" w:name="_Toc27289"/>
      <w:bookmarkStart w:id="181" w:name="_Toc13182"/>
      <w:bookmarkStart w:id="182" w:name="_Toc25684"/>
      <w:bookmarkStart w:id="183" w:name="_Toc25699"/>
      <w:bookmarkStart w:id="184" w:name="_Toc21932"/>
      <w:bookmarkStart w:id="185" w:name="_Toc5351"/>
      <w:r>
        <w:rPr>
          <w:rFonts w:hint="eastAsia" w:ascii="宋体" w:hAnsi="宋体"/>
          <w:b/>
          <w:kern w:val="0"/>
          <w:sz w:val="24"/>
          <w:szCs w:val="24"/>
        </w:rPr>
        <w:t>项目概况</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Start w:id="186" w:name="_Toc57731954"/>
      <w:bookmarkStart w:id="187" w:name="_Toc518494119"/>
    </w:p>
    <w:p>
      <w:pPr>
        <w:spacing w:line="360" w:lineRule="auto"/>
        <w:ind w:firstLine="480" w:firstLineChars="200"/>
        <w:rPr>
          <w:rFonts w:ascii="宋体" w:hAnsi="宋体"/>
          <w:sz w:val="24"/>
          <w:szCs w:val="24"/>
        </w:rPr>
      </w:pPr>
      <w:r>
        <w:rPr>
          <w:rFonts w:hint="eastAsia" w:ascii="宋体" w:hAnsi="宋体"/>
          <w:sz w:val="24"/>
          <w:szCs w:val="24"/>
        </w:rPr>
        <w:t>赤湾停车场物业开发项目，宗地号K103-0016。总用地面积为13.32万</w:t>
      </w:r>
      <w:r>
        <w:rPr>
          <w:rFonts w:hint="eastAsia" w:ascii="宋体" w:hAnsi="宋体" w:cs="宋体"/>
          <w:sz w:val="24"/>
          <w:szCs w:val="24"/>
        </w:rPr>
        <w:t>㎡</w:t>
      </w:r>
      <w:r>
        <w:rPr>
          <w:rFonts w:hint="eastAsia" w:ascii="宋体" w:hAnsi="宋体"/>
          <w:sz w:val="24"/>
          <w:szCs w:val="24"/>
        </w:rPr>
        <w:t>，总可售面积33.62万</w:t>
      </w:r>
      <w:r>
        <w:rPr>
          <w:rFonts w:hint="eastAsia" w:ascii="宋体" w:hAnsi="宋体" w:cs="宋体"/>
          <w:sz w:val="24"/>
          <w:szCs w:val="24"/>
        </w:rPr>
        <w:t>㎡</w:t>
      </w:r>
      <w:r>
        <w:rPr>
          <w:rFonts w:hint="eastAsia" w:ascii="宋体" w:hAnsi="宋体"/>
          <w:sz w:val="24"/>
          <w:szCs w:val="24"/>
        </w:rPr>
        <w:t>，项目共6个地块分三期开发。一期盖上A地块为可售型人才房，总建面17.03万</w:t>
      </w:r>
      <w:r>
        <w:rPr>
          <w:rFonts w:hint="eastAsia" w:ascii="宋体" w:hAnsi="宋体" w:cs="宋体"/>
          <w:sz w:val="24"/>
          <w:szCs w:val="24"/>
        </w:rPr>
        <w:t>㎡</w:t>
      </w:r>
      <w:r>
        <w:rPr>
          <w:rFonts w:hint="eastAsia" w:ascii="宋体" w:hAnsi="宋体"/>
          <w:sz w:val="24"/>
          <w:szCs w:val="24"/>
        </w:rPr>
        <w:t>；二期盖上CFGH 地块为商品房，75 班小学及文体公园，总建面2.71万</w:t>
      </w:r>
      <w:r>
        <w:rPr>
          <w:rFonts w:hint="eastAsia" w:ascii="宋体" w:hAnsi="宋体" w:cs="宋体"/>
          <w:sz w:val="24"/>
          <w:szCs w:val="24"/>
        </w:rPr>
        <w:t>㎡</w:t>
      </w:r>
      <w:r>
        <w:rPr>
          <w:rFonts w:hint="eastAsia" w:ascii="宋体" w:hAnsi="宋体"/>
          <w:sz w:val="24"/>
          <w:szCs w:val="24"/>
        </w:rPr>
        <w:t>；三期白地D 地块为商品房及公共配套设施，总建面15.32万</w:t>
      </w:r>
      <w:r>
        <w:rPr>
          <w:rFonts w:hint="eastAsia" w:ascii="宋体" w:hAnsi="宋体" w:cs="宋体"/>
          <w:sz w:val="24"/>
          <w:szCs w:val="24"/>
        </w:rPr>
        <w:t>㎡</w:t>
      </w:r>
      <w:r>
        <w:rPr>
          <w:rFonts w:hint="eastAsia" w:ascii="宋体" w:hAnsi="宋体"/>
          <w:sz w:val="24"/>
          <w:szCs w:val="24"/>
        </w:rPr>
        <w:t>。项目已于2022年3月取得用地规划许可证，预计2022年末开盘销售，</w:t>
      </w:r>
      <w:r>
        <w:rPr>
          <w:rFonts w:hint="eastAsia" w:ascii="宋体" w:hAnsi="宋体" w:cs="宋体"/>
          <w:sz w:val="24"/>
          <w:szCs w:val="24"/>
        </w:rPr>
        <w:t>可售货值约</w:t>
      </w:r>
      <w:r>
        <w:rPr>
          <w:rFonts w:hint="eastAsia" w:ascii="宋体" w:hAnsi="宋体"/>
          <w:sz w:val="24"/>
          <w:szCs w:val="24"/>
        </w:rPr>
        <w:t>300亿元。赤湾停车场物业开发项目</w:t>
      </w:r>
      <w:r>
        <w:rPr>
          <w:rFonts w:ascii="宋体" w:hAnsi="宋体"/>
          <w:sz w:val="24"/>
          <w:szCs w:val="24"/>
        </w:rPr>
        <w:t>开发主体为深圳市地铁集团有限公司。</w:t>
      </w:r>
    </w:p>
    <w:p>
      <w:pPr>
        <w:keepNext/>
        <w:keepLines/>
        <w:numPr>
          <w:ilvl w:val="0"/>
          <w:numId w:val="2"/>
        </w:numPr>
        <w:tabs>
          <w:tab w:val="left" w:pos="1260"/>
        </w:tabs>
        <w:adjustRightInd w:val="0"/>
        <w:spacing w:before="260" w:after="260" w:line="360" w:lineRule="auto"/>
        <w:ind w:firstLine="720"/>
        <w:textAlignment w:val="baseline"/>
        <w:outlineLvl w:val="2"/>
        <w:rPr>
          <w:rFonts w:ascii="宋体" w:hAnsi="宋体"/>
          <w:b/>
          <w:kern w:val="0"/>
          <w:sz w:val="24"/>
          <w:szCs w:val="24"/>
        </w:rPr>
      </w:pPr>
      <w:bookmarkStart w:id="188" w:name="_Toc22941"/>
      <w:bookmarkStart w:id="189" w:name="_Toc29317"/>
      <w:bookmarkStart w:id="190" w:name="_Toc544"/>
      <w:bookmarkStart w:id="191" w:name="_Toc27247"/>
      <w:bookmarkStart w:id="192" w:name="_Toc30103"/>
      <w:bookmarkStart w:id="193" w:name="_Toc22911"/>
      <w:bookmarkStart w:id="194" w:name="_Toc5054"/>
      <w:bookmarkStart w:id="195" w:name="_Toc23370"/>
      <w:bookmarkStart w:id="196" w:name="_Toc7292"/>
      <w:bookmarkStart w:id="197" w:name="_Toc15572"/>
      <w:bookmarkStart w:id="198" w:name="_Toc2382"/>
      <w:bookmarkStart w:id="199" w:name="_Toc13579"/>
      <w:bookmarkStart w:id="200" w:name="_Toc1825"/>
      <w:bookmarkStart w:id="201" w:name="_Toc7736"/>
      <w:bookmarkStart w:id="202" w:name="_Toc23267"/>
      <w:bookmarkStart w:id="203" w:name="_Toc3519"/>
      <w:bookmarkStart w:id="204" w:name="_Toc3942"/>
      <w:bookmarkStart w:id="205" w:name="_Toc5027"/>
      <w:bookmarkStart w:id="206" w:name="_Toc12034"/>
      <w:bookmarkStart w:id="207" w:name="_Toc10078"/>
      <w:bookmarkStart w:id="208" w:name="_Toc5993"/>
      <w:bookmarkStart w:id="209" w:name="_Toc1848"/>
      <w:bookmarkStart w:id="210" w:name="_Toc17978"/>
      <w:bookmarkStart w:id="211" w:name="_Toc18416"/>
      <w:bookmarkStart w:id="212" w:name="_Toc8319"/>
      <w:bookmarkStart w:id="213" w:name="_Toc3610"/>
      <w:bookmarkStart w:id="214" w:name="_Toc27087"/>
      <w:bookmarkStart w:id="215" w:name="_Toc4256"/>
      <w:bookmarkStart w:id="216" w:name="_Toc2009"/>
      <w:bookmarkStart w:id="217" w:name="_Toc12623"/>
      <w:bookmarkStart w:id="218" w:name="_Toc15310"/>
      <w:bookmarkStart w:id="219" w:name="_Toc8423"/>
      <w:bookmarkStart w:id="220" w:name="_Toc19230"/>
      <w:r>
        <w:rPr>
          <w:rFonts w:hint="eastAsia" w:ascii="宋体" w:hAnsi="宋体"/>
          <w:b/>
          <w:kern w:val="0"/>
          <w:sz w:val="24"/>
          <w:szCs w:val="24"/>
        </w:rPr>
        <w:t>服务内容</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具体服务内容包括但不限于为赤湾停车场物业开发项目销售期间提供下述服务：</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（一）为意向购房客户提供资料审核、认筹金冻结服务；</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（二）为购房客户提供按揭咨询、定金划转服务；</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（三）为符合条件的购房者出具承贷函、提供按揭贷款；</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（四）办理预售商品房买卖合同的抵押登记；</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（五）办理预售商品房产权证，并办理他项权证抵押登记等相关工作；</w:t>
      </w:r>
    </w:p>
    <w:p>
      <w:pPr>
        <w:tabs>
          <w:tab w:val="center" w:pos="5059"/>
        </w:tabs>
        <w:spacing w:line="360" w:lineRule="auto"/>
        <w:ind w:firstLine="480" w:firstLineChars="200"/>
        <w:rPr>
          <w:rFonts w:ascii="宋体" w:hAnsi="宋体" w:cs="仿宋_GB2312"/>
          <w:sz w:val="24"/>
          <w:szCs w:val="24"/>
        </w:rPr>
      </w:pPr>
      <w:r>
        <w:rPr>
          <w:rFonts w:hint="eastAsia" w:ascii="宋体" w:hAnsi="宋体" w:cs="仿宋_GB2312"/>
          <w:sz w:val="24"/>
          <w:szCs w:val="24"/>
        </w:rPr>
        <w:t>（六）根据开发商需求办理资金监管账户开立等事宜；</w:t>
      </w:r>
    </w:p>
    <w:p>
      <w:pPr>
        <w:tabs>
          <w:tab w:val="center" w:pos="5059"/>
        </w:tabs>
        <w:spacing w:line="360" w:lineRule="auto"/>
        <w:ind w:firstLine="480" w:firstLineChars="200"/>
        <w:rPr>
          <w:rFonts w:ascii="宋体" w:hAnsi="宋体"/>
          <w:kern w:val="0"/>
          <w:sz w:val="24"/>
          <w:szCs w:val="24"/>
        </w:rPr>
      </w:pPr>
      <w:r>
        <w:rPr>
          <w:rFonts w:hint="eastAsia" w:ascii="宋体" w:hAnsi="宋体" w:cs="仿宋_GB2312"/>
          <w:sz w:val="24"/>
          <w:szCs w:val="24"/>
        </w:rPr>
        <w:t>（七）完成合作协议约定的其他相关工作。</w:t>
      </w:r>
    </w:p>
    <w:p>
      <w:pPr>
        <w:keepNext/>
        <w:keepLines/>
        <w:numPr>
          <w:ilvl w:val="0"/>
          <w:numId w:val="2"/>
        </w:numPr>
        <w:tabs>
          <w:tab w:val="left" w:pos="1260"/>
        </w:tabs>
        <w:adjustRightInd w:val="0"/>
        <w:spacing w:before="260" w:after="260" w:line="360" w:lineRule="auto"/>
        <w:ind w:firstLine="720"/>
        <w:textAlignment w:val="baseline"/>
        <w:outlineLvl w:val="2"/>
        <w:rPr>
          <w:rFonts w:ascii="宋体" w:hAnsi="宋体"/>
          <w:b/>
          <w:kern w:val="0"/>
          <w:sz w:val="24"/>
          <w:szCs w:val="24"/>
        </w:rPr>
      </w:pPr>
      <w:bookmarkStart w:id="221" w:name="_Toc30718"/>
      <w:bookmarkStart w:id="222" w:name="_Toc32281"/>
      <w:bookmarkStart w:id="223" w:name="_Toc21599"/>
      <w:bookmarkStart w:id="224" w:name="_Toc18150"/>
      <w:bookmarkStart w:id="225" w:name="_Toc23659"/>
      <w:bookmarkStart w:id="226" w:name="_Toc18302"/>
      <w:bookmarkStart w:id="227" w:name="_Toc29024"/>
      <w:bookmarkStart w:id="228" w:name="_Toc4081"/>
      <w:bookmarkStart w:id="229" w:name="_Toc2538"/>
      <w:bookmarkStart w:id="230" w:name="_Toc514"/>
      <w:bookmarkStart w:id="231" w:name="_Toc13218"/>
      <w:bookmarkStart w:id="232" w:name="_Toc27041"/>
      <w:bookmarkStart w:id="233" w:name="_Toc11781"/>
      <w:bookmarkStart w:id="234" w:name="_Toc4602"/>
      <w:bookmarkStart w:id="235" w:name="_Toc14830"/>
      <w:bookmarkStart w:id="236" w:name="_Toc16931"/>
      <w:bookmarkStart w:id="237" w:name="_Toc18386"/>
      <w:bookmarkStart w:id="238" w:name="_Toc17322"/>
      <w:bookmarkStart w:id="239" w:name="_Toc9475"/>
      <w:bookmarkStart w:id="240" w:name="_Toc27593"/>
      <w:bookmarkStart w:id="241" w:name="_Toc11585"/>
      <w:bookmarkStart w:id="242" w:name="_Toc9090"/>
      <w:bookmarkStart w:id="243" w:name="_Toc5966"/>
      <w:bookmarkStart w:id="244" w:name="_Toc25928"/>
      <w:bookmarkStart w:id="245" w:name="_Toc30895"/>
      <w:bookmarkStart w:id="246" w:name="_Toc4949"/>
      <w:bookmarkStart w:id="247" w:name="_Toc27445"/>
      <w:bookmarkStart w:id="248" w:name="_Toc16884"/>
      <w:bookmarkStart w:id="249" w:name="_Toc5975"/>
      <w:bookmarkStart w:id="250" w:name="_Toc25855"/>
      <w:bookmarkStart w:id="251" w:name="_Toc9167"/>
      <w:bookmarkStart w:id="252" w:name="_Toc7846"/>
      <w:bookmarkStart w:id="253" w:name="_Toc18580"/>
      <w:r>
        <w:rPr>
          <w:rFonts w:hint="eastAsia" w:ascii="宋体" w:hAnsi="宋体"/>
          <w:b/>
          <w:kern w:val="0"/>
          <w:sz w:val="24"/>
          <w:szCs w:val="24"/>
        </w:rPr>
        <w:t>工作方式及服务期限</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tabs>
          <w:tab w:val="center" w:pos="5059"/>
        </w:tabs>
        <w:spacing w:line="360" w:lineRule="auto"/>
        <w:ind w:firstLine="480" w:firstLineChars="200"/>
        <w:rPr>
          <w:rFonts w:ascii="宋体" w:hAnsi="宋体" w:cs="仿宋_GB2312"/>
          <w:sz w:val="24"/>
          <w:szCs w:val="24"/>
        </w:rPr>
      </w:pPr>
      <w:bookmarkStart w:id="254" w:name="_Toc20174"/>
      <w:bookmarkStart w:id="255" w:name="_Toc31347"/>
      <w:r>
        <w:rPr>
          <w:rFonts w:hint="eastAsia" w:ascii="宋体" w:hAnsi="宋体" w:cs="仿宋_GB2312"/>
          <w:sz w:val="24"/>
          <w:szCs w:val="24"/>
        </w:rPr>
        <w:t>（一）根据项目预售时间节点，配备稳定的专业工作人员到预售现场解答购房客户按揭贷款咨询；查询、打印个人征信报告；为符合贷款条件客户出具贷款承诺函；发放购房按揭贷款；在合作协议要求时间内到相关主管部门办理预售商品房买卖合同的预抵押登记、抵押权他项权登记。</w:t>
      </w:r>
      <w:bookmarkEnd w:id="254"/>
      <w:bookmarkEnd w:id="255"/>
    </w:p>
    <w:p>
      <w:pPr>
        <w:tabs>
          <w:tab w:val="center" w:pos="5059"/>
        </w:tabs>
        <w:spacing w:line="360" w:lineRule="auto"/>
        <w:ind w:firstLine="480" w:firstLineChars="200"/>
        <w:rPr>
          <w:rFonts w:ascii="宋体" w:hAnsi="宋体" w:cs="仿宋_GB2312"/>
          <w:sz w:val="24"/>
          <w:szCs w:val="24"/>
        </w:rPr>
      </w:pPr>
      <w:bookmarkStart w:id="256" w:name="_Toc16747"/>
      <w:bookmarkStart w:id="257" w:name="_Toc7891"/>
      <w:r>
        <w:rPr>
          <w:rFonts w:hint="eastAsia" w:ascii="宋体" w:hAnsi="宋体" w:cs="仿宋_GB2312"/>
          <w:sz w:val="24"/>
          <w:szCs w:val="24"/>
        </w:rPr>
        <w:t>（二）服务期限自签订合同日起至该项目他项权证抵押登记办理完成之日止。暂按5年计。</w:t>
      </w:r>
      <w:bookmarkEnd w:id="256"/>
      <w:bookmarkEnd w:id="257"/>
      <w:r>
        <w:rPr>
          <w:rFonts w:hint="eastAsia" w:ascii="宋体" w:hAnsi="宋体" w:cs="仿宋_GB2312"/>
          <w:sz w:val="24"/>
          <w:szCs w:val="24"/>
        </w:rPr>
        <w:tab/>
      </w:r>
    </w:p>
    <w:p>
      <w:pPr>
        <w:keepNext/>
        <w:keepLines/>
        <w:numPr>
          <w:ilvl w:val="0"/>
          <w:numId w:val="2"/>
        </w:numPr>
        <w:tabs>
          <w:tab w:val="left" w:pos="1260"/>
        </w:tabs>
        <w:adjustRightInd w:val="0"/>
        <w:spacing w:before="260" w:after="260" w:line="360" w:lineRule="auto"/>
        <w:ind w:firstLine="720"/>
        <w:textAlignment w:val="baseline"/>
        <w:outlineLvl w:val="2"/>
        <w:rPr>
          <w:rFonts w:ascii="宋体" w:hAnsi="宋体"/>
          <w:b/>
          <w:kern w:val="0"/>
          <w:sz w:val="24"/>
          <w:szCs w:val="24"/>
        </w:rPr>
      </w:pPr>
      <w:bookmarkStart w:id="258" w:name="_Toc13233"/>
      <w:bookmarkStart w:id="259" w:name="_Toc14594"/>
      <w:bookmarkStart w:id="260" w:name="_Toc5087"/>
      <w:bookmarkStart w:id="261" w:name="_Toc16804"/>
      <w:bookmarkStart w:id="262" w:name="_Toc10489"/>
      <w:bookmarkStart w:id="263" w:name="_Toc20582"/>
      <w:bookmarkStart w:id="264" w:name="_Toc902"/>
      <w:bookmarkStart w:id="265" w:name="_Toc10454"/>
      <w:bookmarkStart w:id="266" w:name="_Toc9285"/>
      <w:bookmarkStart w:id="267" w:name="_Toc20391"/>
      <w:bookmarkStart w:id="268" w:name="_Toc31358"/>
      <w:bookmarkStart w:id="269" w:name="_Toc14508"/>
      <w:bookmarkStart w:id="270" w:name="_Toc1431"/>
      <w:bookmarkStart w:id="271" w:name="_Toc32115"/>
      <w:bookmarkStart w:id="272" w:name="_Toc24305"/>
      <w:bookmarkStart w:id="273" w:name="_Toc11909"/>
      <w:bookmarkStart w:id="274" w:name="_Toc16126"/>
      <w:bookmarkStart w:id="275" w:name="_Toc15061"/>
      <w:bookmarkStart w:id="276" w:name="_Toc30787"/>
      <w:bookmarkStart w:id="277" w:name="_Toc13628"/>
      <w:bookmarkStart w:id="278" w:name="_Toc15553"/>
      <w:bookmarkStart w:id="279" w:name="_Toc28208"/>
      <w:bookmarkStart w:id="280" w:name="_Toc10907"/>
      <w:bookmarkStart w:id="281" w:name="_Toc20593"/>
      <w:bookmarkStart w:id="282" w:name="_Toc4584"/>
      <w:bookmarkStart w:id="283" w:name="_Toc26147"/>
      <w:bookmarkStart w:id="284" w:name="_Toc27079"/>
      <w:bookmarkStart w:id="285" w:name="_Toc14452"/>
      <w:bookmarkStart w:id="286" w:name="_Toc898"/>
      <w:bookmarkStart w:id="287" w:name="_Toc14481"/>
      <w:r>
        <w:rPr>
          <w:rFonts w:hint="eastAsia" w:ascii="宋体" w:hAnsi="宋体"/>
          <w:b/>
          <w:kern w:val="0"/>
          <w:sz w:val="24"/>
          <w:szCs w:val="24"/>
        </w:rPr>
        <w:t>投标人资格条件</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Start w:id="288" w:name="_Toc197404900"/>
      <w:bookmarkStart w:id="289" w:name="_Toc57731957"/>
      <w:bookmarkStart w:id="290" w:name="_Toc518494122"/>
    </w:p>
    <w:p>
      <w:pPr>
        <w:pStyle w:val="25"/>
        <w:spacing w:line="360" w:lineRule="auto"/>
        <w:ind w:firstLine="480" w:firstLineChars="200"/>
        <w:rPr>
          <w:rFonts w:hint="eastAsia" w:hAnsi="宋体" w:cs="仿宋_GB2312"/>
          <w:sz w:val="24"/>
          <w:szCs w:val="24"/>
        </w:rPr>
      </w:pPr>
      <w:r>
        <w:rPr>
          <w:rFonts w:hint="eastAsia" w:hAnsi="宋体" w:cs="仿宋_GB2312"/>
          <w:sz w:val="24"/>
          <w:szCs w:val="24"/>
        </w:rPr>
        <w:t>（一）投标人资质要求：</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1.在中华人民共和国境内依法成立的全国性银行机构在深圳设立的分行，或由深圳分行授权的下属支行，地铁集团已在该行开户的，由为集团服务的支行参与投标，原则上不再接受该行其他支行的投标；</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2.持有中国银行业监督管理委员会核发的经营金融业务许可证和工商行政管理部门颁发的营业执照。</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（二）投标人业绩要求：</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投标人须至少满足以下二项业绩指标中的任意一项：</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1.近三年（2019年1月1日至今），为5个以上（含5个）全国50强或深圳20强地产企业品牌提供过深圳地区项目的按揭贷款服务；</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2.已购买深铁集团旗下商办物业（以签订的认购书或销售合同为准）或为地铁集团旗下商办物业推介客户并成功认购的金融机构（由经办部门与营销策划部确认后在评标时提供名单）</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备注：第1项业绩指标需提供相关的合同复印件或报告封面及盖章相关页；全国50强排名参考2019-2021年中指研究院及克而瑞发布数据；深圳20强排名参考2019-2021年深圳房协发布数据；第2项业绩指标在</w:t>
      </w:r>
      <w:r>
        <w:rPr>
          <w:rFonts w:hint="eastAsia" w:hAnsi="宋体" w:cs="仿宋_GB2312"/>
          <w:sz w:val="24"/>
          <w:szCs w:val="24"/>
          <w:lang w:val="en-US" w:eastAsia="zh-CN"/>
        </w:rPr>
        <w:t>综合</w:t>
      </w:r>
      <w:r>
        <w:rPr>
          <w:rFonts w:hint="eastAsia" w:hAnsi="宋体" w:cs="仿宋_GB2312"/>
          <w:sz w:val="24"/>
          <w:szCs w:val="24"/>
        </w:rPr>
        <w:t>评审时以经办部门与营销策划部确认并在评审现场提供给评委的详细名单为准，不需要投标人提供证明材料。</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（三）投标人承诺：放款时间不超过60（含）日、办理预抵押时间不超过60（含）日；</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（四）存在以下情况的投标人将不被接受投标：</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1.自截标前三年以来与深圳市地铁集团有限公司或其下属直管单位有过诉讼、仲裁史，且其诉讼请求、仲裁申请或辩论理由没有被法院、仲裁庭支持的；</w:t>
      </w:r>
    </w:p>
    <w:p>
      <w:pPr>
        <w:pStyle w:val="25"/>
        <w:spacing w:line="360" w:lineRule="auto"/>
        <w:ind w:firstLine="480" w:firstLineChars="200"/>
        <w:rPr>
          <w:rFonts w:hint="eastAsia" w:hAnsi="宋体" w:cs="仿宋_GB2312"/>
          <w:sz w:val="24"/>
          <w:szCs w:val="24"/>
        </w:rPr>
      </w:pPr>
      <w:r>
        <w:rPr>
          <w:rFonts w:hint="eastAsia" w:hAnsi="宋体" w:cs="仿宋_GB2312"/>
          <w:sz w:val="24"/>
          <w:szCs w:val="24"/>
          <w:lang w:val="en-US" w:eastAsia="zh-CN"/>
        </w:rPr>
        <w:t>2</w:t>
      </w:r>
      <w:r>
        <w:rPr>
          <w:rFonts w:hint="eastAsia" w:hAnsi="宋体" w:cs="仿宋_GB2312"/>
          <w:sz w:val="24"/>
          <w:szCs w:val="24"/>
        </w:rPr>
        <w:t>.正与深圳市地铁集团有限公司及下属单位进行诉讼、仲裁，且在截标之日前未达成和解或纠纷化解的；</w:t>
      </w:r>
    </w:p>
    <w:p>
      <w:pPr>
        <w:pStyle w:val="25"/>
        <w:spacing w:line="360" w:lineRule="auto"/>
        <w:ind w:firstLine="480" w:firstLineChars="200"/>
        <w:rPr>
          <w:rFonts w:hint="eastAsia" w:hAnsi="宋体" w:cs="仿宋_GB2312"/>
          <w:sz w:val="24"/>
          <w:szCs w:val="24"/>
        </w:rPr>
      </w:pPr>
      <w:r>
        <w:rPr>
          <w:rFonts w:hint="eastAsia" w:hAnsi="宋体" w:cs="仿宋_GB2312"/>
          <w:sz w:val="24"/>
          <w:szCs w:val="24"/>
          <w:lang w:val="en-US" w:eastAsia="zh-CN"/>
        </w:rPr>
        <w:t>3</w:t>
      </w:r>
      <w:r>
        <w:rPr>
          <w:rFonts w:hint="eastAsia" w:hAnsi="宋体" w:cs="仿宋_GB2312"/>
          <w:sz w:val="24"/>
          <w:szCs w:val="24"/>
        </w:rPr>
        <w:t>.在投标（询价）活动（包括在深圳地铁项目）中因串通投标（报价）被暂停投标（报价）资格期间的投标人；或涉嫌串通投标（报价）并正在接受主管部门调查的；</w:t>
      </w:r>
    </w:p>
    <w:p>
      <w:pPr>
        <w:pStyle w:val="25"/>
        <w:spacing w:line="360" w:lineRule="auto"/>
        <w:ind w:firstLine="480" w:firstLineChars="200"/>
        <w:rPr>
          <w:rFonts w:hint="eastAsia" w:hAnsi="宋体" w:cs="仿宋_GB2312"/>
          <w:sz w:val="24"/>
          <w:szCs w:val="24"/>
        </w:rPr>
      </w:pPr>
      <w:r>
        <w:rPr>
          <w:rFonts w:hint="eastAsia" w:hAnsi="宋体" w:cs="仿宋_GB2312"/>
          <w:sz w:val="24"/>
          <w:szCs w:val="24"/>
          <w:lang w:val="en-US" w:eastAsia="zh-CN"/>
        </w:rPr>
        <w:t>4</w:t>
      </w:r>
      <w:r>
        <w:rPr>
          <w:rFonts w:hint="eastAsia" w:hAnsi="宋体" w:cs="仿宋_GB2312"/>
          <w:sz w:val="24"/>
          <w:szCs w:val="24"/>
        </w:rPr>
        <w:t>.自截标前三年以来在深圳市地铁集团有限公司及下属单位在投标过程中、合同履约过程中有不良行为记录，或者有对深圳市地铁集团有限公司声誉造成损害行为的。</w:t>
      </w:r>
    </w:p>
    <w:p>
      <w:pPr>
        <w:pStyle w:val="25"/>
        <w:spacing w:line="360" w:lineRule="auto"/>
        <w:ind w:firstLine="480" w:firstLineChars="200"/>
        <w:rPr>
          <w:rFonts w:hint="eastAsia" w:hAnsi="宋体" w:cs="仿宋_GB2312"/>
          <w:sz w:val="24"/>
          <w:szCs w:val="24"/>
        </w:rPr>
      </w:pPr>
      <w:r>
        <w:rPr>
          <w:rFonts w:hint="eastAsia" w:hAnsi="宋体" w:cs="仿宋_GB2312"/>
          <w:sz w:val="24"/>
          <w:szCs w:val="24"/>
        </w:rPr>
        <w:t>（五）联合体要求：不接受联合体投标。单位负责人为同一人或者存在控股、管理关系的不同单位，不得参加同一项目比选。</w:t>
      </w:r>
    </w:p>
    <w:p>
      <w:pPr>
        <w:keepNext/>
        <w:keepLines/>
        <w:tabs>
          <w:tab w:val="left" w:pos="1260"/>
        </w:tabs>
        <w:spacing w:before="260" w:line="360" w:lineRule="auto"/>
        <w:ind w:firstLine="482" w:firstLineChars="200"/>
        <w:outlineLvl w:val="2"/>
        <w:rPr>
          <w:rFonts w:hint="eastAsia" w:ascii="宋体" w:hAnsi="宋体"/>
          <w:b/>
          <w:kern w:val="0"/>
          <w:sz w:val="24"/>
          <w:szCs w:val="24"/>
        </w:rPr>
      </w:pPr>
      <w:bookmarkStart w:id="291" w:name="_Toc21708"/>
      <w:bookmarkStart w:id="292" w:name="_Toc22299"/>
      <w:bookmarkStart w:id="293" w:name="_Toc27071"/>
      <w:bookmarkStart w:id="294" w:name="_Toc2467"/>
      <w:bookmarkStart w:id="295" w:name="_Toc6888"/>
      <w:bookmarkStart w:id="296" w:name="_Toc30825"/>
      <w:bookmarkStart w:id="297" w:name="_Toc7471"/>
      <w:bookmarkStart w:id="298" w:name="_Toc15238"/>
      <w:bookmarkStart w:id="299" w:name="_Toc30865"/>
      <w:bookmarkStart w:id="300" w:name="_Toc4299"/>
      <w:bookmarkStart w:id="301" w:name="_Toc7949"/>
      <w:bookmarkStart w:id="302" w:name="_Toc2262"/>
      <w:bookmarkStart w:id="303" w:name="_Toc10519"/>
      <w:bookmarkStart w:id="304" w:name="_Toc14927"/>
      <w:bookmarkStart w:id="305" w:name="_Toc16879"/>
      <w:bookmarkStart w:id="306" w:name="_Toc1586"/>
      <w:bookmarkStart w:id="307" w:name="_Toc20371"/>
      <w:bookmarkStart w:id="308" w:name="_Toc8320"/>
      <w:bookmarkStart w:id="309" w:name="_Toc8143"/>
      <w:bookmarkStart w:id="310" w:name="_Toc20964"/>
      <w:bookmarkStart w:id="311" w:name="_Toc12202"/>
      <w:bookmarkStart w:id="312" w:name="_Toc18200"/>
      <w:bookmarkStart w:id="313" w:name="_Toc12368"/>
      <w:bookmarkStart w:id="314" w:name="_Toc1702"/>
      <w:r>
        <w:rPr>
          <w:rFonts w:hint="eastAsia" w:ascii="宋体" w:hAnsi="宋体"/>
          <w:b/>
          <w:kern w:val="0"/>
          <w:sz w:val="24"/>
          <w:szCs w:val="24"/>
          <w:lang w:val="en-US" w:eastAsia="zh-CN"/>
        </w:rPr>
        <w:t>五、</w:t>
      </w:r>
      <w:r>
        <w:rPr>
          <w:rFonts w:hint="eastAsia" w:ascii="宋体" w:hAnsi="宋体"/>
          <w:b/>
          <w:kern w:val="0"/>
          <w:sz w:val="24"/>
          <w:szCs w:val="24"/>
        </w:rPr>
        <w:t>招标、投标的</w:t>
      </w:r>
      <w:bookmarkEnd w:id="288"/>
      <w:r>
        <w:rPr>
          <w:rFonts w:hint="eastAsia" w:ascii="宋体" w:hAnsi="宋体"/>
          <w:b/>
          <w:kern w:val="0"/>
          <w:sz w:val="24"/>
          <w:szCs w:val="24"/>
        </w:rPr>
        <w:t>时间安排</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tbl>
      <w:tblPr>
        <w:tblStyle w:val="48"/>
        <w:tblW w:w="88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70"/>
        <w:gridCol w:w="1384"/>
        <w:gridCol w:w="2905"/>
        <w:gridCol w:w="40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570"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300" w:lineRule="exact"/>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序号</w:t>
            </w:r>
          </w:p>
        </w:tc>
        <w:tc>
          <w:tcPr>
            <w:tcW w:w="1384"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300" w:lineRule="exact"/>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内  容</w:t>
            </w:r>
          </w:p>
        </w:tc>
        <w:tc>
          <w:tcPr>
            <w:tcW w:w="2905"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300" w:lineRule="exact"/>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时间安排</w:t>
            </w:r>
          </w:p>
        </w:tc>
        <w:tc>
          <w:tcPr>
            <w:tcW w:w="4010"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300" w:lineRule="exact"/>
              <w:ind w:left="0" w:leftChars="0" w:firstLine="0" w:firstLineChars="0"/>
              <w:jc w:val="center"/>
              <w:rPr>
                <w:rFonts w:ascii="楷体" w:hAnsi="楷体" w:eastAsia="楷体" w:cs="楷体"/>
                <w:bCs/>
                <w:color w:val="FFFFFF"/>
                <w:kern w:val="2"/>
                <w:sz w:val="21"/>
                <w:szCs w:val="21"/>
              </w:rPr>
            </w:pPr>
            <w:r>
              <w:rPr>
                <w:rFonts w:hint="eastAsia" w:ascii="楷体" w:hAnsi="楷体" w:eastAsia="楷体" w:cs="楷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2" w:hRule="atLeast"/>
          <w:jc w:val="center"/>
        </w:trPr>
        <w:tc>
          <w:tcPr>
            <w:tcW w:w="57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1</w:t>
            </w:r>
          </w:p>
        </w:tc>
        <w:tc>
          <w:tcPr>
            <w:tcW w:w="1384"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发布招标公告</w:t>
            </w:r>
          </w:p>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（发标）</w:t>
            </w:r>
          </w:p>
        </w:tc>
        <w:tc>
          <w:tcPr>
            <w:tcW w:w="2905" w:type="dxa"/>
            <w:tcBorders>
              <w:top w:val="single" w:color="auto" w:sz="4" w:space="0"/>
              <w:left w:val="single" w:color="auto" w:sz="4" w:space="0"/>
              <w:bottom w:val="single" w:color="auto" w:sz="4" w:space="0"/>
              <w:right w:val="single" w:color="auto" w:sz="4" w:space="0"/>
            </w:tcBorders>
            <w:vAlign w:val="center"/>
          </w:tcPr>
          <w:p>
            <w:pPr>
              <w:pStyle w:val="25"/>
              <w:spacing w:line="300" w:lineRule="exact"/>
              <w:jc w:val="center"/>
              <w:textAlignment w:val="auto"/>
              <w:rPr>
                <w:rFonts w:ascii="楷体" w:hAnsi="楷体" w:eastAsia="楷体" w:cs="楷体"/>
                <w:sz w:val="21"/>
                <w:szCs w:val="21"/>
              </w:rPr>
            </w:pPr>
            <w:r>
              <w:rPr>
                <w:rFonts w:hint="eastAsia" w:ascii="楷体" w:hAnsi="楷体" w:eastAsia="楷体" w:cs="楷体"/>
                <w:bCs/>
                <w:sz w:val="21"/>
                <w:szCs w:val="21"/>
                <w:u w:val="single"/>
              </w:rPr>
              <w:t>2022</w:t>
            </w:r>
            <w:r>
              <w:rPr>
                <w:rFonts w:hint="eastAsia" w:ascii="楷体" w:hAnsi="楷体" w:eastAsia="楷体" w:cs="楷体"/>
                <w:sz w:val="21"/>
                <w:szCs w:val="21"/>
              </w:rPr>
              <w:t>年</w:t>
            </w:r>
            <w:r>
              <w:rPr>
                <w:rFonts w:hint="eastAsia" w:ascii="楷体" w:hAnsi="楷体" w:eastAsia="楷体" w:cs="楷体"/>
                <w:bCs/>
                <w:sz w:val="21"/>
                <w:szCs w:val="21"/>
                <w:u w:val="single"/>
                <w:lang w:val="en-US" w:eastAsia="zh-CN"/>
              </w:rPr>
              <w:t>8</w:t>
            </w:r>
            <w:r>
              <w:rPr>
                <w:rFonts w:hint="eastAsia" w:ascii="楷体" w:hAnsi="楷体" w:eastAsia="楷体" w:cs="楷体"/>
                <w:sz w:val="21"/>
                <w:szCs w:val="21"/>
              </w:rPr>
              <w:t>月</w:t>
            </w:r>
            <w:r>
              <w:rPr>
                <w:rFonts w:hint="eastAsia" w:ascii="楷体" w:hAnsi="楷体" w:eastAsia="楷体" w:cs="楷体"/>
                <w:bCs/>
                <w:sz w:val="21"/>
                <w:szCs w:val="21"/>
                <w:u w:val="single"/>
                <w:lang w:val="en-US" w:eastAsia="zh-CN"/>
              </w:rPr>
              <w:t>3</w:t>
            </w:r>
            <w:r>
              <w:rPr>
                <w:rFonts w:hint="eastAsia" w:ascii="楷体" w:hAnsi="楷体" w:eastAsia="楷体" w:cs="楷体"/>
                <w:sz w:val="21"/>
                <w:szCs w:val="21"/>
              </w:rPr>
              <w:t>日</w:t>
            </w:r>
          </w:p>
        </w:tc>
        <w:tc>
          <w:tcPr>
            <w:tcW w:w="401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484" w:leftChars="44" w:hanging="392" w:hangingChars="187"/>
              <w:jc w:val="left"/>
              <w:rPr>
                <w:rFonts w:ascii="楷体" w:hAnsi="楷体" w:eastAsia="楷体" w:cs="楷体"/>
                <w:bCs/>
                <w:kern w:val="2"/>
                <w:sz w:val="21"/>
                <w:szCs w:val="21"/>
              </w:rPr>
            </w:pPr>
            <w:r>
              <w:rPr>
                <w:rFonts w:hint="eastAsia" w:ascii="楷体" w:hAnsi="楷体" w:eastAsia="楷体" w:cs="楷体"/>
                <w:bCs/>
                <w:kern w:val="2"/>
                <w:sz w:val="21"/>
                <w:szCs w:val="21"/>
                <w:lang w:val="en-US" w:eastAsia="zh-CN"/>
              </w:rPr>
              <w:t>深圳地铁</w:t>
            </w:r>
            <w:r>
              <w:rPr>
                <w:rFonts w:hint="eastAsia" w:ascii="楷体" w:hAnsi="楷体" w:eastAsia="楷体" w:cs="楷体"/>
                <w:bCs/>
                <w:kern w:val="2"/>
                <w:sz w:val="21"/>
                <w:szCs w:val="21"/>
                <w:lang w:eastAsia="zh-CN"/>
              </w:rPr>
              <w:t>官网</w:t>
            </w:r>
            <w:r>
              <w:rPr>
                <w:rFonts w:hint="eastAsia" w:ascii="楷体" w:hAnsi="楷体" w:eastAsia="楷体" w:cs="楷体"/>
                <w:color w:val="000000"/>
                <w:sz w:val="21"/>
                <w:szCs w:val="21"/>
              </w:rPr>
              <w:t>、</w:t>
            </w:r>
            <w:r>
              <w:rPr>
                <w:rFonts w:hint="eastAsia" w:ascii="楷体" w:hAnsi="楷体" w:eastAsia="楷体" w:cs="楷体"/>
                <w:bCs/>
                <w:kern w:val="2"/>
                <w:sz w:val="21"/>
                <w:szCs w:val="21"/>
              </w:rPr>
              <w:t>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04" w:hRule="atLeast"/>
          <w:jc w:val="center"/>
        </w:trPr>
        <w:tc>
          <w:tcPr>
            <w:tcW w:w="57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2</w:t>
            </w:r>
          </w:p>
        </w:tc>
        <w:tc>
          <w:tcPr>
            <w:tcW w:w="1384"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截标</w:t>
            </w:r>
          </w:p>
        </w:tc>
        <w:tc>
          <w:tcPr>
            <w:tcW w:w="29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楷体" w:hAnsi="楷体" w:eastAsia="楷体" w:cs="楷体"/>
                <w:bCs/>
                <w:szCs w:val="21"/>
                <w:u w:val="single"/>
              </w:rPr>
            </w:pPr>
            <w:r>
              <w:rPr>
                <w:rFonts w:hint="eastAsia" w:ascii="楷体" w:hAnsi="楷体" w:eastAsia="楷体" w:cs="楷体"/>
                <w:bCs/>
                <w:szCs w:val="21"/>
                <w:u w:val="single"/>
              </w:rPr>
              <w:t>2022</w:t>
            </w:r>
            <w:r>
              <w:rPr>
                <w:rFonts w:hint="eastAsia" w:ascii="楷体" w:hAnsi="楷体" w:eastAsia="楷体" w:cs="楷体"/>
                <w:szCs w:val="21"/>
              </w:rPr>
              <w:t>年</w:t>
            </w:r>
            <w:r>
              <w:rPr>
                <w:rFonts w:hint="eastAsia" w:ascii="楷体" w:hAnsi="楷体" w:eastAsia="楷体" w:cs="楷体"/>
                <w:bCs/>
                <w:szCs w:val="21"/>
                <w:u w:val="single"/>
                <w:lang w:val="en-US" w:eastAsia="zh-CN"/>
              </w:rPr>
              <w:t>8</w:t>
            </w:r>
            <w:r>
              <w:rPr>
                <w:rFonts w:hint="eastAsia" w:ascii="楷体" w:hAnsi="楷体" w:eastAsia="楷体" w:cs="楷体"/>
                <w:szCs w:val="21"/>
              </w:rPr>
              <w:t>月</w:t>
            </w:r>
            <w:r>
              <w:rPr>
                <w:rFonts w:hint="eastAsia" w:ascii="楷体" w:hAnsi="楷体" w:eastAsia="楷体" w:cs="楷体"/>
                <w:szCs w:val="21"/>
                <w:lang w:val="en-US" w:eastAsia="zh-CN"/>
              </w:rPr>
              <w:t>1</w:t>
            </w:r>
            <w:r>
              <w:rPr>
                <w:rFonts w:hint="eastAsia" w:ascii="楷体" w:hAnsi="楷体" w:eastAsia="楷体" w:cs="楷体"/>
                <w:bCs/>
                <w:szCs w:val="21"/>
                <w:u w:val="single"/>
                <w:lang w:val="en-US" w:eastAsia="zh-CN"/>
              </w:rPr>
              <w:t>6</w:t>
            </w:r>
            <w:r>
              <w:rPr>
                <w:rFonts w:hint="eastAsia" w:ascii="楷体" w:hAnsi="楷体" w:eastAsia="楷体" w:cs="楷体"/>
                <w:szCs w:val="21"/>
              </w:rPr>
              <w:t>日</w:t>
            </w:r>
            <w:r>
              <w:rPr>
                <w:rFonts w:hint="eastAsia" w:ascii="楷体" w:hAnsi="楷体" w:eastAsia="楷体" w:cs="楷体"/>
                <w:bCs/>
                <w:szCs w:val="21"/>
                <w:u w:val="single"/>
              </w:rPr>
              <w:t>上</w:t>
            </w:r>
            <w:r>
              <w:rPr>
                <w:rFonts w:hint="eastAsia" w:ascii="楷体" w:hAnsi="楷体" w:eastAsia="楷体" w:cs="楷体"/>
                <w:bCs/>
                <w:szCs w:val="21"/>
              </w:rPr>
              <w:t>午</w:t>
            </w:r>
            <w:r>
              <w:rPr>
                <w:rFonts w:hint="eastAsia" w:ascii="楷体" w:hAnsi="楷体" w:eastAsia="楷体" w:cs="楷体"/>
                <w:bCs/>
                <w:szCs w:val="21"/>
                <w:u w:val="single"/>
              </w:rPr>
              <w:t>09:30</w:t>
            </w:r>
          </w:p>
          <w:p>
            <w:pPr>
              <w:adjustRightInd w:val="0"/>
              <w:snapToGrid w:val="0"/>
              <w:spacing w:line="300" w:lineRule="exact"/>
              <w:jc w:val="center"/>
              <w:rPr>
                <w:rFonts w:ascii="楷体" w:hAnsi="楷体" w:eastAsia="楷体" w:cs="楷体"/>
                <w:bCs/>
                <w:szCs w:val="21"/>
              </w:rPr>
            </w:pPr>
            <w:r>
              <w:rPr>
                <w:rFonts w:hint="eastAsia" w:ascii="楷体" w:hAnsi="楷体" w:eastAsia="楷体" w:cs="楷体"/>
                <w:bCs/>
                <w:szCs w:val="21"/>
              </w:rPr>
              <w:t>（实际截标时间按各投标单位递交纸质投标文件的时间为准）</w:t>
            </w:r>
          </w:p>
        </w:tc>
        <w:tc>
          <w:tcPr>
            <w:tcW w:w="401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484" w:leftChars="44" w:hanging="392" w:hangingChars="187"/>
              <w:jc w:val="both"/>
              <w:rPr>
                <w:rFonts w:ascii="楷体" w:hAnsi="楷体" w:eastAsia="楷体" w:cs="楷体"/>
                <w:bCs/>
                <w:kern w:val="2"/>
                <w:sz w:val="21"/>
                <w:szCs w:val="21"/>
              </w:rPr>
            </w:pPr>
            <w:r>
              <w:rPr>
                <w:rFonts w:hint="eastAsia" w:ascii="楷体" w:hAnsi="楷体" w:eastAsia="楷体" w:cs="楷体"/>
                <w:bCs/>
                <w:kern w:val="2"/>
                <w:sz w:val="21"/>
                <w:szCs w:val="21"/>
              </w:rPr>
              <w:t>纸质版投标文件递交地点：地铁大厦1楼评定标中心指定会议室</w:t>
            </w:r>
          </w:p>
          <w:p>
            <w:pPr>
              <w:pStyle w:val="3"/>
              <w:adjustRightInd w:val="0"/>
              <w:snapToGrid w:val="0"/>
              <w:spacing w:line="300" w:lineRule="exact"/>
              <w:ind w:left="484" w:leftChars="44" w:hanging="392" w:hangingChars="187"/>
              <w:jc w:val="left"/>
              <w:rPr>
                <w:rFonts w:ascii="楷体" w:hAnsi="楷体" w:eastAsia="楷体" w:cs="楷体"/>
                <w:bCs/>
                <w:kern w:val="2"/>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57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3</w:t>
            </w:r>
          </w:p>
        </w:tc>
        <w:tc>
          <w:tcPr>
            <w:tcW w:w="1384"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0" w:leftChars="0" w:firstLine="0" w:firstLineChars="0"/>
              <w:jc w:val="center"/>
              <w:rPr>
                <w:rFonts w:ascii="楷体" w:hAnsi="楷体" w:eastAsia="楷体" w:cs="楷体"/>
                <w:bCs/>
                <w:kern w:val="2"/>
                <w:sz w:val="21"/>
                <w:szCs w:val="21"/>
              </w:rPr>
            </w:pPr>
            <w:r>
              <w:rPr>
                <w:rFonts w:hint="eastAsia" w:ascii="楷体" w:hAnsi="楷体" w:eastAsia="楷体" w:cs="楷体"/>
                <w:bCs/>
                <w:kern w:val="2"/>
                <w:sz w:val="21"/>
                <w:szCs w:val="21"/>
              </w:rPr>
              <w:t>开标</w:t>
            </w:r>
          </w:p>
        </w:tc>
        <w:tc>
          <w:tcPr>
            <w:tcW w:w="29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楷体" w:hAnsi="楷体" w:eastAsia="楷体" w:cs="楷体"/>
                <w:bCs/>
                <w:szCs w:val="21"/>
              </w:rPr>
            </w:pPr>
            <w:r>
              <w:rPr>
                <w:rFonts w:hint="eastAsia" w:ascii="楷体" w:hAnsi="楷体" w:eastAsia="楷体" w:cs="楷体"/>
                <w:bCs/>
                <w:szCs w:val="21"/>
                <w:u w:val="single"/>
              </w:rPr>
              <w:t>2022</w:t>
            </w:r>
            <w:r>
              <w:rPr>
                <w:rFonts w:hint="eastAsia" w:ascii="楷体" w:hAnsi="楷体" w:eastAsia="楷体" w:cs="楷体"/>
                <w:szCs w:val="21"/>
              </w:rPr>
              <w:t>年</w:t>
            </w:r>
            <w:r>
              <w:rPr>
                <w:rFonts w:hint="eastAsia" w:ascii="楷体" w:hAnsi="楷体" w:eastAsia="楷体" w:cs="楷体"/>
                <w:bCs/>
                <w:szCs w:val="21"/>
                <w:u w:val="single"/>
                <w:lang w:val="en-US" w:eastAsia="zh-CN"/>
              </w:rPr>
              <w:t>8</w:t>
            </w:r>
            <w:r>
              <w:rPr>
                <w:rFonts w:hint="eastAsia" w:ascii="楷体" w:hAnsi="楷体" w:eastAsia="楷体" w:cs="楷体"/>
                <w:szCs w:val="21"/>
              </w:rPr>
              <w:t>月</w:t>
            </w:r>
            <w:r>
              <w:rPr>
                <w:rFonts w:hint="eastAsia" w:ascii="楷体" w:hAnsi="楷体" w:eastAsia="楷体" w:cs="楷体"/>
                <w:szCs w:val="21"/>
                <w:lang w:val="en-US" w:eastAsia="zh-CN"/>
              </w:rPr>
              <w:t>1</w:t>
            </w:r>
            <w:r>
              <w:rPr>
                <w:rFonts w:hint="eastAsia" w:ascii="楷体" w:hAnsi="楷体" w:eastAsia="楷体" w:cs="楷体"/>
                <w:bCs/>
                <w:szCs w:val="21"/>
                <w:u w:val="single"/>
                <w:lang w:val="en-US" w:eastAsia="zh-CN"/>
              </w:rPr>
              <w:t>6</w:t>
            </w:r>
            <w:r>
              <w:rPr>
                <w:rFonts w:hint="eastAsia" w:ascii="楷体" w:hAnsi="楷体" w:eastAsia="楷体" w:cs="楷体"/>
                <w:szCs w:val="21"/>
              </w:rPr>
              <w:t>日</w:t>
            </w:r>
            <w:r>
              <w:rPr>
                <w:rFonts w:hint="eastAsia" w:ascii="楷体" w:hAnsi="楷体" w:eastAsia="楷体" w:cs="楷体"/>
                <w:bCs/>
                <w:szCs w:val="21"/>
                <w:u w:val="single"/>
              </w:rPr>
              <w:t>上</w:t>
            </w:r>
            <w:r>
              <w:rPr>
                <w:rFonts w:hint="eastAsia" w:ascii="楷体" w:hAnsi="楷体" w:eastAsia="楷体" w:cs="楷体"/>
                <w:bCs/>
                <w:szCs w:val="21"/>
              </w:rPr>
              <w:t>午</w:t>
            </w:r>
            <w:r>
              <w:rPr>
                <w:rFonts w:hint="eastAsia" w:ascii="楷体" w:hAnsi="楷体" w:eastAsia="楷体" w:cs="楷体"/>
                <w:bCs/>
                <w:szCs w:val="21"/>
                <w:u w:val="single"/>
              </w:rPr>
              <w:t>09:30</w:t>
            </w:r>
          </w:p>
        </w:tc>
        <w:tc>
          <w:tcPr>
            <w:tcW w:w="401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exact"/>
              <w:ind w:left="143" w:leftChars="68" w:firstLine="33" w:firstLineChars="16"/>
              <w:jc w:val="left"/>
              <w:rPr>
                <w:rFonts w:ascii="楷体" w:hAnsi="楷体" w:eastAsia="楷体" w:cs="楷体"/>
                <w:bCs/>
                <w:kern w:val="2"/>
                <w:sz w:val="21"/>
                <w:szCs w:val="21"/>
              </w:rPr>
            </w:pPr>
            <w:r>
              <w:rPr>
                <w:rFonts w:hint="eastAsia" w:ascii="楷体" w:hAnsi="楷体" w:eastAsia="楷体" w:cs="楷体"/>
                <w:bCs/>
                <w:kern w:val="2"/>
                <w:sz w:val="21"/>
                <w:szCs w:val="21"/>
              </w:rPr>
              <w:t>开标地点：地铁大厦1楼评定标中心指定会议室</w:t>
            </w:r>
          </w:p>
        </w:tc>
      </w:tr>
    </w:tbl>
    <w:p>
      <w:pPr>
        <w:pStyle w:val="3"/>
        <w:ind w:left="0" w:leftChars="0" w:firstLine="0" w:firstLineChars="0"/>
        <w:rPr>
          <w:rFonts w:ascii="宋体" w:hAnsi="宋体"/>
          <w:kern w:val="2"/>
          <w:sz w:val="24"/>
          <w:szCs w:val="24"/>
        </w:rPr>
      </w:pPr>
      <w:r>
        <w:rPr>
          <w:rFonts w:hint="eastAsia" w:ascii="宋体" w:hAnsi="宋体"/>
          <w:kern w:val="2"/>
          <w:sz w:val="24"/>
          <w:szCs w:val="24"/>
        </w:rPr>
        <w:t>注：以上地点有可能变动。如有变动，以招标人的最新通知为准。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315" w:name="_Toc16452"/>
      <w:bookmarkStart w:id="316" w:name="_Toc4807"/>
      <w:bookmarkStart w:id="317" w:name="_Toc22579"/>
      <w:bookmarkStart w:id="318" w:name="_Toc19801"/>
      <w:bookmarkStart w:id="319" w:name="_Toc7091"/>
      <w:bookmarkStart w:id="320" w:name="_Toc20343"/>
      <w:bookmarkStart w:id="321" w:name="_Toc1778"/>
      <w:bookmarkStart w:id="322" w:name="_Toc25644"/>
      <w:bookmarkStart w:id="323" w:name="_Toc57731958"/>
      <w:bookmarkStart w:id="324" w:name="_Toc14438"/>
      <w:bookmarkStart w:id="325" w:name="_Toc22464"/>
      <w:bookmarkStart w:id="326" w:name="_Toc10614"/>
      <w:bookmarkStart w:id="327" w:name="_Toc246"/>
      <w:bookmarkStart w:id="328" w:name="_Toc3997"/>
      <w:bookmarkStart w:id="329" w:name="_Toc19829"/>
      <w:bookmarkStart w:id="330" w:name="_Toc30492"/>
      <w:bookmarkStart w:id="331" w:name="_Toc10474"/>
      <w:bookmarkStart w:id="332" w:name="_Toc12497"/>
      <w:bookmarkStart w:id="333" w:name="_Toc15861"/>
      <w:bookmarkStart w:id="334" w:name="_Toc10219"/>
      <w:bookmarkStart w:id="335" w:name="_Toc28158"/>
      <w:bookmarkStart w:id="336" w:name="_Toc518494123"/>
      <w:bookmarkStart w:id="337" w:name="_Toc9773"/>
      <w:bookmarkStart w:id="338" w:name="_Toc654"/>
      <w:bookmarkStart w:id="339" w:name="_Toc1444"/>
      <w:bookmarkStart w:id="340" w:name="_Toc23824"/>
      <w:bookmarkStart w:id="341" w:name="_Toc3209"/>
      <w:bookmarkStart w:id="342" w:name="_Toc18153"/>
      <w:bookmarkStart w:id="343" w:name="_Toc24057"/>
      <w:bookmarkStart w:id="344" w:name="_Toc30436"/>
      <w:bookmarkStart w:id="345" w:name="_Toc30623"/>
      <w:bookmarkStart w:id="346" w:name="_Toc6841"/>
      <w:bookmarkStart w:id="347" w:name="_Toc16563"/>
      <w:bookmarkStart w:id="348" w:name="_Toc17565"/>
      <w:bookmarkStart w:id="349" w:name="_Toc12556"/>
      <w:r>
        <w:rPr>
          <w:rFonts w:hint="eastAsia" w:ascii="宋体" w:hAnsi="宋体"/>
          <w:b/>
          <w:kern w:val="0"/>
          <w:sz w:val="24"/>
          <w:szCs w:val="24"/>
          <w:lang w:val="en-US" w:eastAsia="zh-CN"/>
        </w:rPr>
        <w:t>六</w:t>
      </w:r>
      <w:r>
        <w:rPr>
          <w:rFonts w:hint="eastAsia" w:ascii="宋体" w:hAnsi="宋体"/>
          <w:b/>
          <w:kern w:val="0"/>
          <w:sz w:val="24"/>
          <w:szCs w:val="24"/>
        </w:rPr>
        <w:t>、投标费用</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3"/>
        <w:ind w:left="0" w:leftChars="0" w:firstLine="480" w:firstLineChars="200"/>
        <w:rPr>
          <w:rFonts w:ascii="宋体" w:hAnsi="宋体"/>
          <w:sz w:val="24"/>
          <w:szCs w:val="24"/>
        </w:rPr>
      </w:pPr>
      <w:r>
        <w:rPr>
          <w:rFonts w:hint="eastAsia" w:ascii="宋体" w:hAnsi="宋体"/>
          <w:sz w:val="24"/>
          <w:szCs w:val="24"/>
        </w:rPr>
        <w:t>投标人应承担所有与准备和参加招标有关的费用。无论招标的结果如何，投标人均自行承担因参加投标而发生的一切费用。</w:t>
      </w:r>
    </w:p>
    <w:p>
      <w:bookmarkStart w:id="350" w:name="_Toc57731960"/>
    </w:p>
    <w:p>
      <w:pPr>
        <w:pStyle w:val="6"/>
        <w:spacing w:after="0" w:line="360" w:lineRule="auto"/>
        <w:rPr>
          <w:szCs w:val="28"/>
        </w:rPr>
      </w:pPr>
      <w:bookmarkStart w:id="351" w:name="_Toc31520"/>
      <w:bookmarkStart w:id="352" w:name="_Toc17183"/>
      <w:bookmarkStart w:id="353" w:name="_Toc2185"/>
      <w:bookmarkStart w:id="354" w:name="_Toc21486"/>
      <w:bookmarkStart w:id="355" w:name="_Toc15048"/>
      <w:bookmarkStart w:id="356" w:name="_Toc25055"/>
      <w:bookmarkStart w:id="357" w:name="_Toc21034"/>
      <w:bookmarkStart w:id="358" w:name="_Toc5980"/>
      <w:bookmarkStart w:id="359" w:name="_Toc20790"/>
      <w:bookmarkStart w:id="360" w:name="_Toc15506"/>
      <w:bookmarkStart w:id="361" w:name="_Toc16378"/>
      <w:bookmarkStart w:id="362" w:name="_Toc15638"/>
      <w:bookmarkStart w:id="363" w:name="_Toc4449"/>
      <w:bookmarkStart w:id="364" w:name="_Toc6816"/>
      <w:bookmarkStart w:id="365" w:name="_Toc22177"/>
      <w:bookmarkStart w:id="366" w:name="_Toc21078"/>
      <w:bookmarkStart w:id="367" w:name="_Toc23995"/>
      <w:bookmarkStart w:id="368" w:name="_Toc15803"/>
      <w:bookmarkStart w:id="369" w:name="_Toc86"/>
      <w:bookmarkStart w:id="370" w:name="_Toc28345"/>
      <w:bookmarkStart w:id="371" w:name="_Toc11471"/>
      <w:bookmarkStart w:id="372" w:name="_Toc4532"/>
      <w:bookmarkStart w:id="373" w:name="_Toc24309"/>
      <w:bookmarkStart w:id="374" w:name="_Toc21282"/>
      <w:bookmarkStart w:id="375" w:name="_Toc11296"/>
      <w:bookmarkStart w:id="376" w:name="_Toc7219"/>
      <w:bookmarkStart w:id="377" w:name="_Toc26478"/>
      <w:bookmarkStart w:id="378" w:name="_Toc13299"/>
      <w:bookmarkStart w:id="379" w:name="_Toc21367"/>
      <w:bookmarkStart w:id="380" w:name="_Toc28556"/>
      <w:bookmarkStart w:id="381" w:name="_Toc17038"/>
      <w:bookmarkStart w:id="382" w:name="_Toc10946"/>
      <w:bookmarkStart w:id="383" w:name="_Toc14133"/>
      <w:r>
        <w:rPr>
          <w:rFonts w:hint="eastAsia" w:ascii="宋体" w:hAnsi="宋体" w:eastAsia="宋体"/>
          <w:b/>
          <w:szCs w:val="28"/>
        </w:rPr>
        <w:t>第二章  招标文件</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384" w:name="_Toc23170"/>
      <w:bookmarkStart w:id="385" w:name="_Toc9461"/>
      <w:bookmarkStart w:id="386" w:name="_Toc26962"/>
      <w:bookmarkStart w:id="387" w:name="_Toc14233"/>
      <w:bookmarkStart w:id="388" w:name="_Toc5685"/>
      <w:bookmarkStart w:id="389" w:name="_Toc2288"/>
      <w:bookmarkStart w:id="390" w:name="_Toc13056"/>
      <w:bookmarkStart w:id="391" w:name="_Toc30780"/>
      <w:bookmarkStart w:id="392" w:name="_Toc32033"/>
      <w:bookmarkStart w:id="393" w:name="_Toc16119"/>
      <w:bookmarkStart w:id="394" w:name="_Toc30765"/>
      <w:bookmarkStart w:id="395" w:name="_Toc31355"/>
      <w:bookmarkStart w:id="396" w:name="_Toc57731961"/>
      <w:bookmarkStart w:id="397" w:name="_Toc16832"/>
      <w:bookmarkStart w:id="398" w:name="_Toc27932"/>
      <w:bookmarkStart w:id="399" w:name="_Toc7847"/>
      <w:bookmarkStart w:id="400" w:name="_Toc518494126"/>
      <w:bookmarkStart w:id="401" w:name="_Toc20143"/>
      <w:bookmarkStart w:id="402" w:name="_Toc15045"/>
      <w:bookmarkStart w:id="403" w:name="_Toc7459"/>
      <w:bookmarkStart w:id="404" w:name="_Toc6489"/>
      <w:bookmarkStart w:id="405" w:name="_Toc17907"/>
      <w:bookmarkStart w:id="406" w:name="_Toc3352"/>
      <w:bookmarkStart w:id="407" w:name="_Toc2618"/>
      <w:bookmarkStart w:id="408" w:name="_Toc19279"/>
      <w:bookmarkStart w:id="409" w:name="_Toc14961"/>
      <w:bookmarkStart w:id="410" w:name="_Toc17626"/>
      <w:bookmarkStart w:id="411" w:name="_Toc10182"/>
      <w:bookmarkStart w:id="412" w:name="_Toc29230"/>
      <w:bookmarkStart w:id="413" w:name="_Toc3501"/>
      <w:bookmarkStart w:id="414" w:name="_Toc12940"/>
      <w:bookmarkStart w:id="415" w:name="_Toc22662"/>
      <w:bookmarkStart w:id="416" w:name="_Toc14913"/>
      <w:bookmarkStart w:id="417" w:name="_Toc2677"/>
      <w:bookmarkStart w:id="418" w:name="_Toc21913"/>
      <w:r>
        <w:rPr>
          <w:rFonts w:hint="eastAsia" w:ascii="宋体" w:hAnsi="宋体"/>
          <w:b/>
          <w:kern w:val="0"/>
          <w:sz w:val="24"/>
          <w:szCs w:val="24"/>
        </w:rPr>
        <w:t>一、招标文件的构成</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3"/>
        <w:tabs>
          <w:tab w:val="left" w:pos="1050"/>
        </w:tabs>
        <w:ind w:left="0" w:leftChars="0" w:firstLine="480" w:firstLineChars="200"/>
        <w:rPr>
          <w:rFonts w:ascii="宋体" w:hAnsi="宋体"/>
          <w:sz w:val="24"/>
        </w:rPr>
      </w:pPr>
      <w:r>
        <w:rPr>
          <w:rFonts w:hint="eastAsia" w:ascii="宋体" w:hAnsi="宋体"/>
          <w:sz w:val="24"/>
        </w:rPr>
        <w:t>招标文件用以阐明所需投标须知、评标程序、</w:t>
      </w:r>
      <w:r>
        <w:rPr>
          <w:rFonts w:hint="eastAsia" w:ascii="宋体" w:hAnsi="宋体" w:cs="仿宋_GB2312"/>
          <w:b/>
          <w:bCs/>
          <w:sz w:val="24"/>
          <w:szCs w:val="24"/>
          <w:u w:val="single"/>
        </w:rPr>
        <w:t>本项目</w:t>
      </w:r>
      <w:r>
        <w:rPr>
          <w:rFonts w:hint="eastAsia" w:ascii="宋体" w:hAnsi="宋体"/>
          <w:sz w:val="24"/>
        </w:rPr>
        <w:t>工作任务及要求、合同条款等，招标文件由下述部分组成：</w:t>
      </w:r>
    </w:p>
    <w:p>
      <w:pPr>
        <w:pStyle w:val="3"/>
        <w:tabs>
          <w:tab w:val="left" w:pos="1050"/>
        </w:tabs>
        <w:ind w:left="0" w:leftChars="0" w:firstLine="480" w:firstLineChars="200"/>
        <w:rPr>
          <w:rFonts w:ascii="宋体" w:hAnsi="宋体"/>
          <w:sz w:val="24"/>
        </w:rPr>
      </w:pPr>
      <w:r>
        <w:rPr>
          <w:rFonts w:hint="eastAsia" w:ascii="宋体" w:hAnsi="宋体"/>
          <w:sz w:val="24"/>
        </w:rPr>
        <w:t>致投标人</w:t>
      </w:r>
    </w:p>
    <w:p>
      <w:pPr>
        <w:pStyle w:val="3"/>
        <w:ind w:left="0" w:leftChars="0" w:firstLine="480" w:firstLineChars="200"/>
        <w:rPr>
          <w:rFonts w:ascii="宋体" w:hAnsi="宋体"/>
          <w:sz w:val="24"/>
        </w:rPr>
      </w:pPr>
      <w:r>
        <w:rPr>
          <w:rFonts w:hint="eastAsia" w:ascii="宋体" w:hAnsi="宋体"/>
          <w:sz w:val="24"/>
        </w:rPr>
        <w:t>投标文件无效和废标的情形摘要</w:t>
      </w:r>
    </w:p>
    <w:p>
      <w:pPr>
        <w:pStyle w:val="3"/>
        <w:numPr>
          <w:ilvl w:val="0"/>
          <w:numId w:val="3"/>
        </w:numPr>
        <w:ind w:leftChars="0" w:firstLineChars="0"/>
        <w:rPr>
          <w:rFonts w:ascii="宋体" w:hAnsi="宋体"/>
          <w:sz w:val="24"/>
        </w:rPr>
      </w:pPr>
      <w:r>
        <w:rPr>
          <w:rFonts w:hint="eastAsia" w:ascii="宋体" w:hAnsi="宋体"/>
          <w:sz w:val="24"/>
        </w:rPr>
        <w:t>投标须知</w:t>
      </w:r>
    </w:p>
    <w:p>
      <w:pPr>
        <w:pStyle w:val="3"/>
        <w:numPr>
          <w:ilvl w:val="0"/>
          <w:numId w:val="3"/>
        </w:numPr>
        <w:ind w:leftChars="0" w:firstLineChars="0"/>
        <w:rPr>
          <w:rFonts w:ascii="宋体" w:hAnsi="宋体"/>
          <w:sz w:val="24"/>
        </w:rPr>
      </w:pPr>
      <w:r>
        <w:rPr>
          <w:rFonts w:hint="eastAsia" w:ascii="宋体" w:hAnsi="宋体"/>
          <w:sz w:val="24"/>
        </w:rPr>
        <w:t>投标文件格式</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19" w:name="_Toc26574"/>
      <w:bookmarkStart w:id="420" w:name="_Toc17557"/>
      <w:bookmarkStart w:id="421" w:name="_Toc25806"/>
      <w:bookmarkStart w:id="422" w:name="_Toc12405"/>
      <w:bookmarkStart w:id="423" w:name="_Toc10207"/>
      <w:bookmarkStart w:id="424" w:name="_Toc9963"/>
      <w:bookmarkStart w:id="425" w:name="_Toc197404903"/>
      <w:bookmarkStart w:id="426" w:name="_Toc6511"/>
      <w:bookmarkStart w:id="427" w:name="_Toc518494127"/>
      <w:bookmarkStart w:id="428" w:name="_Toc14589"/>
      <w:bookmarkStart w:id="429" w:name="_Toc19457"/>
      <w:bookmarkStart w:id="430" w:name="_Toc8428"/>
      <w:bookmarkStart w:id="431" w:name="_Toc14284"/>
      <w:bookmarkStart w:id="432" w:name="_Toc335"/>
      <w:bookmarkStart w:id="433" w:name="_Toc7567"/>
      <w:bookmarkStart w:id="434" w:name="_Toc2686"/>
      <w:bookmarkStart w:id="435" w:name="_Toc450"/>
      <w:bookmarkStart w:id="436" w:name="_Toc7879"/>
      <w:bookmarkStart w:id="437" w:name="_Toc26923"/>
      <w:bookmarkStart w:id="438" w:name="_Toc17580"/>
      <w:bookmarkStart w:id="439" w:name="_Toc12812"/>
      <w:bookmarkStart w:id="440" w:name="_Toc57731962"/>
      <w:bookmarkStart w:id="441" w:name="_Toc15143"/>
      <w:bookmarkStart w:id="442" w:name="_Toc15931"/>
      <w:bookmarkStart w:id="443" w:name="_Toc16979"/>
      <w:bookmarkStart w:id="444" w:name="_Toc3078"/>
      <w:bookmarkStart w:id="445" w:name="_Toc527"/>
      <w:bookmarkStart w:id="446" w:name="_Toc17538"/>
      <w:bookmarkStart w:id="447" w:name="_Toc1536"/>
      <w:bookmarkStart w:id="448" w:name="_Toc14053"/>
      <w:bookmarkStart w:id="449" w:name="_Toc29373"/>
      <w:bookmarkStart w:id="450" w:name="_Toc17591"/>
      <w:bookmarkStart w:id="451" w:name="_Toc7248"/>
      <w:bookmarkStart w:id="452" w:name="_Toc10603"/>
      <w:bookmarkStart w:id="453" w:name="_Toc9579"/>
      <w:bookmarkStart w:id="454" w:name="_Toc25861"/>
      <w:r>
        <w:rPr>
          <w:rFonts w:hint="eastAsia" w:ascii="宋体" w:hAnsi="宋体"/>
          <w:b/>
          <w:kern w:val="0"/>
          <w:sz w:val="24"/>
          <w:szCs w:val="24"/>
        </w:rPr>
        <w:t>二、招标文件的补遗、澄清、修改</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spacing w:line="360" w:lineRule="auto"/>
        <w:ind w:firstLine="480" w:firstLineChars="200"/>
        <w:rPr>
          <w:rFonts w:ascii="宋体" w:hAnsi="宋体"/>
          <w:sz w:val="24"/>
          <w:szCs w:val="24"/>
        </w:rPr>
      </w:pPr>
      <w:r>
        <w:rPr>
          <w:rFonts w:hint="eastAsia" w:ascii="宋体" w:hAnsi="宋体"/>
          <w:sz w:val="24"/>
          <w:szCs w:val="24"/>
        </w:rPr>
        <w:t>1、投标</w:t>
      </w:r>
      <w:r>
        <w:rPr>
          <w:rFonts w:ascii="宋体" w:hAnsi="宋体"/>
          <w:sz w:val="24"/>
          <w:szCs w:val="24"/>
        </w:rPr>
        <w:t>人若对</w:t>
      </w:r>
      <w:r>
        <w:rPr>
          <w:rFonts w:hint="eastAsia" w:ascii="宋体" w:hAnsi="宋体"/>
          <w:sz w:val="24"/>
          <w:szCs w:val="24"/>
        </w:rPr>
        <w:t>招标</w:t>
      </w:r>
      <w:r>
        <w:rPr>
          <w:rFonts w:ascii="宋体" w:hAnsi="宋体"/>
          <w:sz w:val="24"/>
          <w:szCs w:val="24"/>
        </w:rPr>
        <w:t>文件有疑问，需要</w:t>
      </w:r>
      <w:r>
        <w:rPr>
          <w:rFonts w:hint="eastAsia" w:ascii="宋体" w:hAnsi="宋体"/>
          <w:sz w:val="24"/>
          <w:szCs w:val="24"/>
        </w:rPr>
        <w:t>招标</w:t>
      </w:r>
      <w:r>
        <w:rPr>
          <w:rFonts w:ascii="宋体" w:hAnsi="宋体"/>
          <w:sz w:val="24"/>
          <w:szCs w:val="24"/>
        </w:rPr>
        <w:t>人予以澄清，</w:t>
      </w:r>
      <w:r>
        <w:rPr>
          <w:rFonts w:hint="eastAsia" w:ascii="宋体" w:hAnsi="宋体"/>
          <w:kern w:val="0"/>
          <w:sz w:val="24"/>
          <w:szCs w:val="24"/>
        </w:rPr>
        <w:t>应于</w:t>
      </w:r>
      <w:r>
        <w:rPr>
          <w:rFonts w:hint="eastAsia" w:ascii="宋体" w:hAnsi="宋体"/>
          <w:b/>
          <w:kern w:val="0"/>
          <w:sz w:val="24"/>
          <w:szCs w:val="24"/>
          <w:u w:val="single"/>
        </w:rPr>
        <w:t>投标截止日</w:t>
      </w:r>
      <w:r>
        <w:rPr>
          <w:rFonts w:ascii="宋体" w:hAnsi="宋体"/>
          <w:b/>
          <w:sz w:val="24"/>
          <w:szCs w:val="24"/>
          <w:u w:val="single"/>
        </w:rPr>
        <w:t>5</w:t>
      </w:r>
      <w:r>
        <w:rPr>
          <w:rFonts w:hint="eastAsia" w:ascii="宋体" w:hAnsi="宋体"/>
          <w:b/>
          <w:sz w:val="24"/>
          <w:szCs w:val="24"/>
          <w:u w:val="single"/>
        </w:rPr>
        <w:t>日前</w:t>
      </w:r>
      <w:r>
        <w:rPr>
          <w:rFonts w:ascii="宋体" w:hAnsi="宋体"/>
          <w:sz w:val="24"/>
          <w:szCs w:val="24"/>
        </w:rPr>
        <w:t>以书面形式向</w:t>
      </w:r>
      <w:r>
        <w:rPr>
          <w:rFonts w:hint="eastAsia" w:ascii="宋体" w:hAnsi="宋体"/>
          <w:sz w:val="24"/>
          <w:szCs w:val="24"/>
        </w:rPr>
        <w:t>招标</w:t>
      </w:r>
      <w:r>
        <w:rPr>
          <w:rFonts w:ascii="宋体" w:hAnsi="宋体"/>
          <w:sz w:val="24"/>
          <w:szCs w:val="24"/>
        </w:rPr>
        <w:t>人提出，送至</w:t>
      </w:r>
      <w:r>
        <w:rPr>
          <w:rFonts w:hint="eastAsia" w:ascii="宋体" w:hAnsi="宋体"/>
          <w:sz w:val="24"/>
          <w:szCs w:val="24"/>
        </w:rPr>
        <w:t>招标</w:t>
      </w:r>
      <w:r>
        <w:rPr>
          <w:rFonts w:ascii="宋体" w:hAnsi="宋体"/>
          <w:sz w:val="24"/>
          <w:szCs w:val="24"/>
        </w:rPr>
        <w:t>文件</w:t>
      </w:r>
      <w:r>
        <w:rPr>
          <w:rFonts w:hint="eastAsia" w:ascii="宋体" w:hAnsi="宋体"/>
          <w:sz w:val="24"/>
          <w:szCs w:val="24"/>
        </w:rPr>
        <w:t>“致投标人”</w:t>
      </w:r>
      <w:r>
        <w:rPr>
          <w:rFonts w:ascii="宋体" w:hAnsi="宋体"/>
          <w:sz w:val="24"/>
          <w:szCs w:val="24"/>
        </w:rPr>
        <w:t>中写明的</w:t>
      </w:r>
      <w:r>
        <w:rPr>
          <w:rFonts w:hint="eastAsia" w:ascii="宋体" w:hAnsi="宋体"/>
          <w:sz w:val="24"/>
          <w:szCs w:val="24"/>
        </w:rPr>
        <w:t>招标</w:t>
      </w:r>
      <w:r>
        <w:rPr>
          <w:rFonts w:ascii="宋体" w:hAnsi="宋体"/>
          <w:sz w:val="24"/>
          <w:szCs w:val="24"/>
        </w:rPr>
        <w:t>人地址。不论是</w:t>
      </w:r>
      <w:r>
        <w:rPr>
          <w:rFonts w:hint="eastAsia" w:ascii="宋体" w:hAnsi="宋体"/>
          <w:sz w:val="24"/>
          <w:szCs w:val="24"/>
        </w:rPr>
        <w:t>招标</w:t>
      </w:r>
      <w:r>
        <w:rPr>
          <w:rFonts w:ascii="宋体" w:hAnsi="宋体"/>
          <w:sz w:val="24"/>
          <w:szCs w:val="24"/>
        </w:rPr>
        <w:t>人根据需要主动对</w:t>
      </w:r>
      <w:r>
        <w:rPr>
          <w:rFonts w:hint="eastAsia" w:ascii="宋体" w:hAnsi="宋体"/>
          <w:sz w:val="24"/>
          <w:szCs w:val="24"/>
        </w:rPr>
        <w:t>招标</w:t>
      </w:r>
      <w:r>
        <w:rPr>
          <w:rFonts w:ascii="宋体" w:hAnsi="宋体"/>
          <w:sz w:val="24"/>
          <w:szCs w:val="24"/>
        </w:rPr>
        <w:t>文件进行必要的澄清或是根据</w:t>
      </w:r>
      <w:r>
        <w:rPr>
          <w:rFonts w:hint="eastAsia" w:ascii="宋体" w:hAnsi="宋体"/>
          <w:sz w:val="24"/>
          <w:szCs w:val="24"/>
        </w:rPr>
        <w:t>投标</w:t>
      </w:r>
      <w:r>
        <w:rPr>
          <w:rFonts w:ascii="宋体" w:hAnsi="宋体"/>
          <w:sz w:val="24"/>
          <w:szCs w:val="24"/>
        </w:rPr>
        <w:t>人的要求对</w:t>
      </w:r>
      <w:r>
        <w:rPr>
          <w:rFonts w:hint="eastAsia" w:ascii="宋体" w:hAnsi="宋体"/>
          <w:sz w:val="24"/>
          <w:szCs w:val="24"/>
        </w:rPr>
        <w:t>招标</w:t>
      </w:r>
      <w:r>
        <w:rPr>
          <w:rFonts w:ascii="宋体" w:hAnsi="宋体"/>
          <w:sz w:val="24"/>
          <w:szCs w:val="24"/>
        </w:rPr>
        <w:t>文件做出澄清，</w:t>
      </w:r>
      <w:r>
        <w:rPr>
          <w:rFonts w:hint="eastAsia" w:ascii="宋体" w:hAnsi="宋体"/>
          <w:sz w:val="24"/>
          <w:szCs w:val="24"/>
        </w:rPr>
        <w:t>招标</w:t>
      </w:r>
      <w:r>
        <w:rPr>
          <w:rFonts w:ascii="宋体" w:hAnsi="宋体"/>
          <w:sz w:val="24"/>
          <w:szCs w:val="24"/>
        </w:rPr>
        <w:t>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投标截止日3</w:t>
      </w:r>
      <w:r>
        <w:rPr>
          <w:rFonts w:ascii="宋体" w:hAnsi="宋体"/>
          <w:b/>
          <w:kern w:val="0"/>
          <w:sz w:val="24"/>
          <w:szCs w:val="24"/>
          <w:u w:val="single"/>
        </w:rPr>
        <w:t>日</w:t>
      </w:r>
      <w:r>
        <w:rPr>
          <w:rFonts w:hint="eastAsia" w:ascii="宋体" w:hAnsi="宋体"/>
          <w:b/>
          <w:kern w:val="0"/>
          <w:sz w:val="24"/>
          <w:szCs w:val="24"/>
          <w:u w:val="single"/>
        </w:rPr>
        <w:t>前</w:t>
      </w:r>
      <w:r>
        <w:rPr>
          <w:rFonts w:hint="eastAsia" w:ascii="宋体" w:hAnsi="宋体"/>
          <w:sz w:val="24"/>
          <w:szCs w:val="24"/>
        </w:rPr>
        <w:t>“</w:t>
      </w:r>
      <w:r>
        <w:rPr>
          <w:rFonts w:hint="eastAsia" w:ascii="宋体" w:hAnsi="宋体"/>
          <w:sz w:val="24"/>
          <w:szCs w:val="24"/>
          <w:lang w:val="en-US" w:eastAsia="zh-CN"/>
        </w:rPr>
        <w:t>深圳</w:t>
      </w:r>
      <w:r>
        <w:rPr>
          <w:rFonts w:hint="eastAsia" w:ascii="宋体" w:hAnsi="宋体"/>
          <w:sz w:val="24"/>
          <w:szCs w:val="24"/>
          <w:lang w:eastAsia="zh-CN"/>
        </w:rPr>
        <w:t>地铁官网</w:t>
      </w:r>
      <w:r>
        <w:rPr>
          <w:rFonts w:ascii="宋体" w:hAnsi="宋体"/>
          <w:sz w:val="24"/>
          <w:szCs w:val="24"/>
        </w:rPr>
        <w:t>”、</w:t>
      </w:r>
      <w:r>
        <w:rPr>
          <w:rFonts w:hint="eastAsia" w:ascii="宋体" w:hAnsi="宋体"/>
          <w:sz w:val="24"/>
          <w:szCs w:val="24"/>
        </w:rPr>
        <w:t>“</w:t>
      </w:r>
      <w:r>
        <w:rPr>
          <w:rFonts w:ascii="宋体" w:hAnsi="宋体"/>
          <w:sz w:val="24"/>
          <w:szCs w:val="24"/>
        </w:rPr>
        <w:t>国资委阳光采购平台”、</w:t>
      </w:r>
      <w:r>
        <w:rPr>
          <w:rFonts w:hint="eastAsia" w:ascii="宋体" w:hAnsi="宋体"/>
          <w:sz w:val="24"/>
          <w:szCs w:val="24"/>
        </w:rPr>
        <w:t>“深铁置业微信订阅号</w:t>
      </w:r>
      <w:r>
        <w:rPr>
          <w:rFonts w:ascii="宋体" w:hAnsi="宋体"/>
          <w:sz w:val="24"/>
          <w:szCs w:val="24"/>
        </w:rPr>
        <w:t>”向所有</w:t>
      </w:r>
      <w:r>
        <w:rPr>
          <w:rFonts w:hint="eastAsia" w:ascii="宋体" w:hAnsi="宋体"/>
          <w:sz w:val="24"/>
          <w:szCs w:val="24"/>
        </w:rPr>
        <w:t>投标</w:t>
      </w:r>
      <w:r>
        <w:rPr>
          <w:rFonts w:ascii="宋体" w:hAnsi="宋体"/>
          <w:sz w:val="24"/>
          <w:szCs w:val="24"/>
        </w:rPr>
        <w:t>人公示。</w:t>
      </w:r>
      <w:r>
        <w:rPr>
          <w:rFonts w:hint="eastAsia" w:ascii="宋体" w:hAnsi="宋体"/>
          <w:sz w:val="24"/>
          <w:szCs w:val="24"/>
        </w:rPr>
        <w:t>投标</w:t>
      </w:r>
      <w:r>
        <w:rPr>
          <w:rFonts w:ascii="宋体" w:hAnsi="宋体"/>
          <w:sz w:val="24"/>
          <w:szCs w:val="24"/>
        </w:rPr>
        <w:t>人应随时查看</w:t>
      </w:r>
      <w:r>
        <w:rPr>
          <w:rFonts w:hint="eastAsia" w:ascii="宋体" w:hAnsi="宋体"/>
          <w:sz w:val="24"/>
          <w:szCs w:val="24"/>
        </w:rPr>
        <w:t>“</w:t>
      </w:r>
      <w:r>
        <w:rPr>
          <w:rFonts w:hint="eastAsia" w:ascii="宋体" w:hAnsi="宋体"/>
          <w:sz w:val="24"/>
          <w:szCs w:val="24"/>
          <w:lang w:val="en-US" w:eastAsia="zh-CN"/>
        </w:rPr>
        <w:t>深圳</w:t>
      </w:r>
      <w:r>
        <w:rPr>
          <w:rFonts w:hint="eastAsia" w:ascii="宋体" w:hAnsi="宋体"/>
          <w:sz w:val="24"/>
          <w:szCs w:val="24"/>
          <w:lang w:eastAsia="zh-CN"/>
        </w:rPr>
        <w:t>地铁官网</w:t>
      </w:r>
      <w:r>
        <w:rPr>
          <w:rFonts w:ascii="宋体" w:hAnsi="宋体"/>
          <w:sz w:val="24"/>
          <w:szCs w:val="24"/>
        </w:rPr>
        <w:t>”、</w:t>
      </w:r>
      <w:r>
        <w:rPr>
          <w:rFonts w:hint="eastAsia" w:ascii="宋体" w:hAnsi="宋体"/>
          <w:sz w:val="24"/>
          <w:szCs w:val="24"/>
        </w:rPr>
        <w:t>“</w:t>
      </w:r>
      <w:r>
        <w:rPr>
          <w:rFonts w:ascii="宋体" w:hAnsi="宋体"/>
          <w:sz w:val="24"/>
          <w:szCs w:val="24"/>
        </w:rPr>
        <w:t>国资委阳光采购平台</w:t>
      </w:r>
      <w:r>
        <w:rPr>
          <w:rFonts w:hint="eastAsia" w:ascii="宋体" w:hAnsi="宋体"/>
          <w:sz w:val="24"/>
          <w:szCs w:val="24"/>
        </w:rPr>
        <w:t>”</w:t>
      </w:r>
      <w:r>
        <w:rPr>
          <w:rFonts w:ascii="宋体" w:hAnsi="宋体"/>
          <w:sz w:val="24"/>
          <w:szCs w:val="24"/>
        </w:rPr>
        <w:t>、</w:t>
      </w:r>
      <w:r>
        <w:rPr>
          <w:rFonts w:hint="eastAsia" w:ascii="宋体" w:hAnsi="宋体"/>
          <w:sz w:val="24"/>
          <w:szCs w:val="24"/>
        </w:rPr>
        <w:t>“深铁置业微信订阅号</w:t>
      </w:r>
      <w:r>
        <w:rPr>
          <w:rFonts w:ascii="宋体" w:hAnsi="宋体"/>
          <w:sz w:val="24"/>
          <w:szCs w:val="24"/>
        </w:rPr>
        <w:t>”</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w:t>
      </w:r>
      <w:r>
        <w:rPr>
          <w:rFonts w:hint="eastAsia" w:ascii="宋体" w:hAnsi="宋体"/>
          <w:sz w:val="24"/>
          <w:szCs w:val="24"/>
        </w:rPr>
        <w:t>投标</w:t>
      </w:r>
      <w:r>
        <w:rPr>
          <w:rFonts w:ascii="宋体" w:hAnsi="宋体"/>
          <w:sz w:val="24"/>
          <w:szCs w:val="24"/>
        </w:rPr>
        <w:t>人自负。</w:t>
      </w:r>
      <w:r>
        <w:rPr>
          <w:rFonts w:hint="eastAsia" w:ascii="宋体" w:hAnsi="宋体"/>
          <w:sz w:val="24"/>
          <w:szCs w:val="24"/>
        </w:rPr>
        <w:t>招标</w:t>
      </w:r>
      <w:r>
        <w:rPr>
          <w:rFonts w:ascii="宋体" w:hAnsi="宋体"/>
          <w:sz w:val="24"/>
          <w:szCs w:val="24"/>
        </w:rPr>
        <w:t>文件的</w:t>
      </w:r>
      <w:r>
        <w:rPr>
          <w:rFonts w:hint="eastAsia" w:ascii="宋体" w:hAnsi="宋体"/>
          <w:sz w:val="24"/>
          <w:szCs w:val="24"/>
        </w:rPr>
        <w:t>补遗</w:t>
      </w:r>
      <w:r>
        <w:rPr>
          <w:rFonts w:ascii="宋体" w:hAnsi="宋体"/>
          <w:sz w:val="24"/>
          <w:szCs w:val="24"/>
        </w:rPr>
        <w:t>作为</w:t>
      </w:r>
      <w:r>
        <w:rPr>
          <w:rFonts w:hint="eastAsia" w:ascii="宋体" w:hAnsi="宋体"/>
          <w:sz w:val="24"/>
          <w:szCs w:val="24"/>
        </w:rPr>
        <w:t>招标</w:t>
      </w:r>
      <w:r>
        <w:rPr>
          <w:rFonts w:ascii="宋体" w:hAnsi="宋体"/>
          <w:sz w:val="24"/>
          <w:szCs w:val="24"/>
        </w:rPr>
        <w:t>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招标人对在</w:t>
      </w:r>
      <w:r>
        <w:rPr>
          <w:rFonts w:hint="eastAsia" w:ascii="宋体" w:hAnsi="宋体"/>
          <w:b/>
          <w:kern w:val="0"/>
          <w:sz w:val="24"/>
          <w:szCs w:val="24"/>
          <w:u w:val="single"/>
        </w:rPr>
        <w:t>投标截止日</w:t>
      </w:r>
      <w:r>
        <w:rPr>
          <w:rFonts w:ascii="宋体" w:hAnsi="宋体"/>
          <w:b/>
          <w:sz w:val="24"/>
          <w:szCs w:val="24"/>
          <w:u w:val="single"/>
        </w:rPr>
        <w:t>5</w:t>
      </w:r>
      <w:r>
        <w:rPr>
          <w:rFonts w:hint="eastAsia" w:ascii="宋体" w:hAnsi="宋体"/>
          <w:b/>
          <w:sz w:val="24"/>
          <w:szCs w:val="24"/>
          <w:u w:val="single"/>
        </w:rPr>
        <w:t>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收到的以书面函件的方式要求澄清的问题，将视具体情况进行澄清，招标人的澄清将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sz w:val="24"/>
          <w:szCs w:val="24"/>
          <w:lang w:val="en-US" w:eastAsia="zh-CN"/>
        </w:rPr>
        <w:t>深圳</w:t>
      </w:r>
      <w:r>
        <w:rPr>
          <w:rFonts w:hint="eastAsia" w:ascii="宋体" w:hAnsi="宋体"/>
          <w:sz w:val="24"/>
          <w:szCs w:val="24"/>
          <w:lang w:eastAsia="zh-CN"/>
        </w:rPr>
        <w:t>地铁官网</w:t>
      </w:r>
      <w:r>
        <w:rPr>
          <w:rFonts w:ascii="宋体" w:hAnsi="宋体"/>
          <w:sz w:val="24"/>
          <w:szCs w:val="24"/>
        </w:rPr>
        <w:t>”、</w:t>
      </w:r>
      <w:r>
        <w:rPr>
          <w:rFonts w:hint="eastAsia" w:ascii="宋体" w:hAnsi="宋体"/>
          <w:sz w:val="24"/>
          <w:szCs w:val="24"/>
        </w:rPr>
        <w:t>“</w:t>
      </w:r>
      <w:r>
        <w:rPr>
          <w:rFonts w:ascii="宋体" w:hAnsi="宋体"/>
          <w:sz w:val="24"/>
          <w:szCs w:val="24"/>
        </w:rPr>
        <w:t>国资委阳光采购平台</w:t>
      </w:r>
      <w:r>
        <w:rPr>
          <w:rFonts w:hint="eastAsia" w:ascii="宋体" w:hAnsi="宋体"/>
          <w:sz w:val="24"/>
          <w:szCs w:val="24"/>
        </w:rPr>
        <w:t>”</w:t>
      </w:r>
      <w:r>
        <w:rPr>
          <w:rFonts w:ascii="宋体" w:hAnsi="宋体"/>
          <w:sz w:val="24"/>
          <w:szCs w:val="24"/>
        </w:rPr>
        <w:t>、</w:t>
      </w:r>
      <w:r>
        <w:rPr>
          <w:rFonts w:hint="eastAsia" w:ascii="宋体" w:hAnsi="宋体"/>
          <w:sz w:val="24"/>
          <w:szCs w:val="24"/>
        </w:rPr>
        <w:t>“深铁置业微信订阅号</w:t>
      </w:r>
      <w:r>
        <w:rPr>
          <w:rFonts w:ascii="宋体" w:hAnsi="宋体"/>
          <w:sz w:val="24"/>
          <w:szCs w:val="24"/>
        </w:rPr>
        <w:t>”向所有</w:t>
      </w:r>
      <w:r>
        <w:rPr>
          <w:rFonts w:hint="eastAsia" w:ascii="宋体" w:hAnsi="宋体"/>
          <w:sz w:val="24"/>
          <w:szCs w:val="24"/>
        </w:rPr>
        <w:t>投标</w:t>
      </w:r>
      <w:r>
        <w:rPr>
          <w:rFonts w:ascii="宋体" w:hAnsi="宋体"/>
          <w:sz w:val="24"/>
          <w:szCs w:val="24"/>
        </w:rPr>
        <w:t>人公示。</w:t>
      </w:r>
      <w:r>
        <w:rPr>
          <w:rFonts w:hint="eastAsia" w:ascii="宋体" w:hAnsi="宋体"/>
          <w:sz w:val="24"/>
        </w:rPr>
        <w:t>如招标人认为投标人所提出的问题已在招标文件中明确说明，或可以根据招标文件做出明确的推断，招标人将不再予以澄清。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招标</w:t>
      </w:r>
      <w:r>
        <w:rPr>
          <w:rFonts w:ascii="宋体" w:hAnsi="宋体"/>
          <w:sz w:val="24"/>
          <w:szCs w:val="24"/>
        </w:rPr>
        <w:t>文件发出后，在</w:t>
      </w:r>
      <w:r>
        <w:rPr>
          <w:rFonts w:hint="eastAsia" w:ascii="宋体" w:hAnsi="宋体"/>
          <w:b/>
          <w:kern w:val="0"/>
          <w:sz w:val="24"/>
          <w:szCs w:val="24"/>
          <w:u w:val="single"/>
        </w:rPr>
        <w:t>投标截止日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w:t>
      </w:r>
      <w:r>
        <w:rPr>
          <w:rFonts w:hint="eastAsia" w:ascii="宋体" w:hAnsi="宋体"/>
          <w:sz w:val="24"/>
          <w:szCs w:val="24"/>
        </w:rPr>
        <w:t>招标</w:t>
      </w:r>
      <w:r>
        <w:rPr>
          <w:rFonts w:ascii="宋体" w:hAnsi="宋体"/>
          <w:sz w:val="24"/>
          <w:szCs w:val="24"/>
        </w:rPr>
        <w:t>文件内容的，</w:t>
      </w:r>
      <w:r>
        <w:rPr>
          <w:rFonts w:hint="eastAsia" w:ascii="宋体" w:hAnsi="宋体"/>
          <w:sz w:val="24"/>
          <w:szCs w:val="24"/>
        </w:rPr>
        <w:t>招标</w:t>
      </w:r>
      <w:r>
        <w:rPr>
          <w:rFonts w:ascii="宋体" w:hAnsi="宋体"/>
          <w:sz w:val="24"/>
          <w:szCs w:val="24"/>
        </w:rPr>
        <w:t>人可主动或在解答</w:t>
      </w:r>
      <w:r>
        <w:rPr>
          <w:rFonts w:hint="eastAsia" w:ascii="宋体" w:hAnsi="宋体"/>
          <w:sz w:val="24"/>
          <w:szCs w:val="24"/>
        </w:rPr>
        <w:t>投标</w:t>
      </w:r>
      <w:r>
        <w:rPr>
          <w:rFonts w:ascii="宋体" w:hAnsi="宋体"/>
          <w:sz w:val="24"/>
          <w:szCs w:val="24"/>
        </w:rPr>
        <w:t>人提出的澄清问题时对</w:t>
      </w:r>
      <w:r>
        <w:rPr>
          <w:rFonts w:hint="eastAsia" w:ascii="宋体" w:hAnsi="宋体"/>
          <w:sz w:val="24"/>
          <w:szCs w:val="24"/>
        </w:rPr>
        <w:t>招标</w:t>
      </w:r>
      <w:r>
        <w:rPr>
          <w:rFonts w:ascii="宋体" w:hAnsi="宋体"/>
          <w:sz w:val="24"/>
          <w:szCs w:val="24"/>
        </w:rPr>
        <w:t>文件进行修改。</w:t>
      </w:r>
    </w:p>
    <w:p>
      <w:pPr>
        <w:spacing w:line="360" w:lineRule="auto"/>
        <w:rPr>
          <w:rFonts w:ascii="宋体" w:hAnsi="宋体"/>
          <w:sz w:val="28"/>
        </w:rPr>
      </w:pPr>
      <w:r>
        <w:rPr>
          <w:rFonts w:hint="eastAsia" w:ascii="宋体" w:hAnsi="宋体"/>
          <w:sz w:val="24"/>
          <w:szCs w:val="24"/>
        </w:rPr>
        <w:t xml:space="preserve">    4、招标</w:t>
      </w:r>
      <w:r>
        <w:rPr>
          <w:rFonts w:ascii="宋体" w:hAnsi="宋体"/>
          <w:sz w:val="24"/>
          <w:szCs w:val="24"/>
        </w:rPr>
        <w:t>文件、</w:t>
      </w:r>
      <w:r>
        <w:rPr>
          <w:rFonts w:hint="eastAsia" w:ascii="宋体" w:hAnsi="宋体"/>
          <w:sz w:val="24"/>
          <w:szCs w:val="24"/>
        </w:rPr>
        <w:t>招标</w:t>
      </w:r>
      <w:r>
        <w:rPr>
          <w:rFonts w:ascii="宋体" w:hAnsi="宋体"/>
          <w:sz w:val="24"/>
          <w:szCs w:val="24"/>
        </w:rPr>
        <w:t>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w:t>
      </w:r>
      <w:r>
        <w:rPr>
          <w:rFonts w:hint="eastAsia" w:ascii="宋体" w:hAnsi="宋体"/>
          <w:sz w:val="24"/>
          <w:szCs w:val="24"/>
        </w:rPr>
        <w:t>招标</w:t>
      </w:r>
      <w:r>
        <w:rPr>
          <w:rFonts w:ascii="宋体" w:hAnsi="宋体"/>
          <w:sz w:val="24"/>
          <w:szCs w:val="24"/>
        </w:rPr>
        <w:t>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w:t>
      </w:r>
      <w:r>
        <w:rPr>
          <w:rFonts w:hint="eastAsia" w:ascii="宋体" w:hAnsi="宋体"/>
          <w:sz w:val="24"/>
          <w:szCs w:val="24"/>
        </w:rPr>
        <w:t>投标</w:t>
      </w:r>
      <w:r>
        <w:rPr>
          <w:rFonts w:ascii="宋体" w:hAnsi="宋体"/>
          <w:sz w:val="24"/>
          <w:szCs w:val="24"/>
        </w:rPr>
        <w:t>人在编写</w:t>
      </w:r>
      <w:r>
        <w:rPr>
          <w:rFonts w:hint="eastAsia" w:ascii="宋体" w:hAnsi="宋体"/>
          <w:sz w:val="24"/>
          <w:szCs w:val="24"/>
        </w:rPr>
        <w:t>投标</w:t>
      </w:r>
      <w:r>
        <w:rPr>
          <w:rFonts w:ascii="宋体" w:hAnsi="宋体"/>
          <w:sz w:val="24"/>
          <w:szCs w:val="24"/>
        </w:rPr>
        <w:t>文件时有充分时间对</w:t>
      </w:r>
      <w:r>
        <w:rPr>
          <w:rFonts w:hint="eastAsia" w:ascii="宋体" w:hAnsi="宋体"/>
          <w:sz w:val="24"/>
          <w:szCs w:val="24"/>
        </w:rPr>
        <w:t>招标</w:t>
      </w:r>
      <w:r>
        <w:rPr>
          <w:rFonts w:ascii="宋体" w:hAnsi="宋体"/>
          <w:sz w:val="24"/>
          <w:szCs w:val="24"/>
        </w:rPr>
        <w:t>文件的</w:t>
      </w:r>
      <w:r>
        <w:rPr>
          <w:rFonts w:hint="eastAsia" w:ascii="宋体" w:hAnsi="宋体"/>
          <w:sz w:val="24"/>
          <w:szCs w:val="24"/>
        </w:rPr>
        <w:t>补遗、</w:t>
      </w:r>
      <w:r>
        <w:rPr>
          <w:rFonts w:ascii="宋体" w:hAnsi="宋体"/>
          <w:sz w:val="24"/>
          <w:szCs w:val="24"/>
        </w:rPr>
        <w:t>修改（补充）部分进行研究，</w:t>
      </w:r>
      <w:r>
        <w:rPr>
          <w:rFonts w:hint="eastAsia" w:ascii="宋体" w:hAnsi="宋体"/>
          <w:sz w:val="24"/>
          <w:szCs w:val="24"/>
        </w:rPr>
        <w:t>招标</w:t>
      </w:r>
      <w:r>
        <w:rPr>
          <w:rFonts w:ascii="宋体" w:hAnsi="宋体"/>
          <w:sz w:val="24"/>
          <w:szCs w:val="24"/>
        </w:rPr>
        <w:t>人</w:t>
      </w:r>
      <w:r>
        <w:rPr>
          <w:rFonts w:hint="eastAsia" w:ascii="宋体" w:hAnsi="宋体"/>
          <w:sz w:val="24"/>
          <w:szCs w:val="24"/>
        </w:rPr>
        <w:t>有权</w:t>
      </w:r>
      <w:r>
        <w:rPr>
          <w:rFonts w:ascii="宋体" w:hAnsi="宋体"/>
          <w:sz w:val="24"/>
          <w:szCs w:val="24"/>
        </w:rPr>
        <w:t>适当延长递交</w:t>
      </w:r>
      <w:r>
        <w:rPr>
          <w:rFonts w:hint="eastAsia" w:ascii="宋体" w:hAnsi="宋体"/>
          <w:sz w:val="24"/>
          <w:szCs w:val="24"/>
        </w:rPr>
        <w:t>投标</w:t>
      </w:r>
      <w:r>
        <w:rPr>
          <w:rFonts w:ascii="宋体" w:hAnsi="宋体"/>
          <w:sz w:val="24"/>
          <w:szCs w:val="24"/>
        </w:rPr>
        <w:t>文件的截止日期。</w:t>
      </w:r>
    </w:p>
    <w:p>
      <w:pPr>
        <w:pStyle w:val="6"/>
        <w:spacing w:after="0" w:line="360" w:lineRule="auto"/>
        <w:rPr>
          <w:rFonts w:ascii="宋体" w:hAnsi="宋体" w:eastAsia="宋体"/>
          <w:b/>
          <w:szCs w:val="28"/>
        </w:rPr>
      </w:pPr>
      <w:bookmarkStart w:id="455" w:name="_Toc5559"/>
      <w:bookmarkStart w:id="456" w:name="_Toc5442"/>
      <w:bookmarkStart w:id="457" w:name="_Toc27442"/>
      <w:bookmarkStart w:id="458" w:name="_Toc10241"/>
      <w:bookmarkStart w:id="459" w:name="_Toc57731963"/>
      <w:bookmarkStart w:id="460" w:name="_Toc11518"/>
      <w:bookmarkStart w:id="461" w:name="_Toc14422"/>
      <w:bookmarkStart w:id="462" w:name="_Toc8782"/>
      <w:bookmarkStart w:id="463" w:name="_Toc27401"/>
      <w:bookmarkStart w:id="464" w:name="_Toc13499"/>
      <w:bookmarkStart w:id="465" w:name="_Toc13752"/>
      <w:bookmarkStart w:id="466" w:name="_Toc24694"/>
      <w:bookmarkStart w:id="467" w:name="_Toc30314"/>
      <w:bookmarkStart w:id="468" w:name="_Toc2439"/>
      <w:bookmarkStart w:id="469" w:name="_Toc4873"/>
      <w:bookmarkStart w:id="470" w:name="_Toc7822"/>
      <w:bookmarkStart w:id="471" w:name="_Toc8776"/>
      <w:bookmarkStart w:id="472" w:name="_Toc26512"/>
      <w:bookmarkStart w:id="473" w:name="_Toc4684"/>
      <w:bookmarkStart w:id="474" w:name="_Toc1086"/>
      <w:bookmarkStart w:id="475" w:name="_Toc7854"/>
      <w:bookmarkStart w:id="476" w:name="_Toc1361"/>
      <w:bookmarkStart w:id="477" w:name="_Toc1569"/>
      <w:bookmarkStart w:id="478" w:name="_Toc518494128"/>
      <w:bookmarkStart w:id="479" w:name="_Toc11478"/>
      <w:bookmarkStart w:id="480" w:name="_Toc20676"/>
      <w:bookmarkStart w:id="481" w:name="_Toc26520"/>
      <w:bookmarkStart w:id="482" w:name="_Toc21264"/>
      <w:bookmarkStart w:id="483" w:name="_Toc28624"/>
      <w:bookmarkStart w:id="484" w:name="_Toc30929"/>
      <w:bookmarkStart w:id="485" w:name="_Toc19588"/>
      <w:bookmarkStart w:id="486" w:name="_Toc28361"/>
      <w:bookmarkStart w:id="487" w:name="_Toc13453"/>
      <w:bookmarkStart w:id="488" w:name="_Toc1818"/>
      <w:bookmarkStart w:id="489" w:name="_Toc16234"/>
      <w:r>
        <w:rPr>
          <w:rFonts w:hint="eastAsia" w:ascii="宋体" w:hAnsi="宋体" w:eastAsia="宋体"/>
          <w:b/>
          <w:szCs w:val="28"/>
        </w:rPr>
        <w:t>第三章  投标文件的编写</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90" w:name="_Toc19954"/>
      <w:bookmarkStart w:id="491" w:name="_Toc7494"/>
      <w:bookmarkStart w:id="492" w:name="_Toc6283"/>
      <w:bookmarkStart w:id="493" w:name="_Toc12218"/>
      <w:bookmarkStart w:id="494" w:name="_Toc28301"/>
      <w:bookmarkStart w:id="495" w:name="_Toc22698"/>
      <w:bookmarkStart w:id="496" w:name="_Toc9329"/>
      <w:bookmarkStart w:id="497" w:name="_Toc6149"/>
      <w:bookmarkStart w:id="498" w:name="_Toc14140"/>
      <w:bookmarkStart w:id="499" w:name="_Toc518494129"/>
      <w:bookmarkStart w:id="500" w:name="_Toc5912"/>
      <w:bookmarkStart w:id="501" w:name="_Toc14524"/>
      <w:bookmarkStart w:id="502" w:name="_Toc27460"/>
      <w:bookmarkStart w:id="503" w:name="_Toc2731"/>
      <w:bookmarkStart w:id="504" w:name="_Toc19351"/>
      <w:bookmarkStart w:id="505" w:name="_Toc11814"/>
      <w:bookmarkStart w:id="506" w:name="_Toc254"/>
      <w:bookmarkStart w:id="507" w:name="_Toc13309"/>
      <w:bookmarkStart w:id="508" w:name="_Toc6451"/>
      <w:bookmarkStart w:id="509" w:name="_Toc3695"/>
      <w:bookmarkStart w:id="510" w:name="_Toc6148"/>
      <w:bookmarkStart w:id="511" w:name="_Toc21167"/>
      <w:bookmarkStart w:id="512" w:name="_Toc7374"/>
      <w:bookmarkStart w:id="513" w:name="_Toc22769"/>
      <w:bookmarkStart w:id="514" w:name="_Toc21256"/>
      <w:bookmarkStart w:id="515" w:name="_Toc12209"/>
      <w:bookmarkStart w:id="516" w:name="_Toc19119"/>
      <w:bookmarkStart w:id="517" w:name="_Toc5862"/>
      <w:bookmarkStart w:id="518" w:name="_Toc4736"/>
      <w:bookmarkStart w:id="519" w:name="_Toc11006"/>
      <w:bookmarkStart w:id="520" w:name="_Toc12134"/>
      <w:bookmarkStart w:id="521" w:name="_Toc197404905"/>
      <w:bookmarkStart w:id="522" w:name="_Toc57731964"/>
      <w:bookmarkStart w:id="523" w:name="_Toc24927"/>
      <w:bookmarkStart w:id="524" w:name="_Toc32290"/>
      <w:bookmarkStart w:id="525" w:name="_Toc31982"/>
      <w:r>
        <w:rPr>
          <w:rFonts w:hint="eastAsia" w:ascii="宋体" w:hAnsi="宋体"/>
          <w:b/>
          <w:kern w:val="0"/>
          <w:sz w:val="24"/>
          <w:szCs w:val="24"/>
        </w:rPr>
        <w:t>一、投标文件的组成及要求</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3"/>
        <w:tabs>
          <w:tab w:val="left" w:pos="945"/>
          <w:tab w:val="left" w:pos="1275"/>
        </w:tabs>
        <w:snapToGrid w:val="0"/>
        <w:ind w:left="0" w:leftChars="0" w:firstLine="480" w:firstLineChars="200"/>
        <w:jc w:val="left"/>
        <w:rPr>
          <w:rFonts w:ascii="宋体" w:hAnsi="宋体"/>
          <w:sz w:val="24"/>
        </w:rPr>
      </w:pPr>
      <w:r>
        <w:rPr>
          <w:rFonts w:hint="eastAsia" w:ascii="宋体" w:hAnsi="宋体"/>
          <w:sz w:val="24"/>
          <w:szCs w:val="21"/>
        </w:rPr>
        <w:t>投标人应仔细阅读招标文件的所有内容，按要求提供投标文件，并保证所提供的全部资料的真实性。</w:t>
      </w:r>
    </w:p>
    <w:p>
      <w:pPr>
        <w:pStyle w:val="3"/>
        <w:tabs>
          <w:tab w:val="left" w:pos="945"/>
          <w:tab w:val="left" w:pos="1275"/>
        </w:tabs>
        <w:snapToGrid w:val="0"/>
        <w:ind w:left="480" w:leftChars="0" w:firstLine="0" w:firstLineChars="0"/>
        <w:jc w:val="left"/>
        <w:rPr>
          <w:rFonts w:ascii="宋体" w:hAnsi="宋体"/>
          <w:sz w:val="24"/>
        </w:rPr>
      </w:pPr>
      <w:r>
        <w:rPr>
          <w:rFonts w:hint="eastAsia" w:ascii="宋体" w:hAnsi="宋体"/>
          <w:sz w:val="24"/>
        </w:rPr>
        <w:t>投标文件格式要求：投标文件采用中文编写，A4纸印刷并</w:t>
      </w:r>
      <w:r>
        <w:rPr>
          <w:rFonts w:hint="eastAsia" w:ascii="宋体" w:hAnsi="宋体"/>
          <w:sz w:val="24"/>
          <w:szCs w:val="21"/>
        </w:rPr>
        <w:t>装订成册</w:t>
      </w:r>
      <w:r>
        <w:rPr>
          <w:rFonts w:hint="eastAsia" w:ascii="宋体" w:hAnsi="宋体"/>
          <w:sz w:val="24"/>
        </w:rPr>
        <w:t>。</w:t>
      </w:r>
    </w:p>
    <w:p>
      <w:pPr>
        <w:pStyle w:val="3"/>
        <w:tabs>
          <w:tab w:val="left" w:pos="945"/>
          <w:tab w:val="left" w:pos="1275"/>
        </w:tabs>
        <w:snapToGrid w:val="0"/>
        <w:ind w:left="0" w:leftChars="0" w:firstLine="480" w:firstLineChars="200"/>
        <w:jc w:val="left"/>
        <w:rPr>
          <w:rFonts w:ascii="宋体" w:hAnsi="宋体"/>
          <w:sz w:val="24"/>
        </w:rPr>
      </w:pPr>
      <w:r>
        <w:rPr>
          <w:rFonts w:hint="eastAsia" w:ascii="宋体" w:hAnsi="宋体"/>
          <w:sz w:val="24"/>
        </w:rPr>
        <w:t>投标文件</w:t>
      </w:r>
      <w:r>
        <w:rPr>
          <w:rFonts w:hint="eastAsia" w:ascii="宋体" w:hAnsi="宋体"/>
          <w:sz w:val="24"/>
          <w:szCs w:val="21"/>
        </w:rPr>
        <w:t>按照“资格审查文件”、“综合评审文件”分别装订成两册，</w:t>
      </w:r>
      <w:r>
        <w:rPr>
          <w:rFonts w:ascii="宋体" w:hAnsi="宋体"/>
          <w:sz w:val="24"/>
          <w:szCs w:val="21"/>
        </w:rPr>
        <w:t>密封包装</w:t>
      </w:r>
      <w:r>
        <w:rPr>
          <w:rFonts w:hint="eastAsia" w:ascii="宋体" w:hAnsi="宋体"/>
          <w:sz w:val="24"/>
        </w:rPr>
        <w:t>。</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26" w:name="_Toc9977"/>
      <w:bookmarkStart w:id="527" w:name="_Toc7994"/>
      <w:bookmarkStart w:id="528" w:name="_Toc427"/>
      <w:bookmarkStart w:id="529" w:name="_Toc3130"/>
      <w:bookmarkStart w:id="530" w:name="_Toc2125"/>
      <w:bookmarkStart w:id="531" w:name="_Toc26437"/>
      <w:bookmarkStart w:id="532" w:name="_Toc29017"/>
      <w:bookmarkStart w:id="533" w:name="_Toc5198"/>
      <w:bookmarkStart w:id="534" w:name="_Toc20296"/>
      <w:bookmarkStart w:id="535" w:name="_Toc518494130"/>
      <w:bookmarkStart w:id="536" w:name="_Toc57731965"/>
      <w:bookmarkStart w:id="537" w:name="_Toc5734"/>
      <w:bookmarkStart w:id="538" w:name="_Toc22279"/>
      <w:bookmarkStart w:id="539" w:name="_Toc27026"/>
      <w:bookmarkStart w:id="540" w:name="_Toc10345"/>
      <w:bookmarkStart w:id="541" w:name="_Toc197404906"/>
      <w:bookmarkStart w:id="542" w:name="_Toc6590"/>
      <w:bookmarkStart w:id="543" w:name="_Toc3102"/>
      <w:bookmarkStart w:id="544" w:name="_Toc30831"/>
      <w:bookmarkStart w:id="545" w:name="_Toc3778"/>
      <w:bookmarkStart w:id="546" w:name="_Toc21811"/>
      <w:bookmarkStart w:id="547" w:name="_Toc32000"/>
      <w:bookmarkStart w:id="548" w:name="_Toc26468"/>
      <w:bookmarkStart w:id="549" w:name="_Toc23367"/>
      <w:bookmarkStart w:id="550" w:name="_Toc32230"/>
      <w:bookmarkStart w:id="551" w:name="_Toc4112"/>
      <w:bookmarkStart w:id="552" w:name="_Toc10230"/>
      <w:bookmarkStart w:id="553" w:name="_Toc30484"/>
      <w:bookmarkStart w:id="554" w:name="_Toc30563"/>
      <w:bookmarkStart w:id="555" w:name="_Toc30292"/>
      <w:bookmarkStart w:id="556" w:name="_Toc17676"/>
      <w:bookmarkStart w:id="557" w:name="_Toc18749"/>
      <w:bookmarkStart w:id="558" w:name="_Toc22252"/>
      <w:bookmarkStart w:id="559" w:name="_Toc28639"/>
      <w:bookmarkStart w:id="560" w:name="_Toc18886"/>
      <w:bookmarkStart w:id="561" w:name="_Toc27195"/>
      <w:r>
        <w:rPr>
          <w:rFonts w:hint="eastAsia" w:ascii="宋体" w:hAnsi="宋体"/>
          <w:b/>
          <w:kern w:val="0"/>
          <w:sz w:val="24"/>
          <w:szCs w:val="24"/>
        </w:rPr>
        <w:t>二、投标文件内容编写要求</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3"/>
        <w:snapToGrid w:val="0"/>
        <w:ind w:left="0" w:leftChars="0" w:firstLine="480" w:firstLineChars="200"/>
        <w:rPr>
          <w:rFonts w:ascii="宋体" w:hAnsi="宋体"/>
          <w:sz w:val="24"/>
          <w:szCs w:val="21"/>
        </w:rPr>
      </w:pPr>
      <w:r>
        <w:rPr>
          <w:rFonts w:hint="eastAsia" w:ascii="宋体" w:hAnsi="宋体"/>
          <w:sz w:val="24"/>
          <w:szCs w:val="24"/>
        </w:rPr>
        <w:t>（一）</w:t>
      </w:r>
      <w:r>
        <w:rPr>
          <w:rFonts w:hint="eastAsia" w:ascii="宋体" w:hAnsi="宋体"/>
          <w:sz w:val="24"/>
          <w:szCs w:val="21"/>
        </w:rPr>
        <w:t>“资格审查文件”的编写</w:t>
      </w:r>
    </w:p>
    <w:p>
      <w:pPr>
        <w:pStyle w:val="3"/>
        <w:snapToGrid w:val="0"/>
        <w:ind w:left="0" w:leftChars="0" w:firstLine="480" w:firstLineChars="200"/>
        <w:rPr>
          <w:rFonts w:ascii="宋体" w:hAnsi="宋体"/>
          <w:sz w:val="24"/>
          <w:lang w:val="zh-CN"/>
        </w:rPr>
      </w:pPr>
      <w:r>
        <w:rPr>
          <w:rFonts w:hint="eastAsia" w:ascii="宋体" w:hAnsi="宋体"/>
          <w:sz w:val="24"/>
          <w:szCs w:val="24"/>
          <w:lang w:val="zh-CN"/>
        </w:rPr>
        <w:t>1.投标</w:t>
      </w:r>
      <w:r>
        <w:rPr>
          <w:rFonts w:ascii="宋体" w:hAnsi="宋体"/>
          <w:sz w:val="24"/>
          <w:szCs w:val="24"/>
          <w:lang w:val="zh-CN"/>
        </w:rPr>
        <w:t>人应按照</w:t>
      </w:r>
      <w:r>
        <w:rPr>
          <w:rFonts w:hint="eastAsia" w:ascii="宋体" w:hAnsi="宋体"/>
          <w:sz w:val="24"/>
          <w:szCs w:val="24"/>
          <w:lang w:val="zh-CN"/>
        </w:rPr>
        <w:t>招标</w:t>
      </w:r>
      <w:r>
        <w:rPr>
          <w:rFonts w:ascii="宋体" w:hAnsi="宋体"/>
          <w:sz w:val="24"/>
          <w:szCs w:val="24"/>
          <w:lang w:val="zh-CN"/>
        </w:rPr>
        <w:t>文件第二篇“</w:t>
      </w:r>
      <w:r>
        <w:rPr>
          <w:rFonts w:hint="eastAsia" w:ascii="宋体" w:hAnsi="宋体"/>
          <w:sz w:val="24"/>
          <w:szCs w:val="24"/>
          <w:lang w:val="zh-CN"/>
        </w:rPr>
        <w:t>投标</w:t>
      </w:r>
      <w:r>
        <w:rPr>
          <w:rFonts w:ascii="宋体" w:hAnsi="宋体"/>
          <w:sz w:val="24"/>
          <w:szCs w:val="24"/>
          <w:lang w:val="zh-CN"/>
        </w:rPr>
        <w:t>文件格式”</w:t>
      </w:r>
      <w:r>
        <w:rPr>
          <w:rFonts w:hint="eastAsia" w:ascii="宋体" w:hAnsi="宋体"/>
          <w:color w:val="0D0D0D"/>
          <w:sz w:val="24"/>
          <w:szCs w:val="24"/>
        </w:rPr>
        <w:t>中</w:t>
      </w:r>
      <w:r>
        <w:rPr>
          <w:rFonts w:hint="eastAsia" w:ascii="宋体" w:hAnsi="宋体"/>
          <w:sz w:val="24"/>
          <w:szCs w:val="21"/>
        </w:rPr>
        <w:t>资格审查文件</w:t>
      </w:r>
      <w:r>
        <w:rPr>
          <w:rFonts w:hint="eastAsia" w:ascii="宋体" w:hAnsi="宋体"/>
          <w:color w:val="0D0D0D"/>
          <w:sz w:val="24"/>
          <w:szCs w:val="24"/>
        </w:rPr>
        <w:t>要求编写</w:t>
      </w:r>
      <w:r>
        <w:rPr>
          <w:rFonts w:ascii="宋体" w:hAnsi="宋体"/>
          <w:sz w:val="24"/>
          <w:lang w:val="zh-CN"/>
        </w:rPr>
        <w:t>。</w:t>
      </w:r>
      <w:r>
        <w:rPr>
          <w:rFonts w:hint="eastAsia" w:ascii="宋体" w:hAnsi="宋体"/>
          <w:sz w:val="24"/>
          <w:szCs w:val="21"/>
        </w:rPr>
        <w:t>资格审查文件</w:t>
      </w:r>
      <w:r>
        <w:rPr>
          <w:rFonts w:ascii="宋体" w:hAnsi="宋体"/>
          <w:sz w:val="24"/>
          <w:lang w:val="zh-CN"/>
        </w:rPr>
        <w:t>应包括以下几个主要内容：</w:t>
      </w:r>
    </w:p>
    <w:p>
      <w:pPr>
        <w:spacing w:line="360" w:lineRule="auto"/>
        <w:ind w:left="400"/>
        <w:rPr>
          <w:rFonts w:ascii="宋体" w:hAnsi="宋体"/>
          <w:kern w:val="0"/>
          <w:sz w:val="24"/>
          <w:szCs w:val="24"/>
          <w:lang w:val="zh-CN"/>
        </w:rPr>
      </w:pPr>
      <w:r>
        <w:rPr>
          <w:rFonts w:hint="eastAsia" w:ascii="宋体" w:hAnsi="宋体"/>
          <w:kern w:val="0"/>
          <w:sz w:val="24"/>
          <w:szCs w:val="24"/>
          <w:lang w:val="zh-CN"/>
        </w:rPr>
        <w:t>（1）法定代表人证明书（原件</w:t>
      </w:r>
      <w:r>
        <w:rPr>
          <w:rFonts w:ascii="宋体" w:hAnsi="宋体"/>
          <w:kern w:val="0"/>
          <w:sz w:val="24"/>
          <w:szCs w:val="24"/>
          <w:lang w:val="zh-CN"/>
        </w:rPr>
        <w:t>）</w:t>
      </w:r>
      <w:r>
        <w:rPr>
          <w:rFonts w:hint="eastAsia" w:ascii="宋体" w:hAnsi="宋体"/>
          <w:kern w:val="0"/>
          <w:sz w:val="24"/>
          <w:szCs w:val="24"/>
          <w:lang w:val="zh-CN"/>
        </w:rPr>
        <w:t>；</w:t>
      </w:r>
    </w:p>
    <w:p>
      <w:pPr>
        <w:spacing w:line="360" w:lineRule="auto"/>
        <w:ind w:left="400"/>
        <w:rPr>
          <w:rFonts w:ascii="宋体" w:hAnsi="宋体"/>
          <w:kern w:val="0"/>
          <w:sz w:val="24"/>
          <w:szCs w:val="24"/>
          <w:lang w:val="zh-CN"/>
        </w:rPr>
      </w:pPr>
      <w:r>
        <w:rPr>
          <w:rFonts w:hint="eastAsia" w:ascii="宋体" w:hAnsi="宋体"/>
          <w:kern w:val="0"/>
          <w:sz w:val="24"/>
          <w:szCs w:val="24"/>
          <w:lang w:val="zh-CN"/>
        </w:rPr>
        <w:t>（2）法定代表人身份证复印件（加盖公章）；</w:t>
      </w:r>
    </w:p>
    <w:p>
      <w:pPr>
        <w:spacing w:line="360" w:lineRule="auto"/>
        <w:ind w:left="400"/>
        <w:rPr>
          <w:rFonts w:ascii="宋体" w:hAnsi="宋体"/>
          <w:kern w:val="0"/>
          <w:sz w:val="24"/>
          <w:szCs w:val="24"/>
          <w:lang w:val="zh-CN"/>
        </w:rPr>
      </w:pPr>
      <w:r>
        <w:rPr>
          <w:rFonts w:hint="eastAsia" w:ascii="宋体" w:hAnsi="宋体"/>
          <w:kern w:val="0"/>
          <w:sz w:val="24"/>
          <w:szCs w:val="24"/>
          <w:lang w:val="zh-CN"/>
        </w:rPr>
        <w:t>（3）法人授权委托证明书（原件）；</w:t>
      </w:r>
    </w:p>
    <w:p>
      <w:pPr>
        <w:spacing w:line="360" w:lineRule="auto"/>
        <w:ind w:left="400"/>
        <w:rPr>
          <w:rFonts w:ascii="宋体" w:hAnsi="宋体"/>
          <w:kern w:val="0"/>
          <w:sz w:val="24"/>
          <w:szCs w:val="24"/>
          <w:lang w:val="zh-CN"/>
        </w:rPr>
      </w:pPr>
      <w:r>
        <w:rPr>
          <w:rFonts w:hint="eastAsia" w:ascii="宋体" w:hAnsi="宋体"/>
          <w:kern w:val="0"/>
          <w:sz w:val="24"/>
          <w:szCs w:val="24"/>
          <w:lang w:val="zh-CN"/>
        </w:rPr>
        <w:t>（4）委托代理人身份证复印件（加盖公章）；</w:t>
      </w:r>
    </w:p>
    <w:p>
      <w:pPr>
        <w:spacing w:line="360" w:lineRule="auto"/>
        <w:ind w:left="400"/>
        <w:rPr>
          <w:rFonts w:ascii="宋体" w:hAnsi="宋体"/>
          <w:kern w:val="0"/>
          <w:sz w:val="24"/>
          <w:szCs w:val="24"/>
          <w:lang w:val="zh-CN"/>
        </w:rPr>
      </w:pPr>
      <w:r>
        <w:rPr>
          <w:rFonts w:hint="eastAsia" w:ascii="宋体" w:hAnsi="宋体"/>
          <w:kern w:val="0"/>
          <w:sz w:val="24"/>
          <w:szCs w:val="24"/>
          <w:lang w:val="zh-CN"/>
        </w:rPr>
        <w:t>（5）经年审的营业执照复印件（加盖公章）；</w:t>
      </w:r>
    </w:p>
    <w:p>
      <w:pPr>
        <w:spacing w:line="360" w:lineRule="auto"/>
        <w:ind w:left="400"/>
        <w:rPr>
          <w:rFonts w:ascii="宋体" w:hAnsi="宋体"/>
          <w:kern w:val="0"/>
          <w:sz w:val="24"/>
          <w:szCs w:val="24"/>
          <w:lang w:val="zh-CN"/>
        </w:rPr>
      </w:pPr>
      <w:r>
        <w:rPr>
          <w:rFonts w:hint="eastAsia" w:ascii="宋体" w:hAnsi="宋体"/>
          <w:kern w:val="0"/>
          <w:sz w:val="24"/>
          <w:szCs w:val="24"/>
          <w:lang w:val="zh-CN"/>
        </w:rPr>
        <w:t>（6）金融许可证复印件</w:t>
      </w:r>
      <w:r>
        <w:rPr>
          <w:rFonts w:ascii="宋体" w:hAnsi="宋体"/>
          <w:kern w:val="0"/>
          <w:sz w:val="24"/>
          <w:szCs w:val="24"/>
          <w:lang w:val="zh-CN"/>
        </w:rPr>
        <w:t>（</w:t>
      </w:r>
      <w:r>
        <w:rPr>
          <w:rFonts w:hint="eastAsia" w:ascii="宋体" w:hAnsi="宋体"/>
          <w:kern w:val="0"/>
          <w:sz w:val="24"/>
          <w:szCs w:val="24"/>
          <w:lang w:val="zh-CN"/>
        </w:rPr>
        <w:t>加盖公章）；</w:t>
      </w:r>
    </w:p>
    <w:p>
      <w:pPr>
        <w:pStyle w:val="25"/>
        <w:spacing w:line="360" w:lineRule="auto"/>
        <w:ind w:firstLine="420" w:firstLineChars="175"/>
        <w:rPr>
          <w:rFonts w:hAnsi="宋体"/>
          <w:sz w:val="24"/>
          <w:szCs w:val="24"/>
        </w:rPr>
      </w:pPr>
      <w:r>
        <w:rPr>
          <w:rFonts w:hint="eastAsia" w:hAnsi="宋体"/>
          <w:sz w:val="24"/>
          <w:szCs w:val="24"/>
        </w:rPr>
        <w:t>（7）若投标人为</w:t>
      </w:r>
      <w:r>
        <w:rPr>
          <w:rFonts w:hAnsi="宋体"/>
          <w:sz w:val="24"/>
          <w:szCs w:val="24"/>
        </w:rPr>
        <w:t>由深圳分行授权的下属支行，</w:t>
      </w:r>
      <w:r>
        <w:rPr>
          <w:rFonts w:hint="eastAsia" w:hAnsi="宋体"/>
          <w:sz w:val="24"/>
          <w:szCs w:val="24"/>
        </w:rPr>
        <w:t>需提供深圳分行的授权书</w:t>
      </w:r>
      <w:r>
        <w:rPr>
          <w:rFonts w:hint="eastAsia" w:hAnsi="宋体"/>
          <w:sz w:val="24"/>
          <w:szCs w:val="24"/>
          <w:lang w:eastAsia="zh-CN"/>
        </w:rPr>
        <w:t>（</w:t>
      </w:r>
      <w:r>
        <w:rPr>
          <w:rFonts w:hint="eastAsia" w:hAnsi="宋体"/>
          <w:sz w:val="24"/>
          <w:szCs w:val="24"/>
          <w:lang w:val="en-US" w:eastAsia="zh-CN"/>
        </w:rPr>
        <w:t>原件）</w:t>
      </w:r>
      <w:r>
        <w:rPr>
          <w:rFonts w:hint="eastAsia" w:hAnsi="宋体"/>
          <w:sz w:val="24"/>
          <w:szCs w:val="24"/>
        </w:rPr>
        <w:t>。</w:t>
      </w:r>
    </w:p>
    <w:p>
      <w:pPr>
        <w:pStyle w:val="25"/>
        <w:ind w:firstLine="420" w:firstLineChars="175"/>
        <w:rPr>
          <w:rFonts w:hAnsi="宋体"/>
          <w:sz w:val="24"/>
          <w:szCs w:val="24"/>
        </w:rPr>
      </w:pPr>
      <w:r>
        <w:rPr>
          <w:rFonts w:hint="eastAsia" w:hAnsi="宋体"/>
          <w:sz w:val="24"/>
          <w:szCs w:val="24"/>
        </w:rPr>
        <w:t>（</w:t>
      </w:r>
      <w:r>
        <w:rPr>
          <w:rFonts w:hint="eastAsia" w:hAnsi="宋体"/>
          <w:sz w:val="24"/>
          <w:szCs w:val="24"/>
          <w:lang w:val="zh-CN"/>
        </w:rPr>
        <w:t>8）投标人承诺放款时间不超过60（含）</w:t>
      </w:r>
      <w:r>
        <w:rPr>
          <w:rFonts w:hint="eastAsia" w:hAnsi="宋体"/>
          <w:sz w:val="24"/>
          <w:szCs w:val="24"/>
        </w:rPr>
        <w:t>日、办理预抵押时间不超过60（含）日承诺书。</w:t>
      </w:r>
    </w:p>
    <w:p>
      <w:pPr>
        <w:pStyle w:val="3"/>
        <w:snapToGrid w:val="0"/>
        <w:ind w:left="0" w:leftChars="0" w:firstLine="480" w:firstLineChars="200"/>
        <w:rPr>
          <w:rFonts w:hAnsi="宋体"/>
          <w:sz w:val="24"/>
          <w:szCs w:val="24"/>
        </w:rPr>
      </w:pPr>
      <w:r>
        <w:rPr>
          <w:rFonts w:hint="eastAsia" w:ascii="宋体" w:hAnsi="宋体"/>
          <w:sz w:val="24"/>
          <w:szCs w:val="24"/>
        </w:rPr>
        <w:t>（9）招标</w:t>
      </w:r>
      <w:r>
        <w:rPr>
          <w:rFonts w:hint="eastAsia" w:hAnsi="宋体"/>
          <w:sz w:val="24"/>
          <w:szCs w:val="24"/>
        </w:rPr>
        <w:t>公告</w:t>
      </w:r>
      <w:r>
        <w:rPr>
          <w:rFonts w:hAnsi="宋体"/>
          <w:sz w:val="24"/>
          <w:szCs w:val="24"/>
        </w:rPr>
        <w:t>要求的</w:t>
      </w:r>
      <w:r>
        <w:rPr>
          <w:rFonts w:hint="eastAsia" w:hAnsi="宋体"/>
          <w:sz w:val="24"/>
          <w:szCs w:val="24"/>
        </w:rPr>
        <w:t>项目业绩</w:t>
      </w:r>
      <w:r>
        <w:rPr>
          <w:rFonts w:hint="eastAsia" w:hAnsi="宋体"/>
          <w:sz w:val="24"/>
          <w:szCs w:val="24"/>
          <w:lang w:val="en-US" w:eastAsia="zh-CN"/>
        </w:rPr>
        <w:t>证明材料</w:t>
      </w:r>
      <w:r>
        <w:rPr>
          <w:rFonts w:hint="eastAsia" w:hAnsi="宋体"/>
          <w:sz w:val="24"/>
          <w:szCs w:val="24"/>
        </w:rPr>
        <w:t>（</w:t>
      </w:r>
      <w:r>
        <w:rPr>
          <w:rFonts w:hAnsi="宋体"/>
          <w:sz w:val="24"/>
          <w:szCs w:val="24"/>
        </w:rPr>
        <w:t>加盖公章</w:t>
      </w:r>
      <w:r>
        <w:rPr>
          <w:rFonts w:hint="eastAsia" w:hAnsi="宋体"/>
          <w:sz w:val="24"/>
          <w:szCs w:val="24"/>
        </w:rPr>
        <w:t>）</w:t>
      </w:r>
    </w:p>
    <w:p>
      <w:pPr>
        <w:pStyle w:val="3"/>
        <w:snapToGrid w:val="0"/>
        <w:ind w:left="0" w:leftChars="0" w:firstLine="480" w:firstLineChars="200"/>
        <w:rPr>
          <w:rFonts w:ascii="宋体" w:hAnsi="宋体"/>
          <w:sz w:val="24"/>
          <w:szCs w:val="24"/>
        </w:rPr>
      </w:pPr>
      <w:r>
        <w:rPr>
          <w:rFonts w:hint="eastAsia" w:ascii="宋体" w:hAnsi="宋体"/>
          <w:sz w:val="24"/>
          <w:szCs w:val="21"/>
        </w:rPr>
        <w:t>（二）</w:t>
      </w:r>
      <w:r>
        <w:rPr>
          <w:rFonts w:hint="eastAsia" w:ascii="宋体" w:hAnsi="宋体"/>
          <w:sz w:val="24"/>
          <w:szCs w:val="24"/>
        </w:rPr>
        <w:t>“综合评审文件”的编写</w:t>
      </w:r>
    </w:p>
    <w:p>
      <w:pPr>
        <w:snapToGrid w:val="0"/>
        <w:spacing w:line="360" w:lineRule="auto"/>
        <w:ind w:firstLine="480" w:firstLineChars="200"/>
        <w:jc w:val="left"/>
        <w:rPr>
          <w:rFonts w:ascii="宋体" w:hAnsi="宋体" w:cs="宋体"/>
          <w:sz w:val="24"/>
        </w:rPr>
      </w:pPr>
      <w:r>
        <w:rPr>
          <w:rFonts w:hint="eastAsia" w:ascii="宋体" w:hAnsi="宋体"/>
          <w:kern w:val="0"/>
          <w:sz w:val="24"/>
          <w:szCs w:val="24"/>
          <w:lang w:val="zh-CN"/>
        </w:rPr>
        <w:t>投标</w:t>
      </w:r>
      <w:r>
        <w:rPr>
          <w:rFonts w:ascii="宋体" w:hAnsi="宋体"/>
          <w:kern w:val="0"/>
          <w:sz w:val="24"/>
          <w:szCs w:val="24"/>
          <w:lang w:val="zh-CN"/>
        </w:rPr>
        <w:t>人应按照</w:t>
      </w:r>
      <w:r>
        <w:rPr>
          <w:rFonts w:hint="eastAsia" w:ascii="宋体" w:hAnsi="宋体"/>
          <w:kern w:val="0"/>
          <w:sz w:val="24"/>
          <w:szCs w:val="24"/>
          <w:lang w:val="zh-CN"/>
        </w:rPr>
        <w:t>招标</w:t>
      </w:r>
      <w:r>
        <w:rPr>
          <w:rFonts w:ascii="宋体" w:hAnsi="宋体"/>
          <w:kern w:val="0"/>
          <w:sz w:val="24"/>
          <w:szCs w:val="24"/>
          <w:lang w:val="zh-CN"/>
        </w:rPr>
        <w:t>文件第二篇“</w:t>
      </w:r>
      <w:r>
        <w:rPr>
          <w:rFonts w:hint="eastAsia" w:ascii="宋体" w:hAnsi="宋体"/>
          <w:kern w:val="0"/>
          <w:sz w:val="24"/>
          <w:szCs w:val="24"/>
          <w:lang w:val="zh-CN"/>
        </w:rPr>
        <w:t>投标</w:t>
      </w:r>
      <w:r>
        <w:rPr>
          <w:rFonts w:ascii="宋体" w:hAnsi="宋体"/>
          <w:kern w:val="0"/>
          <w:sz w:val="24"/>
          <w:szCs w:val="24"/>
          <w:lang w:val="zh-CN"/>
        </w:rPr>
        <w:t>文件格式”中</w:t>
      </w:r>
      <w:r>
        <w:rPr>
          <w:rFonts w:hint="eastAsia" w:ascii="宋体" w:hAnsi="宋体"/>
          <w:sz w:val="24"/>
          <w:szCs w:val="24"/>
        </w:rPr>
        <w:t>综合评审文件</w:t>
      </w:r>
      <w:r>
        <w:rPr>
          <w:rFonts w:ascii="宋体" w:hAnsi="宋体"/>
          <w:kern w:val="0"/>
          <w:sz w:val="24"/>
          <w:szCs w:val="24"/>
          <w:lang w:val="zh-CN"/>
        </w:rPr>
        <w:t>要求编写</w:t>
      </w:r>
      <w:r>
        <w:rPr>
          <w:rFonts w:ascii="宋体" w:hAnsi="宋体"/>
          <w:kern w:val="0"/>
          <w:sz w:val="24"/>
          <w:lang w:val="zh-CN"/>
        </w:rPr>
        <w:t>。</w:t>
      </w:r>
      <w:r>
        <w:rPr>
          <w:rFonts w:hint="eastAsia" w:ascii="宋体" w:hAnsi="宋体"/>
          <w:sz w:val="24"/>
          <w:szCs w:val="24"/>
        </w:rPr>
        <w:t>综合评审文件</w:t>
      </w:r>
      <w:r>
        <w:rPr>
          <w:rFonts w:ascii="宋体" w:hAnsi="宋体"/>
          <w:kern w:val="0"/>
          <w:sz w:val="24"/>
          <w:lang w:val="zh-CN"/>
        </w:rPr>
        <w:t>应包括以下几个主要内容：</w:t>
      </w:r>
      <w:r>
        <w:rPr>
          <w:rFonts w:hint="eastAsia" w:ascii="宋体" w:hAnsi="宋体"/>
          <w:kern w:val="0"/>
          <w:sz w:val="24"/>
          <w:lang w:val="zh-CN"/>
        </w:rPr>
        <w:t xml:space="preserve"> </w:t>
      </w:r>
      <w:r>
        <w:rPr>
          <w:rFonts w:ascii="宋体" w:hAnsi="宋体"/>
          <w:kern w:val="0"/>
          <w:sz w:val="24"/>
          <w:lang w:val="zh-CN"/>
        </w:rPr>
        <w:t xml:space="preserve"> </w:t>
      </w:r>
    </w:p>
    <w:p>
      <w:pPr>
        <w:spacing w:line="360" w:lineRule="auto"/>
        <w:ind w:firstLine="480" w:firstLineChars="200"/>
        <w:rPr>
          <w:rFonts w:ascii="宋体" w:hAnsi="宋体"/>
          <w:kern w:val="0"/>
          <w:sz w:val="24"/>
          <w:szCs w:val="24"/>
          <w:lang w:val="zh-CN"/>
        </w:rPr>
      </w:pPr>
      <w:bookmarkStart w:id="562" w:name="_Hlk96850468"/>
      <w:r>
        <w:rPr>
          <w:rFonts w:hint="eastAsia" w:ascii="宋体" w:hAnsi="宋体"/>
          <w:kern w:val="0"/>
          <w:sz w:val="24"/>
          <w:szCs w:val="24"/>
          <w:lang w:val="zh-CN"/>
        </w:rPr>
        <w:t>1</w:t>
      </w:r>
      <w:r>
        <w:rPr>
          <w:rFonts w:hint="eastAsia" w:ascii="宋体" w:hAnsi="宋体"/>
          <w:kern w:val="0"/>
          <w:sz w:val="24"/>
          <w:szCs w:val="24"/>
          <w:lang w:val="en-US" w:eastAsia="zh-CN"/>
        </w:rPr>
        <w:t>.</w:t>
      </w:r>
      <w:r>
        <w:rPr>
          <w:rFonts w:hint="eastAsia" w:ascii="宋体" w:hAnsi="宋体"/>
          <w:sz w:val="24"/>
          <w:szCs w:val="24"/>
        </w:rPr>
        <w:t>银行基本情况说明文件</w:t>
      </w:r>
      <w:r>
        <w:rPr>
          <w:rFonts w:hint="eastAsia" w:ascii="宋体" w:hAnsi="宋体"/>
          <w:kern w:val="0"/>
          <w:sz w:val="24"/>
          <w:szCs w:val="24"/>
          <w:lang w:val="zh-CN"/>
        </w:rPr>
        <w:t>（固定格式）；</w:t>
      </w:r>
    </w:p>
    <w:p>
      <w:pPr>
        <w:spacing w:line="360" w:lineRule="auto"/>
        <w:ind w:firstLine="480" w:firstLineChars="200"/>
        <w:rPr>
          <w:rFonts w:ascii="宋体" w:hAnsi="宋体"/>
          <w:kern w:val="0"/>
          <w:sz w:val="24"/>
          <w:szCs w:val="24"/>
          <w:lang w:val="zh-CN"/>
        </w:rPr>
      </w:pPr>
      <w:r>
        <w:rPr>
          <w:rFonts w:hint="eastAsia" w:ascii="宋体" w:hAnsi="宋体"/>
          <w:kern w:val="0"/>
          <w:sz w:val="24"/>
          <w:szCs w:val="24"/>
        </w:rPr>
        <w:t>2</w:t>
      </w:r>
      <w:r>
        <w:rPr>
          <w:rFonts w:hint="eastAsia" w:ascii="宋体" w:hAnsi="宋体"/>
          <w:kern w:val="0"/>
          <w:sz w:val="24"/>
          <w:szCs w:val="24"/>
          <w:lang w:val="en-US" w:eastAsia="zh-CN"/>
        </w:rPr>
        <w:t>.</w:t>
      </w:r>
      <w:r>
        <w:rPr>
          <w:rFonts w:hint="eastAsia" w:ascii="宋体" w:hAnsi="宋体"/>
          <w:kern w:val="0"/>
          <w:sz w:val="24"/>
          <w:szCs w:val="24"/>
          <w:lang w:val="zh-CN"/>
        </w:rPr>
        <w:t>投标函；</w:t>
      </w:r>
    </w:p>
    <w:p>
      <w:pPr>
        <w:pStyle w:val="3"/>
        <w:numPr>
          <w:ilvl w:val="255"/>
          <w:numId w:val="0"/>
        </w:numPr>
        <w:snapToGrid w:val="0"/>
        <w:ind w:firstLine="480" w:firstLineChars="200"/>
        <w:rPr>
          <w:rFonts w:ascii="宋体" w:hAnsi="宋体"/>
          <w:sz w:val="24"/>
          <w:szCs w:val="24"/>
        </w:rPr>
      </w:pPr>
      <w:r>
        <w:rPr>
          <w:rFonts w:hint="eastAsia" w:ascii="宋体" w:hAnsi="宋体"/>
          <w:sz w:val="24"/>
          <w:szCs w:val="24"/>
        </w:rPr>
        <w:t>3</w:t>
      </w:r>
      <w:r>
        <w:rPr>
          <w:rFonts w:hint="eastAsia" w:ascii="宋体" w:hAnsi="宋体"/>
          <w:sz w:val="24"/>
          <w:szCs w:val="24"/>
          <w:lang w:val="en-US" w:eastAsia="zh-CN"/>
        </w:rPr>
        <w:t>.</w:t>
      </w:r>
      <w:r>
        <w:rPr>
          <w:rFonts w:hint="eastAsia" w:ascii="宋体" w:hAnsi="宋体"/>
          <w:sz w:val="24"/>
          <w:szCs w:val="24"/>
        </w:rPr>
        <w:t>按揭贷款服务业绩证明</w:t>
      </w:r>
      <w:r>
        <w:rPr>
          <w:rFonts w:hint="eastAsia" w:ascii="宋体" w:hAnsi="宋体"/>
          <w:sz w:val="24"/>
          <w:szCs w:val="24"/>
          <w:lang w:eastAsia="zh-CN"/>
        </w:rPr>
        <w:t>，</w:t>
      </w:r>
      <w:r>
        <w:rPr>
          <w:rFonts w:hint="eastAsia" w:ascii="宋体" w:hAnsi="宋体"/>
          <w:sz w:val="24"/>
          <w:szCs w:val="24"/>
        </w:rPr>
        <w:t>近三年为全国50强或深圳20强地产企业品牌提供过深圳地区项目的按揭贷款服务</w:t>
      </w:r>
      <w:bookmarkEnd w:id="562"/>
      <w:bookmarkStart w:id="563" w:name="_Toc57731966"/>
      <w:bookmarkStart w:id="564" w:name="_Toc402782173"/>
      <w:r>
        <w:rPr>
          <w:rFonts w:ascii="宋体" w:hAnsi="宋体"/>
          <w:sz w:val="24"/>
          <w:szCs w:val="24"/>
        </w:rPr>
        <w:t>业绩</w:t>
      </w:r>
      <w:r>
        <w:rPr>
          <w:rFonts w:hint="eastAsia" w:ascii="宋体" w:hAnsi="宋体"/>
          <w:sz w:val="24"/>
          <w:szCs w:val="24"/>
        </w:rPr>
        <w:t>证明资料。需附相关证明材料原件、扫描复印件，如合同（需附相关合同关键页复印件并盖章）。</w:t>
      </w:r>
    </w:p>
    <w:p>
      <w:pPr>
        <w:pStyle w:val="3"/>
        <w:ind w:left="0" w:leftChars="0" w:firstLine="480" w:firstLineChars="200"/>
        <w:rPr>
          <w:rFonts w:ascii="宋体" w:hAnsi="宋体"/>
          <w:sz w:val="24"/>
          <w:szCs w:val="24"/>
        </w:rPr>
      </w:pPr>
      <w:r>
        <w:rPr>
          <w:rFonts w:ascii="宋体" w:hAnsi="宋体"/>
          <w:sz w:val="24"/>
          <w:szCs w:val="24"/>
        </w:rPr>
        <w:t>4</w:t>
      </w:r>
      <w:r>
        <w:rPr>
          <w:rFonts w:hint="eastAsia" w:ascii="宋体" w:hAnsi="宋体"/>
          <w:sz w:val="24"/>
          <w:szCs w:val="24"/>
          <w:lang w:val="en-US" w:eastAsia="zh-CN"/>
        </w:rPr>
        <w:t>.</w:t>
      </w:r>
      <w:r>
        <w:rPr>
          <w:rFonts w:ascii="宋体" w:hAnsi="宋体"/>
          <w:sz w:val="24"/>
          <w:szCs w:val="24"/>
        </w:rPr>
        <w:t>销售业务参与情况证明文件</w:t>
      </w:r>
    </w:p>
    <w:p>
      <w:pPr>
        <w:pStyle w:val="3"/>
        <w:ind w:left="0" w:leftChars="0" w:firstLine="480" w:firstLineChars="200"/>
        <w:rPr>
          <w:rFonts w:ascii="宋体" w:hAnsi="宋体"/>
          <w:sz w:val="24"/>
          <w:szCs w:val="24"/>
        </w:rPr>
      </w:pPr>
      <w:r>
        <w:rPr>
          <w:rFonts w:ascii="宋体" w:hAnsi="宋体"/>
          <w:sz w:val="24"/>
          <w:szCs w:val="24"/>
        </w:rPr>
        <w:t>购买</w:t>
      </w:r>
      <w:r>
        <w:rPr>
          <w:rFonts w:hint="eastAsia" w:ascii="宋体" w:hAnsi="宋体"/>
          <w:sz w:val="24"/>
          <w:szCs w:val="24"/>
          <w:lang w:eastAsia="zh-CN"/>
        </w:rPr>
        <w:t>（</w:t>
      </w:r>
      <w:r>
        <w:rPr>
          <w:rFonts w:hint="eastAsia" w:ascii="宋体" w:hAnsi="宋体"/>
          <w:sz w:val="24"/>
          <w:szCs w:val="24"/>
          <w:lang w:val="en-US" w:eastAsia="zh-CN"/>
        </w:rPr>
        <w:t>含推介购买）</w:t>
      </w:r>
      <w:r>
        <w:rPr>
          <w:rFonts w:ascii="宋体" w:hAnsi="宋体"/>
          <w:sz w:val="24"/>
          <w:szCs w:val="24"/>
        </w:rPr>
        <w:t>深铁集团旗下商办物业的，</w:t>
      </w:r>
      <w:r>
        <w:rPr>
          <w:rFonts w:hint="eastAsia" w:hAnsi="宋体" w:cs="宋体"/>
          <w:color w:val="000000"/>
          <w:sz w:val="24"/>
          <w:szCs w:val="24"/>
          <w:lang w:val="en-US" w:eastAsia="zh-CN"/>
        </w:rPr>
        <w:t>业绩指标在综合评审时以经办部门与营销策划部确认并在评审现场提供给评委的详细名单为准，不需要投标人提供证明材料</w:t>
      </w:r>
      <w:r>
        <w:rPr>
          <w:rFonts w:ascii="宋体" w:hAnsi="宋体"/>
          <w:sz w:val="24"/>
          <w:szCs w:val="24"/>
        </w:rPr>
        <w:t>。</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65" w:name="_Toc21381"/>
      <w:bookmarkStart w:id="566" w:name="_Toc7199"/>
      <w:bookmarkStart w:id="567" w:name="_Toc11715"/>
      <w:bookmarkStart w:id="568" w:name="_Toc15441"/>
      <w:bookmarkStart w:id="569" w:name="_Toc30569"/>
      <w:bookmarkStart w:id="570" w:name="_Toc2733"/>
      <w:bookmarkStart w:id="571" w:name="_Toc15139"/>
      <w:bookmarkStart w:id="572" w:name="_Toc6855"/>
      <w:bookmarkStart w:id="573" w:name="_Toc26034"/>
      <w:bookmarkStart w:id="574" w:name="_Toc16777"/>
      <w:bookmarkStart w:id="575" w:name="_Toc16709"/>
      <w:bookmarkStart w:id="576" w:name="_Toc5482"/>
      <w:bookmarkStart w:id="577" w:name="_Toc21216"/>
      <w:bookmarkStart w:id="578" w:name="_Toc30393"/>
      <w:bookmarkStart w:id="579" w:name="_Toc6614"/>
      <w:bookmarkStart w:id="580" w:name="_Toc30173"/>
      <w:bookmarkStart w:id="581" w:name="_Toc20575"/>
      <w:bookmarkStart w:id="582" w:name="_Toc24072"/>
      <w:bookmarkStart w:id="583" w:name="_Toc32210"/>
      <w:bookmarkStart w:id="584" w:name="_Toc3190"/>
      <w:bookmarkStart w:id="585" w:name="_Toc4585"/>
      <w:bookmarkStart w:id="586" w:name="_Toc29402"/>
      <w:bookmarkStart w:id="587" w:name="_Toc7472"/>
      <w:bookmarkStart w:id="588" w:name="_Toc8225"/>
      <w:bookmarkStart w:id="589" w:name="_Toc22304"/>
      <w:bookmarkStart w:id="590" w:name="_Toc7758"/>
      <w:bookmarkStart w:id="591" w:name="_Toc26870"/>
      <w:bookmarkStart w:id="592" w:name="_Toc2420"/>
      <w:bookmarkStart w:id="593" w:name="_Toc19705"/>
      <w:r>
        <w:rPr>
          <w:rFonts w:hint="eastAsia" w:ascii="宋体" w:hAnsi="宋体"/>
          <w:b/>
          <w:kern w:val="0"/>
          <w:sz w:val="24"/>
          <w:szCs w:val="24"/>
        </w:rPr>
        <w:t>三、投标人的承诺</w:t>
      </w:r>
      <w:bookmarkEnd w:id="563"/>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3"/>
        <w:ind w:left="0" w:leftChars="0" w:firstLine="480" w:firstLineChars="200"/>
        <w:rPr>
          <w:rFonts w:ascii="宋体" w:hAnsi="宋体"/>
          <w:sz w:val="24"/>
        </w:rPr>
      </w:pPr>
      <w:r>
        <w:rPr>
          <w:rFonts w:hint="eastAsia" w:ascii="宋体" w:hAnsi="宋体"/>
          <w:sz w:val="24"/>
        </w:rPr>
        <w:t>投标人必须对下列各项做出承诺：</w:t>
      </w:r>
    </w:p>
    <w:p>
      <w:pPr>
        <w:pStyle w:val="3"/>
        <w:ind w:left="0" w:leftChars="0" w:firstLine="480" w:firstLineChars="200"/>
        <w:rPr>
          <w:rFonts w:ascii="宋体" w:hAnsi="宋体"/>
          <w:sz w:val="24"/>
        </w:rPr>
      </w:pPr>
      <w:r>
        <w:rPr>
          <w:rFonts w:hint="eastAsia" w:ascii="宋体" w:hAnsi="宋体"/>
          <w:sz w:val="24"/>
        </w:rPr>
        <w:t>1、投标人</w:t>
      </w:r>
      <w:r>
        <w:rPr>
          <w:rFonts w:hint="eastAsia"/>
          <w:sz w:val="24"/>
          <w:szCs w:val="32"/>
        </w:rPr>
        <w:t>所提供的资料真实可靠，并完全接受招标人对投标文件的最终审核结果。如经审核投标人投标文件存在虚假资料，招标人有权随时终止其投标（或中标）资格，记录该投标人的不良行为，并由该投标人赔偿由此给招标人造成的损失。</w:t>
      </w:r>
    </w:p>
    <w:p>
      <w:pPr>
        <w:pStyle w:val="3"/>
        <w:ind w:left="0" w:leftChars="0" w:firstLine="480" w:firstLineChars="200"/>
        <w:rPr>
          <w:rFonts w:ascii="宋体" w:hAnsi="宋体"/>
          <w:sz w:val="24"/>
        </w:rPr>
      </w:pPr>
      <w:r>
        <w:rPr>
          <w:rFonts w:hint="eastAsia" w:ascii="宋体" w:hAnsi="宋体"/>
          <w:sz w:val="24"/>
        </w:rPr>
        <w:t>2、投标人所委派的工作人员在中标后不得随意更改，如确需变更，需经招标人认可同意，如未经招标人同意，投标人自行变更投标文件中委派的主要人员（项目经理、顾问团队成员、项目组主要人员），招标人有权对投标</w:t>
      </w:r>
      <w:r>
        <w:rPr>
          <w:rFonts w:ascii="宋体" w:hAnsi="宋体"/>
          <w:sz w:val="24"/>
        </w:rPr>
        <w:t>人</w:t>
      </w:r>
      <w:r>
        <w:rPr>
          <w:rFonts w:hint="eastAsia" w:ascii="宋体" w:hAnsi="宋体"/>
          <w:sz w:val="24"/>
        </w:rPr>
        <w:t>予以相应违约</w:t>
      </w:r>
      <w:r>
        <w:rPr>
          <w:rFonts w:ascii="宋体" w:hAnsi="宋体"/>
          <w:sz w:val="24"/>
        </w:rPr>
        <w:t>处理</w:t>
      </w:r>
      <w:r>
        <w:rPr>
          <w:rFonts w:hint="eastAsia" w:ascii="宋体" w:hAnsi="宋体"/>
          <w:sz w:val="24"/>
        </w:rPr>
        <w:t>或终止履行合同。</w:t>
      </w:r>
    </w:p>
    <w:p>
      <w:pPr>
        <w:pStyle w:val="3"/>
        <w:ind w:left="0" w:leftChars="0" w:firstLine="480" w:firstLineChars="200"/>
        <w:rPr>
          <w:rFonts w:ascii="宋体" w:hAnsi="宋体"/>
          <w:sz w:val="24"/>
        </w:rPr>
      </w:pPr>
      <w:r>
        <w:rPr>
          <w:rFonts w:hint="eastAsia" w:ascii="宋体" w:hAnsi="宋体"/>
          <w:sz w:val="24"/>
        </w:rPr>
        <w:t>3、投标人保证在投标过程中，严守国家法律、法规，本着诚实守信的原则，无互相串通投标报价、无排挤其它投标人的合法权益、无向招标人或评委成员行贿谋取中标、无以他人名义投标或以其它方式弄虚作假骗取中标的不良行为。</w:t>
      </w:r>
    </w:p>
    <w:p>
      <w:pPr>
        <w:pStyle w:val="3"/>
        <w:ind w:left="0" w:leftChars="0" w:firstLine="480" w:firstLineChars="200"/>
        <w:rPr>
          <w:rFonts w:ascii="宋体" w:hAnsi="宋体"/>
          <w:sz w:val="24"/>
        </w:rPr>
      </w:pPr>
      <w:r>
        <w:rPr>
          <w:rFonts w:hint="eastAsia" w:ascii="宋体" w:hAnsi="宋体"/>
          <w:sz w:val="24"/>
        </w:rPr>
        <w:t>4、投标人同意：①由于非招标人原因（如因国家审批或政策环境、深圳市城市规划等因素）导致该项目被取消或无法实施，招标人将否决所有投标；②招标人可以否决所有投标，终止招标而无须说明理由，招标人不承担因此给投标人造成的损失。</w:t>
      </w:r>
    </w:p>
    <w:p>
      <w:pPr>
        <w:pStyle w:val="6"/>
        <w:spacing w:line="360" w:lineRule="auto"/>
        <w:rPr>
          <w:rFonts w:ascii="宋体" w:hAnsi="宋体" w:eastAsia="宋体"/>
          <w:b/>
          <w:szCs w:val="28"/>
        </w:rPr>
      </w:pPr>
      <w:bookmarkStart w:id="594" w:name="_Toc88"/>
      <w:bookmarkStart w:id="595" w:name="_Toc9840"/>
      <w:bookmarkStart w:id="596" w:name="_Toc10208"/>
      <w:bookmarkStart w:id="597" w:name="_Toc32224"/>
      <w:bookmarkStart w:id="598" w:name="_Toc22991"/>
      <w:bookmarkStart w:id="599" w:name="_Toc57731967"/>
      <w:bookmarkStart w:id="600" w:name="_Toc17914"/>
      <w:bookmarkStart w:id="601" w:name="_Toc15334"/>
      <w:bookmarkStart w:id="602" w:name="_Toc21681"/>
      <w:bookmarkStart w:id="603" w:name="_Toc16201"/>
      <w:bookmarkStart w:id="604" w:name="_Toc953"/>
      <w:bookmarkStart w:id="605" w:name="_Toc586"/>
      <w:bookmarkStart w:id="606" w:name="_Toc23897"/>
      <w:bookmarkStart w:id="607" w:name="_Toc19179"/>
      <w:bookmarkStart w:id="608" w:name="_Toc28595"/>
      <w:bookmarkStart w:id="609" w:name="_Toc28116"/>
      <w:bookmarkStart w:id="610" w:name="_Toc20134"/>
      <w:bookmarkStart w:id="611" w:name="_Toc17686"/>
      <w:bookmarkStart w:id="612" w:name="_Toc27639"/>
      <w:bookmarkStart w:id="613" w:name="_Toc5411"/>
      <w:bookmarkStart w:id="614" w:name="_Toc30272"/>
      <w:bookmarkStart w:id="615" w:name="_Toc32124"/>
      <w:bookmarkStart w:id="616" w:name="_Toc13023"/>
      <w:bookmarkStart w:id="617" w:name="_Toc518494132"/>
      <w:bookmarkStart w:id="618" w:name="_Toc7289"/>
      <w:bookmarkStart w:id="619" w:name="_Toc23607"/>
      <w:bookmarkStart w:id="620" w:name="_Toc32191"/>
      <w:bookmarkStart w:id="621" w:name="_Toc25378"/>
      <w:bookmarkStart w:id="622" w:name="_Toc149"/>
      <w:bookmarkStart w:id="623" w:name="_Toc15743"/>
      <w:bookmarkStart w:id="624" w:name="_Toc10261"/>
      <w:bookmarkStart w:id="625" w:name="_Toc16355"/>
      <w:bookmarkStart w:id="626" w:name="_Toc4433"/>
      <w:bookmarkStart w:id="627" w:name="_Toc27649"/>
      <w:bookmarkStart w:id="628" w:name="_Toc4163"/>
      <w:r>
        <w:rPr>
          <w:rFonts w:hint="eastAsia" w:ascii="宋体" w:hAnsi="宋体" w:eastAsia="宋体"/>
          <w:b/>
          <w:szCs w:val="28"/>
        </w:rPr>
        <w:t>第四章 投标文件的签章及封装要求</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29" w:name="_Toc13531"/>
      <w:bookmarkStart w:id="630" w:name="_Toc1442"/>
      <w:bookmarkStart w:id="631" w:name="_Toc24704"/>
      <w:bookmarkStart w:id="632" w:name="_Toc8211"/>
      <w:bookmarkStart w:id="633" w:name="_Toc26916"/>
      <w:bookmarkStart w:id="634" w:name="_Toc16885"/>
      <w:bookmarkStart w:id="635" w:name="_Toc17669"/>
      <w:bookmarkStart w:id="636" w:name="_Toc1158"/>
      <w:bookmarkStart w:id="637" w:name="_Toc17182"/>
      <w:bookmarkStart w:id="638" w:name="_Toc10725"/>
      <w:bookmarkStart w:id="639" w:name="_Toc14367"/>
      <w:bookmarkStart w:id="640" w:name="_Toc24527"/>
      <w:bookmarkStart w:id="641" w:name="_Toc13244"/>
      <w:bookmarkStart w:id="642" w:name="_Toc19852"/>
      <w:bookmarkStart w:id="643" w:name="_Toc26771"/>
      <w:bookmarkStart w:id="644" w:name="_Toc13417"/>
      <w:bookmarkStart w:id="645" w:name="_Toc15243"/>
      <w:bookmarkStart w:id="646" w:name="_Toc21182"/>
      <w:bookmarkStart w:id="647" w:name="_Toc24115"/>
      <w:bookmarkStart w:id="648" w:name="_Toc29937"/>
      <w:bookmarkStart w:id="649" w:name="_Toc16393"/>
      <w:bookmarkStart w:id="650" w:name="_Toc8925"/>
      <w:bookmarkStart w:id="651" w:name="_Toc24974"/>
      <w:bookmarkStart w:id="652" w:name="_Toc21079"/>
      <w:bookmarkStart w:id="653" w:name="_Toc13168"/>
      <w:bookmarkStart w:id="654" w:name="_Toc7972"/>
      <w:bookmarkStart w:id="655" w:name="_Toc17411"/>
      <w:bookmarkStart w:id="656" w:name="_Toc57731968"/>
      <w:bookmarkStart w:id="657" w:name="_Toc3294"/>
      <w:bookmarkStart w:id="658" w:name="_Toc8971"/>
      <w:bookmarkStart w:id="659" w:name="_Toc28043"/>
      <w:bookmarkStart w:id="660" w:name="_Toc29692"/>
      <w:bookmarkStart w:id="661" w:name="_Toc25616"/>
      <w:bookmarkStart w:id="662" w:name="_Toc393"/>
      <w:r>
        <w:rPr>
          <w:rFonts w:hint="eastAsia" w:ascii="宋体" w:hAnsi="宋体"/>
          <w:b/>
          <w:kern w:val="0"/>
          <w:sz w:val="24"/>
          <w:szCs w:val="24"/>
        </w:rPr>
        <w:t>一、投标文件的份数</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3"/>
        <w:ind w:left="0" w:leftChars="0" w:firstLine="480" w:firstLineChars="200"/>
        <w:rPr>
          <w:rFonts w:ascii="宋体" w:hAnsi="宋体"/>
          <w:b/>
          <w:color w:val="0D0D0D"/>
          <w:sz w:val="24"/>
          <w:szCs w:val="21"/>
          <w:u w:val="single"/>
        </w:rPr>
      </w:pPr>
      <w:r>
        <w:rPr>
          <w:rFonts w:hint="eastAsia" w:ascii="宋体" w:hAnsi="宋体"/>
          <w:color w:val="0D0D0D"/>
          <w:sz w:val="24"/>
        </w:rPr>
        <w:t>投标人提交的</w:t>
      </w:r>
      <w:r>
        <w:rPr>
          <w:rFonts w:hint="eastAsia" w:ascii="宋体" w:hAnsi="宋体"/>
          <w:b/>
          <w:color w:val="0D0D0D"/>
          <w:sz w:val="24"/>
        </w:rPr>
        <w:t>投标文件应包含1</w:t>
      </w:r>
      <w:r>
        <w:rPr>
          <w:rFonts w:hint="eastAsia" w:ascii="宋体" w:hAnsi="宋体"/>
          <w:b/>
          <w:color w:val="0D0D0D"/>
          <w:sz w:val="24"/>
          <w:u w:val="single"/>
        </w:rPr>
        <w:t>套</w:t>
      </w:r>
      <w:r>
        <w:rPr>
          <w:rFonts w:hint="eastAsia" w:ascii="宋体" w:hAnsi="宋体"/>
          <w:b/>
          <w:color w:val="0D0D0D"/>
          <w:sz w:val="24"/>
          <w:szCs w:val="21"/>
          <w:u w:val="single"/>
        </w:rPr>
        <w:t>“资格审查文件”（正本1份），</w:t>
      </w:r>
      <w:r>
        <w:rPr>
          <w:rFonts w:hint="eastAsia" w:ascii="宋体" w:hAnsi="宋体"/>
          <w:b/>
          <w:color w:val="0D0D0D"/>
          <w:sz w:val="24"/>
          <w:szCs w:val="21"/>
          <w:u w:val="single"/>
          <w:lang w:val="en-US" w:eastAsia="zh-CN"/>
        </w:rPr>
        <w:t>5</w:t>
      </w:r>
      <w:r>
        <w:rPr>
          <w:rFonts w:hint="eastAsia" w:ascii="宋体" w:hAnsi="宋体"/>
          <w:b/>
          <w:color w:val="0D0D0D"/>
          <w:sz w:val="24"/>
          <w:szCs w:val="21"/>
          <w:u w:val="single"/>
        </w:rPr>
        <w:t>套“综合评审文件”</w:t>
      </w:r>
      <w:r>
        <w:rPr>
          <w:rFonts w:hint="eastAsia" w:ascii="宋体" w:hAnsi="宋体"/>
          <w:b/>
          <w:color w:val="0D0D0D"/>
          <w:sz w:val="24"/>
        </w:rPr>
        <w:t>（正本1份、副本</w:t>
      </w:r>
      <w:r>
        <w:rPr>
          <w:rFonts w:hint="eastAsia" w:ascii="宋体" w:hAnsi="宋体"/>
          <w:b/>
          <w:color w:val="0D0D0D"/>
          <w:sz w:val="24"/>
          <w:lang w:val="en-US" w:eastAsia="zh-CN"/>
        </w:rPr>
        <w:t>4</w:t>
      </w:r>
      <w:r>
        <w:rPr>
          <w:rFonts w:hint="eastAsia" w:ascii="宋体" w:hAnsi="宋体"/>
          <w:b/>
          <w:color w:val="0D0D0D"/>
          <w:sz w:val="24"/>
        </w:rPr>
        <w:t>份），在每一册综合评审文件上要</w:t>
      </w:r>
      <w:r>
        <w:rPr>
          <w:rFonts w:ascii="宋体" w:hAnsi="宋体"/>
          <w:b/>
          <w:color w:val="0D0D0D"/>
          <w:sz w:val="24"/>
        </w:rPr>
        <w:t xml:space="preserve">明确注明 </w:t>
      </w:r>
      <w:r>
        <w:rPr>
          <w:rFonts w:hint="eastAsia" w:ascii="宋体" w:hAnsi="宋体"/>
          <w:color w:val="0D0D0D"/>
          <w:sz w:val="24"/>
        </w:rPr>
        <w:t>“正本”和“副本”，一旦正本和副本发现差异，以正本为准。</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663" w:name="_Toc17564"/>
      <w:bookmarkStart w:id="664" w:name="_Toc22367"/>
      <w:bookmarkStart w:id="665" w:name="_Toc57731969"/>
      <w:bookmarkStart w:id="666" w:name="_Toc22796"/>
      <w:bookmarkStart w:id="667" w:name="_Toc17023"/>
      <w:bookmarkStart w:id="668" w:name="_Toc18062"/>
      <w:bookmarkStart w:id="669" w:name="_Toc22946"/>
      <w:bookmarkStart w:id="670" w:name="_Toc9752"/>
      <w:bookmarkStart w:id="671" w:name="_Toc11018"/>
      <w:bookmarkStart w:id="672" w:name="_Toc26718"/>
      <w:bookmarkStart w:id="673" w:name="_Toc7071"/>
      <w:bookmarkStart w:id="674" w:name="_Toc485"/>
      <w:bookmarkStart w:id="675" w:name="_Toc3888"/>
      <w:bookmarkStart w:id="676" w:name="_Toc9247"/>
      <w:bookmarkStart w:id="677" w:name="_Toc14405"/>
      <w:bookmarkStart w:id="678" w:name="_Toc6496"/>
      <w:bookmarkStart w:id="679" w:name="_Toc25434"/>
      <w:bookmarkStart w:id="680" w:name="_Toc20204"/>
      <w:bookmarkStart w:id="681" w:name="_Toc9075"/>
      <w:bookmarkStart w:id="682" w:name="_Toc13427"/>
      <w:bookmarkStart w:id="683" w:name="_Toc5622"/>
      <w:bookmarkStart w:id="684" w:name="_Toc23873"/>
      <w:bookmarkStart w:id="685" w:name="_Toc28178"/>
      <w:bookmarkStart w:id="686" w:name="_Toc729"/>
      <w:bookmarkStart w:id="687" w:name="_Toc22874"/>
      <w:bookmarkStart w:id="688" w:name="_Toc19915"/>
      <w:bookmarkStart w:id="689" w:name="_Toc10281"/>
      <w:bookmarkStart w:id="690" w:name="_Toc4658"/>
      <w:bookmarkStart w:id="691" w:name="_Toc20317"/>
      <w:bookmarkStart w:id="692" w:name="_Toc3637"/>
      <w:bookmarkStart w:id="693" w:name="_Toc17638"/>
      <w:bookmarkStart w:id="694" w:name="_Toc18795"/>
      <w:bookmarkStart w:id="695" w:name="_Toc26623"/>
      <w:bookmarkStart w:id="696" w:name="_Toc17207"/>
      <w:r>
        <w:rPr>
          <w:rFonts w:hint="eastAsia" w:ascii="宋体" w:hAnsi="宋体"/>
          <w:b/>
          <w:kern w:val="0"/>
          <w:sz w:val="24"/>
          <w:szCs w:val="24"/>
        </w:rPr>
        <w:t>二、投标文件的签章</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3"/>
        <w:snapToGrid w:val="0"/>
        <w:ind w:left="0" w:leftChars="0" w:firstLine="480" w:firstLineChars="200"/>
        <w:rPr>
          <w:rFonts w:ascii="宋体" w:hAnsi="宋体"/>
          <w:sz w:val="24"/>
          <w:szCs w:val="24"/>
        </w:rPr>
      </w:pPr>
      <w:r>
        <w:rPr>
          <w:rFonts w:hint="eastAsia" w:ascii="宋体" w:hAnsi="宋体"/>
          <w:sz w:val="24"/>
          <w:szCs w:val="24"/>
        </w:rPr>
        <w:t>1、所有投标文件（正、副本）均须加盖公章及骑缝章。</w:t>
      </w:r>
    </w:p>
    <w:p>
      <w:pPr>
        <w:pStyle w:val="3"/>
        <w:snapToGrid w:val="0"/>
        <w:ind w:left="0" w:leftChars="0" w:firstLine="480" w:firstLineChars="200"/>
        <w:rPr>
          <w:rFonts w:ascii="宋体" w:hAnsi="宋体"/>
          <w:sz w:val="24"/>
          <w:szCs w:val="24"/>
        </w:rPr>
      </w:pPr>
      <w:r>
        <w:rPr>
          <w:rFonts w:hint="eastAsia" w:ascii="宋体" w:hAnsi="宋体"/>
          <w:sz w:val="24"/>
          <w:szCs w:val="24"/>
        </w:rPr>
        <w:t>2、投标文件均应使用不能擦去的墨水打印或书写，并由投标人正式授权人签署。有增加或修正的各项，都应由投标文件签字人签字证明。</w:t>
      </w:r>
    </w:p>
    <w:p>
      <w:pPr>
        <w:pStyle w:val="3"/>
        <w:snapToGrid w:val="0"/>
        <w:ind w:left="0" w:leftChars="0" w:firstLine="480" w:firstLineChars="200"/>
        <w:rPr>
          <w:rFonts w:ascii="宋体" w:hAnsi="宋体"/>
          <w:sz w:val="24"/>
          <w:szCs w:val="24"/>
        </w:rPr>
      </w:pPr>
      <w:r>
        <w:rPr>
          <w:rFonts w:hint="eastAsia" w:ascii="宋体" w:hAnsi="宋体"/>
          <w:sz w:val="24"/>
          <w:szCs w:val="24"/>
        </w:rPr>
        <w:t>3、投标文件应无涂改和行间插字，除非这些删改是根据招标人指示进行，或是投标人造成的必须修改的错误。在后一种情况下，修改处应由投标文件签字人签字证明。</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97" w:name="_Toc12232"/>
      <w:bookmarkStart w:id="698" w:name="_Toc22328"/>
      <w:bookmarkStart w:id="699" w:name="_Toc57731970"/>
      <w:bookmarkStart w:id="700" w:name="_Toc13686"/>
      <w:bookmarkStart w:id="701" w:name="_Toc1928"/>
      <w:bookmarkStart w:id="702" w:name="_Toc26981"/>
      <w:bookmarkStart w:id="703" w:name="_Toc20561"/>
      <w:bookmarkStart w:id="704" w:name="_Toc30902"/>
      <w:bookmarkStart w:id="705" w:name="_Toc4616"/>
      <w:bookmarkStart w:id="706" w:name="_Toc8305"/>
      <w:bookmarkStart w:id="707" w:name="_Toc14595"/>
      <w:bookmarkStart w:id="708" w:name="_Toc24807"/>
      <w:bookmarkStart w:id="709" w:name="_Toc28234"/>
      <w:bookmarkStart w:id="710" w:name="_Toc15475"/>
      <w:bookmarkStart w:id="711" w:name="_Toc15869"/>
      <w:bookmarkStart w:id="712" w:name="_Toc19278"/>
      <w:bookmarkStart w:id="713" w:name="_Toc16268"/>
      <w:bookmarkStart w:id="714" w:name="_Toc27342"/>
      <w:bookmarkStart w:id="715" w:name="_Toc146"/>
      <w:bookmarkStart w:id="716" w:name="_Toc12603"/>
      <w:bookmarkStart w:id="717" w:name="_Toc30356"/>
      <w:bookmarkStart w:id="718" w:name="_Toc27946"/>
      <w:bookmarkStart w:id="719" w:name="_Toc12558"/>
      <w:bookmarkStart w:id="720" w:name="_Toc7477"/>
      <w:bookmarkStart w:id="721" w:name="_Toc15733"/>
      <w:bookmarkStart w:id="722" w:name="_Toc2696"/>
      <w:bookmarkStart w:id="723" w:name="_Toc8780"/>
      <w:bookmarkStart w:id="724" w:name="_Toc14382"/>
      <w:bookmarkStart w:id="725" w:name="_Toc14033"/>
      <w:bookmarkStart w:id="726" w:name="_Toc8652"/>
      <w:bookmarkStart w:id="727" w:name="_Toc28722"/>
      <w:bookmarkStart w:id="728" w:name="_Toc10803"/>
      <w:bookmarkStart w:id="729" w:name="_Toc23665"/>
      <w:bookmarkStart w:id="730" w:name="_Toc10459"/>
      <w:r>
        <w:rPr>
          <w:rFonts w:hint="eastAsia" w:ascii="宋体" w:hAnsi="宋体"/>
          <w:b/>
          <w:kern w:val="0"/>
          <w:sz w:val="24"/>
          <w:szCs w:val="24"/>
        </w:rPr>
        <w:t>三、投标文件的密封与标识</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3"/>
        <w:ind w:left="0" w:leftChars="0" w:firstLine="480" w:firstLineChars="200"/>
        <w:rPr>
          <w:rFonts w:ascii="宋体" w:hAnsi="宋体"/>
          <w:sz w:val="24"/>
          <w:szCs w:val="24"/>
        </w:rPr>
      </w:pPr>
      <w:r>
        <w:rPr>
          <w:rFonts w:hint="eastAsia" w:ascii="宋体" w:hAnsi="宋体"/>
          <w:sz w:val="24"/>
          <w:szCs w:val="24"/>
        </w:rPr>
        <w:t>1．投标文件必须按规定密封，在外层包封封口处加盖投标人单位公章；</w:t>
      </w:r>
    </w:p>
    <w:p>
      <w:pPr>
        <w:pStyle w:val="3"/>
        <w:ind w:left="0" w:leftChars="0" w:firstLine="480" w:firstLineChars="200"/>
        <w:rPr>
          <w:rFonts w:ascii="宋体" w:hAnsi="宋体"/>
          <w:sz w:val="24"/>
          <w:szCs w:val="24"/>
        </w:rPr>
      </w:pPr>
      <w:r>
        <w:rPr>
          <w:rFonts w:hint="eastAsia" w:ascii="宋体" w:hAnsi="宋体"/>
          <w:sz w:val="24"/>
          <w:szCs w:val="24"/>
        </w:rPr>
        <w:t>2．投标人应按以下规定包封投标文件并加写标识：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将投标文件的所有标书统一密封包装成一包，密封加盖投标人公章。</w:t>
      </w:r>
    </w:p>
    <w:p>
      <w:pPr>
        <w:spacing w:line="360" w:lineRule="auto"/>
        <w:ind w:firstLine="482" w:firstLineChars="200"/>
        <w:rPr>
          <w:rFonts w:ascii="宋体" w:hAnsi="宋体"/>
          <w:b/>
          <w:sz w:val="24"/>
          <w:szCs w:val="24"/>
        </w:rPr>
      </w:pPr>
      <w:r>
        <w:rPr>
          <w:rFonts w:hint="eastAsia" w:ascii="宋体" w:hAnsi="宋体"/>
          <w:b/>
          <w:bCs/>
          <w:sz w:val="24"/>
          <w:szCs w:val="24"/>
        </w:rPr>
        <w:t>项目名称：</w:t>
      </w:r>
      <w:r>
        <w:rPr>
          <w:rFonts w:hint="eastAsia" w:ascii="宋体" w:hAnsi="宋体" w:cs="仿宋_GB2312"/>
          <w:b/>
          <w:bCs/>
          <w:sz w:val="24"/>
          <w:szCs w:val="24"/>
          <w:u w:val="single"/>
          <w:lang w:eastAsia="zh-CN"/>
        </w:rPr>
        <w:t>赤湾停车场物业开发项目</w:t>
      </w:r>
      <w:r>
        <w:rPr>
          <w:rFonts w:hint="eastAsia" w:ascii="宋体" w:hAnsi="宋体" w:cs="仿宋_GB2312"/>
          <w:b/>
          <w:bCs/>
          <w:sz w:val="24"/>
          <w:szCs w:val="24"/>
          <w:u w:val="single"/>
        </w:rPr>
        <w:t>按揭合作银行</w:t>
      </w:r>
      <w:r>
        <w:rPr>
          <w:rFonts w:hint="eastAsia" w:ascii="宋体" w:hAnsi="宋体"/>
          <w:b/>
          <w:sz w:val="24"/>
          <w:szCs w:val="24"/>
        </w:rPr>
        <w:t>投标文件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rPr>
      </w:pPr>
      <w:r>
        <w:rPr>
          <w:rFonts w:hint="eastAsia" w:ascii="宋体" w:hAnsi="宋体"/>
          <w:b/>
          <w:bCs/>
          <w:sz w:val="24"/>
          <w:szCs w:val="24"/>
        </w:rPr>
        <w:t>投标人名称：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rPr>
      </w:pPr>
      <w:r>
        <w:rPr>
          <w:rFonts w:hint="eastAsia" w:ascii="宋体" w:hAnsi="宋体"/>
          <w:b/>
          <w:bCs/>
          <w:sz w:val="24"/>
          <w:szCs w:val="24"/>
        </w:rPr>
        <w:t>投标人地址：</w:t>
      </w:r>
      <w:bookmarkStart w:id="731" w:name="_Toc518494133"/>
      <w:bookmarkStart w:id="732" w:name="_Toc57731971"/>
    </w:p>
    <w:p>
      <w:pPr>
        <w:pStyle w:val="6"/>
        <w:spacing w:before="140" w:after="0" w:line="360" w:lineRule="auto"/>
        <w:rPr>
          <w:rFonts w:ascii="宋体" w:hAnsi="宋体" w:eastAsia="宋体"/>
          <w:b/>
        </w:rPr>
      </w:pPr>
      <w:bookmarkStart w:id="733" w:name="_Toc25673"/>
      <w:bookmarkStart w:id="734" w:name="_Toc28473"/>
      <w:bookmarkStart w:id="735" w:name="_Toc28032"/>
      <w:bookmarkStart w:id="736" w:name="_Toc25705"/>
      <w:bookmarkStart w:id="737" w:name="_Toc29339"/>
      <w:bookmarkStart w:id="738" w:name="_Toc30094"/>
      <w:bookmarkStart w:id="739" w:name="_Toc28865"/>
      <w:bookmarkStart w:id="740" w:name="_Toc29401"/>
      <w:bookmarkStart w:id="741" w:name="_Toc24237"/>
      <w:bookmarkStart w:id="742" w:name="_Toc7115"/>
      <w:bookmarkStart w:id="743" w:name="_Toc5519"/>
      <w:bookmarkStart w:id="744" w:name="_Toc11783"/>
      <w:bookmarkStart w:id="745" w:name="_Toc2934"/>
      <w:bookmarkStart w:id="746" w:name="_Toc2848"/>
      <w:bookmarkStart w:id="747" w:name="_Toc30966"/>
      <w:bookmarkStart w:id="748" w:name="_Toc30513"/>
      <w:bookmarkStart w:id="749" w:name="_Toc27794"/>
      <w:bookmarkStart w:id="750" w:name="_Toc17704"/>
      <w:bookmarkStart w:id="751" w:name="_Toc7953"/>
      <w:bookmarkStart w:id="752" w:name="_Toc27222"/>
      <w:bookmarkStart w:id="753" w:name="_Toc29432"/>
      <w:bookmarkStart w:id="754" w:name="_Toc8682"/>
      <w:bookmarkStart w:id="755" w:name="_Toc5083"/>
      <w:bookmarkStart w:id="756" w:name="_Toc24419"/>
      <w:bookmarkStart w:id="757" w:name="_Toc20881"/>
      <w:bookmarkStart w:id="758" w:name="_Toc2835"/>
      <w:bookmarkStart w:id="759" w:name="_Toc4079"/>
      <w:bookmarkStart w:id="760" w:name="_Toc18964"/>
      <w:bookmarkStart w:id="761" w:name="_Toc15855"/>
      <w:bookmarkStart w:id="762" w:name="_Toc7026"/>
      <w:bookmarkStart w:id="763" w:name="_Toc26098"/>
      <w:bookmarkStart w:id="764" w:name="_Toc20868"/>
      <w:bookmarkStart w:id="765" w:name="_Toc30297"/>
      <w:r>
        <w:rPr>
          <w:rFonts w:hint="eastAsia" w:ascii="宋体" w:hAnsi="宋体" w:eastAsia="宋体"/>
          <w:b/>
        </w:rPr>
        <w:t>第五章 投标文件递交</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spacing w:line="360" w:lineRule="auto"/>
        <w:ind w:firstLine="480" w:firstLineChars="200"/>
        <w:rPr>
          <w:rFonts w:ascii="宋体" w:hAnsi="宋体"/>
          <w:b/>
          <w:sz w:val="24"/>
        </w:rPr>
      </w:pPr>
      <w:r>
        <w:rPr>
          <w:rFonts w:hint="eastAsia" w:ascii="宋体" w:hAnsi="宋体"/>
          <w:sz w:val="24"/>
        </w:rPr>
        <w:t>一、投标人应按本投标须知</w:t>
      </w:r>
      <w:r>
        <w:rPr>
          <w:rFonts w:hint="eastAsia" w:ascii="宋体" w:hAnsi="宋体"/>
          <w:b/>
          <w:bCs/>
          <w:sz w:val="24"/>
        </w:rPr>
        <w:t>规定</w:t>
      </w:r>
      <w:r>
        <w:rPr>
          <w:rFonts w:hint="eastAsia" w:ascii="宋体" w:hAnsi="宋体"/>
          <w:sz w:val="24"/>
        </w:rPr>
        <w:t>的地点、日期和时间递交投标文件。</w:t>
      </w:r>
      <w:r>
        <w:rPr>
          <w:rFonts w:ascii="宋体" w:hAnsi="宋体"/>
          <w:b/>
          <w:sz w:val="24"/>
        </w:rPr>
        <w:t>递交</w:t>
      </w:r>
      <w:r>
        <w:rPr>
          <w:rFonts w:hint="eastAsia" w:ascii="宋体" w:hAnsi="宋体"/>
          <w:b/>
          <w:sz w:val="24"/>
        </w:rPr>
        <w:t>投标</w:t>
      </w:r>
      <w:r>
        <w:rPr>
          <w:rFonts w:ascii="宋体" w:hAnsi="宋体"/>
          <w:b/>
          <w:sz w:val="24"/>
        </w:rPr>
        <w:t>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招标</w:t>
      </w:r>
      <w:r>
        <w:rPr>
          <w:rFonts w:ascii="宋体" w:hAnsi="宋体"/>
          <w:sz w:val="24"/>
        </w:rPr>
        <w:t>文件所</w:t>
      </w:r>
      <w:r>
        <w:rPr>
          <w:rFonts w:hint="eastAsia" w:ascii="宋体" w:hAnsi="宋体"/>
          <w:sz w:val="24"/>
        </w:rPr>
        <w:t>述</w:t>
      </w:r>
      <w:r>
        <w:rPr>
          <w:rFonts w:ascii="宋体" w:hAnsi="宋体"/>
          <w:sz w:val="24"/>
        </w:rPr>
        <w:t>法定代表人</w:t>
      </w:r>
      <w:r>
        <w:rPr>
          <w:rFonts w:hint="eastAsia" w:ascii="宋体" w:hAnsi="宋体"/>
          <w:sz w:val="24"/>
        </w:rPr>
        <w:t>即</w:t>
      </w:r>
      <w:r>
        <w:rPr>
          <w:rFonts w:ascii="宋体" w:hAnsi="宋体"/>
          <w:sz w:val="24"/>
        </w:rPr>
        <w:t>法定代表人或法定负责人。</w:t>
      </w:r>
    </w:p>
    <w:p>
      <w:pPr>
        <w:spacing w:line="360" w:lineRule="auto"/>
        <w:ind w:firstLine="480" w:firstLineChars="200"/>
        <w:rPr>
          <w:rFonts w:ascii="宋体" w:hAnsi="宋体"/>
          <w:sz w:val="24"/>
        </w:rPr>
      </w:pPr>
      <w:r>
        <w:rPr>
          <w:rFonts w:hint="eastAsia" w:ascii="宋体" w:hAnsi="宋体"/>
          <w:sz w:val="24"/>
        </w:rPr>
        <w:t>二、逾期的投标文件</w:t>
      </w:r>
    </w:p>
    <w:p>
      <w:pPr>
        <w:spacing w:line="360" w:lineRule="auto"/>
        <w:ind w:firstLine="480" w:firstLineChars="200"/>
        <w:rPr>
          <w:rFonts w:ascii="宋体" w:hAnsi="宋体"/>
          <w:b/>
          <w:sz w:val="24"/>
        </w:rPr>
      </w:pPr>
      <w:r>
        <w:rPr>
          <w:rFonts w:ascii="宋体" w:hAnsi="宋体"/>
          <w:sz w:val="24"/>
        </w:rPr>
        <w:t>在本</w:t>
      </w:r>
      <w:r>
        <w:rPr>
          <w:rFonts w:hint="eastAsia" w:ascii="宋体" w:hAnsi="宋体"/>
          <w:sz w:val="24"/>
        </w:rPr>
        <w:t>投标</w:t>
      </w:r>
      <w:r>
        <w:rPr>
          <w:rFonts w:ascii="宋体" w:hAnsi="宋体"/>
          <w:sz w:val="24"/>
        </w:rPr>
        <w:t>须知第一章规定的</w:t>
      </w:r>
      <w:r>
        <w:rPr>
          <w:rFonts w:hint="eastAsia" w:ascii="宋体" w:hAnsi="宋体"/>
          <w:sz w:val="24"/>
        </w:rPr>
        <w:t>投标</w:t>
      </w:r>
      <w:r>
        <w:rPr>
          <w:rFonts w:ascii="宋体" w:hAnsi="宋体"/>
          <w:sz w:val="24"/>
        </w:rPr>
        <w:t>截止期以后送达的或者未送达指定地点的</w:t>
      </w:r>
      <w:r>
        <w:rPr>
          <w:rFonts w:hint="eastAsia" w:ascii="宋体" w:hAnsi="宋体"/>
          <w:sz w:val="24"/>
        </w:rPr>
        <w:t>投标</w:t>
      </w:r>
      <w:r>
        <w:rPr>
          <w:rFonts w:ascii="宋体" w:hAnsi="宋体"/>
          <w:sz w:val="24"/>
        </w:rPr>
        <w:t>文件将不予受理。</w:t>
      </w:r>
      <w:r>
        <w:rPr>
          <w:rFonts w:hint="eastAsia" w:ascii="宋体" w:hAnsi="宋体"/>
          <w:sz w:val="24"/>
        </w:rPr>
        <w:t>投标人在递交投标文件时应遵照工作人员的安排有秩序地进行。</w:t>
      </w:r>
    </w:p>
    <w:p>
      <w:pPr>
        <w:pStyle w:val="6"/>
        <w:spacing w:after="0" w:line="360" w:lineRule="auto"/>
        <w:rPr>
          <w:rFonts w:ascii="宋体" w:hAnsi="宋体" w:eastAsia="宋体"/>
          <w:b/>
        </w:rPr>
      </w:pPr>
      <w:bookmarkStart w:id="766" w:name="_Toc11871"/>
      <w:bookmarkStart w:id="767" w:name="_Toc57731972"/>
      <w:bookmarkStart w:id="768" w:name="_Toc24596"/>
      <w:bookmarkStart w:id="769" w:name="_Toc5008"/>
      <w:bookmarkStart w:id="770" w:name="_Toc28388"/>
      <w:bookmarkStart w:id="771" w:name="_Toc26896"/>
      <w:bookmarkStart w:id="772" w:name="_Toc10986"/>
      <w:bookmarkStart w:id="773" w:name="_Toc20437"/>
      <w:bookmarkStart w:id="774" w:name="_Toc9280"/>
      <w:bookmarkStart w:id="775" w:name="_Toc29785"/>
      <w:bookmarkStart w:id="776" w:name="_Toc24666"/>
      <w:bookmarkStart w:id="777" w:name="_Toc15230"/>
      <w:bookmarkStart w:id="778" w:name="_Toc26291"/>
      <w:bookmarkStart w:id="779" w:name="_Toc1970"/>
      <w:bookmarkStart w:id="780" w:name="_Toc28124"/>
      <w:bookmarkStart w:id="781" w:name="_Toc6760"/>
      <w:bookmarkStart w:id="782" w:name="_Toc22441"/>
      <w:bookmarkStart w:id="783" w:name="_Toc20150"/>
      <w:bookmarkStart w:id="784" w:name="_Toc17615"/>
      <w:bookmarkStart w:id="785" w:name="_Toc14710"/>
      <w:bookmarkStart w:id="786" w:name="_Toc11456"/>
      <w:bookmarkStart w:id="787" w:name="_Toc18854"/>
      <w:bookmarkStart w:id="788" w:name="_Toc434"/>
      <w:bookmarkStart w:id="789" w:name="_Toc27341"/>
      <w:bookmarkStart w:id="790" w:name="_Toc8347"/>
      <w:bookmarkStart w:id="791" w:name="_Toc31055"/>
      <w:bookmarkStart w:id="792" w:name="_Toc11881"/>
      <w:bookmarkStart w:id="793" w:name="_Toc32552"/>
      <w:bookmarkStart w:id="794" w:name="_Toc26340"/>
      <w:bookmarkStart w:id="795" w:name="_Toc2591"/>
      <w:bookmarkStart w:id="796" w:name="_Toc16974"/>
      <w:bookmarkStart w:id="797" w:name="_Toc11883"/>
      <w:bookmarkStart w:id="798" w:name="_Toc32022"/>
      <w:bookmarkStart w:id="799" w:name="_Toc22355"/>
      <w:r>
        <w:rPr>
          <w:rFonts w:hint="eastAsia" w:ascii="宋体" w:hAnsi="宋体" w:eastAsia="宋体"/>
          <w:b/>
        </w:rPr>
        <w:t>第六章  投标有效期</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spacing w:line="360" w:lineRule="auto"/>
        <w:ind w:firstLine="480" w:firstLineChars="200"/>
        <w:rPr>
          <w:rFonts w:ascii="宋体" w:hAnsi="宋体"/>
          <w:sz w:val="24"/>
          <w:szCs w:val="24"/>
        </w:rPr>
      </w:pPr>
      <w:r>
        <w:rPr>
          <w:rFonts w:hint="eastAsia" w:ascii="宋体" w:hAnsi="宋体"/>
          <w:sz w:val="24"/>
          <w:szCs w:val="24"/>
        </w:rPr>
        <w:t>一、自规定的投标文件递交截止期限起</w:t>
      </w:r>
      <w:r>
        <w:rPr>
          <w:rFonts w:ascii="宋体" w:hAnsi="宋体"/>
          <w:sz w:val="24"/>
          <w:szCs w:val="24"/>
        </w:rPr>
        <w:t>180</w:t>
      </w:r>
      <w:r>
        <w:rPr>
          <w:rFonts w:hint="eastAsia" w:ascii="宋体" w:hAnsi="宋体"/>
          <w:sz w:val="24"/>
          <w:szCs w:val="24"/>
        </w:rPr>
        <w:t>天内，投标文件均保持有效。</w:t>
      </w:r>
    </w:p>
    <w:p>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在原定</w:t>
      </w:r>
      <w:r>
        <w:rPr>
          <w:rFonts w:hint="eastAsia" w:ascii="宋体" w:hAnsi="宋体"/>
          <w:sz w:val="24"/>
          <w:szCs w:val="24"/>
        </w:rPr>
        <w:t>投标</w:t>
      </w:r>
      <w:r>
        <w:rPr>
          <w:rFonts w:ascii="宋体" w:hAnsi="宋体"/>
          <w:sz w:val="24"/>
          <w:szCs w:val="24"/>
        </w:rPr>
        <w:t>有效期满之前，</w:t>
      </w:r>
      <w:r>
        <w:rPr>
          <w:rFonts w:hint="eastAsia" w:ascii="宋体" w:hAnsi="宋体"/>
          <w:sz w:val="24"/>
          <w:szCs w:val="24"/>
        </w:rPr>
        <w:t>招标</w:t>
      </w:r>
      <w:r>
        <w:rPr>
          <w:rFonts w:ascii="宋体" w:hAnsi="宋体"/>
          <w:sz w:val="24"/>
          <w:szCs w:val="24"/>
        </w:rPr>
        <w:t>人可以根据需要以书面形式向</w:t>
      </w:r>
      <w:r>
        <w:rPr>
          <w:rFonts w:hint="eastAsia" w:ascii="宋体" w:hAnsi="宋体"/>
          <w:sz w:val="24"/>
          <w:szCs w:val="24"/>
        </w:rPr>
        <w:t>投标</w:t>
      </w:r>
      <w:r>
        <w:rPr>
          <w:rFonts w:ascii="宋体" w:hAnsi="宋体"/>
          <w:sz w:val="24"/>
          <w:szCs w:val="24"/>
        </w:rPr>
        <w:t>人提出延长</w:t>
      </w:r>
      <w:r>
        <w:rPr>
          <w:rFonts w:hint="eastAsia" w:ascii="宋体" w:hAnsi="宋体"/>
          <w:sz w:val="24"/>
          <w:szCs w:val="24"/>
        </w:rPr>
        <w:t>投标</w:t>
      </w:r>
      <w:r>
        <w:rPr>
          <w:rFonts w:ascii="宋体" w:hAnsi="宋体"/>
          <w:sz w:val="24"/>
          <w:szCs w:val="24"/>
        </w:rPr>
        <w:t>有效期的要求，对此要求</w:t>
      </w:r>
      <w:r>
        <w:rPr>
          <w:rFonts w:hint="eastAsia" w:ascii="宋体" w:hAnsi="宋体"/>
          <w:sz w:val="24"/>
          <w:szCs w:val="24"/>
        </w:rPr>
        <w:t>投标</w:t>
      </w:r>
      <w:r>
        <w:rPr>
          <w:rFonts w:ascii="宋体" w:hAnsi="宋体"/>
          <w:sz w:val="24"/>
          <w:szCs w:val="24"/>
        </w:rPr>
        <w:t>人须以书面形式予以答复。同意延长</w:t>
      </w:r>
      <w:r>
        <w:rPr>
          <w:rFonts w:hint="eastAsia" w:ascii="宋体" w:hAnsi="宋体"/>
          <w:sz w:val="24"/>
          <w:szCs w:val="24"/>
        </w:rPr>
        <w:t>投标</w:t>
      </w:r>
      <w:r>
        <w:rPr>
          <w:rFonts w:ascii="宋体" w:hAnsi="宋体"/>
          <w:sz w:val="24"/>
          <w:szCs w:val="24"/>
        </w:rPr>
        <w:t>有效期的</w:t>
      </w:r>
      <w:r>
        <w:rPr>
          <w:rFonts w:hint="eastAsia" w:ascii="宋体" w:hAnsi="宋体"/>
          <w:sz w:val="24"/>
          <w:szCs w:val="24"/>
        </w:rPr>
        <w:t>投标</w:t>
      </w:r>
      <w:r>
        <w:rPr>
          <w:rFonts w:ascii="宋体" w:hAnsi="宋体"/>
          <w:sz w:val="24"/>
          <w:szCs w:val="24"/>
        </w:rPr>
        <w:t>人不能要求也不允许修改其</w:t>
      </w:r>
      <w:r>
        <w:rPr>
          <w:rFonts w:hint="eastAsia" w:ascii="宋体" w:hAnsi="宋体"/>
          <w:sz w:val="24"/>
          <w:szCs w:val="24"/>
        </w:rPr>
        <w:t>投标</w:t>
      </w:r>
      <w:r>
        <w:rPr>
          <w:rFonts w:ascii="宋体" w:hAnsi="宋体"/>
          <w:sz w:val="24"/>
          <w:szCs w:val="24"/>
        </w:rPr>
        <w:t>文件。</w:t>
      </w:r>
    </w:p>
    <w:p>
      <w:pPr>
        <w:pStyle w:val="6"/>
        <w:spacing w:after="0" w:line="360" w:lineRule="auto"/>
        <w:rPr>
          <w:rFonts w:ascii="宋体" w:hAnsi="宋体" w:eastAsia="宋体"/>
          <w:b/>
        </w:rPr>
      </w:pPr>
      <w:bookmarkStart w:id="800" w:name="_Toc24911"/>
      <w:bookmarkStart w:id="801" w:name="_Toc6708"/>
      <w:bookmarkStart w:id="802" w:name="_Toc10779"/>
      <w:bookmarkStart w:id="803" w:name="_Toc25135"/>
      <w:bookmarkStart w:id="804" w:name="_Toc21297"/>
      <w:bookmarkStart w:id="805" w:name="_Toc11082"/>
      <w:bookmarkStart w:id="806" w:name="_Toc22836"/>
      <w:bookmarkStart w:id="807" w:name="_Toc5675"/>
      <w:bookmarkStart w:id="808" w:name="_Toc23640"/>
      <w:bookmarkStart w:id="809" w:name="_Toc25208"/>
      <w:bookmarkStart w:id="810" w:name="_Toc12710"/>
      <w:bookmarkStart w:id="811" w:name="_Toc2257"/>
      <w:bookmarkStart w:id="812" w:name="_Toc11402"/>
      <w:bookmarkStart w:id="813" w:name="_Toc27108"/>
      <w:bookmarkStart w:id="814" w:name="_Toc4504"/>
      <w:bookmarkStart w:id="815" w:name="_Toc9740"/>
      <w:bookmarkStart w:id="816" w:name="_Toc13631"/>
      <w:bookmarkStart w:id="817" w:name="_Toc14745"/>
      <w:bookmarkStart w:id="818" w:name="_Toc25188"/>
      <w:bookmarkStart w:id="819" w:name="_Toc31603"/>
      <w:bookmarkStart w:id="820" w:name="_Toc26847"/>
      <w:bookmarkStart w:id="821" w:name="_Toc18016"/>
      <w:bookmarkStart w:id="822" w:name="_Toc518494135"/>
      <w:bookmarkStart w:id="823" w:name="_Toc17710"/>
      <w:bookmarkStart w:id="824" w:name="_Toc14640"/>
      <w:bookmarkStart w:id="825" w:name="_Toc8371"/>
      <w:bookmarkStart w:id="826" w:name="_Toc2680"/>
      <w:bookmarkStart w:id="827" w:name="_Toc5464"/>
      <w:bookmarkStart w:id="828" w:name="_Toc4023"/>
      <w:bookmarkStart w:id="829" w:name="_Toc3687"/>
      <w:bookmarkStart w:id="830" w:name="_Toc23932"/>
      <w:bookmarkStart w:id="831" w:name="_Toc57731973"/>
      <w:bookmarkStart w:id="832" w:name="_Toc19545"/>
      <w:bookmarkStart w:id="833" w:name="_Toc17513"/>
      <w:bookmarkStart w:id="834" w:name="_Toc18938"/>
      <w:r>
        <w:rPr>
          <w:rFonts w:hint="eastAsia" w:ascii="宋体" w:hAnsi="宋体" w:eastAsia="宋体"/>
          <w:b/>
        </w:rPr>
        <w:t>第七章  开标</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spacing w:line="360" w:lineRule="auto"/>
        <w:ind w:firstLine="480" w:firstLineChars="200"/>
        <w:rPr>
          <w:rFonts w:ascii="宋体" w:hAnsi="宋体"/>
          <w:sz w:val="24"/>
          <w:szCs w:val="24"/>
        </w:rPr>
      </w:pPr>
      <w:r>
        <w:rPr>
          <w:rFonts w:hint="eastAsia" w:ascii="宋体" w:hAnsi="宋体"/>
          <w:sz w:val="24"/>
          <w:szCs w:val="24"/>
        </w:rPr>
        <w:t>一、截标后首先进入开标环节，招标人将于投标</w:t>
      </w:r>
      <w:r>
        <w:rPr>
          <w:rFonts w:ascii="宋体" w:hAnsi="宋体"/>
          <w:sz w:val="24"/>
          <w:szCs w:val="24"/>
        </w:rPr>
        <w:t>须知所</w:t>
      </w:r>
      <w:r>
        <w:rPr>
          <w:rFonts w:hint="eastAsia" w:ascii="宋体" w:hAnsi="宋体"/>
          <w:sz w:val="24"/>
          <w:szCs w:val="24"/>
        </w:rPr>
        <w:t>规定的时间和地点公开举行开标会议，所有投标人代表参加。</w:t>
      </w:r>
    </w:p>
    <w:p>
      <w:pPr>
        <w:spacing w:line="360" w:lineRule="auto"/>
        <w:ind w:firstLine="480" w:firstLineChars="200"/>
        <w:rPr>
          <w:rFonts w:ascii="宋体" w:hAnsi="宋体"/>
          <w:sz w:val="24"/>
          <w:szCs w:val="24"/>
        </w:rPr>
      </w:pPr>
      <w:r>
        <w:rPr>
          <w:rFonts w:hint="eastAsia" w:ascii="宋体" w:hAnsi="宋体"/>
          <w:sz w:val="24"/>
          <w:szCs w:val="24"/>
        </w:rPr>
        <w:t>二、参加开标会议的投标人只能委派一名代表，且必须是投标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开标会议由</w:t>
      </w:r>
      <w:r>
        <w:rPr>
          <w:rFonts w:hint="eastAsia" w:ascii="宋体" w:hAnsi="宋体"/>
          <w:sz w:val="24"/>
          <w:szCs w:val="24"/>
        </w:rPr>
        <w:t>招标</w:t>
      </w:r>
      <w:r>
        <w:rPr>
          <w:rFonts w:ascii="宋体" w:hAnsi="宋体"/>
          <w:sz w:val="24"/>
          <w:szCs w:val="24"/>
        </w:rPr>
        <w:t>人主持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w:t>
      </w:r>
      <w:r>
        <w:rPr>
          <w:rFonts w:hint="eastAsia" w:ascii="宋体" w:hAnsi="宋体"/>
          <w:sz w:val="24"/>
          <w:szCs w:val="24"/>
        </w:rPr>
        <w:t>招标</w:t>
      </w:r>
      <w:r>
        <w:rPr>
          <w:rFonts w:ascii="宋体" w:hAnsi="宋体"/>
          <w:sz w:val="24"/>
          <w:szCs w:val="24"/>
        </w:rPr>
        <w:t>人监</w:t>
      </w:r>
      <w:r>
        <w:rPr>
          <w:rFonts w:hint="eastAsia" w:ascii="宋体" w:hAnsi="宋体"/>
          <w:sz w:val="24"/>
          <w:szCs w:val="24"/>
        </w:rPr>
        <w:t>审人员</w:t>
      </w:r>
      <w:r>
        <w:rPr>
          <w:rFonts w:ascii="宋体" w:hAnsi="宋体"/>
          <w:sz w:val="24"/>
          <w:szCs w:val="24"/>
        </w:rPr>
        <w:t>及</w:t>
      </w:r>
      <w:r>
        <w:rPr>
          <w:rFonts w:hint="eastAsia" w:ascii="宋体" w:hAnsi="宋体"/>
          <w:sz w:val="24"/>
          <w:szCs w:val="24"/>
        </w:rPr>
        <w:t>投标</w:t>
      </w:r>
      <w:r>
        <w:rPr>
          <w:rFonts w:ascii="宋体" w:hAnsi="宋体"/>
          <w:sz w:val="24"/>
          <w:szCs w:val="24"/>
        </w:rPr>
        <w:t>人监督检查</w:t>
      </w:r>
      <w:r>
        <w:rPr>
          <w:rFonts w:hint="eastAsia" w:ascii="宋体" w:hAnsi="宋体"/>
          <w:sz w:val="24"/>
          <w:szCs w:val="24"/>
        </w:rPr>
        <w:t>所有投标</w:t>
      </w:r>
      <w:r>
        <w:rPr>
          <w:rFonts w:ascii="宋体" w:hAnsi="宋体"/>
          <w:sz w:val="24"/>
          <w:szCs w:val="24"/>
        </w:rPr>
        <w:t>文件的密封情况</w:t>
      </w:r>
      <w:r>
        <w:rPr>
          <w:rFonts w:hint="eastAsia" w:ascii="宋体" w:hAnsi="宋体"/>
          <w:sz w:val="24"/>
          <w:szCs w:val="24"/>
        </w:rPr>
        <w:t>，也可以由招标人委托的公证机构进行检查并公证。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835" w:name="_Hlk77375959"/>
      <w:r>
        <w:rPr>
          <w:rFonts w:hint="eastAsia" w:ascii="宋体" w:hAnsi="宋体"/>
          <w:sz w:val="24"/>
          <w:szCs w:val="24"/>
        </w:rPr>
        <w:t>经确认无误后，</w:t>
      </w:r>
      <w:bookmarkStart w:id="836" w:name="_Hlk77373092"/>
      <w:r>
        <w:rPr>
          <w:rFonts w:hint="eastAsia" w:ascii="宋体" w:hAnsi="宋体"/>
          <w:sz w:val="24"/>
          <w:szCs w:val="24"/>
        </w:rPr>
        <w:t>由招标人按各投标单位签到的先后时间顺序，当众拆封所有投标文件。招标</w:t>
      </w:r>
      <w:r>
        <w:rPr>
          <w:rFonts w:ascii="宋体" w:hAnsi="宋体"/>
          <w:sz w:val="24"/>
          <w:szCs w:val="24"/>
        </w:rPr>
        <w:t>人工作人员</w:t>
      </w:r>
      <w:r>
        <w:rPr>
          <w:rFonts w:hint="eastAsia" w:ascii="宋体" w:hAnsi="宋体"/>
          <w:sz w:val="24"/>
          <w:szCs w:val="24"/>
        </w:rPr>
        <w:t>宣读投标人名称等</w:t>
      </w:r>
      <w:bookmarkEnd w:id="835"/>
      <w:bookmarkEnd w:id="836"/>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六、招标人将作开标记录，并由投标人签字确认，以存档备查。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七、按本须知规定宣布为不予受理情形的投标文件，不予送交评标委员会评审。</w:t>
      </w:r>
    </w:p>
    <w:p>
      <w:pPr>
        <w:spacing w:line="360" w:lineRule="auto"/>
        <w:ind w:firstLine="480" w:firstLineChars="200"/>
        <w:rPr>
          <w:rFonts w:ascii="宋体" w:hAnsi="宋体"/>
          <w:bCs/>
          <w:sz w:val="24"/>
          <w:szCs w:val="24"/>
        </w:rPr>
      </w:pPr>
      <w:r>
        <w:rPr>
          <w:rFonts w:hint="eastAsia" w:ascii="宋体" w:hAnsi="宋体"/>
          <w:sz w:val="24"/>
          <w:szCs w:val="24"/>
        </w:rPr>
        <w:t>八、开标结束后，进入评标环节。</w:t>
      </w:r>
    </w:p>
    <w:p>
      <w:pPr>
        <w:spacing w:line="360" w:lineRule="auto"/>
        <w:ind w:firstLine="482" w:firstLineChars="200"/>
        <w:rPr>
          <w:rFonts w:ascii="宋体" w:hAnsi="宋体"/>
          <w:b/>
          <w:sz w:val="24"/>
          <w:szCs w:val="24"/>
        </w:rPr>
      </w:pPr>
      <w:r>
        <w:rPr>
          <w:rFonts w:hint="eastAsia" w:ascii="宋体" w:hAnsi="宋体"/>
          <w:b/>
          <w:sz w:val="24"/>
          <w:szCs w:val="24"/>
        </w:rPr>
        <w:t>九、投标文件有下列情形之一的，招标人将不予受理：</w:t>
      </w:r>
    </w:p>
    <w:p>
      <w:pPr>
        <w:spacing w:line="360" w:lineRule="auto"/>
        <w:ind w:firstLine="480" w:firstLineChars="200"/>
        <w:rPr>
          <w:rFonts w:ascii="宋体" w:hAnsi="宋体"/>
          <w:b/>
          <w:sz w:val="24"/>
          <w:szCs w:val="24"/>
        </w:rPr>
      </w:pPr>
      <w:r>
        <w:rPr>
          <w:rFonts w:hint="eastAsia" w:ascii="宋体" w:hAnsi="宋体"/>
          <w:sz w:val="24"/>
          <w:szCs w:val="24"/>
        </w:rPr>
        <w:t>（1）投标</w:t>
      </w:r>
      <w:r>
        <w:rPr>
          <w:rFonts w:ascii="宋体" w:hAnsi="宋体"/>
          <w:sz w:val="24"/>
          <w:szCs w:val="24"/>
        </w:rPr>
        <w:t>文件在规定的</w:t>
      </w:r>
      <w:r>
        <w:rPr>
          <w:rFonts w:hint="eastAsia" w:ascii="宋体" w:hAnsi="宋体"/>
          <w:sz w:val="24"/>
          <w:szCs w:val="24"/>
        </w:rPr>
        <w:t>投标</w:t>
      </w:r>
      <w:r>
        <w:rPr>
          <w:rFonts w:ascii="宋体" w:hAnsi="宋体"/>
          <w:sz w:val="24"/>
          <w:szCs w:val="24"/>
        </w:rPr>
        <w:t>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（2）投标文件</w:t>
      </w:r>
      <w:r>
        <w:rPr>
          <w:rFonts w:ascii="宋体" w:hAnsi="宋体"/>
          <w:sz w:val="24"/>
          <w:szCs w:val="24"/>
        </w:rPr>
        <w:t>未按规定密封和加盖</w:t>
      </w:r>
      <w:r>
        <w:rPr>
          <w:rFonts w:hint="eastAsia" w:ascii="宋体" w:hAnsi="宋体"/>
          <w:sz w:val="24"/>
          <w:szCs w:val="24"/>
        </w:rPr>
        <w:t>投标</w:t>
      </w:r>
      <w:r>
        <w:rPr>
          <w:rFonts w:ascii="宋体" w:hAnsi="宋体"/>
          <w:sz w:val="24"/>
          <w:szCs w:val="24"/>
        </w:rPr>
        <w:t>人公章的</w:t>
      </w:r>
      <w:r>
        <w:rPr>
          <w:rFonts w:hint="eastAsia" w:ascii="宋体" w:hAnsi="宋体"/>
          <w:sz w:val="24"/>
          <w:szCs w:val="24"/>
        </w:rPr>
        <w:t>；</w:t>
      </w:r>
    </w:p>
    <w:p>
      <w:pPr>
        <w:spacing w:line="360" w:lineRule="auto"/>
        <w:ind w:firstLine="480" w:firstLineChars="200"/>
        <w:rPr>
          <w:rFonts w:ascii="宋体" w:hAnsi="宋体"/>
          <w:sz w:val="24"/>
        </w:rPr>
      </w:pPr>
      <w:r>
        <w:rPr>
          <w:rFonts w:hint="eastAsia" w:ascii="宋体" w:hAnsi="宋体"/>
          <w:sz w:val="24"/>
          <w:szCs w:val="24"/>
        </w:rPr>
        <w:t>（3）</w:t>
      </w:r>
      <w:r>
        <w:rPr>
          <w:rFonts w:hint="eastAsia" w:ascii="宋体" w:hAnsi="宋体"/>
          <w:sz w:val="24"/>
        </w:rPr>
        <w:t>如果外层包封没有按上述规定密封，招标人将不承担投标文件错放或提前开封的责任，由此造成的提前开封的投标文件，招标人予以拒绝，并退还给投标人。</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投标</w:t>
      </w:r>
      <w:r>
        <w:rPr>
          <w:rFonts w:ascii="宋体" w:hAnsi="宋体"/>
          <w:b/>
          <w:sz w:val="24"/>
        </w:rPr>
        <w:t>人如</w:t>
      </w:r>
      <w:r>
        <w:rPr>
          <w:rFonts w:hint="eastAsia" w:ascii="宋体" w:hAnsi="宋体"/>
          <w:b/>
          <w:sz w:val="24"/>
        </w:rPr>
        <w:t>对招标文件</w:t>
      </w:r>
      <w:r>
        <w:rPr>
          <w:rFonts w:ascii="宋体" w:hAnsi="宋体"/>
          <w:b/>
          <w:sz w:val="24"/>
        </w:rPr>
        <w:t>及</w:t>
      </w:r>
      <w:r>
        <w:rPr>
          <w:rFonts w:hint="eastAsia" w:ascii="宋体" w:hAnsi="宋体"/>
          <w:b/>
          <w:sz w:val="24"/>
        </w:rPr>
        <w:t>投标</w:t>
      </w:r>
      <w:r>
        <w:rPr>
          <w:rFonts w:ascii="宋体" w:hAnsi="宋体"/>
          <w:b/>
          <w:sz w:val="24"/>
        </w:rPr>
        <w:t>文件的编制有疑问，</w:t>
      </w:r>
      <w:r>
        <w:rPr>
          <w:rFonts w:hint="eastAsia" w:ascii="宋体" w:hAnsi="宋体"/>
          <w:b/>
          <w:sz w:val="24"/>
        </w:rPr>
        <w:t>请主动及时地</w:t>
      </w:r>
      <w:r>
        <w:rPr>
          <w:rFonts w:ascii="宋体" w:hAnsi="宋体"/>
          <w:b/>
          <w:sz w:val="24"/>
        </w:rPr>
        <w:t>联系</w:t>
      </w:r>
      <w:r>
        <w:rPr>
          <w:rFonts w:hint="eastAsia" w:ascii="宋体" w:hAnsi="宋体"/>
          <w:b/>
          <w:sz w:val="24"/>
        </w:rPr>
        <w:t>招标</w:t>
      </w:r>
      <w:r>
        <w:rPr>
          <w:rFonts w:ascii="宋体" w:hAnsi="宋体"/>
          <w:b/>
          <w:sz w:val="24"/>
        </w:rPr>
        <w:t>人。</w:t>
      </w:r>
      <w:bookmarkStart w:id="837" w:name="_Toc57731974"/>
      <w:bookmarkStart w:id="838" w:name="_Toc518494136"/>
    </w:p>
    <w:p>
      <w:pPr>
        <w:pStyle w:val="6"/>
        <w:spacing w:after="0" w:line="360" w:lineRule="auto"/>
        <w:rPr>
          <w:rFonts w:ascii="宋体" w:hAnsi="宋体" w:eastAsia="宋体"/>
          <w:b/>
        </w:rPr>
      </w:pPr>
      <w:bookmarkStart w:id="839" w:name="_Toc28263"/>
      <w:bookmarkStart w:id="840" w:name="_Toc23672"/>
      <w:bookmarkStart w:id="841" w:name="_Toc20939"/>
      <w:bookmarkStart w:id="842" w:name="_Toc3284"/>
      <w:bookmarkStart w:id="843" w:name="_Toc21189"/>
      <w:bookmarkStart w:id="844" w:name="_Toc661"/>
      <w:bookmarkStart w:id="845" w:name="_Toc4016"/>
      <w:bookmarkStart w:id="846" w:name="_Toc20787"/>
      <w:bookmarkStart w:id="847" w:name="_Toc28739"/>
      <w:bookmarkStart w:id="848" w:name="_Toc23404"/>
      <w:bookmarkStart w:id="849" w:name="_Toc18572"/>
      <w:bookmarkStart w:id="850" w:name="_Toc9805"/>
      <w:bookmarkStart w:id="851" w:name="_Toc23301"/>
      <w:bookmarkStart w:id="852" w:name="_Toc20980"/>
      <w:bookmarkStart w:id="853" w:name="_Toc22"/>
      <w:bookmarkStart w:id="854" w:name="_Toc1917"/>
      <w:bookmarkStart w:id="855" w:name="_Toc19112"/>
      <w:bookmarkStart w:id="856" w:name="_Toc24489"/>
      <w:bookmarkStart w:id="857" w:name="_Toc25300"/>
      <w:bookmarkStart w:id="858" w:name="_Toc26831"/>
      <w:bookmarkStart w:id="859" w:name="_Toc18691"/>
      <w:bookmarkStart w:id="860" w:name="_Toc24791"/>
      <w:bookmarkStart w:id="861" w:name="_Toc27508"/>
      <w:bookmarkStart w:id="862" w:name="_Toc346"/>
      <w:bookmarkStart w:id="863" w:name="_Toc17072"/>
      <w:bookmarkStart w:id="864" w:name="_Toc5223"/>
      <w:bookmarkStart w:id="865" w:name="_Toc16968"/>
      <w:bookmarkStart w:id="866" w:name="_Toc31248"/>
      <w:bookmarkStart w:id="867" w:name="_Toc23341"/>
      <w:bookmarkStart w:id="868" w:name="_Toc16623"/>
      <w:bookmarkStart w:id="869" w:name="_Toc24745"/>
      <w:bookmarkStart w:id="870" w:name="_Toc23092"/>
      <w:bookmarkStart w:id="871" w:name="_Toc7030"/>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评标</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spacing w:line="360" w:lineRule="auto"/>
        <w:ind w:firstLine="482" w:firstLineChars="200"/>
        <w:rPr>
          <w:rFonts w:ascii="宋体" w:hAnsi="宋体"/>
          <w:b/>
          <w:bCs/>
          <w:sz w:val="24"/>
          <w:szCs w:val="24"/>
        </w:rPr>
      </w:pPr>
      <w:r>
        <w:rPr>
          <w:rFonts w:hint="eastAsia" w:ascii="宋体" w:hAnsi="宋体"/>
          <w:b/>
          <w:bCs/>
          <w:sz w:val="24"/>
          <w:szCs w:val="24"/>
        </w:rPr>
        <w:t>一、开标环节结束后，进入评标环节。</w:t>
      </w:r>
    </w:p>
    <w:p>
      <w:pPr>
        <w:spacing w:line="360" w:lineRule="auto"/>
        <w:ind w:firstLine="480" w:firstLineChars="200"/>
        <w:rPr>
          <w:rFonts w:ascii="宋体" w:hAnsi="宋体"/>
          <w:bCs/>
          <w:sz w:val="24"/>
          <w:szCs w:val="24"/>
        </w:rPr>
      </w:pPr>
      <w:r>
        <w:rPr>
          <w:rFonts w:ascii="宋体" w:hAnsi="宋体"/>
          <w:bCs/>
          <w:sz w:val="24"/>
          <w:szCs w:val="24"/>
        </w:rPr>
        <w:t>评标委员会由</w:t>
      </w:r>
      <w:r>
        <w:rPr>
          <w:rFonts w:hint="eastAsia" w:ascii="宋体" w:hAnsi="宋体"/>
          <w:bCs/>
          <w:sz w:val="24"/>
          <w:szCs w:val="24"/>
        </w:rPr>
        <w:t>招标</w:t>
      </w:r>
      <w:r>
        <w:rPr>
          <w:rFonts w:ascii="宋体" w:hAnsi="宋体"/>
          <w:bCs/>
          <w:sz w:val="24"/>
          <w:szCs w:val="24"/>
        </w:rPr>
        <w:t>人组建，采用</w:t>
      </w:r>
      <w:r>
        <w:rPr>
          <w:rFonts w:hint="eastAsia" w:ascii="宋体" w:hAnsi="宋体"/>
          <w:b/>
          <w:sz w:val="24"/>
          <w:szCs w:val="24"/>
        </w:rPr>
        <w:t>“</w:t>
      </w:r>
      <w:r>
        <w:rPr>
          <w:rFonts w:ascii="宋体" w:hAnsi="宋体"/>
          <w:b/>
          <w:sz w:val="24"/>
          <w:szCs w:val="24"/>
        </w:rPr>
        <w:t>综合评</w:t>
      </w:r>
      <w:r>
        <w:rPr>
          <w:rFonts w:hint="eastAsia" w:ascii="宋体" w:hAnsi="宋体"/>
          <w:b/>
          <w:sz w:val="24"/>
          <w:szCs w:val="24"/>
        </w:rPr>
        <w:t>估</w:t>
      </w:r>
      <w:r>
        <w:rPr>
          <w:rFonts w:ascii="宋体" w:hAnsi="宋体"/>
          <w:b/>
          <w:sz w:val="24"/>
          <w:szCs w:val="24"/>
        </w:rPr>
        <w:t>法</w:t>
      </w:r>
      <w:r>
        <w:rPr>
          <w:rFonts w:hint="eastAsia" w:ascii="宋体" w:hAnsi="宋体"/>
          <w:b/>
          <w:sz w:val="24"/>
          <w:szCs w:val="24"/>
        </w:rPr>
        <w:t>”</w:t>
      </w:r>
      <w:r>
        <w:rPr>
          <w:rFonts w:hint="eastAsia" w:ascii="宋体" w:hAnsi="宋体"/>
          <w:bCs/>
          <w:sz w:val="24"/>
          <w:szCs w:val="24"/>
        </w:rPr>
        <w:t>，满分为100分。</w:t>
      </w:r>
      <w:r>
        <w:rPr>
          <w:rFonts w:ascii="宋体" w:hAnsi="宋体"/>
          <w:bCs/>
          <w:sz w:val="24"/>
          <w:szCs w:val="24"/>
        </w:rPr>
        <w:t>评标方法及评分标准详见附件</w:t>
      </w:r>
      <w:r>
        <w:rPr>
          <w:rFonts w:hint="eastAsia" w:ascii="宋体" w:hAnsi="宋体"/>
          <w:bCs/>
          <w:sz w:val="24"/>
          <w:szCs w:val="24"/>
        </w:rPr>
        <w:t>1</w:t>
      </w:r>
      <w:r>
        <w:rPr>
          <w:rFonts w:ascii="宋体" w:hAnsi="宋体"/>
          <w:bCs/>
          <w:sz w:val="24"/>
          <w:szCs w:val="24"/>
        </w:rPr>
        <w:t>《评标办法》。</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评标</w:t>
      </w:r>
    </w:p>
    <w:p>
      <w:pPr>
        <w:pStyle w:val="115"/>
        <w:tabs>
          <w:tab w:val="left" w:pos="993"/>
        </w:tabs>
        <w:spacing w:line="360" w:lineRule="auto"/>
        <w:ind w:firstLine="424" w:firstLineChars="177"/>
        <w:rPr>
          <w:rFonts w:ascii="宋体" w:hAnsi="宋体"/>
          <w:color w:val="0D0D0D"/>
          <w:sz w:val="24"/>
          <w:szCs w:val="24"/>
        </w:rPr>
      </w:pPr>
      <w:r>
        <w:rPr>
          <w:rFonts w:hint="eastAsia" w:ascii="宋体" w:hAnsi="宋体"/>
          <w:color w:val="0D0D0D"/>
          <w:sz w:val="24"/>
          <w:szCs w:val="24"/>
        </w:rPr>
        <w:t>（一）评标委员会对投标文件</w:t>
      </w:r>
      <w:r>
        <w:rPr>
          <w:rFonts w:hint="eastAsia" w:ascii="宋体" w:hAnsi="宋体"/>
          <w:bCs/>
          <w:color w:val="0D0D0D"/>
          <w:sz w:val="24"/>
          <w:szCs w:val="24"/>
        </w:rPr>
        <w:t>的</w:t>
      </w:r>
      <w:r>
        <w:rPr>
          <w:rFonts w:hint="eastAsia" w:ascii="宋体" w:hAnsi="宋体"/>
          <w:b/>
          <w:color w:val="0D0D0D"/>
          <w:sz w:val="24"/>
          <w:szCs w:val="21"/>
          <w:u w:val="single"/>
        </w:rPr>
        <w:t>“资格审查文件”</w:t>
      </w:r>
      <w:r>
        <w:rPr>
          <w:rFonts w:hint="eastAsia" w:ascii="宋体" w:hAnsi="宋体"/>
          <w:color w:val="0D0D0D"/>
          <w:sz w:val="24"/>
          <w:szCs w:val="24"/>
        </w:rPr>
        <w:t>进行评审（有效性审查），并完成资格审查评审表（详见评标附表）。只有通过资格审查评审的投标文件才有资格进入下一环节</w:t>
      </w:r>
      <w:r>
        <w:rPr>
          <w:rFonts w:hint="eastAsia" w:ascii="宋体" w:hAnsi="宋体"/>
          <w:bCs/>
          <w:color w:val="0D0D0D"/>
          <w:sz w:val="24"/>
          <w:szCs w:val="24"/>
        </w:rPr>
        <w:t>评</w:t>
      </w:r>
      <w:r>
        <w:rPr>
          <w:rFonts w:hint="eastAsia" w:ascii="宋体" w:hAnsi="宋体"/>
          <w:b/>
          <w:color w:val="0D0D0D"/>
          <w:sz w:val="24"/>
          <w:szCs w:val="21"/>
          <w:u w:val="single"/>
        </w:rPr>
        <w:t>“综合评审文件</w:t>
      </w:r>
      <w:r>
        <w:rPr>
          <w:rFonts w:ascii="宋体" w:hAnsi="宋体"/>
          <w:b/>
          <w:color w:val="0D0D0D"/>
          <w:sz w:val="24"/>
          <w:szCs w:val="21"/>
          <w:u w:val="single"/>
        </w:rPr>
        <w:t>”</w:t>
      </w:r>
      <w:r>
        <w:rPr>
          <w:rFonts w:hint="eastAsia" w:ascii="宋体" w:hAnsi="宋体"/>
          <w:b/>
          <w:color w:val="0D0D0D"/>
          <w:sz w:val="24"/>
          <w:szCs w:val="21"/>
          <w:u w:val="single"/>
        </w:rPr>
        <w:t>的</w:t>
      </w:r>
      <w:r>
        <w:rPr>
          <w:rFonts w:ascii="宋体" w:hAnsi="宋体"/>
          <w:b/>
          <w:color w:val="0D0D0D"/>
          <w:sz w:val="24"/>
          <w:szCs w:val="21"/>
          <w:u w:val="single"/>
        </w:rPr>
        <w:t>评审</w:t>
      </w:r>
      <w:r>
        <w:rPr>
          <w:rFonts w:hint="eastAsia" w:ascii="宋体" w:hAnsi="宋体"/>
          <w:color w:val="0D0D0D"/>
          <w:sz w:val="24"/>
          <w:szCs w:val="24"/>
        </w:rPr>
        <w:t>。</w:t>
      </w:r>
    </w:p>
    <w:p>
      <w:pPr>
        <w:spacing w:line="360" w:lineRule="auto"/>
        <w:ind w:firstLine="482" w:firstLineChars="200"/>
        <w:rPr>
          <w:rFonts w:ascii="宋体" w:hAnsi="宋体"/>
          <w:b/>
          <w:bCs/>
          <w:sz w:val="24"/>
          <w:szCs w:val="24"/>
        </w:rPr>
      </w:pPr>
      <w:r>
        <w:rPr>
          <w:rFonts w:hint="eastAsia" w:ascii="宋体" w:hAnsi="宋体"/>
          <w:b/>
          <w:bCs/>
          <w:sz w:val="24"/>
          <w:szCs w:val="24"/>
        </w:rPr>
        <w:t>（二）综合评审文件评审：</w:t>
      </w:r>
    </w:p>
    <w:p>
      <w:pPr>
        <w:spacing w:line="360" w:lineRule="auto"/>
        <w:ind w:firstLine="480" w:firstLineChars="200"/>
        <w:rPr>
          <w:rFonts w:ascii="宋体" w:hAnsi="宋体"/>
          <w:bCs/>
          <w:sz w:val="24"/>
          <w:szCs w:val="24"/>
        </w:rPr>
      </w:pPr>
      <w:bookmarkStart w:id="872" w:name="_Hlk77373757"/>
      <w:r>
        <w:rPr>
          <w:rFonts w:hint="eastAsia" w:ascii="宋体" w:hAnsi="宋体"/>
          <w:bCs/>
          <w:sz w:val="24"/>
          <w:szCs w:val="24"/>
        </w:rPr>
        <w:t>（1）将所有合格投标文件的综合评审文件移交评标委员会，评标委员会对综合评审文件进行</w:t>
      </w:r>
      <w:r>
        <w:rPr>
          <w:rFonts w:hint="eastAsia" w:ascii="宋体" w:hAnsi="宋体"/>
          <w:sz w:val="24"/>
          <w:szCs w:val="24"/>
        </w:rPr>
        <w:t>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（2）评标委员会否决无效标或者界定为废标后，有效投标人不足</w:t>
      </w:r>
      <w:r>
        <w:rPr>
          <w:rFonts w:hint="eastAsia" w:ascii="宋体" w:hAnsi="宋体"/>
          <w:bCs/>
          <w:sz w:val="24"/>
          <w:szCs w:val="24"/>
          <w:lang w:val="en-US" w:eastAsia="zh-CN"/>
        </w:rPr>
        <w:t>12</w:t>
      </w:r>
      <w:r>
        <w:rPr>
          <w:rFonts w:hint="eastAsia" w:ascii="宋体" w:hAnsi="宋体"/>
          <w:bCs/>
          <w:sz w:val="24"/>
          <w:szCs w:val="24"/>
        </w:rPr>
        <w:t>家的，招标人宣布本次招标失败，</w:t>
      </w:r>
      <w:r>
        <w:rPr>
          <w:rFonts w:ascii="宋体" w:hAnsi="宋体"/>
          <w:bCs/>
          <w:sz w:val="24"/>
          <w:szCs w:val="24"/>
        </w:rPr>
        <w:t>重新</w:t>
      </w:r>
      <w:r>
        <w:rPr>
          <w:rFonts w:hint="eastAsia" w:ascii="宋体" w:hAnsi="宋体"/>
          <w:bCs/>
          <w:sz w:val="24"/>
          <w:szCs w:val="24"/>
        </w:rPr>
        <w:t>组织招标。</w:t>
      </w:r>
    </w:p>
    <w:p>
      <w:pPr>
        <w:keepNext w:val="0"/>
        <w:keepLines w:val="0"/>
        <w:pageBreakBefore w:val="0"/>
        <w:widowControl/>
        <w:numPr>
          <w:ilvl w:val="-1"/>
          <w:numId w:val="0"/>
        </w:numPr>
        <w:kinsoku/>
        <w:wordWrap/>
        <w:overflowPunct/>
        <w:topLinePunct w:val="0"/>
        <w:autoSpaceDE/>
        <w:autoSpaceDN/>
        <w:bidi w:val="0"/>
        <w:spacing w:line="360" w:lineRule="auto"/>
        <w:ind w:firstLine="480" w:firstLineChars="200"/>
        <w:textAlignment w:val="auto"/>
        <w:outlineLvl w:val="9"/>
        <w:rPr>
          <w:rFonts w:hint="eastAsia" w:ascii="宋体" w:hAnsi="宋体"/>
          <w:color w:val="auto"/>
          <w:sz w:val="24"/>
          <w:szCs w:val="24"/>
          <w:lang w:val="en-US" w:eastAsia="zh-CN"/>
        </w:rPr>
      </w:pPr>
      <w:r>
        <w:rPr>
          <w:rFonts w:hint="eastAsia" w:ascii="宋体" w:hAnsi="宋体"/>
          <w:bCs/>
          <w:sz w:val="24"/>
          <w:szCs w:val="24"/>
        </w:rPr>
        <w:t>（</w:t>
      </w:r>
      <w:r>
        <w:rPr>
          <w:rFonts w:ascii="宋体" w:hAnsi="宋体"/>
          <w:bCs/>
          <w:sz w:val="24"/>
          <w:szCs w:val="24"/>
        </w:rPr>
        <w:t>3</w:t>
      </w:r>
      <w:r>
        <w:rPr>
          <w:rFonts w:hint="eastAsia" w:ascii="宋体" w:hAnsi="宋体"/>
          <w:bCs/>
          <w:sz w:val="24"/>
          <w:szCs w:val="24"/>
        </w:rPr>
        <w:t>）</w:t>
      </w:r>
      <w:r>
        <w:rPr>
          <w:rFonts w:ascii="宋体" w:hAnsi="宋体"/>
          <w:b/>
          <w:sz w:val="24"/>
          <w:szCs w:val="21"/>
          <w:u w:val="single"/>
        </w:rPr>
        <w:t>综合评审</w:t>
      </w:r>
      <w:r>
        <w:rPr>
          <w:rFonts w:hint="eastAsia" w:ascii="宋体" w:hAnsi="宋体"/>
          <w:b/>
          <w:sz w:val="24"/>
          <w:szCs w:val="21"/>
          <w:u w:val="single"/>
        </w:rPr>
        <w:t>文件</w:t>
      </w:r>
      <w:r>
        <w:rPr>
          <w:rFonts w:hint="eastAsia" w:ascii="宋体" w:hAnsi="宋体"/>
          <w:bCs/>
          <w:sz w:val="24"/>
          <w:szCs w:val="24"/>
        </w:rPr>
        <w:t>评审完成后，最终得分为各评标指标分数的总计</w:t>
      </w:r>
      <w:r>
        <w:rPr>
          <w:rFonts w:ascii="宋体" w:hAnsi="宋体"/>
          <w:bCs/>
          <w:sz w:val="24"/>
          <w:szCs w:val="24"/>
        </w:rPr>
        <w:t>。</w:t>
      </w:r>
      <w:bookmarkEnd w:id="872"/>
      <w:r>
        <w:rPr>
          <w:rFonts w:ascii="宋体" w:hAnsi="宋体"/>
          <w:sz w:val="24"/>
          <w:szCs w:val="24"/>
        </w:rPr>
        <w:br w:type="textWrapping"/>
      </w:r>
      <w:r>
        <w:rPr>
          <w:rFonts w:ascii="宋体" w:hAnsi="宋体"/>
          <w:bCs/>
          <w:sz w:val="24"/>
          <w:szCs w:val="24"/>
        </w:rPr>
        <w:t xml:space="preserve">    </w:t>
      </w:r>
      <w:r>
        <w:rPr>
          <w:rFonts w:hint="eastAsia" w:ascii="宋体" w:hAnsi="宋体"/>
          <w:b/>
          <w:bCs/>
          <w:color w:val="auto"/>
          <w:sz w:val="24"/>
          <w:szCs w:val="24"/>
        </w:rPr>
        <w:t>（三）</w:t>
      </w:r>
      <w:r>
        <w:rPr>
          <w:rFonts w:hint="eastAsia" w:ascii="宋体" w:hAnsi="宋体"/>
          <w:color w:val="auto"/>
          <w:sz w:val="24"/>
          <w:szCs w:val="24"/>
        </w:rPr>
        <w:t>汇总完成后，</w:t>
      </w:r>
      <w:r>
        <w:rPr>
          <w:rFonts w:hint="eastAsia" w:ascii="宋体" w:hAnsi="宋体"/>
          <w:bCs/>
          <w:sz w:val="24"/>
          <w:szCs w:val="24"/>
        </w:rPr>
        <w:t>评标委员</w:t>
      </w:r>
      <w:r>
        <w:rPr>
          <w:rFonts w:hint="eastAsia" w:ascii="宋体" w:hAnsi="宋体"/>
          <w:color w:val="auto"/>
          <w:sz w:val="24"/>
          <w:szCs w:val="24"/>
        </w:rPr>
        <w:t>将各投标人按照总得分进行排序，推荐排名前10</w:t>
      </w:r>
      <w:r>
        <w:rPr>
          <w:rFonts w:hint="eastAsia" w:ascii="宋体" w:hAnsi="宋体"/>
          <w:color w:val="auto"/>
          <w:sz w:val="24"/>
          <w:szCs w:val="24"/>
          <w:lang w:val="en-US" w:eastAsia="zh-CN"/>
        </w:rPr>
        <w:t>投标人</w:t>
      </w:r>
      <w:r>
        <w:rPr>
          <w:rFonts w:hint="eastAsia" w:ascii="宋体" w:hAnsi="宋体"/>
          <w:color w:val="auto"/>
          <w:sz w:val="24"/>
          <w:szCs w:val="24"/>
        </w:rPr>
        <w:t>为中标候选人，若两个以上投标人得分相同的，则抽签确定排名顺序。最终，评委推荐10名中标候选人，并形成评标报告</w:t>
      </w:r>
      <w:r>
        <w:rPr>
          <w:rFonts w:ascii="宋体" w:hAnsi="宋体"/>
          <w:color w:val="auto"/>
          <w:sz w:val="24"/>
          <w:szCs w:val="24"/>
        </w:rPr>
        <w:t>。</w:t>
      </w:r>
    </w:p>
    <w:p>
      <w:pPr>
        <w:pStyle w:val="6"/>
        <w:rPr>
          <w:rFonts w:ascii="宋体" w:hAnsi="宋体" w:eastAsia="宋体"/>
          <w:b/>
        </w:rPr>
      </w:pPr>
      <w:bookmarkStart w:id="873" w:name="_Toc18661"/>
      <w:bookmarkStart w:id="874" w:name="_Toc15197"/>
      <w:bookmarkStart w:id="875" w:name="_Toc6265"/>
      <w:bookmarkStart w:id="876" w:name="_Toc1890"/>
      <w:bookmarkStart w:id="877" w:name="_Toc28960"/>
      <w:bookmarkStart w:id="878" w:name="_Toc12884"/>
      <w:bookmarkStart w:id="879" w:name="_Toc23122"/>
      <w:bookmarkStart w:id="880" w:name="_Toc26382"/>
      <w:bookmarkStart w:id="881" w:name="_Toc20268"/>
      <w:bookmarkStart w:id="882" w:name="_Toc11345"/>
      <w:bookmarkStart w:id="883" w:name="_Toc23683"/>
      <w:bookmarkStart w:id="884" w:name="_Toc13119"/>
      <w:bookmarkStart w:id="885" w:name="_Toc6930"/>
      <w:bookmarkStart w:id="886" w:name="_Toc9559"/>
      <w:bookmarkStart w:id="887" w:name="_Toc30398"/>
      <w:bookmarkStart w:id="888" w:name="_Toc5355"/>
      <w:bookmarkStart w:id="889" w:name="_Toc25812"/>
      <w:bookmarkStart w:id="890" w:name="_Toc9803"/>
      <w:bookmarkStart w:id="891" w:name="_Toc16915"/>
      <w:bookmarkStart w:id="892" w:name="_Toc25933"/>
      <w:bookmarkStart w:id="893" w:name="_Toc6389"/>
      <w:bookmarkStart w:id="894" w:name="_Toc20536"/>
      <w:bookmarkStart w:id="895" w:name="_Toc2331"/>
      <w:bookmarkStart w:id="896" w:name="_Toc19563"/>
      <w:bookmarkStart w:id="897" w:name="_Toc1429"/>
      <w:bookmarkStart w:id="898" w:name="_Toc24356"/>
      <w:bookmarkStart w:id="899" w:name="_Toc7543"/>
      <w:bookmarkStart w:id="900" w:name="_Toc14051"/>
      <w:bookmarkStart w:id="901" w:name="_Toc25234"/>
      <w:bookmarkStart w:id="902" w:name="_Toc31542"/>
      <w:bookmarkStart w:id="903" w:name="_Toc24064"/>
      <w:bookmarkStart w:id="904" w:name="_Toc12490"/>
      <w:bookmarkStart w:id="905" w:name="_Toc11292"/>
      <w:r>
        <w:rPr>
          <w:rFonts w:hint="eastAsia" w:ascii="宋体" w:hAnsi="宋体" w:eastAsia="宋体"/>
          <w:b/>
        </w:rPr>
        <w:t>第九章  确定中标人</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25"/>
        <w:adjustRightInd/>
        <w:snapToGrid w:val="0"/>
        <w:spacing w:line="360" w:lineRule="auto"/>
        <w:ind w:firstLine="480" w:firstLineChars="200"/>
        <w:textAlignment w:val="auto"/>
        <w:rPr>
          <w:rFonts w:hAnsi="宋体"/>
          <w:bCs/>
          <w:sz w:val="24"/>
          <w:szCs w:val="22"/>
        </w:rPr>
      </w:pPr>
      <w:r>
        <w:rPr>
          <w:rFonts w:hint="eastAsia" w:hAnsi="宋体"/>
          <w:bCs/>
          <w:sz w:val="24"/>
        </w:rPr>
        <w:t>一、招标人根据评标委员会提出的书面评标报告，在对推荐的中标候选人的投标文件进行审核后，确定中标人。</w:t>
      </w:r>
    </w:p>
    <w:p>
      <w:pPr>
        <w:pStyle w:val="25"/>
        <w:adjustRightInd/>
        <w:snapToGrid w:val="0"/>
        <w:spacing w:line="360" w:lineRule="auto"/>
        <w:ind w:firstLine="480" w:firstLineChars="200"/>
        <w:textAlignment w:val="auto"/>
        <w:rPr>
          <w:rFonts w:hAnsi="宋体"/>
          <w:bCs/>
          <w:sz w:val="24"/>
        </w:rPr>
      </w:pPr>
      <w:r>
        <w:rPr>
          <w:rFonts w:hint="eastAsia" w:hAnsi="宋体"/>
          <w:bCs/>
          <w:sz w:val="24"/>
        </w:rPr>
        <w:t>二、招标人在发出中标通知书前的任何时候，有权依据评标委员会的评标报告接受或拒绝任何投标，而且招标人不承担因此产生的任何责任，也无须将这样做的理由通知投标人。</w:t>
      </w:r>
    </w:p>
    <w:p>
      <w:pPr>
        <w:pStyle w:val="25"/>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w:t>
      </w:r>
      <w:r>
        <w:rPr>
          <w:rFonts w:hint="eastAsia" w:hAnsi="宋体"/>
          <w:bCs/>
          <w:sz w:val="24"/>
        </w:rPr>
        <w:t>投标</w:t>
      </w:r>
      <w:r>
        <w:rPr>
          <w:rFonts w:hAnsi="宋体"/>
          <w:bCs/>
          <w:sz w:val="24"/>
        </w:rPr>
        <w:t>有效期内，</w:t>
      </w:r>
      <w:r>
        <w:rPr>
          <w:rFonts w:hint="eastAsia" w:hAnsi="宋体"/>
          <w:bCs/>
          <w:sz w:val="24"/>
        </w:rPr>
        <w:t>招标</w:t>
      </w:r>
      <w:r>
        <w:rPr>
          <w:rFonts w:hAnsi="宋体"/>
          <w:bCs/>
          <w:sz w:val="24"/>
        </w:rPr>
        <w:t>人将中</w:t>
      </w:r>
      <w:r>
        <w:rPr>
          <w:rFonts w:hint="eastAsia" w:hAnsi="宋体"/>
          <w:bCs/>
          <w:sz w:val="24"/>
        </w:rPr>
        <w:t>标</w:t>
      </w:r>
      <w:r>
        <w:rPr>
          <w:rFonts w:hAnsi="宋体"/>
          <w:bCs/>
          <w:sz w:val="24"/>
        </w:rPr>
        <w:t>结果在</w:t>
      </w:r>
      <w:r>
        <w:rPr>
          <w:rFonts w:hint="eastAsia" w:hAnsi="宋体"/>
          <w:bCs/>
          <w:sz w:val="24"/>
        </w:rPr>
        <w:t>“</w:t>
      </w:r>
      <w:r>
        <w:rPr>
          <w:rFonts w:hint="eastAsia" w:hAnsi="宋体"/>
          <w:bCs/>
          <w:sz w:val="24"/>
          <w:lang w:val="en-US" w:eastAsia="zh-CN"/>
        </w:rPr>
        <w:t>深圳</w:t>
      </w:r>
      <w:r>
        <w:rPr>
          <w:rFonts w:hint="eastAsia" w:hAnsi="宋体"/>
          <w:bCs/>
          <w:sz w:val="24"/>
          <w:lang w:eastAsia="zh-CN"/>
        </w:rPr>
        <w:t>地铁官网</w:t>
      </w:r>
      <w:r>
        <w:rPr>
          <w:rFonts w:hint="eastAsia" w:hAnsi="宋体"/>
          <w:bCs/>
          <w:sz w:val="24"/>
        </w:rPr>
        <w:t>”、“国资委阳光采购平台”</w:t>
      </w:r>
      <w:r>
        <w:rPr>
          <w:rFonts w:hAnsi="宋体"/>
          <w:bCs/>
          <w:sz w:val="24"/>
        </w:rPr>
        <w:t>公示，</w:t>
      </w:r>
      <w:r>
        <w:rPr>
          <w:rFonts w:hint="eastAsia" w:hAnsi="宋体"/>
          <w:bCs/>
          <w:sz w:val="24"/>
        </w:rPr>
        <w:t>公示</w:t>
      </w:r>
      <w:r>
        <w:rPr>
          <w:rFonts w:hAnsi="宋体"/>
          <w:b/>
          <w:bCs/>
          <w:sz w:val="24"/>
          <w:u w:val="single"/>
        </w:rPr>
        <w:t>3个工作日</w:t>
      </w:r>
      <w:r>
        <w:rPr>
          <w:rFonts w:hAnsi="宋体"/>
          <w:bCs/>
          <w:sz w:val="24"/>
        </w:rPr>
        <w:t>无异议的，</w:t>
      </w:r>
      <w:r>
        <w:rPr>
          <w:rFonts w:hint="eastAsia" w:hAnsi="宋体"/>
          <w:bCs/>
          <w:sz w:val="24"/>
        </w:rPr>
        <w:t>招标</w:t>
      </w:r>
      <w:r>
        <w:rPr>
          <w:rFonts w:hAnsi="宋体"/>
          <w:bCs/>
          <w:sz w:val="24"/>
        </w:rPr>
        <w:t>人将向中</w:t>
      </w:r>
      <w:r>
        <w:rPr>
          <w:rFonts w:hint="eastAsia" w:hAnsi="宋体"/>
          <w:bCs/>
          <w:sz w:val="24"/>
        </w:rPr>
        <w:t>标候选</w:t>
      </w:r>
      <w:r>
        <w:rPr>
          <w:rFonts w:hAnsi="宋体"/>
          <w:bCs/>
          <w:sz w:val="24"/>
        </w:rPr>
        <w:t>人发出中</w:t>
      </w:r>
      <w:r>
        <w:rPr>
          <w:rFonts w:hint="eastAsia" w:hAnsi="宋体"/>
          <w:bCs/>
          <w:sz w:val="24"/>
        </w:rPr>
        <w:t>标</w:t>
      </w:r>
      <w:r>
        <w:rPr>
          <w:rFonts w:hAnsi="宋体"/>
          <w:bCs/>
          <w:sz w:val="24"/>
        </w:rPr>
        <w:t>通知书。</w:t>
      </w:r>
    </w:p>
    <w:p>
      <w:pPr>
        <w:pStyle w:val="6"/>
        <w:spacing w:line="240" w:lineRule="auto"/>
        <w:rPr>
          <w:rFonts w:ascii="宋体" w:hAnsi="宋体" w:eastAsia="宋体"/>
          <w:b/>
        </w:rPr>
      </w:pPr>
      <w:bookmarkStart w:id="906" w:name="_Toc7689"/>
      <w:bookmarkStart w:id="907" w:name="_Toc1517"/>
      <w:bookmarkStart w:id="908" w:name="_Toc28140"/>
      <w:bookmarkStart w:id="909" w:name="_Toc21109"/>
      <w:bookmarkStart w:id="910" w:name="_Toc25080"/>
      <w:bookmarkStart w:id="911" w:name="_Toc7417"/>
      <w:bookmarkStart w:id="912" w:name="_Toc7740"/>
      <w:bookmarkStart w:id="913" w:name="_Toc17954"/>
      <w:bookmarkStart w:id="914" w:name="_Toc23596"/>
      <w:bookmarkStart w:id="915" w:name="_Toc13746"/>
      <w:bookmarkStart w:id="916" w:name="_Toc8298"/>
      <w:bookmarkStart w:id="917" w:name="_Toc11446"/>
      <w:bookmarkStart w:id="918" w:name="_Toc28810"/>
      <w:bookmarkStart w:id="919" w:name="_Toc24172"/>
      <w:bookmarkStart w:id="920" w:name="_Toc1932"/>
      <w:bookmarkStart w:id="921" w:name="_Toc21957"/>
      <w:bookmarkStart w:id="922" w:name="_Toc20550"/>
      <w:bookmarkStart w:id="923" w:name="_Toc2703"/>
      <w:bookmarkStart w:id="924" w:name="_Toc16156"/>
      <w:bookmarkStart w:id="925" w:name="_Toc26900"/>
      <w:bookmarkStart w:id="926" w:name="_Toc24600"/>
      <w:bookmarkStart w:id="927" w:name="_Toc29959"/>
      <w:bookmarkStart w:id="928" w:name="_Toc30226"/>
      <w:bookmarkStart w:id="929" w:name="_Toc32352"/>
      <w:bookmarkStart w:id="930" w:name="_Toc22090"/>
      <w:bookmarkStart w:id="931" w:name="_Toc19554"/>
      <w:bookmarkStart w:id="932" w:name="_Toc26431"/>
      <w:bookmarkStart w:id="933" w:name="_Toc10685"/>
      <w:bookmarkStart w:id="934" w:name="_Toc7065"/>
      <w:bookmarkStart w:id="935" w:name="_Toc30835"/>
      <w:bookmarkStart w:id="936" w:name="_Toc17750"/>
      <w:bookmarkStart w:id="937" w:name="_Toc28222"/>
      <w:bookmarkStart w:id="938" w:name="_Toc9864"/>
      <w:r>
        <w:rPr>
          <w:rFonts w:hint="eastAsia" w:ascii="宋体" w:hAnsi="宋体" w:eastAsia="宋体"/>
          <w:b/>
        </w:rPr>
        <w:t>第十章  合同的授予</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25"/>
        <w:tabs>
          <w:tab w:val="left" w:pos="1050"/>
        </w:tabs>
        <w:adjustRightInd/>
        <w:snapToGrid w:val="0"/>
        <w:spacing w:line="360" w:lineRule="auto"/>
        <w:ind w:firstLine="480" w:firstLineChars="200"/>
        <w:textAlignment w:val="auto"/>
        <w:rPr>
          <w:rFonts w:hAnsi="宋体"/>
          <w:bCs/>
          <w:sz w:val="24"/>
        </w:rPr>
      </w:pPr>
      <w:r>
        <w:rPr>
          <w:rFonts w:hint="eastAsia" w:hAnsi="宋体"/>
          <w:bCs/>
          <w:sz w:val="24"/>
        </w:rPr>
        <w:t>一、各项目开发主体与中标人将于中标通知书发出之日起</w:t>
      </w:r>
      <w:r>
        <w:rPr>
          <w:rFonts w:hint="eastAsia" w:hAnsi="宋体"/>
          <w:bCs/>
          <w:color w:val="auto"/>
          <w:sz w:val="24"/>
        </w:rPr>
        <w:t>，</w:t>
      </w:r>
      <w:r>
        <w:rPr>
          <w:rFonts w:hint="eastAsia" w:hAnsi="宋体"/>
          <w:bCs/>
          <w:sz w:val="24"/>
        </w:rPr>
        <w:t>结合各项目预售时间节点在项目取得预售资格前，根据招标文件和中标人的投标文件签订合同（详见附件2）。</w:t>
      </w:r>
    </w:p>
    <w:p>
      <w:pPr>
        <w:pStyle w:val="25"/>
        <w:tabs>
          <w:tab w:val="left" w:pos="1050"/>
        </w:tabs>
        <w:adjustRightInd/>
        <w:snapToGrid w:val="0"/>
        <w:spacing w:line="360" w:lineRule="auto"/>
        <w:ind w:firstLine="480" w:firstLineChars="200"/>
        <w:textAlignment w:val="auto"/>
        <w:rPr>
          <w:rFonts w:hAnsi="宋体"/>
          <w:bCs/>
          <w:sz w:val="24"/>
        </w:rPr>
      </w:pPr>
      <w:r>
        <w:rPr>
          <w:rFonts w:hint="eastAsia" w:hAnsi="宋体"/>
          <w:bCs/>
          <w:sz w:val="24"/>
        </w:rPr>
        <w:t>二、招标人与中标人签订的合同必须遵守本招标文件的合同条件，并且对合同条款不做实质性更改。</w:t>
      </w:r>
    </w:p>
    <w:p>
      <w:pPr>
        <w:pStyle w:val="25"/>
        <w:tabs>
          <w:tab w:val="left" w:pos="1050"/>
        </w:tabs>
        <w:adjustRightInd/>
        <w:snapToGrid w:val="0"/>
        <w:spacing w:line="360" w:lineRule="auto"/>
        <w:ind w:firstLine="480" w:firstLineChars="200"/>
        <w:textAlignment w:val="auto"/>
        <w:rPr>
          <w:rFonts w:hAnsi="宋体"/>
          <w:bCs/>
          <w:sz w:val="24"/>
        </w:rPr>
      </w:pPr>
      <w:r>
        <w:rPr>
          <w:rFonts w:hint="eastAsia" w:hAnsi="宋体"/>
          <w:bCs/>
          <w:sz w:val="24"/>
        </w:rPr>
        <w:t>三、中标人如不按规定与招标人签订合同，则招标人将有充分的理由取消该中标人资格，保留要求乙方赔偿损失、承担相应法律责任的权力。招标人将按最终分值由高到低排列名次重新确定中标人。</w:t>
      </w:r>
    </w:p>
    <w:p>
      <w:pPr>
        <w:pStyle w:val="25"/>
        <w:adjustRightInd/>
        <w:snapToGrid w:val="0"/>
        <w:spacing w:line="360" w:lineRule="auto"/>
        <w:ind w:firstLine="480" w:firstLineChars="200"/>
        <w:textAlignment w:val="auto"/>
        <w:rPr>
          <w:rFonts w:hAnsi="宋体"/>
          <w:bCs/>
          <w:sz w:val="24"/>
        </w:rPr>
      </w:pPr>
    </w:p>
    <w:bookmarkEnd w:id="564"/>
    <w:p>
      <w:pPr>
        <w:pStyle w:val="6"/>
        <w:spacing w:after="0" w:line="360" w:lineRule="auto"/>
      </w:pPr>
      <w:bookmarkStart w:id="939" w:name="_Toc399494429"/>
      <w:bookmarkStart w:id="940" w:name="_Toc21586"/>
      <w:bookmarkStart w:id="941" w:name="_Toc31939"/>
      <w:bookmarkStart w:id="942" w:name="_Toc9656"/>
      <w:bookmarkStart w:id="943" w:name="_Toc22434"/>
      <w:bookmarkStart w:id="944" w:name="_Toc30291"/>
      <w:bookmarkStart w:id="945" w:name="_Toc32131"/>
      <w:bookmarkStart w:id="946" w:name="_Toc16810"/>
      <w:bookmarkStart w:id="947" w:name="_Toc15138"/>
      <w:bookmarkStart w:id="948" w:name="_Toc30959"/>
      <w:bookmarkStart w:id="949" w:name="_Toc30757"/>
      <w:bookmarkStart w:id="950" w:name="_Toc10894"/>
      <w:bookmarkStart w:id="951" w:name="_Toc20669"/>
      <w:bookmarkStart w:id="952" w:name="_Toc27616"/>
      <w:bookmarkStart w:id="953" w:name="_Toc6702"/>
      <w:bookmarkStart w:id="954" w:name="_Toc31218"/>
      <w:bookmarkStart w:id="955" w:name="_Toc6110"/>
      <w:bookmarkStart w:id="956" w:name="_Toc10314"/>
      <w:bookmarkStart w:id="957" w:name="_Toc8379"/>
      <w:bookmarkStart w:id="958" w:name="_Toc19097"/>
      <w:bookmarkStart w:id="959" w:name="_Toc518494139"/>
      <w:bookmarkStart w:id="960" w:name="_Toc7577"/>
      <w:bookmarkStart w:id="961" w:name="_Toc28265"/>
      <w:bookmarkStart w:id="962" w:name="_Toc57731977"/>
      <w:bookmarkStart w:id="963" w:name="_Toc19599"/>
      <w:bookmarkStart w:id="964" w:name="_Toc9715"/>
      <w:bookmarkStart w:id="965" w:name="_Toc3750"/>
      <w:bookmarkStart w:id="966" w:name="_Toc30136"/>
      <w:bookmarkStart w:id="967" w:name="_Toc20276"/>
      <w:bookmarkStart w:id="968" w:name="_Toc802"/>
      <w:bookmarkStart w:id="969" w:name="_Toc8418"/>
      <w:bookmarkStart w:id="970" w:name="_Toc4781"/>
      <w:bookmarkStart w:id="971" w:name="_Toc4291"/>
      <w:bookmarkStart w:id="972" w:name="_Toc12593"/>
      <w:bookmarkStart w:id="973" w:name="_Toc1633"/>
      <w:bookmarkStart w:id="974" w:name="_Toc16153"/>
      <w:r>
        <w:rPr>
          <w:rFonts w:hint="eastAsia"/>
        </w:rPr>
        <w:t>附件1：评标</w:t>
      </w:r>
      <w:bookmarkEnd w:id="939"/>
      <w:r>
        <w:rPr>
          <w:rFonts w:hint="eastAsia"/>
        </w:rPr>
        <w:t>办法</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widowControl/>
        <w:overflowPunct w:val="0"/>
        <w:autoSpaceDE w:val="0"/>
        <w:autoSpaceDN w:val="0"/>
        <w:adjustRightInd w:val="0"/>
        <w:spacing w:line="360" w:lineRule="auto"/>
        <w:ind w:firstLine="482" w:firstLineChars="200"/>
        <w:textAlignment w:val="baseline"/>
        <w:rPr>
          <w:rFonts w:ascii="宋体" w:hAnsi="宋体"/>
          <w:b/>
          <w:kern w:val="0"/>
          <w:sz w:val="24"/>
          <w:szCs w:val="24"/>
        </w:rPr>
      </w:pPr>
      <w:bookmarkStart w:id="975" w:name="_Toc276575939"/>
      <w:bookmarkStart w:id="976" w:name="_Toc518494140"/>
      <w:bookmarkStart w:id="977" w:name="_Toc12045"/>
      <w:bookmarkStart w:id="978" w:name="_Toc14211"/>
      <w:bookmarkStart w:id="979" w:name="_Toc14658"/>
      <w:bookmarkStart w:id="980" w:name="_Toc8030"/>
      <w:bookmarkStart w:id="981" w:name="_Toc57731978"/>
      <w:bookmarkStart w:id="982" w:name="_Toc5473"/>
      <w:r>
        <w:rPr>
          <w:rFonts w:hint="eastAsia" w:ascii="宋体" w:hAnsi="宋体"/>
          <w:b/>
          <w:kern w:val="0"/>
          <w:sz w:val="24"/>
          <w:szCs w:val="24"/>
        </w:rPr>
        <w:t>一、总</w:t>
      </w:r>
      <w:bookmarkEnd w:id="975"/>
      <w:bookmarkEnd w:id="976"/>
      <w:r>
        <w:rPr>
          <w:rFonts w:hint="eastAsia" w:ascii="宋体" w:hAnsi="宋体"/>
          <w:b/>
          <w:kern w:val="0"/>
          <w:sz w:val="24"/>
          <w:szCs w:val="24"/>
        </w:rPr>
        <w:t>则</w:t>
      </w:r>
      <w:bookmarkEnd w:id="977"/>
      <w:bookmarkEnd w:id="978"/>
      <w:bookmarkEnd w:id="979"/>
      <w:bookmarkEnd w:id="980"/>
      <w:bookmarkEnd w:id="981"/>
      <w:bookmarkEnd w:id="982"/>
    </w:p>
    <w:p>
      <w:pPr>
        <w:tabs>
          <w:tab w:val="left" w:pos="420"/>
        </w:tabs>
        <w:spacing w:line="360" w:lineRule="auto"/>
        <w:ind w:firstLine="480" w:firstLineChars="200"/>
        <w:rPr>
          <w:rFonts w:ascii="宋体" w:hAnsi="宋体"/>
          <w:sz w:val="24"/>
          <w:szCs w:val="24"/>
        </w:rPr>
      </w:pPr>
      <w:bookmarkStart w:id="983" w:name="_Toc24801"/>
      <w:r>
        <w:rPr>
          <w:rFonts w:hint="eastAsia" w:ascii="宋体" w:hAnsi="宋体"/>
          <w:sz w:val="24"/>
          <w:szCs w:val="24"/>
        </w:rPr>
        <w:t>为了保证本次招标评标工作的公开、公平和公正，使评标工作规范化、标准化、科学化，选择有经验、有实力、社会信誉好的单位承担本项目任务，依据相关招标的法律、法规，特制定本评标办法。本办法作为招标文件的一部分，一切与评标工作有关的人员在评标过程中必须遵守本方法的各项规定。</w:t>
      </w:r>
      <w:bookmarkEnd w:id="983"/>
    </w:p>
    <w:p>
      <w:pPr>
        <w:widowControl/>
        <w:overflowPunct w:val="0"/>
        <w:autoSpaceDE w:val="0"/>
        <w:autoSpaceDN w:val="0"/>
        <w:adjustRightInd w:val="0"/>
        <w:spacing w:line="360" w:lineRule="auto"/>
        <w:ind w:firstLine="482" w:firstLineChars="200"/>
        <w:textAlignment w:val="baseline"/>
        <w:rPr>
          <w:rFonts w:ascii="宋体" w:hAnsi="宋体"/>
          <w:b/>
          <w:kern w:val="0"/>
          <w:sz w:val="24"/>
          <w:szCs w:val="24"/>
        </w:rPr>
      </w:pPr>
      <w:bookmarkStart w:id="984" w:name="_Toc16073"/>
      <w:bookmarkStart w:id="985" w:name="_Toc518494141"/>
      <w:bookmarkStart w:id="986" w:name="_Toc57731979"/>
      <w:bookmarkStart w:id="987" w:name="_Toc21242"/>
      <w:bookmarkStart w:id="988" w:name="_Toc11221"/>
      <w:bookmarkStart w:id="989" w:name="_Toc30003"/>
      <w:r>
        <w:rPr>
          <w:rFonts w:hint="eastAsia" w:ascii="宋体" w:hAnsi="宋体"/>
          <w:b/>
          <w:kern w:val="0"/>
          <w:sz w:val="24"/>
          <w:szCs w:val="24"/>
        </w:rPr>
        <w:t>二、评定标组织</w:t>
      </w:r>
      <w:bookmarkEnd w:id="984"/>
      <w:bookmarkEnd w:id="985"/>
      <w:bookmarkEnd w:id="986"/>
      <w:bookmarkEnd w:id="987"/>
      <w:bookmarkEnd w:id="988"/>
      <w:bookmarkEnd w:id="989"/>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（一）评标委员会组成</w:t>
      </w:r>
    </w:p>
    <w:p>
      <w:pPr>
        <w:spacing w:line="360" w:lineRule="auto"/>
        <w:ind w:firstLine="480" w:firstLineChars="200"/>
        <w:rPr>
          <w:rFonts w:ascii="宋体" w:hAnsi="宋体"/>
          <w:sz w:val="24"/>
          <w:szCs w:val="24"/>
        </w:rPr>
      </w:pPr>
      <w:r>
        <w:rPr>
          <w:rFonts w:ascii="宋体" w:hAnsi="宋体"/>
          <w:sz w:val="24"/>
          <w:szCs w:val="24"/>
        </w:rPr>
        <w:t>由</w:t>
      </w:r>
      <w:r>
        <w:rPr>
          <w:rFonts w:hint="eastAsia" w:ascii="宋体" w:hAnsi="宋体"/>
          <w:sz w:val="24"/>
          <w:szCs w:val="24"/>
        </w:rPr>
        <w:t>招标</w:t>
      </w:r>
      <w:r>
        <w:rPr>
          <w:rFonts w:ascii="宋体" w:hAnsi="宋体"/>
          <w:sz w:val="24"/>
          <w:szCs w:val="24"/>
        </w:rPr>
        <w:t>人在开标前成立评</w:t>
      </w:r>
      <w:r>
        <w:rPr>
          <w:rFonts w:hint="eastAsia" w:ascii="宋体" w:hAnsi="宋体"/>
          <w:sz w:val="24"/>
          <w:szCs w:val="24"/>
        </w:rPr>
        <w:t>标</w:t>
      </w:r>
      <w:r>
        <w:rPr>
          <w:rFonts w:ascii="宋体" w:hAnsi="宋体"/>
          <w:sz w:val="24"/>
          <w:szCs w:val="24"/>
        </w:rPr>
        <w:t>委员会。</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评标委员会负责依据招标文件、本评标原则与程序对投标文件进行客观公正的评审；负责评标过程中的质疑；根据评审标准及答疑结果对投标人的投标文件进行评审；编写评标报告，推荐中标候选人。</w:t>
      </w:r>
    </w:p>
    <w:p>
      <w:pPr>
        <w:spacing w:line="360" w:lineRule="auto"/>
        <w:ind w:firstLine="480" w:firstLineChars="200"/>
        <w:rPr>
          <w:rFonts w:ascii="宋体" w:hAnsi="宋体"/>
          <w:sz w:val="24"/>
          <w:szCs w:val="24"/>
        </w:rPr>
      </w:pPr>
      <w:r>
        <w:rPr>
          <w:rFonts w:hint="eastAsia" w:ascii="宋体" w:hAnsi="宋体"/>
          <w:sz w:val="24"/>
          <w:szCs w:val="24"/>
        </w:rPr>
        <w:t>（三）评标过程由招标人派出监督专员负责监督招标、评标全过程。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（四）评标过程的会务工作由本次招标工作小组成员负责。</w:t>
      </w:r>
    </w:p>
    <w:p>
      <w:pPr>
        <w:widowControl/>
        <w:numPr>
          <w:ilvl w:val="255"/>
          <w:numId w:val="0"/>
        </w:numPr>
        <w:overflowPunct w:val="0"/>
        <w:autoSpaceDE w:val="0"/>
        <w:autoSpaceDN w:val="0"/>
        <w:adjustRightInd w:val="0"/>
        <w:spacing w:line="360" w:lineRule="auto"/>
        <w:ind w:firstLine="482" w:firstLineChars="200"/>
        <w:textAlignment w:val="baseline"/>
        <w:rPr>
          <w:rFonts w:ascii="宋体" w:hAnsi="宋体"/>
          <w:b/>
          <w:kern w:val="0"/>
          <w:sz w:val="24"/>
          <w:szCs w:val="24"/>
        </w:rPr>
      </w:pPr>
      <w:bookmarkStart w:id="990" w:name="_Toc57731980"/>
      <w:bookmarkStart w:id="991" w:name="_Toc24686"/>
      <w:bookmarkStart w:id="992" w:name="_Toc8345"/>
      <w:bookmarkStart w:id="993" w:name="_Toc30751"/>
      <w:bookmarkStart w:id="994" w:name="_Toc518494142"/>
      <w:bookmarkStart w:id="995" w:name="_Toc14741"/>
      <w:r>
        <w:rPr>
          <w:rFonts w:hint="eastAsia" w:ascii="宋体" w:hAnsi="宋体"/>
          <w:b/>
          <w:kern w:val="0"/>
          <w:sz w:val="24"/>
          <w:szCs w:val="24"/>
        </w:rPr>
        <w:t>三、评标方法与程序</w:t>
      </w:r>
      <w:bookmarkEnd w:id="990"/>
      <w:bookmarkEnd w:id="991"/>
      <w:bookmarkEnd w:id="992"/>
      <w:bookmarkEnd w:id="993"/>
      <w:bookmarkEnd w:id="994"/>
      <w:bookmarkEnd w:id="995"/>
    </w:p>
    <w:p>
      <w:pPr>
        <w:pStyle w:val="2"/>
        <w:spacing w:line="420" w:lineRule="exact"/>
        <w:ind w:left="0" w:leftChars="0" w:firstLine="480"/>
        <w:rPr>
          <w:rFonts w:hint="eastAsia" w:hAnsi="宋体"/>
          <w:color w:val="auto"/>
          <w:sz w:val="24"/>
        </w:rPr>
      </w:pPr>
      <w:r>
        <w:rPr>
          <w:rFonts w:hint="eastAsia" w:hAnsi="宋体"/>
          <w:sz w:val="24"/>
        </w:rPr>
        <w:t>（一）本次评标采用“综合评分法”</w:t>
      </w:r>
      <w:r>
        <w:rPr>
          <w:rFonts w:hint="eastAsia" w:hAnsi="宋体"/>
          <w:bCs/>
          <w:sz w:val="24"/>
        </w:rPr>
        <w:t>，满分为100分。</w:t>
      </w:r>
      <w:r>
        <w:rPr>
          <w:rFonts w:hint="eastAsia" w:hAnsi="宋体"/>
          <w:sz w:val="24"/>
        </w:rPr>
        <w:t>评标委员会</w:t>
      </w:r>
      <w:r>
        <w:rPr>
          <w:rFonts w:hAnsi="宋体"/>
          <w:b/>
          <w:sz w:val="24"/>
        </w:rPr>
        <w:t>按照评分标准</w:t>
      </w:r>
      <w:r>
        <w:rPr>
          <w:rFonts w:hint="eastAsia" w:hAnsi="宋体"/>
          <w:b/>
          <w:sz w:val="24"/>
        </w:rPr>
        <w:t>对各投标人综合评审文件</w:t>
      </w:r>
      <w:r>
        <w:rPr>
          <w:rFonts w:hAnsi="宋体"/>
          <w:b/>
          <w:sz w:val="24"/>
        </w:rPr>
        <w:t>进行打分</w:t>
      </w:r>
      <w:r>
        <w:rPr>
          <w:rFonts w:hint="eastAsia" w:hAnsi="宋体"/>
          <w:b/>
          <w:sz w:val="24"/>
        </w:rPr>
        <w:t>，最终得分为各评标指标分数的总计。</w:t>
      </w:r>
      <w:r>
        <w:rPr>
          <w:rFonts w:hint="eastAsia" w:hAnsi="宋体"/>
          <w:sz w:val="24"/>
        </w:rPr>
        <w:t>各投标人按照总得分进行排序确定排名，推荐排名前10的</w:t>
      </w:r>
      <w:r>
        <w:rPr>
          <w:rFonts w:hint="eastAsia" w:hAnsi="宋体"/>
          <w:sz w:val="24"/>
          <w:lang w:val="en-US" w:eastAsia="zh-CN"/>
        </w:rPr>
        <w:t>投标人</w:t>
      </w:r>
      <w:r>
        <w:rPr>
          <w:rFonts w:hint="eastAsia" w:hAnsi="宋体"/>
          <w:sz w:val="24"/>
        </w:rPr>
        <w:t>为中标候选人。若两个以上投标人得分相同的，则抽签确定排名顺序。</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pStyle w:val="115"/>
        <w:tabs>
          <w:tab w:val="left" w:pos="993"/>
        </w:tabs>
        <w:spacing w:line="360" w:lineRule="auto"/>
        <w:ind w:firstLine="424" w:firstLineChars="177"/>
        <w:rPr>
          <w:rFonts w:ascii="宋体" w:hAnsi="宋体"/>
          <w:color w:val="0D0D0D"/>
          <w:sz w:val="24"/>
          <w:szCs w:val="24"/>
        </w:rPr>
      </w:pPr>
      <w:r>
        <w:rPr>
          <w:rFonts w:ascii="宋体" w:hAnsi="宋体"/>
          <w:sz w:val="24"/>
          <w:szCs w:val="24"/>
        </w:rPr>
        <w:t>1</w:t>
      </w:r>
      <w:r>
        <w:rPr>
          <w:rFonts w:hint="eastAsia" w:ascii="宋体" w:hAnsi="宋体"/>
          <w:sz w:val="24"/>
          <w:szCs w:val="24"/>
        </w:rPr>
        <w:t>.</w:t>
      </w:r>
      <w:r>
        <w:rPr>
          <w:rFonts w:hint="eastAsia" w:ascii="宋体" w:hAnsi="宋体"/>
          <w:color w:val="0D0D0D"/>
          <w:sz w:val="24"/>
          <w:szCs w:val="24"/>
        </w:rPr>
        <w:t>评标委员会对</w:t>
      </w:r>
      <w:r>
        <w:rPr>
          <w:rFonts w:hint="eastAsia" w:ascii="宋体" w:hAnsi="宋体"/>
          <w:bCs/>
          <w:color w:val="0D0D0D"/>
          <w:sz w:val="24"/>
          <w:szCs w:val="24"/>
        </w:rPr>
        <w:t>的</w:t>
      </w:r>
      <w:r>
        <w:rPr>
          <w:rFonts w:hint="eastAsia" w:ascii="宋体" w:hAnsi="宋体"/>
          <w:b/>
          <w:color w:val="0D0D0D"/>
          <w:sz w:val="24"/>
          <w:szCs w:val="21"/>
          <w:u w:val="single"/>
        </w:rPr>
        <w:t>“资格审查文件”</w:t>
      </w:r>
      <w:r>
        <w:rPr>
          <w:rFonts w:hint="eastAsia" w:ascii="宋体" w:hAnsi="宋体"/>
          <w:color w:val="0D0D0D"/>
          <w:sz w:val="24"/>
          <w:szCs w:val="24"/>
        </w:rPr>
        <w:t>进行评审，并完成资格审查评审表（详见评标附表）。只有通过资格审查评审的投标</w:t>
      </w:r>
      <w:r>
        <w:rPr>
          <w:rFonts w:hint="eastAsia" w:ascii="宋体" w:hAnsi="宋体"/>
          <w:color w:val="0D0D0D"/>
          <w:sz w:val="24"/>
          <w:szCs w:val="24"/>
          <w:lang w:val="en-US" w:eastAsia="zh-CN"/>
        </w:rPr>
        <w:t>人</w:t>
      </w:r>
      <w:r>
        <w:rPr>
          <w:rFonts w:hint="eastAsia" w:ascii="宋体" w:hAnsi="宋体"/>
          <w:color w:val="0D0D0D"/>
          <w:sz w:val="24"/>
          <w:szCs w:val="24"/>
        </w:rPr>
        <w:t>才有资格进入下一环节</w:t>
      </w:r>
      <w:r>
        <w:rPr>
          <w:rFonts w:hint="eastAsia" w:ascii="宋体" w:hAnsi="宋体"/>
          <w:b w:val="0"/>
          <w:color w:val="0D0D0D"/>
          <w:sz w:val="24"/>
          <w:szCs w:val="24"/>
          <w:u w:val="none"/>
        </w:rPr>
        <w:t>评审</w:t>
      </w:r>
      <w:r>
        <w:rPr>
          <w:rFonts w:hint="eastAsia" w:ascii="宋体" w:hAnsi="宋体"/>
          <w:color w:val="0D0D0D"/>
          <w:sz w:val="24"/>
          <w:szCs w:val="24"/>
        </w:rPr>
        <w:t>。</w:t>
      </w:r>
    </w:p>
    <w:p>
      <w:pPr>
        <w:spacing w:line="360" w:lineRule="auto"/>
        <w:ind w:firstLine="480" w:firstLineChars="200"/>
        <w:rPr>
          <w:rFonts w:ascii="宋体" w:hAnsi="宋体"/>
          <w:bCs/>
          <w:color w:val="0D0D0D"/>
          <w:sz w:val="24"/>
          <w:szCs w:val="24"/>
        </w:rPr>
      </w:pPr>
      <w:r>
        <w:rPr>
          <w:rFonts w:hint="eastAsia" w:ascii="宋体" w:hAnsi="宋体"/>
          <w:bCs/>
          <w:color w:val="0D0D0D"/>
          <w:sz w:val="24"/>
          <w:szCs w:val="24"/>
        </w:rPr>
        <w:t>2</w:t>
      </w:r>
      <w:r>
        <w:rPr>
          <w:rFonts w:ascii="宋体" w:hAnsi="宋体"/>
          <w:bCs/>
          <w:color w:val="0D0D0D"/>
          <w:sz w:val="24"/>
          <w:szCs w:val="24"/>
        </w:rPr>
        <w:t>.</w:t>
      </w:r>
      <w:r>
        <w:rPr>
          <w:rFonts w:hint="eastAsia" w:ascii="宋体" w:hAnsi="宋体"/>
          <w:bCs/>
          <w:color w:val="0D0D0D"/>
          <w:sz w:val="24"/>
          <w:szCs w:val="24"/>
        </w:rPr>
        <w:t>综合评审文件评审：</w:t>
      </w:r>
    </w:p>
    <w:p>
      <w:pPr>
        <w:tabs>
          <w:tab w:val="left" w:pos="993"/>
        </w:tabs>
        <w:spacing w:line="360" w:lineRule="auto"/>
        <w:ind w:firstLine="424" w:firstLineChars="177"/>
        <w:rPr>
          <w:rFonts w:ascii="宋体" w:hAnsi="宋体"/>
          <w:color w:val="0D0D0D"/>
          <w:sz w:val="24"/>
          <w:szCs w:val="24"/>
        </w:rPr>
      </w:pPr>
      <w:r>
        <w:rPr>
          <w:rFonts w:hint="eastAsia" w:ascii="宋体" w:hAnsi="宋体"/>
          <w:color w:val="0D0D0D"/>
          <w:sz w:val="24"/>
          <w:szCs w:val="24"/>
        </w:rPr>
        <w:t>开标工作人员将</w:t>
      </w:r>
      <w:r>
        <w:rPr>
          <w:rFonts w:hint="eastAsia" w:ascii="宋体" w:hAnsi="宋体"/>
          <w:bCs/>
          <w:color w:val="0D0D0D"/>
          <w:sz w:val="24"/>
          <w:szCs w:val="24"/>
        </w:rPr>
        <w:t>综合评审文件</w:t>
      </w:r>
      <w:r>
        <w:rPr>
          <w:rFonts w:hint="eastAsia" w:ascii="宋体" w:hAnsi="宋体"/>
          <w:color w:val="0D0D0D"/>
          <w:sz w:val="24"/>
          <w:szCs w:val="24"/>
        </w:rPr>
        <w:t>移交评标委员会，评标委员会对</w:t>
      </w:r>
      <w:r>
        <w:rPr>
          <w:rFonts w:hint="eastAsia" w:ascii="宋体" w:hAnsi="宋体"/>
          <w:bCs/>
          <w:color w:val="0D0D0D"/>
          <w:sz w:val="24"/>
          <w:szCs w:val="24"/>
        </w:rPr>
        <w:t>综合评审文件</w:t>
      </w:r>
      <w:r>
        <w:rPr>
          <w:rFonts w:hint="eastAsia" w:ascii="宋体" w:hAnsi="宋体"/>
          <w:color w:val="0D0D0D"/>
          <w:sz w:val="24"/>
          <w:szCs w:val="24"/>
        </w:rPr>
        <w:t>部分进行详细评审。</w:t>
      </w:r>
    </w:p>
    <w:p>
      <w:pPr>
        <w:tabs>
          <w:tab w:val="left" w:pos="7230"/>
        </w:tabs>
        <w:spacing w:line="360" w:lineRule="auto"/>
        <w:ind w:firstLine="480" w:firstLineChars="200"/>
        <w:rPr>
          <w:rFonts w:ascii="宋体" w:hAnsi="宋体"/>
          <w:sz w:val="24"/>
          <w:szCs w:val="24"/>
        </w:rPr>
      </w:pPr>
      <w:r>
        <w:rPr>
          <w:rFonts w:hint="eastAsia" w:ascii="宋体" w:hAnsi="宋体"/>
          <w:color w:val="0D0D0D"/>
          <w:sz w:val="24"/>
          <w:szCs w:val="24"/>
        </w:rPr>
        <w:t>经</w:t>
      </w:r>
      <w:r>
        <w:rPr>
          <w:rFonts w:hint="eastAsia" w:ascii="宋体" w:hAnsi="宋体"/>
          <w:bCs/>
          <w:color w:val="0D0D0D"/>
          <w:sz w:val="24"/>
          <w:szCs w:val="24"/>
        </w:rPr>
        <w:t>综合评审文件</w:t>
      </w:r>
      <w:r>
        <w:rPr>
          <w:rFonts w:hint="eastAsia" w:ascii="宋体" w:hAnsi="宋体"/>
          <w:color w:val="0D0D0D"/>
          <w:sz w:val="24"/>
          <w:szCs w:val="24"/>
        </w:rPr>
        <w:t>初步审查，评标委员会作出无效标或者废标处理，致有效投标人不足</w:t>
      </w:r>
      <w:r>
        <w:rPr>
          <w:rFonts w:hint="eastAsia" w:ascii="宋体" w:hAnsi="宋体"/>
          <w:color w:val="0D0D0D"/>
          <w:sz w:val="24"/>
          <w:szCs w:val="24"/>
          <w:lang w:val="en-US" w:eastAsia="zh-CN"/>
        </w:rPr>
        <w:t>12</w:t>
      </w:r>
      <w:r>
        <w:rPr>
          <w:rFonts w:hint="eastAsia" w:ascii="宋体" w:hAnsi="宋体"/>
          <w:color w:val="0D0D0D"/>
          <w:sz w:val="24"/>
          <w:szCs w:val="24"/>
        </w:rPr>
        <w:t>家，招标人宣布本次招标失败，重新组织招标。</w:t>
      </w:r>
      <w:r>
        <w:rPr>
          <w:rFonts w:hint="eastAsia" w:ascii="宋体" w:hAnsi="宋体"/>
          <w:sz w:val="24"/>
          <w:szCs w:val="24"/>
        </w:rPr>
        <w:t>评标委员会对照评分细则（详见下表）对所有通过符合性审查的投标人进行综合打分。</w:t>
      </w:r>
    </w:p>
    <w:p>
      <w:pPr>
        <w:widowControl/>
        <w:overflowPunct w:val="0"/>
        <w:autoSpaceDE w:val="0"/>
        <w:autoSpaceDN w:val="0"/>
        <w:adjustRightInd w:val="0"/>
        <w:spacing w:line="360" w:lineRule="auto"/>
        <w:ind w:firstLine="482" w:firstLineChars="200"/>
        <w:textAlignment w:val="baseline"/>
      </w:pPr>
      <w:r>
        <w:rPr>
          <w:rFonts w:hint="eastAsia" w:ascii="宋体" w:hAnsi="宋体"/>
          <w:b/>
          <w:kern w:val="0"/>
          <w:sz w:val="24"/>
          <w:szCs w:val="24"/>
        </w:rPr>
        <w:t>四、评审标准</w:t>
      </w:r>
    </w:p>
    <w:p>
      <w:pPr>
        <w:tabs>
          <w:tab w:val="left" w:pos="7230"/>
        </w:tabs>
        <w:spacing w:line="360" w:lineRule="auto"/>
        <w:ind w:firstLine="480" w:firstLineChars="200"/>
        <w:rPr>
          <w:rFonts w:ascii="宋体" w:hAnsi="宋体"/>
          <w:sz w:val="24"/>
          <w:szCs w:val="24"/>
        </w:rPr>
      </w:pPr>
      <w:r>
        <w:rPr>
          <w:rFonts w:hint="eastAsia" w:ascii="宋体" w:hAnsi="宋体"/>
          <w:sz w:val="24"/>
          <w:szCs w:val="24"/>
        </w:rPr>
        <w:t>评分细则：</w:t>
      </w:r>
    </w:p>
    <w:tbl>
      <w:tblPr>
        <w:tblStyle w:val="48"/>
        <w:tblW w:w="9331"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696"/>
        <w:gridCol w:w="1089"/>
        <w:gridCol w:w="532"/>
        <w:gridCol w:w="533"/>
        <w:gridCol w:w="5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序号</w:t>
            </w:r>
          </w:p>
        </w:tc>
        <w:tc>
          <w:tcPr>
            <w:tcW w:w="696" w:type="dxa"/>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项目评分</w:t>
            </w:r>
          </w:p>
        </w:tc>
        <w:tc>
          <w:tcPr>
            <w:tcW w:w="1089"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指标</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说明</w:t>
            </w:r>
          </w:p>
        </w:tc>
        <w:tc>
          <w:tcPr>
            <w:tcW w:w="1065" w:type="dxa"/>
            <w:gridSpan w:val="2"/>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权重</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(分数)</w:t>
            </w:r>
          </w:p>
        </w:tc>
        <w:tc>
          <w:tcPr>
            <w:tcW w:w="5841"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640" w:type="dxa"/>
            <w:vMerge w:val="restart"/>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1</w:t>
            </w:r>
          </w:p>
        </w:tc>
        <w:tc>
          <w:tcPr>
            <w:tcW w:w="696"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资产实力</w:t>
            </w:r>
          </w:p>
          <w:p>
            <w:pPr>
              <w:widowControl/>
              <w:jc w:val="left"/>
              <w:rPr>
                <w:rFonts w:ascii="宋体" w:hAnsi="宋体" w:cs="宋体"/>
                <w:bCs/>
                <w:color w:val="000000"/>
                <w:kern w:val="0"/>
                <w:sz w:val="18"/>
                <w:szCs w:val="18"/>
              </w:rPr>
            </w:pPr>
          </w:p>
        </w:tc>
        <w:tc>
          <w:tcPr>
            <w:tcW w:w="1089"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反映银行资产实力</w:t>
            </w:r>
          </w:p>
        </w:tc>
        <w:tc>
          <w:tcPr>
            <w:tcW w:w="532"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20</w:t>
            </w:r>
          </w:p>
        </w:tc>
        <w:tc>
          <w:tcPr>
            <w:tcW w:w="533" w:type="dxa"/>
            <w:noWrap/>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总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总行上一年度年审财报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Merge w:val="continue"/>
            <w:vAlign w:val="center"/>
          </w:tcPr>
          <w:p>
            <w:pPr>
              <w:widowControl/>
              <w:jc w:val="left"/>
              <w:rPr>
                <w:rFonts w:ascii="宋体" w:hAnsi="宋体" w:cs="宋体"/>
                <w:bCs/>
                <w:color w:val="000000"/>
                <w:kern w:val="0"/>
                <w:sz w:val="18"/>
                <w:szCs w:val="18"/>
              </w:rPr>
            </w:pPr>
          </w:p>
        </w:tc>
        <w:tc>
          <w:tcPr>
            <w:tcW w:w="532" w:type="dxa"/>
            <w:vMerge w:val="continue"/>
            <w:vAlign w:val="center"/>
          </w:tcPr>
          <w:p>
            <w:pPr>
              <w:widowControl/>
              <w:jc w:val="left"/>
              <w:rPr>
                <w:rFonts w:ascii="宋体" w:hAnsi="宋体" w:cs="宋体"/>
                <w:bCs/>
                <w:color w:val="000000"/>
                <w:kern w:val="0"/>
                <w:sz w:val="18"/>
                <w:szCs w:val="18"/>
              </w:rPr>
            </w:pPr>
          </w:p>
        </w:tc>
        <w:tc>
          <w:tcPr>
            <w:tcW w:w="533" w:type="dxa"/>
            <w:noWrap/>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深圳分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深圳分行财务报表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40"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2</w:t>
            </w:r>
          </w:p>
        </w:tc>
        <w:tc>
          <w:tcPr>
            <w:tcW w:w="696"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业务支持</w:t>
            </w:r>
          </w:p>
        </w:tc>
        <w:tc>
          <w:tcPr>
            <w:tcW w:w="1089"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房地产类资金及销售业务参与度</w:t>
            </w:r>
          </w:p>
        </w:tc>
        <w:tc>
          <w:tcPr>
            <w:tcW w:w="532"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30</w:t>
            </w:r>
          </w:p>
        </w:tc>
        <w:tc>
          <w:tcPr>
            <w:tcW w:w="533" w:type="dxa"/>
            <w:noWrap/>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20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购买深铁集团旗下商办物业或为深铁集团旗下商办物业推介客户并成功认购的金融机构，截止日期为开标日期前一个月（以招标人统计名单为准）。按实际成交金额计分，累计成交金额：1亿元（含）以内5分；1-5亿（含）10分；5-10亿（含）15分；10亿元以上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Merge w:val="continue"/>
            <w:vAlign w:val="center"/>
          </w:tcPr>
          <w:p>
            <w:pPr>
              <w:widowControl/>
              <w:jc w:val="left"/>
              <w:rPr>
                <w:rFonts w:ascii="宋体" w:hAnsi="宋体" w:cs="宋体"/>
                <w:bCs/>
                <w:color w:val="000000"/>
                <w:kern w:val="0"/>
                <w:sz w:val="18"/>
                <w:szCs w:val="18"/>
              </w:rPr>
            </w:pPr>
          </w:p>
        </w:tc>
        <w:tc>
          <w:tcPr>
            <w:tcW w:w="532" w:type="dxa"/>
            <w:vMerge w:val="continue"/>
            <w:vAlign w:val="center"/>
          </w:tcPr>
          <w:p>
            <w:pPr>
              <w:widowControl/>
              <w:jc w:val="left"/>
              <w:rPr>
                <w:rFonts w:ascii="宋体" w:hAnsi="宋体" w:cs="宋体"/>
                <w:bCs/>
                <w:color w:val="000000"/>
                <w:kern w:val="0"/>
                <w:sz w:val="18"/>
                <w:szCs w:val="18"/>
              </w:rPr>
            </w:pPr>
          </w:p>
        </w:tc>
        <w:tc>
          <w:tcPr>
            <w:tcW w:w="533" w:type="dxa"/>
            <w:noWrap/>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投标机构近三年深铁集团房地产类贷款、按揭服务类招标采购项目的参与程度，截止日期为开标日期前一个月（以招标人统计名单为准）。按参与次数计分，每参与一次计1分，满分10分。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640"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3</w:t>
            </w:r>
          </w:p>
        </w:tc>
        <w:tc>
          <w:tcPr>
            <w:tcW w:w="696"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服务能力</w:t>
            </w:r>
          </w:p>
        </w:tc>
        <w:tc>
          <w:tcPr>
            <w:tcW w:w="1089"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按揭</w:t>
            </w:r>
            <w:r>
              <w:rPr>
                <w:rFonts w:ascii="宋体" w:hAnsi="宋体" w:cs="宋体"/>
                <w:bCs/>
                <w:color w:val="000000"/>
                <w:kern w:val="0"/>
                <w:sz w:val="18"/>
                <w:szCs w:val="18"/>
              </w:rPr>
              <w:t>贷款</w:t>
            </w:r>
            <w:r>
              <w:rPr>
                <w:rFonts w:hint="eastAsia" w:ascii="宋体" w:hAnsi="宋体" w:cs="宋体"/>
                <w:bCs/>
                <w:color w:val="000000"/>
                <w:kern w:val="0"/>
                <w:sz w:val="18"/>
                <w:szCs w:val="18"/>
              </w:rPr>
              <w:t>经验</w:t>
            </w:r>
          </w:p>
        </w:tc>
        <w:tc>
          <w:tcPr>
            <w:tcW w:w="532" w:type="dxa"/>
            <w:vMerge w:val="restart"/>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50</w:t>
            </w:r>
          </w:p>
        </w:tc>
        <w:tc>
          <w:tcPr>
            <w:tcW w:w="533" w:type="dxa"/>
            <w:noWrap/>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15</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投标机构近三年为全国50强或</w:t>
            </w:r>
            <w:r>
              <w:rPr>
                <w:rFonts w:hint="eastAsia" w:ascii="宋体" w:hAnsi="宋体" w:cs="宋体"/>
                <w:bCs/>
                <w:color w:val="000000"/>
                <w:kern w:val="0"/>
                <w:sz w:val="18"/>
                <w:szCs w:val="18"/>
                <w:lang w:val="zh-TW" w:eastAsia="zh-TW"/>
              </w:rPr>
              <w:t>深圳20强</w:t>
            </w:r>
            <w:r>
              <w:rPr>
                <w:rFonts w:hint="eastAsia" w:ascii="宋体" w:hAnsi="宋体" w:cs="宋体"/>
                <w:bCs/>
                <w:color w:val="000000"/>
                <w:kern w:val="0"/>
                <w:sz w:val="18"/>
                <w:szCs w:val="18"/>
              </w:rPr>
              <w:t>地产企业品牌提供深圳地区按揭贷款服务业绩数量（≤5个不得分，每多1个得1.5分，满分15分）</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备注：①全国50强排名参考2019-2021年中指研究院及克而瑞发布数据</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lang w:val="zh-TW" w:eastAsia="zh-TW"/>
              </w:rPr>
              <w:t>②</w:t>
            </w:r>
            <w:r>
              <w:rPr>
                <w:rFonts w:hint="eastAsia" w:ascii="宋体" w:hAnsi="宋体" w:cs="宋体"/>
                <w:bCs/>
                <w:color w:val="000000"/>
                <w:kern w:val="0"/>
                <w:sz w:val="18"/>
                <w:szCs w:val="18"/>
              </w:rPr>
              <w:t>深圳</w:t>
            </w:r>
            <w:r>
              <w:rPr>
                <w:rFonts w:hint="eastAsia" w:ascii="宋体" w:hAnsi="宋体" w:cs="宋体"/>
                <w:bCs/>
                <w:color w:val="000000"/>
                <w:kern w:val="0"/>
                <w:sz w:val="18"/>
                <w:szCs w:val="18"/>
                <w:lang w:val="zh-TW" w:eastAsia="zh-TW"/>
              </w:rPr>
              <w:t>20强排名参考深圳房协</w:t>
            </w:r>
            <w:r>
              <w:rPr>
                <w:rFonts w:hint="eastAsia" w:ascii="宋体" w:hAnsi="宋体" w:cs="宋体"/>
                <w:bCs/>
                <w:color w:val="000000"/>
                <w:kern w:val="0"/>
                <w:sz w:val="18"/>
                <w:szCs w:val="18"/>
              </w:rPr>
              <w:t>发布</w:t>
            </w:r>
            <w:r>
              <w:rPr>
                <w:rFonts w:hint="eastAsia" w:ascii="宋体" w:hAnsi="宋体" w:cs="宋体"/>
                <w:bCs/>
                <w:color w:val="000000"/>
                <w:kern w:val="0"/>
                <w:sz w:val="18"/>
                <w:szCs w:val="18"/>
                <w:lang w:val="zh-TW" w:eastAsia="zh-TW"/>
              </w:rPr>
              <w:t>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放款</w:t>
            </w:r>
            <w:r>
              <w:rPr>
                <w:rFonts w:ascii="宋体" w:hAnsi="宋体" w:cs="宋体"/>
                <w:bCs/>
                <w:color w:val="000000"/>
                <w:kern w:val="0"/>
                <w:sz w:val="18"/>
                <w:szCs w:val="18"/>
              </w:rPr>
              <w:t>效率及服务</w:t>
            </w:r>
          </w:p>
        </w:tc>
        <w:tc>
          <w:tcPr>
            <w:tcW w:w="532" w:type="dxa"/>
            <w:vMerge w:val="continue"/>
            <w:vAlign w:val="center"/>
          </w:tcPr>
          <w:p>
            <w:pPr>
              <w:widowControl/>
              <w:jc w:val="left"/>
              <w:rPr>
                <w:rFonts w:ascii="宋体" w:hAnsi="宋体" w:cs="宋体"/>
                <w:bCs/>
                <w:color w:val="000000"/>
                <w:kern w:val="0"/>
                <w:sz w:val="18"/>
                <w:szCs w:val="18"/>
              </w:rPr>
            </w:pPr>
          </w:p>
        </w:tc>
        <w:tc>
          <w:tcPr>
            <w:tcW w:w="533"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投标人所承诺放款时间不可超过60（含）日，按照承诺的具体时间打分，达到放款条件后承诺：</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30（含）日内放款10分；31-45（含）日放款6分；</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46-60（不含）日放款2分。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办理预抵押效率及配合度</w:t>
            </w:r>
          </w:p>
        </w:tc>
        <w:tc>
          <w:tcPr>
            <w:tcW w:w="532" w:type="dxa"/>
            <w:vMerge w:val="continue"/>
            <w:vAlign w:val="center"/>
          </w:tcPr>
          <w:p>
            <w:pPr>
              <w:widowControl/>
              <w:jc w:val="left"/>
              <w:rPr>
                <w:rFonts w:ascii="宋体" w:hAnsi="宋体" w:cs="宋体"/>
                <w:bCs/>
                <w:color w:val="000000"/>
                <w:kern w:val="0"/>
                <w:sz w:val="18"/>
                <w:szCs w:val="18"/>
              </w:rPr>
            </w:pPr>
          </w:p>
        </w:tc>
        <w:tc>
          <w:tcPr>
            <w:tcW w:w="533"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投标人所承诺办理预抵押时间不超过60（含）日，按照承诺的具体时间打分，达到预抵押办理条件后承诺：</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30（含）日内完成预抵押10分；31-45（含）日完成预抵押6分；</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46-60（不含）日完成预抵押2分。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住房按揭贷款投放金额</w:t>
            </w:r>
          </w:p>
        </w:tc>
        <w:tc>
          <w:tcPr>
            <w:tcW w:w="532" w:type="dxa"/>
            <w:vMerge w:val="continue"/>
            <w:vAlign w:val="center"/>
          </w:tcPr>
          <w:p>
            <w:pPr>
              <w:widowControl/>
              <w:jc w:val="left"/>
              <w:rPr>
                <w:rFonts w:ascii="宋体" w:hAnsi="宋体" w:cs="宋体"/>
                <w:bCs/>
                <w:color w:val="000000"/>
                <w:kern w:val="0"/>
                <w:sz w:val="18"/>
                <w:szCs w:val="18"/>
              </w:rPr>
            </w:pPr>
          </w:p>
        </w:tc>
        <w:tc>
          <w:tcPr>
            <w:tcW w:w="533"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10</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投标机构近三年深圳分行住房按揭累计投放金额，求出平均值（四舍五入取整）然后分五档计算分数：</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按揭投放金额≥平均值*2得10分；平均值*1.5≤按揭投放金额＜平均值*2得8分；平均值≤按揭投放金额＜平均值*1.5得6分；平均值*0.5≤按揭投放金额＜平均值得4分；0≤按揭投放金额＜平均值*0.5得2分。提供的数据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640" w:type="dxa"/>
            <w:vMerge w:val="continue"/>
            <w:vAlign w:val="center"/>
          </w:tcPr>
          <w:p>
            <w:pPr>
              <w:widowControl/>
              <w:jc w:val="left"/>
              <w:rPr>
                <w:rFonts w:ascii="宋体" w:hAnsi="宋体" w:cs="宋体"/>
                <w:bCs/>
                <w:color w:val="000000"/>
                <w:kern w:val="0"/>
                <w:sz w:val="18"/>
                <w:szCs w:val="18"/>
              </w:rPr>
            </w:pPr>
          </w:p>
        </w:tc>
        <w:tc>
          <w:tcPr>
            <w:tcW w:w="696" w:type="dxa"/>
            <w:vMerge w:val="continue"/>
            <w:vAlign w:val="center"/>
          </w:tcPr>
          <w:p>
            <w:pPr>
              <w:widowControl/>
              <w:jc w:val="left"/>
              <w:rPr>
                <w:rFonts w:ascii="宋体" w:hAnsi="宋体" w:cs="宋体"/>
                <w:bCs/>
                <w:color w:val="000000"/>
                <w:kern w:val="0"/>
                <w:sz w:val="18"/>
                <w:szCs w:val="18"/>
              </w:rPr>
            </w:pPr>
          </w:p>
        </w:tc>
        <w:tc>
          <w:tcPr>
            <w:tcW w:w="1089"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提前还款罚息收取</w:t>
            </w:r>
          </w:p>
        </w:tc>
        <w:tc>
          <w:tcPr>
            <w:tcW w:w="532" w:type="dxa"/>
            <w:vMerge w:val="continue"/>
            <w:vAlign w:val="center"/>
          </w:tcPr>
          <w:p>
            <w:pPr>
              <w:widowControl/>
              <w:jc w:val="left"/>
              <w:rPr>
                <w:rFonts w:ascii="宋体" w:hAnsi="宋体" w:cs="宋体"/>
                <w:bCs/>
                <w:color w:val="000000"/>
                <w:kern w:val="0"/>
                <w:sz w:val="18"/>
                <w:szCs w:val="18"/>
              </w:rPr>
            </w:pPr>
          </w:p>
        </w:tc>
        <w:tc>
          <w:tcPr>
            <w:tcW w:w="533"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5</w:t>
            </w:r>
          </w:p>
        </w:tc>
        <w:tc>
          <w:tcPr>
            <w:tcW w:w="5841" w:type="dxa"/>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各银行对该项目按揭客户提前还款是否免收罚息：</w:t>
            </w:r>
          </w:p>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承诺免收罚息得5分；未承诺免收罚息得0分。</w:t>
            </w:r>
          </w:p>
        </w:tc>
      </w:tr>
    </w:tbl>
    <w:p>
      <w:pPr>
        <w:widowControl/>
        <w:overflowPunct w:val="0"/>
        <w:autoSpaceDE w:val="0"/>
        <w:autoSpaceDN w:val="0"/>
        <w:adjustRightInd w:val="0"/>
        <w:spacing w:line="360" w:lineRule="auto"/>
        <w:ind w:firstLine="482" w:firstLineChars="200"/>
        <w:textAlignment w:val="baseline"/>
        <w:rPr>
          <w:rFonts w:ascii="宋体" w:hAnsi="宋体"/>
          <w:b/>
          <w:kern w:val="0"/>
          <w:sz w:val="24"/>
          <w:szCs w:val="24"/>
        </w:rPr>
      </w:pPr>
      <w:r>
        <w:rPr>
          <w:rFonts w:hint="eastAsia" w:ascii="宋体" w:hAnsi="宋体"/>
          <w:b/>
          <w:kern w:val="0"/>
          <w:sz w:val="24"/>
          <w:szCs w:val="24"/>
        </w:rPr>
        <w:t>五、定标</w:t>
      </w:r>
    </w:p>
    <w:p>
      <w:pPr>
        <w:spacing w:line="360" w:lineRule="auto"/>
        <w:ind w:firstLine="480" w:firstLineChars="200"/>
        <w:rPr>
          <w:rFonts w:ascii="宋体" w:hAnsi="宋体"/>
          <w:sz w:val="24"/>
          <w:szCs w:val="24"/>
        </w:rPr>
      </w:pPr>
      <w:r>
        <w:rPr>
          <w:rFonts w:hint="eastAsia" w:ascii="宋体" w:hAnsi="宋体"/>
          <w:sz w:val="24"/>
          <w:szCs w:val="24"/>
        </w:rPr>
        <w:t>招标人在评标工作结束后，将根据评标委员会提交的评标报告，对推荐的中标候选人进行投标文件审核，确定中标人。确定中标人后，将按照投标文件及相关项目文件在中标人处办理相关业务，如中标人不按其投标文件或无法办理其投标时承诺的业务，则招标人将有权撤销中标结果，并保留要求中标人赔偿损失、承担相应法律责任的权利，并按评分由高至低依次顺延至下一投标人。</w:t>
      </w:r>
    </w:p>
    <w:p>
      <w:pPr>
        <w:widowControl/>
        <w:overflowPunct w:val="0"/>
        <w:autoSpaceDE w:val="0"/>
        <w:autoSpaceDN w:val="0"/>
        <w:spacing w:line="360" w:lineRule="auto"/>
        <w:ind w:firstLine="482" w:firstLineChars="200"/>
        <w:rPr>
          <w:rFonts w:ascii="宋体" w:hAnsi="宋体"/>
          <w:b/>
          <w:kern w:val="0"/>
          <w:sz w:val="24"/>
          <w:szCs w:val="24"/>
        </w:rPr>
      </w:pPr>
      <w:r>
        <w:rPr>
          <w:rFonts w:hint="eastAsia" w:ascii="宋体" w:hAnsi="宋体"/>
          <w:b/>
          <w:kern w:val="0"/>
          <w:sz w:val="24"/>
          <w:szCs w:val="24"/>
        </w:rPr>
        <w:t>六、评标守则</w:t>
      </w:r>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tabs>
          <w:tab w:val="left" w:pos="1050"/>
        </w:tabs>
        <w:ind w:left="0" w:leftChars="0" w:firstLine="482" w:firstLineChars="200"/>
        <w:rPr>
          <w:rFonts w:ascii="宋体" w:hAnsi="宋体"/>
          <w:b/>
          <w:bCs/>
          <w:sz w:val="24"/>
          <w:szCs w:val="24"/>
        </w:rPr>
      </w:pPr>
      <w:r>
        <w:rPr>
          <w:rFonts w:hint="eastAsia" w:ascii="宋体" w:hAnsi="宋体"/>
          <w:b/>
          <w:bCs/>
          <w:sz w:val="24"/>
          <w:szCs w:val="24"/>
        </w:rPr>
        <w:t>所有与招标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3"/>
        <w:tabs>
          <w:tab w:val="left" w:pos="1050"/>
        </w:tabs>
        <w:spacing w:line="480" w:lineRule="atLeast"/>
        <w:ind w:left="0" w:leftChars="0" w:firstLine="0" w:firstLineChars="0"/>
        <w:rPr>
          <w:rFonts w:ascii="宋体" w:hAnsi="宋体"/>
          <w:b/>
          <w:kern w:val="2"/>
          <w:sz w:val="24"/>
        </w:rPr>
      </w:pPr>
      <w:bookmarkStart w:id="996" w:name="_Toc399494431"/>
      <w:bookmarkStart w:id="997" w:name="_Toc17781"/>
      <w:bookmarkStart w:id="998" w:name="_Toc5323"/>
      <w:bookmarkStart w:id="999" w:name="_Toc399494430"/>
      <w:bookmarkStart w:id="1000" w:name="_Toc16508"/>
      <w:bookmarkStart w:id="1001" w:name="_Toc4830"/>
      <w:bookmarkStart w:id="1002" w:name="_Toc9865"/>
      <w:bookmarkStart w:id="1003" w:name="_Toc6143"/>
      <w:bookmarkStart w:id="1004" w:name="_Toc27855"/>
    </w:p>
    <w:p>
      <w:pPr>
        <w:pStyle w:val="3"/>
        <w:tabs>
          <w:tab w:val="left" w:pos="1050"/>
        </w:tabs>
        <w:spacing w:line="480" w:lineRule="atLeast"/>
        <w:ind w:left="0" w:leftChars="0" w:firstLine="0" w:firstLineChars="0"/>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4"/>
        <w:rPr>
          <w:rFonts w:ascii="宋体" w:hAnsi="宋体"/>
          <w:b/>
          <w:kern w:val="2"/>
          <w:sz w:val="24"/>
        </w:rPr>
      </w:pPr>
    </w:p>
    <w:p>
      <w:pPr>
        <w:pStyle w:val="3"/>
        <w:tabs>
          <w:tab w:val="left" w:pos="1050"/>
        </w:tabs>
        <w:spacing w:line="480" w:lineRule="atLeast"/>
        <w:ind w:left="0" w:leftChars="0" w:firstLine="0" w:firstLineChars="0"/>
        <w:rPr>
          <w:rFonts w:hint="eastAsia" w:ascii="宋体" w:hAnsi="宋体"/>
          <w:b/>
          <w:kern w:val="2"/>
          <w:sz w:val="24"/>
        </w:rPr>
      </w:pPr>
    </w:p>
    <w:p>
      <w:pPr>
        <w:pStyle w:val="3"/>
        <w:tabs>
          <w:tab w:val="left" w:pos="1050"/>
        </w:tabs>
        <w:spacing w:line="480" w:lineRule="atLeast"/>
        <w:ind w:left="0" w:leftChars="0" w:firstLine="0" w:firstLineChars="0"/>
        <w:rPr>
          <w:rFonts w:hint="eastAsia" w:ascii="宋体" w:hAnsi="宋体"/>
          <w:b/>
          <w:kern w:val="2"/>
          <w:sz w:val="24"/>
        </w:rPr>
      </w:pPr>
    </w:p>
    <w:p>
      <w:pPr>
        <w:pStyle w:val="3"/>
        <w:tabs>
          <w:tab w:val="left" w:pos="1050"/>
        </w:tabs>
        <w:spacing w:line="480" w:lineRule="atLeast"/>
        <w:ind w:left="0" w:leftChars="0" w:firstLine="0" w:firstLineChars="0"/>
        <w:rPr>
          <w:rFonts w:ascii="宋体" w:hAnsi="宋体"/>
          <w:b/>
          <w:sz w:val="24"/>
        </w:rPr>
      </w:pPr>
      <w:r>
        <w:rPr>
          <w:rFonts w:hint="eastAsia" w:ascii="宋体" w:hAnsi="宋体"/>
          <w:b/>
          <w:kern w:val="2"/>
          <w:sz w:val="24"/>
        </w:rPr>
        <w:t>附表1：</w:t>
      </w:r>
      <w:bookmarkEnd w:id="996"/>
      <w:bookmarkEnd w:id="997"/>
      <w:bookmarkEnd w:id="998"/>
      <w:bookmarkEnd w:id="999"/>
      <w:bookmarkEnd w:id="1000"/>
      <w:r>
        <w:rPr>
          <w:rFonts w:hint="eastAsia" w:ascii="宋体" w:hAnsi="宋体"/>
          <w:b/>
          <w:kern w:val="2"/>
          <w:sz w:val="24"/>
        </w:rPr>
        <w:t>投标人签到表</w:t>
      </w:r>
      <w:bookmarkEnd w:id="1001"/>
      <w:bookmarkEnd w:id="1002"/>
      <w:bookmarkEnd w:id="1003"/>
      <w:bookmarkEnd w:id="1004"/>
    </w:p>
    <w:p>
      <w:pPr>
        <w:spacing w:line="480" w:lineRule="atLeast"/>
        <w:ind w:firstLine="597" w:firstLineChars="249"/>
        <w:rPr>
          <w:rFonts w:ascii="宋体" w:hAnsi="宋体"/>
          <w:sz w:val="24"/>
        </w:rPr>
      </w:pPr>
    </w:p>
    <w:p>
      <w:pPr>
        <w:spacing w:line="480" w:lineRule="atLeast"/>
        <w:jc w:val="left"/>
        <w:rPr>
          <w:rFonts w:ascii="宋体" w:hAnsi="宋体"/>
          <w:sz w:val="18"/>
          <w:szCs w:val="18"/>
        </w:rPr>
      </w:pPr>
      <w:r>
        <w:rPr>
          <w:rFonts w:hint="eastAsia" w:ascii="宋体" w:hAnsi="宋体"/>
          <w:b/>
          <w:szCs w:val="21"/>
        </w:rPr>
        <w:t>项目名称：</w:t>
      </w:r>
      <w:r>
        <w:rPr>
          <w:rFonts w:hint="eastAsia" w:ascii="宋体" w:hAnsi="宋体"/>
          <w:b/>
          <w:szCs w:val="21"/>
          <w:lang w:eastAsia="zh-CN"/>
        </w:rPr>
        <w:t>赤湾停车场物业开发项目</w:t>
      </w:r>
      <w:r>
        <w:rPr>
          <w:rFonts w:hint="eastAsia" w:ascii="宋体" w:hAnsi="宋体"/>
          <w:b/>
          <w:szCs w:val="21"/>
        </w:rPr>
        <w:t>按揭合作银行</w:t>
      </w:r>
    </w:p>
    <w:tbl>
      <w:tblPr>
        <w:tblStyle w:val="48"/>
        <w:tblW w:w="9163" w:type="dxa"/>
        <w:jc w:val="center"/>
        <w:tblLayout w:type="fixed"/>
        <w:tblCellMar>
          <w:top w:w="0" w:type="dxa"/>
          <w:left w:w="0" w:type="dxa"/>
          <w:bottom w:w="0" w:type="dxa"/>
          <w:right w:w="0" w:type="dxa"/>
        </w:tblCellMar>
      </w:tblPr>
      <w:tblGrid>
        <w:gridCol w:w="722"/>
        <w:gridCol w:w="2966"/>
        <w:gridCol w:w="1485"/>
        <w:gridCol w:w="1620"/>
        <w:gridCol w:w="1151"/>
        <w:gridCol w:w="1219"/>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序号</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投标人全称</w:t>
            </w: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投标人简称</w:t>
            </w: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投标人签字</w:t>
            </w:r>
          </w:p>
        </w:tc>
        <w:tc>
          <w:tcPr>
            <w:tcW w:w="115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hint="default" w:ascii="宋体" w:hAnsi="宋体" w:eastAsia="宋体" w:cs="Arial"/>
                <w:b/>
                <w:bCs/>
                <w:kern w:val="0"/>
                <w:lang w:val="en-US" w:eastAsia="zh-CN"/>
              </w:rPr>
            </w:pPr>
            <w:r>
              <w:rPr>
                <w:rFonts w:hint="eastAsia" w:ascii="宋体" w:hAnsi="宋体" w:cs="Arial"/>
                <w:b/>
                <w:bCs/>
                <w:kern w:val="0"/>
                <w:sz w:val="24"/>
                <w:lang w:val="en-US" w:eastAsia="zh-CN"/>
              </w:rPr>
              <w:t>联系电话</w:t>
            </w:r>
          </w:p>
        </w:tc>
        <w:tc>
          <w:tcPr>
            <w:tcW w:w="1219"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hint="default" w:ascii="宋体" w:hAnsi="宋体" w:eastAsia="宋体" w:cs="Arial"/>
                <w:b/>
                <w:bCs/>
                <w:kern w:val="0"/>
                <w:sz w:val="24"/>
                <w:lang w:val="en-US" w:eastAsia="zh-CN"/>
              </w:rPr>
            </w:pPr>
            <w:r>
              <w:rPr>
                <w:rFonts w:hint="eastAsia" w:ascii="宋体" w:hAnsi="宋体" w:cs="Arial"/>
                <w:b/>
                <w:bCs/>
                <w:kern w:val="0"/>
                <w:sz w:val="24"/>
                <w:lang w:val="en-US" w:eastAsia="zh-CN"/>
              </w:rPr>
              <w:t>签到时间</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1</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2</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3</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ascii="宋体" w:hAnsi="宋体" w:cs="Arial"/>
                <w:kern w:val="0"/>
                <w:sz w:val="24"/>
              </w:rPr>
              <w:t>4</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5</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6</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7</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8</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9</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10</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11</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ascii="宋体" w:hAnsi="宋体" w:cs="Arial"/>
                <w:kern w:val="0"/>
                <w:sz w:val="24"/>
              </w:rPr>
              <w:t>…</w:t>
            </w:r>
          </w:p>
        </w:tc>
        <w:tc>
          <w:tcPr>
            <w:tcW w:w="296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485"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62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15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c>
          <w:tcPr>
            <w:tcW w:w="1219" w:type="dxa"/>
            <w:tcBorders>
              <w:top w:val="single" w:color="auto" w:sz="4" w:space="0"/>
              <w:left w:val="single" w:color="auto" w:sz="4" w:space="0"/>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2818" w:hRule="atLeast"/>
          <w:jc w:val="center"/>
        </w:trPr>
        <w:tc>
          <w:tcPr>
            <w:tcW w:w="9163" w:type="dxa"/>
            <w:gridSpan w:val="6"/>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atLeast"/>
              <w:rPr>
                <w:rFonts w:ascii="宋体" w:hAnsi="宋体"/>
              </w:rPr>
            </w:pPr>
          </w:p>
          <w:p>
            <w:pPr>
              <w:widowControl/>
              <w:spacing w:line="480" w:lineRule="atLeast"/>
              <w:rPr>
                <w:rFonts w:ascii="宋体" w:hAnsi="宋体"/>
                <w:sz w:val="24"/>
              </w:rPr>
            </w:pPr>
            <w:r>
              <w:rPr>
                <w:rFonts w:hint="eastAsia" w:ascii="宋体" w:hAnsi="宋体"/>
                <w:sz w:val="24"/>
              </w:rPr>
              <w:t>监督(签名)：</w:t>
            </w:r>
          </w:p>
          <w:p>
            <w:pPr>
              <w:widowControl/>
              <w:spacing w:line="480" w:lineRule="atLeast"/>
              <w:rPr>
                <w:rFonts w:ascii="宋体" w:hAnsi="宋体"/>
                <w:sz w:val="24"/>
              </w:rPr>
            </w:pPr>
          </w:p>
          <w:p>
            <w:pPr>
              <w:widowControl/>
              <w:spacing w:line="480" w:lineRule="atLeast"/>
              <w:rPr>
                <w:rFonts w:ascii="宋体" w:hAnsi="宋体"/>
                <w:sz w:val="24"/>
              </w:rPr>
            </w:pPr>
          </w:p>
          <w:p>
            <w:pPr>
              <w:widowControl/>
              <w:spacing w:line="480" w:lineRule="atLeast"/>
              <w:rPr>
                <w:rFonts w:ascii="宋体" w:hAnsi="宋体"/>
                <w:szCs w:val="21"/>
              </w:rPr>
            </w:pPr>
            <w:r>
              <w:rPr>
                <w:rFonts w:hint="eastAsia" w:ascii="宋体" w:hAnsi="宋体"/>
                <w:sz w:val="24"/>
              </w:rPr>
              <w:t xml:space="preserve"> </w:t>
            </w:r>
            <w:r>
              <w:rPr>
                <w:rFonts w:ascii="宋体" w:hAnsi="宋体"/>
                <w:sz w:val="24"/>
              </w:rPr>
              <w:t xml:space="preserve">                                                      </w:t>
            </w:r>
            <w:r>
              <w:rPr>
                <w:rFonts w:ascii="宋体" w:hAnsi="宋体"/>
                <w:szCs w:val="21"/>
              </w:rPr>
              <w:t xml:space="preserve">  </w:t>
            </w: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r>
              <w:rPr>
                <w:rFonts w:ascii="宋体" w:hAnsi="宋体"/>
                <w:szCs w:val="21"/>
              </w:rPr>
              <w:t xml:space="preserve">   </w:t>
            </w:r>
          </w:p>
        </w:tc>
      </w:tr>
    </w:tbl>
    <w:p>
      <w:pPr>
        <w:spacing w:line="480" w:lineRule="atLeast"/>
        <w:rPr>
          <w:rFonts w:ascii="宋体" w:hAnsi="宋体"/>
          <w:sz w:val="24"/>
        </w:rPr>
      </w:pPr>
    </w:p>
    <w:p>
      <w:pPr>
        <w:spacing w:line="480" w:lineRule="atLeast"/>
        <w:rPr>
          <w:rFonts w:ascii="宋体" w:hAnsi="宋体"/>
          <w:sz w:val="24"/>
        </w:rPr>
        <w:sectPr>
          <w:headerReference r:id="rId6" w:type="default"/>
          <w:footerReference r:id="rId7" w:type="default"/>
          <w:pgSz w:w="11906" w:h="16838"/>
          <w:pgMar w:top="1440" w:right="1440" w:bottom="1440" w:left="1440" w:header="720" w:footer="890" w:gutter="0"/>
          <w:cols w:space="720" w:num="1"/>
          <w:docGrid w:linePitch="312" w:charSpace="0"/>
        </w:sectPr>
      </w:pPr>
    </w:p>
    <w:p>
      <w:pPr>
        <w:spacing w:line="480" w:lineRule="atLeas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w:t>
      </w:r>
      <w:r>
        <w:rPr>
          <w:rFonts w:hint="eastAsia" w:ascii="宋体" w:hAnsi="宋体" w:cs="宋体"/>
          <w:b/>
          <w:bCs/>
          <w:kern w:val="0"/>
          <w:sz w:val="24"/>
          <w:szCs w:val="24"/>
        </w:rPr>
        <w:t>开标记录表</w:t>
      </w:r>
    </w:p>
    <w:p>
      <w:pPr>
        <w:snapToGrid w:val="0"/>
        <w:spacing w:line="480" w:lineRule="atLeast"/>
        <w:jc w:val="center"/>
        <w:rPr>
          <w:rFonts w:ascii="宋体" w:hAnsi="宋体" w:cs="宋体"/>
          <w:b/>
          <w:kern w:val="0"/>
          <w:sz w:val="32"/>
          <w:szCs w:val="28"/>
        </w:rPr>
      </w:pPr>
    </w:p>
    <w:p>
      <w:pPr>
        <w:spacing w:line="480" w:lineRule="atLeast"/>
        <w:ind w:firstLine="241" w:firstLineChars="100"/>
        <w:rPr>
          <w:rFonts w:ascii="宋体" w:hAnsi="宋体" w:cs="宋体"/>
          <w:b/>
          <w:kern w:val="0"/>
          <w:sz w:val="24"/>
          <w:szCs w:val="28"/>
        </w:rPr>
      </w:pPr>
      <w:r>
        <w:rPr>
          <w:rFonts w:hint="eastAsia" w:ascii="宋体" w:hAnsi="宋体" w:cs="宋体"/>
          <w:b/>
          <w:kern w:val="0"/>
          <w:sz w:val="24"/>
          <w:szCs w:val="28"/>
        </w:rPr>
        <w:t>项目名称：</w:t>
      </w:r>
      <w:r>
        <w:rPr>
          <w:rFonts w:hint="eastAsia" w:ascii="宋体" w:hAnsi="宋体"/>
          <w:b/>
          <w:szCs w:val="21"/>
          <w:lang w:eastAsia="zh-CN"/>
        </w:rPr>
        <w:t>赤湾停车场物业开发项目</w:t>
      </w:r>
      <w:r>
        <w:rPr>
          <w:rFonts w:hint="eastAsia" w:ascii="宋体" w:hAnsi="宋体"/>
          <w:b/>
          <w:szCs w:val="21"/>
        </w:rPr>
        <w:t>按揭合作银行</w:t>
      </w:r>
    </w:p>
    <w:tbl>
      <w:tblPr>
        <w:tblStyle w:val="48"/>
        <w:tblW w:w="141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9"/>
        <w:gridCol w:w="1515"/>
        <w:gridCol w:w="1515"/>
        <w:gridCol w:w="1605"/>
        <w:gridCol w:w="1590"/>
        <w:gridCol w:w="1725"/>
        <w:gridCol w:w="154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51" w:type="dxa"/>
            <w:vMerge w:val="restart"/>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序号</w:t>
            </w:r>
          </w:p>
        </w:tc>
        <w:tc>
          <w:tcPr>
            <w:tcW w:w="2269" w:type="dxa"/>
            <w:vMerge w:val="restart"/>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项目</w:t>
            </w:r>
          </w:p>
        </w:tc>
        <w:tc>
          <w:tcPr>
            <w:tcW w:w="11010" w:type="dxa"/>
            <w:gridSpan w:val="7"/>
            <w:shd w:val="clear" w:color="auto" w:fill="auto"/>
          </w:tcPr>
          <w:p>
            <w:pPr>
              <w:widowControl/>
              <w:spacing w:line="480" w:lineRule="atLeast"/>
              <w:ind w:firstLine="3360" w:firstLineChars="1600"/>
            </w:pPr>
            <w:r>
              <w:rPr>
                <w:rFonts w:hint="eastAsia"/>
              </w:rPr>
              <w:t xml:space="preserve"> </w:t>
            </w:r>
            <w:r>
              <w:rPr>
                <w:rFonts w:hint="eastAsia" w:ascii="宋体" w:hAnsi="宋体" w:cs="宋体"/>
                <w:b/>
                <w:kern w:val="0"/>
                <w:sz w:val="24"/>
                <w:szCs w:val="24"/>
              </w:rPr>
              <w:t>投标</w:t>
            </w:r>
            <w:r>
              <w:rPr>
                <w:rFonts w:ascii="宋体" w:hAnsi="宋体" w:cs="宋体"/>
                <w:b/>
                <w:kern w:val="0"/>
                <w:sz w:val="24"/>
                <w:szCs w:val="24"/>
              </w:rPr>
              <w:t>人</w:t>
            </w:r>
            <w:r>
              <w:rPr>
                <w:rFonts w:hint="eastAsia" w:ascii="宋体" w:hAnsi="宋体" w:cs="宋体"/>
                <w:b/>
                <w:kern w:val="0"/>
                <w:sz w:val="24"/>
                <w:szCs w:val="24"/>
              </w:rPr>
              <w:t>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Merge w:val="continue"/>
            <w:vAlign w:val="center"/>
          </w:tcPr>
          <w:p>
            <w:pPr>
              <w:widowControl/>
              <w:spacing w:line="480" w:lineRule="atLeast"/>
              <w:jc w:val="center"/>
              <w:rPr>
                <w:rFonts w:ascii="宋体" w:hAnsi="宋体" w:cs="宋体"/>
                <w:kern w:val="0"/>
                <w:szCs w:val="24"/>
              </w:rPr>
            </w:pPr>
          </w:p>
        </w:tc>
        <w:tc>
          <w:tcPr>
            <w:tcW w:w="2269" w:type="dxa"/>
            <w:vMerge w:val="continue"/>
            <w:vAlign w:val="center"/>
          </w:tcPr>
          <w:p>
            <w:pPr>
              <w:widowControl/>
              <w:spacing w:line="480" w:lineRule="atLeast"/>
              <w:jc w:val="center"/>
              <w:rPr>
                <w:rFonts w:ascii="宋体" w:hAnsi="宋体" w:cs="宋体"/>
                <w:kern w:val="0"/>
                <w:szCs w:val="24"/>
              </w:rPr>
            </w:pPr>
          </w:p>
        </w:tc>
        <w:tc>
          <w:tcPr>
            <w:tcW w:w="1515" w:type="dxa"/>
            <w:vAlign w:val="center"/>
          </w:tcPr>
          <w:p>
            <w:pPr>
              <w:widowControl/>
              <w:spacing w:line="480" w:lineRule="atLeast"/>
              <w:jc w:val="center"/>
              <w:rPr>
                <w:rFonts w:ascii="宋体" w:hAnsi="宋体" w:cs="宋体"/>
                <w:b/>
                <w:bCs/>
                <w:kern w:val="0"/>
                <w:szCs w:val="24"/>
              </w:rPr>
            </w:pPr>
          </w:p>
        </w:tc>
        <w:tc>
          <w:tcPr>
            <w:tcW w:w="1515" w:type="dxa"/>
            <w:vAlign w:val="center"/>
          </w:tcPr>
          <w:p>
            <w:pPr>
              <w:widowControl/>
              <w:spacing w:line="480" w:lineRule="atLeast"/>
              <w:jc w:val="center"/>
              <w:rPr>
                <w:rFonts w:ascii="宋体" w:hAnsi="宋体" w:cs="宋体"/>
                <w:b/>
                <w:kern w:val="0"/>
                <w:szCs w:val="24"/>
              </w:rPr>
            </w:pPr>
          </w:p>
        </w:tc>
        <w:tc>
          <w:tcPr>
            <w:tcW w:w="1605" w:type="dxa"/>
            <w:vAlign w:val="center"/>
          </w:tcPr>
          <w:p>
            <w:pPr>
              <w:widowControl/>
              <w:spacing w:line="480" w:lineRule="atLeast"/>
              <w:jc w:val="center"/>
              <w:rPr>
                <w:rFonts w:ascii="宋体" w:hAnsi="宋体" w:cs="宋体"/>
                <w:b/>
                <w:kern w:val="0"/>
                <w:szCs w:val="24"/>
              </w:rPr>
            </w:pPr>
          </w:p>
        </w:tc>
        <w:tc>
          <w:tcPr>
            <w:tcW w:w="1590" w:type="dxa"/>
            <w:vAlign w:val="center"/>
          </w:tcPr>
          <w:p>
            <w:pPr>
              <w:widowControl/>
              <w:spacing w:line="480" w:lineRule="atLeast"/>
              <w:jc w:val="center"/>
              <w:rPr>
                <w:rFonts w:ascii="宋体" w:hAnsi="宋体" w:cs="宋体"/>
                <w:kern w:val="0"/>
                <w:szCs w:val="24"/>
              </w:rPr>
            </w:pPr>
          </w:p>
        </w:tc>
        <w:tc>
          <w:tcPr>
            <w:tcW w:w="1725" w:type="dxa"/>
            <w:vAlign w:val="center"/>
          </w:tcPr>
          <w:p>
            <w:pPr>
              <w:widowControl/>
              <w:spacing w:line="480" w:lineRule="atLeast"/>
              <w:jc w:val="center"/>
              <w:rPr>
                <w:rFonts w:ascii="宋体" w:hAnsi="宋体" w:cs="宋体"/>
                <w:kern w:val="0"/>
                <w:szCs w:val="24"/>
              </w:rPr>
            </w:pPr>
          </w:p>
        </w:tc>
        <w:tc>
          <w:tcPr>
            <w:tcW w:w="1545" w:type="dxa"/>
            <w:vAlign w:val="center"/>
          </w:tcPr>
          <w:p>
            <w:pPr>
              <w:widowControl/>
              <w:spacing w:line="480" w:lineRule="atLeast"/>
              <w:jc w:val="center"/>
              <w:rPr>
                <w:rFonts w:ascii="宋体" w:hAnsi="宋体" w:cs="宋体"/>
                <w:kern w:val="0"/>
                <w:szCs w:val="24"/>
              </w:rPr>
            </w:pPr>
          </w:p>
        </w:tc>
        <w:tc>
          <w:tcPr>
            <w:tcW w:w="1515" w:type="dxa"/>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1</w:t>
            </w:r>
          </w:p>
        </w:tc>
        <w:tc>
          <w:tcPr>
            <w:tcW w:w="2269" w:type="dxa"/>
            <w:vAlign w:val="center"/>
          </w:tcPr>
          <w:p>
            <w:pPr>
              <w:widowControl/>
              <w:spacing w:line="480" w:lineRule="atLeast"/>
              <w:jc w:val="center"/>
              <w:rPr>
                <w:rFonts w:ascii="宋体" w:hAnsi="宋体" w:cs="宋体"/>
                <w:kern w:val="0"/>
                <w:szCs w:val="24"/>
              </w:rPr>
            </w:pPr>
            <w:r>
              <w:rPr>
                <w:rFonts w:hint="eastAsia" w:ascii="宋体" w:hAnsi="宋体"/>
                <w:sz w:val="24"/>
                <w:szCs w:val="24"/>
              </w:rPr>
              <w:t>投标文件在截止时间前送达指定地点</w:t>
            </w:r>
          </w:p>
        </w:tc>
        <w:tc>
          <w:tcPr>
            <w:tcW w:w="1515" w:type="dxa"/>
            <w:vAlign w:val="center"/>
          </w:tcPr>
          <w:p>
            <w:pPr>
              <w:widowControl/>
              <w:spacing w:line="480" w:lineRule="atLeast"/>
              <w:jc w:val="center"/>
              <w:rPr>
                <w:rFonts w:ascii="宋体" w:hAnsi="宋体"/>
                <w:szCs w:val="24"/>
              </w:rPr>
            </w:pPr>
          </w:p>
        </w:tc>
        <w:tc>
          <w:tcPr>
            <w:tcW w:w="1515" w:type="dxa"/>
          </w:tcPr>
          <w:p>
            <w:pPr>
              <w:widowControl/>
              <w:spacing w:line="480" w:lineRule="atLeast"/>
              <w:jc w:val="center"/>
              <w:rPr>
                <w:rFonts w:ascii="宋体" w:hAnsi="宋体"/>
                <w:szCs w:val="24"/>
              </w:rPr>
            </w:pPr>
          </w:p>
        </w:tc>
        <w:tc>
          <w:tcPr>
            <w:tcW w:w="1605" w:type="dxa"/>
          </w:tcPr>
          <w:p>
            <w:pPr>
              <w:widowControl/>
              <w:spacing w:line="480" w:lineRule="atLeast"/>
              <w:jc w:val="center"/>
              <w:rPr>
                <w:rFonts w:ascii="宋体" w:hAnsi="宋体"/>
                <w:szCs w:val="24"/>
              </w:rPr>
            </w:pPr>
          </w:p>
        </w:tc>
        <w:tc>
          <w:tcPr>
            <w:tcW w:w="1590" w:type="dxa"/>
            <w:vAlign w:val="center"/>
          </w:tcPr>
          <w:p>
            <w:pPr>
              <w:widowControl/>
              <w:spacing w:line="480" w:lineRule="atLeast"/>
              <w:jc w:val="center"/>
              <w:rPr>
                <w:rFonts w:ascii="宋体" w:hAnsi="宋体"/>
                <w:szCs w:val="24"/>
              </w:rPr>
            </w:pPr>
          </w:p>
        </w:tc>
        <w:tc>
          <w:tcPr>
            <w:tcW w:w="1725" w:type="dxa"/>
            <w:vAlign w:val="center"/>
          </w:tcPr>
          <w:p>
            <w:pPr>
              <w:widowControl/>
              <w:spacing w:line="480" w:lineRule="atLeast"/>
              <w:jc w:val="center"/>
              <w:rPr>
                <w:rFonts w:ascii="宋体" w:hAnsi="宋体" w:cs="宋体"/>
                <w:kern w:val="0"/>
                <w:szCs w:val="24"/>
              </w:rPr>
            </w:pPr>
          </w:p>
        </w:tc>
        <w:tc>
          <w:tcPr>
            <w:tcW w:w="1545" w:type="dxa"/>
            <w:vAlign w:val="center"/>
          </w:tcPr>
          <w:p>
            <w:pPr>
              <w:widowControl/>
              <w:spacing w:line="480" w:lineRule="atLeast"/>
              <w:jc w:val="center"/>
              <w:rPr>
                <w:rFonts w:ascii="宋体" w:hAnsi="宋体" w:cs="宋体"/>
                <w:kern w:val="0"/>
                <w:szCs w:val="24"/>
              </w:rPr>
            </w:pPr>
          </w:p>
        </w:tc>
        <w:tc>
          <w:tcPr>
            <w:tcW w:w="1515" w:type="dxa"/>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2</w:t>
            </w:r>
          </w:p>
        </w:tc>
        <w:tc>
          <w:tcPr>
            <w:tcW w:w="2269" w:type="dxa"/>
            <w:vAlign w:val="center"/>
          </w:tcPr>
          <w:p>
            <w:pPr>
              <w:widowControl/>
              <w:spacing w:line="480" w:lineRule="atLeast"/>
              <w:jc w:val="center"/>
              <w:rPr>
                <w:rFonts w:ascii="宋体" w:hAnsi="宋体"/>
                <w:bCs/>
                <w:szCs w:val="24"/>
              </w:rPr>
            </w:pPr>
            <w:r>
              <w:rPr>
                <w:rFonts w:hint="eastAsia" w:ascii="宋体" w:hAnsi="宋体"/>
                <w:bCs/>
                <w:sz w:val="24"/>
                <w:szCs w:val="24"/>
              </w:rPr>
              <w:t>投标文件按规定密封</w:t>
            </w:r>
          </w:p>
        </w:tc>
        <w:tc>
          <w:tcPr>
            <w:tcW w:w="1515" w:type="dxa"/>
            <w:vAlign w:val="center"/>
          </w:tcPr>
          <w:p>
            <w:pPr>
              <w:widowControl/>
              <w:spacing w:line="480" w:lineRule="atLeast"/>
              <w:jc w:val="center"/>
              <w:rPr>
                <w:rFonts w:ascii="宋体" w:hAnsi="宋体" w:cs="宋体"/>
                <w:b/>
                <w:kern w:val="0"/>
                <w:szCs w:val="24"/>
              </w:rPr>
            </w:pPr>
          </w:p>
        </w:tc>
        <w:tc>
          <w:tcPr>
            <w:tcW w:w="1515" w:type="dxa"/>
          </w:tcPr>
          <w:p>
            <w:pPr>
              <w:widowControl/>
              <w:spacing w:line="480" w:lineRule="atLeast"/>
              <w:jc w:val="center"/>
              <w:rPr>
                <w:rFonts w:ascii="宋体" w:hAnsi="宋体" w:cs="宋体"/>
                <w:b/>
                <w:kern w:val="0"/>
                <w:szCs w:val="24"/>
              </w:rPr>
            </w:pPr>
          </w:p>
        </w:tc>
        <w:tc>
          <w:tcPr>
            <w:tcW w:w="1605" w:type="dxa"/>
          </w:tcPr>
          <w:p>
            <w:pPr>
              <w:widowControl/>
              <w:spacing w:line="480" w:lineRule="atLeast"/>
              <w:jc w:val="center"/>
              <w:rPr>
                <w:rFonts w:ascii="宋体" w:hAnsi="宋体" w:cs="宋体"/>
                <w:b/>
                <w:kern w:val="0"/>
                <w:szCs w:val="24"/>
              </w:rPr>
            </w:pPr>
          </w:p>
        </w:tc>
        <w:tc>
          <w:tcPr>
            <w:tcW w:w="1590" w:type="dxa"/>
            <w:vAlign w:val="center"/>
          </w:tcPr>
          <w:p>
            <w:pPr>
              <w:widowControl/>
              <w:spacing w:line="480" w:lineRule="atLeast"/>
              <w:jc w:val="center"/>
              <w:rPr>
                <w:rFonts w:ascii="宋体" w:hAnsi="宋体" w:cs="宋体"/>
                <w:b/>
                <w:kern w:val="0"/>
                <w:szCs w:val="24"/>
              </w:rPr>
            </w:pPr>
          </w:p>
        </w:tc>
        <w:tc>
          <w:tcPr>
            <w:tcW w:w="1725" w:type="dxa"/>
            <w:vAlign w:val="center"/>
          </w:tcPr>
          <w:p>
            <w:pPr>
              <w:widowControl/>
              <w:spacing w:line="480" w:lineRule="atLeast"/>
              <w:jc w:val="center"/>
              <w:rPr>
                <w:rFonts w:ascii="宋体" w:hAnsi="宋体" w:cs="宋体"/>
                <w:b/>
                <w:kern w:val="0"/>
                <w:szCs w:val="24"/>
              </w:rPr>
            </w:pPr>
          </w:p>
        </w:tc>
        <w:tc>
          <w:tcPr>
            <w:tcW w:w="1545" w:type="dxa"/>
            <w:vAlign w:val="center"/>
          </w:tcPr>
          <w:p>
            <w:pPr>
              <w:widowControl/>
              <w:spacing w:line="480" w:lineRule="atLeast"/>
              <w:jc w:val="center"/>
              <w:rPr>
                <w:rFonts w:ascii="宋体" w:hAnsi="宋体" w:cs="宋体"/>
                <w:b/>
                <w:kern w:val="0"/>
                <w:szCs w:val="24"/>
              </w:rPr>
            </w:pPr>
          </w:p>
        </w:tc>
        <w:tc>
          <w:tcPr>
            <w:tcW w:w="1515" w:type="dxa"/>
            <w:vAlign w:val="center"/>
          </w:tcPr>
          <w:p>
            <w:pPr>
              <w:widowControl/>
              <w:spacing w:line="480" w:lineRule="atLeast"/>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120" w:type="dxa"/>
            <w:gridSpan w:val="2"/>
            <w:vAlign w:val="center"/>
          </w:tcPr>
          <w:p>
            <w:pPr>
              <w:widowControl/>
              <w:spacing w:line="480" w:lineRule="atLeast"/>
              <w:jc w:val="center"/>
              <w:rPr>
                <w:rFonts w:ascii="宋体" w:hAnsi="宋体" w:cs="宋体"/>
                <w:kern w:val="0"/>
                <w:szCs w:val="24"/>
              </w:rPr>
            </w:pPr>
            <w:r>
              <w:rPr>
                <w:rFonts w:hint="eastAsia" w:ascii="宋体" w:hAnsi="宋体" w:cs="宋体"/>
                <w:kern w:val="0"/>
                <w:sz w:val="24"/>
                <w:szCs w:val="24"/>
              </w:rPr>
              <w:t>投标人签名确认</w:t>
            </w:r>
          </w:p>
        </w:tc>
        <w:tc>
          <w:tcPr>
            <w:tcW w:w="1515" w:type="dxa"/>
            <w:vAlign w:val="center"/>
          </w:tcPr>
          <w:p>
            <w:pPr>
              <w:widowControl/>
              <w:spacing w:line="480" w:lineRule="atLeast"/>
              <w:jc w:val="center"/>
              <w:rPr>
                <w:rFonts w:ascii="宋体" w:hAnsi="宋体" w:cs="宋体"/>
                <w:kern w:val="0"/>
                <w:szCs w:val="24"/>
              </w:rPr>
            </w:pPr>
          </w:p>
        </w:tc>
        <w:tc>
          <w:tcPr>
            <w:tcW w:w="1515" w:type="dxa"/>
          </w:tcPr>
          <w:p>
            <w:pPr>
              <w:widowControl/>
              <w:spacing w:line="480" w:lineRule="atLeast"/>
              <w:jc w:val="center"/>
              <w:rPr>
                <w:rFonts w:ascii="宋体" w:hAnsi="宋体" w:cs="宋体"/>
                <w:kern w:val="0"/>
                <w:szCs w:val="24"/>
              </w:rPr>
            </w:pPr>
          </w:p>
        </w:tc>
        <w:tc>
          <w:tcPr>
            <w:tcW w:w="1605" w:type="dxa"/>
          </w:tcPr>
          <w:p>
            <w:pPr>
              <w:widowControl/>
              <w:spacing w:line="480" w:lineRule="atLeast"/>
              <w:jc w:val="center"/>
              <w:rPr>
                <w:rFonts w:ascii="宋体" w:hAnsi="宋体" w:cs="宋体"/>
                <w:kern w:val="0"/>
                <w:szCs w:val="24"/>
              </w:rPr>
            </w:pPr>
          </w:p>
        </w:tc>
        <w:tc>
          <w:tcPr>
            <w:tcW w:w="1590" w:type="dxa"/>
            <w:vAlign w:val="center"/>
          </w:tcPr>
          <w:p>
            <w:pPr>
              <w:widowControl/>
              <w:spacing w:line="480" w:lineRule="atLeast"/>
              <w:jc w:val="center"/>
              <w:rPr>
                <w:rFonts w:ascii="宋体" w:hAnsi="宋体" w:cs="宋体"/>
                <w:kern w:val="0"/>
                <w:szCs w:val="24"/>
              </w:rPr>
            </w:pPr>
          </w:p>
        </w:tc>
        <w:tc>
          <w:tcPr>
            <w:tcW w:w="1725" w:type="dxa"/>
            <w:vAlign w:val="center"/>
          </w:tcPr>
          <w:p>
            <w:pPr>
              <w:widowControl/>
              <w:spacing w:line="480" w:lineRule="atLeast"/>
              <w:jc w:val="center"/>
              <w:rPr>
                <w:rFonts w:ascii="宋体" w:hAnsi="宋体" w:cs="宋体"/>
                <w:kern w:val="0"/>
                <w:szCs w:val="24"/>
              </w:rPr>
            </w:pPr>
          </w:p>
        </w:tc>
        <w:tc>
          <w:tcPr>
            <w:tcW w:w="1545" w:type="dxa"/>
            <w:vAlign w:val="center"/>
          </w:tcPr>
          <w:p>
            <w:pPr>
              <w:widowControl/>
              <w:spacing w:line="480" w:lineRule="atLeast"/>
              <w:jc w:val="center"/>
              <w:rPr>
                <w:rFonts w:ascii="宋体" w:hAnsi="宋体" w:cs="宋体"/>
                <w:kern w:val="0"/>
                <w:szCs w:val="24"/>
              </w:rPr>
            </w:pPr>
          </w:p>
        </w:tc>
        <w:tc>
          <w:tcPr>
            <w:tcW w:w="1515" w:type="dxa"/>
            <w:vAlign w:val="center"/>
          </w:tcPr>
          <w:p>
            <w:pPr>
              <w:widowControl/>
              <w:spacing w:line="480" w:lineRule="atLeast"/>
              <w:jc w:val="center"/>
              <w:rPr>
                <w:rFonts w:ascii="宋体" w:hAnsi="宋体" w:cs="宋体"/>
                <w:kern w:val="0"/>
                <w:szCs w:val="24"/>
              </w:rPr>
            </w:pPr>
          </w:p>
        </w:tc>
      </w:tr>
    </w:tbl>
    <w:p>
      <w:pPr>
        <w:pStyle w:val="3"/>
        <w:spacing w:line="480" w:lineRule="atLeast"/>
        <w:ind w:left="0" w:leftChars="0" w:firstLine="118" w:firstLineChars="49"/>
        <w:rPr>
          <w:rFonts w:ascii="宋体" w:hAnsi="宋体"/>
          <w:b/>
          <w:sz w:val="24"/>
          <w:szCs w:val="24"/>
        </w:rPr>
      </w:pPr>
      <w:r>
        <w:rPr>
          <w:rFonts w:hint="eastAsia" w:ascii="宋体" w:hAnsi="宋体"/>
          <w:b/>
          <w:sz w:val="24"/>
          <w:szCs w:val="24"/>
        </w:rPr>
        <w:t xml:space="preserve">记录人签名： </w:t>
      </w:r>
      <w:r>
        <w:rPr>
          <w:rFonts w:ascii="宋体" w:hAnsi="宋体"/>
          <w:b/>
          <w:sz w:val="24"/>
          <w:szCs w:val="24"/>
        </w:rPr>
        <w:t xml:space="preserve">                                                                                         </w:t>
      </w:r>
    </w:p>
    <w:p>
      <w:pPr>
        <w:pStyle w:val="3"/>
        <w:spacing w:line="480" w:lineRule="atLeast"/>
        <w:ind w:left="0" w:leftChars="0" w:firstLine="118" w:firstLineChars="49"/>
        <w:rPr>
          <w:rFonts w:ascii="宋体" w:hAnsi="宋体"/>
          <w:b/>
          <w:sz w:val="24"/>
          <w:szCs w:val="24"/>
        </w:rPr>
      </w:pPr>
      <w:r>
        <w:rPr>
          <w:rFonts w:hint="eastAsia" w:ascii="宋体" w:hAnsi="宋体"/>
          <w:b/>
          <w:sz w:val="24"/>
          <w:szCs w:val="24"/>
        </w:rPr>
        <w:t>复核人签名：</w:t>
      </w:r>
      <w:r>
        <w:rPr>
          <w:rFonts w:ascii="宋体" w:hAnsi="宋体"/>
          <w:b/>
          <w:sz w:val="24"/>
          <w:szCs w:val="24"/>
        </w:rPr>
        <w:t xml:space="preserve"> </w:t>
      </w:r>
    </w:p>
    <w:p>
      <w:pPr>
        <w:pStyle w:val="3"/>
        <w:spacing w:line="480" w:lineRule="atLeast"/>
        <w:ind w:left="0" w:leftChars="0" w:firstLine="118" w:firstLineChars="49"/>
        <w:rPr>
          <w:rFonts w:ascii="宋体" w:hAnsi="宋体"/>
          <w:b/>
          <w:sz w:val="24"/>
          <w:szCs w:val="24"/>
        </w:rPr>
      </w:pPr>
    </w:p>
    <w:p>
      <w:pPr>
        <w:pStyle w:val="3"/>
        <w:spacing w:line="480" w:lineRule="atLeast"/>
        <w:ind w:left="0" w:leftChars="0" w:firstLine="118" w:firstLineChars="49"/>
        <w:rPr>
          <w:rFonts w:ascii="宋体" w:hAnsi="宋体"/>
          <w:b/>
          <w:sz w:val="24"/>
          <w:szCs w:val="24"/>
        </w:rPr>
      </w:pPr>
    </w:p>
    <w:p>
      <w:pPr>
        <w:pStyle w:val="3"/>
        <w:spacing w:line="480" w:lineRule="atLeast"/>
        <w:ind w:left="0" w:leftChars="0" w:firstLine="118" w:firstLineChars="49"/>
        <w:rPr>
          <w:rFonts w:ascii="宋体" w:hAnsi="宋体" w:cs="宋体"/>
          <w:b/>
          <w:bCs/>
          <w:sz w:val="24"/>
          <w:szCs w:val="24"/>
        </w:rPr>
      </w:pPr>
      <w:r>
        <w:rPr>
          <w:rFonts w:hint="eastAsia" w:ascii="宋体" w:hAnsi="宋体"/>
          <w:b/>
          <w:sz w:val="24"/>
          <w:szCs w:val="24"/>
        </w:rPr>
        <w:t xml:space="preserve">监督人签名： </w:t>
      </w:r>
      <w:r>
        <w:rPr>
          <w:rFonts w:ascii="宋体" w:hAnsi="宋体"/>
          <w:b/>
          <w:sz w:val="24"/>
          <w:szCs w:val="24"/>
        </w:rPr>
        <w:t xml:space="preserve">                                                                       </w:t>
      </w:r>
      <w:r>
        <w:rPr>
          <w:rFonts w:hint="eastAsia" w:ascii="宋体" w:hAnsi="宋体"/>
          <w:b/>
          <w:sz w:val="24"/>
          <w:szCs w:val="24"/>
        </w:rPr>
        <w:t>日期：</w:t>
      </w:r>
      <w:r>
        <w:rPr>
          <w:rFonts w:hint="eastAsia" w:ascii="宋体" w:hAnsi="宋体"/>
          <w:sz w:val="24"/>
          <w:szCs w:val="24"/>
        </w:rPr>
        <w:t xml:space="preserve">     年    月    日</w:t>
      </w:r>
    </w:p>
    <w:p>
      <w:pPr>
        <w:spacing w:line="480" w:lineRule="atLeast"/>
        <w:jc w:val="left"/>
        <w:rPr>
          <w:rFonts w:ascii="宋体" w:hAnsi="宋体" w:cs="宋体"/>
          <w:b/>
          <w:bCs/>
          <w:kern w:val="0"/>
          <w:sz w:val="24"/>
          <w:szCs w:val="24"/>
        </w:rPr>
      </w:pPr>
    </w:p>
    <w:p>
      <w:pPr>
        <w:spacing w:line="480" w:lineRule="atLeast"/>
        <w:jc w:val="left"/>
        <w:rPr>
          <w:rFonts w:ascii="宋体" w:hAnsi="宋体" w:cs="宋体"/>
          <w:b/>
          <w:bCs/>
          <w:kern w:val="0"/>
          <w:sz w:val="24"/>
          <w:szCs w:val="24"/>
        </w:rPr>
      </w:pPr>
    </w:p>
    <w:p>
      <w:pPr>
        <w:spacing w:line="480" w:lineRule="atLeas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资格审查文件初步评审表</w:t>
      </w:r>
    </w:p>
    <w:p>
      <w:pPr>
        <w:spacing w:line="480" w:lineRule="atLeast"/>
        <w:ind w:firstLine="241" w:firstLineChars="100"/>
        <w:rPr>
          <w:rFonts w:ascii="宋体" w:hAnsi="宋体" w:cs="宋体"/>
          <w:b/>
          <w:kern w:val="0"/>
          <w:sz w:val="24"/>
          <w:szCs w:val="28"/>
        </w:rPr>
      </w:pPr>
      <w:r>
        <w:rPr>
          <w:rFonts w:hint="eastAsia" w:ascii="宋体" w:hAnsi="宋体" w:cs="宋体"/>
          <w:b/>
          <w:kern w:val="0"/>
          <w:sz w:val="24"/>
          <w:szCs w:val="28"/>
        </w:rPr>
        <w:t>项目名称：</w:t>
      </w:r>
      <w:r>
        <w:rPr>
          <w:rFonts w:hint="eastAsia" w:ascii="宋体" w:hAnsi="宋体"/>
          <w:b/>
          <w:szCs w:val="21"/>
          <w:lang w:eastAsia="zh-CN"/>
        </w:rPr>
        <w:t>赤湾停车场物业开发项目</w:t>
      </w:r>
      <w:r>
        <w:rPr>
          <w:rFonts w:hint="eastAsia" w:ascii="宋体" w:hAnsi="宋体"/>
          <w:b/>
          <w:szCs w:val="21"/>
        </w:rPr>
        <w:t>按揭合作银行</w:t>
      </w:r>
    </w:p>
    <w:tbl>
      <w:tblPr>
        <w:tblStyle w:val="48"/>
        <w:tblW w:w="14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5"/>
        <w:gridCol w:w="8671"/>
        <w:gridCol w:w="1003"/>
        <w:gridCol w:w="1007"/>
        <w:gridCol w:w="891"/>
        <w:gridCol w:w="956"/>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645" w:type="dxa"/>
            <w:vMerge w:val="restart"/>
            <w:vAlign w:val="center"/>
          </w:tcPr>
          <w:p>
            <w:pPr>
              <w:spacing w:line="480" w:lineRule="atLeast"/>
              <w:jc w:val="center"/>
              <w:rPr>
                <w:rFonts w:ascii="宋体" w:hAnsi="宋体"/>
                <w:b/>
                <w:bCs/>
                <w:szCs w:val="24"/>
              </w:rPr>
            </w:pPr>
            <w:r>
              <w:rPr>
                <w:rFonts w:hint="eastAsia" w:ascii="宋体" w:hAnsi="宋体"/>
                <w:b/>
                <w:bCs/>
                <w:sz w:val="24"/>
                <w:szCs w:val="24"/>
              </w:rPr>
              <w:t>序号</w:t>
            </w:r>
          </w:p>
        </w:tc>
        <w:tc>
          <w:tcPr>
            <w:tcW w:w="8671" w:type="dxa"/>
            <w:vMerge w:val="restart"/>
            <w:tcBorders>
              <w:tl2br w:val="single" w:color="auto" w:sz="4" w:space="0"/>
            </w:tcBorders>
            <w:vAlign w:val="center"/>
          </w:tcPr>
          <w:p>
            <w:pPr>
              <w:spacing w:line="480" w:lineRule="atLeast"/>
              <w:rPr>
                <w:rFonts w:ascii="宋体" w:hAnsi="宋体"/>
                <w:b/>
                <w:bCs/>
                <w:szCs w:val="24"/>
              </w:rPr>
            </w:pPr>
            <w:r>
              <w:rPr>
                <w:rFonts w:hint="eastAsia" w:ascii="宋体" w:hAnsi="宋体"/>
                <w:b/>
                <w:bCs/>
                <w:szCs w:val="24"/>
              </w:rPr>
              <w:t xml:space="preserve">   评审项目 </w:t>
            </w:r>
            <w:r>
              <w:rPr>
                <w:rFonts w:ascii="宋体" w:hAnsi="宋体"/>
                <w:b/>
                <w:bCs/>
                <w:szCs w:val="24"/>
              </w:rPr>
              <w:t xml:space="preserve">                                 </w:t>
            </w:r>
            <w:r>
              <w:rPr>
                <w:rFonts w:hint="eastAsia" w:ascii="宋体" w:hAnsi="宋体"/>
                <w:b/>
                <w:bCs/>
                <w:szCs w:val="24"/>
                <w:lang w:val="en-US" w:eastAsia="zh-CN"/>
              </w:rPr>
              <w:t xml:space="preserve">                         </w:t>
            </w:r>
            <w:r>
              <w:rPr>
                <w:rFonts w:hint="eastAsia" w:ascii="宋体" w:hAnsi="宋体"/>
                <w:b/>
                <w:bCs/>
                <w:szCs w:val="24"/>
              </w:rPr>
              <w:t>投标人</w:t>
            </w:r>
          </w:p>
        </w:tc>
        <w:tc>
          <w:tcPr>
            <w:tcW w:w="4795" w:type="dxa"/>
            <w:gridSpan w:val="5"/>
            <w:shd w:val="clear" w:color="auto" w:fill="auto"/>
          </w:tcPr>
          <w:p>
            <w:pPr>
              <w:widowControl/>
              <w:spacing w:line="480" w:lineRule="atLeast"/>
              <w:jc w:val="left"/>
              <w:rPr>
                <w:b/>
              </w:rPr>
            </w:pPr>
            <w:r>
              <w:rPr>
                <w:rFonts w:hint="eastAsia"/>
              </w:rPr>
              <w:t xml:space="preserve">                 </w:t>
            </w:r>
            <w:r>
              <w:rPr>
                <w:rFonts w:hint="eastAsia"/>
                <w:b/>
              </w:rPr>
              <w:t xml:space="preserve"> 投标</w:t>
            </w:r>
            <w:r>
              <w:rPr>
                <w:b/>
              </w:rPr>
              <w:t>人</w:t>
            </w:r>
            <w:r>
              <w:rPr>
                <w:rFonts w:hint="eastAsia"/>
                <w:b/>
              </w:rPr>
              <w:t>简</w:t>
            </w:r>
            <w:r>
              <w:rPr>
                <w:b/>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45" w:type="dxa"/>
            <w:vMerge w:val="continue"/>
            <w:vAlign w:val="center"/>
          </w:tcPr>
          <w:p>
            <w:pPr>
              <w:spacing w:line="480" w:lineRule="atLeast"/>
              <w:jc w:val="center"/>
              <w:rPr>
                <w:rFonts w:ascii="宋体" w:hAnsi="宋体"/>
                <w:b/>
                <w:bCs/>
                <w:szCs w:val="24"/>
              </w:rPr>
            </w:pPr>
          </w:p>
        </w:tc>
        <w:tc>
          <w:tcPr>
            <w:tcW w:w="8671" w:type="dxa"/>
            <w:vMerge w:val="continue"/>
            <w:vAlign w:val="center"/>
          </w:tcPr>
          <w:p>
            <w:pPr>
              <w:spacing w:line="480" w:lineRule="atLeast"/>
              <w:jc w:val="center"/>
              <w:rPr>
                <w:rFonts w:ascii="宋体" w:hAnsi="宋体"/>
                <w:b/>
                <w:bCs/>
                <w:szCs w:val="24"/>
              </w:rPr>
            </w:pPr>
          </w:p>
        </w:tc>
        <w:tc>
          <w:tcPr>
            <w:tcW w:w="1003" w:type="dxa"/>
            <w:vAlign w:val="center"/>
          </w:tcPr>
          <w:p>
            <w:pPr>
              <w:widowControl/>
              <w:spacing w:line="480" w:lineRule="atLeast"/>
              <w:jc w:val="center"/>
              <w:rPr>
                <w:rFonts w:ascii="宋体" w:hAnsi="宋体" w:cs="宋体"/>
                <w:b/>
                <w:kern w:val="0"/>
                <w:szCs w:val="24"/>
              </w:rPr>
            </w:pPr>
          </w:p>
        </w:tc>
        <w:tc>
          <w:tcPr>
            <w:tcW w:w="1007" w:type="dxa"/>
            <w:vAlign w:val="center"/>
          </w:tcPr>
          <w:p>
            <w:pPr>
              <w:widowControl/>
              <w:spacing w:line="480" w:lineRule="atLeast"/>
              <w:jc w:val="center"/>
              <w:rPr>
                <w:rFonts w:ascii="宋体" w:hAnsi="宋体" w:cs="宋体"/>
                <w:b/>
                <w:kern w:val="0"/>
                <w:szCs w:val="24"/>
              </w:rPr>
            </w:pPr>
          </w:p>
        </w:tc>
        <w:tc>
          <w:tcPr>
            <w:tcW w:w="891" w:type="dxa"/>
            <w:vAlign w:val="center"/>
          </w:tcPr>
          <w:p>
            <w:pPr>
              <w:widowControl/>
              <w:spacing w:line="480" w:lineRule="atLeast"/>
              <w:jc w:val="center"/>
              <w:rPr>
                <w:rFonts w:ascii="宋体" w:hAnsi="宋体" w:cs="宋体"/>
                <w:b/>
                <w:kern w:val="0"/>
                <w:szCs w:val="24"/>
              </w:rPr>
            </w:pPr>
          </w:p>
        </w:tc>
        <w:tc>
          <w:tcPr>
            <w:tcW w:w="956" w:type="dxa"/>
            <w:vAlign w:val="center"/>
          </w:tcPr>
          <w:p>
            <w:pPr>
              <w:widowControl/>
              <w:spacing w:line="480" w:lineRule="atLeast"/>
              <w:jc w:val="center"/>
              <w:rPr>
                <w:rFonts w:ascii="宋体" w:hAnsi="宋体" w:cs="宋体"/>
                <w:kern w:val="0"/>
                <w:szCs w:val="24"/>
              </w:rPr>
            </w:pPr>
          </w:p>
        </w:tc>
        <w:tc>
          <w:tcPr>
            <w:tcW w:w="938" w:type="dxa"/>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1</w:t>
            </w:r>
          </w:p>
        </w:tc>
        <w:tc>
          <w:tcPr>
            <w:tcW w:w="8671" w:type="dxa"/>
            <w:vAlign w:val="center"/>
          </w:tcPr>
          <w:p>
            <w:pPr>
              <w:spacing w:line="240" w:lineRule="auto"/>
              <w:jc w:val="left"/>
              <w:rPr>
                <w:rFonts w:ascii="宋体" w:hAnsi="宋体"/>
                <w:szCs w:val="21"/>
              </w:rPr>
            </w:pPr>
            <w:r>
              <w:rPr>
                <w:rFonts w:hint="eastAsia" w:ascii="Times New Roman" w:hAnsi="Times New Roman"/>
                <w:szCs w:val="24"/>
              </w:rPr>
              <w:t>投标文件按要求加盖投标人公章</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2</w:t>
            </w:r>
          </w:p>
        </w:tc>
        <w:tc>
          <w:tcPr>
            <w:tcW w:w="8671" w:type="dxa"/>
            <w:vAlign w:val="center"/>
          </w:tcPr>
          <w:p>
            <w:pPr>
              <w:pStyle w:val="133"/>
            </w:pPr>
            <w:r>
              <w:rPr>
                <w:rFonts w:hint="eastAsia"/>
              </w:rPr>
              <w:t>投标文件经法定代表人或其委托代理人签字，或由委托代理人签字并随投标文件一起提供“法定代表人授权书”原件</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3</w:t>
            </w:r>
          </w:p>
        </w:tc>
        <w:tc>
          <w:tcPr>
            <w:tcW w:w="8671" w:type="dxa"/>
            <w:vAlign w:val="center"/>
          </w:tcPr>
          <w:p>
            <w:pPr>
              <w:pStyle w:val="133"/>
            </w:pPr>
            <w:r>
              <w:rPr>
                <w:rFonts w:hint="eastAsia"/>
              </w:rPr>
              <w:t>对固定的投标格式文件内容不能进行实质性修改，不能加进额外的条件；</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4</w:t>
            </w:r>
          </w:p>
        </w:tc>
        <w:tc>
          <w:tcPr>
            <w:tcW w:w="8671" w:type="dxa"/>
            <w:vAlign w:val="center"/>
          </w:tcPr>
          <w:p>
            <w:pPr>
              <w:pStyle w:val="133"/>
            </w:pPr>
            <w:r>
              <w:rPr>
                <w:rFonts w:hint="eastAsia"/>
              </w:rPr>
              <w:t>投标人必须是在中华人民共和国境内依法成立的全国性的银行机构在深圳设立的分行，或由深圳分行授权的下属支行，地铁集团已在该行开户的，由为集团服务的支行参与投标，原则上不再接受该行其他支行的投标；</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5</w:t>
            </w:r>
          </w:p>
        </w:tc>
        <w:tc>
          <w:tcPr>
            <w:tcW w:w="8671" w:type="dxa"/>
            <w:vAlign w:val="center"/>
          </w:tcPr>
          <w:p>
            <w:pPr>
              <w:pStyle w:val="133"/>
            </w:pPr>
            <w:r>
              <w:rPr>
                <w:rFonts w:hint="eastAsia"/>
              </w:rPr>
              <w:t>投标人需持有中国银行业监督管理委员会核发的经营金融业务许可证；</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6</w:t>
            </w:r>
          </w:p>
        </w:tc>
        <w:tc>
          <w:tcPr>
            <w:tcW w:w="8671" w:type="dxa"/>
            <w:vAlign w:val="center"/>
          </w:tcPr>
          <w:p>
            <w:pPr>
              <w:pStyle w:val="133"/>
              <w:rPr>
                <w:rFonts w:hint="eastAsia"/>
              </w:rPr>
            </w:pPr>
            <w:r>
              <w:rPr>
                <w:rFonts w:hint="eastAsia"/>
              </w:rPr>
              <w:t>投标人须至少满足以下二项业绩指标中的任意一项：</w:t>
            </w:r>
          </w:p>
          <w:p>
            <w:pPr>
              <w:pStyle w:val="133"/>
            </w:pPr>
            <w:r>
              <w:rPr>
                <w:rFonts w:hint="eastAsia"/>
              </w:rPr>
              <w:t>1.投标人需满足近三年（2019年1月1日至今），为5个以上（含5个）全国50强或深圳20强地产企业品牌提供过深圳地区项目的按揭贷款服务；2.已购买深铁集团旗下商办物业（以签订的认购书或销售合同为准）或为地铁集团旗下商办物业推介客户并成功认购的金融机构（由经办部门与营销策划部确认后在评标时提供名单）</w:t>
            </w:r>
            <w:r>
              <w:rPr>
                <w:rFonts w:hint="eastAsia"/>
                <w:lang w:eastAsia="zh-CN"/>
              </w:rPr>
              <w:t>。</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645" w:type="dxa"/>
            <w:vAlign w:val="center"/>
          </w:tcPr>
          <w:p>
            <w:pPr>
              <w:spacing w:line="480" w:lineRule="atLeast"/>
              <w:jc w:val="center"/>
              <w:rPr>
                <w:rFonts w:ascii="宋体" w:hAnsi="宋体"/>
                <w:szCs w:val="21"/>
              </w:rPr>
            </w:pPr>
            <w:r>
              <w:rPr>
                <w:rFonts w:hint="eastAsia" w:ascii="宋体" w:hAnsi="宋体"/>
                <w:szCs w:val="21"/>
              </w:rPr>
              <w:t>7</w:t>
            </w:r>
          </w:p>
        </w:tc>
        <w:tc>
          <w:tcPr>
            <w:tcW w:w="8671" w:type="dxa"/>
            <w:vAlign w:val="center"/>
          </w:tcPr>
          <w:p>
            <w:pPr>
              <w:pStyle w:val="133"/>
            </w:pPr>
            <w:r>
              <w:rPr>
                <w:rFonts w:hint="eastAsia"/>
                <w:lang w:val="en-US" w:eastAsia="zh-CN"/>
              </w:rPr>
              <w:t>承诺函：</w:t>
            </w:r>
            <w:r>
              <w:rPr>
                <w:rFonts w:hint="eastAsia"/>
              </w:rPr>
              <w:t>投标人所承诺放款时间不超过60（含）日、办理预抵押时间不超过60（含）日。</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645" w:type="dxa"/>
            <w:vAlign w:val="center"/>
          </w:tcPr>
          <w:p>
            <w:pPr>
              <w:spacing w:line="480" w:lineRule="atLeast"/>
              <w:rPr>
                <w:rFonts w:ascii="宋体" w:hAnsi="宋体"/>
                <w:szCs w:val="21"/>
              </w:rPr>
            </w:pPr>
            <w:r>
              <w:rPr>
                <w:rFonts w:ascii="宋体" w:hAnsi="宋体"/>
                <w:szCs w:val="21"/>
              </w:rPr>
              <w:t xml:space="preserve">   8</w:t>
            </w:r>
          </w:p>
        </w:tc>
        <w:tc>
          <w:tcPr>
            <w:tcW w:w="8671" w:type="dxa"/>
            <w:vAlign w:val="center"/>
          </w:tcPr>
          <w:p>
            <w:pPr>
              <w:pStyle w:val="133"/>
            </w:pPr>
            <w:r>
              <w:rPr>
                <w:rFonts w:hint="eastAsia"/>
              </w:rPr>
              <w:t>符合招标文件其他规定或要求</w:t>
            </w:r>
            <w:r>
              <w:t>。</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 w:hRule="atLeast"/>
          <w:jc w:val="center"/>
        </w:trPr>
        <w:tc>
          <w:tcPr>
            <w:tcW w:w="9316" w:type="dxa"/>
            <w:gridSpan w:val="2"/>
            <w:vAlign w:val="center"/>
          </w:tcPr>
          <w:p>
            <w:pPr>
              <w:spacing w:line="480" w:lineRule="atLeast"/>
              <w:jc w:val="center"/>
              <w:rPr>
                <w:rFonts w:ascii="宋体" w:hAnsi="宋体"/>
                <w:szCs w:val="24"/>
              </w:rPr>
            </w:pPr>
            <w:r>
              <w:rPr>
                <w:rFonts w:hint="eastAsia" w:ascii="宋体" w:hAnsi="宋体"/>
                <w:b/>
                <w:bCs/>
                <w:sz w:val="24"/>
                <w:szCs w:val="24"/>
              </w:rPr>
              <w:t>评审结论：</w:t>
            </w:r>
          </w:p>
        </w:tc>
        <w:tc>
          <w:tcPr>
            <w:tcW w:w="1003" w:type="dxa"/>
            <w:vAlign w:val="center"/>
          </w:tcPr>
          <w:p>
            <w:pPr>
              <w:spacing w:line="480" w:lineRule="atLeast"/>
              <w:jc w:val="center"/>
              <w:rPr>
                <w:rFonts w:ascii="宋体" w:hAnsi="宋体"/>
                <w:szCs w:val="24"/>
              </w:rPr>
            </w:pPr>
          </w:p>
        </w:tc>
        <w:tc>
          <w:tcPr>
            <w:tcW w:w="1007" w:type="dxa"/>
          </w:tcPr>
          <w:p>
            <w:pPr>
              <w:spacing w:line="480" w:lineRule="atLeast"/>
              <w:jc w:val="center"/>
              <w:rPr>
                <w:rFonts w:ascii="宋体" w:hAnsi="宋体"/>
                <w:szCs w:val="24"/>
              </w:rPr>
            </w:pPr>
          </w:p>
        </w:tc>
        <w:tc>
          <w:tcPr>
            <w:tcW w:w="891" w:type="dxa"/>
            <w:vAlign w:val="center"/>
          </w:tcPr>
          <w:p>
            <w:pPr>
              <w:spacing w:line="480" w:lineRule="atLeast"/>
              <w:jc w:val="center"/>
              <w:rPr>
                <w:rFonts w:ascii="宋体" w:hAnsi="宋体"/>
                <w:szCs w:val="24"/>
              </w:rPr>
            </w:pPr>
          </w:p>
        </w:tc>
        <w:tc>
          <w:tcPr>
            <w:tcW w:w="956" w:type="dxa"/>
            <w:vAlign w:val="center"/>
          </w:tcPr>
          <w:p>
            <w:pPr>
              <w:spacing w:line="480" w:lineRule="atLeast"/>
              <w:jc w:val="center"/>
              <w:rPr>
                <w:rFonts w:ascii="宋体" w:hAnsi="宋体"/>
                <w:szCs w:val="24"/>
              </w:rPr>
            </w:pPr>
          </w:p>
        </w:tc>
        <w:tc>
          <w:tcPr>
            <w:tcW w:w="938" w:type="dxa"/>
            <w:vAlign w:val="center"/>
          </w:tcPr>
          <w:p>
            <w:pPr>
              <w:spacing w:line="480" w:lineRule="atLeast"/>
              <w:jc w:val="center"/>
              <w:rPr>
                <w:rFonts w:ascii="宋体" w:hAnsi="宋体"/>
                <w:szCs w:val="24"/>
              </w:rPr>
            </w:pPr>
          </w:p>
        </w:tc>
      </w:tr>
    </w:tbl>
    <w:p>
      <w:pPr>
        <w:tabs>
          <w:tab w:val="left" w:pos="0"/>
        </w:tabs>
        <w:snapToGrid w:val="0"/>
        <w:spacing w:line="480" w:lineRule="atLeast"/>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480" w:lineRule="atLeast"/>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480" w:lineRule="atLeast"/>
        <w:ind w:firstLine="482" w:firstLineChars="200"/>
        <w:rPr>
          <w:rFonts w:ascii="宋体" w:hAnsi="宋体"/>
          <w:b/>
          <w:sz w:val="24"/>
          <w:szCs w:val="24"/>
        </w:rPr>
        <w:sectPr>
          <w:headerReference r:id="rId8" w:type="default"/>
          <w:footerReference r:id="rId9" w:type="default"/>
          <w:pgSz w:w="16840" w:h="11907" w:orient="landscape"/>
          <w:pgMar w:top="1440" w:right="1440" w:bottom="1134" w:left="1440" w:header="720" w:footer="890" w:gutter="0"/>
          <w:cols w:space="720" w:num="1"/>
          <w:docGrid w:linePitch="312" w:charSpace="0"/>
        </w:sectPr>
      </w:pPr>
      <w:r>
        <w:rPr>
          <w:rFonts w:hint="eastAsia" w:ascii="宋体" w:hAnsi="宋体"/>
          <w:b/>
          <w:sz w:val="24"/>
          <w:szCs w:val="24"/>
        </w:rPr>
        <w:t xml:space="preserve">评委（签名）： </w:t>
      </w:r>
      <w:r>
        <w:rPr>
          <w:rFonts w:ascii="宋体" w:hAnsi="宋体"/>
          <w:b/>
          <w:sz w:val="24"/>
          <w:szCs w:val="24"/>
        </w:rPr>
        <w:t xml:space="preserve">                        </w:t>
      </w:r>
      <w:r>
        <w:rPr>
          <w:rFonts w:hint="eastAsia" w:ascii="宋体" w:hAnsi="宋体"/>
          <w:b/>
          <w:sz w:val="24"/>
          <w:szCs w:val="24"/>
        </w:rPr>
        <w:t xml:space="preserve">监督（签名）： </w:t>
      </w:r>
      <w:r>
        <w:rPr>
          <w:rFonts w:ascii="宋体" w:hAnsi="宋体"/>
          <w:b/>
          <w:sz w:val="24"/>
          <w:szCs w:val="24"/>
        </w:rPr>
        <w:t xml:space="preserve">                           </w:t>
      </w:r>
      <w:r>
        <w:rPr>
          <w:rFonts w:hint="eastAsia" w:ascii="宋体" w:hAnsi="宋体"/>
          <w:b/>
          <w:sz w:val="24"/>
          <w:szCs w:val="24"/>
        </w:rPr>
        <w:t>日期：     年    月    日</w:t>
      </w:r>
      <w:r>
        <w:rPr>
          <w:rFonts w:ascii="宋体" w:hAnsi="宋体"/>
          <w:b/>
          <w:sz w:val="24"/>
          <w:szCs w:val="24"/>
        </w:rPr>
        <w:t xml:space="preserve"> </w:t>
      </w:r>
    </w:p>
    <w:p>
      <w:pPr>
        <w:spacing w:line="480" w:lineRule="atLeast"/>
        <w:jc w:val="left"/>
        <w:rPr>
          <w:rFonts w:ascii="宋体" w:hAnsi="宋体"/>
          <w:b/>
          <w:sz w:val="24"/>
        </w:rPr>
      </w:pPr>
      <w:r>
        <w:rPr>
          <w:rFonts w:hint="eastAsia" w:ascii="宋体" w:hAnsi="宋体"/>
          <w:b/>
          <w:sz w:val="24"/>
        </w:rPr>
        <w:t>附表4：</w:t>
      </w:r>
      <w:r>
        <w:rPr>
          <w:rFonts w:hint="eastAsia" w:ascii="宋体" w:hAnsi="宋体" w:cs="宋体"/>
          <w:b/>
          <w:bCs/>
          <w:kern w:val="0"/>
          <w:sz w:val="24"/>
          <w:szCs w:val="24"/>
        </w:rPr>
        <w:t>综合评审文件详细评审表（100分）</w:t>
      </w: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 </w:t>
      </w:r>
    </w:p>
    <w:p>
      <w:pPr>
        <w:spacing w:line="480" w:lineRule="atLeast"/>
        <w:jc w:val="center"/>
        <w:rPr>
          <w:rFonts w:ascii="宋体" w:hAnsi="宋体"/>
          <w:b/>
          <w:sz w:val="24"/>
        </w:rPr>
      </w:pPr>
    </w:p>
    <w:p>
      <w:pPr>
        <w:spacing w:after="120" w:afterLines="50" w:line="480" w:lineRule="atLeast"/>
        <w:ind w:right="-306"/>
      </w:pPr>
      <w:r>
        <w:rPr>
          <w:rFonts w:hint="eastAsia" w:ascii="宋体" w:hAnsi="宋体" w:cs="宋体"/>
          <w:b/>
          <w:kern w:val="0"/>
          <w:sz w:val="24"/>
          <w:szCs w:val="28"/>
        </w:rPr>
        <w:t>项目名称：</w:t>
      </w:r>
      <w:r>
        <w:rPr>
          <w:rFonts w:hint="eastAsia" w:ascii="宋体" w:hAnsi="宋体"/>
          <w:b/>
          <w:szCs w:val="21"/>
          <w:lang w:eastAsia="zh-CN"/>
        </w:rPr>
        <w:t>赤湾停车场物业开发项目</w:t>
      </w:r>
      <w:r>
        <w:rPr>
          <w:rFonts w:hint="eastAsia" w:ascii="宋体" w:hAnsi="宋体"/>
          <w:b/>
          <w:szCs w:val="21"/>
        </w:rPr>
        <w:t>按揭合作银行</w:t>
      </w:r>
    </w:p>
    <w:tbl>
      <w:tblPr>
        <w:tblStyle w:val="48"/>
        <w:tblW w:w="939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80"/>
        <w:gridCol w:w="765"/>
        <w:gridCol w:w="735"/>
        <w:gridCol w:w="795"/>
        <w:gridCol w:w="810"/>
        <w:gridCol w:w="840"/>
        <w:gridCol w:w="855"/>
        <w:gridCol w:w="915"/>
        <w:gridCol w:w="825"/>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40" w:type="dxa"/>
            <w:vMerge w:val="restart"/>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p>
            <w:pPr>
              <w:widowControl/>
              <w:jc w:val="center"/>
              <w:rPr>
                <w:rFonts w:ascii="宋体" w:hAnsi="宋体" w:cs="宋体"/>
                <w:b/>
                <w:bCs/>
                <w:color w:val="000000"/>
                <w:kern w:val="0"/>
                <w:szCs w:val="21"/>
              </w:rPr>
            </w:pPr>
          </w:p>
        </w:tc>
        <w:tc>
          <w:tcPr>
            <w:tcW w:w="1380" w:type="dxa"/>
            <w:vMerge w:val="restart"/>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银行简称</w:t>
            </w:r>
          </w:p>
          <w:p>
            <w:pPr>
              <w:widowControl/>
              <w:jc w:val="center"/>
              <w:rPr>
                <w:rFonts w:ascii="宋体" w:hAnsi="宋体" w:cs="宋体"/>
                <w:b/>
                <w:bCs/>
                <w:color w:val="000000"/>
                <w:kern w:val="0"/>
                <w:szCs w:val="21"/>
              </w:rPr>
            </w:pPr>
          </w:p>
        </w:tc>
        <w:tc>
          <w:tcPr>
            <w:tcW w:w="1500" w:type="dxa"/>
            <w:gridSpan w:val="2"/>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rPr>
              <w:t>资产实力</w:t>
            </w:r>
            <w:r>
              <w:rPr>
                <w:rFonts w:hint="eastAsia" w:ascii="宋体" w:hAnsi="宋体" w:cs="宋体"/>
                <w:b/>
                <w:bCs/>
                <w:color w:val="000000"/>
                <w:kern w:val="0"/>
                <w:szCs w:val="21"/>
                <w:lang w:val="en-US" w:eastAsia="zh-CN"/>
              </w:rPr>
              <w:t xml:space="preserve">  </w:t>
            </w:r>
            <w:r>
              <w:rPr>
                <w:rFonts w:hint="eastAsia" w:ascii="宋体" w:hAnsi="宋体" w:cs="宋体"/>
                <w:b/>
                <w:bCs/>
                <w:color w:val="000000"/>
                <w:kern w:val="0"/>
                <w:szCs w:val="21"/>
                <w:lang w:eastAsia="zh-CN"/>
              </w:rPr>
              <w:t>（</w:t>
            </w:r>
            <w:r>
              <w:rPr>
                <w:rFonts w:hint="eastAsia" w:ascii="宋体" w:hAnsi="宋体" w:cs="宋体"/>
                <w:b/>
                <w:bCs/>
                <w:color w:val="000000"/>
                <w:kern w:val="0"/>
                <w:szCs w:val="21"/>
                <w:lang w:val="en-US" w:eastAsia="zh-CN"/>
              </w:rPr>
              <w:t>20分</w:t>
            </w:r>
            <w:r>
              <w:rPr>
                <w:rFonts w:hint="eastAsia" w:ascii="宋体" w:hAnsi="宋体" w:cs="宋体"/>
                <w:b/>
                <w:bCs/>
                <w:color w:val="000000"/>
                <w:kern w:val="0"/>
                <w:szCs w:val="21"/>
                <w:lang w:eastAsia="zh-CN"/>
              </w:rPr>
              <w:t>）</w:t>
            </w:r>
          </w:p>
        </w:tc>
        <w:tc>
          <w:tcPr>
            <w:tcW w:w="1605" w:type="dxa"/>
            <w:gridSpan w:val="2"/>
            <w:noWrap/>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rPr>
              <w:t>业务支持</w:t>
            </w:r>
            <w:r>
              <w:rPr>
                <w:rFonts w:hint="eastAsia" w:ascii="宋体" w:hAnsi="宋体" w:cs="宋体"/>
                <w:b/>
                <w:bCs/>
                <w:color w:val="000000"/>
                <w:kern w:val="0"/>
                <w:szCs w:val="21"/>
                <w:lang w:val="en-US" w:eastAsia="zh-CN"/>
              </w:rPr>
              <w:t xml:space="preserve">   </w:t>
            </w:r>
            <w:r>
              <w:rPr>
                <w:rFonts w:hint="eastAsia" w:ascii="宋体" w:hAnsi="宋体" w:cs="宋体"/>
                <w:b/>
                <w:bCs/>
                <w:color w:val="000000"/>
                <w:kern w:val="0"/>
                <w:szCs w:val="21"/>
                <w:lang w:eastAsia="zh-CN"/>
              </w:rPr>
              <w:t>（</w:t>
            </w:r>
            <w:r>
              <w:rPr>
                <w:rFonts w:hint="eastAsia" w:ascii="宋体" w:hAnsi="宋体" w:cs="宋体"/>
                <w:b/>
                <w:bCs/>
                <w:color w:val="000000"/>
                <w:kern w:val="0"/>
                <w:szCs w:val="21"/>
                <w:lang w:val="en-US" w:eastAsia="zh-CN"/>
              </w:rPr>
              <w:t>30分</w:t>
            </w:r>
            <w:r>
              <w:rPr>
                <w:rFonts w:hint="eastAsia" w:ascii="宋体" w:hAnsi="宋体" w:cs="宋体"/>
                <w:b/>
                <w:bCs/>
                <w:color w:val="000000"/>
                <w:kern w:val="0"/>
                <w:szCs w:val="21"/>
                <w:lang w:eastAsia="zh-CN"/>
              </w:rPr>
              <w:t>）</w:t>
            </w:r>
          </w:p>
        </w:tc>
        <w:tc>
          <w:tcPr>
            <w:tcW w:w="4365" w:type="dxa"/>
            <w:gridSpan w:val="5"/>
            <w:noWrap/>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rPr>
              <w:t>服务能力</w:t>
            </w:r>
            <w:r>
              <w:rPr>
                <w:rFonts w:hint="eastAsia" w:ascii="宋体" w:hAnsi="宋体" w:cs="宋体"/>
                <w:b/>
                <w:bCs/>
                <w:color w:val="000000"/>
                <w:kern w:val="0"/>
                <w:szCs w:val="21"/>
                <w:lang w:eastAsia="zh-CN"/>
              </w:rPr>
              <w:t>（</w:t>
            </w:r>
            <w:r>
              <w:rPr>
                <w:rFonts w:hint="eastAsia" w:ascii="宋体" w:hAnsi="宋体" w:cs="宋体"/>
                <w:b/>
                <w:bCs/>
                <w:color w:val="000000"/>
                <w:kern w:val="0"/>
                <w:szCs w:val="21"/>
                <w:lang w:val="en-US" w:eastAsia="zh-CN"/>
              </w:rPr>
              <w:t>50分</w:t>
            </w:r>
            <w:r>
              <w:rPr>
                <w:rFonts w:hint="eastAsia" w:ascii="宋体" w:hAnsi="宋体" w:cs="宋体"/>
                <w:b/>
                <w:bCs/>
                <w:color w:val="000000"/>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40" w:type="dxa"/>
            <w:vMerge w:val="continue"/>
            <w:vAlign w:val="center"/>
          </w:tcPr>
          <w:p>
            <w:pPr>
              <w:widowControl/>
              <w:jc w:val="center"/>
              <w:rPr>
                <w:rFonts w:ascii="宋体" w:hAnsi="宋体" w:cs="宋体"/>
                <w:b/>
                <w:bCs/>
                <w:color w:val="000000"/>
                <w:kern w:val="0"/>
                <w:szCs w:val="21"/>
              </w:rPr>
            </w:pPr>
          </w:p>
        </w:tc>
        <w:tc>
          <w:tcPr>
            <w:tcW w:w="1380" w:type="dxa"/>
            <w:vMerge w:val="continue"/>
            <w:vAlign w:val="center"/>
          </w:tcPr>
          <w:p>
            <w:pPr>
              <w:widowControl/>
              <w:jc w:val="center"/>
              <w:rPr>
                <w:rFonts w:ascii="宋体" w:hAnsi="宋体" w:cs="宋体"/>
                <w:b/>
                <w:bCs/>
                <w:color w:val="000000"/>
                <w:kern w:val="0"/>
                <w:szCs w:val="21"/>
              </w:rPr>
            </w:pPr>
          </w:p>
        </w:tc>
        <w:tc>
          <w:tcPr>
            <w:tcW w:w="76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总行</w:t>
            </w:r>
          </w:p>
        </w:tc>
        <w:tc>
          <w:tcPr>
            <w:tcW w:w="73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分行</w:t>
            </w:r>
          </w:p>
        </w:tc>
        <w:tc>
          <w:tcPr>
            <w:tcW w:w="795"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销售业务</w:t>
            </w:r>
          </w:p>
        </w:tc>
        <w:tc>
          <w:tcPr>
            <w:tcW w:w="810"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资金业务</w:t>
            </w:r>
          </w:p>
        </w:tc>
        <w:tc>
          <w:tcPr>
            <w:tcW w:w="840"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按揭</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经验</w:t>
            </w:r>
          </w:p>
        </w:tc>
        <w:tc>
          <w:tcPr>
            <w:tcW w:w="855"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放款</w:t>
            </w:r>
          </w:p>
          <w:p>
            <w:pPr>
              <w:widowControl/>
              <w:jc w:val="center"/>
              <w:rPr>
                <w:rFonts w:ascii="宋体" w:hAnsi="宋体" w:cs="宋体"/>
                <w:b/>
                <w:bCs/>
                <w:color w:val="000000"/>
                <w:kern w:val="0"/>
                <w:szCs w:val="21"/>
              </w:rPr>
            </w:pPr>
            <w:r>
              <w:rPr>
                <w:rFonts w:ascii="宋体" w:hAnsi="宋体" w:cs="宋体"/>
                <w:b/>
                <w:bCs/>
                <w:color w:val="000000"/>
                <w:kern w:val="0"/>
                <w:szCs w:val="21"/>
              </w:rPr>
              <w:t>效率</w:t>
            </w:r>
          </w:p>
        </w:tc>
        <w:tc>
          <w:tcPr>
            <w:tcW w:w="915"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预抵押效率</w:t>
            </w:r>
          </w:p>
        </w:tc>
        <w:tc>
          <w:tcPr>
            <w:tcW w:w="825"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贷款</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投放</w:t>
            </w:r>
          </w:p>
        </w:tc>
        <w:tc>
          <w:tcPr>
            <w:tcW w:w="930"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提前还款罚息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40" w:type="dxa"/>
            <w:vMerge w:val="continue"/>
            <w:vAlign w:val="center"/>
          </w:tcPr>
          <w:p>
            <w:pPr>
              <w:widowControl/>
              <w:jc w:val="center"/>
              <w:rPr>
                <w:rFonts w:ascii="宋体" w:hAnsi="宋体" w:cs="宋体"/>
                <w:b/>
                <w:bCs/>
                <w:color w:val="000000"/>
                <w:kern w:val="0"/>
                <w:szCs w:val="21"/>
              </w:rPr>
            </w:pPr>
          </w:p>
        </w:tc>
        <w:tc>
          <w:tcPr>
            <w:tcW w:w="1380" w:type="dxa"/>
            <w:vMerge w:val="continue"/>
            <w:vAlign w:val="center"/>
          </w:tcPr>
          <w:p>
            <w:pPr>
              <w:widowControl/>
              <w:jc w:val="center"/>
              <w:rPr>
                <w:rFonts w:ascii="宋体" w:hAnsi="宋体" w:cs="宋体"/>
                <w:b/>
                <w:bCs/>
                <w:color w:val="000000"/>
                <w:kern w:val="0"/>
                <w:szCs w:val="21"/>
              </w:rPr>
            </w:pPr>
          </w:p>
        </w:tc>
        <w:tc>
          <w:tcPr>
            <w:tcW w:w="76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735"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79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20</w:t>
            </w:r>
          </w:p>
        </w:tc>
        <w:tc>
          <w:tcPr>
            <w:tcW w:w="810"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840"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15</w:t>
            </w:r>
          </w:p>
        </w:tc>
        <w:tc>
          <w:tcPr>
            <w:tcW w:w="85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91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825"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10</w:t>
            </w:r>
          </w:p>
        </w:tc>
        <w:tc>
          <w:tcPr>
            <w:tcW w:w="930" w:type="dxa"/>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1</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2</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3</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4</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5</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6</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7</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noWrap/>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8</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9</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10</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11</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12</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13</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40" w:type="dxa"/>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w:t>
            </w:r>
          </w:p>
        </w:tc>
        <w:tc>
          <w:tcPr>
            <w:tcW w:w="1380" w:type="dxa"/>
            <w:vAlign w:val="center"/>
          </w:tcPr>
          <w:p>
            <w:pPr>
              <w:widowControl/>
              <w:jc w:val="left"/>
              <w:rPr>
                <w:rFonts w:ascii="宋体" w:hAnsi="宋体" w:cs="宋体"/>
                <w:bCs/>
                <w:color w:val="000000"/>
                <w:kern w:val="0"/>
                <w:szCs w:val="21"/>
              </w:rPr>
            </w:pPr>
          </w:p>
        </w:tc>
        <w:tc>
          <w:tcPr>
            <w:tcW w:w="765" w:type="dxa"/>
            <w:vAlign w:val="center"/>
          </w:tcPr>
          <w:p>
            <w:pPr>
              <w:widowControl/>
              <w:jc w:val="left"/>
              <w:rPr>
                <w:rFonts w:ascii="宋体" w:hAnsi="宋体" w:cs="宋体"/>
                <w:bCs/>
                <w:color w:val="000000"/>
                <w:kern w:val="0"/>
                <w:szCs w:val="21"/>
              </w:rPr>
            </w:pPr>
          </w:p>
        </w:tc>
        <w:tc>
          <w:tcPr>
            <w:tcW w:w="735" w:type="dxa"/>
            <w:vAlign w:val="center"/>
          </w:tcPr>
          <w:p>
            <w:pPr>
              <w:widowControl/>
              <w:ind w:firstLine="210" w:firstLineChars="100"/>
              <w:jc w:val="left"/>
              <w:rPr>
                <w:rFonts w:ascii="宋体" w:hAnsi="宋体" w:cs="宋体"/>
                <w:bCs/>
                <w:color w:val="000000"/>
                <w:kern w:val="0"/>
                <w:szCs w:val="21"/>
              </w:rPr>
            </w:pPr>
          </w:p>
        </w:tc>
        <w:tc>
          <w:tcPr>
            <w:tcW w:w="795" w:type="dxa"/>
            <w:vAlign w:val="center"/>
          </w:tcPr>
          <w:p>
            <w:pPr>
              <w:widowControl/>
              <w:jc w:val="left"/>
              <w:rPr>
                <w:rFonts w:ascii="宋体" w:hAnsi="宋体" w:cs="宋体"/>
                <w:bCs/>
                <w:color w:val="000000"/>
                <w:kern w:val="0"/>
                <w:szCs w:val="21"/>
              </w:rPr>
            </w:pPr>
          </w:p>
        </w:tc>
        <w:tc>
          <w:tcPr>
            <w:tcW w:w="810" w:type="dxa"/>
            <w:vAlign w:val="center"/>
          </w:tcPr>
          <w:p>
            <w:pPr>
              <w:widowControl/>
              <w:jc w:val="left"/>
              <w:rPr>
                <w:rFonts w:ascii="宋体" w:hAnsi="宋体" w:cs="宋体"/>
                <w:bCs/>
                <w:color w:val="000000"/>
                <w:kern w:val="0"/>
                <w:szCs w:val="21"/>
              </w:rPr>
            </w:pPr>
          </w:p>
        </w:tc>
        <w:tc>
          <w:tcPr>
            <w:tcW w:w="840" w:type="dxa"/>
            <w:vAlign w:val="center"/>
          </w:tcPr>
          <w:p>
            <w:pPr>
              <w:widowControl/>
              <w:jc w:val="left"/>
              <w:rPr>
                <w:rFonts w:ascii="宋体" w:hAnsi="宋体" w:cs="宋体"/>
                <w:bCs/>
                <w:color w:val="000000"/>
                <w:kern w:val="0"/>
                <w:szCs w:val="21"/>
              </w:rPr>
            </w:pPr>
          </w:p>
        </w:tc>
        <w:tc>
          <w:tcPr>
            <w:tcW w:w="855" w:type="dxa"/>
            <w:vAlign w:val="center"/>
          </w:tcPr>
          <w:p>
            <w:pPr>
              <w:widowControl/>
              <w:jc w:val="left"/>
              <w:rPr>
                <w:rFonts w:ascii="宋体" w:hAnsi="宋体" w:cs="宋体"/>
                <w:bCs/>
                <w:color w:val="000000"/>
                <w:kern w:val="0"/>
                <w:szCs w:val="21"/>
              </w:rPr>
            </w:pPr>
          </w:p>
        </w:tc>
        <w:tc>
          <w:tcPr>
            <w:tcW w:w="915" w:type="dxa"/>
            <w:vAlign w:val="center"/>
          </w:tcPr>
          <w:p>
            <w:pPr>
              <w:widowControl/>
              <w:jc w:val="left"/>
              <w:rPr>
                <w:rFonts w:ascii="宋体" w:hAnsi="宋体" w:cs="宋体"/>
                <w:bCs/>
                <w:color w:val="000000"/>
                <w:kern w:val="0"/>
                <w:szCs w:val="21"/>
              </w:rPr>
            </w:pPr>
          </w:p>
        </w:tc>
        <w:tc>
          <w:tcPr>
            <w:tcW w:w="825" w:type="dxa"/>
            <w:vAlign w:val="center"/>
          </w:tcPr>
          <w:p>
            <w:pPr>
              <w:widowControl/>
              <w:jc w:val="left"/>
              <w:rPr>
                <w:rFonts w:ascii="宋体" w:hAnsi="宋体" w:cs="宋体"/>
                <w:bCs/>
                <w:color w:val="000000"/>
                <w:kern w:val="0"/>
                <w:szCs w:val="21"/>
              </w:rPr>
            </w:pPr>
          </w:p>
        </w:tc>
        <w:tc>
          <w:tcPr>
            <w:tcW w:w="930" w:type="dxa"/>
            <w:vAlign w:val="center"/>
          </w:tcPr>
          <w:p>
            <w:pPr>
              <w:widowControl/>
              <w:jc w:val="left"/>
              <w:rPr>
                <w:rFonts w:ascii="宋体" w:hAnsi="宋体" w:cs="宋体"/>
                <w:bCs/>
                <w:color w:val="000000"/>
                <w:kern w:val="0"/>
                <w:szCs w:val="21"/>
              </w:rPr>
            </w:pPr>
          </w:p>
        </w:tc>
      </w:tr>
    </w:tbl>
    <w:p>
      <w:pPr>
        <w:spacing w:line="480" w:lineRule="atLeast"/>
        <w:jc w:val="left"/>
        <w:rPr>
          <w:rFonts w:ascii="宋体" w:hAnsi="宋体"/>
          <w:b/>
          <w:sz w:val="24"/>
          <w:szCs w:val="24"/>
        </w:rPr>
      </w:pPr>
      <w:r>
        <w:rPr>
          <w:rFonts w:hint="eastAsia" w:ascii="宋体" w:hAnsi="宋体"/>
          <w:b/>
          <w:sz w:val="24"/>
        </w:rPr>
        <w:t>评委(签名)</w:t>
      </w:r>
      <w:r>
        <w:rPr>
          <w:rFonts w:hint="eastAsia" w:ascii="宋体" w:hAnsi="宋体"/>
          <w:b/>
          <w:sz w:val="24"/>
          <w:szCs w:val="24"/>
        </w:rPr>
        <w:t xml:space="preserve">：                                           </w:t>
      </w:r>
    </w:p>
    <w:p>
      <w:pPr>
        <w:spacing w:line="480" w:lineRule="atLeast"/>
        <w:jc w:val="left"/>
        <w:rPr>
          <w:rFonts w:ascii="宋体" w:hAnsi="宋体"/>
          <w:b/>
          <w:sz w:val="24"/>
          <w:szCs w:val="24"/>
        </w:rPr>
      </w:pPr>
      <w:r>
        <w:rPr>
          <w:rFonts w:hint="eastAsia" w:ascii="宋体" w:hAnsi="宋体"/>
          <w:b/>
          <w:sz w:val="24"/>
          <w:szCs w:val="24"/>
        </w:rPr>
        <w:t>监督（签名）：</w:t>
      </w:r>
    </w:p>
    <w:p>
      <w:pPr>
        <w:spacing w:line="480" w:lineRule="atLeast"/>
        <w:jc w:val="left"/>
        <w:rPr>
          <w:rFonts w:ascii="宋体" w:hAnsi="宋体"/>
          <w:b/>
          <w:sz w:val="24"/>
          <w:szCs w:val="24"/>
        </w:rPr>
      </w:pPr>
    </w:p>
    <w:p>
      <w:pPr>
        <w:spacing w:line="480" w:lineRule="atLeast"/>
        <w:jc w:val="left"/>
        <w:rPr>
          <w:rFonts w:ascii="宋体" w:hAnsi="宋体"/>
          <w:b/>
          <w:sz w:val="24"/>
          <w:szCs w:val="24"/>
        </w:rPr>
      </w:pPr>
    </w:p>
    <w:p>
      <w:pPr>
        <w:spacing w:line="480" w:lineRule="atLeast"/>
        <w:jc w:val="left"/>
        <w:rPr>
          <w:rFonts w:ascii="宋体" w:hAnsi="宋体"/>
          <w:b/>
          <w:sz w:val="24"/>
          <w:szCs w:val="24"/>
        </w:rPr>
        <w:sectPr>
          <w:headerReference r:id="rId10" w:type="default"/>
          <w:footerReference r:id="rId11" w:type="default"/>
          <w:pgSz w:w="11907" w:h="16840"/>
          <w:pgMar w:top="1440" w:right="1134" w:bottom="1440" w:left="1440" w:header="720" w:footer="890" w:gutter="0"/>
          <w:cols w:space="720" w:num="1"/>
          <w:docGrid w:linePitch="312" w:charSpace="0"/>
        </w:sectPr>
      </w:pPr>
      <w:r>
        <w:rPr>
          <w:rFonts w:hint="eastAsia" w:ascii="宋体" w:hAnsi="宋体"/>
          <w:b/>
          <w:sz w:val="24"/>
          <w:szCs w:val="24"/>
        </w:rPr>
        <w:t>日期：</w:t>
      </w:r>
      <w:r>
        <w:rPr>
          <w:rFonts w:hint="eastAsia" w:ascii="宋体" w:hAnsi="宋体"/>
          <w:sz w:val="24"/>
          <w:szCs w:val="24"/>
        </w:rPr>
        <w:t xml:space="preserve">  </w:t>
      </w:r>
    </w:p>
    <w:tbl>
      <w:tblPr>
        <w:tblStyle w:val="48"/>
        <w:tblW w:w="9169" w:type="dxa"/>
        <w:tblInd w:w="108" w:type="dxa"/>
        <w:tblLayout w:type="fixed"/>
        <w:tblCellMar>
          <w:top w:w="0" w:type="dxa"/>
          <w:left w:w="0" w:type="dxa"/>
          <w:bottom w:w="0" w:type="dxa"/>
          <w:right w:w="0" w:type="dxa"/>
        </w:tblCellMar>
      </w:tblPr>
      <w:tblGrid>
        <w:gridCol w:w="674"/>
        <w:gridCol w:w="4455"/>
        <w:gridCol w:w="1065"/>
        <w:gridCol w:w="1050"/>
        <w:gridCol w:w="1925"/>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480" w:lineRule="atLeast"/>
              <w:jc w:val="left"/>
              <w:rPr>
                <w:rFonts w:ascii="宋体" w:hAnsi="宋体" w:cs="宋体"/>
                <w:b/>
                <w:bCs/>
                <w:kern w:val="0"/>
                <w:sz w:val="32"/>
                <w:szCs w:val="32"/>
              </w:rPr>
            </w:pPr>
            <w:bookmarkStart w:id="1005" w:name="_Toc197850644"/>
            <w:bookmarkStart w:id="1006" w:name="_Toc197404916"/>
            <w:r>
              <w:rPr>
                <w:rFonts w:hint="eastAsia" w:ascii="宋体" w:hAnsi="宋体"/>
                <w:b/>
                <w:sz w:val="24"/>
              </w:rPr>
              <w:t>附表5：</w:t>
            </w:r>
            <w:r>
              <w:rPr>
                <w:rFonts w:hint="eastAsia" w:ascii="宋体" w:hAnsi="宋体" w:cs="宋体"/>
                <w:b/>
                <w:bCs/>
                <w:kern w:val="0"/>
                <w:sz w:val="24"/>
                <w:szCs w:val="24"/>
              </w:rPr>
              <w:t>投标人最终得分排序表</w:t>
            </w:r>
          </w:p>
          <w:p>
            <w:pPr>
              <w:widowControl/>
              <w:spacing w:line="480" w:lineRule="atLeast"/>
              <w:jc w:val="center"/>
              <w:rPr>
                <w:rFonts w:ascii="宋体" w:hAnsi="宋体" w:cs="宋体"/>
                <w:b/>
                <w:bCs/>
                <w:kern w:val="0"/>
                <w:sz w:val="32"/>
                <w:szCs w:val="32"/>
              </w:rPr>
            </w:pPr>
          </w:p>
          <w:p>
            <w:pPr>
              <w:widowControl/>
              <w:spacing w:line="480" w:lineRule="atLeast"/>
              <w:jc w:val="left"/>
              <w:rPr>
                <w:rFonts w:ascii="宋体" w:hAnsi="宋体" w:cs="Arial"/>
                <w:b/>
                <w:bCs/>
                <w:kern w:val="0"/>
                <w:szCs w:val="21"/>
              </w:rPr>
            </w:pPr>
            <w:r>
              <w:rPr>
                <w:rFonts w:hint="eastAsia" w:ascii="宋体" w:hAnsi="宋体" w:cs="宋体"/>
                <w:b/>
                <w:kern w:val="0"/>
                <w:szCs w:val="21"/>
              </w:rPr>
              <w:t>项目名称：</w:t>
            </w:r>
            <w:r>
              <w:rPr>
                <w:rFonts w:hint="eastAsia" w:ascii="宋体" w:hAnsi="宋体"/>
                <w:b/>
                <w:szCs w:val="21"/>
                <w:lang w:eastAsia="zh-CN"/>
              </w:rPr>
              <w:t>赤湾停车场物业开发项目</w:t>
            </w:r>
            <w:r>
              <w:rPr>
                <w:rFonts w:hint="eastAsia" w:ascii="宋体" w:hAnsi="宋体"/>
                <w:b/>
                <w:szCs w:val="21"/>
              </w:rPr>
              <w:t>按揭合作银行</w:t>
            </w:r>
            <w:r>
              <w:rPr>
                <w:rFonts w:ascii="宋体" w:hAnsi="宋体" w:cs="宋体"/>
                <w:b/>
                <w:kern w:val="0"/>
                <w:szCs w:val="21"/>
              </w:rPr>
              <w:t xml:space="preserve">        </w:t>
            </w:r>
          </w:p>
        </w:tc>
      </w:tr>
      <w:tr>
        <w:tblPrEx>
          <w:tblCellMar>
            <w:top w:w="0" w:type="dxa"/>
            <w:left w:w="0" w:type="dxa"/>
            <w:bottom w:w="0" w:type="dxa"/>
            <w:right w:w="0" w:type="dxa"/>
          </w:tblCellMar>
        </w:tblPrEx>
        <w:trPr>
          <w:trHeight w:val="726" w:hRule="atLeast"/>
        </w:trPr>
        <w:tc>
          <w:tcPr>
            <w:tcW w:w="674"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445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投标人</w:t>
            </w:r>
          </w:p>
        </w:tc>
        <w:tc>
          <w:tcPr>
            <w:tcW w:w="106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0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1925"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restart"/>
            <w:tcBorders>
              <w:top w:val="single" w:color="auto" w:sz="6" w:space="0"/>
              <w:left w:val="single" w:color="auto" w:sz="6" w:space="0"/>
              <w:right w:val="single" w:color="auto" w:sz="8" w:space="0"/>
            </w:tcBorders>
          </w:tcPr>
          <w:p>
            <w:pPr>
              <w:spacing w:line="480" w:lineRule="atLeast"/>
              <w:rPr>
                <w:rFonts w:ascii="宋体" w:hAnsi="宋体"/>
              </w:rPr>
            </w:pPr>
            <w:bookmarkStart w:id="1007" w:name="OLE_LINK14"/>
            <w:r>
              <w:rPr>
                <w:rFonts w:hint="eastAsia" w:ascii="宋体" w:hAnsi="宋体"/>
                <w:szCs w:val="21"/>
              </w:rPr>
              <w:t>按最终得分由高至低排序，若两个以上投标人得分相同的，则由招标人组织抽签确定排名顺序。</w:t>
            </w:r>
            <w:r>
              <w:rPr>
                <w:rFonts w:hint="eastAsia" w:ascii="宋体" w:hAnsi="宋体"/>
                <w:color w:val="0D0D0D"/>
                <w:sz w:val="24"/>
                <w:szCs w:val="21"/>
              </w:rPr>
              <w:t xml:space="preserve"> </w:t>
            </w:r>
            <w:bookmarkEnd w:id="1007"/>
          </w:p>
        </w:tc>
      </w:tr>
      <w:tr>
        <w:tblPrEx>
          <w:tblCellMar>
            <w:top w:w="0" w:type="dxa"/>
            <w:left w:w="0" w:type="dxa"/>
            <w:bottom w:w="0" w:type="dxa"/>
            <w:right w:w="0" w:type="dxa"/>
          </w:tblCellMar>
        </w:tblPrEx>
        <w:trPr>
          <w:cantSplit/>
          <w:trHeight w:val="90"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宋体"/>
                <w:sz w:val="24"/>
                <w:lang w:val="en-US" w:eastAsia="zh-CN"/>
              </w:rPr>
            </w:pPr>
            <w:r>
              <w:rPr>
                <w:rFonts w:hint="eastAsia" w:ascii="宋体" w:hAnsi="宋体"/>
                <w:sz w:val="24"/>
                <w:lang w:val="en-US" w:eastAsia="zh-CN"/>
              </w:rPr>
              <w:t>11</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2</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宋体"/>
                <w:sz w:val="24"/>
                <w:lang w:val="en-US" w:eastAsia="zh-CN"/>
              </w:rPr>
            </w:pPr>
            <w:r>
              <w:rPr>
                <w:rFonts w:hint="eastAsia" w:ascii="宋体" w:hAnsi="宋体"/>
                <w:sz w:val="24"/>
                <w:lang w:val="en-US" w:eastAsia="zh-CN"/>
              </w:rPr>
              <w:t>13</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ascii="宋体" w:hAnsi="宋体"/>
                <w:sz w:val="24"/>
              </w:rPr>
              <w:t>…</w:t>
            </w:r>
          </w:p>
        </w:tc>
        <w:tc>
          <w:tcPr>
            <w:tcW w:w="445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06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5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92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监督人（签名）：</w:t>
            </w:r>
          </w:p>
          <w:p>
            <w:pPr>
              <w:widowControl/>
              <w:spacing w:line="480" w:lineRule="atLeast"/>
              <w:ind w:left="5040" w:hanging="5040" w:hangingChars="2100"/>
              <w:rPr>
                <w:rFonts w:ascii="宋体" w:hAnsi="宋体" w:cs="Arial"/>
                <w:kern w:val="0"/>
                <w:szCs w:val="24"/>
              </w:rPr>
            </w:pPr>
            <w:r>
              <w:rPr>
                <w:rFonts w:hint="eastAsia" w:ascii="宋体" w:hAnsi="宋体" w:cs="Arial"/>
                <w:kern w:val="0"/>
                <w:sz w:val="24"/>
              </w:rPr>
              <w:br w:type="textWrapping"/>
            </w:r>
            <w:r>
              <w:rPr>
                <w:rFonts w:hint="eastAsia" w:ascii="宋体" w:hAnsi="宋体" w:cs="宋体"/>
                <w:kern w:val="0"/>
                <w:szCs w:val="21"/>
              </w:rPr>
              <w:t>评审日期：       年     月    日</w:t>
            </w:r>
          </w:p>
        </w:tc>
      </w:tr>
      <w:bookmarkEnd w:id="1005"/>
      <w:bookmarkEnd w:id="1006"/>
    </w:tbl>
    <w:p>
      <w:pPr>
        <w:spacing w:line="480" w:lineRule="atLeast"/>
        <w:rPr>
          <w:rFonts w:ascii="宋体" w:hAnsi="宋体"/>
        </w:rPr>
      </w:pPr>
    </w:p>
    <w:p>
      <w:pPr>
        <w:spacing w:line="480" w:lineRule="atLeast"/>
        <w:rPr>
          <w:rFonts w:ascii="宋体" w:hAnsi="宋体"/>
        </w:rPr>
      </w:pPr>
    </w:p>
    <w:p>
      <w:pPr>
        <w:spacing w:line="480" w:lineRule="atLeast"/>
        <w:rPr>
          <w:rFonts w:ascii="宋体" w:hAnsi="宋体"/>
        </w:rPr>
      </w:pPr>
    </w:p>
    <w:p>
      <w:pPr>
        <w:spacing w:line="480" w:lineRule="atLeast"/>
        <w:rPr>
          <w:rFonts w:ascii="宋体" w:hAnsi="宋体"/>
        </w:rPr>
      </w:pPr>
    </w:p>
    <w:tbl>
      <w:tblPr>
        <w:tblStyle w:val="48"/>
        <w:tblW w:w="9169" w:type="dxa"/>
        <w:tblInd w:w="108" w:type="dxa"/>
        <w:tblLayout w:type="fixed"/>
        <w:tblCellMar>
          <w:top w:w="0" w:type="dxa"/>
          <w:left w:w="0" w:type="dxa"/>
          <w:bottom w:w="0" w:type="dxa"/>
          <w:right w:w="0" w:type="dxa"/>
        </w:tblCellMar>
      </w:tblPr>
      <w:tblGrid>
        <w:gridCol w:w="674"/>
        <w:gridCol w:w="4095"/>
        <w:gridCol w:w="930"/>
        <w:gridCol w:w="1005"/>
        <w:gridCol w:w="2465"/>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480" w:lineRule="atLeast"/>
              <w:jc w:val="left"/>
              <w:rPr>
                <w:rFonts w:ascii="宋体" w:hAnsi="宋体" w:cs="宋体"/>
                <w:b/>
                <w:bCs/>
                <w:kern w:val="0"/>
                <w:sz w:val="32"/>
                <w:szCs w:val="32"/>
              </w:rPr>
            </w:pPr>
            <w:r>
              <w:rPr>
                <w:rFonts w:hint="eastAsia" w:ascii="宋体" w:hAnsi="宋体"/>
                <w:b/>
                <w:sz w:val="24"/>
              </w:rPr>
              <w:t>附表6：</w:t>
            </w:r>
          </w:p>
          <w:p>
            <w:pPr>
              <w:widowControl/>
              <w:spacing w:line="480" w:lineRule="atLeast"/>
              <w:jc w:val="center"/>
              <w:rPr>
                <w:rFonts w:ascii="宋体" w:hAnsi="宋体" w:cs="宋体"/>
                <w:b/>
                <w:bCs/>
                <w:kern w:val="0"/>
                <w:sz w:val="24"/>
                <w:szCs w:val="24"/>
              </w:rPr>
            </w:pPr>
            <w:r>
              <w:rPr>
                <w:rFonts w:hint="eastAsia" w:ascii="宋体" w:hAnsi="宋体" w:cs="宋体"/>
                <w:b/>
                <w:bCs/>
                <w:kern w:val="0"/>
                <w:sz w:val="24"/>
                <w:szCs w:val="24"/>
                <w:u w:val="single"/>
              </w:rPr>
              <w:t xml:space="preserve">         项目</w:t>
            </w:r>
            <w:r>
              <w:rPr>
                <w:rFonts w:hint="eastAsia" w:ascii="宋体" w:hAnsi="宋体" w:cs="宋体"/>
                <w:b/>
                <w:bCs/>
                <w:kern w:val="0"/>
                <w:sz w:val="24"/>
                <w:szCs w:val="24"/>
              </w:rPr>
              <w:t>中标候选人推荐表</w:t>
            </w:r>
          </w:p>
          <w:p>
            <w:pPr>
              <w:widowControl/>
              <w:spacing w:line="480" w:lineRule="atLeast"/>
              <w:jc w:val="right"/>
              <w:rPr>
                <w:rFonts w:ascii="宋体" w:hAnsi="宋体" w:cs="Arial"/>
                <w:b/>
                <w:bCs/>
                <w:kern w:val="0"/>
                <w:szCs w:val="21"/>
              </w:rPr>
            </w:pPr>
            <w:r>
              <w:rPr>
                <w:rFonts w:hint="eastAsia" w:ascii="宋体" w:hAnsi="宋体" w:cs="宋体"/>
                <w:b/>
                <w:kern w:val="0"/>
                <w:szCs w:val="21"/>
              </w:rPr>
              <w:t xml:space="preserve"> </w:t>
            </w:r>
            <w:r>
              <w:rPr>
                <w:rFonts w:ascii="宋体" w:hAnsi="宋体" w:cs="宋体"/>
                <w:b/>
                <w:kern w:val="0"/>
                <w:szCs w:val="21"/>
              </w:rPr>
              <w:t xml:space="preserve">        </w:t>
            </w:r>
          </w:p>
        </w:tc>
      </w:tr>
      <w:tr>
        <w:tblPrEx>
          <w:tblCellMar>
            <w:top w:w="0" w:type="dxa"/>
            <w:left w:w="0" w:type="dxa"/>
            <w:bottom w:w="0" w:type="dxa"/>
            <w:right w:w="0" w:type="dxa"/>
          </w:tblCellMar>
        </w:tblPrEx>
        <w:trPr>
          <w:trHeight w:val="726" w:hRule="atLeast"/>
        </w:trPr>
        <w:tc>
          <w:tcPr>
            <w:tcW w:w="674"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409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中标候选人</w:t>
            </w:r>
          </w:p>
        </w:tc>
        <w:tc>
          <w:tcPr>
            <w:tcW w:w="93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00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465"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restart"/>
            <w:tcBorders>
              <w:top w:val="single" w:color="auto" w:sz="6" w:space="0"/>
              <w:left w:val="single" w:color="auto" w:sz="6" w:space="0"/>
              <w:right w:val="single" w:color="auto" w:sz="8" w:space="0"/>
            </w:tcBorders>
          </w:tcPr>
          <w:p>
            <w:pPr>
              <w:spacing w:line="480" w:lineRule="atLeast"/>
              <w:rPr>
                <w:rFonts w:ascii="宋体" w:hAnsi="宋体"/>
              </w:rPr>
            </w:pPr>
            <w:r>
              <w:rPr>
                <w:rFonts w:hint="eastAsia" w:ascii="宋体" w:hAnsi="宋体"/>
                <w:szCs w:val="21"/>
              </w:rPr>
              <w:t>按投标人最终得分</w:t>
            </w:r>
            <w:r>
              <w:rPr>
                <w:rFonts w:hint="eastAsia" w:ascii="宋体" w:hAnsi="宋体" w:cs="宋体"/>
                <w:color w:val="000000"/>
                <w:szCs w:val="21"/>
              </w:rPr>
              <w:t>分值由高到低</w:t>
            </w:r>
            <w:r>
              <w:rPr>
                <w:rFonts w:hint="eastAsia" w:ascii="宋体" w:hAnsi="宋体"/>
                <w:szCs w:val="21"/>
              </w:rPr>
              <w:t>排序，确定</w:t>
            </w:r>
            <w:r>
              <w:rPr>
                <w:rFonts w:ascii="宋体" w:hAnsi="宋体"/>
                <w:szCs w:val="21"/>
              </w:rPr>
              <w:t>排名前10</w:t>
            </w:r>
            <w:r>
              <w:rPr>
                <w:rFonts w:hint="eastAsia" w:ascii="宋体" w:hAnsi="宋体"/>
                <w:szCs w:val="21"/>
              </w:rPr>
              <w:t>的</w:t>
            </w:r>
            <w:r>
              <w:rPr>
                <w:rFonts w:ascii="宋体" w:hAnsi="宋体"/>
                <w:szCs w:val="21"/>
              </w:rPr>
              <w:t>推荐为</w:t>
            </w:r>
            <w:r>
              <w:rPr>
                <w:rFonts w:hint="eastAsia" w:ascii="宋体" w:hAnsi="宋体" w:cs="宋体"/>
                <w:color w:val="000000"/>
                <w:szCs w:val="21"/>
              </w:rPr>
              <w:t>中标候选人</w:t>
            </w:r>
            <w:r>
              <w:rPr>
                <w:rFonts w:hint="eastAsia" w:ascii="宋体" w:hAnsi="宋体"/>
                <w:szCs w:val="21"/>
              </w:rPr>
              <w:t>。</w:t>
            </w: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573"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11</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674"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ascii="宋体" w:hAnsi="宋体"/>
                <w:sz w:val="24"/>
              </w:rPr>
              <w:t>…</w:t>
            </w:r>
          </w:p>
        </w:tc>
        <w:tc>
          <w:tcPr>
            <w:tcW w:w="409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930"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005"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465"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b/>
                <w:bCs/>
              </w:rPr>
            </w:pPr>
            <w:r>
              <w:rPr>
                <w:rFonts w:hint="eastAsia" w:ascii="宋体" w:hAnsi="宋体"/>
                <w:b/>
                <w:bCs/>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b/>
                <w:bCs/>
                <w:kern w:val="0"/>
                <w:szCs w:val="24"/>
              </w:rPr>
            </w:pPr>
            <w:r>
              <w:rPr>
                <w:rFonts w:hint="eastAsia" w:ascii="宋体" w:hAnsi="宋体" w:cs="Arial"/>
                <w:b/>
                <w:bCs/>
                <w:kern w:val="0"/>
                <w:sz w:val="24"/>
                <w:szCs w:val="24"/>
              </w:rPr>
              <w:t>监督人（签名）：</w:t>
            </w:r>
          </w:p>
          <w:p>
            <w:pPr>
              <w:widowControl/>
              <w:spacing w:line="480" w:lineRule="atLeast"/>
              <w:ind w:left="5040" w:hanging="5040" w:hangingChars="2100"/>
              <w:rPr>
                <w:rFonts w:ascii="宋体" w:hAnsi="宋体" w:cs="Arial"/>
                <w:kern w:val="0"/>
                <w:szCs w:val="24"/>
              </w:rPr>
            </w:pPr>
            <w:r>
              <w:rPr>
                <w:rFonts w:hint="eastAsia" w:ascii="宋体" w:hAnsi="宋体" w:cs="Arial"/>
                <w:kern w:val="0"/>
                <w:sz w:val="24"/>
              </w:rPr>
              <w:br w:type="textWrapping"/>
            </w:r>
            <w:r>
              <w:rPr>
                <w:rFonts w:hint="eastAsia" w:ascii="宋体" w:hAnsi="宋体" w:cs="宋体"/>
                <w:b/>
                <w:bCs/>
                <w:kern w:val="0"/>
                <w:szCs w:val="21"/>
              </w:rPr>
              <w:t>评审日期：       年     月    日</w:t>
            </w:r>
          </w:p>
        </w:tc>
      </w:tr>
    </w:tbl>
    <w:p>
      <w:pPr>
        <w:widowControl/>
        <w:tabs>
          <w:tab w:val="left" w:pos="1215"/>
        </w:tabs>
        <w:spacing w:line="480" w:lineRule="atLeast"/>
        <w:jc w:val="left"/>
        <w:rPr>
          <w:rFonts w:ascii="宋体" w:hAnsi="宋体"/>
          <w:b/>
          <w:sz w:val="24"/>
        </w:rPr>
      </w:pPr>
    </w:p>
    <w:p>
      <w:pPr>
        <w:widowControl/>
        <w:tabs>
          <w:tab w:val="left" w:pos="1215"/>
        </w:tabs>
        <w:spacing w:line="480" w:lineRule="atLeast"/>
        <w:jc w:val="left"/>
        <w:rPr>
          <w:rFonts w:ascii="宋体" w:hAnsi="宋体"/>
          <w:b/>
          <w:sz w:val="24"/>
        </w:rPr>
      </w:pPr>
    </w:p>
    <w:p>
      <w:pPr>
        <w:widowControl/>
        <w:tabs>
          <w:tab w:val="left" w:pos="1215"/>
        </w:tabs>
        <w:spacing w:line="480" w:lineRule="atLeast"/>
        <w:jc w:val="left"/>
        <w:rPr>
          <w:rFonts w:ascii="宋体" w:hAnsi="宋体"/>
          <w:b/>
          <w:sz w:val="24"/>
        </w:rPr>
      </w:pPr>
    </w:p>
    <w:p>
      <w:pPr>
        <w:widowControl/>
        <w:tabs>
          <w:tab w:val="left" w:pos="1215"/>
        </w:tabs>
        <w:spacing w:line="480" w:lineRule="atLeast"/>
        <w:jc w:val="left"/>
        <w:rPr>
          <w:rFonts w:ascii="宋体" w:hAnsi="宋体"/>
          <w:b/>
          <w:sz w:val="24"/>
        </w:rPr>
      </w:pPr>
    </w:p>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ascii="宋体" w:hAnsi="宋体"/>
          <w:b/>
          <w:sz w:val="24"/>
        </w:rPr>
        <w:t xml:space="preserve">7 </w:t>
      </w:r>
      <w:r>
        <w:rPr>
          <w:rFonts w:hint="eastAsia" w:ascii="宋体" w:hAnsi="宋体"/>
          <w:b/>
          <w:sz w:val="24"/>
        </w:rPr>
        <w:t>：中标备选情况表</w:t>
      </w:r>
    </w:p>
    <w:p>
      <w:pPr>
        <w:widowControl/>
        <w:spacing w:line="480" w:lineRule="atLeast"/>
        <w:jc w:val="left"/>
        <w:rPr>
          <w:rFonts w:ascii="宋体" w:hAnsi="宋体" w:cs="宋体"/>
          <w:b/>
          <w:kern w:val="0"/>
          <w:sz w:val="24"/>
          <w:szCs w:val="28"/>
        </w:rPr>
      </w:pPr>
    </w:p>
    <w:p>
      <w:pPr>
        <w:widowControl/>
        <w:spacing w:line="480" w:lineRule="atLeast"/>
        <w:jc w:val="left"/>
        <w:rPr>
          <w:rFonts w:ascii="宋体" w:hAnsi="宋体" w:cs="宋体"/>
          <w:b/>
          <w:kern w:val="0"/>
          <w:sz w:val="24"/>
          <w:szCs w:val="28"/>
        </w:rPr>
      </w:pPr>
      <w:r>
        <w:rPr>
          <w:rFonts w:hint="eastAsia" w:ascii="宋体" w:hAnsi="宋体" w:cs="宋体"/>
          <w:b/>
          <w:kern w:val="0"/>
          <w:szCs w:val="21"/>
        </w:rPr>
        <w:t>项目名称：</w:t>
      </w:r>
      <w:r>
        <w:rPr>
          <w:rFonts w:hint="eastAsia" w:ascii="宋体" w:hAnsi="宋体"/>
          <w:b/>
          <w:szCs w:val="21"/>
          <w:lang w:eastAsia="zh-CN"/>
        </w:rPr>
        <w:t>赤湾停车场物业开发项目</w:t>
      </w:r>
      <w:r>
        <w:rPr>
          <w:rFonts w:hint="eastAsia" w:ascii="宋体" w:hAnsi="宋体"/>
          <w:b/>
          <w:szCs w:val="21"/>
        </w:rPr>
        <w:t>按揭合作银行</w:t>
      </w:r>
    </w:p>
    <w:tbl>
      <w:tblPr>
        <w:tblStyle w:val="48"/>
        <w:tblW w:w="9233"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99"/>
        <w:gridCol w:w="7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1899" w:type="dxa"/>
            <w:vAlign w:val="center"/>
          </w:tcPr>
          <w:p>
            <w:pPr>
              <w:spacing w:line="480" w:lineRule="atLeast"/>
              <w:jc w:val="center"/>
              <w:rPr>
                <w:rFonts w:ascii="宋体" w:hAnsi="宋体"/>
                <w:b/>
                <w:bCs/>
              </w:rPr>
            </w:pPr>
            <w:r>
              <w:rPr>
                <w:rFonts w:hint="eastAsia" w:ascii="宋体" w:hAnsi="宋体"/>
                <w:b/>
                <w:bCs/>
                <w:sz w:val="24"/>
              </w:rPr>
              <w:t>中标/备选</w:t>
            </w:r>
          </w:p>
        </w:tc>
        <w:tc>
          <w:tcPr>
            <w:tcW w:w="7334" w:type="dxa"/>
            <w:vAlign w:val="center"/>
          </w:tcPr>
          <w:p>
            <w:pPr>
              <w:spacing w:line="480" w:lineRule="atLeast"/>
              <w:jc w:val="center"/>
              <w:rPr>
                <w:rFonts w:ascii="宋体" w:hAnsi="宋体"/>
                <w:b/>
                <w:bCs/>
              </w:rPr>
            </w:pPr>
            <w:r>
              <w:rPr>
                <w:rFonts w:hint="eastAsia" w:ascii="宋体" w:hAnsi="宋体"/>
                <w:b/>
                <w:bCs/>
                <w:sz w:val="24"/>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rPr>
        <w:tc>
          <w:tcPr>
            <w:tcW w:w="1899" w:type="dxa"/>
            <w:vAlign w:val="center"/>
          </w:tcPr>
          <w:p>
            <w:pPr>
              <w:spacing w:line="480" w:lineRule="atLeast"/>
              <w:jc w:val="center"/>
              <w:rPr>
                <w:rFonts w:ascii="宋体" w:hAnsi="宋体"/>
                <w:sz w:val="24"/>
              </w:rPr>
            </w:pPr>
            <w:r>
              <w:rPr>
                <w:rFonts w:hint="eastAsia" w:ascii="宋体" w:hAnsi="宋体"/>
                <w:sz w:val="24"/>
                <w:szCs w:val="24"/>
              </w:rPr>
              <w:t>中标银</w:t>
            </w:r>
            <w:r>
              <w:rPr>
                <w:rFonts w:hint="eastAsia" w:ascii="宋体" w:hAnsi="宋体"/>
              </w:rPr>
              <w:t>行</w:t>
            </w:r>
          </w:p>
        </w:tc>
        <w:tc>
          <w:tcPr>
            <w:tcW w:w="7334" w:type="dxa"/>
            <w:vAlign w:val="center"/>
          </w:tcPr>
          <w:p>
            <w:pPr>
              <w:spacing w:line="480" w:lineRule="atLeast"/>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trPr>
        <w:tc>
          <w:tcPr>
            <w:tcW w:w="1899" w:type="dxa"/>
            <w:vAlign w:val="center"/>
          </w:tcPr>
          <w:p>
            <w:pPr>
              <w:spacing w:line="480" w:lineRule="atLeast"/>
              <w:jc w:val="center"/>
              <w:rPr>
                <w:rFonts w:ascii="宋体" w:hAnsi="宋体"/>
                <w:sz w:val="24"/>
              </w:rPr>
            </w:pPr>
            <w:r>
              <w:rPr>
                <w:rFonts w:hint="eastAsia" w:ascii="宋体" w:hAnsi="宋体"/>
                <w:sz w:val="24"/>
              </w:rPr>
              <w:t>备选银行1</w:t>
            </w:r>
          </w:p>
        </w:tc>
        <w:tc>
          <w:tcPr>
            <w:tcW w:w="7334" w:type="dxa"/>
            <w:vAlign w:val="center"/>
          </w:tcPr>
          <w:p>
            <w:pPr>
              <w:spacing w:line="480" w:lineRule="atLeast"/>
              <w:jc w:val="left"/>
              <w:rPr>
                <w:rFonts w:ascii="宋体" w:hAnsi="宋体"/>
                <w:b/>
                <w:bCs/>
                <w:snapToGrid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trPr>
        <w:tc>
          <w:tcPr>
            <w:tcW w:w="1899"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备选银行2</w:t>
            </w:r>
          </w:p>
        </w:tc>
        <w:tc>
          <w:tcPr>
            <w:tcW w:w="7334"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b/>
                <w:bCs/>
                <w:snapToGrid w:val="0"/>
                <w:sz w:val="22"/>
                <w:szCs w:val="22"/>
              </w:rPr>
            </w:pPr>
          </w:p>
        </w:tc>
      </w:tr>
    </w:tbl>
    <w:p>
      <w:pPr>
        <w:widowControl/>
        <w:spacing w:line="480" w:lineRule="atLeast"/>
        <w:rPr>
          <w:rFonts w:ascii="宋体" w:hAnsi="宋体" w:cs="宋体"/>
          <w:snapToGrid w:val="0"/>
          <w:sz w:val="22"/>
          <w:szCs w:val="22"/>
        </w:rPr>
      </w:pPr>
    </w:p>
    <w:p>
      <w:pPr>
        <w:widowControl/>
        <w:spacing w:line="480" w:lineRule="atLeast"/>
        <w:rPr>
          <w:rFonts w:ascii="宋体" w:hAnsi="宋体" w:cs="宋体"/>
          <w:b/>
          <w:snapToGrid w:val="0"/>
          <w:sz w:val="22"/>
          <w:szCs w:val="22"/>
        </w:rPr>
      </w:pPr>
      <w:r>
        <w:rPr>
          <w:rFonts w:hint="eastAsia" w:ascii="宋体" w:hAnsi="宋体" w:cs="宋体"/>
          <w:b/>
          <w:snapToGrid w:val="0"/>
          <w:sz w:val="22"/>
          <w:szCs w:val="22"/>
        </w:rPr>
        <w:t>备选</w:t>
      </w:r>
      <w:r>
        <w:rPr>
          <w:rFonts w:ascii="宋体" w:hAnsi="宋体" w:cs="宋体"/>
          <w:b/>
          <w:snapToGrid w:val="0"/>
          <w:sz w:val="22"/>
          <w:szCs w:val="22"/>
        </w:rPr>
        <w:t>银行规定：</w:t>
      </w:r>
    </w:p>
    <w:p>
      <w:pPr>
        <w:widowControl/>
        <w:spacing w:line="480" w:lineRule="atLeast"/>
        <w:ind w:firstLine="442" w:firstLineChars="200"/>
        <w:rPr>
          <w:rFonts w:ascii="宋体" w:hAnsi="宋体"/>
          <w:b/>
          <w:sz w:val="24"/>
        </w:rPr>
      </w:pPr>
      <w:r>
        <w:rPr>
          <w:rFonts w:hint="eastAsia" w:ascii="宋体" w:hAnsi="宋体" w:cs="宋体"/>
          <w:b/>
          <w:snapToGrid w:val="0"/>
          <w:sz w:val="22"/>
          <w:szCs w:val="22"/>
        </w:rPr>
        <w:t>招标人确定中标人后，将按照招标文件及相关项目文件在中标人处办理相关业务，如中标人不按其投标文件或无法办理其投标时承诺的业务优惠，则招标人将有权撤销中标结果，并保留要求中标人赔偿损失、承担相应法律责任的权利，并按评分由高至低依次顺延至下一投标人。</w:t>
      </w:r>
    </w:p>
    <w:p>
      <w:pPr>
        <w:widowControl/>
        <w:spacing w:line="480" w:lineRule="atLeast"/>
        <w:rPr>
          <w:rFonts w:ascii="宋体" w:hAnsi="宋体"/>
          <w:b/>
          <w:sz w:val="24"/>
        </w:rPr>
      </w:pPr>
    </w:p>
    <w:p>
      <w:pPr>
        <w:widowControl/>
        <w:spacing w:line="480" w:lineRule="atLeast"/>
        <w:rPr>
          <w:rFonts w:ascii="宋体" w:hAnsi="宋体"/>
          <w:b/>
          <w:sz w:val="24"/>
        </w:rPr>
      </w:pPr>
      <w:r>
        <w:rPr>
          <w:rFonts w:hint="eastAsia" w:ascii="宋体" w:hAnsi="宋体"/>
          <w:b/>
          <w:sz w:val="24"/>
        </w:rPr>
        <w:t>评委（签名）：</w:t>
      </w:r>
    </w:p>
    <w:p>
      <w:pPr>
        <w:widowControl/>
        <w:spacing w:line="480" w:lineRule="atLeast"/>
        <w:rPr>
          <w:rFonts w:ascii="宋体" w:hAnsi="宋体"/>
          <w:b/>
          <w:sz w:val="24"/>
        </w:rPr>
      </w:pPr>
    </w:p>
    <w:p>
      <w:pPr>
        <w:widowControl/>
        <w:spacing w:line="480" w:lineRule="atLeast"/>
        <w:rPr>
          <w:rFonts w:ascii="宋体" w:hAnsi="宋体"/>
          <w:b/>
          <w:sz w:val="24"/>
        </w:rPr>
      </w:pPr>
      <w:r>
        <w:rPr>
          <w:rFonts w:hint="eastAsia" w:ascii="宋体" w:hAnsi="宋体"/>
          <w:b/>
          <w:sz w:val="24"/>
        </w:rPr>
        <w:t xml:space="preserve">监督（签名）： </w:t>
      </w:r>
      <w:r>
        <w:rPr>
          <w:rFonts w:ascii="宋体" w:hAnsi="宋体"/>
          <w:b/>
          <w:sz w:val="24"/>
        </w:rPr>
        <w:t xml:space="preserve">                                   </w:t>
      </w:r>
    </w:p>
    <w:p>
      <w:pPr>
        <w:widowControl/>
        <w:spacing w:line="480" w:lineRule="atLeast"/>
        <w:rPr>
          <w:rFonts w:ascii="宋体" w:hAnsi="宋体"/>
          <w:b/>
          <w:sz w:val="24"/>
        </w:rPr>
      </w:pPr>
    </w:p>
    <w:p>
      <w:pPr>
        <w:widowControl/>
        <w:spacing w:line="480" w:lineRule="atLeast"/>
        <w:rPr>
          <w:rFonts w:ascii="宋体" w:hAnsi="宋体" w:cs="宋体"/>
          <w:b/>
          <w:bCs/>
          <w:kern w:val="0"/>
          <w:sz w:val="32"/>
          <w:szCs w:val="32"/>
        </w:rPr>
        <w:sectPr>
          <w:pgSz w:w="11907" w:h="16840"/>
          <w:pgMar w:top="1440" w:right="1134" w:bottom="1440" w:left="1440" w:header="720" w:footer="890" w:gutter="0"/>
          <w:cols w:space="720" w:num="1"/>
          <w:docGrid w:linePitch="312" w:charSpace="0"/>
        </w:sectPr>
      </w:pPr>
      <w:r>
        <w:rPr>
          <w:rFonts w:hint="eastAsia" w:ascii="宋体" w:hAnsi="宋体"/>
          <w:b/>
          <w:sz w:val="24"/>
        </w:rPr>
        <w:t>日期：</w:t>
      </w:r>
      <w:r>
        <w:rPr>
          <w:rFonts w:hint="eastAsia" w:ascii="宋体" w:hAnsi="宋体"/>
          <w:sz w:val="24"/>
        </w:rPr>
        <w:t xml:space="preserve">     年    月    日</w:t>
      </w: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8</w:t>
      </w:r>
      <w:r>
        <w:rPr>
          <w:rFonts w:hint="eastAsia" w:ascii="宋体" w:hAnsi="宋体" w:cs="宋体"/>
          <w:b/>
          <w:sz w:val="24"/>
          <w:szCs w:val="24"/>
        </w:rPr>
        <w:t>：（此表由评委或投标人填写）</w:t>
      </w:r>
    </w:p>
    <w:p>
      <w:pPr>
        <w:rPr>
          <w:rFonts w:ascii="宋体" w:hAnsi="宋体"/>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投标文件不予受理情况说明表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                                      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投标人名称</w:t>
            </w:r>
          </w:p>
        </w:tc>
        <w:tc>
          <w:tcPr>
            <w:tcW w:w="7235" w:type="dxa"/>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不予受理情况说明</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投标人受理记录</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招标工作人员意见</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招标工作人员</w:t>
            </w:r>
          </w:p>
          <w:p>
            <w:pPr>
              <w:spacing w:line="560" w:lineRule="exact"/>
              <w:jc w:val="center"/>
              <w:rPr>
                <w:rFonts w:ascii="宋体" w:hAnsi="宋体"/>
                <w:sz w:val="24"/>
                <w:szCs w:val="24"/>
              </w:rPr>
            </w:pPr>
            <w:r>
              <w:rPr>
                <w:rFonts w:hint="eastAsia" w:ascii="宋体" w:hAnsi="宋体"/>
                <w:sz w:val="24"/>
                <w:szCs w:val="24"/>
              </w:rPr>
              <w:t>及</w:t>
            </w:r>
          </w:p>
          <w:p>
            <w:pPr>
              <w:spacing w:line="560" w:lineRule="exact"/>
              <w:jc w:val="center"/>
              <w:rPr>
                <w:rFonts w:ascii="宋体" w:hAnsi="宋体"/>
                <w:sz w:val="24"/>
                <w:szCs w:val="24"/>
              </w:rPr>
            </w:pPr>
            <w:r>
              <w:rPr>
                <w:rFonts w:hint="eastAsia" w:ascii="宋体" w:hAnsi="宋体"/>
                <w:sz w:val="24"/>
                <w:szCs w:val="24"/>
              </w:rPr>
              <w:t>监督人员签字</w:t>
            </w:r>
          </w:p>
        </w:tc>
        <w:tc>
          <w:tcPr>
            <w:tcW w:w="7235" w:type="dxa"/>
          </w:tcPr>
          <w:p>
            <w:pPr>
              <w:spacing w:line="560" w:lineRule="exact"/>
              <w:rPr>
                <w:rFonts w:ascii="宋体" w:hAnsi="宋体"/>
                <w:sz w:val="24"/>
                <w:szCs w:val="24"/>
              </w:rPr>
            </w:pPr>
          </w:p>
        </w:tc>
      </w:tr>
    </w:tbl>
    <w:p>
      <w:pPr>
        <w:spacing w:line="560" w:lineRule="exact"/>
        <w:rPr>
          <w:rFonts w:ascii="宋体" w:hAnsi="宋体"/>
          <w:bCs/>
          <w:snapToGrid w:val="0"/>
          <w:sz w:val="24"/>
          <w:szCs w:val="24"/>
        </w:rPr>
      </w:pPr>
    </w:p>
    <w:p>
      <w:pPr>
        <w:widowControl/>
        <w:spacing w:line="360" w:lineRule="auto"/>
        <w:jc w:val="left"/>
        <w:rPr>
          <w:rFonts w:ascii="宋体" w:hAnsi="宋体" w:cs="宋体"/>
          <w:b/>
          <w:sz w:val="24"/>
          <w:szCs w:val="24"/>
        </w:rPr>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9</w:t>
      </w:r>
      <w:r>
        <w:rPr>
          <w:rFonts w:hint="eastAsia" w:ascii="宋体" w:hAnsi="宋体" w:cs="宋体"/>
          <w:b/>
          <w:sz w:val="24"/>
          <w:szCs w:val="24"/>
        </w:rPr>
        <w:t>（此表由评委或投标人填写）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r>
              <w:rPr>
                <w:rFonts w:hint="eastAsia" w:ascii="宋体" w:hAnsi="宋体"/>
                <w:sz w:val="24"/>
                <w:szCs w:val="24"/>
              </w:rPr>
              <w:t>投标人名称</w:t>
            </w:r>
          </w:p>
        </w:tc>
        <w:tc>
          <w:tcPr>
            <w:tcW w:w="7235" w:type="dxa"/>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投标人受理记录</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235" w:type="dxa"/>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235" w:type="dxa"/>
          </w:tcPr>
          <w:p>
            <w:pPr>
              <w:spacing w:line="560" w:lineRule="exact"/>
              <w:rPr>
                <w:rFonts w:ascii="宋体" w:hAnsi="宋体"/>
                <w:sz w:val="24"/>
                <w:szCs w:val="24"/>
              </w:rPr>
            </w:pPr>
          </w:p>
        </w:tc>
      </w:tr>
    </w:tbl>
    <w:p>
      <w:pPr>
        <w:spacing w:line="480" w:lineRule="atLeast"/>
        <w:rPr>
          <w:rFonts w:ascii="宋体" w:hAnsi="宋体"/>
        </w:rPr>
        <w:sectPr>
          <w:pgSz w:w="11907" w:h="16840"/>
          <w:pgMar w:top="1440" w:right="1440" w:bottom="1440" w:left="1134" w:header="720" w:footer="890" w:gutter="0"/>
          <w:cols w:space="720" w:num="1"/>
          <w:docGrid w:linePitch="312" w:charSpace="0"/>
        </w:sectPr>
      </w:pPr>
    </w:p>
    <w:p>
      <w:pPr>
        <w:pStyle w:val="6"/>
        <w:spacing w:after="0" w:line="360" w:lineRule="auto"/>
      </w:pPr>
      <w:bookmarkStart w:id="1008" w:name="_Toc28541"/>
      <w:bookmarkStart w:id="1009" w:name="_Toc2775"/>
      <w:bookmarkStart w:id="1010" w:name="_Toc17294"/>
      <w:bookmarkStart w:id="1011" w:name="_Toc5121"/>
      <w:bookmarkStart w:id="1012" w:name="_Toc13723"/>
      <w:bookmarkStart w:id="1013" w:name="_Toc6124"/>
      <w:bookmarkStart w:id="1014" w:name="_Toc22548"/>
      <w:bookmarkStart w:id="1015" w:name="_Toc4439"/>
      <w:bookmarkStart w:id="1016" w:name="_Toc17898"/>
      <w:bookmarkStart w:id="1017" w:name="_Toc12295"/>
      <w:bookmarkStart w:id="1018" w:name="_Toc24359"/>
      <w:bookmarkStart w:id="1019" w:name="_Toc29227"/>
      <w:bookmarkStart w:id="1020" w:name="_Toc2482"/>
      <w:bookmarkStart w:id="1021" w:name="_Toc23223"/>
      <w:bookmarkStart w:id="1022" w:name="_Toc23115"/>
      <w:bookmarkStart w:id="1023" w:name="_Toc19005"/>
      <w:bookmarkStart w:id="1024" w:name="_Toc13506"/>
      <w:bookmarkStart w:id="1025" w:name="_Toc27588"/>
      <w:bookmarkStart w:id="1026" w:name="_Toc2043"/>
      <w:bookmarkStart w:id="1027" w:name="_Toc29556"/>
      <w:bookmarkStart w:id="1028" w:name="_Toc14415"/>
      <w:bookmarkStart w:id="1029" w:name="_Toc6307"/>
      <w:bookmarkStart w:id="1030" w:name="_Toc4820"/>
      <w:bookmarkStart w:id="1031" w:name="_Toc20309"/>
      <w:bookmarkStart w:id="1032" w:name="_Toc3228"/>
      <w:bookmarkStart w:id="1033" w:name="_Toc11480"/>
      <w:bookmarkStart w:id="1034" w:name="_Toc12294"/>
      <w:bookmarkStart w:id="1035" w:name="_Toc11194"/>
      <w:bookmarkStart w:id="1036" w:name="_Toc26889"/>
      <w:bookmarkStart w:id="1037" w:name="_Toc30591"/>
      <w:bookmarkStart w:id="1038" w:name="_Toc2469"/>
      <w:bookmarkStart w:id="1039" w:name="_Toc1916"/>
      <w:bookmarkStart w:id="1040" w:name="_Toc30489"/>
      <w:bookmarkStart w:id="1041" w:name="_Toc13992"/>
      <w:bookmarkStart w:id="1042" w:name="_Toc12700"/>
      <w:bookmarkStart w:id="1043" w:name="_Toc23933"/>
      <w:bookmarkStart w:id="1044" w:name="_Toc17217"/>
      <w:bookmarkStart w:id="1045" w:name="_Toc12003"/>
      <w:bookmarkStart w:id="1046" w:name="_Toc21468"/>
      <w:bookmarkStart w:id="1047" w:name="_Toc29146"/>
      <w:bookmarkStart w:id="1048" w:name="_Toc12943"/>
      <w:bookmarkStart w:id="1049" w:name="_Toc20805"/>
      <w:bookmarkStart w:id="1050" w:name="_Toc10124"/>
      <w:bookmarkStart w:id="1051" w:name="_Toc25740"/>
      <w:bookmarkStart w:id="1052" w:name="_Toc14839"/>
      <w:bookmarkStart w:id="1053" w:name="_Toc9402"/>
      <w:bookmarkStart w:id="1054" w:name="_Toc15072"/>
      <w:bookmarkStart w:id="1055" w:name="_Toc17341"/>
      <w:bookmarkStart w:id="1056" w:name="_Toc23609"/>
      <w:bookmarkStart w:id="1057" w:name="_Toc22670"/>
      <w:bookmarkStart w:id="1058" w:name="_Toc25696"/>
      <w:bookmarkStart w:id="1059" w:name="_Toc12269"/>
      <w:bookmarkStart w:id="1060" w:name="_Toc12403"/>
      <w:bookmarkStart w:id="1061" w:name="_Toc9278"/>
      <w:bookmarkStart w:id="1062" w:name="_Toc5295"/>
      <w:bookmarkStart w:id="1063" w:name="_Toc47624119"/>
      <w:bookmarkStart w:id="1064" w:name="_Toc18989"/>
      <w:bookmarkStart w:id="1065" w:name="_Toc21775"/>
      <w:bookmarkStart w:id="1066" w:name="_Toc25598"/>
      <w:bookmarkStart w:id="1067" w:name="_Toc713"/>
      <w:bookmarkStart w:id="1068" w:name="_Toc16757"/>
      <w:bookmarkStart w:id="1069" w:name="_Toc6117"/>
      <w:bookmarkStart w:id="1070" w:name="_Toc26223"/>
      <w:bookmarkStart w:id="1071" w:name="_Toc22545"/>
      <w:bookmarkStart w:id="1072" w:name="_Toc1150"/>
      <w:bookmarkStart w:id="1073" w:name="_Toc13883"/>
      <w:bookmarkStart w:id="1074" w:name="_Toc15597"/>
      <w:bookmarkStart w:id="1075" w:name="_Toc29702"/>
      <w:bookmarkStart w:id="1076" w:name="_Toc18012"/>
      <w:bookmarkStart w:id="1077" w:name="_Toc10125"/>
      <w:bookmarkStart w:id="1078" w:name="_Toc3998"/>
      <w:bookmarkStart w:id="1079" w:name="_Toc29470"/>
      <w:bookmarkStart w:id="1080" w:name="_Toc29232"/>
      <w:bookmarkStart w:id="1081" w:name="_Toc385992401"/>
      <w:bookmarkStart w:id="1082" w:name="_Toc497549391"/>
      <w:bookmarkStart w:id="1083" w:name="_Toc389620241"/>
      <w:bookmarkStart w:id="1084" w:name="_Toc197850648"/>
      <w:bookmarkStart w:id="1085" w:name="_Toc197404928"/>
      <w:bookmarkStart w:id="1086" w:name="_Toc486842341"/>
      <w:r>
        <w:rPr>
          <w:rFonts w:hint="eastAsia"/>
        </w:rPr>
        <w:t>附件2：合同</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jc w:val="center"/>
        <w:rPr>
          <w:rFonts w:ascii="黑体" w:hAnsi="Arial" w:eastAsia="黑体"/>
          <w:kern w:val="0"/>
          <w:sz w:val="28"/>
        </w:rPr>
      </w:pPr>
      <w:r>
        <w:rPr>
          <w:rFonts w:hint="eastAsia" w:ascii="黑体" w:hAnsi="Arial" w:eastAsia="黑体"/>
          <w:kern w:val="0"/>
          <w:sz w:val="28"/>
        </w:rPr>
        <w:t>深圳市个人住房公积金按揭贷款及个人住房</w:t>
      </w:r>
    </w:p>
    <w:p>
      <w:pPr>
        <w:jc w:val="center"/>
        <w:rPr>
          <w:rFonts w:ascii="黑体" w:hAnsi="Arial" w:eastAsia="黑体"/>
          <w:kern w:val="0"/>
          <w:sz w:val="28"/>
        </w:rPr>
      </w:pPr>
      <w:r>
        <w:rPr>
          <w:rFonts w:hint="eastAsia" w:ascii="黑体" w:hAnsi="Arial" w:eastAsia="黑体"/>
          <w:kern w:val="0"/>
          <w:sz w:val="28"/>
        </w:rPr>
        <w:t>商业按揭贷款合作协议</w:t>
      </w:r>
    </w:p>
    <w:p>
      <w:pPr>
        <w:widowControl/>
        <w:ind w:firstLine="241" w:firstLineChars="100"/>
        <w:jc w:val="left"/>
        <w:rPr>
          <w:rFonts w:ascii="仿宋" w:hAnsi="仿宋" w:eastAsia="仿宋" w:cs="仿宋"/>
          <w:b/>
          <w:bCs/>
          <w:color w:val="000000"/>
          <w:kern w:val="0"/>
          <w:sz w:val="24"/>
          <w:szCs w:val="24"/>
        </w:rPr>
      </w:pPr>
    </w:p>
    <w:p>
      <w:pPr>
        <w:widowControl/>
        <w:ind w:firstLine="241" w:firstLineChars="1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 立约人信息：</w:t>
      </w:r>
    </w:p>
    <w:p>
      <w:pPr>
        <w:spacing w:line="480" w:lineRule="exact"/>
        <w:rPr>
          <w:rFonts w:ascii="仿宋" w:hAnsi="仿宋" w:eastAsia="仿宋" w:cs="仿宋"/>
          <w:sz w:val="24"/>
          <w:szCs w:val="24"/>
        </w:rPr>
      </w:pPr>
      <w:r>
        <w:rPr>
          <w:rFonts w:hint="eastAsia" w:ascii="仿宋" w:hAnsi="仿宋" w:eastAsia="仿宋" w:cs="仿宋"/>
          <w:sz w:val="24"/>
          <w:szCs w:val="24"/>
        </w:rPr>
        <w:t>甲方（开发单位）：</w:t>
      </w:r>
    </w:p>
    <w:p>
      <w:pPr>
        <w:spacing w:line="480" w:lineRule="exact"/>
        <w:ind w:firstLine="240" w:firstLineChars="100"/>
        <w:rPr>
          <w:rFonts w:ascii="仿宋" w:hAnsi="仿宋" w:eastAsia="仿宋" w:cs="仿宋"/>
          <w:sz w:val="24"/>
          <w:szCs w:val="24"/>
          <w:vertAlign w:val="subscript"/>
        </w:rPr>
      </w:pPr>
      <w:r>
        <w:rPr>
          <w:rFonts w:hint="eastAsia" w:ascii="仿宋" w:hAnsi="仿宋" w:eastAsia="仿宋" w:cs="仿宋"/>
          <w:sz w:val="24"/>
          <w:szCs w:val="24"/>
          <w:vertAlign w:val="subscript"/>
        </w:rPr>
        <w:t xml:space="preserve"> </w:t>
      </w:r>
      <w:r>
        <w:rPr>
          <w:rFonts w:hint="eastAsia" w:ascii="仿宋" w:hAnsi="仿宋" w:eastAsia="仿宋" w:cs="仿宋"/>
          <w:sz w:val="24"/>
          <w:szCs w:val="24"/>
        </w:rPr>
        <w:t xml:space="preserve">地址：   </w:t>
      </w:r>
    </w:p>
    <w:p>
      <w:pPr>
        <w:spacing w:line="480" w:lineRule="exact"/>
        <w:rPr>
          <w:rFonts w:ascii="仿宋" w:hAnsi="仿宋" w:eastAsia="仿宋" w:cs="仿宋"/>
          <w:sz w:val="24"/>
          <w:szCs w:val="24"/>
        </w:rPr>
      </w:pPr>
      <w:r>
        <w:rPr>
          <w:rFonts w:hint="eastAsia" w:ascii="仿宋" w:hAnsi="仿宋" w:eastAsia="仿宋" w:cs="仿宋"/>
          <w:sz w:val="24"/>
          <w:szCs w:val="24"/>
        </w:rPr>
        <w:t>乙方（银行）：</w:t>
      </w:r>
    </w:p>
    <w:p>
      <w:pPr>
        <w:spacing w:line="480" w:lineRule="exact"/>
        <w:rPr>
          <w:rFonts w:ascii="仿宋" w:hAnsi="仿宋" w:eastAsia="仿宋" w:cs="仿宋"/>
          <w:sz w:val="24"/>
          <w:szCs w:val="24"/>
        </w:rPr>
      </w:pPr>
      <w:r>
        <w:rPr>
          <w:rFonts w:hint="eastAsia" w:ascii="仿宋" w:hAnsi="仿宋" w:eastAsia="仿宋" w:cs="仿宋"/>
          <w:sz w:val="24"/>
          <w:szCs w:val="24"/>
        </w:rPr>
        <w:t xml:space="preserve">   地址： </w:t>
      </w:r>
    </w:p>
    <w:p>
      <w:pPr>
        <w:widowControl/>
        <w:jc w:val="center"/>
        <w:rPr>
          <w:rFonts w:ascii="仿宋" w:hAnsi="仿宋" w:eastAsia="仿宋" w:cs="仿宋"/>
          <w:b/>
          <w:color w:val="000000"/>
          <w:kern w:val="0"/>
          <w:sz w:val="24"/>
          <w:szCs w:val="24"/>
        </w:rPr>
      </w:pPr>
    </w:p>
    <w:p>
      <w:pPr>
        <w:widowControl/>
        <w:jc w:val="center"/>
        <w:rPr>
          <w:rFonts w:ascii="仿宋" w:hAnsi="仿宋" w:eastAsia="仿宋" w:cs="仿宋"/>
          <w:b/>
          <w:color w:val="000000"/>
          <w:kern w:val="0"/>
          <w:sz w:val="24"/>
          <w:szCs w:val="24"/>
        </w:rPr>
      </w:pPr>
      <w:r>
        <w:rPr>
          <w:rFonts w:hint="eastAsia" w:ascii="仿宋" w:hAnsi="仿宋" w:eastAsia="仿宋" w:cs="仿宋"/>
          <w:b/>
          <w:color w:val="000000"/>
          <w:kern w:val="0"/>
          <w:sz w:val="24"/>
          <w:szCs w:val="24"/>
        </w:rPr>
        <w:t>总  则</w:t>
      </w:r>
    </w:p>
    <w:p>
      <w:pPr>
        <w:widowControl/>
        <w:spacing w:line="420" w:lineRule="exact"/>
        <w:ind w:firstLine="405"/>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一、合作内容</w:t>
      </w:r>
    </w:p>
    <w:p>
      <w:pPr>
        <w:pStyle w:val="25"/>
        <w:tabs>
          <w:tab w:val="left" w:pos="-28"/>
        </w:tabs>
        <w:spacing w:line="420" w:lineRule="exact"/>
        <w:ind w:left="-2" w:leftChars="-1" w:firstLine="480" w:firstLineChars="200"/>
        <w:rPr>
          <w:rFonts w:ascii="仿宋" w:hAnsi="仿宋" w:eastAsia="仿宋" w:cs="仿宋"/>
          <w:sz w:val="24"/>
          <w:szCs w:val="24"/>
        </w:rPr>
      </w:pPr>
      <w:r>
        <w:rPr>
          <w:rFonts w:hint="eastAsia" w:ascii="仿宋" w:hAnsi="仿宋" w:eastAsia="仿宋" w:cs="仿宋"/>
          <w:sz w:val="24"/>
          <w:szCs w:val="24"/>
        </w:rPr>
        <w:t>乙方同意对符合贷款条件的、购买甲方开发建设并依法预售的如下商品房或保障性住房的个人发放住房贷款(含个人住房公积金按揭贷款及个人住房商业按揭贷款)。</w:t>
      </w:r>
    </w:p>
    <w:p>
      <w:pPr>
        <w:pStyle w:val="25"/>
        <w:tabs>
          <w:tab w:val="left" w:pos="-28"/>
        </w:tabs>
        <w:spacing w:line="420" w:lineRule="exact"/>
        <w:ind w:firstLine="480" w:firstLineChars="200"/>
        <w:rPr>
          <w:rFonts w:ascii="仿宋" w:hAnsi="仿宋" w:eastAsia="仿宋" w:cs="仿宋"/>
          <w:sz w:val="24"/>
          <w:szCs w:val="24"/>
        </w:rPr>
      </w:pPr>
      <w:r>
        <w:rPr>
          <w:rFonts w:hint="eastAsia" w:ascii="仿宋" w:hAnsi="仿宋" w:eastAsia="仿宋" w:cs="仿宋"/>
          <w:sz w:val="24"/>
          <w:szCs w:val="24"/>
        </w:rPr>
        <w:t>1、预售楼盘名称：</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pStyle w:val="25"/>
        <w:tabs>
          <w:tab w:val="left" w:pos="-28"/>
        </w:tabs>
        <w:spacing w:line="420" w:lineRule="exact"/>
        <w:ind w:firstLine="480" w:firstLineChars="200"/>
        <w:rPr>
          <w:rFonts w:ascii="仿宋" w:hAnsi="仿宋" w:eastAsia="仿宋" w:cs="仿宋"/>
          <w:sz w:val="24"/>
          <w:szCs w:val="24"/>
        </w:rPr>
      </w:pPr>
      <w:r>
        <w:rPr>
          <w:rFonts w:hint="eastAsia" w:ascii="仿宋" w:hAnsi="仿宋" w:eastAsia="仿宋" w:cs="仿宋"/>
          <w:sz w:val="24"/>
          <w:szCs w:val="24"/>
        </w:rPr>
        <w:t>2、项目地址：</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pStyle w:val="25"/>
        <w:tabs>
          <w:tab w:val="left" w:pos="-28"/>
        </w:tabs>
        <w:spacing w:line="420" w:lineRule="exact"/>
        <w:ind w:firstLine="480" w:firstLineChars="200"/>
        <w:rPr>
          <w:rFonts w:ascii="仿宋" w:hAnsi="仿宋" w:eastAsia="仿宋" w:cs="仿宋"/>
          <w:sz w:val="24"/>
          <w:szCs w:val="24"/>
        </w:rPr>
      </w:pPr>
      <w:r>
        <w:rPr>
          <w:rFonts w:hint="eastAsia" w:ascii="仿宋" w:hAnsi="仿宋" w:eastAsia="仿宋" w:cs="仿宋"/>
          <w:sz w:val="24"/>
          <w:szCs w:val="24"/>
        </w:rPr>
        <w:t>3、预售许可证编号：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spacing w:line="420" w:lineRule="exact"/>
        <w:ind w:firstLine="405"/>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二、适用范围</w:t>
      </w:r>
    </w:p>
    <w:p>
      <w:pPr>
        <w:pStyle w:val="25"/>
        <w:tabs>
          <w:tab w:val="left" w:pos="-28"/>
        </w:tabs>
        <w:spacing w:line="420" w:lineRule="exact"/>
        <w:ind w:firstLine="480" w:firstLineChars="200"/>
        <w:rPr>
          <w:rFonts w:ascii="仿宋" w:hAnsi="仿宋" w:eastAsia="仿宋" w:cs="仿宋"/>
          <w:sz w:val="24"/>
          <w:szCs w:val="24"/>
        </w:rPr>
      </w:pPr>
      <w:r>
        <w:rPr>
          <w:rFonts w:hint="eastAsia" w:ascii="仿宋" w:hAnsi="仿宋" w:eastAsia="仿宋" w:cs="仿宋"/>
          <w:sz w:val="24"/>
          <w:szCs w:val="24"/>
        </w:rPr>
        <w:t>本协议适用于购买甲方开发建设并依法取得商品房预售许可证的上述预售商品房项目或保障性住房项目按揭贷款合作事宜。如上述楼盘项目分几期核发预售许可证、且预售楼盘名称（经批准命名）及四证(土地出让合同或土地使用权证、建设用地规划许可证、建设工程规划许可证和建设工程施工许可证)均相同的，本合作协议均适用。</w:t>
      </w:r>
    </w:p>
    <w:p>
      <w:pPr>
        <w:widowControl/>
        <w:spacing w:line="420" w:lineRule="exact"/>
        <w:ind w:firstLine="405"/>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 xml:space="preserve">三、立约人约定 </w:t>
      </w:r>
    </w:p>
    <w:p>
      <w:pPr>
        <w:widowControl/>
        <w:spacing w:line="420" w:lineRule="exact"/>
        <w:ind w:firstLine="405"/>
        <w:jc w:val="left"/>
        <w:rPr>
          <w:rFonts w:ascii="仿宋" w:hAnsi="仿宋" w:eastAsia="仿宋" w:cs="仿宋"/>
          <w:sz w:val="24"/>
          <w:szCs w:val="24"/>
        </w:rPr>
      </w:pPr>
      <w:r>
        <w:rPr>
          <w:rFonts w:hint="eastAsia" w:ascii="仿宋" w:hAnsi="仿宋" w:eastAsia="仿宋" w:cs="仿宋"/>
          <w:sz w:val="24"/>
          <w:szCs w:val="24"/>
        </w:rPr>
        <w:t>甲乙双方根据有关法律法规，在平等自愿、诚实守信的原则的基础上，为明确双方的权利义务，经协商一致订立本协议。</w:t>
      </w:r>
    </w:p>
    <w:p>
      <w:pPr>
        <w:widowControl/>
        <w:spacing w:line="420" w:lineRule="exact"/>
        <w:jc w:val="left"/>
        <w:rPr>
          <w:rFonts w:ascii="仿宋" w:hAnsi="仿宋" w:eastAsia="仿宋" w:cs="仿宋"/>
          <w:color w:val="000000"/>
          <w:kern w:val="0"/>
          <w:sz w:val="24"/>
          <w:szCs w:val="24"/>
        </w:rPr>
      </w:pPr>
    </w:p>
    <w:p>
      <w:pPr>
        <w:widowControl/>
        <w:spacing w:line="420" w:lineRule="exact"/>
        <w:ind w:firstLine="482" w:firstLineChars="200"/>
        <w:jc w:val="left"/>
        <w:rPr>
          <w:rFonts w:ascii="仿宋" w:hAnsi="仿宋" w:eastAsia="仿宋" w:cs="仿宋"/>
          <w:sz w:val="24"/>
          <w:szCs w:val="24"/>
        </w:rPr>
      </w:pPr>
      <w:r>
        <w:rPr>
          <w:rFonts w:hint="eastAsia" w:ascii="仿宋" w:hAnsi="仿宋" w:eastAsia="仿宋" w:cs="仿宋"/>
          <w:b/>
          <w:color w:val="000000"/>
          <w:kern w:val="0"/>
          <w:sz w:val="24"/>
          <w:szCs w:val="24"/>
        </w:rPr>
        <w:t>以上条款为本协议不可分割的组成部分，与协议条款具有同等法律效力。</w:t>
      </w:r>
    </w:p>
    <w:p>
      <w:pPr>
        <w:widowControl/>
        <w:jc w:val="center"/>
        <w:rPr>
          <w:rFonts w:ascii="仿宋" w:hAnsi="仿宋" w:eastAsia="仿宋" w:cs="仿宋"/>
          <w:color w:val="000000"/>
          <w:kern w:val="0"/>
          <w:sz w:val="24"/>
          <w:szCs w:val="24"/>
        </w:rPr>
      </w:pPr>
      <w:r>
        <w:rPr>
          <w:rFonts w:hint="eastAsia" w:ascii="仿宋" w:hAnsi="仿宋" w:eastAsia="仿宋" w:cs="仿宋"/>
          <w:b/>
          <w:color w:val="000000"/>
          <w:kern w:val="0"/>
          <w:sz w:val="24"/>
          <w:szCs w:val="24"/>
        </w:rPr>
        <w:t>第一章</w:t>
      </w:r>
    </w:p>
    <w:p>
      <w:pPr>
        <w:widowControl/>
        <w:jc w:val="center"/>
        <w:rPr>
          <w:rFonts w:ascii="仿宋" w:hAnsi="仿宋" w:eastAsia="仿宋" w:cs="仿宋"/>
          <w:color w:val="000000"/>
          <w:kern w:val="0"/>
          <w:sz w:val="24"/>
          <w:szCs w:val="24"/>
        </w:rPr>
      </w:pPr>
      <w:r>
        <w:rPr>
          <w:rFonts w:hint="eastAsia" w:ascii="仿宋" w:hAnsi="仿宋" w:eastAsia="仿宋" w:cs="仿宋"/>
          <w:b/>
          <w:color w:val="000000"/>
          <w:kern w:val="0"/>
          <w:sz w:val="24"/>
          <w:szCs w:val="24"/>
        </w:rPr>
        <w:t>（公积金贷款部分）</w:t>
      </w:r>
    </w:p>
    <w:p>
      <w:pPr>
        <w:pStyle w:val="25"/>
        <w:tabs>
          <w:tab w:val="left" w:pos="-28"/>
        </w:tabs>
        <w:ind w:left="-2" w:leftChars="-1" w:firstLine="480" w:firstLineChars="200"/>
        <w:rPr>
          <w:rFonts w:ascii="仿宋" w:hAnsi="仿宋" w:eastAsia="仿宋" w:cs="仿宋"/>
          <w:sz w:val="24"/>
          <w:szCs w:val="24"/>
        </w:rPr>
      </w:pPr>
      <w:r>
        <w:rPr>
          <w:rFonts w:hint="eastAsia" w:ascii="仿宋" w:hAnsi="仿宋" w:eastAsia="仿宋" w:cs="仿宋"/>
          <w:sz w:val="24"/>
          <w:szCs w:val="24"/>
        </w:rPr>
        <w:t>为支持个人住房公积金贷款购房，根据深圳市住房公积金贷款有关规定及文件，甲乙双方为明确责任，本着平等、自愿的原则，经协商一致，就乙方向购买甲方开发的商品房或保障性住房的个人发放住房公积金贷款（以下简称“公积金贷款”）有关合作事项达成协议如下：</w:t>
      </w:r>
    </w:p>
    <w:p>
      <w:pPr>
        <w:pStyle w:val="25"/>
        <w:tabs>
          <w:tab w:val="left" w:pos="-28"/>
        </w:tabs>
        <w:ind w:firstLine="470" w:firstLineChars="196"/>
        <w:rPr>
          <w:rFonts w:ascii="仿宋" w:hAnsi="仿宋" w:eastAsia="仿宋" w:cs="仿宋"/>
          <w:sz w:val="24"/>
          <w:szCs w:val="24"/>
        </w:rPr>
      </w:pPr>
      <w:r>
        <w:rPr>
          <w:rFonts w:hint="eastAsia" w:ascii="仿宋" w:hAnsi="仿宋" w:eastAsia="仿宋" w:cs="仿宋"/>
          <w:sz w:val="24"/>
          <w:szCs w:val="24"/>
        </w:rPr>
        <w:t>第一条  合作条件</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甲乙双方根据本章进行合作，甲方应当符合下列所有条件：</w:t>
      </w:r>
    </w:p>
    <w:p>
      <w:pPr>
        <w:ind w:firstLine="480" w:firstLineChars="200"/>
        <w:rPr>
          <w:rFonts w:ascii="仿宋" w:hAnsi="仿宋" w:eastAsia="仿宋" w:cs="仿宋"/>
          <w:sz w:val="24"/>
          <w:szCs w:val="24"/>
        </w:rPr>
      </w:pPr>
      <w:r>
        <w:rPr>
          <w:rFonts w:hint="eastAsia" w:ascii="仿宋" w:hAnsi="仿宋" w:eastAsia="仿宋" w:cs="仿宋"/>
          <w:sz w:val="24"/>
          <w:szCs w:val="24"/>
        </w:rPr>
        <w:t>1、严格遵守国家的法律、法规；</w:t>
      </w:r>
    </w:p>
    <w:p>
      <w:pPr>
        <w:ind w:firstLine="480" w:firstLineChars="200"/>
        <w:rPr>
          <w:rFonts w:ascii="仿宋" w:hAnsi="仿宋" w:eastAsia="仿宋" w:cs="仿宋"/>
          <w:sz w:val="24"/>
          <w:szCs w:val="24"/>
        </w:rPr>
      </w:pPr>
      <w:r>
        <w:rPr>
          <w:rFonts w:hint="eastAsia" w:ascii="仿宋" w:hAnsi="仿宋" w:eastAsia="仿宋" w:cs="仿宋"/>
          <w:sz w:val="24"/>
          <w:szCs w:val="24"/>
        </w:rPr>
        <w:t>2、具有良好资信；</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 xml:space="preserve">3、本协议总则约定楼盘的开发单位为甲方； </w:t>
      </w:r>
    </w:p>
    <w:p>
      <w:pPr>
        <w:ind w:firstLine="480" w:firstLineChars="200"/>
        <w:rPr>
          <w:rFonts w:ascii="仿宋" w:hAnsi="仿宋" w:eastAsia="仿宋" w:cs="仿宋"/>
          <w:sz w:val="24"/>
          <w:szCs w:val="24"/>
        </w:rPr>
      </w:pPr>
      <w:r>
        <w:rPr>
          <w:rFonts w:hint="eastAsia" w:ascii="仿宋" w:hAnsi="仿宋" w:eastAsia="仿宋" w:cs="仿宋"/>
          <w:sz w:val="24"/>
          <w:szCs w:val="24"/>
        </w:rPr>
        <w:t>4、本协议总则约定楼盘已取得商品房预售许可证；</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5、商品房销售客观真实，无虚假销售行为、无套取、骗取公积金贷款的行为；</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6、深圳市住房公积金管理机构认为需要的其他条件。</w:t>
      </w:r>
    </w:p>
    <w:p>
      <w:pPr>
        <w:pStyle w:val="25"/>
        <w:tabs>
          <w:tab w:val="left" w:pos="-28"/>
        </w:tabs>
        <w:ind w:firstLine="470" w:firstLineChars="196"/>
        <w:rPr>
          <w:rFonts w:ascii="仿宋" w:hAnsi="仿宋" w:eastAsia="仿宋" w:cs="仿宋"/>
          <w:sz w:val="24"/>
          <w:szCs w:val="24"/>
        </w:rPr>
      </w:pPr>
      <w:r>
        <w:rPr>
          <w:rFonts w:hint="eastAsia" w:ascii="仿宋" w:hAnsi="仿宋" w:eastAsia="仿宋" w:cs="仿宋"/>
          <w:sz w:val="24"/>
          <w:szCs w:val="24"/>
        </w:rPr>
        <w:t>第二条  贷款发放条件</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乙方对购买本协议总则所述楼盘项下房产的公积金贷款，按以下第</w:t>
      </w:r>
      <w:r>
        <w:rPr>
          <w:rFonts w:hint="eastAsia" w:ascii="仿宋" w:hAnsi="仿宋" w:eastAsia="仿宋" w:cs="仿宋"/>
          <w:sz w:val="24"/>
          <w:szCs w:val="24"/>
          <w:u w:val="single"/>
        </w:rPr>
        <w:t xml:space="preserve"> 1  </w:t>
      </w:r>
      <w:r>
        <w:rPr>
          <w:rFonts w:hint="eastAsia" w:ascii="仿宋" w:hAnsi="仿宋" w:eastAsia="仿宋" w:cs="仿宋"/>
          <w:sz w:val="24"/>
          <w:szCs w:val="24"/>
        </w:rPr>
        <w:t>种方式约定进行发放。</w:t>
      </w:r>
    </w:p>
    <w:p>
      <w:pPr>
        <w:pStyle w:val="25"/>
        <w:tabs>
          <w:tab w:val="left" w:pos="-28"/>
        </w:tabs>
        <w:ind w:firstLine="482" w:firstLineChars="200"/>
        <w:rPr>
          <w:rFonts w:ascii="仿宋" w:hAnsi="仿宋" w:eastAsia="仿宋" w:cs="仿宋"/>
          <w:b/>
          <w:sz w:val="24"/>
          <w:szCs w:val="24"/>
        </w:rPr>
      </w:pPr>
      <w:r>
        <w:rPr>
          <w:rFonts w:hint="eastAsia" w:ascii="仿宋" w:hAnsi="仿宋" w:eastAsia="仿宋" w:cs="仿宋"/>
          <w:b/>
          <w:sz w:val="24"/>
          <w:szCs w:val="24"/>
        </w:rPr>
        <w:t>1、签约放款</w:t>
      </w:r>
    </w:p>
    <w:p>
      <w:pPr>
        <w:ind w:firstLine="480" w:firstLineChars="200"/>
        <w:rPr>
          <w:rFonts w:ascii="仿宋" w:hAnsi="仿宋" w:eastAsia="仿宋" w:cs="仿宋"/>
          <w:sz w:val="24"/>
          <w:szCs w:val="24"/>
        </w:rPr>
      </w:pPr>
      <w:r>
        <w:rPr>
          <w:rFonts w:hint="eastAsia" w:ascii="仿宋" w:hAnsi="仿宋" w:eastAsia="仿宋" w:cs="仿宋"/>
          <w:sz w:val="24"/>
          <w:szCs w:val="24"/>
        </w:rPr>
        <w:t xml:space="preserve">借款人与甲方签订深圳市规划和自然资源局网上交易系统打印的正式房地产买卖合同后放款，如借款人中有外籍人士或港澳台人士的，房地产买卖合同办妥公证后放款。 </w:t>
      </w:r>
    </w:p>
    <w:p>
      <w:pPr>
        <w:pStyle w:val="25"/>
        <w:tabs>
          <w:tab w:val="left" w:pos="-28"/>
        </w:tabs>
        <w:ind w:firstLine="482" w:firstLineChars="200"/>
        <w:rPr>
          <w:rFonts w:ascii="仿宋" w:hAnsi="仿宋" w:eastAsia="仿宋" w:cs="仿宋"/>
          <w:b/>
          <w:sz w:val="24"/>
          <w:szCs w:val="24"/>
        </w:rPr>
      </w:pPr>
      <w:r>
        <w:rPr>
          <w:rFonts w:hint="eastAsia" w:ascii="仿宋" w:hAnsi="仿宋" w:eastAsia="仿宋" w:cs="仿宋"/>
          <w:b/>
          <w:sz w:val="24"/>
          <w:szCs w:val="24"/>
        </w:rPr>
        <w:t>2、办妥买卖合同备案放款（适用于商品住房）</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甲方按深圳市房地产权登记机关要求办妥借款人房地产买卖合同的备案登记后放款。</w:t>
      </w:r>
    </w:p>
    <w:p>
      <w:pPr>
        <w:pStyle w:val="25"/>
        <w:tabs>
          <w:tab w:val="left" w:pos="-28"/>
        </w:tabs>
        <w:ind w:firstLine="482" w:firstLineChars="200"/>
        <w:rPr>
          <w:rFonts w:ascii="仿宋" w:hAnsi="仿宋" w:eastAsia="仿宋" w:cs="仿宋"/>
          <w:b/>
          <w:sz w:val="24"/>
          <w:szCs w:val="24"/>
        </w:rPr>
      </w:pPr>
      <w:r>
        <w:rPr>
          <w:rFonts w:hint="eastAsia" w:ascii="仿宋" w:hAnsi="仿宋" w:eastAsia="仿宋" w:cs="仿宋"/>
          <w:b/>
          <w:sz w:val="24"/>
          <w:szCs w:val="24"/>
        </w:rPr>
        <w:t>3、办妥所购房产楼花抵押登记放款</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rPr>
        <w:t>甲方按产权登记机关要求办妥所购房产楼花抵押登记后放款。</w:t>
      </w:r>
    </w:p>
    <w:p>
      <w:pPr>
        <w:pStyle w:val="25"/>
        <w:tabs>
          <w:tab w:val="left" w:pos="-28"/>
        </w:tabs>
        <w:ind w:firstLine="482" w:firstLineChars="200"/>
        <w:rPr>
          <w:rFonts w:ascii="仿宋" w:hAnsi="仿宋" w:eastAsia="仿宋" w:cs="仿宋"/>
          <w:b/>
          <w:sz w:val="24"/>
          <w:szCs w:val="24"/>
        </w:rPr>
      </w:pPr>
      <w:r>
        <w:rPr>
          <w:rFonts w:hint="eastAsia" w:ascii="仿宋" w:hAnsi="仿宋" w:eastAsia="仿宋" w:cs="仿宋"/>
          <w:b/>
          <w:sz w:val="24"/>
          <w:szCs w:val="24"/>
        </w:rPr>
        <w:t>4、办妥买卖合同备案放款（适用于保障性住房）</w:t>
      </w:r>
    </w:p>
    <w:p>
      <w:pPr>
        <w:pStyle w:val="25"/>
        <w:tabs>
          <w:tab w:val="left" w:pos="-28"/>
        </w:tabs>
        <w:ind w:firstLine="480" w:firstLineChars="200"/>
        <w:rPr>
          <w:rFonts w:ascii="仿宋" w:hAnsi="仿宋" w:eastAsia="仿宋" w:cs="仿宋"/>
          <w:b/>
          <w:sz w:val="24"/>
          <w:szCs w:val="24"/>
        </w:rPr>
      </w:pPr>
      <w:r>
        <w:rPr>
          <w:rFonts w:hint="eastAsia" w:ascii="仿宋" w:hAnsi="仿宋" w:eastAsia="仿宋" w:cs="仿宋"/>
          <w:sz w:val="24"/>
          <w:szCs w:val="24"/>
        </w:rPr>
        <w:t>甲方按深圳市住房和建设局要求办妥借款人房地产买卖合同的备案登记后放款。</w:t>
      </w:r>
    </w:p>
    <w:p>
      <w:pPr>
        <w:pStyle w:val="25"/>
        <w:tabs>
          <w:tab w:val="left" w:pos="-28"/>
        </w:tabs>
        <w:ind w:firstLine="482" w:firstLineChars="200"/>
        <w:rPr>
          <w:rFonts w:ascii="仿宋" w:hAnsi="仿宋" w:eastAsia="仿宋" w:cs="仿宋"/>
          <w:b/>
          <w:sz w:val="24"/>
          <w:szCs w:val="24"/>
        </w:rPr>
      </w:pPr>
      <w:r>
        <w:rPr>
          <w:rFonts w:hint="eastAsia" w:ascii="仿宋" w:hAnsi="仿宋" w:eastAsia="仿宋" w:cs="仿宋"/>
          <w:b/>
          <w:sz w:val="24"/>
          <w:szCs w:val="24"/>
        </w:rPr>
        <w:t>5、其他方式</w:t>
      </w:r>
    </w:p>
    <w:p>
      <w:pPr>
        <w:pStyle w:val="25"/>
        <w:tabs>
          <w:tab w:val="left" w:pos="-28"/>
        </w:tabs>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ind w:firstLine="480" w:firstLineChars="200"/>
        <w:rPr>
          <w:rFonts w:ascii="仿宋" w:hAnsi="仿宋" w:eastAsia="仿宋" w:cs="仿宋"/>
          <w:sz w:val="24"/>
          <w:szCs w:val="24"/>
        </w:rPr>
      </w:pPr>
      <w:r>
        <w:rPr>
          <w:rFonts w:hint="eastAsia" w:ascii="仿宋" w:hAnsi="仿宋" w:eastAsia="仿宋" w:cs="仿宋"/>
          <w:sz w:val="24"/>
          <w:szCs w:val="24"/>
        </w:rPr>
        <w:t>第三条  公积金贷款额度、期限和比例</w:t>
      </w:r>
    </w:p>
    <w:p>
      <w:pPr>
        <w:ind w:firstLine="480" w:firstLineChars="200"/>
        <w:rPr>
          <w:rFonts w:ascii="仿宋" w:hAnsi="仿宋" w:eastAsia="仿宋" w:cs="仿宋"/>
          <w:sz w:val="24"/>
          <w:szCs w:val="24"/>
        </w:rPr>
      </w:pPr>
      <w:r>
        <w:rPr>
          <w:rFonts w:hint="eastAsia" w:ascii="仿宋" w:hAnsi="仿宋" w:eastAsia="仿宋" w:cs="仿宋"/>
          <w:sz w:val="24"/>
          <w:szCs w:val="24"/>
        </w:rPr>
        <w:t>公积金按揭贷款额度、期限和首付款比例符合深圳市住房公积金贷款政策规定要求。公积金按揭贷款利率，按照中国人民银行规定的个人住房公积金贷款利率标准执行。</w:t>
      </w:r>
    </w:p>
    <w:p>
      <w:pPr>
        <w:ind w:firstLine="480" w:firstLineChars="200"/>
        <w:rPr>
          <w:rFonts w:ascii="仿宋" w:hAnsi="仿宋" w:eastAsia="仿宋" w:cs="仿宋"/>
          <w:sz w:val="24"/>
          <w:szCs w:val="24"/>
        </w:rPr>
      </w:pPr>
      <w:r>
        <w:rPr>
          <w:rFonts w:hint="eastAsia" w:ascii="仿宋" w:hAnsi="仿宋" w:eastAsia="仿宋" w:cs="仿宋"/>
          <w:sz w:val="24"/>
          <w:szCs w:val="24"/>
        </w:rPr>
        <w:t>第四条  甲方保证</w:t>
      </w:r>
    </w:p>
    <w:p>
      <w:pPr>
        <w:pStyle w:val="25"/>
        <w:tabs>
          <w:tab w:val="left" w:pos="-28"/>
        </w:tabs>
        <w:ind w:left="-2" w:leftChars="-1" w:firstLine="480" w:firstLineChars="200"/>
        <w:rPr>
          <w:rFonts w:ascii="仿宋" w:hAnsi="仿宋" w:eastAsia="仿宋" w:cs="仿宋"/>
          <w:sz w:val="24"/>
          <w:szCs w:val="24"/>
        </w:rPr>
      </w:pPr>
      <w:r>
        <w:rPr>
          <w:rFonts w:hint="eastAsia" w:ascii="仿宋" w:hAnsi="仿宋" w:eastAsia="仿宋" w:cs="仿宋"/>
          <w:sz w:val="24"/>
          <w:szCs w:val="24"/>
        </w:rPr>
        <w:t>甲方同意对购买本协议总则约定楼盘的购房人的公积金贷款，在保证期限内提供无条件、不可撤销的连带责任保证。若借款合同有其他保证人的，甲方与其他保证人共同承担连带保证责任。</w:t>
      </w:r>
    </w:p>
    <w:p>
      <w:pPr>
        <w:ind w:firstLine="482" w:firstLineChars="200"/>
        <w:rPr>
          <w:rFonts w:ascii="仿宋" w:hAnsi="仿宋" w:eastAsia="仿宋" w:cs="仿宋"/>
          <w:b/>
          <w:sz w:val="24"/>
          <w:szCs w:val="24"/>
        </w:rPr>
      </w:pPr>
      <w:r>
        <w:rPr>
          <w:rFonts w:hint="eastAsia" w:ascii="仿宋" w:hAnsi="仿宋" w:eastAsia="仿宋" w:cs="仿宋"/>
          <w:b/>
          <w:sz w:val="24"/>
          <w:szCs w:val="24"/>
        </w:rPr>
        <w:t>1、保证责任</w:t>
      </w:r>
    </w:p>
    <w:p>
      <w:pPr>
        <w:ind w:firstLine="480" w:firstLineChars="200"/>
        <w:rPr>
          <w:rFonts w:ascii="仿宋" w:hAnsi="仿宋" w:eastAsia="仿宋" w:cs="仿宋"/>
          <w:sz w:val="24"/>
          <w:szCs w:val="24"/>
        </w:rPr>
      </w:pPr>
      <w:r>
        <w:rPr>
          <w:rFonts w:hint="eastAsia" w:ascii="仿宋" w:hAnsi="仿宋" w:eastAsia="仿宋" w:cs="仿宋"/>
          <w:sz w:val="24"/>
          <w:szCs w:val="24"/>
        </w:rPr>
        <w:t>（1）保证责任范围包括如下：</w:t>
      </w:r>
    </w:p>
    <w:p>
      <w:pPr>
        <w:ind w:firstLine="480" w:firstLineChars="200"/>
        <w:rPr>
          <w:rFonts w:ascii="仿宋" w:hAnsi="仿宋" w:eastAsia="仿宋" w:cs="仿宋"/>
          <w:sz w:val="24"/>
          <w:szCs w:val="24"/>
        </w:rPr>
      </w:pPr>
      <w:r>
        <w:rPr>
          <w:rFonts w:hint="eastAsia" w:ascii="仿宋" w:hAnsi="仿宋" w:eastAsia="仿宋" w:cs="仿宋"/>
          <w:sz w:val="24"/>
          <w:szCs w:val="24"/>
        </w:rPr>
        <w:t>①公积金贷款本金、利息、罚息、复利；</w:t>
      </w:r>
    </w:p>
    <w:p>
      <w:pPr>
        <w:ind w:firstLine="480" w:firstLineChars="200"/>
        <w:rPr>
          <w:rFonts w:ascii="仿宋" w:hAnsi="仿宋" w:eastAsia="仿宋" w:cs="仿宋"/>
          <w:sz w:val="24"/>
          <w:szCs w:val="24"/>
        </w:rPr>
      </w:pPr>
      <w:r>
        <w:rPr>
          <w:rFonts w:hint="eastAsia" w:ascii="仿宋" w:hAnsi="仿宋" w:eastAsia="仿宋" w:cs="仿宋"/>
          <w:sz w:val="24"/>
          <w:szCs w:val="24"/>
        </w:rPr>
        <w:t>②乙方为实现债权而发生的一切相关费用（包括但不限于诉讼费、财产保全费、执行费、仲裁费、律师费、垫付费、公告费、差旅费、送达费等）；</w:t>
      </w:r>
    </w:p>
    <w:p>
      <w:pPr>
        <w:ind w:firstLine="480" w:firstLineChars="200"/>
        <w:rPr>
          <w:rFonts w:ascii="仿宋" w:hAnsi="仿宋" w:eastAsia="仿宋" w:cs="仿宋"/>
          <w:sz w:val="24"/>
          <w:szCs w:val="24"/>
        </w:rPr>
      </w:pPr>
      <w:r>
        <w:rPr>
          <w:rFonts w:hint="eastAsia" w:ascii="仿宋" w:hAnsi="仿宋" w:eastAsia="仿宋" w:cs="仿宋"/>
          <w:sz w:val="24"/>
          <w:szCs w:val="24"/>
        </w:rPr>
        <w:t>③由于甲方的原因,造成个人住房公积金被套取、骗贷而实际发生的金额及费用。</w:t>
      </w:r>
    </w:p>
    <w:p>
      <w:pPr>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借款人公积金贷款逾期超过三十一天（含三十一天），由甲方协助乙方进行催收，逾期超过九十一天（含九十一天）的，乙方有权要求甲方立即履行保证义务，如甲方有保证金担保的，乙方有权同时划扣保证金款项。</w:t>
      </w:r>
    </w:p>
    <w:p>
      <w:pPr>
        <w:ind w:firstLine="482" w:firstLineChars="200"/>
        <w:rPr>
          <w:rFonts w:ascii="仿宋" w:hAnsi="仿宋" w:eastAsia="仿宋" w:cs="仿宋"/>
          <w:b/>
          <w:sz w:val="24"/>
          <w:szCs w:val="24"/>
        </w:rPr>
      </w:pPr>
      <w:r>
        <w:rPr>
          <w:rFonts w:hint="eastAsia" w:ascii="仿宋" w:hAnsi="仿宋" w:eastAsia="仿宋" w:cs="仿宋"/>
          <w:b/>
          <w:sz w:val="24"/>
          <w:szCs w:val="24"/>
        </w:rPr>
        <w:t>2、保证期限</w:t>
      </w:r>
    </w:p>
    <w:p>
      <w:pPr>
        <w:pStyle w:val="25"/>
        <w:tabs>
          <w:tab w:val="left" w:pos="-28"/>
        </w:tabs>
        <w:ind w:left="-2" w:leftChars="-1" w:firstLine="420"/>
        <w:rPr>
          <w:rFonts w:ascii="仿宋" w:hAnsi="仿宋" w:eastAsia="仿宋" w:cs="仿宋"/>
          <w:sz w:val="24"/>
          <w:szCs w:val="24"/>
        </w:rPr>
      </w:pPr>
      <w:r>
        <w:rPr>
          <w:rFonts w:hint="eastAsia" w:ascii="仿宋" w:hAnsi="仿宋" w:eastAsia="仿宋" w:cs="仿宋"/>
          <w:sz w:val="24"/>
          <w:szCs w:val="24"/>
        </w:rPr>
        <w:t>保证期限按乙方对每个借款人每笔公积金贷款分别计算，自乙方与借款人签订的借款合同生效之日起，至下述第</w:t>
      </w:r>
      <w:r>
        <w:rPr>
          <w:rFonts w:hint="eastAsia" w:ascii="仿宋" w:hAnsi="仿宋" w:eastAsia="仿宋" w:cs="仿宋"/>
          <w:sz w:val="24"/>
          <w:szCs w:val="24"/>
          <w:u w:val="single"/>
        </w:rPr>
        <w:t>（1）</w:t>
      </w:r>
      <w:r>
        <w:rPr>
          <w:rFonts w:hint="eastAsia" w:ascii="仿宋" w:hAnsi="仿宋" w:eastAsia="仿宋" w:cs="仿宋"/>
          <w:sz w:val="24"/>
          <w:szCs w:val="24"/>
        </w:rPr>
        <w:t>项规定的日期止；</w:t>
      </w:r>
    </w:p>
    <w:p>
      <w:pPr>
        <w:pStyle w:val="25"/>
        <w:tabs>
          <w:tab w:val="left" w:pos="-28"/>
        </w:tabs>
        <w:ind w:left="-2" w:leftChars="-1" w:firstLine="420"/>
        <w:rPr>
          <w:rFonts w:ascii="仿宋" w:hAnsi="仿宋" w:eastAsia="仿宋" w:cs="仿宋"/>
          <w:sz w:val="24"/>
          <w:szCs w:val="24"/>
        </w:rPr>
      </w:pPr>
      <w:r>
        <w:rPr>
          <w:rFonts w:hint="eastAsia" w:ascii="仿宋" w:hAnsi="仿宋" w:eastAsia="仿宋" w:cs="仿宋"/>
          <w:sz w:val="24"/>
          <w:szCs w:val="24"/>
        </w:rPr>
        <w:t>（1）借款合同项下抵押物办妥以乙方为抵押权人的抵押登记，并将房地产权属证书等抵押登记证明文件正本交乙方核对无误、收执之日。</w:t>
      </w:r>
    </w:p>
    <w:p>
      <w:pPr>
        <w:pStyle w:val="25"/>
        <w:tabs>
          <w:tab w:val="left" w:pos="-28"/>
        </w:tabs>
        <w:ind w:left="-2" w:leftChars="-1" w:firstLine="420"/>
        <w:rPr>
          <w:rFonts w:ascii="仿宋" w:hAnsi="仿宋" w:eastAsia="仿宋" w:cs="仿宋"/>
          <w:sz w:val="24"/>
          <w:szCs w:val="24"/>
        </w:rPr>
      </w:pPr>
      <w:r>
        <w:rPr>
          <w:rFonts w:hint="eastAsia" w:ascii="仿宋" w:hAnsi="仿宋" w:eastAsia="仿宋" w:cs="仿宋"/>
          <w:sz w:val="24"/>
          <w:szCs w:val="24"/>
        </w:rPr>
        <w:t>（2）借款合同项下借款人债务履行期限届满之后两年。</w:t>
      </w:r>
    </w:p>
    <w:p>
      <w:pPr>
        <w:pStyle w:val="25"/>
        <w:tabs>
          <w:tab w:val="left" w:pos="-28"/>
        </w:tabs>
        <w:ind w:left="538" w:leftChars="199" w:hanging="120" w:hangingChars="50"/>
        <w:rPr>
          <w:rFonts w:ascii="仿宋" w:hAnsi="仿宋" w:eastAsia="仿宋" w:cs="仿宋"/>
          <w:color w:val="FF0000"/>
          <w:sz w:val="24"/>
          <w:szCs w:val="24"/>
          <w:u w:val="single"/>
        </w:rPr>
      </w:pPr>
      <w:r>
        <w:rPr>
          <w:rFonts w:hint="eastAsia" w:ascii="仿宋" w:hAnsi="仿宋" w:eastAsia="仿宋" w:cs="仿宋"/>
          <w:sz w:val="24"/>
          <w:szCs w:val="24"/>
        </w:rPr>
        <w:t xml:space="preserve">（3）其他约定： </w:t>
      </w:r>
      <w:r>
        <w:rPr>
          <w:rFonts w:hint="eastAsia" w:ascii="仿宋" w:hAnsi="仿宋" w:eastAsia="仿宋" w:cs="仿宋"/>
          <w:sz w:val="24"/>
          <w:szCs w:val="24"/>
          <w:u w:val="single"/>
        </w:rPr>
        <w:t xml:space="preserve">                                      </w:t>
      </w:r>
    </w:p>
    <w:p>
      <w:pPr>
        <w:pStyle w:val="25"/>
        <w:tabs>
          <w:tab w:val="left" w:pos="-28"/>
        </w:tabs>
        <w:ind w:left="538" w:leftChars="199" w:hanging="120" w:hangingChars="50"/>
        <w:rPr>
          <w:rFonts w:ascii="仿宋" w:hAnsi="仿宋" w:eastAsia="仿宋" w:cs="仿宋"/>
          <w:b/>
          <w:sz w:val="24"/>
          <w:szCs w:val="24"/>
          <w:u w:val="single"/>
        </w:rPr>
      </w:pPr>
      <w:r>
        <w:rPr>
          <w:rFonts w:hint="eastAsia" w:ascii="仿宋" w:hAnsi="仿宋" w:eastAsia="仿宋" w:cs="仿宋"/>
          <w:b/>
          <w:sz w:val="24"/>
          <w:szCs w:val="24"/>
        </w:rPr>
        <w:t>3、保证金</w:t>
      </w:r>
    </w:p>
    <w:p>
      <w:pPr>
        <w:pStyle w:val="25"/>
        <w:tabs>
          <w:tab w:val="left" w:pos="-28"/>
        </w:tabs>
        <w:ind w:left="538" w:leftChars="199" w:hanging="120" w:hangingChars="50"/>
        <w:rPr>
          <w:rFonts w:ascii="仿宋" w:hAnsi="仿宋" w:eastAsia="仿宋" w:cs="仿宋"/>
          <w:b/>
          <w:sz w:val="24"/>
          <w:szCs w:val="24"/>
          <w:u w:val="single"/>
        </w:rPr>
      </w:pPr>
      <w:r>
        <w:rPr>
          <w:rFonts w:hint="eastAsia" w:ascii="仿宋" w:hAnsi="仿宋" w:eastAsia="仿宋" w:cs="仿宋"/>
          <w:b/>
          <w:sz w:val="24"/>
          <w:szCs w:val="24"/>
        </w:rPr>
        <w:t>（1）甲方应当按照以下第</w:t>
      </w:r>
      <w:r>
        <w:rPr>
          <w:rFonts w:hint="eastAsia" w:ascii="仿宋" w:hAnsi="仿宋" w:eastAsia="仿宋" w:cs="仿宋"/>
          <w:b/>
          <w:sz w:val="24"/>
          <w:szCs w:val="24"/>
          <w:u w:val="single"/>
        </w:rPr>
        <w:t xml:space="preserve">   ②     </w:t>
      </w:r>
      <w:r>
        <w:rPr>
          <w:rFonts w:hint="eastAsia" w:ascii="仿宋" w:hAnsi="仿宋" w:eastAsia="仿宋" w:cs="仿宋"/>
          <w:b/>
          <w:sz w:val="24"/>
          <w:szCs w:val="24"/>
        </w:rPr>
        <w:t>种方式在乙方存入保证金：</w:t>
      </w:r>
    </w:p>
    <w:p>
      <w:pPr>
        <w:pStyle w:val="25"/>
        <w:tabs>
          <w:tab w:val="left" w:pos="-28"/>
        </w:tabs>
        <w:ind w:left="-2" w:leftChars="-1" w:firstLine="540" w:firstLineChars="225"/>
        <w:rPr>
          <w:rFonts w:ascii="仿宋" w:hAnsi="仿宋" w:eastAsia="仿宋" w:cs="仿宋"/>
          <w:sz w:val="24"/>
          <w:szCs w:val="24"/>
        </w:rPr>
      </w:pPr>
      <w:r>
        <w:rPr>
          <w:rFonts w:hint="eastAsia" w:ascii="仿宋" w:hAnsi="仿宋" w:eastAsia="仿宋" w:cs="仿宋"/>
          <w:sz w:val="24"/>
          <w:szCs w:val="24"/>
        </w:rPr>
        <w:t>①公积金贷款发放前，将该笔公积金贷款发放金额的</w:t>
      </w:r>
      <w:r>
        <w:rPr>
          <w:rFonts w:hint="eastAsia" w:ascii="仿宋" w:hAnsi="仿宋" w:eastAsia="仿宋" w:cs="仿宋"/>
          <w:sz w:val="24"/>
          <w:szCs w:val="24"/>
          <w:u w:val="single"/>
        </w:rPr>
        <w:t xml:space="preserve">     </w:t>
      </w:r>
      <w:r>
        <w:rPr>
          <w:rFonts w:hint="eastAsia" w:ascii="仿宋" w:hAnsi="仿宋" w:eastAsia="仿宋" w:cs="仿宋"/>
          <w:sz w:val="24"/>
          <w:szCs w:val="24"/>
        </w:rPr>
        <w:t>%存入乙方指定的账户，用于担保乙方向购房人发放的公积金贷款。</w:t>
      </w:r>
    </w:p>
    <w:p>
      <w:pPr>
        <w:pStyle w:val="25"/>
        <w:tabs>
          <w:tab w:val="left" w:pos="-28"/>
        </w:tabs>
        <w:ind w:left="-2" w:leftChars="-1" w:firstLine="540" w:firstLineChars="225"/>
        <w:rPr>
          <w:rFonts w:ascii="仿宋" w:hAnsi="仿宋" w:eastAsia="仿宋" w:cs="仿宋"/>
          <w:sz w:val="24"/>
          <w:szCs w:val="24"/>
        </w:rPr>
      </w:pPr>
      <w:r>
        <w:rPr>
          <w:rFonts w:hint="eastAsia" w:ascii="仿宋" w:hAnsi="仿宋" w:eastAsia="仿宋" w:cs="仿宋"/>
          <w:sz w:val="24"/>
          <w:szCs w:val="24"/>
        </w:rPr>
        <w:t>②甲方无需在乙方存入保证金。</w:t>
      </w:r>
    </w:p>
    <w:p>
      <w:pPr>
        <w:ind w:firstLine="482" w:firstLineChars="200"/>
        <w:rPr>
          <w:rFonts w:ascii="仿宋" w:hAnsi="仿宋" w:eastAsia="仿宋" w:cs="仿宋"/>
          <w:b/>
          <w:sz w:val="24"/>
          <w:szCs w:val="24"/>
        </w:rPr>
      </w:pPr>
      <w:r>
        <w:rPr>
          <w:rFonts w:hint="eastAsia" w:ascii="仿宋" w:hAnsi="仿宋" w:eastAsia="仿宋" w:cs="仿宋"/>
          <w:b/>
          <w:sz w:val="24"/>
          <w:szCs w:val="24"/>
        </w:rPr>
        <w:t>（2）未经乙方许可，甲方不得擅自动用保证金款项；</w:t>
      </w:r>
    </w:p>
    <w:p>
      <w:pPr>
        <w:ind w:firstLine="482" w:firstLineChars="200"/>
        <w:rPr>
          <w:rFonts w:ascii="仿宋" w:hAnsi="仿宋" w:eastAsia="仿宋" w:cs="仿宋"/>
          <w:b/>
          <w:color w:val="000000"/>
          <w:sz w:val="24"/>
          <w:szCs w:val="24"/>
        </w:rPr>
      </w:pPr>
      <w:r>
        <w:rPr>
          <w:rFonts w:hint="eastAsia" w:ascii="仿宋" w:hAnsi="仿宋" w:eastAsia="仿宋" w:cs="仿宋"/>
          <w:b/>
          <w:sz w:val="24"/>
          <w:szCs w:val="24"/>
        </w:rPr>
        <w:t>（3）</w:t>
      </w:r>
      <w:r>
        <w:rPr>
          <w:rFonts w:hint="eastAsia" w:ascii="仿宋" w:hAnsi="仿宋" w:eastAsia="仿宋" w:cs="仿宋"/>
          <w:b/>
          <w:color w:val="000000"/>
          <w:sz w:val="24"/>
          <w:szCs w:val="24"/>
        </w:rPr>
        <w:t>乙方同意保证金按如下方式使用及退还：</w:t>
      </w:r>
      <w:r>
        <w:rPr>
          <w:rFonts w:hint="eastAsia" w:ascii="仿宋" w:hAnsi="仿宋" w:eastAsia="仿宋" w:cs="仿宋"/>
          <w:color w:val="000000"/>
          <w:sz w:val="24"/>
          <w:szCs w:val="24"/>
        </w:rPr>
        <w:t xml:space="preserve">  </w:t>
      </w:r>
    </w:p>
    <w:p>
      <w:pPr>
        <w:ind w:firstLine="480" w:firstLineChars="200"/>
        <w:rPr>
          <w:rFonts w:ascii="仿宋" w:hAnsi="仿宋" w:eastAsia="仿宋" w:cs="仿宋"/>
          <w:color w:val="000000"/>
          <w:sz w:val="24"/>
          <w:szCs w:val="24"/>
        </w:rPr>
      </w:pPr>
      <w:r>
        <w:rPr>
          <w:rFonts w:hint="eastAsia" w:ascii="仿宋" w:hAnsi="仿宋" w:eastAsia="仿宋" w:cs="仿宋"/>
          <w:sz w:val="24"/>
          <w:szCs w:val="24"/>
        </w:rPr>
        <w:t>①</w:t>
      </w:r>
      <w:r>
        <w:rPr>
          <w:rFonts w:hint="eastAsia" w:ascii="仿宋" w:hAnsi="仿宋" w:eastAsia="仿宋" w:cs="仿宋"/>
          <w:color w:val="000000"/>
          <w:sz w:val="24"/>
          <w:szCs w:val="24"/>
        </w:rPr>
        <w:t>乙方根据本协议扣划保证金后，甲方应在乙方扣划之日起三日内补足相应款项作为保证金。</w:t>
      </w:r>
    </w:p>
    <w:p>
      <w:pPr>
        <w:pStyle w:val="25"/>
        <w:tabs>
          <w:tab w:val="left" w:pos="-28"/>
        </w:tabs>
        <w:ind w:left="-2" w:leftChars="-1"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如甲方未按照第四条第三款第一项约定及时补足该保证金的，乙方有权扣划甲方在乙方开立的任一账户中的资金用于补足保证金。甲方交存的保证金超过第四条第三款第一项约定比例的，可向乙方提出退还申请，乙方审查同意的，可将超额部分的款项划入甲方指定的结算账户。</w:t>
      </w:r>
    </w:p>
    <w:p>
      <w:pPr>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②由于甲方的原因,造成个人住房公积金被套取、骗贷，乙方有权按被套取、骗贷所涉及的金额扣划相应保证金予以偿还。</w:t>
      </w:r>
    </w:p>
    <w:p>
      <w:pPr>
        <w:ind w:firstLine="480" w:firstLineChars="200"/>
        <w:rPr>
          <w:rFonts w:ascii="仿宋" w:hAnsi="仿宋" w:eastAsia="仿宋" w:cs="仿宋"/>
          <w:color w:val="000000"/>
          <w:sz w:val="24"/>
          <w:szCs w:val="24"/>
        </w:rPr>
      </w:pPr>
      <w:r>
        <w:rPr>
          <w:rFonts w:hint="eastAsia" w:ascii="仿宋" w:hAnsi="仿宋" w:eastAsia="仿宋" w:cs="仿宋"/>
          <w:sz w:val="24"/>
          <w:szCs w:val="24"/>
        </w:rPr>
        <w:t>③</w:t>
      </w:r>
      <w:r>
        <w:rPr>
          <w:rFonts w:hint="eastAsia" w:ascii="仿宋" w:hAnsi="仿宋" w:eastAsia="仿宋" w:cs="仿宋"/>
          <w:color w:val="000000"/>
          <w:sz w:val="24"/>
          <w:szCs w:val="24"/>
        </w:rPr>
        <w:t>本章项下全部借款人所购房产办妥以乙方为抵押权人的抵押登记且甲方无其他违约事项时，乙方将按规定退还剩余保证金；</w:t>
      </w:r>
    </w:p>
    <w:p>
      <w:pPr>
        <w:ind w:firstLine="480" w:firstLineChars="200"/>
        <w:rPr>
          <w:rFonts w:ascii="仿宋" w:hAnsi="仿宋" w:eastAsia="仿宋" w:cs="仿宋"/>
          <w:sz w:val="24"/>
          <w:szCs w:val="24"/>
        </w:rPr>
      </w:pPr>
      <w:r>
        <w:rPr>
          <w:rFonts w:hint="eastAsia" w:ascii="仿宋" w:hAnsi="仿宋" w:eastAsia="仿宋" w:cs="仿宋"/>
          <w:sz w:val="24"/>
          <w:szCs w:val="24"/>
        </w:rPr>
        <w:t>第五条  甲方承诺和义务</w:t>
      </w:r>
    </w:p>
    <w:p>
      <w:pPr>
        <w:ind w:firstLine="480" w:firstLineChars="200"/>
        <w:rPr>
          <w:rFonts w:ascii="仿宋" w:hAnsi="仿宋" w:eastAsia="仿宋" w:cs="仿宋"/>
          <w:sz w:val="24"/>
          <w:szCs w:val="24"/>
        </w:rPr>
      </w:pPr>
      <w:r>
        <w:rPr>
          <w:rFonts w:hint="eastAsia" w:ascii="仿宋" w:hAnsi="仿宋" w:eastAsia="仿宋" w:cs="仿宋"/>
          <w:sz w:val="24"/>
          <w:szCs w:val="24"/>
        </w:rPr>
        <w:t>1、甲方提交的资料真实有效，不得参与、配合虚假按揭。</w:t>
      </w:r>
    </w:p>
    <w:p>
      <w:pPr>
        <w:ind w:firstLine="480" w:firstLineChars="200"/>
        <w:rPr>
          <w:rFonts w:ascii="仿宋" w:hAnsi="仿宋" w:eastAsia="仿宋" w:cs="仿宋"/>
          <w:sz w:val="24"/>
          <w:szCs w:val="24"/>
        </w:rPr>
      </w:pPr>
      <w:r>
        <w:rPr>
          <w:rFonts w:hint="eastAsia" w:ascii="仿宋" w:hAnsi="仿宋" w:eastAsia="仿宋" w:cs="仿宋"/>
          <w:sz w:val="24"/>
          <w:szCs w:val="24"/>
        </w:rPr>
        <w:t>2、甲方将购房人的全部公积金贷款用于本协议总则约定楼盘的建造，直至竣工验收交付使用，不得挪作他用，且须接受乙方对上述公积金贷款资金使用情况的监督。</w:t>
      </w:r>
    </w:p>
    <w:p>
      <w:pPr>
        <w:ind w:firstLine="480" w:firstLineChars="200"/>
        <w:rPr>
          <w:rFonts w:ascii="仿宋" w:hAnsi="仿宋" w:eastAsia="仿宋" w:cs="仿宋"/>
          <w:sz w:val="24"/>
          <w:szCs w:val="24"/>
        </w:rPr>
      </w:pPr>
      <w:r>
        <w:rPr>
          <w:rFonts w:hint="eastAsia" w:ascii="仿宋" w:hAnsi="仿宋" w:eastAsia="仿宋" w:cs="仿宋"/>
          <w:sz w:val="24"/>
          <w:szCs w:val="24"/>
        </w:rPr>
        <w:t>3、甲方发生破产、清算、解散、合并、变更等重大变故或将房屋开发建设权转让他人时，必须提前30天通知乙方，如甲方保证责任的转移必须事先得到乙方的同意，但在甲方承担的保证责任得到重新落实前，甲方仍须履行保证责任。</w:t>
      </w:r>
    </w:p>
    <w:p>
      <w:pPr>
        <w:ind w:firstLine="480" w:firstLineChars="200"/>
        <w:rPr>
          <w:rFonts w:ascii="仿宋" w:hAnsi="仿宋" w:eastAsia="仿宋" w:cs="仿宋"/>
          <w:sz w:val="24"/>
          <w:szCs w:val="24"/>
        </w:rPr>
      </w:pPr>
      <w:r>
        <w:rPr>
          <w:rFonts w:hint="eastAsia" w:ascii="仿宋" w:hAnsi="仿宋" w:eastAsia="仿宋" w:cs="仿宋"/>
          <w:sz w:val="24"/>
          <w:szCs w:val="24"/>
        </w:rPr>
        <w:t>4、甲方应根据其与购房人签署的房屋销售合同的约定按时、按质向购房人交付房屋，不得将购房人所购房屋重复出售或另行抵押给乙方之外的第三人。如果因为甲方工程质量的原因或因甲方延期交房、擅自将所购房屋重复出售或另行抵押给第三人等原因致使借款人不履行还款义务的，甲方应承担相应的还款责任。</w:t>
      </w:r>
    </w:p>
    <w:p>
      <w:pPr>
        <w:ind w:firstLine="480" w:firstLineChars="200"/>
        <w:rPr>
          <w:rFonts w:ascii="仿宋" w:hAnsi="仿宋" w:eastAsia="仿宋" w:cs="仿宋"/>
          <w:sz w:val="24"/>
          <w:szCs w:val="24"/>
        </w:rPr>
      </w:pPr>
      <w:r>
        <w:rPr>
          <w:rFonts w:hint="eastAsia" w:ascii="仿宋" w:hAnsi="仿宋" w:eastAsia="仿宋" w:cs="仿宋"/>
          <w:sz w:val="24"/>
          <w:szCs w:val="24"/>
        </w:rPr>
        <w:t>5、甲方应及时办理房地产权属证书并积极配合乙方做好相关资料收集、抵押登记等手续。</w:t>
      </w:r>
    </w:p>
    <w:p>
      <w:pPr>
        <w:ind w:firstLine="480" w:firstLineChars="200"/>
        <w:rPr>
          <w:rFonts w:ascii="仿宋" w:hAnsi="仿宋" w:eastAsia="仿宋" w:cs="仿宋"/>
          <w:sz w:val="24"/>
          <w:szCs w:val="24"/>
        </w:rPr>
      </w:pPr>
      <w:r>
        <w:rPr>
          <w:rFonts w:hint="eastAsia" w:ascii="仿宋" w:hAnsi="仿宋" w:eastAsia="仿宋" w:cs="仿宋"/>
          <w:sz w:val="24"/>
          <w:szCs w:val="24"/>
        </w:rPr>
        <w:t>6、公积金按揭贷款发放后，如发生甲方同意借款人退房情形的，甲方应监督配合借款人将退房款项优先偿还乙方公积金贷款。</w:t>
      </w:r>
    </w:p>
    <w:p>
      <w:pPr>
        <w:ind w:firstLine="480" w:firstLineChars="200"/>
        <w:rPr>
          <w:rFonts w:ascii="仿宋" w:hAnsi="仿宋" w:eastAsia="仿宋" w:cs="仿宋"/>
          <w:sz w:val="24"/>
          <w:szCs w:val="24"/>
        </w:rPr>
      </w:pPr>
      <w:r>
        <w:rPr>
          <w:rFonts w:hint="eastAsia" w:ascii="仿宋" w:hAnsi="仿宋" w:eastAsia="仿宋" w:cs="仿宋"/>
          <w:sz w:val="24"/>
          <w:szCs w:val="24"/>
        </w:rPr>
        <w:t>7、甲方不得拒绝缴存职工使用住房公积金贷款购房。</w:t>
      </w:r>
    </w:p>
    <w:p>
      <w:pPr>
        <w:ind w:firstLine="470" w:firstLineChars="196"/>
        <w:rPr>
          <w:rFonts w:ascii="仿宋" w:hAnsi="仿宋" w:eastAsia="仿宋" w:cs="仿宋"/>
          <w:sz w:val="24"/>
          <w:szCs w:val="24"/>
        </w:rPr>
      </w:pPr>
      <w:r>
        <w:rPr>
          <w:rFonts w:hint="eastAsia" w:ascii="仿宋" w:hAnsi="仿宋" w:eastAsia="仿宋" w:cs="仿宋"/>
          <w:sz w:val="24"/>
          <w:szCs w:val="24"/>
        </w:rPr>
        <w:t>第六条  乙方的权利、义务与承诺</w:t>
      </w:r>
    </w:p>
    <w:p>
      <w:pPr>
        <w:ind w:firstLine="480" w:firstLineChars="200"/>
        <w:rPr>
          <w:rFonts w:ascii="仿宋" w:hAnsi="仿宋" w:eastAsia="仿宋" w:cs="仿宋"/>
          <w:sz w:val="24"/>
          <w:szCs w:val="24"/>
        </w:rPr>
      </w:pPr>
      <w:r>
        <w:rPr>
          <w:rFonts w:hint="eastAsia" w:ascii="仿宋" w:hAnsi="仿宋" w:eastAsia="仿宋" w:cs="仿宋"/>
          <w:sz w:val="24"/>
          <w:szCs w:val="24"/>
        </w:rPr>
        <w:t>1、乙方为确保与甲方合作的顺利进行，承诺如下：</w:t>
      </w:r>
    </w:p>
    <w:p>
      <w:pPr>
        <w:ind w:firstLine="480" w:firstLineChars="200"/>
        <w:rPr>
          <w:rFonts w:ascii="仿宋" w:hAnsi="仿宋" w:eastAsia="仿宋" w:cs="仿宋"/>
          <w:sz w:val="24"/>
          <w:szCs w:val="24"/>
        </w:rPr>
      </w:pPr>
      <w:r>
        <w:rPr>
          <w:rFonts w:hint="eastAsia" w:ascii="仿宋" w:hAnsi="仿宋" w:eastAsia="仿宋" w:cs="仿宋"/>
          <w:sz w:val="24"/>
          <w:szCs w:val="24"/>
        </w:rPr>
        <w:t>（1）及时积极办理本协议项下借款人所购房产的抵押登记手续；</w:t>
      </w:r>
    </w:p>
    <w:p>
      <w:pPr>
        <w:ind w:firstLine="480" w:firstLineChars="200"/>
        <w:rPr>
          <w:rFonts w:ascii="仿宋" w:hAnsi="仿宋" w:eastAsia="仿宋" w:cs="仿宋"/>
          <w:sz w:val="24"/>
          <w:szCs w:val="24"/>
        </w:rPr>
      </w:pPr>
      <w:r>
        <w:rPr>
          <w:rFonts w:hint="eastAsia" w:ascii="仿宋" w:hAnsi="仿宋" w:eastAsia="仿宋" w:cs="仿宋"/>
          <w:sz w:val="24"/>
          <w:szCs w:val="24"/>
        </w:rPr>
        <w:t>（2）乙方不存在与购房人串通办理虚假贷款的行为。</w:t>
      </w:r>
    </w:p>
    <w:p>
      <w:pPr>
        <w:ind w:firstLine="480" w:firstLineChars="200"/>
        <w:rPr>
          <w:rFonts w:ascii="仿宋" w:hAnsi="仿宋" w:eastAsia="仿宋" w:cs="仿宋"/>
          <w:sz w:val="24"/>
          <w:szCs w:val="24"/>
        </w:rPr>
      </w:pPr>
      <w:r>
        <w:rPr>
          <w:rFonts w:hint="eastAsia" w:ascii="仿宋" w:hAnsi="仿宋" w:eastAsia="仿宋" w:cs="仿宋"/>
          <w:sz w:val="24"/>
          <w:szCs w:val="24"/>
        </w:rPr>
        <w:t>2、对申请个人住房公积金贷款并符合条件的购房人，保证在收妥购房人全部资料之日起按照深圳市住房公积金管理机构及乙方相关规定及时办理贷款手续。</w:t>
      </w:r>
    </w:p>
    <w:p>
      <w:pPr>
        <w:ind w:firstLine="480" w:firstLineChars="200"/>
        <w:rPr>
          <w:rFonts w:ascii="仿宋" w:hAnsi="仿宋" w:eastAsia="仿宋" w:cs="仿宋"/>
          <w:sz w:val="24"/>
          <w:szCs w:val="24"/>
        </w:rPr>
      </w:pPr>
      <w:r>
        <w:rPr>
          <w:rFonts w:hint="eastAsia" w:ascii="仿宋" w:hAnsi="仿宋" w:eastAsia="仿宋" w:cs="仿宋"/>
          <w:sz w:val="24"/>
          <w:szCs w:val="24"/>
        </w:rPr>
        <w:t>3、乙方在与借款人签订的借款合同生效之后，应按照借款合同约定及时将公积金贷款资金款项划入甲方指定的甲方收款账户内（户名：深圳市地铁集团有限公司 ，账号</w:t>
      </w:r>
      <w:r>
        <w:rPr>
          <w:rFonts w:hint="eastAsia" w:ascii="仿宋" w:hAnsi="仿宋" w:eastAsia="仿宋" w:cs="仿宋"/>
          <w:sz w:val="24"/>
          <w:szCs w:val="24"/>
          <w:u w:val="single"/>
        </w:rPr>
        <w:t xml:space="preserve">：             </w:t>
      </w:r>
      <w:r>
        <w:rPr>
          <w:rFonts w:hint="eastAsia" w:ascii="仿宋" w:hAnsi="仿宋" w:eastAsia="仿宋" w:cs="仿宋"/>
          <w:sz w:val="24"/>
          <w:szCs w:val="24"/>
        </w:rPr>
        <w:t>,开户行：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ind w:firstLine="480" w:firstLineChars="200"/>
        <w:rPr>
          <w:rFonts w:ascii="仿宋" w:hAnsi="仿宋" w:eastAsia="仿宋" w:cs="仿宋"/>
          <w:sz w:val="24"/>
          <w:szCs w:val="24"/>
        </w:rPr>
      </w:pPr>
      <w:r>
        <w:rPr>
          <w:rFonts w:hint="eastAsia" w:ascii="仿宋" w:hAnsi="仿宋" w:eastAsia="仿宋" w:cs="仿宋"/>
          <w:sz w:val="24"/>
          <w:szCs w:val="24"/>
        </w:rPr>
        <w:t>4、房屋竣工验收交付后，借款人所购房产未在规定时间内办妥抵押登记的，乙方应提供未办妥抵押的相应借款人名单，甲方应说明原因。</w:t>
      </w:r>
    </w:p>
    <w:p>
      <w:pPr>
        <w:ind w:firstLine="480" w:firstLineChars="200"/>
        <w:rPr>
          <w:rFonts w:ascii="仿宋" w:hAnsi="仿宋" w:eastAsia="仿宋" w:cs="仿宋"/>
          <w:sz w:val="24"/>
          <w:szCs w:val="24"/>
        </w:rPr>
      </w:pPr>
      <w:r>
        <w:rPr>
          <w:rFonts w:hint="eastAsia" w:ascii="仿宋" w:hAnsi="仿宋" w:eastAsia="仿宋" w:cs="仿宋"/>
          <w:sz w:val="24"/>
          <w:szCs w:val="24"/>
        </w:rPr>
        <w:t>5、甲方履行保证责任后，乙方应在必要的范围内支持、协助甲方向借款人追索甲方代为偿还的公积金贷款本息及相关费用。</w:t>
      </w:r>
    </w:p>
    <w:p>
      <w:pPr>
        <w:ind w:firstLine="480" w:firstLineChars="200"/>
        <w:rPr>
          <w:rFonts w:ascii="仿宋" w:hAnsi="仿宋" w:eastAsia="仿宋" w:cs="仿宋"/>
          <w:sz w:val="24"/>
          <w:szCs w:val="24"/>
        </w:rPr>
      </w:pPr>
      <w:r>
        <w:rPr>
          <w:rFonts w:hint="eastAsia" w:ascii="仿宋" w:hAnsi="仿宋" w:eastAsia="仿宋" w:cs="仿宋"/>
          <w:sz w:val="24"/>
          <w:szCs w:val="24"/>
        </w:rPr>
        <w:t>第七条  保守商业秘密</w:t>
      </w:r>
    </w:p>
    <w:p>
      <w:pPr>
        <w:ind w:firstLine="480" w:firstLineChars="200"/>
        <w:rPr>
          <w:rFonts w:ascii="仿宋" w:hAnsi="仿宋" w:eastAsia="仿宋" w:cs="仿宋"/>
          <w:sz w:val="24"/>
          <w:szCs w:val="24"/>
        </w:rPr>
      </w:pPr>
      <w:r>
        <w:rPr>
          <w:rFonts w:hint="eastAsia" w:ascii="仿宋" w:hAnsi="仿宋" w:eastAsia="仿宋" w:cs="仿宋"/>
          <w:sz w:val="24"/>
          <w:szCs w:val="24"/>
        </w:rPr>
        <w:t>甲乙双方对在合作过程中知悉的对方商业秘密，在协议履行时和履行结束后，负有保密义务。对任何一方因泄露商业秘密造成另外一方损失的，泄密一方负有赔偿责任，但法律法规另有规定或有权机关另有要求的情形除外。</w:t>
      </w:r>
    </w:p>
    <w:p>
      <w:pPr>
        <w:pStyle w:val="25"/>
        <w:snapToGrid w:val="0"/>
        <w:ind w:firstLine="470" w:firstLineChars="196"/>
        <w:rPr>
          <w:rFonts w:ascii="仿宋" w:hAnsi="仿宋" w:eastAsia="仿宋" w:cs="仿宋"/>
          <w:bCs/>
          <w:sz w:val="24"/>
          <w:szCs w:val="24"/>
        </w:rPr>
      </w:pPr>
      <w:r>
        <w:rPr>
          <w:rFonts w:hint="eastAsia" w:ascii="仿宋" w:hAnsi="仿宋" w:eastAsia="仿宋" w:cs="仿宋"/>
          <w:bCs/>
          <w:sz w:val="24"/>
          <w:szCs w:val="24"/>
        </w:rPr>
        <w:t>第八条  权利的保留</w:t>
      </w:r>
    </w:p>
    <w:p>
      <w:pPr>
        <w:ind w:firstLine="480" w:firstLineChars="200"/>
        <w:rPr>
          <w:rFonts w:ascii="仿宋" w:hAnsi="仿宋" w:eastAsia="仿宋" w:cs="仿宋"/>
          <w:bCs/>
          <w:sz w:val="24"/>
          <w:szCs w:val="24"/>
        </w:rPr>
      </w:pPr>
      <w:r>
        <w:rPr>
          <w:rFonts w:hint="eastAsia" w:ascii="仿宋" w:hAnsi="仿宋" w:eastAsia="仿宋" w:cs="仿宋"/>
          <w:bCs/>
          <w:sz w:val="24"/>
          <w:szCs w:val="24"/>
        </w:rPr>
        <w:t>乙方在本章项下的权利并不影响和排除乙方根据法律、法规和其它合同对甲方所享有的任何权利。</w:t>
      </w:r>
      <w:r>
        <w:rPr>
          <w:rFonts w:hint="eastAsia" w:ascii="仿宋" w:hAnsi="仿宋" w:eastAsia="仿宋" w:cs="仿宋"/>
          <w:sz w:val="24"/>
          <w:szCs w:val="24"/>
        </w:rPr>
        <w:t>乙方对甲方的任何违约或延误行为施以任何宽容、宽限、优惠或延缓行使本章项下的任何权利，均不能视为乙方对本章项下权利、权益的放弃或对任何违反本章行为的许可或认可，</w:t>
      </w:r>
      <w:r>
        <w:rPr>
          <w:rFonts w:hint="eastAsia" w:ascii="仿宋" w:hAnsi="仿宋" w:eastAsia="仿宋" w:cs="仿宋"/>
          <w:bCs/>
          <w:sz w:val="24"/>
          <w:szCs w:val="24"/>
        </w:rPr>
        <w:t>也不影响、阻止和妨碍乙方对该权利的继续行使或对其任何其它权利的行使。</w:t>
      </w:r>
    </w:p>
    <w:p>
      <w:pPr>
        <w:ind w:firstLine="470" w:firstLineChars="196"/>
        <w:rPr>
          <w:rFonts w:ascii="仿宋" w:hAnsi="仿宋" w:eastAsia="仿宋" w:cs="仿宋"/>
          <w:sz w:val="24"/>
          <w:szCs w:val="24"/>
        </w:rPr>
      </w:pPr>
      <w:r>
        <w:rPr>
          <w:rFonts w:hint="eastAsia" w:ascii="仿宋" w:hAnsi="仿宋" w:eastAsia="仿宋" w:cs="仿宋"/>
          <w:sz w:val="24"/>
          <w:szCs w:val="24"/>
        </w:rPr>
        <w:t>第九条  通知</w:t>
      </w:r>
    </w:p>
    <w:p>
      <w:pPr>
        <w:rPr>
          <w:rFonts w:ascii="仿宋" w:hAnsi="仿宋" w:eastAsia="仿宋" w:cs="仿宋"/>
          <w:sz w:val="24"/>
          <w:szCs w:val="24"/>
        </w:rPr>
      </w:pPr>
      <w:r>
        <w:rPr>
          <w:rFonts w:hint="eastAsia" w:ascii="仿宋" w:hAnsi="仿宋" w:eastAsia="仿宋" w:cs="仿宋"/>
          <w:sz w:val="24"/>
          <w:szCs w:val="24"/>
        </w:rPr>
        <w:t xml:space="preserve">    本协议项下任一当事人对对方当事人的通知须按本协议所列地址发出或按交易习惯作出。任一当事人变更地址等联系方式须事先书面通知其他当事人。否则该通知送达本协议所列地址，即视为已履行通知义务。</w:t>
      </w:r>
    </w:p>
    <w:p>
      <w:pPr>
        <w:ind w:firstLine="480" w:firstLineChars="200"/>
        <w:rPr>
          <w:rFonts w:ascii="仿宋" w:hAnsi="仿宋" w:eastAsia="仿宋" w:cs="仿宋"/>
          <w:sz w:val="24"/>
          <w:szCs w:val="24"/>
        </w:rPr>
      </w:pPr>
      <w:r>
        <w:rPr>
          <w:rFonts w:hint="eastAsia" w:ascii="仿宋" w:hAnsi="仿宋" w:eastAsia="仿宋" w:cs="仿宋"/>
          <w:sz w:val="24"/>
          <w:szCs w:val="24"/>
        </w:rPr>
        <w:t>第十条  违约责任</w:t>
      </w:r>
    </w:p>
    <w:p>
      <w:pPr>
        <w:ind w:firstLine="480" w:firstLineChars="200"/>
        <w:rPr>
          <w:rFonts w:ascii="仿宋" w:hAnsi="仿宋" w:eastAsia="仿宋" w:cs="仿宋"/>
          <w:sz w:val="24"/>
          <w:szCs w:val="24"/>
        </w:rPr>
      </w:pPr>
      <w:r>
        <w:rPr>
          <w:rFonts w:hint="eastAsia" w:ascii="仿宋" w:hAnsi="仿宋" w:eastAsia="仿宋" w:cs="仿宋"/>
          <w:sz w:val="24"/>
          <w:szCs w:val="24"/>
        </w:rPr>
        <w:t>出现下列情形之一，均构成违约，乙方经深圳市住房公积金管理机构同意后有权宣布解除本协议，如给乙方造成损失的，甲方还应当承担相应的赔偿责任：</w:t>
      </w:r>
    </w:p>
    <w:p>
      <w:pPr>
        <w:ind w:firstLine="480" w:firstLineChars="200"/>
        <w:rPr>
          <w:rFonts w:ascii="仿宋" w:hAnsi="仿宋" w:eastAsia="仿宋" w:cs="仿宋"/>
          <w:sz w:val="24"/>
          <w:szCs w:val="24"/>
        </w:rPr>
      </w:pPr>
      <w:r>
        <w:rPr>
          <w:rFonts w:hint="eastAsia" w:ascii="仿宋" w:hAnsi="仿宋" w:eastAsia="仿宋" w:cs="仿宋"/>
          <w:sz w:val="24"/>
          <w:szCs w:val="24"/>
        </w:rPr>
        <w:t>1、甲方未按照借款合同的约定履行相关义务；</w:t>
      </w:r>
    </w:p>
    <w:p>
      <w:pPr>
        <w:ind w:firstLine="480" w:firstLineChars="200"/>
        <w:rPr>
          <w:rFonts w:ascii="仿宋" w:hAnsi="仿宋" w:eastAsia="仿宋" w:cs="仿宋"/>
          <w:sz w:val="24"/>
          <w:szCs w:val="24"/>
        </w:rPr>
      </w:pPr>
      <w:r>
        <w:rPr>
          <w:rFonts w:hint="eastAsia" w:ascii="仿宋" w:hAnsi="仿宋" w:eastAsia="仿宋" w:cs="仿宋"/>
          <w:sz w:val="24"/>
          <w:szCs w:val="24"/>
        </w:rPr>
        <w:t>2、房地产被勒令停建、缓建或取消，或属违章建筑等情形；</w:t>
      </w:r>
    </w:p>
    <w:p>
      <w:pPr>
        <w:ind w:firstLine="480" w:firstLineChars="200"/>
        <w:rPr>
          <w:rFonts w:ascii="仿宋" w:hAnsi="仿宋" w:eastAsia="仿宋" w:cs="仿宋"/>
          <w:sz w:val="24"/>
          <w:szCs w:val="24"/>
        </w:rPr>
      </w:pPr>
      <w:r>
        <w:rPr>
          <w:rFonts w:hint="eastAsia" w:ascii="仿宋" w:hAnsi="仿宋" w:eastAsia="仿宋" w:cs="仿宋"/>
          <w:sz w:val="24"/>
          <w:szCs w:val="24"/>
        </w:rPr>
        <w:t>3、经乙方核实，房地产无法申领产权证或办理抵押登记手续；</w:t>
      </w:r>
    </w:p>
    <w:p>
      <w:pPr>
        <w:ind w:firstLine="480" w:firstLineChars="200"/>
        <w:rPr>
          <w:rFonts w:ascii="仿宋" w:hAnsi="仿宋" w:eastAsia="仿宋" w:cs="仿宋"/>
          <w:sz w:val="24"/>
          <w:szCs w:val="24"/>
        </w:rPr>
      </w:pPr>
      <w:r>
        <w:rPr>
          <w:rFonts w:hint="eastAsia" w:ascii="仿宋" w:hAnsi="仿宋" w:eastAsia="仿宋" w:cs="仿宋"/>
          <w:sz w:val="24"/>
          <w:szCs w:val="24"/>
        </w:rPr>
        <w:t>4、甲方违反本章其他任何条款；</w:t>
      </w:r>
    </w:p>
    <w:p>
      <w:pPr>
        <w:ind w:firstLine="480" w:firstLineChars="200"/>
        <w:rPr>
          <w:rFonts w:ascii="仿宋" w:hAnsi="仿宋" w:eastAsia="仿宋" w:cs="仿宋"/>
          <w:sz w:val="24"/>
          <w:szCs w:val="24"/>
        </w:rPr>
      </w:pPr>
      <w:r>
        <w:rPr>
          <w:rFonts w:hint="eastAsia" w:ascii="仿宋" w:hAnsi="仿宋" w:eastAsia="仿宋" w:cs="仿宋"/>
          <w:sz w:val="24"/>
          <w:szCs w:val="24"/>
        </w:rPr>
        <w:t>5、其他乙方认为影响或可能影响乙方债权实现的情形。</w:t>
      </w:r>
    </w:p>
    <w:p>
      <w:pPr>
        <w:ind w:firstLine="480" w:firstLineChars="200"/>
        <w:rPr>
          <w:rFonts w:ascii="仿宋" w:hAnsi="仿宋" w:eastAsia="仿宋" w:cs="仿宋"/>
          <w:sz w:val="24"/>
          <w:szCs w:val="24"/>
        </w:rPr>
      </w:pPr>
      <w:r>
        <w:rPr>
          <w:rFonts w:hint="eastAsia" w:ascii="仿宋" w:hAnsi="仿宋" w:eastAsia="仿宋" w:cs="仿宋"/>
          <w:sz w:val="24"/>
          <w:szCs w:val="24"/>
        </w:rPr>
        <w:t>第十一条  协议的补充、修改和解释</w:t>
      </w:r>
    </w:p>
    <w:p>
      <w:pPr>
        <w:ind w:firstLine="480" w:firstLineChars="200"/>
        <w:rPr>
          <w:rFonts w:ascii="仿宋" w:hAnsi="仿宋" w:eastAsia="仿宋" w:cs="仿宋"/>
          <w:sz w:val="24"/>
          <w:szCs w:val="24"/>
        </w:rPr>
      </w:pPr>
      <w:r>
        <w:rPr>
          <w:rFonts w:hint="eastAsia" w:ascii="仿宋" w:hAnsi="仿宋" w:eastAsia="仿宋" w:cs="仿宋"/>
          <w:sz w:val="24"/>
          <w:szCs w:val="24"/>
        </w:rPr>
        <w:t>1、本章未尽事宜，经深圳市住房公积金管理机构同意后，乙方可与甲方在协商一致原则基础上，可另行签订补充协议。本协议的任何修改或补充均应以书面形式作出并构成本协议的组成部分；</w:t>
      </w:r>
    </w:p>
    <w:p>
      <w:pPr>
        <w:ind w:firstLine="480" w:firstLineChars="200"/>
        <w:rPr>
          <w:rFonts w:ascii="仿宋" w:hAnsi="仿宋" w:eastAsia="仿宋" w:cs="仿宋"/>
          <w:sz w:val="24"/>
          <w:szCs w:val="24"/>
        </w:rPr>
      </w:pPr>
      <w:r>
        <w:rPr>
          <w:rFonts w:hint="eastAsia" w:ascii="仿宋" w:hAnsi="仿宋" w:eastAsia="仿宋" w:cs="仿宋"/>
          <w:sz w:val="24"/>
          <w:szCs w:val="24"/>
        </w:rPr>
        <w:t>2、在本章履行期间，如国家住房公积金相关法律、法规、政策及深圳市住房公积金贷款政策和相关操作细则调整变化的，甲乙双方应遵照执行。</w:t>
      </w:r>
    </w:p>
    <w:p>
      <w:pPr>
        <w:ind w:firstLine="480" w:firstLineChars="200"/>
        <w:rPr>
          <w:rFonts w:ascii="仿宋" w:hAnsi="仿宋" w:eastAsia="仿宋" w:cs="仿宋"/>
          <w:sz w:val="24"/>
          <w:szCs w:val="24"/>
        </w:rPr>
      </w:pPr>
      <w:r>
        <w:rPr>
          <w:rFonts w:hint="eastAsia" w:ascii="仿宋" w:hAnsi="仿宋" w:eastAsia="仿宋" w:cs="仿宋"/>
          <w:sz w:val="24"/>
          <w:szCs w:val="24"/>
        </w:rPr>
        <w:t>3、本协议的解释应当按照本协议的目的、所使用的词句、有关条款、交易习惯以及诚实信用原则，确定协议条款的真实意思。</w:t>
      </w:r>
    </w:p>
    <w:p>
      <w:pPr>
        <w:ind w:firstLine="480" w:firstLineChars="200"/>
        <w:rPr>
          <w:rFonts w:ascii="仿宋" w:hAnsi="仿宋" w:eastAsia="仿宋" w:cs="仿宋"/>
          <w:sz w:val="24"/>
          <w:szCs w:val="24"/>
        </w:rPr>
      </w:pPr>
      <w:r>
        <w:rPr>
          <w:rFonts w:hint="eastAsia" w:ascii="仿宋" w:hAnsi="仿宋" w:eastAsia="仿宋" w:cs="仿宋"/>
          <w:sz w:val="24"/>
          <w:szCs w:val="24"/>
        </w:rPr>
        <w:t>第十一条  其它约定。</w:t>
      </w:r>
    </w:p>
    <w:p>
      <w:pPr>
        <w:rPr>
          <w:rFonts w:ascii="仿宋" w:hAnsi="仿宋" w:eastAsia="仿宋" w:cs="仿宋"/>
          <w:sz w:val="24"/>
          <w:szCs w:val="24"/>
          <w:u w:val="single"/>
        </w:rPr>
      </w:pPr>
      <w:r>
        <w:rPr>
          <w:rFonts w:hint="eastAsia" w:ascii="仿宋" w:hAnsi="仿宋" w:eastAsia="仿宋" w:cs="仿宋"/>
          <w:sz w:val="24"/>
          <w:szCs w:val="24"/>
          <w:u w:val="single"/>
        </w:rPr>
        <w:t xml:space="preserve">                                                                      </w:t>
      </w:r>
    </w:p>
    <w:p>
      <w:pPr>
        <w:rPr>
          <w:rFonts w:ascii="仿宋" w:hAnsi="仿宋" w:eastAsia="仿宋" w:cs="仿宋"/>
          <w:sz w:val="24"/>
          <w:szCs w:val="24"/>
          <w:u w:val="single"/>
        </w:rPr>
      </w:pPr>
      <w:r>
        <w:rPr>
          <w:rFonts w:hint="eastAsia" w:ascii="仿宋" w:hAnsi="仿宋" w:eastAsia="仿宋" w:cs="仿宋"/>
          <w:sz w:val="24"/>
          <w:szCs w:val="24"/>
          <w:u w:val="single"/>
        </w:rPr>
        <w:t xml:space="preserve">                                                                      </w:t>
      </w:r>
    </w:p>
    <w:p>
      <w:pPr>
        <w:rPr>
          <w:rFonts w:ascii="仿宋" w:hAnsi="仿宋" w:eastAsia="仿宋" w:cs="仿宋"/>
          <w:sz w:val="24"/>
          <w:szCs w:val="24"/>
          <w:u w:val="single"/>
        </w:rPr>
      </w:pPr>
      <w:r>
        <w:rPr>
          <w:rFonts w:hint="eastAsia" w:ascii="仿宋" w:hAnsi="仿宋" w:eastAsia="仿宋" w:cs="仿宋"/>
          <w:sz w:val="24"/>
          <w:szCs w:val="24"/>
          <w:u w:val="single"/>
        </w:rPr>
        <w:t xml:space="preserve">                                                                      </w:t>
      </w:r>
    </w:p>
    <w:p>
      <w:pPr>
        <w:rPr>
          <w:rFonts w:ascii="仿宋" w:hAnsi="仿宋" w:eastAsia="仿宋" w:cs="仿宋"/>
          <w:sz w:val="24"/>
          <w:szCs w:val="24"/>
          <w:u w:val="single"/>
        </w:rPr>
      </w:pPr>
      <w:r>
        <w:rPr>
          <w:rFonts w:hint="eastAsia" w:ascii="仿宋" w:hAnsi="仿宋" w:eastAsia="仿宋" w:cs="仿宋"/>
          <w:sz w:val="24"/>
          <w:szCs w:val="24"/>
          <w:u w:val="single"/>
        </w:rPr>
        <w:t xml:space="preserve">                                                                      </w:t>
      </w:r>
    </w:p>
    <w:p>
      <w:pPr>
        <w:widowControl/>
        <w:jc w:val="center"/>
        <w:rPr>
          <w:rFonts w:ascii="仿宋" w:hAnsi="仿宋" w:eastAsia="仿宋" w:cs="仿宋"/>
          <w:b/>
          <w:color w:val="000000"/>
          <w:sz w:val="24"/>
          <w:szCs w:val="24"/>
        </w:rPr>
      </w:pPr>
      <w:r>
        <w:rPr>
          <w:rFonts w:hint="eastAsia" w:ascii="仿宋" w:hAnsi="仿宋" w:eastAsia="仿宋" w:cs="仿宋"/>
          <w:sz w:val="24"/>
          <w:szCs w:val="24"/>
        </w:rPr>
        <w:br w:type="page"/>
      </w:r>
      <w:r>
        <w:rPr>
          <w:rFonts w:hint="eastAsia" w:ascii="仿宋" w:hAnsi="仿宋" w:eastAsia="仿宋" w:cs="仿宋"/>
          <w:b/>
          <w:color w:val="000000"/>
          <w:sz w:val="24"/>
          <w:szCs w:val="24"/>
        </w:rPr>
        <w:t>第二章</w:t>
      </w:r>
    </w:p>
    <w:p>
      <w:pPr>
        <w:jc w:val="center"/>
        <w:rPr>
          <w:rFonts w:ascii="仿宋" w:hAnsi="仿宋" w:eastAsia="仿宋" w:cs="仿宋"/>
          <w:sz w:val="24"/>
          <w:szCs w:val="24"/>
        </w:rPr>
      </w:pPr>
      <w:r>
        <w:rPr>
          <w:rFonts w:hint="eastAsia" w:ascii="仿宋" w:hAnsi="仿宋" w:eastAsia="仿宋" w:cs="仿宋"/>
          <w:b/>
          <w:color w:val="000000"/>
          <w:sz w:val="24"/>
          <w:szCs w:val="24"/>
        </w:rPr>
        <w:t>（商业贷款部分）</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经甲乙双方友好协商，现就乙方同意为甲方开发的</w:t>
      </w:r>
      <w:r>
        <w:rPr>
          <w:rFonts w:hint="eastAsia" w:ascii="仿宋" w:hAnsi="仿宋" w:eastAsia="仿宋" w:cs="仿宋"/>
          <w:sz w:val="24"/>
          <w:szCs w:val="24"/>
          <w:u w:val="single"/>
        </w:rPr>
        <w:t xml:space="preserve">            </w:t>
      </w:r>
      <w:r>
        <w:rPr>
          <w:rFonts w:hint="eastAsia" w:ascii="仿宋" w:hAnsi="仿宋" w:eastAsia="仿宋" w:cs="仿宋"/>
          <w:sz w:val="24"/>
          <w:szCs w:val="24"/>
        </w:rPr>
        <w:t>项目提供按揭贷款服务事宜订立如下协议，以资共同遵守。本协议其他章节未约定或有约定但约定与本章不一致的，均以本章约定为准：</w:t>
      </w:r>
    </w:p>
    <w:p>
      <w:pPr>
        <w:numPr>
          <w:ilvl w:val="0"/>
          <w:numId w:val="4"/>
        </w:numPr>
        <w:spacing w:line="340" w:lineRule="exact"/>
        <w:rPr>
          <w:rFonts w:ascii="仿宋" w:hAnsi="仿宋" w:eastAsia="仿宋" w:cs="仿宋"/>
          <w:b/>
          <w:sz w:val="24"/>
          <w:szCs w:val="24"/>
        </w:rPr>
      </w:pPr>
      <w:r>
        <w:rPr>
          <w:rFonts w:hint="eastAsia" w:ascii="仿宋" w:hAnsi="仿宋" w:eastAsia="仿宋" w:cs="仿宋"/>
          <w:b/>
          <w:sz w:val="24"/>
          <w:szCs w:val="24"/>
        </w:rPr>
        <w:t>项目额度及期限</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1、乙方将向甲方就上述项目提供不超过人民币【     】亿元的按揭贷款额度。</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2、甲方和乙方合作期限自[     ]年[  ]月[  ]日起至[     ]年[  ]月[  ]日止。期满后，可相应延长合作期限，延长期间本协议持续生效。</w:t>
      </w:r>
    </w:p>
    <w:p>
      <w:pPr>
        <w:spacing w:line="340" w:lineRule="exact"/>
        <w:ind w:firstLine="482" w:firstLineChars="200"/>
        <w:rPr>
          <w:rFonts w:ascii="仿宋" w:hAnsi="仿宋" w:eastAsia="仿宋" w:cs="仿宋"/>
          <w:b/>
          <w:sz w:val="24"/>
          <w:szCs w:val="24"/>
        </w:rPr>
      </w:pPr>
      <w:r>
        <w:rPr>
          <w:rFonts w:hint="eastAsia" w:ascii="仿宋" w:hAnsi="仿宋" w:eastAsia="仿宋" w:cs="仿宋"/>
          <w:b/>
          <w:sz w:val="24"/>
          <w:szCs w:val="24"/>
        </w:rPr>
        <w:t>第二条  贷款额度及期限</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1、乙方为住宅购房者提供的单笔楼宇按揭金额最高不超过单户购楼款的70%，贷款年限最长不超过30年；</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2、乙方为商住两用房（商务公寓）购房者提供的单笔楼宇按揭金额最高不超过单户购楼款的55%，贷款年限最长不超过 10年。</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3、乙方为商铺、办公楼购房者提供的单笔楼宇按揭金额最高不超过单户购楼款的50%，贷款年限最长不超过10年。</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人民币贷款利率由乙方按中国人民银行的规定执行。</w:t>
      </w:r>
    </w:p>
    <w:p>
      <w:pPr>
        <w:spacing w:line="340" w:lineRule="exact"/>
        <w:ind w:firstLine="482" w:firstLineChars="200"/>
        <w:rPr>
          <w:rFonts w:ascii="仿宋" w:hAnsi="仿宋" w:eastAsia="仿宋" w:cs="仿宋"/>
          <w:b/>
          <w:sz w:val="24"/>
          <w:szCs w:val="24"/>
        </w:rPr>
      </w:pPr>
      <w:r>
        <w:rPr>
          <w:rFonts w:hint="eastAsia" w:ascii="仿宋" w:hAnsi="仿宋" w:eastAsia="仿宋" w:cs="仿宋"/>
          <w:b/>
          <w:sz w:val="24"/>
          <w:szCs w:val="24"/>
        </w:rPr>
        <w:t>第三条  首付款额度</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1、住宅购房者交付30%或以上的购楼款作为首期购楼款；</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2、商住两用房（商务公寓）购房者交付45 %或以上的购楼款作为首期购楼款；</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3、商铺、办公楼购房者交付50%或以上的购楼款作为首期购楼款.</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乙方将购房者交足首期款作为发放按揭款项的前提条件之一。乙方有权决定是否为购房者提供按揭以及按揭成数、期限。每笔按揭的金额、利率、期限以个人购房借款及担保合同为准。</w:t>
      </w:r>
    </w:p>
    <w:p>
      <w:pPr>
        <w:spacing w:line="340" w:lineRule="exact"/>
        <w:ind w:firstLine="482" w:firstLineChars="200"/>
        <w:rPr>
          <w:rFonts w:ascii="仿宋" w:hAnsi="仿宋" w:eastAsia="仿宋" w:cs="仿宋"/>
          <w:b/>
          <w:sz w:val="24"/>
          <w:szCs w:val="24"/>
        </w:rPr>
      </w:pPr>
      <w:r>
        <w:rPr>
          <w:rFonts w:hint="eastAsia" w:ascii="仿宋" w:hAnsi="仿宋" w:eastAsia="仿宋" w:cs="仿宋"/>
          <w:b/>
          <w:sz w:val="24"/>
          <w:szCs w:val="24"/>
        </w:rPr>
        <w:t>第四条  放款条件及期限</w:t>
      </w:r>
    </w:p>
    <w:p>
      <w:pPr>
        <w:spacing w:line="340" w:lineRule="exact"/>
        <w:ind w:firstLine="480" w:firstLineChars="200"/>
        <w:rPr>
          <w:rFonts w:ascii="仿宋" w:hAnsi="仿宋" w:eastAsia="仿宋" w:cs="仿宋"/>
          <w:bCs/>
          <w:sz w:val="24"/>
          <w:szCs w:val="24"/>
        </w:rPr>
      </w:pPr>
      <w:r>
        <w:rPr>
          <w:rFonts w:hint="eastAsia" w:ascii="仿宋" w:hAnsi="仿宋" w:eastAsia="仿宋" w:cs="仿宋"/>
          <w:bCs/>
          <w:sz w:val="24"/>
          <w:szCs w:val="24"/>
        </w:rPr>
        <w:t>1、项目为预售时，自乙方取得购房者与甲方签订的预售商品房买卖合同（通过网上交易系统）之日起</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日内，乙方将购房者的贷款一次性划入本协议第五条中甲方售房存款账户。</w:t>
      </w:r>
    </w:p>
    <w:p>
      <w:pPr>
        <w:spacing w:line="340" w:lineRule="exact"/>
        <w:ind w:firstLine="480" w:firstLineChars="200"/>
        <w:rPr>
          <w:rFonts w:ascii="仿宋" w:hAnsi="仿宋" w:eastAsia="仿宋" w:cs="仿宋"/>
          <w:bCs/>
          <w:sz w:val="24"/>
          <w:szCs w:val="24"/>
        </w:rPr>
      </w:pPr>
      <w:r>
        <w:rPr>
          <w:rFonts w:hint="eastAsia" w:ascii="仿宋" w:hAnsi="仿宋" w:eastAsia="仿宋" w:cs="仿宋"/>
          <w:bCs/>
          <w:sz w:val="24"/>
          <w:szCs w:val="24"/>
        </w:rPr>
        <w:t>2、项目为现售时，自乙方办妥购房者所购房产抵押权他项权证之日起</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日内，乙方将购房者的贷款一次性划入本协议第五条中甲方售房存款账户。</w:t>
      </w:r>
    </w:p>
    <w:p>
      <w:pPr>
        <w:spacing w:line="340" w:lineRule="exact"/>
        <w:ind w:firstLine="480" w:firstLineChars="200"/>
        <w:rPr>
          <w:rFonts w:ascii="仿宋" w:hAnsi="仿宋" w:eastAsia="仿宋" w:cs="仿宋"/>
          <w:bCs/>
          <w:sz w:val="24"/>
          <w:szCs w:val="24"/>
        </w:rPr>
      </w:pPr>
      <w:r>
        <w:rPr>
          <w:rFonts w:hint="eastAsia" w:ascii="仿宋" w:hAnsi="仿宋" w:eastAsia="仿宋" w:cs="仿宋"/>
          <w:bCs/>
          <w:sz w:val="24"/>
          <w:szCs w:val="24"/>
        </w:rPr>
        <w:t>3、若乙方因政策调整等原因未能在上述期限内划款，应当在上述期限内向甲方做出书面的合理说明，并承诺在有贷款额度的情况下优先向购买甲方项目的购房者放款。若乙方未在上述期限内出具书面合理的说明或未按承诺优先放款，甲方有权终止本协议，并保留追究乙方违约责任的权利。若乙方自应当发放贷款之日起逾期</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日仍未能向甲方放款，甲方有权终止本协议（终止前已发生业务不受影响），并由乙方承担相应的违约责任。</w:t>
      </w:r>
    </w:p>
    <w:p>
      <w:pPr>
        <w:spacing w:line="340" w:lineRule="exact"/>
        <w:ind w:firstLine="482" w:firstLineChars="200"/>
        <w:rPr>
          <w:rFonts w:ascii="仿宋" w:hAnsi="仿宋" w:eastAsia="仿宋" w:cs="仿宋"/>
          <w:sz w:val="24"/>
          <w:szCs w:val="24"/>
        </w:rPr>
      </w:pPr>
      <w:r>
        <w:rPr>
          <w:rFonts w:hint="eastAsia" w:ascii="仿宋" w:hAnsi="仿宋" w:eastAsia="仿宋" w:cs="仿宋"/>
          <w:b/>
          <w:sz w:val="24"/>
          <w:szCs w:val="24"/>
        </w:rPr>
        <w:t>第五条  按揭贷款的收款账户</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账户名称：</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收款账号：</w:t>
      </w:r>
    </w:p>
    <w:p>
      <w:pPr>
        <w:spacing w:line="340" w:lineRule="exact"/>
        <w:ind w:firstLine="480" w:firstLineChars="200"/>
        <w:rPr>
          <w:rFonts w:ascii="仿宋" w:hAnsi="仿宋" w:eastAsia="仿宋" w:cs="仿宋"/>
          <w:color w:val="0000FF"/>
          <w:sz w:val="24"/>
          <w:szCs w:val="24"/>
        </w:rPr>
      </w:pPr>
      <w:r>
        <w:rPr>
          <w:rFonts w:hint="eastAsia" w:ascii="仿宋" w:hAnsi="仿宋" w:eastAsia="仿宋" w:cs="仿宋"/>
          <w:sz w:val="24"/>
          <w:szCs w:val="24"/>
        </w:rPr>
        <w:t>开户银行：</w:t>
      </w:r>
    </w:p>
    <w:p>
      <w:pPr>
        <w:spacing w:line="340" w:lineRule="exact"/>
        <w:ind w:firstLine="482" w:firstLineChars="200"/>
        <w:rPr>
          <w:rFonts w:ascii="仿宋" w:hAnsi="仿宋" w:eastAsia="仿宋" w:cs="仿宋"/>
          <w:b/>
          <w:sz w:val="24"/>
          <w:szCs w:val="24"/>
        </w:rPr>
      </w:pPr>
      <w:r>
        <w:rPr>
          <w:rFonts w:hint="eastAsia" w:ascii="仿宋" w:hAnsi="仿宋" w:eastAsia="仿宋" w:cs="仿宋"/>
          <w:b/>
          <w:sz w:val="24"/>
          <w:szCs w:val="24"/>
        </w:rPr>
        <w:t>第六条  甲方担保期限和担保责任（仅适用于预售项目）</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1、担保期限</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甲方的保证责任为阶段性担保。即甲方对购房者从甲方收到购房者借款协议中约定的全额贷款之日起至乙方办妥购房者房产抵押权他项权证登记为止（指购房者的不动产权证他项权利中记载乙方的抵押权）发生的按揭贷款债务（债务范围包括相应的借款本金、利息、罚息、复利、违约金、损害赔偿金以及诉讼费）承担连带保证责任。对购房者所购房屋进行抵押权他项权证登记之日起，甲方的担保责任解除。</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（2）如非因甲方原因，购房者所购房产未能于甲方向乙方提供备案的预售商品房买卖合同</w:t>
      </w:r>
      <w:r>
        <w:rPr>
          <w:rFonts w:hint="eastAsia" w:ascii="仿宋" w:hAnsi="仿宋" w:eastAsia="仿宋" w:cs="仿宋"/>
          <w:sz w:val="24"/>
          <w:szCs w:val="24"/>
          <w:u w:val="single"/>
        </w:rPr>
        <w:t xml:space="preserve">     </w:t>
      </w:r>
      <w:r>
        <w:rPr>
          <w:rFonts w:hint="eastAsia" w:ascii="仿宋" w:hAnsi="仿宋" w:eastAsia="仿宋" w:cs="仿宋"/>
          <w:sz w:val="24"/>
          <w:szCs w:val="24"/>
        </w:rPr>
        <w:t>日内在相关主管部门办妥预抵押登记，则甲方担保责任自前述办理期限届满之次日起解除（由于不动产权登记中心导致延迟办理的除外，但乙方应积极跟进协调解决预抵押登记办理事项，在不动产权登记中心导致延迟办理原因解除后的</w:t>
      </w:r>
      <w:r>
        <w:rPr>
          <w:rFonts w:hint="eastAsia" w:ascii="仿宋" w:hAnsi="仿宋" w:eastAsia="仿宋" w:cs="仿宋"/>
          <w:sz w:val="24"/>
          <w:szCs w:val="24"/>
          <w:u w:val="single"/>
        </w:rPr>
        <w:t xml:space="preserve">      </w:t>
      </w:r>
      <w:r>
        <w:rPr>
          <w:rFonts w:hint="eastAsia" w:ascii="仿宋" w:hAnsi="仿宋" w:eastAsia="仿宋" w:cs="仿宋"/>
          <w:sz w:val="24"/>
          <w:szCs w:val="24"/>
        </w:rPr>
        <w:t>日内乙方仍应办妥预售商品房买卖合同的预抵押登记，否则，甲方的担保责任自前述办理期限届满之次日起解除）。</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3）如因乙方原因（包括但不限于乙方未及时通知及催促购房者提供资料、迟延申办或预约抵押权他项权登记手续、未按时向不动产权登记中心递交完整的办证资料等），导致购房者房产的抵押权他项权登记未能于甲方向乙方提交抵押权他项权登记资料后60日内办妥的，则甲方担保责任自该60日届满之日起自动解除。乙方办理抵押权他项权登记手续的义务及期限不因乙方向购房者提起借款合同诉讼/仲裁而免除或中断、中止。</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2、特别约定</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（1）一旦甲方项目购房者就所购房产与乙方签订了相应的借款合同并全额发放贷款后，则该借款合同项下购房者应承担的债务自动成为甲方</w:t>
      </w:r>
      <w:r>
        <w:rPr>
          <w:rFonts w:hint="eastAsia" w:ascii="仿宋" w:hAnsi="仿宋" w:eastAsia="仿宋" w:cs="仿宋"/>
          <w:sz w:val="24"/>
          <w:szCs w:val="24"/>
          <w:u w:val="single"/>
        </w:rPr>
        <w:t>担保</w:t>
      </w:r>
      <w:r>
        <w:rPr>
          <w:rFonts w:hint="eastAsia" w:ascii="仿宋" w:hAnsi="仿宋" w:eastAsia="仿宋" w:cs="仿宋"/>
          <w:sz w:val="24"/>
          <w:szCs w:val="24"/>
        </w:rPr>
        <w:t>的债务，本协议另有约定的除外。</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2）甲乙双方同意：纯商业贷款的，则甲方无需就具体的每一笔购房贷款再行在相应的个人购房担保借款合同的保证人栏签字盖章，乙方与购房者签署的借款合同应提交一份给甲方备案/存档；涉及公积金贷款的，则甲方还需在相应的个人购房担保借款合同的保证人栏签字盖章。无论甲方是否就本项目担保事宜另行签订合同，甲方的担保范围及责任均以本章约定为准。</w:t>
      </w:r>
    </w:p>
    <w:p>
      <w:pPr>
        <w:spacing w:line="340" w:lineRule="exact"/>
        <w:ind w:firstLine="560"/>
        <w:rPr>
          <w:rFonts w:ascii="仿宋" w:hAnsi="仿宋" w:eastAsia="仿宋" w:cs="仿宋"/>
          <w:sz w:val="24"/>
          <w:szCs w:val="24"/>
        </w:rPr>
      </w:pPr>
      <w:r>
        <w:rPr>
          <w:rFonts w:hint="eastAsia" w:ascii="仿宋" w:hAnsi="仿宋" w:eastAsia="仿宋" w:cs="仿宋"/>
          <w:b/>
          <w:bCs/>
          <w:sz w:val="24"/>
          <w:szCs w:val="24"/>
        </w:rPr>
        <w:t>第七条 乙方承诺（其中第2款、第3款、第4款、第7款仅适用于预售项目）</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1、对甲方推荐申请按揭贷款并符合条件的购房者，乙方保证在收妥购房者的全部申请材料后</w:t>
      </w:r>
      <w:r>
        <w:rPr>
          <w:rFonts w:hint="eastAsia" w:ascii="仿宋" w:hAnsi="仿宋" w:eastAsia="仿宋" w:cs="仿宋"/>
          <w:sz w:val="24"/>
          <w:szCs w:val="24"/>
          <w:u w:val="single"/>
        </w:rPr>
        <w:t xml:space="preserve"> 5</w:t>
      </w:r>
      <w:r>
        <w:rPr>
          <w:rFonts w:hint="eastAsia" w:ascii="仿宋" w:hAnsi="仿宋" w:eastAsia="仿宋" w:cs="仿宋"/>
          <w:sz w:val="24"/>
          <w:szCs w:val="24"/>
        </w:rPr>
        <w:t>个工作日内审查完毕，并将是否同意发放贷款的决定告知甲方。</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2、为保障双方权益，若购房者向乙方申请按揭贷款时还提供其他物（本协议中购房者所购房屋除外）的担保的，乙方在购房者违约采取解除借款合同、宣布借款提前到期等方式实现债权时，应先就物的担保实现债权，不足部分再由甲方承担担保责任。乙方未在与购房者的借款合同中约定上述条款，若因此对甲方产生经济损失的，该损失由乙方承担。</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3、在购房者违约达到借款合同解除条件时，若当时购房者所购房屋已具备办理正式抵押登记条件（购房者所购房屋已办理初始登记）的，乙方应当先行办妥抵押登记手续。</w:t>
      </w:r>
    </w:p>
    <w:p>
      <w:pPr>
        <w:spacing w:line="340" w:lineRule="exact"/>
        <w:ind w:firstLine="600" w:firstLineChars="250"/>
        <w:rPr>
          <w:rFonts w:ascii="仿宋" w:hAnsi="仿宋" w:eastAsia="仿宋" w:cs="仿宋"/>
          <w:sz w:val="24"/>
          <w:szCs w:val="24"/>
        </w:rPr>
      </w:pPr>
      <w:r>
        <w:rPr>
          <w:rFonts w:hint="eastAsia" w:ascii="仿宋" w:hAnsi="仿宋" w:eastAsia="仿宋" w:cs="仿宋"/>
          <w:sz w:val="24"/>
          <w:szCs w:val="24"/>
        </w:rPr>
        <w:t>4、在甲方履行担保责任后，乙方应当协助甲方向购房者/借款人/第三方担保人追偿。乙方同意：甲方向乙方提出协助要求的（包括但不限于协助甲方向购房者提起诉讼或仲裁申请等），乙方均应协助，否则甲方有权要求乙方承担相应的违约责任。</w:t>
      </w:r>
    </w:p>
    <w:p>
      <w:pPr>
        <w:spacing w:line="340" w:lineRule="exact"/>
        <w:ind w:firstLine="600" w:firstLineChars="250"/>
        <w:rPr>
          <w:rFonts w:ascii="仿宋" w:hAnsi="仿宋" w:eastAsia="仿宋" w:cs="仿宋"/>
          <w:sz w:val="24"/>
          <w:szCs w:val="24"/>
        </w:rPr>
      </w:pPr>
      <w:r>
        <w:rPr>
          <w:rFonts w:hint="eastAsia" w:ascii="仿宋" w:hAnsi="仿宋" w:eastAsia="仿宋" w:cs="仿宋"/>
          <w:sz w:val="24"/>
          <w:szCs w:val="24"/>
        </w:rPr>
        <w:t>5、乙方同意承担为购房者办理不动产权证的义务，乙方应及时通知购房者提供资料并办理不动产权证，甲方仅应向乙方提供本章第八条第4项约定的资料供乙方为购房者办理不动产权证。</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6、乙方有义务妥善保管购房者/借款人的不动产权证书、他项权证，若有毁损、灭失的，乙方应在</w:t>
      </w:r>
      <w:r>
        <w:rPr>
          <w:rFonts w:hint="eastAsia" w:ascii="仿宋" w:hAnsi="仿宋" w:eastAsia="仿宋" w:cs="仿宋"/>
          <w:sz w:val="24"/>
          <w:szCs w:val="24"/>
          <w:u w:val="single"/>
        </w:rPr>
        <w:t>5</w:t>
      </w:r>
      <w:r>
        <w:rPr>
          <w:rFonts w:hint="eastAsia" w:ascii="仿宋" w:hAnsi="仿宋" w:eastAsia="仿宋" w:cs="仿宋"/>
          <w:sz w:val="24"/>
          <w:szCs w:val="24"/>
        </w:rPr>
        <w:t>个工作日内提供相关资料协助客户补办。</w:t>
      </w:r>
    </w:p>
    <w:p>
      <w:pPr>
        <w:spacing w:line="340" w:lineRule="exact"/>
        <w:ind w:firstLine="560"/>
        <w:rPr>
          <w:rFonts w:ascii="仿宋" w:hAnsi="仿宋" w:eastAsia="仿宋" w:cs="仿宋"/>
          <w:sz w:val="24"/>
          <w:szCs w:val="24"/>
        </w:rPr>
      </w:pPr>
      <w:r>
        <w:rPr>
          <w:rFonts w:hint="eastAsia" w:ascii="仿宋" w:hAnsi="仿宋" w:eastAsia="仿宋" w:cs="仿宋"/>
          <w:sz w:val="24"/>
          <w:szCs w:val="24"/>
        </w:rPr>
        <w:t>7、在甲方保证期间内，当购房者违反贷款协议不按约定履行还款义务时，乙方有义务在向购房者提起诉讼/仲裁前与甲方沟通，并于正式提起诉讼/仲裁之日起7日内书面通知甲方。</w:t>
      </w:r>
      <w:r>
        <w:rPr>
          <w:rFonts w:hint="eastAsia" w:ascii="仿宋" w:hAnsi="仿宋" w:eastAsia="仿宋" w:cs="仿宋"/>
          <w:color w:val="000000"/>
          <w:sz w:val="24"/>
          <w:szCs w:val="24"/>
        </w:rPr>
        <w:t>乙方依照法律规定或者双方约定要求甲方承担担保责任时，应与甲方进行商议；协商不成的，按法律规定及双方约定执行。</w:t>
      </w:r>
      <w:r>
        <w:rPr>
          <w:rFonts w:hint="eastAsia" w:ascii="仿宋" w:hAnsi="仿宋" w:eastAsia="仿宋" w:cs="仿宋"/>
          <w:sz w:val="24"/>
          <w:szCs w:val="24"/>
        </w:rPr>
        <w:t>乙方不能未经判决/裁决而直接从甲方账户扣除购房者应支付的款项。若未经判决/裁决乙方单方扣划甲方账户款项的，则乙方应于3日内返还全部扣划款项。</w:t>
      </w:r>
    </w:p>
    <w:p>
      <w:pPr>
        <w:spacing w:line="340" w:lineRule="exact"/>
        <w:ind w:firstLine="482" w:firstLineChars="200"/>
        <w:rPr>
          <w:rFonts w:ascii="仿宋" w:hAnsi="仿宋" w:eastAsia="仿宋" w:cs="仿宋"/>
          <w:b/>
          <w:sz w:val="24"/>
          <w:szCs w:val="24"/>
        </w:rPr>
      </w:pPr>
      <w:r>
        <w:rPr>
          <w:rFonts w:hint="eastAsia" w:ascii="仿宋" w:hAnsi="仿宋" w:eastAsia="仿宋" w:cs="仿宋"/>
          <w:b/>
          <w:sz w:val="24"/>
          <w:szCs w:val="24"/>
        </w:rPr>
        <w:t>第八条  甲方承诺</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1、按质按时完成预售楼宇的建造工程，以便购房者能按时入伙。</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2、对出具的首期款收据或发票的真实性、合法性负责。</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3、及时办理楼宇的初始登记手续，保证《不动产权证》能顺利办理。</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4、乙方办理预抵押登记、不动产权证及房产抵押权他项权证时，甲方应提供的各项资料如下（最终以办理时相关主管部门的具体要求为准）：</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办理预抵押登记:（1）营业执照复印件；（2）法定代表人身份证明书；（3）法定代表人身份证复印件；（4）购房合同原件；（5）授权委托书（委托银行）。</w:t>
      </w:r>
    </w:p>
    <w:p>
      <w:pPr>
        <w:spacing w:line="340" w:lineRule="exact"/>
        <w:ind w:firstLine="480" w:firstLineChars="200"/>
        <w:rPr>
          <w:rFonts w:ascii="仿宋" w:hAnsi="仿宋" w:eastAsia="仿宋" w:cs="仿宋"/>
          <w:sz w:val="24"/>
          <w:szCs w:val="24"/>
        </w:rPr>
      </w:pPr>
      <w:r>
        <w:rPr>
          <w:rFonts w:hint="eastAsia" w:ascii="仿宋" w:hAnsi="仿宋" w:eastAsia="仿宋" w:cs="仿宋"/>
          <w:sz w:val="24"/>
          <w:szCs w:val="24"/>
        </w:rPr>
        <w:t>办理不动产权证及抵押权他项权证：（1）深圳市房地产转移登记申请表原件壹份；（2）营业执照复印件；（3）法定代表人身份证明书；（4）法定代表人身份证复印件；（5）法定代表人授权委托书。</w:t>
      </w:r>
    </w:p>
    <w:p>
      <w:pPr>
        <w:spacing w:line="340" w:lineRule="exact"/>
        <w:ind w:firstLine="561"/>
        <w:rPr>
          <w:rFonts w:ascii="仿宋" w:hAnsi="仿宋" w:eastAsia="仿宋" w:cs="仿宋"/>
          <w:b/>
          <w:sz w:val="24"/>
          <w:szCs w:val="24"/>
        </w:rPr>
      </w:pPr>
      <w:r>
        <w:rPr>
          <w:rFonts w:hint="eastAsia" w:ascii="仿宋" w:hAnsi="仿宋" w:eastAsia="仿宋" w:cs="仿宋"/>
          <w:b/>
          <w:sz w:val="24"/>
          <w:szCs w:val="24"/>
        </w:rPr>
        <w:t>第九条 商业秘密</w:t>
      </w:r>
    </w:p>
    <w:p>
      <w:pPr>
        <w:spacing w:line="340" w:lineRule="exact"/>
        <w:ind w:firstLine="561"/>
        <w:rPr>
          <w:rFonts w:ascii="仿宋" w:hAnsi="仿宋" w:eastAsia="仿宋" w:cs="仿宋"/>
          <w:sz w:val="24"/>
          <w:szCs w:val="24"/>
        </w:rPr>
      </w:pPr>
      <w:r>
        <w:rPr>
          <w:rFonts w:hint="eastAsia" w:ascii="仿宋" w:hAnsi="仿宋" w:eastAsia="仿宋" w:cs="仿宋"/>
          <w:sz w:val="24"/>
          <w:szCs w:val="24"/>
        </w:rPr>
        <w:t>协议各方对按揭合作过程中知悉的对方商业秘密负保密义务。任何一方因泄露对方商业秘密造成对方损失的，应当承担赔偿责任。</w:t>
      </w:r>
    </w:p>
    <w:p>
      <w:pPr>
        <w:spacing w:line="340" w:lineRule="exact"/>
        <w:ind w:firstLine="561"/>
        <w:rPr>
          <w:rFonts w:ascii="仿宋" w:hAnsi="仿宋" w:eastAsia="仿宋" w:cs="仿宋"/>
          <w:b/>
          <w:sz w:val="24"/>
          <w:szCs w:val="24"/>
        </w:rPr>
      </w:pPr>
      <w:r>
        <w:rPr>
          <w:rFonts w:hint="eastAsia" w:ascii="仿宋" w:hAnsi="仿宋" w:eastAsia="仿宋" w:cs="仿宋"/>
          <w:b/>
          <w:sz w:val="24"/>
          <w:szCs w:val="24"/>
        </w:rPr>
        <w:t>第十条 通知及签收</w:t>
      </w:r>
    </w:p>
    <w:p>
      <w:pPr>
        <w:spacing w:line="340" w:lineRule="exact"/>
        <w:ind w:firstLine="561"/>
        <w:rPr>
          <w:rFonts w:ascii="仿宋" w:hAnsi="仿宋" w:eastAsia="仿宋" w:cs="仿宋"/>
          <w:sz w:val="24"/>
          <w:szCs w:val="24"/>
        </w:rPr>
      </w:pPr>
      <w:r>
        <w:rPr>
          <w:rFonts w:hint="eastAsia" w:ascii="仿宋" w:hAnsi="仿宋" w:eastAsia="仿宋" w:cs="仿宋"/>
          <w:sz w:val="24"/>
          <w:szCs w:val="24"/>
        </w:rPr>
        <w:t>本协议的通知方式包括邮寄特快专递及当面签收，甲乙双方在本协议中提供的地址为双方文件的送达地址，任一方以向对方本协议所列地址寄出EMS邮政快递即视为送达。任一方亦可以采用当面递交的方式，甲、乙双方在本协议所列的工作人员（含签署页所列的双方工作人员）均可代该方签收通知、资料等文件，双方变更本协议所列工作人员和通讯地址的，应书面通知对方，在书面通知到达之前，原工作人员的签收对该方有效。</w:t>
      </w:r>
    </w:p>
    <w:p>
      <w:pPr>
        <w:spacing w:line="340" w:lineRule="exact"/>
        <w:ind w:firstLine="561"/>
        <w:rPr>
          <w:rFonts w:ascii="仿宋" w:hAnsi="仿宋" w:eastAsia="仿宋" w:cs="仿宋"/>
          <w:sz w:val="24"/>
          <w:szCs w:val="24"/>
        </w:rPr>
      </w:pPr>
      <w:r>
        <w:rPr>
          <w:rFonts w:hint="eastAsia" w:ascii="仿宋" w:hAnsi="仿宋" w:eastAsia="仿宋" w:cs="仿宋"/>
          <w:sz w:val="24"/>
          <w:szCs w:val="24"/>
        </w:rPr>
        <w:t>甲方工作人员：</w:t>
      </w:r>
      <w:r>
        <w:rPr>
          <w:rFonts w:hint="eastAsia" w:ascii="仿宋" w:hAnsi="仿宋" w:eastAsia="仿宋" w:cs="仿宋"/>
          <w:sz w:val="24"/>
          <w:szCs w:val="24"/>
          <w:u w:val="single"/>
        </w:rPr>
        <w:t xml:space="preserve">      </w:t>
      </w:r>
      <w:r>
        <w:rPr>
          <w:rFonts w:hint="eastAsia" w:ascii="仿宋" w:hAnsi="仿宋" w:eastAsia="仿宋" w:cs="仿宋"/>
          <w:sz w:val="24"/>
          <w:szCs w:val="24"/>
        </w:rPr>
        <w:t>；乙方工作人员：</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340" w:lineRule="exact"/>
        <w:ind w:firstLine="561"/>
        <w:rPr>
          <w:rFonts w:ascii="仿宋" w:hAnsi="仿宋" w:eastAsia="仿宋" w:cs="仿宋"/>
          <w:sz w:val="24"/>
          <w:szCs w:val="24"/>
        </w:rPr>
      </w:pPr>
    </w:p>
    <w:p>
      <w:pPr>
        <w:spacing w:line="340" w:lineRule="exact"/>
        <w:ind w:firstLine="561"/>
        <w:rPr>
          <w:rFonts w:ascii="仿宋" w:hAnsi="仿宋" w:eastAsia="仿宋" w:cs="仿宋"/>
          <w:sz w:val="24"/>
          <w:szCs w:val="24"/>
        </w:rPr>
      </w:pPr>
    </w:p>
    <w:p>
      <w:pPr>
        <w:spacing w:line="340" w:lineRule="exact"/>
        <w:ind w:firstLine="561"/>
        <w:rPr>
          <w:rFonts w:ascii="仿宋" w:hAnsi="仿宋" w:eastAsia="仿宋" w:cs="仿宋"/>
          <w:sz w:val="24"/>
          <w:szCs w:val="24"/>
        </w:rPr>
      </w:pPr>
    </w:p>
    <w:p>
      <w:pPr>
        <w:spacing w:line="340" w:lineRule="exact"/>
        <w:ind w:firstLine="561"/>
        <w:rPr>
          <w:rFonts w:ascii="仿宋" w:hAnsi="仿宋" w:eastAsia="仿宋" w:cs="仿宋"/>
          <w:sz w:val="24"/>
          <w:szCs w:val="24"/>
        </w:rPr>
      </w:pPr>
    </w:p>
    <w:p>
      <w:pPr>
        <w:widowControl/>
        <w:jc w:val="center"/>
        <w:rPr>
          <w:rFonts w:ascii="仿宋" w:hAnsi="仿宋" w:eastAsia="仿宋" w:cs="仿宋"/>
          <w:color w:val="000000"/>
          <w:kern w:val="0"/>
          <w:sz w:val="24"/>
          <w:szCs w:val="24"/>
        </w:rPr>
      </w:pPr>
      <w:r>
        <w:rPr>
          <w:rFonts w:hint="eastAsia" w:ascii="仿宋" w:hAnsi="仿宋" w:eastAsia="仿宋" w:cs="仿宋"/>
          <w:b/>
          <w:color w:val="000000"/>
          <w:kern w:val="0"/>
          <w:sz w:val="24"/>
          <w:szCs w:val="24"/>
        </w:rPr>
        <w:t>附则</w:t>
      </w:r>
    </w:p>
    <w:p>
      <w:pPr>
        <w:ind w:firstLine="480" w:firstLineChars="200"/>
        <w:rPr>
          <w:rFonts w:ascii="仿宋" w:hAnsi="仿宋" w:eastAsia="仿宋" w:cs="仿宋"/>
          <w:sz w:val="24"/>
          <w:szCs w:val="24"/>
        </w:rPr>
      </w:pPr>
      <w:r>
        <w:rPr>
          <w:rFonts w:hint="eastAsia" w:ascii="仿宋" w:hAnsi="仿宋" w:eastAsia="仿宋" w:cs="仿宋"/>
          <w:sz w:val="24"/>
          <w:szCs w:val="24"/>
        </w:rPr>
        <w:t>一、争议解决方式</w:t>
      </w:r>
    </w:p>
    <w:p>
      <w:pPr>
        <w:ind w:firstLine="480"/>
        <w:rPr>
          <w:rFonts w:ascii="仿宋" w:hAnsi="仿宋" w:eastAsia="仿宋" w:cs="仿宋"/>
          <w:sz w:val="24"/>
          <w:szCs w:val="24"/>
        </w:rPr>
      </w:pPr>
      <w:r>
        <w:rPr>
          <w:rFonts w:hint="eastAsia" w:ascii="仿宋" w:hAnsi="仿宋" w:eastAsia="仿宋" w:cs="仿宋"/>
          <w:sz w:val="24"/>
          <w:szCs w:val="24"/>
        </w:rPr>
        <w:t>本协议适用中华人民共和国法律。本协议履行期间，当事人如发生争议或纠纷，应协商解决。协商不成时，按照以下第</w:t>
      </w:r>
      <w:r>
        <w:rPr>
          <w:rFonts w:hint="eastAsia" w:ascii="仿宋" w:hAnsi="仿宋" w:eastAsia="仿宋" w:cs="仿宋"/>
          <w:sz w:val="24"/>
          <w:szCs w:val="24"/>
          <w:u w:val="single"/>
        </w:rPr>
        <w:t xml:space="preserve"> 1 </w:t>
      </w:r>
      <w:r>
        <w:rPr>
          <w:rFonts w:hint="eastAsia" w:ascii="仿宋" w:hAnsi="仿宋" w:eastAsia="仿宋" w:cs="仿宋"/>
          <w:sz w:val="24"/>
          <w:szCs w:val="24"/>
        </w:rPr>
        <w:t>种方式解决：</w:t>
      </w:r>
    </w:p>
    <w:p>
      <w:pPr>
        <w:ind w:firstLine="480"/>
        <w:rPr>
          <w:rFonts w:ascii="仿宋" w:hAnsi="仿宋" w:eastAsia="仿宋" w:cs="仿宋"/>
          <w:sz w:val="24"/>
          <w:szCs w:val="24"/>
        </w:rPr>
      </w:pPr>
      <w:r>
        <w:rPr>
          <w:rFonts w:hint="eastAsia" w:ascii="仿宋" w:hAnsi="仿宋" w:eastAsia="仿宋" w:cs="仿宋"/>
          <w:sz w:val="24"/>
          <w:szCs w:val="24"/>
        </w:rPr>
        <w:t>1、向乙方所在地人民法院起诉。</w:t>
      </w:r>
    </w:p>
    <w:p>
      <w:pPr>
        <w:snapToGrid w:val="0"/>
        <w:ind w:firstLine="480" w:firstLineChars="200"/>
        <w:rPr>
          <w:rFonts w:ascii="仿宋" w:hAnsi="仿宋" w:eastAsia="仿宋" w:cs="仿宋"/>
          <w:sz w:val="24"/>
          <w:szCs w:val="24"/>
        </w:rPr>
      </w:pPr>
      <w:r>
        <w:rPr>
          <w:rFonts w:hint="eastAsia" w:ascii="仿宋" w:hAnsi="仿宋" w:eastAsia="仿宋" w:cs="仿宋"/>
          <w:sz w:val="24"/>
          <w:szCs w:val="24"/>
        </w:rPr>
        <w:t>2、提交</w:t>
      </w:r>
      <w:r>
        <w:rPr>
          <w:rFonts w:hint="eastAsia" w:ascii="仿宋" w:hAnsi="仿宋" w:eastAsia="仿宋" w:cs="仿宋"/>
          <w:sz w:val="24"/>
          <w:szCs w:val="24"/>
          <w:u w:val="single"/>
        </w:rPr>
        <w:t xml:space="preserve">  /   </w:t>
      </w:r>
      <w:r>
        <w:rPr>
          <w:rFonts w:hint="eastAsia" w:ascii="仿宋" w:hAnsi="仿宋" w:eastAsia="仿宋" w:cs="仿宋"/>
          <w:sz w:val="24"/>
          <w:szCs w:val="24"/>
        </w:rPr>
        <w:t>仲裁委员会（仲裁地点为</w:t>
      </w:r>
      <w:r>
        <w:rPr>
          <w:rFonts w:hint="eastAsia" w:ascii="仿宋" w:hAnsi="仿宋" w:eastAsia="仿宋" w:cs="仿宋"/>
          <w:sz w:val="24"/>
          <w:szCs w:val="24"/>
          <w:u w:val="single"/>
        </w:rPr>
        <w:t xml:space="preserve">  /  </w:t>
      </w:r>
      <w:r>
        <w:rPr>
          <w:rFonts w:hint="eastAsia" w:ascii="仿宋" w:hAnsi="仿宋" w:eastAsia="仿宋" w:cs="仿宋"/>
          <w:sz w:val="24"/>
          <w:szCs w:val="24"/>
        </w:rPr>
        <w:t>）按照申请仲裁时该会现行有效的仲裁规则进行仲裁。仲裁裁决是终局的，对双方均有拘束力。</w:t>
      </w:r>
    </w:p>
    <w:p>
      <w:pPr>
        <w:rPr>
          <w:rFonts w:ascii="仿宋" w:hAnsi="仿宋" w:eastAsia="仿宋" w:cs="仿宋"/>
          <w:sz w:val="24"/>
          <w:szCs w:val="24"/>
        </w:rPr>
      </w:pPr>
      <w:r>
        <w:rPr>
          <w:rFonts w:hint="eastAsia" w:ascii="仿宋" w:hAnsi="仿宋" w:eastAsia="仿宋" w:cs="仿宋"/>
          <w:sz w:val="24"/>
          <w:szCs w:val="24"/>
        </w:rPr>
        <w:t xml:space="preserve">    在诉讼或仲裁期间，本协议不涉及争议部分的条款，双方仍须履行。</w:t>
      </w:r>
    </w:p>
    <w:p>
      <w:pPr>
        <w:ind w:firstLine="482" w:firstLineChars="200"/>
        <w:rPr>
          <w:rFonts w:ascii="仿宋" w:hAnsi="仿宋" w:eastAsia="仿宋" w:cs="仿宋"/>
          <w:sz w:val="24"/>
          <w:szCs w:val="24"/>
        </w:rPr>
      </w:pPr>
      <w:r>
        <w:rPr>
          <w:rFonts w:hint="eastAsia" w:ascii="仿宋" w:hAnsi="仿宋" w:eastAsia="仿宋" w:cs="仿宋"/>
          <w:b/>
          <w:sz w:val="24"/>
          <w:szCs w:val="24"/>
        </w:rPr>
        <w:t>二、</w:t>
      </w:r>
      <w:r>
        <w:rPr>
          <w:rFonts w:hint="eastAsia" w:ascii="仿宋" w:hAnsi="仿宋" w:eastAsia="仿宋" w:cs="仿宋"/>
          <w:sz w:val="24"/>
          <w:szCs w:val="24"/>
        </w:rPr>
        <w:t>生效条件</w:t>
      </w:r>
    </w:p>
    <w:p>
      <w:pPr>
        <w:ind w:firstLine="480" w:firstLineChars="200"/>
        <w:rPr>
          <w:rFonts w:ascii="仿宋" w:hAnsi="仿宋" w:eastAsia="仿宋" w:cs="仿宋"/>
          <w:sz w:val="24"/>
          <w:szCs w:val="24"/>
        </w:rPr>
      </w:pPr>
      <w:r>
        <w:rPr>
          <w:rFonts w:hint="eastAsia" w:ascii="仿宋" w:hAnsi="仿宋" w:eastAsia="仿宋" w:cs="仿宋"/>
          <w:sz w:val="24"/>
          <w:szCs w:val="24"/>
        </w:rPr>
        <w:t>本协议经双方法定代表人（负责人）或授权代理人签字并加盖公章（或合同专用章）之日起生效。</w:t>
      </w:r>
    </w:p>
    <w:p>
      <w:pPr>
        <w:ind w:firstLine="482" w:firstLineChars="200"/>
        <w:rPr>
          <w:rFonts w:ascii="仿宋" w:hAnsi="仿宋" w:eastAsia="仿宋" w:cs="仿宋"/>
          <w:sz w:val="24"/>
          <w:szCs w:val="24"/>
        </w:rPr>
      </w:pPr>
      <w:r>
        <w:rPr>
          <w:rFonts w:hint="eastAsia" w:ascii="仿宋" w:hAnsi="仿宋" w:eastAsia="仿宋" w:cs="仿宋"/>
          <w:b/>
          <w:sz w:val="24"/>
          <w:szCs w:val="24"/>
        </w:rPr>
        <w:t xml:space="preserve">三、 </w:t>
      </w:r>
      <w:r>
        <w:rPr>
          <w:rFonts w:hint="eastAsia" w:ascii="仿宋" w:hAnsi="仿宋" w:eastAsia="仿宋" w:cs="仿宋"/>
          <w:sz w:val="24"/>
          <w:szCs w:val="24"/>
        </w:rPr>
        <w:t>本协议一式</w:t>
      </w:r>
      <w:r>
        <w:rPr>
          <w:rFonts w:hint="eastAsia" w:ascii="仿宋" w:hAnsi="仿宋" w:eastAsia="仿宋" w:cs="仿宋"/>
          <w:sz w:val="24"/>
          <w:szCs w:val="24"/>
          <w:u w:val="single"/>
        </w:rPr>
        <w:t xml:space="preserve"> 捌 </w:t>
      </w:r>
      <w:r>
        <w:rPr>
          <w:rFonts w:hint="eastAsia" w:ascii="仿宋" w:hAnsi="仿宋" w:eastAsia="仿宋" w:cs="仿宋"/>
          <w:sz w:val="24"/>
          <w:szCs w:val="24"/>
        </w:rPr>
        <w:t>份，</w:t>
      </w:r>
      <w:r>
        <w:rPr>
          <w:rFonts w:hint="eastAsia" w:ascii="仿宋" w:hAnsi="仿宋" w:eastAsia="仿宋" w:cs="仿宋"/>
          <w:color w:val="000000"/>
          <w:sz w:val="24"/>
          <w:szCs w:val="24"/>
        </w:rPr>
        <w:t>甲方执</w:t>
      </w:r>
      <w:r>
        <w:rPr>
          <w:rFonts w:hint="eastAsia" w:ascii="仿宋" w:hAnsi="仿宋" w:eastAsia="仿宋" w:cs="仿宋"/>
          <w:color w:val="000000"/>
          <w:sz w:val="24"/>
          <w:szCs w:val="24"/>
          <w:u w:val="single"/>
        </w:rPr>
        <w:t xml:space="preserve"> 伍 </w:t>
      </w:r>
      <w:r>
        <w:rPr>
          <w:rFonts w:hint="eastAsia" w:ascii="仿宋" w:hAnsi="仿宋" w:eastAsia="仿宋" w:cs="仿宋"/>
          <w:color w:val="000000"/>
          <w:sz w:val="24"/>
          <w:szCs w:val="24"/>
        </w:rPr>
        <w:t>份，乙方执</w:t>
      </w:r>
      <w:r>
        <w:rPr>
          <w:rFonts w:hint="eastAsia" w:ascii="仿宋" w:hAnsi="仿宋" w:eastAsia="仿宋" w:cs="仿宋"/>
          <w:color w:val="000000"/>
          <w:sz w:val="24"/>
          <w:szCs w:val="24"/>
          <w:u w:val="single"/>
        </w:rPr>
        <w:t xml:space="preserve"> 贰 </w:t>
      </w:r>
      <w:r>
        <w:rPr>
          <w:rFonts w:hint="eastAsia" w:ascii="仿宋" w:hAnsi="仿宋" w:eastAsia="仿宋" w:cs="仿宋"/>
          <w:color w:val="000000"/>
          <w:sz w:val="24"/>
          <w:szCs w:val="24"/>
        </w:rPr>
        <w:t>份</w:t>
      </w:r>
      <w:r>
        <w:rPr>
          <w:rFonts w:hint="eastAsia" w:ascii="仿宋" w:hAnsi="仿宋" w:eastAsia="仿宋" w:cs="仿宋"/>
          <w:sz w:val="24"/>
          <w:szCs w:val="24"/>
        </w:rPr>
        <w:t>，深圳市住房公积金管理机构执</w:t>
      </w:r>
      <w:r>
        <w:rPr>
          <w:rFonts w:hint="eastAsia" w:ascii="仿宋" w:hAnsi="仿宋" w:eastAsia="仿宋" w:cs="仿宋"/>
          <w:sz w:val="24"/>
          <w:szCs w:val="24"/>
          <w:u w:val="single"/>
        </w:rPr>
        <w:t xml:space="preserve"> 壹 </w:t>
      </w:r>
      <w:r>
        <w:rPr>
          <w:rFonts w:hint="eastAsia" w:ascii="仿宋" w:hAnsi="仿宋" w:eastAsia="仿宋" w:cs="仿宋"/>
          <w:sz w:val="24"/>
          <w:szCs w:val="24"/>
        </w:rPr>
        <w:t>份，</w:t>
      </w:r>
      <w:r>
        <w:rPr>
          <w:rFonts w:hint="eastAsia" w:ascii="仿宋" w:hAnsi="仿宋" w:eastAsia="仿宋" w:cs="仿宋"/>
          <w:color w:val="000000"/>
          <w:sz w:val="24"/>
          <w:szCs w:val="24"/>
        </w:rPr>
        <w:t>均具同等效力，经双方签章后生效。</w:t>
      </w: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b/>
          <w:sz w:val="24"/>
          <w:szCs w:val="24"/>
        </w:rPr>
      </w:pPr>
      <w:r>
        <w:rPr>
          <w:rFonts w:hint="eastAsia" w:ascii="仿宋" w:hAnsi="仿宋" w:eastAsia="仿宋" w:cs="仿宋"/>
          <w:b/>
          <w:sz w:val="24"/>
          <w:szCs w:val="24"/>
        </w:rPr>
        <w:t>甲方（公章或合同专用章）：                   乙方（公章）：</w:t>
      </w:r>
    </w:p>
    <w:p>
      <w:pPr>
        <w:rPr>
          <w:rFonts w:ascii="仿宋" w:hAnsi="仿宋" w:eastAsia="仿宋" w:cs="仿宋"/>
          <w:sz w:val="24"/>
          <w:szCs w:val="24"/>
        </w:rPr>
      </w:pPr>
      <w:r>
        <w:rPr>
          <w:rFonts w:hint="eastAsia" w:ascii="仿宋" w:hAnsi="仿宋" w:eastAsia="仿宋" w:cs="仿宋"/>
          <w:sz w:val="24"/>
          <w:szCs w:val="24"/>
        </w:rPr>
        <w:t>法定代表人/负责人：                         法定代表人/负责人：</w:t>
      </w:r>
    </w:p>
    <w:p>
      <w:pPr>
        <w:rPr>
          <w:rFonts w:ascii="仿宋" w:hAnsi="仿宋" w:eastAsia="仿宋" w:cs="仿宋"/>
          <w:sz w:val="24"/>
          <w:szCs w:val="24"/>
        </w:rPr>
      </w:pPr>
      <w:r>
        <w:rPr>
          <w:rFonts w:hint="eastAsia" w:ascii="仿宋" w:hAnsi="仿宋" w:eastAsia="仿宋" w:cs="仿宋"/>
          <w:sz w:val="24"/>
          <w:szCs w:val="24"/>
        </w:rPr>
        <w:t>（或授权代理人）                             （或授权代理人）</w:t>
      </w:r>
    </w:p>
    <w:p>
      <w:pPr>
        <w:rPr>
          <w:rFonts w:ascii="仿宋" w:hAnsi="仿宋" w:eastAsia="仿宋" w:cs="仿宋"/>
          <w:sz w:val="24"/>
          <w:szCs w:val="24"/>
        </w:rPr>
      </w:pPr>
    </w:p>
    <w:p>
      <w:pPr>
        <w:rPr>
          <w:rFonts w:ascii="仿宋" w:hAnsi="仿宋" w:eastAsia="仿宋" w:cs="仿宋"/>
          <w:b/>
          <w:sz w:val="24"/>
          <w:szCs w:val="24"/>
        </w:rPr>
      </w:pPr>
      <w:r>
        <w:rPr>
          <w:rFonts w:hint="eastAsia" w:ascii="仿宋" w:hAnsi="仿宋" w:eastAsia="仿宋" w:cs="仿宋"/>
          <w:b/>
          <w:sz w:val="24"/>
          <w:szCs w:val="24"/>
        </w:rPr>
        <w:t xml:space="preserve">    年    月    日                              年    月    日         </w:t>
      </w:r>
    </w:p>
    <w:p>
      <w:pPr>
        <w:rPr>
          <w:rFonts w:ascii="仿宋" w:hAnsi="仿宋" w:eastAsia="仿宋" w:cs="仿宋"/>
          <w:b/>
          <w:sz w:val="24"/>
          <w:szCs w:val="24"/>
        </w:rPr>
      </w:pPr>
    </w:p>
    <w:p>
      <w:pPr>
        <w:rPr>
          <w:rFonts w:ascii="仿宋" w:hAnsi="仿宋" w:eastAsia="仿宋" w:cs="仿宋"/>
          <w:b/>
          <w:sz w:val="24"/>
          <w:szCs w:val="24"/>
        </w:rPr>
      </w:pPr>
      <w:r>
        <w:rPr>
          <w:rFonts w:hint="eastAsia" w:ascii="仿宋" w:hAnsi="仿宋" w:eastAsia="仿宋" w:cs="仿宋"/>
          <w:b/>
          <w:sz w:val="24"/>
          <w:szCs w:val="24"/>
        </w:rPr>
        <w:t>*(必填)预售房源公积金贷款经办网点信息：</w:t>
      </w:r>
    </w:p>
    <w:p>
      <w:pPr>
        <w:rPr>
          <w:rFonts w:ascii="仿宋" w:hAnsi="仿宋" w:eastAsia="仿宋" w:cs="仿宋"/>
          <w:b/>
          <w:sz w:val="24"/>
          <w:szCs w:val="24"/>
        </w:rPr>
      </w:pPr>
      <w:r>
        <w:rPr>
          <w:rFonts w:hint="eastAsia" w:ascii="仿宋" w:hAnsi="仿宋" w:eastAsia="仿宋" w:cs="仿宋"/>
          <w:b/>
          <w:sz w:val="24"/>
          <w:szCs w:val="24"/>
        </w:rPr>
        <w:t xml:space="preserve">              网点名称：</w:t>
      </w:r>
      <w:r>
        <w:rPr>
          <w:rFonts w:hint="eastAsia" w:ascii="仿宋" w:hAnsi="仿宋" w:eastAsia="仿宋" w:cs="仿宋"/>
          <w:b/>
          <w:sz w:val="24"/>
          <w:szCs w:val="24"/>
          <w:u w:val="single"/>
        </w:rPr>
        <w:t xml:space="preserve">                 </w:t>
      </w:r>
      <w:r>
        <w:rPr>
          <w:rFonts w:hint="eastAsia" w:ascii="仿宋" w:hAnsi="仿宋" w:eastAsia="仿宋" w:cs="仿宋"/>
          <w:b/>
          <w:sz w:val="24"/>
          <w:szCs w:val="24"/>
        </w:rPr>
        <w:t>；联系电话：</w:t>
      </w:r>
      <w:r>
        <w:rPr>
          <w:rFonts w:hint="eastAsia" w:ascii="仿宋" w:hAnsi="仿宋" w:eastAsia="仿宋" w:cs="仿宋"/>
          <w:b/>
          <w:sz w:val="24"/>
          <w:szCs w:val="24"/>
          <w:u w:val="single"/>
        </w:rPr>
        <w:t xml:space="preserve">              </w:t>
      </w:r>
      <w:r>
        <w:rPr>
          <w:rFonts w:hint="eastAsia" w:ascii="仿宋" w:hAnsi="仿宋" w:eastAsia="仿宋" w:cs="仿宋"/>
          <w:b/>
          <w:sz w:val="24"/>
          <w:szCs w:val="24"/>
        </w:rPr>
        <w:t>；</w:t>
      </w:r>
    </w:p>
    <w:p>
      <w:pPr>
        <w:rPr>
          <w:rFonts w:ascii="仿宋" w:hAnsi="仿宋" w:eastAsia="仿宋" w:cs="仿宋"/>
          <w:b/>
          <w:sz w:val="24"/>
          <w:szCs w:val="24"/>
        </w:rPr>
      </w:pPr>
      <w:r>
        <w:rPr>
          <w:rFonts w:hint="eastAsia" w:ascii="仿宋" w:hAnsi="仿宋" w:eastAsia="仿宋" w:cs="仿宋"/>
          <w:b/>
          <w:sz w:val="24"/>
          <w:szCs w:val="24"/>
        </w:rPr>
        <w:t xml:space="preserve">              地址：</w:t>
      </w:r>
      <w:r>
        <w:rPr>
          <w:rFonts w:hint="eastAsia" w:ascii="仿宋" w:hAnsi="仿宋" w:eastAsia="仿宋" w:cs="仿宋"/>
          <w:b/>
          <w:sz w:val="24"/>
          <w:szCs w:val="24"/>
          <w:u w:val="single"/>
        </w:rPr>
        <w:t xml:space="preserve">                                                </w:t>
      </w:r>
    </w:p>
    <w:p>
      <w:pPr>
        <w:rPr>
          <w:rFonts w:ascii="仿宋" w:hAnsi="仿宋" w:eastAsia="仿宋" w:cs="仿宋"/>
          <w:sz w:val="24"/>
          <w:szCs w:val="24"/>
        </w:rPr>
      </w:pPr>
    </w:p>
    <w:p>
      <w:pPr>
        <w:widowControl/>
        <w:jc w:val="center"/>
        <w:rPr>
          <w:rFonts w:ascii="仿宋" w:hAnsi="仿宋" w:eastAsia="仿宋" w:cs="仿宋"/>
          <w:sz w:val="24"/>
          <w:szCs w:val="24"/>
        </w:rPr>
      </w:pPr>
    </w:p>
    <w:p>
      <w:pPr>
        <w:rPr>
          <w:rFonts w:ascii="仿宋" w:hAnsi="仿宋" w:eastAsia="仿宋" w:cs="仿宋"/>
          <w:sz w:val="24"/>
          <w:szCs w:val="24"/>
        </w:rPr>
      </w:pPr>
    </w:p>
    <w:p>
      <w:pPr>
        <w:spacing w:line="480" w:lineRule="atLeast"/>
        <w:jc w:val="center"/>
        <w:rPr>
          <w:rFonts w:ascii="仿宋" w:hAnsi="仿宋" w:eastAsia="仿宋" w:cs="仿宋"/>
          <w:sz w:val="24"/>
          <w:szCs w:val="24"/>
          <w:u w:val="single"/>
        </w:rPr>
      </w:pPr>
    </w:p>
    <w:p>
      <w:pPr>
        <w:spacing w:line="480" w:lineRule="exact"/>
        <w:jc w:val="center"/>
        <w:rPr>
          <w:rFonts w:ascii="仿宋" w:hAnsi="仿宋" w:eastAsia="仿宋" w:cs="仿宋"/>
          <w:b/>
          <w:sz w:val="24"/>
          <w:szCs w:val="24"/>
          <w:u w:val="single"/>
        </w:rPr>
      </w:pPr>
    </w:p>
    <w:p>
      <w:pPr>
        <w:spacing w:line="480" w:lineRule="exact"/>
        <w:jc w:val="center"/>
        <w:rPr>
          <w:rFonts w:ascii="仿宋" w:hAnsi="仿宋" w:eastAsia="仿宋" w:cs="仿宋"/>
          <w:b/>
          <w:sz w:val="24"/>
          <w:szCs w:val="24"/>
          <w:u w:val="single"/>
        </w:rPr>
      </w:pPr>
    </w:p>
    <w:p>
      <w:pPr>
        <w:spacing w:line="480" w:lineRule="exact"/>
        <w:jc w:val="center"/>
        <w:rPr>
          <w:rFonts w:hint="eastAsia" w:ascii="仿宋" w:hAnsi="仿宋" w:eastAsia="黑体" w:cs="仿宋"/>
          <w:b/>
          <w:sz w:val="24"/>
          <w:szCs w:val="24"/>
          <w:lang w:val="en-US" w:eastAsia="zh-CN"/>
        </w:rPr>
      </w:pPr>
      <w:r>
        <w:rPr>
          <w:rFonts w:hint="eastAsia" w:ascii="黑体" w:hAnsi="Arial" w:eastAsia="黑体"/>
          <w:kern w:val="0"/>
          <w:sz w:val="28"/>
          <w:u w:val="single"/>
        </w:rPr>
        <w:t xml:space="preserve">        </w:t>
      </w:r>
      <w:r>
        <w:rPr>
          <w:rFonts w:hint="eastAsia" w:ascii="黑体" w:hAnsi="Arial" w:eastAsia="黑体"/>
          <w:kern w:val="0"/>
          <w:sz w:val="28"/>
        </w:rPr>
        <w:t>项目按揭合作协议</w:t>
      </w:r>
    </w:p>
    <w:p>
      <w:pPr>
        <w:pStyle w:val="2"/>
        <w:ind w:firstLine="482"/>
        <w:rPr>
          <w:rFonts w:ascii="仿宋" w:hAnsi="仿宋" w:eastAsia="仿宋" w:cs="仿宋"/>
          <w:sz w:val="24"/>
        </w:rPr>
      </w:pPr>
      <w:r>
        <w:rPr>
          <w:rFonts w:hint="eastAsia" w:ascii="仿宋" w:hAnsi="仿宋" w:eastAsia="仿宋" w:cs="仿宋"/>
          <w:b/>
          <w:sz w:val="24"/>
        </w:rPr>
        <w:t xml:space="preserve">        </w:t>
      </w:r>
    </w:p>
    <w:p>
      <w:pPr>
        <w:spacing w:line="480" w:lineRule="exact"/>
        <w:rPr>
          <w:rFonts w:ascii="仿宋" w:hAnsi="仿宋" w:eastAsia="仿宋" w:cs="仿宋"/>
          <w:b/>
          <w:sz w:val="24"/>
          <w:szCs w:val="24"/>
        </w:rPr>
      </w:pPr>
    </w:p>
    <w:p>
      <w:pPr>
        <w:spacing w:line="480" w:lineRule="exact"/>
        <w:rPr>
          <w:rFonts w:ascii="仿宋" w:hAnsi="仿宋" w:eastAsia="仿宋" w:cs="仿宋"/>
          <w:b/>
          <w:sz w:val="24"/>
          <w:szCs w:val="24"/>
        </w:rPr>
      </w:pPr>
      <w:r>
        <w:rPr>
          <w:rFonts w:hint="eastAsia" w:ascii="仿宋" w:hAnsi="仿宋" w:eastAsia="仿宋" w:cs="仿宋"/>
          <w:b/>
          <w:sz w:val="24"/>
          <w:szCs w:val="24"/>
        </w:rPr>
        <w:t>甲方（开发单位）：</w:t>
      </w:r>
      <w:r>
        <w:rPr>
          <w:rFonts w:hint="eastAsia" w:ascii="仿宋" w:hAnsi="仿宋" w:eastAsia="仿宋" w:cs="仿宋"/>
          <w:sz w:val="24"/>
          <w:szCs w:val="24"/>
        </w:rPr>
        <w:t xml:space="preserve"> </w:t>
      </w:r>
    </w:p>
    <w:p>
      <w:pPr>
        <w:spacing w:line="480" w:lineRule="exact"/>
        <w:rPr>
          <w:rFonts w:ascii="仿宋" w:hAnsi="仿宋" w:eastAsia="仿宋" w:cs="仿宋"/>
          <w:bCs/>
          <w:sz w:val="24"/>
          <w:szCs w:val="24"/>
        </w:rPr>
      </w:pPr>
      <w:r>
        <w:rPr>
          <w:rFonts w:hint="eastAsia" w:ascii="仿宋" w:hAnsi="仿宋" w:eastAsia="仿宋" w:cs="仿宋"/>
          <w:bCs/>
          <w:sz w:val="24"/>
          <w:szCs w:val="24"/>
        </w:rPr>
        <w:t xml:space="preserve">地址： </w:t>
      </w:r>
    </w:p>
    <w:p>
      <w:pPr>
        <w:spacing w:line="480" w:lineRule="exact"/>
        <w:rPr>
          <w:rFonts w:ascii="仿宋" w:hAnsi="仿宋" w:eastAsia="仿宋" w:cs="仿宋"/>
          <w:b/>
          <w:sz w:val="24"/>
          <w:szCs w:val="24"/>
        </w:rPr>
      </w:pPr>
      <w:r>
        <w:rPr>
          <w:rFonts w:hint="eastAsia" w:ascii="仿宋" w:hAnsi="仿宋" w:eastAsia="仿宋" w:cs="仿宋"/>
          <w:b/>
          <w:sz w:val="24"/>
          <w:szCs w:val="24"/>
        </w:rPr>
        <w:t xml:space="preserve">乙方（银行）：            </w:t>
      </w:r>
    </w:p>
    <w:p>
      <w:pPr>
        <w:spacing w:line="480" w:lineRule="exact"/>
        <w:rPr>
          <w:rFonts w:ascii="仿宋" w:hAnsi="仿宋" w:eastAsia="仿宋" w:cs="仿宋"/>
          <w:bCs/>
          <w:sz w:val="24"/>
          <w:szCs w:val="24"/>
        </w:rPr>
      </w:pPr>
      <w:r>
        <w:rPr>
          <w:rFonts w:hint="eastAsia" w:ascii="仿宋" w:hAnsi="仿宋" w:eastAsia="仿宋" w:cs="仿宋"/>
          <w:bCs/>
          <w:sz w:val="24"/>
          <w:szCs w:val="24"/>
        </w:rPr>
        <w:t>地址：</w:t>
      </w:r>
    </w:p>
    <w:p>
      <w:pPr>
        <w:spacing w:line="480" w:lineRule="exact"/>
        <w:rPr>
          <w:rFonts w:ascii="仿宋" w:hAnsi="仿宋" w:eastAsia="仿宋" w:cs="仿宋"/>
          <w:sz w:val="24"/>
          <w:szCs w:val="24"/>
        </w:rPr>
      </w:pP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经甲乙双方友好协商，现就乙方为甲方项目提供按揭贷款服务事宜订立如下协议，以资共同遵守：</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第一条  合作项目</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甲方和乙方就甲方开发的位于深圳市[</w:t>
      </w:r>
      <w:r>
        <w:rPr>
          <w:rFonts w:ascii="仿宋" w:hAnsi="仿宋" w:eastAsia="仿宋" w:cs="仿宋"/>
          <w:sz w:val="24"/>
          <w:szCs w:val="24"/>
        </w:rPr>
        <w:t xml:space="preserve">    </w:t>
      </w:r>
      <w:r>
        <w:rPr>
          <w:rFonts w:hint="eastAsia" w:ascii="仿宋" w:hAnsi="仿宋" w:eastAsia="仿宋" w:cs="仿宋"/>
          <w:sz w:val="24"/>
          <w:szCs w:val="24"/>
        </w:rPr>
        <w:t>]区[</w:t>
      </w:r>
      <w:r>
        <w:rPr>
          <w:rFonts w:ascii="仿宋" w:hAnsi="仿宋" w:eastAsia="仿宋" w:cs="仿宋"/>
          <w:sz w:val="24"/>
          <w:szCs w:val="24"/>
        </w:rPr>
        <w:t xml:space="preserve">     </w:t>
      </w:r>
      <w:r>
        <w:rPr>
          <w:rFonts w:hint="eastAsia" w:ascii="仿宋" w:hAnsi="仿宋" w:eastAsia="仿宋" w:cs="仿宋"/>
          <w:sz w:val="24"/>
          <w:szCs w:val="24"/>
        </w:rPr>
        <w:t>]街道的[</w:t>
      </w:r>
      <w:r>
        <w:rPr>
          <w:rFonts w:ascii="仿宋" w:hAnsi="仿宋" w:eastAsia="仿宋" w:cs="仿宋"/>
          <w:sz w:val="24"/>
          <w:szCs w:val="24"/>
        </w:rPr>
        <w:t xml:space="preserve">      </w:t>
      </w:r>
      <w:r>
        <w:rPr>
          <w:rFonts w:hint="eastAsia" w:ascii="仿宋" w:hAnsi="仿宋" w:eastAsia="仿宋" w:cs="仿宋"/>
          <w:sz w:val="24"/>
          <w:szCs w:val="24"/>
        </w:rPr>
        <w:t>]（推广名[</w:t>
      </w:r>
      <w:r>
        <w:rPr>
          <w:rFonts w:ascii="仿宋" w:hAnsi="仿宋" w:eastAsia="仿宋" w:cs="仿宋"/>
          <w:sz w:val="24"/>
          <w:szCs w:val="24"/>
        </w:rPr>
        <w:t xml:space="preserve">   </w:t>
      </w:r>
      <w:r>
        <w:rPr>
          <w:rFonts w:hint="eastAsia" w:ascii="仿宋" w:hAnsi="仿宋" w:eastAsia="仿宋" w:cs="仿宋"/>
          <w:sz w:val="24"/>
          <w:szCs w:val="24"/>
        </w:rPr>
        <w:t>]）房地产项目销售进行按揭合作：</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乙方将向甲方就上述项目提供不超过人民币【     】亿元的按揭贷款额度。</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第二条  合作期限</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甲方和乙方合作期限自[   ]年[  ]月[  ]日起至[  ]年[  ]月[  ]日止。期满后，可相应延长合作期限，延长期间本协议持续生效。</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第三条  贷款额度及期限</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1、乙方为住宅购房者提供的单笔楼宇按揭金额最高不超过单户购楼款的70%，贷款年限最长不超过30年；</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2、乙方为商住两用房（商务公寓）购房者提供的单笔楼宇按揭金额最高不超过单户购楼款的55%，贷款年限最长不超过 10年。</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3、乙方为商铺、办公楼购房者提供的单笔楼宇按揭金额最高不超过单户购楼款的50%，贷款年限最长不超过10年。</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人民币贷款利率由乙方按中国人民银行的规定执行。</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第四条  首付款额度</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1、住宅购房者交付30%或以上的购楼款作为首期购楼款；</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2、商住两用房（商务公寓）购房者交付45 %或以上的购楼款作为首期购楼款；</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3、商铺、办公楼购房者交付50%或以上的购楼款作为首期购楼款.</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乙方将购房者交足首期款作为发放按揭款项的前提条件之一。乙方有权决定是否为购房者提供按揭以及按揭成数、期限。每笔按揭的金额、利率、期限以个人购房借款及担保合同为准。</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第五条  放款条件及期限</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1、项目为预售时，自乙方取得购房者与甲方签订的预售商品房买卖合同（通过网上交易系统）之日起</w:t>
      </w:r>
      <w:r>
        <w:rPr>
          <w:rFonts w:hint="eastAsia" w:ascii="仿宋" w:hAnsi="仿宋" w:eastAsia="仿宋" w:cs="仿宋"/>
          <w:sz w:val="24"/>
          <w:szCs w:val="24"/>
          <w:u w:val="single"/>
        </w:rPr>
        <w:t xml:space="preserve">     </w:t>
      </w:r>
      <w:r>
        <w:rPr>
          <w:rFonts w:hint="eastAsia" w:ascii="仿宋" w:hAnsi="仿宋" w:eastAsia="仿宋" w:cs="仿宋"/>
          <w:sz w:val="24"/>
          <w:szCs w:val="24"/>
        </w:rPr>
        <w:t>日内，乙方将购房者的贷款一次性划入本协议第六条中甲方售房存款账户。</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2、项目为现售时，自乙方办妥购房者所购房产抵押权他项权证之日起</w:t>
      </w:r>
      <w:r>
        <w:rPr>
          <w:rFonts w:hint="eastAsia" w:ascii="仿宋" w:hAnsi="仿宋" w:eastAsia="仿宋" w:cs="仿宋"/>
          <w:sz w:val="24"/>
          <w:szCs w:val="24"/>
          <w:u w:val="single"/>
        </w:rPr>
        <w:t xml:space="preserve">     </w:t>
      </w:r>
      <w:r>
        <w:rPr>
          <w:rFonts w:hint="eastAsia" w:ascii="仿宋" w:hAnsi="仿宋" w:eastAsia="仿宋" w:cs="仿宋"/>
          <w:sz w:val="24"/>
          <w:szCs w:val="24"/>
        </w:rPr>
        <w:t>日内，乙方将购房者的贷款一次性划入本协议第六条中甲方售房存款账户。</w:t>
      </w:r>
    </w:p>
    <w:p>
      <w:pPr>
        <w:spacing w:line="480" w:lineRule="exact"/>
        <w:ind w:firstLine="480" w:firstLineChars="200"/>
        <w:rPr>
          <w:rFonts w:ascii="仿宋" w:hAnsi="仿宋" w:eastAsia="仿宋" w:cs="仿宋"/>
          <w:b/>
          <w:sz w:val="24"/>
          <w:szCs w:val="24"/>
        </w:rPr>
      </w:pPr>
      <w:r>
        <w:rPr>
          <w:rFonts w:hint="eastAsia" w:ascii="仿宋" w:hAnsi="仿宋" w:eastAsia="仿宋" w:cs="仿宋"/>
          <w:sz w:val="24"/>
          <w:szCs w:val="24"/>
        </w:rPr>
        <w:t>3、若乙方因政策调整等原因未能在上述期限内划款，应当在上述期限内向甲方做出书面的合理说明，并承诺在有贷款额度的情况下优先向购买甲方项目的购房者放款。若乙方未在上述期限内出具书面合理的说明或未按承诺优先放款，甲方有权终止本协议，并保留追究乙方违约责任的权利。若乙方自应当发放贷款之日起逾期</w:t>
      </w:r>
      <w:r>
        <w:rPr>
          <w:rFonts w:hint="eastAsia" w:ascii="仿宋" w:hAnsi="仿宋" w:eastAsia="仿宋" w:cs="仿宋"/>
          <w:sz w:val="24"/>
          <w:szCs w:val="24"/>
          <w:u w:val="single"/>
        </w:rPr>
        <w:t xml:space="preserve">     </w:t>
      </w:r>
      <w:r>
        <w:rPr>
          <w:rFonts w:hint="eastAsia" w:ascii="仿宋" w:hAnsi="仿宋" w:eastAsia="仿宋" w:cs="仿宋"/>
          <w:sz w:val="24"/>
          <w:szCs w:val="24"/>
        </w:rPr>
        <w:t>日仍未能向甲方放款，甲方有权终止本协议（终止前已发生业务不受影响），并由乙方承担相应的违约责任。</w:t>
      </w:r>
    </w:p>
    <w:p>
      <w:pPr>
        <w:spacing w:line="480" w:lineRule="exact"/>
        <w:ind w:firstLine="482" w:firstLineChars="200"/>
        <w:rPr>
          <w:rFonts w:ascii="仿宋" w:hAnsi="仿宋" w:eastAsia="仿宋" w:cs="仿宋"/>
          <w:sz w:val="24"/>
          <w:szCs w:val="24"/>
        </w:rPr>
      </w:pPr>
      <w:r>
        <w:rPr>
          <w:rFonts w:hint="eastAsia" w:ascii="仿宋" w:hAnsi="仿宋" w:eastAsia="仿宋" w:cs="仿宋"/>
          <w:b/>
          <w:sz w:val="24"/>
          <w:szCs w:val="24"/>
        </w:rPr>
        <w:t>第六条  按揭贷款的收款账户</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账户名称：</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收款账号：</w:t>
      </w:r>
    </w:p>
    <w:p>
      <w:pPr>
        <w:spacing w:line="480" w:lineRule="exact"/>
        <w:ind w:firstLine="480" w:firstLineChars="200"/>
        <w:rPr>
          <w:rFonts w:ascii="仿宋" w:hAnsi="仿宋" w:eastAsia="仿宋" w:cs="仿宋"/>
          <w:color w:val="0000FF"/>
          <w:sz w:val="24"/>
          <w:szCs w:val="24"/>
        </w:rPr>
      </w:pPr>
      <w:r>
        <w:rPr>
          <w:rFonts w:hint="eastAsia" w:ascii="仿宋" w:hAnsi="仿宋" w:eastAsia="仿宋" w:cs="仿宋"/>
          <w:sz w:val="24"/>
          <w:szCs w:val="24"/>
        </w:rPr>
        <w:t xml:space="preserve">开户银行： </w:t>
      </w:r>
    </w:p>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第七条  甲方担保期限和担保责任（仅适用于预售项目）</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1、担保期限</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甲方的保证责任为阶段性担保。即甲方对购房者从甲方收到购房者借款协议中约定的全额贷款之日起至乙方办妥购房者房产抵押权他项权证登记为止（指购房者的不动产权证他项权利中记载乙方的抵押权）发生的按揭贷款债务（债务范围包括相应的借款本金、利息、罚息、复利、违约金、损害赔偿金以及诉讼费）承担连带保证责任。对购房者所购房屋进行抵押权他项权证登记之日起，甲方的担保责任解除。</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（2）如非因甲方原因，购房者所购房产未能于甲方向乙方提供备案的预售商品房买卖合同</w:t>
      </w:r>
      <w:r>
        <w:rPr>
          <w:rFonts w:hint="eastAsia" w:ascii="仿宋" w:hAnsi="仿宋" w:eastAsia="仿宋" w:cs="仿宋"/>
          <w:sz w:val="24"/>
          <w:szCs w:val="24"/>
          <w:u w:val="single"/>
        </w:rPr>
        <w:t xml:space="preserve">     </w:t>
      </w:r>
      <w:r>
        <w:rPr>
          <w:rFonts w:hint="eastAsia" w:ascii="仿宋" w:hAnsi="仿宋" w:eastAsia="仿宋" w:cs="仿宋"/>
          <w:sz w:val="24"/>
          <w:szCs w:val="24"/>
        </w:rPr>
        <w:t>日内在相关主管部门办妥预抵押登记，则甲方担保责任自前述办理期限届满之次日起解除（由于不动产权登记中心导致延迟办理的除外，但乙方应积极跟进协调解决预抵押登记办理事项，在不动产权登记中心导致延迟办理原因解除后的</w:t>
      </w:r>
      <w:r>
        <w:rPr>
          <w:rFonts w:hint="eastAsia" w:ascii="仿宋" w:hAnsi="仿宋" w:eastAsia="仿宋" w:cs="仿宋"/>
          <w:sz w:val="24"/>
          <w:szCs w:val="24"/>
          <w:u w:val="single"/>
        </w:rPr>
        <w:t xml:space="preserve">     </w:t>
      </w:r>
      <w:r>
        <w:rPr>
          <w:rFonts w:hint="eastAsia" w:ascii="仿宋" w:hAnsi="仿宋" w:eastAsia="仿宋" w:cs="仿宋"/>
          <w:sz w:val="24"/>
          <w:szCs w:val="24"/>
        </w:rPr>
        <w:t>日内乙方仍应办妥预售商品房买卖合同的预抵押登记，否则，甲方的担保责任自前述办理期限届满之次日起解除）。</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3）如因乙方原因（包括但不限于乙方未及时通知及催促购房者提供资料、迟延申办或预约抵押权他项权登记手续、未按时向不动产权登记中心递交完整的办证资料等），导致购房者房产的抵押权他项权登记未能于甲方向乙方提交抵押权他项权登记资料后60日内办妥的，则甲方担保责任自该60日届满之日起自动解除。乙方办理抵押权他项权登记手续的义务及期限不因乙方向购房者提起借款合同诉讼/仲裁而免除或中断、中止。</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2、特别约定</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（1）一旦甲方项目购房者就所购房产与乙方签订了相应的借款合同并全额发放贷款后，则该借款合同项下购房者应承担的债务自动成为甲方担保的债务，本协议另有约定的除外。</w:t>
      </w:r>
    </w:p>
    <w:p>
      <w:pPr>
        <w:spacing w:line="480" w:lineRule="exact"/>
        <w:ind w:firstLine="560"/>
        <w:rPr>
          <w:rFonts w:ascii="仿宋" w:hAnsi="仿宋" w:eastAsia="仿宋" w:cs="仿宋"/>
          <w:b/>
          <w:bCs/>
          <w:sz w:val="24"/>
          <w:szCs w:val="24"/>
        </w:rPr>
      </w:pPr>
      <w:r>
        <w:rPr>
          <w:rFonts w:hint="eastAsia" w:ascii="仿宋" w:hAnsi="仿宋" w:eastAsia="仿宋" w:cs="仿宋"/>
          <w:sz w:val="24"/>
          <w:szCs w:val="24"/>
        </w:rPr>
        <w:t>（2）甲乙双方同意甲方无需就具体的每一笔购房贷款再行在相应的个人购房担保借款合同的保证人栏签字盖章，甲方的担保范围及责任以本协议约定为准。乙方与购房者签署的借款合同应提交一份给甲方备案/存档。</w:t>
      </w:r>
    </w:p>
    <w:p>
      <w:pPr>
        <w:spacing w:line="480" w:lineRule="exact"/>
        <w:ind w:firstLine="560"/>
        <w:rPr>
          <w:rFonts w:ascii="仿宋" w:hAnsi="仿宋" w:eastAsia="仿宋" w:cs="仿宋"/>
          <w:sz w:val="24"/>
          <w:szCs w:val="24"/>
        </w:rPr>
      </w:pPr>
      <w:r>
        <w:rPr>
          <w:rFonts w:hint="eastAsia" w:ascii="仿宋" w:hAnsi="仿宋" w:eastAsia="仿宋" w:cs="仿宋"/>
          <w:b/>
          <w:bCs/>
          <w:sz w:val="24"/>
          <w:szCs w:val="24"/>
        </w:rPr>
        <w:t>第八条 乙方承诺（其中第2款、第3款、第4款、第7款仅适用于预售项目）</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1、对甲方推荐申请按揭贷款并符合条件的购房者，乙方保证在收妥购房者的全部申请材料后 5个工作日内审查完毕，并将是否同意发放贷款的决定告知甲方。</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2、为保障双方权益，若购房者向乙方申请按揭贷款时还提供其他物（本协议项下购房者所购房屋除外）的担保的，乙方在购房者违约采取解除借款合同、宣布借款提前到期等方式实现债权时，应先就物的担保实现债权，不足部分再由甲方承担担保责任。乙方未在与购房者的借款合同中约定上述条款，若因此对甲方产生经济损失的，该损失由乙方承担。</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3、在购房者违约达到借款合同解除条件时，若当时购房者所购房屋已具备办理正式抵押登记（购房者所购房屋已办理初始登记）条件的，乙方应当先行办妥抵押登记手续。</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4、在甲方履行担保责任后，乙方应当协助甲方向购房者/借款人/第三方担保人追偿。乙方同意：甲方向乙方提出协助要求的（包括但不限于协助甲方向购房者提起诉讼或仲裁申请等），乙方均应协助，否则甲方有权要求乙方承担相应的违约责任。</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5、乙方同意承担为购房者办理不动产权证的义务，乙方应及时通知购房者提供资料并办理不动产权证，甲方仅应向乙方提供本协议第九条第4项约定的资料供乙方为购房者办理不动产权证。</w:t>
      </w:r>
    </w:p>
    <w:p>
      <w:pPr>
        <w:spacing w:line="480" w:lineRule="exact"/>
        <w:ind w:firstLine="560"/>
        <w:rPr>
          <w:rFonts w:ascii="仿宋" w:hAnsi="仿宋" w:eastAsia="仿宋" w:cs="仿宋"/>
          <w:sz w:val="24"/>
          <w:szCs w:val="24"/>
        </w:rPr>
      </w:pPr>
      <w:r>
        <w:rPr>
          <w:rFonts w:hint="eastAsia" w:ascii="仿宋" w:hAnsi="仿宋" w:eastAsia="仿宋" w:cs="仿宋"/>
          <w:sz w:val="24"/>
          <w:szCs w:val="24"/>
        </w:rPr>
        <w:t>6、乙方有义务妥善保管购房者/借款人的不动产权证书、他项权证，若有毁损、灭失的，乙方应在5个工作日内提供相关资料协助客户补办。</w:t>
      </w:r>
    </w:p>
    <w:p>
      <w:pPr>
        <w:pStyle w:val="79"/>
        <w:spacing w:line="480" w:lineRule="exact"/>
        <w:ind w:firstLine="480"/>
        <w:rPr>
          <w:rFonts w:ascii="仿宋" w:hAnsi="仿宋" w:eastAsia="仿宋" w:cs="仿宋"/>
          <w:b/>
          <w:sz w:val="24"/>
          <w:szCs w:val="24"/>
        </w:rPr>
      </w:pPr>
      <w:r>
        <w:rPr>
          <w:rFonts w:hint="eastAsia" w:ascii="仿宋" w:hAnsi="仿宋" w:eastAsia="仿宋" w:cs="仿宋"/>
          <w:sz w:val="24"/>
          <w:szCs w:val="24"/>
        </w:rPr>
        <w:t>7、在甲方保证期间内，当购房者违反贷款协议不按约定履行还款义务时，乙方有义务在向购房者提起诉讼/仲裁前与甲方沟通，并于正式提起诉讼/仲裁之日起7日内书面通知甲方。乙方依照法律规定或者双方约定要求甲方承担担保责任时，应与甲方进行商议；协商不成的，按法律规定及双方约定执行。乙方不能未经判决/裁决而直接从甲方账户扣除购房者应支付的款项。若未经判决/裁决乙方单方扣划甲方账户款项的，则乙方应于三日内返还全部扣划款项。</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第九条  甲方承诺</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1、按质按时完成预售楼宇的建造工程，以便购房者能按时入伙。</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2、对出具的首期款收据或发票的真实性、合法性负责。</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3、及时办理楼宇的初始登记手续，保证《不动产权证》能顺利办理。</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4、乙方办理预抵押登记、不动产权证及房产抵押权他项权证时，甲方应提供的各项资料如下（最终以办理时相关主管部门的具体要求为准）：</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办理预抵押登记:（1）营业执照复印件；（2）法定代表人身份证明书；（3）法定代表人身份证复印件；（4）购房合同原件；（5）授权委托书（委托银行）。</w:t>
      </w:r>
    </w:p>
    <w:p>
      <w:pPr>
        <w:pStyle w:val="79"/>
        <w:spacing w:line="480" w:lineRule="exact"/>
        <w:ind w:firstLine="480"/>
        <w:rPr>
          <w:rFonts w:ascii="仿宋" w:hAnsi="仿宋" w:eastAsia="仿宋" w:cs="仿宋"/>
          <w:sz w:val="24"/>
          <w:szCs w:val="24"/>
        </w:rPr>
      </w:pPr>
      <w:r>
        <w:rPr>
          <w:rFonts w:hint="eastAsia" w:ascii="仿宋" w:hAnsi="仿宋" w:eastAsia="仿宋" w:cs="仿宋"/>
          <w:sz w:val="24"/>
          <w:szCs w:val="24"/>
        </w:rPr>
        <w:t>办理不动产权证及抵押权他项权证：（1）深圳市房地产转移登记申请表原件壹份；（2）营业执照复印件；（3）法定代表人身份证明书；（4）法定代表人身份证复印件；（5）法定代表人授权委托书。</w:t>
      </w:r>
    </w:p>
    <w:p>
      <w:pPr>
        <w:pStyle w:val="79"/>
        <w:spacing w:line="480" w:lineRule="exact"/>
        <w:ind w:firstLine="480"/>
        <w:rPr>
          <w:rFonts w:ascii="仿宋" w:hAnsi="仿宋" w:eastAsia="仿宋" w:cs="仿宋"/>
          <w:b/>
          <w:bCs/>
          <w:sz w:val="24"/>
          <w:szCs w:val="24"/>
        </w:rPr>
      </w:pPr>
      <w:r>
        <w:rPr>
          <w:rFonts w:hint="eastAsia" w:ascii="仿宋" w:hAnsi="仿宋" w:eastAsia="仿宋" w:cs="仿宋"/>
          <w:sz w:val="24"/>
          <w:szCs w:val="24"/>
        </w:rPr>
        <w:t xml:space="preserve">  </w:t>
      </w:r>
      <w:r>
        <w:rPr>
          <w:rFonts w:hint="eastAsia" w:ascii="仿宋" w:hAnsi="仿宋" w:eastAsia="仿宋" w:cs="仿宋"/>
          <w:b/>
          <w:bCs/>
          <w:sz w:val="24"/>
          <w:szCs w:val="24"/>
        </w:rPr>
        <w:t>第十条 商业秘密</w:t>
      </w:r>
    </w:p>
    <w:p>
      <w:pPr>
        <w:spacing w:line="480" w:lineRule="exact"/>
        <w:ind w:firstLine="561"/>
        <w:rPr>
          <w:rFonts w:ascii="仿宋" w:hAnsi="仿宋" w:eastAsia="仿宋" w:cs="仿宋"/>
          <w:sz w:val="24"/>
          <w:szCs w:val="24"/>
        </w:rPr>
      </w:pPr>
      <w:r>
        <w:rPr>
          <w:rFonts w:hint="eastAsia" w:ascii="仿宋" w:hAnsi="仿宋" w:eastAsia="仿宋" w:cs="仿宋"/>
          <w:sz w:val="24"/>
          <w:szCs w:val="24"/>
        </w:rPr>
        <w:t>协议各方对按揭合作过程中知悉的对方商业秘密负保密义务。任何一方因泄露对方商业秘密造成对方损失的，应当承担赔偿责任。</w:t>
      </w:r>
    </w:p>
    <w:p>
      <w:pPr>
        <w:spacing w:line="480" w:lineRule="exact"/>
        <w:ind w:firstLine="561"/>
        <w:rPr>
          <w:rFonts w:ascii="仿宋" w:hAnsi="仿宋" w:eastAsia="仿宋" w:cs="仿宋"/>
          <w:b/>
          <w:sz w:val="24"/>
          <w:szCs w:val="24"/>
        </w:rPr>
      </w:pPr>
      <w:r>
        <w:rPr>
          <w:rFonts w:hint="eastAsia" w:ascii="仿宋" w:hAnsi="仿宋" w:eastAsia="仿宋" w:cs="仿宋"/>
          <w:b/>
          <w:sz w:val="24"/>
          <w:szCs w:val="24"/>
        </w:rPr>
        <w:t>第十一条 通知及签收</w:t>
      </w:r>
    </w:p>
    <w:p>
      <w:pPr>
        <w:spacing w:line="480" w:lineRule="exact"/>
        <w:ind w:firstLine="561"/>
        <w:rPr>
          <w:rFonts w:ascii="仿宋" w:hAnsi="仿宋" w:eastAsia="仿宋" w:cs="仿宋"/>
          <w:sz w:val="24"/>
          <w:szCs w:val="24"/>
        </w:rPr>
      </w:pPr>
      <w:r>
        <w:rPr>
          <w:rFonts w:hint="eastAsia" w:ascii="仿宋" w:hAnsi="仿宋" w:eastAsia="仿宋" w:cs="仿宋"/>
          <w:sz w:val="24"/>
          <w:szCs w:val="24"/>
        </w:rPr>
        <w:t>本协议的通知方式包括邮寄特快专递及当面签收，甲乙双方在本协议中提供的地址为双方文件的送达地址，任一方以向对方本协议所列地址寄出EMS邮政快递即视为送达。任一方亦可以采用当面递交的方式，甲、乙双方在本协议所列的工作人员（含签署页所列的双方工作人员）均可代该方签收通知、资料等文件，双方变更本协议所列工作人员和通讯地址的，应书面通知对方，在书面通知到达之前，原工作人员的签收对该方有效。</w:t>
      </w:r>
    </w:p>
    <w:p>
      <w:pPr>
        <w:spacing w:line="480" w:lineRule="exact"/>
        <w:ind w:left="559"/>
        <w:rPr>
          <w:rFonts w:ascii="仿宋" w:hAnsi="仿宋" w:eastAsia="仿宋" w:cs="仿宋"/>
          <w:sz w:val="24"/>
          <w:szCs w:val="24"/>
        </w:rPr>
      </w:pPr>
      <w:r>
        <w:rPr>
          <w:rFonts w:hint="eastAsia" w:ascii="仿宋" w:hAnsi="仿宋" w:eastAsia="仿宋" w:cs="仿宋"/>
          <w:sz w:val="24"/>
          <w:szCs w:val="24"/>
        </w:rPr>
        <w:t xml:space="preserve">甲方工作人员：       ；乙方工作人员：       。 </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第十二条  争议解决</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因本协议及其履行发生的争议，双方应协商解决。协商不成的，依法向甲方所在地人民法院起诉。</w:t>
      </w:r>
    </w:p>
    <w:p>
      <w:pPr>
        <w:pStyle w:val="79"/>
        <w:spacing w:line="480" w:lineRule="exact"/>
        <w:ind w:firstLine="482"/>
        <w:rPr>
          <w:rFonts w:ascii="仿宋" w:hAnsi="仿宋" w:eastAsia="仿宋" w:cs="仿宋"/>
          <w:b/>
          <w:sz w:val="24"/>
          <w:szCs w:val="24"/>
        </w:rPr>
      </w:pPr>
      <w:r>
        <w:rPr>
          <w:rFonts w:hint="eastAsia" w:ascii="仿宋" w:hAnsi="仿宋" w:eastAsia="仿宋" w:cs="仿宋"/>
          <w:b/>
          <w:sz w:val="24"/>
          <w:szCs w:val="24"/>
        </w:rPr>
        <w:t>第十三条  协议效力</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1、本协议一式柒份，甲方执伍份，乙方执贰份，具有同等法律效力；</w:t>
      </w:r>
    </w:p>
    <w:p>
      <w:pPr>
        <w:spacing w:line="480" w:lineRule="exact"/>
        <w:ind w:firstLine="480" w:firstLineChars="200"/>
        <w:rPr>
          <w:rFonts w:ascii="仿宋" w:hAnsi="仿宋" w:eastAsia="仿宋" w:cs="仿宋"/>
          <w:dstrike/>
          <w:sz w:val="24"/>
          <w:szCs w:val="24"/>
        </w:rPr>
      </w:pPr>
      <w:r>
        <w:rPr>
          <w:rFonts w:hint="eastAsia" w:ascii="仿宋" w:hAnsi="仿宋" w:eastAsia="仿宋" w:cs="仿宋"/>
          <w:sz w:val="24"/>
          <w:szCs w:val="24"/>
        </w:rPr>
        <w:t>2、乙方与购房者签署的个人购房借款及担保合同、担保函、个人贷款（手工）借据等与本协议不一致的，甲乙双方的权利义务以本协议约定为准。</w:t>
      </w:r>
    </w:p>
    <w:p>
      <w:pPr>
        <w:spacing w:line="480" w:lineRule="exact"/>
        <w:ind w:firstLine="480" w:firstLineChars="200"/>
        <w:rPr>
          <w:rFonts w:ascii="仿宋" w:hAnsi="仿宋" w:eastAsia="仿宋" w:cs="仿宋"/>
          <w:color w:val="1D41D5"/>
          <w:sz w:val="24"/>
          <w:szCs w:val="24"/>
        </w:rPr>
      </w:pPr>
      <w:r>
        <w:rPr>
          <w:rFonts w:hint="eastAsia" w:ascii="仿宋" w:hAnsi="仿宋" w:eastAsia="仿宋" w:cs="仿宋"/>
          <w:sz w:val="24"/>
          <w:szCs w:val="24"/>
        </w:rPr>
        <w:t>3、本协议由甲乙双方法定代表人（或其授权代理人）签字（章）并加盖公章（合同专用章）后生效。</w:t>
      </w:r>
    </w:p>
    <w:p>
      <w:pPr>
        <w:spacing w:line="480" w:lineRule="exact"/>
        <w:rPr>
          <w:rFonts w:ascii="仿宋" w:hAnsi="仿宋" w:eastAsia="仿宋" w:cs="仿宋"/>
          <w:sz w:val="24"/>
          <w:szCs w:val="24"/>
        </w:rPr>
      </w:pPr>
    </w:p>
    <w:tbl>
      <w:tblPr>
        <w:tblStyle w:val="48"/>
        <w:tblpPr w:leftFromText="180" w:rightFromText="180" w:vertAnchor="text" w:horzAnchor="margin" w:tblpXSpec="right" w:tblpY="2026"/>
        <w:tblW w:w="8613" w:type="dxa"/>
        <w:tblInd w:w="0" w:type="dxa"/>
        <w:tblLayout w:type="fixed"/>
        <w:tblCellMar>
          <w:top w:w="0" w:type="dxa"/>
          <w:left w:w="108" w:type="dxa"/>
          <w:bottom w:w="0" w:type="dxa"/>
          <w:right w:w="108" w:type="dxa"/>
        </w:tblCellMar>
      </w:tblPr>
      <w:tblGrid>
        <w:gridCol w:w="3124"/>
        <w:gridCol w:w="1920"/>
        <w:gridCol w:w="2055"/>
        <w:gridCol w:w="1514"/>
      </w:tblGrid>
      <w:tr>
        <w:tblPrEx>
          <w:tblCellMar>
            <w:top w:w="0" w:type="dxa"/>
            <w:left w:w="108" w:type="dxa"/>
            <w:bottom w:w="0" w:type="dxa"/>
            <w:right w:w="108" w:type="dxa"/>
          </w:tblCellMar>
        </w:tblPrEx>
        <w:trPr>
          <w:trHeight w:val="618" w:hRule="exact"/>
        </w:trPr>
        <w:tc>
          <w:tcPr>
            <w:tcW w:w="3124" w:type="dxa"/>
          </w:tcPr>
          <w:p>
            <w:pPr>
              <w:spacing w:line="480" w:lineRule="exact"/>
              <w:rPr>
                <w:rFonts w:ascii="宋体" w:hAnsi="宋体"/>
                <w:szCs w:val="21"/>
              </w:rPr>
            </w:pPr>
            <w:r>
              <w:rPr>
                <w:rFonts w:hint="eastAsia" w:ascii="宋体" w:hAnsi="宋体"/>
                <w:szCs w:val="21"/>
              </w:rPr>
              <w:t>甲方(公章)：</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法定代表人或授权代表：</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997" w:hRule="exact"/>
        </w:trPr>
        <w:tc>
          <w:tcPr>
            <w:tcW w:w="3124" w:type="dxa"/>
          </w:tcPr>
          <w:p>
            <w:pPr>
              <w:spacing w:line="480" w:lineRule="exact"/>
              <w:rPr>
                <w:rFonts w:ascii="宋体" w:hAnsi="宋体"/>
                <w:szCs w:val="21"/>
              </w:rPr>
            </w:pPr>
            <w:r>
              <w:rPr>
                <w:rFonts w:hint="eastAsia" w:ascii="宋体" w:hAnsi="宋体"/>
                <w:szCs w:val="21"/>
              </w:rPr>
              <w:t>住    所：</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电</w:t>
            </w:r>
            <w:r>
              <w:rPr>
                <w:rFonts w:ascii="宋体" w:hAnsi="宋体"/>
                <w:szCs w:val="21"/>
              </w:rPr>
              <w:t xml:space="preserve">    话</w:t>
            </w:r>
            <w:r>
              <w:rPr>
                <w:rFonts w:hint="eastAsia" w:ascii="宋体" w:hAnsi="宋体"/>
                <w:szCs w:val="21"/>
              </w:rPr>
              <w:t>：</w:t>
            </w:r>
          </w:p>
          <w:p>
            <w:pPr>
              <w:spacing w:line="480" w:lineRule="exact"/>
              <w:rPr>
                <w:rFonts w:ascii="宋体" w:hAnsi="宋体"/>
                <w:szCs w:val="21"/>
              </w:rPr>
            </w:pPr>
            <w:r>
              <w:rPr>
                <w:rFonts w:hint="eastAsia" w:ascii="宋体" w:hAnsi="宋体"/>
                <w:szCs w:val="21"/>
              </w:rPr>
              <w:t>传</w:t>
            </w:r>
            <w:r>
              <w:rPr>
                <w:rFonts w:ascii="宋体" w:hAnsi="宋体"/>
                <w:szCs w:val="21"/>
              </w:rPr>
              <w:t xml:space="preserve">    真：</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614" w:hRule="exact"/>
        </w:trPr>
        <w:tc>
          <w:tcPr>
            <w:tcW w:w="3124" w:type="dxa"/>
          </w:tcPr>
          <w:p>
            <w:pPr>
              <w:spacing w:line="480" w:lineRule="exact"/>
              <w:rPr>
                <w:rFonts w:ascii="宋体" w:hAnsi="宋体"/>
                <w:szCs w:val="21"/>
              </w:rPr>
            </w:pPr>
            <w:r>
              <w:rPr>
                <w:rFonts w:hint="eastAsia" w:ascii="宋体" w:hAnsi="宋体"/>
                <w:szCs w:val="21"/>
              </w:rPr>
              <w:t>开户银行：</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开户全名：</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436" w:hRule="exact"/>
        </w:trPr>
        <w:tc>
          <w:tcPr>
            <w:tcW w:w="3124" w:type="dxa"/>
          </w:tcPr>
          <w:p>
            <w:pPr>
              <w:spacing w:line="480" w:lineRule="exact"/>
              <w:rPr>
                <w:rFonts w:ascii="宋体" w:hAnsi="宋体"/>
                <w:szCs w:val="21"/>
              </w:rPr>
            </w:pPr>
            <w:r>
              <w:rPr>
                <w:rFonts w:hint="eastAsia" w:ascii="宋体" w:hAnsi="宋体"/>
                <w:szCs w:val="21"/>
              </w:rPr>
              <w:t xml:space="preserve">账号：         </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邮政编码：</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552" w:hRule="exact"/>
        </w:trPr>
        <w:tc>
          <w:tcPr>
            <w:tcW w:w="3124" w:type="dxa"/>
          </w:tcPr>
          <w:p>
            <w:pPr>
              <w:spacing w:line="480" w:lineRule="exact"/>
              <w:rPr>
                <w:rFonts w:ascii="宋体" w:hAnsi="宋体"/>
                <w:szCs w:val="21"/>
              </w:rPr>
            </w:pPr>
            <w:r>
              <w:rPr>
                <w:rFonts w:hint="eastAsia" w:ascii="宋体" w:hAnsi="宋体"/>
                <w:szCs w:val="21"/>
              </w:rPr>
              <w:t>项目主管部门经办人及电话：</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项目主管部门审核人：</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560" w:hRule="exact"/>
        </w:trPr>
        <w:tc>
          <w:tcPr>
            <w:tcW w:w="3124" w:type="dxa"/>
          </w:tcPr>
          <w:p>
            <w:pPr>
              <w:spacing w:line="480" w:lineRule="exact"/>
              <w:rPr>
                <w:rFonts w:ascii="宋体" w:hAnsi="宋体"/>
                <w:szCs w:val="21"/>
              </w:rPr>
            </w:pPr>
            <w:r>
              <w:rPr>
                <w:rFonts w:hint="eastAsia" w:ascii="宋体" w:hAnsi="宋体"/>
                <w:szCs w:val="21"/>
              </w:rPr>
              <w:t>合约部门经办人及电话:</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合约部门审核人：</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970" w:hRule="exact"/>
        </w:trPr>
        <w:tc>
          <w:tcPr>
            <w:tcW w:w="3124" w:type="dxa"/>
          </w:tcPr>
          <w:p>
            <w:pPr>
              <w:spacing w:line="480" w:lineRule="exact"/>
              <w:rPr>
                <w:rFonts w:ascii="宋体" w:hAnsi="宋体"/>
                <w:szCs w:val="21"/>
              </w:rPr>
            </w:pPr>
            <w:r>
              <w:rPr>
                <w:rFonts w:hint="eastAsia" w:ascii="宋体" w:hAnsi="宋体"/>
                <w:szCs w:val="21"/>
              </w:rPr>
              <w:t>乙方(公章)：</w:t>
            </w:r>
          </w:p>
        </w:tc>
        <w:tc>
          <w:tcPr>
            <w:tcW w:w="1920" w:type="dxa"/>
          </w:tcPr>
          <w:p>
            <w:pPr>
              <w:spacing w:line="480" w:lineRule="exact"/>
              <w:rPr>
                <w:rFonts w:ascii="宋体" w:hAnsi="宋体"/>
                <w:szCs w:val="21"/>
              </w:rPr>
            </w:pPr>
          </w:p>
        </w:tc>
        <w:tc>
          <w:tcPr>
            <w:tcW w:w="2055" w:type="dxa"/>
          </w:tcPr>
          <w:p>
            <w:pPr>
              <w:spacing w:line="480" w:lineRule="exact"/>
              <w:rPr>
                <w:rFonts w:ascii="宋体" w:hAnsi="宋体"/>
              </w:rPr>
            </w:pPr>
            <w:r>
              <w:rPr>
                <w:rFonts w:hint="eastAsia" w:ascii="宋体" w:hAnsi="宋体"/>
              </w:rPr>
              <w:t>法定代表人（负责人）或授权代表：</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1056" w:hRule="exact"/>
        </w:trPr>
        <w:tc>
          <w:tcPr>
            <w:tcW w:w="3124" w:type="dxa"/>
          </w:tcPr>
          <w:p>
            <w:pPr>
              <w:spacing w:line="480" w:lineRule="exact"/>
              <w:rPr>
                <w:rFonts w:ascii="宋体" w:hAnsi="宋体"/>
                <w:szCs w:val="21"/>
              </w:rPr>
            </w:pPr>
            <w:r>
              <w:rPr>
                <w:rFonts w:hint="eastAsia" w:ascii="宋体" w:hAnsi="宋体"/>
                <w:szCs w:val="21"/>
              </w:rPr>
              <w:t>住    所：</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电</w:t>
            </w:r>
            <w:r>
              <w:rPr>
                <w:rFonts w:ascii="宋体" w:hAnsi="宋体"/>
                <w:szCs w:val="21"/>
              </w:rPr>
              <w:t xml:space="preserve">    话：</w:t>
            </w:r>
          </w:p>
          <w:p>
            <w:pPr>
              <w:spacing w:line="480" w:lineRule="exact"/>
              <w:rPr>
                <w:rFonts w:ascii="宋体" w:hAnsi="宋体"/>
              </w:rPr>
            </w:pPr>
            <w:r>
              <w:rPr>
                <w:rFonts w:hint="eastAsia" w:ascii="宋体" w:hAnsi="宋体"/>
                <w:szCs w:val="21"/>
              </w:rPr>
              <w:t>传</w:t>
            </w:r>
            <w:r>
              <w:rPr>
                <w:rFonts w:ascii="宋体" w:hAnsi="宋体"/>
                <w:szCs w:val="21"/>
              </w:rPr>
              <w:t xml:space="preserve">    真：</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437" w:hRule="exact"/>
        </w:trPr>
        <w:tc>
          <w:tcPr>
            <w:tcW w:w="3124" w:type="dxa"/>
          </w:tcPr>
          <w:p>
            <w:pPr>
              <w:spacing w:line="480" w:lineRule="exact"/>
              <w:rPr>
                <w:rFonts w:ascii="宋体" w:hAnsi="宋体"/>
                <w:szCs w:val="21"/>
              </w:rPr>
            </w:pPr>
            <w:r>
              <w:rPr>
                <w:rFonts w:hint="eastAsia" w:ascii="宋体" w:hAnsi="宋体"/>
                <w:szCs w:val="21"/>
              </w:rPr>
              <w:t>开户银行：</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开户全名：</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437" w:hRule="exact"/>
        </w:trPr>
        <w:tc>
          <w:tcPr>
            <w:tcW w:w="3124" w:type="dxa"/>
          </w:tcPr>
          <w:p>
            <w:pPr>
              <w:spacing w:line="480" w:lineRule="exact"/>
              <w:rPr>
                <w:rFonts w:ascii="宋体" w:hAnsi="宋体"/>
                <w:szCs w:val="21"/>
              </w:rPr>
            </w:pPr>
            <w:r>
              <w:rPr>
                <w:rFonts w:hint="eastAsia" w:ascii="宋体" w:hAnsi="宋体"/>
                <w:szCs w:val="21"/>
              </w:rPr>
              <w:t>账号：</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邮政编码：</w:t>
            </w: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606" w:hRule="exact"/>
        </w:trPr>
        <w:tc>
          <w:tcPr>
            <w:tcW w:w="3124" w:type="dxa"/>
          </w:tcPr>
          <w:p>
            <w:pPr>
              <w:spacing w:line="480" w:lineRule="exact"/>
              <w:rPr>
                <w:rFonts w:ascii="宋体" w:hAnsi="宋体"/>
                <w:szCs w:val="21"/>
              </w:rPr>
            </w:pPr>
            <w:r>
              <w:rPr>
                <w:rFonts w:hint="eastAsia" w:ascii="宋体" w:hAnsi="宋体"/>
                <w:szCs w:val="21"/>
              </w:rPr>
              <w:t>乙方经办人：</w:t>
            </w:r>
          </w:p>
        </w:tc>
        <w:tc>
          <w:tcPr>
            <w:tcW w:w="1920" w:type="dxa"/>
          </w:tcPr>
          <w:p>
            <w:pPr>
              <w:spacing w:line="480" w:lineRule="exact"/>
              <w:rPr>
                <w:rFonts w:ascii="宋体" w:hAnsi="宋体"/>
                <w:szCs w:val="21"/>
              </w:rPr>
            </w:pPr>
          </w:p>
        </w:tc>
        <w:tc>
          <w:tcPr>
            <w:tcW w:w="2055" w:type="dxa"/>
          </w:tcPr>
          <w:p>
            <w:pPr>
              <w:spacing w:line="480" w:lineRule="exact"/>
              <w:rPr>
                <w:rFonts w:ascii="宋体" w:hAnsi="宋体"/>
                <w:szCs w:val="21"/>
              </w:rPr>
            </w:pPr>
            <w:r>
              <w:rPr>
                <w:rFonts w:hint="eastAsia" w:ascii="宋体" w:hAnsi="宋体"/>
                <w:szCs w:val="21"/>
              </w:rPr>
              <w:t>乙方经办人电话：</w:t>
            </w:r>
          </w:p>
        </w:tc>
        <w:tc>
          <w:tcPr>
            <w:tcW w:w="1514" w:type="dxa"/>
          </w:tcPr>
          <w:p>
            <w:pPr>
              <w:spacing w:line="480" w:lineRule="exact"/>
              <w:rPr>
                <w:rFonts w:ascii="宋体" w:hAnsi="宋体"/>
                <w:szCs w:val="21"/>
              </w:rPr>
            </w:pPr>
            <w:r>
              <w:rPr>
                <w:rFonts w:hint="eastAsia" w:ascii="宋体" w:hAnsi="宋体"/>
                <w:szCs w:val="21"/>
              </w:rPr>
              <w:t xml:space="preserve">  </w:t>
            </w:r>
          </w:p>
          <w:p>
            <w:pPr>
              <w:spacing w:line="480" w:lineRule="exact"/>
              <w:rPr>
                <w:rFonts w:ascii="宋体" w:hAnsi="宋体"/>
                <w:szCs w:val="21"/>
              </w:rPr>
            </w:pPr>
          </w:p>
        </w:tc>
      </w:tr>
      <w:tr>
        <w:tblPrEx>
          <w:tblCellMar>
            <w:top w:w="0" w:type="dxa"/>
            <w:left w:w="108" w:type="dxa"/>
            <w:bottom w:w="0" w:type="dxa"/>
            <w:right w:w="108" w:type="dxa"/>
          </w:tblCellMar>
        </w:tblPrEx>
        <w:trPr>
          <w:trHeight w:val="598" w:hRule="exact"/>
        </w:trPr>
        <w:tc>
          <w:tcPr>
            <w:tcW w:w="3124" w:type="dxa"/>
          </w:tcPr>
          <w:p>
            <w:pPr>
              <w:spacing w:line="480" w:lineRule="exact"/>
              <w:rPr>
                <w:rFonts w:ascii="宋体" w:hAnsi="宋体"/>
                <w:szCs w:val="21"/>
              </w:rPr>
            </w:pPr>
            <w:r>
              <w:rPr>
                <w:rFonts w:hint="eastAsia" w:ascii="宋体" w:hAnsi="宋体"/>
                <w:szCs w:val="21"/>
              </w:rPr>
              <w:t>合同签署地点：</w:t>
            </w:r>
          </w:p>
        </w:tc>
        <w:tc>
          <w:tcPr>
            <w:tcW w:w="1920" w:type="dxa"/>
          </w:tcPr>
          <w:p>
            <w:pPr>
              <w:spacing w:line="480" w:lineRule="exact"/>
              <w:rPr>
                <w:rFonts w:ascii="宋体" w:hAnsi="宋体"/>
                <w:szCs w:val="21"/>
              </w:rPr>
            </w:pPr>
            <w:r>
              <w:rPr>
                <w:rFonts w:hint="eastAsia" w:ascii="宋体" w:hAnsi="宋体"/>
                <w:szCs w:val="21"/>
              </w:rPr>
              <w:t>深圳市</w:t>
            </w:r>
          </w:p>
        </w:tc>
        <w:tc>
          <w:tcPr>
            <w:tcW w:w="2055" w:type="dxa"/>
          </w:tcPr>
          <w:p>
            <w:pPr>
              <w:spacing w:line="480" w:lineRule="exact"/>
              <w:rPr>
                <w:rFonts w:ascii="宋体" w:hAnsi="宋体"/>
                <w:szCs w:val="21"/>
              </w:rPr>
            </w:pPr>
          </w:p>
        </w:tc>
        <w:tc>
          <w:tcPr>
            <w:tcW w:w="1514" w:type="dxa"/>
          </w:tcPr>
          <w:p>
            <w:pPr>
              <w:spacing w:line="480" w:lineRule="exact"/>
              <w:rPr>
                <w:rFonts w:ascii="宋体" w:hAnsi="宋体"/>
                <w:szCs w:val="21"/>
              </w:rPr>
            </w:pPr>
          </w:p>
        </w:tc>
      </w:tr>
      <w:tr>
        <w:tblPrEx>
          <w:tblCellMar>
            <w:top w:w="0" w:type="dxa"/>
            <w:left w:w="108" w:type="dxa"/>
            <w:bottom w:w="0" w:type="dxa"/>
            <w:right w:w="108" w:type="dxa"/>
          </w:tblCellMar>
        </w:tblPrEx>
        <w:trPr>
          <w:trHeight w:val="452" w:hRule="exact"/>
        </w:trPr>
        <w:tc>
          <w:tcPr>
            <w:tcW w:w="3124" w:type="dxa"/>
          </w:tcPr>
          <w:p>
            <w:pPr>
              <w:spacing w:line="480" w:lineRule="exact"/>
              <w:rPr>
                <w:rFonts w:ascii="宋体" w:hAnsi="宋体"/>
                <w:szCs w:val="21"/>
              </w:rPr>
            </w:pPr>
            <w:r>
              <w:rPr>
                <w:rFonts w:hint="eastAsia" w:ascii="宋体" w:hAnsi="宋体"/>
                <w:szCs w:val="21"/>
              </w:rPr>
              <w:t>时间：</w:t>
            </w:r>
          </w:p>
        </w:tc>
        <w:tc>
          <w:tcPr>
            <w:tcW w:w="3975" w:type="dxa"/>
            <w:gridSpan w:val="2"/>
          </w:tcPr>
          <w:p>
            <w:pPr>
              <w:spacing w:line="480" w:lineRule="exact"/>
              <w:rPr>
                <w:rFonts w:ascii="宋体" w:hAnsi="宋体"/>
                <w:szCs w:val="21"/>
              </w:rPr>
            </w:pP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 xml:space="preserve"> 日</w:t>
            </w:r>
          </w:p>
        </w:tc>
        <w:tc>
          <w:tcPr>
            <w:tcW w:w="1514" w:type="dxa"/>
          </w:tcPr>
          <w:p>
            <w:pPr>
              <w:spacing w:line="480" w:lineRule="exact"/>
              <w:rPr>
                <w:rFonts w:ascii="宋体" w:hAnsi="宋体"/>
                <w:szCs w:val="21"/>
              </w:rPr>
            </w:pPr>
          </w:p>
        </w:tc>
      </w:tr>
    </w:tbl>
    <w:p>
      <w:pPr>
        <w:widowControl/>
        <w:spacing w:line="480" w:lineRule="atLeast"/>
        <w:jc w:val="left"/>
        <w:rPr>
          <w:rFonts w:ascii="仿宋" w:hAnsi="仿宋" w:eastAsia="仿宋" w:cs="仿宋"/>
          <w:b/>
          <w:sz w:val="24"/>
          <w:szCs w:val="24"/>
        </w:rPr>
      </w:pPr>
    </w:p>
    <w:p>
      <w:pPr>
        <w:pStyle w:val="5"/>
        <w:spacing w:line="360" w:lineRule="auto"/>
        <w:rPr>
          <w:rFonts w:ascii="宋体" w:hAnsi="宋体"/>
          <w:b w:val="0"/>
          <w:sz w:val="44"/>
          <w:szCs w:val="44"/>
        </w:rPr>
      </w:pPr>
    </w:p>
    <w:p>
      <w:pPr>
        <w:pStyle w:val="5"/>
        <w:spacing w:line="360" w:lineRule="auto"/>
        <w:rPr>
          <w:rFonts w:ascii="宋体" w:hAnsi="宋体"/>
          <w:b w:val="0"/>
          <w:sz w:val="44"/>
          <w:szCs w:val="44"/>
        </w:rPr>
      </w:pPr>
      <w:bookmarkStart w:id="1087" w:name="_Toc9104"/>
      <w:bookmarkStart w:id="1088" w:name="_Toc4356"/>
      <w:bookmarkStart w:id="1089" w:name="_Toc30868"/>
      <w:bookmarkStart w:id="1090" w:name="_Toc17119"/>
      <w:bookmarkStart w:id="1091" w:name="_Toc29500"/>
      <w:bookmarkStart w:id="1092" w:name="_Toc8008"/>
      <w:bookmarkStart w:id="1093" w:name="_Toc11308"/>
      <w:bookmarkStart w:id="1094" w:name="_Toc13780"/>
      <w:bookmarkStart w:id="1095" w:name="_Toc25875"/>
      <w:bookmarkStart w:id="1096" w:name="_Toc134"/>
      <w:bookmarkStart w:id="1097" w:name="_Toc5036"/>
      <w:bookmarkStart w:id="1098" w:name="_Toc4573"/>
      <w:bookmarkStart w:id="1099" w:name="_Toc8191"/>
      <w:bookmarkStart w:id="1100" w:name="_Toc30554"/>
      <w:bookmarkStart w:id="1101" w:name="_Toc18161"/>
      <w:bookmarkStart w:id="1102" w:name="_Toc30200"/>
      <w:bookmarkStart w:id="1103" w:name="_Toc26701"/>
      <w:bookmarkStart w:id="1104" w:name="_Toc273"/>
      <w:bookmarkStart w:id="1105" w:name="_Toc3569"/>
      <w:bookmarkStart w:id="1106" w:name="_Toc10247"/>
      <w:bookmarkStart w:id="1107" w:name="_Toc32757"/>
      <w:bookmarkStart w:id="1108" w:name="_Toc32093"/>
      <w:bookmarkStart w:id="1109" w:name="_Toc10906"/>
      <w:bookmarkStart w:id="1110" w:name="_Toc6554"/>
      <w:bookmarkStart w:id="1111" w:name="_Toc2805"/>
      <w:bookmarkStart w:id="1112" w:name="_Toc1651"/>
      <w:bookmarkStart w:id="1113" w:name="_Toc21654"/>
      <w:bookmarkStart w:id="1114" w:name="_Toc30586"/>
      <w:bookmarkStart w:id="1115" w:name="_Toc31543"/>
      <w:bookmarkStart w:id="1116" w:name="_Toc15275"/>
      <w:bookmarkStart w:id="1117" w:name="_Toc17782"/>
      <w:bookmarkStart w:id="1118" w:name="_Toc31606"/>
      <w:bookmarkStart w:id="1119" w:name="_Toc15985"/>
      <w:r>
        <w:rPr>
          <w:rFonts w:ascii="宋体" w:hAnsi="宋体"/>
          <w:b w:val="0"/>
          <w:sz w:val="44"/>
          <w:szCs w:val="44"/>
        </w:rPr>
        <w:t>第</w:t>
      </w:r>
      <w:r>
        <w:rPr>
          <w:rFonts w:hint="eastAsia" w:ascii="宋体" w:hAnsi="宋体"/>
          <w:b w:val="0"/>
          <w:sz w:val="44"/>
          <w:szCs w:val="44"/>
        </w:rPr>
        <w:t>二篇 投标文件格式</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]”及其中间的内容，均应由投标人在编制投标时根据情况以适当的内容代替。每一对“{ }”及其中间的内容，投标人在编制投标文件时应予以删除。在留有的空白或下划线上或…均应由投标人填入适当内容。</w:t>
      </w:r>
    </w:p>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Pr>
        <w:spacing w:line="480" w:lineRule="atLeast"/>
        <w:jc w:val="center"/>
        <w:rPr>
          <w:rFonts w:ascii="宋体" w:hAnsi="宋体"/>
        </w:rPr>
      </w:pPr>
    </w:p>
    <w:p>
      <w:pPr>
        <w:spacing w:line="480" w:lineRule="atLeast"/>
        <w:jc w:val="center"/>
        <w:rPr>
          <w:rFonts w:ascii="宋体" w:hAnsi="宋体"/>
        </w:rPr>
      </w:pPr>
    </w:p>
    <w:p>
      <w:pPr>
        <w:pStyle w:val="25"/>
        <w:spacing w:line="480" w:lineRule="atLeast"/>
        <w:rPr>
          <w:rFonts w:hAnsi="宋体"/>
          <w:b/>
          <w:bCs/>
        </w:rPr>
      </w:pPr>
      <w:r>
        <w:rPr>
          <w:rFonts w:hAnsi="宋体"/>
        </w:rPr>
        <w:br w:type="page"/>
      </w:r>
      <w:bookmarkStart w:id="1120" w:name="_Toc177808833"/>
      <w:bookmarkStart w:id="1121" w:name="_Toc192915919"/>
      <w:bookmarkStart w:id="1122" w:name="_Toc197404917"/>
      <w:bookmarkStart w:id="1123" w:name="_Toc36527898"/>
      <w:bookmarkStart w:id="1124" w:name="_Toc193816533"/>
    </w:p>
    <w:bookmarkEnd w:id="1120"/>
    <w:bookmarkEnd w:id="1121"/>
    <w:bookmarkEnd w:id="1122"/>
    <w:bookmarkEnd w:id="1123"/>
    <w:bookmarkEnd w:id="1124"/>
    <w:p>
      <w:pPr>
        <w:spacing w:line="360" w:lineRule="auto"/>
        <w:jc w:val="center"/>
        <w:rPr>
          <w:rFonts w:ascii="宋体" w:hAnsi="宋体"/>
          <w:spacing w:val="36"/>
          <w:sz w:val="44"/>
          <w:szCs w:val="44"/>
        </w:rPr>
      </w:pPr>
      <w:r>
        <w:rPr>
          <w:rFonts w:hint="eastAsia" w:ascii="宋体" w:hAnsi="宋体"/>
          <w:b/>
          <w:kern w:val="44"/>
          <w:sz w:val="44"/>
          <w:szCs w:val="44"/>
        </w:rPr>
        <w:t>第一章</w:t>
      </w:r>
    </w:p>
    <w:p>
      <w:pPr>
        <w:spacing w:line="360" w:lineRule="auto"/>
        <w:jc w:val="center"/>
        <w:rPr>
          <w:rFonts w:ascii="宋体" w:hAnsi="宋体"/>
          <w:spacing w:val="36"/>
          <w:sz w:val="44"/>
          <w:szCs w:val="44"/>
        </w:rPr>
      </w:pPr>
    </w:p>
    <w:p>
      <w:pPr>
        <w:spacing w:line="360" w:lineRule="auto"/>
        <w:jc w:val="center"/>
        <w:rPr>
          <w:rFonts w:ascii="宋体" w:hAnsi="宋体"/>
          <w:b/>
          <w:kern w:val="44"/>
          <w:sz w:val="44"/>
          <w:szCs w:val="44"/>
        </w:rPr>
      </w:pPr>
      <w:r>
        <w:rPr>
          <w:rFonts w:hint="eastAsia" w:ascii="宋体" w:hAnsi="宋体"/>
          <w:b/>
          <w:kern w:val="44"/>
          <w:sz w:val="44"/>
          <w:szCs w:val="44"/>
          <w:lang w:eastAsia="zh-CN"/>
        </w:rPr>
        <w:t>赤湾停车场物业开发项目</w:t>
      </w:r>
      <w:r>
        <w:rPr>
          <w:rFonts w:hint="eastAsia" w:ascii="宋体" w:hAnsi="宋体"/>
          <w:b/>
          <w:kern w:val="44"/>
          <w:sz w:val="44"/>
          <w:szCs w:val="44"/>
        </w:rPr>
        <w:t>按揭合作银行</w:t>
      </w:r>
    </w:p>
    <w:p>
      <w:pPr>
        <w:pStyle w:val="25"/>
        <w:spacing w:before="240" w:beforeLines="100" w:after="120" w:afterLines="50" w:line="480" w:lineRule="atLeast"/>
        <w:jc w:val="center"/>
        <w:rPr>
          <w:rFonts w:hAnsi="宋体"/>
          <w:b/>
          <w:bCs/>
          <w:spacing w:val="-20"/>
          <w:sz w:val="52"/>
          <w:szCs w:val="52"/>
        </w:rPr>
      </w:pPr>
    </w:p>
    <w:p>
      <w:pPr>
        <w:pStyle w:val="25"/>
        <w:tabs>
          <w:tab w:val="left" w:pos="285"/>
          <w:tab w:val="center" w:pos="4513"/>
        </w:tabs>
        <w:spacing w:before="1440" w:beforeLines="600" w:line="480" w:lineRule="atLeast"/>
        <w:jc w:val="left"/>
        <w:rPr>
          <w:rFonts w:hAnsi="宋体"/>
          <w:bCs/>
          <w:kern w:val="10"/>
          <w:sz w:val="84"/>
          <w:szCs w:val="84"/>
        </w:rPr>
      </w:pPr>
      <w:r>
        <w:rPr>
          <w:rFonts w:hAnsi="宋体"/>
          <w:bCs/>
          <w:spacing w:val="36"/>
          <w:kern w:val="10"/>
          <w:sz w:val="84"/>
          <w:szCs w:val="84"/>
        </w:rPr>
        <w:tab/>
      </w:r>
      <w:r>
        <w:rPr>
          <w:rFonts w:hAnsi="宋体"/>
          <w:bCs/>
          <w:spacing w:val="36"/>
          <w:kern w:val="10"/>
          <w:sz w:val="84"/>
          <w:szCs w:val="84"/>
        </w:rPr>
        <w:tab/>
      </w:r>
      <w:r>
        <w:rPr>
          <w:rFonts w:hint="eastAsia" w:hAnsi="宋体"/>
          <w:bCs/>
          <w:spacing w:val="36"/>
          <w:kern w:val="10"/>
          <w:sz w:val="84"/>
          <w:szCs w:val="84"/>
        </w:rPr>
        <w:t>投标文件</w:t>
      </w:r>
    </w:p>
    <w:p>
      <w:pPr>
        <w:pStyle w:val="25"/>
        <w:jc w:val="center"/>
        <w:rPr>
          <w:rFonts w:hAnsi="宋体"/>
          <w:b/>
          <w:sz w:val="44"/>
          <w:szCs w:val="44"/>
        </w:rPr>
      </w:pPr>
      <w:r>
        <w:rPr>
          <w:rFonts w:hint="eastAsia" w:hAnsi="宋体"/>
          <w:b/>
          <w:sz w:val="44"/>
          <w:szCs w:val="44"/>
        </w:rPr>
        <w:t>资格</w:t>
      </w:r>
      <w:r>
        <w:rPr>
          <w:rFonts w:hAnsi="宋体"/>
          <w:b/>
          <w:sz w:val="44"/>
          <w:szCs w:val="44"/>
        </w:rPr>
        <w:t>审查文件</w:t>
      </w:r>
    </w:p>
    <w:p>
      <w:pPr>
        <w:pStyle w:val="25"/>
        <w:spacing w:line="480" w:lineRule="atLeast"/>
        <w:jc w:val="center"/>
        <w:rPr>
          <w:rFonts w:hAnsi="宋体"/>
          <w:bCs/>
          <w:sz w:val="17"/>
          <w:szCs w:val="17"/>
        </w:rPr>
      </w:pPr>
    </w:p>
    <w:p>
      <w:pPr>
        <w:pStyle w:val="25"/>
        <w:spacing w:line="480" w:lineRule="atLeast"/>
        <w:jc w:val="center"/>
        <w:rPr>
          <w:rFonts w:hAnsi="宋体"/>
          <w:sz w:val="23"/>
          <w:szCs w:val="23"/>
        </w:rPr>
      </w:pPr>
    </w:p>
    <w:p>
      <w:pPr>
        <w:pStyle w:val="25"/>
        <w:spacing w:line="480" w:lineRule="atLeast"/>
        <w:jc w:val="center"/>
        <w:rPr>
          <w:rFonts w:hAnsi="宋体"/>
          <w:sz w:val="35"/>
          <w:szCs w:val="35"/>
        </w:rPr>
      </w:pPr>
    </w:p>
    <w:p>
      <w:pPr>
        <w:pStyle w:val="25"/>
        <w:spacing w:line="480" w:lineRule="atLeast"/>
        <w:jc w:val="center"/>
        <w:rPr>
          <w:rFonts w:hAnsi="宋体"/>
          <w:sz w:val="23"/>
          <w:szCs w:val="23"/>
        </w:rPr>
      </w:pPr>
    </w:p>
    <w:p>
      <w:pPr>
        <w:pStyle w:val="25"/>
        <w:spacing w:line="480" w:lineRule="atLeast"/>
        <w:jc w:val="center"/>
        <w:rPr>
          <w:rFonts w:hAnsi="宋体"/>
          <w:b/>
          <w:sz w:val="32"/>
          <w:szCs w:val="32"/>
        </w:rPr>
      </w:pPr>
    </w:p>
    <w:p>
      <w:pPr>
        <w:pStyle w:val="25"/>
        <w:spacing w:line="480" w:lineRule="atLeast"/>
        <w:rPr>
          <w:rFonts w:hAnsi="宋体"/>
          <w:b/>
          <w:sz w:val="32"/>
          <w:szCs w:val="32"/>
        </w:rPr>
      </w:pPr>
    </w:p>
    <w:p>
      <w:pPr>
        <w:pStyle w:val="25"/>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投标人(盖章)：</w:t>
      </w:r>
      <w:r>
        <w:rPr>
          <w:rFonts w:hint="eastAsia" w:hAnsi="宋体"/>
          <w:b/>
          <w:bCs/>
          <w:sz w:val="28"/>
          <w:szCs w:val="28"/>
          <w:u w:val="single"/>
        </w:rPr>
        <w:t xml:space="preserve">          [投标人名称]                 </w:t>
      </w:r>
    </w:p>
    <w:p>
      <w:pPr>
        <w:pStyle w:val="25"/>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480" w:lineRule="atLeast"/>
        <w:jc w:val="center"/>
        <w:rPr>
          <w:rFonts w:ascii="宋体" w:hAnsi="宋体"/>
          <w:b/>
          <w:bCs/>
          <w:sz w:val="28"/>
          <w:szCs w:val="28"/>
        </w:rPr>
      </w:pPr>
      <w:r>
        <w:rPr>
          <w:rFonts w:hint="eastAsia" w:ascii="宋体" w:hAnsi="宋体"/>
          <w:b/>
          <w:bCs/>
          <w:sz w:val="28"/>
          <w:szCs w:val="28"/>
        </w:rPr>
        <w:t>日   期：     年    月     日</w:t>
      </w:r>
    </w:p>
    <w:p>
      <w:pPr>
        <w:pStyle w:val="6"/>
        <w:spacing w:line="360" w:lineRule="auto"/>
        <w:rPr>
          <w:rFonts w:hint="eastAsia"/>
        </w:rPr>
      </w:pPr>
      <w:bookmarkStart w:id="1125" w:name="_Toc2866"/>
      <w:bookmarkStart w:id="1126" w:name="_Toc10983"/>
      <w:bookmarkStart w:id="1127" w:name="_Toc9346"/>
      <w:bookmarkStart w:id="1128" w:name="_Toc16571"/>
      <w:bookmarkStart w:id="1129" w:name="_Toc29151"/>
      <w:bookmarkStart w:id="1130" w:name="_Toc17091"/>
      <w:bookmarkStart w:id="1131" w:name="_Toc1482"/>
      <w:bookmarkStart w:id="1132" w:name="_Toc1309"/>
      <w:bookmarkStart w:id="1133" w:name="_Toc4639"/>
      <w:bookmarkStart w:id="1134" w:name="_Toc29336"/>
      <w:bookmarkStart w:id="1135" w:name="_Toc31161"/>
      <w:bookmarkStart w:id="1136" w:name="_Toc22432"/>
      <w:bookmarkStart w:id="1137" w:name="_Toc3843"/>
      <w:bookmarkStart w:id="1138" w:name="_Toc15445"/>
      <w:bookmarkStart w:id="1139" w:name="_Toc11058"/>
      <w:bookmarkStart w:id="1140" w:name="_Toc2548"/>
      <w:bookmarkStart w:id="1141" w:name="_Toc232"/>
      <w:bookmarkStart w:id="1142" w:name="_Toc1998"/>
      <w:bookmarkStart w:id="1143" w:name="_Toc29661"/>
      <w:bookmarkStart w:id="1144" w:name="_Toc29953"/>
      <w:bookmarkStart w:id="1145" w:name="_Toc11625"/>
      <w:bookmarkStart w:id="1146" w:name="_Toc22286"/>
      <w:bookmarkStart w:id="1147" w:name="_Toc15707"/>
      <w:bookmarkStart w:id="1148" w:name="_Toc57731986"/>
      <w:bookmarkStart w:id="1149" w:name="_Toc402782195"/>
      <w:bookmarkStart w:id="1150" w:name="_Toc14721"/>
      <w:bookmarkStart w:id="1151" w:name="_Toc25743"/>
      <w:bookmarkStart w:id="1152" w:name="_Toc27081"/>
      <w:bookmarkStart w:id="1153" w:name="_Toc25497"/>
      <w:bookmarkStart w:id="1154" w:name="_Toc17766"/>
      <w:bookmarkStart w:id="1155" w:name="_Toc6380"/>
      <w:bookmarkStart w:id="1156" w:name="_Toc15773"/>
    </w:p>
    <w:p>
      <w:pPr>
        <w:pStyle w:val="6"/>
        <w:spacing w:line="360" w:lineRule="auto"/>
      </w:pPr>
      <w:bookmarkStart w:id="1157" w:name="_Toc7878"/>
      <w:bookmarkStart w:id="1158" w:name="_Toc26874"/>
      <w:bookmarkStart w:id="1159" w:name="_Toc32014"/>
      <w:r>
        <w:rPr>
          <w:rFonts w:hint="eastAsia"/>
        </w:rPr>
        <w:t>资格审查文件目录</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一、法定代表人证明书（原件）</w:t>
      </w:r>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二、法定代表人身份证复印件（加盖公章）</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三、法人授权委托证明书（原件）</w:t>
      </w:r>
    </w:p>
    <w:p>
      <w:pPr>
        <w:pStyle w:val="203"/>
        <w:widowControl/>
        <w:numPr>
          <w:ilvl w:val="0"/>
          <w:numId w:val="2"/>
        </w:numPr>
        <w:overflowPunct w:val="0"/>
        <w:autoSpaceDE w:val="0"/>
        <w:autoSpaceDN w:val="0"/>
        <w:adjustRightInd w:val="0"/>
        <w:spacing w:line="360" w:lineRule="auto"/>
        <w:ind w:firstLine="480" w:firstLineChars="0"/>
        <w:jc w:val="left"/>
        <w:textAlignment w:val="baseline"/>
        <w:rPr>
          <w:rFonts w:ascii="宋体" w:hAnsi="宋体"/>
          <w:sz w:val="24"/>
          <w:szCs w:val="24"/>
        </w:rPr>
      </w:pPr>
      <w:r>
        <w:rPr>
          <w:rFonts w:hint="eastAsia" w:ascii="宋体" w:hAnsi="宋体"/>
          <w:sz w:val="24"/>
          <w:szCs w:val="24"/>
        </w:rPr>
        <w:t>委托代理人身份证复印件（加盖公章）</w:t>
      </w:r>
    </w:p>
    <w:p>
      <w:pPr>
        <w:pStyle w:val="203"/>
        <w:widowControl/>
        <w:numPr>
          <w:ilvl w:val="255"/>
          <w:numId w:val="0"/>
        </w:numPr>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五、经年审的营业执照复印件（加盖公章）</w:t>
      </w:r>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六、金融许可证复印件</w:t>
      </w:r>
      <w:r>
        <w:rPr>
          <w:rFonts w:ascii="宋体" w:hAnsi="宋体"/>
          <w:sz w:val="24"/>
          <w:szCs w:val="24"/>
        </w:rPr>
        <w:t>（</w:t>
      </w:r>
      <w:r>
        <w:rPr>
          <w:rFonts w:hint="eastAsia" w:ascii="宋体" w:hAnsi="宋体"/>
          <w:sz w:val="24"/>
          <w:szCs w:val="24"/>
        </w:rPr>
        <w:t>加盖公章）</w:t>
      </w:r>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七、若投标人为由深圳分行授权的下属支行，需提供深圳分行的授权书。</w:t>
      </w:r>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八、投标人承诺放款时间不超过60（含）日、办理预抵押时间不超过60（含）日承诺书（加盖</w:t>
      </w:r>
      <w:r>
        <w:rPr>
          <w:rFonts w:ascii="宋体" w:hAnsi="宋体"/>
          <w:sz w:val="24"/>
          <w:szCs w:val="24"/>
        </w:rPr>
        <w:t>公章）</w:t>
      </w:r>
      <w:r>
        <w:rPr>
          <w:rFonts w:hint="eastAsia" w:ascii="宋体" w:hAnsi="宋体"/>
          <w:sz w:val="24"/>
          <w:szCs w:val="24"/>
        </w:rPr>
        <w:t>。.</w:t>
      </w:r>
    </w:p>
    <w:p>
      <w:pPr>
        <w:pStyle w:val="203"/>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九、招标公告要求的项目业绩</w:t>
      </w:r>
      <w:r>
        <w:rPr>
          <w:rFonts w:hint="eastAsia" w:ascii="宋体" w:hAnsi="宋体"/>
          <w:sz w:val="24"/>
          <w:szCs w:val="24"/>
          <w:lang w:val="en-US" w:eastAsia="zh-CN"/>
        </w:rPr>
        <w:t>证明材料</w:t>
      </w:r>
      <w:r>
        <w:rPr>
          <w:rFonts w:hint="eastAsia" w:ascii="宋体" w:hAnsi="宋体"/>
          <w:sz w:val="24"/>
          <w:szCs w:val="24"/>
        </w:rPr>
        <w:t>（加盖公章）</w:t>
      </w: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pStyle w:val="81"/>
        <w:spacing w:before="50" w:line="480" w:lineRule="atLeast"/>
        <w:rPr>
          <w:rFonts w:ascii="Times New Roman" w:cs="Times New Roman"/>
          <w:b/>
          <w:color w:val="auto"/>
          <w:szCs w:val="28"/>
        </w:rPr>
      </w:pPr>
    </w:p>
    <w:p>
      <w:pPr>
        <w:pStyle w:val="81"/>
        <w:spacing w:before="50" w:line="480" w:lineRule="atLeast"/>
        <w:rPr>
          <w:rFonts w:ascii="Times New Roman" w:cs="Times New Roman"/>
          <w:b/>
          <w:color w:val="auto"/>
          <w:szCs w:val="28"/>
        </w:rPr>
      </w:pPr>
    </w:p>
    <w:p>
      <w:pPr>
        <w:pStyle w:val="81"/>
        <w:spacing w:before="50" w:line="480" w:lineRule="atLeast"/>
        <w:rPr>
          <w:rFonts w:ascii="Times New Roman" w:cs="Times New Roman"/>
          <w:b/>
          <w:color w:val="auto"/>
          <w:szCs w:val="28"/>
        </w:rPr>
      </w:pPr>
    </w:p>
    <w:p>
      <w:pPr>
        <w:pStyle w:val="81"/>
        <w:spacing w:before="50"/>
        <w:rPr>
          <w:rFonts w:ascii="Times New Roman" w:cs="Times New Roman"/>
          <w:b/>
          <w:color w:val="auto"/>
          <w:szCs w:val="28"/>
        </w:rPr>
      </w:pPr>
      <w:bookmarkStart w:id="1160" w:name="_Toc26952"/>
      <w:bookmarkStart w:id="1161" w:name="_Toc29490"/>
      <w:bookmarkStart w:id="1162" w:name="_Toc26344"/>
      <w:bookmarkStart w:id="1163" w:name="_Toc5340"/>
      <w:bookmarkStart w:id="1164" w:name="_Toc47624120"/>
      <w:bookmarkStart w:id="1165" w:name="_Toc5069"/>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rPr>
          <w:rFonts w:hint="eastAsia" w:ascii="Times New Roman" w:cs="Times New Roman"/>
          <w:b/>
          <w:color w:val="auto"/>
          <w:szCs w:val="28"/>
        </w:rPr>
      </w:pPr>
      <w:bookmarkStart w:id="1166" w:name="_Toc24002"/>
      <w:bookmarkStart w:id="1167" w:name="_Toc30894"/>
      <w:bookmarkStart w:id="1168" w:name="_Toc22931"/>
      <w:bookmarkStart w:id="1169" w:name="_Toc1525"/>
      <w:bookmarkStart w:id="1170" w:name="_Toc15432"/>
      <w:bookmarkStart w:id="1171" w:name="_Toc11173"/>
      <w:bookmarkStart w:id="1172" w:name="_Toc9678"/>
      <w:bookmarkStart w:id="1173" w:name="_Toc11436"/>
    </w:p>
    <w:p>
      <w:pPr>
        <w:pStyle w:val="81"/>
        <w:spacing w:before="50"/>
        <w:rPr>
          <w:rFonts w:hint="eastAsia" w:ascii="Times New Roman" w:cs="Times New Roman"/>
          <w:b/>
          <w:color w:val="auto"/>
          <w:szCs w:val="28"/>
        </w:rPr>
      </w:pPr>
    </w:p>
    <w:p>
      <w:pPr>
        <w:pStyle w:val="81"/>
        <w:spacing w:before="50"/>
        <w:rPr>
          <w:rFonts w:ascii="Times New Roman" w:cs="Times New Roman"/>
          <w:b/>
          <w:color w:val="auto"/>
          <w:szCs w:val="28"/>
        </w:rPr>
      </w:pPr>
      <w:r>
        <w:rPr>
          <w:rFonts w:hint="eastAsia" w:ascii="Times New Roman" w:cs="Times New Roman"/>
          <w:b/>
          <w:color w:val="auto"/>
          <w:szCs w:val="28"/>
        </w:rPr>
        <w:t>1.法定代表人证明书（原件）</w:t>
      </w:r>
      <w:bookmarkEnd w:id="1166"/>
      <w:bookmarkEnd w:id="1167"/>
      <w:bookmarkEnd w:id="1168"/>
      <w:bookmarkEnd w:id="1169"/>
      <w:bookmarkEnd w:id="1170"/>
      <w:bookmarkEnd w:id="1171"/>
      <w:bookmarkEnd w:id="1172"/>
      <w:bookmarkEnd w:id="1173"/>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5"/>
        <w:spacing w:line="360" w:lineRule="auto"/>
        <w:ind w:firstLine="480" w:firstLineChars="200"/>
        <w:rPr>
          <w:rFonts w:ascii="Times New Roman" w:hAnsi="Times New Roman"/>
          <w:color w:val="0D0D0D"/>
          <w:sz w:val="24"/>
          <w:szCs w:val="24"/>
        </w:rPr>
      </w:pPr>
    </w:p>
    <w:p>
      <w:pPr>
        <w:pStyle w:val="25"/>
        <w:spacing w:line="360" w:lineRule="auto"/>
        <w:ind w:left="279" w:leftChars="133"/>
        <w:rPr>
          <w:rFonts w:ascii="Times New Roman" w:hAnsi="Times New Roman"/>
          <w:color w:val="0D0D0D"/>
          <w:sz w:val="24"/>
          <w:szCs w:val="24"/>
        </w:rPr>
      </w:pP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5"/>
        <w:spacing w:line="360" w:lineRule="auto"/>
        <w:ind w:left="359" w:leftChars="171"/>
        <w:rPr>
          <w:rFonts w:ascii="Times New Roman" w:hAnsi="Times New Roman"/>
          <w:color w:val="0D0D0D"/>
          <w:sz w:val="24"/>
          <w:szCs w:val="24"/>
        </w:rPr>
      </w:pPr>
    </w:p>
    <w:p>
      <w:pPr>
        <w:pStyle w:val="25"/>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hint="eastAsia" w:ascii="Times New Roman" w:hAnsi="Times New Roman"/>
          <w:color w:val="0D0D0D"/>
          <w:sz w:val="24"/>
          <w:szCs w:val="24"/>
        </w:rPr>
        <w:t>投标</w:t>
      </w:r>
      <w:r>
        <w:rPr>
          <w:rFonts w:ascii="Times New Roman" w:hAnsi="Times New Roman"/>
          <w:color w:val="0D0D0D"/>
          <w:sz w:val="24"/>
          <w:szCs w:val="24"/>
        </w:rPr>
        <w:t>人（盖章）：</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投标</w:t>
      </w:r>
      <w:r>
        <w:rPr>
          <w:rFonts w:ascii="Times New Roman" w:hAnsi="Times New Roman"/>
          <w:color w:val="0D0D0D"/>
          <w:sz w:val="24"/>
          <w:szCs w:val="24"/>
          <w:u w:val="single"/>
        </w:rPr>
        <w:t xml:space="preserve">人名称]                </w:t>
      </w:r>
    </w:p>
    <w:p>
      <w:pPr>
        <w:pStyle w:val="25"/>
        <w:spacing w:line="360" w:lineRule="auto"/>
        <w:ind w:left="133" w:firstLine="1260" w:firstLineChars="525"/>
        <w:rPr>
          <w:rFonts w:ascii="Times New Roman" w:hAnsi="Times New Roman"/>
          <w:color w:val="0D0D0D"/>
          <w:sz w:val="24"/>
          <w:szCs w:val="24"/>
          <w:u w:val="single"/>
        </w:rPr>
      </w:pPr>
    </w:p>
    <w:p>
      <w:pPr>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pStyle w:val="81"/>
        <w:spacing w:before="50"/>
        <w:rPr>
          <w:rFonts w:ascii="Times New Roman" w:cs="Times New Roman"/>
          <w:b/>
          <w:color w:val="auto"/>
          <w:szCs w:val="28"/>
        </w:rPr>
      </w:pPr>
      <w:r>
        <w:rPr>
          <w:color w:val="0D0D0D"/>
        </w:rPr>
        <w:br w:type="page"/>
      </w:r>
      <w:bookmarkEnd w:id="1160"/>
      <w:bookmarkEnd w:id="1161"/>
      <w:bookmarkEnd w:id="1162"/>
      <w:bookmarkEnd w:id="1163"/>
      <w:bookmarkEnd w:id="1164"/>
      <w:bookmarkEnd w:id="1165"/>
    </w:p>
    <w:p>
      <w:pPr>
        <w:pStyle w:val="81"/>
        <w:spacing w:before="50"/>
        <w:rPr>
          <w:rFonts w:ascii="Times New Roman" w:cs="Times New Roman"/>
          <w:b/>
          <w:color w:val="auto"/>
          <w:szCs w:val="28"/>
        </w:rPr>
      </w:pPr>
      <w:bookmarkStart w:id="1174" w:name="_Toc7708"/>
      <w:bookmarkStart w:id="1175" w:name="_Toc22786"/>
      <w:bookmarkStart w:id="1176" w:name="_Toc47624121"/>
      <w:bookmarkStart w:id="1177" w:name="_Toc5908"/>
      <w:bookmarkStart w:id="1178" w:name="_Toc32318"/>
      <w:bookmarkStart w:id="1179" w:name="_Toc14323"/>
      <w:bookmarkStart w:id="1180" w:name="_Toc3931"/>
      <w:r>
        <w:rPr>
          <w:rFonts w:hint="eastAsia" w:ascii="Times New Roman" w:cs="Times New Roman"/>
          <w:b/>
          <w:color w:val="auto"/>
          <w:szCs w:val="28"/>
        </w:rPr>
        <w:t>2.</w:t>
      </w:r>
      <w:r>
        <w:rPr>
          <w:rFonts w:hint="eastAsia"/>
          <w:b/>
          <w:bCs/>
        </w:rPr>
        <w:t>法定代表人身份证复印件</w:t>
      </w:r>
      <w:bookmarkEnd w:id="1174"/>
      <w:bookmarkEnd w:id="1175"/>
      <w:bookmarkEnd w:id="1176"/>
      <w:bookmarkEnd w:id="1177"/>
      <w:bookmarkEnd w:id="1178"/>
      <w:bookmarkEnd w:id="1179"/>
      <w:bookmarkEnd w:id="1180"/>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line="480" w:lineRule="atLeast"/>
        <w:rPr>
          <w:rFonts w:ascii="Times New Roman" w:cs="Times New Roman"/>
          <w:color w:val="auto"/>
          <w:szCs w:val="28"/>
        </w:rPr>
      </w:pPr>
    </w:p>
    <w:p>
      <w:pPr>
        <w:pStyle w:val="81"/>
        <w:spacing w:before="50"/>
        <w:rPr>
          <w:rFonts w:ascii="Times New Roman" w:cs="Times New Roman"/>
          <w:b/>
          <w:color w:val="auto"/>
          <w:szCs w:val="28"/>
        </w:rPr>
      </w:pPr>
      <w:bookmarkStart w:id="1181" w:name="_Toc47624122"/>
      <w:bookmarkStart w:id="1182" w:name="_Toc510187106"/>
      <w:bookmarkStart w:id="1183" w:name="_Toc10627"/>
      <w:bookmarkStart w:id="1184" w:name="_Toc30573"/>
      <w:bookmarkStart w:id="1185" w:name="_Toc3411"/>
      <w:bookmarkStart w:id="1186" w:name="_Toc27773"/>
      <w:bookmarkStart w:id="1187" w:name="_Toc25734"/>
      <w:bookmarkStart w:id="1188" w:name="_Toc26200"/>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bookmarkStart w:id="1189" w:name="_Toc5183"/>
      <w:bookmarkStart w:id="1190" w:name="_Toc21115"/>
      <w:bookmarkStart w:id="1191" w:name="_Toc3331"/>
      <w:bookmarkStart w:id="1192" w:name="_Toc11510"/>
      <w:bookmarkStart w:id="1193" w:name="_Toc1914"/>
      <w:bookmarkStart w:id="1194" w:name="_Toc31517"/>
      <w:bookmarkStart w:id="1195" w:name="_Toc24106"/>
      <w:bookmarkStart w:id="1196" w:name="_Toc9059"/>
      <w:r>
        <w:rPr>
          <w:rFonts w:hint="eastAsia" w:ascii="Times New Roman" w:cs="Times New Roman"/>
          <w:b/>
          <w:color w:val="auto"/>
          <w:szCs w:val="28"/>
        </w:rPr>
        <w:t>3.法人授权委托证明书（原件）</w:t>
      </w:r>
      <w:bookmarkEnd w:id="1189"/>
      <w:bookmarkEnd w:id="1190"/>
      <w:bookmarkEnd w:id="1191"/>
      <w:bookmarkEnd w:id="1192"/>
      <w:bookmarkEnd w:id="1193"/>
      <w:bookmarkEnd w:id="1194"/>
      <w:bookmarkEnd w:id="1195"/>
      <w:bookmarkEnd w:id="1196"/>
    </w:p>
    <w:p>
      <w:pPr>
        <w:jc w:val="left"/>
        <w:rPr>
          <w:rFonts w:ascii="宋体" w:hAnsi="宋体" w:cs="宋体"/>
          <w:b/>
          <w:bCs/>
          <w:sz w:val="24"/>
        </w:rPr>
      </w:pPr>
    </w:p>
    <w:p>
      <w:pPr>
        <w:jc w:val="left"/>
        <w:rPr>
          <w:rFonts w:ascii="宋体" w:hAnsi="宋体" w:cs="宋体"/>
          <w:b/>
          <w:bCs/>
          <w:sz w:val="24"/>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5"/>
        <w:spacing w:after="120" w:afterLines="50" w:line="360" w:lineRule="auto"/>
        <w:jc w:val="center"/>
        <w:rPr>
          <w:rFonts w:ascii="Times New Roman" w:hAnsi="Times New Roman" w:eastAsia="华文细黑"/>
          <w:color w:val="0D0D0D"/>
          <w:sz w:val="44"/>
        </w:rPr>
      </w:pP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投标</w:t>
      </w:r>
      <w:r>
        <w:rPr>
          <w:rFonts w:ascii="Times New Roman" w:hAnsi="Times New Roman"/>
          <w:color w:val="0D0D0D"/>
          <w:sz w:val="24"/>
          <w:szCs w:val="24"/>
          <w:u w:val="single"/>
        </w:rPr>
        <w:t xml:space="preserve">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w:t>
      </w:r>
      <w:r>
        <w:rPr>
          <w:rFonts w:hint="eastAsia" w:ascii="Times New Roman" w:hAnsi="Times New Roman"/>
          <w:color w:val="0D0D0D"/>
          <w:sz w:val="24"/>
          <w:szCs w:val="24"/>
        </w:rPr>
        <w:t>单位投标</w:t>
      </w:r>
      <w:r>
        <w:rPr>
          <w:rFonts w:ascii="Times New Roman" w:hAnsi="Times New Roman"/>
          <w:color w:val="0D0D0D"/>
          <w:sz w:val="24"/>
          <w:szCs w:val="24"/>
        </w:rPr>
        <w:t>项目、代表我</w:t>
      </w:r>
      <w:r>
        <w:rPr>
          <w:rFonts w:hint="eastAsia" w:ascii="Times New Roman" w:hAnsi="Times New Roman"/>
          <w:color w:val="0D0D0D"/>
          <w:sz w:val="24"/>
          <w:szCs w:val="24"/>
        </w:rPr>
        <w:t>单位</w:t>
      </w:r>
      <w:r>
        <w:rPr>
          <w:rFonts w:ascii="Times New Roman" w:hAnsi="Times New Roman"/>
          <w:color w:val="0D0D0D"/>
          <w:sz w:val="24"/>
          <w:szCs w:val="24"/>
        </w:rPr>
        <w:t>签署</w:t>
      </w:r>
      <w:r>
        <w:rPr>
          <w:rFonts w:hint="eastAsia" w:ascii="Times New Roman" w:hAnsi="Times New Roman"/>
          <w:color w:val="0D0D0D"/>
          <w:sz w:val="24"/>
          <w:szCs w:val="24"/>
        </w:rPr>
        <w:t>投标</w:t>
      </w:r>
      <w:r>
        <w:rPr>
          <w:rFonts w:ascii="Times New Roman" w:hAnsi="Times New Roman"/>
          <w:color w:val="0D0D0D"/>
          <w:sz w:val="24"/>
          <w:szCs w:val="24"/>
        </w:rPr>
        <w:t>文件的法定代表人的授权委托代理人，我承认代理人全权代表我所签署的</w:t>
      </w:r>
      <w:r>
        <w:rPr>
          <w:rFonts w:hint="eastAsia" w:ascii="Times New Roman" w:hAnsi="Times New Roman"/>
          <w:color w:val="0D0D0D"/>
          <w:sz w:val="24"/>
          <w:szCs w:val="24"/>
        </w:rPr>
        <w:t>投标</w:t>
      </w:r>
      <w:r>
        <w:rPr>
          <w:rFonts w:ascii="Times New Roman" w:hAnsi="Times New Roman"/>
          <w:color w:val="0D0D0D"/>
          <w:sz w:val="24"/>
          <w:szCs w:val="24"/>
        </w:rPr>
        <w:t>文件的内容、我承认代理人全权代表我</w:t>
      </w:r>
      <w:r>
        <w:rPr>
          <w:rFonts w:hint="eastAsia" w:ascii="Times New Roman" w:hAnsi="Times New Roman"/>
          <w:color w:val="0D0D0D"/>
          <w:sz w:val="24"/>
          <w:szCs w:val="24"/>
        </w:rPr>
        <w:t>单位</w:t>
      </w:r>
      <w:r>
        <w:rPr>
          <w:rFonts w:ascii="Times New Roman" w:hAnsi="Times New Roman"/>
          <w:color w:val="0D0D0D"/>
          <w:sz w:val="24"/>
          <w:szCs w:val="24"/>
        </w:rPr>
        <w:t>的</w:t>
      </w:r>
      <w:r>
        <w:rPr>
          <w:rFonts w:hint="eastAsia" w:ascii="Times New Roman" w:hAnsi="Times New Roman"/>
          <w:color w:val="0D0D0D"/>
          <w:sz w:val="24"/>
          <w:szCs w:val="24"/>
        </w:rPr>
        <w:t>投标</w:t>
      </w:r>
      <w:r>
        <w:rPr>
          <w:rFonts w:ascii="Times New Roman" w:hAnsi="Times New Roman"/>
          <w:color w:val="0D0D0D"/>
          <w:sz w:val="24"/>
          <w:szCs w:val="24"/>
        </w:rPr>
        <w:t>任何行为。</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hint="eastAsia" w:ascii="Times New Roman" w:hAnsi="Times New Roman"/>
          <w:color w:val="0D0D0D"/>
          <w:sz w:val="24"/>
          <w:szCs w:val="24"/>
        </w:rPr>
        <w:t>投标</w:t>
      </w:r>
      <w:r>
        <w:rPr>
          <w:rFonts w:ascii="Times New Roman" w:hAnsi="Times New Roman"/>
          <w:color w:val="0D0D0D"/>
          <w:sz w:val="24"/>
          <w:szCs w:val="24"/>
        </w:rPr>
        <w:t>人（盖章）：</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投标</w:t>
      </w:r>
      <w:r>
        <w:rPr>
          <w:rFonts w:ascii="Times New Roman" w:hAnsi="Times New Roman"/>
          <w:color w:val="0D0D0D"/>
          <w:sz w:val="24"/>
          <w:szCs w:val="24"/>
          <w:u w:val="single"/>
        </w:rPr>
        <w:t xml:space="preserve">人名称]                         </w:t>
      </w:r>
    </w:p>
    <w:p>
      <w:pPr>
        <w:pStyle w:val="25"/>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widowControl/>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p>
      <w:pPr>
        <w:jc w:val="left"/>
        <w:rPr>
          <w:rFonts w:ascii="宋体" w:hAnsi="宋体" w:cs="宋体"/>
          <w:b/>
          <w:bCs/>
          <w:sz w:val="24"/>
        </w:rPr>
      </w:pPr>
    </w:p>
    <w:bookmarkEnd w:id="1181"/>
    <w:bookmarkEnd w:id="1182"/>
    <w:bookmarkEnd w:id="1183"/>
    <w:bookmarkEnd w:id="1184"/>
    <w:bookmarkEnd w:id="1185"/>
    <w:bookmarkEnd w:id="1186"/>
    <w:bookmarkEnd w:id="1187"/>
    <w:bookmarkEnd w:id="1188"/>
    <w:p>
      <w:pPr>
        <w:widowControl/>
        <w:spacing w:line="480" w:lineRule="atLeast"/>
        <w:jc w:val="left"/>
        <w:rPr>
          <w:sz w:val="24"/>
          <w:szCs w:val="24"/>
        </w:rPr>
      </w:pPr>
    </w:p>
    <w:p>
      <w:pPr>
        <w:pStyle w:val="81"/>
        <w:spacing w:before="50"/>
        <w:rPr>
          <w:rFonts w:ascii="Times New Roman" w:cs="Times New Roman"/>
          <w:b/>
          <w:color w:val="auto"/>
          <w:szCs w:val="28"/>
        </w:rPr>
      </w:pPr>
      <w:bookmarkStart w:id="1197" w:name="_Toc510187107"/>
      <w:bookmarkStart w:id="1198" w:name="_Toc31770"/>
      <w:bookmarkStart w:id="1199" w:name="_Toc7387"/>
      <w:bookmarkStart w:id="1200" w:name="_Toc47624123"/>
      <w:bookmarkStart w:id="1201" w:name="_Toc19471"/>
      <w:bookmarkStart w:id="1202" w:name="_Toc17337"/>
      <w:bookmarkStart w:id="1203" w:name="_Toc28352"/>
      <w:bookmarkStart w:id="1204" w:name="_Toc18524"/>
      <w:bookmarkStart w:id="1205" w:name="_Toc6644"/>
      <w:bookmarkStart w:id="1206" w:name="_Toc276575949"/>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rPr>
          <w:rFonts w:ascii="Times New Roman" w:cs="Times New Roman"/>
          <w:b/>
          <w:color w:val="auto"/>
          <w:szCs w:val="28"/>
        </w:rPr>
      </w:pPr>
    </w:p>
    <w:p>
      <w:pPr>
        <w:pStyle w:val="81"/>
        <w:spacing w:before="50" w:line="360" w:lineRule="auto"/>
        <w:rPr>
          <w:rFonts w:ascii="Times New Roman" w:cs="Times New Roman"/>
          <w:b/>
          <w:color w:val="auto"/>
          <w:szCs w:val="28"/>
        </w:rPr>
      </w:pPr>
      <w:r>
        <w:rPr>
          <w:rFonts w:hint="eastAsia" w:ascii="Times New Roman" w:cs="Times New Roman"/>
          <w:b/>
          <w:color w:val="auto"/>
          <w:szCs w:val="28"/>
        </w:rPr>
        <w:t>4.</w:t>
      </w:r>
      <w:r>
        <w:rPr>
          <w:rFonts w:hint="eastAsia"/>
          <w:b/>
          <w:bCs/>
        </w:rPr>
        <w:t>委托代理人身份证复印件</w:t>
      </w:r>
      <w:bookmarkEnd w:id="1197"/>
      <w:bookmarkEnd w:id="1198"/>
      <w:bookmarkEnd w:id="1199"/>
      <w:bookmarkEnd w:id="1200"/>
      <w:bookmarkEnd w:id="1201"/>
      <w:bookmarkEnd w:id="1202"/>
      <w:bookmarkEnd w:id="1203"/>
      <w:bookmarkEnd w:id="1204"/>
      <w:bookmarkEnd w:id="1205"/>
    </w:p>
    <w:p>
      <w:pPr>
        <w:spacing w:line="360" w:lineRule="auto"/>
        <w:rPr>
          <w:rFonts w:hAnsi="宋体"/>
          <w:b/>
          <w:sz w:val="24"/>
          <w:szCs w:val="28"/>
        </w:rPr>
      </w:pPr>
      <w:bookmarkStart w:id="1207" w:name="_Toc8933"/>
      <w:bookmarkStart w:id="1208" w:name="_Toc5727"/>
      <w:bookmarkStart w:id="1209" w:name="_Toc47624124"/>
      <w:bookmarkStart w:id="1210" w:name="_Toc30101"/>
      <w:bookmarkStart w:id="1211" w:name="_Toc4833"/>
      <w:bookmarkStart w:id="1212" w:name="_Toc12813"/>
      <w:bookmarkStart w:id="1213" w:name="_Toc13769"/>
      <w:bookmarkStart w:id="1214" w:name="_Toc510187108"/>
      <w:bookmarkStart w:id="1215" w:name="_Toc497"/>
      <w:r>
        <w:rPr>
          <w:rFonts w:hint="eastAsia" w:hAnsi="宋体"/>
          <w:b/>
          <w:sz w:val="24"/>
          <w:szCs w:val="28"/>
        </w:rPr>
        <w:t>5.经年审的营业执照复印件</w:t>
      </w:r>
    </w:p>
    <w:p>
      <w:pPr>
        <w:pStyle w:val="203"/>
        <w:widowControl/>
        <w:overflowPunct w:val="0"/>
        <w:autoSpaceDE w:val="0"/>
        <w:autoSpaceDN w:val="0"/>
        <w:adjustRightInd w:val="0"/>
        <w:spacing w:line="360" w:lineRule="auto"/>
        <w:ind w:firstLine="0" w:firstLineChars="0"/>
        <w:jc w:val="left"/>
        <w:textAlignment w:val="baseline"/>
        <w:rPr>
          <w:rFonts w:hAnsi="宋体"/>
          <w:b/>
          <w:sz w:val="24"/>
          <w:szCs w:val="28"/>
        </w:rPr>
      </w:pPr>
      <w:r>
        <w:rPr>
          <w:rFonts w:hint="eastAsia" w:hAnsi="宋体"/>
          <w:b/>
          <w:sz w:val="24"/>
          <w:szCs w:val="28"/>
        </w:rPr>
        <w:t>6.金融许可证复印件</w:t>
      </w:r>
    </w:p>
    <w:p>
      <w:pPr>
        <w:pStyle w:val="203"/>
        <w:widowControl/>
        <w:overflowPunct w:val="0"/>
        <w:autoSpaceDE w:val="0"/>
        <w:autoSpaceDN w:val="0"/>
        <w:adjustRightInd w:val="0"/>
        <w:spacing w:line="360" w:lineRule="auto"/>
        <w:ind w:firstLine="0" w:firstLineChars="0"/>
        <w:jc w:val="left"/>
        <w:textAlignment w:val="baseline"/>
        <w:rPr>
          <w:rFonts w:ascii="宋体" w:hAnsi="宋体"/>
          <w:sz w:val="24"/>
          <w:szCs w:val="24"/>
        </w:rPr>
      </w:pPr>
      <w:r>
        <w:rPr>
          <w:rFonts w:hint="eastAsia" w:hAnsi="宋体"/>
          <w:b/>
          <w:sz w:val="24"/>
          <w:szCs w:val="28"/>
        </w:rPr>
        <w:t>7.若投标人为由深圳分行授权的下属支行，需提供深圳分行的授权书。</w:t>
      </w:r>
    </w:p>
    <w:bookmarkEnd w:id="1207"/>
    <w:bookmarkEnd w:id="1208"/>
    <w:bookmarkEnd w:id="1209"/>
    <w:bookmarkEnd w:id="1210"/>
    <w:bookmarkEnd w:id="1211"/>
    <w:bookmarkEnd w:id="1212"/>
    <w:bookmarkEnd w:id="1213"/>
    <w:bookmarkEnd w:id="1214"/>
    <w:bookmarkEnd w:id="1215"/>
    <w:p>
      <w:pPr>
        <w:pStyle w:val="81"/>
        <w:spacing w:before="50" w:line="360" w:lineRule="auto"/>
        <w:ind w:left="0" w:firstLine="0" w:firstLineChars="0"/>
        <w:rPr>
          <w:rFonts w:ascii="Times New Roman" w:cs="Times New Roman"/>
          <w:b/>
          <w:color w:val="auto"/>
          <w:szCs w:val="28"/>
        </w:rPr>
      </w:pPr>
      <w:r>
        <w:rPr>
          <w:rFonts w:hint="eastAsia" w:ascii="Times New Roman" w:cs="Times New Roman"/>
          <w:b/>
          <w:color w:val="auto"/>
          <w:szCs w:val="28"/>
        </w:rPr>
        <w:t>8.投标人需承诺放款时间不超过60（含）日、办理预抵押时间不超过60（含）日。承诺格式如下：</w:t>
      </w:r>
    </w:p>
    <w:p>
      <w:pPr>
        <w:pStyle w:val="81"/>
        <w:spacing w:before="50" w:line="480" w:lineRule="atLeast"/>
        <w:ind w:firstLine="472" w:firstLineChars="196"/>
        <w:rPr>
          <w:rFonts w:ascii="Times New Roman" w:cs="Times New Roman"/>
          <w:b/>
          <w:color w:val="auto"/>
          <w:szCs w:val="28"/>
        </w:rPr>
      </w:pPr>
    </w:p>
    <w:p>
      <w:pPr>
        <w:spacing w:line="560" w:lineRule="exact"/>
        <w:ind w:firstLine="0" w:firstLineChars="0"/>
        <w:rPr>
          <w:rFonts w:ascii="仿宋_GB2312" w:hAnsi="仿宋" w:eastAsia="仿宋_GB2312"/>
          <w:sz w:val="24"/>
          <w:szCs w:val="24"/>
        </w:rPr>
      </w:pPr>
      <w:r>
        <w:rPr>
          <w:rFonts w:hint="eastAsia" w:ascii="仿宋_GB2312" w:hAnsi="仿宋" w:eastAsia="仿宋_GB2312"/>
          <w:sz w:val="24"/>
          <w:szCs w:val="24"/>
        </w:rPr>
        <w:t>致深圳市地铁集团有限公司：</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根据《项目按揭合作协议》相关条款，我方承诺：</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按揭放款时间为：“达到放款条件后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日内放款”；</w:t>
      </w:r>
    </w:p>
    <w:p>
      <w:pPr>
        <w:spacing w:line="560" w:lineRule="exact"/>
        <w:ind w:left="479" w:leftChars="228" w:firstLine="0" w:firstLineChars="0"/>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预抵押完成时间为：“达到预抵押办理条件后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日内完成预售合同抵押工作”。</w:t>
      </w:r>
    </w:p>
    <w:p>
      <w:pPr>
        <w:spacing w:line="560" w:lineRule="exact"/>
        <w:ind w:left="479" w:leftChars="228" w:firstLine="480" w:firstLineChars="200"/>
        <w:rPr>
          <w:rFonts w:ascii="仿宋_GB2312" w:hAnsi="仿宋" w:eastAsia="仿宋_GB2312"/>
          <w:sz w:val="24"/>
          <w:szCs w:val="24"/>
        </w:rPr>
      </w:pPr>
    </w:p>
    <w:p>
      <w:pPr>
        <w:spacing w:line="560" w:lineRule="exact"/>
        <w:ind w:left="0" w:leftChars="0" w:firstLine="482" w:firstLineChars="200"/>
        <w:rPr>
          <w:rFonts w:ascii="仿宋_GB2312" w:hAnsi="仿宋" w:eastAsia="仿宋_GB2312"/>
          <w:b/>
          <w:bCs/>
          <w:sz w:val="24"/>
          <w:szCs w:val="24"/>
        </w:rPr>
      </w:pPr>
      <w:r>
        <w:rPr>
          <w:rFonts w:hint="eastAsia" w:ascii="仿宋_GB2312" w:hAnsi="仿宋" w:eastAsia="仿宋_GB2312"/>
          <w:b/>
          <w:bCs/>
          <w:sz w:val="24"/>
          <w:szCs w:val="24"/>
        </w:rPr>
        <w:t>我方承诺已清楚了解招标公告要求，确认我方有招标资格，本承诺内数据真实有效，不存在虚报、伪造等情况，特此说明。</w:t>
      </w: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投标人名称(盖章)：</w:t>
      </w:r>
    </w:p>
    <w:p>
      <w:pPr>
        <w:spacing w:line="560" w:lineRule="exact"/>
        <w:rPr>
          <w:rFonts w:ascii="仿宋_GB2312" w:hAnsi="仿宋" w:eastAsia="仿宋_GB2312"/>
          <w:sz w:val="24"/>
          <w:szCs w:val="24"/>
        </w:rPr>
      </w:pP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法定代表人（或分支机构负责人）或其授权代表签字/签章：</w:t>
      </w:r>
    </w:p>
    <w:p>
      <w:pPr>
        <w:spacing w:line="560" w:lineRule="exact"/>
        <w:ind w:firstLine="480" w:firstLineChars="200"/>
        <w:rPr>
          <w:sz w:val="24"/>
          <w:szCs w:val="24"/>
        </w:rPr>
      </w:pPr>
      <w:r>
        <w:rPr>
          <w:rFonts w:hint="eastAsia" w:ascii="仿宋_GB2312" w:hAnsi="仿宋" w:eastAsia="仿宋_GB2312"/>
          <w:sz w:val="24"/>
          <w:szCs w:val="24"/>
        </w:rPr>
        <w:t>日期：       年     月      日</w:t>
      </w:r>
    </w:p>
    <w:p>
      <w:pPr>
        <w:rPr>
          <w:sz w:val="24"/>
          <w:szCs w:val="24"/>
        </w:rPr>
      </w:pPr>
    </w:p>
    <w:p>
      <w:pPr>
        <w:rPr>
          <w:sz w:val="24"/>
          <w:szCs w:val="24"/>
        </w:rPr>
      </w:pPr>
    </w:p>
    <w:p>
      <w:pPr>
        <w:pStyle w:val="81"/>
        <w:spacing w:before="50" w:line="480" w:lineRule="atLeast"/>
        <w:ind w:firstLine="472" w:firstLineChars="196"/>
        <w:rPr>
          <w:rFonts w:ascii="Times New Roman" w:cs="Times New Roman"/>
          <w:b/>
          <w:color w:val="auto"/>
          <w:szCs w:val="28"/>
        </w:rPr>
      </w:pPr>
    </w:p>
    <w:p>
      <w:pPr>
        <w:pStyle w:val="203"/>
        <w:widowControl/>
        <w:overflowPunct w:val="0"/>
        <w:autoSpaceDE w:val="0"/>
        <w:autoSpaceDN w:val="0"/>
        <w:adjustRightInd w:val="0"/>
        <w:spacing w:line="360" w:lineRule="auto"/>
        <w:ind w:firstLine="0" w:firstLineChars="0"/>
        <w:jc w:val="left"/>
        <w:textAlignment w:val="baseline"/>
        <w:rPr>
          <w:rFonts w:hAnsi="宋体"/>
          <w:b/>
          <w:sz w:val="24"/>
          <w:szCs w:val="28"/>
        </w:rPr>
      </w:pPr>
      <w:r>
        <w:rPr>
          <w:rFonts w:hint="eastAsia" w:hAnsi="宋体"/>
          <w:b/>
          <w:sz w:val="24"/>
          <w:szCs w:val="28"/>
        </w:rPr>
        <w:t>9.招标公告要求的项目业绩合</w:t>
      </w:r>
      <w:r>
        <w:rPr>
          <w:rFonts w:hint="eastAsia" w:hAnsi="宋体"/>
          <w:b/>
          <w:sz w:val="24"/>
          <w:szCs w:val="28"/>
          <w:lang w:val="en-US" w:eastAsia="zh-CN"/>
        </w:rPr>
        <w:t>证明材料</w:t>
      </w:r>
      <w:r>
        <w:rPr>
          <w:rFonts w:hint="eastAsia" w:hAnsi="宋体"/>
          <w:b/>
          <w:sz w:val="24"/>
          <w:szCs w:val="28"/>
        </w:rPr>
        <w:t>（加盖公章）</w:t>
      </w:r>
    </w:p>
    <w:p>
      <w:pPr>
        <w:pStyle w:val="81"/>
        <w:spacing w:before="50" w:line="480" w:lineRule="atLeast"/>
        <w:ind w:firstLine="472" w:firstLineChars="196"/>
        <w:rPr>
          <w:rFonts w:ascii="Times New Roman" w:cs="Times New Roman"/>
          <w:b/>
          <w:color w:val="auto"/>
          <w:szCs w:val="28"/>
        </w:rPr>
      </w:pPr>
    </w:p>
    <w:p>
      <w:pPr>
        <w:pStyle w:val="81"/>
        <w:spacing w:before="50" w:line="480" w:lineRule="atLeast"/>
        <w:ind w:firstLine="472" w:firstLineChars="196"/>
        <w:rPr>
          <w:rFonts w:ascii="Times New Roman" w:cs="Times New Roman"/>
          <w:b/>
          <w:color w:val="auto"/>
          <w:szCs w:val="28"/>
        </w:rPr>
      </w:pPr>
    </w:p>
    <w:p>
      <w:pPr>
        <w:pStyle w:val="81"/>
        <w:spacing w:before="50" w:line="480" w:lineRule="atLeast"/>
        <w:ind w:firstLine="472" w:firstLineChars="196"/>
        <w:rPr>
          <w:rFonts w:ascii="Times New Roman" w:cs="Times New Roman"/>
          <w:b/>
          <w:color w:val="auto"/>
          <w:szCs w:val="28"/>
        </w:rPr>
      </w:pPr>
    </w:p>
    <w:p>
      <w:pPr>
        <w:jc w:val="center"/>
        <w:rPr>
          <w:rFonts w:hint="eastAsia" w:ascii="宋体" w:hAnsi="宋体"/>
          <w:b/>
          <w:kern w:val="44"/>
          <w:sz w:val="44"/>
          <w:szCs w:val="44"/>
        </w:rPr>
      </w:pPr>
    </w:p>
    <w:p>
      <w:pPr>
        <w:jc w:val="center"/>
        <w:rPr>
          <w:rFonts w:hAnsi="宋体"/>
          <w:b/>
          <w:bCs/>
          <w:spacing w:val="-20"/>
          <w:sz w:val="52"/>
          <w:szCs w:val="52"/>
        </w:rPr>
      </w:pPr>
      <w:r>
        <w:rPr>
          <w:rFonts w:hint="eastAsia" w:ascii="宋体" w:hAnsi="宋体"/>
          <w:b/>
          <w:kern w:val="44"/>
          <w:sz w:val="44"/>
          <w:szCs w:val="44"/>
          <w:lang w:eastAsia="zh-CN"/>
        </w:rPr>
        <w:t>赤湾停车场物业开发项目</w:t>
      </w:r>
      <w:r>
        <w:rPr>
          <w:rFonts w:hint="eastAsia" w:ascii="宋体" w:hAnsi="宋体"/>
          <w:b/>
          <w:kern w:val="44"/>
          <w:sz w:val="44"/>
          <w:szCs w:val="44"/>
        </w:rPr>
        <w:t>按揭合作银行</w:t>
      </w:r>
    </w:p>
    <w:p>
      <w:pPr>
        <w:pStyle w:val="25"/>
        <w:spacing w:before="1440" w:beforeLines="600" w:line="480" w:lineRule="atLeast"/>
        <w:jc w:val="center"/>
        <w:rPr>
          <w:rFonts w:hAnsi="宋体"/>
          <w:bCs/>
          <w:kern w:val="10"/>
          <w:sz w:val="84"/>
          <w:szCs w:val="84"/>
        </w:rPr>
      </w:pPr>
      <w:r>
        <w:rPr>
          <w:rFonts w:hint="eastAsia" w:hAnsi="宋体"/>
          <w:bCs/>
          <w:spacing w:val="36"/>
          <w:kern w:val="10"/>
          <w:sz w:val="84"/>
          <w:szCs w:val="84"/>
        </w:rPr>
        <w:t>投标文件</w:t>
      </w:r>
    </w:p>
    <w:p>
      <w:pPr>
        <w:pStyle w:val="25"/>
        <w:jc w:val="center"/>
        <w:rPr>
          <w:rFonts w:hAnsi="宋体"/>
          <w:b/>
          <w:sz w:val="44"/>
          <w:szCs w:val="44"/>
        </w:rPr>
      </w:pPr>
    </w:p>
    <w:p>
      <w:pPr>
        <w:pStyle w:val="25"/>
        <w:jc w:val="center"/>
        <w:rPr>
          <w:rFonts w:hAnsi="宋体"/>
          <w:b/>
          <w:sz w:val="44"/>
          <w:szCs w:val="44"/>
        </w:rPr>
      </w:pPr>
      <w:r>
        <w:rPr>
          <w:rFonts w:hint="eastAsia" w:hAnsi="宋体"/>
          <w:b/>
          <w:sz w:val="44"/>
          <w:szCs w:val="44"/>
        </w:rPr>
        <w:t>综合</w:t>
      </w:r>
      <w:r>
        <w:rPr>
          <w:rFonts w:hAnsi="宋体"/>
          <w:b/>
          <w:sz w:val="44"/>
          <w:szCs w:val="44"/>
        </w:rPr>
        <w:t>评审</w:t>
      </w:r>
      <w:r>
        <w:rPr>
          <w:rFonts w:hint="eastAsia" w:hAnsi="宋体"/>
          <w:b/>
          <w:sz w:val="44"/>
          <w:szCs w:val="44"/>
        </w:rPr>
        <w:t>文件</w:t>
      </w:r>
    </w:p>
    <w:p>
      <w:pPr>
        <w:pStyle w:val="25"/>
        <w:spacing w:line="480" w:lineRule="atLeast"/>
        <w:jc w:val="center"/>
        <w:rPr>
          <w:rFonts w:hAnsi="宋体"/>
          <w:bCs/>
          <w:sz w:val="17"/>
          <w:szCs w:val="17"/>
        </w:rPr>
      </w:pPr>
    </w:p>
    <w:p>
      <w:pPr>
        <w:pStyle w:val="25"/>
        <w:spacing w:line="480" w:lineRule="atLeast"/>
        <w:jc w:val="center"/>
        <w:rPr>
          <w:rFonts w:hAnsi="宋体"/>
          <w:sz w:val="23"/>
          <w:szCs w:val="23"/>
        </w:rPr>
      </w:pPr>
    </w:p>
    <w:p>
      <w:pPr>
        <w:pStyle w:val="25"/>
        <w:spacing w:line="480" w:lineRule="atLeast"/>
        <w:jc w:val="center"/>
        <w:rPr>
          <w:rFonts w:hAnsi="宋体"/>
          <w:sz w:val="35"/>
          <w:szCs w:val="35"/>
        </w:rPr>
      </w:pPr>
    </w:p>
    <w:p>
      <w:pPr>
        <w:pStyle w:val="25"/>
        <w:spacing w:line="480" w:lineRule="atLeast"/>
        <w:jc w:val="center"/>
        <w:rPr>
          <w:rFonts w:hAnsi="宋体"/>
          <w:sz w:val="23"/>
          <w:szCs w:val="23"/>
        </w:rPr>
      </w:pPr>
    </w:p>
    <w:p>
      <w:pPr>
        <w:pStyle w:val="25"/>
        <w:spacing w:line="480" w:lineRule="atLeast"/>
        <w:jc w:val="center"/>
        <w:rPr>
          <w:rFonts w:hAnsi="宋体"/>
          <w:b/>
          <w:sz w:val="32"/>
          <w:szCs w:val="32"/>
        </w:rPr>
      </w:pPr>
    </w:p>
    <w:p>
      <w:pPr>
        <w:pStyle w:val="25"/>
        <w:spacing w:line="480" w:lineRule="atLeast"/>
        <w:rPr>
          <w:rFonts w:hAnsi="宋体"/>
          <w:b/>
          <w:sz w:val="32"/>
          <w:szCs w:val="32"/>
        </w:rPr>
      </w:pPr>
    </w:p>
    <w:p>
      <w:pPr>
        <w:pStyle w:val="25"/>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投标人(盖章)：</w:t>
      </w:r>
      <w:r>
        <w:rPr>
          <w:rFonts w:hint="eastAsia" w:hAnsi="宋体"/>
          <w:b/>
          <w:bCs/>
          <w:sz w:val="28"/>
          <w:szCs w:val="28"/>
          <w:u w:val="single"/>
        </w:rPr>
        <w:t xml:space="preserve">          [投标人名称]                 </w:t>
      </w:r>
    </w:p>
    <w:p>
      <w:pPr>
        <w:pStyle w:val="25"/>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480" w:lineRule="atLeast"/>
        <w:jc w:val="center"/>
        <w:rPr>
          <w:rFonts w:ascii="宋体" w:hAnsi="宋体"/>
          <w:b/>
          <w:bCs/>
          <w:sz w:val="28"/>
          <w:szCs w:val="28"/>
        </w:rPr>
      </w:pPr>
      <w:r>
        <w:rPr>
          <w:rFonts w:hint="eastAsia" w:ascii="宋体" w:hAnsi="宋体"/>
          <w:b/>
          <w:bCs/>
          <w:sz w:val="28"/>
          <w:szCs w:val="28"/>
        </w:rPr>
        <w:t>日   期：     年    月     日</w:t>
      </w:r>
    </w:p>
    <w:p>
      <w:pPr>
        <w:pStyle w:val="81"/>
        <w:spacing w:before="50" w:line="480" w:lineRule="atLeast"/>
        <w:ind w:firstLine="472" w:firstLineChars="196"/>
        <w:rPr>
          <w:rFonts w:ascii="Times New Roman" w:cs="Times New Roman"/>
          <w:b/>
          <w:color w:val="auto"/>
          <w:szCs w:val="28"/>
        </w:rPr>
      </w:pPr>
    </w:p>
    <w:p>
      <w:pPr>
        <w:pStyle w:val="81"/>
        <w:spacing w:before="50" w:line="480" w:lineRule="atLeast"/>
        <w:jc w:val="both"/>
        <w:rPr>
          <w:b/>
          <w:bCs/>
          <w:u w:val="single"/>
        </w:rPr>
      </w:pPr>
    </w:p>
    <w:p>
      <w:pPr>
        <w:pStyle w:val="81"/>
        <w:spacing w:before="50" w:line="480" w:lineRule="atLeast"/>
        <w:jc w:val="both"/>
        <w:rPr>
          <w:b/>
          <w:bCs/>
          <w:u w:val="single"/>
        </w:rPr>
      </w:pPr>
    </w:p>
    <w:p>
      <w:pPr>
        <w:pStyle w:val="81"/>
        <w:spacing w:before="50" w:line="480" w:lineRule="atLeast"/>
        <w:jc w:val="both"/>
        <w:rPr>
          <w:b/>
          <w:bCs/>
          <w:u w:val="single"/>
        </w:rPr>
      </w:pPr>
    </w:p>
    <w:p>
      <w:pPr>
        <w:pStyle w:val="81"/>
        <w:spacing w:before="50" w:line="480" w:lineRule="atLeast"/>
        <w:jc w:val="both"/>
        <w:rPr>
          <w:b/>
          <w:bCs/>
          <w:u w:val="single"/>
        </w:rPr>
      </w:pPr>
    </w:p>
    <w:p>
      <w:pPr>
        <w:pStyle w:val="6"/>
      </w:pPr>
      <w:bookmarkStart w:id="1216" w:name="_Toc27852"/>
      <w:bookmarkStart w:id="1217" w:name="_Toc25932"/>
      <w:bookmarkStart w:id="1218" w:name="_Toc24432"/>
      <w:bookmarkStart w:id="1219" w:name="_Toc25663"/>
      <w:bookmarkStart w:id="1220" w:name="_Toc32628"/>
      <w:bookmarkStart w:id="1221" w:name="_Toc16717"/>
      <w:bookmarkStart w:id="1222" w:name="_Toc32304"/>
      <w:bookmarkStart w:id="1223" w:name="_Toc20411"/>
      <w:bookmarkStart w:id="1224" w:name="_Toc21855"/>
      <w:bookmarkStart w:id="1225" w:name="_Toc17225"/>
      <w:bookmarkStart w:id="1226" w:name="_Toc2625"/>
      <w:bookmarkStart w:id="1227" w:name="_Toc23318"/>
      <w:bookmarkStart w:id="1228" w:name="_Toc22970"/>
      <w:bookmarkStart w:id="1229" w:name="_Toc1856"/>
      <w:bookmarkStart w:id="1230" w:name="_Toc8812"/>
      <w:bookmarkStart w:id="1231" w:name="_Toc25671"/>
      <w:bookmarkStart w:id="1232" w:name="_Toc2010"/>
      <w:bookmarkStart w:id="1233" w:name="_Toc20245"/>
      <w:bookmarkStart w:id="1234" w:name="_Toc1579"/>
      <w:bookmarkStart w:id="1235" w:name="_Toc15095"/>
      <w:bookmarkStart w:id="1236" w:name="_Toc30719"/>
      <w:bookmarkStart w:id="1237" w:name="_Toc8629"/>
      <w:bookmarkStart w:id="1238" w:name="_Toc20381"/>
      <w:bookmarkStart w:id="1239" w:name="_Toc7255"/>
      <w:bookmarkStart w:id="1240" w:name="_Toc17377"/>
      <w:bookmarkStart w:id="1241" w:name="_Toc6967"/>
      <w:r>
        <w:rPr>
          <w:rFonts w:hint="eastAsia"/>
        </w:rPr>
        <w:t>综合评审文件目录</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snapToGrid w:val="0"/>
        <w:spacing w:line="360" w:lineRule="auto"/>
        <w:ind w:firstLine="480" w:firstLineChars="200"/>
        <w:jc w:val="left"/>
        <w:rPr>
          <w:rFonts w:ascii="宋体" w:hAnsi="宋体"/>
          <w:kern w:val="0"/>
          <w:sz w:val="24"/>
          <w:szCs w:val="24"/>
          <w:lang w:val="zh-CN"/>
        </w:rPr>
      </w:pPr>
    </w:p>
    <w:p>
      <w:pPr>
        <w:snapToGrid w:val="0"/>
        <w:spacing w:line="360" w:lineRule="auto"/>
        <w:ind w:firstLine="480" w:firstLineChars="200"/>
        <w:jc w:val="left"/>
        <w:rPr>
          <w:rFonts w:ascii="宋体" w:hAnsi="宋体" w:cs="宋体"/>
          <w:sz w:val="24"/>
        </w:rPr>
      </w:pPr>
      <w:r>
        <w:rPr>
          <w:rFonts w:hint="eastAsia" w:ascii="宋体" w:hAnsi="宋体"/>
          <w:kern w:val="0"/>
          <w:sz w:val="24"/>
          <w:szCs w:val="24"/>
          <w:lang w:val="zh-CN"/>
        </w:rPr>
        <w:t>投标</w:t>
      </w:r>
      <w:r>
        <w:rPr>
          <w:rFonts w:ascii="宋体" w:hAnsi="宋体"/>
          <w:kern w:val="0"/>
          <w:sz w:val="24"/>
          <w:szCs w:val="24"/>
          <w:lang w:val="zh-CN"/>
        </w:rPr>
        <w:t>人应按照</w:t>
      </w:r>
      <w:r>
        <w:rPr>
          <w:rFonts w:hint="eastAsia" w:ascii="宋体" w:hAnsi="宋体"/>
          <w:kern w:val="0"/>
          <w:sz w:val="24"/>
          <w:szCs w:val="24"/>
          <w:lang w:val="zh-CN"/>
        </w:rPr>
        <w:t>招标</w:t>
      </w:r>
      <w:r>
        <w:rPr>
          <w:rFonts w:ascii="宋体" w:hAnsi="宋体"/>
          <w:kern w:val="0"/>
          <w:sz w:val="24"/>
          <w:szCs w:val="24"/>
          <w:lang w:val="zh-CN"/>
        </w:rPr>
        <w:t>文件第二篇“</w:t>
      </w:r>
      <w:r>
        <w:rPr>
          <w:rFonts w:hint="eastAsia" w:ascii="宋体" w:hAnsi="宋体"/>
          <w:kern w:val="0"/>
          <w:sz w:val="24"/>
          <w:szCs w:val="24"/>
          <w:lang w:val="zh-CN"/>
        </w:rPr>
        <w:t>投标</w:t>
      </w:r>
      <w:r>
        <w:rPr>
          <w:rFonts w:ascii="宋体" w:hAnsi="宋体"/>
          <w:kern w:val="0"/>
          <w:sz w:val="24"/>
          <w:szCs w:val="24"/>
          <w:lang w:val="zh-CN"/>
        </w:rPr>
        <w:t>文件格式”中</w:t>
      </w:r>
      <w:r>
        <w:rPr>
          <w:rFonts w:hint="eastAsia" w:ascii="宋体" w:hAnsi="宋体"/>
          <w:sz w:val="24"/>
          <w:szCs w:val="24"/>
        </w:rPr>
        <w:t>综合评审文件</w:t>
      </w:r>
      <w:r>
        <w:rPr>
          <w:rFonts w:ascii="宋体" w:hAnsi="宋体"/>
          <w:kern w:val="0"/>
          <w:sz w:val="24"/>
          <w:szCs w:val="24"/>
          <w:lang w:val="zh-CN"/>
        </w:rPr>
        <w:t>要求编写</w:t>
      </w:r>
      <w:r>
        <w:rPr>
          <w:rFonts w:ascii="宋体" w:hAnsi="宋体"/>
          <w:kern w:val="0"/>
          <w:sz w:val="24"/>
          <w:lang w:val="zh-CN"/>
        </w:rPr>
        <w:t>。</w:t>
      </w:r>
      <w:r>
        <w:rPr>
          <w:rFonts w:hint="eastAsia" w:ascii="宋体" w:hAnsi="宋体"/>
          <w:sz w:val="24"/>
          <w:szCs w:val="24"/>
        </w:rPr>
        <w:t>综合评审文件</w:t>
      </w:r>
      <w:r>
        <w:rPr>
          <w:rFonts w:ascii="宋体" w:hAnsi="宋体"/>
          <w:kern w:val="0"/>
          <w:sz w:val="24"/>
          <w:lang w:val="zh-CN"/>
        </w:rPr>
        <w:t>应包括以下几个主要内容：</w:t>
      </w:r>
      <w:r>
        <w:rPr>
          <w:rFonts w:hint="eastAsia" w:ascii="宋体" w:hAnsi="宋体"/>
          <w:kern w:val="0"/>
          <w:sz w:val="24"/>
          <w:lang w:val="zh-CN"/>
        </w:rPr>
        <w:t xml:space="preserve"> </w:t>
      </w:r>
      <w:r>
        <w:rPr>
          <w:rFonts w:ascii="宋体" w:hAnsi="宋体"/>
          <w:kern w:val="0"/>
          <w:sz w:val="24"/>
          <w:lang w:val="zh-CN"/>
        </w:rPr>
        <w:t xml:space="preserve"> </w:t>
      </w:r>
    </w:p>
    <w:p>
      <w:pPr>
        <w:spacing w:line="360" w:lineRule="auto"/>
        <w:ind w:firstLine="480" w:firstLineChars="200"/>
        <w:rPr>
          <w:rFonts w:ascii="宋体" w:hAnsi="宋体"/>
          <w:kern w:val="0"/>
          <w:sz w:val="24"/>
          <w:szCs w:val="24"/>
          <w:lang w:val="zh-CN"/>
        </w:rPr>
      </w:pPr>
      <w:r>
        <w:rPr>
          <w:rFonts w:hint="eastAsia" w:ascii="宋体" w:hAnsi="宋体"/>
          <w:sz w:val="24"/>
          <w:szCs w:val="24"/>
        </w:rPr>
        <w:t>一、银行基本情况说明文件</w:t>
      </w:r>
      <w:r>
        <w:rPr>
          <w:rFonts w:hint="eastAsia" w:ascii="宋体" w:hAnsi="宋体"/>
          <w:kern w:val="0"/>
          <w:sz w:val="24"/>
          <w:szCs w:val="24"/>
          <w:lang w:val="zh-CN"/>
        </w:rPr>
        <w:t>（固定格式）；</w:t>
      </w:r>
    </w:p>
    <w:p>
      <w:pPr>
        <w:pStyle w:val="3"/>
        <w:snapToGrid w:val="0"/>
        <w:ind w:left="0" w:leftChars="0" w:firstLine="480" w:firstLineChars="200"/>
        <w:rPr>
          <w:rFonts w:ascii="宋体" w:hAnsi="宋体"/>
          <w:b/>
          <w:color w:val="FF0000"/>
          <w:sz w:val="24"/>
          <w:szCs w:val="24"/>
          <w:u w:val="single"/>
        </w:rPr>
      </w:pPr>
      <w:r>
        <w:rPr>
          <w:rFonts w:hint="eastAsia" w:ascii="宋体" w:hAnsi="宋体"/>
          <w:sz w:val="24"/>
          <w:szCs w:val="24"/>
        </w:rPr>
        <w:t>二、</w:t>
      </w:r>
      <w:r>
        <w:rPr>
          <w:rFonts w:hint="eastAsia" w:ascii="宋体" w:hAnsi="宋体"/>
          <w:sz w:val="24"/>
          <w:szCs w:val="24"/>
          <w:lang w:val="zh-CN"/>
        </w:rPr>
        <w:t>投标函；</w:t>
      </w:r>
    </w:p>
    <w:p>
      <w:pPr>
        <w:spacing w:line="360" w:lineRule="auto"/>
        <w:ind w:firstLine="480" w:firstLineChars="200"/>
        <w:rPr>
          <w:rFonts w:ascii="宋体" w:hAnsi="宋体"/>
          <w:kern w:val="0"/>
          <w:sz w:val="24"/>
          <w:szCs w:val="24"/>
        </w:rPr>
      </w:pPr>
      <w:r>
        <w:rPr>
          <w:rFonts w:hint="eastAsia" w:ascii="宋体" w:hAnsi="宋体"/>
          <w:kern w:val="0"/>
          <w:sz w:val="24"/>
          <w:szCs w:val="24"/>
        </w:rPr>
        <w:t>三、按揭贷款服务业绩证明</w:t>
      </w:r>
    </w:p>
    <w:p>
      <w:pPr>
        <w:snapToGrid w:val="0"/>
        <w:spacing w:line="360" w:lineRule="auto"/>
        <w:ind w:firstLine="480" w:firstLineChars="200"/>
        <w:jc w:val="left"/>
        <w:rPr>
          <w:rFonts w:ascii="宋体" w:hAnsi="宋体"/>
          <w:kern w:val="0"/>
          <w:sz w:val="24"/>
          <w:szCs w:val="24"/>
        </w:rPr>
      </w:pPr>
      <w:r>
        <w:rPr>
          <w:rFonts w:hint="eastAsia" w:ascii="宋体" w:hAnsi="宋体"/>
          <w:kern w:val="0"/>
          <w:sz w:val="24"/>
          <w:szCs w:val="24"/>
        </w:rPr>
        <w:t>近三年为全国50强或深圳20强地产企业品牌提供过深圳地区项目的按揭贷款服务业绩证明资料。需附相关证明材料原件、扫描复印件，如合同（需附相关合同关键页复印件并盖章）。</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全国50强排名参考2019-2021年中指研究院及克而瑞发布数据；深圳20强排名参考</w:t>
      </w:r>
      <w:r>
        <w:rPr>
          <w:rFonts w:hint="eastAsia" w:ascii="宋体" w:hAnsi="宋体"/>
          <w:sz w:val="24"/>
          <w:szCs w:val="24"/>
        </w:rPr>
        <w:t>2019-2021年</w:t>
      </w:r>
      <w:r>
        <w:rPr>
          <w:rFonts w:hint="eastAsia" w:ascii="宋体" w:hAnsi="宋体"/>
          <w:kern w:val="0"/>
          <w:sz w:val="24"/>
          <w:szCs w:val="24"/>
        </w:rPr>
        <w:t>深圳房协发布数据。</w:t>
      </w:r>
    </w:p>
    <w:p>
      <w:pPr>
        <w:spacing w:line="360" w:lineRule="auto"/>
      </w:pPr>
    </w:p>
    <w:p/>
    <w:p/>
    <w:p/>
    <w:p/>
    <w:p/>
    <w:p/>
    <w:p/>
    <w:p/>
    <w:p/>
    <w:p/>
    <w:p/>
    <w:p/>
    <w:p/>
    <w:p/>
    <w:p/>
    <w:p/>
    <w:p/>
    <w:p/>
    <w:p/>
    <w:p/>
    <w:p/>
    <w:p/>
    <w:p>
      <w:pPr>
        <w:sectPr>
          <w:headerReference r:id="rId12" w:type="first"/>
          <w:footerReference r:id="rId14" w:type="first"/>
          <w:footerReference r:id="rId13" w:type="default"/>
          <w:pgSz w:w="11907" w:h="16840"/>
          <w:pgMar w:top="1440" w:right="1440" w:bottom="1440" w:left="1440" w:header="720" w:footer="868" w:gutter="0"/>
          <w:cols w:space="720" w:num="1"/>
          <w:titlePg/>
          <w:docGrid w:linePitch="380" w:charSpace="0"/>
        </w:sectPr>
      </w:pPr>
    </w:p>
    <w:p>
      <w:pPr>
        <w:pStyle w:val="81"/>
        <w:spacing w:before="50"/>
        <w:ind w:firstLine="472" w:firstLineChars="196"/>
        <w:rPr>
          <w:rFonts w:ascii="Times New Roman" w:cs="Times New Roman"/>
          <w:b/>
          <w:color w:val="auto"/>
          <w:szCs w:val="28"/>
        </w:rPr>
      </w:pPr>
      <w:bookmarkStart w:id="1242" w:name="_Toc3741"/>
      <w:bookmarkStart w:id="1243" w:name="_Toc5048"/>
      <w:bookmarkStart w:id="1244" w:name="_Toc31855"/>
      <w:bookmarkStart w:id="1245" w:name="_Toc510187113"/>
      <w:bookmarkStart w:id="1246" w:name="_Toc47624126"/>
      <w:bookmarkStart w:id="1247" w:name="_Toc1541"/>
      <w:bookmarkStart w:id="1248" w:name="_Toc15373"/>
      <w:bookmarkStart w:id="1249" w:name="_Toc23671"/>
      <w:bookmarkStart w:id="1250" w:name="_Toc11409"/>
      <w:r>
        <w:rPr>
          <w:rFonts w:hint="eastAsia" w:ascii="Times New Roman" w:cs="Times New Roman"/>
          <w:b/>
          <w:color w:val="auto"/>
          <w:szCs w:val="28"/>
        </w:rPr>
        <w:t>1.</w:t>
      </w:r>
      <w:r>
        <w:rPr>
          <w:rFonts w:hint="eastAsia" w:ascii="Times New Roman" w:cs="Times New Roman"/>
          <w:b/>
          <w:color w:val="auto"/>
          <w:szCs w:val="28"/>
          <w:u w:val="single"/>
        </w:rPr>
        <w:t xml:space="preserve">  [投标人名称]   </w:t>
      </w:r>
      <w:r>
        <w:rPr>
          <w:rFonts w:hint="eastAsia" w:ascii="Times New Roman" w:cs="Times New Roman"/>
          <w:b/>
          <w:color w:val="auto"/>
          <w:szCs w:val="28"/>
        </w:rPr>
        <w:t>基本情况说明文件</w:t>
      </w:r>
      <w:bookmarkEnd w:id="1242"/>
      <w:bookmarkEnd w:id="1243"/>
      <w:bookmarkEnd w:id="1244"/>
      <w:bookmarkEnd w:id="1245"/>
      <w:bookmarkEnd w:id="1246"/>
      <w:bookmarkEnd w:id="1247"/>
      <w:bookmarkEnd w:id="1248"/>
      <w:bookmarkEnd w:id="1249"/>
      <w:bookmarkEnd w:id="1250"/>
    </w:p>
    <w:p>
      <w:pPr>
        <w:spacing w:line="560" w:lineRule="exact"/>
        <w:rPr>
          <w:rFonts w:ascii="仿宋_GB2312" w:hAnsi="仿宋" w:eastAsia="仿宋_GB2312"/>
          <w:sz w:val="24"/>
          <w:szCs w:val="24"/>
        </w:rPr>
      </w:pPr>
      <w:r>
        <w:rPr>
          <w:rFonts w:hint="eastAsia" w:ascii="仿宋_GB2312" w:hAnsi="仿宋" w:eastAsia="仿宋_GB2312"/>
          <w:sz w:val="24"/>
          <w:szCs w:val="24"/>
        </w:rPr>
        <w:t>致深圳市地铁集团有限公司：</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经充分研究本招标公告后，我方愿意参加贵司</w:t>
      </w:r>
      <w:r>
        <w:rPr>
          <w:rFonts w:hint="eastAsia" w:ascii="仿宋_GB2312" w:hAnsi="仿宋" w:eastAsia="仿宋_GB2312"/>
          <w:sz w:val="24"/>
          <w:szCs w:val="24"/>
          <w:lang w:eastAsia="zh-CN"/>
        </w:rPr>
        <w:t>赤湾停车场物业开发项目</w:t>
      </w:r>
      <w:r>
        <w:rPr>
          <w:rFonts w:hint="eastAsia" w:ascii="仿宋_GB2312" w:hAnsi="仿宋" w:eastAsia="仿宋_GB2312"/>
          <w:sz w:val="24"/>
          <w:szCs w:val="24"/>
        </w:rPr>
        <w:t>按揭合作银行招标，并按要求编制我行基本情况说明文件。</w:t>
      </w:r>
    </w:p>
    <w:p>
      <w:pPr>
        <w:pStyle w:val="115"/>
        <w:numPr>
          <w:ilvl w:val="0"/>
          <w:numId w:val="5"/>
        </w:numPr>
        <w:spacing w:line="560" w:lineRule="exact"/>
        <w:ind w:firstLineChars="0"/>
        <w:rPr>
          <w:rFonts w:ascii="仿宋_GB2312" w:hAnsi="仿宋" w:eastAsia="仿宋_GB2312"/>
          <w:b/>
          <w:sz w:val="24"/>
          <w:szCs w:val="24"/>
        </w:rPr>
      </w:pPr>
      <w:r>
        <w:rPr>
          <w:rFonts w:hint="eastAsia" w:ascii="仿宋_GB2312" w:hAnsi="仿宋" w:eastAsia="仿宋_GB2312"/>
          <w:b/>
          <w:sz w:val="24"/>
          <w:szCs w:val="24"/>
        </w:rPr>
        <w:t>经营状况、服务能力和支持力度</w:t>
      </w:r>
    </w:p>
    <w:p>
      <w:pPr>
        <w:pStyle w:val="115"/>
        <w:spacing w:line="560" w:lineRule="exact"/>
        <w:ind w:left="0" w:firstLine="480" w:firstLineChars="200"/>
        <w:rPr>
          <w:rFonts w:ascii="仿宋_GB2312" w:hAnsi="仿宋" w:eastAsia="仿宋_GB2312"/>
          <w:sz w:val="24"/>
          <w:szCs w:val="24"/>
        </w:rPr>
      </w:pPr>
      <w:r>
        <w:rPr>
          <w:rFonts w:hint="eastAsia" w:ascii="仿宋_GB2312" w:hAnsi="仿宋" w:eastAsia="仿宋_GB2312"/>
          <w:sz w:val="24"/>
          <w:szCs w:val="24"/>
        </w:rPr>
        <w:t>1、依据我行公布的2021年度总行口径审计报告及截至2021年底我分行的统计数据，我方相关数据指标汇总如下：</w:t>
      </w:r>
    </w:p>
    <w:tbl>
      <w:tblPr>
        <w:tblStyle w:val="49"/>
        <w:tblW w:w="0" w:type="auto"/>
        <w:tblInd w:w="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0"/>
        <w:gridCol w:w="3737"/>
        <w:gridCol w:w="5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140" w:type="dxa"/>
          </w:tcPr>
          <w:p>
            <w:pPr>
              <w:spacing w:line="560" w:lineRule="exact"/>
              <w:rPr>
                <w:rFonts w:hint="default" w:ascii="仿宋_GB2312" w:hAnsi="仿宋" w:eastAsia="仿宋_GB2312"/>
                <w:sz w:val="24"/>
                <w:szCs w:val="24"/>
                <w:lang w:val="en-US" w:eastAsia="zh-CN"/>
              </w:rPr>
            </w:pPr>
            <w:r>
              <w:rPr>
                <w:rFonts w:hint="eastAsia" w:ascii="仿宋_GB2312" w:hAnsi="仿宋" w:eastAsia="仿宋_GB2312"/>
                <w:sz w:val="24"/>
                <w:szCs w:val="24"/>
                <w:lang w:val="en-US" w:eastAsia="zh-CN"/>
              </w:rPr>
              <w:t>统计口径</w:t>
            </w:r>
          </w:p>
        </w:tc>
        <w:tc>
          <w:tcPr>
            <w:tcW w:w="3737" w:type="dxa"/>
          </w:tcPr>
          <w:p>
            <w:pPr>
              <w:spacing w:line="560" w:lineRule="exact"/>
              <w:jc w:val="center"/>
              <w:rPr>
                <w:rFonts w:ascii="仿宋_GB2312" w:hAnsi="仿宋" w:eastAsia="仿宋_GB2312"/>
                <w:sz w:val="24"/>
                <w:szCs w:val="24"/>
              </w:rPr>
            </w:pPr>
            <w:r>
              <w:rPr>
                <w:rFonts w:hint="eastAsia" w:ascii="仿宋_GB2312" w:hAnsi="仿宋" w:eastAsia="仿宋_GB2312"/>
                <w:sz w:val="24"/>
                <w:szCs w:val="24"/>
              </w:rPr>
              <w:t xml:space="preserve">资产规模 </w:t>
            </w:r>
            <w:r>
              <w:rPr>
                <w:rFonts w:ascii="仿宋_GB2312" w:hAnsi="仿宋" w:eastAsia="仿宋_GB2312"/>
                <w:sz w:val="24"/>
                <w:szCs w:val="24"/>
              </w:rPr>
              <w:t xml:space="preserve"> </w:t>
            </w:r>
            <w:r>
              <w:rPr>
                <w:rFonts w:hint="eastAsia" w:ascii="仿宋_GB2312" w:hAnsi="仿宋" w:eastAsia="仿宋_GB2312"/>
                <w:sz w:val="24"/>
                <w:szCs w:val="24"/>
              </w:rPr>
              <w:t>（亿元）</w:t>
            </w:r>
          </w:p>
        </w:tc>
        <w:tc>
          <w:tcPr>
            <w:tcW w:w="5043" w:type="dxa"/>
          </w:tcPr>
          <w:p>
            <w:pPr>
              <w:spacing w:line="560" w:lineRule="exact"/>
              <w:jc w:val="center"/>
              <w:rPr>
                <w:rFonts w:ascii="仿宋_GB2312" w:hAnsi="仿宋" w:eastAsia="仿宋_GB2312"/>
                <w:sz w:val="24"/>
                <w:szCs w:val="24"/>
              </w:rPr>
            </w:pPr>
            <w:r>
              <w:rPr>
                <w:rFonts w:hint="eastAsia" w:ascii="仿宋_GB2312" w:hAnsi="仿宋" w:eastAsia="仿宋_GB2312"/>
                <w:sz w:val="24"/>
                <w:szCs w:val="24"/>
              </w:rPr>
              <w:t>住房按揭贷款投放金额</w:t>
            </w:r>
            <w:r>
              <w:rPr>
                <w:rFonts w:ascii="仿宋_GB2312" w:hAnsi="仿宋" w:eastAsia="仿宋_GB2312"/>
                <w:sz w:val="24"/>
                <w:szCs w:val="24"/>
              </w:rPr>
              <w:t>（20</w:t>
            </w:r>
            <w:r>
              <w:rPr>
                <w:rFonts w:hint="eastAsia" w:ascii="仿宋_GB2312" w:hAnsi="仿宋" w:eastAsia="仿宋_GB2312"/>
                <w:sz w:val="24"/>
                <w:szCs w:val="24"/>
                <w:lang w:val="en-US" w:eastAsia="zh-CN"/>
              </w:rPr>
              <w:t>19</w:t>
            </w:r>
            <w:r>
              <w:rPr>
                <w:rFonts w:ascii="仿宋_GB2312" w:hAnsi="仿宋" w:eastAsia="仿宋_GB2312"/>
                <w:sz w:val="24"/>
                <w:szCs w:val="24"/>
              </w:rPr>
              <w:t>-20</w:t>
            </w:r>
            <w:r>
              <w:rPr>
                <w:rFonts w:hint="eastAsia" w:ascii="仿宋_GB2312" w:hAnsi="仿宋" w:eastAsia="仿宋_GB2312"/>
                <w:sz w:val="24"/>
                <w:szCs w:val="24"/>
              </w:rPr>
              <w:t>2</w:t>
            </w:r>
            <w:r>
              <w:rPr>
                <w:rFonts w:hint="eastAsia" w:ascii="仿宋_GB2312" w:hAnsi="仿宋" w:eastAsia="仿宋_GB2312"/>
                <w:sz w:val="24"/>
                <w:szCs w:val="24"/>
                <w:lang w:val="en-US" w:eastAsia="zh-CN"/>
              </w:rPr>
              <w:t>1</w:t>
            </w:r>
            <w:r>
              <w:rPr>
                <w:rFonts w:hint="eastAsia" w:ascii="仿宋_GB2312" w:hAnsi="仿宋" w:eastAsia="仿宋_GB2312"/>
                <w:sz w:val="24"/>
                <w:szCs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140" w:type="dxa"/>
          </w:tcPr>
          <w:p>
            <w:pPr>
              <w:spacing w:line="560" w:lineRule="exact"/>
              <w:rPr>
                <w:rFonts w:ascii="仿宋_GB2312" w:hAnsi="仿宋" w:eastAsia="仿宋_GB2312"/>
                <w:sz w:val="24"/>
                <w:szCs w:val="24"/>
              </w:rPr>
            </w:pPr>
            <w:r>
              <w:rPr>
                <w:rFonts w:hint="eastAsia" w:ascii="仿宋_GB2312" w:hAnsi="仿宋" w:eastAsia="仿宋_GB2312"/>
                <w:sz w:val="24"/>
                <w:szCs w:val="24"/>
              </w:rPr>
              <w:t>总行口径</w:t>
            </w:r>
          </w:p>
        </w:tc>
        <w:tc>
          <w:tcPr>
            <w:tcW w:w="3737" w:type="dxa"/>
          </w:tcPr>
          <w:p>
            <w:pPr>
              <w:spacing w:line="560" w:lineRule="exact"/>
              <w:rPr>
                <w:rFonts w:ascii="仿宋_GB2312" w:hAnsi="仿宋" w:eastAsia="仿宋_GB2312"/>
                <w:sz w:val="24"/>
                <w:szCs w:val="24"/>
              </w:rPr>
            </w:pPr>
          </w:p>
        </w:tc>
        <w:tc>
          <w:tcPr>
            <w:tcW w:w="5043" w:type="dxa"/>
            <w:tcBorders>
              <w:tl2br w:val="single" w:color="auto" w:sz="4" w:space="0"/>
            </w:tcBorders>
          </w:tcPr>
          <w:p>
            <w:pPr>
              <w:spacing w:line="560" w:lineRule="exact"/>
              <w:rPr>
                <w:rFonts w:ascii="仿宋_GB2312"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0" w:type="dxa"/>
          </w:tcPr>
          <w:p>
            <w:pPr>
              <w:spacing w:line="560" w:lineRule="exact"/>
              <w:rPr>
                <w:rFonts w:ascii="仿宋_GB2312" w:hAnsi="仿宋" w:eastAsia="仿宋_GB2312"/>
                <w:sz w:val="24"/>
                <w:szCs w:val="24"/>
              </w:rPr>
            </w:pPr>
            <w:r>
              <w:rPr>
                <w:rFonts w:hint="eastAsia" w:ascii="仿宋_GB2312" w:hAnsi="仿宋" w:eastAsia="仿宋_GB2312"/>
                <w:sz w:val="24"/>
                <w:szCs w:val="24"/>
              </w:rPr>
              <w:t>深圳分行口径</w:t>
            </w:r>
          </w:p>
        </w:tc>
        <w:tc>
          <w:tcPr>
            <w:tcW w:w="3737" w:type="dxa"/>
          </w:tcPr>
          <w:p>
            <w:pPr>
              <w:spacing w:line="560" w:lineRule="exact"/>
              <w:rPr>
                <w:rFonts w:ascii="仿宋_GB2312" w:hAnsi="仿宋" w:eastAsia="仿宋_GB2312"/>
                <w:sz w:val="24"/>
                <w:szCs w:val="24"/>
              </w:rPr>
            </w:pPr>
          </w:p>
        </w:tc>
        <w:tc>
          <w:tcPr>
            <w:tcW w:w="5043" w:type="dxa"/>
          </w:tcPr>
          <w:p>
            <w:pPr>
              <w:spacing w:line="560" w:lineRule="exact"/>
              <w:rPr>
                <w:rFonts w:ascii="仿宋_GB2312" w:hAnsi="仿宋" w:eastAsia="仿宋_GB2312"/>
                <w:sz w:val="24"/>
                <w:szCs w:val="24"/>
              </w:rPr>
            </w:pPr>
          </w:p>
        </w:tc>
      </w:tr>
    </w:tbl>
    <w:p>
      <w:pPr>
        <w:pStyle w:val="115"/>
        <w:spacing w:line="560" w:lineRule="exact"/>
        <w:ind w:left="0"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注：总行数据需提供审计报告的相关页如下：</w:t>
      </w:r>
    </w:p>
    <w:p>
      <w:pPr>
        <w:pStyle w:val="115"/>
        <w:spacing w:line="560" w:lineRule="exact"/>
        <w:ind w:left="420"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（截图粘贴）</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lang w:val="en-US" w:eastAsia="zh-CN"/>
        </w:rPr>
        <w:t>2、</w:t>
      </w:r>
      <w:r>
        <w:rPr>
          <w:rFonts w:hint="eastAsia" w:ascii="仿宋_GB2312" w:hAnsi="仿宋" w:eastAsia="仿宋_GB2312"/>
          <w:sz w:val="24"/>
          <w:szCs w:val="24"/>
        </w:rPr>
        <w:t>根据《项目按揭合作协议》相关条款，我方承诺：</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按揭放款时间为：“达到放款条件后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日内放款”；</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预抵押完成时间为：“达到预抵押办理条件后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日内完成预售合同抵押</w:t>
      </w:r>
      <w:r>
        <w:rPr>
          <w:rFonts w:hint="eastAsia" w:ascii="仿宋_GB2312" w:hAnsi="仿宋" w:eastAsia="仿宋_GB2312"/>
          <w:sz w:val="24"/>
          <w:szCs w:val="24"/>
          <w:lang w:val="en-US" w:eastAsia="zh-CN"/>
        </w:rPr>
        <w:t>登记</w:t>
      </w:r>
      <w:r>
        <w:rPr>
          <w:rFonts w:hint="eastAsia" w:ascii="仿宋_GB2312" w:hAnsi="仿宋" w:eastAsia="仿宋_GB2312"/>
          <w:sz w:val="24"/>
          <w:szCs w:val="24"/>
        </w:rPr>
        <w:t>工作”；</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3）</w:t>
      </w:r>
      <w:r>
        <w:rPr>
          <w:rFonts w:hint="eastAsia" w:ascii="仿宋_GB2312" w:hAnsi="仿宋" w:eastAsia="仿宋_GB2312"/>
          <w:sz w:val="24"/>
          <w:szCs w:val="24"/>
        </w:rPr>
        <w:t>对该项目按揭客户提前还款</w:t>
      </w:r>
      <w:r>
        <w:rPr>
          <w:rFonts w:hint="eastAsia" w:ascii="仿宋_GB2312" w:hAnsi="仿宋" w:eastAsia="仿宋_GB2312"/>
          <w:sz w:val="24"/>
          <w:szCs w:val="24"/>
          <w:u w:val="single"/>
        </w:rPr>
        <w:t xml:space="preserve"> </w:t>
      </w:r>
      <w:r>
        <w:rPr>
          <w:rFonts w:ascii="仿宋_GB2312" w:hAnsi="仿宋" w:eastAsia="仿宋_GB2312"/>
          <w:sz w:val="24"/>
          <w:szCs w:val="24"/>
          <w:u w:val="single"/>
        </w:rPr>
        <w:t xml:space="preserve">       </w:t>
      </w:r>
      <w:r>
        <w:rPr>
          <w:rFonts w:hint="eastAsia" w:ascii="仿宋_GB2312" w:hAnsi="仿宋" w:eastAsia="仿宋_GB2312"/>
          <w:sz w:val="24"/>
          <w:szCs w:val="24"/>
        </w:rPr>
        <w:t>（收取/免收）罚息。</w:t>
      </w:r>
    </w:p>
    <w:p>
      <w:pPr>
        <w:spacing w:line="560" w:lineRule="exact"/>
        <w:ind w:firstLine="480" w:firstLineChars="200"/>
        <w:rPr>
          <w:rFonts w:ascii="仿宋_GB2312" w:hAnsi="仿宋" w:eastAsia="仿宋_GB2312"/>
          <w:b/>
          <w:bCs/>
          <w:sz w:val="24"/>
          <w:szCs w:val="24"/>
        </w:rPr>
      </w:pPr>
      <w:r>
        <w:rPr>
          <w:rFonts w:hint="eastAsia" w:ascii="黑体" w:hAnsi="黑体" w:eastAsia="黑体" w:cs="黑体"/>
          <w:sz w:val="24"/>
          <w:szCs w:val="24"/>
        </w:rPr>
        <w:t>二、</w:t>
      </w:r>
      <w:r>
        <w:rPr>
          <w:rFonts w:hint="eastAsia" w:ascii="仿宋_GB2312" w:hAnsi="仿宋" w:eastAsia="仿宋_GB2312"/>
          <w:b/>
          <w:bCs/>
          <w:sz w:val="24"/>
          <w:szCs w:val="24"/>
        </w:rPr>
        <w:t>法律纠纷</w:t>
      </w:r>
    </w:p>
    <w:p>
      <w:pPr>
        <w:spacing w:line="560" w:lineRule="exact"/>
        <w:rPr>
          <w:rFonts w:ascii="仿宋_GB2312" w:hAnsi="仿宋" w:eastAsia="仿宋_GB2312"/>
          <w:sz w:val="24"/>
          <w:szCs w:val="24"/>
        </w:rPr>
      </w:pPr>
      <w:r>
        <w:rPr>
          <w:rFonts w:hint="eastAsia" w:ascii="仿宋_GB2312" w:hAnsi="仿宋" w:eastAsia="仿宋_GB2312"/>
          <w:sz w:val="24"/>
          <w:szCs w:val="24"/>
        </w:rPr>
        <w:t xml:space="preserve">    自2019年以来，我方</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（未曾/曾）与贵司或贵司下属单位过有过诉讼、仲裁史的或正进行诉讼、仲裁及不良行为记录的情况，目前</w:t>
      </w:r>
      <w:r>
        <w:rPr>
          <w:rFonts w:ascii="仿宋_GB2312" w:hAnsi="仿宋" w:eastAsia="仿宋_GB2312"/>
          <w:sz w:val="24"/>
          <w:szCs w:val="24"/>
          <w:u w:val="single"/>
        </w:rPr>
        <w:t xml:space="preserve">    </w:t>
      </w:r>
      <w:r>
        <w:rPr>
          <w:rFonts w:hint="eastAsia" w:ascii="仿宋_GB2312" w:hAnsi="仿宋" w:eastAsia="仿宋_GB2312"/>
          <w:sz w:val="24"/>
          <w:szCs w:val="24"/>
        </w:rPr>
        <w:t>（暂未/已）达成一致意见。</w:t>
      </w:r>
    </w:p>
    <w:p>
      <w:pPr>
        <w:spacing w:line="560" w:lineRule="exact"/>
        <w:ind w:firstLine="482" w:firstLineChars="200"/>
        <w:rPr>
          <w:rFonts w:ascii="仿宋_GB2312" w:hAnsi="仿宋" w:eastAsia="仿宋_GB2312"/>
          <w:b/>
          <w:bCs/>
          <w:sz w:val="24"/>
          <w:szCs w:val="24"/>
        </w:rPr>
      </w:pPr>
      <w:r>
        <w:rPr>
          <w:rFonts w:hint="eastAsia" w:ascii="仿宋_GB2312" w:hAnsi="仿宋" w:eastAsia="仿宋_GB2312"/>
          <w:b/>
          <w:bCs/>
          <w:sz w:val="24"/>
          <w:szCs w:val="24"/>
        </w:rPr>
        <w:t>我方承诺已清楚了解招标公告要求，确认我方有投标资格，本说明内数据材料真实有效，不存在虚报、伪造等情况，特此说明。</w:t>
      </w: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r>
        <w:rPr>
          <w:rFonts w:hint="eastAsia" w:ascii="仿宋_GB2312" w:hAnsi="仿宋" w:eastAsia="仿宋_GB2312"/>
          <w:sz w:val="24"/>
          <w:szCs w:val="24"/>
        </w:rPr>
        <w:t>投标人名称(盖章)：</w:t>
      </w:r>
    </w:p>
    <w:p>
      <w:pPr>
        <w:spacing w:line="560" w:lineRule="exact"/>
        <w:rPr>
          <w:rFonts w:ascii="仿宋_GB2312" w:hAnsi="仿宋" w:eastAsia="仿宋_GB2312"/>
          <w:sz w:val="24"/>
          <w:szCs w:val="24"/>
        </w:rPr>
      </w:pPr>
      <w:r>
        <w:rPr>
          <w:rFonts w:hint="eastAsia" w:ascii="仿宋_GB2312" w:hAnsi="仿宋" w:eastAsia="仿宋_GB2312"/>
          <w:sz w:val="24"/>
          <w:szCs w:val="24"/>
        </w:rPr>
        <w:t>法定代表人（或分支机构负责人）或其授权代表签字/签章：</w:t>
      </w:r>
    </w:p>
    <w:p>
      <w:pPr>
        <w:spacing w:line="560" w:lineRule="exact"/>
        <w:rPr>
          <w:sz w:val="24"/>
          <w:szCs w:val="24"/>
        </w:rPr>
      </w:pPr>
      <w:r>
        <w:rPr>
          <w:rFonts w:hint="eastAsia" w:ascii="仿宋_GB2312" w:hAnsi="仿宋" w:eastAsia="仿宋_GB2312"/>
          <w:sz w:val="24"/>
          <w:szCs w:val="24"/>
        </w:rPr>
        <w:t>日期：       年     月      日</w:t>
      </w:r>
    </w:p>
    <w:p>
      <w:pPr>
        <w:rPr>
          <w:sz w:val="24"/>
          <w:szCs w:val="24"/>
        </w:rPr>
        <w:sectPr>
          <w:headerReference r:id="rId15" w:type="default"/>
          <w:pgSz w:w="16840" w:h="11907" w:orient="landscape"/>
          <w:pgMar w:top="1440" w:right="1440" w:bottom="1134" w:left="1440" w:header="720" w:footer="890" w:gutter="0"/>
          <w:cols w:space="720" w:num="1"/>
          <w:titlePg/>
          <w:docGrid w:linePitch="360" w:charSpace="0"/>
        </w:sectPr>
      </w:pPr>
    </w:p>
    <w:p>
      <w:pPr>
        <w:pStyle w:val="81"/>
        <w:spacing w:before="50"/>
        <w:ind w:firstLine="472" w:firstLineChars="196"/>
        <w:rPr>
          <w:rFonts w:ascii="Times New Roman" w:cs="Times New Roman"/>
          <w:b/>
          <w:color w:val="auto"/>
          <w:szCs w:val="28"/>
        </w:rPr>
      </w:pPr>
      <w:bookmarkStart w:id="1251" w:name="_Toc27570"/>
      <w:bookmarkStart w:id="1252" w:name="_Toc17141"/>
      <w:bookmarkStart w:id="1253" w:name="_Toc47624127"/>
      <w:bookmarkStart w:id="1254" w:name="_Toc276575955"/>
      <w:bookmarkStart w:id="1255" w:name="_Toc30764"/>
      <w:bookmarkStart w:id="1256" w:name="_Toc27615"/>
      <w:bookmarkStart w:id="1257" w:name="_Toc19191481"/>
      <w:bookmarkStart w:id="1258" w:name="_Toc25967"/>
      <w:bookmarkStart w:id="1259" w:name="_Toc518494154"/>
      <w:bookmarkStart w:id="1260" w:name="_Toc16705"/>
      <w:bookmarkStart w:id="1261" w:name="_Toc10825"/>
      <w:r>
        <w:rPr>
          <w:rFonts w:hint="eastAsia" w:ascii="Times New Roman" w:cs="Times New Roman"/>
          <w:b/>
          <w:color w:val="auto"/>
          <w:szCs w:val="28"/>
        </w:rPr>
        <w:t>2.投标函格式</w:t>
      </w:r>
      <w:bookmarkEnd w:id="1251"/>
      <w:bookmarkEnd w:id="1252"/>
      <w:bookmarkEnd w:id="1253"/>
      <w:bookmarkEnd w:id="1254"/>
      <w:bookmarkEnd w:id="1255"/>
      <w:bookmarkEnd w:id="1256"/>
      <w:bookmarkEnd w:id="1257"/>
      <w:bookmarkEnd w:id="1258"/>
      <w:bookmarkEnd w:id="1259"/>
      <w:bookmarkEnd w:id="1260"/>
      <w:bookmarkEnd w:id="1261"/>
    </w:p>
    <w:p>
      <w:pPr>
        <w:pStyle w:val="25"/>
        <w:spacing w:before="120" w:beforeLines="50" w:after="120" w:afterLines="50" w:line="520" w:lineRule="exact"/>
        <w:jc w:val="center"/>
        <w:rPr>
          <w:rFonts w:ascii="仿宋_GB2312" w:hAnsi="仿宋_GB2312" w:eastAsia="仿宋_GB2312" w:cs="仿宋_GB2312"/>
          <w:kern w:val="2"/>
          <w:sz w:val="24"/>
          <w:szCs w:val="24"/>
        </w:rPr>
      </w:pPr>
      <w:r>
        <w:rPr>
          <w:rFonts w:hint="eastAsia" w:ascii="仿宋_GB2312" w:hAnsi="仿宋_GB2312" w:eastAsia="仿宋_GB2312" w:cs="仿宋_GB2312"/>
          <w:b/>
          <w:bCs/>
          <w:kern w:val="2"/>
          <w:sz w:val="28"/>
          <w:szCs w:val="28"/>
        </w:rPr>
        <w:t>投标函</w:t>
      </w:r>
    </w:p>
    <w:p>
      <w:pPr>
        <w:pStyle w:val="25"/>
        <w:spacing w:line="440" w:lineRule="exact"/>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致：深圳市地铁集团有限公司</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1、经分析研究了贵司提供的招标文件，经研究后，我方愿按合同条件、招标文件、投标文件以及国家和地方有关规定的要求，承担并完成本项目的任务。</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2、我方对贵司招标文件中的合同条件无保留、无条件同意，特此声明及承诺。</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3、我方承诺按照投标文件中服务内容为贵司提供全面快捷的住房按揭服务，如在服务过程未能提供已承诺的按揭服务引起客户投诉，我行自愿接受相应处罚。</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4、如果贵公司接受我方的投标，我方保证按合同规定的期限完成</w:t>
      </w:r>
      <w:r>
        <w:rPr>
          <w:rFonts w:hint="eastAsia" w:ascii="仿宋_GB2312" w:hAnsi="仿宋_GB2312" w:eastAsia="仿宋_GB2312" w:cs="仿宋_GB2312"/>
          <w:sz w:val="24"/>
          <w:szCs w:val="24"/>
          <w:lang w:eastAsia="zh-CN"/>
        </w:rPr>
        <w:t>赤湾停车场物业开发项目</w:t>
      </w:r>
      <w:r>
        <w:rPr>
          <w:rFonts w:hint="eastAsia" w:ascii="仿宋_GB2312" w:hAnsi="仿宋_GB2312" w:eastAsia="仿宋_GB2312" w:cs="仿宋_GB2312"/>
          <w:sz w:val="24"/>
          <w:szCs w:val="24"/>
        </w:rPr>
        <w:t>按揭服务工作。</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5、如果我方中标，我方保证在接到招标人通知中规定的日期内开展</w:t>
      </w:r>
      <w:r>
        <w:rPr>
          <w:rFonts w:hint="eastAsia" w:ascii="仿宋_GB2312" w:hAnsi="仿宋_GB2312" w:eastAsia="仿宋_GB2312" w:cs="仿宋_GB2312"/>
          <w:sz w:val="24"/>
          <w:szCs w:val="24"/>
          <w:lang w:eastAsia="zh-CN"/>
        </w:rPr>
        <w:t>赤湾停车场物业开发项目</w:t>
      </w:r>
      <w:r>
        <w:rPr>
          <w:rFonts w:hint="eastAsia" w:ascii="仿宋_GB2312" w:hAnsi="仿宋_GB2312" w:eastAsia="仿宋_GB2312" w:cs="仿宋_GB2312"/>
          <w:sz w:val="24"/>
          <w:szCs w:val="24"/>
        </w:rPr>
        <w:t>按揭相关工作，并在规定的期限内提供相应的服务。</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6、我方承诺：投标人所委派的项目组主要人员在中标后不得任意更改，如确需变更，需经招标人认可同意，如未经招标人同意，我方自行变更投标文件中委派的主要人员，自愿接受相应处罚。</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我方保证：在投标过程中，我方严守国家法律、法规，本着诚实守信的原则，无互相串通投标报价、无排挤其它投标人的合法权益、无向招标人或评委成员行贿谋取中标、无以他人名义投标或以其它方式弄虚作假骗取中标的不良行为。并承诺从2019年以来在招标投标活动中，没有串通投标不良行为记录或涉嫌串通投标，承诺是未接受我市主管部门调查的投标申请人。</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8、我方同意：招标人可以在投标有效期截止前，要求延长投标有效期并取得投标人或中标候选人同意。</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我方同意：①由于非招标人原因（如因国家审批或政策环境、深圳市城市规划等因素）导致该项目被取消或无法实施，招标人有权否决所有投标；②招标人可以否决所有投标终止招标而无须说明理由，招标人不承担因此给投标人造成的任何损失。</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10、我方保证，服务期间公司与贵司无法律纠纷，一旦发生，将终止合同。</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投标人：（盖章）     [投标人名称]                                   </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法定代表人或授权委托代理人（签字或盖章）：        联 系 人：                  </w:t>
      </w:r>
    </w:p>
    <w:p>
      <w:pPr>
        <w:spacing w:line="440" w:lineRule="exact"/>
        <w:ind w:firstLine="480" w:firstLineChars="200"/>
        <w:rPr>
          <w:rFonts w:ascii="宋体" w:hAnsi="宋体"/>
          <w:bCs/>
          <w:sz w:val="24"/>
        </w:rPr>
      </w:pPr>
      <w:r>
        <w:rPr>
          <w:rFonts w:hint="eastAsia" w:ascii="仿宋_GB2312" w:hAnsi="仿宋_GB2312" w:eastAsia="仿宋_GB2312" w:cs="仿宋_GB2312"/>
          <w:sz w:val="24"/>
          <w:szCs w:val="24"/>
        </w:rPr>
        <w:t xml:space="preserve">电    话：                                       传    真：   </w:t>
      </w:r>
      <w:r>
        <w:rPr>
          <w:rFonts w:hint="eastAsia" w:ascii="宋体" w:hAnsi="宋体"/>
          <w:sz w:val="24"/>
        </w:rPr>
        <w:t xml:space="preserve">               </w:t>
      </w:r>
    </w:p>
    <w:p>
      <w:pPr>
        <w:spacing w:line="460" w:lineRule="exact"/>
        <w:rPr>
          <w:rFonts w:ascii="宋体" w:hAnsi="宋体"/>
          <w:bCs/>
          <w:sz w:val="24"/>
        </w:rPr>
        <w:sectPr>
          <w:pgSz w:w="11907" w:h="16840"/>
          <w:pgMar w:top="1440" w:right="1440" w:bottom="1440" w:left="1134" w:header="720" w:footer="890" w:gutter="0"/>
          <w:cols w:space="720" w:num="1"/>
          <w:titlePg/>
          <w:docGrid w:linePitch="360" w:charSpace="0"/>
        </w:sectPr>
      </w:pPr>
    </w:p>
    <w:p>
      <w:pPr>
        <w:pStyle w:val="81"/>
        <w:spacing w:before="50"/>
        <w:ind w:firstLine="472" w:firstLineChars="196"/>
        <w:rPr>
          <w:rFonts w:hint="eastAsia" w:ascii="Times New Roman" w:eastAsia="宋体" w:cs="Times New Roman"/>
          <w:b/>
          <w:color w:val="auto"/>
          <w:szCs w:val="28"/>
          <w:lang w:val="en-US" w:eastAsia="zh-CN"/>
        </w:rPr>
      </w:pPr>
      <w:bookmarkStart w:id="1262" w:name="_Toc2818"/>
      <w:bookmarkStart w:id="1263" w:name="_Toc47624128"/>
      <w:bookmarkStart w:id="1264" w:name="_Toc19828"/>
      <w:bookmarkStart w:id="1265" w:name="_Toc9992"/>
      <w:bookmarkStart w:id="1266" w:name="_Toc19191482"/>
      <w:bookmarkStart w:id="1267" w:name="_Toc29679"/>
      <w:bookmarkStart w:id="1268" w:name="_Toc16185"/>
      <w:bookmarkStart w:id="1269" w:name="_Toc864"/>
      <w:bookmarkStart w:id="1270" w:name="_Toc4572"/>
      <w:r>
        <w:rPr>
          <w:rFonts w:hint="eastAsia" w:ascii="Times New Roman" w:cs="Times New Roman"/>
          <w:b/>
          <w:color w:val="auto"/>
          <w:szCs w:val="28"/>
        </w:rPr>
        <w:t>3.业绩证明</w:t>
      </w:r>
      <w:bookmarkEnd w:id="1262"/>
      <w:bookmarkEnd w:id="1263"/>
      <w:bookmarkEnd w:id="1264"/>
      <w:bookmarkEnd w:id="1265"/>
      <w:bookmarkEnd w:id="1266"/>
      <w:bookmarkEnd w:id="1267"/>
      <w:bookmarkEnd w:id="1268"/>
      <w:bookmarkEnd w:id="1269"/>
      <w:bookmarkEnd w:id="1270"/>
      <w:r>
        <w:rPr>
          <w:rFonts w:hint="eastAsia" w:ascii="Times New Roman" w:cs="Times New Roman"/>
          <w:b/>
          <w:color w:val="auto"/>
          <w:szCs w:val="28"/>
          <w:lang w:val="en-US" w:eastAsia="zh-CN"/>
        </w:rPr>
        <w:t>-</w:t>
      </w:r>
      <w:r>
        <w:rPr>
          <w:rFonts w:hint="eastAsia" w:ascii="Times New Roman" w:cs="Times New Roman"/>
          <w:b/>
          <w:color w:val="auto"/>
          <w:szCs w:val="28"/>
        </w:rPr>
        <w:t>按揭贷款服务</w:t>
      </w:r>
    </w:p>
    <w:p>
      <w:pPr>
        <w:widowControl/>
        <w:jc w:val="left"/>
        <w:rPr>
          <w:rFonts w:ascii="楷体_GB2312" w:hAnsi="宋体" w:eastAsia="楷体_GB2312" w:cs="宋体"/>
          <w:b/>
          <w:bCs/>
          <w:kern w:val="0"/>
          <w:sz w:val="32"/>
          <w:szCs w:val="32"/>
        </w:rPr>
      </w:pPr>
    </w:p>
    <w:p>
      <w:pPr>
        <w:spacing w:line="360" w:lineRule="auto"/>
        <w:ind w:left="424"/>
        <w:jc w:val="center"/>
        <w:rPr>
          <w:rFonts w:ascii="仿宋_GB2312" w:hAnsi="仿宋_GB2312" w:eastAsia="仿宋_GB2312" w:cs="仿宋_GB2312"/>
          <w:sz w:val="24"/>
          <w:szCs w:val="24"/>
        </w:rPr>
      </w:pPr>
      <w:r>
        <w:rPr>
          <w:rFonts w:hint="eastAsia" w:ascii="仿宋_GB2312" w:hAnsi="仿宋_GB2312" w:eastAsia="仿宋_GB2312" w:cs="仿宋_GB2312"/>
          <w:b/>
          <w:bCs/>
          <w:sz w:val="28"/>
          <w:szCs w:val="28"/>
        </w:rPr>
        <w:t>银行按揭贷款服务业绩证明材料表</w:t>
      </w:r>
    </w:p>
    <w:tbl>
      <w:tblPr>
        <w:tblStyle w:val="48"/>
        <w:tblW w:w="13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0"/>
        <w:gridCol w:w="2425"/>
        <w:gridCol w:w="1743"/>
        <w:gridCol w:w="1380"/>
        <w:gridCol w:w="1782"/>
        <w:gridCol w:w="4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25"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服务合同签订时间（20XX/X/X）</w:t>
            </w:r>
          </w:p>
        </w:tc>
        <w:tc>
          <w:tcPr>
            <w:tcW w:w="1743"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企业品牌</w:t>
            </w:r>
          </w:p>
        </w:tc>
        <w:tc>
          <w:tcPr>
            <w:tcW w:w="138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1782"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项目所在地  （XX市XX区）</w:t>
            </w:r>
          </w:p>
        </w:tc>
        <w:tc>
          <w:tcPr>
            <w:tcW w:w="4616"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1220"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N</w:t>
            </w:r>
          </w:p>
        </w:tc>
        <w:tc>
          <w:tcPr>
            <w:tcW w:w="2425" w:type="dxa"/>
            <w:vAlign w:val="center"/>
          </w:tcPr>
          <w:p>
            <w:pPr>
              <w:spacing w:line="360" w:lineRule="auto"/>
              <w:jc w:val="center"/>
              <w:rPr>
                <w:rFonts w:ascii="仿宋_GB2312" w:hAnsi="仿宋_GB2312" w:eastAsia="仿宋_GB2312" w:cs="仿宋_GB2312"/>
                <w:sz w:val="24"/>
                <w:szCs w:val="24"/>
              </w:rPr>
            </w:pPr>
          </w:p>
        </w:tc>
        <w:tc>
          <w:tcPr>
            <w:tcW w:w="1743" w:type="dxa"/>
            <w:vAlign w:val="center"/>
          </w:tcPr>
          <w:p>
            <w:pPr>
              <w:spacing w:line="360" w:lineRule="auto"/>
              <w:jc w:val="center"/>
              <w:rPr>
                <w:rFonts w:ascii="仿宋_GB2312" w:hAnsi="仿宋_GB2312" w:eastAsia="仿宋_GB2312" w:cs="仿宋_GB2312"/>
                <w:sz w:val="24"/>
                <w:szCs w:val="24"/>
              </w:rPr>
            </w:pPr>
          </w:p>
        </w:tc>
        <w:tc>
          <w:tcPr>
            <w:tcW w:w="1380" w:type="dxa"/>
            <w:vAlign w:val="center"/>
          </w:tcPr>
          <w:p>
            <w:pPr>
              <w:spacing w:line="360" w:lineRule="auto"/>
              <w:jc w:val="center"/>
              <w:rPr>
                <w:rFonts w:ascii="仿宋_GB2312" w:hAnsi="仿宋_GB2312" w:eastAsia="仿宋_GB2312" w:cs="仿宋_GB2312"/>
                <w:sz w:val="24"/>
                <w:szCs w:val="24"/>
              </w:rPr>
            </w:pPr>
          </w:p>
        </w:tc>
        <w:tc>
          <w:tcPr>
            <w:tcW w:w="1782" w:type="dxa"/>
            <w:vAlign w:val="center"/>
          </w:tcPr>
          <w:p>
            <w:pPr>
              <w:spacing w:line="360" w:lineRule="auto"/>
              <w:jc w:val="center"/>
              <w:rPr>
                <w:rFonts w:ascii="仿宋_GB2312" w:hAnsi="仿宋_GB2312" w:eastAsia="仿宋_GB2312" w:cs="仿宋_GB2312"/>
                <w:sz w:val="24"/>
                <w:szCs w:val="24"/>
              </w:rPr>
            </w:pPr>
          </w:p>
        </w:tc>
        <w:tc>
          <w:tcPr>
            <w:tcW w:w="4616" w:type="dxa"/>
            <w:vAlign w:val="center"/>
          </w:tcPr>
          <w:p>
            <w:pPr>
              <w:spacing w:line="360" w:lineRule="auto"/>
              <w:jc w:val="center"/>
              <w:rPr>
                <w:rFonts w:ascii="仿宋_GB2312" w:hAnsi="仿宋_GB2312" w:eastAsia="仿宋_GB2312" w:cs="仿宋_GB2312"/>
                <w:sz w:val="24"/>
                <w:szCs w:val="24"/>
              </w:rPr>
            </w:pPr>
          </w:p>
        </w:tc>
      </w:tr>
    </w:tbl>
    <w:p>
      <w:pPr>
        <w:spacing w:line="360" w:lineRule="auto"/>
        <w:jc w:val="left"/>
        <w:rPr>
          <w:rFonts w:hAnsi="宋体" w:cs="宋体-18030"/>
          <w:sz w:val="24"/>
        </w:rPr>
      </w:pPr>
      <w:r>
        <w:rPr>
          <w:rFonts w:hint="eastAsia" w:ascii="仿宋_GB2312" w:hAnsi="仿宋_GB2312" w:eastAsia="仿宋_GB2312" w:cs="仿宋_GB2312"/>
          <w:sz w:val="24"/>
          <w:szCs w:val="24"/>
        </w:rPr>
        <w:t xml:space="preserve">   注：近三年为全国50强或深圳20强地产企业品牌提供深圳地区按揭贷款服务业绩合作情况数据，提供合作协议的相关页（需包含合同对方名称、合作项目名称、项目地址、合同签订日期等）。</w:t>
      </w:r>
    </w:p>
    <w:p>
      <w:pPr>
        <w:widowControl/>
        <w:jc w:val="left"/>
        <w:rPr>
          <w:rFonts w:ascii="楷体_GB2312" w:hAnsi="宋体" w:eastAsia="楷体_GB2312" w:cs="宋体"/>
          <w:b/>
          <w:bCs/>
          <w:kern w:val="0"/>
          <w:sz w:val="24"/>
          <w:szCs w:val="24"/>
        </w:rPr>
      </w:pPr>
      <w:r>
        <w:rPr>
          <w:rFonts w:hint="eastAsia" w:hAnsi="宋体" w:cs="宋体-18030"/>
          <w:sz w:val="24"/>
        </w:rPr>
        <w:t xml:space="preserve">  </w:t>
      </w:r>
      <w:bookmarkEnd w:id="1081"/>
      <w:bookmarkEnd w:id="1082"/>
      <w:bookmarkEnd w:id="1083"/>
      <w:bookmarkEnd w:id="1084"/>
      <w:bookmarkEnd w:id="1085"/>
      <w:bookmarkEnd w:id="1086"/>
      <w:bookmarkEnd w:id="1206"/>
    </w:p>
    <w:sectPr>
      <w:headerReference r:id="rId16" w:type="default"/>
      <w:pgSz w:w="16840" w:h="11907" w:orient="landscape"/>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Segoe Print"/>
    <w:panose1 w:val="00000000000000000000"/>
    <w:charset w:val="00"/>
    <w:family w:val="roman"/>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3</w:t>
    </w:r>
    <w:r>
      <w:fldChar w:fldCharType="end"/>
    </w:r>
  </w:p>
  <w:p>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36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36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jc w:val="left"/>
      <w:rPr>
        <w:rFonts w:ascii="宋体" w:hAnsi="宋体" w:cs="宋体"/>
      </w:rPr>
    </w:pPr>
  </w:p>
  <w:p>
    <w:pPr>
      <w:pStyle w:val="32"/>
      <w:pBdr>
        <w:bottom w:val="none" w:color="auto" w:sz="0" w:space="0"/>
      </w:pBdr>
      <w:jc w:val="left"/>
      <w:rPr>
        <w:rFonts w:ascii="宋体" w:hAnsi="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jc w:val="left"/>
      <w:rPr>
        <w:rFonts w:ascii="宋体" w:hAnsi="宋体" w:cs="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rPr>
        <w:rFonts w:ascii="宋体" w:hAnsi="宋体" w:cs="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DDB84E"/>
    <w:multiLevelType w:val="singleLevel"/>
    <w:tmpl w:val="DADDB84E"/>
    <w:lvl w:ilvl="0" w:tentative="0">
      <w:start w:val="1"/>
      <w:numFmt w:val="japaneseCounting"/>
      <w:suff w:val="nothing"/>
      <w:lvlText w:val="%1、"/>
      <w:lvlJc w:val="left"/>
      <w:rPr>
        <w:rFonts w:ascii="宋体" w:hAnsi="宋体" w:eastAsia="宋体" w:cs="Times New Roman"/>
        <w:lang w:val="en-US"/>
      </w:rPr>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12FB56F6"/>
    <w:multiLevelType w:val="multilevel"/>
    <w:tmpl w:val="12FB56F6"/>
    <w:lvl w:ilvl="0" w:tentative="0">
      <w:start w:val="1"/>
      <w:numFmt w:val="japaneseCounting"/>
      <w:lvlText w:val="第%1条"/>
      <w:lvlJc w:val="left"/>
      <w:pPr>
        <w:ind w:left="1440" w:hanging="9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3C650FB"/>
    <w:multiLevelType w:val="multilevel"/>
    <w:tmpl w:val="43C650FB"/>
    <w:lvl w:ilvl="0" w:tentative="0">
      <w:start w:val="1"/>
      <w:numFmt w:val="chineseCountingThousand"/>
      <w:pStyle w:val="194"/>
      <w:lvlText w:val="第%1条"/>
      <w:lvlJc w:val="left"/>
      <w:pPr>
        <w:tabs>
          <w:tab w:val="left" w:pos="851"/>
        </w:tabs>
        <w:ind w:left="851" w:hanging="851"/>
      </w:pPr>
      <w:rPr>
        <w:rFonts w:hint="eastAsia"/>
      </w:rPr>
    </w:lvl>
    <w:lvl w:ilvl="1" w:tentative="0">
      <w:start w:val="1"/>
      <w:numFmt w:val="decimal"/>
      <w:pStyle w:val="195"/>
      <w:isLgl/>
      <w:lvlText w:val="%1.%2"/>
      <w:lvlJc w:val="left"/>
      <w:pPr>
        <w:tabs>
          <w:tab w:val="left" w:pos="851"/>
        </w:tabs>
        <w:ind w:left="851" w:hanging="851"/>
      </w:pPr>
      <w:rPr>
        <w:rFonts w:hint="eastAsia"/>
      </w:rPr>
    </w:lvl>
    <w:lvl w:ilvl="2" w:tentative="0">
      <w:start w:val="1"/>
      <w:numFmt w:val="decimal"/>
      <w:pStyle w:val="197"/>
      <w:isLgl/>
      <w:lvlText w:val="%1.%2.%3"/>
      <w:lvlJc w:val="left"/>
      <w:pPr>
        <w:tabs>
          <w:tab w:val="left" w:pos="1985"/>
        </w:tabs>
        <w:ind w:left="1985" w:hanging="1134"/>
      </w:pPr>
      <w:rPr>
        <w:rFonts w:hint="eastAsia"/>
      </w:rPr>
    </w:lvl>
    <w:lvl w:ilvl="3" w:tentative="0">
      <w:start w:val="1"/>
      <w:numFmt w:val="decimal"/>
      <w:pStyle w:val="198"/>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491399A"/>
    <w:multiLevelType w:val="multilevel"/>
    <w:tmpl w:val="4491399A"/>
    <w:lvl w:ilvl="0" w:tentative="0">
      <w:start w:val="1"/>
      <w:numFmt w:val="japaneseCounting"/>
      <w:lvlText w:val="%1、"/>
      <w:lvlJc w:val="left"/>
      <w:pPr>
        <w:ind w:left="960" w:hanging="480"/>
      </w:pPr>
      <w:rPr>
        <w:rFonts w:hint="default" w:ascii="黑体" w:hAnsi="黑体" w:eastAsia="黑体" w:cs="黑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4NGVkZjBmMzI5YmM5YmRjNzQyZTU0ODZjM2NkMjUifQ=="/>
  </w:docVars>
  <w:rsids>
    <w:rsidRoot w:val="00170C43"/>
    <w:rsid w:val="00000C4D"/>
    <w:rsid w:val="00002AB0"/>
    <w:rsid w:val="000033BF"/>
    <w:rsid w:val="0000410C"/>
    <w:rsid w:val="000041A6"/>
    <w:rsid w:val="00005DC2"/>
    <w:rsid w:val="00007253"/>
    <w:rsid w:val="0000744D"/>
    <w:rsid w:val="00007D57"/>
    <w:rsid w:val="0001064A"/>
    <w:rsid w:val="00010AC6"/>
    <w:rsid w:val="0001114A"/>
    <w:rsid w:val="000139F6"/>
    <w:rsid w:val="0001685F"/>
    <w:rsid w:val="00016EED"/>
    <w:rsid w:val="00017554"/>
    <w:rsid w:val="000176A0"/>
    <w:rsid w:val="00017E21"/>
    <w:rsid w:val="00021C5F"/>
    <w:rsid w:val="00021C8F"/>
    <w:rsid w:val="00022CB3"/>
    <w:rsid w:val="0002329A"/>
    <w:rsid w:val="00024201"/>
    <w:rsid w:val="00024ED4"/>
    <w:rsid w:val="0003016A"/>
    <w:rsid w:val="0003078C"/>
    <w:rsid w:val="00031DE7"/>
    <w:rsid w:val="00031F90"/>
    <w:rsid w:val="00031FA6"/>
    <w:rsid w:val="00032313"/>
    <w:rsid w:val="00032E63"/>
    <w:rsid w:val="00034613"/>
    <w:rsid w:val="00036C9E"/>
    <w:rsid w:val="00036DA2"/>
    <w:rsid w:val="0003798F"/>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6E35"/>
    <w:rsid w:val="000572A6"/>
    <w:rsid w:val="0006342A"/>
    <w:rsid w:val="00063B0B"/>
    <w:rsid w:val="00063D2A"/>
    <w:rsid w:val="00063E9B"/>
    <w:rsid w:val="00065BE8"/>
    <w:rsid w:val="000669AD"/>
    <w:rsid w:val="000704E7"/>
    <w:rsid w:val="00070B06"/>
    <w:rsid w:val="000720B7"/>
    <w:rsid w:val="000720C0"/>
    <w:rsid w:val="0007262E"/>
    <w:rsid w:val="00072E80"/>
    <w:rsid w:val="0007358D"/>
    <w:rsid w:val="0007466C"/>
    <w:rsid w:val="00075C81"/>
    <w:rsid w:val="00075E3F"/>
    <w:rsid w:val="00076B95"/>
    <w:rsid w:val="00076EC2"/>
    <w:rsid w:val="00077416"/>
    <w:rsid w:val="000807AA"/>
    <w:rsid w:val="000816C6"/>
    <w:rsid w:val="0008246F"/>
    <w:rsid w:val="00083576"/>
    <w:rsid w:val="00084BFD"/>
    <w:rsid w:val="00084FBA"/>
    <w:rsid w:val="000851DC"/>
    <w:rsid w:val="000864CD"/>
    <w:rsid w:val="00087AA0"/>
    <w:rsid w:val="00091613"/>
    <w:rsid w:val="000A0F1E"/>
    <w:rsid w:val="000A1DD2"/>
    <w:rsid w:val="000A1EDD"/>
    <w:rsid w:val="000A2FBA"/>
    <w:rsid w:val="000A3015"/>
    <w:rsid w:val="000A32BF"/>
    <w:rsid w:val="000A4E55"/>
    <w:rsid w:val="000A51BE"/>
    <w:rsid w:val="000A5B28"/>
    <w:rsid w:val="000A609E"/>
    <w:rsid w:val="000A6383"/>
    <w:rsid w:val="000A740B"/>
    <w:rsid w:val="000B0388"/>
    <w:rsid w:val="000B0708"/>
    <w:rsid w:val="000B2129"/>
    <w:rsid w:val="000B318E"/>
    <w:rsid w:val="000B3B11"/>
    <w:rsid w:val="000B442B"/>
    <w:rsid w:val="000B4A0F"/>
    <w:rsid w:val="000B4F29"/>
    <w:rsid w:val="000B620E"/>
    <w:rsid w:val="000C0AAA"/>
    <w:rsid w:val="000C139C"/>
    <w:rsid w:val="000C4F48"/>
    <w:rsid w:val="000C700E"/>
    <w:rsid w:val="000D07C3"/>
    <w:rsid w:val="000D0D8C"/>
    <w:rsid w:val="000D375C"/>
    <w:rsid w:val="000D5EAA"/>
    <w:rsid w:val="000D643B"/>
    <w:rsid w:val="000D6E6D"/>
    <w:rsid w:val="000D770E"/>
    <w:rsid w:val="000E1B23"/>
    <w:rsid w:val="000E1DAD"/>
    <w:rsid w:val="000E4F77"/>
    <w:rsid w:val="000E6685"/>
    <w:rsid w:val="000E69B2"/>
    <w:rsid w:val="000E69C4"/>
    <w:rsid w:val="000E6D3B"/>
    <w:rsid w:val="000F0468"/>
    <w:rsid w:val="000F0CAA"/>
    <w:rsid w:val="000F1173"/>
    <w:rsid w:val="000F28E2"/>
    <w:rsid w:val="000F2AE4"/>
    <w:rsid w:val="000F3D10"/>
    <w:rsid w:val="000F4391"/>
    <w:rsid w:val="000F6CE3"/>
    <w:rsid w:val="000F7A77"/>
    <w:rsid w:val="0010094D"/>
    <w:rsid w:val="00103672"/>
    <w:rsid w:val="00103A89"/>
    <w:rsid w:val="00105D40"/>
    <w:rsid w:val="00107328"/>
    <w:rsid w:val="0011073A"/>
    <w:rsid w:val="00111126"/>
    <w:rsid w:val="00111559"/>
    <w:rsid w:val="001138F7"/>
    <w:rsid w:val="00113B48"/>
    <w:rsid w:val="001155F5"/>
    <w:rsid w:val="001158C8"/>
    <w:rsid w:val="00115932"/>
    <w:rsid w:val="00115A01"/>
    <w:rsid w:val="00120251"/>
    <w:rsid w:val="001213DC"/>
    <w:rsid w:val="00122471"/>
    <w:rsid w:val="001270F1"/>
    <w:rsid w:val="0013072B"/>
    <w:rsid w:val="00130A97"/>
    <w:rsid w:val="001326A3"/>
    <w:rsid w:val="00132B5D"/>
    <w:rsid w:val="00134455"/>
    <w:rsid w:val="00135BBA"/>
    <w:rsid w:val="00136DED"/>
    <w:rsid w:val="001420A9"/>
    <w:rsid w:val="00143D29"/>
    <w:rsid w:val="001442F5"/>
    <w:rsid w:val="00144D84"/>
    <w:rsid w:val="00144E73"/>
    <w:rsid w:val="00145131"/>
    <w:rsid w:val="00145BCD"/>
    <w:rsid w:val="001469E8"/>
    <w:rsid w:val="00150B16"/>
    <w:rsid w:val="00152809"/>
    <w:rsid w:val="00155F8E"/>
    <w:rsid w:val="0015641D"/>
    <w:rsid w:val="00157A64"/>
    <w:rsid w:val="0016022A"/>
    <w:rsid w:val="001630D4"/>
    <w:rsid w:val="00163592"/>
    <w:rsid w:val="00165780"/>
    <w:rsid w:val="001657DD"/>
    <w:rsid w:val="0016622C"/>
    <w:rsid w:val="001663AE"/>
    <w:rsid w:val="00170C20"/>
    <w:rsid w:val="00170C43"/>
    <w:rsid w:val="00172061"/>
    <w:rsid w:val="001723EB"/>
    <w:rsid w:val="00172C13"/>
    <w:rsid w:val="001739EE"/>
    <w:rsid w:val="0017454B"/>
    <w:rsid w:val="0017526E"/>
    <w:rsid w:val="0017578D"/>
    <w:rsid w:val="0017599C"/>
    <w:rsid w:val="00175B30"/>
    <w:rsid w:val="00176F0B"/>
    <w:rsid w:val="001770CC"/>
    <w:rsid w:val="00177BBA"/>
    <w:rsid w:val="001810B5"/>
    <w:rsid w:val="00181BB4"/>
    <w:rsid w:val="001828F8"/>
    <w:rsid w:val="00183AFE"/>
    <w:rsid w:val="00183F78"/>
    <w:rsid w:val="00184FCE"/>
    <w:rsid w:val="001860F0"/>
    <w:rsid w:val="00190237"/>
    <w:rsid w:val="00191106"/>
    <w:rsid w:val="00191318"/>
    <w:rsid w:val="001929F0"/>
    <w:rsid w:val="00192C69"/>
    <w:rsid w:val="00192F55"/>
    <w:rsid w:val="00193D81"/>
    <w:rsid w:val="00194765"/>
    <w:rsid w:val="00195F65"/>
    <w:rsid w:val="00196AF0"/>
    <w:rsid w:val="00197038"/>
    <w:rsid w:val="001974CF"/>
    <w:rsid w:val="001974DE"/>
    <w:rsid w:val="001A0727"/>
    <w:rsid w:val="001A0A3E"/>
    <w:rsid w:val="001A2003"/>
    <w:rsid w:val="001A306B"/>
    <w:rsid w:val="001A548D"/>
    <w:rsid w:val="001A560D"/>
    <w:rsid w:val="001A6633"/>
    <w:rsid w:val="001A6C33"/>
    <w:rsid w:val="001A7ED9"/>
    <w:rsid w:val="001B005F"/>
    <w:rsid w:val="001B016A"/>
    <w:rsid w:val="001B0703"/>
    <w:rsid w:val="001B1D10"/>
    <w:rsid w:val="001B3324"/>
    <w:rsid w:val="001B61FC"/>
    <w:rsid w:val="001B6DD0"/>
    <w:rsid w:val="001B6F0D"/>
    <w:rsid w:val="001B7A82"/>
    <w:rsid w:val="001C42D1"/>
    <w:rsid w:val="001C7FD5"/>
    <w:rsid w:val="001D01F6"/>
    <w:rsid w:val="001D05FC"/>
    <w:rsid w:val="001D0B1F"/>
    <w:rsid w:val="001D13A2"/>
    <w:rsid w:val="001D2D15"/>
    <w:rsid w:val="001D355B"/>
    <w:rsid w:val="001D6AE6"/>
    <w:rsid w:val="001E1A08"/>
    <w:rsid w:val="001E3A2C"/>
    <w:rsid w:val="001E41C0"/>
    <w:rsid w:val="001E6E27"/>
    <w:rsid w:val="001F0041"/>
    <w:rsid w:val="001F0AC2"/>
    <w:rsid w:val="001F0C32"/>
    <w:rsid w:val="001F2C41"/>
    <w:rsid w:val="001F323A"/>
    <w:rsid w:val="001F3B29"/>
    <w:rsid w:val="001F4AF4"/>
    <w:rsid w:val="001F69A6"/>
    <w:rsid w:val="001F6A60"/>
    <w:rsid w:val="00201B22"/>
    <w:rsid w:val="0020573D"/>
    <w:rsid w:val="00205AAB"/>
    <w:rsid w:val="00206B15"/>
    <w:rsid w:val="00207770"/>
    <w:rsid w:val="0020791A"/>
    <w:rsid w:val="00210A39"/>
    <w:rsid w:val="00210DB5"/>
    <w:rsid w:val="00211830"/>
    <w:rsid w:val="002126EB"/>
    <w:rsid w:val="00215761"/>
    <w:rsid w:val="0022083E"/>
    <w:rsid w:val="0022395A"/>
    <w:rsid w:val="00224EDC"/>
    <w:rsid w:val="002253F0"/>
    <w:rsid w:val="002259BA"/>
    <w:rsid w:val="00225EB1"/>
    <w:rsid w:val="00225F80"/>
    <w:rsid w:val="00230341"/>
    <w:rsid w:val="0023288B"/>
    <w:rsid w:val="00232B5C"/>
    <w:rsid w:val="002330C6"/>
    <w:rsid w:val="0023407E"/>
    <w:rsid w:val="002409B1"/>
    <w:rsid w:val="00241163"/>
    <w:rsid w:val="002413C9"/>
    <w:rsid w:val="002416FB"/>
    <w:rsid w:val="0024244F"/>
    <w:rsid w:val="00243BA6"/>
    <w:rsid w:val="002440A5"/>
    <w:rsid w:val="0024503B"/>
    <w:rsid w:val="00245728"/>
    <w:rsid w:val="00245855"/>
    <w:rsid w:val="00246318"/>
    <w:rsid w:val="002470D3"/>
    <w:rsid w:val="0024741D"/>
    <w:rsid w:val="002516C2"/>
    <w:rsid w:val="00255237"/>
    <w:rsid w:val="00255C91"/>
    <w:rsid w:val="0025664B"/>
    <w:rsid w:val="002577A6"/>
    <w:rsid w:val="00257E27"/>
    <w:rsid w:val="002602D2"/>
    <w:rsid w:val="00260EB4"/>
    <w:rsid w:val="002622D3"/>
    <w:rsid w:val="00262CE1"/>
    <w:rsid w:val="00263FC3"/>
    <w:rsid w:val="00264955"/>
    <w:rsid w:val="00264D6F"/>
    <w:rsid w:val="002657D2"/>
    <w:rsid w:val="002661DB"/>
    <w:rsid w:val="00266AB1"/>
    <w:rsid w:val="00266D7B"/>
    <w:rsid w:val="00267313"/>
    <w:rsid w:val="002677C2"/>
    <w:rsid w:val="00267FF1"/>
    <w:rsid w:val="002730C3"/>
    <w:rsid w:val="00273347"/>
    <w:rsid w:val="0027375C"/>
    <w:rsid w:val="00274484"/>
    <w:rsid w:val="0027522A"/>
    <w:rsid w:val="00275D29"/>
    <w:rsid w:val="00276820"/>
    <w:rsid w:val="0028033E"/>
    <w:rsid w:val="0028176E"/>
    <w:rsid w:val="0028197C"/>
    <w:rsid w:val="002821AA"/>
    <w:rsid w:val="0028251F"/>
    <w:rsid w:val="0028401D"/>
    <w:rsid w:val="0028713C"/>
    <w:rsid w:val="00290052"/>
    <w:rsid w:val="00290B79"/>
    <w:rsid w:val="00290DFD"/>
    <w:rsid w:val="00291532"/>
    <w:rsid w:val="0029306F"/>
    <w:rsid w:val="00293F17"/>
    <w:rsid w:val="002945B0"/>
    <w:rsid w:val="00296AE3"/>
    <w:rsid w:val="002A3578"/>
    <w:rsid w:val="002A3E1A"/>
    <w:rsid w:val="002A55B3"/>
    <w:rsid w:val="002A7AFE"/>
    <w:rsid w:val="002B0044"/>
    <w:rsid w:val="002B10CF"/>
    <w:rsid w:val="002B1A1D"/>
    <w:rsid w:val="002B1BD6"/>
    <w:rsid w:val="002B2720"/>
    <w:rsid w:val="002B3591"/>
    <w:rsid w:val="002B3ED0"/>
    <w:rsid w:val="002B4273"/>
    <w:rsid w:val="002B50FA"/>
    <w:rsid w:val="002B5515"/>
    <w:rsid w:val="002C04B1"/>
    <w:rsid w:val="002C0547"/>
    <w:rsid w:val="002C400C"/>
    <w:rsid w:val="002C4E6A"/>
    <w:rsid w:val="002C4F2D"/>
    <w:rsid w:val="002C54A4"/>
    <w:rsid w:val="002D13D5"/>
    <w:rsid w:val="002D34B9"/>
    <w:rsid w:val="002D4E04"/>
    <w:rsid w:val="002D6248"/>
    <w:rsid w:val="002D6B41"/>
    <w:rsid w:val="002E1F42"/>
    <w:rsid w:val="002E4FD3"/>
    <w:rsid w:val="002E5E6B"/>
    <w:rsid w:val="002E5EE1"/>
    <w:rsid w:val="002E60D8"/>
    <w:rsid w:val="002F0669"/>
    <w:rsid w:val="002F1B22"/>
    <w:rsid w:val="002F3AFD"/>
    <w:rsid w:val="002F4672"/>
    <w:rsid w:val="002F5756"/>
    <w:rsid w:val="002F5D0C"/>
    <w:rsid w:val="002F6713"/>
    <w:rsid w:val="002F6FFE"/>
    <w:rsid w:val="003005D6"/>
    <w:rsid w:val="00301737"/>
    <w:rsid w:val="00302508"/>
    <w:rsid w:val="00303B99"/>
    <w:rsid w:val="0030670E"/>
    <w:rsid w:val="00307D1F"/>
    <w:rsid w:val="00311E3A"/>
    <w:rsid w:val="00314C6E"/>
    <w:rsid w:val="003165D1"/>
    <w:rsid w:val="0032081E"/>
    <w:rsid w:val="00321021"/>
    <w:rsid w:val="003218E6"/>
    <w:rsid w:val="00321B49"/>
    <w:rsid w:val="00321DDC"/>
    <w:rsid w:val="00322418"/>
    <w:rsid w:val="00324860"/>
    <w:rsid w:val="003264DD"/>
    <w:rsid w:val="003274BD"/>
    <w:rsid w:val="003302CF"/>
    <w:rsid w:val="00331435"/>
    <w:rsid w:val="00333E6B"/>
    <w:rsid w:val="003344DA"/>
    <w:rsid w:val="00335C9D"/>
    <w:rsid w:val="0033719A"/>
    <w:rsid w:val="003377C1"/>
    <w:rsid w:val="003401F1"/>
    <w:rsid w:val="00341396"/>
    <w:rsid w:val="00341DFA"/>
    <w:rsid w:val="003423F7"/>
    <w:rsid w:val="00342FEC"/>
    <w:rsid w:val="0034335F"/>
    <w:rsid w:val="00344308"/>
    <w:rsid w:val="003449BE"/>
    <w:rsid w:val="003512B0"/>
    <w:rsid w:val="00351689"/>
    <w:rsid w:val="00352E9B"/>
    <w:rsid w:val="00354923"/>
    <w:rsid w:val="00355DA1"/>
    <w:rsid w:val="00361619"/>
    <w:rsid w:val="00364AA0"/>
    <w:rsid w:val="00364BD2"/>
    <w:rsid w:val="00367677"/>
    <w:rsid w:val="00370566"/>
    <w:rsid w:val="00370F20"/>
    <w:rsid w:val="00373D0F"/>
    <w:rsid w:val="003748EC"/>
    <w:rsid w:val="003756E7"/>
    <w:rsid w:val="003758AB"/>
    <w:rsid w:val="0037632E"/>
    <w:rsid w:val="00377FCB"/>
    <w:rsid w:val="00381410"/>
    <w:rsid w:val="0038172A"/>
    <w:rsid w:val="00381AE6"/>
    <w:rsid w:val="00386C06"/>
    <w:rsid w:val="00387E02"/>
    <w:rsid w:val="003915E1"/>
    <w:rsid w:val="00391F6A"/>
    <w:rsid w:val="00392246"/>
    <w:rsid w:val="003945B5"/>
    <w:rsid w:val="00394D54"/>
    <w:rsid w:val="00395B49"/>
    <w:rsid w:val="003A137C"/>
    <w:rsid w:val="003A1E60"/>
    <w:rsid w:val="003A2824"/>
    <w:rsid w:val="003A51FC"/>
    <w:rsid w:val="003A5E72"/>
    <w:rsid w:val="003A6345"/>
    <w:rsid w:val="003B107A"/>
    <w:rsid w:val="003B297F"/>
    <w:rsid w:val="003B2A28"/>
    <w:rsid w:val="003B3CF1"/>
    <w:rsid w:val="003B4197"/>
    <w:rsid w:val="003B457F"/>
    <w:rsid w:val="003B4AD8"/>
    <w:rsid w:val="003B6021"/>
    <w:rsid w:val="003B632A"/>
    <w:rsid w:val="003C0A7B"/>
    <w:rsid w:val="003C5851"/>
    <w:rsid w:val="003C77BB"/>
    <w:rsid w:val="003D0514"/>
    <w:rsid w:val="003D0636"/>
    <w:rsid w:val="003D0986"/>
    <w:rsid w:val="003D37ED"/>
    <w:rsid w:val="003D5D0A"/>
    <w:rsid w:val="003D70F1"/>
    <w:rsid w:val="003E3891"/>
    <w:rsid w:val="003E41DE"/>
    <w:rsid w:val="003E4FE3"/>
    <w:rsid w:val="003E629D"/>
    <w:rsid w:val="003E6F62"/>
    <w:rsid w:val="003F0DD2"/>
    <w:rsid w:val="003F170D"/>
    <w:rsid w:val="003F2762"/>
    <w:rsid w:val="003F42BD"/>
    <w:rsid w:val="003F4BC1"/>
    <w:rsid w:val="003F5F55"/>
    <w:rsid w:val="003F7325"/>
    <w:rsid w:val="003F7D8B"/>
    <w:rsid w:val="00400347"/>
    <w:rsid w:val="004011CB"/>
    <w:rsid w:val="004011CE"/>
    <w:rsid w:val="0040323D"/>
    <w:rsid w:val="00403606"/>
    <w:rsid w:val="004048C5"/>
    <w:rsid w:val="00405DCA"/>
    <w:rsid w:val="0040747B"/>
    <w:rsid w:val="0041460E"/>
    <w:rsid w:val="00414A26"/>
    <w:rsid w:val="0041616B"/>
    <w:rsid w:val="004162CB"/>
    <w:rsid w:val="00416D61"/>
    <w:rsid w:val="004179C1"/>
    <w:rsid w:val="00423528"/>
    <w:rsid w:val="0042375F"/>
    <w:rsid w:val="00424633"/>
    <w:rsid w:val="00424CA8"/>
    <w:rsid w:val="0042687C"/>
    <w:rsid w:val="00426F48"/>
    <w:rsid w:val="00430634"/>
    <w:rsid w:val="00433779"/>
    <w:rsid w:val="00433F5B"/>
    <w:rsid w:val="0043451E"/>
    <w:rsid w:val="00435A75"/>
    <w:rsid w:val="00435D96"/>
    <w:rsid w:val="0044088F"/>
    <w:rsid w:val="00440EC5"/>
    <w:rsid w:val="004413B3"/>
    <w:rsid w:val="004422D0"/>
    <w:rsid w:val="004447A6"/>
    <w:rsid w:val="00452396"/>
    <w:rsid w:val="00453EB3"/>
    <w:rsid w:val="004542B8"/>
    <w:rsid w:val="00454D28"/>
    <w:rsid w:val="00454E4A"/>
    <w:rsid w:val="0045588E"/>
    <w:rsid w:val="004565E4"/>
    <w:rsid w:val="004570B5"/>
    <w:rsid w:val="00457F1D"/>
    <w:rsid w:val="00461A5D"/>
    <w:rsid w:val="004620A4"/>
    <w:rsid w:val="00463639"/>
    <w:rsid w:val="00467140"/>
    <w:rsid w:val="00471C07"/>
    <w:rsid w:val="00476280"/>
    <w:rsid w:val="00483585"/>
    <w:rsid w:val="004852A6"/>
    <w:rsid w:val="00485D9F"/>
    <w:rsid w:val="004863DC"/>
    <w:rsid w:val="00486F65"/>
    <w:rsid w:val="004902BB"/>
    <w:rsid w:val="004916E2"/>
    <w:rsid w:val="00492102"/>
    <w:rsid w:val="00492A22"/>
    <w:rsid w:val="004934C4"/>
    <w:rsid w:val="00493D56"/>
    <w:rsid w:val="00493E41"/>
    <w:rsid w:val="0049418D"/>
    <w:rsid w:val="00494433"/>
    <w:rsid w:val="004953F9"/>
    <w:rsid w:val="00497D07"/>
    <w:rsid w:val="004A0327"/>
    <w:rsid w:val="004A19AB"/>
    <w:rsid w:val="004A4BA6"/>
    <w:rsid w:val="004A73F2"/>
    <w:rsid w:val="004B009D"/>
    <w:rsid w:val="004B01E6"/>
    <w:rsid w:val="004B16D4"/>
    <w:rsid w:val="004B1C63"/>
    <w:rsid w:val="004B2708"/>
    <w:rsid w:val="004B386B"/>
    <w:rsid w:val="004B7023"/>
    <w:rsid w:val="004B7259"/>
    <w:rsid w:val="004C06E2"/>
    <w:rsid w:val="004C0E63"/>
    <w:rsid w:val="004C11FC"/>
    <w:rsid w:val="004C1B5D"/>
    <w:rsid w:val="004C58D3"/>
    <w:rsid w:val="004C60EA"/>
    <w:rsid w:val="004C62EA"/>
    <w:rsid w:val="004C63D1"/>
    <w:rsid w:val="004C7F68"/>
    <w:rsid w:val="004D06E4"/>
    <w:rsid w:val="004D0B05"/>
    <w:rsid w:val="004D573E"/>
    <w:rsid w:val="004D5A17"/>
    <w:rsid w:val="004D5E41"/>
    <w:rsid w:val="004D6B1F"/>
    <w:rsid w:val="004D73F6"/>
    <w:rsid w:val="004E1918"/>
    <w:rsid w:val="004E1C57"/>
    <w:rsid w:val="004E3294"/>
    <w:rsid w:val="004E58F9"/>
    <w:rsid w:val="004E6697"/>
    <w:rsid w:val="004E7E9B"/>
    <w:rsid w:val="004F0FEA"/>
    <w:rsid w:val="004F343C"/>
    <w:rsid w:val="004F5A47"/>
    <w:rsid w:val="004F70B2"/>
    <w:rsid w:val="004F7139"/>
    <w:rsid w:val="00500464"/>
    <w:rsid w:val="005005E6"/>
    <w:rsid w:val="00500773"/>
    <w:rsid w:val="0050176A"/>
    <w:rsid w:val="00501B92"/>
    <w:rsid w:val="005025B4"/>
    <w:rsid w:val="00502898"/>
    <w:rsid w:val="0050560F"/>
    <w:rsid w:val="00505D82"/>
    <w:rsid w:val="005070AC"/>
    <w:rsid w:val="00511414"/>
    <w:rsid w:val="00511716"/>
    <w:rsid w:val="00511FF7"/>
    <w:rsid w:val="005124EA"/>
    <w:rsid w:val="005125D9"/>
    <w:rsid w:val="00512951"/>
    <w:rsid w:val="00514172"/>
    <w:rsid w:val="005143A5"/>
    <w:rsid w:val="005147A4"/>
    <w:rsid w:val="00514BE9"/>
    <w:rsid w:val="005172B9"/>
    <w:rsid w:val="00517EEB"/>
    <w:rsid w:val="005208E9"/>
    <w:rsid w:val="00522CB7"/>
    <w:rsid w:val="00522E4B"/>
    <w:rsid w:val="005245B5"/>
    <w:rsid w:val="00524E36"/>
    <w:rsid w:val="00525D5D"/>
    <w:rsid w:val="00527551"/>
    <w:rsid w:val="005277D9"/>
    <w:rsid w:val="005303E4"/>
    <w:rsid w:val="00531F77"/>
    <w:rsid w:val="00532C56"/>
    <w:rsid w:val="005351F0"/>
    <w:rsid w:val="0053563E"/>
    <w:rsid w:val="00536968"/>
    <w:rsid w:val="005376CD"/>
    <w:rsid w:val="00537CB7"/>
    <w:rsid w:val="0054014E"/>
    <w:rsid w:val="00540FD3"/>
    <w:rsid w:val="00542257"/>
    <w:rsid w:val="00542B7F"/>
    <w:rsid w:val="00542BB1"/>
    <w:rsid w:val="00547480"/>
    <w:rsid w:val="00550288"/>
    <w:rsid w:val="00550F12"/>
    <w:rsid w:val="00552193"/>
    <w:rsid w:val="00553168"/>
    <w:rsid w:val="00553987"/>
    <w:rsid w:val="00555433"/>
    <w:rsid w:val="005575F9"/>
    <w:rsid w:val="00557CAE"/>
    <w:rsid w:val="00560FB1"/>
    <w:rsid w:val="005613AC"/>
    <w:rsid w:val="005613F8"/>
    <w:rsid w:val="00564A19"/>
    <w:rsid w:val="00566BB9"/>
    <w:rsid w:val="0056795E"/>
    <w:rsid w:val="005717A4"/>
    <w:rsid w:val="005724DC"/>
    <w:rsid w:val="00574527"/>
    <w:rsid w:val="00574D0B"/>
    <w:rsid w:val="00575C75"/>
    <w:rsid w:val="005774B8"/>
    <w:rsid w:val="0057781C"/>
    <w:rsid w:val="00581568"/>
    <w:rsid w:val="00582998"/>
    <w:rsid w:val="00582C34"/>
    <w:rsid w:val="00584AC0"/>
    <w:rsid w:val="00585884"/>
    <w:rsid w:val="00587AC3"/>
    <w:rsid w:val="00592019"/>
    <w:rsid w:val="00594777"/>
    <w:rsid w:val="00595512"/>
    <w:rsid w:val="00596856"/>
    <w:rsid w:val="00597A1B"/>
    <w:rsid w:val="005A072B"/>
    <w:rsid w:val="005A1D0A"/>
    <w:rsid w:val="005A2635"/>
    <w:rsid w:val="005A2B3C"/>
    <w:rsid w:val="005A39FB"/>
    <w:rsid w:val="005A3A51"/>
    <w:rsid w:val="005A3E90"/>
    <w:rsid w:val="005A447F"/>
    <w:rsid w:val="005A5AEC"/>
    <w:rsid w:val="005A657C"/>
    <w:rsid w:val="005A676D"/>
    <w:rsid w:val="005B01B6"/>
    <w:rsid w:val="005B0BC6"/>
    <w:rsid w:val="005B195D"/>
    <w:rsid w:val="005C027F"/>
    <w:rsid w:val="005C1DD3"/>
    <w:rsid w:val="005C2484"/>
    <w:rsid w:val="005C3281"/>
    <w:rsid w:val="005C3A6F"/>
    <w:rsid w:val="005C44E1"/>
    <w:rsid w:val="005C46D1"/>
    <w:rsid w:val="005C5D01"/>
    <w:rsid w:val="005C6389"/>
    <w:rsid w:val="005C7115"/>
    <w:rsid w:val="005D0E50"/>
    <w:rsid w:val="005D0F86"/>
    <w:rsid w:val="005D1792"/>
    <w:rsid w:val="005D5417"/>
    <w:rsid w:val="005D5513"/>
    <w:rsid w:val="005D7677"/>
    <w:rsid w:val="005E3BE9"/>
    <w:rsid w:val="005E59BF"/>
    <w:rsid w:val="005E7241"/>
    <w:rsid w:val="005F04CB"/>
    <w:rsid w:val="005F1C1D"/>
    <w:rsid w:val="005F3A43"/>
    <w:rsid w:val="005F5A89"/>
    <w:rsid w:val="005F6D8A"/>
    <w:rsid w:val="005F717F"/>
    <w:rsid w:val="00600F1F"/>
    <w:rsid w:val="00605C92"/>
    <w:rsid w:val="006061C8"/>
    <w:rsid w:val="00606355"/>
    <w:rsid w:val="00607937"/>
    <w:rsid w:val="006101C4"/>
    <w:rsid w:val="00610605"/>
    <w:rsid w:val="006120AE"/>
    <w:rsid w:val="00613E77"/>
    <w:rsid w:val="00614D59"/>
    <w:rsid w:val="00615292"/>
    <w:rsid w:val="00616C7A"/>
    <w:rsid w:val="006178F5"/>
    <w:rsid w:val="00620EDC"/>
    <w:rsid w:val="00621B29"/>
    <w:rsid w:val="00623115"/>
    <w:rsid w:val="00623278"/>
    <w:rsid w:val="00623627"/>
    <w:rsid w:val="00623E09"/>
    <w:rsid w:val="00624223"/>
    <w:rsid w:val="00630074"/>
    <w:rsid w:val="00630DD1"/>
    <w:rsid w:val="00631020"/>
    <w:rsid w:val="00631060"/>
    <w:rsid w:val="006313FC"/>
    <w:rsid w:val="006316A9"/>
    <w:rsid w:val="006323D9"/>
    <w:rsid w:val="0063670B"/>
    <w:rsid w:val="00636A90"/>
    <w:rsid w:val="00640BEB"/>
    <w:rsid w:val="0064104C"/>
    <w:rsid w:val="00641BDD"/>
    <w:rsid w:val="006434D8"/>
    <w:rsid w:val="00644090"/>
    <w:rsid w:val="00644AA0"/>
    <w:rsid w:val="00645856"/>
    <w:rsid w:val="00645A79"/>
    <w:rsid w:val="00645BF8"/>
    <w:rsid w:val="006540DB"/>
    <w:rsid w:val="0065427D"/>
    <w:rsid w:val="006549D5"/>
    <w:rsid w:val="0065696F"/>
    <w:rsid w:val="006643C0"/>
    <w:rsid w:val="006652B6"/>
    <w:rsid w:val="00666744"/>
    <w:rsid w:val="00666D8E"/>
    <w:rsid w:val="00666E7C"/>
    <w:rsid w:val="00667153"/>
    <w:rsid w:val="0066778D"/>
    <w:rsid w:val="00667F33"/>
    <w:rsid w:val="0067116A"/>
    <w:rsid w:val="00671A84"/>
    <w:rsid w:val="006743B9"/>
    <w:rsid w:val="00675DCF"/>
    <w:rsid w:val="00676303"/>
    <w:rsid w:val="006767A4"/>
    <w:rsid w:val="006779AE"/>
    <w:rsid w:val="00680D1D"/>
    <w:rsid w:val="00681E7F"/>
    <w:rsid w:val="006830C9"/>
    <w:rsid w:val="00683B09"/>
    <w:rsid w:val="00683C5F"/>
    <w:rsid w:val="00683D38"/>
    <w:rsid w:val="00684203"/>
    <w:rsid w:val="00684C83"/>
    <w:rsid w:val="0069130D"/>
    <w:rsid w:val="0069276A"/>
    <w:rsid w:val="00692855"/>
    <w:rsid w:val="00692CEC"/>
    <w:rsid w:val="00692FAE"/>
    <w:rsid w:val="006935D0"/>
    <w:rsid w:val="00694D48"/>
    <w:rsid w:val="00696A34"/>
    <w:rsid w:val="006A0765"/>
    <w:rsid w:val="006A0FA3"/>
    <w:rsid w:val="006A1830"/>
    <w:rsid w:val="006A1955"/>
    <w:rsid w:val="006A2CAE"/>
    <w:rsid w:val="006A414F"/>
    <w:rsid w:val="006A6134"/>
    <w:rsid w:val="006B154D"/>
    <w:rsid w:val="006B19A1"/>
    <w:rsid w:val="006B33A7"/>
    <w:rsid w:val="006B5165"/>
    <w:rsid w:val="006B5C37"/>
    <w:rsid w:val="006B73AF"/>
    <w:rsid w:val="006C0C78"/>
    <w:rsid w:val="006C1841"/>
    <w:rsid w:val="006C2B72"/>
    <w:rsid w:val="006C3542"/>
    <w:rsid w:val="006C36D7"/>
    <w:rsid w:val="006C5618"/>
    <w:rsid w:val="006C57F6"/>
    <w:rsid w:val="006C58D0"/>
    <w:rsid w:val="006C7BDA"/>
    <w:rsid w:val="006D0C0A"/>
    <w:rsid w:val="006D2186"/>
    <w:rsid w:val="006D2604"/>
    <w:rsid w:val="006D2844"/>
    <w:rsid w:val="006D2D65"/>
    <w:rsid w:val="006D4BE5"/>
    <w:rsid w:val="006D4EF4"/>
    <w:rsid w:val="006D555D"/>
    <w:rsid w:val="006D5F3E"/>
    <w:rsid w:val="006D6BA7"/>
    <w:rsid w:val="006D775A"/>
    <w:rsid w:val="006D7A9A"/>
    <w:rsid w:val="006E01B5"/>
    <w:rsid w:val="006E0401"/>
    <w:rsid w:val="006E0ACE"/>
    <w:rsid w:val="006E0E5F"/>
    <w:rsid w:val="006E113F"/>
    <w:rsid w:val="006E24FC"/>
    <w:rsid w:val="006E33FF"/>
    <w:rsid w:val="006E4258"/>
    <w:rsid w:val="006E66A7"/>
    <w:rsid w:val="006E717B"/>
    <w:rsid w:val="006F28AA"/>
    <w:rsid w:val="006F2A5F"/>
    <w:rsid w:val="006F2DC4"/>
    <w:rsid w:val="006F32E3"/>
    <w:rsid w:val="006F39D4"/>
    <w:rsid w:val="006F5633"/>
    <w:rsid w:val="006F7F5D"/>
    <w:rsid w:val="00701AF4"/>
    <w:rsid w:val="007038BF"/>
    <w:rsid w:val="007038FE"/>
    <w:rsid w:val="00703E03"/>
    <w:rsid w:val="00705406"/>
    <w:rsid w:val="00707D6F"/>
    <w:rsid w:val="00711503"/>
    <w:rsid w:val="00712DD0"/>
    <w:rsid w:val="00713842"/>
    <w:rsid w:val="00713C79"/>
    <w:rsid w:val="00714115"/>
    <w:rsid w:val="0071577D"/>
    <w:rsid w:val="007214DD"/>
    <w:rsid w:val="00721ABD"/>
    <w:rsid w:val="00722955"/>
    <w:rsid w:val="00722C93"/>
    <w:rsid w:val="00723DB7"/>
    <w:rsid w:val="00724102"/>
    <w:rsid w:val="0072543D"/>
    <w:rsid w:val="00726CFD"/>
    <w:rsid w:val="00727B2B"/>
    <w:rsid w:val="007317B5"/>
    <w:rsid w:val="00731F47"/>
    <w:rsid w:val="00732DF0"/>
    <w:rsid w:val="00734151"/>
    <w:rsid w:val="0073532C"/>
    <w:rsid w:val="00735D64"/>
    <w:rsid w:val="00736133"/>
    <w:rsid w:val="007363E3"/>
    <w:rsid w:val="007375EC"/>
    <w:rsid w:val="00741A0E"/>
    <w:rsid w:val="007427D6"/>
    <w:rsid w:val="0074281F"/>
    <w:rsid w:val="00742F4C"/>
    <w:rsid w:val="0074421A"/>
    <w:rsid w:val="007461A5"/>
    <w:rsid w:val="00746A9B"/>
    <w:rsid w:val="0074767F"/>
    <w:rsid w:val="00747FD0"/>
    <w:rsid w:val="007505A5"/>
    <w:rsid w:val="007511B2"/>
    <w:rsid w:val="007518C1"/>
    <w:rsid w:val="00751A60"/>
    <w:rsid w:val="00752EDE"/>
    <w:rsid w:val="00753A2D"/>
    <w:rsid w:val="00754D88"/>
    <w:rsid w:val="00754E87"/>
    <w:rsid w:val="0075525B"/>
    <w:rsid w:val="00755851"/>
    <w:rsid w:val="007558D3"/>
    <w:rsid w:val="0075636F"/>
    <w:rsid w:val="00756E47"/>
    <w:rsid w:val="00757F1B"/>
    <w:rsid w:val="00761065"/>
    <w:rsid w:val="00763ACD"/>
    <w:rsid w:val="007657C6"/>
    <w:rsid w:val="00765A1F"/>
    <w:rsid w:val="00767ACA"/>
    <w:rsid w:val="00770384"/>
    <w:rsid w:val="00771982"/>
    <w:rsid w:val="007738A8"/>
    <w:rsid w:val="007744C5"/>
    <w:rsid w:val="00775845"/>
    <w:rsid w:val="00775DF2"/>
    <w:rsid w:val="00777558"/>
    <w:rsid w:val="00781E22"/>
    <w:rsid w:val="00784BD7"/>
    <w:rsid w:val="00785555"/>
    <w:rsid w:val="00785D8F"/>
    <w:rsid w:val="0078792A"/>
    <w:rsid w:val="00792608"/>
    <w:rsid w:val="00792C04"/>
    <w:rsid w:val="0079386F"/>
    <w:rsid w:val="00795BB5"/>
    <w:rsid w:val="00796D83"/>
    <w:rsid w:val="00796F3C"/>
    <w:rsid w:val="007971D2"/>
    <w:rsid w:val="007A1666"/>
    <w:rsid w:val="007A2675"/>
    <w:rsid w:val="007A2A26"/>
    <w:rsid w:val="007A2ED6"/>
    <w:rsid w:val="007A487E"/>
    <w:rsid w:val="007A7B2B"/>
    <w:rsid w:val="007B0073"/>
    <w:rsid w:val="007B3130"/>
    <w:rsid w:val="007B356A"/>
    <w:rsid w:val="007B4EBA"/>
    <w:rsid w:val="007B7657"/>
    <w:rsid w:val="007C17DD"/>
    <w:rsid w:val="007C1A3D"/>
    <w:rsid w:val="007C20BB"/>
    <w:rsid w:val="007C4C5D"/>
    <w:rsid w:val="007C5C31"/>
    <w:rsid w:val="007C6D4C"/>
    <w:rsid w:val="007C702E"/>
    <w:rsid w:val="007C7EC6"/>
    <w:rsid w:val="007D0A77"/>
    <w:rsid w:val="007D19C3"/>
    <w:rsid w:val="007D1EA4"/>
    <w:rsid w:val="007D27EB"/>
    <w:rsid w:val="007D31CF"/>
    <w:rsid w:val="007D37A1"/>
    <w:rsid w:val="007D3D16"/>
    <w:rsid w:val="007D4952"/>
    <w:rsid w:val="007D55BB"/>
    <w:rsid w:val="007D770D"/>
    <w:rsid w:val="007D7811"/>
    <w:rsid w:val="007E0848"/>
    <w:rsid w:val="007E0DC0"/>
    <w:rsid w:val="007E17CA"/>
    <w:rsid w:val="007E23A7"/>
    <w:rsid w:val="007E51AE"/>
    <w:rsid w:val="007E5E0E"/>
    <w:rsid w:val="007E6E4C"/>
    <w:rsid w:val="007E7D19"/>
    <w:rsid w:val="007F096F"/>
    <w:rsid w:val="007F1A97"/>
    <w:rsid w:val="007F2BAE"/>
    <w:rsid w:val="007F3F1D"/>
    <w:rsid w:val="007F5470"/>
    <w:rsid w:val="007F54CC"/>
    <w:rsid w:val="007F5B81"/>
    <w:rsid w:val="007F66D6"/>
    <w:rsid w:val="008010AC"/>
    <w:rsid w:val="008011A5"/>
    <w:rsid w:val="00801928"/>
    <w:rsid w:val="00801D57"/>
    <w:rsid w:val="00803C61"/>
    <w:rsid w:val="00804DDD"/>
    <w:rsid w:val="00805342"/>
    <w:rsid w:val="008076C9"/>
    <w:rsid w:val="0081080A"/>
    <w:rsid w:val="00810ACD"/>
    <w:rsid w:val="008115C9"/>
    <w:rsid w:val="0081345C"/>
    <w:rsid w:val="00814EB4"/>
    <w:rsid w:val="00815EE1"/>
    <w:rsid w:val="00816646"/>
    <w:rsid w:val="0082037F"/>
    <w:rsid w:val="00821CE1"/>
    <w:rsid w:val="00822498"/>
    <w:rsid w:val="008224A2"/>
    <w:rsid w:val="00823BE7"/>
    <w:rsid w:val="0082470B"/>
    <w:rsid w:val="00826C7A"/>
    <w:rsid w:val="00827556"/>
    <w:rsid w:val="008277C3"/>
    <w:rsid w:val="00832AE2"/>
    <w:rsid w:val="008337F4"/>
    <w:rsid w:val="00833F26"/>
    <w:rsid w:val="0083479F"/>
    <w:rsid w:val="00835ADA"/>
    <w:rsid w:val="00837442"/>
    <w:rsid w:val="00837C02"/>
    <w:rsid w:val="0084132C"/>
    <w:rsid w:val="0084210D"/>
    <w:rsid w:val="0084460F"/>
    <w:rsid w:val="00844C2A"/>
    <w:rsid w:val="008451B0"/>
    <w:rsid w:val="008459E1"/>
    <w:rsid w:val="00845B31"/>
    <w:rsid w:val="00847250"/>
    <w:rsid w:val="00850D92"/>
    <w:rsid w:val="00850EBB"/>
    <w:rsid w:val="00851E6A"/>
    <w:rsid w:val="00853F0C"/>
    <w:rsid w:val="008551BF"/>
    <w:rsid w:val="00855B0C"/>
    <w:rsid w:val="0085763B"/>
    <w:rsid w:val="00862BC6"/>
    <w:rsid w:val="00863DD6"/>
    <w:rsid w:val="00864DA9"/>
    <w:rsid w:val="00864FB9"/>
    <w:rsid w:val="0086565F"/>
    <w:rsid w:val="00872365"/>
    <w:rsid w:val="00873BB2"/>
    <w:rsid w:val="008765DA"/>
    <w:rsid w:val="00877210"/>
    <w:rsid w:val="00882B88"/>
    <w:rsid w:val="00883267"/>
    <w:rsid w:val="00884C5C"/>
    <w:rsid w:val="00884CFF"/>
    <w:rsid w:val="00884D00"/>
    <w:rsid w:val="00885031"/>
    <w:rsid w:val="00885261"/>
    <w:rsid w:val="008905A9"/>
    <w:rsid w:val="0089155D"/>
    <w:rsid w:val="008915B9"/>
    <w:rsid w:val="00891CB7"/>
    <w:rsid w:val="008933D6"/>
    <w:rsid w:val="008A0903"/>
    <w:rsid w:val="008A1044"/>
    <w:rsid w:val="008A4574"/>
    <w:rsid w:val="008A7C7F"/>
    <w:rsid w:val="008A7D73"/>
    <w:rsid w:val="008A7D7F"/>
    <w:rsid w:val="008B1979"/>
    <w:rsid w:val="008B206D"/>
    <w:rsid w:val="008B2860"/>
    <w:rsid w:val="008B30B6"/>
    <w:rsid w:val="008B3C26"/>
    <w:rsid w:val="008B43D6"/>
    <w:rsid w:val="008B5BA6"/>
    <w:rsid w:val="008B5C86"/>
    <w:rsid w:val="008B7637"/>
    <w:rsid w:val="008C2642"/>
    <w:rsid w:val="008C2AF8"/>
    <w:rsid w:val="008C36C1"/>
    <w:rsid w:val="008C6192"/>
    <w:rsid w:val="008C7EF6"/>
    <w:rsid w:val="008D0435"/>
    <w:rsid w:val="008D29DC"/>
    <w:rsid w:val="008D3A95"/>
    <w:rsid w:val="008D6905"/>
    <w:rsid w:val="008D78FE"/>
    <w:rsid w:val="008E0EA7"/>
    <w:rsid w:val="008E3BD4"/>
    <w:rsid w:val="008E6DCE"/>
    <w:rsid w:val="008F0A11"/>
    <w:rsid w:val="008F18DA"/>
    <w:rsid w:val="008F3033"/>
    <w:rsid w:val="008F570D"/>
    <w:rsid w:val="008F6DD0"/>
    <w:rsid w:val="008F77D1"/>
    <w:rsid w:val="00900816"/>
    <w:rsid w:val="009009C0"/>
    <w:rsid w:val="00901FE0"/>
    <w:rsid w:val="00905785"/>
    <w:rsid w:val="009057E1"/>
    <w:rsid w:val="00911638"/>
    <w:rsid w:val="009126EC"/>
    <w:rsid w:val="0091284D"/>
    <w:rsid w:val="00912A19"/>
    <w:rsid w:val="00917DC6"/>
    <w:rsid w:val="009243CB"/>
    <w:rsid w:val="00924A3E"/>
    <w:rsid w:val="00927494"/>
    <w:rsid w:val="009277F9"/>
    <w:rsid w:val="009300BA"/>
    <w:rsid w:val="00930D9D"/>
    <w:rsid w:val="00931BC1"/>
    <w:rsid w:val="00932C1E"/>
    <w:rsid w:val="00936102"/>
    <w:rsid w:val="00937268"/>
    <w:rsid w:val="0093787C"/>
    <w:rsid w:val="00942E07"/>
    <w:rsid w:val="0094348A"/>
    <w:rsid w:val="009454A8"/>
    <w:rsid w:val="009467D7"/>
    <w:rsid w:val="009479F9"/>
    <w:rsid w:val="00947C81"/>
    <w:rsid w:val="00952723"/>
    <w:rsid w:val="0095283F"/>
    <w:rsid w:val="00952BD9"/>
    <w:rsid w:val="00952EE5"/>
    <w:rsid w:val="0095519B"/>
    <w:rsid w:val="00956AE6"/>
    <w:rsid w:val="00960916"/>
    <w:rsid w:val="00961D3B"/>
    <w:rsid w:val="00962381"/>
    <w:rsid w:val="00962992"/>
    <w:rsid w:val="0096384C"/>
    <w:rsid w:val="00963D9E"/>
    <w:rsid w:val="00964374"/>
    <w:rsid w:val="00967664"/>
    <w:rsid w:val="0097076F"/>
    <w:rsid w:val="00971D01"/>
    <w:rsid w:val="00972A53"/>
    <w:rsid w:val="00973222"/>
    <w:rsid w:val="00973AE9"/>
    <w:rsid w:val="00973B21"/>
    <w:rsid w:val="009756F6"/>
    <w:rsid w:val="0097611B"/>
    <w:rsid w:val="009762AA"/>
    <w:rsid w:val="0098009E"/>
    <w:rsid w:val="0098027F"/>
    <w:rsid w:val="00983042"/>
    <w:rsid w:val="0098347F"/>
    <w:rsid w:val="00986477"/>
    <w:rsid w:val="00990C6A"/>
    <w:rsid w:val="009918B3"/>
    <w:rsid w:val="00991DE5"/>
    <w:rsid w:val="00991F8C"/>
    <w:rsid w:val="00992F80"/>
    <w:rsid w:val="00993A8B"/>
    <w:rsid w:val="009958C4"/>
    <w:rsid w:val="009968BB"/>
    <w:rsid w:val="00996D0B"/>
    <w:rsid w:val="009972CF"/>
    <w:rsid w:val="00997805"/>
    <w:rsid w:val="009A02C6"/>
    <w:rsid w:val="009A0378"/>
    <w:rsid w:val="009A08F8"/>
    <w:rsid w:val="009A1166"/>
    <w:rsid w:val="009A1756"/>
    <w:rsid w:val="009A20F1"/>
    <w:rsid w:val="009A2167"/>
    <w:rsid w:val="009A50C3"/>
    <w:rsid w:val="009A5B5F"/>
    <w:rsid w:val="009A64C2"/>
    <w:rsid w:val="009B0A7F"/>
    <w:rsid w:val="009B0D10"/>
    <w:rsid w:val="009B2000"/>
    <w:rsid w:val="009B44BA"/>
    <w:rsid w:val="009B64C2"/>
    <w:rsid w:val="009B75A4"/>
    <w:rsid w:val="009B7870"/>
    <w:rsid w:val="009C03C5"/>
    <w:rsid w:val="009C2743"/>
    <w:rsid w:val="009C2798"/>
    <w:rsid w:val="009C4721"/>
    <w:rsid w:val="009C549A"/>
    <w:rsid w:val="009C5A8B"/>
    <w:rsid w:val="009C5BE2"/>
    <w:rsid w:val="009C70DF"/>
    <w:rsid w:val="009D0440"/>
    <w:rsid w:val="009D0E3B"/>
    <w:rsid w:val="009D1435"/>
    <w:rsid w:val="009D22BA"/>
    <w:rsid w:val="009D36A6"/>
    <w:rsid w:val="009D421D"/>
    <w:rsid w:val="009D677E"/>
    <w:rsid w:val="009D69A1"/>
    <w:rsid w:val="009D701C"/>
    <w:rsid w:val="009D70DC"/>
    <w:rsid w:val="009E15CA"/>
    <w:rsid w:val="009E27AB"/>
    <w:rsid w:val="009E2BB6"/>
    <w:rsid w:val="009E3EB7"/>
    <w:rsid w:val="009E4477"/>
    <w:rsid w:val="009E4C25"/>
    <w:rsid w:val="009E5054"/>
    <w:rsid w:val="009E535D"/>
    <w:rsid w:val="009E654B"/>
    <w:rsid w:val="009E7203"/>
    <w:rsid w:val="009F05A5"/>
    <w:rsid w:val="009F148C"/>
    <w:rsid w:val="009F25A0"/>
    <w:rsid w:val="009F2EFE"/>
    <w:rsid w:val="009F2F79"/>
    <w:rsid w:val="009F5621"/>
    <w:rsid w:val="009F5B71"/>
    <w:rsid w:val="009F7FDD"/>
    <w:rsid w:val="00A007B4"/>
    <w:rsid w:val="00A045CE"/>
    <w:rsid w:val="00A049E3"/>
    <w:rsid w:val="00A053C7"/>
    <w:rsid w:val="00A05BC2"/>
    <w:rsid w:val="00A05E34"/>
    <w:rsid w:val="00A06600"/>
    <w:rsid w:val="00A10B13"/>
    <w:rsid w:val="00A127B8"/>
    <w:rsid w:val="00A147E1"/>
    <w:rsid w:val="00A14F5B"/>
    <w:rsid w:val="00A16140"/>
    <w:rsid w:val="00A1626A"/>
    <w:rsid w:val="00A2015A"/>
    <w:rsid w:val="00A20F57"/>
    <w:rsid w:val="00A24A60"/>
    <w:rsid w:val="00A2526F"/>
    <w:rsid w:val="00A259AC"/>
    <w:rsid w:val="00A26FF5"/>
    <w:rsid w:val="00A30AEF"/>
    <w:rsid w:val="00A324C9"/>
    <w:rsid w:val="00A337A0"/>
    <w:rsid w:val="00A35DA3"/>
    <w:rsid w:val="00A3615C"/>
    <w:rsid w:val="00A43CF0"/>
    <w:rsid w:val="00A45293"/>
    <w:rsid w:val="00A458C8"/>
    <w:rsid w:val="00A45AE4"/>
    <w:rsid w:val="00A45D33"/>
    <w:rsid w:val="00A46B17"/>
    <w:rsid w:val="00A46D7B"/>
    <w:rsid w:val="00A50D97"/>
    <w:rsid w:val="00A5214B"/>
    <w:rsid w:val="00A5289F"/>
    <w:rsid w:val="00A5337A"/>
    <w:rsid w:val="00A53622"/>
    <w:rsid w:val="00A53C66"/>
    <w:rsid w:val="00A53E5E"/>
    <w:rsid w:val="00A5707B"/>
    <w:rsid w:val="00A57F41"/>
    <w:rsid w:val="00A600A2"/>
    <w:rsid w:val="00A618F6"/>
    <w:rsid w:val="00A61C44"/>
    <w:rsid w:val="00A6346A"/>
    <w:rsid w:val="00A63B94"/>
    <w:rsid w:val="00A64BEB"/>
    <w:rsid w:val="00A6555E"/>
    <w:rsid w:val="00A71218"/>
    <w:rsid w:val="00A72928"/>
    <w:rsid w:val="00A72C6D"/>
    <w:rsid w:val="00A73064"/>
    <w:rsid w:val="00A731AC"/>
    <w:rsid w:val="00A74C61"/>
    <w:rsid w:val="00A77CB7"/>
    <w:rsid w:val="00A8283A"/>
    <w:rsid w:val="00A830F5"/>
    <w:rsid w:val="00A84539"/>
    <w:rsid w:val="00A8592F"/>
    <w:rsid w:val="00A8631D"/>
    <w:rsid w:val="00A870B9"/>
    <w:rsid w:val="00A877FC"/>
    <w:rsid w:val="00A90B1E"/>
    <w:rsid w:val="00A90F16"/>
    <w:rsid w:val="00A90F17"/>
    <w:rsid w:val="00A92B1E"/>
    <w:rsid w:val="00A96845"/>
    <w:rsid w:val="00A97559"/>
    <w:rsid w:val="00AA1EF2"/>
    <w:rsid w:val="00AA25C7"/>
    <w:rsid w:val="00AA3A18"/>
    <w:rsid w:val="00AA4A5F"/>
    <w:rsid w:val="00AA5F26"/>
    <w:rsid w:val="00AB22D5"/>
    <w:rsid w:val="00AB254C"/>
    <w:rsid w:val="00AB25F0"/>
    <w:rsid w:val="00AB7549"/>
    <w:rsid w:val="00AB756D"/>
    <w:rsid w:val="00AC1385"/>
    <w:rsid w:val="00AC338D"/>
    <w:rsid w:val="00AC4BB5"/>
    <w:rsid w:val="00AC5C2D"/>
    <w:rsid w:val="00AC6773"/>
    <w:rsid w:val="00AC763C"/>
    <w:rsid w:val="00AC76AF"/>
    <w:rsid w:val="00AD082C"/>
    <w:rsid w:val="00AD1E45"/>
    <w:rsid w:val="00AD23A1"/>
    <w:rsid w:val="00AD24D7"/>
    <w:rsid w:val="00AD3E2C"/>
    <w:rsid w:val="00AD420F"/>
    <w:rsid w:val="00AE05ED"/>
    <w:rsid w:val="00AE07E0"/>
    <w:rsid w:val="00AE0A9A"/>
    <w:rsid w:val="00AE148F"/>
    <w:rsid w:val="00AE6738"/>
    <w:rsid w:val="00AE7BAB"/>
    <w:rsid w:val="00AF00D7"/>
    <w:rsid w:val="00AF6BCB"/>
    <w:rsid w:val="00AF6C32"/>
    <w:rsid w:val="00AF758E"/>
    <w:rsid w:val="00AF7CCF"/>
    <w:rsid w:val="00B00C4D"/>
    <w:rsid w:val="00B04ADB"/>
    <w:rsid w:val="00B06010"/>
    <w:rsid w:val="00B06503"/>
    <w:rsid w:val="00B1035C"/>
    <w:rsid w:val="00B10599"/>
    <w:rsid w:val="00B10F92"/>
    <w:rsid w:val="00B1107B"/>
    <w:rsid w:val="00B1339A"/>
    <w:rsid w:val="00B16414"/>
    <w:rsid w:val="00B175CA"/>
    <w:rsid w:val="00B21F97"/>
    <w:rsid w:val="00B2327C"/>
    <w:rsid w:val="00B24FCC"/>
    <w:rsid w:val="00B27E4A"/>
    <w:rsid w:val="00B3135A"/>
    <w:rsid w:val="00B37D3C"/>
    <w:rsid w:val="00B40E09"/>
    <w:rsid w:val="00B41032"/>
    <w:rsid w:val="00B4254C"/>
    <w:rsid w:val="00B44988"/>
    <w:rsid w:val="00B462B3"/>
    <w:rsid w:val="00B474A7"/>
    <w:rsid w:val="00B47CC3"/>
    <w:rsid w:val="00B51767"/>
    <w:rsid w:val="00B518CD"/>
    <w:rsid w:val="00B53221"/>
    <w:rsid w:val="00B535C9"/>
    <w:rsid w:val="00B53FD3"/>
    <w:rsid w:val="00B542DC"/>
    <w:rsid w:val="00B54740"/>
    <w:rsid w:val="00B55A82"/>
    <w:rsid w:val="00B560E3"/>
    <w:rsid w:val="00B60644"/>
    <w:rsid w:val="00B607A1"/>
    <w:rsid w:val="00B62123"/>
    <w:rsid w:val="00B62C79"/>
    <w:rsid w:val="00B635C0"/>
    <w:rsid w:val="00B6415C"/>
    <w:rsid w:val="00B65C6B"/>
    <w:rsid w:val="00B66130"/>
    <w:rsid w:val="00B67E27"/>
    <w:rsid w:val="00B709A7"/>
    <w:rsid w:val="00B71554"/>
    <w:rsid w:val="00B76A92"/>
    <w:rsid w:val="00B80FAC"/>
    <w:rsid w:val="00B8381A"/>
    <w:rsid w:val="00B83FF1"/>
    <w:rsid w:val="00B8447D"/>
    <w:rsid w:val="00B8518D"/>
    <w:rsid w:val="00B86237"/>
    <w:rsid w:val="00B864CD"/>
    <w:rsid w:val="00B86618"/>
    <w:rsid w:val="00B86FFA"/>
    <w:rsid w:val="00B87621"/>
    <w:rsid w:val="00B87A14"/>
    <w:rsid w:val="00B9114F"/>
    <w:rsid w:val="00B92A04"/>
    <w:rsid w:val="00B93392"/>
    <w:rsid w:val="00B93A75"/>
    <w:rsid w:val="00B9410C"/>
    <w:rsid w:val="00B960F6"/>
    <w:rsid w:val="00B97D79"/>
    <w:rsid w:val="00BA0DA9"/>
    <w:rsid w:val="00BA0FE6"/>
    <w:rsid w:val="00BA1877"/>
    <w:rsid w:val="00BA48C7"/>
    <w:rsid w:val="00BA4A49"/>
    <w:rsid w:val="00BA54BB"/>
    <w:rsid w:val="00BA56D3"/>
    <w:rsid w:val="00BB00A5"/>
    <w:rsid w:val="00BB0977"/>
    <w:rsid w:val="00BB0CAB"/>
    <w:rsid w:val="00BB1628"/>
    <w:rsid w:val="00BB2054"/>
    <w:rsid w:val="00BB4D70"/>
    <w:rsid w:val="00BB67C6"/>
    <w:rsid w:val="00BB7716"/>
    <w:rsid w:val="00BB7DCB"/>
    <w:rsid w:val="00BC0950"/>
    <w:rsid w:val="00BC25AF"/>
    <w:rsid w:val="00BC3E66"/>
    <w:rsid w:val="00BC4C76"/>
    <w:rsid w:val="00BC4ED1"/>
    <w:rsid w:val="00BC503D"/>
    <w:rsid w:val="00BC51E2"/>
    <w:rsid w:val="00BC7BA8"/>
    <w:rsid w:val="00BD0D24"/>
    <w:rsid w:val="00BD12F2"/>
    <w:rsid w:val="00BD17F8"/>
    <w:rsid w:val="00BD267E"/>
    <w:rsid w:val="00BD3F71"/>
    <w:rsid w:val="00BD6CA8"/>
    <w:rsid w:val="00BE0789"/>
    <w:rsid w:val="00BE19B4"/>
    <w:rsid w:val="00BE1EA1"/>
    <w:rsid w:val="00BE274F"/>
    <w:rsid w:val="00BE4A69"/>
    <w:rsid w:val="00BE4F22"/>
    <w:rsid w:val="00BE53E0"/>
    <w:rsid w:val="00BE6F33"/>
    <w:rsid w:val="00BF1057"/>
    <w:rsid w:val="00BF224F"/>
    <w:rsid w:val="00BF26E0"/>
    <w:rsid w:val="00BF5F7B"/>
    <w:rsid w:val="00BF6C9E"/>
    <w:rsid w:val="00C00600"/>
    <w:rsid w:val="00C0090F"/>
    <w:rsid w:val="00C0280D"/>
    <w:rsid w:val="00C0382D"/>
    <w:rsid w:val="00C048E4"/>
    <w:rsid w:val="00C0647D"/>
    <w:rsid w:val="00C06D77"/>
    <w:rsid w:val="00C077ED"/>
    <w:rsid w:val="00C102A8"/>
    <w:rsid w:val="00C10A0E"/>
    <w:rsid w:val="00C12939"/>
    <w:rsid w:val="00C12A29"/>
    <w:rsid w:val="00C13441"/>
    <w:rsid w:val="00C14078"/>
    <w:rsid w:val="00C1479A"/>
    <w:rsid w:val="00C16AEB"/>
    <w:rsid w:val="00C16D5E"/>
    <w:rsid w:val="00C178A1"/>
    <w:rsid w:val="00C22128"/>
    <w:rsid w:val="00C22E25"/>
    <w:rsid w:val="00C26165"/>
    <w:rsid w:val="00C334F1"/>
    <w:rsid w:val="00C33620"/>
    <w:rsid w:val="00C33BBE"/>
    <w:rsid w:val="00C34162"/>
    <w:rsid w:val="00C3429D"/>
    <w:rsid w:val="00C342FD"/>
    <w:rsid w:val="00C343D9"/>
    <w:rsid w:val="00C37525"/>
    <w:rsid w:val="00C40C6F"/>
    <w:rsid w:val="00C41B46"/>
    <w:rsid w:val="00C4233B"/>
    <w:rsid w:val="00C4280D"/>
    <w:rsid w:val="00C42AF5"/>
    <w:rsid w:val="00C436ED"/>
    <w:rsid w:val="00C43934"/>
    <w:rsid w:val="00C43B79"/>
    <w:rsid w:val="00C43DC9"/>
    <w:rsid w:val="00C44CF9"/>
    <w:rsid w:val="00C45A07"/>
    <w:rsid w:val="00C46810"/>
    <w:rsid w:val="00C476CA"/>
    <w:rsid w:val="00C47701"/>
    <w:rsid w:val="00C47E5C"/>
    <w:rsid w:val="00C52517"/>
    <w:rsid w:val="00C53254"/>
    <w:rsid w:val="00C5490B"/>
    <w:rsid w:val="00C55345"/>
    <w:rsid w:val="00C555F4"/>
    <w:rsid w:val="00C57A04"/>
    <w:rsid w:val="00C57AB7"/>
    <w:rsid w:val="00C57BA2"/>
    <w:rsid w:val="00C608C7"/>
    <w:rsid w:val="00C60BF5"/>
    <w:rsid w:val="00C617B1"/>
    <w:rsid w:val="00C62C41"/>
    <w:rsid w:val="00C639A5"/>
    <w:rsid w:val="00C63C61"/>
    <w:rsid w:val="00C63D24"/>
    <w:rsid w:val="00C64009"/>
    <w:rsid w:val="00C64EC9"/>
    <w:rsid w:val="00C6512E"/>
    <w:rsid w:val="00C65AFE"/>
    <w:rsid w:val="00C65E3C"/>
    <w:rsid w:val="00C67566"/>
    <w:rsid w:val="00C67DCB"/>
    <w:rsid w:val="00C70444"/>
    <w:rsid w:val="00C73179"/>
    <w:rsid w:val="00C738FE"/>
    <w:rsid w:val="00C73FA8"/>
    <w:rsid w:val="00C7568C"/>
    <w:rsid w:val="00C7594A"/>
    <w:rsid w:val="00C767AC"/>
    <w:rsid w:val="00C76E66"/>
    <w:rsid w:val="00C7799C"/>
    <w:rsid w:val="00C77D71"/>
    <w:rsid w:val="00C80341"/>
    <w:rsid w:val="00C8077F"/>
    <w:rsid w:val="00C8230C"/>
    <w:rsid w:val="00C85294"/>
    <w:rsid w:val="00C87F68"/>
    <w:rsid w:val="00C9314C"/>
    <w:rsid w:val="00C9652B"/>
    <w:rsid w:val="00C97A3B"/>
    <w:rsid w:val="00CA033D"/>
    <w:rsid w:val="00CA06A2"/>
    <w:rsid w:val="00CA295F"/>
    <w:rsid w:val="00CA32CB"/>
    <w:rsid w:val="00CA3639"/>
    <w:rsid w:val="00CA3CDD"/>
    <w:rsid w:val="00CA538D"/>
    <w:rsid w:val="00CA5426"/>
    <w:rsid w:val="00CA549A"/>
    <w:rsid w:val="00CA63A5"/>
    <w:rsid w:val="00CA665E"/>
    <w:rsid w:val="00CB0A88"/>
    <w:rsid w:val="00CB0B50"/>
    <w:rsid w:val="00CB4486"/>
    <w:rsid w:val="00CB69D9"/>
    <w:rsid w:val="00CC0883"/>
    <w:rsid w:val="00CC0F84"/>
    <w:rsid w:val="00CC438E"/>
    <w:rsid w:val="00CC5448"/>
    <w:rsid w:val="00CC66ED"/>
    <w:rsid w:val="00CC7286"/>
    <w:rsid w:val="00CC7702"/>
    <w:rsid w:val="00CC7FFA"/>
    <w:rsid w:val="00CD05B4"/>
    <w:rsid w:val="00CD1316"/>
    <w:rsid w:val="00CD25CA"/>
    <w:rsid w:val="00CD3019"/>
    <w:rsid w:val="00CD4AC9"/>
    <w:rsid w:val="00CD638E"/>
    <w:rsid w:val="00CD65BB"/>
    <w:rsid w:val="00CD6DE6"/>
    <w:rsid w:val="00CD7B55"/>
    <w:rsid w:val="00CE1168"/>
    <w:rsid w:val="00CE6E11"/>
    <w:rsid w:val="00CE736C"/>
    <w:rsid w:val="00CE7FCF"/>
    <w:rsid w:val="00CF0AD3"/>
    <w:rsid w:val="00CF0E85"/>
    <w:rsid w:val="00CF0FE0"/>
    <w:rsid w:val="00CF13FE"/>
    <w:rsid w:val="00CF1875"/>
    <w:rsid w:val="00CF1EB5"/>
    <w:rsid w:val="00CF2746"/>
    <w:rsid w:val="00CF4C3A"/>
    <w:rsid w:val="00CF58F1"/>
    <w:rsid w:val="00CF60E8"/>
    <w:rsid w:val="00CF632B"/>
    <w:rsid w:val="00CF7B17"/>
    <w:rsid w:val="00D0174F"/>
    <w:rsid w:val="00D01FC0"/>
    <w:rsid w:val="00D02018"/>
    <w:rsid w:val="00D02B82"/>
    <w:rsid w:val="00D0338F"/>
    <w:rsid w:val="00D05CB2"/>
    <w:rsid w:val="00D06344"/>
    <w:rsid w:val="00D10310"/>
    <w:rsid w:val="00D106DF"/>
    <w:rsid w:val="00D111B0"/>
    <w:rsid w:val="00D118CA"/>
    <w:rsid w:val="00D128FA"/>
    <w:rsid w:val="00D13CA9"/>
    <w:rsid w:val="00D1424C"/>
    <w:rsid w:val="00D14A6B"/>
    <w:rsid w:val="00D15287"/>
    <w:rsid w:val="00D155E6"/>
    <w:rsid w:val="00D21D90"/>
    <w:rsid w:val="00D24115"/>
    <w:rsid w:val="00D241F0"/>
    <w:rsid w:val="00D26FBD"/>
    <w:rsid w:val="00D278E7"/>
    <w:rsid w:val="00D27EC1"/>
    <w:rsid w:val="00D30A2F"/>
    <w:rsid w:val="00D333C1"/>
    <w:rsid w:val="00D34DA4"/>
    <w:rsid w:val="00D352C7"/>
    <w:rsid w:val="00D358CC"/>
    <w:rsid w:val="00D367AA"/>
    <w:rsid w:val="00D37072"/>
    <w:rsid w:val="00D379EB"/>
    <w:rsid w:val="00D37B3C"/>
    <w:rsid w:val="00D40CDA"/>
    <w:rsid w:val="00D41137"/>
    <w:rsid w:val="00D418D7"/>
    <w:rsid w:val="00D42F0F"/>
    <w:rsid w:val="00D4313F"/>
    <w:rsid w:val="00D43359"/>
    <w:rsid w:val="00D43651"/>
    <w:rsid w:val="00D43C1B"/>
    <w:rsid w:val="00D455C0"/>
    <w:rsid w:val="00D465E4"/>
    <w:rsid w:val="00D46823"/>
    <w:rsid w:val="00D46BA1"/>
    <w:rsid w:val="00D46FDC"/>
    <w:rsid w:val="00D5061B"/>
    <w:rsid w:val="00D5089C"/>
    <w:rsid w:val="00D50E0B"/>
    <w:rsid w:val="00D51318"/>
    <w:rsid w:val="00D51445"/>
    <w:rsid w:val="00D51BA7"/>
    <w:rsid w:val="00D5322E"/>
    <w:rsid w:val="00D53AB9"/>
    <w:rsid w:val="00D55739"/>
    <w:rsid w:val="00D5728E"/>
    <w:rsid w:val="00D6003F"/>
    <w:rsid w:val="00D622D3"/>
    <w:rsid w:val="00D62594"/>
    <w:rsid w:val="00D63D26"/>
    <w:rsid w:val="00D64D37"/>
    <w:rsid w:val="00D651E3"/>
    <w:rsid w:val="00D70707"/>
    <w:rsid w:val="00D70B23"/>
    <w:rsid w:val="00D71448"/>
    <w:rsid w:val="00D71ACE"/>
    <w:rsid w:val="00D72CAF"/>
    <w:rsid w:val="00D7378D"/>
    <w:rsid w:val="00D75231"/>
    <w:rsid w:val="00D753D6"/>
    <w:rsid w:val="00D75F1A"/>
    <w:rsid w:val="00D76B9A"/>
    <w:rsid w:val="00D77610"/>
    <w:rsid w:val="00D80FFE"/>
    <w:rsid w:val="00D84396"/>
    <w:rsid w:val="00D84B5B"/>
    <w:rsid w:val="00D85966"/>
    <w:rsid w:val="00D95FD6"/>
    <w:rsid w:val="00DA112D"/>
    <w:rsid w:val="00DA1DE9"/>
    <w:rsid w:val="00DA238A"/>
    <w:rsid w:val="00DA239A"/>
    <w:rsid w:val="00DA25CE"/>
    <w:rsid w:val="00DA303F"/>
    <w:rsid w:val="00DA3196"/>
    <w:rsid w:val="00DA3956"/>
    <w:rsid w:val="00DA45F9"/>
    <w:rsid w:val="00DB0914"/>
    <w:rsid w:val="00DB27CE"/>
    <w:rsid w:val="00DB5B5C"/>
    <w:rsid w:val="00DB5EC2"/>
    <w:rsid w:val="00DB69DD"/>
    <w:rsid w:val="00DC2879"/>
    <w:rsid w:val="00DC5387"/>
    <w:rsid w:val="00DC6C9C"/>
    <w:rsid w:val="00DC7615"/>
    <w:rsid w:val="00DD14E4"/>
    <w:rsid w:val="00DD2FA2"/>
    <w:rsid w:val="00DD5B8F"/>
    <w:rsid w:val="00DD5D1B"/>
    <w:rsid w:val="00DE1F9A"/>
    <w:rsid w:val="00DE3B79"/>
    <w:rsid w:val="00DE4BAD"/>
    <w:rsid w:val="00DE511C"/>
    <w:rsid w:val="00DE61D0"/>
    <w:rsid w:val="00DE66DF"/>
    <w:rsid w:val="00DE7C3F"/>
    <w:rsid w:val="00DE7F59"/>
    <w:rsid w:val="00DF23F9"/>
    <w:rsid w:val="00DF3EB2"/>
    <w:rsid w:val="00E00840"/>
    <w:rsid w:val="00E0174F"/>
    <w:rsid w:val="00E021B8"/>
    <w:rsid w:val="00E02808"/>
    <w:rsid w:val="00E04F10"/>
    <w:rsid w:val="00E05B6C"/>
    <w:rsid w:val="00E061E6"/>
    <w:rsid w:val="00E12737"/>
    <w:rsid w:val="00E12DBC"/>
    <w:rsid w:val="00E149A4"/>
    <w:rsid w:val="00E14C04"/>
    <w:rsid w:val="00E150AA"/>
    <w:rsid w:val="00E171A0"/>
    <w:rsid w:val="00E2160B"/>
    <w:rsid w:val="00E2218F"/>
    <w:rsid w:val="00E23D4A"/>
    <w:rsid w:val="00E23E07"/>
    <w:rsid w:val="00E25C78"/>
    <w:rsid w:val="00E2668A"/>
    <w:rsid w:val="00E26849"/>
    <w:rsid w:val="00E27CB8"/>
    <w:rsid w:val="00E31019"/>
    <w:rsid w:val="00E345F2"/>
    <w:rsid w:val="00E35905"/>
    <w:rsid w:val="00E362B8"/>
    <w:rsid w:val="00E37FB6"/>
    <w:rsid w:val="00E40420"/>
    <w:rsid w:val="00E422C5"/>
    <w:rsid w:val="00E425E9"/>
    <w:rsid w:val="00E42F36"/>
    <w:rsid w:val="00E43522"/>
    <w:rsid w:val="00E43DB8"/>
    <w:rsid w:val="00E4444E"/>
    <w:rsid w:val="00E451BE"/>
    <w:rsid w:val="00E453A5"/>
    <w:rsid w:val="00E473D9"/>
    <w:rsid w:val="00E50A06"/>
    <w:rsid w:val="00E50F94"/>
    <w:rsid w:val="00E52844"/>
    <w:rsid w:val="00E53382"/>
    <w:rsid w:val="00E53634"/>
    <w:rsid w:val="00E56975"/>
    <w:rsid w:val="00E57BF9"/>
    <w:rsid w:val="00E6094E"/>
    <w:rsid w:val="00E624BB"/>
    <w:rsid w:val="00E66056"/>
    <w:rsid w:val="00E67603"/>
    <w:rsid w:val="00E67D47"/>
    <w:rsid w:val="00E707D8"/>
    <w:rsid w:val="00E70B6A"/>
    <w:rsid w:val="00E72443"/>
    <w:rsid w:val="00E74101"/>
    <w:rsid w:val="00E74351"/>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EC"/>
    <w:rsid w:val="00EA1616"/>
    <w:rsid w:val="00EA1B44"/>
    <w:rsid w:val="00EA273A"/>
    <w:rsid w:val="00EA3417"/>
    <w:rsid w:val="00EA3E5A"/>
    <w:rsid w:val="00EA4137"/>
    <w:rsid w:val="00EA5929"/>
    <w:rsid w:val="00EB00FF"/>
    <w:rsid w:val="00EB051C"/>
    <w:rsid w:val="00EB0932"/>
    <w:rsid w:val="00EB1B59"/>
    <w:rsid w:val="00EB4F2B"/>
    <w:rsid w:val="00EB571B"/>
    <w:rsid w:val="00EB5A36"/>
    <w:rsid w:val="00EB5FA7"/>
    <w:rsid w:val="00EC099B"/>
    <w:rsid w:val="00EC2D26"/>
    <w:rsid w:val="00EC314C"/>
    <w:rsid w:val="00EC395D"/>
    <w:rsid w:val="00EC40D2"/>
    <w:rsid w:val="00EC4971"/>
    <w:rsid w:val="00EC4F00"/>
    <w:rsid w:val="00EC5A78"/>
    <w:rsid w:val="00EC784A"/>
    <w:rsid w:val="00ED2131"/>
    <w:rsid w:val="00ED28FD"/>
    <w:rsid w:val="00ED2C3D"/>
    <w:rsid w:val="00ED5ACE"/>
    <w:rsid w:val="00ED744F"/>
    <w:rsid w:val="00ED770B"/>
    <w:rsid w:val="00EE1617"/>
    <w:rsid w:val="00EE1B12"/>
    <w:rsid w:val="00EE1DE3"/>
    <w:rsid w:val="00EE2220"/>
    <w:rsid w:val="00EE3A28"/>
    <w:rsid w:val="00EE4487"/>
    <w:rsid w:val="00EE524B"/>
    <w:rsid w:val="00EE5471"/>
    <w:rsid w:val="00EE57EA"/>
    <w:rsid w:val="00EE6D98"/>
    <w:rsid w:val="00EE71A5"/>
    <w:rsid w:val="00EE79D4"/>
    <w:rsid w:val="00EF18AA"/>
    <w:rsid w:val="00EF3E87"/>
    <w:rsid w:val="00EF4286"/>
    <w:rsid w:val="00EF42E1"/>
    <w:rsid w:val="00EF499E"/>
    <w:rsid w:val="00EF5D2C"/>
    <w:rsid w:val="00EF6CAE"/>
    <w:rsid w:val="00F0318A"/>
    <w:rsid w:val="00F035D7"/>
    <w:rsid w:val="00F03622"/>
    <w:rsid w:val="00F048DA"/>
    <w:rsid w:val="00F04970"/>
    <w:rsid w:val="00F04A39"/>
    <w:rsid w:val="00F05535"/>
    <w:rsid w:val="00F069D4"/>
    <w:rsid w:val="00F079B5"/>
    <w:rsid w:val="00F07C4B"/>
    <w:rsid w:val="00F101D7"/>
    <w:rsid w:val="00F12944"/>
    <w:rsid w:val="00F1542B"/>
    <w:rsid w:val="00F16E80"/>
    <w:rsid w:val="00F20820"/>
    <w:rsid w:val="00F2346C"/>
    <w:rsid w:val="00F2537F"/>
    <w:rsid w:val="00F259B4"/>
    <w:rsid w:val="00F305A9"/>
    <w:rsid w:val="00F308A4"/>
    <w:rsid w:val="00F3221E"/>
    <w:rsid w:val="00F325AB"/>
    <w:rsid w:val="00F332D9"/>
    <w:rsid w:val="00F349B7"/>
    <w:rsid w:val="00F34E52"/>
    <w:rsid w:val="00F3740F"/>
    <w:rsid w:val="00F417E5"/>
    <w:rsid w:val="00F422F1"/>
    <w:rsid w:val="00F43A09"/>
    <w:rsid w:val="00F440BB"/>
    <w:rsid w:val="00F450C6"/>
    <w:rsid w:val="00F46229"/>
    <w:rsid w:val="00F462DB"/>
    <w:rsid w:val="00F50C2D"/>
    <w:rsid w:val="00F5140B"/>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B9B"/>
    <w:rsid w:val="00F67496"/>
    <w:rsid w:val="00F706B2"/>
    <w:rsid w:val="00F70A3E"/>
    <w:rsid w:val="00F72315"/>
    <w:rsid w:val="00F72637"/>
    <w:rsid w:val="00F72A6F"/>
    <w:rsid w:val="00F7373D"/>
    <w:rsid w:val="00F74800"/>
    <w:rsid w:val="00F752CA"/>
    <w:rsid w:val="00F75AC4"/>
    <w:rsid w:val="00F75E81"/>
    <w:rsid w:val="00F771BD"/>
    <w:rsid w:val="00F77AB6"/>
    <w:rsid w:val="00F80531"/>
    <w:rsid w:val="00F81B10"/>
    <w:rsid w:val="00F82C92"/>
    <w:rsid w:val="00F8390D"/>
    <w:rsid w:val="00F84E5A"/>
    <w:rsid w:val="00F84F4C"/>
    <w:rsid w:val="00F86110"/>
    <w:rsid w:val="00F868AB"/>
    <w:rsid w:val="00F8736F"/>
    <w:rsid w:val="00F9719C"/>
    <w:rsid w:val="00FA0A4B"/>
    <w:rsid w:val="00FA1414"/>
    <w:rsid w:val="00FA2B8C"/>
    <w:rsid w:val="00FA46FD"/>
    <w:rsid w:val="00FA4AE5"/>
    <w:rsid w:val="00FA57D5"/>
    <w:rsid w:val="00FA5CE9"/>
    <w:rsid w:val="00FA7092"/>
    <w:rsid w:val="00FA74DD"/>
    <w:rsid w:val="00FA7CC0"/>
    <w:rsid w:val="00FB02E5"/>
    <w:rsid w:val="00FB07A6"/>
    <w:rsid w:val="00FB17B8"/>
    <w:rsid w:val="00FB2309"/>
    <w:rsid w:val="00FB3EA9"/>
    <w:rsid w:val="00FB4886"/>
    <w:rsid w:val="00FB6272"/>
    <w:rsid w:val="00FC02A5"/>
    <w:rsid w:val="00FC0771"/>
    <w:rsid w:val="00FC0848"/>
    <w:rsid w:val="00FC0AC4"/>
    <w:rsid w:val="00FC12FE"/>
    <w:rsid w:val="00FC294E"/>
    <w:rsid w:val="00FC6A65"/>
    <w:rsid w:val="00FD00A0"/>
    <w:rsid w:val="00FD18A8"/>
    <w:rsid w:val="00FD28D1"/>
    <w:rsid w:val="00FD3231"/>
    <w:rsid w:val="00FD6714"/>
    <w:rsid w:val="00FD7ECE"/>
    <w:rsid w:val="00FE0667"/>
    <w:rsid w:val="00FE1BCA"/>
    <w:rsid w:val="00FE1E43"/>
    <w:rsid w:val="00FE1F9C"/>
    <w:rsid w:val="00FE4411"/>
    <w:rsid w:val="00FE46D4"/>
    <w:rsid w:val="00FE4CC4"/>
    <w:rsid w:val="00FE51F3"/>
    <w:rsid w:val="00FE5BB9"/>
    <w:rsid w:val="00FE7168"/>
    <w:rsid w:val="00FF0B13"/>
    <w:rsid w:val="00FF18D6"/>
    <w:rsid w:val="00FF5994"/>
    <w:rsid w:val="00FF64FC"/>
    <w:rsid w:val="00FF7755"/>
    <w:rsid w:val="0127482B"/>
    <w:rsid w:val="013309B5"/>
    <w:rsid w:val="01480465"/>
    <w:rsid w:val="014B14A8"/>
    <w:rsid w:val="01E87214"/>
    <w:rsid w:val="02717329"/>
    <w:rsid w:val="02837B85"/>
    <w:rsid w:val="02AE4743"/>
    <w:rsid w:val="02BD23D1"/>
    <w:rsid w:val="02E86A3F"/>
    <w:rsid w:val="02FC00EB"/>
    <w:rsid w:val="04050738"/>
    <w:rsid w:val="04075288"/>
    <w:rsid w:val="05A32BAE"/>
    <w:rsid w:val="05C04417"/>
    <w:rsid w:val="060F49EA"/>
    <w:rsid w:val="061B4C4A"/>
    <w:rsid w:val="06E0025D"/>
    <w:rsid w:val="07122FE2"/>
    <w:rsid w:val="073A23FF"/>
    <w:rsid w:val="07647D9E"/>
    <w:rsid w:val="077C25F8"/>
    <w:rsid w:val="07EF382C"/>
    <w:rsid w:val="08365795"/>
    <w:rsid w:val="09C92AF8"/>
    <w:rsid w:val="09F7070E"/>
    <w:rsid w:val="0A1A6E52"/>
    <w:rsid w:val="0A9567FC"/>
    <w:rsid w:val="0B422EB0"/>
    <w:rsid w:val="0B643C60"/>
    <w:rsid w:val="0C374C3E"/>
    <w:rsid w:val="0C386D2A"/>
    <w:rsid w:val="0CF712CE"/>
    <w:rsid w:val="0D2F77E3"/>
    <w:rsid w:val="0D87326C"/>
    <w:rsid w:val="0EBB0F5A"/>
    <w:rsid w:val="0FE07E18"/>
    <w:rsid w:val="107706C4"/>
    <w:rsid w:val="109068B7"/>
    <w:rsid w:val="11906838"/>
    <w:rsid w:val="11C50F2A"/>
    <w:rsid w:val="11D471D8"/>
    <w:rsid w:val="11F211C7"/>
    <w:rsid w:val="137C642E"/>
    <w:rsid w:val="13B2530F"/>
    <w:rsid w:val="13EF2A72"/>
    <w:rsid w:val="141C456F"/>
    <w:rsid w:val="14980ADD"/>
    <w:rsid w:val="150C48F1"/>
    <w:rsid w:val="154B295D"/>
    <w:rsid w:val="15D767EB"/>
    <w:rsid w:val="16192DE7"/>
    <w:rsid w:val="169174DA"/>
    <w:rsid w:val="16A23B03"/>
    <w:rsid w:val="16BE71B9"/>
    <w:rsid w:val="16D733B5"/>
    <w:rsid w:val="16D954C9"/>
    <w:rsid w:val="170711DA"/>
    <w:rsid w:val="179802A0"/>
    <w:rsid w:val="18762360"/>
    <w:rsid w:val="19F11BBE"/>
    <w:rsid w:val="1B2B587D"/>
    <w:rsid w:val="1BBD0C50"/>
    <w:rsid w:val="1BDA72CC"/>
    <w:rsid w:val="1C4549A5"/>
    <w:rsid w:val="1C4D06DE"/>
    <w:rsid w:val="1C6A78A5"/>
    <w:rsid w:val="1C77316E"/>
    <w:rsid w:val="1C9366A5"/>
    <w:rsid w:val="1CFD2744"/>
    <w:rsid w:val="1D2A02D0"/>
    <w:rsid w:val="1D795DE9"/>
    <w:rsid w:val="1F1A2576"/>
    <w:rsid w:val="1FAB1A8A"/>
    <w:rsid w:val="1FB05151"/>
    <w:rsid w:val="1FBD5724"/>
    <w:rsid w:val="1FF90B20"/>
    <w:rsid w:val="20100F32"/>
    <w:rsid w:val="2025212B"/>
    <w:rsid w:val="203B5B81"/>
    <w:rsid w:val="20730197"/>
    <w:rsid w:val="212B3A94"/>
    <w:rsid w:val="21942406"/>
    <w:rsid w:val="21CD4290"/>
    <w:rsid w:val="23235D79"/>
    <w:rsid w:val="23BF5B1F"/>
    <w:rsid w:val="244403E1"/>
    <w:rsid w:val="247C0D6D"/>
    <w:rsid w:val="2498666A"/>
    <w:rsid w:val="249A7323"/>
    <w:rsid w:val="24F07A92"/>
    <w:rsid w:val="24F90806"/>
    <w:rsid w:val="25693EFF"/>
    <w:rsid w:val="259477D8"/>
    <w:rsid w:val="25BA7A20"/>
    <w:rsid w:val="25DA52BB"/>
    <w:rsid w:val="25DF0B19"/>
    <w:rsid w:val="26032D06"/>
    <w:rsid w:val="26461AE6"/>
    <w:rsid w:val="26F07745"/>
    <w:rsid w:val="26FA037B"/>
    <w:rsid w:val="27FC29D9"/>
    <w:rsid w:val="2831142B"/>
    <w:rsid w:val="287123C5"/>
    <w:rsid w:val="28F6411C"/>
    <w:rsid w:val="29494352"/>
    <w:rsid w:val="29CE50E9"/>
    <w:rsid w:val="29D96A81"/>
    <w:rsid w:val="29F1577B"/>
    <w:rsid w:val="2A262A8C"/>
    <w:rsid w:val="2AA505CF"/>
    <w:rsid w:val="2ACB4350"/>
    <w:rsid w:val="2B0C7D82"/>
    <w:rsid w:val="2B7445F5"/>
    <w:rsid w:val="2B7D3BB5"/>
    <w:rsid w:val="2B826D2C"/>
    <w:rsid w:val="2C0A24A7"/>
    <w:rsid w:val="2C480C30"/>
    <w:rsid w:val="2CE32B16"/>
    <w:rsid w:val="2D1310F9"/>
    <w:rsid w:val="2D137F2F"/>
    <w:rsid w:val="2E777A85"/>
    <w:rsid w:val="2FD62B83"/>
    <w:rsid w:val="302E158A"/>
    <w:rsid w:val="308B4471"/>
    <w:rsid w:val="311A0BFB"/>
    <w:rsid w:val="312D4E9B"/>
    <w:rsid w:val="31345471"/>
    <w:rsid w:val="31B01B77"/>
    <w:rsid w:val="31F13316"/>
    <w:rsid w:val="321E1FE0"/>
    <w:rsid w:val="32683E70"/>
    <w:rsid w:val="32A24907"/>
    <w:rsid w:val="32B329AA"/>
    <w:rsid w:val="32B73D8E"/>
    <w:rsid w:val="32BD4F6E"/>
    <w:rsid w:val="32D05422"/>
    <w:rsid w:val="33435460"/>
    <w:rsid w:val="3423715B"/>
    <w:rsid w:val="347633D1"/>
    <w:rsid w:val="350E6022"/>
    <w:rsid w:val="35384A95"/>
    <w:rsid w:val="35A10097"/>
    <w:rsid w:val="35A953BC"/>
    <w:rsid w:val="35C24881"/>
    <w:rsid w:val="364444A9"/>
    <w:rsid w:val="36784344"/>
    <w:rsid w:val="37062B7B"/>
    <w:rsid w:val="377C2392"/>
    <w:rsid w:val="379A0B6F"/>
    <w:rsid w:val="37B3435F"/>
    <w:rsid w:val="37BD14C7"/>
    <w:rsid w:val="3834095B"/>
    <w:rsid w:val="38362B0C"/>
    <w:rsid w:val="386903D7"/>
    <w:rsid w:val="38BC1BB3"/>
    <w:rsid w:val="38C076CF"/>
    <w:rsid w:val="38EB754A"/>
    <w:rsid w:val="394666CA"/>
    <w:rsid w:val="39797823"/>
    <w:rsid w:val="39D40FBD"/>
    <w:rsid w:val="3AB320D3"/>
    <w:rsid w:val="3C5F0241"/>
    <w:rsid w:val="3C8D7A66"/>
    <w:rsid w:val="3D047D2B"/>
    <w:rsid w:val="3D3768A8"/>
    <w:rsid w:val="3DEE559D"/>
    <w:rsid w:val="3E653463"/>
    <w:rsid w:val="3E9C1B63"/>
    <w:rsid w:val="3EB816B6"/>
    <w:rsid w:val="3F284D37"/>
    <w:rsid w:val="3FA87716"/>
    <w:rsid w:val="3FAC46BA"/>
    <w:rsid w:val="3FF05FA5"/>
    <w:rsid w:val="402B3937"/>
    <w:rsid w:val="40612AEB"/>
    <w:rsid w:val="40CA3EBC"/>
    <w:rsid w:val="40F46BB2"/>
    <w:rsid w:val="41027114"/>
    <w:rsid w:val="413F23EB"/>
    <w:rsid w:val="416B659F"/>
    <w:rsid w:val="41B45246"/>
    <w:rsid w:val="41C84314"/>
    <w:rsid w:val="42452713"/>
    <w:rsid w:val="428A111A"/>
    <w:rsid w:val="42B223BC"/>
    <w:rsid w:val="42F550D3"/>
    <w:rsid w:val="43321ECB"/>
    <w:rsid w:val="439638D2"/>
    <w:rsid w:val="43BA4DA4"/>
    <w:rsid w:val="44540737"/>
    <w:rsid w:val="4490675A"/>
    <w:rsid w:val="44A440FA"/>
    <w:rsid w:val="44C7148E"/>
    <w:rsid w:val="45596F9F"/>
    <w:rsid w:val="46091031"/>
    <w:rsid w:val="47426DBC"/>
    <w:rsid w:val="474D5E6E"/>
    <w:rsid w:val="479C0C2A"/>
    <w:rsid w:val="48B46A3D"/>
    <w:rsid w:val="48C13F01"/>
    <w:rsid w:val="491D3671"/>
    <w:rsid w:val="49225E88"/>
    <w:rsid w:val="492E3FEA"/>
    <w:rsid w:val="49482FC1"/>
    <w:rsid w:val="496955E3"/>
    <w:rsid w:val="49C04290"/>
    <w:rsid w:val="49D362E5"/>
    <w:rsid w:val="4A512D8D"/>
    <w:rsid w:val="4B322D83"/>
    <w:rsid w:val="4B3C6B5D"/>
    <w:rsid w:val="4C4509CD"/>
    <w:rsid w:val="4C4B5593"/>
    <w:rsid w:val="4CCA18AA"/>
    <w:rsid w:val="4CD1545A"/>
    <w:rsid w:val="4D61184C"/>
    <w:rsid w:val="4E2657C7"/>
    <w:rsid w:val="4E4C6ED8"/>
    <w:rsid w:val="4EA036CB"/>
    <w:rsid w:val="4EC5741B"/>
    <w:rsid w:val="4F3C78CA"/>
    <w:rsid w:val="4F6B26CE"/>
    <w:rsid w:val="4F755708"/>
    <w:rsid w:val="504260A1"/>
    <w:rsid w:val="506452EC"/>
    <w:rsid w:val="51024D01"/>
    <w:rsid w:val="51060B8A"/>
    <w:rsid w:val="513520F7"/>
    <w:rsid w:val="519E5B6C"/>
    <w:rsid w:val="51B51A26"/>
    <w:rsid w:val="51B53EAF"/>
    <w:rsid w:val="521E7DA6"/>
    <w:rsid w:val="52735ECB"/>
    <w:rsid w:val="52753068"/>
    <w:rsid w:val="52FA51DE"/>
    <w:rsid w:val="53745AC4"/>
    <w:rsid w:val="537A5448"/>
    <w:rsid w:val="53923B4E"/>
    <w:rsid w:val="53CA225C"/>
    <w:rsid w:val="53DC2A29"/>
    <w:rsid w:val="54296DD9"/>
    <w:rsid w:val="54C6004C"/>
    <w:rsid w:val="56140735"/>
    <w:rsid w:val="568226D2"/>
    <w:rsid w:val="5690525A"/>
    <w:rsid w:val="571E4061"/>
    <w:rsid w:val="57243091"/>
    <w:rsid w:val="572773FB"/>
    <w:rsid w:val="576B67BC"/>
    <w:rsid w:val="57B96DD0"/>
    <w:rsid w:val="57E01910"/>
    <w:rsid w:val="581A7F8F"/>
    <w:rsid w:val="59253D8C"/>
    <w:rsid w:val="59B2399C"/>
    <w:rsid w:val="59B26ABB"/>
    <w:rsid w:val="59B32E64"/>
    <w:rsid w:val="5A0A0F80"/>
    <w:rsid w:val="5A34417C"/>
    <w:rsid w:val="5B425A62"/>
    <w:rsid w:val="5C20632E"/>
    <w:rsid w:val="5CD07075"/>
    <w:rsid w:val="5CE21680"/>
    <w:rsid w:val="5CFA3E6E"/>
    <w:rsid w:val="5D357A3C"/>
    <w:rsid w:val="5D6F4CCD"/>
    <w:rsid w:val="5E0119E7"/>
    <w:rsid w:val="5EBF6B80"/>
    <w:rsid w:val="5F117DE1"/>
    <w:rsid w:val="605477B4"/>
    <w:rsid w:val="607B2BD0"/>
    <w:rsid w:val="6091486F"/>
    <w:rsid w:val="60D34B6F"/>
    <w:rsid w:val="61545A15"/>
    <w:rsid w:val="619F0058"/>
    <w:rsid w:val="61B64AEC"/>
    <w:rsid w:val="623A1FA6"/>
    <w:rsid w:val="623C6860"/>
    <w:rsid w:val="62460992"/>
    <w:rsid w:val="6246263A"/>
    <w:rsid w:val="62CE2067"/>
    <w:rsid w:val="63095B15"/>
    <w:rsid w:val="632252D0"/>
    <w:rsid w:val="6351667A"/>
    <w:rsid w:val="63A57424"/>
    <w:rsid w:val="64084AAE"/>
    <w:rsid w:val="65D9563A"/>
    <w:rsid w:val="65F7694F"/>
    <w:rsid w:val="662908F0"/>
    <w:rsid w:val="663A5078"/>
    <w:rsid w:val="6649236D"/>
    <w:rsid w:val="66B0461E"/>
    <w:rsid w:val="672732AB"/>
    <w:rsid w:val="68D401CF"/>
    <w:rsid w:val="69A408E3"/>
    <w:rsid w:val="6A30513A"/>
    <w:rsid w:val="6AF01BB3"/>
    <w:rsid w:val="6BBC14C2"/>
    <w:rsid w:val="6BF77EAF"/>
    <w:rsid w:val="6C013FCB"/>
    <w:rsid w:val="6C8B0DAF"/>
    <w:rsid w:val="6EA82D8C"/>
    <w:rsid w:val="6EE168B2"/>
    <w:rsid w:val="6FC40802"/>
    <w:rsid w:val="6FCB5AA2"/>
    <w:rsid w:val="704261B2"/>
    <w:rsid w:val="707B1FDD"/>
    <w:rsid w:val="70FE4A80"/>
    <w:rsid w:val="71357A85"/>
    <w:rsid w:val="717D5872"/>
    <w:rsid w:val="71A25E7B"/>
    <w:rsid w:val="71B444BB"/>
    <w:rsid w:val="71D46CF0"/>
    <w:rsid w:val="722B78C1"/>
    <w:rsid w:val="72AD1AA4"/>
    <w:rsid w:val="72C41544"/>
    <w:rsid w:val="733827FE"/>
    <w:rsid w:val="73C52D35"/>
    <w:rsid w:val="74DD2E20"/>
    <w:rsid w:val="751C1722"/>
    <w:rsid w:val="75785D9D"/>
    <w:rsid w:val="75993B95"/>
    <w:rsid w:val="75A01D35"/>
    <w:rsid w:val="75D817B2"/>
    <w:rsid w:val="76A61848"/>
    <w:rsid w:val="76B36933"/>
    <w:rsid w:val="77462BB3"/>
    <w:rsid w:val="7810375E"/>
    <w:rsid w:val="7884267F"/>
    <w:rsid w:val="795A2B4B"/>
    <w:rsid w:val="7A5106A3"/>
    <w:rsid w:val="7AB6385A"/>
    <w:rsid w:val="7AD31002"/>
    <w:rsid w:val="7B324962"/>
    <w:rsid w:val="7BFF17D2"/>
    <w:rsid w:val="7BFF1A5B"/>
    <w:rsid w:val="7C006C80"/>
    <w:rsid w:val="7C4021EA"/>
    <w:rsid w:val="7C405AB1"/>
    <w:rsid w:val="7C46232E"/>
    <w:rsid w:val="7C553275"/>
    <w:rsid w:val="7C793529"/>
    <w:rsid w:val="7C8A021A"/>
    <w:rsid w:val="7CD970CE"/>
    <w:rsid w:val="7CEE0172"/>
    <w:rsid w:val="7D053F37"/>
    <w:rsid w:val="7D0F43EE"/>
    <w:rsid w:val="7D14160A"/>
    <w:rsid w:val="7D550A74"/>
    <w:rsid w:val="7D8C0BA5"/>
    <w:rsid w:val="7D9A7397"/>
    <w:rsid w:val="7E9F4C86"/>
    <w:rsid w:val="7EDA1F6B"/>
    <w:rsid w:val="7EF04D26"/>
    <w:rsid w:val="7F974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59"/>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6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61"/>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6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64"/>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65"/>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66"/>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next w:val="4"/>
    <w:link w:val="71"/>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szCs w:val="22"/>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69"/>
    <w:qFormat/>
    <w:uiPriority w:val="0"/>
    <w:pPr>
      <w:shd w:val="clear" w:color="auto" w:fill="000080"/>
    </w:pPr>
    <w:rPr>
      <w:kern w:val="0"/>
      <w:sz w:val="20"/>
    </w:rPr>
  </w:style>
  <w:style w:type="paragraph" w:styleId="19">
    <w:name w:val="annotation text"/>
    <w:basedOn w:val="1"/>
    <w:link w:val="67"/>
    <w:unhideWhenUsed/>
    <w:qFormat/>
    <w:uiPriority w:val="0"/>
    <w:pPr>
      <w:jc w:val="left"/>
    </w:pPr>
  </w:style>
  <w:style w:type="paragraph" w:styleId="20">
    <w:name w:val="index 6"/>
    <w:basedOn w:val="1"/>
    <w:next w:val="1"/>
    <w:qFormat/>
    <w:uiPriority w:val="0"/>
    <w:pPr>
      <w:ind w:left="2100"/>
    </w:pPr>
  </w:style>
  <w:style w:type="paragraph" w:styleId="21">
    <w:name w:val="Body Text"/>
    <w:basedOn w:val="1"/>
    <w:link w:val="70"/>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72"/>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73"/>
    <w:qFormat/>
    <w:uiPriority w:val="0"/>
    <w:rPr>
      <w:kern w:val="0"/>
      <w:sz w:val="28"/>
    </w:rPr>
  </w:style>
  <w:style w:type="paragraph" w:styleId="29">
    <w:name w:val="Body Text Indent 2"/>
    <w:basedOn w:val="1"/>
    <w:link w:val="74"/>
    <w:qFormat/>
    <w:uiPriority w:val="0"/>
    <w:pPr>
      <w:ind w:left="840"/>
    </w:pPr>
    <w:rPr>
      <w:kern w:val="0"/>
      <w:sz w:val="20"/>
    </w:rPr>
  </w:style>
  <w:style w:type="paragraph" w:styleId="30">
    <w:name w:val="Balloon Text"/>
    <w:basedOn w:val="1"/>
    <w:link w:val="75"/>
    <w:qFormat/>
    <w:uiPriority w:val="0"/>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76"/>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7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basedOn w:val="1"/>
    <w:link w:val="78"/>
    <w:qFormat/>
    <w:uiPriority w:val="0"/>
    <w:pPr>
      <w:spacing w:before="240" w:after="60" w:line="540" w:lineRule="exact"/>
      <w:outlineLvl w:val="0"/>
    </w:pPr>
    <w:rPr>
      <w:rFonts w:eastAsia="仿宋_GB2312" w:cs="Cambria"/>
      <w:b/>
      <w:bCs/>
      <w:kern w:val="0"/>
      <w:sz w:val="32"/>
      <w:szCs w:val="32"/>
    </w:rPr>
  </w:style>
  <w:style w:type="paragraph" w:styleId="47">
    <w:name w:val="annotation subject"/>
    <w:basedOn w:val="19"/>
    <w:next w:val="19"/>
    <w:link w:val="68"/>
    <w:qFormat/>
    <w:uiPriority w:val="0"/>
    <w:rPr>
      <w:b/>
      <w:bCs/>
      <w:kern w:val="0"/>
      <w:sz w:val="20"/>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99"/>
    <w:rPr>
      <w:rFonts w:ascii="Times New Roman" w:hAnsi="Times New Roman" w:eastAsia="宋体" w:cs="Times New Roman"/>
      <w:sz w:val="21"/>
      <w:szCs w:val="21"/>
      <w:lang w:val="en-US" w:eastAsia="zh-CN" w:bidi="ar-SA"/>
    </w:rPr>
  </w:style>
  <w:style w:type="character" w:customStyle="1" w:styleId="56">
    <w:name w:val="页眉 Char"/>
    <w:basedOn w:val="50"/>
    <w:link w:val="32"/>
    <w:qFormat/>
    <w:uiPriority w:val="99"/>
    <w:rPr>
      <w:sz w:val="18"/>
      <w:szCs w:val="18"/>
    </w:rPr>
  </w:style>
  <w:style w:type="character" w:customStyle="1" w:styleId="57">
    <w:name w:val="页脚 Char"/>
    <w:basedOn w:val="50"/>
    <w:link w:val="31"/>
    <w:qFormat/>
    <w:uiPriority w:val="99"/>
    <w:rPr>
      <w:sz w:val="18"/>
      <w:szCs w:val="18"/>
    </w:rPr>
  </w:style>
  <w:style w:type="character" w:customStyle="1" w:styleId="58">
    <w:name w:val="标题 1 Char"/>
    <w:basedOn w:val="50"/>
    <w:link w:val="5"/>
    <w:qFormat/>
    <w:uiPriority w:val="0"/>
    <w:rPr>
      <w:rFonts w:ascii="Times New Roman" w:hAnsi="Times New Roman" w:eastAsia="宋体" w:cs="Times New Roman"/>
      <w:b/>
      <w:kern w:val="44"/>
      <w:sz w:val="20"/>
      <w:szCs w:val="20"/>
    </w:rPr>
  </w:style>
  <w:style w:type="character" w:customStyle="1" w:styleId="59">
    <w:name w:val="标题 2 Char"/>
    <w:basedOn w:val="50"/>
    <w:link w:val="6"/>
    <w:qFormat/>
    <w:uiPriority w:val="0"/>
    <w:rPr>
      <w:rFonts w:ascii="黑体" w:hAnsi="Arial" w:eastAsia="黑体" w:cs="Times New Roman"/>
      <w:kern w:val="0"/>
      <w:sz w:val="28"/>
      <w:szCs w:val="20"/>
    </w:rPr>
  </w:style>
  <w:style w:type="character" w:customStyle="1" w:styleId="60">
    <w:name w:val="标题 3 Char"/>
    <w:basedOn w:val="50"/>
    <w:link w:val="7"/>
    <w:qFormat/>
    <w:uiPriority w:val="0"/>
    <w:rPr>
      <w:rFonts w:ascii="Times New Roman" w:hAnsi="Times New Roman" w:eastAsia="宋体" w:cs="Times New Roman"/>
      <w:b/>
      <w:kern w:val="0"/>
      <w:sz w:val="32"/>
      <w:szCs w:val="20"/>
    </w:rPr>
  </w:style>
  <w:style w:type="character" w:customStyle="1" w:styleId="61">
    <w:name w:val="标题 4 Char"/>
    <w:basedOn w:val="50"/>
    <w:link w:val="8"/>
    <w:qFormat/>
    <w:uiPriority w:val="0"/>
    <w:rPr>
      <w:rFonts w:ascii="Arial" w:hAnsi="Arial" w:eastAsia="黑体" w:cs="Times New Roman"/>
      <w:b/>
      <w:kern w:val="0"/>
      <w:sz w:val="28"/>
      <w:szCs w:val="20"/>
    </w:rPr>
  </w:style>
  <w:style w:type="character" w:customStyle="1" w:styleId="62">
    <w:name w:val="标题 5 Char"/>
    <w:basedOn w:val="50"/>
    <w:link w:val="9"/>
    <w:qFormat/>
    <w:uiPriority w:val="0"/>
    <w:rPr>
      <w:rFonts w:ascii="Times New Roman" w:hAnsi="Times New Roman" w:eastAsia="宋体" w:cs="Times New Roman"/>
      <w:b/>
      <w:kern w:val="0"/>
      <w:sz w:val="28"/>
      <w:szCs w:val="20"/>
    </w:rPr>
  </w:style>
  <w:style w:type="character" w:customStyle="1" w:styleId="63">
    <w:name w:val="标题 6 Char"/>
    <w:basedOn w:val="50"/>
    <w:link w:val="10"/>
    <w:qFormat/>
    <w:uiPriority w:val="0"/>
    <w:rPr>
      <w:rFonts w:ascii="Arial" w:hAnsi="Arial" w:eastAsia="黑体" w:cs="Times New Roman"/>
      <w:b/>
      <w:kern w:val="0"/>
      <w:sz w:val="20"/>
      <w:szCs w:val="20"/>
    </w:rPr>
  </w:style>
  <w:style w:type="character" w:customStyle="1" w:styleId="64">
    <w:name w:val="标题 7 Char"/>
    <w:basedOn w:val="50"/>
    <w:link w:val="11"/>
    <w:qFormat/>
    <w:uiPriority w:val="0"/>
    <w:rPr>
      <w:rFonts w:ascii="Times New Roman" w:hAnsi="Times New Roman" w:eastAsia="宋体" w:cs="Times New Roman"/>
      <w:b/>
      <w:kern w:val="0"/>
      <w:sz w:val="20"/>
      <w:szCs w:val="20"/>
    </w:rPr>
  </w:style>
  <w:style w:type="character" w:customStyle="1" w:styleId="65">
    <w:name w:val="标题 8 Char"/>
    <w:basedOn w:val="50"/>
    <w:link w:val="12"/>
    <w:qFormat/>
    <w:uiPriority w:val="0"/>
    <w:rPr>
      <w:rFonts w:ascii="Arial" w:hAnsi="Arial" w:eastAsia="黑体" w:cs="Times New Roman"/>
      <w:kern w:val="0"/>
      <w:sz w:val="20"/>
      <w:szCs w:val="20"/>
    </w:rPr>
  </w:style>
  <w:style w:type="character" w:customStyle="1" w:styleId="66">
    <w:name w:val="标题 9 Char"/>
    <w:basedOn w:val="50"/>
    <w:link w:val="13"/>
    <w:qFormat/>
    <w:uiPriority w:val="0"/>
    <w:rPr>
      <w:rFonts w:ascii="Arial" w:hAnsi="Arial" w:eastAsia="黑体" w:cs="Times New Roman"/>
      <w:kern w:val="0"/>
      <w:szCs w:val="20"/>
    </w:rPr>
  </w:style>
  <w:style w:type="character" w:customStyle="1" w:styleId="67">
    <w:name w:val="批注文字 Char"/>
    <w:basedOn w:val="50"/>
    <w:link w:val="19"/>
    <w:qFormat/>
    <w:uiPriority w:val="99"/>
    <w:rPr>
      <w:rFonts w:ascii="Times New Roman" w:hAnsi="Times New Roman" w:eastAsia="宋体" w:cs="Times New Roman"/>
      <w:szCs w:val="20"/>
    </w:rPr>
  </w:style>
  <w:style w:type="character" w:customStyle="1" w:styleId="68">
    <w:name w:val="批注主题 Char"/>
    <w:basedOn w:val="67"/>
    <w:link w:val="47"/>
    <w:qFormat/>
    <w:uiPriority w:val="0"/>
    <w:rPr>
      <w:rFonts w:ascii="Times New Roman" w:hAnsi="Times New Roman" w:eastAsia="宋体" w:cs="Times New Roman"/>
      <w:b/>
      <w:bCs/>
      <w:kern w:val="0"/>
      <w:sz w:val="20"/>
      <w:szCs w:val="20"/>
    </w:rPr>
  </w:style>
  <w:style w:type="character" w:customStyle="1" w:styleId="69">
    <w:name w:val="文档结构图 Char"/>
    <w:basedOn w:val="50"/>
    <w:link w:val="18"/>
    <w:qFormat/>
    <w:uiPriority w:val="0"/>
    <w:rPr>
      <w:rFonts w:ascii="Times New Roman" w:hAnsi="Times New Roman" w:eastAsia="宋体" w:cs="Times New Roman"/>
      <w:kern w:val="0"/>
      <w:sz w:val="20"/>
      <w:szCs w:val="20"/>
      <w:shd w:val="clear" w:color="auto" w:fill="000080"/>
    </w:rPr>
  </w:style>
  <w:style w:type="character" w:customStyle="1" w:styleId="70">
    <w:name w:val="正文文本 Char"/>
    <w:basedOn w:val="50"/>
    <w:link w:val="21"/>
    <w:qFormat/>
    <w:uiPriority w:val="0"/>
    <w:rPr>
      <w:rFonts w:ascii="Times New Roman" w:hAnsi="Times New Roman" w:eastAsia="宋体" w:cs="Times New Roman"/>
      <w:kern w:val="0"/>
      <w:sz w:val="20"/>
      <w:szCs w:val="20"/>
    </w:rPr>
  </w:style>
  <w:style w:type="character" w:customStyle="1" w:styleId="71">
    <w:name w:val="正文文本缩进 Char"/>
    <w:basedOn w:val="50"/>
    <w:link w:val="3"/>
    <w:qFormat/>
    <w:uiPriority w:val="0"/>
    <w:rPr>
      <w:rFonts w:ascii="Times New Roman" w:hAnsi="Times New Roman" w:eastAsia="宋体" w:cs="Times New Roman"/>
      <w:kern w:val="0"/>
      <w:sz w:val="20"/>
      <w:szCs w:val="20"/>
    </w:rPr>
  </w:style>
  <w:style w:type="character" w:customStyle="1" w:styleId="72">
    <w:name w:val="纯文本 Char"/>
    <w:basedOn w:val="50"/>
    <w:link w:val="25"/>
    <w:qFormat/>
    <w:uiPriority w:val="0"/>
    <w:rPr>
      <w:rFonts w:ascii="宋体" w:hAnsi="Courier New" w:eastAsia="宋体" w:cs="Times New Roman"/>
      <w:kern w:val="0"/>
      <w:sz w:val="20"/>
      <w:szCs w:val="20"/>
    </w:rPr>
  </w:style>
  <w:style w:type="character" w:customStyle="1" w:styleId="73">
    <w:name w:val="日期 Char"/>
    <w:basedOn w:val="50"/>
    <w:link w:val="28"/>
    <w:qFormat/>
    <w:uiPriority w:val="0"/>
    <w:rPr>
      <w:rFonts w:ascii="Times New Roman" w:hAnsi="Times New Roman" w:eastAsia="宋体" w:cs="Times New Roman"/>
      <w:kern w:val="0"/>
      <w:sz w:val="28"/>
      <w:szCs w:val="20"/>
    </w:rPr>
  </w:style>
  <w:style w:type="character" w:customStyle="1" w:styleId="74">
    <w:name w:val="正文文本缩进 2 Char"/>
    <w:basedOn w:val="50"/>
    <w:link w:val="29"/>
    <w:qFormat/>
    <w:uiPriority w:val="0"/>
    <w:rPr>
      <w:rFonts w:ascii="Times New Roman" w:hAnsi="Times New Roman" w:eastAsia="宋体" w:cs="Times New Roman"/>
      <w:kern w:val="0"/>
      <w:sz w:val="20"/>
      <w:szCs w:val="20"/>
    </w:rPr>
  </w:style>
  <w:style w:type="character" w:customStyle="1" w:styleId="75">
    <w:name w:val="批注框文本 Char"/>
    <w:basedOn w:val="50"/>
    <w:link w:val="30"/>
    <w:qFormat/>
    <w:uiPriority w:val="0"/>
    <w:rPr>
      <w:rFonts w:ascii="Times New Roman" w:hAnsi="Times New Roman" w:eastAsia="宋体" w:cs="Times New Roman"/>
      <w:kern w:val="0"/>
      <w:sz w:val="18"/>
      <w:szCs w:val="18"/>
    </w:rPr>
  </w:style>
  <w:style w:type="character" w:customStyle="1" w:styleId="76">
    <w:name w:val="正文文本缩进 3 Char"/>
    <w:basedOn w:val="50"/>
    <w:link w:val="38"/>
    <w:qFormat/>
    <w:uiPriority w:val="0"/>
    <w:rPr>
      <w:rFonts w:ascii="Times New Roman" w:hAnsi="Times New Roman" w:eastAsia="宋体" w:cs="Times New Roman"/>
      <w:kern w:val="0"/>
      <w:sz w:val="20"/>
      <w:szCs w:val="20"/>
    </w:rPr>
  </w:style>
  <w:style w:type="character" w:customStyle="1" w:styleId="77">
    <w:name w:val="HTML 预设格式 Char"/>
    <w:basedOn w:val="50"/>
    <w:link w:val="43"/>
    <w:qFormat/>
    <w:uiPriority w:val="99"/>
    <w:rPr>
      <w:rFonts w:ascii="宋体" w:hAnsi="宋体" w:eastAsia="宋体" w:cs="Times New Roman"/>
      <w:kern w:val="0"/>
      <w:sz w:val="20"/>
      <w:szCs w:val="20"/>
    </w:rPr>
  </w:style>
  <w:style w:type="character" w:customStyle="1" w:styleId="78">
    <w:name w:val="标题 Char"/>
    <w:basedOn w:val="50"/>
    <w:link w:val="46"/>
    <w:qFormat/>
    <w:uiPriority w:val="0"/>
    <w:rPr>
      <w:rFonts w:ascii="Times New Roman" w:hAnsi="Times New Roman" w:eastAsia="仿宋_GB2312" w:cs="Cambria"/>
      <w:b/>
      <w:bCs/>
      <w:kern w:val="0"/>
      <w:sz w:val="32"/>
      <w:szCs w:val="32"/>
    </w:rPr>
  </w:style>
  <w:style w:type="paragraph" w:customStyle="1" w:styleId="79">
    <w:name w:val="列出段落1"/>
    <w:basedOn w:val="1"/>
    <w:qFormat/>
    <w:uiPriority w:val="34"/>
    <w:pPr>
      <w:ind w:firstLine="420" w:firstLineChars="200"/>
    </w:pPr>
  </w:style>
  <w:style w:type="paragraph" w:customStyle="1" w:styleId="8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2">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8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5">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8">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资料表"/>
    <w:basedOn w:val="86"/>
    <w:qFormat/>
    <w:uiPriority w:val="0"/>
    <w:rPr>
      <w:rFonts w:ascii="Times New Roman"/>
    </w:rPr>
  </w:style>
  <w:style w:type="paragraph" w:customStyle="1" w:styleId="90">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2">
    <w:name w:val="正文文本缩进1"/>
    <w:basedOn w:val="1"/>
    <w:qFormat/>
    <w:uiPriority w:val="0"/>
    <w:pPr>
      <w:spacing w:line="360" w:lineRule="auto"/>
      <w:ind w:left="540" w:leftChars="257" w:firstLine="360" w:firstLineChars="150"/>
    </w:pPr>
    <w:rPr>
      <w:sz w:val="24"/>
    </w:rPr>
  </w:style>
  <w:style w:type="paragraph" w:customStyle="1" w:styleId="9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样式1"/>
    <w:basedOn w:val="1"/>
    <w:qFormat/>
    <w:uiPriority w:val="0"/>
    <w:pPr>
      <w:adjustRightInd w:val="0"/>
      <w:spacing w:before="120" w:after="120" w:line="120" w:lineRule="exact"/>
    </w:pPr>
    <w:rPr>
      <w:color w:val="FF00FF"/>
      <w:kern w:val="0"/>
      <w:sz w:val="24"/>
    </w:rPr>
  </w:style>
  <w:style w:type="paragraph" w:customStyle="1" w:styleId="96">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1">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4">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_Style 80"/>
    <w:semiHidden/>
    <w:qFormat/>
    <w:uiPriority w:val="99"/>
    <w:rPr>
      <w:rFonts w:ascii="Times New Roman" w:hAnsi="Times New Roman" w:eastAsia="宋体" w:cs="Times New Roman"/>
      <w:kern w:val="2"/>
      <w:sz w:val="21"/>
      <w:lang w:val="en-US" w:eastAsia="zh-CN" w:bidi="ar-SA"/>
    </w:rPr>
  </w:style>
  <w:style w:type="paragraph" w:customStyle="1" w:styleId="107">
    <w:name w:val="字元 字元"/>
    <w:basedOn w:val="1"/>
    <w:qFormat/>
    <w:uiPriority w:val="0"/>
    <w:rPr>
      <w:rFonts w:ascii="仿宋_GB2312" w:eastAsia="仿宋_GB2312"/>
      <w:b/>
      <w:sz w:val="32"/>
      <w:szCs w:val="32"/>
    </w:rPr>
  </w:style>
  <w:style w:type="paragraph" w:customStyle="1" w:styleId="1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9">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10">
    <w:name w:val="默认段落字体 Para Char Char Char Char"/>
    <w:basedOn w:val="1"/>
    <w:qFormat/>
    <w:uiPriority w:val="0"/>
    <w:rPr>
      <w:szCs w:val="21"/>
    </w:rPr>
  </w:style>
  <w:style w:type="paragraph" w:customStyle="1" w:styleId="111">
    <w:name w:val="无间距1"/>
    <w:link w:val="145"/>
    <w:qFormat/>
    <w:uiPriority w:val="0"/>
    <w:rPr>
      <w:rFonts w:ascii="Times New Roman" w:hAnsi="Times New Roman" w:eastAsia="宋体" w:cs="Times New Roman"/>
      <w:kern w:val="2"/>
      <w:sz w:val="22"/>
      <w:szCs w:val="22"/>
      <w:lang w:val="en-US" w:eastAsia="zh-CN" w:bidi="ar-SA"/>
    </w:rPr>
  </w:style>
  <w:style w:type="paragraph" w:customStyle="1" w:styleId="11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b/>
      <w:bCs/>
      <w:kern w:val="0"/>
      <w:sz w:val="32"/>
      <w:szCs w:val="32"/>
    </w:rPr>
  </w:style>
  <w:style w:type="paragraph" w:styleId="115">
    <w:name w:val="List Paragraph"/>
    <w:basedOn w:val="1"/>
    <w:link w:val="200"/>
    <w:qFormat/>
    <w:uiPriority w:val="0"/>
    <w:pPr>
      <w:ind w:firstLine="420" w:firstLineChars="200"/>
    </w:pPr>
  </w:style>
  <w:style w:type="paragraph" w:customStyle="1" w:styleId="116">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修订版本号1"/>
    <w:qFormat/>
    <w:uiPriority w:val="0"/>
    <w:rPr>
      <w:rFonts w:ascii="Times New Roman" w:hAnsi="Times New Roman" w:eastAsia="宋体" w:cs="Times New Roman"/>
      <w:kern w:val="2"/>
      <w:sz w:val="21"/>
      <w:lang w:val="en-US" w:eastAsia="zh-CN" w:bidi="ar-SA"/>
    </w:rPr>
  </w:style>
  <w:style w:type="paragraph" w:customStyle="1" w:styleId="12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1">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5">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0">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2">
    <w:name w:val="默认段落字体 Para Char Char Char Char Char Char Char"/>
    <w:basedOn w:val="1"/>
    <w:qFormat/>
    <w:uiPriority w:val="0"/>
    <w:rPr>
      <w:rFonts w:ascii="Tahoma" w:hAnsi="Tahoma"/>
      <w:sz w:val="24"/>
    </w:rPr>
  </w:style>
  <w:style w:type="paragraph" w:customStyle="1" w:styleId="133">
    <w:name w:val="Char Char1 Char Char Char Char Char Char Char Char Char Char Char Char"/>
    <w:basedOn w:val="1"/>
    <w:qFormat/>
    <w:uiPriority w:val="0"/>
    <w:rPr>
      <w:szCs w:val="24"/>
    </w:rPr>
  </w:style>
  <w:style w:type="paragraph" w:customStyle="1" w:styleId="134">
    <w:name w:val="Char Char Char Char Char Char Char Char Char Char"/>
    <w:basedOn w:val="1"/>
    <w:qFormat/>
    <w:uiPriority w:val="0"/>
    <w:rPr>
      <w:rFonts w:ascii="Tahoma" w:hAnsi="Tahoma" w:cs="Tahoma"/>
      <w:sz w:val="24"/>
      <w:szCs w:val="24"/>
    </w:rPr>
  </w:style>
  <w:style w:type="paragraph" w:customStyle="1" w:styleId="135">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7">
    <w:name w:val="正文（首行缩进两字）"/>
    <w:basedOn w:val="1"/>
    <w:qFormat/>
    <w:uiPriority w:val="0"/>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2">
    <w:name w:val="列出段落2"/>
    <w:basedOn w:val="1"/>
    <w:qFormat/>
    <w:uiPriority w:val="0"/>
    <w:pPr>
      <w:widowControl/>
      <w:ind w:firstLine="420" w:firstLineChars="200"/>
      <w:jc w:val="left"/>
    </w:pPr>
    <w:rPr>
      <w:kern w:val="0"/>
      <w:sz w:val="24"/>
    </w:rPr>
  </w:style>
  <w:style w:type="character" w:customStyle="1" w:styleId="143">
    <w:name w:val="页眉 Char1"/>
    <w:qFormat/>
    <w:uiPriority w:val="0"/>
    <w:rPr>
      <w:rFonts w:ascii="Times New Roman" w:hAnsi="Times New Roman" w:eastAsia="宋体" w:cs="Times New Roman"/>
      <w:kern w:val="2"/>
      <w:sz w:val="18"/>
      <w:szCs w:val="18"/>
      <w:lang w:val="en-US" w:eastAsia="zh-CN" w:bidi="ar-SA"/>
    </w:rPr>
  </w:style>
  <w:style w:type="character" w:customStyle="1" w:styleId="144">
    <w:name w:val="正文文本字符1"/>
    <w:semiHidden/>
    <w:qFormat/>
    <w:uiPriority w:val="99"/>
    <w:rPr>
      <w:rFonts w:ascii="Times New Roman" w:hAnsi="Times New Roman" w:eastAsia="宋体" w:cs="Times New Roman"/>
      <w:sz w:val="21"/>
      <w:szCs w:val="20"/>
    </w:rPr>
  </w:style>
  <w:style w:type="character" w:customStyle="1" w:styleId="145">
    <w:name w:val="无间隔 Char"/>
    <w:link w:val="111"/>
    <w:qFormat/>
    <w:uiPriority w:val="0"/>
    <w:rPr>
      <w:rFonts w:ascii="Times New Roman" w:hAnsi="Times New Roman" w:eastAsia="宋体" w:cs="Times New Roman"/>
      <w:sz w:val="22"/>
    </w:rPr>
  </w:style>
  <w:style w:type="character" w:customStyle="1" w:styleId="146">
    <w:name w:val="正文文本缩进 3字符1"/>
    <w:semiHidden/>
    <w:qFormat/>
    <w:uiPriority w:val="99"/>
    <w:rPr>
      <w:rFonts w:ascii="Times New Roman" w:hAnsi="Times New Roman" w:eastAsia="宋体" w:cs="Times New Roman"/>
      <w:sz w:val="16"/>
      <w:szCs w:val="16"/>
    </w:rPr>
  </w:style>
  <w:style w:type="character" w:customStyle="1" w:styleId="147">
    <w:name w:val="日期 Char1"/>
    <w:qFormat/>
    <w:uiPriority w:val="0"/>
    <w:rPr>
      <w:rFonts w:ascii="Times New Roman" w:hAnsi="Times New Roman" w:eastAsia="宋体" w:cs="Times New Roman"/>
      <w:kern w:val="2"/>
      <w:sz w:val="21"/>
      <w:lang w:val="en-US" w:eastAsia="zh-CN" w:bidi="ar-SA"/>
    </w:rPr>
  </w:style>
  <w:style w:type="character" w:customStyle="1" w:styleId="148">
    <w:name w:val="正文文本 Char1"/>
    <w:qFormat/>
    <w:uiPriority w:val="0"/>
    <w:rPr>
      <w:rFonts w:ascii="Times New Roman" w:hAnsi="Times New Roman" w:eastAsia="宋体" w:cs="Times New Roman"/>
      <w:kern w:val="2"/>
      <w:sz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apple-converted-space"/>
    <w:qFormat/>
    <w:uiPriority w:val="0"/>
    <w:rPr>
      <w:rFonts w:ascii="Times New Roman" w:hAnsi="Times New Roman" w:eastAsia="宋体" w:cs="Times New Roman"/>
      <w:lang w:val="en-US" w:eastAsia="zh-CN" w:bidi="ar-SA"/>
    </w:rPr>
  </w:style>
  <w:style w:type="character" w:customStyle="1" w:styleId="151">
    <w:name w:val="批注主题字符1"/>
    <w:semiHidden/>
    <w:qFormat/>
    <w:uiPriority w:val="99"/>
    <w:rPr>
      <w:rFonts w:ascii="Times New Roman" w:hAnsi="Times New Roman" w:eastAsia="宋体" w:cs="Times New Roman"/>
      <w:b/>
      <w:bCs/>
      <w:sz w:val="21"/>
      <w:szCs w:val="20"/>
    </w:rPr>
  </w:style>
  <w:style w:type="character" w:customStyle="1" w:styleId="15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3">
    <w:name w:val="页脚字符1"/>
    <w:semiHidden/>
    <w:qFormat/>
    <w:uiPriority w:val="99"/>
    <w:rPr>
      <w:rFonts w:ascii="Times New Roman" w:hAnsi="Times New Roman" w:eastAsia="宋体" w:cs="Times New Roman"/>
      <w:sz w:val="18"/>
      <w:szCs w:val="18"/>
    </w:rPr>
  </w:style>
  <w:style w:type="character" w:customStyle="1" w:styleId="154">
    <w:name w:val="页码1"/>
    <w:qFormat/>
    <w:uiPriority w:val="0"/>
    <w:rPr>
      <w:rFonts w:ascii="Times New Roman" w:hAnsi="Times New Roman" w:eastAsia="宋体" w:cs="Times New Roman"/>
      <w:lang w:val="en-US" w:eastAsia="zh-CN" w:bidi="ar-SA"/>
    </w:rPr>
  </w:style>
  <w:style w:type="character" w:customStyle="1" w:styleId="155">
    <w:name w:val="文档结构图 Char1"/>
    <w:qFormat/>
    <w:uiPriority w:val="0"/>
    <w:rPr>
      <w:rFonts w:ascii="宋体" w:hAnsi="Times New Roman" w:eastAsia="宋体" w:cs="Times New Roman"/>
      <w:kern w:val="2"/>
      <w:sz w:val="18"/>
      <w:szCs w:val="18"/>
      <w:lang w:val="en-US" w:eastAsia="zh-CN" w:bidi="ar-SA"/>
    </w:rPr>
  </w:style>
  <w:style w:type="character" w:customStyle="1" w:styleId="156">
    <w:name w:val="正文文本缩进 2字符1"/>
    <w:semiHidden/>
    <w:qFormat/>
    <w:uiPriority w:val="99"/>
    <w:rPr>
      <w:rFonts w:ascii="Times New Roman" w:hAnsi="Times New Roman" w:eastAsia="宋体" w:cs="Times New Roman"/>
      <w:sz w:val="21"/>
      <w:szCs w:val="20"/>
    </w:rPr>
  </w:style>
  <w:style w:type="character" w:customStyle="1" w:styleId="157">
    <w:name w:val="纯文本字符1"/>
    <w:semiHidden/>
    <w:qFormat/>
    <w:uiPriority w:val="99"/>
    <w:rPr>
      <w:rFonts w:ascii="宋体" w:hAnsi="Courier" w:eastAsia="宋体" w:cs="Times New Roman"/>
    </w:rPr>
  </w:style>
  <w:style w:type="character" w:customStyle="1" w:styleId="158">
    <w:name w:val="批注文字 Char1"/>
    <w:qFormat/>
    <w:uiPriority w:val="0"/>
    <w:rPr>
      <w:rFonts w:ascii="Times New Roman" w:hAnsi="Times New Roman" w:eastAsia="宋体" w:cs="Times New Roman"/>
      <w:sz w:val="21"/>
      <w:szCs w:val="20"/>
    </w:rPr>
  </w:style>
  <w:style w:type="character" w:customStyle="1" w:styleId="15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0">
    <w:name w:val="批注框文本字符1"/>
    <w:semiHidden/>
    <w:qFormat/>
    <w:uiPriority w:val="99"/>
    <w:rPr>
      <w:rFonts w:ascii="Heiti SC Light" w:hAnsi="Times New Roman" w:eastAsia="Heiti SC Light" w:cs="Times New Roman"/>
      <w:sz w:val="18"/>
      <w:szCs w:val="18"/>
    </w:rPr>
  </w:style>
  <w:style w:type="character" w:customStyle="1" w:styleId="16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2">
    <w:name w:val="页眉字符1"/>
    <w:semiHidden/>
    <w:qFormat/>
    <w:uiPriority w:val="99"/>
    <w:rPr>
      <w:rFonts w:ascii="Times New Roman" w:hAnsi="Times New Roman" w:eastAsia="宋体" w:cs="Times New Roman"/>
      <w:sz w:val="18"/>
      <w:szCs w:val="18"/>
    </w:rPr>
  </w:style>
  <w:style w:type="character" w:customStyle="1" w:styleId="163">
    <w:name w:val="纯文本 Char1"/>
    <w:qFormat/>
    <w:uiPriority w:val="0"/>
    <w:rPr>
      <w:rFonts w:ascii="宋体" w:hAnsi="Courier New" w:eastAsia="宋体" w:cs="Courier New"/>
      <w:kern w:val="2"/>
      <w:sz w:val="21"/>
      <w:szCs w:val="21"/>
      <w:lang w:val="en-US" w:eastAsia="zh-CN" w:bidi="ar-SA"/>
    </w:rPr>
  </w:style>
  <w:style w:type="character" w:customStyle="1" w:styleId="164">
    <w:name w:val="正文文本缩进 2 Char1"/>
    <w:qFormat/>
    <w:uiPriority w:val="0"/>
    <w:rPr>
      <w:rFonts w:ascii="Times New Roman" w:hAnsi="Times New Roman" w:eastAsia="宋体" w:cs="Times New Roman"/>
      <w:kern w:val="2"/>
      <w:sz w:val="21"/>
      <w:lang w:val="en-US" w:eastAsia="zh-CN" w:bidi="ar-SA"/>
    </w:rPr>
  </w:style>
  <w:style w:type="character" w:customStyle="1" w:styleId="165">
    <w:name w:val="文档结构图 字符1"/>
    <w:semiHidden/>
    <w:qFormat/>
    <w:uiPriority w:val="99"/>
    <w:rPr>
      <w:rFonts w:ascii="Heiti SC Light" w:hAnsi="Times New Roman" w:eastAsia="Heiti SC Light" w:cs="Times New Roman"/>
    </w:rPr>
  </w:style>
  <w:style w:type="character" w:customStyle="1" w:styleId="166">
    <w:name w:val="正文文本缩进 Char1"/>
    <w:qFormat/>
    <w:uiPriority w:val="0"/>
    <w:rPr>
      <w:rFonts w:ascii="Times New Roman" w:hAnsi="Times New Roman" w:eastAsia="宋体" w:cs="Times New Roman"/>
      <w:kern w:val="2"/>
      <w:sz w:val="21"/>
      <w:lang w:val="en-US" w:eastAsia="zh-CN" w:bidi="ar-SA"/>
    </w:rPr>
  </w:style>
  <w:style w:type="character" w:customStyle="1" w:styleId="167">
    <w:name w:val="正文文本缩进字符1"/>
    <w:semiHidden/>
    <w:qFormat/>
    <w:uiPriority w:val="99"/>
    <w:rPr>
      <w:rFonts w:ascii="Times New Roman" w:hAnsi="Times New Roman" w:eastAsia="宋体" w:cs="Times New Roman"/>
      <w:sz w:val="21"/>
      <w:szCs w:val="20"/>
    </w:rPr>
  </w:style>
  <w:style w:type="character" w:customStyle="1" w:styleId="168">
    <w:name w:val="日期字符1"/>
    <w:semiHidden/>
    <w:qFormat/>
    <w:uiPriority w:val="99"/>
    <w:rPr>
      <w:rFonts w:ascii="Times New Roman" w:hAnsi="Times New Roman" w:eastAsia="宋体" w:cs="Times New Roman"/>
      <w:sz w:val="21"/>
      <w:szCs w:val="20"/>
    </w:rPr>
  </w:style>
  <w:style w:type="table" w:customStyle="1" w:styleId="169">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0">
    <w:name w:val="纯文本 字符1"/>
    <w:semiHidden/>
    <w:qFormat/>
    <w:locked/>
    <w:uiPriority w:val="0"/>
    <w:rPr>
      <w:rFonts w:ascii="宋体" w:hAnsi="Courier New"/>
    </w:rPr>
  </w:style>
  <w:style w:type="character" w:customStyle="1" w:styleId="171">
    <w:name w:val="Header or footer|1_"/>
    <w:qFormat/>
    <w:uiPriority w:val="0"/>
    <w:rPr>
      <w:rFonts w:ascii="PMingLiU" w:hAnsi="PMingLiU" w:eastAsia="PMingLiU" w:cs="PMingLiU"/>
      <w:sz w:val="17"/>
      <w:szCs w:val="17"/>
      <w:u w:val="none"/>
    </w:rPr>
  </w:style>
  <w:style w:type="character" w:customStyle="1" w:styleId="172">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3">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4">
    <w:name w:val="Body text|3 Exact"/>
    <w:link w:val="175"/>
    <w:qFormat/>
    <w:uiPriority w:val="0"/>
    <w:rPr>
      <w:rFonts w:ascii="PMingLiU" w:hAnsi="PMingLiU" w:eastAsia="PMingLiU" w:cs="PMingLiU"/>
      <w:w w:val="350"/>
      <w:sz w:val="32"/>
      <w:szCs w:val="32"/>
      <w:shd w:val="clear" w:color="auto" w:fill="FFFFFF"/>
      <w:lang w:eastAsia="en-US" w:bidi="en-US"/>
    </w:rPr>
  </w:style>
  <w:style w:type="paragraph" w:customStyle="1" w:styleId="175">
    <w:name w:val="Body text|3"/>
    <w:basedOn w:val="1"/>
    <w:link w:val="174"/>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6">
    <w:name w:val="Body text|2_"/>
    <w:link w:val="177"/>
    <w:qFormat/>
    <w:uiPriority w:val="0"/>
    <w:rPr>
      <w:rFonts w:ascii="PMingLiU" w:hAnsi="PMingLiU" w:eastAsia="PMingLiU" w:cs="PMingLiU"/>
      <w:sz w:val="22"/>
      <w:shd w:val="clear" w:color="auto" w:fill="FFFFFF"/>
    </w:rPr>
  </w:style>
  <w:style w:type="paragraph" w:customStyle="1" w:styleId="177">
    <w:name w:val="Body text|2"/>
    <w:basedOn w:val="1"/>
    <w:link w:val="176"/>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8">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9">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0">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1">
    <w:name w:val="Heading #2|1_"/>
    <w:link w:val="182"/>
    <w:qFormat/>
    <w:uiPriority w:val="0"/>
    <w:rPr>
      <w:rFonts w:ascii="PMingLiU" w:hAnsi="PMingLiU" w:eastAsia="PMingLiU" w:cs="PMingLiU"/>
      <w:b/>
      <w:bCs/>
      <w:spacing w:val="20"/>
      <w:sz w:val="23"/>
      <w:szCs w:val="23"/>
      <w:shd w:val="clear" w:color="auto" w:fill="FFFFFF"/>
    </w:rPr>
  </w:style>
  <w:style w:type="paragraph" w:customStyle="1" w:styleId="182">
    <w:name w:val="Heading #2|1"/>
    <w:basedOn w:val="1"/>
    <w:link w:val="181"/>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3">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4">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5">
    <w:name w:val="Body text|4_"/>
    <w:link w:val="186"/>
    <w:qFormat/>
    <w:uiPriority w:val="0"/>
    <w:rPr>
      <w:rFonts w:ascii="PMingLiU" w:hAnsi="PMingLiU" w:eastAsia="PMingLiU" w:cs="PMingLiU"/>
      <w:sz w:val="19"/>
      <w:szCs w:val="19"/>
      <w:shd w:val="clear" w:color="auto" w:fill="FFFFFF"/>
    </w:rPr>
  </w:style>
  <w:style w:type="paragraph" w:customStyle="1" w:styleId="186">
    <w:name w:val="Body text|4"/>
    <w:basedOn w:val="1"/>
    <w:link w:val="185"/>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7">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8">
    <w:name w:val="Body text|5_"/>
    <w:link w:val="189"/>
    <w:qFormat/>
    <w:uiPriority w:val="0"/>
    <w:rPr>
      <w:sz w:val="8"/>
      <w:szCs w:val="8"/>
      <w:shd w:val="clear" w:color="auto" w:fill="FFFFFF"/>
      <w:lang w:eastAsia="en-US" w:bidi="en-US"/>
    </w:rPr>
  </w:style>
  <w:style w:type="paragraph" w:customStyle="1" w:styleId="189">
    <w:name w:val="Body text|5"/>
    <w:basedOn w:val="1"/>
    <w:link w:val="188"/>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0">
    <w:name w:val="font11"/>
    <w:qFormat/>
    <w:uiPriority w:val="0"/>
    <w:rPr>
      <w:rFonts w:hint="eastAsia" w:ascii="宋体" w:hAnsi="宋体" w:eastAsia="宋体" w:cs="宋体"/>
      <w:color w:val="000000"/>
      <w:sz w:val="22"/>
      <w:szCs w:val="22"/>
      <w:u w:val="none"/>
    </w:rPr>
  </w:style>
  <w:style w:type="character" w:customStyle="1" w:styleId="191">
    <w:name w:val="font01"/>
    <w:qFormat/>
    <w:uiPriority w:val="0"/>
    <w:rPr>
      <w:rFonts w:ascii="font-weight : 400" w:hAnsi="font-weight : 400" w:eastAsia="font-weight : 400" w:cs="font-weight : 400"/>
      <w:color w:val="000000"/>
      <w:sz w:val="22"/>
      <w:szCs w:val="22"/>
      <w:u w:val="none"/>
    </w:rPr>
  </w:style>
  <w:style w:type="paragraph" w:customStyle="1" w:styleId="192">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3">
    <w:name w:val="Placeholder Text"/>
    <w:basedOn w:val="50"/>
    <w:semiHidden/>
    <w:qFormat/>
    <w:uiPriority w:val="99"/>
    <w:rPr>
      <w:color w:val="808080"/>
    </w:rPr>
  </w:style>
  <w:style w:type="paragraph" w:customStyle="1" w:styleId="194">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5">
    <w:name w:val="B1二级标题"/>
    <w:basedOn w:val="1"/>
    <w:link w:val="196"/>
    <w:qFormat/>
    <w:uiPriority w:val="99"/>
    <w:pPr>
      <w:widowControl/>
      <w:numPr>
        <w:ilvl w:val="1"/>
        <w:numId w:val="1"/>
      </w:numPr>
      <w:spacing w:before="156" w:beforeLines="50" w:after="156" w:line="360" w:lineRule="auto"/>
      <w:jc w:val="left"/>
      <w:outlineLvl w:val="1"/>
    </w:pPr>
    <w:rPr>
      <w:sz w:val="24"/>
      <w:szCs w:val="24"/>
    </w:rPr>
  </w:style>
  <w:style w:type="character" w:customStyle="1" w:styleId="196">
    <w:name w:val="B1二级标题 Char"/>
    <w:link w:val="195"/>
    <w:qFormat/>
    <w:uiPriority w:val="99"/>
    <w:rPr>
      <w:rFonts w:ascii="Times New Roman" w:hAnsi="Times New Roman" w:eastAsia="宋体" w:cs="Times New Roman"/>
      <w:sz w:val="24"/>
      <w:szCs w:val="24"/>
    </w:rPr>
  </w:style>
  <w:style w:type="paragraph" w:customStyle="1" w:styleId="197">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8">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9">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0">
    <w:name w:val="列出段落 Char"/>
    <w:link w:val="115"/>
    <w:qFormat/>
    <w:uiPriority w:val="34"/>
    <w:rPr>
      <w:rFonts w:ascii="Times New Roman" w:hAnsi="Times New Roman"/>
      <w:kern w:val="2"/>
      <w:sz w:val="21"/>
    </w:rPr>
  </w:style>
  <w:style w:type="paragraph" w:customStyle="1" w:styleId="201">
    <w:name w:val="修订1"/>
    <w:hidden/>
    <w:semiHidden/>
    <w:qFormat/>
    <w:uiPriority w:val="99"/>
    <w:rPr>
      <w:rFonts w:ascii="Times New Roman" w:hAnsi="Times New Roman" w:eastAsia="宋体" w:cs="Times New Roman"/>
      <w:kern w:val="2"/>
      <w:sz w:val="21"/>
      <w:lang w:val="en-US" w:eastAsia="zh-CN" w:bidi="ar-SA"/>
    </w:rPr>
  </w:style>
  <w:style w:type="paragraph" w:customStyle="1" w:styleId="202">
    <w:name w:val="网格表 31"/>
    <w:basedOn w:val="5"/>
    <w:next w:val="1"/>
    <w:unhideWhenUsed/>
    <w:qFormat/>
    <w:uiPriority w:val="39"/>
    <w:pPr>
      <w:widowControl/>
      <w:adjustRightInd/>
      <w:spacing w:before="240" w:after="0" w:line="259" w:lineRule="auto"/>
      <w:jc w:val="left"/>
      <w:textAlignment w:val="auto"/>
      <w:outlineLvl w:val="9"/>
    </w:pPr>
    <w:rPr>
      <w:rFonts w:ascii="Calibri Light" w:hAnsi="Calibri Light"/>
      <w:b w:val="0"/>
      <w:color w:val="2E74B5"/>
      <w:kern w:val="0"/>
      <w:sz w:val="32"/>
      <w:szCs w:val="32"/>
    </w:rPr>
  </w:style>
  <w:style w:type="paragraph" w:customStyle="1" w:styleId="203">
    <w:name w:val="彩色列表 - 着色 1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F0792-C834-4D4D-AC90-CBB3E608F50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28213</Words>
  <Characters>28927</Characters>
  <Lines>251</Lines>
  <Paragraphs>70</Paragraphs>
  <TotalTime>0</TotalTime>
  <ScaleCrop>false</ScaleCrop>
  <LinksUpToDate>false</LinksUpToDate>
  <CharactersWithSpaces>31606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2020-07-13T01:28:00Z</dcterms:created>
  <dc:creator>郑晓伟</dc:creator>
  <cp:lastModifiedBy>周兴杰</cp:lastModifiedBy>
  <cp:lastPrinted>2022-07-28T00:44:00Z</cp:lastPrinted>
  <dcterms:modified xsi:type="dcterms:W3CDTF">2022-08-01T10:30:31Z</dcterms:modified>
  <dc:title>前海时代项目定位及物业发展建议研究服务项目比选文件</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E307E1118EF04675B60DD84ADECB0549</vt:lpwstr>
  </property>
</Properties>
</file>