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0" w:name="_Toc106562916"/>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0"/>
    </w:p>
    <w:p/>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szCs w:val="22"/>
          <w:u w:val="single"/>
          <w14:textFill>
            <w14:solidFill>
              <w14:schemeClr w14:val="tx1">
                <w14:lumMod w14:val="95000"/>
                <w14:lumOff w14:val="5000"/>
              </w14:schemeClr>
            </w14:solidFill>
          </w14:textFill>
        </w:rPr>
        <w:t>深铁珑境项目持销期活动及宣传推广、深铁璟城宣传用品采购服务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5"/>
        <w:snapToGrid w:val="0"/>
        <w:spacing w:line="336" w:lineRule="auto"/>
        <w:ind w:firstLine="480" w:firstLineChars="200"/>
        <w:rPr>
          <w:rFonts w:hint="eastAsia" w:hAnsi="宋体"/>
          <w:b/>
          <w:bCs/>
          <w:color w:val="0D0D0D" w:themeColor="text1" w:themeTint="F2"/>
          <w:sz w:val="24"/>
          <w:szCs w:val="22"/>
          <w14:textFill>
            <w14:solidFill>
              <w14:schemeClr w14:val="tx1">
                <w14:lumMod w14:val="95000"/>
                <w14:lumOff w14:val="5000"/>
              </w14:schemeClr>
            </w14:solidFill>
          </w14:textFill>
        </w:rPr>
      </w:pPr>
      <w:r>
        <w:rPr>
          <w:rFonts w:hint="eastAsia" w:ascii="Times New Roman" w:hAnsi="宋体" w:eastAsia="宋体" w:cs="Times New Roman"/>
          <w:color w:val="0D0D0D" w:themeColor="text1" w:themeTint="F2"/>
          <w:kern w:val="2"/>
          <w:sz w:val="24"/>
          <w:szCs w:val="24"/>
          <w:lang w:val="en-US" w:eastAsia="zh-CN" w:bidi="ar-SA"/>
          <w14:textFill>
            <w14:solidFill>
              <w14:schemeClr w14:val="tx1">
                <w14:lumMod w14:val="95000"/>
                <w14:lumOff w14:val="5000"/>
              </w14:schemeClr>
            </w14:solidFill>
          </w14:textFill>
        </w:rPr>
        <w:t>深铁珑境项目持销期活动及宣传推广、深铁璟城宣传用品采购服务</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5"/>
        <w:snapToGrid w:val="0"/>
        <w:spacing w:line="336" w:lineRule="auto"/>
        <w:ind w:firstLine="480" w:firstLineChars="200"/>
        <w:rPr>
          <w:rFonts w:hint="eastAsia" w:hAnsi="宋体"/>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珑境位于深圳市龙华区大浪街道布龙路与和平路交汇处（地铁4号线龙胜站）。本项目二类居住用地，建筑面积约48万㎡，其中住宅共344套，产品涵盖建筑面积约110-145㎡小高层产品3-4房264套，建筑面积约180㎡复式洋房80套。</w:t>
      </w:r>
    </w:p>
    <w:p>
      <w:pPr>
        <w:pStyle w:val="5"/>
        <w:snapToGrid w:val="0"/>
        <w:spacing w:line="336" w:lineRule="auto"/>
        <w:ind w:firstLine="480" w:firstLineChars="200"/>
        <w:rPr>
          <w:rFonts w:hAnsi="宋体"/>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璟城项目，位于深圳市宝安区松岗片区地铁11号线终点站碧头站上盖，东宝河南侧，松福大道以北。项目总占地约33万㎡，建筑面积约70万㎡，是集高端住宅、缤纷商业、运动公园、九年教育配套于一体的大型生态综合体，其中首批推出北区盖上75-148平2-4房的低密住宅产品。</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5"/>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ascii="Times New Roman" w:hAnsi="宋体" w:eastAsia="宋体" w:cs="Times New Roman"/>
          <w:color w:val="0D0D0D" w:themeColor="text1" w:themeTint="F2"/>
          <w:kern w:val="2"/>
          <w:sz w:val="24"/>
          <w:szCs w:val="24"/>
          <w:lang w:val="en-US" w:eastAsia="zh-CN" w:bidi="ar-SA"/>
          <w14:textFill>
            <w14:solidFill>
              <w14:schemeClr w14:val="tx1">
                <w14:lumMod w14:val="95000"/>
                <w14:lumOff w14:val="5000"/>
              </w14:schemeClr>
            </w14:solidFill>
          </w14:textFill>
        </w:rPr>
        <w:t>深铁珑境项目持销期活动及宣传推广、深铁璟城宣传用品采购服务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招采范围包括但不限于：深铁珑境持销期活动策划及执行、宣传推广，深铁璟城宣传用品采购等内容。</w:t>
      </w:r>
    </w:p>
    <w:p>
      <w:pPr>
        <w:keepNext w:val="0"/>
        <w:keepLines w:val="0"/>
        <w:pageBreakBefore w:val="0"/>
        <w:widowControl w:val="0"/>
        <w:kinsoku/>
        <w:wordWrap/>
        <w:overflowPunct/>
        <w:topLinePunct w:val="0"/>
        <w:autoSpaceDE/>
        <w:autoSpaceDN/>
        <w:bidi w:val="0"/>
        <w:adjustRightInd w:val="0"/>
        <w:snapToGrid w:val="0"/>
        <w:spacing w:line="360" w:lineRule="auto"/>
        <w:ind w:right="-296" w:rightChars="-141" w:firstLine="427" w:firstLineChars="178"/>
        <w:rPr>
          <w:rFonts w:hint="eastAsia" w:ascii="宋体" w:hAnsi="宋体" w:eastAsia="宋体" w:cs="宋体"/>
          <w:bCs/>
          <w:color w:val="000000"/>
          <w:sz w:val="24"/>
          <w:szCs w:val="24"/>
        </w:rPr>
      </w:pPr>
      <w:r>
        <w:rPr>
          <w:rFonts w:hint="eastAsia" w:ascii="宋体" w:hAnsi="宋体" w:eastAsia="宋体" w:cs="宋体"/>
          <w:bCs/>
          <w:color w:val="000000"/>
          <w:sz w:val="24"/>
          <w:szCs w:val="24"/>
        </w:rPr>
        <w:t>（一）</w:t>
      </w:r>
      <w:r>
        <w:rPr>
          <w:rFonts w:hint="eastAsia" w:ascii="宋体" w:hAnsi="宋体" w:eastAsia="宋体" w:cs="宋体"/>
          <w:bCs/>
          <w:color w:val="000000"/>
          <w:sz w:val="24"/>
          <w:szCs w:val="24"/>
          <w:lang w:val="en-US" w:eastAsia="zh-CN"/>
        </w:rPr>
        <w:t>深铁珑境</w:t>
      </w:r>
      <w:r>
        <w:rPr>
          <w:rFonts w:hint="eastAsia" w:ascii="宋体" w:hAnsi="宋体" w:eastAsia="宋体" w:cs="宋体"/>
          <w:bCs/>
          <w:color w:val="000000"/>
          <w:sz w:val="24"/>
          <w:szCs w:val="24"/>
        </w:rPr>
        <w:t>持销期活动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在项目开盘后持销期，为促进项目销售，举办符合项目调性、客户需求的活动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深铁珑境产品建筑面积约110-180㎡，风格为现代中式，整体调性高雅，结合珑境定位，拟于深铁置业大厦52、53楼举办高雅艺术类活动，吸引客户上门，</w:t>
      </w:r>
      <w:r>
        <w:rPr>
          <w:rFonts w:hint="eastAsia" w:ascii="宋体" w:hAnsi="宋体" w:eastAsia="宋体" w:cs="宋体"/>
          <w:color w:val="000000"/>
          <w:sz w:val="24"/>
          <w:szCs w:val="24"/>
        </w:rPr>
        <w:t>包括但不限于有：活动</w:t>
      </w:r>
      <w:r>
        <w:rPr>
          <w:rFonts w:hint="eastAsia" w:ascii="宋体" w:hAnsi="宋体" w:eastAsia="宋体" w:cs="宋体"/>
          <w:color w:val="000000"/>
          <w:sz w:val="24"/>
          <w:szCs w:val="24"/>
          <w:lang w:val="en-US" w:eastAsia="zh-CN"/>
        </w:rPr>
        <w:t>资源使用</w:t>
      </w:r>
      <w:r>
        <w:rPr>
          <w:rFonts w:hint="eastAsia" w:ascii="宋体" w:hAnsi="宋体" w:eastAsia="宋体" w:cs="宋体"/>
          <w:color w:val="000000"/>
          <w:sz w:val="24"/>
          <w:szCs w:val="24"/>
        </w:rPr>
        <w:t>、活动物料、活动执行、活动氛围营造及包装等。</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活动类型1.</w:t>
      </w:r>
      <w:r>
        <w:rPr>
          <w:rFonts w:hint="eastAsia" w:ascii="宋体" w:hAnsi="宋体" w:eastAsia="宋体" w:cs="宋体"/>
          <w:color w:val="000000"/>
          <w:sz w:val="24"/>
          <w:szCs w:val="24"/>
          <w:lang w:val="en-US" w:eastAsia="zh-CN"/>
        </w:rPr>
        <w:t>烛光音乐会：</w:t>
      </w:r>
      <w:r>
        <w:rPr>
          <w:rFonts w:hint="eastAsia" w:ascii="宋体" w:hAnsi="宋体" w:eastAsia="宋体" w:cs="宋体"/>
          <w:color w:val="000000"/>
          <w:sz w:val="24"/>
          <w:szCs w:val="24"/>
        </w:rPr>
        <w:t>暂定</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场，约</w:t>
      </w:r>
      <w:r>
        <w:rPr>
          <w:rFonts w:hint="eastAsia" w:ascii="宋体" w:hAnsi="宋体" w:eastAsia="宋体" w:cs="宋体"/>
          <w:color w:val="000000"/>
          <w:sz w:val="24"/>
          <w:szCs w:val="24"/>
          <w:lang w:val="en-US" w:eastAsia="zh-CN"/>
        </w:rPr>
        <w:t>100</w:t>
      </w:r>
      <w:r>
        <w:rPr>
          <w:rFonts w:hint="eastAsia" w:ascii="宋体" w:hAnsi="宋体" w:eastAsia="宋体" w:cs="宋体"/>
          <w:color w:val="000000"/>
          <w:sz w:val="24"/>
          <w:szCs w:val="24"/>
        </w:rPr>
        <w:t>人。</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r>
        <w:rPr>
          <w:rFonts w:hint="eastAsia" w:ascii="宋体" w:hAnsi="宋体" w:eastAsia="宋体" w:cs="宋体"/>
          <w:color w:val="000000"/>
          <w:sz w:val="24"/>
          <w:szCs w:val="24"/>
        </w:rPr>
        <w:t>活动类型</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知名艺术作品展：</w:t>
      </w:r>
      <w:r>
        <w:rPr>
          <w:rFonts w:hint="eastAsia" w:ascii="宋体" w:hAnsi="宋体" w:eastAsia="宋体" w:cs="宋体"/>
          <w:color w:val="000000"/>
          <w:sz w:val="24"/>
          <w:szCs w:val="24"/>
        </w:rPr>
        <w:t>拟邀请</w:t>
      </w:r>
      <w:r>
        <w:rPr>
          <w:rFonts w:hint="eastAsia" w:ascii="宋体" w:hAnsi="宋体" w:eastAsia="宋体" w:cs="宋体"/>
          <w:color w:val="000000"/>
          <w:sz w:val="24"/>
          <w:szCs w:val="24"/>
          <w:lang w:val="en-US" w:eastAsia="zh-CN"/>
        </w:rPr>
        <w:t>艺术界</w:t>
      </w:r>
      <w:r>
        <w:rPr>
          <w:rFonts w:hint="eastAsia" w:ascii="宋体" w:hAnsi="宋体" w:eastAsia="宋体" w:cs="宋体"/>
          <w:color w:val="000000"/>
          <w:sz w:val="24"/>
          <w:szCs w:val="24"/>
        </w:rPr>
        <w:t>大咖</w:t>
      </w:r>
      <w:r>
        <w:rPr>
          <w:rFonts w:hint="eastAsia" w:ascii="宋体" w:hAnsi="宋体" w:eastAsia="宋体" w:cs="宋体"/>
          <w:color w:val="000000"/>
          <w:sz w:val="24"/>
          <w:szCs w:val="24"/>
          <w:lang w:val="en-US" w:eastAsia="zh-CN"/>
        </w:rPr>
        <w:t>到场分享展出作品,画展/雕塑/陶瓷/纸雕方向艺术展览，</w:t>
      </w:r>
      <w:r>
        <w:rPr>
          <w:rFonts w:hint="eastAsia" w:ascii="宋体" w:hAnsi="宋体" w:eastAsia="宋体" w:cs="宋体"/>
          <w:color w:val="000000"/>
          <w:sz w:val="24"/>
          <w:szCs w:val="24"/>
        </w:rPr>
        <w:t>暂定</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场。</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（二）宣传推广</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根据销售需求进行不同广告渠道的投放。</w:t>
      </w:r>
    </w:p>
    <w:tbl>
      <w:tblPr>
        <w:tblStyle w:val="6"/>
        <w:tblW w:w="85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ascii="宋体" w:hAnsi="宋体" w:cs="宋体"/>
                <w:color w:val="000000"/>
                <w:kern w:val="0"/>
                <w:szCs w:val="21"/>
              </w:rPr>
            </w:pPr>
            <w:r>
              <w:rPr>
                <w:rFonts w:hint="eastAsia" w:ascii="宋体" w:hAnsi="宋体" w:cs="宋体"/>
                <w:color w:val="000000"/>
                <w:kern w:val="0"/>
                <w:szCs w:val="21"/>
              </w:rPr>
              <w:t>序号</w:t>
            </w:r>
          </w:p>
        </w:tc>
        <w:tc>
          <w:tcPr>
            <w:tcW w:w="6471"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腾讯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2</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新浪微博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3</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安居客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4</w:t>
            </w:r>
          </w:p>
        </w:tc>
        <w:tc>
          <w:tcPr>
            <w:tcW w:w="6471" w:type="dxa"/>
            <w:noWrap w:val="0"/>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房地产信息网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5</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商超灯箱广告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6</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电梯框架广告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7</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社区门禁广告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8</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公交站台广告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44" w:type="dxa"/>
            <w:noWrap/>
            <w:vAlign w:val="center"/>
          </w:tcPr>
          <w:p>
            <w:pPr>
              <w:widowControl/>
              <w:adjustRightInd w:val="0"/>
              <w:snapToGrid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9</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短信广告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自媒体大V微信软文/视频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044" w:type="dxa"/>
            <w:noWrap/>
            <w:vAlign w:val="center"/>
          </w:tcPr>
          <w:p>
            <w:pPr>
              <w:widowControl/>
              <w:adjustRightInd w:val="0"/>
              <w:snapToGrid w:val="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11</w:t>
            </w:r>
          </w:p>
        </w:tc>
        <w:tc>
          <w:tcPr>
            <w:tcW w:w="6471" w:type="dxa"/>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房产博主抖音直播</w:t>
            </w:r>
          </w:p>
        </w:tc>
      </w:tr>
    </w:tbl>
    <w:p>
      <w:pPr>
        <w:pStyle w:val="5"/>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color w:val="0D0D0D" w:themeColor="text1" w:themeTint="F2"/>
          <w:sz w:val="24"/>
          <w:szCs w:val="24"/>
          <w14:textFill>
            <w14:solidFill>
              <w14:schemeClr w14:val="tx1">
                <w14:lumMod w14:val="95000"/>
                <w14:lumOff w14:val="5000"/>
              </w14:schemeClr>
            </w14:solidFill>
          </w14:textFill>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right="-296" w:rightChars="-141"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深铁璟城宣传用品采购</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296" w:rightChars="-141"/>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深铁璟城已于2022年6月22日开盘选房，前期积累大量观望客户，拟给予每批成交客户成交礼品，逼定成交，促进璟城销售。</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kern w:val="2"/>
          <w:sz w:val="24"/>
          <w:szCs w:val="24"/>
        </w:rPr>
      </w:pPr>
      <w:r>
        <w:rPr>
          <w:rFonts w:hint="eastAsia" w:ascii="宋体" w:hAnsi="宋体" w:eastAsia="宋体" w:cs="宋体"/>
          <w:sz w:val="24"/>
          <w:szCs w:val="24"/>
        </w:rPr>
        <w:t>以上服务内容详见附件《深铁</w:t>
      </w:r>
      <w:r>
        <w:rPr>
          <w:rFonts w:hint="eastAsia" w:ascii="宋体" w:hAnsi="宋体" w:eastAsia="宋体" w:cs="宋体"/>
          <w:sz w:val="24"/>
          <w:szCs w:val="24"/>
          <w:lang w:val="en-US" w:eastAsia="zh-CN"/>
        </w:rPr>
        <w:t>珑境</w:t>
      </w:r>
      <w:r>
        <w:rPr>
          <w:rFonts w:hint="eastAsia" w:ascii="宋体" w:hAnsi="宋体" w:eastAsia="宋体" w:cs="宋体"/>
          <w:sz w:val="24"/>
          <w:szCs w:val="24"/>
        </w:rPr>
        <w:t>项目持销期活动及宣传推广</w:t>
      </w:r>
      <w:r>
        <w:rPr>
          <w:rFonts w:hint="eastAsia" w:ascii="宋体" w:hAnsi="宋体" w:eastAsia="宋体" w:cs="宋体"/>
          <w:sz w:val="24"/>
          <w:szCs w:val="24"/>
          <w:lang w:eastAsia="zh-CN"/>
        </w:rPr>
        <w:t>、深铁璟城</w:t>
      </w:r>
      <w:r>
        <w:rPr>
          <w:rFonts w:hint="eastAsia" w:ascii="宋体" w:hAnsi="宋体" w:eastAsia="宋体" w:cs="宋体"/>
          <w:sz w:val="24"/>
          <w:szCs w:val="24"/>
          <w:lang w:val="en-US" w:eastAsia="zh-CN"/>
        </w:rPr>
        <w:t>宣传用品</w:t>
      </w:r>
      <w:r>
        <w:rPr>
          <w:rFonts w:hint="eastAsia" w:ascii="宋体" w:hAnsi="宋体" w:eastAsia="宋体" w:cs="宋体"/>
          <w:sz w:val="24"/>
          <w:szCs w:val="24"/>
          <w:lang w:eastAsia="zh-CN"/>
        </w:rPr>
        <w:t>采购</w:t>
      </w:r>
      <w:r>
        <w:rPr>
          <w:rFonts w:hint="eastAsia" w:ascii="宋体" w:hAnsi="宋体" w:eastAsia="宋体" w:cs="宋体"/>
          <w:sz w:val="24"/>
          <w:szCs w:val="24"/>
        </w:rPr>
        <w:t>服务清单》</w:t>
      </w:r>
      <w:r>
        <w:rPr>
          <w:rFonts w:hint="eastAsia" w:ascii="宋体" w:hAnsi="宋体" w:eastAsia="宋体" w:cs="宋体"/>
          <w:color w:val="000000"/>
          <w:sz w:val="24"/>
          <w:szCs w:val="24"/>
        </w:rPr>
        <w:t>]</w:t>
      </w:r>
      <w:r>
        <w:rPr>
          <w:rFonts w:hint="eastAsia" w:ascii="宋体" w:hAnsi="宋体" w:eastAsia="宋体" w:cs="宋体"/>
          <w:kern w:val="2"/>
          <w:sz w:val="24"/>
          <w:szCs w:val="24"/>
        </w:rPr>
        <w:t>。</w:t>
      </w:r>
    </w:p>
    <w:p>
      <w:pPr>
        <w:pStyle w:val="5"/>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397</w:t>
      </w:r>
      <w:r>
        <w:rPr>
          <w:rFonts w:hint="eastAsia" w:hAnsi="宋体"/>
          <w:color w:val="0D0D0D" w:themeColor="text1" w:themeTint="F2"/>
          <w:sz w:val="24"/>
          <w:szCs w:val="24"/>
          <w14:textFill>
            <w14:solidFill>
              <w14:schemeClr w14:val="tx1">
                <w14:lumMod w14:val="95000"/>
                <w14:lumOff w14:val="5000"/>
              </w14:schemeClr>
            </w14:solidFill>
          </w14:textFill>
        </w:rPr>
        <w:t>万元（含税），报价不能超过本次比选总上限价、具体细项最高限价。</w:t>
      </w:r>
      <w:r>
        <w:rPr>
          <w:rFonts w:hAnsi="宋体"/>
          <w:color w:val="0D0D0D" w:themeColor="text1" w:themeTint="F2"/>
          <w:sz w:val="24"/>
          <w:szCs w:val="24"/>
          <w14:textFill>
            <w14:solidFill>
              <w14:schemeClr w14:val="tx1">
                <w14:lumMod w14:val="95000"/>
                <w14:lumOff w14:val="5000"/>
              </w14:schemeClr>
            </w14:solidFill>
          </w14:textFill>
        </w:rPr>
        <w:t xml:space="preserve"> </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具体细项最高限价详见下表（万元，含税）：</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【注：各具体细项的最终报价均不能超过以下细项最高限价】</w:t>
      </w:r>
    </w:p>
    <w:tbl>
      <w:tblPr>
        <w:tblStyle w:val="6"/>
        <w:tblW w:w="7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4591"/>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4591" w:type="dxa"/>
            <w:noWrap w:val="0"/>
            <w:vAlign w:val="center"/>
          </w:tcPr>
          <w:p>
            <w:pPr>
              <w:widowControl/>
              <w:adjustRightInd w:val="0"/>
              <w:snapToGrid w:val="0"/>
              <w:jc w:val="center"/>
              <w:rPr>
                <w:rFonts w:ascii="宋体" w:hAnsi="宋体" w:cs="宋体"/>
                <w:color w:val="000000"/>
                <w:kern w:val="0"/>
                <w:sz w:val="24"/>
                <w:szCs w:val="24"/>
              </w:rPr>
            </w:pPr>
            <w:r>
              <w:rPr>
                <w:rFonts w:hint="eastAsia" w:ascii="宋体" w:hAnsi="宋体" w:cs="宋体"/>
                <w:color w:val="000000"/>
                <w:kern w:val="0"/>
                <w:sz w:val="24"/>
                <w:szCs w:val="24"/>
              </w:rPr>
              <w:t>项目</w:t>
            </w:r>
          </w:p>
        </w:tc>
        <w:tc>
          <w:tcPr>
            <w:tcW w:w="2059" w:type="dxa"/>
            <w:noWrap w:val="0"/>
            <w:vAlign w:val="center"/>
          </w:tcPr>
          <w:p>
            <w:pPr>
              <w:widowControl/>
              <w:adjustRightInd w:val="0"/>
              <w:snapToGrid w:val="0"/>
              <w:jc w:val="center"/>
              <w:rPr>
                <w:rFonts w:ascii="宋体" w:hAnsi="宋体" w:cs="宋体"/>
                <w:b/>
                <w:bCs/>
                <w:color w:val="000000"/>
                <w:kern w:val="0"/>
                <w:sz w:val="24"/>
                <w:szCs w:val="24"/>
              </w:rPr>
            </w:pPr>
            <w:r>
              <w:rPr>
                <w:rFonts w:hint="eastAsia" w:ascii="宋体" w:hAnsi="宋体" w:cs="宋体"/>
                <w:b/>
                <w:bCs/>
                <w:color w:val="000000"/>
                <w:kern w:val="0"/>
                <w:sz w:val="24"/>
                <w:szCs w:val="24"/>
              </w:rPr>
              <w:t>细项限价（万元）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restart"/>
            <w:noWrap w:val="0"/>
            <w:vAlign w:val="center"/>
          </w:tcPr>
          <w:p>
            <w:pPr>
              <w:widowControl/>
              <w:adjustRightInd w:val="0"/>
              <w:snapToGrid w:val="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深铁珑境</w:t>
            </w:r>
          </w:p>
        </w:tc>
        <w:tc>
          <w:tcPr>
            <w:tcW w:w="4591" w:type="dxa"/>
            <w:noWrap w:val="0"/>
            <w:vAlign w:val="center"/>
          </w:tcPr>
          <w:p>
            <w:pPr>
              <w:widowControl/>
              <w:adjustRightInd w:val="0"/>
              <w:snapToGrid w:val="0"/>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rPr>
              <w:t>烛光音乐会</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4"/>
                <w:szCs w:val="24"/>
              </w:rPr>
            </w:pPr>
            <w:r>
              <w:rPr>
                <w:rFonts w:hint="eastAsia" w:ascii="宋体" w:hAnsi="宋体" w:eastAsia="宋体" w:cs="宋体"/>
                <w:i w:val="0"/>
                <w:iCs w:val="0"/>
                <w:color w:val="000000"/>
                <w:kern w:val="0"/>
                <w:sz w:val="24"/>
                <w:szCs w:val="24"/>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4"/>
                <w:szCs w:val="24"/>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rPr>
              <w:t>艺术作品展1</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4"/>
                <w:szCs w:val="24"/>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4"/>
                <w:szCs w:val="24"/>
              </w:rPr>
            </w:pPr>
          </w:p>
        </w:tc>
        <w:tc>
          <w:tcPr>
            <w:tcW w:w="4591" w:type="dxa"/>
            <w:noWrap w:val="0"/>
            <w:vAlign w:val="center"/>
          </w:tcPr>
          <w:p>
            <w:pPr>
              <w:widowControl/>
              <w:adjustRightInd w:val="0"/>
              <w:snapToGrid w:val="0"/>
              <w:jc w:val="center"/>
              <w:rPr>
                <w:rFonts w:hint="default" w:ascii="宋体" w:hAnsi="宋体" w:cs="宋体"/>
                <w:b/>
                <w:bCs/>
                <w:color w:val="000000"/>
                <w:kern w:val="0"/>
                <w:sz w:val="24"/>
                <w:szCs w:val="24"/>
                <w:lang w:val="en-US" w:eastAsia="zh-CN" w:bidi="ar-SA"/>
              </w:rPr>
            </w:pPr>
            <w:r>
              <w:rPr>
                <w:rFonts w:hint="eastAsia" w:ascii="宋体" w:hAnsi="宋体" w:cs="宋体"/>
                <w:color w:val="000000"/>
                <w:kern w:val="0"/>
                <w:sz w:val="24"/>
                <w:szCs w:val="24"/>
                <w:lang w:val="en-US" w:eastAsia="zh-CN"/>
              </w:rPr>
              <w:t>艺术作品展2</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4"/>
                <w:szCs w:val="24"/>
              </w:rPr>
            </w:pPr>
            <w:r>
              <w:rPr>
                <w:rFonts w:hint="eastAsia" w:ascii="宋体" w:hAnsi="宋体" w:eastAsia="宋体" w:cs="宋体"/>
                <w:i w:val="0"/>
                <w:iCs w:val="0"/>
                <w:color w:val="000000"/>
                <w:kern w:val="0"/>
                <w:sz w:val="24"/>
                <w:szCs w:val="24"/>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left"/>
              <w:rPr>
                <w:rFonts w:ascii="宋体" w:hAnsi="宋体" w:cs="宋体"/>
                <w:color w:val="000000"/>
                <w:kern w:val="0"/>
                <w:sz w:val="24"/>
                <w:szCs w:val="24"/>
              </w:rPr>
            </w:pPr>
          </w:p>
        </w:tc>
        <w:tc>
          <w:tcPr>
            <w:tcW w:w="4591" w:type="dxa"/>
            <w:noWrap w:val="0"/>
            <w:vAlign w:val="center"/>
          </w:tcPr>
          <w:p>
            <w:pPr>
              <w:widowControl/>
              <w:adjustRightInd w:val="0"/>
              <w:snapToGrid w:val="0"/>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rPr>
              <w:t>艺术作品展3</w:t>
            </w:r>
          </w:p>
        </w:tc>
        <w:tc>
          <w:tcPr>
            <w:tcW w:w="2059" w:type="dxa"/>
            <w:noWrap/>
            <w:vAlign w:val="center"/>
          </w:tcPr>
          <w:p>
            <w:pPr>
              <w:keepNext w:val="0"/>
              <w:keepLines w:val="0"/>
              <w:widowControl/>
              <w:suppressLineNumbers w:val="0"/>
              <w:jc w:val="center"/>
              <w:textAlignment w:val="center"/>
              <w:rPr>
                <w:rFonts w:ascii="宋体" w:hAnsi="宋体" w:cs="宋体"/>
                <w:b/>
                <w:bCs/>
                <w:color w:val="000000"/>
                <w:kern w:val="0"/>
                <w:sz w:val="24"/>
                <w:szCs w:val="24"/>
              </w:rPr>
            </w:pPr>
            <w:r>
              <w:rPr>
                <w:rFonts w:hint="eastAsia" w:ascii="宋体" w:hAnsi="宋体" w:eastAsia="宋体" w:cs="宋体"/>
                <w:i w:val="0"/>
                <w:iCs w:val="0"/>
                <w:color w:val="000000"/>
                <w:kern w:val="0"/>
                <w:sz w:val="24"/>
                <w:szCs w:val="24"/>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35" w:type="dxa"/>
            <w:vMerge w:val="continue"/>
            <w:noWrap w:val="0"/>
            <w:vAlign w:val="center"/>
          </w:tcPr>
          <w:p>
            <w:pPr>
              <w:widowControl/>
              <w:adjustRightInd w:val="0"/>
              <w:snapToGrid w:val="0"/>
              <w:jc w:val="center"/>
              <w:rPr>
                <w:rFonts w:ascii="宋体" w:hAnsi="宋体" w:cs="宋体"/>
                <w:color w:val="000000"/>
                <w:kern w:val="0"/>
                <w:sz w:val="24"/>
                <w:szCs w:val="24"/>
              </w:rPr>
            </w:pPr>
          </w:p>
        </w:tc>
        <w:tc>
          <w:tcPr>
            <w:tcW w:w="4591" w:type="dxa"/>
            <w:noWrap w:val="0"/>
            <w:vAlign w:val="center"/>
          </w:tcPr>
          <w:p>
            <w:pPr>
              <w:widowControl/>
              <w:adjustRightInd w:val="0"/>
              <w:snapToGrid w:val="0"/>
              <w:jc w:val="center"/>
              <w:rPr>
                <w:rFonts w:hint="eastAsia" w:ascii="宋体" w:hAnsi="宋体" w:cs="宋体"/>
                <w:b/>
                <w:bCs/>
                <w:color w:val="000000"/>
                <w:kern w:val="0"/>
                <w:sz w:val="24"/>
                <w:szCs w:val="24"/>
                <w:lang w:val="en-US" w:eastAsia="zh-CN" w:bidi="ar-SA"/>
              </w:rPr>
            </w:pPr>
            <w:r>
              <w:rPr>
                <w:rFonts w:hint="eastAsia" w:ascii="宋体" w:hAnsi="宋体" w:cs="宋体"/>
                <w:b/>
                <w:bCs/>
                <w:color w:val="000000"/>
                <w:kern w:val="0"/>
                <w:sz w:val="24"/>
                <w:szCs w:val="24"/>
              </w:rPr>
              <w:t>宣传推广</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4"/>
                <w:szCs w:val="24"/>
                <w:lang w:val="en-US"/>
              </w:rPr>
            </w:pPr>
            <w:r>
              <w:rPr>
                <w:rFonts w:hint="eastAsia" w:ascii="宋体" w:hAnsi="宋体" w:eastAsia="宋体" w:cs="宋体"/>
                <w:i w:val="0"/>
                <w:iCs w:val="0"/>
                <w:color w:val="000000"/>
                <w:kern w:val="0"/>
                <w:sz w:val="24"/>
                <w:szCs w:val="24"/>
                <w:u w:val="none"/>
                <w:lang w:val="en-US" w:eastAsia="zh-CN" w:bidi="ar"/>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noWrap w:val="0"/>
            <w:vAlign w:val="center"/>
          </w:tcPr>
          <w:p>
            <w:pPr>
              <w:widowControl/>
              <w:adjustRightInd w:val="0"/>
              <w:snapToGrid w:val="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深铁璟城</w:t>
            </w:r>
          </w:p>
        </w:tc>
        <w:tc>
          <w:tcPr>
            <w:tcW w:w="4591" w:type="dxa"/>
            <w:noWrap w:val="0"/>
            <w:vAlign w:val="center"/>
          </w:tcPr>
          <w:p>
            <w:pPr>
              <w:widowControl/>
              <w:adjustRightInd w:val="0"/>
              <w:snapToGrid w:val="0"/>
              <w:jc w:val="center"/>
              <w:rPr>
                <w:rFonts w:ascii="宋体" w:hAnsi="宋体" w:cs="宋体"/>
                <w:b/>
                <w:bCs/>
                <w:color w:val="000000"/>
                <w:kern w:val="0"/>
                <w:sz w:val="24"/>
                <w:szCs w:val="24"/>
              </w:rPr>
            </w:pPr>
            <w:r>
              <w:rPr>
                <w:rFonts w:hint="eastAsia" w:ascii="宋体" w:hAnsi="宋体" w:eastAsia="宋体" w:cs="宋体"/>
                <w:color w:val="000000"/>
                <w:kern w:val="0"/>
                <w:sz w:val="24"/>
                <w:szCs w:val="24"/>
                <w:lang w:val="en-US" w:eastAsia="zh-CN"/>
              </w:rPr>
              <w:t>宣传用品采购</w:t>
            </w:r>
          </w:p>
        </w:tc>
        <w:tc>
          <w:tcPr>
            <w:tcW w:w="2059" w:type="dxa"/>
            <w:noWrap/>
            <w:vAlign w:val="center"/>
          </w:tcPr>
          <w:p>
            <w:pPr>
              <w:keepNext w:val="0"/>
              <w:keepLines w:val="0"/>
              <w:widowControl/>
              <w:suppressLineNumbers w:val="0"/>
              <w:jc w:val="center"/>
              <w:textAlignment w:val="center"/>
              <w:rPr>
                <w:rFonts w:hint="default" w:ascii="宋体" w:hAnsi="宋体" w:cs="宋体"/>
                <w:b/>
                <w:bCs/>
                <w:color w:val="000000"/>
                <w:kern w:val="0"/>
                <w:sz w:val="24"/>
                <w:szCs w:val="24"/>
                <w:lang w:val="en-US"/>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5326" w:type="dxa"/>
            <w:gridSpan w:val="2"/>
            <w:noWrap w:val="0"/>
            <w:vAlign w:val="center"/>
          </w:tcPr>
          <w:p>
            <w:pPr>
              <w:widowControl/>
              <w:adjustRightInd w:val="0"/>
              <w:snapToGrid w:val="0"/>
              <w:jc w:val="center"/>
              <w:rPr>
                <w:rFonts w:ascii="宋体" w:hAnsi="宋体" w:cs="宋体"/>
                <w:b/>
                <w:bCs/>
                <w:color w:val="000000"/>
                <w:kern w:val="0"/>
                <w:sz w:val="24"/>
                <w:szCs w:val="24"/>
              </w:rPr>
            </w:pPr>
            <w:r>
              <w:rPr>
                <w:rFonts w:hint="eastAsia" w:ascii="宋体" w:hAnsi="宋体" w:cs="宋体"/>
                <w:b/>
                <w:bCs/>
                <w:color w:val="000000"/>
                <w:kern w:val="0"/>
                <w:sz w:val="24"/>
                <w:szCs w:val="24"/>
              </w:rPr>
              <w:t>合计</w:t>
            </w:r>
          </w:p>
        </w:tc>
        <w:tc>
          <w:tcPr>
            <w:tcW w:w="2059" w:type="dxa"/>
            <w:noWrap w:val="0"/>
            <w:vAlign w:val="center"/>
          </w:tcPr>
          <w:p>
            <w:pPr>
              <w:widowControl/>
              <w:adjustRightInd w:val="0"/>
              <w:snapToGrid w:val="0"/>
              <w:jc w:val="center"/>
              <w:rPr>
                <w:rFonts w:hint="default" w:ascii="宋体" w:hAnsi="宋体" w:eastAsia="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397</w:t>
            </w:r>
          </w:p>
        </w:tc>
      </w:tr>
    </w:tbl>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pStyle w:val="11"/>
        <w:numPr>
          <w:ilvl w:val="0"/>
          <w:numId w:val="2"/>
        </w:numPr>
        <w:adjustRightInd w:val="0"/>
        <w:snapToGrid w:val="0"/>
        <w:spacing w:line="336" w:lineRule="auto"/>
        <w:ind w:firstLine="480"/>
        <w:rPr>
          <w:rFonts w:ascii="宋体" w:hAnsi="宋体"/>
          <w:sz w:val="24"/>
          <w:szCs w:val="24"/>
        </w:rPr>
      </w:pPr>
      <w:bookmarkStart w:id="1" w:name="baidusnap1"/>
      <w:bookmarkEnd w:id="1"/>
      <w:bookmarkStart w:id="2" w:name="baidusnap4"/>
      <w:bookmarkEnd w:id="2"/>
      <w:bookmarkStart w:id="3" w:name="baidusnap7"/>
      <w:bookmarkEnd w:id="3"/>
      <w:bookmarkStart w:id="4" w:name="baidusnap0"/>
      <w:bookmarkEnd w:id="4"/>
      <w:r>
        <w:rPr>
          <w:rFonts w:hint="eastAsia" w:ascii="宋体" w:hAnsi="宋体"/>
          <w:sz w:val="24"/>
          <w:szCs w:val="24"/>
        </w:rPr>
        <w:t>公司资质：</w:t>
      </w:r>
      <w:r>
        <w:rPr>
          <w:rFonts w:hint="eastAsia" w:ascii="宋体" w:hAnsi="宋体" w:cs="仿宋_GB2312"/>
          <w:sz w:val="24"/>
          <w:szCs w:val="24"/>
        </w:rPr>
        <w:t>参选人必须是中华人民共和国境内注册的法人或非法人组织，注册成立时间不得晚于201</w:t>
      </w:r>
      <w:r>
        <w:rPr>
          <w:rFonts w:ascii="宋体" w:hAnsi="宋体" w:cs="仿宋_GB2312"/>
          <w:sz w:val="24"/>
          <w:szCs w:val="24"/>
        </w:rPr>
        <w:t>8</w:t>
      </w:r>
      <w:r>
        <w:rPr>
          <w:rFonts w:hint="eastAsia" w:ascii="宋体" w:hAnsi="宋体" w:cs="仿宋_GB2312"/>
          <w:sz w:val="24"/>
          <w:szCs w:val="24"/>
        </w:rPr>
        <w:t>年1月1日。且注册资本不低于500万元。</w:t>
      </w:r>
    </w:p>
    <w:p>
      <w:pPr>
        <w:pStyle w:val="11"/>
        <w:numPr>
          <w:ilvl w:val="0"/>
          <w:numId w:val="2"/>
        </w:numPr>
        <w:adjustRightInd w:val="0"/>
        <w:snapToGrid w:val="0"/>
        <w:spacing w:line="336" w:lineRule="auto"/>
        <w:ind w:firstLine="480"/>
        <w:rPr>
          <w:rFonts w:ascii="宋体" w:hAnsi="宋体"/>
          <w:sz w:val="24"/>
          <w:szCs w:val="24"/>
        </w:rPr>
      </w:pPr>
      <w:bookmarkStart w:id="5" w:name="_Hlk94176291"/>
      <w:r>
        <w:rPr>
          <w:rFonts w:hint="eastAsia" w:ascii="宋体" w:hAnsi="宋体"/>
          <w:sz w:val="24"/>
          <w:szCs w:val="24"/>
        </w:rPr>
        <w:t>公司业绩</w:t>
      </w:r>
      <w:bookmarkEnd w:id="5"/>
      <w:r>
        <w:rPr>
          <w:rFonts w:hint="eastAsia" w:ascii="宋体" w:hAnsi="宋体"/>
          <w:sz w:val="24"/>
          <w:szCs w:val="24"/>
        </w:rPr>
        <w:t>：</w:t>
      </w:r>
      <w:r>
        <w:rPr>
          <w:rFonts w:hint="eastAsia" w:ascii="宋体" w:hAnsi="宋体"/>
          <w:color w:val="000000"/>
          <w:sz w:val="24"/>
          <w:szCs w:val="24"/>
        </w:rPr>
        <w:t>2019年1月1日至今，服务全国50强或深圳20强房地产开发公司品牌（全国50强排名参考2019年-2021年中指研究院或易居克尔瑞数据，深圳20强排名参考2019-2021年深圳房协数据）在北上广深一线城市的房地产项目营销活动，且合同金额在80万以上的案例不少于5个。</w:t>
      </w:r>
    </w:p>
    <w:p>
      <w:pPr>
        <w:pStyle w:val="11"/>
        <w:numPr>
          <w:ilvl w:val="0"/>
          <w:numId w:val="2"/>
        </w:numPr>
        <w:adjustRightInd w:val="0"/>
        <w:snapToGrid w:val="0"/>
        <w:spacing w:line="336" w:lineRule="auto"/>
        <w:ind w:firstLine="480"/>
        <w:rPr>
          <w:rFonts w:ascii="宋体" w:hAnsi="宋体"/>
          <w:sz w:val="24"/>
          <w:szCs w:val="24"/>
        </w:rPr>
      </w:pPr>
      <w:r>
        <w:rPr>
          <w:rFonts w:hint="eastAsia" w:ascii="宋体" w:hAnsi="宋体"/>
          <w:sz w:val="24"/>
          <w:szCs w:val="24"/>
        </w:rPr>
        <w:t>其它要求：</w:t>
      </w:r>
    </w:p>
    <w:p>
      <w:pPr>
        <w:pStyle w:val="11"/>
        <w:adjustRightInd w:val="0"/>
        <w:snapToGrid w:val="0"/>
        <w:spacing w:line="336" w:lineRule="auto"/>
        <w:ind w:firstLine="480"/>
        <w:rPr>
          <w:rFonts w:ascii="宋体" w:hAnsi="宋体"/>
          <w:sz w:val="24"/>
          <w:szCs w:val="24"/>
        </w:rPr>
      </w:pPr>
      <w:r>
        <w:rPr>
          <w:rFonts w:hint="eastAsia" w:ascii="宋体" w:hAnsi="宋体"/>
          <w:sz w:val="24"/>
          <w:szCs w:val="24"/>
        </w:rPr>
        <w:t>1.2019年1月1日以来，有串通参选不良行为记录或涉嫌串通参选，并正在接受城市主管部门调查的参选申请人不得参选。</w:t>
      </w:r>
    </w:p>
    <w:p>
      <w:pPr>
        <w:pStyle w:val="11"/>
        <w:adjustRightInd w:val="0"/>
        <w:snapToGrid w:val="0"/>
        <w:spacing w:line="336" w:lineRule="auto"/>
        <w:ind w:firstLine="480"/>
        <w:rPr>
          <w:rFonts w:ascii="宋体" w:hAnsi="宋体"/>
          <w:sz w:val="24"/>
          <w:szCs w:val="24"/>
        </w:rPr>
      </w:pPr>
      <w:r>
        <w:rPr>
          <w:rFonts w:hint="eastAsia" w:ascii="宋体" w:hAnsi="宋体"/>
          <w:sz w:val="24"/>
          <w:szCs w:val="24"/>
        </w:rPr>
        <w:t>2.2019年1月1日以来，在深圳市地铁集团有限公司或下属单位合同履约评价考核等级不合格的参选申请人不得参选。</w:t>
      </w:r>
    </w:p>
    <w:p>
      <w:pPr>
        <w:pStyle w:val="11"/>
        <w:adjustRightInd w:val="0"/>
        <w:snapToGrid w:val="0"/>
        <w:spacing w:line="336" w:lineRule="auto"/>
        <w:ind w:firstLine="480"/>
        <w:rPr>
          <w:rFonts w:ascii="宋体" w:hAnsi="宋体"/>
          <w:sz w:val="24"/>
          <w:szCs w:val="24"/>
        </w:rPr>
      </w:pPr>
      <w:r>
        <w:rPr>
          <w:rFonts w:hint="eastAsia" w:ascii="宋体" w:hAnsi="宋体"/>
          <w:sz w:val="24"/>
          <w:szCs w:val="24"/>
        </w:rPr>
        <w:t>3.2019年1月1日以来，与深圳市地铁集团有限公司或其下属直管单位有过诉讼、仲裁史，且其诉讼请求、仲裁申请没有被法院、仲裁庭支持的参选申请人；正在与深圳市地铁集团有限公司或其下属单位进行诉讼、仲裁，且在截标前未达成和解或纠纷化解的的参选申请人不得参选。</w:t>
      </w:r>
    </w:p>
    <w:p>
      <w:pPr>
        <w:pStyle w:val="11"/>
        <w:numPr>
          <w:ilvl w:val="0"/>
          <w:numId w:val="2"/>
        </w:numPr>
        <w:adjustRightInd w:val="0"/>
        <w:snapToGrid w:val="0"/>
        <w:spacing w:line="336" w:lineRule="auto"/>
        <w:ind w:firstLine="480"/>
        <w:rPr>
          <w:rFonts w:ascii="宋体" w:hAnsi="宋体"/>
          <w:sz w:val="24"/>
          <w:szCs w:val="24"/>
        </w:rPr>
      </w:pPr>
      <w:r>
        <w:rPr>
          <w:rFonts w:hint="eastAsia" w:ascii="宋体" w:hAnsi="宋体"/>
          <w:sz w:val="24"/>
          <w:szCs w:val="24"/>
        </w:rPr>
        <w:t>不接受联合体投标。</w:t>
      </w: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6"/>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8</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20</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10</w:t>
            </w:r>
            <w:r>
              <w:rPr>
                <w:rFonts w:hint="eastAsia" w:ascii="宋体" w:hAnsi="宋体"/>
                <w:bCs/>
                <w:color w:val="0D0D0D" w:themeColor="text1" w:themeTint="F2"/>
                <w:sz w:val="18"/>
                <w:szCs w:val="18"/>
                <w14:textFill>
                  <w14:solidFill>
                    <w14:schemeClr w14:val="tx1">
                      <w14:lumMod w14:val="95000"/>
                      <w14:lumOff w14:val="5000"/>
                    </w14:schemeClr>
                  </w14:solidFill>
                </w14:textFill>
              </w:rPr>
              <w:t>:</w:t>
            </w:r>
            <w:r>
              <w:rPr>
                <w:rFonts w:ascii="宋体" w:hAnsi="宋体"/>
                <w:bCs/>
                <w:color w:val="0D0D0D" w:themeColor="text1" w:themeTint="F2"/>
                <w:sz w:val="18"/>
                <w:szCs w:val="18"/>
                <w14:textFill>
                  <w14:solidFill>
                    <w14:schemeClr w14:val="tx1">
                      <w14:lumMod w14:val="95000"/>
                      <w14:lumOff w14:val="5000"/>
                    </w14:schemeClr>
                  </w14:solidFill>
                </w14:textFill>
              </w:rPr>
              <w:t>00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7</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bCs/>
                <w:color w:val="0D0D0D" w:themeColor="text1" w:themeTint="F2"/>
                <w:sz w:val="18"/>
                <w:szCs w:val="18"/>
                <w:lang w:val="en-US" w:eastAsia="zh-CN"/>
                <w14:textFill>
                  <w14:solidFill>
                    <w14:schemeClr w14:val="tx1">
                      <w14:lumMod w14:val="95000"/>
                      <w14:lumOff w14:val="5000"/>
                    </w14:schemeClr>
                  </w14:solidFill>
                </w14:textFill>
              </w:rPr>
              <w:t>20</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10:00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5"/>
        <w:snapToGrid w:val="0"/>
        <w:spacing w:line="336"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5"/>
        <w:snapToGrid w:val="0"/>
        <w:spacing w:line="336"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5"/>
        <w:snapToGrid w:val="0"/>
        <w:spacing w:line="336"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不是法定代表人，除携带本人身份证复印件外，还需携带法定代表人证明书和法定代表人身份证件复印件及授权委托书。</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5"/>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区</w:t>
      </w:r>
      <w:r>
        <w:rPr>
          <w:rFonts w:hint="eastAsia" w:hAnsi="宋体"/>
          <w:color w:val="0D0D0D" w:themeColor="text1" w:themeTint="F2"/>
          <w:sz w:val="24"/>
          <w14:textFill>
            <w14:solidFill>
              <w14:schemeClr w14:val="tx1">
                <w14:lumMod w14:val="95000"/>
                <w14:lumOff w14:val="5000"/>
              </w14:schemeClr>
            </w14:solidFill>
          </w14:textFill>
        </w:rPr>
        <w:t>小姐</w:t>
      </w:r>
    </w:p>
    <w:p>
      <w:pPr>
        <w:pStyle w:val="5"/>
        <w:snapToGrid w:val="0"/>
        <w:spacing w:line="336" w:lineRule="auto"/>
        <w:ind w:firstLine="480" w:firstLineChars="200"/>
        <w:rPr>
          <w:rFonts w:hint="default" w:hAnsi="宋体" w:eastAsia="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0755-899865</w:t>
      </w:r>
      <w:r>
        <w:rPr>
          <w:rFonts w:hint="eastAsia" w:hAnsi="宋体"/>
          <w:color w:val="0D0D0D" w:themeColor="text1" w:themeTint="F2"/>
          <w:sz w:val="24"/>
          <w:lang w:val="en-US" w:eastAsia="zh-CN"/>
          <w14:textFill>
            <w14:solidFill>
              <w14:schemeClr w14:val="tx1">
                <w14:lumMod w14:val="95000"/>
                <w14:lumOff w14:val="5000"/>
              </w14:schemeClr>
            </w14:solidFill>
          </w14:textFill>
        </w:rPr>
        <w:t>93</w:t>
      </w:r>
      <w:r>
        <w:rPr>
          <w:rFonts w:hAnsi="宋体"/>
          <w:color w:val="0D0D0D" w:themeColor="text1" w:themeTint="F2"/>
          <w:sz w:val="24"/>
          <w14:textFill>
            <w14:solidFill>
              <w14:schemeClr w14:val="tx1">
                <w14:lumMod w14:val="95000"/>
                <w14:lumOff w14:val="5000"/>
              </w14:schemeClr>
            </w14:solidFill>
          </w14:textFill>
        </w:rPr>
        <w:t>/</w:t>
      </w:r>
      <w:r>
        <w:rPr>
          <w:rFonts w:hint="eastAsia" w:hAnsi="宋体"/>
          <w:color w:val="0D0D0D" w:themeColor="text1" w:themeTint="F2"/>
          <w:sz w:val="24"/>
          <w:lang w:val="en-US" w:eastAsia="zh-CN"/>
          <w14:textFill>
            <w14:solidFill>
              <w14:schemeClr w14:val="tx1">
                <w14:lumMod w14:val="95000"/>
                <w14:lumOff w14:val="5000"/>
              </w14:schemeClr>
            </w14:solidFill>
          </w14:textFill>
        </w:rPr>
        <w:t>15818535591</w:t>
      </w:r>
    </w:p>
    <w:p>
      <w:pPr>
        <w:pStyle w:val="5"/>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5"/>
        <w:snapToGrid w:val="0"/>
        <w:spacing w:line="336" w:lineRule="auto"/>
        <w:ind w:firstLine="480" w:firstLineChars="200"/>
        <w:jc w:val="right"/>
        <w:rPr>
          <w:rFonts w:hint="eastAsia" w:hAnsi="宋体"/>
          <w:color w:val="0D0D0D" w:themeColor="text1" w:themeTint="F2"/>
          <w:sz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 xml:space="preserve">年 </w:t>
      </w:r>
      <w:r>
        <w:rPr>
          <w:rFonts w:hint="eastAsia" w:hAnsi="宋体"/>
          <w:color w:val="0D0D0D" w:themeColor="text1" w:themeTint="F2"/>
          <w:sz w:val="24"/>
          <w:lang w:val="en-US" w:eastAsia="zh-CN"/>
          <w14:textFill>
            <w14:solidFill>
              <w14:schemeClr w14:val="tx1">
                <w14:lumMod w14:val="95000"/>
                <w14:lumOff w14:val="5000"/>
              </w14:schemeClr>
            </w14:solidFill>
          </w14:textFill>
        </w:rPr>
        <w:t>7</w:t>
      </w:r>
      <w:bookmarkStart w:id="6" w:name="_GoBack"/>
      <w:bookmarkEnd w:id="6"/>
      <w:r>
        <w:rPr>
          <w:rFonts w:hint="eastAsia" w:hAnsi="宋体"/>
          <w:color w:val="0D0D0D" w:themeColor="text1" w:themeTint="F2"/>
          <w:sz w:val="24"/>
          <w14:textFill>
            <w14:solidFill>
              <w14:schemeClr w14:val="tx1">
                <w14:lumMod w14:val="95000"/>
                <w14:lumOff w14:val="5000"/>
              </w14:schemeClr>
            </w14:solidFill>
          </w14:textFill>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23B219"/>
    <w:multiLevelType w:val="singleLevel"/>
    <w:tmpl w:val="A323B219"/>
    <w:lvl w:ilvl="0" w:tentative="0">
      <w:start w:val="3"/>
      <w:numFmt w:val="chineseCounting"/>
      <w:suff w:val="nothing"/>
      <w:lvlText w:val="（%1）"/>
      <w:lvlJc w:val="left"/>
      <w:rPr>
        <w:rFonts w:hint="eastAsia"/>
      </w:rPr>
    </w:lvl>
  </w:abstractNum>
  <w:abstractNum w:abstractNumId="1">
    <w:nsid w:val="4EC35305"/>
    <w:multiLevelType w:val="multilevel"/>
    <w:tmpl w:val="4EC35305"/>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E13"/>
    <w:rsid w:val="00007EC4"/>
    <w:rsid w:val="00024E58"/>
    <w:rsid w:val="000361A9"/>
    <w:rsid w:val="0008270E"/>
    <w:rsid w:val="000D7107"/>
    <w:rsid w:val="000E0D6E"/>
    <w:rsid w:val="000E66B4"/>
    <w:rsid w:val="0018336D"/>
    <w:rsid w:val="001D2969"/>
    <w:rsid w:val="00203539"/>
    <w:rsid w:val="00236854"/>
    <w:rsid w:val="00241734"/>
    <w:rsid w:val="002569A5"/>
    <w:rsid w:val="00277076"/>
    <w:rsid w:val="00285474"/>
    <w:rsid w:val="002C1C3B"/>
    <w:rsid w:val="002E4933"/>
    <w:rsid w:val="003565D5"/>
    <w:rsid w:val="00374C06"/>
    <w:rsid w:val="003A127F"/>
    <w:rsid w:val="003B4AE6"/>
    <w:rsid w:val="003C5320"/>
    <w:rsid w:val="003C54B1"/>
    <w:rsid w:val="003C63C6"/>
    <w:rsid w:val="003D6266"/>
    <w:rsid w:val="00407913"/>
    <w:rsid w:val="00420217"/>
    <w:rsid w:val="004A1DC4"/>
    <w:rsid w:val="00503FCC"/>
    <w:rsid w:val="0051013B"/>
    <w:rsid w:val="00512A78"/>
    <w:rsid w:val="005204C8"/>
    <w:rsid w:val="00534476"/>
    <w:rsid w:val="00562E3D"/>
    <w:rsid w:val="005857C8"/>
    <w:rsid w:val="00592377"/>
    <w:rsid w:val="005A1CA7"/>
    <w:rsid w:val="005B705D"/>
    <w:rsid w:val="0062302F"/>
    <w:rsid w:val="006248F0"/>
    <w:rsid w:val="00625F5C"/>
    <w:rsid w:val="006451CD"/>
    <w:rsid w:val="006504AD"/>
    <w:rsid w:val="00666E4A"/>
    <w:rsid w:val="0068657F"/>
    <w:rsid w:val="006B0596"/>
    <w:rsid w:val="006D2A9F"/>
    <w:rsid w:val="006F7DC8"/>
    <w:rsid w:val="007206AB"/>
    <w:rsid w:val="00751FBC"/>
    <w:rsid w:val="0079673A"/>
    <w:rsid w:val="007A78B4"/>
    <w:rsid w:val="008344FB"/>
    <w:rsid w:val="0084106D"/>
    <w:rsid w:val="00861651"/>
    <w:rsid w:val="00897840"/>
    <w:rsid w:val="008B42C4"/>
    <w:rsid w:val="009304ED"/>
    <w:rsid w:val="009344BB"/>
    <w:rsid w:val="00944FD2"/>
    <w:rsid w:val="00957C7A"/>
    <w:rsid w:val="00974F39"/>
    <w:rsid w:val="00984B25"/>
    <w:rsid w:val="009A1944"/>
    <w:rsid w:val="009A2A93"/>
    <w:rsid w:val="009C2E48"/>
    <w:rsid w:val="009F474A"/>
    <w:rsid w:val="00A13839"/>
    <w:rsid w:val="00A47DAF"/>
    <w:rsid w:val="00A57AD3"/>
    <w:rsid w:val="00A71749"/>
    <w:rsid w:val="00A765A5"/>
    <w:rsid w:val="00AE1A86"/>
    <w:rsid w:val="00AF2C36"/>
    <w:rsid w:val="00AF4305"/>
    <w:rsid w:val="00B1197A"/>
    <w:rsid w:val="00B162FC"/>
    <w:rsid w:val="00B216F3"/>
    <w:rsid w:val="00B2406C"/>
    <w:rsid w:val="00B26496"/>
    <w:rsid w:val="00B366A1"/>
    <w:rsid w:val="00B4296A"/>
    <w:rsid w:val="00B52D7C"/>
    <w:rsid w:val="00BF31F2"/>
    <w:rsid w:val="00C33C88"/>
    <w:rsid w:val="00C4360E"/>
    <w:rsid w:val="00C72A44"/>
    <w:rsid w:val="00CC7559"/>
    <w:rsid w:val="00CD372A"/>
    <w:rsid w:val="00CF11B3"/>
    <w:rsid w:val="00D12BB3"/>
    <w:rsid w:val="00D147F4"/>
    <w:rsid w:val="00D2738A"/>
    <w:rsid w:val="00D32C24"/>
    <w:rsid w:val="00D52B38"/>
    <w:rsid w:val="00D559E1"/>
    <w:rsid w:val="00D75572"/>
    <w:rsid w:val="00DB70C5"/>
    <w:rsid w:val="00DC76C7"/>
    <w:rsid w:val="00DE7C7D"/>
    <w:rsid w:val="00E05E13"/>
    <w:rsid w:val="00E15CC7"/>
    <w:rsid w:val="00E52B9C"/>
    <w:rsid w:val="00E62905"/>
    <w:rsid w:val="00E73D1D"/>
    <w:rsid w:val="00E959F7"/>
    <w:rsid w:val="00F17D85"/>
    <w:rsid w:val="00F2626E"/>
    <w:rsid w:val="00F93006"/>
    <w:rsid w:val="00F95C17"/>
    <w:rsid w:val="00FE344E"/>
    <w:rsid w:val="00FF49CB"/>
    <w:rsid w:val="195E3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8"/>
    <w:qFormat/>
    <w:uiPriority w:val="0"/>
    <w:pPr>
      <w:keepNext/>
      <w:keepLines/>
      <w:adjustRightInd w:val="0"/>
      <w:spacing w:before="340" w:after="330" w:line="578" w:lineRule="atLeast"/>
      <w:jc w:val="center"/>
      <w:textAlignment w:val="baseline"/>
      <w:outlineLvl w:val="0"/>
    </w:pPr>
    <w:rPr>
      <w:b/>
      <w:kern w:val="44"/>
      <w:sz w:val="20"/>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3"/>
    <w:semiHidden/>
    <w:unhideWhenUsed/>
    <w:uiPriority w:val="99"/>
    <w:pPr>
      <w:spacing w:after="120" w:line="240" w:lineRule="auto"/>
      <w:ind w:left="420" w:leftChars="200" w:firstLine="420" w:firstLineChars="200"/>
    </w:pPr>
    <w:rPr>
      <w:kern w:val="2"/>
      <w:sz w:val="21"/>
    </w:rPr>
  </w:style>
  <w:style w:type="paragraph" w:styleId="3">
    <w:name w:val="Body Text Indent"/>
    <w:basedOn w:val="1"/>
    <w:link w:val="9"/>
    <w:qFormat/>
    <w:uiPriority w:val="0"/>
    <w:pPr>
      <w:spacing w:line="360" w:lineRule="auto"/>
      <w:ind w:left="540" w:leftChars="257" w:firstLine="360" w:firstLineChars="150"/>
    </w:pPr>
    <w:rPr>
      <w:kern w:val="0"/>
      <w:sz w:val="20"/>
    </w:rPr>
  </w:style>
  <w:style w:type="paragraph" w:styleId="5">
    <w:name w:val="Plain Text"/>
    <w:basedOn w:val="1"/>
    <w:link w:val="10"/>
    <w:qFormat/>
    <w:uiPriority w:val="0"/>
    <w:pPr>
      <w:adjustRightInd w:val="0"/>
      <w:spacing w:line="312" w:lineRule="atLeast"/>
      <w:textAlignment w:val="baseline"/>
    </w:pPr>
    <w:rPr>
      <w:rFonts w:ascii="宋体" w:hAnsi="Courier New"/>
      <w:kern w:val="0"/>
      <w:sz w:val="20"/>
    </w:rPr>
  </w:style>
  <w:style w:type="character" w:customStyle="1" w:styleId="8">
    <w:name w:val="标题 1 字符"/>
    <w:basedOn w:val="7"/>
    <w:link w:val="4"/>
    <w:qFormat/>
    <w:uiPriority w:val="0"/>
    <w:rPr>
      <w:rFonts w:ascii="Times New Roman" w:hAnsi="Times New Roman" w:eastAsia="宋体" w:cs="Times New Roman"/>
      <w:b/>
      <w:kern w:val="44"/>
      <w:sz w:val="20"/>
      <w:szCs w:val="20"/>
    </w:rPr>
  </w:style>
  <w:style w:type="character" w:customStyle="1" w:styleId="9">
    <w:name w:val="正文文本缩进 字符"/>
    <w:basedOn w:val="7"/>
    <w:link w:val="3"/>
    <w:qFormat/>
    <w:uiPriority w:val="0"/>
    <w:rPr>
      <w:rFonts w:ascii="Times New Roman" w:hAnsi="Times New Roman" w:eastAsia="宋体" w:cs="Times New Roman"/>
      <w:kern w:val="0"/>
      <w:sz w:val="20"/>
      <w:szCs w:val="20"/>
    </w:rPr>
  </w:style>
  <w:style w:type="character" w:customStyle="1" w:styleId="10">
    <w:name w:val="纯文本 字符"/>
    <w:basedOn w:val="7"/>
    <w:link w:val="5"/>
    <w:qFormat/>
    <w:uiPriority w:val="0"/>
    <w:rPr>
      <w:rFonts w:ascii="宋体" w:hAnsi="Courier New" w:eastAsia="宋体" w:cs="Times New Roman"/>
      <w:kern w:val="0"/>
      <w:sz w:val="20"/>
      <w:szCs w:val="20"/>
    </w:rPr>
  </w:style>
  <w:style w:type="paragraph" w:styleId="11">
    <w:name w:val="List Paragraph"/>
    <w:basedOn w:val="1"/>
    <w:link w:val="12"/>
    <w:qFormat/>
    <w:uiPriority w:val="99"/>
    <w:pPr>
      <w:ind w:firstLine="420" w:firstLineChars="200"/>
    </w:pPr>
  </w:style>
  <w:style w:type="character" w:customStyle="1" w:styleId="12">
    <w:name w:val="列表段落 字符"/>
    <w:link w:val="11"/>
    <w:qFormat/>
    <w:uiPriority w:val="99"/>
    <w:rPr>
      <w:rFonts w:ascii="Times New Roman" w:hAnsi="Times New Roman" w:eastAsia="宋体" w:cs="Times New Roman"/>
      <w:szCs w:val="20"/>
    </w:rPr>
  </w:style>
  <w:style w:type="character" w:customStyle="1" w:styleId="13">
    <w:name w:val="正文文本首行缩进 2 字符"/>
    <w:basedOn w:val="9"/>
    <w:link w:val="2"/>
    <w:semiHidden/>
    <w:qFormat/>
    <w:uiPriority w:val="99"/>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301</Words>
  <Characters>1716</Characters>
  <Lines>14</Lines>
  <Paragraphs>4</Paragraphs>
  <TotalTime>2</TotalTime>
  <ScaleCrop>false</ScaleCrop>
  <LinksUpToDate>false</LinksUpToDate>
  <CharactersWithSpaces>2013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2022-06-21T12:07:00Z</dcterms:created>
  <dc:creator>郭利珊</dc:creator>
  <cp:lastModifiedBy>区靖</cp:lastModifiedBy>
  <dcterms:modified xsi:type="dcterms:W3CDTF">2022-07-06T03:13:43Z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