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000000" w:themeColor="text1"/>
          <w:highlight w:val="none"/>
          <w14:textFill>
            <w14:solidFill>
              <w14:schemeClr w14:val="tx1"/>
            </w14:solidFill>
          </w14:textFill>
        </w:rPr>
      </w:pPr>
      <w:bookmarkStart w:id="0" w:name="_Toc517461360"/>
      <w:bookmarkStart w:id="1" w:name="_Toc499730408"/>
      <w:bookmarkStart w:id="2" w:name="_Toc489958588"/>
      <w:bookmarkStart w:id="3" w:name="_Toc454478811"/>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jc w:val="center"/>
        <w:rPr>
          <w:rFonts w:hint="eastAsia" w:ascii="宋体" w:hAnsi="宋体" w:eastAsia="宋体" w:cs="宋体"/>
          <w:b/>
          <w:bCs/>
          <w:color w:val="000000" w:themeColor="text1"/>
          <w:sz w:val="52"/>
          <w:szCs w:val="52"/>
          <w:highlight w:val="none"/>
          <w14:textFill>
            <w14:solidFill>
              <w14:schemeClr w14:val="tx1"/>
            </w14:solidFill>
          </w14:textFill>
        </w:rPr>
      </w:pPr>
    </w:p>
    <w:p>
      <w:pPr>
        <w:jc w:val="center"/>
        <w:rPr>
          <w:rFonts w:hint="eastAsia" w:ascii="宋体" w:hAnsi="宋体" w:eastAsia="宋体" w:cs="宋体"/>
          <w:b/>
          <w:bCs/>
          <w:color w:val="000000" w:themeColor="text1"/>
          <w:sz w:val="52"/>
          <w:szCs w:val="52"/>
          <w:highlight w:val="none"/>
          <w14:textFill>
            <w14:solidFill>
              <w14:schemeClr w14:val="tx1"/>
            </w14:solidFill>
          </w14:textFill>
        </w:rPr>
      </w:pPr>
    </w:p>
    <w:p>
      <w:pPr>
        <w:rPr>
          <w:rFonts w:hint="eastAsia" w:ascii="宋体" w:hAnsi="宋体" w:eastAsia="宋体" w:cs="宋体"/>
          <w:b/>
          <w:bCs/>
          <w:color w:val="000000" w:themeColor="text1"/>
          <w:sz w:val="52"/>
          <w:szCs w:val="52"/>
          <w:highlight w:val="none"/>
          <w14:textFill>
            <w14:solidFill>
              <w14:schemeClr w14:val="tx1"/>
            </w14:solidFill>
          </w14:textFill>
        </w:rPr>
      </w:pPr>
    </w:p>
    <w:p>
      <w:pPr>
        <w:rPr>
          <w:rFonts w:hint="eastAsia" w:ascii="宋体" w:hAnsi="宋体" w:eastAsia="宋体" w:cs="宋体"/>
          <w:color w:val="000000" w:themeColor="text1"/>
          <w:sz w:val="72"/>
          <w:szCs w:val="72"/>
          <w:highlight w:val="none"/>
          <w14:textFill>
            <w14:solidFill>
              <w14:schemeClr w14:val="tx1"/>
            </w14:solidFill>
          </w14:textFill>
        </w:rPr>
      </w:pPr>
    </w:p>
    <w:p>
      <w:pPr>
        <w:jc w:val="center"/>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灯具产品技术规格</w:t>
      </w:r>
      <w:r>
        <w:rPr>
          <w:rFonts w:hint="eastAsia" w:ascii="宋体" w:hAnsi="宋体" w:eastAsia="宋体" w:cs="宋体"/>
          <w:b/>
          <w:color w:val="000000" w:themeColor="text1"/>
          <w:sz w:val="44"/>
          <w:szCs w:val="44"/>
          <w:highlight w:val="none"/>
          <w:lang w:val="en-US" w:eastAsia="zh-CN"/>
          <w14:textFill>
            <w14:solidFill>
              <w14:schemeClr w14:val="tx1"/>
            </w14:solidFill>
          </w14:textFill>
        </w:rPr>
        <w:t>要求</w:t>
      </w:r>
      <w:r>
        <w:rPr>
          <w:rFonts w:hint="eastAsia" w:ascii="宋体" w:hAnsi="宋体" w:eastAsia="宋体" w:cs="宋体"/>
          <w:b/>
          <w:color w:val="000000" w:themeColor="text1"/>
          <w:sz w:val="44"/>
          <w:szCs w:val="44"/>
          <w:highlight w:val="none"/>
          <w14:textFill>
            <w14:solidFill>
              <w14:schemeClr w14:val="tx1"/>
            </w14:solidFill>
          </w14:textFill>
        </w:rPr>
        <w:t>书</w:t>
      </w: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rPr>
          <w:rFonts w:hint="eastAsia" w:ascii="宋体" w:hAnsi="宋体" w:eastAsia="宋体" w:cs="宋体"/>
          <w:color w:val="000000" w:themeColor="text1"/>
          <w:sz w:val="44"/>
          <w:szCs w:val="44"/>
          <w:highlight w:val="none"/>
          <w14:textFill>
            <w14:solidFill>
              <w14:schemeClr w14:val="tx1"/>
            </w14:solidFill>
          </w14:textFill>
        </w:rPr>
      </w:pPr>
    </w:p>
    <w:p>
      <w:pPr>
        <w:rPr>
          <w:rFonts w:hint="eastAsia" w:ascii="宋体" w:hAnsi="宋体" w:eastAsia="宋体" w:cs="宋体"/>
          <w:color w:val="000000" w:themeColor="text1"/>
          <w:sz w:val="44"/>
          <w:szCs w:val="44"/>
          <w:highlight w:val="none"/>
          <w14:textFill>
            <w14:solidFill>
              <w14:schemeClr w14:val="tx1"/>
            </w14:solidFill>
          </w14:textFill>
        </w:rPr>
      </w:pPr>
    </w:p>
    <w:p>
      <w:pPr>
        <w:rPr>
          <w:rFonts w:hint="eastAsia" w:ascii="宋体" w:hAnsi="宋体" w:eastAsia="宋体" w:cs="宋体"/>
          <w:color w:val="000000" w:themeColor="text1"/>
          <w:sz w:val="44"/>
          <w:szCs w:val="44"/>
          <w:highlight w:val="none"/>
          <w14:textFill>
            <w14:solidFill>
              <w14:schemeClr w14:val="tx1"/>
            </w14:solidFill>
          </w14:textFill>
        </w:rPr>
      </w:pPr>
    </w:p>
    <w:p>
      <w:pPr>
        <w:rPr>
          <w:rFonts w:hint="eastAsia" w:ascii="宋体" w:hAnsi="宋体" w:eastAsia="宋体" w:cs="宋体"/>
          <w:color w:val="000000" w:themeColor="text1"/>
          <w:sz w:val="44"/>
          <w:szCs w:val="44"/>
          <w:highlight w:val="none"/>
          <w14:textFill>
            <w14:solidFill>
              <w14:schemeClr w14:val="tx1"/>
            </w14:solidFill>
          </w14:textFill>
        </w:rPr>
      </w:pPr>
    </w:p>
    <w:p>
      <w:pPr>
        <w:widowControl/>
        <w:jc w:val="left"/>
        <w:rPr>
          <w:rFonts w:hint="eastAsia" w:ascii="宋体" w:hAnsi="宋体" w:eastAsia="宋体" w:cs="宋体"/>
          <w:color w:val="000000" w:themeColor="text1"/>
          <w:highlight w:val="none"/>
          <w14:textFill>
            <w14:solidFill>
              <w14:schemeClr w14:val="tx1"/>
            </w14:solidFill>
          </w14:textFill>
        </w:rPr>
      </w:pPr>
      <w:bookmarkStart w:id="4" w:name="_Toc508041537"/>
      <w:bookmarkStart w:id="5" w:name="_Toc499730399"/>
      <w:bookmarkStart w:id="6" w:name="_Hlk499722628"/>
    </w:p>
    <w:bookmarkEnd w:id="4"/>
    <w:bookmarkEnd w:id="5"/>
    <w:bookmarkEnd w:id="6"/>
    <w:p>
      <w:pPr>
        <w:pStyle w:val="2"/>
        <w:jc w:val="center"/>
        <w:rPr>
          <w:rFonts w:hint="eastAsia" w:ascii="宋体" w:hAnsi="宋体" w:eastAsia="宋体" w:cs="宋体"/>
          <w:color w:val="000000" w:themeColor="text1"/>
          <w:highlight w:val="none"/>
          <w14:textFill>
            <w14:solidFill>
              <w14:schemeClr w14:val="tx1"/>
            </w14:solidFill>
          </w14:textFill>
        </w:rPr>
      </w:pPr>
      <w:bookmarkStart w:id="7" w:name="_Toc533864301"/>
      <w:bookmarkStart w:id="8" w:name="_Toc528574069"/>
      <w:r>
        <w:rPr>
          <w:rFonts w:hint="eastAsia" w:ascii="宋体" w:hAnsi="宋体" w:eastAsia="宋体" w:cs="宋体"/>
          <w:color w:val="000000" w:themeColor="text1"/>
          <w:highlight w:val="none"/>
          <w14:textFill>
            <w14:solidFill>
              <w14:schemeClr w14:val="tx1"/>
            </w14:solidFill>
          </w14:textFill>
        </w:rPr>
        <w:t>灯具技术文件总则技术规范</w:t>
      </w:r>
      <w:bookmarkEnd w:id="7"/>
      <w:bookmarkEnd w:id="8"/>
    </w:p>
    <w:p>
      <w:pPr>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依据设计施工图纸和技术文件要求，本工程项目的材料、设备、施工必须达到现行中华人民共和国及省、市、行业的一切有关法规、规范的要求，如设计施工图纸、技术文件、标准及规范要求有出入则以较严格者为准。  </w:t>
      </w:r>
    </w:p>
    <w:p>
      <w:pPr>
        <w:pStyle w:val="4"/>
        <w:rPr>
          <w:rFonts w:hint="eastAsia" w:ascii="宋体" w:hAnsi="宋体" w:eastAsia="宋体" w:cs="宋体"/>
          <w:color w:val="000000" w:themeColor="text1"/>
          <w:highlight w:val="none"/>
          <w14:textFill>
            <w14:solidFill>
              <w14:schemeClr w14:val="tx1"/>
            </w14:solidFill>
          </w14:textFill>
        </w:rPr>
      </w:pPr>
      <w:bookmarkStart w:id="9" w:name="_Toc528574070"/>
      <w:bookmarkStart w:id="10" w:name="_Toc533864302"/>
      <w:r>
        <w:rPr>
          <w:rFonts w:hint="eastAsia" w:ascii="宋体" w:hAnsi="宋体" w:eastAsia="宋体" w:cs="宋体"/>
          <w:color w:val="000000" w:themeColor="text1"/>
          <w:highlight w:val="none"/>
          <w14:textFill>
            <w14:solidFill>
              <w14:schemeClr w14:val="tx1"/>
            </w14:solidFill>
          </w14:textFill>
        </w:rPr>
        <w:t>一  通则要求</w:t>
      </w:r>
      <w:bookmarkEnd w:id="9"/>
      <w:bookmarkEnd w:id="10"/>
    </w:p>
    <w:p>
      <w:pPr>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灯具应该符合GB 7000.1-2015《灯具一般安全要求与试验》及附录A中其他对应规范要求。</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提供（a）灯具的委托检测报告（或认证证书及对应报告）；（b）标志类信息（含安装、使用工作温度、维护、警示、合格证、说明书）见必备标志要求。（c）关键零部件清单（部件的名称、规格型号、参数、检验认证状态、来源标记）。</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1.2灯具安全须满足国家相关标准，试验后灯具应能正常工作。光学和效果需根据招标要求进行评价,如有异议业主和设计师可要求当场点亮灯具。</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1.3常规光源灯具必须包含灯具能够正常工作的所有附件如：镇流器、电容、触发器、光源、灯具、安装支架、灯具固定底座、挡光板、预埋件（如有）等。</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1.4 LED常规灯具必须包含：电源、灯具、安装支架、灯具固定底座、挡光板、预埋件等。</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1.5 LED控制灯具必须包含：电源、灯具、安装支架、灯具固定底座、挡光板、预埋件、控制器、解码器、放大器、控制线等。</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1.6临江临海项目需进行抗盐雾实验，灯具及其裸露在外的所有附件，应抗盐雾灯具样品需经历48h盐雾，灯具不应出现任何损坏、锈蚀、点蚀或腐蚀（涂层损坏除外）的迹象。</w:t>
      </w:r>
    </w:p>
    <w:p>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1.7临江临海项目灯具结构包括安装结构应通过防风检测（依据GB7000.1-2005灯具一般安全要求与试验及地区两倍的50年风压值），保证灯具固定不坠落。 </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1.8灯具结构包括安装结构，需满足国标中建筑载荷相关规范。</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1.9灯具的工作环境温度：-20~45°C。在此工作温度下灯具可连续正常工作，并符合相应的国家灯具规范。</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1.10所有灯具（含光源电器）质保</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 。</w:t>
      </w:r>
      <w:bookmarkStart w:id="26" w:name="_GoBack"/>
      <w:bookmarkEnd w:id="26"/>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1.11常规光源色温差：3000K及以下色温浮动需小于</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±100K，4000K及以上色温浮动须小于</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±200K</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范围之内。</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1.12灯具在额定电压和额定频率下工作时，其实际消耗的功率与额定功率之差不得大于15%。</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灯具在额定电压和额定频率下工作时，功率因数不小于0.9。</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1.13未限定区间的灯具外形尺寸上下浮动15%为满足要求，限定区间的灯具尺寸在要求范围内。</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1.14明装灯具及其安装附件及嵌装灯具的颜色纹理需与背景墙面颜色一致，由设计方与甲方</w:t>
      </w:r>
      <w:r>
        <w:rPr>
          <w:rFonts w:hint="eastAsia" w:ascii="宋体" w:hAnsi="宋体" w:eastAsia="宋体" w:cs="宋体"/>
          <w:color w:val="000000" w:themeColor="text1"/>
          <w:highlight w:val="none"/>
          <w:lang w:val="en-US" w:eastAsia="zh-CN"/>
          <w14:textFill>
            <w14:solidFill>
              <w14:schemeClr w14:val="tx1"/>
            </w14:solidFill>
          </w14:textFill>
        </w:rPr>
        <w:t>代表</w:t>
      </w:r>
      <w:r>
        <w:rPr>
          <w:rFonts w:hint="eastAsia" w:ascii="宋体" w:hAnsi="宋体" w:eastAsia="宋体" w:cs="宋体"/>
          <w:color w:val="000000" w:themeColor="text1"/>
          <w:highlight w:val="none"/>
          <w14:textFill>
            <w14:solidFill>
              <w14:schemeClr w14:val="tx1"/>
            </w14:solidFill>
          </w14:textFill>
        </w:rPr>
        <w:t>共同确定色卡号。</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1.15灯具外形图片</w:t>
      </w:r>
      <w:r>
        <w:rPr>
          <w:rFonts w:hint="eastAsia" w:ascii="宋体" w:hAnsi="宋体" w:eastAsia="宋体" w:cs="宋体"/>
          <w:color w:val="000000" w:themeColor="text1"/>
          <w:highlight w:val="none"/>
          <w:lang w:val="en-US" w:eastAsia="zh-CN"/>
          <w14:textFill>
            <w14:solidFill>
              <w14:schemeClr w14:val="tx1"/>
            </w14:solidFill>
          </w14:textFill>
        </w:rPr>
        <w:t>为设计依据</w:t>
      </w:r>
      <w:r>
        <w:rPr>
          <w:rFonts w:hint="eastAsia" w:ascii="宋体" w:hAnsi="宋体" w:eastAsia="宋体" w:cs="宋体"/>
          <w:color w:val="000000" w:themeColor="text1"/>
          <w:highlight w:val="none"/>
          <w14:textFill>
            <w14:solidFill>
              <w14:schemeClr w14:val="tx1"/>
            </w14:solidFill>
          </w14:textFill>
        </w:rPr>
        <w:t>，由设计方确定形状。</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1.16灯具表面应光滑，以防污物堆积和便于清洗；无损伤、变形、涂层剥落，玻璃罩应无气泡、明显划痕和裂纹等缺陷。</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1.17灯具电源线和外部线应符合灯具标准内外部接线的规定，长度不小于0.5米。</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1.18 灯具的输入电流谐波应符合GB l7625.1的要求。灯具的无线电骚扰特性应符合GB 17743—2007的要求。灯具电磁兼容抗扰度应符合GB/T 18595—2014 的要求。</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1.19此技术文件可根据现场实际情况进行微调，</w:t>
      </w:r>
      <w:r>
        <w:rPr>
          <w:rFonts w:hint="eastAsia" w:ascii="宋体" w:hAnsi="宋体" w:eastAsia="宋体" w:cs="宋体"/>
          <w:color w:val="000000" w:themeColor="text1"/>
          <w:highlight w:val="none"/>
          <w:lang w:val="en-US" w:eastAsia="zh-CN"/>
          <w14:textFill>
            <w14:solidFill>
              <w14:schemeClr w14:val="tx1"/>
            </w14:solidFill>
          </w14:textFill>
        </w:rPr>
        <w:t>所有微调一并向设计方与甲方共同确认为准。</w:t>
      </w:r>
      <w:r>
        <w:rPr>
          <w:rFonts w:hint="eastAsia" w:ascii="宋体" w:hAnsi="宋体" w:eastAsia="宋体" w:cs="宋体"/>
          <w:color w:val="000000" w:themeColor="text1"/>
          <w:highlight w:val="none"/>
          <w14:textFill>
            <w14:solidFill>
              <w14:schemeClr w14:val="tx1"/>
            </w14:solidFill>
          </w14:textFill>
        </w:rPr>
        <w:t>具体技术参数详见灯参表</w:t>
      </w:r>
      <w:r>
        <w:rPr>
          <w:rFonts w:hint="eastAsia" w:ascii="宋体" w:hAnsi="宋体" w:eastAsia="宋体" w:cs="宋体"/>
          <w:color w:val="000000" w:themeColor="text1"/>
          <w:sz w:val="24"/>
          <w:highlight w:val="none"/>
          <w14:textFill>
            <w14:solidFill>
              <w14:schemeClr w14:val="tx1"/>
            </w14:solidFill>
          </w14:textFill>
        </w:rPr>
        <w:t>。</w:t>
      </w:r>
    </w:p>
    <w:p>
      <w:pPr>
        <w:pStyle w:val="4"/>
        <w:rPr>
          <w:rFonts w:hint="eastAsia" w:ascii="宋体" w:hAnsi="宋体" w:eastAsia="宋体" w:cs="宋体"/>
          <w:color w:val="000000" w:themeColor="text1"/>
          <w:highlight w:val="none"/>
          <w14:textFill>
            <w14:solidFill>
              <w14:schemeClr w14:val="tx1"/>
            </w14:solidFill>
          </w14:textFill>
        </w:rPr>
      </w:pPr>
      <w:bookmarkStart w:id="11" w:name="_Toc528574071"/>
      <w:bookmarkStart w:id="12" w:name="_Toc533864303"/>
      <w:r>
        <w:rPr>
          <w:rFonts w:hint="eastAsia" w:ascii="宋体" w:hAnsi="宋体" w:eastAsia="宋体" w:cs="宋体"/>
          <w:color w:val="000000" w:themeColor="text1"/>
          <w:highlight w:val="none"/>
          <w14:textFill>
            <w14:solidFill>
              <w14:schemeClr w14:val="tx1"/>
            </w14:solidFill>
          </w14:textFill>
        </w:rPr>
        <w:t>二  常规光源灯具要求</w:t>
      </w:r>
      <w:bookmarkEnd w:id="11"/>
      <w:bookmarkEnd w:id="12"/>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2.1材料要求</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2.1.1灯具所采用的电线(缆)和其他电子部件均应符合相应的国家标准或行业标准的规定要求。</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2.1.2灯具的插销、铰链、螺钉和其他外部构件应用不锈钢、铝合金、热浸锌制成，其安装构件应不受混凝土的化学反应腐蚀。</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2.1.3灯具密封件应耐温、耐老化和耐道路上可能出现的腐蚀性气体和液体，并应方便更换。</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 结构要求</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2.2.1灯具应安装方便，安装角度应能灵活调节。</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2.2.2灯具应有特设的导线出(入)口密封装置，该装置为不锈钢材料。</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2.2.3灯具内应有电源接线端子，外部接线和内部接线穿过硬质材料时须有保护措施。</w:t>
      </w:r>
    </w:p>
    <w:p>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2.2.4金卤灯应加呼吸装置或其他防止冷凝水的措施。</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2.2.5灯具的支架根据现场需要提供，必须能够安全合理安装灯具。灯具可开启的部件和灯具高空安装时必须有防坠落措施设计。</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2.2.6灯具大样图仅供</w:t>
      </w:r>
      <w:r>
        <w:rPr>
          <w:rFonts w:hint="eastAsia" w:ascii="宋体" w:hAnsi="宋体" w:eastAsia="宋体" w:cs="宋体"/>
          <w:color w:val="000000" w:themeColor="text1"/>
          <w:highlight w:val="none"/>
          <w:lang w:val="en-US" w:eastAsia="zh-CN"/>
          <w14:textFill>
            <w14:solidFill>
              <w14:schemeClr w14:val="tx1"/>
            </w14:solidFill>
          </w14:textFill>
        </w:rPr>
        <w:t>项目实施</w:t>
      </w:r>
      <w:r>
        <w:rPr>
          <w:rFonts w:hint="eastAsia" w:ascii="宋体" w:hAnsi="宋体" w:eastAsia="宋体" w:cs="宋体"/>
          <w:color w:val="000000" w:themeColor="text1"/>
          <w:highlight w:val="none"/>
          <w14:textFill>
            <w14:solidFill>
              <w14:schemeClr w14:val="tx1"/>
            </w14:solidFill>
          </w14:textFill>
        </w:rPr>
        <w:t>参考，以</w:t>
      </w:r>
      <w:r>
        <w:rPr>
          <w:rFonts w:hint="eastAsia" w:ascii="宋体" w:hAnsi="宋体" w:eastAsia="宋体" w:cs="宋体"/>
          <w:color w:val="000000" w:themeColor="text1"/>
          <w:highlight w:val="none"/>
          <w:lang w:val="en-US" w:eastAsia="zh-CN"/>
          <w14:textFill>
            <w14:solidFill>
              <w14:schemeClr w14:val="tx1"/>
            </w14:solidFill>
          </w14:textFill>
        </w:rPr>
        <w:t>施工方现场勘察及</w:t>
      </w:r>
      <w:r>
        <w:rPr>
          <w:rFonts w:hint="eastAsia" w:ascii="宋体" w:hAnsi="宋体" w:eastAsia="宋体" w:cs="宋体"/>
          <w:color w:val="000000" w:themeColor="text1"/>
          <w:highlight w:val="none"/>
          <w14:textFill>
            <w14:solidFill>
              <w14:schemeClr w14:val="tx1"/>
            </w14:solidFill>
          </w14:textFill>
        </w:rPr>
        <w:t>厂家根据现场条件深化为准。</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2.3 耐腐蚀性</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灯具应具有良好的耐腐蚀性能；灯具上的油漆部件，涂层应符合QB/T 1551-1992中II类使用条件的要求；灯具上的电镀或化学覆盖件，覆盖层应符合QB/T3741-1999中Ⅲ类使用条件的要求。灯具灯体材质表面应有耐腐蚀、抗破坏处理手段，处理工艺需达10年使用寿命。压克力材料部分保证5年不发黄。</w:t>
      </w:r>
    </w:p>
    <w:p>
      <w:pPr>
        <w:pStyle w:val="4"/>
        <w:rPr>
          <w:rFonts w:hint="eastAsia" w:ascii="宋体" w:hAnsi="宋体" w:eastAsia="宋体" w:cs="宋体"/>
          <w:color w:val="000000" w:themeColor="text1"/>
          <w:highlight w:val="none"/>
          <w14:textFill>
            <w14:solidFill>
              <w14:schemeClr w14:val="tx1"/>
            </w14:solidFill>
          </w14:textFill>
        </w:rPr>
      </w:pPr>
      <w:bookmarkStart w:id="13" w:name="_Toc533864304"/>
      <w:bookmarkStart w:id="14" w:name="_Toc528574072"/>
      <w:r>
        <w:rPr>
          <w:rFonts w:hint="eastAsia" w:ascii="宋体" w:hAnsi="宋体" w:eastAsia="宋体" w:cs="宋体"/>
          <w:color w:val="000000" w:themeColor="text1"/>
          <w:highlight w:val="none"/>
          <w14:textFill>
            <w14:solidFill>
              <w14:schemeClr w14:val="tx1"/>
            </w14:solidFill>
          </w14:textFill>
        </w:rPr>
        <w:t>三  LED灯具要求</w:t>
      </w:r>
      <w:bookmarkEnd w:id="13"/>
      <w:bookmarkEnd w:id="14"/>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3.1 光源要求</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3.1.1 LED白光封装颗粒Ra≥80，R9≥0,色容差＜5SDCM。</w:t>
      </w:r>
    </w:p>
    <w:p>
      <w:pPr>
        <w:spacing w:line="276" w:lineRule="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3.1.2该类灯具的主要原材料LED光源</w:t>
      </w:r>
      <w:r>
        <w:rPr>
          <w:rFonts w:hint="eastAsia" w:ascii="宋体" w:hAnsi="宋体" w:eastAsia="宋体" w:cs="宋体"/>
          <w:color w:val="000000" w:themeColor="text1"/>
          <w:highlight w:val="none"/>
          <w:lang w:val="en-US" w:eastAsia="zh-CN"/>
          <w14:textFill>
            <w14:solidFill>
              <w14:schemeClr w14:val="tx1"/>
            </w14:solidFill>
          </w14:textFill>
        </w:rPr>
        <w:t>芯片</w:t>
      </w:r>
      <w:r>
        <w:rPr>
          <w:rFonts w:hint="eastAsia" w:ascii="宋体" w:hAnsi="宋体" w:eastAsia="宋体" w:cs="宋体"/>
          <w:color w:val="000000" w:themeColor="text1"/>
          <w:highlight w:val="none"/>
          <w14:textFill>
            <w14:solidFill>
              <w14:schemeClr w14:val="tx1"/>
            </w14:solidFill>
          </w14:textFill>
        </w:rPr>
        <w:t>封装颗粒品牌应选CREE、Lumileds、OSRAM、日亚等一线品牌</w:t>
      </w:r>
      <w:r>
        <w:rPr>
          <w:rFonts w:hint="eastAsia" w:ascii="宋体" w:hAnsi="宋体" w:eastAsia="宋体" w:cs="宋体"/>
          <w:color w:val="000000" w:themeColor="text1"/>
          <w:highlight w:val="none"/>
          <w:lang w:eastAsia="zh-CN"/>
          <w14:textFill>
            <w14:solidFill>
              <w14:schemeClr w14:val="tx1"/>
            </w14:solidFill>
          </w14:textFill>
        </w:rPr>
        <w:t>。</w:t>
      </w:r>
    </w:p>
    <w:p>
      <w:pPr>
        <w:spacing w:line="276"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 灯具要求</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3.2.1灯具总功率大于40W的大功率LED灯具，要求内置温控保护功能，采取措施防止灯具内部产生积水。</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3.2.2 所有LED灯具外壳温度满载负荷两小时候后，温度升高不大于30℃。现场安装后抽检灯具的外壳温度。</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3.2.3灯具外部接线线径不小于1.</w:t>
      </w:r>
      <w:r>
        <w:rPr>
          <w:rFonts w:hint="eastAsia" w:ascii="宋体" w:hAnsi="宋体" w:eastAsia="宋体" w:cs="宋体"/>
          <w:color w:val="000000" w:themeColor="text1"/>
          <w:highlight w:val="none"/>
          <w:lang w:val="en-US" w:eastAsia="zh-CN"/>
          <w14:textFill>
            <w14:solidFill>
              <w14:schemeClr w14:val="tx1"/>
            </w14:solidFill>
          </w14:textFill>
        </w:rPr>
        <w:t>0</w:t>
      </w:r>
      <w:r>
        <w:rPr>
          <w:rFonts w:hint="eastAsia" w:ascii="宋体" w:hAnsi="宋体" w:eastAsia="宋体" w:cs="宋体"/>
          <w:color w:val="000000" w:themeColor="text1"/>
          <w:highlight w:val="none"/>
          <w14:textFill>
            <w14:solidFill>
              <w14:schemeClr w14:val="tx1"/>
            </w14:solidFill>
          </w14:textFill>
        </w:rPr>
        <w:t>平方毫米</w:t>
      </w:r>
      <w:r>
        <w:rPr>
          <w:rFonts w:hint="eastAsia" w:ascii="宋体" w:hAnsi="宋体" w:eastAsia="宋体" w:cs="宋体"/>
          <w:color w:val="000000" w:themeColor="text1"/>
          <w:highlight w:val="none"/>
          <w:lang w:val="en-US" w:eastAsia="zh-CN"/>
          <w14:textFill>
            <w14:solidFill>
              <w14:schemeClr w14:val="tx1"/>
            </w14:solidFill>
          </w14:textFill>
        </w:rPr>
        <w:t>铜线</w:t>
      </w:r>
      <w:r>
        <w:rPr>
          <w:rFonts w:hint="eastAsia" w:ascii="宋体" w:hAnsi="宋体" w:eastAsia="宋体" w:cs="宋体"/>
          <w:color w:val="000000" w:themeColor="text1"/>
          <w:highlight w:val="none"/>
          <w14:textFill>
            <w14:solidFill>
              <w14:schemeClr w14:val="tx1"/>
            </w14:solidFill>
          </w14:textFill>
        </w:rPr>
        <w:t>，相线、零线、地线的颜色必须符合国家规定。灯具外部导线应有软线固定</w:t>
      </w:r>
      <w:r>
        <w:rPr>
          <w:rFonts w:hint="eastAsia" w:ascii="宋体" w:hAnsi="宋体" w:eastAsia="宋体" w:cs="宋体"/>
          <w:color w:val="000000" w:themeColor="text1"/>
          <w:highlight w:val="none"/>
          <w:lang w:val="en-US" w:eastAsia="zh-CN"/>
          <w14:textFill>
            <w14:solidFill>
              <w14:schemeClr w14:val="tx1"/>
            </w14:solidFill>
          </w14:textFill>
        </w:rPr>
        <w:t>件</w:t>
      </w:r>
      <w:r>
        <w:rPr>
          <w:rFonts w:hint="eastAsia" w:ascii="宋体" w:hAnsi="宋体" w:eastAsia="宋体" w:cs="宋体"/>
          <w:color w:val="000000" w:themeColor="text1"/>
          <w:highlight w:val="none"/>
          <w14:textFill>
            <w14:solidFill>
              <w14:schemeClr w14:val="tx1"/>
            </w14:solidFill>
          </w14:textFill>
        </w:rPr>
        <w:t>（GB7000.1-2015中5.2.10）。Ⅰ类、Ⅱ类灯具外部导线必须使用60245IEC57YZW的1.0平方毫米</w:t>
      </w:r>
      <w:r>
        <w:rPr>
          <w:rFonts w:hint="eastAsia" w:ascii="宋体" w:hAnsi="宋体" w:eastAsia="宋体" w:cs="宋体"/>
          <w:color w:val="000000" w:themeColor="text1"/>
          <w:highlight w:val="none"/>
          <w:lang w:val="en-US" w:eastAsia="zh-CN"/>
          <w14:textFill>
            <w14:solidFill>
              <w14:schemeClr w14:val="tx1"/>
            </w14:solidFill>
          </w14:textFill>
        </w:rPr>
        <w:t>铜芯</w:t>
      </w:r>
      <w:r>
        <w:rPr>
          <w:rFonts w:hint="eastAsia" w:ascii="宋体" w:hAnsi="宋体" w:eastAsia="宋体" w:cs="宋体"/>
          <w:color w:val="000000" w:themeColor="text1"/>
          <w:highlight w:val="none"/>
          <w14:textFill>
            <w14:solidFill>
              <w14:schemeClr w14:val="tx1"/>
            </w14:solidFill>
          </w14:textFill>
        </w:rPr>
        <w:t>导线。Ⅲ类灯具建议使用60245IEC57YZW的1.0平方毫米</w:t>
      </w:r>
      <w:r>
        <w:rPr>
          <w:rFonts w:hint="eastAsia" w:ascii="宋体" w:hAnsi="宋体" w:eastAsia="宋体" w:cs="宋体"/>
          <w:color w:val="000000" w:themeColor="text1"/>
          <w:highlight w:val="none"/>
          <w:lang w:val="en-US" w:eastAsia="zh-CN"/>
          <w14:textFill>
            <w14:solidFill>
              <w14:schemeClr w14:val="tx1"/>
            </w14:solidFill>
          </w14:textFill>
        </w:rPr>
        <w:t>铜芯</w:t>
      </w:r>
      <w:r>
        <w:rPr>
          <w:rFonts w:hint="eastAsia" w:ascii="宋体" w:hAnsi="宋体" w:eastAsia="宋体" w:cs="宋体"/>
          <w:color w:val="000000" w:themeColor="text1"/>
          <w:highlight w:val="none"/>
          <w14:textFill>
            <w14:solidFill>
              <w14:schemeClr w14:val="tx1"/>
            </w14:solidFill>
          </w14:textFill>
        </w:rPr>
        <w:t>导线。</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3.2.4有针对感应雷击及静电的专用防护元件，器件性能符合GB18595-2014和IEC61000-4（Level 4）的检测标准。</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3.2.5在现场使用条件下，一年内灯具的光通维持率应不低于9</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%；两年后，灯的光通维持率应不低于8</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%。现场安装后抽检灯具的亮度，分别在一、两年后再抽查，两项比较。</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3.2.6灯具外部导线（连接线）的接插件应具有与灯具相同的防触电保护型式和IP等级。</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3.2.8 灌胶材料必须采用硅胶灌胶或同等、优以上标准。</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3.2.9灯具有效寿命：不小于2万小时（光衰70%即视为失效）。</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3.2.10系统运行时，单个LED灯的故障必须只表现为它本身的故障，不得引起其他LED灯连带故障而扩大故障面。</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3.2.11灯具（彩色混光型）变化控制系统必须能够实现色彩渐变，色彩变化的速率可调节，包括缓变与快速变化，但不是跳变。单颗芯片可以实现从1%—100%的亮度变化。有变化要求的</w:t>
      </w:r>
      <w:r>
        <w:rPr>
          <w:rFonts w:hint="eastAsia" w:ascii="宋体" w:hAnsi="宋体" w:eastAsia="宋体" w:cs="宋体"/>
          <w:color w:val="000000" w:themeColor="text1"/>
          <w:highlight w:val="none"/>
          <w:lang w:val="en-US" w:eastAsia="zh-CN"/>
          <w14:textFill>
            <w14:solidFill>
              <w14:schemeClr w14:val="tx1"/>
            </w14:solidFill>
          </w14:textFill>
        </w:rPr>
        <w:t>照明器具</w:t>
      </w:r>
      <w:r>
        <w:rPr>
          <w:rFonts w:hint="eastAsia" w:ascii="宋体" w:hAnsi="宋体" w:eastAsia="宋体" w:cs="宋体"/>
          <w:color w:val="000000" w:themeColor="text1"/>
          <w:highlight w:val="none"/>
          <w14:textFill>
            <w14:solidFill>
              <w14:schemeClr w14:val="tx1"/>
            </w14:solidFill>
          </w14:textFill>
        </w:rPr>
        <w:t>灰度级别必须达到16BT</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65536</w:t>
      </w:r>
      <w:r>
        <w:rPr>
          <w:rFonts w:hint="eastAsia" w:ascii="宋体" w:hAnsi="宋体" w:eastAsia="宋体" w:cs="宋体"/>
          <w:color w:val="000000" w:themeColor="text1"/>
          <w:highlight w:val="none"/>
          <w14:textFill>
            <w14:solidFill>
              <w14:schemeClr w14:val="tx1"/>
            </w14:solidFill>
          </w14:textFill>
        </w:rPr>
        <w:t>位灰度</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屏类</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256*256*256位灰度（LED灯具类）</w:t>
      </w:r>
      <w:r>
        <w:rPr>
          <w:rFonts w:hint="eastAsia" w:ascii="宋体" w:hAnsi="宋体" w:eastAsia="宋体" w:cs="宋体"/>
          <w:color w:val="000000" w:themeColor="text1"/>
          <w:highlight w:val="none"/>
          <w14:textFill>
            <w14:solidFill>
              <w14:schemeClr w14:val="tx1"/>
            </w14:solidFill>
          </w14:textFill>
        </w:rPr>
        <w:t>，灰度刷新频率不得小于200Hz，并要求发出1670万种真彩色的高亮度光</w:t>
      </w:r>
      <w:r>
        <w:rPr>
          <w:rFonts w:hint="eastAsia" w:ascii="宋体" w:hAnsi="宋体" w:eastAsia="宋体" w:cs="宋体"/>
          <w:color w:val="000000" w:themeColor="text1"/>
          <w:highlight w:val="none"/>
          <w:lang w:val="en-US" w:eastAsia="zh-CN"/>
          <w14:textFill>
            <w14:solidFill>
              <w14:schemeClr w14:val="tx1"/>
            </w14:solidFill>
          </w14:textFill>
        </w:rPr>
        <w:t>效</w:t>
      </w:r>
      <w:r>
        <w:rPr>
          <w:rFonts w:hint="eastAsia" w:ascii="宋体" w:hAnsi="宋体" w:eastAsia="宋体" w:cs="宋体"/>
          <w:color w:val="000000" w:themeColor="text1"/>
          <w:highlight w:val="none"/>
          <w14:textFill>
            <w14:solidFill>
              <w14:schemeClr w14:val="tx1"/>
            </w14:solidFill>
          </w14:textFill>
        </w:rPr>
        <w:t>，实现全场景同步色彩渐变及追光等各种动感色彩效果，色彩过渡要求平稳、圆润，色彩还原要求逼真、细腻、自然。</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3.2.12 本项目所有灯具的最终光色将根据建筑材料试验后确定。</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3.2.13 灯具防护等级（IP等级）详见照明电气施工图及灯具规格书：</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1）室外灯具IP等级为IP65或IP66，防水接头、接线、匹配电源的IP等级为IP65；</w:t>
      </w:r>
    </w:p>
    <w:p>
      <w:pPr>
        <w:adjustRightInd w:val="0"/>
        <w:snapToGrid w:val="0"/>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2）对于放在雨水沟槽等存在短时浸水的灯具，灯具、防水接头、接线的IP等级为IP65(或IP66) 和IP67。匹配电源如为非浸水，应为IP65或IP66。</w:t>
      </w:r>
    </w:p>
    <w:p>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3.2.14 灯具或灯槽带有防眩光格栅、防眩光格网的部位，在保证照明效果的情况下，眩光越小越好。</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 电源及镇流器要求</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3.3.1 根据具体灯具要求配置内置或外置电源。该电源必须为灯具标配，不得随意更换。</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3.2.2 有变化要求的LED灯具要求内置自动动态电流调节功能。</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3.3.3 外露驱动电源应考虑一体式防水和散热。</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3.3.4 大功率LED灯具电源要有过载过压短路保护。</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3.3.5 灯具电源必须符合国家相关标准，工作环境为：温度-25～75℃，相对湿度0％～80％。</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3.3.6 外置电子恒压电源集中供电，所提供电源的合计功率为所载灯具合计功率的1.2倍以内。使用寿命大于五年，质保大于三年。</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3.3.7电源价格包含在灯具价格中，电源功率及数量根据现场确定，电源功率及数量不作为影响灯具价格的因素。</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3.3.8灯具整体功率可以接受在设定值基础上浮动±10%。</w:t>
      </w:r>
    </w:p>
    <w:p>
      <w:pPr>
        <w:spacing w:line="30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3.3.9耦合器灯具电源连接方式：如有耦合器，把耦合器也纳入防水考核；如无耦合器，要求现场安装的接线位置防水等级不低于灯具防水等级。</w:t>
      </w:r>
    </w:p>
    <w:p>
      <w:pPr>
        <w:pStyle w:val="4"/>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bookmarkStart w:id="15" w:name="_Toc528574073"/>
      <w:bookmarkStart w:id="16" w:name="_Toc533864305"/>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t>七  4m以下灯杆要求</w:t>
      </w:r>
      <w:bookmarkEnd w:id="15"/>
      <w:bookmarkEnd w:id="16"/>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1、材质要求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灯杆体材质为4 毫米Q235钢板，均附钢材生产厂家“产品质量证明书”。</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2、工艺要求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灯杆必须采用自动埋弧焊接工艺。整个杆体应无任何一处漏焊，焊缝平整，表面光滑，无任何焊接缺陷，焊接工艺符合国家标准；灯杆出线孔需打磨平滑、无尖角。</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3、防腐要求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热浸锌层厚度δ≥70μm</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4、喷塑要求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表面喷塑处理，喷塑涂层外观表面光滑，平整，无露铁，桔皮，细小颗粒和缩孔等涂装缺陷。</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(1)喷塑涂层平均厚度应达到85μm 以上。</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(2)喷塑涂层附着力应达到GB/T 9286 规定的0 级要求。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(3)喷塑涂层硬度应符合GB/T 6739规定，并达到2H要求。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(4)喷塑涂层冲击强度不小于1kg/50cm，并符合GB/T 1732 的要求。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6、配置要求</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检修门内配置不锈钢螺丝（母）和不锈钢垫片，灯杆套接、固定处配置不锈钢材质螺丝（母），配置灯杆安装的镀锌螺母，具体尺寸和数量详见灯杆图纸要求。灯杆和检修门在进行了镀锌工艺后，严禁再进行焊接施工；检修门安装后一定要破坏检修门螺丝的螺纹。 </w:t>
      </w:r>
    </w:p>
    <w:p>
      <w:pPr>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7、运输包装</w:t>
      </w:r>
    </w:p>
    <w:p>
      <w:pPr>
        <w:spacing w:line="360" w:lineRule="auto"/>
        <w:jc w:val="left"/>
        <w:rPr>
          <w:rFonts w:hint="eastAsia" w:ascii="宋体" w:hAnsi="宋体" w:eastAsia="宋体" w:cs="宋体"/>
          <w:b w:val="0"/>
          <w:bCs w:val="0"/>
          <w:color w:val="000000" w:themeColor="text1"/>
          <w:kern w:val="0"/>
          <w:highlight w:val="none"/>
          <w:u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包装应牢固，保证在运输过程中包捆不松动，避免构件之间、构件与包装物之间相互磨擦，损坏表面处理层；钢管管体的突出部分，如法兰、节点板等，采用有弹性、牢固的包装物包装；包装应采用合理的包装材料（草包、垫木、晴纶带、支架、打包带、打包扣、胶带等），采用合理的包装方式保证钢杆镀锌层/喷塑层/黑杆在储存、运输过程中不会因为颠簸、碰撞造成表面划伤和变形。</w:t>
      </w:r>
    </w:p>
    <w:p>
      <w:pPr>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附录 A</w:t>
      </w:r>
      <w:r>
        <w:rPr>
          <w:rFonts w:hint="eastAsia" w:ascii="宋体" w:hAnsi="宋体" w:eastAsia="宋体" w:cs="宋体"/>
          <w:b/>
          <w:color w:val="000000" w:themeColor="text1"/>
          <w:sz w:val="24"/>
          <w:highlight w:val="none"/>
          <w14:textFill>
            <w14:solidFill>
              <w14:schemeClr w14:val="tx1"/>
            </w14:solidFill>
          </w14:textFill>
        </w:rPr>
        <w:tab/>
      </w:r>
      <w:r>
        <w:rPr>
          <w:rFonts w:hint="eastAsia" w:ascii="宋体" w:hAnsi="宋体" w:eastAsia="宋体" w:cs="宋体"/>
          <w:b/>
          <w:color w:val="000000" w:themeColor="text1"/>
          <w:sz w:val="24"/>
          <w:highlight w:val="none"/>
          <w14:textFill>
            <w14:solidFill>
              <w14:schemeClr w14:val="tx1"/>
            </w14:solidFill>
          </w14:textFill>
        </w:rPr>
        <w:tab/>
      </w:r>
    </w:p>
    <w:tbl>
      <w:tblPr>
        <w:tblStyle w:val="23"/>
        <w:tblpPr w:leftFromText="180" w:rightFromText="180" w:vertAnchor="text" w:tblpXSpec="center" w:tblpY="1"/>
        <w:tblOverlap w:val="never"/>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2299"/>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序号</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编号</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 7000.203-2013</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道路与街路照明灯具的安全要求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GB 7000.7-2005 </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投光灯具安全要求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 7000.201-2008</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备注固定式通用灯具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GB 7000.213-2008 </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备注地面嵌入式灯具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 7000.218-2008</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游泳池和类似场所用灯具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 17743—2007</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电器照明和类似设备的无线电骚扰特性的限值和测量方法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GB/T 18595—2001</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一般照明用设备电磁兼容抗扰度要求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 l7625.1</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电磁兼容限值谐波电流发射限值(设备每相输入电流≤16A)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9</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QB/T 1551-1992</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灯具油漆涂层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10</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QB/T3741-1999</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灯具电镀、化学覆盖层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11</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GB/T 9286</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色漆和清漆漆膜的划格试验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12</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GB/T 6739</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色漆和清漆 铅笔法测定漆膜硬度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5"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w:t>
            </w:r>
          </w:p>
        </w:tc>
        <w:tc>
          <w:tcPr>
            <w:tcW w:w="229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GB/T 1732</w:t>
            </w:r>
          </w:p>
        </w:tc>
        <w:tc>
          <w:tcPr>
            <w:tcW w:w="637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漆膜耐冲击测定法</w:t>
            </w:r>
          </w:p>
        </w:tc>
      </w:tr>
    </w:tbl>
    <w:p>
      <w:pPr>
        <w:rPr>
          <w:rFonts w:hint="eastAsia" w:ascii="宋体" w:hAnsi="宋体" w:eastAsia="宋体" w:cs="宋体"/>
          <w:color w:val="000000" w:themeColor="text1"/>
          <w:highlight w:val="none"/>
          <w14:textFill>
            <w14:solidFill>
              <w14:schemeClr w14:val="tx1"/>
            </w14:solidFill>
          </w14:textFill>
        </w:rPr>
      </w:pPr>
      <w:bookmarkStart w:id="17" w:name="_Toc489958578"/>
      <w:bookmarkStart w:id="18" w:name="_Toc460174794"/>
      <w:bookmarkStart w:id="19" w:name="_Toc499730400"/>
      <w:bookmarkStart w:id="20" w:name="_Toc508041539"/>
      <w:bookmarkStart w:id="21" w:name="_Toc397429958"/>
      <w:bookmarkStart w:id="22" w:name="_Toc468109817"/>
    </w:p>
    <w:bookmarkEnd w:id="17"/>
    <w:bookmarkEnd w:id="18"/>
    <w:bookmarkEnd w:id="19"/>
    <w:bookmarkEnd w:id="20"/>
    <w:bookmarkEnd w:id="21"/>
    <w:bookmarkEnd w:id="22"/>
    <w:p>
      <w:pPr>
        <w:pStyle w:val="4"/>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bookmarkStart w:id="23" w:name="_Toc533864306"/>
      <w:bookmarkStart w:id="24" w:name="_Toc523668751"/>
      <w:bookmarkStart w:id="25" w:name="_Toc528574074"/>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t>四 灯具送样要求</w:t>
      </w:r>
      <w:bookmarkEnd w:id="23"/>
    </w:p>
    <w:bookmarkEnd w:id="24"/>
    <w:bookmarkEnd w:id="25"/>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所有灯具必须配备试验用电源（最好有备用电源），且带有插头，可插220V直接点亮；如果样品未提供试验用电源，则需标明额定电压及供电电源要求。如因未提供电源且未进行说明而导致灯具损害，由送</w:t>
      </w:r>
      <w:r>
        <w:rPr>
          <w:rFonts w:hint="eastAsia" w:ascii="宋体" w:hAnsi="宋体" w:eastAsia="宋体" w:cs="宋体"/>
          <w:color w:val="000000" w:themeColor="text1"/>
          <w:sz w:val="24"/>
          <w:szCs w:val="24"/>
          <w:highlight w:val="none"/>
          <w:lang w:val="en-US" w:eastAsia="zh-CN"/>
          <w14:textFill>
            <w14:solidFill>
              <w14:schemeClr w14:val="tx1"/>
            </w14:solidFill>
          </w14:textFill>
        </w:rPr>
        <w:t>样</w:t>
      </w:r>
      <w:r>
        <w:rPr>
          <w:rFonts w:hint="eastAsia" w:ascii="宋体" w:hAnsi="宋体" w:eastAsia="宋体" w:cs="宋体"/>
          <w:color w:val="000000" w:themeColor="text1"/>
          <w:sz w:val="24"/>
          <w:szCs w:val="24"/>
          <w:highlight w:val="none"/>
          <w14:textFill>
            <w14:solidFill>
              <w14:schemeClr w14:val="tx1"/>
            </w14:solidFill>
          </w14:textFill>
        </w:rPr>
        <w:t>方</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w:t>
      </w:r>
      <w:r>
        <w:rPr>
          <w:rFonts w:hint="eastAsia" w:ascii="宋体" w:hAnsi="宋体" w:eastAsia="宋体" w:cs="宋体"/>
          <w:color w:val="000000" w:themeColor="text1"/>
          <w:sz w:val="24"/>
          <w:szCs w:val="24"/>
          <w:highlight w:val="none"/>
          <w14:textFill>
            <w14:solidFill>
              <w14:schemeClr w14:val="tx1"/>
            </w14:solidFill>
          </w14:textFill>
        </w:rPr>
        <w:t>承担。</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送</w:t>
      </w:r>
      <w:r>
        <w:rPr>
          <w:rFonts w:hint="eastAsia" w:ascii="宋体" w:hAnsi="宋体" w:eastAsia="宋体" w:cs="宋体"/>
          <w:color w:val="000000" w:themeColor="text1"/>
          <w:sz w:val="24"/>
          <w:szCs w:val="24"/>
          <w:highlight w:val="none"/>
          <w:lang w:val="en-US" w:eastAsia="zh-CN"/>
          <w14:textFill>
            <w14:solidFill>
              <w14:schemeClr w14:val="tx1"/>
            </w14:solidFill>
          </w14:textFill>
        </w:rPr>
        <w:t>样</w:t>
      </w:r>
      <w:r>
        <w:rPr>
          <w:rFonts w:hint="eastAsia" w:ascii="宋体" w:hAnsi="宋体" w:eastAsia="宋体" w:cs="宋体"/>
          <w:color w:val="000000" w:themeColor="text1"/>
          <w:sz w:val="24"/>
          <w:szCs w:val="24"/>
          <w:highlight w:val="none"/>
          <w14:textFill>
            <w14:solidFill>
              <w14:schemeClr w14:val="tx1"/>
            </w14:solidFill>
          </w14:textFill>
        </w:rPr>
        <w:t>厂家需提供灯具样品基本信息。如：样品名称、规格型号、额定功率、额定电压、IP等级、光源种类（LED可不标）、额定频率等</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备注：封样后需提供</w:t>
      </w:r>
      <w:r>
        <w:rPr>
          <w:rFonts w:hint="eastAsia" w:ascii="宋体" w:hAnsi="宋体" w:cs="宋体"/>
          <w:color w:val="000000" w:themeColor="text1"/>
          <w:sz w:val="24"/>
          <w:szCs w:val="24"/>
          <w:highlight w:val="none"/>
          <w:lang w:val="en-US" w:eastAsia="zh-CN"/>
          <w14:textFill>
            <w14:solidFill>
              <w14:schemeClr w14:val="tx1"/>
            </w14:solidFill>
          </w14:textFill>
        </w:rPr>
        <w:t>与封样样品</w:t>
      </w:r>
      <w:r>
        <w:rPr>
          <w:rFonts w:hint="eastAsia" w:ascii="宋体" w:hAnsi="宋体" w:eastAsia="宋体" w:cs="宋体"/>
          <w:color w:val="000000" w:themeColor="text1"/>
          <w:sz w:val="24"/>
          <w:szCs w:val="24"/>
          <w:highlight w:val="none"/>
          <w:lang w:val="en-US" w:eastAsia="zh-CN"/>
          <w14:textFill>
            <w14:solidFill>
              <w14:schemeClr w14:val="tx1"/>
            </w14:solidFill>
          </w14:textFill>
        </w:rPr>
        <w:t>相</w:t>
      </w:r>
      <w:r>
        <w:rPr>
          <w:rFonts w:hint="eastAsia" w:ascii="宋体" w:hAnsi="宋体" w:cs="宋体"/>
          <w:color w:val="000000" w:themeColor="text1"/>
          <w:sz w:val="24"/>
          <w:szCs w:val="24"/>
          <w:highlight w:val="none"/>
          <w:lang w:val="en-US" w:eastAsia="zh-CN"/>
          <w14:textFill>
            <w14:solidFill>
              <w14:schemeClr w14:val="tx1"/>
            </w14:solidFill>
          </w14:textFill>
        </w:rPr>
        <w:t>对应的权威第三方机构检测认证</w:t>
      </w:r>
      <w:r>
        <w:rPr>
          <w:rFonts w:hint="eastAsia" w:ascii="宋体" w:hAnsi="宋体" w:eastAsia="宋体" w:cs="宋体"/>
          <w:color w:val="000000" w:themeColor="text1"/>
          <w:sz w:val="24"/>
          <w:szCs w:val="24"/>
          <w:highlight w:val="none"/>
          <w:lang w:val="en-US" w:eastAsia="zh-CN"/>
          <w14:textFill>
            <w14:solidFill>
              <w14:schemeClr w14:val="tx1"/>
            </w14:solidFill>
          </w14:textFill>
        </w:rPr>
        <w:t>检测报告。</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涉及色彩与亮度变化的灯具，需</w:t>
      </w:r>
      <w:r>
        <w:rPr>
          <w:rFonts w:hint="eastAsia" w:ascii="宋体" w:hAnsi="宋体" w:eastAsia="宋体" w:cs="宋体"/>
          <w:color w:val="000000" w:themeColor="text1"/>
          <w:sz w:val="24"/>
          <w:szCs w:val="24"/>
          <w:highlight w:val="none"/>
          <w:lang w:val="en-US" w:eastAsia="zh-CN"/>
          <w14:textFill>
            <w14:solidFill>
              <w14:schemeClr w14:val="tx1"/>
            </w14:solidFill>
          </w14:textFill>
        </w:rPr>
        <w:t>自带</w:t>
      </w:r>
      <w:r>
        <w:rPr>
          <w:rFonts w:hint="eastAsia" w:ascii="宋体" w:hAnsi="宋体" w:eastAsia="宋体" w:cs="宋体"/>
          <w:color w:val="000000" w:themeColor="text1"/>
          <w:sz w:val="24"/>
          <w:szCs w:val="24"/>
          <w:highlight w:val="none"/>
          <w14:textFill>
            <w14:solidFill>
              <w14:schemeClr w14:val="tx1"/>
            </w14:solidFill>
          </w14:textFill>
        </w:rPr>
        <w:t>配备控制器，控制器程序应按灯具规格书中</w:t>
      </w:r>
      <w:r>
        <w:rPr>
          <w:rFonts w:hint="eastAsia" w:ascii="宋体" w:hAnsi="宋体" w:eastAsia="宋体" w:cs="宋体"/>
          <w:color w:val="000000" w:themeColor="text1"/>
          <w:sz w:val="24"/>
          <w:szCs w:val="24"/>
          <w:highlight w:val="none"/>
          <w:lang w:val="en-US" w:eastAsia="zh-CN"/>
          <w14:textFill>
            <w14:solidFill>
              <w14:schemeClr w14:val="tx1"/>
            </w14:solidFill>
          </w14:textFill>
        </w:rPr>
        <w:t>色彩及亮度</w:t>
      </w:r>
      <w:r>
        <w:rPr>
          <w:rFonts w:hint="eastAsia" w:ascii="宋体" w:hAnsi="宋体" w:eastAsia="宋体" w:cs="宋体"/>
          <w:color w:val="000000" w:themeColor="text1"/>
          <w:sz w:val="24"/>
          <w:szCs w:val="24"/>
          <w:highlight w:val="none"/>
          <w14:textFill>
            <w14:solidFill>
              <w14:schemeClr w14:val="tx1"/>
            </w14:solidFill>
          </w14:textFill>
        </w:rPr>
        <w:t>、控制等要求进行设定（同时提供控制器的调节说明文件），且每种光色应能停留时间不低于10秒、平滑过渡的持续时间不低于15秒；</w:t>
      </w:r>
    </w:p>
    <w:p>
      <w:pPr>
        <w:pStyle w:val="50"/>
        <w:numPr>
          <w:ilvl w:val="0"/>
          <w:numId w:val="2"/>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单色灯具若需要控制系统，应提供稳态的100%、70%、50%</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0%</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亮度模式，提供亮度从0-100%平滑过渡模式；</w:t>
      </w:r>
    </w:p>
    <w:p>
      <w:pPr>
        <w:pStyle w:val="50"/>
        <w:numPr>
          <w:ilvl w:val="0"/>
          <w:numId w:val="2"/>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彩色灯具需提供稳态的单红（R）、单绿（G）、单蓝（B）、单白（W）或混白（若无单白时）四种光色模式，提供R、G、B、W亮度从0-100%平滑过渡模式。</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涉及检测控制系统的灯具需符合以下送样要求：</w:t>
      </w:r>
    </w:p>
    <w:p>
      <w:pPr>
        <w:pStyle w:val="50"/>
        <w:numPr>
          <w:ilvl w:val="0"/>
          <w:numId w:val="3"/>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需提供单独DMX512控制器及控制程序，可通过控制器进行程序切换。以RGBW四色芯片灯具为例，需以下程序：</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程序1：RGBW全亮(R:255;G:255;B:255;W:255)；</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程序2：单红（R:255;G:0;B:0;W:0）；</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程序3：单绿（R:0;G:255;B:0;W:0）；</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程序4：单蓝（R:0;G:0;B:255;W:0）;</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程序5：单白（R:0;G:0;B:0;W:255）;</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程序6：1灰程序（R:1;G:1;B:1;W:1）;</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程序7：10灰程序（R:10;G:10;B:10;W:10）;</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程序8：20灰程序（R:20;G:20;B:20;W:20）;</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程序9：红色渐变程序，0~255，每10秒增加一个灰度级别;</w:t>
      </w:r>
    </w:p>
    <w:p>
      <w:pPr>
        <w:pStyle w:val="50"/>
        <w:numPr>
          <w:ilvl w:val="0"/>
          <w:numId w:val="4"/>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程序10：绿色渐变程序，0~255，每10秒增加一个灰度级别;</w:t>
      </w:r>
    </w:p>
    <w:p>
      <w:pPr>
        <w:pStyle w:val="50"/>
        <w:numPr>
          <w:ilvl w:val="0"/>
          <w:numId w:val="4"/>
        </w:numPr>
        <w:spacing w:line="480" w:lineRule="exact"/>
        <w:ind w:firstLineChars="0"/>
        <w:jc w:val="left"/>
        <w:rPr>
          <w:rFonts w:hint="eastAsia" w:ascii="宋体" w:hAnsi="宋体" w:eastAsia="宋体" w:cs="宋体"/>
          <w:b w:val="0"/>
          <w:bCs w:val="0"/>
          <w:strike w:val="0"/>
          <w:dstrike w:val="0"/>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程序11：蓝色渐变程序，0~255，每10秒增加一个灰度级别;</w:t>
      </w:r>
    </w:p>
    <w:p>
      <w:pPr>
        <w:pStyle w:val="50"/>
        <w:numPr>
          <w:ilvl w:val="0"/>
          <w:numId w:val="4"/>
        </w:numPr>
        <w:spacing w:line="480" w:lineRule="exact"/>
        <w:ind w:firstLineChars="0"/>
        <w:jc w:val="left"/>
        <w:rPr>
          <w:rFonts w:hint="eastAsia" w:ascii="宋体" w:hAnsi="宋体" w:eastAsia="宋体" w:cs="宋体"/>
          <w:b w:val="0"/>
          <w:bCs w:val="0"/>
          <w:strike w:val="0"/>
          <w:dstrike w:val="0"/>
          <w:color w:val="000000" w:themeColor="text1"/>
          <w:sz w:val="24"/>
          <w:szCs w:val="24"/>
          <w:highlight w:val="none"/>
          <w:u w:val="single"/>
          <w14:textFill>
            <w14:solidFill>
              <w14:schemeClr w14:val="tx1"/>
            </w14:solidFill>
          </w14:textFill>
        </w:rPr>
      </w:pPr>
      <w:r>
        <w:rPr>
          <w:rFonts w:hint="eastAsia" w:ascii="宋体" w:hAnsi="宋体" w:eastAsia="宋体" w:cs="宋体"/>
          <w:b w:val="0"/>
          <w:bCs w:val="0"/>
          <w:strike w:val="0"/>
          <w:dstrike w:val="0"/>
          <w:color w:val="000000" w:themeColor="text1"/>
          <w:sz w:val="24"/>
          <w:szCs w:val="24"/>
          <w:highlight w:val="none"/>
          <w14:textFill>
            <w14:solidFill>
              <w14:schemeClr w14:val="tx1"/>
            </w14:solidFill>
          </w14:textFill>
        </w:rPr>
        <w:t>程序12：白色渐变程序，0~255，每10秒增加一个灰度级别。</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送</w:t>
      </w:r>
      <w:r>
        <w:rPr>
          <w:rFonts w:hint="eastAsia" w:ascii="宋体" w:hAnsi="宋体" w:eastAsia="宋体" w:cs="宋体"/>
          <w:color w:val="000000" w:themeColor="text1"/>
          <w:sz w:val="24"/>
          <w:szCs w:val="24"/>
          <w:highlight w:val="none"/>
          <w:lang w:val="en-US" w:eastAsia="zh-CN"/>
          <w14:textFill>
            <w14:solidFill>
              <w14:schemeClr w14:val="tx1"/>
            </w14:solidFill>
          </w14:textFill>
        </w:rPr>
        <w:t>样</w:t>
      </w:r>
      <w:r>
        <w:rPr>
          <w:rFonts w:hint="eastAsia" w:ascii="宋体" w:hAnsi="宋体" w:eastAsia="宋体" w:cs="宋体"/>
          <w:color w:val="000000" w:themeColor="text1"/>
          <w:sz w:val="24"/>
          <w:szCs w:val="24"/>
          <w:highlight w:val="none"/>
          <w14:textFill>
            <w14:solidFill>
              <w14:schemeClr w14:val="tx1"/>
            </w14:solidFill>
          </w14:textFill>
        </w:rPr>
        <w:t>方需根据灯参</w:t>
      </w:r>
      <w:r>
        <w:rPr>
          <w:rFonts w:hint="eastAsia" w:ascii="宋体" w:hAnsi="宋体" w:eastAsia="宋体" w:cs="宋体"/>
          <w:color w:val="000000" w:themeColor="text1"/>
          <w:sz w:val="24"/>
          <w:szCs w:val="24"/>
          <w:highlight w:val="none"/>
          <w:lang w:val="en-US" w:eastAsia="zh-CN"/>
          <w14:textFill>
            <w14:solidFill>
              <w14:schemeClr w14:val="tx1"/>
            </w14:solidFill>
          </w14:textFill>
        </w:rPr>
        <w:t>的设计</w:t>
      </w:r>
      <w:r>
        <w:rPr>
          <w:rFonts w:hint="eastAsia" w:ascii="宋体" w:hAnsi="宋体" w:eastAsia="宋体" w:cs="宋体"/>
          <w:color w:val="000000" w:themeColor="text1"/>
          <w:sz w:val="24"/>
          <w:szCs w:val="24"/>
          <w:highlight w:val="none"/>
          <w14:textFill>
            <w14:solidFill>
              <w14:schemeClr w14:val="tx1"/>
            </w14:solidFill>
          </w14:textFill>
        </w:rPr>
        <w:t>要求，提供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相应灯具规格书及相关资料，</w:t>
      </w:r>
      <w:r>
        <w:rPr>
          <w:rFonts w:hint="eastAsia" w:ascii="宋体" w:hAnsi="宋体" w:eastAsia="宋体" w:cs="宋体"/>
          <w:color w:val="000000" w:themeColor="text1"/>
          <w:sz w:val="24"/>
          <w:szCs w:val="24"/>
          <w:highlight w:val="none"/>
          <w14:textFill>
            <w14:solidFill>
              <w14:schemeClr w14:val="tx1"/>
            </w14:solidFill>
          </w14:textFill>
        </w:rPr>
        <w:t>可展示</w:t>
      </w:r>
      <w:r>
        <w:rPr>
          <w:rFonts w:hint="eastAsia" w:ascii="宋体" w:hAnsi="宋体" w:eastAsia="宋体" w:cs="宋体"/>
          <w:color w:val="000000" w:themeColor="text1"/>
          <w:sz w:val="24"/>
          <w:szCs w:val="24"/>
          <w:highlight w:val="none"/>
          <w:lang w:val="en-US" w:eastAsia="zh-CN"/>
          <w14:textFill>
            <w14:solidFill>
              <w14:schemeClr w14:val="tx1"/>
            </w14:solidFill>
          </w14:textFill>
        </w:rPr>
        <w:t>与表述</w:t>
      </w:r>
      <w:r>
        <w:rPr>
          <w:rFonts w:hint="eastAsia" w:ascii="宋体" w:hAnsi="宋体" w:eastAsia="宋体" w:cs="宋体"/>
          <w:color w:val="000000" w:themeColor="text1"/>
          <w:sz w:val="24"/>
          <w:szCs w:val="24"/>
          <w:highlight w:val="none"/>
          <w14:textFill>
            <w14:solidFill>
              <w14:schemeClr w14:val="tx1"/>
            </w14:solidFill>
          </w14:textFill>
        </w:rPr>
        <w:t>最佳效果时的安装与照射参数。</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样品灯具正常安装时如需附件固定安装，请随样品一起提供；</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样品灯具所附电源线如为试验用导线，请在电源线上标明</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样品灯具运送时，采用合理包装，因运输过程损坏，而导致不合格或无法试灯的，视为灯具未达到设计要求。</w:t>
      </w:r>
    </w:p>
    <w:p>
      <w:pPr>
        <w:pStyle w:val="50"/>
        <w:numPr>
          <w:ilvl w:val="0"/>
          <w:numId w:val="1"/>
        </w:numPr>
        <w:spacing w:line="480" w:lineRule="exact"/>
        <w:ind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每款灯具提供</w:t>
      </w:r>
      <w:r>
        <w:rPr>
          <w:rFonts w:hint="eastAsia" w:ascii="宋体" w:hAnsi="宋体" w:eastAsia="宋体" w:cs="宋体"/>
          <w:i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套灯具（必须是完全相同的两套）以便增加检测效率。</w:t>
      </w:r>
    </w:p>
    <w:bookmarkEnd w:id="0"/>
    <w:bookmarkEnd w:id="1"/>
    <w:bookmarkEnd w:id="2"/>
    <w:bookmarkEnd w:id="3"/>
    <w:p>
      <w:pPr>
        <w:pStyle w:val="50"/>
        <w:numPr>
          <w:ilvl w:val="0"/>
          <w:numId w:val="0"/>
        </w:numPr>
        <w:spacing w:line="480" w:lineRule="exact"/>
        <w:ind w:leftChars="0"/>
        <w:jc w:val="left"/>
        <w:rPr>
          <w:rFonts w:hint="eastAsia" w:ascii="宋体" w:hAnsi="宋体" w:eastAsia="宋体" w:cs="宋体"/>
          <w:color w:val="000000" w:themeColor="text1"/>
          <w:sz w:val="24"/>
          <w:szCs w:val="24"/>
          <w:highlight w:val="none"/>
          <w:lang w:eastAsia="zh-CN"/>
          <w14:textFill>
            <w14:solidFill>
              <w14:schemeClr w14:val="tx1"/>
            </w14:solidFill>
          </w14:textFill>
        </w:rPr>
      </w:pPr>
    </w:p>
    <w:sectPr>
      <w:footerReference r:id="rId3" w:type="default"/>
      <w:pgSz w:w="11906" w:h="16838"/>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AC38F2"/>
    <w:multiLevelType w:val="multilevel"/>
    <w:tmpl w:val="14AC38F2"/>
    <w:lvl w:ilvl="0" w:tentative="0">
      <w:start w:val="1"/>
      <w:numFmt w:val="lowerLetter"/>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439735B0"/>
    <w:multiLevelType w:val="multilevel"/>
    <w:tmpl w:val="439735B0"/>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64491D9D"/>
    <w:multiLevelType w:val="multilevel"/>
    <w:tmpl w:val="64491D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D9126EF"/>
    <w:multiLevelType w:val="multilevel"/>
    <w:tmpl w:val="6D9126EF"/>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1MzRkY2I1OWMwNTFlMWQ0YjllNzliMWQ3ZGRhY2QifQ=="/>
  </w:docVars>
  <w:rsids>
    <w:rsidRoot w:val="00FC6D95"/>
    <w:rsid w:val="000034E1"/>
    <w:rsid w:val="00005BC5"/>
    <w:rsid w:val="0000721A"/>
    <w:rsid w:val="000107F0"/>
    <w:rsid w:val="00010F80"/>
    <w:rsid w:val="000117A6"/>
    <w:rsid w:val="00012A01"/>
    <w:rsid w:val="0001407F"/>
    <w:rsid w:val="00016157"/>
    <w:rsid w:val="000174EF"/>
    <w:rsid w:val="000207EB"/>
    <w:rsid w:val="00021335"/>
    <w:rsid w:val="00021528"/>
    <w:rsid w:val="00022B65"/>
    <w:rsid w:val="0002444A"/>
    <w:rsid w:val="00024E23"/>
    <w:rsid w:val="00027E25"/>
    <w:rsid w:val="000317D7"/>
    <w:rsid w:val="00031DA0"/>
    <w:rsid w:val="000320EF"/>
    <w:rsid w:val="00032631"/>
    <w:rsid w:val="000356C7"/>
    <w:rsid w:val="0003642A"/>
    <w:rsid w:val="000449AC"/>
    <w:rsid w:val="00052A9D"/>
    <w:rsid w:val="00052D80"/>
    <w:rsid w:val="00053798"/>
    <w:rsid w:val="00053F4C"/>
    <w:rsid w:val="00057652"/>
    <w:rsid w:val="000576FA"/>
    <w:rsid w:val="00060328"/>
    <w:rsid w:val="00061D00"/>
    <w:rsid w:val="00061E09"/>
    <w:rsid w:val="00063215"/>
    <w:rsid w:val="00063694"/>
    <w:rsid w:val="00064465"/>
    <w:rsid w:val="00065E43"/>
    <w:rsid w:val="00067B77"/>
    <w:rsid w:val="00070869"/>
    <w:rsid w:val="000729D1"/>
    <w:rsid w:val="000740B6"/>
    <w:rsid w:val="00074971"/>
    <w:rsid w:val="00074E8D"/>
    <w:rsid w:val="00075D91"/>
    <w:rsid w:val="00075EA8"/>
    <w:rsid w:val="00076F74"/>
    <w:rsid w:val="00077FB3"/>
    <w:rsid w:val="00081A8D"/>
    <w:rsid w:val="00083536"/>
    <w:rsid w:val="00084573"/>
    <w:rsid w:val="0008499D"/>
    <w:rsid w:val="00086066"/>
    <w:rsid w:val="000876CD"/>
    <w:rsid w:val="00090956"/>
    <w:rsid w:val="000932CD"/>
    <w:rsid w:val="00095CB4"/>
    <w:rsid w:val="0009615E"/>
    <w:rsid w:val="0009650E"/>
    <w:rsid w:val="000965B9"/>
    <w:rsid w:val="00096B39"/>
    <w:rsid w:val="000A0D34"/>
    <w:rsid w:val="000A1241"/>
    <w:rsid w:val="000A1C90"/>
    <w:rsid w:val="000A7702"/>
    <w:rsid w:val="000B22A0"/>
    <w:rsid w:val="000B288E"/>
    <w:rsid w:val="000B34A4"/>
    <w:rsid w:val="000B5010"/>
    <w:rsid w:val="000B70DF"/>
    <w:rsid w:val="000B7652"/>
    <w:rsid w:val="000B7752"/>
    <w:rsid w:val="000C04E9"/>
    <w:rsid w:val="000C2022"/>
    <w:rsid w:val="000C3059"/>
    <w:rsid w:val="000C3B68"/>
    <w:rsid w:val="000C61A1"/>
    <w:rsid w:val="000C7100"/>
    <w:rsid w:val="000D2ADD"/>
    <w:rsid w:val="000D40D2"/>
    <w:rsid w:val="000D5757"/>
    <w:rsid w:val="000D695B"/>
    <w:rsid w:val="000D6ECE"/>
    <w:rsid w:val="000D7153"/>
    <w:rsid w:val="000E03C4"/>
    <w:rsid w:val="000E1395"/>
    <w:rsid w:val="000E2B65"/>
    <w:rsid w:val="000E37C0"/>
    <w:rsid w:val="000E70FA"/>
    <w:rsid w:val="000F09AA"/>
    <w:rsid w:val="000F0CF8"/>
    <w:rsid w:val="000F1483"/>
    <w:rsid w:val="000F342A"/>
    <w:rsid w:val="000F449E"/>
    <w:rsid w:val="000F7B1E"/>
    <w:rsid w:val="00101CA0"/>
    <w:rsid w:val="00102C9B"/>
    <w:rsid w:val="00103CB3"/>
    <w:rsid w:val="00105364"/>
    <w:rsid w:val="001056E7"/>
    <w:rsid w:val="00106558"/>
    <w:rsid w:val="00106C9F"/>
    <w:rsid w:val="00111B7B"/>
    <w:rsid w:val="0011307C"/>
    <w:rsid w:val="0011686F"/>
    <w:rsid w:val="00120294"/>
    <w:rsid w:val="00120593"/>
    <w:rsid w:val="00120E45"/>
    <w:rsid w:val="001269A4"/>
    <w:rsid w:val="00130D08"/>
    <w:rsid w:val="00131C18"/>
    <w:rsid w:val="001345BC"/>
    <w:rsid w:val="001405C6"/>
    <w:rsid w:val="00144675"/>
    <w:rsid w:val="001446F4"/>
    <w:rsid w:val="00144DC3"/>
    <w:rsid w:val="001478B6"/>
    <w:rsid w:val="00152F96"/>
    <w:rsid w:val="00153BCC"/>
    <w:rsid w:val="00154261"/>
    <w:rsid w:val="00154F51"/>
    <w:rsid w:val="00155730"/>
    <w:rsid w:val="0015611C"/>
    <w:rsid w:val="00157C55"/>
    <w:rsid w:val="00163D44"/>
    <w:rsid w:val="00163E24"/>
    <w:rsid w:val="001646E3"/>
    <w:rsid w:val="00166301"/>
    <w:rsid w:val="00167F2E"/>
    <w:rsid w:val="0017116F"/>
    <w:rsid w:val="00171CC7"/>
    <w:rsid w:val="00171E0A"/>
    <w:rsid w:val="00172861"/>
    <w:rsid w:val="00173DED"/>
    <w:rsid w:val="001740AC"/>
    <w:rsid w:val="00176D2F"/>
    <w:rsid w:val="0018219A"/>
    <w:rsid w:val="00182752"/>
    <w:rsid w:val="00182F46"/>
    <w:rsid w:val="00183971"/>
    <w:rsid w:val="00185524"/>
    <w:rsid w:val="00185891"/>
    <w:rsid w:val="00186441"/>
    <w:rsid w:val="001868D3"/>
    <w:rsid w:val="00190078"/>
    <w:rsid w:val="0019241C"/>
    <w:rsid w:val="00192459"/>
    <w:rsid w:val="00192638"/>
    <w:rsid w:val="001928C3"/>
    <w:rsid w:val="00193446"/>
    <w:rsid w:val="0019398D"/>
    <w:rsid w:val="0019580A"/>
    <w:rsid w:val="001A1176"/>
    <w:rsid w:val="001A1CF0"/>
    <w:rsid w:val="001A21CF"/>
    <w:rsid w:val="001A4847"/>
    <w:rsid w:val="001A49C2"/>
    <w:rsid w:val="001B100A"/>
    <w:rsid w:val="001B20EC"/>
    <w:rsid w:val="001B2F52"/>
    <w:rsid w:val="001B311E"/>
    <w:rsid w:val="001B4953"/>
    <w:rsid w:val="001C1B9E"/>
    <w:rsid w:val="001C229E"/>
    <w:rsid w:val="001C2ECB"/>
    <w:rsid w:val="001C3C8E"/>
    <w:rsid w:val="001C48E6"/>
    <w:rsid w:val="001C6E55"/>
    <w:rsid w:val="001D08F3"/>
    <w:rsid w:val="001D0966"/>
    <w:rsid w:val="001D2398"/>
    <w:rsid w:val="001D4C5C"/>
    <w:rsid w:val="001D5278"/>
    <w:rsid w:val="001D59C0"/>
    <w:rsid w:val="001D5B7F"/>
    <w:rsid w:val="001D642C"/>
    <w:rsid w:val="001E244C"/>
    <w:rsid w:val="001E3ABF"/>
    <w:rsid w:val="001E5F44"/>
    <w:rsid w:val="001E6814"/>
    <w:rsid w:val="001E68D1"/>
    <w:rsid w:val="001F3C49"/>
    <w:rsid w:val="001F46F4"/>
    <w:rsid w:val="001F559D"/>
    <w:rsid w:val="001F6E42"/>
    <w:rsid w:val="00201A08"/>
    <w:rsid w:val="00203373"/>
    <w:rsid w:val="002041F8"/>
    <w:rsid w:val="00205692"/>
    <w:rsid w:val="00206089"/>
    <w:rsid w:val="0021012C"/>
    <w:rsid w:val="00210A71"/>
    <w:rsid w:val="00210F3B"/>
    <w:rsid w:val="002125C9"/>
    <w:rsid w:val="00216D1D"/>
    <w:rsid w:val="0022002B"/>
    <w:rsid w:val="002203B5"/>
    <w:rsid w:val="0022050F"/>
    <w:rsid w:val="0022051E"/>
    <w:rsid w:val="00222D32"/>
    <w:rsid w:val="0022435C"/>
    <w:rsid w:val="002247F9"/>
    <w:rsid w:val="00224C33"/>
    <w:rsid w:val="00225EF2"/>
    <w:rsid w:val="002273A4"/>
    <w:rsid w:val="00230CA9"/>
    <w:rsid w:val="0023100F"/>
    <w:rsid w:val="00232888"/>
    <w:rsid w:val="00235B56"/>
    <w:rsid w:val="00235C39"/>
    <w:rsid w:val="00235DCF"/>
    <w:rsid w:val="002364D8"/>
    <w:rsid w:val="00237562"/>
    <w:rsid w:val="00243385"/>
    <w:rsid w:val="002466DF"/>
    <w:rsid w:val="002468B4"/>
    <w:rsid w:val="00246B52"/>
    <w:rsid w:val="00250781"/>
    <w:rsid w:val="00250BA1"/>
    <w:rsid w:val="00252F93"/>
    <w:rsid w:val="00253FD9"/>
    <w:rsid w:val="00254B67"/>
    <w:rsid w:val="0025621D"/>
    <w:rsid w:val="00257525"/>
    <w:rsid w:val="002603BF"/>
    <w:rsid w:val="002627A5"/>
    <w:rsid w:val="00262853"/>
    <w:rsid w:val="00264641"/>
    <w:rsid w:val="002656DC"/>
    <w:rsid w:val="00266566"/>
    <w:rsid w:val="00266E09"/>
    <w:rsid w:val="00267BE6"/>
    <w:rsid w:val="00270769"/>
    <w:rsid w:val="002753DC"/>
    <w:rsid w:val="002764DD"/>
    <w:rsid w:val="002770C9"/>
    <w:rsid w:val="00283751"/>
    <w:rsid w:val="00286085"/>
    <w:rsid w:val="00286DF1"/>
    <w:rsid w:val="002878CF"/>
    <w:rsid w:val="00290243"/>
    <w:rsid w:val="002908AF"/>
    <w:rsid w:val="00291785"/>
    <w:rsid w:val="00293D5D"/>
    <w:rsid w:val="00294344"/>
    <w:rsid w:val="0029481D"/>
    <w:rsid w:val="0029572F"/>
    <w:rsid w:val="002958DF"/>
    <w:rsid w:val="00297405"/>
    <w:rsid w:val="002A0E18"/>
    <w:rsid w:val="002A1952"/>
    <w:rsid w:val="002A2B7E"/>
    <w:rsid w:val="002A3390"/>
    <w:rsid w:val="002A41FB"/>
    <w:rsid w:val="002A4CC5"/>
    <w:rsid w:val="002A7C7B"/>
    <w:rsid w:val="002B2842"/>
    <w:rsid w:val="002B30B8"/>
    <w:rsid w:val="002B329F"/>
    <w:rsid w:val="002B3566"/>
    <w:rsid w:val="002C1BB5"/>
    <w:rsid w:val="002C1DEA"/>
    <w:rsid w:val="002C26BF"/>
    <w:rsid w:val="002C2849"/>
    <w:rsid w:val="002C3339"/>
    <w:rsid w:val="002C3B97"/>
    <w:rsid w:val="002D2033"/>
    <w:rsid w:val="002D3185"/>
    <w:rsid w:val="002D343F"/>
    <w:rsid w:val="002D6D73"/>
    <w:rsid w:val="002D7511"/>
    <w:rsid w:val="002E0262"/>
    <w:rsid w:val="002E06AA"/>
    <w:rsid w:val="002E2367"/>
    <w:rsid w:val="002E25DC"/>
    <w:rsid w:val="002E6478"/>
    <w:rsid w:val="002E6ED7"/>
    <w:rsid w:val="002E7258"/>
    <w:rsid w:val="002E727C"/>
    <w:rsid w:val="002E742B"/>
    <w:rsid w:val="002E7DC9"/>
    <w:rsid w:val="002F0B4B"/>
    <w:rsid w:val="002F185F"/>
    <w:rsid w:val="002F1D4B"/>
    <w:rsid w:val="002F2B37"/>
    <w:rsid w:val="00304181"/>
    <w:rsid w:val="00306158"/>
    <w:rsid w:val="0030616E"/>
    <w:rsid w:val="003068CC"/>
    <w:rsid w:val="003078C9"/>
    <w:rsid w:val="00316046"/>
    <w:rsid w:val="00316F4A"/>
    <w:rsid w:val="00322D60"/>
    <w:rsid w:val="0032598E"/>
    <w:rsid w:val="00325E8E"/>
    <w:rsid w:val="00327A8A"/>
    <w:rsid w:val="003304B2"/>
    <w:rsid w:val="00330976"/>
    <w:rsid w:val="00332526"/>
    <w:rsid w:val="00334B3E"/>
    <w:rsid w:val="00334C7C"/>
    <w:rsid w:val="003353B2"/>
    <w:rsid w:val="003354B2"/>
    <w:rsid w:val="003366F1"/>
    <w:rsid w:val="003375C4"/>
    <w:rsid w:val="00342768"/>
    <w:rsid w:val="00343B9C"/>
    <w:rsid w:val="00346B87"/>
    <w:rsid w:val="00347B42"/>
    <w:rsid w:val="003502CE"/>
    <w:rsid w:val="00352069"/>
    <w:rsid w:val="003536A6"/>
    <w:rsid w:val="003536BF"/>
    <w:rsid w:val="0036019F"/>
    <w:rsid w:val="00361257"/>
    <w:rsid w:val="003613F0"/>
    <w:rsid w:val="00362576"/>
    <w:rsid w:val="003639A4"/>
    <w:rsid w:val="0036413D"/>
    <w:rsid w:val="003650A0"/>
    <w:rsid w:val="00366A91"/>
    <w:rsid w:val="00366D2F"/>
    <w:rsid w:val="00367733"/>
    <w:rsid w:val="00370297"/>
    <w:rsid w:val="003704D5"/>
    <w:rsid w:val="00371F8A"/>
    <w:rsid w:val="00372979"/>
    <w:rsid w:val="00372AB7"/>
    <w:rsid w:val="003736A9"/>
    <w:rsid w:val="00374ABF"/>
    <w:rsid w:val="00375DB0"/>
    <w:rsid w:val="003802B1"/>
    <w:rsid w:val="00383556"/>
    <w:rsid w:val="00384830"/>
    <w:rsid w:val="00384EA7"/>
    <w:rsid w:val="003859B3"/>
    <w:rsid w:val="00393ED0"/>
    <w:rsid w:val="003958A4"/>
    <w:rsid w:val="00395C51"/>
    <w:rsid w:val="00397A2F"/>
    <w:rsid w:val="00397DE5"/>
    <w:rsid w:val="003A0AD9"/>
    <w:rsid w:val="003A2173"/>
    <w:rsid w:val="003A41D2"/>
    <w:rsid w:val="003A7233"/>
    <w:rsid w:val="003A7684"/>
    <w:rsid w:val="003A76E9"/>
    <w:rsid w:val="003B05A4"/>
    <w:rsid w:val="003B2A98"/>
    <w:rsid w:val="003B3F79"/>
    <w:rsid w:val="003B7A4C"/>
    <w:rsid w:val="003C068F"/>
    <w:rsid w:val="003C2146"/>
    <w:rsid w:val="003C3CCA"/>
    <w:rsid w:val="003C5187"/>
    <w:rsid w:val="003C5411"/>
    <w:rsid w:val="003C5A38"/>
    <w:rsid w:val="003C61BA"/>
    <w:rsid w:val="003C64C4"/>
    <w:rsid w:val="003C7974"/>
    <w:rsid w:val="003D02AB"/>
    <w:rsid w:val="003D234C"/>
    <w:rsid w:val="003D6419"/>
    <w:rsid w:val="003D7297"/>
    <w:rsid w:val="003D773F"/>
    <w:rsid w:val="003E3E02"/>
    <w:rsid w:val="003E6073"/>
    <w:rsid w:val="003E6C07"/>
    <w:rsid w:val="003F0AC4"/>
    <w:rsid w:val="003F2CB7"/>
    <w:rsid w:val="003F3F25"/>
    <w:rsid w:val="0040154D"/>
    <w:rsid w:val="0040210A"/>
    <w:rsid w:val="00404EF9"/>
    <w:rsid w:val="00405DF8"/>
    <w:rsid w:val="004069D1"/>
    <w:rsid w:val="00407A22"/>
    <w:rsid w:val="00407F39"/>
    <w:rsid w:val="0041018D"/>
    <w:rsid w:val="00410E46"/>
    <w:rsid w:val="004116E3"/>
    <w:rsid w:val="004124B1"/>
    <w:rsid w:val="00413779"/>
    <w:rsid w:val="00414884"/>
    <w:rsid w:val="0041665D"/>
    <w:rsid w:val="00417133"/>
    <w:rsid w:val="00417CA8"/>
    <w:rsid w:val="00420593"/>
    <w:rsid w:val="004212A1"/>
    <w:rsid w:val="00422877"/>
    <w:rsid w:val="00422BC8"/>
    <w:rsid w:val="00423923"/>
    <w:rsid w:val="004307E3"/>
    <w:rsid w:val="00430819"/>
    <w:rsid w:val="00430939"/>
    <w:rsid w:val="00431028"/>
    <w:rsid w:val="00432054"/>
    <w:rsid w:val="004327B6"/>
    <w:rsid w:val="00433DA8"/>
    <w:rsid w:val="00433FC7"/>
    <w:rsid w:val="00435696"/>
    <w:rsid w:val="004368D2"/>
    <w:rsid w:val="0043732D"/>
    <w:rsid w:val="0044042F"/>
    <w:rsid w:val="00440A00"/>
    <w:rsid w:val="00440E2E"/>
    <w:rsid w:val="00443925"/>
    <w:rsid w:val="004442DF"/>
    <w:rsid w:val="00450D74"/>
    <w:rsid w:val="00450DCC"/>
    <w:rsid w:val="0045166E"/>
    <w:rsid w:val="00454D9E"/>
    <w:rsid w:val="004552F7"/>
    <w:rsid w:val="00455A1A"/>
    <w:rsid w:val="004573AA"/>
    <w:rsid w:val="00460F07"/>
    <w:rsid w:val="004615E8"/>
    <w:rsid w:val="00462AD9"/>
    <w:rsid w:val="00464D10"/>
    <w:rsid w:val="00465414"/>
    <w:rsid w:val="004704F0"/>
    <w:rsid w:val="00471FB2"/>
    <w:rsid w:val="00472C85"/>
    <w:rsid w:val="00473C0D"/>
    <w:rsid w:val="00473E04"/>
    <w:rsid w:val="00475C43"/>
    <w:rsid w:val="00477E0C"/>
    <w:rsid w:val="00482950"/>
    <w:rsid w:val="00482B72"/>
    <w:rsid w:val="00482CF5"/>
    <w:rsid w:val="00482FD0"/>
    <w:rsid w:val="00483EAE"/>
    <w:rsid w:val="00483FB6"/>
    <w:rsid w:val="0048519A"/>
    <w:rsid w:val="0048559E"/>
    <w:rsid w:val="004869DF"/>
    <w:rsid w:val="0049272C"/>
    <w:rsid w:val="0049303F"/>
    <w:rsid w:val="00494EB5"/>
    <w:rsid w:val="004977B7"/>
    <w:rsid w:val="004A2117"/>
    <w:rsid w:val="004A45BA"/>
    <w:rsid w:val="004A4C9E"/>
    <w:rsid w:val="004A51B0"/>
    <w:rsid w:val="004B0B53"/>
    <w:rsid w:val="004B2632"/>
    <w:rsid w:val="004B2696"/>
    <w:rsid w:val="004B427B"/>
    <w:rsid w:val="004B6731"/>
    <w:rsid w:val="004C0566"/>
    <w:rsid w:val="004C0FD1"/>
    <w:rsid w:val="004C1DCB"/>
    <w:rsid w:val="004C5D10"/>
    <w:rsid w:val="004C7F0E"/>
    <w:rsid w:val="004D06AB"/>
    <w:rsid w:val="004D0B35"/>
    <w:rsid w:val="004D3D2B"/>
    <w:rsid w:val="004D3DD3"/>
    <w:rsid w:val="004D4CFD"/>
    <w:rsid w:val="004E11B8"/>
    <w:rsid w:val="004E1276"/>
    <w:rsid w:val="004E2F3C"/>
    <w:rsid w:val="004E3B0B"/>
    <w:rsid w:val="004E3BEB"/>
    <w:rsid w:val="004E4036"/>
    <w:rsid w:val="004E52BC"/>
    <w:rsid w:val="004E558C"/>
    <w:rsid w:val="004E6DD8"/>
    <w:rsid w:val="004F1FF8"/>
    <w:rsid w:val="004F2B39"/>
    <w:rsid w:val="004F3638"/>
    <w:rsid w:val="004F76AB"/>
    <w:rsid w:val="00500C03"/>
    <w:rsid w:val="00503646"/>
    <w:rsid w:val="00503C68"/>
    <w:rsid w:val="00505DDF"/>
    <w:rsid w:val="00505FF0"/>
    <w:rsid w:val="00506114"/>
    <w:rsid w:val="0050627B"/>
    <w:rsid w:val="00506917"/>
    <w:rsid w:val="005119EB"/>
    <w:rsid w:val="00511CB4"/>
    <w:rsid w:val="00511E9E"/>
    <w:rsid w:val="005147AD"/>
    <w:rsid w:val="00515E03"/>
    <w:rsid w:val="00516885"/>
    <w:rsid w:val="005176BF"/>
    <w:rsid w:val="00520826"/>
    <w:rsid w:val="00521459"/>
    <w:rsid w:val="00523CC3"/>
    <w:rsid w:val="0052453A"/>
    <w:rsid w:val="005245A2"/>
    <w:rsid w:val="00525C38"/>
    <w:rsid w:val="00534807"/>
    <w:rsid w:val="00534F36"/>
    <w:rsid w:val="00535219"/>
    <w:rsid w:val="00536369"/>
    <w:rsid w:val="00536BAF"/>
    <w:rsid w:val="00536C8A"/>
    <w:rsid w:val="005370EC"/>
    <w:rsid w:val="00542A46"/>
    <w:rsid w:val="00542F8D"/>
    <w:rsid w:val="0054451C"/>
    <w:rsid w:val="0054452D"/>
    <w:rsid w:val="00544A97"/>
    <w:rsid w:val="005458DB"/>
    <w:rsid w:val="00550AE0"/>
    <w:rsid w:val="00550BD2"/>
    <w:rsid w:val="00553A09"/>
    <w:rsid w:val="00562EEC"/>
    <w:rsid w:val="005647F0"/>
    <w:rsid w:val="00566B6B"/>
    <w:rsid w:val="00567A6E"/>
    <w:rsid w:val="005706EF"/>
    <w:rsid w:val="0057253E"/>
    <w:rsid w:val="00572CE7"/>
    <w:rsid w:val="00573037"/>
    <w:rsid w:val="00573BF1"/>
    <w:rsid w:val="005747DA"/>
    <w:rsid w:val="00575B27"/>
    <w:rsid w:val="005762E9"/>
    <w:rsid w:val="005801E1"/>
    <w:rsid w:val="00581B19"/>
    <w:rsid w:val="00582AA2"/>
    <w:rsid w:val="005831DB"/>
    <w:rsid w:val="00583F3A"/>
    <w:rsid w:val="0058520F"/>
    <w:rsid w:val="005855F0"/>
    <w:rsid w:val="00586A39"/>
    <w:rsid w:val="00586E92"/>
    <w:rsid w:val="00590476"/>
    <w:rsid w:val="00590D64"/>
    <w:rsid w:val="00595E9F"/>
    <w:rsid w:val="005A057D"/>
    <w:rsid w:val="005A057E"/>
    <w:rsid w:val="005A2156"/>
    <w:rsid w:val="005A2E1C"/>
    <w:rsid w:val="005A49B9"/>
    <w:rsid w:val="005A4B88"/>
    <w:rsid w:val="005A548A"/>
    <w:rsid w:val="005B1245"/>
    <w:rsid w:val="005B3586"/>
    <w:rsid w:val="005B47F2"/>
    <w:rsid w:val="005B49B9"/>
    <w:rsid w:val="005B4CB7"/>
    <w:rsid w:val="005B61B6"/>
    <w:rsid w:val="005B7298"/>
    <w:rsid w:val="005B79EC"/>
    <w:rsid w:val="005C2385"/>
    <w:rsid w:val="005C2894"/>
    <w:rsid w:val="005C4D33"/>
    <w:rsid w:val="005C4EC4"/>
    <w:rsid w:val="005C7683"/>
    <w:rsid w:val="005D01E6"/>
    <w:rsid w:val="005D0416"/>
    <w:rsid w:val="005D0FEE"/>
    <w:rsid w:val="005D325F"/>
    <w:rsid w:val="005D6C70"/>
    <w:rsid w:val="005E40AE"/>
    <w:rsid w:val="005E50EE"/>
    <w:rsid w:val="005E7962"/>
    <w:rsid w:val="005F0B16"/>
    <w:rsid w:val="005F1C6A"/>
    <w:rsid w:val="005F4237"/>
    <w:rsid w:val="005F585F"/>
    <w:rsid w:val="005F6987"/>
    <w:rsid w:val="005F7248"/>
    <w:rsid w:val="005F72AC"/>
    <w:rsid w:val="005F7C67"/>
    <w:rsid w:val="006007A3"/>
    <w:rsid w:val="00601113"/>
    <w:rsid w:val="00602315"/>
    <w:rsid w:val="00602879"/>
    <w:rsid w:val="00602933"/>
    <w:rsid w:val="00613F33"/>
    <w:rsid w:val="00615E1C"/>
    <w:rsid w:val="006226F6"/>
    <w:rsid w:val="006229A6"/>
    <w:rsid w:val="00623D69"/>
    <w:rsid w:val="00624944"/>
    <w:rsid w:val="00624C8F"/>
    <w:rsid w:val="00624F63"/>
    <w:rsid w:val="00627452"/>
    <w:rsid w:val="006312FE"/>
    <w:rsid w:val="0063396B"/>
    <w:rsid w:val="00634280"/>
    <w:rsid w:val="00636EAC"/>
    <w:rsid w:val="00640A45"/>
    <w:rsid w:val="00641FC4"/>
    <w:rsid w:val="00642552"/>
    <w:rsid w:val="00643483"/>
    <w:rsid w:val="00643A0B"/>
    <w:rsid w:val="00643EE1"/>
    <w:rsid w:val="00644B08"/>
    <w:rsid w:val="00645096"/>
    <w:rsid w:val="006459F5"/>
    <w:rsid w:val="00645EEE"/>
    <w:rsid w:val="00647AB4"/>
    <w:rsid w:val="006514DC"/>
    <w:rsid w:val="0065222C"/>
    <w:rsid w:val="00653D78"/>
    <w:rsid w:val="00656578"/>
    <w:rsid w:val="0066001A"/>
    <w:rsid w:val="00660EE9"/>
    <w:rsid w:val="006611F3"/>
    <w:rsid w:val="006612D6"/>
    <w:rsid w:val="00662AF8"/>
    <w:rsid w:val="00664F30"/>
    <w:rsid w:val="00666F6F"/>
    <w:rsid w:val="00670BD0"/>
    <w:rsid w:val="00672D5C"/>
    <w:rsid w:val="00674FD4"/>
    <w:rsid w:val="00675AEB"/>
    <w:rsid w:val="006777D7"/>
    <w:rsid w:val="0068017B"/>
    <w:rsid w:val="00680490"/>
    <w:rsid w:val="0068086F"/>
    <w:rsid w:val="006808BC"/>
    <w:rsid w:val="00682243"/>
    <w:rsid w:val="00682C9E"/>
    <w:rsid w:val="00683E83"/>
    <w:rsid w:val="00684883"/>
    <w:rsid w:val="00690E15"/>
    <w:rsid w:val="0069128D"/>
    <w:rsid w:val="00691DF4"/>
    <w:rsid w:val="00697B3B"/>
    <w:rsid w:val="006A05C1"/>
    <w:rsid w:val="006A14C4"/>
    <w:rsid w:val="006A47DC"/>
    <w:rsid w:val="006A50CD"/>
    <w:rsid w:val="006A6204"/>
    <w:rsid w:val="006A7426"/>
    <w:rsid w:val="006A7DBC"/>
    <w:rsid w:val="006B197F"/>
    <w:rsid w:val="006B2316"/>
    <w:rsid w:val="006B23E7"/>
    <w:rsid w:val="006B2515"/>
    <w:rsid w:val="006B436B"/>
    <w:rsid w:val="006B4F19"/>
    <w:rsid w:val="006B5803"/>
    <w:rsid w:val="006B5AA1"/>
    <w:rsid w:val="006C09B6"/>
    <w:rsid w:val="006C1844"/>
    <w:rsid w:val="006C2B3A"/>
    <w:rsid w:val="006C3521"/>
    <w:rsid w:val="006C5EDF"/>
    <w:rsid w:val="006C6B96"/>
    <w:rsid w:val="006D0FA2"/>
    <w:rsid w:val="006D239C"/>
    <w:rsid w:val="006D28EC"/>
    <w:rsid w:val="006D4D79"/>
    <w:rsid w:val="006D5502"/>
    <w:rsid w:val="006D64F4"/>
    <w:rsid w:val="006D66FD"/>
    <w:rsid w:val="006D7EC9"/>
    <w:rsid w:val="006E4616"/>
    <w:rsid w:val="006E6822"/>
    <w:rsid w:val="006F01B7"/>
    <w:rsid w:val="006F05E5"/>
    <w:rsid w:val="006F11CF"/>
    <w:rsid w:val="006F3422"/>
    <w:rsid w:val="006F6F50"/>
    <w:rsid w:val="006F7B7D"/>
    <w:rsid w:val="007009C5"/>
    <w:rsid w:val="0070530C"/>
    <w:rsid w:val="0070568A"/>
    <w:rsid w:val="00706789"/>
    <w:rsid w:val="007100E0"/>
    <w:rsid w:val="0071279E"/>
    <w:rsid w:val="0071452B"/>
    <w:rsid w:val="00715C46"/>
    <w:rsid w:val="007160F6"/>
    <w:rsid w:val="00716A09"/>
    <w:rsid w:val="00721192"/>
    <w:rsid w:val="00722DC7"/>
    <w:rsid w:val="00723129"/>
    <w:rsid w:val="007259E1"/>
    <w:rsid w:val="0072689D"/>
    <w:rsid w:val="00727641"/>
    <w:rsid w:val="00727FCA"/>
    <w:rsid w:val="00730183"/>
    <w:rsid w:val="00731D79"/>
    <w:rsid w:val="00736E09"/>
    <w:rsid w:val="007378FB"/>
    <w:rsid w:val="00737EAA"/>
    <w:rsid w:val="007412DA"/>
    <w:rsid w:val="00741E9D"/>
    <w:rsid w:val="0074372A"/>
    <w:rsid w:val="00743B6F"/>
    <w:rsid w:val="00744A77"/>
    <w:rsid w:val="00746FEA"/>
    <w:rsid w:val="00747BA0"/>
    <w:rsid w:val="00750758"/>
    <w:rsid w:val="00750B18"/>
    <w:rsid w:val="00752EF0"/>
    <w:rsid w:val="00754B5D"/>
    <w:rsid w:val="00757FF8"/>
    <w:rsid w:val="00761F75"/>
    <w:rsid w:val="007622C6"/>
    <w:rsid w:val="00762482"/>
    <w:rsid w:val="00765CEE"/>
    <w:rsid w:val="00767A04"/>
    <w:rsid w:val="00771DC0"/>
    <w:rsid w:val="00771DF9"/>
    <w:rsid w:val="007753EE"/>
    <w:rsid w:val="00775455"/>
    <w:rsid w:val="00775B9A"/>
    <w:rsid w:val="00775C41"/>
    <w:rsid w:val="00776AED"/>
    <w:rsid w:val="00776C26"/>
    <w:rsid w:val="007778D9"/>
    <w:rsid w:val="007779C9"/>
    <w:rsid w:val="00777D14"/>
    <w:rsid w:val="00777D9D"/>
    <w:rsid w:val="007819E9"/>
    <w:rsid w:val="00783BCC"/>
    <w:rsid w:val="0078452E"/>
    <w:rsid w:val="00784846"/>
    <w:rsid w:val="00784BF2"/>
    <w:rsid w:val="00784F4C"/>
    <w:rsid w:val="007852C2"/>
    <w:rsid w:val="0078546A"/>
    <w:rsid w:val="00785729"/>
    <w:rsid w:val="00787774"/>
    <w:rsid w:val="0079085C"/>
    <w:rsid w:val="00791689"/>
    <w:rsid w:val="00791820"/>
    <w:rsid w:val="00791B6F"/>
    <w:rsid w:val="00791D89"/>
    <w:rsid w:val="0079263D"/>
    <w:rsid w:val="0079275B"/>
    <w:rsid w:val="00793159"/>
    <w:rsid w:val="007939AA"/>
    <w:rsid w:val="007A044B"/>
    <w:rsid w:val="007A1352"/>
    <w:rsid w:val="007A78D5"/>
    <w:rsid w:val="007B00CD"/>
    <w:rsid w:val="007B01AA"/>
    <w:rsid w:val="007B20F1"/>
    <w:rsid w:val="007B4076"/>
    <w:rsid w:val="007B6138"/>
    <w:rsid w:val="007B63C0"/>
    <w:rsid w:val="007C0A3D"/>
    <w:rsid w:val="007C3F3E"/>
    <w:rsid w:val="007C58C2"/>
    <w:rsid w:val="007C5B47"/>
    <w:rsid w:val="007C5EE2"/>
    <w:rsid w:val="007C6956"/>
    <w:rsid w:val="007C7046"/>
    <w:rsid w:val="007C7633"/>
    <w:rsid w:val="007D1DE1"/>
    <w:rsid w:val="007D54F7"/>
    <w:rsid w:val="007D5C60"/>
    <w:rsid w:val="007D6000"/>
    <w:rsid w:val="007E1D04"/>
    <w:rsid w:val="007E22C2"/>
    <w:rsid w:val="007E2777"/>
    <w:rsid w:val="007E3387"/>
    <w:rsid w:val="007E3CF0"/>
    <w:rsid w:val="007E4C76"/>
    <w:rsid w:val="007E5D09"/>
    <w:rsid w:val="007E7EE3"/>
    <w:rsid w:val="007F18BF"/>
    <w:rsid w:val="007F3C2A"/>
    <w:rsid w:val="007F43A3"/>
    <w:rsid w:val="007F60B6"/>
    <w:rsid w:val="008001AA"/>
    <w:rsid w:val="008003B7"/>
    <w:rsid w:val="008012FB"/>
    <w:rsid w:val="008014BC"/>
    <w:rsid w:val="00802AE1"/>
    <w:rsid w:val="00802C2D"/>
    <w:rsid w:val="008044D5"/>
    <w:rsid w:val="00805148"/>
    <w:rsid w:val="00805389"/>
    <w:rsid w:val="008054AA"/>
    <w:rsid w:val="0080553B"/>
    <w:rsid w:val="00805A8D"/>
    <w:rsid w:val="00807570"/>
    <w:rsid w:val="00810509"/>
    <w:rsid w:val="008118E4"/>
    <w:rsid w:val="00811BA6"/>
    <w:rsid w:val="00812166"/>
    <w:rsid w:val="00815387"/>
    <w:rsid w:val="00816CE5"/>
    <w:rsid w:val="008171B9"/>
    <w:rsid w:val="00817717"/>
    <w:rsid w:val="00817CEC"/>
    <w:rsid w:val="008209C7"/>
    <w:rsid w:val="00820FDC"/>
    <w:rsid w:val="008211C6"/>
    <w:rsid w:val="008214CB"/>
    <w:rsid w:val="00821E78"/>
    <w:rsid w:val="008221A5"/>
    <w:rsid w:val="008224A6"/>
    <w:rsid w:val="00823E9E"/>
    <w:rsid w:val="00825F45"/>
    <w:rsid w:val="00830E0E"/>
    <w:rsid w:val="00834012"/>
    <w:rsid w:val="00834AED"/>
    <w:rsid w:val="00834CBE"/>
    <w:rsid w:val="00835A94"/>
    <w:rsid w:val="00836722"/>
    <w:rsid w:val="00836E68"/>
    <w:rsid w:val="008375D7"/>
    <w:rsid w:val="00837B68"/>
    <w:rsid w:val="00840278"/>
    <w:rsid w:val="008422CC"/>
    <w:rsid w:val="00842CB6"/>
    <w:rsid w:val="00843D8F"/>
    <w:rsid w:val="00845407"/>
    <w:rsid w:val="00847293"/>
    <w:rsid w:val="008477A4"/>
    <w:rsid w:val="00850353"/>
    <w:rsid w:val="00850DC5"/>
    <w:rsid w:val="00851E05"/>
    <w:rsid w:val="008529AF"/>
    <w:rsid w:val="008535DD"/>
    <w:rsid w:val="00854C40"/>
    <w:rsid w:val="00857178"/>
    <w:rsid w:val="0086076F"/>
    <w:rsid w:val="00860D94"/>
    <w:rsid w:val="008611D9"/>
    <w:rsid w:val="00861959"/>
    <w:rsid w:val="00862B31"/>
    <w:rsid w:val="00863074"/>
    <w:rsid w:val="0086666F"/>
    <w:rsid w:val="0086694C"/>
    <w:rsid w:val="00866DE9"/>
    <w:rsid w:val="00866F9A"/>
    <w:rsid w:val="00870E92"/>
    <w:rsid w:val="00871A20"/>
    <w:rsid w:val="00874C0A"/>
    <w:rsid w:val="00874D37"/>
    <w:rsid w:val="008802C8"/>
    <w:rsid w:val="008809C1"/>
    <w:rsid w:val="00881330"/>
    <w:rsid w:val="00881852"/>
    <w:rsid w:val="00881E02"/>
    <w:rsid w:val="0088504D"/>
    <w:rsid w:val="00885D44"/>
    <w:rsid w:val="00885D96"/>
    <w:rsid w:val="00886766"/>
    <w:rsid w:val="00890365"/>
    <w:rsid w:val="00892A45"/>
    <w:rsid w:val="00896E3A"/>
    <w:rsid w:val="008A1BCA"/>
    <w:rsid w:val="008A241A"/>
    <w:rsid w:val="008A28C7"/>
    <w:rsid w:val="008A2F45"/>
    <w:rsid w:val="008A6802"/>
    <w:rsid w:val="008B0576"/>
    <w:rsid w:val="008B1028"/>
    <w:rsid w:val="008B3464"/>
    <w:rsid w:val="008B4E92"/>
    <w:rsid w:val="008B64F5"/>
    <w:rsid w:val="008B69C6"/>
    <w:rsid w:val="008B7A02"/>
    <w:rsid w:val="008B7B91"/>
    <w:rsid w:val="008C0681"/>
    <w:rsid w:val="008C09DA"/>
    <w:rsid w:val="008C2B9A"/>
    <w:rsid w:val="008C2DE1"/>
    <w:rsid w:val="008C5364"/>
    <w:rsid w:val="008C78E3"/>
    <w:rsid w:val="008C7932"/>
    <w:rsid w:val="008C7E89"/>
    <w:rsid w:val="008D07E8"/>
    <w:rsid w:val="008D399E"/>
    <w:rsid w:val="008D3DA7"/>
    <w:rsid w:val="008D42D2"/>
    <w:rsid w:val="008D4316"/>
    <w:rsid w:val="008D4D21"/>
    <w:rsid w:val="008D70F2"/>
    <w:rsid w:val="008D7B42"/>
    <w:rsid w:val="008E13CB"/>
    <w:rsid w:val="008E26F7"/>
    <w:rsid w:val="008E29BB"/>
    <w:rsid w:val="008E36C4"/>
    <w:rsid w:val="008E3F9A"/>
    <w:rsid w:val="008E4774"/>
    <w:rsid w:val="008E5F36"/>
    <w:rsid w:val="008E666B"/>
    <w:rsid w:val="008E7E06"/>
    <w:rsid w:val="008E7E90"/>
    <w:rsid w:val="008F327D"/>
    <w:rsid w:val="008F464F"/>
    <w:rsid w:val="008F4690"/>
    <w:rsid w:val="008F48B7"/>
    <w:rsid w:val="008F4B65"/>
    <w:rsid w:val="008F6287"/>
    <w:rsid w:val="008F7830"/>
    <w:rsid w:val="00902B82"/>
    <w:rsid w:val="009033A4"/>
    <w:rsid w:val="00905039"/>
    <w:rsid w:val="00910F8F"/>
    <w:rsid w:val="0091373F"/>
    <w:rsid w:val="00913B34"/>
    <w:rsid w:val="009164B8"/>
    <w:rsid w:val="00917056"/>
    <w:rsid w:val="00921C50"/>
    <w:rsid w:val="00922C1C"/>
    <w:rsid w:val="00923AFE"/>
    <w:rsid w:val="00923C61"/>
    <w:rsid w:val="00925FC3"/>
    <w:rsid w:val="009271B8"/>
    <w:rsid w:val="00927874"/>
    <w:rsid w:val="00932E46"/>
    <w:rsid w:val="00934482"/>
    <w:rsid w:val="00934BA3"/>
    <w:rsid w:val="009359F4"/>
    <w:rsid w:val="00935F06"/>
    <w:rsid w:val="009365D2"/>
    <w:rsid w:val="009365EF"/>
    <w:rsid w:val="00940423"/>
    <w:rsid w:val="0094056F"/>
    <w:rsid w:val="00940836"/>
    <w:rsid w:val="009429EB"/>
    <w:rsid w:val="00942BB5"/>
    <w:rsid w:val="009442E7"/>
    <w:rsid w:val="009447C6"/>
    <w:rsid w:val="0094687A"/>
    <w:rsid w:val="009532A9"/>
    <w:rsid w:val="0095347F"/>
    <w:rsid w:val="00960BE3"/>
    <w:rsid w:val="0096384A"/>
    <w:rsid w:val="009655B3"/>
    <w:rsid w:val="009665C8"/>
    <w:rsid w:val="009672B9"/>
    <w:rsid w:val="009736EB"/>
    <w:rsid w:val="00974337"/>
    <w:rsid w:val="0097440E"/>
    <w:rsid w:val="00974DD1"/>
    <w:rsid w:val="009750B4"/>
    <w:rsid w:val="00976660"/>
    <w:rsid w:val="0097712A"/>
    <w:rsid w:val="0098157A"/>
    <w:rsid w:val="00983EC3"/>
    <w:rsid w:val="00984B8A"/>
    <w:rsid w:val="009905E2"/>
    <w:rsid w:val="00990B32"/>
    <w:rsid w:val="00990E0C"/>
    <w:rsid w:val="00991003"/>
    <w:rsid w:val="00991149"/>
    <w:rsid w:val="00991467"/>
    <w:rsid w:val="00992FE9"/>
    <w:rsid w:val="009936CE"/>
    <w:rsid w:val="009966E1"/>
    <w:rsid w:val="00997EC5"/>
    <w:rsid w:val="009A1F33"/>
    <w:rsid w:val="009A303C"/>
    <w:rsid w:val="009A31BB"/>
    <w:rsid w:val="009A351E"/>
    <w:rsid w:val="009A7A50"/>
    <w:rsid w:val="009B03A6"/>
    <w:rsid w:val="009B1604"/>
    <w:rsid w:val="009B19A6"/>
    <w:rsid w:val="009B4C76"/>
    <w:rsid w:val="009B5364"/>
    <w:rsid w:val="009C09CE"/>
    <w:rsid w:val="009C1530"/>
    <w:rsid w:val="009C1755"/>
    <w:rsid w:val="009C1D49"/>
    <w:rsid w:val="009C3E85"/>
    <w:rsid w:val="009C5330"/>
    <w:rsid w:val="009C660E"/>
    <w:rsid w:val="009C72AF"/>
    <w:rsid w:val="009C7E07"/>
    <w:rsid w:val="009D19A6"/>
    <w:rsid w:val="009D2B92"/>
    <w:rsid w:val="009D4EB3"/>
    <w:rsid w:val="009E03D4"/>
    <w:rsid w:val="009E17BF"/>
    <w:rsid w:val="009E351C"/>
    <w:rsid w:val="009E4BD5"/>
    <w:rsid w:val="009E6A5C"/>
    <w:rsid w:val="009E6F40"/>
    <w:rsid w:val="009E7D6D"/>
    <w:rsid w:val="009F0D92"/>
    <w:rsid w:val="009F104A"/>
    <w:rsid w:val="009F13BB"/>
    <w:rsid w:val="009F17A9"/>
    <w:rsid w:val="009F33D3"/>
    <w:rsid w:val="009F4B6B"/>
    <w:rsid w:val="009F50C3"/>
    <w:rsid w:val="009F6AF0"/>
    <w:rsid w:val="009F757C"/>
    <w:rsid w:val="00A00569"/>
    <w:rsid w:val="00A03021"/>
    <w:rsid w:val="00A03E15"/>
    <w:rsid w:val="00A0609E"/>
    <w:rsid w:val="00A07452"/>
    <w:rsid w:val="00A1338F"/>
    <w:rsid w:val="00A14254"/>
    <w:rsid w:val="00A169DC"/>
    <w:rsid w:val="00A173D9"/>
    <w:rsid w:val="00A224F8"/>
    <w:rsid w:val="00A237FA"/>
    <w:rsid w:val="00A26AD4"/>
    <w:rsid w:val="00A30894"/>
    <w:rsid w:val="00A36216"/>
    <w:rsid w:val="00A364B9"/>
    <w:rsid w:val="00A4055A"/>
    <w:rsid w:val="00A41786"/>
    <w:rsid w:val="00A42214"/>
    <w:rsid w:val="00A43149"/>
    <w:rsid w:val="00A44FFA"/>
    <w:rsid w:val="00A46C45"/>
    <w:rsid w:val="00A476F6"/>
    <w:rsid w:val="00A47840"/>
    <w:rsid w:val="00A51AD7"/>
    <w:rsid w:val="00A52474"/>
    <w:rsid w:val="00A52652"/>
    <w:rsid w:val="00A545CF"/>
    <w:rsid w:val="00A55A30"/>
    <w:rsid w:val="00A569FC"/>
    <w:rsid w:val="00A6124D"/>
    <w:rsid w:val="00A612D9"/>
    <w:rsid w:val="00A63E02"/>
    <w:rsid w:val="00A64E42"/>
    <w:rsid w:val="00A653B3"/>
    <w:rsid w:val="00A65AAE"/>
    <w:rsid w:val="00A70041"/>
    <w:rsid w:val="00A7312E"/>
    <w:rsid w:val="00A7486D"/>
    <w:rsid w:val="00A74941"/>
    <w:rsid w:val="00A752C5"/>
    <w:rsid w:val="00A77BCF"/>
    <w:rsid w:val="00A81597"/>
    <w:rsid w:val="00A83B03"/>
    <w:rsid w:val="00A901DC"/>
    <w:rsid w:val="00A95D9C"/>
    <w:rsid w:val="00AA148E"/>
    <w:rsid w:val="00AA1826"/>
    <w:rsid w:val="00AA4E00"/>
    <w:rsid w:val="00AA6BFE"/>
    <w:rsid w:val="00AA72E6"/>
    <w:rsid w:val="00AB1398"/>
    <w:rsid w:val="00AB15A7"/>
    <w:rsid w:val="00AB1AF1"/>
    <w:rsid w:val="00AB2880"/>
    <w:rsid w:val="00AB385C"/>
    <w:rsid w:val="00AB6E9D"/>
    <w:rsid w:val="00AC078E"/>
    <w:rsid w:val="00AC1471"/>
    <w:rsid w:val="00AC2291"/>
    <w:rsid w:val="00AC3E67"/>
    <w:rsid w:val="00AC5A9A"/>
    <w:rsid w:val="00AC7571"/>
    <w:rsid w:val="00AD2C13"/>
    <w:rsid w:val="00AD519C"/>
    <w:rsid w:val="00AD5D55"/>
    <w:rsid w:val="00AD7882"/>
    <w:rsid w:val="00AE43BF"/>
    <w:rsid w:val="00AE4BFE"/>
    <w:rsid w:val="00AE6E55"/>
    <w:rsid w:val="00AF15F1"/>
    <w:rsid w:val="00AF19F4"/>
    <w:rsid w:val="00AF1D8A"/>
    <w:rsid w:val="00AF3F89"/>
    <w:rsid w:val="00AF489D"/>
    <w:rsid w:val="00AF7D5C"/>
    <w:rsid w:val="00B01447"/>
    <w:rsid w:val="00B01F94"/>
    <w:rsid w:val="00B0340C"/>
    <w:rsid w:val="00B05817"/>
    <w:rsid w:val="00B11604"/>
    <w:rsid w:val="00B12E4B"/>
    <w:rsid w:val="00B16F07"/>
    <w:rsid w:val="00B20FDE"/>
    <w:rsid w:val="00B26B61"/>
    <w:rsid w:val="00B270FB"/>
    <w:rsid w:val="00B272FD"/>
    <w:rsid w:val="00B279F1"/>
    <w:rsid w:val="00B27BA1"/>
    <w:rsid w:val="00B3159A"/>
    <w:rsid w:val="00B33334"/>
    <w:rsid w:val="00B34260"/>
    <w:rsid w:val="00B34336"/>
    <w:rsid w:val="00B343BE"/>
    <w:rsid w:val="00B41067"/>
    <w:rsid w:val="00B428F7"/>
    <w:rsid w:val="00B46288"/>
    <w:rsid w:val="00B47200"/>
    <w:rsid w:val="00B4729A"/>
    <w:rsid w:val="00B54507"/>
    <w:rsid w:val="00B557CF"/>
    <w:rsid w:val="00B55CED"/>
    <w:rsid w:val="00B55D33"/>
    <w:rsid w:val="00B55E38"/>
    <w:rsid w:val="00B605A7"/>
    <w:rsid w:val="00B62C55"/>
    <w:rsid w:val="00B65611"/>
    <w:rsid w:val="00B672F3"/>
    <w:rsid w:val="00B67715"/>
    <w:rsid w:val="00B70F9D"/>
    <w:rsid w:val="00B7316D"/>
    <w:rsid w:val="00B7501D"/>
    <w:rsid w:val="00B7624B"/>
    <w:rsid w:val="00B80373"/>
    <w:rsid w:val="00B80499"/>
    <w:rsid w:val="00B80F92"/>
    <w:rsid w:val="00B815C4"/>
    <w:rsid w:val="00B82254"/>
    <w:rsid w:val="00B8362E"/>
    <w:rsid w:val="00B83B67"/>
    <w:rsid w:val="00B84383"/>
    <w:rsid w:val="00B84EDC"/>
    <w:rsid w:val="00B86B2B"/>
    <w:rsid w:val="00B87616"/>
    <w:rsid w:val="00B93F16"/>
    <w:rsid w:val="00B948F9"/>
    <w:rsid w:val="00B94A34"/>
    <w:rsid w:val="00B97392"/>
    <w:rsid w:val="00B974BE"/>
    <w:rsid w:val="00B9755A"/>
    <w:rsid w:val="00BA017A"/>
    <w:rsid w:val="00BA02E2"/>
    <w:rsid w:val="00BA16E0"/>
    <w:rsid w:val="00BA1DE0"/>
    <w:rsid w:val="00BA205C"/>
    <w:rsid w:val="00BA2872"/>
    <w:rsid w:val="00BA4817"/>
    <w:rsid w:val="00BA5902"/>
    <w:rsid w:val="00BA5ACF"/>
    <w:rsid w:val="00BA5D90"/>
    <w:rsid w:val="00BA7F50"/>
    <w:rsid w:val="00BB3085"/>
    <w:rsid w:val="00BB4F4C"/>
    <w:rsid w:val="00BB5CCF"/>
    <w:rsid w:val="00BC0350"/>
    <w:rsid w:val="00BC1AE7"/>
    <w:rsid w:val="00BC2255"/>
    <w:rsid w:val="00BC332A"/>
    <w:rsid w:val="00BC5B43"/>
    <w:rsid w:val="00BC5DDA"/>
    <w:rsid w:val="00BC68DA"/>
    <w:rsid w:val="00BC784D"/>
    <w:rsid w:val="00BC7C25"/>
    <w:rsid w:val="00BD08DA"/>
    <w:rsid w:val="00BD1C42"/>
    <w:rsid w:val="00BD2ADD"/>
    <w:rsid w:val="00BD4D00"/>
    <w:rsid w:val="00BD5128"/>
    <w:rsid w:val="00BD5DB5"/>
    <w:rsid w:val="00BD6CC9"/>
    <w:rsid w:val="00BE0FE4"/>
    <w:rsid w:val="00BE2531"/>
    <w:rsid w:val="00BE28CD"/>
    <w:rsid w:val="00BE4EEA"/>
    <w:rsid w:val="00BE71FA"/>
    <w:rsid w:val="00BF07D2"/>
    <w:rsid w:val="00BF0A81"/>
    <w:rsid w:val="00BF16DF"/>
    <w:rsid w:val="00BF19E6"/>
    <w:rsid w:val="00BF20A7"/>
    <w:rsid w:val="00BF2A80"/>
    <w:rsid w:val="00BF3683"/>
    <w:rsid w:val="00BF401F"/>
    <w:rsid w:val="00BF506F"/>
    <w:rsid w:val="00BF5A45"/>
    <w:rsid w:val="00C00530"/>
    <w:rsid w:val="00C02354"/>
    <w:rsid w:val="00C04C64"/>
    <w:rsid w:val="00C0576C"/>
    <w:rsid w:val="00C05B01"/>
    <w:rsid w:val="00C10335"/>
    <w:rsid w:val="00C1300F"/>
    <w:rsid w:val="00C14272"/>
    <w:rsid w:val="00C16854"/>
    <w:rsid w:val="00C20FEC"/>
    <w:rsid w:val="00C24321"/>
    <w:rsid w:val="00C27209"/>
    <w:rsid w:val="00C27859"/>
    <w:rsid w:val="00C278A9"/>
    <w:rsid w:val="00C303E3"/>
    <w:rsid w:val="00C319CA"/>
    <w:rsid w:val="00C328F8"/>
    <w:rsid w:val="00C34593"/>
    <w:rsid w:val="00C3769E"/>
    <w:rsid w:val="00C37916"/>
    <w:rsid w:val="00C41DB1"/>
    <w:rsid w:val="00C43661"/>
    <w:rsid w:val="00C45461"/>
    <w:rsid w:val="00C45634"/>
    <w:rsid w:val="00C468EC"/>
    <w:rsid w:val="00C473C5"/>
    <w:rsid w:val="00C4776A"/>
    <w:rsid w:val="00C54051"/>
    <w:rsid w:val="00C5735B"/>
    <w:rsid w:val="00C60018"/>
    <w:rsid w:val="00C601AC"/>
    <w:rsid w:val="00C61E37"/>
    <w:rsid w:val="00C64B6F"/>
    <w:rsid w:val="00C677D4"/>
    <w:rsid w:val="00C70F9F"/>
    <w:rsid w:val="00C71593"/>
    <w:rsid w:val="00C761C5"/>
    <w:rsid w:val="00C81DFA"/>
    <w:rsid w:val="00C84D07"/>
    <w:rsid w:val="00C866E8"/>
    <w:rsid w:val="00C86FEF"/>
    <w:rsid w:val="00C90DD4"/>
    <w:rsid w:val="00C9204A"/>
    <w:rsid w:val="00C92051"/>
    <w:rsid w:val="00C92207"/>
    <w:rsid w:val="00C9237E"/>
    <w:rsid w:val="00C96D8B"/>
    <w:rsid w:val="00CA0687"/>
    <w:rsid w:val="00CA14FA"/>
    <w:rsid w:val="00CA1681"/>
    <w:rsid w:val="00CA1C2D"/>
    <w:rsid w:val="00CA1C35"/>
    <w:rsid w:val="00CA2651"/>
    <w:rsid w:val="00CA2F11"/>
    <w:rsid w:val="00CA2FB6"/>
    <w:rsid w:val="00CA3A19"/>
    <w:rsid w:val="00CA63C6"/>
    <w:rsid w:val="00CA77BB"/>
    <w:rsid w:val="00CB1D3F"/>
    <w:rsid w:val="00CB3F4A"/>
    <w:rsid w:val="00CB448A"/>
    <w:rsid w:val="00CB4FF4"/>
    <w:rsid w:val="00CB782A"/>
    <w:rsid w:val="00CC0A6F"/>
    <w:rsid w:val="00CC25F9"/>
    <w:rsid w:val="00CC2789"/>
    <w:rsid w:val="00CC2805"/>
    <w:rsid w:val="00CC4B1D"/>
    <w:rsid w:val="00CC4C20"/>
    <w:rsid w:val="00CC4FB4"/>
    <w:rsid w:val="00CC5270"/>
    <w:rsid w:val="00CC73AD"/>
    <w:rsid w:val="00CD1879"/>
    <w:rsid w:val="00CD1F8C"/>
    <w:rsid w:val="00CD20BD"/>
    <w:rsid w:val="00CD750B"/>
    <w:rsid w:val="00CD7634"/>
    <w:rsid w:val="00CE112D"/>
    <w:rsid w:val="00CE1BEF"/>
    <w:rsid w:val="00CE2261"/>
    <w:rsid w:val="00CE23C4"/>
    <w:rsid w:val="00CE278F"/>
    <w:rsid w:val="00CE28A9"/>
    <w:rsid w:val="00CE3436"/>
    <w:rsid w:val="00CE39B9"/>
    <w:rsid w:val="00CE4B1B"/>
    <w:rsid w:val="00CE4F4C"/>
    <w:rsid w:val="00CE5BE9"/>
    <w:rsid w:val="00CF09DF"/>
    <w:rsid w:val="00CF1F9A"/>
    <w:rsid w:val="00CF26E3"/>
    <w:rsid w:val="00CF3382"/>
    <w:rsid w:val="00CF3B89"/>
    <w:rsid w:val="00CF3FB9"/>
    <w:rsid w:val="00CF407A"/>
    <w:rsid w:val="00CF50E1"/>
    <w:rsid w:val="00CF54BA"/>
    <w:rsid w:val="00CF681C"/>
    <w:rsid w:val="00CF7A69"/>
    <w:rsid w:val="00D01E9E"/>
    <w:rsid w:val="00D02042"/>
    <w:rsid w:val="00D03766"/>
    <w:rsid w:val="00D113E4"/>
    <w:rsid w:val="00D11EE1"/>
    <w:rsid w:val="00D13C01"/>
    <w:rsid w:val="00D146A3"/>
    <w:rsid w:val="00D15305"/>
    <w:rsid w:val="00D16987"/>
    <w:rsid w:val="00D20F53"/>
    <w:rsid w:val="00D21721"/>
    <w:rsid w:val="00D21BFA"/>
    <w:rsid w:val="00D24857"/>
    <w:rsid w:val="00D31DAC"/>
    <w:rsid w:val="00D333B0"/>
    <w:rsid w:val="00D34674"/>
    <w:rsid w:val="00D35771"/>
    <w:rsid w:val="00D37BAA"/>
    <w:rsid w:val="00D37C11"/>
    <w:rsid w:val="00D41EA1"/>
    <w:rsid w:val="00D46717"/>
    <w:rsid w:val="00D62ACB"/>
    <w:rsid w:val="00D63513"/>
    <w:rsid w:val="00D65388"/>
    <w:rsid w:val="00D65EAE"/>
    <w:rsid w:val="00D70261"/>
    <w:rsid w:val="00D73DD7"/>
    <w:rsid w:val="00D74524"/>
    <w:rsid w:val="00D75516"/>
    <w:rsid w:val="00D75B48"/>
    <w:rsid w:val="00D76196"/>
    <w:rsid w:val="00D762D4"/>
    <w:rsid w:val="00D805DD"/>
    <w:rsid w:val="00D80950"/>
    <w:rsid w:val="00D80A6C"/>
    <w:rsid w:val="00D80D64"/>
    <w:rsid w:val="00D8172E"/>
    <w:rsid w:val="00D81E9F"/>
    <w:rsid w:val="00D8436F"/>
    <w:rsid w:val="00D847C9"/>
    <w:rsid w:val="00D85451"/>
    <w:rsid w:val="00D87CC1"/>
    <w:rsid w:val="00D90843"/>
    <w:rsid w:val="00D9145C"/>
    <w:rsid w:val="00D920DD"/>
    <w:rsid w:val="00D95602"/>
    <w:rsid w:val="00D96FD0"/>
    <w:rsid w:val="00DA01E6"/>
    <w:rsid w:val="00DA0B2B"/>
    <w:rsid w:val="00DA2078"/>
    <w:rsid w:val="00DA4D13"/>
    <w:rsid w:val="00DA5D67"/>
    <w:rsid w:val="00DA7381"/>
    <w:rsid w:val="00DB2EF3"/>
    <w:rsid w:val="00DB3137"/>
    <w:rsid w:val="00DB7038"/>
    <w:rsid w:val="00DB7813"/>
    <w:rsid w:val="00DC1FD0"/>
    <w:rsid w:val="00DC4290"/>
    <w:rsid w:val="00DC4659"/>
    <w:rsid w:val="00DC46F4"/>
    <w:rsid w:val="00DC5B0E"/>
    <w:rsid w:val="00DC5E59"/>
    <w:rsid w:val="00DD062F"/>
    <w:rsid w:val="00DD09B0"/>
    <w:rsid w:val="00DD103C"/>
    <w:rsid w:val="00DD2054"/>
    <w:rsid w:val="00DD2190"/>
    <w:rsid w:val="00DD26F2"/>
    <w:rsid w:val="00DD3516"/>
    <w:rsid w:val="00DD3633"/>
    <w:rsid w:val="00DD5CB2"/>
    <w:rsid w:val="00DD6338"/>
    <w:rsid w:val="00DD72B3"/>
    <w:rsid w:val="00DE09CA"/>
    <w:rsid w:val="00DE21F3"/>
    <w:rsid w:val="00DE4A28"/>
    <w:rsid w:val="00DE4DFB"/>
    <w:rsid w:val="00DE5CCC"/>
    <w:rsid w:val="00DE633B"/>
    <w:rsid w:val="00DE6810"/>
    <w:rsid w:val="00DF02CB"/>
    <w:rsid w:val="00DF11E4"/>
    <w:rsid w:val="00DF1AF5"/>
    <w:rsid w:val="00DF4741"/>
    <w:rsid w:val="00E00894"/>
    <w:rsid w:val="00E04A7F"/>
    <w:rsid w:val="00E0762C"/>
    <w:rsid w:val="00E10FD4"/>
    <w:rsid w:val="00E11231"/>
    <w:rsid w:val="00E114A4"/>
    <w:rsid w:val="00E1206A"/>
    <w:rsid w:val="00E12AC2"/>
    <w:rsid w:val="00E1418B"/>
    <w:rsid w:val="00E14F41"/>
    <w:rsid w:val="00E16123"/>
    <w:rsid w:val="00E17AE2"/>
    <w:rsid w:val="00E17EAE"/>
    <w:rsid w:val="00E20C35"/>
    <w:rsid w:val="00E21886"/>
    <w:rsid w:val="00E24033"/>
    <w:rsid w:val="00E247E1"/>
    <w:rsid w:val="00E25E51"/>
    <w:rsid w:val="00E27A60"/>
    <w:rsid w:val="00E27E16"/>
    <w:rsid w:val="00E317E0"/>
    <w:rsid w:val="00E32502"/>
    <w:rsid w:val="00E325AE"/>
    <w:rsid w:val="00E326F6"/>
    <w:rsid w:val="00E358DF"/>
    <w:rsid w:val="00E4092F"/>
    <w:rsid w:val="00E44D21"/>
    <w:rsid w:val="00E4514E"/>
    <w:rsid w:val="00E45F1F"/>
    <w:rsid w:val="00E4675D"/>
    <w:rsid w:val="00E46871"/>
    <w:rsid w:val="00E54925"/>
    <w:rsid w:val="00E55C4F"/>
    <w:rsid w:val="00E565A9"/>
    <w:rsid w:val="00E61CD8"/>
    <w:rsid w:val="00E62D76"/>
    <w:rsid w:val="00E64019"/>
    <w:rsid w:val="00E64AAE"/>
    <w:rsid w:val="00E64ABA"/>
    <w:rsid w:val="00E70AAB"/>
    <w:rsid w:val="00E70FD5"/>
    <w:rsid w:val="00E7237B"/>
    <w:rsid w:val="00E724F5"/>
    <w:rsid w:val="00E7349C"/>
    <w:rsid w:val="00E73741"/>
    <w:rsid w:val="00E75448"/>
    <w:rsid w:val="00E77961"/>
    <w:rsid w:val="00E81D06"/>
    <w:rsid w:val="00E8353A"/>
    <w:rsid w:val="00E8366B"/>
    <w:rsid w:val="00E8612C"/>
    <w:rsid w:val="00E8650F"/>
    <w:rsid w:val="00E86F10"/>
    <w:rsid w:val="00E9107C"/>
    <w:rsid w:val="00E94054"/>
    <w:rsid w:val="00E949AD"/>
    <w:rsid w:val="00E96EFA"/>
    <w:rsid w:val="00E97DE0"/>
    <w:rsid w:val="00EA496C"/>
    <w:rsid w:val="00EA5EBA"/>
    <w:rsid w:val="00EA6C54"/>
    <w:rsid w:val="00EB0F84"/>
    <w:rsid w:val="00EB17A5"/>
    <w:rsid w:val="00EB348C"/>
    <w:rsid w:val="00EB4BA4"/>
    <w:rsid w:val="00EB679E"/>
    <w:rsid w:val="00EC107E"/>
    <w:rsid w:val="00EC1389"/>
    <w:rsid w:val="00EC25E9"/>
    <w:rsid w:val="00EC2C06"/>
    <w:rsid w:val="00EC303D"/>
    <w:rsid w:val="00EC317A"/>
    <w:rsid w:val="00EC3BC8"/>
    <w:rsid w:val="00EC46AE"/>
    <w:rsid w:val="00EC4BDE"/>
    <w:rsid w:val="00EC4EDF"/>
    <w:rsid w:val="00EC61D6"/>
    <w:rsid w:val="00EC7008"/>
    <w:rsid w:val="00EC7E48"/>
    <w:rsid w:val="00ED0392"/>
    <w:rsid w:val="00ED0988"/>
    <w:rsid w:val="00ED4AD4"/>
    <w:rsid w:val="00ED6978"/>
    <w:rsid w:val="00ED6FA8"/>
    <w:rsid w:val="00EE0258"/>
    <w:rsid w:val="00EE1105"/>
    <w:rsid w:val="00EE195A"/>
    <w:rsid w:val="00EE25EE"/>
    <w:rsid w:val="00EE37AA"/>
    <w:rsid w:val="00EE5530"/>
    <w:rsid w:val="00EE59D5"/>
    <w:rsid w:val="00EE7478"/>
    <w:rsid w:val="00EF039D"/>
    <w:rsid w:val="00EF03F3"/>
    <w:rsid w:val="00EF110D"/>
    <w:rsid w:val="00EF42D4"/>
    <w:rsid w:val="00EF6C40"/>
    <w:rsid w:val="00F002C7"/>
    <w:rsid w:val="00F01F62"/>
    <w:rsid w:val="00F02048"/>
    <w:rsid w:val="00F0226D"/>
    <w:rsid w:val="00F040BF"/>
    <w:rsid w:val="00F05048"/>
    <w:rsid w:val="00F07A53"/>
    <w:rsid w:val="00F1180A"/>
    <w:rsid w:val="00F122E8"/>
    <w:rsid w:val="00F1386F"/>
    <w:rsid w:val="00F21351"/>
    <w:rsid w:val="00F23884"/>
    <w:rsid w:val="00F243A7"/>
    <w:rsid w:val="00F25BDB"/>
    <w:rsid w:val="00F31831"/>
    <w:rsid w:val="00F31937"/>
    <w:rsid w:val="00F31B49"/>
    <w:rsid w:val="00F325DE"/>
    <w:rsid w:val="00F34432"/>
    <w:rsid w:val="00F353F7"/>
    <w:rsid w:val="00F366B6"/>
    <w:rsid w:val="00F405AA"/>
    <w:rsid w:val="00F4064D"/>
    <w:rsid w:val="00F40A53"/>
    <w:rsid w:val="00F40C07"/>
    <w:rsid w:val="00F41DDB"/>
    <w:rsid w:val="00F42EE2"/>
    <w:rsid w:val="00F438CD"/>
    <w:rsid w:val="00F44B7B"/>
    <w:rsid w:val="00F46B3B"/>
    <w:rsid w:val="00F50BE5"/>
    <w:rsid w:val="00F5226A"/>
    <w:rsid w:val="00F53509"/>
    <w:rsid w:val="00F53FA5"/>
    <w:rsid w:val="00F568CB"/>
    <w:rsid w:val="00F5695D"/>
    <w:rsid w:val="00F5742E"/>
    <w:rsid w:val="00F61576"/>
    <w:rsid w:val="00F6211C"/>
    <w:rsid w:val="00F62845"/>
    <w:rsid w:val="00F63176"/>
    <w:rsid w:val="00F63D39"/>
    <w:rsid w:val="00F67440"/>
    <w:rsid w:val="00F741D3"/>
    <w:rsid w:val="00F77CDA"/>
    <w:rsid w:val="00F77D01"/>
    <w:rsid w:val="00F803D9"/>
    <w:rsid w:val="00F81118"/>
    <w:rsid w:val="00F8155C"/>
    <w:rsid w:val="00F81FAF"/>
    <w:rsid w:val="00F8301B"/>
    <w:rsid w:val="00F8371C"/>
    <w:rsid w:val="00F83AA7"/>
    <w:rsid w:val="00F84DBE"/>
    <w:rsid w:val="00F90987"/>
    <w:rsid w:val="00F90DF8"/>
    <w:rsid w:val="00F95449"/>
    <w:rsid w:val="00F95F0B"/>
    <w:rsid w:val="00F973E5"/>
    <w:rsid w:val="00F9794B"/>
    <w:rsid w:val="00FA2008"/>
    <w:rsid w:val="00FA37A0"/>
    <w:rsid w:val="00FA3FC5"/>
    <w:rsid w:val="00FA6333"/>
    <w:rsid w:val="00FA6D8A"/>
    <w:rsid w:val="00FB186B"/>
    <w:rsid w:val="00FB239B"/>
    <w:rsid w:val="00FB4211"/>
    <w:rsid w:val="00FB5B99"/>
    <w:rsid w:val="00FB73FD"/>
    <w:rsid w:val="00FC0959"/>
    <w:rsid w:val="00FC105A"/>
    <w:rsid w:val="00FC145F"/>
    <w:rsid w:val="00FC35F2"/>
    <w:rsid w:val="00FC5F3B"/>
    <w:rsid w:val="00FC6942"/>
    <w:rsid w:val="00FC6D95"/>
    <w:rsid w:val="00FC7DE6"/>
    <w:rsid w:val="00FD05C0"/>
    <w:rsid w:val="00FD167C"/>
    <w:rsid w:val="00FD2215"/>
    <w:rsid w:val="00FD23BE"/>
    <w:rsid w:val="00FD2B06"/>
    <w:rsid w:val="00FD4F52"/>
    <w:rsid w:val="00FD54A2"/>
    <w:rsid w:val="00FD6AD2"/>
    <w:rsid w:val="00FE169F"/>
    <w:rsid w:val="00FE1931"/>
    <w:rsid w:val="00FE2514"/>
    <w:rsid w:val="00FE2AD0"/>
    <w:rsid w:val="00FE3003"/>
    <w:rsid w:val="00FE4D9B"/>
    <w:rsid w:val="00FF235E"/>
    <w:rsid w:val="00FF27D9"/>
    <w:rsid w:val="00FF2F64"/>
    <w:rsid w:val="00FF38E7"/>
    <w:rsid w:val="00FF4CBA"/>
    <w:rsid w:val="00FF5298"/>
    <w:rsid w:val="00FF6299"/>
    <w:rsid w:val="00FF7644"/>
    <w:rsid w:val="00FF76BA"/>
    <w:rsid w:val="00FF77DD"/>
    <w:rsid w:val="01101496"/>
    <w:rsid w:val="01E46EAE"/>
    <w:rsid w:val="024D085B"/>
    <w:rsid w:val="026019B1"/>
    <w:rsid w:val="03342A20"/>
    <w:rsid w:val="03663E70"/>
    <w:rsid w:val="037D2876"/>
    <w:rsid w:val="04605FA2"/>
    <w:rsid w:val="07265F5A"/>
    <w:rsid w:val="07936B7C"/>
    <w:rsid w:val="087337B6"/>
    <w:rsid w:val="087E2AA7"/>
    <w:rsid w:val="09322BD5"/>
    <w:rsid w:val="097D6703"/>
    <w:rsid w:val="0AD31504"/>
    <w:rsid w:val="0B556E3F"/>
    <w:rsid w:val="0BAE5E6C"/>
    <w:rsid w:val="0D83505F"/>
    <w:rsid w:val="0D9E5468"/>
    <w:rsid w:val="0E0B6D96"/>
    <w:rsid w:val="0F731C0D"/>
    <w:rsid w:val="0F734296"/>
    <w:rsid w:val="109637C4"/>
    <w:rsid w:val="11270096"/>
    <w:rsid w:val="11956D49"/>
    <w:rsid w:val="11997BAB"/>
    <w:rsid w:val="128A111F"/>
    <w:rsid w:val="12BE2313"/>
    <w:rsid w:val="12DA0DC0"/>
    <w:rsid w:val="13137B79"/>
    <w:rsid w:val="132B0284"/>
    <w:rsid w:val="14370C1D"/>
    <w:rsid w:val="14FC0574"/>
    <w:rsid w:val="15B52ADA"/>
    <w:rsid w:val="16944DDC"/>
    <w:rsid w:val="16CD6A13"/>
    <w:rsid w:val="17107AF2"/>
    <w:rsid w:val="17231570"/>
    <w:rsid w:val="17330D04"/>
    <w:rsid w:val="188B0D63"/>
    <w:rsid w:val="18DC0FD0"/>
    <w:rsid w:val="19181A63"/>
    <w:rsid w:val="192340BC"/>
    <w:rsid w:val="1AB639D6"/>
    <w:rsid w:val="1B432DC0"/>
    <w:rsid w:val="1BE30A58"/>
    <w:rsid w:val="1C25559C"/>
    <w:rsid w:val="1D183588"/>
    <w:rsid w:val="1D5B0DF5"/>
    <w:rsid w:val="1D9355ED"/>
    <w:rsid w:val="1D9A77F3"/>
    <w:rsid w:val="1EA95076"/>
    <w:rsid w:val="1EAB06BC"/>
    <w:rsid w:val="1F857955"/>
    <w:rsid w:val="206857CE"/>
    <w:rsid w:val="20DF1D6D"/>
    <w:rsid w:val="21352982"/>
    <w:rsid w:val="222B5F38"/>
    <w:rsid w:val="22333464"/>
    <w:rsid w:val="224A7572"/>
    <w:rsid w:val="22D54B69"/>
    <w:rsid w:val="23167415"/>
    <w:rsid w:val="236747FB"/>
    <w:rsid w:val="25020FF4"/>
    <w:rsid w:val="25714651"/>
    <w:rsid w:val="25761071"/>
    <w:rsid w:val="26057840"/>
    <w:rsid w:val="26973CFD"/>
    <w:rsid w:val="26E441D6"/>
    <w:rsid w:val="270629BE"/>
    <w:rsid w:val="273F1FD2"/>
    <w:rsid w:val="273F2A32"/>
    <w:rsid w:val="27502B70"/>
    <w:rsid w:val="27E30B5E"/>
    <w:rsid w:val="288E0161"/>
    <w:rsid w:val="289B6509"/>
    <w:rsid w:val="28AE4880"/>
    <w:rsid w:val="28E3269C"/>
    <w:rsid w:val="2CD732CF"/>
    <w:rsid w:val="2D901E59"/>
    <w:rsid w:val="2DFB61E4"/>
    <w:rsid w:val="2EB90497"/>
    <w:rsid w:val="2F9C7C89"/>
    <w:rsid w:val="314C5036"/>
    <w:rsid w:val="32A36069"/>
    <w:rsid w:val="32BF1902"/>
    <w:rsid w:val="33B50D11"/>
    <w:rsid w:val="346A1B16"/>
    <w:rsid w:val="34CF29D5"/>
    <w:rsid w:val="355E1715"/>
    <w:rsid w:val="36413D75"/>
    <w:rsid w:val="368916CC"/>
    <w:rsid w:val="36E83EE3"/>
    <w:rsid w:val="375D1D69"/>
    <w:rsid w:val="38F267E9"/>
    <w:rsid w:val="398464F3"/>
    <w:rsid w:val="39DC4461"/>
    <w:rsid w:val="39E557D0"/>
    <w:rsid w:val="3B226161"/>
    <w:rsid w:val="3BC90145"/>
    <w:rsid w:val="3CFB38EF"/>
    <w:rsid w:val="3D9E6069"/>
    <w:rsid w:val="405E592C"/>
    <w:rsid w:val="40890521"/>
    <w:rsid w:val="427E4DC1"/>
    <w:rsid w:val="43294D08"/>
    <w:rsid w:val="437E450B"/>
    <w:rsid w:val="43D10695"/>
    <w:rsid w:val="44C95EFC"/>
    <w:rsid w:val="455D35C2"/>
    <w:rsid w:val="457546D6"/>
    <w:rsid w:val="45BB4420"/>
    <w:rsid w:val="45DD59E9"/>
    <w:rsid w:val="481A0717"/>
    <w:rsid w:val="48301A5E"/>
    <w:rsid w:val="48AB1D18"/>
    <w:rsid w:val="499A3656"/>
    <w:rsid w:val="4A196956"/>
    <w:rsid w:val="4A957EF5"/>
    <w:rsid w:val="4B570E1A"/>
    <w:rsid w:val="4B7C1CAE"/>
    <w:rsid w:val="4BD05DC9"/>
    <w:rsid w:val="4C571F5C"/>
    <w:rsid w:val="4D9E5C3D"/>
    <w:rsid w:val="4DF87854"/>
    <w:rsid w:val="4E0D29A0"/>
    <w:rsid w:val="4E234119"/>
    <w:rsid w:val="4F692A29"/>
    <w:rsid w:val="506327C0"/>
    <w:rsid w:val="509A20B6"/>
    <w:rsid w:val="5137773B"/>
    <w:rsid w:val="519505CF"/>
    <w:rsid w:val="51A541DA"/>
    <w:rsid w:val="51ED4CF5"/>
    <w:rsid w:val="527B702B"/>
    <w:rsid w:val="52FF495B"/>
    <w:rsid w:val="537962B8"/>
    <w:rsid w:val="53C4506A"/>
    <w:rsid w:val="53D64A5C"/>
    <w:rsid w:val="54503E65"/>
    <w:rsid w:val="547D0CEB"/>
    <w:rsid w:val="54BA76DF"/>
    <w:rsid w:val="54D9665A"/>
    <w:rsid w:val="54F36479"/>
    <w:rsid w:val="55CE3362"/>
    <w:rsid w:val="55EE77E7"/>
    <w:rsid w:val="566E3482"/>
    <w:rsid w:val="57090986"/>
    <w:rsid w:val="57F42674"/>
    <w:rsid w:val="5ACE6F64"/>
    <w:rsid w:val="5B1B6334"/>
    <w:rsid w:val="5B212C62"/>
    <w:rsid w:val="5B273FE6"/>
    <w:rsid w:val="5B4056B8"/>
    <w:rsid w:val="5D34677D"/>
    <w:rsid w:val="5D9255A4"/>
    <w:rsid w:val="5E3C6EF1"/>
    <w:rsid w:val="5EAA6ACD"/>
    <w:rsid w:val="5F406D73"/>
    <w:rsid w:val="5FE93649"/>
    <w:rsid w:val="5FEF7DB3"/>
    <w:rsid w:val="61101A62"/>
    <w:rsid w:val="6131249A"/>
    <w:rsid w:val="61C550DB"/>
    <w:rsid w:val="628A7B42"/>
    <w:rsid w:val="62E765F5"/>
    <w:rsid w:val="646B3F84"/>
    <w:rsid w:val="64841538"/>
    <w:rsid w:val="652E3689"/>
    <w:rsid w:val="65815ECB"/>
    <w:rsid w:val="65C334D7"/>
    <w:rsid w:val="67AE1C89"/>
    <w:rsid w:val="68A60594"/>
    <w:rsid w:val="69725E17"/>
    <w:rsid w:val="6A287702"/>
    <w:rsid w:val="6A690CD3"/>
    <w:rsid w:val="6C593038"/>
    <w:rsid w:val="6D140DB5"/>
    <w:rsid w:val="6FF1650F"/>
    <w:rsid w:val="6FFC5033"/>
    <w:rsid w:val="709B2E0A"/>
    <w:rsid w:val="71186DF0"/>
    <w:rsid w:val="72335FF7"/>
    <w:rsid w:val="72524FB5"/>
    <w:rsid w:val="728455EB"/>
    <w:rsid w:val="746033A9"/>
    <w:rsid w:val="75213EBF"/>
    <w:rsid w:val="762B535E"/>
    <w:rsid w:val="76BB6542"/>
    <w:rsid w:val="76D56FBE"/>
    <w:rsid w:val="77F9542D"/>
    <w:rsid w:val="78492B4C"/>
    <w:rsid w:val="78597821"/>
    <w:rsid w:val="7A1F149E"/>
    <w:rsid w:val="7A304BC4"/>
    <w:rsid w:val="7A6D3EEE"/>
    <w:rsid w:val="7BC81AB5"/>
    <w:rsid w:val="7BF81803"/>
    <w:rsid w:val="7C15275F"/>
    <w:rsid w:val="7D5F1671"/>
    <w:rsid w:val="7DD54383"/>
    <w:rsid w:val="7E41644F"/>
    <w:rsid w:val="7E7C7C75"/>
    <w:rsid w:val="7F982B62"/>
    <w:rsid w:val="7FD8202F"/>
    <w:rsid w:val="7FEC7BF5"/>
    <w:rsid w:val="7FFD39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9"/>
    <w:pPr>
      <w:keepNext/>
      <w:keepLines/>
      <w:spacing w:line="578" w:lineRule="auto"/>
      <w:outlineLvl w:val="0"/>
    </w:pPr>
    <w:rPr>
      <w:rFonts w:ascii="Times New Roman" w:hAnsi="Times New Roman" w:eastAsia="宋体" w:cs="Times New Roman"/>
      <w:b/>
      <w:bCs/>
      <w:kern w:val="44"/>
      <w:sz w:val="30"/>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28"/>
      <w:szCs w:val="32"/>
    </w:rPr>
  </w:style>
  <w:style w:type="paragraph" w:styleId="4">
    <w:name w:val="heading 3"/>
    <w:basedOn w:val="1"/>
    <w:next w:val="1"/>
    <w:link w:val="29"/>
    <w:unhideWhenUsed/>
    <w:qFormat/>
    <w:uiPriority w:val="9"/>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eastAsiaTheme="minorHAnsi"/>
      <w:sz w:val="18"/>
      <w:szCs w:val="18"/>
    </w:rPr>
  </w:style>
  <w:style w:type="paragraph" w:styleId="7">
    <w:name w:val="annotation text"/>
    <w:basedOn w:val="1"/>
    <w:link w:val="44"/>
    <w:unhideWhenUsed/>
    <w:qFormat/>
    <w:uiPriority w:val="99"/>
    <w:pPr>
      <w:jc w:val="left"/>
    </w:pPr>
    <w:rPr>
      <w:rFonts w:ascii="Times New Roman" w:hAnsi="Times New Roman" w:eastAsia="宋体" w:cs="Times New Roman"/>
      <w:szCs w:val="24"/>
    </w:rPr>
  </w:style>
  <w:style w:type="paragraph" w:styleId="8">
    <w:name w:val="toc 5"/>
    <w:basedOn w:val="1"/>
    <w:next w:val="1"/>
    <w:unhideWhenUsed/>
    <w:qFormat/>
    <w:uiPriority w:val="39"/>
    <w:pPr>
      <w:ind w:left="840"/>
      <w:jc w:val="left"/>
    </w:pPr>
    <w:rPr>
      <w:rFonts w:eastAsiaTheme="minorHAnsi"/>
      <w:sz w:val="18"/>
      <w:szCs w:val="18"/>
    </w:rPr>
  </w:style>
  <w:style w:type="paragraph" w:styleId="9">
    <w:name w:val="toc 3"/>
    <w:basedOn w:val="1"/>
    <w:next w:val="1"/>
    <w:unhideWhenUsed/>
    <w:qFormat/>
    <w:uiPriority w:val="39"/>
    <w:pPr>
      <w:ind w:left="420"/>
      <w:jc w:val="left"/>
    </w:pPr>
    <w:rPr>
      <w:rFonts w:eastAsiaTheme="minorHAnsi"/>
      <w:i/>
      <w:iCs/>
      <w:sz w:val="20"/>
      <w:szCs w:val="20"/>
    </w:rPr>
  </w:style>
  <w:style w:type="paragraph" w:styleId="10">
    <w:name w:val="Plain Text"/>
    <w:basedOn w:val="1"/>
    <w:link w:val="42"/>
    <w:qFormat/>
    <w:uiPriority w:val="0"/>
    <w:rPr>
      <w:rFonts w:ascii="宋体" w:hAnsi="Courier New" w:cs="Courier New"/>
      <w:szCs w:val="21"/>
    </w:rPr>
  </w:style>
  <w:style w:type="paragraph" w:styleId="11">
    <w:name w:val="toc 8"/>
    <w:basedOn w:val="1"/>
    <w:next w:val="1"/>
    <w:unhideWhenUsed/>
    <w:qFormat/>
    <w:uiPriority w:val="39"/>
    <w:pPr>
      <w:ind w:left="1470"/>
      <w:jc w:val="left"/>
    </w:pPr>
    <w:rPr>
      <w:rFonts w:eastAsiaTheme="minorHAnsi"/>
      <w:sz w:val="18"/>
      <w:szCs w:val="18"/>
    </w:rPr>
  </w:style>
  <w:style w:type="paragraph" w:styleId="12">
    <w:name w:val="Balloon Text"/>
    <w:basedOn w:val="1"/>
    <w:link w:val="33"/>
    <w:unhideWhenUsed/>
    <w:qFormat/>
    <w:uiPriority w:val="99"/>
    <w:rPr>
      <w:sz w:val="18"/>
      <w:szCs w:val="18"/>
    </w:rPr>
  </w:style>
  <w:style w:type="paragraph" w:styleId="13">
    <w:name w:val="footer"/>
    <w:basedOn w:val="1"/>
    <w:link w:val="35"/>
    <w:unhideWhenUsed/>
    <w:qFormat/>
    <w:uiPriority w:val="99"/>
    <w:pPr>
      <w:tabs>
        <w:tab w:val="center" w:pos="4153"/>
        <w:tab w:val="right" w:pos="8306"/>
      </w:tabs>
      <w:snapToGrid w:val="0"/>
      <w:jc w:val="left"/>
    </w:pPr>
    <w:rPr>
      <w:sz w:val="18"/>
      <w:szCs w:val="18"/>
    </w:rPr>
  </w:style>
  <w:style w:type="paragraph" w:styleId="14">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spacing w:before="120" w:after="120"/>
      <w:jc w:val="left"/>
    </w:pPr>
    <w:rPr>
      <w:rFonts w:eastAsiaTheme="minorHAnsi"/>
      <w:b/>
      <w:bCs/>
      <w:caps/>
      <w:sz w:val="20"/>
      <w:szCs w:val="20"/>
    </w:rPr>
  </w:style>
  <w:style w:type="paragraph" w:styleId="16">
    <w:name w:val="toc 4"/>
    <w:basedOn w:val="1"/>
    <w:next w:val="1"/>
    <w:unhideWhenUsed/>
    <w:qFormat/>
    <w:uiPriority w:val="39"/>
    <w:pPr>
      <w:ind w:left="630"/>
      <w:jc w:val="left"/>
    </w:pPr>
    <w:rPr>
      <w:rFonts w:eastAsiaTheme="minorHAnsi"/>
      <w:sz w:val="18"/>
      <w:szCs w:val="18"/>
    </w:rPr>
  </w:style>
  <w:style w:type="paragraph" w:styleId="17">
    <w:name w:val="toc 6"/>
    <w:basedOn w:val="1"/>
    <w:next w:val="1"/>
    <w:unhideWhenUsed/>
    <w:qFormat/>
    <w:uiPriority w:val="39"/>
    <w:pPr>
      <w:ind w:left="1050"/>
      <w:jc w:val="left"/>
    </w:pPr>
    <w:rPr>
      <w:rFonts w:eastAsiaTheme="minorHAnsi"/>
      <w:sz w:val="18"/>
      <w:szCs w:val="18"/>
    </w:rPr>
  </w:style>
  <w:style w:type="paragraph" w:styleId="18">
    <w:name w:val="toc 2"/>
    <w:basedOn w:val="1"/>
    <w:next w:val="1"/>
    <w:unhideWhenUsed/>
    <w:qFormat/>
    <w:uiPriority w:val="39"/>
    <w:pPr>
      <w:ind w:left="210"/>
      <w:jc w:val="left"/>
    </w:pPr>
    <w:rPr>
      <w:rFonts w:eastAsiaTheme="minorHAnsi"/>
      <w:smallCaps/>
      <w:sz w:val="20"/>
      <w:szCs w:val="20"/>
    </w:rPr>
  </w:style>
  <w:style w:type="paragraph" w:styleId="19">
    <w:name w:val="toc 9"/>
    <w:basedOn w:val="1"/>
    <w:next w:val="1"/>
    <w:unhideWhenUsed/>
    <w:qFormat/>
    <w:uiPriority w:val="39"/>
    <w:pPr>
      <w:ind w:left="1680"/>
      <w:jc w:val="left"/>
    </w:pPr>
    <w:rPr>
      <w:rFonts w:eastAsiaTheme="minorHAnsi"/>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1">
    <w:name w:val="Title"/>
    <w:basedOn w:val="1"/>
    <w:next w:val="1"/>
    <w:link w:val="38"/>
    <w:qFormat/>
    <w:uiPriority w:val="10"/>
    <w:pPr>
      <w:spacing w:before="240" w:after="60"/>
      <w:jc w:val="center"/>
      <w:outlineLvl w:val="0"/>
    </w:pPr>
    <w:rPr>
      <w:rFonts w:ascii="Cambria" w:hAnsi="Cambria" w:eastAsia="宋体" w:cs="Times New Roman"/>
      <w:b/>
      <w:bCs/>
      <w:sz w:val="32"/>
      <w:szCs w:val="32"/>
      <w:lang w:val="zh-CN" w:eastAsia="zh-CN"/>
    </w:rPr>
  </w:style>
  <w:style w:type="paragraph" w:styleId="22">
    <w:name w:val="annotation subject"/>
    <w:basedOn w:val="7"/>
    <w:next w:val="7"/>
    <w:link w:val="45"/>
    <w:unhideWhenUsed/>
    <w:qFormat/>
    <w:uiPriority w:val="99"/>
    <w:rPr>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unhideWhenUsed/>
    <w:qFormat/>
    <w:uiPriority w:val="99"/>
    <w:rPr>
      <w:color w:val="0563C1" w:themeColor="hyperlink"/>
      <w:u w:val="single"/>
      <w14:textFill>
        <w14:solidFill>
          <w14:schemeClr w14:val="hlink"/>
        </w14:solidFill>
      </w14:textFill>
    </w:rPr>
  </w:style>
  <w:style w:type="character" w:customStyle="1" w:styleId="27">
    <w:name w:val="标题 1 Char"/>
    <w:basedOn w:val="25"/>
    <w:link w:val="2"/>
    <w:qFormat/>
    <w:uiPriority w:val="9"/>
    <w:rPr>
      <w:rFonts w:ascii="Times New Roman" w:hAnsi="Times New Roman" w:eastAsia="宋体" w:cs="Times New Roman"/>
      <w:b/>
      <w:bCs/>
      <w:kern w:val="44"/>
      <w:sz w:val="30"/>
      <w:szCs w:val="44"/>
    </w:rPr>
  </w:style>
  <w:style w:type="character" w:customStyle="1" w:styleId="28">
    <w:name w:val="标题 2 Char"/>
    <w:basedOn w:val="25"/>
    <w:link w:val="3"/>
    <w:qFormat/>
    <w:uiPriority w:val="9"/>
    <w:rPr>
      <w:rFonts w:asciiTheme="majorHAnsi" w:hAnsiTheme="majorHAnsi" w:eastAsiaTheme="majorEastAsia" w:cstheme="majorBidi"/>
      <w:b/>
      <w:bCs/>
      <w:sz w:val="28"/>
      <w:szCs w:val="32"/>
    </w:rPr>
  </w:style>
  <w:style w:type="character" w:customStyle="1" w:styleId="29">
    <w:name w:val="标题 3 Char"/>
    <w:basedOn w:val="25"/>
    <w:link w:val="4"/>
    <w:qFormat/>
    <w:uiPriority w:val="9"/>
    <w:rPr>
      <w:rFonts w:ascii="Times New Roman" w:hAnsi="Times New Roman" w:eastAsia="宋体" w:cs="Times New Roman"/>
      <w:b/>
      <w:bCs/>
      <w:sz w:val="32"/>
      <w:szCs w:val="32"/>
    </w:rPr>
  </w:style>
  <w:style w:type="character" w:customStyle="1" w:styleId="30">
    <w:name w:val="标题 4 Char"/>
    <w:basedOn w:val="25"/>
    <w:link w:val="5"/>
    <w:qFormat/>
    <w:uiPriority w:val="9"/>
    <w:rPr>
      <w:rFonts w:asciiTheme="majorHAnsi" w:hAnsiTheme="majorHAnsi" w:eastAsiaTheme="majorEastAsia" w:cstheme="majorBidi"/>
      <w:b/>
      <w:bCs/>
      <w:sz w:val="28"/>
      <w:szCs w:val="28"/>
    </w:rPr>
  </w:style>
  <w:style w:type="paragraph" w:customStyle="1" w:styleId="31">
    <w:name w:val="备注"/>
    <w:basedOn w:val="1"/>
    <w:link w:val="32"/>
    <w:qFormat/>
    <w:uiPriority w:val="0"/>
    <w:pPr>
      <w:autoSpaceDE w:val="0"/>
      <w:autoSpaceDN w:val="0"/>
      <w:adjustRightInd w:val="0"/>
      <w:jc w:val="left"/>
    </w:pPr>
    <w:rPr>
      <w:rFonts w:ascii="微软雅黑" w:cs="微软雅黑"/>
      <w:color w:val="000000"/>
      <w:kern w:val="0"/>
      <w:sz w:val="18"/>
      <w:szCs w:val="24"/>
    </w:rPr>
  </w:style>
  <w:style w:type="character" w:customStyle="1" w:styleId="32">
    <w:name w:val="备注 Char"/>
    <w:basedOn w:val="25"/>
    <w:link w:val="31"/>
    <w:qFormat/>
    <w:uiPriority w:val="0"/>
    <w:rPr>
      <w:rFonts w:ascii="微软雅黑" w:cs="微软雅黑"/>
      <w:color w:val="000000"/>
      <w:kern w:val="0"/>
      <w:sz w:val="18"/>
      <w:szCs w:val="24"/>
    </w:rPr>
  </w:style>
  <w:style w:type="character" w:customStyle="1" w:styleId="33">
    <w:name w:val="批注框文本 Char"/>
    <w:basedOn w:val="25"/>
    <w:link w:val="12"/>
    <w:semiHidden/>
    <w:qFormat/>
    <w:uiPriority w:val="99"/>
    <w:rPr>
      <w:sz w:val="18"/>
      <w:szCs w:val="18"/>
    </w:rPr>
  </w:style>
  <w:style w:type="character" w:customStyle="1" w:styleId="34">
    <w:name w:val="页眉 Char"/>
    <w:basedOn w:val="25"/>
    <w:link w:val="14"/>
    <w:qFormat/>
    <w:uiPriority w:val="99"/>
    <w:rPr>
      <w:sz w:val="18"/>
      <w:szCs w:val="18"/>
    </w:rPr>
  </w:style>
  <w:style w:type="character" w:customStyle="1" w:styleId="35">
    <w:name w:val="页脚 Char"/>
    <w:basedOn w:val="25"/>
    <w:link w:val="13"/>
    <w:qFormat/>
    <w:uiPriority w:val="99"/>
    <w:rPr>
      <w:sz w:val="18"/>
      <w:szCs w:val="18"/>
    </w:rPr>
  </w:style>
  <w:style w:type="paragraph" w:customStyle="1" w:styleId="36">
    <w:name w:val="TOC Heading"/>
    <w:basedOn w:val="2"/>
    <w:next w:val="1"/>
    <w:unhideWhenUsed/>
    <w:qFormat/>
    <w:uiPriority w:val="39"/>
    <w:pPr>
      <w:widowControl/>
      <w:spacing w:before="24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37">
    <w:name w:val="Default"/>
    <w:qFormat/>
    <w:uiPriority w:val="0"/>
    <w:pPr>
      <w:widowControl w:val="0"/>
      <w:autoSpaceDE w:val="0"/>
      <w:autoSpaceDN w:val="0"/>
      <w:adjustRightInd w:val="0"/>
    </w:pPr>
    <w:rPr>
      <w:rFonts w:ascii="微软雅黑" w:eastAsia="微软雅黑" w:cs="微软雅黑" w:hAnsiTheme="minorHAnsi"/>
      <w:color w:val="000000"/>
      <w:kern w:val="0"/>
      <w:sz w:val="24"/>
      <w:szCs w:val="24"/>
      <w:lang w:val="en-US" w:eastAsia="zh-CN" w:bidi="ar-SA"/>
    </w:rPr>
  </w:style>
  <w:style w:type="character" w:customStyle="1" w:styleId="38">
    <w:name w:val="标题 Char1"/>
    <w:basedOn w:val="25"/>
    <w:link w:val="21"/>
    <w:qFormat/>
    <w:uiPriority w:val="10"/>
    <w:rPr>
      <w:rFonts w:ascii="Cambria" w:hAnsi="Cambria" w:eastAsia="宋体" w:cs="Times New Roman"/>
      <w:b/>
      <w:bCs/>
      <w:sz w:val="32"/>
      <w:szCs w:val="32"/>
      <w:lang w:val="zh-CN" w:eastAsia="zh-CN"/>
    </w:rPr>
  </w:style>
  <w:style w:type="character" w:customStyle="1" w:styleId="39">
    <w:name w:val="标题 Char"/>
    <w:basedOn w:val="25"/>
    <w:qFormat/>
    <w:uiPriority w:val="10"/>
    <w:rPr>
      <w:rFonts w:eastAsia="宋体" w:asciiTheme="majorHAnsi" w:hAnsiTheme="majorHAnsi" w:cstheme="majorBidi"/>
      <w:b/>
      <w:bCs/>
      <w:sz w:val="32"/>
      <w:szCs w:val="32"/>
    </w:rPr>
  </w:style>
  <w:style w:type="paragraph" w:customStyle="1" w:styleId="40">
    <w:name w:val="表格"/>
    <w:basedOn w:val="1"/>
    <w:link w:val="41"/>
    <w:qFormat/>
    <w:uiPriority w:val="0"/>
    <w:rPr>
      <w:rFonts w:asciiTheme="minorEastAsia" w:hAnsiTheme="minorEastAsia"/>
      <w:color w:val="000000"/>
      <w:szCs w:val="24"/>
    </w:rPr>
  </w:style>
  <w:style w:type="character" w:customStyle="1" w:styleId="41">
    <w:name w:val="表格 Char"/>
    <w:basedOn w:val="25"/>
    <w:link w:val="40"/>
    <w:qFormat/>
    <w:uiPriority w:val="0"/>
    <w:rPr>
      <w:rFonts w:asciiTheme="minorEastAsia" w:hAnsiTheme="minorEastAsia"/>
      <w:color w:val="000000"/>
      <w:szCs w:val="24"/>
    </w:rPr>
  </w:style>
  <w:style w:type="character" w:customStyle="1" w:styleId="42">
    <w:name w:val="纯文本 Char"/>
    <w:link w:val="10"/>
    <w:qFormat/>
    <w:uiPriority w:val="0"/>
    <w:rPr>
      <w:rFonts w:ascii="宋体" w:hAnsi="Courier New" w:cs="Courier New"/>
      <w:szCs w:val="21"/>
    </w:rPr>
  </w:style>
  <w:style w:type="character" w:customStyle="1" w:styleId="43">
    <w:name w:val="纯文本 字符1"/>
    <w:basedOn w:val="25"/>
    <w:semiHidden/>
    <w:qFormat/>
    <w:uiPriority w:val="99"/>
    <w:rPr>
      <w:rFonts w:hAnsi="Courier New" w:cs="Courier New" w:asciiTheme="minorEastAsia"/>
    </w:rPr>
  </w:style>
  <w:style w:type="character" w:customStyle="1" w:styleId="44">
    <w:name w:val="批注文字 Char"/>
    <w:basedOn w:val="25"/>
    <w:link w:val="7"/>
    <w:qFormat/>
    <w:uiPriority w:val="99"/>
    <w:rPr>
      <w:rFonts w:ascii="Times New Roman" w:hAnsi="Times New Roman" w:eastAsia="宋体" w:cs="Times New Roman"/>
      <w:szCs w:val="24"/>
    </w:rPr>
  </w:style>
  <w:style w:type="character" w:customStyle="1" w:styleId="45">
    <w:name w:val="批注主题 Char"/>
    <w:basedOn w:val="44"/>
    <w:link w:val="22"/>
    <w:semiHidden/>
    <w:qFormat/>
    <w:uiPriority w:val="99"/>
    <w:rPr>
      <w:rFonts w:ascii="Times New Roman" w:hAnsi="Times New Roman" w:eastAsia="宋体" w:cs="Times New Roman"/>
      <w:b/>
      <w:bCs/>
      <w:szCs w:val="24"/>
    </w:rPr>
  </w:style>
  <w:style w:type="paragraph" w:customStyle="1" w:styleId="46">
    <w:name w:val="表头"/>
    <w:basedOn w:val="1"/>
    <w:link w:val="47"/>
    <w:qFormat/>
    <w:uiPriority w:val="0"/>
    <w:pPr>
      <w:jc w:val="center"/>
    </w:pPr>
    <w:rPr>
      <w:rFonts w:ascii="华文细黑" w:hAnsi="华文细黑" w:cs="Courier New"/>
      <w:color w:val="000000"/>
      <w:sz w:val="18"/>
      <w:szCs w:val="24"/>
    </w:rPr>
  </w:style>
  <w:style w:type="character" w:customStyle="1" w:styleId="47">
    <w:name w:val="表头 Char"/>
    <w:basedOn w:val="25"/>
    <w:link w:val="46"/>
    <w:qFormat/>
    <w:uiPriority w:val="0"/>
    <w:rPr>
      <w:rFonts w:ascii="华文细黑" w:hAnsi="华文细黑" w:cs="Courier New"/>
      <w:color w:val="000000"/>
      <w:sz w:val="18"/>
      <w:szCs w:val="24"/>
    </w:rPr>
  </w:style>
  <w:style w:type="paragraph" w:customStyle="1"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列出段落1"/>
    <w:basedOn w:val="1"/>
    <w:qFormat/>
    <w:uiPriority w:val="34"/>
    <w:pPr>
      <w:ind w:firstLine="420" w:firstLineChars="200"/>
    </w:pPr>
    <w:rPr>
      <w:rFonts w:ascii="Times New Roman" w:hAnsi="Times New Roman" w:eastAsia="宋体" w:cs="Times New Roman"/>
      <w:szCs w:val="24"/>
    </w:rPr>
  </w:style>
  <w:style w:type="paragraph" w:customStyle="1" w:styleId="50">
    <w:name w:val="List Paragraph"/>
    <w:basedOn w:val="1"/>
    <w:qFormat/>
    <w:uiPriority w:val="34"/>
    <w:pPr>
      <w:ind w:firstLine="420" w:firstLineChars="200"/>
    </w:pPr>
    <w:rPr>
      <w:rFonts w:ascii="Calibri" w:hAnsi="Calibri" w:eastAsia="宋体" w:cs="Times New Roman"/>
    </w:rPr>
  </w:style>
  <w:style w:type="character" w:customStyle="1" w:styleId="51">
    <w:name w:val="Subtle Reference"/>
    <w:basedOn w:val="2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52">
    <w:name w:val="批注主题 字符1"/>
    <w:basedOn w:val="44"/>
    <w:semiHidden/>
    <w:qFormat/>
    <w:uiPriority w:val="99"/>
    <w:rPr>
      <w:rFonts w:ascii="Times New Roman" w:hAnsi="Times New Roman" w:eastAsia="宋体" w:cs="Times New Roman"/>
      <w:b/>
      <w:bCs/>
      <w:szCs w:val="24"/>
    </w:rPr>
  </w:style>
  <w:style w:type="character" w:customStyle="1" w:styleId="53">
    <w:name w:val="未处理的提及1"/>
    <w:basedOn w:val="25"/>
    <w:unhideWhenUsed/>
    <w:qFormat/>
    <w:uiPriority w:val="99"/>
    <w:rPr>
      <w:color w:val="808080"/>
      <w:shd w:val="clear" w:color="auto" w:fill="E6E6E6"/>
    </w:rPr>
  </w:style>
  <w:style w:type="paragraph" w:customStyle="1" w:styleId="54">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8AD49-40DC-400D-8401-5FCF4733F205}">
  <ds:schemaRefs/>
</ds:datastoreItem>
</file>

<file path=docProps/app.xml><?xml version="1.0" encoding="utf-8"?>
<Properties xmlns="http://schemas.openxmlformats.org/officeDocument/2006/extended-properties" xmlns:vt="http://schemas.openxmlformats.org/officeDocument/2006/docPropsVTypes">
  <Template>Normal</Template>
  <Pages>7</Pages>
  <Words>4488</Words>
  <Characters>5365</Characters>
  <Lines>499</Lines>
  <Paragraphs>140</Paragraphs>
  <TotalTime>6</TotalTime>
  <ScaleCrop>false</ScaleCrop>
  <LinksUpToDate>false</LinksUpToDate>
  <CharactersWithSpaces>5446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2018-12-20T05:27:00Z</dcterms:created>
  <dc:creator>Administrator</dc:creator>
  <cp:lastModifiedBy>59916</cp:lastModifiedBy>
  <cp:lastPrinted>2018-10-31T02:25:00Z</cp:lastPrinted>
  <dcterms:modified xsi:type="dcterms:W3CDTF">2022-06-06T11:39:29Z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DEF3A3EB0A064C48B99C43F0E45BA771</vt:lpwstr>
  </property>
</Properties>
</file>