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宋体" w:hAnsi="宋体" w:eastAsia="宋体"/>
          <w:b/>
          <w:color w:val="000000"/>
        </w:rPr>
      </w:pPr>
      <w:r>
        <w:rPr>
          <w:rFonts w:hint="eastAsia" w:ascii="宋体" w:hAnsi="宋体" w:eastAsia="宋体"/>
          <w:b/>
          <w:color w:val="000000"/>
        </w:rPr>
        <w:t>比选公告</w:t>
      </w:r>
    </w:p>
    <w:p>
      <w:pPr>
        <w:pStyle w:val="5"/>
        <w:spacing w:line="360" w:lineRule="auto"/>
        <w:ind w:firstLine="480" w:firstLineChars="200"/>
        <w:jc w:val="left"/>
        <w:rPr>
          <w:rFonts w:hint="eastAsia" w:hAnsi="宋体"/>
          <w:color w:val="000000"/>
          <w:sz w:val="24"/>
          <w:szCs w:val="24"/>
        </w:rPr>
      </w:pPr>
      <w:r>
        <w:rPr>
          <w:rFonts w:hint="eastAsia" w:hAnsi="宋体" w:cs="Times New Roman"/>
          <w:color w:val="000000"/>
          <w:sz w:val="24"/>
          <w:szCs w:val="24"/>
        </w:rPr>
        <w:t>深圳地铁置业集团有限公司</w:t>
      </w:r>
      <w:r>
        <w:rPr>
          <w:rFonts w:hint="eastAsia" w:hAnsi="宋体"/>
          <w:color w:val="000000"/>
          <w:sz w:val="24"/>
          <w:szCs w:val="24"/>
        </w:rPr>
        <w:t>拟对</w:t>
      </w:r>
      <w:r>
        <w:rPr>
          <w:rFonts w:hint="eastAsia" w:hAnsi="宋体" w:cs="Times New Roman"/>
          <w:b/>
          <w:bCs/>
          <w:color w:val="000000"/>
          <w:sz w:val="24"/>
          <w:szCs w:val="24"/>
          <w:u w:val="single"/>
        </w:rPr>
        <w:t>深铁置业2022年三个拟售项目广告设计服务</w:t>
      </w:r>
      <w:r>
        <w:rPr>
          <w:rFonts w:hint="eastAsia" w:hAnsi="宋体"/>
          <w:b/>
          <w:color w:val="000000"/>
          <w:sz w:val="24"/>
          <w:szCs w:val="24"/>
        </w:rPr>
        <w:t>（以下简称“本项目”）</w:t>
      </w:r>
      <w:r>
        <w:rPr>
          <w:rFonts w:hint="eastAsia" w:hAnsi="宋体"/>
          <w:color w:val="000000"/>
          <w:sz w:val="24"/>
          <w:szCs w:val="24"/>
        </w:rPr>
        <w:t>进行公开比选，欢迎符合本比选公告公布资质要求的公司参加参选。</w:t>
      </w:r>
    </w:p>
    <w:p>
      <w:pPr>
        <w:pStyle w:val="5"/>
        <w:spacing w:line="360" w:lineRule="auto"/>
        <w:ind w:firstLine="482" w:firstLineChars="200"/>
        <w:rPr>
          <w:rFonts w:hint="eastAsia" w:hAnsi="宋体"/>
          <w:b/>
          <w:color w:val="000000"/>
          <w:sz w:val="24"/>
          <w:szCs w:val="24"/>
        </w:rPr>
      </w:pPr>
      <w:r>
        <w:rPr>
          <w:rFonts w:hint="eastAsia" w:hAnsi="宋体"/>
          <w:b/>
          <w:color w:val="000000"/>
          <w:sz w:val="24"/>
          <w:szCs w:val="24"/>
        </w:rPr>
        <w:t>一、项目名称</w:t>
      </w:r>
    </w:p>
    <w:p>
      <w:pPr>
        <w:pStyle w:val="5"/>
        <w:spacing w:line="360" w:lineRule="auto"/>
        <w:ind w:firstLine="480" w:firstLineChars="200"/>
        <w:rPr>
          <w:rFonts w:hint="eastAsia" w:hAnsi="宋体"/>
          <w:bCs/>
          <w:color w:val="000000"/>
          <w:sz w:val="24"/>
          <w:szCs w:val="24"/>
        </w:rPr>
      </w:pPr>
      <w:r>
        <w:rPr>
          <w:rFonts w:hint="eastAsia" w:hAnsi="宋体" w:cs="Times New Roman"/>
          <w:color w:val="000000"/>
          <w:sz w:val="24"/>
          <w:szCs w:val="24"/>
          <w:u w:val="single"/>
        </w:rPr>
        <w:t>深铁置业2022年三个拟售项目广告设计服务</w:t>
      </w:r>
    </w:p>
    <w:p>
      <w:pPr>
        <w:pStyle w:val="5"/>
        <w:numPr>
          <w:ilvl w:val="0"/>
          <w:numId w:val="1"/>
        </w:numPr>
        <w:spacing w:line="360" w:lineRule="auto"/>
        <w:ind w:firstLine="482" w:firstLineChars="200"/>
        <w:rPr>
          <w:rFonts w:hint="eastAsia" w:hAnsi="宋体"/>
          <w:b/>
          <w:color w:val="000000"/>
          <w:sz w:val="24"/>
          <w:szCs w:val="24"/>
        </w:rPr>
      </w:pPr>
      <w:r>
        <w:rPr>
          <w:rFonts w:hint="eastAsia" w:hAnsi="宋体"/>
          <w:b/>
          <w:color w:val="000000"/>
          <w:sz w:val="24"/>
          <w:szCs w:val="24"/>
        </w:rPr>
        <w:t>项目概况</w:t>
      </w:r>
    </w:p>
    <w:p>
      <w:pPr>
        <w:adjustRightInd w:val="0"/>
        <w:snapToGrid w:val="0"/>
        <w:spacing w:line="288" w:lineRule="auto"/>
        <w:ind w:firstLine="480" w:firstLineChars="200"/>
        <w:rPr>
          <w:rFonts w:hint="eastAsia" w:ascii="宋体" w:hAnsi="宋体"/>
          <w:color w:val="000000"/>
          <w:sz w:val="24"/>
          <w:szCs w:val="24"/>
        </w:rPr>
      </w:pPr>
      <w:r>
        <w:rPr>
          <w:rFonts w:hint="eastAsia" w:ascii="宋体" w:hAnsi="宋体"/>
          <w:color w:val="000000"/>
          <w:sz w:val="24"/>
          <w:szCs w:val="24"/>
        </w:rPr>
        <w:t>1、地铁前海时代广场4号地块</w:t>
      </w:r>
    </w:p>
    <w:p>
      <w:pPr>
        <w:adjustRightInd w:val="0"/>
        <w:snapToGrid w:val="0"/>
        <w:spacing w:line="288" w:lineRule="auto"/>
        <w:ind w:firstLine="480" w:firstLineChars="200"/>
        <w:rPr>
          <w:rFonts w:hint="eastAsia" w:ascii="宋体" w:hAnsi="宋体"/>
          <w:color w:val="000000"/>
          <w:sz w:val="24"/>
          <w:szCs w:val="24"/>
        </w:rPr>
      </w:pPr>
      <w:r>
        <w:rPr>
          <w:rFonts w:hint="eastAsia" w:ascii="宋体" w:hAnsi="宋体"/>
          <w:color w:val="000000"/>
          <w:sz w:val="24"/>
          <w:szCs w:val="24"/>
        </w:rPr>
        <w:t>地铁前海时代广场位于深圳南山前海桂湾片区，梦海大道以东，怡海大道以西，桂湾四路以南，滨海大道以北。项目总建设用地面积约35.49万㎡，总建筑面积约131万㎡，是集住宅、商务公寓、写字楼、商业、酒店、教育配套于一体的“全业态综合体项目”。其中4号地块总面积为234451㎡，其中办公总建筑面积约为169350㎡，分A、B两栋各84675㎡；公寓总建筑面积约为27200㎡，商业总建筑面积约为37,901㎡。</w:t>
      </w:r>
    </w:p>
    <w:p>
      <w:pPr>
        <w:adjustRightInd w:val="0"/>
        <w:snapToGrid w:val="0"/>
        <w:spacing w:line="288" w:lineRule="auto"/>
        <w:ind w:left="480"/>
        <w:rPr>
          <w:rFonts w:hint="eastAsia" w:ascii="宋体" w:hAnsi="宋体"/>
          <w:color w:val="000000"/>
          <w:sz w:val="24"/>
          <w:szCs w:val="24"/>
        </w:rPr>
      </w:pPr>
      <w:r>
        <w:rPr>
          <w:rFonts w:hint="eastAsia" w:ascii="宋体" w:hAnsi="宋体"/>
          <w:color w:val="000000"/>
          <w:sz w:val="24"/>
          <w:szCs w:val="24"/>
        </w:rPr>
        <w:t>2、深铁懿府三期</w:t>
      </w:r>
    </w:p>
    <w:p>
      <w:pPr>
        <w:adjustRightInd w:val="0"/>
        <w:snapToGrid w:val="0"/>
        <w:spacing w:line="288" w:lineRule="auto"/>
        <w:ind w:firstLine="480" w:firstLineChars="200"/>
        <w:rPr>
          <w:rFonts w:hint="eastAsia" w:ascii="宋体" w:hAnsi="宋体"/>
          <w:color w:val="000000"/>
          <w:sz w:val="24"/>
          <w:szCs w:val="24"/>
        </w:rPr>
      </w:pPr>
      <w:r>
        <w:rPr>
          <w:rFonts w:hint="eastAsia" w:ascii="宋体" w:hAnsi="宋体"/>
          <w:color w:val="000000"/>
          <w:sz w:val="24"/>
          <w:szCs w:val="24"/>
        </w:rPr>
        <w:t>深铁懿府位于深圳南山华侨城北片区，安托山西侧，深云路以东，广深高速以北。项目总建设用地面积约21万㎡，总建筑面积约75万㎡。项目是集住宅、商务公寓、写字楼、商业、教育配套、体育公园于一体的“复合人文生态综合体”。</w:t>
      </w:r>
    </w:p>
    <w:p>
      <w:pPr>
        <w:adjustRightInd w:val="0"/>
        <w:snapToGrid w:val="0"/>
        <w:spacing w:line="288" w:lineRule="auto"/>
        <w:ind w:left="480"/>
        <w:rPr>
          <w:rFonts w:hint="eastAsia" w:ascii="宋体" w:hAnsi="宋体"/>
          <w:color w:val="000000"/>
          <w:sz w:val="24"/>
          <w:szCs w:val="24"/>
        </w:rPr>
      </w:pPr>
      <w:r>
        <w:rPr>
          <w:rFonts w:hint="eastAsia" w:ascii="宋体" w:hAnsi="宋体"/>
          <w:color w:val="000000"/>
          <w:sz w:val="24"/>
          <w:szCs w:val="24"/>
        </w:rPr>
        <w:t>3、深铁湾府</w:t>
      </w:r>
    </w:p>
    <w:p>
      <w:pPr>
        <w:adjustRightInd w:val="0"/>
        <w:snapToGrid w:val="0"/>
        <w:spacing w:line="288" w:lineRule="auto"/>
        <w:ind w:firstLine="480" w:firstLineChars="200"/>
        <w:rPr>
          <w:rFonts w:hint="eastAsia" w:ascii="宋体" w:hAnsi="宋体"/>
          <w:color w:val="000000"/>
          <w:sz w:val="24"/>
          <w:szCs w:val="24"/>
        </w:rPr>
      </w:pPr>
      <w:r>
        <w:rPr>
          <w:rFonts w:hint="eastAsia" w:ascii="宋体" w:hAnsi="宋体"/>
          <w:color w:val="000000"/>
          <w:sz w:val="24"/>
          <w:szCs w:val="24"/>
        </w:rPr>
        <w:t>深铁湾府位于赤湾片区，赤湾山以南，12号线左炮台站，为地铁停车场开发物业。项目占地14.5万㎡，由商品房、可售型人才房、商业、幼儿园、九年一贯制学校、公共配套等组成。基于本项目自贸双核、倚山瞰海、生态景观、国际化人文环境的价值优势，整体定位为“自贸滨海中心·高端山海大境”，打造为绿色、瞰海、国际、私享的高端豪宅住区。</w:t>
      </w:r>
    </w:p>
    <w:p>
      <w:pPr>
        <w:pStyle w:val="5"/>
        <w:spacing w:line="360" w:lineRule="auto"/>
        <w:ind w:firstLine="482" w:firstLineChars="200"/>
        <w:rPr>
          <w:rFonts w:hint="eastAsia" w:hAnsi="宋体"/>
          <w:b/>
          <w:color w:val="000000"/>
          <w:sz w:val="24"/>
          <w:szCs w:val="24"/>
        </w:rPr>
      </w:pPr>
      <w:r>
        <w:rPr>
          <w:rFonts w:hint="eastAsia" w:hAnsi="宋体"/>
          <w:b/>
          <w:color w:val="000000"/>
          <w:sz w:val="24"/>
          <w:szCs w:val="24"/>
        </w:rPr>
        <w:t>三、比选内容</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 xml:space="preserve">地铁前海时代广场4号地块、深铁懿府三期、深铁赤湾项目广告设计服务具体内容包括但不限于： </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（一）广告策略及创意类内容</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1、项目价值梳理及概念包装；</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2、项目推广策略（包括推广渠道及传播策略、营销活动策略、事件营销策略、企业品牌宣传策略等）；</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3、小视频、微电影、网站创意及其他文案创作、软文撰写；</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4、项目全程跟进服务；</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5、提供必要的咨询与顾问服务；</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6、其需按甲方需求配合制定的策略及创意构思等。</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（二）广告设计及文案创作类内容</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1、项目案名、LOGO及VI（视觉形象识别）及应用系统的建立与实施方案；</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2、宣传物料类：包括但不限于户型图、折页、楼书（含微楼书）、价值展板、海报（含线上海报）、企业宣传物料等对外所需宣传物料的设计及文案创作工作；</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3、推广渠道类设计工作：指定的推广渠道所涉及的所有平面设计、短视频剪辑、文案创作等工作。其中文案创作包括但不限于专题软文（项目及企业利好信息、自身价值输出、品牌价值输出等）及各类活动通稿、新闻通稿的构思、文案撰写、文章推送等工作；</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4、销售工具类设计工作：包括但不限于纸杯、纸袋、信封、销售文件、企业宣传物料等的设计及文案创作工作；</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5、项目包装类设计工作：包括但不限于围墙、看楼通道、工法展示、品牌墙展示、项目导视系统（精神堡垒、户型水牌、导视牌、温馨提示等）、企业宣传相关包装的设计及文案创作工作；</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6、活动相关类设计工作：包括但不限于巡展、临展、各类营销活动及企业宣传类活动的主题创意、线下制作物料、线上宣传物料等的设计及文案创作工作；</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7、其他类设计工作:包括但不限于配合企业品牌工作的相关设计及文案创作工作</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（三）其它</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1、市场调研与跟踪。主要包括竞争项目宣传物料创意设计、投放、广告表现等做成竞争媒体简报分析。</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（1）市场分析。</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（2）项目产品定位梳理及产品推广策略市场分析。</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（3）目标客户群梳理及客户诉求分析。</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（4）竞争项目分析及广告表现分析。</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（5）推广策略服务。</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（6）整体推广策略（形象推广主题、推广风格）。</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2、网络舆情监控及公关：包括但不限于项目及企业相关舆情的监控及处理建议。</w:t>
      </w:r>
    </w:p>
    <w:p>
      <w:pPr>
        <w:spacing w:line="36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rPr>
        <w:t>3、例行周报、月报、上年度总结报告、下年度总体策略报告等。</w:t>
      </w:r>
    </w:p>
    <w:p>
      <w:pPr>
        <w:pStyle w:val="5"/>
        <w:spacing w:line="360" w:lineRule="auto"/>
        <w:ind w:firstLine="482" w:firstLineChars="200"/>
        <w:rPr>
          <w:rFonts w:hint="eastAsia" w:hAnsi="宋体"/>
          <w:b/>
          <w:color w:val="000000"/>
          <w:sz w:val="24"/>
          <w:szCs w:val="24"/>
        </w:rPr>
      </w:pPr>
      <w:r>
        <w:rPr>
          <w:rFonts w:hint="eastAsia" w:hAnsi="宋体"/>
          <w:b/>
          <w:color w:val="000000"/>
          <w:sz w:val="24"/>
          <w:szCs w:val="24"/>
        </w:rPr>
        <w:t>四、比选控制价格</w:t>
      </w:r>
    </w:p>
    <w:p>
      <w:pPr>
        <w:spacing w:line="360" w:lineRule="auto"/>
        <w:ind w:right="-296" w:rightChars="-141" w:firstLine="480" w:firstLineChars="200"/>
        <w:rPr>
          <w:rFonts w:hint="eastAsia" w:ascii="宋体" w:hAnsi="宋体"/>
          <w:color w:val="000000"/>
          <w:sz w:val="24"/>
          <w:szCs w:val="24"/>
        </w:rPr>
      </w:pPr>
      <w:r>
        <w:rPr>
          <w:rFonts w:hint="eastAsia" w:ascii="宋体" w:hAnsi="宋体"/>
          <w:color w:val="000000"/>
          <w:sz w:val="24"/>
          <w:szCs w:val="24"/>
        </w:rPr>
        <w:t>本次参选报价</w:t>
      </w:r>
      <w:r>
        <w:rPr>
          <w:rFonts w:hint="eastAsia" w:ascii="宋体" w:hAnsi="宋体"/>
          <w:color w:val="000000"/>
          <w:kern w:val="0"/>
          <w:sz w:val="24"/>
          <w:szCs w:val="24"/>
        </w:rPr>
        <w:t>深铁置业2022年三个拟售项目广告设计服务，其中地铁前海时代广场4号地块</w:t>
      </w:r>
      <w:r>
        <w:rPr>
          <w:rFonts w:hint="eastAsia" w:ascii="宋体" w:hAnsi="宋体"/>
          <w:color w:val="000000"/>
          <w:sz w:val="24"/>
          <w:szCs w:val="24"/>
        </w:rPr>
        <w:t>的月费上限设为9.6万元/月（含税），12个月服务费总额控制在115万元内（含税）；</w:t>
      </w:r>
      <w:r>
        <w:rPr>
          <w:rFonts w:hint="eastAsia" w:ascii="宋体" w:hAnsi="宋体"/>
          <w:color w:val="000000"/>
          <w:kern w:val="0"/>
          <w:sz w:val="24"/>
          <w:szCs w:val="24"/>
        </w:rPr>
        <w:t>深铁懿府三期</w:t>
      </w:r>
      <w:r>
        <w:rPr>
          <w:rFonts w:hint="eastAsia" w:ascii="宋体" w:hAnsi="宋体"/>
          <w:color w:val="000000"/>
          <w:sz w:val="24"/>
          <w:szCs w:val="24"/>
        </w:rPr>
        <w:t>的月费上限设为7.8万元/月（含税），6个月服务费总额控制在47万元内（含税）；</w:t>
      </w:r>
      <w:r>
        <w:rPr>
          <w:rFonts w:hint="eastAsia" w:ascii="宋体" w:hAnsi="宋体"/>
          <w:color w:val="000000"/>
          <w:kern w:val="0"/>
          <w:sz w:val="24"/>
          <w:szCs w:val="24"/>
        </w:rPr>
        <w:t>深铁赤湾项目</w:t>
      </w:r>
      <w:r>
        <w:rPr>
          <w:rFonts w:hint="eastAsia" w:ascii="宋体" w:hAnsi="宋体"/>
          <w:color w:val="000000"/>
          <w:sz w:val="24"/>
          <w:szCs w:val="24"/>
        </w:rPr>
        <w:t>的月费上限设为7.5万元/月（含税），6个月服务费总额控制在45万元内（含税）。三个项目比选控制总上限价为207万元（含税）。</w:t>
      </w:r>
    </w:p>
    <w:p>
      <w:pPr>
        <w:pStyle w:val="5"/>
        <w:spacing w:line="360" w:lineRule="auto"/>
        <w:ind w:firstLine="482" w:firstLineChars="200"/>
        <w:rPr>
          <w:rFonts w:hint="eastAsia" w:hAnsi="宋体"/>
          <w:b/>
          <w:color w:val="000000"/>
          <w:sz w:val="24"/>
          <w:szCs w:val="24"/>
        </w:rPr>
      </w:pPr>
      <w:r>
        <w:rPr>
          <w:rFonts w:hint="eastAsia" w:hAnsi="宋体"/>
          <w:b/>
          <w:color w:val="000000"/>
          <w:sz w:val="24"/>
          <w:szCs w:val="24"/>
        </w:rPr>
        <w:t>五、参选人资格要求</w:t>
      </w:r>
    </w:p>
    <w:p>
      <w:pPr>
        <w:spacing w:line="360" w:lineRule="auto"/>
        <w:ind w:right="-296" w:rightChars="-141" w:firstLine="480" w:firstLineChars="200"/>
        <w:rPr>
          <w:rFonts w:hint="eastAsia" w:ascii="宋体" w:hAnsi="宋体"/>
          <w:color w:val="000000"/>
          <w:sz w:val="24"/>
          <w:szCs w:val="24"/>
        </w:rPr>
      </w:pPr>
      <w:r>
        <w:rPr>
          <w:rFonts w:hint="eastAsia" w:ascii="宋体" w:hAnsi="宋体"/>
          <w:color w:val="000000"/>
          <w:sz w:val="24"/>
          <w:szCs w:val="24"/>
        </w:rPr>
        <w:t>（一）成立时间：公司在中华人民共和国境内注册，且成立时间不晚于2019年1月1日。经营范围具备以下一项或多项：从事广告业务、文化活动策划、企业形象策划、美术设计、品牌形象策划、企业形象策划及设计、品牌推广、广告设计或广告制作等。</w:t>
      </w:r>
    </w:p>
    <w:p>
      <w:pPr>
        <w:spacing w:line="360" w:lineRule="auto"/>
        <w:ind w:right="-296" w:rightChars="-141" w:firstLine="480" w:firstLineChars="200"/>
        <w:rPr>
          <w:rFonts w:hint="eastAsia" w:ascii="宋体" w:hAnsi="宋体"/>
          <w:color w:val="000000"/>
          <w:sz w:val="24"/>
          <w:szCs w:val="24"/>
        </w:rPr>
      </w:pPr>
      <w:r>
        <w:rPr>
          <w:rFonts w:hint="eastAsia" w:ascii="宋体" w:hAnsi="宋体"/>
          <w:color w:val="000000"/>
          <w:sz w:val="24"/>
          <w:szCs w:val="24"/>
        </w:rPr>
        <w:t>（二）公司业绩：</w:t>
      </w:r>
    </w:p>
    <w:p>
      <w:pPr>
        <w:spacing w:line="360" w:lineRule="auto"/>
        <w:ind w:right="-296" w:rightChars="-141" w:firstLine="480" w:firstLineChars="200"/>
        <w:rPr>
          <w:rFonts w:hint="eastAsia" w:ascii="宋体" w:hAnsi="宋体"/>
          <w:color w:val="000000"/>
          <w:sz w:val="24"/>
          <w:szCs w:val="24"/>
        </w:rPr>
      </w:pPr>
      <w:r>
        <w:rPr>
          <w:rFonts w:hint="eastAsia" w:ascii="宋体" w:hAnsi="宋体"/>
          <w:color w:val="000000"/>
          <w:sz w:val="24"/>
          <w:szCs w:val="24"/>
        </w:rPr>
        <w:t>2019年1月1日至今，至少操作过1个全国50强或深圳20强房地产开发公司在北京、上海、广州、深圳的商品房项目或房地产品牌的广告策划及推广服务项目。</w:t>
      </w:r>
    </w:p>
    <w:p>
      <w:pPr>
        <w:spacing w:line="360" w:lineRule="auto"/>
        <w:ind w:right="-296" w:rightChars="-141" w:firstLine="480" w:firstLineChars="200"/>
        <w:rPr>
          <w:rFonts w:hint="eastAsia" w:ascii="宋体" w:hAnsi="宋体"/>
          <w:color w:val="000000"/>
          <w:sz w:val="24"/>
          <w:szCs w:val="24"/>
        </w:rPr>
      </w:pPr>
      <w:r>
        <w:rPr>
          <w:rFonts w:hint="eastAsia" w:ascii="宋体" w:hAnsi="宋体"/>
          <w:color w:val="000000"/>
          <w:sz w:val="24"/>
          <w:szCs w:val="24"/>
        </w:rPr>
        <w:t>报名时需按要求提供相关证明材料扫描复印件，如合同关键页（名称、期限、签订日期等），并加盖公章。</w:t>
      </w:r>
    </w:p>
    <w:p>
      <w:pPr>
        <w:spacing w:line="360" w:lineRule="auto"/>
        <w:ind w:right="-296" w:rightChars="-141" w:firstLine="480" w:firstLineChars="200"/>
        <w:rPr>
          <w:rFonts w:hint="eastAsia" w:ascii="宋体" w:hAnsi="宋体"/>
          <w:color w:val="000000"/>
          <w:sz w:val="24"/>
          <w:szCs w:val="24"/>
        </w:rPr>
      </w:pPr>
      <w:r>
        <w:rPr>
          <w:rFonts w:hint="eastAsia" w:ascii="宋体" w:hAnsi="宋体"/>
          <w:color w:val="000000"/>
          <w:sz w:val="24"/>
          <w:szCs w:val="24"/>
        </w:rPr>
        <w:t>（三）本项目不接受：自2019年1月1日以来，因串通参选不良行为记录或涉嫌串通参选，正在接受城市主管部门调查的参选人；在招参选（询价）活动（包括在深圳地铁项目）中因串通参选（报价）被暂停参选（报价）资格期间的参选人；在深圳市地铁集团有限公司或其下属直管单位存在不良行为记录或违约行为或在合同履约评价考核中不合格的参选人；与深圳市地铁集团有限公司或其下属直管单位有过诉讼、仲裁史，且其诉讼请求、仲裁申请没有被法院、仲裁庭支持的参选人；正在与深圳市地铁集团有限公司或其下属单位进行诉讼、仲裁，且在截标前未达成和解或纠纷化解的的参选人。</w:t>
      </w:r>
      <w:r>
        <w:rPr>
          <w:rFonts w:hint="eastAsia" w:ascii="宋体" w:hAnsi="宋体"/>
          <w:color w:val="000000"/>
          <w:sz w:val="24"/>
          <w:szCs w:val="24"/>
        </w:rPr>
        <w:br w:type="textWrapping"/>
      </w:r>
      <w:r>
        <w:rPr>
          <w:rFonts w:hint="eastAsia" w:ascii="宋体" w:hAnsi="宋体"/>
          <w:color w:val="000000"/>
          <w:sz w:val="24"/>
          <w:szCs w:val="24"/>
        </w:rPr>
        <w:t xml:space="preserve">    （四）本项目不接受联合体参选。单位负责人为同一人或者存在控股、管理关系的不同单位，不得参加同一项目比选。</w:t>
      </w:r>
    </w:p>
    <w:p>
      <w:pPr>
        <w:suppressAutoHyphens/>
        <w:topLinePunct/>
        <w:snapToGrid w:val="0"/>
        <w:spacing w:line="360" w:lineRule="auto"/>
        <w:ind w:firstLine="547" w:firstLineChars="227"/>
        <w:contextualSpacing/>
        <w:rPr>
          <w:rFonts w:hint="eastAsia" w:ascii="宋体" w:hAnsi="宋体"/>
          <w:b/>
          <w:color w:val="000000"/>
          <w:kern w:val="0"/>
          <w:sz w:val="24"/>
          <w:szCs w:val="24"/>
        </w:rPr>
      </w:pPr>
      <w:r>
        <w:rPr>
          <w:rFonts w:hint="eastAsia" w:ascii="宋体" w:hAnsi="宋体"/>
          <w:b/>
          <w:color w:val="000000"/>
          <w:kern w:val="0"/>
          <w:sz w:val="24"/>
          <w:szCs w:val="24"/>
        </w:rPr>
        <w:t>六、比选时间、地点</w:t>
      </w:r>
    </w:p>
    <w:tbl>
      <w:tblPr>
        <w:tblStyle w:val="6"/>
        <w:tblW w:w="90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11"/>
        <w:gridCol w:w="1708"/>
        <w:gridCol w:w="2288"/>
        <w:gridCol w:w="437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89" w:hRule="atLeast"/>
          <w:jc w:val="center"/>
        </w:trPr>
        <w:tc>
          <w:tcPr>
            <w:tcW w:w="711" w:type="dxa"/>
            <w:tcBorders>
              <w:top w:val="single" w:color="auto" w:sz="4" w:space="0"/>
              <w:left w:val="single" w:color="auto" w:sz="4" w:space="0"/>
              <w:bottom w:val="single" w:color="auto" w:sz="4" w:space="0"/>
              <w:right w:val="single" w:color="auto" w:sz="4" w:space="0"/>
            </w:tcBorders>
            <w:shd w:val="clear" w:color="auto" w:fill="7E7E7E"/>
            <w:vAlign w:val="center"/>
          </w:tcPr>
          <w:p>
            <w:pPr>
              <w:pStyle w:val="3"/>
              <w:adjustRightInd w:val="0"/>
              <w:snapToGrid w:val="0"/>
              <w:ind w:left="0" w:leftChars="0" w:firstLine="0" w:firstLineChars="0"/>
              <w:jc w:val="center"/>
              <w:rPr>
                <w:rFonts w:hint="eastAsia" w:ascii="宋体" w:hAnsi="宋体"/>
                <w:bCs/>
                <w:color w:val="000000"/>
                <w:kern w:val="2"/>
                <w:sz w:val="18"/>
                <w:szCs w:val="18"/>
              </w:rPr>
            </w:pPr>
            <w:r>
              <w:rPr>
                <w:rFonts w:hint="eastAsia" w:ascii="宋体" w:hAnsi="宋体"/>
                <w:bCs/>
                <w:color w:val="000000"/>
                <w:kern w:val="2"/>
                <w:sz w:val="18"/>
                <w:szCs w:val="18"/>
              </w:rPr>
              <w:t>序号</w:t>
            </w:r>
          </w:p>
        </w:tc>
        <w:tc>
          <w:tcPr>
            <w:tcW w:w="1708" w:type="dxa"/>
            <w:tcBorders>
              <w:top w:val="single" w:color="auto" w:sz="4" w:space="0"/>
              <w:left w:val="nil"/>
              <w:bottom w:val="single" w:color="auto" w:sz="4" w:space="0"/>
              <w:right w:val="single" w:color="auto" w:sz="4" w:space="0"/>
            </w:tcBorders>
            <w:shd w:val="clear" w:color="auto" w:fill="7E7E7E"/>
            <w:vAlign w:val="center"/>
          </w:tcPr>
          <w:p>
            <w:pPr>
              <w:pStyle w:val="3"/>
              <w:adjustRightInd w:val="0"/>
              <w:snapToGrid w:val="0"/>
              <w:ind w:left="0" w:leftChars="0" w:firstLine="0" w:firstLineChars="0"/>
              <w:jc w:val="center"/>
              <w:rPr>
                <w:rFonts w:hint="eastAsia" w:ascii="宋体" w:hAnsi="宋体"/>
                <w:bCs/>
                <w:color w:val="000000"/>
                <w:kern w:val="2"/>
                <w:sz w:val="18"/>
                <w:szCs w:val="18"/>
              </w:rPr>
            </w:pPr>
            <w:r>
              <w:rPr>
                <w:rFonts w:hint="eastAsia" w:ascii="宋体" w:hAnsi="宋体"/>
                <w:bCs/>
                <w:color w:val="000000"/>
                <w:kern w:val="2"/>
                <w:sz w:val="18"/>
                <w:szCs w:val="18"/>
              </w:rPr>
              <w:t>内  容</w:t>
            </w:r>
          </w:p>
        </w:tc>
        <w:tc>
          <w:tcPr>
            <w:tcW w:w="2288" w:type="dxa"/>
            <w:tcBorders>
              <w:top w:val="single" w:color="auto" w:sz="4" w:space="0"/>
              <w:left w:val="nil"/>
              <w:bottom w:val="single" w:color="auto" w:sz="4" w:space="0"/>
              <w:right w:val="single" w:color="auto" w:sz="4" w:space="0"/>
            </w:tcBorders>
            <w:shd w:val="clear" w:color="auto" w:fill="7E7E7E"/>
            <w:vAlign w:val="center"/>
          </w:tcPr>
          <w:p>
            <w:pPr>
              <w:pStyle w:val="3"/>
              <w:adjustRightInd w:val="0"/>
              <w:snapToGrid w:val="0"/>
              <w:ind w:left="0" w:leftChars="0" w:firstLine="0" w:firstLineChars="0"/>
              <w:jc w:val="center"/>
              <w:rPr>
                <w:rFonts w:hint="eastAsia" w:ascii="宋体" w:hAnsi="宋体"/>
                <w:bCs/>
                <w:color w:val="000000"/>
                <w:kern w:val="2"/>
                <w:sz w:val="18"/>
                <w:szCs w:val="18"/>
              </w:rPr>
            </w:pPr>
            <w:r>
              <w:rPr>
                <w:rFonts w:hint="eastAsia" w:ascii="宋体" w:hAnsi="宋体"/>
                <w:bCs/>
                <w:color w:val="000000"/>
                <w:kern w:val="2"/>
                <w:sz w:val="18"/>
                <w:szCs w:val="18"/>
              </w:rPr>
              <w:t>时间安排</w:t>
            </w:r>
          </w:p>
        </w:tc>
        <w:tc>
          <w:tcPr>
            <w:tcW w:w="4371" w:type="dxa"/>
            <w:tcBorders>
              <w:top w:val="single" w:color="auto" w:sz="4" w:space="0"/>
              <w:left w:val="nil"/>
              <w:bottom w:val="single" w:color="auto" w:sz="4" w:space="0"/>
              <w:right w:val="single" w:color="auto" w:sz="4" w:space="0"/>
            </w:tcBorders>
            <w:shd w:val="clear" w:color="auto" w:fill="7E7E7E"/>
            <w:vAlign w:val="center"/>
          </w:tcPr>
          <w:p>
            <w:pPr>
              <w:pStyle w:val="3"/>
              <w:adjustRightInd w:val="0"/>
              <w:snapToGrid w:val="0"/>
              <w:ind w:left="0" w:leftChars="0" w:firstLine="0" w:firstLineChars="0"/>
              <w:jc w:val="center"/>
              <w:rPr>
                <w:rFonts w:hint="eastAsia" w:ascii="宋体" w:hAnsi="宋体"/>
                <w:bCs/>
                <w:color w:val="000000"/>
                <w:kern w:val="2"/>
                <w:sz w:val="18"/>
                <w:szCs w:val="18"/>
              </w:rPr>
            </w:pPr>
            <w:r>
              <w:rPr>
                <w:rFonts w:hint="eastAsia" w:ascii="宋体" w:hAnsi="宋体"/>
                <w:bCs/>
                <w:color w:val="000000"/>
                <w:kern w:val="2"/>
                <w:sz w:val="18"/>
                <w:szCs w:val="18"/>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71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jc w:val="center"/>
              <w:rPr>
                <w:rFonts w:hint="eastAsia" w:ascii="宋体" w:hAnsi="宋体"/>
                <w:bCs/>
                <w:color w:val="000000"/>
                <w:kern w:val="2"/>
                <w:sz w:val="18"/>
                <w:szCs w:val="18"/>
              </w:rPr>
            </w:pPr>
            <w:r>
              <w:rPr>
                <w:rFonts w:hint="eastAsia" w:ascii="宋体" w:hAnsi="宋体"/>
                <w:bCs/>
                <w:color w:val="000000"/>
                <w:kern w:val="2"/>
                <w:sz w:val="18"/>
                <w:szCs w:val="18"/>
              </w:rPr>
              <w:t>1</w:t>
            </w:r>
          </w:p>
        </w:tc>
        <w:tc>
          <w:tcPr>
            <w:tcW w:w="1708" w:type="dxa"/>
            <w:tcBorders>
              <w:top w:val="single" w:color="auto" w:sz="4" w:space="0"/>
              <w:left w:val="nil"/>
              <w:bottom w:val="single" w:color="auto" w:sz="4" w:space="0"/>
              <w:right w:val="single" w:color="auto" w:sz="4" w:space="0"/>
            </w:tcBorders>
            <w:vAlign w:val="center"/>
          </w:tcPr>
          <w:p>
            <w:pPr>
              <w:pStyle w:val="3"/>
              <w:adjustRightInd w:val="0"/>
              <w:snapToGrid w:val="0"/>
              <w:ind w:left="0" w:leftChars="0" w:firstLine="0" w:firstLineChars="0"/>
              <w:jc w:val="center"/>
              <w:rPr>
                <w:rFonts w:hint="eastAsia" w:ascii="宋体" w:hAnsi="宋体"/>
                <w:bCs/>
                <w:color w:val="000000"/>
                <w:kern w:val="2"/>
                <w:sz w:val="18"/>
                <w:szCs w:val="18"/>
              </w:rPr>
            </w:pPr>
            <w:r>
              <w:rPr>
                <w:rFonts w:hint="eastAsia" w:ascii="宋体" w:hAnsi="宋体"/>
                <w:bCs/>
                <w:color w:val="000000"/>
                <w:kern w:val="2"/>
                <w:sz w:val="18"/>
                <w:szCs w:val="18"/>
              </w:rPr>
              <w:t>发布比选公告</w:t>
            </w:r>
          </w:p>
          <w:p>
            <w:pPr>
              <w:pStyle w:val="3"/>
              <w:adjustRightInd w:val="0"/>
              <w:snapToGrid w:val="0"/>
              <w:ind w:left="0" w:leftChars="0" w:firstLine="0" w:firstLineChars="0"/>
              <w:jc w:val="center"/>
              <w:rPr>
                <w:rFonts w:hint="eastAsia" w:ascii="宋体" w:hAnsi="宋体"/>
                <w:bCs/>
                <w:color w:val="000000"/>
                <w:kern w:val="2"/>
                <w:sz w:val="18"/>
                <w:szCs w:val="18"/>
              </w:rPr>
            </w:pPr>
            <w:r>
              <w:rPr>
                <w:rFonts w:hint="eastAsia" w:ascii="宋体" w:hAnsi="宋体"/>
                <w:bCs/>
                <w:color w:val="000000"/>
                <w:kern w:val="2"/>
                <w:sz w:val="18"/>
                <w:szCs w:val="18"/>
              </w:rPr>
              <w:t>（发标）</w:t>
            </w:r>
          </w:p>
        </w:tc>
        <w:tc>
          <w:tcPr>
            <w:tcW w:w="2288" w:type="dxa"/>
            <w:tcBorders>
              <w:top w:val="single" w:color="auto" w:sz="4" w:space="0"/>
              <w:left w:val="nil"/>
              <w:bottom w:val="single" w:color="auto" w:sz="4" w:space="0"/>
              <w:right w:val="single" w:color="auto" w:sz="4" w:space="0"/>
            </w:tcBorders>
            <w:vAlign w:val="center"/>
          </w:tcPr>
          <w:p>
            <w:pPr>
              <w:adjustRightInd w:val="0"/>
              <w:snapToGrid w:val="0"/>
              <w:jc w:val="center"/>
              <w:rPr>
                <w:rFonts w:hint="eastAsia" w:ascii="宋体" w:hAnsi="宋体"/>
                <w:bCs/>
                <w:color w:val="000000"/>
                <w:sz w:val="18"/>
                <w:szCs w:val="18"/>
              </w:rPr>
            </w:pPr>
            <w:r>
              <w:rPr>
                <w:rFonts w:hint="eastAsia" w:ascii="宋体" w:hAnsi="宋体"/>
                <w:bCs/>
                <w:color w:val="000000"/>
                <w:sz w:val="18"/>
                <w:szCs w:val="18"/>
              </w:rPr>
              <w:t>7月1日</w:t>
            </w:r>
          </w:p>
        </w:tc>
        <w:tc>
          <w:tcPr>
            <w:tcW w:w="4371" w:type="dxa"/>
            <w:tcBorders>
              <w:top w:val="single" w:color="auto" w:sz="4" w:space="0"/>
              <w:left w:val="nil"/>
              <w:bottom w:val="single" w:color="auto" w:sz="4" w:space="0"/>
              <w:right w:val="single" w:color="auto" w:sz="4" w:space="0"/>
            </w:tcBorders>
            <w:vAlign w:val="center"/>
          </w:tcPr>
          <w:p>
            <w:pPr>
              <w:pStyle w:val="3"/>
              <w:adjustRightInd w:val="0"/>
              <w:snapToGrid w:val="0"/>
              <w:ind w:left="428" w:leftChars="44" w:hanging="336" w:hangingChars="187"/>
              <w:jc w:val="center"/>
              <w:rPr>
                <w:rFonts w:hint="eastAsia" w:ascii="宋体" w:hAnsi="宋体"/>
                <w:bCs/>
                <w:color w:val="000000"/>
                <w:kern w:val="2"/>
                <w:sz w:val="18"/>
                <w:szCs w:val="18"/>
              </w:rPr>
            </w:pPr>
            <w:r>
              <w:rPr>
                <w:rFonts w:hint="eastAsia" w:ascii="宋体" w:hAnsi="宋体"/>
                <w:bCs/>
                <w:color w:val="000000"/>
                <w:kern w:val="2"/>
                <w:sz w:val="18"/>
                <w:szCs w:val="18"/>
              </w:rPr>
              <w:t>深圳市地铁集团有限公司外网、国资委阳光采购平台、</w:t>
            </w:r>
            <w:r>
              <w:rPr>
                <w:rFonts w:hint="eastAsia" w:ascii="宋体" w:hAnsi="宋体" w:eastAsia="宋体"/>
                <w:bCs/>
                <w:color w:val="000000"/>
                <w:kern w:val="2"/>
                <w:sz w:val="18"/>
                <w:szCs w:val="18"/>
              </w:rPr>
              <w:t>深铁招采网</w:t>
            </w:r>
            <w:r>
              <w:rPr>
                <w:rFonts w:hint="eastAsia" w:ascii="宋体" w:hAnsi="宋体" w:eastAsia="宋体"/>
                <w:bCs/>
                <w:color w:val="000000"/>
                <w:kern w:val="2"/>
                <w:sz w:val="18"/>
                <w:szCs w:val="18"/>
                <w:lang w:eastAsia="zh-CN"/>
              </w:rPr>
              <w:t>、</w:t>
            </w:r>
            <w:r>
              <w:rPr>
                <w:rFonts w:hint="eastAsia" w:ascii="宋体" w:hAnsi="宋体" w:eastAsia="宋体"/>
                <w:bCs/>
                <w:color w:val="000000"/>
                <w:kern w:val="2"/>
                <w:sz w:val="18"/>
                <w:szCs w:val="18"/>
              </w:rPr>
              <w:t>深铁置</w:t>
            </w:r>
            <w:r>
              <w:rPr>
                <w:rFonts w:hint="eastAsia" w:ascii="宋体" w:hAnsi="宋体"/>
                <w:bCs/>
                <w:color w:val="000000"/>
                <w:kern w:val="2"/>
                <w:sz w:val="18"/>
                <w:szCs w:val="18"/>
              </w:rPr>
              <w:t>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1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jc w:val="center"/>
              <w:rPr>
                <w:rFonts w:hint="eastAsia" w:ascii="宋体" w:hAnsi="宋体"/>
                <w:bCs/>
                <w:color w:val="000000"/>
                <w:kern w:val="2"/>
                <w:sz w:val="18"/>
                <w:szCs w:val="18"/>
              </w:rPr>
            </w:pPr>
            <w:r>
              <w:rPr>
                <w:rFonts w:hint="eastAsia" w:ascii="宋体" w:hAnsi="宋体"/>
                <w:bCs/>
                <w:color w:val="000000"/>
                <w:kern w:val="2"/>
                <w:sz w:val="18"/>
                <w:szCs w:val="18"/>
              </w:rPr>
              <w:t>2</w:t>
            </w:r>
          </w:p>
        </w:tc>
        <w:tc>
          <w:tcPr>
            <w:tcW w:w="1708" w:type="dxa"/>
            <w:tcBorders>
              <w:top w:val="single" w:color="auto" w:sz="4" w:space="0"/>
              <w:left w:val="nil"/>
              <w:bottom w:val="single" w:color="auto" w:sz="4" w:space="0"/>
              <w:right w:val="single" w:color="auto" w:sz="4" w:space="0"/>
            </w:tcBorders>
            <w:vAlign w:val="center"/>
          </w:tcPr>
          <w:p>
            <w:pPr>
              <w:pStyle w:val="3"/>
              <w:adjustRightInd w:val="0"/>
              <w:snapToGrid w:val="0"/>
              <w:ind w:left="0" w:leftChars="0" w:firstLine="0" w:firstLineChars="0"/>
              <w:jc w:val="center"/>
              <w:rPr>
                <w:rFonts w:hint="eastAsia" w:ascii="宋体" w:hAnsi="宋体"/>
                <w:bCs/>
                <w:color w:val="000000"/>
                <w:kern w:val="2"/>
                <w:sz w:val="18"/>
                <w:szCs w:val="18"/>
              </w:rPr>
            </w:pPr>
            <w:r>
              <w:rPr>
                <w:rFonts w:hint="eastAsia" w:ascii="宋体" w:hAnsi="宋体"/>
                <w:bCs/>
                <w:color w:val="000000"/>
                <w:kern w:val="2"/>
                <w:sz w:val="18"/>
                <w:szCs w:val="18"/>
              </w:rPr>
              <w:t>截标</w:t>
            </w:r>
          </w:p>
        </w:tc>
        <w:tc>
          <w:tcPr>
            <w:tcW w:w="2288" w:type="dxa"/>
            <w:tcBorders>
              <w:top w:val="single" w:color="auto" w:sz="4" w:space="0"/>
              <w:left w:val="nil"/>
              <w:bottom w:val="single" w:color="auto" w:sz="4" w:space="0"/>
              <w:right w:val="single" w:color="auto" w:sz="4" w:space="0"/>
            </w:tcBorders>
            <w:vAlign w:val="center"/>
          </w:tcPr>
          <w:p>
            <w:pPr>
              <w:adjustRightInd w:val="0"/>
              <w:snapToGrid w:val="0"/>
              <w:jc w:val="center"/>
              <w:rPr>
                <w:rFonts w:hint="eastAsia" w:ascii="宋体" w:hAnsi="宋体"/>
                <w:bCs/>
                <w:color w:val="000000"/>
                <w:sz w:val="18"/>
                <w:szCs w:val="18"/>
              </w:rPr>
            </w:pPr>
            <w:r>
              <w:rPr>
                <w:rFonts w:hint="eastAsia" w:ascii="宋体" w:hAnsi="宋体"/>
                <w:bCs/>
                <w:color w:val="000000"/>
                <w:sz w:val="18"/>
                <w:szCs w:val="18"/>
              </w:rPr>
              <w:t>7月13日上午10:00</w:t>
            </w:r>
          </w:p>
        </w:tc>
        <w:tc>
          <w:tcPr>
            <w:tcW w:w="4371" w:type="dxa"/>
            <w:tcBorders>
              <w:top w:val="single" w:color="auto" w:sz="4" w:space="0"/>
              <w:left w:val="nil"/>
              <w:bottom w:val="single" w:color="auto" w:sz="4" w:space="0"/>
              <w:right w:val="single" w:color="auto" w:sz="4" w:space="0"/>
            </w:tcBorders>
            <w:vAlign w:val="center"/>
          </w:tcPr>
          <w:p>
            <w:pPr>
              <w:pStyle w:val="3"/>
              <w:adjustRightInd w:val="0"/>
              <w:snapToGrid w:val="0"/>
              <w:ind w:left="141" w:leftChars="67" w:firstLine="0" w:firstLineChars="0"/>
              <w:jc w:val="center"/>
              <w:rPr>
                <w:rFonts w:hint="eastAsia" w:ascii="宋体" w:hAnsi="宋体"/>
                <w:bCs/>
                <w:color w:val="000000"/>
                <w:kern w:val="2"/>
                <w:sz w:val="18"/>
                <w:szCs w:val="18"/>
              </w:rPr>
            </w:pPr>
            <w:r>
              <w:rPr>
                <w:rFonts w:hint="eastAsia" w:ascii="宋体" w:hAnsi="宋体"/>
                <w:bCs/>
                <w:color w:val="000000"/>
                <w:kern w:val="2"/>
                <w:sz w:val="18"/>
                <w:szCs w:val="18"/>
              </w:rPr>
              <w:t>1.纸质版参选文件递交地点：深铁置业大厦会议室</w:t>
            </w:r>
          </w:p>
          <w:p>
            <w:pPr>
              <w:pStyle w:val="3"/>
              <w:adjustRightInd w:val="0"/>
              <w:snapToGrid w:val="0"/>
              <w:ind w:left="141" w:leftChars="67" w:firstLine="0" w:firstLineChars="0"/>
              <w:jc w:val="center"/>
              <w:rPr>
                <w:rFonts w:hint="eastAsia" w:ascii="宋体" w:hAnsi="宋体"/>
                <w:bCs/>
                <w:color w:val="000000"/>
                <w:kern w:val="2"/>
                <w:sz w:val="18"/>
                <w:szCs w:val="18"/>
              </w:rPr>
            </w:pPr>
            <w:r>
              <w:rPr>
                <w:rFonts w:hint="eastAsia" w:ascii="宋体" w:hAnsi="宋体"/>
                <w:bCs/>
                <w:color w:val="000000"/>
                <w:kern w:val="2"/>
                <w:sz w:val="18"/>
                <w:szCs w:val="18"/>
              </w:rPr>
              <w:t>2.电子版参选文件递交平台：深圳地铁智能招采系统</w:t>
            </w:r>
          </w:p>
          <w:p>
            <w:pPr>
              <w:pStyle w:val="3"/>
              <w:adjustRightInd w:val="0"/>
              <w:snapToGrid w:val="0"/>
              <w:ind w:left="141" w:leftChars="67" w:firstLine="0" w:firstLineChars="0"/>
              <w:jc w:val="center"/>
              <w:rPr>
                <w:rFonts w:hint="eastAsia" w:ascii="宋体" w:hAnsi="宋体"/>
                <w:bCs/>
                <w:color w:val="000000"/>
                <w:kern w:val="2"/>
                <w:sz w:val="18"/>
                <w:szCs w:val="18"/>
              </w:rPr>
            </w:pPr>
            <w:r>
              <w:rPr>
                <w:rFonts w:hint="eastAsia" w:ascii="宋体" w:hAnsi="宋体"/>
                <w:bCs/>
                <w:color w:val="000000"/>
                <w:kern w:val="2"/>
                <w:sz w:val="18"/>
                <w:szCs w:val="18"/>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1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jc w:val="center"/>
              <w:rPr>
                <w:rFonts w:hint="eastAsia" w:ascii="宋体" w:hAnsi="宋体"/>
                <w:bCs/>
                <w:color w:val="000000"/>
                <w:kern w:val="2"/>
                <w:sz w:val="18"/>
                <w:szCs w:val="18"/>
              </w:rPr>
            </w:pPr>
            <w:r>
              <w:rPr>
                <w:rFonts w:hint="eastAsia" w:ascii="宋体" w:hAnsi="宋体"/>
                <w:bCs/>
                <w:color w:val="000000"/>
                <w:kern w:val="2"/>
                <w:sz w:val="18"/>
                <w:szCs w:val="18"/>
              </w:rPr>
              <w:t>3</w:t>
            </w:r>
          </w:p>
        </w:tc>
        <w:tc>
          <w:tcPr>
            <w:tcW w:w="1708" w:type="dxa"/>
            <w:tcBorders>
              <w:top w:val="single" w:color="auto" w:sz="4" w:space="0"/>
              <w:left w:val="nil"/>
              <w:bottom w:val="single" w:color="auto" w:sz="4" w:space="0"/>
              <w:right w:val="single" w:color="auto" w:sz="4" w:space="0"/>
            </w:tcBorders>
            <w:vAlign w:val="center"/>
          </w:tcPr>
          <w:p>
            <w:pPr>
              <w:pStyle w:val="3"/>
              <w:adjustRightInd w:val="0"/>
              <w:snapToGrid w:val="0"/>
              <w:ind w:left="0" w:leftChars="0" w:firstLine="0" w:firstLineChars="0"/>
              <w:jc w:val="center"/>
              <w:rPr>
                <w:rFonts w:hint="eastAsia" w:ascii="宋体" w:hAnsi="宋体"/>
                <w:bCs/>
                <w:color w:val="000000"/>
                <w:kern w:val="2"/>
                <w:sz w:val="18"/>
                <w:szCs w:val="18"/>
              </w:rPr>
            </w:pPr>
            <w:r>
              <w:rPr>
                <w:rFonts w:hint="eastAsia" w:ascii="宋体" w:hAnsi="宋体"/>
                <w:bCs/>
                <w:color w:val="000000"/>
                <w:kern w:val="2"/>
                <w:sz w:val="18"/>
                <w:szCs w:val="18"/>
              </w:rPr>
              <w:t>述标</w:t>
            </w:r>
          </w:p>
        </w:tc>
        <w:tc>
          <w:tcPr>
            <w:tcW w:w="2288" w:type="dxa"/>
            <w:tcBorders>
              <w:top w:val="single" w:color="auto" w:sz="4" w:space="0"/>
              <w:left w:val="nil"/>
              <w:bottom w:val="single" w:color="auto" w:sz="4" w:space="0"/>
              <w:right w:val="single" w:color="auto" w:sz="4" w:space="0"/>
            </w:tcBorders>
            <w:vAlign w:val="center"/>
          </w:tcPr>
          <w:p>
            <w:pPr>
              <w:adjustRightInd w:val="0"/>
              <w:snapToGrid w:val="0"/>
              <w:jc w:val="center"/>
              <w:rPr>
                <w:rFonts w:hint="eastAsia" w:ascii="宋体" w:hAnsi="宋体"/>
                <w:bCs/>
                <w:color w:val="000000"/>
                <w:sz w:val="18"/>
                <w:szCs w:val="18"/>
              </w:rPr>
            </w:pPr>
            <w:r>
              <w:rPr>
                <w:rFonts w:hint="eastAsia" w:ascii="宋体" w:hAnsi="宋体"/>
                <w:bCs/>
                <w:color w:val="000000"/>
                <w:sz w:val="18"/>
                <w:szCs w:val="18"/>
              </w:rPr>
              <w:t>7月13日上午14:30</w:t>
            </w:r>
          </w:p>
        </w:tc>
        <w:tc>
          <w:tcPr>
            <w:tcW w:w="4371" w:type="dxa"/>
            <w:tcBorders>
              <w:top w:val="single" w:color="auto" w:sz="4" w:space="0"/>
              <w:left w:val="nil"/>
              <w:bottom w:val="single" w:color="auto" w:sz="4" w:space="0"/>
              <w:right w:val="single" w:color="auto" w:sz="4" w:space="0"/>
            </w:tcBorders>
            <w:vAlign w:val="center"/>
          </w:tcPr>
          <w:p>
            <w:pPr>
              <w:pStyle w:val="3"/>
              <w:adjustRightInd w:val="0"/>
              <w:snapToGrid w:val="0"/>
              <w:ind w:left="141" w:leftChars="67" w:firstLine="0" w:firstLineChars="0"/>
              <w:jc w:val="center"/>
              <w:rPr>
                <w:rFonts w:hint="eastAsia" w:ascii="宋体" w:hAnsi="宋体"/>
                <w:bCs/>
                <w:color w:val="000000"/>
                <w:kern w:val="2"/>
                <w:sz w:val="18"/>
                <w:szCs w:val="18"/>
              </w:rPr>
            </w:pPr>
            <w:r>
              <w:rPr>
                <w:rFonts w:hint="eastAsia" w:ascii="宋体" w:hAnsi="宋体"/>
                <w:bCs/>
                <w:color w:val="000000"/>
                <w:kern w:val="2"/>
                <w:sz w:val="18"/>
                <w:szCs w:val="18"/>
              </w:rPr>
              <w:t>地点：深铁置业大厦会议室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42" w:hRule="atLeast"/>
          <w:jc w:val="center"/>
        </w:trPr>
        <w:tc>
          <w:tcPr>
            <w:tcW w:w="71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ind w:left="0" w:leftChars="0" w:firstLine="0" w:firstLineChars="0"/>
              <w:jc w:val="center"/>
              <w:rPr>
                <w:rFonts w:hint="eastAsia" w:ascii="宋体" w:hAnsi="宋体"/>
                <w:bCs/>
                <w:color w:val="000000"/>
                <w:kern w:val="2"/>
                <w:sz w:val="18"/>
                <w:szCs w:val="18"/>
              </w:rPr>
            </w:pPr>
            <w:r>
              <w:rPr>
                <w:rFonts w:hint="eastAsia" w:ascii="宋体" w:hAnsi="宋体"/>
                <w:bCs/>
                <w:color w:val="000000"/>
                <w:kern w:val="2"/>
                <w:sz w:val="18"/>
                <w:szCs w:val="18"/>
              </w:rPr>
              <w:t>3</w:t>
            </w:r>
          </w:p>
        </w:tc>
        <w:tc>
          <w:tcPr>
            <w:tcW w:w="1708" w:type="dxa"/>
            <w:tcBorders>
              <w:top w:val="single" w:color="auto" w:sz="4" w:space="0"/>
              <w:left w:val="nil"/>
              <w:bottom w:val="single" w:color="auto" w:sz="4" w:space="0"/>
              <w:right w:val="single" w:color="auto" w:sz="4" w:space="0"/>
            </w:tcBorders>
            <w:vAlign w:val="center"/>
          </w:tcPr>
          <w:p>
            <w:pPr>
              <w:pStyle w:val="3"/>
              <w:adjustRightInd w:val="0"/>
              <w:snapToGrid w:val="0"/>
              <w:ind w:left="0" w:leftChars="0" w:firstLine="0" w:firstLineChars="0"/>
              <w:jc w:val="center"/>
              <w:rPr>
                <w:rFonts w:hint="eastAsia" w:ascii="宋体" w:hAnsi="宋体"/>
                <w:bCs/>
                <w:color w:val="000000"/>
                <w:kern w:val="2"/>
                <w:sz w:val="18"/>
                <w:szCs w:val="18"/>
              </w:rPr>
            </w:pPr>
            <w:r>
              <w:rPr>
                <w:rFonts w:hint="eastAsia" w:ascii="宋体" w:hAnsi="宋体"/>
                <w:bCs/>
                <w:color w:val="000000"/>
                <w:kern w:val="2"/>
                <w:sz w:val="18"/>
                <w:szCs w:val="18"/>
              </w:rPr>
              <w:t>评标</w:t>
            </w:r>
          </w:p>
        </w:tc>
        <w:tc>
          <w:tcPr>
            <w:tcW w:w="2288" w:type="dxa"/>
            <w:tcBorders>
              <w:top w:val="single" w:color="auto" w:sz="4" w:space="0"/>
              <w:left w:val="nil"/>
              <w:bottom w:val="single" w:color="auto" w:sz="4" w:space="0"/>
              <w:right w:val="single" w:color="auto" w:sz="4" w:space="0"/>
            </w:tcBorders>
            <w:vAlign w:val="center"/>
          </w:tcPr>
          <w:p>
            <w:pPr>
              <w:adjustRightInd w:val="0"/>
              <w:snapToGrid w:val="0"/>
              <w:jc w:val="center"/>
              <w:rPr>
                <w:rFonts w:hint="eastAsia" w:ascii="宋体" w:hAnsi="宋体"/>
                <w:bCs/>
                <w:color w:val="000000"/>
                <w:sz w:val="18"/>
                <w:szCs w:val="18"/>
              </w:rPr>
            </w:pPr>
            <w:r>
              <w:rPr>
                <w:rFonts w:hint="eastAsia" w:ascii="宋体" w:hAnsi="宋体"/>
                <w:bCs/>
                <w:color w:val="000000"/>
                <w:sz w:val="18"/>
                <w:szCs w:val="18"/>
              </w:rPr>
              <w:t>7月14日上午9:30</w:t>
            </w:r>
          </w:p>
        </w:tc>
        <w:tc>
          <w:tcPr>
            <w:tcW w:w="4371" w:type="dxa"/>
            <w:tcBorders>
              <w:top w:val="single" w:color="auto" w:sz="4" w:space="0"/>
              <w:left w:val="nil"/>
              <w:bottom w:val="single" w:color="auto" w:sz="4" w:space="0"/>
              <w:right w:val="single" w:color="auto" w:sz="4" w:space="0"/>
            </w:tcBorders>
            <w:vAlign w:val="center"/>
          </w:tcPr>
          <w:p>
            <w:pPr>
              <w:pStyle w:val="3"/>
              <w:adjustRightInd w:val="0"/>
              <w:snapToGrid w:val="0"/>
              <w:ind w:left="143" w:leftChars="68" w:firstLine="28" w:firstLineChars="16"/>
              <w:jc w:val="center"/>
              <w:rPr>
                <w:rFonts w:hint="eastAsia" w:ascii="宋体" w:hAnsi="宋体"/>
                <w:bCs/>
                <w:color w:val="000000"/>
                <w:kern w:val="2"/>
                <w:sz w:val="18"/>
                <w:szCs w:val="18"/>
              </w:rPr>
            </w:pPr>
            <w:r>
              <w:rPr>
                <w:rFonts w:hint="eastAsia" w:ascii="宋体" w:hAnsi="宋体"/>
                <w:bCs/>
                <w:color w:val="000000"/>
                <w:kern w:val="2"/>
                <w:sz w:val="18"/>
                <w:szCs w:val="18"/>
              </w:rPr>
              <w:t>开标地点：地铁大厦1楼评标室</w:t>
            </w:r>
          </w:p>
        </w:tc>
      </w:tr>
    </w:tbl>
    <w:p>
      <w:pPr>
        <w:pStyle w:val="5"/>
        <w:spacing w:line="360" w:lineRule="auto"/>
        <w:ind w:firstLine="482" w:firstLineChars="200"/>
        <w:rPr>
          <w:rFonts w:hint="eastAsia" w:hAnsi="宋体"/>
          <w:b/>
          <w:color w:val="000000"/>
          <w:sz w:val="24"/>
          <w:szCs w:val="24"/>
        </w:rPr>
      </w:pPr>
      <w:r>
        <w:rPr>
          <w:rFonts w:hint="eastAsia" w:hAnsi="宋体"/>
          <w:b/>
          <w:color w:val="000000"/>
          <w:sz w:val="24"/>
          <w:szCs w:val="24"/>
        </w:rPr>
        <w:t>七、参选文件所需材料：</w:t>
      </w:r>
    </w:p>
    <w:p>
      <w:pPr>
        <w:pStyle w:val="5"/>
        <w:spacing w:line="360" w:lineRule="auto"/>
        <w:ind w:firstLine="480" w:firstLineChars="200"/>
        <w:rPr>
          <w:rFonts w:hint="eastAsia" w:hAnsi="宋体"/>
          <w:color w:val="000000"/>
          <w:sz w:val="24"/>
          <w:szCs w:val="24"/>
        </w:rPr>
      </w:pPr>
      <w:r>
        <w:rPr>
          <w:rFonts w:hint="eastAsia" w:hAnsi="宋体"/>
          <w:color w:val="000000"/>
          <w:sz w:val="24"/>
          <w:szCs w:val="24"/>
        </w:rPr>
        <w:t>1.根据比选文件编制的参选文件；</w:t>
      </w:r>
    </w:p>
    <w:p>
      <w:pPr>
        <w:pStyle w:val="5"/>
        <w:spacing w:line="360" w:lineRule="auto"/>
        <w:ind w:firstLine="480" w:firstLineChars="200"/>
        <w:rPr>
          <w:rFonts w:hint="eastAsia" w:hAnsi="宋体"/>
          <w:color w:val="000000"/>
          <w:sz w:val="24"/>
          <w:szCs w:val="24"/>
        </w:rPr>
      </w:pPr>
      <w:r>
        <w:rPr>
          <w:rFonts w:hint="eastAsia" w:hAnsi="宋体"/>
          <w:color w:val="000000"/>
          <w:sz w:val="24"/>
          <w:szCs w:val="24"/>
        </w:rPr>
        <w:t>2.如递交参选文件的参选人为参选单位的法定代表人（法定负责人），须携带法定代表人证明书及本人身份证原件和复印件；如递交参选文件的参选人不是法定代表人，除携带本人身份证复印件外，还需携带法定代表人证明书和法定代表人身份证复印件及授权委托书。</w:t>
      </w:r>
    </w:p>
    <w:p>
      <w:pPr>
        <w:pStyle w:val="5"/>
        <w:spacing w:line="360" w:lineRule="auto"/>
        <w:ind w:firstLine="482" w:firstLineChars="200"/>
        <w:rPr>
          <w:rFonts w:hint="eastAsia" w:hAnsi="宋体"/>
          <w:b/>
          <w:color w:val="000000"/>
          <w:sz w:val="24"/>
          <w:szCs w:val="24"/>
        </w:rPr>
      </w:pPr>
      <w:r>
        <w:rPr>
          <w:rFonts w:hint="eastAsia" w:hAnsi="宋体"/>
          <w:b/>
          <w:color w:val="000000"/>
          <w:sz w:val="24"/>
          <w:szCs w:val="24"/>
        </w:rPr>
        <w:t>八、参选联系人</w:t>
      </w:r>
    </w:p>
    <w:p>
      <w:pPr>
        <w:pStyle w:val="5"/>
        <w:spacing w:line="360" w:lineRule="auto"/>
        <w:ind w:firstLine="480" w:firstLineChars="200"/>
        <w:rPr>
          <w:rFonts w:hint="eastAsia" w:hAnsi="宋体"/>
          <w:color w:val="000000"/>
          <w:sz w:val="24"/>
          <w:szCs w:val="24"/>
        </w:rPr>
      </w:pPr>
      <w:r>
        <w:rPr>
          <w:rFonts w:hint="eastAsia" w:hAnsi="宋体"/>
          <w:color w:val="000000"/>
          <w:sz w:val="24"/>
          <w:szCs w:val="24"/>
        </w:rPr>
        <w:t>联系人：陈女士</w:t>
      </w:r>
    </w:p>
    <w:p>
      <w:pPr>
        <w:pStyle w:val="5"/>
        <w:spacing w:line="360" w:lineRule="auto"/>
        <w:ind w:firstLine="480" w:firstLineChars="200"/>
        <w:rPr>
          <w:rFonts w:hint="eastAsia" w:hAnsi="宋体"/>
          <w:color w:val="000000"/>
          <w:sz w:val="24"/>
          <w:szCs w:val="24"/>
        </w:rPr>
      </w:pPr>
      <w:r>
        <w:rPr>
          <w:rFonts w:hint="eastAsia" w:hAnsi="宋体"/>
          <w:color w:val="000000"/>
          <w:sz w:val="24"/>
          <w:szCs w:val="24"/>
        </w:rPr>
        <w:t>联系电话：13590276479</w:t>
      </w:r>
    </w:p>
    <w:p>
      <w:pPr>
        <w:pStyle w:val="5"/>
        <w:spacing w:line="360" w:lineRule="auto"/>
        <w:ind w:firstLine="480" w:firstLineChars="200"/>
        <w:jc w:val="right"/>
        <w:rPr>
          <w:rFonts w:hint="eastAsia" w:hAnsi="宋体"/>
          <w:color w:val="000000"/>
          <w:sz w:val="24"/>
          <w:szCs w:val="24"/>
        </w:rPr>
      </w:pPr>
      <w:r>
        <w:rPr>
          <w:rFonts w:hint="eastAsia" w:hAnsi="宋体" w:cs="Times New Roman"/>
          <w:color w:val="000000"/>
          <w:sz w:val="24"/>
          <w:szCs w:val="24"/>
        </w:rPr>
        <w:t>深圳地铁置业集团有限公司</w:t>
      </w:r>
    </w:p>
    <w:p>
      <w:pPr>
        <w:pStyle w:val="5"/>
        <w:wordWrap w:val="0"/>
        <w:spacing w:line="360" w:lineRule="auto"/>
        <w:ind w:firstLine="480" w:firstLineChars="200"/>
        <w:jc w:val="right"/>
        <w:rPr>
          <w:rFonts w:hint="eastAsia" w:hAnsi="宋体"/>
          <w:color w:val="000000"/>
          <w:sz w:val="24"/>
          <w:szCs w:val="24"/>
        </w:rPr>
      </w:pPr>
      <w:r>
        <w:rPr>
          <w:rFonts w:hint="eastAsia" w:hAnsi="宋体"/>
          <w:color w:val="000000"/>
          <w:sz w:val="24"/>
          <w:szCs w:val="24"/>
        </w:rPr>
        <w:t xml:space="preserve">            2022年7月1日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E813B7"/>
    <w:multiLevelType w:val="multilevel"/>
    <w:tmpl w:val="12E813B7"/>
    <w:lvl w:ilvl="0" w:tentative="0">
      <w:start w:val="2"/>
      <w:numFmt w:val="chineseCounting"/>
      <w:suff w:val="nothing"/>
      <w:lvlText w:val="%1、"/>
      <w:lvlJc w:val="left"/>
      <w:pPr>
        <w:ind w:left="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MzMDQxNDc3MDJlMzMwOTc5ZGI1NGQ1YzAyZmY4M2EifQ=="/>
  </w:docVars>
  <w:rsids>
    <w:rsidRoot w:val="00C10F77"/>
    <w:rsid w:val="00972B02"/>
    <w:rsid w:val="00C10F77"/>
    <w:rsid w:val="00DF36A5"/>
    <w:rsid w:val="1C605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2"/>
    <w:basedOn w:val="1"/>
    <w:next w:val="1"/>
    <w:link w:val="8"/>
    <w:qFormat/>
    <w:uiPriority w:val="99"/>
    <w:pPr>
      <w:keepNext/>
      <w:keepLines/>
      <w:adjustRightInd w:val="0"/>
      <w:spacing w:before="260" w:after="260" w:line="416" w:lineRule="atLeast"/>
      <w:jc w:val="center"/>
      <w:textAlignment w:val="baseline"/>
      <w:outlineLvl w:val="1"/>
    </w:pPr>
    <w:rPr>
      <w:rFonts w:ascii="黑体" w:hAnsi="Arial" w:eastAsia="黑体" w:cs="宋体"/>
      <w:kern w:val="0"/>
      <w:sz w:val="28"/>
      <w:szCs w:val="28"/>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link w:val="11"/>
    <w:semiHidden/>
    <w:unhideWhenUsed/>
    <w:uiPriority w:val="99"/>
    <w:pPr>
      <w:spacing w:before="0" w:beforeAutospacing="0" w:after="120" w:afterAutospacing="0" w:line="240" w:lineRule="auto"/>
      <w:ind w:left="420" w:leftChars="200" w:firstLine="420" w:firstLineChars="200"/>
    </w:pPr>
    <w:rPr>
      <w:kern w:val="2"/>
      <w:sz w:val="21"/>
      <w:szCs w:val="21"/>
    </w:rPr>
  </w:style>
  <w:style w:type="paragraph" w:styleId="3">
    <w:name w:val="Body Text Indent"/>
    <w:basedOn w:val="1"/>
    <w:link w:val="9"/>
    <w:unhideWhenUsed/>
    <w:qFormat/>
    <w:uiPriority w:val="99"/>
    <w:pPr>
      <w:spacing w:before="100" w:beforeAutospacing="1" w:after="100" w:afterAutospacing="1" w:line="360" w:lineRule="auto"/>
      <w:ind w:left="540" w:leftChars="257" w:firstLine="360" w:firstLineChars="150"/>
    </w:pPr>
    <w:rPr>
      <w:kern w:val="0"/>
      <w:sz w:val="20"/>
      <w:szCs w:val="20"/>
    </w:rPr>
  </w:style>
  <w:style w:type="paragraph" w:styleId="5">
    <w:name w:val="Plain Text"/>
    <w:basedOn w:val="1"/>
    <w:link w:val="10"/>
    <w:unhideWhenUsed/>
    <w:uiPriority w:val="99"/>
    <w:pPr>
      <w:adjustRightInd w:val="0"/>
      <w:spacing w:line="312" w:lineRule="atLeast"/>
      <w:textAlignment w:val="baseline"/>
    </w:pPr>
    <w:rPr>
      <w:rFonts w:ascii="宋体" w:hAnsi="Courier New" w:cs="宋体"/>
      <w:kern w:val="0"/>
      <w:sz w:val="20"/>
      <w:szCs w:val="20"/>
    </w:rPr>
  </w:style>
  <w:style w:type="character" w:customStyle="1" w:styleId="8">
    <w:name w:val="标题 2 Char"/>
    <w:basedOn w:val="7"/>
    <w:link w:val="4"/>
    <w:uiPriority w:val="99"/>
    <w:rPr>
      <w:rFonts w:ascii="黑体" w:hAnsi="Arial" w:eastAsia="黑体" w:cs="宋体"/>
      <w:kern w:val="0"/>
      <w:sz w:val="28"/>
      <w:szCs w:val="28"/>
    </w:rPr>
  </w:style>
  <w:style w:type="character" w:customStyle="1" w:styleId="9">
    <w:name w:val="正文文本缩进 Char"/>
    <w:basedOn w:val="7"/>
    <w:link w:val="3"/>
    <w:uiPriority w:val="99"/>
    <w:rPr>
      <w:rFonts w:ascii="Times New Roman" w:hAnsi="Times New Roman" w:eastAsia="宋体" w:cs="Times New Roman"/>
      <w:kern w:val="0"/>
      <w:sz w:val="20"/>
      <w:szCs w:val="20"/>
    </w:rPr>
  </w:style>
  <w:style w:type="character" w:customStyle="1" w:styleId="10">
    <w:name w:val="纯文本 Char"/>
    <w:basedOn w:val="7"/>
    <w:link w:val="5"/>
    <w:qFormat/>
    <w:uiPriority w:val="99"/>
    <w:rPr>
      <w:rFonts w:ascii="宋体" w:hAnsi="Courier New" w:eastAsia="宋体" w:cs="宋体"/>
      <w:kern w:val="0"/>
      <w:sz w:val="20"/>
      <w:szCs w:val="20"/>
    </w:rPr>
  </w:style>
  <w:style w:type="character" w:customStyle="1" w:styleId="11">
    <w:name w:val="正文首行缩进 2 Char"/>
    <w:basedOn w:val="9"/>
    <w:link w:val="2"/>
    <w:semiHidden/>
    <w:qFormat/>
    <w:uiPriority w:val="99"/>
    <w:rPr>
      <w:rFonts w:ascii="Times New Roman" w:hAnsi="Times New Roman" w:eastAsia="宋体" w:cs="Times New Roman"/>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2550</Words>
  <Characters>2708</Characters>
  <Lines>19</Lines>
  <Paragraphs>5</Paragraphs>
  <TotalTime>0</TotalTime>
  <ScaleCrop>false</ScaleCrop>
  <LinksUpToDate>false</LinksUpToDate>
  <CharactersWithSpaces>2729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2022-06-30T09:12:00Z</dcterms:created>
  <dc:creator>陈玮良</dc:creator>
  <cp:lastModifiedBy>陈陈</cp:lastModifiedBy>
  <dcterms:modified xsi:type="dcterms:W3CDTF">2022-06-30T09:37:27Z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CA14B497F8234782A938CADA2ADC7BD9</vt:lpwstr>
  </property>
</Properties>
</file>