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Courier New" w:eastAsia="黑体"/>
          <w:b/>
          <w:bCs/>
          <w:color w:val="000000" w:themeColor="text1"/>
          <w:spacing w:val="36"/>
          <w:sz w:val="44"/>
          <w:szCs w:val="44"/>
          <w:u w:val="single"/>
          <w14:textFill>
            <w14:solidFill>
              <w14:schemeClr w14:val="tx1"/>
            </w14:solidFill>
          </w14:textFill>
        </w:rPr>
      </w:pPr>
      <w:bookmarkStart w:id="435" w:name="_GoBack"/>
      <w:bookmarkEnd w:id="435"/>
      <w:bookmarkStart w:id="0" w:name="法定代表人或其委托代理人封面"/>
    </w:p>
    <w:p>
      <w:pPr>
        <w:jc w:val="center"/>
        <w:rPr>
          <w:rFonts w:ascii="黑体" w:hAnsi="Courier New" w:eastAsia="黑体"/>
          <w:b/>
          <w:bCs/>
          <w:color w:val="000000" w:themeColor="text1"/>
          <w:spacing w:val="36"/>
          <w:sz w:val="44"/>
          <w:szCs w:val="44"/>
          <w:u w:val="single"/>
          <w14:textFill>
            <w14:solidFill>
              <w14:schemeClr w14:val="tx1"/>
            </w14:solidFill>
          </w14:textFill>
        </w:rPr>
      </w:pPr>
    </w:p>
    <w:p>
      <w:pPr>
        <w:jc w:val="center"/>
        <w:rPr>
          <w:rFonts w:ascii="黑体" w:hAnsi="Courier New" w:eastAsia="黑体"/>
          <w:bCs/>
          <w:color w:val="000000" w:themeColor="text1"/>
          <w:spacing w:val="36"/>
          <w:sz w:val="44"/>
          <w:szCs w:val="44"/>
          <w:u w:val="single"/>
          <w14:textFill>
            <w14:solidFill>
              <w14:schemeClr w14:val="tx1"/>
            </w14:solidFill>
          </w14:textFill>
        </w:rPr>
      </w:pPr>
      <w:r>
        <w:rPr>
          <w:rFonts w:hint="eastAsia" w:ascii="黑体" w:hAnsi="Courier New" w:eastAsia="黑体"/>
          <w:bCs/>
          <w:color w:val="000000" w:themeColor="text1"/>
          <w:spacing w:val="36"/>
          <w:sz w:val="44"/>
          <w:szCs w:val="44"/>
          <w:u w:val="single"/>
          <w14:textFill>
            <w14:solidFill>
              <w14:schemeClr w14:val="tx1"/>
            </w14:solidFill>
          </w14:textFill>
        </w:rPr>
        <w:t>轨道交通四期综合开发项目（四）土壤环境初步调查</w:t>
      </w:r>
    </w:p>
    <w:p>
      <w:pPr>
        <w:spacing w:line="840" w:lineRule="exact"/>
        <w:jc w:val="center"/>
        <w:rPr>
          <w:rFonts w:ascii="宋体" w:hAnsi="宋体" w:eastAsia="黑体" w:cs="宋体"/>
          <w:b/>
          <w:color w:val="000000" w:themeColor="text1"/>
          <w:kern w:val="0"/>
          <w:sz w:val="28"/>
          <w:szCs w:val="28"/>
          <w14:textFill>
            <w14:solidFill>
              <w14:schemeClr w14:val="tx1"/>
            </w14:solidFill>
          </w14:textFill>
        </w:rPr>
      </w:pPr>
    </w:p>
    <w:p>
      <w:pPr>
        <w:spacing w:line="400" w:lineRule="atLeast"/>
        <w:jc w:val="center"/>
        <w:rPr>
          <w:b/>
          <w:color w:val="000000" w:themeColor="text1"/>
          <w14:textFill>
            <w14:solidFill>
              <w14:schemeClr w14:val="tx1"/>
            </w14:solidFill>
          </w14:textFill>
        </w:rPr>
      </w:pPr>
    </w:p>
    <w:p>
      <w:pPr>
        <w:spacing w:line="400" w:lineRule="atLeast"/>
        <w:jc w:val="center"/>
        <w:rPr>
          <w:b/>
          <w:color w:val="000000" w:themeColor="text1"/>
          <w14:textFill>
            <w14:solidFill>
              <w14:schemeClr w14:val="tx1"/>
            </w14:solidFill>
          </w14:textFill>
        </w:rPr>
      </w:pPr>
    </w:p>
    <w:p>
      <w:pPr>
        <w:spacing w:line="400" w:lineRule="atLeast"/>
        <w:jc w:val="center"/>
        <w:rPr>
          <w:rFonts w:ascii="黑体" w:hAnsi="Courier New" w:eastAsia="黑体"/>
          <w:bCs/>
          <w:color w:val="000000" w:themeColor="text1"/>
          <w:spacing w:val="36"/>
          <w:kern w:val="10"/>
          <w:sz w:val="84"/>
          <w:szCs w:val="84"/>
          <w14:textFill>
            <w14:solidFill>
              <w14:schemeClr w14:val="tx1"/>
            </w14:solidFill>
          </w14:textFill>
        </w:rPr>
      </w:pPr>
      <w:r>
        <w:rPr>
          <w:rFonts w:hint="eastAsia" w:ascii="黑体" w:hAnsi="Courier New" w:eastAsia="黑体"/>
          <w:bCs/>
          <w:color w:val="000000" w:themeColor="text1"/>
          <w:spacing w:val="36"/>
          <w:kern w:val="10"/>
          <w:sz w:val="84"/>
          <w:szCs w:val="84"/>
          <w14:textFill>
            <w14:solidFill>
              <w14:schemeClr w14:val="tx1"/>
            </w14:solidFill>
          </w14:textFill>
        </w:rPr>
        <w:t>比选文件</w:t>
      </w:r>
    </w:p>
    <w:p>
      <w:pPr>
        <w:spacing w:line="400" w:lineRule="atLeast"/>
        <w:jc w:val="center"/>
        <w:rPr>
          <w:b/>
          <w:color w:val="000000" w:themeColor="text1"/>
          <w:sz w:val="36"/>
          <w14:textFill>
            <w14:solidFill>
              <w14:schemeClr w14:val="tx1"/>
            </w14:solidFill>
          </w14:textFill>
        </w:rPr>
      </w:pPr>
    </w:p>
    <w:p>
      <w:pPr>
        <w:pStyle w:val="8"/>
        <w:jc w:val="center"/>
        <w:rPr>
          <w:color w:val="000000" w:themeColor="text1"/>
          <w:sz w:val="23"/>
          <w:szCs w:val="23"/>
          <w14:textFill>
            <w14:solidFill>
              <w14:schemeClr w14:val="tx1"/>
            </w14:solidFill>
          </w14:textFill>
        </w:rPr>
      </w:pPr>
    </w:p>
    <w:p>
      <w:pPr>
        <w:pStyle w:val="8"/>
        <w:jc w:val="center"/>
        <w:rPr>
          <w:b/>
          <w:color w:val="000000" w:themeColor="text1"/>
          <w:sz w:val="32"/>
          <w:szCs w:val="32"/>
          <w14:textFill>
            <w14:solidFill>
              <w14:schemeClr w14:val="tx1"/>
            </w14:solidFill>
          </w14:textFill>
        </w:rPr>
      </w:pPr>
    </w:p>
    <w:p>
      <w:pPr>
        <w:pStyle w:val="8"/>
        <w:jc w:val="center"/>
        <w:rPr>
          <w:b/>
          <w:color w:val="000000" w:themeColor="text1"/>
          <w:sz w:val="32"/>
          <w:szCs w:val="32"/>
          <w14:textFill>
            <w14:solidFill>
              <w14:schemeClr w14:val="tx1"/>
            </w14:solidFill>
          </w14:textFill>
        </w:rPr>
      </w:pPr>
    </w:p>
    <w:p>
      <w:pPr>
        <w:pStyle w:val="8"/>
        <w:jc w:val="center"/>
        <w:rPr>
          <w:b/>
          <w:color w:val="000000" w:themeColor="text1"/>
          <w:sz w:val="32"/>
          <w:szCs w:val="32"/>
          <w14:textFill>
            <w14:solidFill>
              <w14:schemeClr w14:val="tx1"/>
            </w14:solidFill>
          </w14:textFill>
        </w:rPr>
      </w:pPr>
    </w:p>
    <w:p>
      <w:pPr>
        <w:pStyle w:val="8"/>
        <w:jc w:val="center"/>
        <w:rPr>
          <w:b/>
          <w:color w:val="000000" w:themeColor="text1"/>
          <w:sz w:val="32"/>
          <w:szCs w:val="32"/>
          <w14:textFill>
            <w14:solidFill>
              <w14:schemeClr w14:val="tx1"/>
            </w14:solidFill>
          </w14:textFill>
        </w:rPr>
      </w:pPr>
    </w:p>
    <w:p>
      <w:pPr>
        <w:pStyle w:val="8"/>
        <w:snapToGrid w:val="0"/>
        <w:spacing w:line="480" w:lineRule="auto"/>
        <w:ind w:firstLine="1259" w:firstLineChars="273"/>
        <w:rPr>
          <w:rFonts w:ascii="黑体" w:eastAsia="黑体"/>
          <w:b/>
          <w:bCs/>
          <w:color w:val="000000" w:themeColor="text1"/>
          <w:spacing w:val="70"/>
          <w:sz w:val="32"/>
          <w:szCs w:val="32"/>
          <w14:textFill>
            <w14:solidFill>
              <w14:schemeClr w14:val="tx1"/>
            </w14:solidFill>
          </w14:textFill>
        </w:rPr>
      </w:pPr>
    </w:p>
    <w:p>
      <w:pPr>
        <w:pStyle w:val="8"/>
        <w:snapToGrid w:val="0"/>
        <w:spacing w:line="480" w:lineRule="auto"/>
        <w:ind w:firstLine="1259" w:firstLineChars="273"/>
        <w:rPr>
          <w:rFonts w:ascii="黑体" w:eastAsia="黑体"/>
          <w:b/>
          <w:bCs/>
          <w:color w:val="000000" w:themeColor="text1"/>
          <w:spacing w:val="70"/>
          <w:sz w:val="32"/>
          <w:szCs w:val="32"/>
          <w14:textFill>
            <w14:solidFill>
              <w14:schemeClr w14:val="tx1"/>
            </w14:solidFill>
          </w14:textFill>
        </w:rPr>
      </w:pPr>
    </w:p>
    <w:p>
      <w:pPr>
        <w:pStyle w:val="8"/>
        <w:snapToGrid w:val="0"/>
        <w:spacing w:line="480" w:lineRule="auto"/>
        <w:jc w:val="center"/>
        <w:rPr>
          <w:rFonts w:ascii="黑体" w:eastAsia="黑体"/>
          <w:bCs/>
          <w:color w:val="000000" w:themeColor="text1"/>
          <w:sz w:val="32"/>
          <w:szCs w:val="32"/>
          <w14:textFill>
            <w14:solidFill>
              <w14:schemeClr w14:val="tx1"/>
            </w14:solidFill>
          </w14:textFill>
        </w:rPr>
      </w:pPr>
      <w:r>
        <w:rPr>
          <w:rFonts w:hint="eastAsia" w:ascii="黑体" w:eastAsia="黑体"/>
          <w:bCs/>
          <w:color w:val="000000" w:themeColor="text1"/>
          <w:spacing w:val="70"/>
          <w:sz w:val="32"/>
          <w:szCs w:val="32"/>
          <w14:textFill>
            <w14:solidFill>
              <w14:schemeClr w14:val="tx1"/>
            </w14:solidFill>
          </w14:textFill>
        </w:rPr>
        <w:t>比选人：</w:t>
      </w:r>
      <w:r>
        <w:rPr>
          <w:rFonts w:hint="eastAsia" w:ascii="黑体" w:eastAsia="黑体"/>
          <w:bCs/>
          <w:color w:val="000000" w:themeColor="text1"/>
          <w:sz w:val="32"/>
          <w:szCs w:val="32"/>
          <w:u w:val="single"/>
          <w14:textFill>
            <w14:solidFill>
              <w14:schemeClr w14:val="tx1"/>
            </w14:solidFill>
          </w14:textFill>
        </w:rPr>
        <w:t>深圳市地铁集团有限公司</w:t>
      </w:r>
    </w:p>
    <w:p>
      <w:pPr>
        <w:pStyle w:val="8"/>
        <w:snapToGrid w:val="0"/>
        <w:spacing w:line="480" w:lineRule="auto"/>
        <w:ind w:firstLine="1600" w:firstLineChars="500"/>
        <w:rPr>
          <w:rFonts w:ascii="黑体" w:eastAsia="黑体"/>
          <w:bCs/>
          <w:color w:val="000000" w:themeColor="text1"/>
          <w:sz w:val="32"/>
          <w:szCs w:val="32"/>
          <w:u w:val="single"/>
          <w14:textFill>
            <w14:solidFill>
              <w14:schemeClr w14:val="tx1"/>
            </w14:solidFill>
          </w14:textFill>
        </w:rPr>
      </w:pPr>
      <w:r>
        <w:rPr>
          <w:rFonts w:hint="eastAsia" w:ascii="黑体" w:eastAsia="黑体"/>
          <w:bCs/>
          <w:color w:val="000000" w:themeColor="text1"/>
          <w:sz w:val="32"/>
          <w:szCs w:val="32"/>
          <w14:textFill>
            <w14:solidFill>
              <w14:schemeClr w14:val="tx1"/>
            </w14:solidFill>
          </w14:textFill>
        </w:rPr>
        <w:t>法定代表人：</w:t>
      </w:r>
      <w:r>
        <w:rPr>
          <w:rFonts w:hint="eastAsia" w:ascii="黑体" w:eastAsia="黑体"/>
          <w:bCs/>
          <w:color w:val="000000" w:themeColor="text1"/>
          <w:sz w:val="32"/>
          <w:szCs w:val="32"/>
          <w:u w:val="single"/>
          <w14:textFill>
            <w14:solidFill>
              <w14:schemeClr w14:val="tx1"/>
            </w14:solidFill>
          </w14:textFill>
        </w:rPr>
        <w:t xml:space="preserve">         辛杰         </w:t>
      </w:r>
    </w:p>
    <w:p>
      <w:pPr>
        <w:jc w:val="center"/>
        <w:rPr>
          <w:rFonts w:ascii="黑体" w:eastAsia="黑体"/>
          <w:bCs/>
          <w:color w:val="000000" w:themeColor="text1"/>
          <w:sz w:val="32"/>
          <w:szCs w:val="32"/>
          <w14:textFill>
            <w14:solidFill>
              <w14:schemeClr w14:val="tx1"/>
            </w14:solidFill>
          </w14:textFill>
        </w:rPr>
      </w:pPr>
    </w:p>
    <w:p>
      <w:pPr>
        <w:jc w:val="center"/>
        <w:rPr>
          <w:rFonts w:ascii="宋体" w:hAnsi="宋体"/>
          <w:bCs/>
          <w:color w:val="000000" w:themeColor="text1"/>
          <w:sz w:val="32"/>
          <w:szCs w:val="32"/>
          <w14:textFill>
            <w14:solidFill>
              <w14:schemeClr w14:val="tx1"/>
            </w14:solidFill>
          </w14:textFill>
        </w:rPr>
      </w:pPr>
      <w:r>
        <w:rPr>
          <w:rFonts w:hint="eastAsia" w:ascii="宋体" w:hAnsi="宋体"/>
          <w:bCs/>
          <w:color w:val="000000" w:themeColor="text1"/>
          <w:sz w:val="32"/>
          <w:szCs w:val="32"/>
          <w14:textFill>
            <w14:solidFill>
              <w14:schemeClr w14:val="tx1"/>
            </w14:solidFill>
          </w14:textFill>
        </w:rPr>
        <w:t>二〇二二年四月</w:t>
      </w:r>
      <w:bookmarkStart w:id="1" w:name="_Toc188623169"/>
      <w:bookmarkStart w:id="2" w:name="_Toc385992323"/>
      <w:bookmarkStart w:id="3" w:name="_Toc497549383"/>
      <w:bookmarkStart w:id="4" w:name="_Toc389620163"/>
    </w:p>
    <w:p>
      <w:pPr>
        <w:pStyle w:val="19"/>
        <w:tabs>
          <w:tab w:val="right" w:leader="dot" w:pos="9026"/>
        </w:tabs>
        <w:rPr>
          <w:rFonts w:ascii="宋体" w:hAnsi="宋体"/>
          <w:color w:val="000000" w:themeColor="text1"/>
          <w:sz w:val="24"/>
          <w14:textFill>
            <w14:solidFill>
              <w14:schemeClr w14:val="tx1"/>
            </w14:solidFill>
          </w14:textFill>
        </w:rPr>
        <w:sectPr>
          <w:headerReference r:id="rId4" w:type="first"/>
          <w:headerReference r:id="rId3" w:type="default"/>
          <w:footerReference r:id="rId5" w:type="default"/>
          <w:footerReference r:id="rId6" w:type="even"/>
          <w:pgSz w:w="11906" w:h="16838"/>
          <w:pgMar w:top="1440" w:right="1440" w:bottom="1440" w:left="1440" w:header="720" w:footer="890" w:gutter="0"/>
          <w:pgNumType w:start="1"/>
          <w:cols w:space="720" w:num="1"/>
          <w:titlePg/>
          <w:docGrid w:linePitch="312" w:charSpace="0"/>
        </w:sectPr>
      </w:pPr>
    </w:p>
    <w:p>
      <w:pPr>
        <w:pStyle w:val="12"/>
        <w:tabs>
          <w:tab w:val="right" w:leader="dot" w:pos="9016"/>
        </w:tabs>
        <w:spacing w:line="240" w:lineRule="auto"/>
        <w:ind w:firstLine="602"/>
        <w:jc w:val="center"/>
        <w:rPr>
          <w:rFonts w:ascii="黑体" w:hAnsi="黑体"/>
          <w:b/>
          <w:bCs/>
          <w:color w:val="000000" w:themeColor="text1"/>
          <w:kern w:val="0"/>
          <w:sz w:val="30"/>
          <w:szCs w:val="30"/>
          <w14:textFill>
            <w14:solidFill>
              <w14:schemeClr w14:val="tx1"/>
            </w14:solidFill>
          </w14:textFill>
        </w:rPr>
      </w:pPr>
      <w:r>
        <w:rPr>
          <w:rFonts w:hint="eastAsia" w:ascii="黑体" w:hAnsi="黑体"/>
          <w:b/>
          <w:bCs/>
          <w:color w:val="000000" w:themeColor="text1"/>
          <w:kern w:val="0"/>
          <w:sz w:val="30"/>
          <w:szCs w:val="30"/>
          <w14:textFill>
            <w14:solidFill>
              <w14:schemeClr w14:val="tx1"/>
            </w14:solidFill>
          </w14:textFill>
        </w:rPr>
        <w:t>目录</w:t>
      </w:r>
    </w:p>
    <w:p>
      <w:pPr>
        <w:pStyle w:val="12"/>
        <w:tabs>
          <w:tab w:val="right" w:leader="dot" w:pos="9016"/>
        </w:tabs>
        <w:spacing w:line="240" w:lineRule="auto"/>
        <w:ind w:firstLine="482"/>
        <w:rPr>
          <w:rFonts w:ascii="宋体" w:hAnsi="宋体" w:eastAsia="宋体"/>
          <w:b/>
          <w:bCs/>
          <w:color w:val="000000" w:themeColor="text1"/>
          <w:kern w:val="0"/>
          <w14:textFill>
            <w14:solidFill>
              <w14:schemeClr w14:val="tx1"/>
            </w14:solidFill>
          </w14:textFill>
        </w:rPr>
      </w:pPr>
    </w:p>
    <w:p>
      <w:pPr>
        <w:pStyle w:val="12"/>
        <w:tabs>
          <w:tab w:val="right" w:leader="dot" w:pos="9016"/>
        </w:tabs>
        <w:spacing w:line="240" w:lineRule="auto"/>
        <w:ind w:firstLine="480"/>
        <w:rPr>
          <w:rFonts w:ascii="宋体" w:hAnsi="宋体" w:eastAsia="宋体" w:cstheme="minorBidi"/>
          <w:color w:val="auto"/>
          <w:sz w:val="21"/>
        </w:rPr>
      </w:pPr>
      <w:r>
        <w:rPr>
          <w:rFonts w:hint="eastAsia" w:ascii="宋体" w:hAnsi="宋体" w:eastAsia="宋体"/>
          <w:color w:val="000000" w:themeColor="text1"/>
          <w:kern w:val="0"/>
          <w14:textFill>
            <w14:solidFill>
              <w14:schemeClr w14:val="tx1"/>
            </w14:solidFill>
          </w14:textFill>
        </w:rPr>
        <w:fldChar w:fldCharType="begin"/>
      </w:r>
      <w:r>
        <w:rPr>
          <w:rFonts w:hint="eastAsia" w:ascii="宋体" w:hAnsi="宋体" w:eastAsia="宋体"/>
          <w:color w:val="000000" w:themeColor="text1"/>
          <w14:textFill>
            <w14:solidFill>
              <w14:schemeClr w14:val="tx1"/>
            </w14:solidFill>
          </w14:textFill>
        </w:rPr>
        <w:instrText xml:space="preserve">TOC \o "1-1" \h \u </w:instrText>
      </w:r>
      <w:r>
        <w:rPr>
          <w:rFonts w:hint="eastAsia" w:ascii="宋体" w:hAnsi="宋体" w:eastAsia="宋体"/>
          <w:color w:val="000000" w:themeColor="text1"/>
          <w:kern w:val="0"/>
          <w14:textFill>
            <w14:solidFill>
              <w14:schemeClr w14:val="tx1"/>
            </w14:solidFill>
          </w14:textFill>
        </w:rPr>
        <w:fldChar w:fldCharType="separate"/>
      </w:r>
      <w:r>
        <w:fldChar w:fldCharType="begin"/>
      </w:r>
      <w:r>
        <w:instrText xml:space="preserve"> HYPERLINK \l "_Toc97605298" </w:instrText>
      </w:r>
      <w:r>
        <w:fldChar w:fldCharType="separate"/>
      </w:r>
      <w:r>
        <w:rPr>
          <w:rStyle w:val="18"/>
          <w:rFonts w:ascii="宋体" w:hAnsi="宋体" w:eastAsia="宋体"/>
        </w:rPr>
        <w:t>参选文件无效和废标的情形摘要</w:t>
      </w:r>
      <w:r>
        <w:rPr>
          <w:rFonts w:ascii="宋体" w:hAnsi="宋体" w:eastAsia="宋体"/>
        </w:rPr>
        <w:tab/>
      </w:r>
      <w:r>
        <w:rPr>
          <w:rFonts w:ascii="宋体" w:hAnsi="宋体" w:eastAsia="宋体"/>
        </w:rPr>
        <w:fldChar w:fldCharType="begin"/>
      </w:r>
      <w:r>
        <w:rPr>
          <w:rFonts w:ascii="宋体" w:hAnsi="宋体" w:eastAsia="宋体"/>
        </w:rPr>
        <w:instrText xml:space="preserve"> PAGEREF _Toc97605298 \h </w:instrText>
      </w:r>
      <w:r>
        <w:rPr>
          <w:rFonts w:ascii="宋体" w:hAnsi="宋体" w:eastAsia="宋体"/>
        </w:rPr>
        <w:fldChar w:fldCharType="separate"/>
      </w:r>
      <w:r>
        <w:rPr>
          <w:rFonts w:ascii="宋体" w:hAnsi="宋体" w:eastAsia="宋体"/>
        </w:rPr>
        <w:t>3</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"_Toc97605299" </w:instrText>
      </w:r>
      <w:r>
        <w:fldChar w:fldCharType="separate"/>
      </w:r>
      <w:r>
        <w:rPr>
          <w:rStyle w:val="18"/>
          <w:rFonts w:ascii="宋体" w:hAnsi="宋体" w:eastAsia="宋体"/>
          <w:b/>
          <w:bCs/>
        </w:rPr>
        <w:t>第一篇  参选须知</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_Toc97605299 \h </w:instrText>
      </w:r>
      <w:r>
        <w:rPr>
          <w:rFonts w:ascii="宋体" w:hAnsi="宋体" w:eastAsia="宋体"/>
          <w:b/>
          <w:bCs/>
        </w:rPr>
        <w:fldChar w:fldCharType="separate"/>
      </w:r>
      <w:r>
        <w:rPr>
          <w:rFonts w:ascii="宋体" w:hAnsi="宋体" w:eastAsia="宋体"/>
          <w:b/>
          <w:bCs/>
        </w:rPr>
        <w:t>5</w:t>
      </w:r>
      <w:r>
        <w:rPr>
          <w:rFonts w:ascii="宋体" w:hAnsi="宋体" w:eastAsia="宋体"/>
          <w:b/>
          <w:bCs/>
        </w:rPr>
        <w:fldChar w:fldCharType="end"/>
      </w:r>
      <w:r>
        <w:rPr>
          <w:rFonts w:ascii="宋体" w:hAnsi="宋体" w:eastAsia="宋体"/>
          <w:b/>
          <w:bCs/>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"_Toc97605300" </w:instrText>
      </w:r>
      <w:r>
        <w:fldChar w:fldCharType="separate"/>
      </w:r>
      <w:r>
        <w:rPr>
          <w:rStyle w:val="18"/>
          <w:rFonts w:ascii="宋体" w:hAnsi="宋体" w:eastAsia="宋体"/>
        </w:rPr>
        <w:t>第一章 总则</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_Toc97605300 \h </w:instrText>
      </w:r>
      <w:r>
        <w:rPr>
          <w:rFonts w:ascii="宋体" w:hAnsi="宋体" w:eastAsia="宋体"/>
        </w:rPr>
        <w:fldChar w:fldCharType="separate"/>
      </w:r>
      <w:r>
        <w:rPr>
          <w:rFonts w:ascii="宋体" w:hAnsi="宋体" w:eastAsia="宋体"/>
        </w:rPr>
        <w:t>5</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"_Toc97605301" </w:instrText>
      </w:r>
      <w:r>
        <w:fldChar w:fldCharType="separate"/>
      </w:r>
      <w:r>
        <w:rPr>
          <w:rStyle w:val="18"/>
          <w:rFonts w:ascii="宋体" w:hAnsi="宋体" w:eastAsia="宋体"/>
        </w:rPr>
        <w:t>第二章  比选文件</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_Toc97605301 \h </w:instrText>
      </w:r>
      <w:r>
        <w:rPr>
          <w:rFonts w:ascii="宋体" w:hAnsi="宋体" w:eastAsia="宋体"/>
        </w:rPr>
        <w:fldChar w:fldCharType="separate"/>
      </w:r>
      <w:r>
        <w:rPr>
          <w:rFonts w:ascii="宋体" w:hAnsi="宋体" w:eastAsia="宋体"/>
        </w:rPr>
        <w:t>9</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"_Toc97605302" </w:instrText>
      </w:r>
      <w:r>
        <w:fldChar w:fldCharType="separate"/>
      </w:r>
      <w:r>
        <w:rPr>
          <w:rStyle w:val="18"/>
          <w:rFonts w:ascii="宋体" w:hAnsi="宋体" w:eastAsia="宋体"/>
        </w:rPr>
        <w:t>第三章  参选文件的编写</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_Toc97605302 \h </w:instrText>
      </w:r>
      <w:r>
        <w:rPr>
          <w:rFonts w:ascii="宋体" w:hAnsi="宋体" w:eastAsia="宋体"/>
        </w:rPr>
        <w:fldChar w:fldCharType="separate"/>
      </w:r>
      <w:r>
        <w:rPr>
          <w:rFonts w:ascii="宋体" w:hAnsi="宋体" w:eastAsia="宋体"/>
        </w:rPr>
        <w:t>11</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"_Toc97605303" </w:instrText>
      </w:r>
      <w:r>
        <w:fldChar w:fldCharType="separate"/>
      </w:r>
      <w:r>
        <w:rPr>
          <w:rStyle w:val="18"/>
          <w:rFonts w:ascii="宋体" w:hAnsi="宋体" w:eastAsia="宋体"/>
        </w:rPr>
        <w:t>第四章 参选文件的签章及封装要求</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_Toc97605303 \h </w:instrText>
      </w:r>
      <w:r>
        <w:rPr>
          <w:rFonts w:ascii="宋体" w:hAnsi="宋体" w:eastAsia="宋体"/>
        </w:rPr>
        <w:fldChar w:fldCharType="separate"/>
      </w:r>
      <w:r>
        <w:rPr>
          <w:rFonts w:ascii="宋体" w:hAnsi="宋体" w:eastAsia="宋体"/>
        </w:rPr>
        <w:t>13</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"_Toc97605304" </w:instrText>
      </w:r>
      <w:r>
        <w:fldChar w:fldCharType="separate"/>
      </w:r>
      <w:r>
        <w:rPr>
          <w:rStyle w:val="18"/>
          <w:rFonts w:ascii="宋体" w:hAnsi="宋体" w:eastAsia="宋体"/>
        </w:rPr>
        <w:t>第五章 参选文件递交</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_Toc97605304 \h </w:instrText>
      </w:r>
      <w:r>
        <w:rPr>
          <w:rFonts w:ascii="宋体" w:hAnsi="宋体" w:eastAsia="宋体"/>
        </w:rPr>
        <w:fldChar w:fldCharType="separate"/>
      </w:r>
      <w:r>
        <w:rPr>
          <w:rFonts w:ascii="宋体" w:hAnsi="宋体" w:eastAsia="宋体"/>
        </w:rPr>
        <w:t>14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"_Toc97605305" </w:instrText>
      </w:r>
      <w:r>
        <w:fldChar w:fldCharType="separate"/>
      </w:r>
      <w:r>
        <w:rPr>
          <w:rStyle w:val="18"/>
          <w:rFonts w:ascii="宋体" w:hAnsi="宋体" w:eastAsia="宋体"/>
        </w:rPr>
        <w:t>第六章  参选有效期</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_Toc97605305 \h </w:instrText>
      </w:r>
      <w:r>
        <w:rPr>
          <w:rFonts w:ascii="宋体" w:hAnsi="宋体" w:eastAsia="宋体"/>
        </w:rPr>
        <w:fldChar w:fldCharType="separate"/>
      </w:r>
      <w:r>
        <w:rPr>
          <w:rFonts w:ascii="宋体" w:hAnsi="宋体" w:eastAsia="宋体"/>
        </w:rPr>
        <w:t>14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"_Toc97605306" </w:instrText>
      </w:r>
      <w:r>
        <w:fldChar w:fldCharType="separate"/>
      </w:r>
      <w:r>
        <w:rPr>
          <w:rStyle w:val="18"/>
          <w:rFonts w:ascii="宋体" w:hAnsi="宋体" w:eastAsia="宋体"/>
        </w:rPr>
        <w:t>第七章  开标</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_Toc97605306 \h </w:instrText>
      </w:r>
      <w:r>
        <w:rPr>
          <w:rFonts w:ascii="宋体" w:hAnsi="宋体" w:eastAsia="宋体"/>
        </w:rPr>
        <w:fldChar w:fldCharType="separate"/>
      </w:r>
      <w:r>
        <w:rPr>
          <w:rFonts w:ascii="宋体" w:hAnsi="宋体" w:eastAsia="宋体"/>
        </w:rPr>
        <w:t>14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"_Toc97605307" </w:instrText>
      </w:r>
      <w:r>
        <w:fldChar w:fldCharType="separate"/>
      </w:r>
      <w:r>
        <w:rPr>
          <w:rStyle w:val="18"/>
          <w:rFonts w:ascii="宋体" w:hAnsi="宋体" w:eastAsia="宋体"/>
        </w:rPr>
        <w:t>第八章 评标</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_Toc97605307 \h </w:instrText>
      </w:r>
      <w:r>
        <w:rPr>
          <w:rFonts w:ascii="宋体" w:hAnsi="宋体" w:eastAsia="宋体"/>
        </w:rPr>
        <w:fldChar w:fldCharType="separate"/>
      </w:r>
      <w:r>
        <w:rPr>
          <w:rFonts w:ascii="宋体" w:hAnsi="宋体" w:eastAsia="宋体"/>
        </w:rPr>
        <w:t>15</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"_Toc97605308" </w:instrText>
      </w:r>
      <w:r>
        <w:fldChar w:fldCharType="separate"/>
      </w:r>
      <w:r>
        <w:rPr>
          <w:rStyle w:val="18"/>
          <w:rFonts w:ascii="宋体" w:hAnsi="宋体" w:eastAsia="宋体"/>
        </w:rPr>
        <w:t>第九章  确定中选人</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_Toc97605308 \h </w:instrText>
      </w:r>
      <w:r>
        <w:rPr>
          <w:rFonts w:ascii="宋体" w:hAnsi="宋体" w:eastAsia="宋体"/>
        </w:rPr>
        <w:fldChar w:fldCharType="separate"/>
      </w:r>
      <w:r>
        <w:rPr>
          <w:rFonts w:ascii="宋体" w:hAnsi="宋体" w:eastAsia="宋体"/>
        </w:rPr>
        <w:t>16</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"_Toc97605309" </w:instrText>
      </w:r>
      <w:r>
        <w:fldChar w:fldCharType="separate"/>
      </w:r>
      <w:r>
        <w:rPr>
          <w:rStyle w:val="18"/>
          <w:rFonts w:ascii="宋体" w:hAnsi="宋体" w:eastAsia="宋体"/>
        </w:rPr>
        <w:t>第十章  合同的授予</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_Toc97605309 \h </w:instrText>
      </w:r>
      <w:r>
        <w:rPr>
          <w:rFonts w:ascii="宋体" w:hAnsi="宋体" w:eastAsia="宋体"/>
        </w:rPr>
        <w:fldChar w:fldCharType="separate"/>
      </w:r>
      <w:r>
        <w:rPr>
          <w:rFonts w:ascii="宋体" w:hAnsi="宋体" w:eastAsia="宋体"/>
        </w:rPr>
        <w:t>17</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"_Toc97605310" </w:instrText>
      </w:r>
      <w:r>
        <w:fldChar w:fldCharType="separate"/>
      </w:r>
      <w:r>
        <w:rPr>
          <w:rStyle w:val="18"/>
          <w:rFonts w:ascii="宋体" w:hAnsi="宋体" w:eastAsia="宋体"/>
        </w:rPr>
        <w:t>评 审 附 表</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_Toc97605310 \h </w:instrText>
      </w:r>
      <w:r>
        <w:rPr>
          <w:rFonts w:ascii="宋体" w:hAnsi="宋体" w:eastAsia="宋体"/>
        </w:rPr>
        <w:fldChar w:fldCharType="separate"/>
      </w:r>
      <w:r>
        <w:rPr>
          <w:rFonts w:ascii="宋体" w:hAnsi="宋体" w:eastAsia="宋体"/>
        </w:rPr>
        <w:t>22</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"_Toc97605311" </w:instrText>
      </w:r>
      <w:r>
        <w:fldChar w:fldCharType="separate"/>
      </w:r>
      <w:r>
        <w:rPr>
          <w:rStyle w:val="18"/>
          <w:rFonts w:ascii="宋体" w:hAnsi="宋体" w:eastAsia="宋体"/>
          <w:b/>
          <w:bCs/>
        </w:rPr>
        <w:t>第二篇  参选文件格式</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_Toc97605311 \h </w:instrText>
      </w:r>
      <w:r>
        <w:rPr>
          <w:rFonts w:ascii="宋体" w:hAnsi="宋体" w:eastAsia="宋体"/>
          <w:b/>
          <w:bCs/>
        </w:rPr>
        <w:fldChar w:fldCharType="separate"/>
      </w:r>
      <w:r>
        <w:rPr>
          <w:rFonts w:ascii="宋体" w:hAnsi="宋体" w:eastAsia="宋体"/>
          <w:b/>
          <w:bCs/>
        </w:rPr>
        <w:t>33</w:t>
      </w:r>
      <w:r>
        <w:rPr>
          <w:rFonts w:ascii="宋体" w:hAnsi="宋体" w:eastAsia="宋体"/>
          <w:b/>
          <w:bCs/>
        </w:rPr>
        <w:fldChar w:fldCharType="end"/>
      </w:r>
      <w:r>
        <w:rPr>
          <w:rFonts w:ascii="宋体" w:hAnsi="宋体" w:eastAsia="宋体"/>
          <w:b/>
          <w:bCs/>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"_Toc97605312" </w:instrText>
      </w:r>
      <w:r>
        <w:fldChar w:fldCharType="separate"/>
      </w:r>
      <w:r>
        <w:rPr>
          <w:rStyle w:val="18"/>
          <w:rFonts w:ascii="宋体" w:hAnsi="宋体" w:eastAsia="宋体"/>
          <w:kern w:val="0"/>
        </w:rPr>
        <w:t>第一章 资格审查文件</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_Toc97605312 \h </w:instrText>
      </w:r>
      <w:r>
        <w:rPr>
          <w:rFonts w:ascii="宋体" w:hAnsi="宋体" w:eastAsia="宋体"/>
        </w:rPr>
        <w:fldChar w:fldCharType="separate"/>
      </w:r>
      <w:r>
        <w:rPr>
          <w:rFonts w:ascii="宋体" w:hAnsi="宋体" w:eastAsia="宋体"/>
        </w:rPr>
        <w:t>34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"_Toc97605313" </w:instrText>
      </w:r>
      <w:r>
        <w:fldChar w:fldCharType="separate"/>
      </w:r>
      <w:r>
        <w:rPr>
          <w:rStyle w:val="18"/>
          <w:rFonts w:ascii="宋体" w:hAnsi="宋体" w:eastAsia="宋体"/>
          <w:kern w:val="0"/>
        </w:rPr>
        <w:t>第二章</w:t>
      </w:r>
      <w:r>
        <w:rPr>
          <w:rStyle w:val="18"/>
          <w:rFonts w:ascii="宋体" w:hAnsi="宋体" w:eastAsia="宋体"/>
        </w:rPr>
        <w:t xml:space="preserve"> 技术标书</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_Toc97605313 \h </w:instrText>
      </w:r>
      <w:r>
        <w:rPr>
          <w:rFonts w:ascii="宋体" w:hAnsi="宋体" w:eastAsia="宋体"/>
        </w:rPr>
        <w:fldChar w:fldCharType="separate"/>
      </w:r>
      <w:r>
        <w:rPr>
          <w:rFonts w:ascii="宋体" w:hAnsi="宋体" w:eastAsia="宋体"/>
        </w:rPr>
        <w:t>43</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"_Toc97605314" </w:instrText>
      </w:r>
      <w:r>
        <w:fldChar w:fldCharType="separate"/>
      </w:r>
      <w:r>
        <w:rPr>
          <w:rStyle w:val="18"/>
          <w:rFonts w:ascii="宋体" w:hAnsi="宋体" w:eastAsia="宋体"/>
          <w:kern w:val="0"/>
        </w:rPr>
        <w:t>第三章 商务标书</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_Toc97605314 \h </w:instrText>
      </w:r>
      <w:r>
        <w:rPr>
          <w:rFonts w:ascii="宋体" w:hAnsi="宋体" w:eastAsia="宋体"/>
        </w:rPr>
        <w:fldChar w:fldCharType="separate"/>
      </w:r>
      <w:r>
        <w:rPr>
          <w:rFonts w:ascii="宋体" w:hAnsi="宋体" w:eastAsia="宋体"/>
        </w:rPr>
        <w:t>48</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"_Toc97605315" </w:instrText>
      </w:r>
      <w:r>
        <w:fldChar w:fldCharType="separate"/>
      </w:r>
      <w:r>
        <w:rPr>
          <w:rStyle w:val="18"/>
          <w:rFonts w:ascii="宋体" w:hAnsi="宋体" w:eastAsia="宋体"/>
          <w:b/>
          <w:bCs/>
        </w:rPr>
        <w:t>第三篇   合 同</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_Toc97605315 \h </w:instrText>
      </w:r>
      <w:r>
        <w:rPr>
          <w:rFonts w:ascii="宋体" w:hAnsi="宋体" w:eastAsia="宋体"/>
          <w:b/>
          <w:bCs/>
        </w:rPr>
        <w:fldChar w:fldCharType="separate"/>
      </w:r>
      <w:r>
        <w:rPr>
          <w:rFonts w:ascii="宋体" w:hAnsi="宋体" w:eastAsia="宋体"/>
          <w:b/>
          <w:bCs/>
        </w:rPr>
        <w:t>53</w:t>
      </w:r>
      <w:r>
        <w:rPr>
          <w:rFonts w:ascii="宋体" w:hAnsi="宋体" w:eastAsia="宋体"/>
          <w:b/>
          <w:bCs/>
        </w:rPr>
        <w:fldChar w:fldCharType="end"/>
      </w:r>
      <w:r>
        <w:rPr>
          <w:rFonts w:ascii="宋体" w:hAnsi="宋体" w:eastAsia="宋体"/>
          <w:b/>
          <w:bCs/>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"_Toc97605316" </w:instrText>
      </w:r>
      <w:r>
        <w:fldChar w:fldCharType="separate"/>
      </w:r>
      <w:r>
        <w:rPr>
          <w:rStyle w:val="18"/>
          <w:rFonts w:ascii="宋体" w:hAnsi="宋体" w:eastAsia="宋体"/>
          <w:spacing w:val="18"/>
        </w:rPr>
        <w:t>一、服务范围及要求</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_Toc97605316 \h </w:instrText>
      </w:r>
      <w:r>
        <w:rPr>
          <w:rFonts w:ascii="宋体" w:hAnsi="宋体" w:eastAsia="宋体"/>
        </w:rPr>
        <w:fldChar w:fldCharType="separate"/>
      </w:r>
      <w:r>
        <w:rPr>
          <w:rFonts w:ascii="宋体" w:hAnsi="宋体" w:eastAsia="宋体"/>
        </w:rPr>
        <w:t>54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"_Toc97605317" </w:instrText>
      </w:r>
      <w:r>
        <w:fldChar w:fldCharType="separate"/>
      </w:r>
      <w:r>
        <w:rPr>
          <w:rStyle w:val="18"/>
          <w:rFonts w:ascii="宋体" w:hAnsi="宋体" w:eastAsia="宋体"/>
          <w:spacing w:val="18"/>
        </w:rPr>
        <w:t>二、服务期限</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_Toc97605317 \h </w:instrText>
      </w:r>
      <w:r>
        <w:rPr>
          <w:rFonts w:ascii="宋体" w:hAnsi="宋体" w:eastAsia="宋体"/>
        </w:rPr>
        <w:fldChar w:fldCharType="separate"/>
      </w:r>
      <w:r>
        <w:rPr>
          <w:rFonts w:ascii="宋体" w:hAnsi="宋体" w:eastAsia="宋体"/>
        </w:rPr>
        <w:t>55</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"_Toc97605318" </w:instrText>
      </w:r>
      <w:r>
        <w:fldChar w:fldCharType="separate"/>
      </w:r>
      <w:r>
        <w:rPr>
          <w:rStyle w:val="18"/>
          <w:rFonts w:ascii="宋体" w:hAnsi="宋体" w:eastAsia="宋体"/>
          <w:spacing w:val="18"/>
        </w:rPr>
        <w:t>三、服务内容与进度计划</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_Toc97605318 \h </w:instrText>
      </w:r>
      <w:r>
        <w:rPr>
          <w:rFonts w:ascii="宋体" w:hAnsi="宋体" w:eastAsia="宋体"/>
        </w:rPr>
        <w:fldChar w:fldCharType="separate"/>
      </w:r>
      <w:r>
        <w:rPr>
          <w:rFonts w:ascii="宋体" w:hAnsi="宋体" w:eastAsia="宋体"/>
        </w:rPr>
        <w:t>55</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"_Toc97605319" </w:instrText>
      </w:r>
      <w:r>
        <w:fldChar w:fldCharType="separate"/>
      </w:r>
      <w:r>
        <w:rPr>
          <w:rStyle w:val="18"/>
          <w:rFonts w:ascii="宋体" w:hAnsi="宋体" w:eastAsia="宋体"/>
          <w:spacing w:val="18"/>
        </w:rPr>
        <w:t>四、甲方权利</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_Toc97605319 \h </w:instrText>
      </w:r>
      <w:r>
        <w:rPr>
          <w:rFonts w:ascii="宋体" w:hAnsi="宋体" w:eastAsia="宋体"/>
        </w:rPr>
        <w:fldChar w:fldCharType="separate"/>
      </w:r>
      <w:r>
        <w:rPr>
          <w:rFonts w:ascii="宋体" w:hAnsi="宋体" w:eastAsia="宋体"/>
        </w:rPr>
        <w:t>55</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"_Toc97605320" </w:instrText>
      </w:r>
      <w:r>
        <w:fldChar w:fldCharType="separate"/>
      </w:r>
      <w:r>
        <w:rPr>
          <w:rStyle w:val="18"/>
          <w:rFonts w:ascii="宋体" w:hAnsi="宋体" w:eastAsia="宋体"/>
          <w:spacing w:val="18"/>
        </w:rPr>
        <w:t>五、甲方义务</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_Toc97605320 \h </w:instrText>
      </w:r>
      <w:r>
        <w:rPr>
          <w:rFonts w:ascii="宋体" w:hAnsi="宋体" w:eastAsia="宋体"/>
        </w:rPr>
        <w:fldChar w:fldCharType="separate"/>
      </w:r>
      <w:r>
        <w:rPr>
          <w:rFonts w:ascii="宋体" w:hAnsi="宋体" w:eastAsia="宋体"/>
        </w:rPr>
        <w:t>56</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"_Toc97605321" </w:instrText>
      </w:r>
      <w:r>
        <w:fldChar w:fldCharType="separate"/>
      </w:r>
      <w:r>
        <w:rPr>
          <w:rStyle w:val="18"/>
          <w:rFonts w:ascii="宋体" w:hAnsi="宋体" w:eastAsia="宋体"/>
          <w:spacing w:val="18"/>
        </w:rPr>
        <w:t>六、乙方权利</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_Toc97605321 \h </w:instrText>
      </w:r>
      <w:r>
        <w:rPr>
          <w:rFonts w:ascii="宋体" w:hAnsi="宋体" w:eastAsia="宋体"/>
        </w:rPr>
        <w:fldChar w:fldCharType="separate"/>
      </w:r>
      <w:r>
        <w:rPr>
          <w:rFonts w:ascii="宋体" w:hAnsi="宋体" w:eastAsia="宋体"/>
        </w:rPr>
        <w:t>56</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"_Toc97605322" </w:instrText>
      </w:r>
      <w:r>
        <w:fldChar w:fldCharType="separate"/>
      </w:r>
      <w:r>
        <w:rPr>
          <w:rStyle w:val="18"/>
          <w:rFonts w:ascii="宋体" w:hAnsi="宋体" w:eastAsia="宋体"/>
          <w:spacing w:val="18"/>
        </w:rPr>
        <w:t>七、乙方义务</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_Toc97605322 \h </w:instrText>
      </w:r>
      <w:r>
        <w:rPr>
          <w:rFonts w:ascii="宋体" w:hAnsi="宋体" w:eastAsia="宋体"/>
        </w:rPr>
        <w:fldChar w:fldCharType="separate"/>
      </w:r>
      <w:r>
        <w:rPr>
          <w:rFonts w:ascii="宋体" w:hAnsi="宋体" w:eastAsia="宋体"/>
        </w:rPr>
        <w:t>57</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"_Toc97605323" </w:instrText>
      </w:r>
      <w:r>
        <w:fldChar w:fldCharType="separate"/>
      </w:r>
      <w:r>
        <w:rPr>
          <w:rStyle w:val="18"/>
          <w:rFonts w:ascii="宋体" w:hAnsi="宋体" w:eastAsia="宋体"/>
          <w:spacing w:val="18"/>
        </w:rPr>
        <w:t>八、合同价款及支付方式</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_Toc97605323 \h </w:instrText>
      </w:r>
      <w:r>
        <w:rPr>
          <w:rFonts w:ascii="宋体" w:hAnsi="宋体" w:eastAsia="宋体"/>
        </w:rPr>
        <w:fldChar w:fldCharType="separate"/>
      </w:r>
      <w:r>
        <w:rPr>
          <w:rFonts w:ascii="宋体" w:hAnsi="宋体" w:eastAsia="宋体"/>
        </w:rPr>
        <w:t>57</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"_Toc97605324" </w:instrText>
      </w:r>
      <w:r>
        <w:fldChar w:fldCharType="separate"/>
      </w:r>
      <w:r>
        <w:rPr>
          <w:rStyle w:val="18"/>
          <w:rFonts w:ascii="宋体" w:hAnsi="宋体" w:eastAsia="宋体"/>
          <w:spacing w:val="18"/>
        </w:rPr>
        <w:t>九、保密条款</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_Toc97605324 \h </w:instrText>
      </w:r>
      <w:r>
        <w:rPr>
          <w:rFonts w:ascii="宋体" w:hAnsi="宋体" w:eastAsia="宋体"/>
        </w:rPr>
        <w:fldChar w:fldCharType="separate"/>
      </w:r>
      <w:r>
        <w:rPr>
          <w:rFonts w:ascii="宋体" w:hAnsi="宋体" w:eastAsia="宋体"/>
        </w:rPr>
        <w:t>59</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"_Toc97605325" </w:instrText>
      </w:r>
      <w:r>
        <w:fldChar w:fldCharType="separate"/>
      </w:r>
      <w:r>
        <w:rPr>
          <w:rStyle w:val="18"/>
          <w:rFonts w:ascii="宋体" w:hAnsi="宋体" w:eastAsia="宋体"/>
          <w:spacing w:val="18"/>
        </w:rPr>
        <w:t>十、知识产权</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_Toc97605325 \h </w:instrText>
      </w:r>
      <w:r>
        <w:rPr>
          <w:rFonts w:ascii="宋体" w:hAnsi="宋体" w:eastAsia="宋体"/>
        </w:rPr>
        <w:fldChar w:fldCharType="separate"/>
      </w:r>
      <w:r>
        <w:rPr>
          <w:rFonts w:ascii="宋体" w:hAnsi="宋体" w:eastAsia="宋体"/>
        </w:rPr>
        <w:t>59</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"_Toc97605326" </w:instrText>
      </w:r>
      <w:r>
        <w:fldChar w:fldCharType="separate"/>
      </w:r>
      <w:r>
        <w:rPr>
          <w:rStyle w:val="18"/>
          <w:rFonts w:ascii="宋体" w:hAnsi="宋体" w:eastAsia="宋体"/>
          <w:spacing w:val="18"/>
        </w:rPr>
        <w:t>十一、合同变更与解除</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_Toc97605326 \h </w:instrText>
      </w:r>
      <w:r>
        <w:rPr>
          <w:rFonts w:ascii="宋体" w:hAnsi="宋体" w:eastAsia="宋体"/>
        </w:rPr>
        <w:fldChar w:fldCharType="separate"/>
      </w:r>
      <w:r>
        <w:rPr>
          <w:rFonts w:ascii="宋体" w:hAnsi="宋体" w:eastAsia="宋体"/>
        </w:rPr>
        <w:t>60</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"_Toc97605327" </w:instrText>
      </w:r>
      <w:r>
        <w:fldChar w:fldCharType="separate"/>
      </w:r>
      <w:r>
        <w:rPr>
          <w:rStyle w:val="18"/>
          <w:rFonts w:ascii="宋体" w:hAnsi="宋体" w:eastAsia="宋体"/>
          <w:spacing w:val="18"/>
        </w:rPr>
        <w:t>十二、违约责任</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_Toc97605327 \h </w:instrText>
      </w:r>
      <w:r>
        <w:rPr>
          <w:rFonts w:ascii="宋体" w:hAnsi="宋体" w:eastAsia="宋体"/>
        </w:rPr>
        <w:fldChar w:fldCharType="separate"/>
      </w:r>
      <w:r>
        <w:rPr>
          <w:rFonts w:ascii="宋体" w:hAnsi="宋体" w:eastAsia="宋体"/>
        </w:rPr>
        <w:t>61</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"_Toc97605328" </w:instrText>
      </w:r>
      <w:r>
        <w:fldChar w:fldCharType="separate"/>
      </w:r>
      <w:r>
        <w:rPr>
          <w:rStyle w:val="18"/>
          <w:rFonts w:ascii="宋体" w:hAnsi="宋体" w:eastAsia="宋体"/>
          <w:spacing w:val="18"/>
        </w:rPr>
        <w:t>十三、合同争议的解决方式</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_Toc97605328 \h </w:instrText>
      </w:r>
      <w:r>
        <w:rPr>
          <w:rFonts w:ascii="宋体" w:hAnsi="宋体" w:eastAsia="宋体"/>
        </w:rPr>
        <w:fldChar w:fldCharType="separate"/>
      </w:r>
      <w:r>
        <w:rPr>
          <w:rFonts w:ascii="宋体" w:hAnsi="宋体" w:eastAsia="宋体"/>
        </w:rPr>
        <w:t>62</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"_Toc97605329" </w:instrText>
      </w:r>
      <w:r>
        <w:fldChar w:fldCharType="separate"/>
      </w:r>
      <w:r>
        <w:rPr>
          <w:rStyle w:val="18"/>
          <w:rFonts w:ascii="宋体" w:hAnsi="宋体" w:eastAsia="宋体"/>
          <w:spacing w:val="18"/>
        </w:rPr>
        <w:t>十四、 通知和送达</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_Toc97605329 \h </w:instrText>
      </w:r>
      <w:r>
        <w:rPr>
          <w:rFonts w:ascii="宋体" w:hAnsi="宋体" w:eastAsia="宋体"/>
        </w:rPr>
        <w:fldChar w:fldCharType="separate"/>
      </w:r>
      <w:r>
        <w:rPr>
          <w:rFonts w:ascii="宋体" w:hAnsi="宋体" w:eastAsia="宋体"/>
        </w:rPr>
        <w:t>62</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"_Toc97605330" </w:instrText>
      </w:r>
      <w:r>
        <w:fldChar w:fldCharType="separate"/>
      </w:r>
      <w:r>
        <w:rPr>
          <w:rStyle w:val="18"/>
          <w:rFonts w:ascii="宋体" w:hAnsi="宋体" w:eastAsia="宋体"/>
          <w:spacing w:val="18"/>
        </w:rPr>
        <w:t>十五、其他事宜</w:t>
      </w:r>
      <w:r>
        <w:rPr>
          <w:rFonts w:ascii="宋体" w:hAnsi="宋体" w:eastAsia="宋体"/>
        </w:rPr>
        <w:tab/>
      </w:r>
      <w:r>
        <w:rPr>
          <w:rFonts w:ascii="宋体" w:hAnsi="宋体" w:eastAsia="宋体"/>
        </w:rPr>
        <w:fldChar w:fldCharType="begin"/>
      </w:r>
      <w:r>
        <w:rPr>
          <w:rFonts w:ascii="宋体" w:hAnsi="宋体" w:eastAsia="宋体"/>
        </w:rPr>
        <w:instrText xml:space="preserve"> PAGEREF _Toc97605330 \h </w:instrText>
      </w:r>
      <w:r>
        <w:rPr>
          <w:rFonts w:ascii="宋体" w:hAnsi="宋体" w:eastAsia="宋体"/>
        </w:rPr>
        <w:fldChar w:fldCharType="separate"/>
      </w:r>
      <w:r>
        <w:rPr>
          <w:rFonts w:ascii="宋体" w:hAnsi="宋体" w:eastAsia="宋体"/>
        </w:rPr>
        <w:t>63</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"_Toc97605331" </w:instrText>
      </w:r>
      <w:r>
        <w:fldChar w:fldCharType="separate"/>
      </w:r>
      <w:r>
        <w:rPr>
          <w:rStyle w:val="18"/>
          <w:rFonts w:ascii="宋体" w:hAnsi="宋体" w:eastAsia="宋体"/>
          <w:spacing w:val="18"/>
        </w:rPr>
        <w:t>十六、合同附件</w:t>
      </w:r>
      <w:r>
        <w:rPr>
          <w:rFonts w:ascii="宋体" w:hAnsi="宋体" w:eastAsia="宋体"/>
        </w:rPr>
        <w:tab/>
      </w:r>
      <w:r>
        <w:rPr>
          <w:rFonts w:ascii="宋体" w:hAnsi="宋体" w:eastAsia="宋体"/>
        </w:rPr>
        <w:fldChar w:fldCharType="begin"/>
      </w:r>
      <w:r>
        <w:rPr>
          <w:rFonts w:ascii="宋体" w:hAnsi="宋体" w:eastAsia="宋体"/>
        </w:rPr>
        <w:instrText xml:space="preserve"> PAGEREF _Toc97605331 \h </w:instrText>
      </w:r>
      <w:r>
        <w:rPr>
          <w:rFonts w:ascii="宋体" w:hAnsi="宋体" w:eastAsia="宋体"/>
        </w:rPr>
        <w:fldChar w:fldCharType="separate"/>
      </w:r>
      <w:r>
        <w:rPr>
          <w:rFonts w:ascii="宋体" w:hAnsi="宋体" w:eastAsia="宋体"/>
        </w:rPr>
        <w:t>63</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"_Toc97605332" </w:instrText>
      </w:r>
      <w:r>
        <w:fldChar w:fldCharType="separate"/>
      </w:r>
      <w:r>
        <w:rPr>
          <w:rStyle w:val="18"/>
          <w:rFonts w:ascii="宋体" w:hAnsi="宋体" w:eastAsia="宋体"/>
        </w:rPr>
        <w:t>中 标 通 知 书</w:t>
      </w:r>
      <w:r>
        <w:rPr>
          <w:rFonts w:ascii="宋体" w:hAnsi="宋体" w:eastAsia="宋体"/>
        </w:rPr>
        <w:tab/>
      </w:r>
      <w:r>
        <w:rPr>
          <w:rFonts w:ascii="宋体" w:hAnsi="宋体" w:eastAsia="宋体"/>
        </w:rPr>
        <w:fldChar w:fldCharType="begin"/>
      </w:r>
      <w:r>
        <w:rPr>
          <w:rFonts w:ascii="宋体" w:hAnsi="宋体" w:eastAsia="宋体"/>
        </w:rPr>
        <w:instrText xml:space="preserve"> PAGEREF _Toc97605332 \h </w:instrText>
      </w:r>
      <w:r>
        <w:rPr>
          <w:rFonts w:ascii="宋体" w:hAnsi="宋体" w:eastAsia="宋体"/>
        </w:rPr>
        <w:fldChar w:fldCharType="separate"/>
      </w:r>
      <w:r>
        <w:rPr>
          <w:rFonts w:ascii="宋体" w:hAnsi="宋体" w:eastAsia="宋体"/>
        </w:rPr>
        <w:t>66</w:t>
      </w:r>
      <w:r>
        <w:rPr>
          <w:rFonts w:ascii="宋体" w:hAnsi="宋体" w:eastAsia="宋体"/>
        </w:rPr>
        <w:fldChar w:fldCharType="end"/>
      </w:r>
      <w:r>
        <w:rPr>
          <w:rFonts w:ascii="宋体" w:hAnsi="宋体" w:eastAsia="宋体"/>
        </w:rPr>
        <w:fldChar w:fldCharType="end"/>
      </w:r>
    </w:p>
    <w:p>
      <w:pPr>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fldChar w:fldCharType="end"/>
      </w:r>
      <w:bookmarkEnd w:id="0"/>
      <w:bookmarkEnd w:id="1"/>
      <w:bookmarkStart w:id="5" w:name="_Toc276575914"/>
      <w:bookmarkStart w:id="6" w:name="_Toc372555578"/>
      <w:bookmarkStart w:id="7" w:name="_Toc518494113"/>
      <w:bookmarkStart w:id="8" w:name="_Toc2867"/>
      <w:bookmarkStart w:id="9" w:name="_Toc197404895"/>
      <w:bookmarkStart w:id="10" w:name="_Toc24367"/>
      <w:bookmarkStart w:id="11" w:name="_Toc188623172"/>
    </w:p>
    <w:p>
      <w:pPr>
        <w:pStyle w:val="2"/>
        <w:rPr>
          <w:color w:val="000000" w:themeColor="text1"/>
          <w14:textFill>
            <w14:solidFill>
              <w14:schemeClr w14:val="tx1"/>
            </w14:solidFill>
          </w14:textFill>
        </w:rPr>
      </w:pPr>
      <w:r>
        <w:rPr>
          <w:color w:val="000000" w:themeColor="text1"/>
          <w14:textFill>
            <w14:solidFill>
              <w14:schemeClr w14:val="tx1"/>
            </w14:solidFill>
          </w14:textFill>
        </w:rPr>
        <w:br w:type="page"/>
      </w:r>
    </w:p>
    <w:p>
      <w:pPr>
        <w:jc w:val="center"/>
        <w:rPr>
          <w:rFonts w:ascii="宋体" w:hAnsi="宋体"/>
          <w:color w:val="000000" w:themeColor="text1"/>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致参选人</w:t>
      </w:r>
      <w:bookmarkEnd w:id="5"/>
      <w:bookmarkEnd w:id="6"/>
      <w:bookmarkEnd w:id="7"/>
      <w:bookmarkEnd w:id="8"/>
      <w:bookmarkEnd w:id="9"/>
      <w:bookmarkEnd w:id="10"/>
    </w:p>
    <w:p>
      <w:pPr>
        <w:adjustRightInd w:val="0"/>
        <w:spacing w:before="240" w:beforeLines="100" w:after="120" w:afterLines="50" w:line="480" w:lineRule="atLeast"/>
        <w:ind w:firstLine="480" w:firstLineChars="200"/>
        <w:textAlignment w:val="baseline"/>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本比选文件是依据有关</w:t>
      </w:r>
      <w:r>
        <w:rPr>
          <w:rFonts w:hint="eastAsia" w:ascii="宋体" w:hAnsi="宋体"/>
          <w:color w:val="000000" w:themeColor="text1"/>
          <w:kern w:val="0"/>
          <w14:textFill>
            <w14:solidFill>
              <w14:schemeClr w14:val="tx1"/>
            </w14:solidFill>
          </w14:textFill>
        </w:rPr>
        <w:t>招标</w:t>
      </w:r>
      <w:r>
        <w:rPr>
          <w:rFonts w:ascii="宋体" w:hAnsi="宋体"/>
          <w:color w:val="000000" w:themeColor="text1"/>
          <w:kern w:val="0"/>
          <w14:textFill>
            <w14:solidFill>
              <w14:schemeClr w14:val="tx1"/>
            </w14:solidFill>
          </w14:textFill>
        </w:rPr>
        <w:t>投标的法律、法规、规章和规范性文件的规定，根据本比选</w:t>
      </w:r>
      <w:r>
        <w:rPr>
          <w:rFonts w:hint="eastAsia" w:ascii="宋体" w:hAnsi="宋体"/>
          <w:color w:val="000000" w:themeColor="text1"/>
          <w:kern w:val="0"/>
          <w14:textFill>
            <w14:solidFill>
              <w14:schemeClr w14:val="tx1"/>
            </w14:solidFill>
          </w14:textFill>
        </w:rPr>
        <w:t>项目</w:t>
      </w:r>
      <w:r>
        <w:rPr>
          <w:rFonts w:ascii="宋体" w:hAnsi="宋体"/>
          <w:color w:val="000000" w:themeColor="text1"/>
          <w:kern w:val="0"/>
          <w14:textFill>
            <w14:solidFill>
              <w14:schemeClr w14:val="tx1"/>
            </w14:solidFill>
          </w14:textFill>
        </w:rPr>
        <w:t>的特点和需要编制的。</w:t>
      </w:r>
    </w:p>
    <w:p>
      <w:pPr>
        <w:spacing w:line="480" w:lineRule="atLeast"/>
        <w:ind w:firstLine="480" w:firstLineChars="200"/>
        <w:jc w:val="left"/>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比选文件的编制遵循公开、公平、公正和诚实信用的原则，比选文件的内容已清楚地反映了</w:t>
      </w:r>
      <w:r>
        <w:rPr>
          <w:rFonts w:hint="eastAsia" w:hAnsi="宋体"/>
          <w:color w:val="000000" w:themeColor="text1"/>
          <w14:textFill>
            <w14:solidFill>
              <w14:schemeClr w14:val="tx1"/>
            </w14:solidFill>
          </w14:textFill>
        </w:rPr>
        <w:t>轨道交通四期综合开发项目（四）土壤环境初步调查工作内容和基本</w:t>
      </w:r>
      <w:r>
        <w:rPr>
          <w:rFonts w:hAnsi="宋体"/>
          <w:color w:val="000000" w:themeColor="text1"/>
          <w14:textFill>
            <w14:solidFill>
              <w14:schemeClr w14:val="tx1"/>
            </w14:solidFill>
          </w14:textFill>
        </w:rPr>
        <w:t>要求。我们要求参选人必须完全响应本比选文件的实质性内容。</w:t>
      </w:r>
    </w:p>
    <w:p>
      <w:pPr>
        <w:spacing w:line="480" w:lineRule="atLeast"/>
        <w:ind w:firstLine="480" w:firstLineChars="200"/>
        <w:jc w:val="left"/>
        <w:rPr>
          <w:rFonts w:hAnsi="宋体"/>
          <w:color w:val="000000" w:themeColor="text1"/>
          <w:u w:val="single"/>
          <w14:textFill>
            <w14:solidFill>
              <w14:schemeClr w14:val="tx1"/>
            </w14:solidFill>
          </w14:textFill>
        </w:rPr>
      </w:pPr>
      <w:r>
        <w:rPr>
          <w:rFonts w:hint="eastAsia" w:hAnsi="宋体"/>
          <w:color w:val="000000" w:themeColor="text1"/>
          <w:u w:val="single"/>
          <w14:textFill>
            <w14:solidFill>
              <w14:schemeClr w14:val="tx1"/>
            </w14:solidFill>
          </w14:textFill>
        </w:rPr>
        <w:t>领取了本比选文件的</w:t>
      </w:r>
      <w:r>
        <w:rPr>
          <w:rFonts w:hAnsi="宋体"/>
          <w:color w:val="000000" w:themeColor="text1"/>
          <w:u w:val="single"/>
          <w14:textFill>
            <w14:solidFill>
              <w14:schemeClr w14:val="tx1"/>
            </w14:solidFill>
          </w14:textFill>
        </w:rPr>
        <w:t>参选人</w:t>
      </w:r>
      <w:r>
        <w:rPr>
          <w:rFonts w:hint="eastAsia" w:hAnsi="宋体"/>
          <w:color w:val="000000" w:themeColor="text1"/>
          <w:u w:val="single"/>
          <w14:textFill>
            <w14:solidFill>
              <w14:schemeClr w14:val="tx1"/>
            </w14:solidFill>
          </w14:textFill>
        </w:rPr>
        <w:t>，请</w:t>
      </w:r>
      <w:r>
        <w:rPr>
          <w:rFonts w:hAnsi="宋体"/>
          <w:color w:val="000000" w:themeColor="text1"/>
          <w:u w:val="single"/>
          <w14:textFill>
            <w14:solidFill>
              <w14:schemeClr w14:val="tx1"/>
            </w14:solidFill>
          </w14:textFill>
        </w:rPr>
        <w:t>随时查看“深圳地铁</w:t>
      </w:r>
      <w:r>
        <w:rPr>
          <w:rFonts w:hint="eastAsia" w:hAnsi="宋体"/>
          <w:color w:val="000000" w:themeColor="text1"/>
          <w:u w:val="single"/>
          <w14:textFill>
            <w14:solidFill>
              <w14:schemeClr w14:val="tx1"/>
            </w14:solidFill>
          </w14:textFill>
        </w:rPr>
        <w:t>官</w:t>
      </w:r>
      <w:r>
        <w:rPr>
          <w:rFonts w:hAnsi="宋体"/>
          <w:color w:val="000000" w:themeColor="text1"/>
          <w:u w:val="single"/>
          <w14:textFill>
            <w14:solidFill>
              <w14:schemeClr w14:val="tx1"/>
            </w14:solidFill>
          </w14:textFill>
        </w:rPr>
        <w:t>网”</w:t>
      </w:r>
      <w:r>
        <w:rPr>
          <w:rFonts w:hint="eastAsia" w:hAnsi="宋体"/>
          <w:color w:val="000000" w:themeColor="text1"/>
          <w:u w:val="single"/>
          <w14:textFill>
            <w14:solidFill>
              <w14:schemeClr w14:val="tx1"/>
            </w14:solidFill>
          </w14:textFill>
        </w:rPr>
        <w:t>、“深铁招采网”、“</w:t>
      </w:r>
      <w:r>
        <w:rPr>
          <w:rFonts w:hAnsi="宋体"/>
          <w:color w:val="000000" w:themeColor="text1"/>
          <w:u w:val="single"/>
          <w14:textFill>
            <w14:solidFill>
              <w14:schemeClr w14:val="tx1"/>
            </w14:solidFill>
          </w14:textFill>
        </w:rPr>
        <w:t>国资委阳光采购平台</w:t>
      </w:r>
      <w:r>
        <w:rPr>
          <w:rFonts w:hint="eastAsia" w:hAnsi="宋体"/>
          <w:color w:val="000000" w:themeColor="text1"/>
          <w:u w:val="single"/>
          <w14:textFill>
            <w14:solidFill>
              <w14:schemeClr w14:val="tx1"/>
            </w14:solidFill>
          </w14:textFill>
        </w:rPr>
        <w:t>”、“</w:t>
      </w:r>
      <w:r>
        <w:rPr>
          <w:rFonts w:hAnsi="宋体"/>
          <w:color w:val="000000" w:themeColor="text1"/>
          <w:u w:val="single"/>
          <w14:textFill>
            <w14:solidFill>
              <w14:schemeClr w14:val="tx1"/>
            </w14:solidFill>
          </w14:textFill>
        </w:rPr>
        <w:t>深铁置业</w:t>
      </w:r>
      <w:r>
        <w:rPr>
          <w:rFonts w:hint="eastAsia" w:hAnsi="宋体"/>
          <w:color w:val="000000" w:themeColor="text1"/>
          <w:u w:val="single"/>
          <w14:textFill>
            <w14:solidFill>
              <w14:schemeClr w14:val="tx1"/>
            </w14:solidFill>
          </w14:textFill>
        </w:rPr>
        <w:t>微信订阅</w:t>
      </w:r>
      <w:r>
        <w:rPr>
          <w:rFonts w:hAnsi="宋体"/>
          <w:color w:val="000000" w:themeColor="text1"/>
          <w:u w:val="single"/>
          <w14:textFill>
            <w14:solidFill>
              <w14:schemeClr w14:val="tx1"/>
            </w14:solidFill>
          </w14:textFill>
        </w:rPr>
        <w:t>号</w:t>
      </w:r>
      <w:r>
        <w:rPr>
          <w:rFonts w:hint="eastAsia" w:hAnsi="宋体"/>
          <w:color w:val="000000" w:themeColor="text1"/>
          <w:u w:val="single"/>
          <w14:textFill>
            <w14:solidFill>
              <w14:schemeClr w14:val="tx1"/>
            </w14:solidFill>
          </w14:textFill>
        </w:rPr>
        <w:t>”</w:t>
      </w:r>
      <w:r>
        <w:rPr>
          <w:rFonts w:hAnsi="宋体"/>
          <w:color w:val="000000" w:themeColor="text1"/>
          <w:u w:val="single"/>
          <w14:textFill>
            <w14:solidFill>
              <w14:schemeClr w14:val="tx1"/>
            </w14:solidFill>
          </w14:textFill>
        </w:rPr>
        <w:t>中有关该项目</w:t>
      </w:r>
      <w:r>
        <w:rPr>
          <w:rFonts w:hint="eastAsia" w:hAnsi="宋体"/>
          <w:color w:val="000000" w:themeColor="text1"/>
          <w:u w:val="single"/>
          <w14:textFill>
            <w14:solidFill>
              <w14:schemeClr w14:val="tx1"/>
            </w14:solidFill>
          </w14:textFill>
        </w:rPr>
        <w:t>补遗</w:t>
      </w:r>
      <w:r>
        <w:rPr>
          <w:rFonts w:hAnsi="宋体"/>
          <w:color w:val="000000" w:themeColor="text1"/>
          <w:u w:val="single"/>
          <w14:textFill>
            <w14:solidFill>
              <w14:schemeClr w14:val="tx1"/>
            </w14:solidFill>
          </w14:textFill>
        </w:rPr>
        <w:t>文件的信息。</w:t>
      </w:r>
      <w:r>
        <w:rPr>
          <w:rFonts w:hint="eastAsia" w:hAnsi="宋体"/>
          <w:color w:val="000000" w:themeColor="text1"/>
          <w:u w:val="single"/>
          <w14:textFill>
            <w14:solidFill>
              <w14:schemeClr w14:val="tx1"/>
            </w14:solidFill>
          </w14:textFill>
        </w:rPr>
        <w:t>否则，</w:t>
      </w:r>
      <w:r>
        <w:rPr>
          <w:rFonts w:hAnsi="宋体"/>
          <w:color w:val="000000" w:themeColor="text1"/>
          <w:u w:val="single"/>
          <w14:textFill>
            <w14:solidFill>
              <w14:schemeClr w14:val="tx1"/>
            </w14:solidFill>
          </w14:textFill>
        </w:rPr>
        <w:t>由此导致的不利后果由参选人自负。</w:t>
      </w:r>
    </w:p>
    <w:p>
      <w:pPr>
        <w:pStyle w:val="8"/>
        <w:spacing w:line="360" w:lineRule="auto"/>
        <w:ind w:firstLine="480" w:firstLineChars="200"/>
        <w:rPr>
          <w:rFonts w:hAnsi="宋体"/>
          <w:color w:val="000000" w:themeColor="text1"/>
          <w:sz w:val="24"/>
          <w14:textFill>
            <w14:solidFill>
              <w14:schemeClr w14:val="tx1"/>
            </w14:solidFill>
          </w14:textFill>
        </w:rPr>
      </w:pPr>
    </w:p>
    <w:p>
      <w:pPr>
        <w:pStyle w:val="8"/>
        <w:spacing w:line="360" w:lineRule="auto"/>
        <w:ind w:firstLine="480" w:firstLineChars="20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比选人（盖章）：</w:t>
      </w:r>
      <w:r>
        <w:rPr>
          <w:rFonts w:hint="eastAsia" w:hAnsi="宋体"/>
          <w:color w:val="000000" w:themeColor="text1"/>
          <w:sz w:val="24"/>
          <w14:textFill>
            <w14:solidFill>
              <w14:schemeClr w14:val="tx1"/>
            </w14:solidFill>
          </w14:textFill>
        </w:rPr>
        <w:t>深圳市地铁集团有限公司</w:t>
      </w:r>
    </w:p>
    <w:p>
      <w:pPr>
        <w:pStyle w:val="8"/>
        <w:spacing w:line="360" w:lineRule="auto"/>
        <w:ind w:firstLine="420" w:firstLineChars="175"/>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比选</w:t>
      </w:r>
      <w:r>
        <w:rPr>
          <w:rFonts w:hint="eastAsia" w:hAnsi="宋体"/>
          <w:color w:val="000000" w:themeColor="text1"/>
          <w:sz w:val="24"/>
          <w14:textFill>
            <w14:solidFill>
              <w14:schemeClr w14:val="tx1"/>
            </w14:solidFill>
          </w14:textFill>
        </w:rPr>
        <w:t>人</w:t>
      </w:r>
      <w:r>
        <w:rPr>
          <w:rFonts w:hAnsi="宋体"/>
          <w:color w:val="000000" w:themeColor="text1"/>
          <w:sz w:val="24"/>
          <w14:textFill>
            <w14:solidFill>
              <w14:schemeClr w14:val="tx1"/>
            </w14:solidFill>
          </w14:textFill>
        </w:rPr>
        <w:t>地址：</w:t>
      </w:r>
      <w:r>
        <w:rPr>
          <w:rFonts w:hint="eastAsia" w:hAnsi="宋体"/>
          <w:color w:val="000000" w:themeColor="text1"/>
          <w:sz w:val="24"/>
          <w14:textFill>
            <w14:solidFill>
              <w14:schemeClr w14:val="tx1"/>
            </w14:solidFill>
          </w14:textFill>
        </w:rPr>
        <w:t>广东省深圳市福田区福中一路1016号地铁大厦1楼</w:t>
      </w:r>
    </w:p>
    <w:p>
      <w:pPr>
        <w:pStyle w:val="8"/>
        <w:spacing w:line="360" w:lineRule="auto"/>
        <w:ind w:right="108" w:rightChars="45" w:firstLine="420" w:firstLineChars="175"/>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邮政编码：518</w:t>
      </w:r>
      <w:r>
        <w:rPr>
          <w:rFonts w:hint="eastAsia" w:hAnsi="宋体"/>
          <w:color w:val="000000" w:themeColor="text1"/>
          <w:sz w:val="24"/>
          <w14:textFill>
            <w14:solidFill>
              <w14:schemeClr w14:val="tx1"/>
            </w14:solidFill>
          </w14:textFill>
        </w:rPr>
        <w:t>000</w:t>
      </w:r>
    </w:p>
    <w:p>
      <w:pPr>
        <w:pStyle w:val="8"/>
        <w:spacing w:line="360" w:lineRule="auto"/>
        <w:ind w:firstLine="420" w:firstLineChars="175"/>
        <w:rPr>
          <w:rFonts w:hAnsi="宋体"/>
          <w:color w:val="000000" w:themeColor="text1"/>
          <w:sz w:val="24"/>
          <w:u w:val="single"/>
          <w14:textFill>
            <w14:solidFill>
              <w14:schemeClr w14:val="tx1"/>
            </w14:solidFill>
          </w14:textFill>
        </w:rPr>
      </w:pPr>
      <w:r>
        <w:rPr>
          <w:rFonts w:hAnsi="宋体"/>
          <w:color w:val="000000" w:themeColor="text1"/>
          <w:sz w:val="24"/>
          <w14:textFill>
            <w14:solidFill>
              <w14:schemeClr w14:val="tx1"/>
            </w14:solidFill>
          </w14:textFill>
        </w:rPr>
        <w:t>联 系 人：</w:t>
      </w:r>
      <w:r>
        <w:rPr>
          <w:rFonts w:hint="eastAsia" w:hAnsi="宋体"/>
          <w:color w:val="000000" w:themeColor="text1"/>
          <w:sz w:val="24"/>
          <w14:textFill>
            <w14:solidFill>
              <w14:schemeClr w14:val="tx1"/>
            </w14:solidFill>
          </w14:textFill>
        </w:rPr>
        <w:t>艾工/牟工</w:t>
      </w:r>
    </w:p>
    <w:p>
      <w:pPr>
        <w:pStyle w:val="8"/>
        <w:spacing w:line="360" w:lineRule="auto"/>
        <w:ind w:firstLine="420" w:firstLineChars="175"/>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联系电话：</w:t>
      </w:r>
      <w:r>
        <w:rPr>
          <w:rFonts w:hint="eastAsia" w:hAnsi="宋体"/>
          <w:color w:val="000000" w:themeColor="text1"/>
          <w:sz w:val="24"/>
          <w14:textFill>
            <w14:solidFill>
              <w14:schemeClr w14:val="tx1"/>
            </w14:solidFill>
          </w14:textFill>
        </w:rPr>
        <w:t>0755-8998768/0755-89986627</w:t>
      </w:r>
    </w:p>
    <w:p>
      <w:pPr>
        <w:pStyle w:val="8"/>
        <w:spacing w:line="360" w:lineRule="auto"/>
        <w:ind w:firstLine="420" w:firstLineChars="175"/>
        <w:rPr>
          <w:rStyle w:val="18"/>
          <w:rFonts w:ascii="Times New Roman"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电    邮：</w:t>
      </w:r>
      <w:r>
        <w:fldChar w:fldCharType="begin"/>
      </w:r>
      <w:r>
        <w:instrText xml:space="preserve"> HYPERLINK "mailto:86090605@qq.com/muzixian@shenzhenmc.com" </w:instrText>
      </w:r>
      <w:r>
        <w:fldChar w:fldCharType="separate"/>
      </w:r>
      <w:r>
        <w:rPr>
          <w:rStyle w:val="18"/>
          <w:rFonts w:hint="eastAsia" w:ascii="Times New Roman" w:hAnsi="宋体"/>
          <w:color w:val="000000" w:themeColor="text1"/>
          <w:sz w:val="24"/>
          <w14:textFill>
            <w14:solidFill>
              <w14:schemeClr w14:val="tx1"/>
            </w14:solidFill>
          </w14:textFill>
        </w:rPr>
        <w:t>acx@shenzhenmc.com/muzixian@shenzhenmc.com</w:t>
      </w:r>
      <w:r>
        <w:rPr>
          <w:rStyle w:val="18"/>
          <w:rFonts w:hint="eastAsia" w:ascii="Times New Roman" w:hAnsi="宋体"/>
          <w:color w:val="000000" w:themeColor="text1"/>
          <w:sz w:val="24"/>
          <w14:textFill>
            <w14:solidFill>
              <w14:schemeClr w14:val="tx1"/>
            </w14:solidFill>
          </w14:textFill>
        </w:rPr>
        <w:fldChar w:fldCharType="end"/>
      </w:r>
    </w:p>
    <w:p>
      <w:pPr>
        <w:pStyle w:val="8"/>
        <w:spacing w:line="360" w:lineRule="auto"/>
        <w:ind w:firstLine="420" w:firstLineChars="175"/>
        <w:rPr>
          <w:rFonts w:hAnsi="宋体"/>
          <w:color w:val="000000" w:themeColor="text1"/>
          <w:sz w:val="24"/>
          <w:u w:val="single"/>
          <w14:textFill>
            <w14:solidFill>
              <w14:schemeClr w14:val="tx1"/>
            </w14:solidFill>
          </w14:textFill>
        </w:rPr>
      </w:pPr>
      <w:r>
        <w:rPr>
          <w:rFonts w:hAnsi="宋体"/>
          <w:color w:val="000000" w:themeColor="text1"/>
          <w:sz w:val="24"/>
          <w14:textFill>
            <w14:solidFill>
              <w14:schemeClr w14:val="tx1"/>
            </w14:solidFill>
          </w14:textFill>
        </w:rPr>
        <w:t>日    期：</w:t>
      </w:r>
      <w:r>
        <w:rPr>
          <w:rFonts w:hint="eastAsia" w:hAnsi="宋体"/>
          <w:color w:val="000000" w:themeColor="text1"/>
          <w:sz w:val="24"/>
          <w14:textFill>
            <w14:solidFill>
              <w14:schemeClr w14:val="tx1"/>
            </w14:solidFill>
          </w14:textFill>
        </w:rPr>
        <w:t>2022年</w:t>
      </w:r>
      <w:r>
        <w:rPr>
          <w:rFonts w:hAnsi="宋体"/>
          <w:color w:val="000000" w:themeColor="text1"/>
          <w:sz w:val="24"/>
          <w14:textFill>
            <w14:solidFill>
              <w14:schemeClr w14:val="tx1"/>
            </w14:solidFill>
          </w14:textFill>
        </w:rPr>
        <w:t>0</w:t>
      </w:r>
      <w:r>
        <w:rPr>
          <w:rFonts w:hint="eastAsia" w:hAnsi="宋体"/>
          <w:color w:val="000000" w:themeColor="text1"/>
          <w:sz w:val="24"/>
          <w14:textFill>
            <w14:solidFill>
              <w14:schemeClr w14:val="tx1"/>
            </w14:solidFill>
          </w14:textFill>
        </w:rPr>
        <w:t>4月 15 日</w:t>
      </w:r>
    </w:p>
    <w:p>
      <w:pPr>
        <w:pStyle w:val="8"/>
        <w:spacing w:line="360" w:lineRule="auto"/>
        <w:ind w:firstLine="350" w:firstLineChars="175"/>
        <w:rPr>
          <w:rFonts w:hAnsi="宋体"/>
          <w:color w:val="000000" w:themeColor="text1"/>
          <w:u w:val="single"/>
          <w14:textFill>
            <w14:solidFill>
              <w14:schemeClr w14:val="tx1"/>
            </w14:solidFill>
          </w14:textFill>
        </w:rPr>
      </w:pPr>
    </w:p>
    <w:p>
      <w:pPr>
        <w:pStyle w:val="8"/>
        <w:spacing w:line="360" w:lineRule="auto"/>
        <w:ind w:firstLine="350" w:firstLineChars="175"/>
        <w:rPr>
          <w:rFonts w:hAnsi="宋体"/>
          <w:color w:val="000000" w:themeColor="text1"/>
          <w:u w:val="single"/>
          <w14:textFill>
            <w14:solidFill>
              <w14:schemeClr w14:val="tx1"/>
            </w14:solidFill>
          </w14:textFill>
        </w:rPr>
      </w:pPr>
    </w:p>
    <w:p>
      <w:pPr>
        <w:pStyle w:val="8"/>
        <w:spacing w:line="360" w:lineRule="auto"/>
        <w:ind w:firstLine="350" w:firstLineChars="175"/>
        <w:rPr>
          <w:rFonts w:hAnsi="宋体"/>
          <w:color w:val="000000" w:themeColor="text1"/>
          <w:u w:val="single"/>
          <w14:textFill>
            <w14:solidFill>
              <w14:schemeClr w14:val="tx1"/>
            </w14:solidFill>
          </w14:textFill>
        </w:rPr>
        <w:sectPr>
          <w:footerReference r:id="rId8" w:type="first"/>
          <w:footerReference r:id="rId7" w:type="default"/>
          <w:pgSz w:w="11906" w:h="16838"/>
          <w:pgMar w:top="1440" w:right="1440" w:bottom="1440" w:left="1440" w:header="720" w:footer="890" w:gutter="0"/>
          <w:pgNumType w:start="1"/>
          <w:cols w:space="720" w:num="1"/>
          <w:docGrid w:linePitch="312" w:charSpace="0"/>
        </w:sectPr>
      </w:pPr>
    </w:p>
    <w:p>
      <w:pPr>
        <w:pStyle w:val="3"/>
        <w:spacing w:before="240" w:line="360" w:lineRule="auto"/>
        <w:rPr>
          <w:rFonts w:ascii="宋体" w:hAnsi="宋体"/>
          <w:b w:val="0"/>
          <w:color w:val="000000" w:themeColor="text1"/>
          <w:szCs w:val="44"/>
          <w14:textFill>
            <w14:solidFill>
              <w14:schemeClr w14:val="tx1"/>
            </w14:solidFill>
          </w14:textFill>
        </w:rPr>
      </w:pPr>
      <w:bookmarkStart w:id="12" w:name="_Toc31589"/>
      <w:bookmarkStart w:id="13" w:name="_Toc97605298"/>
      <w:bookmarkStart w:id="14" w:name="_Toc518494114"/>
      <w:bookmarkStart w:id="15" w:name="_Toc5934"/>
      <w:r>
        <w:rPr>
          <w:rFonts w:hint="eastAsia" w:ascii="宋体" w:hAnsi="宋体"/>
          <w:b w:val="0"/>
          <w:color w:val="000000" w:themeColor="text1"/>
          <w:szCs w:val="44"/>
          <w14:textFill>
            <w14:solidFill>
              <w14:schemeClr w14:val="tx1"/>
            </w14:solidFill>
          </w14:textFill>
        </w:rPr>
        <w:t>参选文件</w:t>
      </w:r>
      <w:bookmarkStart w:id="16" w:name="OLE_LINK1"/>
      <w:r>
        <w:rPr>
          <w:rFonts w:hint="eastAsia" w:ascii="宋体" w:hAnsi="宋体"/>
          <w:b w:val="0"/>
          <w:color w:val="000000" w:themeColor="text1"/>
          <w:szCs w:val="44"/>
          <w14:textFill>
            <w14:solidFill>
              <w14:schemeClr w14:val="tx1"/>
            </w14:solidFill>
          </w14:textFill>
        </w:rPr>
        <w:t>无效和废标的情形</w:t>
      </w:r>
      <w:bookmarkEnd w:id="16"/>
      <w:r>
        <w:rPr>
          <w:rFonts w:hint="eastAsia" w:ascii="宋体" w:hAnsi="宋体"/>
          <w:b w:val="0"/>
          <w:color w:val="000000" w:themeColor="text1"/>
          <w:szCs w:val="44"/>
          <w14:textFill>
            <w14:solidFill>
              <w14:schemeClr w14:val="tx1"/>
            </w14:solidFill>
          </w14:textFill>
        </w:rPr>
        <w:t>摘要</w:t>
      </w:r>
      <w:bookmarkEnd w:id="12"/>
      <w:bookmarkEnd w:id="13"/>
      <w:bookmarkEnd w:id="14"/>
      <w:bookmarkEnd w:id="15"/>
    </w:p>
    <w:p>
      <w:pPr>
        <w:pStyle w:val="8"/>
        <w:spacing w:line="360" w:lineRule="auto"/>
        <w:ind w:firstLine="482" w:firstLineChars="200"/>
        <w:rPr>
          <w:rFonts w:hAnsi="宋体"/>
          <w:b/>
          <w:bCs/>
          <w:color w:val="000000" w:themeColor="text1"/>
          <w:sz w:val="24"/>
          <w:szCs w:val="36"/>
          <w14:textFill>
            <w14:solidFill>
              <w14:schemeClr w14:val="tx1"/>
            </w14:solidFill>
          </w14:textFill>
        </w:rPr>
      </w:pPr>
      <w:bookmarkStart w:id="17" w:name="_Toc191203193"/>
      <w:bookmarkStart w:id="18" w:name="_Toc188439084"/>
      <w:r>
        <w:rPr>
          <w:rFonts w:hint="eastAsia" w:hAnsi="宋体"/>
          <w:b/>
          <w:bCs/>
          <w:color w:val="000000" w:themeColor="text1"/>
          <w:sz w:val="24"/>
          <w:szCs w:val="36"/>
          <w14:textFill>
            <w14:solidFill>
              <w14:schemeClr w14:val="tx1"/>
            </w14:solidFill>
          </w14:textFill>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7"/>
      <w:bookmarkEnd w:id="18"/>
    </w:p>
    <w:p>
      <w:pPr>
        <w:spacing w:line="360" w:lineRule="auto"/>
        <w:ind w:firstLine="472" w:firstLineChars="196"/>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一、参选文件不予受理的情形（由比选人负责判定）:</w:t>
      </w:r>
    </w:p>
    <w:p>
      <w:pPr>
        <w:spacing w:line="360" w:lineRule="auto"/>
        <w:ind w:left="480"/>
        <w:rPr>
          <w:rFonts w:ascii="宋体" w:hAnsi="宋体"/>
          <w:bCs/>
          <w:color w:val="000000" w:themeColor="text1"/>
          <w:szCs w:val="32"/>
          <w:u w:val="single"/>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szCs w:val="24"/>
          <w14:textFill>
            <w14:solidFill>
              <w14:schemeClr w14:val="tx1"/>
            </w14:solidFill>
          </w14:textFill>
        </w:rPr>
        <w:t>参选文件在规定的参选截止时间以后送达的或者未送达指定地点的；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bCs/>
          <w:color w:val="000000" w:themeColor="text1"/>
          <w:szCs w:val="24"/>
          <w14:textFill>
            <w14:solidFill>
              <w14:schemeClr w14:val="tx1"/>
            </w14:solidFill>
          </w14:textFill>
        </w:rPr>
        <w:t>2.参选文件</w:t>
      </w:r>
      <w:r>
        <w:rPr>
          <w:rFonts w:ascii="宋体" w:hAnsi="宋体"/>
          <w:bCs/>
          <w:color w:val="000000" w:themeColor="text1"/>
          <w:szCs w:val="24"/>
          <w14:textFill>
            <w14:solidFill>
              <w14:schemeClr w14:val="tx1"/>
            </w14:solidFill>
          </w14:textFill>
        </w:rPr>
        <w:t>未按规定封</w:t>
      </w:r>
      <w:r>
        <w:rPr>
          <w:rFonts w:hint="eastAsia" w:ascii="宋体" w:hAnsi="宋体"/>
          <w:bCs/>
          <w:color w:val="000000" w:themeColor="text1"/>
          <w:szCs w:val="24"/>
          <w14:textFill>
            <w14:solidFill>
              <w14:schemeClr w14:val="tx1"/>
            </w14:solidFill>
          </w14:textFill>
        </w:rPr>
        <w:t>装或未</w:t>
      </w:r>
      <w:r>
        <w:rPr>
          <w:rFonts w:ascii="宋体" w:hAnsi="宋体"/>
          <w:bCs/>
          <w:color w:val="000000" w:themeColor="text1"/>
          <w:szCs w:val="24"/>
          <w14:textFill>
            <w14:solidFill>
              <w14:schemeClr w14:val="tx1"/>
            </w14:solidFill>
          </w14:textFill>
        </w:rPr>
        <w:t>加盖参选人公章的</w:t>
      </w:r>
      <w:r>
        <w:rPr>
          <w:rFonts w:hint="eastAsia" w:ascii="宋体" w:hAnsi="宋体"/>
          <w:color w:val="000000" w:themeColor="text1"/>
          <w14:textFill>
            <w14:solidFill>
              <w14:schemeClr w14:val="tx1"/>
            </w14:solidFill>
          </w14:textFill>
        </w:rPr>
        <w:t>。</w:t>
      </w:r>
    </w:p>
    <w:p>
      <w:pPr>
        <w:spacing w:line="360" w:lineRule="auto"/>
        <w:ind w:firstLine="480" w:firstLineChars="200"/>
        <w:rPr>
          <w:rFonts w:ascii="宋体" w:hAnsi="宋体"/>
          <w:b/>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二、</w:t>
      </w:r>
      <w:r>
        <w:rPr>
          <w:rFonts w:hint="eastAsia" w:ascii="宋体" w:hAnsi="宋体"/>
          <w:b/>
          <w:color w:val="000000" w:themeColor="text1"/>
          <w14:textFill>
            <w14:solidFill>
              <w14:schemeClr w14:val="tx1"/>
            </w14:solidFill>
          </w14:textFill>
        </w:rPr>
        <w:t>参选文件有下列情形之一的，初步评审不合格，应作无效标处理</w:t>
      </w:r>
      <w:r>
        <w:rPr>
          <w:rFonts w:hint="eastAsia" w:ascii="宋体" w:hAnsi="宋体"/>
          <w:b/>
          <w:bCs/>
          <w:color w:val="000000" w:themeColor="text1"/>
          <w:szCs w:val="32"/>
          <w14:textFill>
            <w14:solidFill>
              <w14:schemeClr w14:val="tx1"/>
            </w14:solidFill>
          </w14:textFill>
        </w:rPr>
        <w:t>（由评标委员会负责判定）</w:t>
      </w:r>
      <w:r>
        <w:rPr>
          <w:rFonts w:hint="eastAsia" w:ascii="宋体" w:hAnsi="宋体"/>
          <w:b/>
          <w:color w:val="000000" w:themeColor="text1"/>
          <w14:textFill>
            <w14:solidFill>
              <w14:schemeClr w14:val="tx1"/>
            </w14:solidFill>
          </w14:textFill>
        </w:rPr>
        <w:t>:</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1.参选文件未按要求加盖参选人公章的；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2.参选文件</w:t>
      </w:r>
      <w:r>
        <w:rPr>
          <w:rFonts w:ascii="宋体" w:hAnsi="宋体"/>
          <w:color w:val="000000" w:themeColor="text1"/>
          <w14:textFill>
            <w14:solidFill>
              <w14:schemeClr w14:val="tx1"/>
            </w14:solidFill>
          </w14:textFill>
        </w:rPr>
        <w:t>未经法定代表人或其委托代理人签字</w:t>
      </w:r>
      <w:r>
        <w:rPr>
          <w:rFonts w:hint="eastAsia" w:ascii="宋体" w:hAnsi="宋体"/>
          <w:color w:val="000000" w:themeColor="text1"/>
          <w14:textFill>
            <w14:solidFill>
              <w14:schemeClr w14:val="tx1"/>
            </w14:solidFill>
          </w14:textFill>
        </w:rPr>
        <w:t>或盖章</w:t>
      </w:r>
      <w:r>
        <w:rPr>
          <w:rFonts w:ascii="宋体" w:hAnsi="宋体"/>
          <w:color w:val="000000" w:themeColor="text1"/>
          <w14:textFill>
            <w14:solidFill>
              <w14:schemeClr w14:val="tx1"/>
            </w14:solidFill>
          </w14:textFill>
        </w:rPr>
        <w:t>的，或由委托代理人签字但未随参选文件一起提供“法定代表人授权书”原件的；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3.对固定的参选格式文件内容进行了实质性修改，或加进额外的条件；</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r>
        <w:rPr>
          <w:rFonts w:ascii="宋体" w:hAnsi="宋体"/>
          <w:color w:val="000000" w:themeColor="text1"/>
          <w14:textFill>
            <w14:solidFill>
              <w14:schemeClr w14:val="tx1"/>
            </w14:solidFill>
          </w14:textFill>
        </w:rPr>
        <w:t>参选函中的内容未按比选文件的</w:t>
      </w:r>
      <w:r>
        <w:rPr>
          <w:rFonts w:hint="eastAsia" w:ascii="宋体" w:hAnsi="宋体"/>
          <w:color w:val="000000" w:themeColor="text1"/>
          <w14:textFill>
            <w14:solidFill>
              <w14:schemeClr w14:val="tx1"/>
            </w14:solidFill>
          </w14:textFill>
        </w:rPr>
        <w:t>要求</w:t>
      </w:r>
      <w:r>
        <w:rPr>
          <w:rFonts w:ascii="宋体" w:hAnsi="宋体"/>
          <w:color w:val="000000" w:themeColor="text1"/>
          <w14:textFill>
            <w14:solidFill>
              <w14:schemeClr w14:val="tx1"/>
            </w14:solidFill>
          </w14:textFill>
        </w:rPr>
        <w:t>填写；</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5.参选人的报价超出本项目参选上限价上限的；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w:t>
      </w:r>
      <w:r>
        <w:rPr>
          <w:rFonts w:ascii="宋体" w:hAnsi="宋体"/>
          <w:color w:val="000000" w:themeColor="text1"/>
          <w14:textFill>
            <w14:solidFill>
              <w14:schemeClr w14:val="tx1"/>
            </w14:solidFill>
          </w14:textFill>
        </w:rPr>
        <w:t>参选人的参选报价是可变动价格的，或包含了价格调整要求的，</w:t>
      </w:r>
      <w:r>
        <w:rPr>
          <w:rFonts w:hint="eastAsia" w:ascii="宋体" w:hAnsi="宋体"/>
          <w:color w:val="000000" w:themeColor="text1"/>
          <w14:textFill>
            <w14:solidFill>
              <w14:schemeClr w14:val="tx1"/>
            </w14:solidFill>
          </w14:textFill>
        </w:rPr>
        <w:t>或参选人递交两份或多份内容不同的报价文件，或在一份报价文件中对同一比选项目报有两个或多个报价，且未声明哪一个有效的；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7.</w:t>
      </w:r>
      <w:r>
        <w:rPr>
          <w:rFonts w:hint="eastAsia" w:ascii="宋体" w:hAnsi="宋体"/>
          <w:color w:val="000000" w:themeColor="text1"/>
          <w14:textFill>
            <w14:solidFill>
              <w14:schemeClr w14:val="tx1"/>
            </w14:solidFill>
          </w14:textFill>
        </w:rPr>
        <w:t>经审查</w:t>
      </w:r>
      <w:r>
        <w:rPr>
          <w:rFonts w:ascii="宋体" w:hAnsi="宋体"/>
          <w:color w:val="000000" w:themeColor="text1"/>
          <w14:textFill>
            <w14:solidFill>
              <w14:schemeClr w14:val="tx1"/>
            </w14:solidFill>
          </w14:textFill>
        </w:rPr>
        <w:t>参选人不符合资格要求的</w:t>
      </w:r>
      <w:r>
        <w:rPr>
          <w:rFonts w:hint="eastAsia" w:ascii="宋体" w:hAnsi="宋体"/>
          <w:color w:val="000000" w:themeColor="text1"/>
          <w14:textFill>
            <w14:solidFill>
              <w14:schemeClr w14:val="tx1"/>
            </w14:solidFill>
          </w14:textFill>
        </w:rPr>
        <w:t>。</w:t>
      </w:r>
    </w:p>
    <w:p>
      <w:pPr>
        <w:spacing w:line="360" w:lineRule="auto"/>
        <w:ind w:left="48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三、参选文件存在下列情形的，应作废标处理（由评标委员会负责判定）：</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1.参选人以他人的名义参选或出现串通参选、弄虚作假情形的：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2.不同参选人的参选文件内容存在非正常一致的；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3.不同参选人的参选文件错漏之处一致的；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.不同参选人的参选报价或者报价组成异常一致或者呈规律性变化的；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5</w:t>
      </w:r>
      <w:r>
        <w:rPr>
          <w:rFonts w:hint="eastAsia" w:ascii="宋体" w:hAnsi="宋体"/>
          <w:color w:val="000000" w:themeColor="text1"/>
          <w14:textFill>
            <w14:solidFill>
              <w14:schemeClr w14:val="tx1"/>
            </w14:solidFill>
          </w14:textFill>
        </w:rPr>
        <w:t>.不同参选人的参选文件由同一单位或者同一个人编制的；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6</w:t>
      </w:r>
      <w:r>
        <w:rPr>
          <w:rFonts w:hint="eastAsia" w:ascii="宋体" w:hAnsi="宋体"/>
          <w:color w:val="000000" w:themeColor="text1"/>
          <w14:textFill>
            <w14:solidFill>
              <w14:schemeClr w14:val="tx1"/>
            </w14:solidFill>
          </w14:textFill>
        </w:rPr>
        <w:t>.不同参选人的参选文件载明的项目负责人与主要技术人员出现同一人的；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7.不同参选人的参选文件相互混装的；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8.不同参选人委托同一人参选的；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9</w:t>
      </w:r>
      <w:r>
        <w:rPr>
          <w:rFonts w:hint="eastAsia" w:ascii="宋体" w:hAnsi="宋体"/>
          <w:color w:val="000000" w:themeColor="text1"/>
          <w14:textFill>
            <w14:solidFill>
              <w14:schemeClr w14:val="tx1"/>
            </w14:solidFill>
          </w14:textFill>
        </w:rPr>
        <w:t>.不同参选人聘请同一人为其参选提供技术或者经济咨询服务的，但比选项目本身要求采用专有技术的除外。</w:t>
      </w:r>
    </w:p>
    <w:p>
      <w:pPr>
        <w:spacing w:line="360" w:lineRule="auto"/>
        <w:ind w:left="480"/>
        <w:rPr>
          <w:rFonts w:ascii="宋体" w:hAnsi="宋体"/>
          <w:color w:val="000000" w:themeColor="text1"/>
          <w14:textFill>
            <w14:solidFill>
              <w14:schemeClr w14:val="tx1"/>
            </w14:solidFill>
          </w14:textFill>
        </w:rPr>
        <w:sectPr>
          <w:headerReference r:id="rId9" w:type="default"/>
          <w:footerReference r:id="rId10" w:type="default"/>
          <w:pgSz w:w="11906" w:h="16838"/>
          <w:pgMar w:top="1440" w:right="1440" w:bottom="1440" w:left="1440" w:header="720" w:footer="890" w:gutter="0"/>
          <w:cols w:space="720" w:num="1"/>
          <w:docGrid w:linePitch="312" w:charSpace="0"/>
        </w:sectPr>
      </w:pPr>
      <w:r>
        <w:rPr>
          <w:rFonts w:ascii="宋体" w:hAnsi="宋体"/>
          <w:color w:val="000000" w:themeColor="text1"/>
          <w14:textFill>
            <w14:solidFill>
              <w14:schemeClr w14:val="tx1"/>
            </w14:solidFill>
          </w14:textFill>
        </w:rPr>
        <w:t>10</w:t>
      </w:r>
      <w:r>
        <w:rPr>
          <w:rFonts w:hint="eastAsia" w:ascii="宋体" w:hAnsi="宋体"/>
          <w:color w:val="000000" w:themeColor="text1"/>
          <w14:textFill>
            <w14:solidFill>
              <w14:schemeClr w14:val="tx1"/>
            </w14:solidFill>
          </w14:textFill>
        </w:rPr>
        <w:t>.参选人拒不按照评标委员会要求对参选文件进行澄清、说明、补正的。</w:t>
      </w:r>
    </w:p>
    <w:p>
      <w:pPr>
        <w:pStyle w:val="3"/>
        <w:spacing w:before="240" w:line="360" w:lineRule="auto"/>
        <w:rPr>
          <w:rFonts w:ascii="宋体" w:hAnsi="宋体"/>
          <w:b w:val="0"/>
          <w:color w:val="000000" w:themeColor="text1"/>
          <w:szCs w:val="44"/>
          <w14:textFill>
            <w14:solidFill>
              <w14:schemeClr w14:val="tx1"/>
            </w14:solidFill>
          </w14:textFill>
        </w:rPr>
      </w:pPr>
      <w:bookmarkStart w:id="19" w:name="_Toc18350"/>
      <w:bookmarkStart w:id="20" w:name="_Toc62576169"/>
      <w:bookmarkStart w:id="21" w:name="_Toc2537"/>
      <w:bookmarkStart w:id="22" w:name="_Toc97605299"/>
      <w:bookmarkStart w:id="23" w:name="_Toc191203192"/>
      <w:bookmarkStart w:id="24" w:name="_Toc402782153"/>
      <w:bookmarkStart w:id="25" w:name="_Toc188439083"/>
      <w:bookmarkStart w:id="26" w:name="_Toc372555579"/>
      <w:r>
        <w:rPr>
          <w:rFonts w:ascii="宋体" w:hAnsi="宋体"/>
          <w:color w:val="000000" w:themeColor="text1"/>
          <w:szCs w:val="44"/>
          <w14:textFill>
            <w14:solidFill>
              <w14:schemeClr w14:val="tx1"/>
            </w14:solidFill>
          </w14:textFill>
        </w:rPr>
        <w:t>第</w:t>
      </w:r>
      <w:r>
        <w:rPr>
          <w:rFonts w:hint="eastAsia" w:ascii="宋体" w:hAnsi="宋体"/>
          <w:color w:val="000000" w:themeColor="text1"/>
          <w:szCs w:val="44"/>
          <w14:textFill>
            <w14:solidFill>
              <w14:schemeClr w14:val="tx1"/>
            </w14:solidFill>
          </w14:textFill>
        </w:rPr>
        <w:t xml:space="preserve">一篇  </w:t>
      </w:r>
      <w:r>
        <w:rPr>
          <w:rFonts w:ascii="宋体" w:hAnsi="宋体"/>
          <w:color w:val="000000" w:themeColor="text1"/>
          <w:szCs w:val="44"/>
          <w14:textFill>
            <w14:solidFill>
              <w14:schemeClr w14:val="tx1"/>
            </w14:solidFill>
          </w14:textFill>
        </w:rPr>
        <w:t>参选须知</w:t>
      </w:r>
      <w:bookmarkEnd w:id="19"/>
      <w:bookmarkEnd w:id="20"/>
      <w:bookmarkEnd w:id="21"/>
      <w:bookmarkEnd w:id="22"/>
    </w:p>
    <w:p>
      <w:pPr>
        <w:pStyle w:val="3"/>
        <w:rPr>
          <w:color w:val="000000" w:themeColor="text1"/>
          <w:szCs w:val="44"/>
          <w14:textFill>
            <w14:solidFill>
              <w14:schemeClr w14:val="tx1"/>
            </w14:solidFill>
          </w14:textFill>
        </w:rPr>
      </w:pPr>
      <w:bookmarkStart w:id="27" w:name="_Toc97605300"/>
      <w:bookmarkStart w:id="28" w:name="_Toc5321"/>
      <w:bookmarkStart w:id="29" w:name="_Toc197404897"/>
      <w:bookmarkStart w:id="30" w:name="_Toc518494117"/>
      <w:r>
        <w:rPr>
          <w:rFonts w:hint="eastAsia"/>
          <w:color w:val="000000" w:themeColor="text1"/>
          <w:szCs w:val="44"/>
          <w14:textFill>
            <w14:solidFill>
              <w14:schemeClr w14:val="tx1"/>
            </w14:solidFill>
          </w14:textFill>
        </w:rPr>
        <w:t>第一章 总则</w:t>
      </w:r>
      <w:bookmarkEnd w:id="27"/>
      <w:bookmarkEnd w:id="28"/>
      <w:bookmarkEnd w:id="29"/>
      <w:bookmarkEnd w:id="30"/>
    </w:p>
    <w:p>
      <w:pPr>
        <w:spacing w:line="360" w:lineRule="auto"/>
        <w:outlineLvl w:val="2"/>
        <w:rPr>
          <w:color w:val="000000" w:themeColor="text1"/>
          <w:szCs w:val="24"/>
          <w14:textFill>
            <w14:solidFill>
              <w14:schemeClr w14:val="tx1"/>
            </w14:solidFill>
          </w14:textFill>
        </w:rPr>
      </w:pPr>
      <w:bookmarkStart w:id="31" w:name="_Toc14339"/>
      <w:bookmarkStart w:id="32" w:name="_Toc4012"/>
      <w:r>
        <w:rPr>
          <w:rFonts w:hint="eastAsia"/>
          <w:b/>
          <w:bCs/>
          <w:color w:val="000000" w:themeColor="text1"/>
          <w14:textFill>
            <w14:solidFill>
              <w14:schemeClr w14:val="tx1"/>
            </w14:solidFill>
          </w14:textFill>
        </w:rPr>
        <w:t>一、</w:t>
      </w:r>
      <w:bookmarkEnd w:id="31"/>
      <w:bookmarkEnd w:id="32"/>
      <w:r>
        <w:rPr>
          <w:rFonts w:hint="eastAsia"/>
          <w:b/>
          <w:bCs/>
          <w:color w:val="000000" w:themeColor="text1"/>
          <w14:textFill>
            <w14:solidFill>
              <w14:schemeClr w14:val="tx1"/>
            </w14:solidFill>
          </w14:textFill>
        </w:rPr>
        <w:t>项目概况</w:t>
      </w:r>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昂鹅车辆段融资地块位于坪山区坑梓片区，我司拟获取土地用地范围约83.5公顷，建筑面积约136.2万平方米。</w:t>
      </w:r>
    </w:p>
    <w:p>
      <w:pPr>
        <w:pStyle w:val="2"/>
        <w:ind w:firstLine="0"/>
        <w:jc w:val="center"/>
        <w:rPr>
          <w:color w:val="000000" w:themeColor="text1"/>
          <w14:textFill>
            <w14:solidFill>
              <w14:schemeClr w14:val="tx1"/>
            </w14:solidFill>
          </w14:textFill>
        </w:rPr>
      </w:pPr>
      <w:r>
        <w:rPr>
          <w:rFonts w:hint="eastAsia"/>
        </w:rPr>
        <w:drawing>
          <wp:inline distT="0" distB="0" distL="114300" distR="114300">
            <wp:extent cx="2781300" cy="3343910"/>
            <wp:effectExtent l="0" t="0" r="0" b="8890"/>
            <wp:docPr id="3" name="图片 3" descr="e2fde069edab2f9d1a2f04b23c1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2fde069edab2f9d1a2f04b23c10108"/>
                    <pic:cNvPicPr>
                      <a:picLocks noChangeAspect="1"/>
                    </pic:cNvPicPr>
                  </pic:nvPicPr>
                  <pic:blipFill>
                    <a:blip r:embed="rId21"/>
                    <a:stretch>
                      <a:fillRect/>
                    </a:stretch>
                  </pic:blipFill>
                  <pic:spPr>
                    <a:xfrm>
                      <a:off x="0" y="0"/>
                      <a:ext cx="2781300" cy="3343910"/>
                    </a:xfrm>
                    <a:prstGeom prst="rect">
                      <a:avLst/>
                    </a:prstGeom>
                  </pic:spPr>
                </pic:pic>
              </a:graphicData>
            </a:graphic>
          </wp:inline>
        </w:drawing>
      </w:r>
    </w:p>
    <w:p>
      <w:pPr>
        <w:spacing w:line="36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研究范围图</w:t>
      </w:r>
    </w:p>
    <w:p>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二、服务内容</w:t>
      </w:r>
    </w:p>
    <w:p>
      <w:pPr>
        <w:spacing w:line="360" w:lineRule="auto"/>
        <w:ind w:firstLine="566" w:firstLineChars="236"/>
        <w:rPr>
          <w:color w:val="000000" w:themeColor="text1"/>
          <w:szCs w:val="24"/>
          <w14:textFill>
            <w14:solidFill>
              <w14:schemeClr w14:val="tx1"/>
            </w14:solidFill>
          </w14:textFill>
        </w:rPr>
      </w:pPr>
      <w:bookmarkStart w:id="33" w:name="_Toc14895"/>
      <w:r>
        <w:rPr>
          <w:rFonts w:hint="eastAsia"/>
          <w:color w:val="000000" w:themeColor="text1"/>
          <w:szCs w:val="24"/>
          <w14:textFill>
            <w14:solidFill>
              <w14:schemeClr w14:val="tx1"/>
            </w14:solidFill>
          </w14:textFill>
        </w:rPr>
        <w:t>（一）比选范围包括：根据《深圳市建设用地土壤污染状况调查与风险评估工作指引（2021年版）》内容开展工作。具体内容包括并不限于：</w:t>
      </w:r>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1.现状调查及资料收集；</w:t>
      </w:r>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2.编制项目场地土壤环境初步调查报告；</w:t>
      </w:r>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3.将项目场地土壤环境初步调查报告书报送评审机构专家及环境保护行政主管部门审查并通过；</w:t>
      </w:r>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4. 完成项目场地土壤环境初步调查报告书上传全国土壤调查信息平台备案等相关工作；</w:t>
      </w:r>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5. 后续服务工作。</w:t>
      </w:r>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土壤环境初步调查主要通过资料收集、现场踏勘和人员访谈，确定地块疑似污染区域和主要污染物类型；通过初步采样调查，判断地块是否存在污染，筛选关注污染物，初步掌握污染程度和空间分布。</w:t>
      </w:r>
    </w:p>
    <w:p>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三、工作方式及时间要求</w:t>
      </w:r>
      <w:bookmarkEnd w:id="33"/>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自合同签订之日起至乙方完成全部合同内容之日止。</w:t>
      </w:r>
    </w:p>
    <w:p>
      <w:pPr>
        <w:spacing w:line="360" w:lineRule="auto"/>
        <w:outlineLvl w:val="2"/>
        <w:rPr>
          <w:b/>
          <w:bCs/>
          <w:color w:val="000000" w:themeColor="text1"/>
          <w14:textFill>
            <w14:solidFill>
              <w14:schemeClr w14:val="tx1"/>
            </w14:solidFill>
          </w14:textFill>
        </w:rPr>
      </w:pPr>
      <w:bookmarkStart w:id="34" w:name="_Toc8622"/>
      <w:r>
        <w:rPr>
          <w:rFonts w:hint="eastAsia"/>
          <w:b/>
          <w:bCs/>
          <w:color w:val="000000" w:themeColor="text1"/>
          <w14:textFill>
            <w14:solidFill>
              <w14:schemeClr w14:val="tx1"/>
            </w14:solidFill>
          </w14:textFill>
        </w:rPr>
        <w:t>四、参选人资格要求</w:t>
      </w:r>
      <w:bookmarkEnd w:id="34"/>
    </w:p>
    <w:p>
      <w:pPr>
        <w:spacing w:line="360" w:lineRule="auto"/>
        <w:ind w:firstLine="566" w:firstLineChars="236"/>
        <w:rPr>
          <w:color w:val="000000" w:themeColor="text1"/>
          <w14:textFill>
            <w14:solidFill>
              <w14:schemeClr w14:val="tx1"/>
            </w14:solidFill>
          </w14:textFill>
        </w:rPr>
      </w:pPr>
      <w:bookmarkStart w:id="35" w:name="_Toc23658"/>
      <w:bookmarkStart w:id="36" w:name="_Toc11224"/>
      <w:r>
        <w:rPr>
          <w:rFonts w:hint="eastAsia"/>
          <w:color w:val="000000" w:themeColor="text1"/>
          <w14:textFill>
            <w14:solidFill>
              <w14:schemeClr w14:val="tx1"/>
            </w14:solidFill>
          </w14:textFill>
        </w:rPr>
        <w:t>（一）参选人资质要求：参</w:t>
      </w:r>
      <w:r>
        <w:rPr>
          <w:color w:val="000000" w:themeColor="text1"/>
          <w14:textFill>
            <w14:solidFill>
              <w14:schemeClr w14:val="tx1"/>
            </w14:solidFill>
          </w14:textFill>
        </w:rPr>
        <w:t>选</w:t>
      </w:r>
      <w:r>
        <w:rPr>
          <w:rFonts w:hint="eastAsia"/>
          <w:color w:val="000000" w:themeColor="text1"/>
          <w14:textFill>
            <w14:solidFill>
              <w14:schemeClr w14:val="tx1"/>
            </w14:solidFill>
          </w14:textFill>
        </w:rPr>
        <w:t>人必须是中华人民共和国境内依法注册的法人或合伙制企业或其他组织，注册成立时间不晚于2019年4月;（提供营业执照或注册登记的证明文件复印件）</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（二）参选人业绩要求：无。</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（三）项目负责人资格要求：无。</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（四）其他要求：本项目不接受联合体参选。母、子公司只允许一家公司参与报价；同一法人代表，只接受一家投标；</w:t>
      </w:r>
    </w:p>
    <w:p>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五、比选、参选的时间安排</w:t>
      </w:r>
      <w:bookmarkEnd w:id="35"/>
      <w:bookmarkEnd w:id="36"/>
    </w:p>
    <w:p>
      <w:pPr>
        <w:spacing w:line="360" w:lineRule="auto"/>
        <w:ind w:firstLine="480" w:firstLineChars="200"/>
        <w:jc w:val="left"/>
        <w:rPr>
          <w:bCs/>
          <w:color w:val="000000" w:themeColor="text1"/>
          <w14:textFill>
            <w14:solidFill>
              <w14:schemeClr w14:val="tx1"/>
            </w14:solidFill>
          </w14:textFill>
        </w:rPr>
      </w:pPr>
      <w:r>
        <w:rPr>
          <w:rFonts w:hint="eastAsia"/>
          <w:bCs/>
          <w:color w:val="000000" w:themeColor="text1"/>
          <w14:textFill>
            <w14:solidFill>
              <w14:schemeClr w14:val="tx1"/>
            </w14:solidFill>
          </w14:textFill>
        </w:rPr>
        <w:t>详见</w:t>
      </w:r>
      <w:r>
        <w:rPr>
          <w:bCs/>
          <w:color w:val="000000" w:themeColor="text1"/>
          <w14:textFill>
            <w14:solidFill>
              <w14:schemeClr w14:val="tx1"/>
            </w14:solidFill>
          </w14:textFill>
        </w:rPr>
        <w:t>比选公告</w:t>
      </w:r>
    </w:p>
    <w:p>
      <w:pPr>
        <w:spacing w:line="360" w:lineRule="auto"/>
        <w:outlineLvl w:val="2"/>
        <w:rPr>
          <w:b/>
          <w:bCs/>
          <w:color w:val="000000" w:themeColor="text1"/>
          <w14:textFill>
            <w14:solidFill>
              <w14:schemeClr w14:val="tx1"/>
            </w14:solidFill>
          </w14:textFill>
        </w:rPr>
      </w:pPr>
      <w:bookmarkStart w:id="37" w:name="_Toc20013"/>
      <w:bookmarkStart w:id="38" w:name="_Toc27477"/>
      <w:bookmarkStart w:id="39" w:name="_Toc518494123"/>
      <w:r>
        <w:rPr>
          <w:rFonts w:hint="eastAsia"/>
          <w:b/>
          <w:bCs/>
          <w:color w:val="000000" w:themeColor="text1"/>
          <w14:textFill>
            <w14:solidFill>
              <w14:schemeClr w14:val="tx1"/>
            </w14:solidFill>
          </w14:textFill>
        </w:rPr>
        <w:t>六、参选费用</w:t>
      </w:r>
      <w:bookmarkEnd w:id="37"/>
      <w:bookmarkEnd w:id="38"/>
      <w:bookmarkEnd w:id="39"/>
    </w:p>
    <w:p>
      <w:pPr>
        <w:spacing w:line="360" w:lineRule="auto"/>
        <w:ind w:firstLine="48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参选人应承担所有与准备和参加参选有关的费用。无论参选的结果如何，参选人均自行承担因参加参选而发生的一切费用。</w:t>
      </w:r>
    </w:p>
    <w:p>
      <w:pPr>
        <w:spacing w:line="360" w:lineRule="auto"/>
        <w:outlineLvl w:val="2"/>
        <w:rPr>
          <w:b/>
          <w:bCs/>
          <w:color w:val="000000" w:themeColor="text1"/>
          <w14:textFill>
            <w14:solidFill>
              <w14:schemeClr w14:val="tx1"/>
            </w14:solidFill>
          </w14:textFill>
        </w:rPr>
      </w:pPr>
      <w:bookmarkStart w:id="40" w:name="_Toc29471"/>
      <w:bookmarkStart w:id="41" w:name="_Toc94"/>
      <w:bookmarkStart w:id="42" w:name="_Toc518494124"/>
      <w:r>
        <w:rPr>
          <w:rFonts w:hint="eastAsia"/>
          <w:b/>
          <w:bCs/>
          <w:color w:val="000000" w:themeColor="text1"/>
          <w14:textFill>
            <w14:solidFill>
              <w14:schemeClr w14:val="tx1"/>
            </w14:solidFill>
          </w14:textFill>
        </w:rPr>
        <w:t>七、参选报价限价</w:t>
      </w:r>
      <w:bookmarkEnd w:id="40"/>
      <w:bookmarkEnd w:id="41"/>
      <w:bookmarkEnd w:id="42"/>
    </w:p>
    <w:p>
      <w:pPr>
        <w:pStyle w:val="8"/>
        <w:tabs>
          <w:tab w:val="right" w:pos="9026"/>
        </w:tabs>
        <w:spacing w:line="360" w:lineRule="auto"/>
        <w:ind w:firstLine="480" w:firstLineChars="200"/>
        <w:rPr>
          <w:rFonts w:hAnsi="宋体"/>
          <w:b/>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本次参</w:t>
      </w:r>
      <w:r>
        <w:rPr>
          <w:rFonts w:hAnsi="宋体"/>
          <w:color w:val="000000" w:themeColor="text1"/>
          <w:sz w:val="24"/>
          <w:szCs w:val="24"/>
          <w14:textFill>
            <w14:solidFill>
              <w14:schemeClr w14:val="tx1"/>
            </w14:solidFill>
          </w14:textFill>
        </w:rPr>
        <w:t>选</w:t>
      </w:r>
      <w:r>
        <w:rPr>
          <w:rFonts w:hint="eastAsia" w:hAnsi="宋体"/>
          <w:color w:val="000000" w:themeColor="text1"/>
          <w:sz w:val="24"/>
          <w:szCs w:val="24"/>
          <w14:textFill>
            <w14:solidFill>
              <w14:schemeClr w14:val="tx1"/>
            </w14:solidFill>
          </w14:textFill>
        </w:rPr>
        <w:t>报价</w:t>
      </w:r>
      <w:r>
        <w:rPr>
          <w:rFonts w:hint="eastAsia" w:hAnsi="宋体"/>
          <w:b/>
          <w:bCs/>
          <w:color w:val="000000" w:themeColor="text1"/>
          <w:sz w:val="24"/>
          <w:szCs w:val="24"/>
          <w:u w:val="single"/>
          <w14:textFill>
            <w14:solidFill>
              <w14:schemeClr w14:val="tx1"/>
            </w14:solidFill>
          </w14:textFill>
        </w:rPr>
        <w:t>最高限价为人民币295.59万元（含税</w:t>
      </w:r>
      <w:r>
        <w:rPr>
          <w:rFonts w:hAnsi="宋体"/>
          <w:b/>
          <w:bCs/>
          <w:color w:val="000000" w:themeColor="text1"/>
          <w:sz w:val="24"/>
          <w:szCs w:val="24"/>
          <w:u w:val="single"/>
          <w14:textFill>
            <w14:solidFill>
              <w14:schemeClr w14:val="tx1"/>
            </w14:solidFill>
          </w14:textFill>
        </w:rPr>
        <w:t>）</w:t>
      </w:r>
      <w:r>
        <w:rPr>
          <w:rFonts w:hint="eastAsia" w:hAnsi="宋体"/>
          <w:b/>
          <w:bCs/>
          <w:color w:val="000000" w:themeColor="text1"/>
          <w:sz w:val="24"/>
          <w:szCs w:val="24"/>
          <w:u w:val="single"/>
          <w14:textFill>
            <w14:solidFill>
              <w14:schemeClr w14:val="tx1"/>
            </w14:solidFill>
          </w14:textFill>
        </w:rPr>
        <w:t>。</w:t>
      </w:r>
    </w:p>
    <w:p>
      <w:pPr>
        <w:widowControl/>
        <w:jc w:val="left"/>
        <w:rPr>
          <w:color w:val="000000" w:themeColor="text1"/>
          <w14:textFill>
            <w14:solidFill>
              <w14:schemeClr w14:val="tx1"/>
            </w14:solidFill>
          </w14:textFill>
        </w:rPr>
      </w:pPr>
      <w:bookmarkStart w:id="43" w:name="_Toc25871"/>
      <w:r>
        <w:rPr>
          <w:color w:val="000000" w:themeColor="text1"/>
          <w14:textFill>
            <w14:solidFill>
              <w14:schemeClr w14:val="tx1"/>
            </w14:solidFill>
          </w14:textFill>
        </w:rPr>
        <w:br w:type="page"/>
      </w:r>
    </w:p>
    <w:p>
      <w:pPr>
        <w:pStyle w:val="3"/>
        <w:rPr>
          <w:color w:val="000000" w:themeColor="text1"/>
          <w:szCs w:val="44"/>
          <w14:textFill>
            <w14:solidFill>
              <w14:schemeClr w14:val="tx1"/>
            </w14:solidFill>
          </w14:textFill>
        </w:rPr>
      </w:pPr>
      <w:bookmarkStart w:id="44" w:name="_Toc97605301"/>
      <w:r>
        <w:rPr>
          <w:rFonts w:hint="eastAsia"/>
          <w:color w:val="000000" w:themeColor="text1"/>
          <w:szCs w:val="44"/>
          <w14:textFill>
            <w14:solidFill>
              <w14:schemeClr w14:val="tx1"/>
            </w14:solidFill>
          </w14:textFill>
        </w:rPr>
        <w:t>第二章  比选文件</w:t>
      </w:r>
      <w:bookmarkEnd w:id="43"/>
      <w:bookmarkEnd w:id="44"/>
    </w:p>
    <w:p>
      <w:pPr>
        <w:spacing w:line="360" w:lineRule="auto"/>
        <w:outlineLvl w:val="2"/>
        <w:rPr>
          <w:b/>
          <w:bCs/>
          <w:color w:val="000000" w:themeColor="text1"/>
          <w14:textFill>
            <w14:solidFill>
              <w14:schemeClr w14:val="tx1"/>
            </w14:solidFill>
          </w14:textFill>
        </w:rPr>
      </w:pPr>
      <w:bookmarkStart w:id="45" w:name="_Toc20507"/>
      <w:bookmarkStart w:id="46" w:name="_Toc1068"/>
      <w:bookmarkStart w:id="47" w:name="_Toc197404903"/>
      <w:bookmarkStart w:id="48" w:name="_Toc518494127"/>
      <w:r>
        <w:rPr>
          <w:rFonts w:hint="eastAsia"/>
          <w:b/>
          <w:bCs/>
          <w:color w:val="000000" w:themeColor="text1"/>
          <w14:textFill>
            <w14:solidFill>
              <w14:schemeClr w14:val="tx1"/>
            </w14:solidFill>
          </w14:textFill>
        </w:rPr>
        <w:t>一、比选文件的构成</w:t>
      </w:r>
      <w:bookmarkEnd w:id="45"/>
      <w:bookmarkEnd w:id="46"/>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比选文件用以阐明所需参选须知、评定标程序、</w:t>
      </w:r>
      <w:r>
        <w:rPr>
          <w:rFonts w:hint="eastAsia" w:ascii="宋体" w:hAnsi="宋体" w:cs="宋体"/>
          <w:color w:val="000000" w:themeColor="text1"/>
          <w:szCs w:val="24"/>
          <w14:textFill>
            <w14:solidFill>
              <w14:schemeClr w14:val="tx1"/>
            </w14:solidFill>
          </w14:textFill>
        </w:rPr>
        <w:t>轨道交通四期综合开发项目（四）土壤环境初步调查</w:t>
      </w:r>
      <w:r>
        <w:rPr>
          <w:rFonts w:hint="eastAsia" w:ascii="宋体" w:hAnsi="宋体"/>
          <w:color w:val="000000" w:themeColor="text1"/>
          <w:szCs w:val="24"/>
          <w14:textFill>
            <w14:solidFill>
              <w14:schemeClr w14:val="tx1"/>
            </w14:solidFill>
          </w14:textFill>
        </w:rPr>
        <w:t>工作任务及要求、合同条款等，比选文件由下述部分组成：</w:t>
      </w:r>
    </w:p>
    <w:p>
      <w:pPr>
        <w:pStyle w:val="7"/>
        <w:tabs>
          <w:tab w:val="left" w:pos="1050"/>
        </w:tabs>
        <w:ind w:left="0" w:leftChars="0" w:firstLine="480" w:firstLineChars="200"/>
        <w:rPr>
          <w:rFonts w:ascii="宋体" w:hAnsi="宋体"/>
          <w:color w:val="000000" w:themeColor="text1"/>
          <w:sz w:val="24"/>
          <w14:textFill>
            <w14:solidFill>
              <w14:schemeClr w14:val="tx1"/>
            </w14:solidFill>
          </w14:textFill>
        </w:rPr>
      </w:pPr>
      <w:bookmarkStart w:id="49" w:name="_Toc6371"/>
      <w:bookmarkStart w:id="50" w:name="_Toc25293"/>
      <w:r>
        <w:rPr>
          <w:rFonts w:hint="eastAsia" w:ascii="宋体" w:hAnsi="宋体"/>
          <w:color w:val="000000" w:themeColor="text1"/>
          <w:sz w:val="24"/>
          <w14:textFill>
            <w14:solidFill>
              <w14:schemeClr w14:val="tx1"/>
            </w14:solidFill>
          </w14:textFill>
        </w:rPr>
        <w:t>致参选人</w:t>
      </w:r>
    </w:p>
    <w:p>
      <w:pPr>
        <w:pStyle w:val="7"/>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参选文件无效和废标的情形摘要</w:t>
      </w:r>
    </w:p>
    <w:p>
      <w:pPr>
        <w:pStyle w:val="7"/>
        <w:numPr>
          <w:ilvl w:val="0"/>
          <w:numId w:val="1"/>
        </w:numPr>
        <w:ind w:leftChars="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参选须知</w:t>
      </w:r>
    </w:p>
    <w:p>
      <w:pPr>
        <w:pStyle w:val="7"/>
        <w:numPr>
          <w:ilvl w:val="0"/>
          <w:numId w:val="1"/>
        </w:numPr>
        <w:ind w:leftChars="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参选文件格式</w:t>
      </w:r>
    </w:p>
    <w:p>
      <w:pPr>
        <w:pStyle w:val="7"/>
        <w:numPr>
          <w:ilvl w:val="0"/>
          <w:numId w:val="1"/>
        </w:numPr>
        <w:ind w:leftChars="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w:t>
      </w:r>
    </w:p>
    <w:p>
      <w:pPr>
        <w:pStyle w:val="7"/>
        <w:ind w:left="0" w:leftChars="0" w:firstLine="0" w:firstLineChars="0"/>
        <w:rPr>
          <w:rFonts w:ascii="宋体" w:hAnsi="宋体"/>
          <w:color w:val="000000" w:themeColor="text1"/>
          <w:sz w:val="24"/>
          <w14:textFill>
            <w14:solidFill>
              <w14:schemeClr w14:val="tx1"/>
            </w14:solidFill>
          </w14:textFill>
        </w:rPr>
      </w:pPr>
    </w:p>
    <w:p>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二、比选文件的补遗、澄清、修改</w:t>
      </w:r>
      <w:bookmarkEnd w:id="47"/>
      <w:bookmarkEnd w:id="48"/>
      <w:bookmarkEnd w:id="49"/>
      <w:bookmarkEnd w:id="50"/>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1.</w:t>
      </w:r>
      <w:r>
        <w:rPr>
          <w:rFonts w:ascii="宋体" w:hAnsi="宋体"/>
          <w:color w:val="000000" w:themeColor="text1"/>
          <w:szCs w:val="24"/>
          <w14:textFill>
            <w14:solidFill>
              <w14:schemeClr w14:val="tx1"/>
            </w14:solidFill>
          </w14:textFill>
        </w:rPr>
        <w:t>参选人若对比选文件有疑问，需要比选人予以澄清，</w:t>
      </w:r>
      <w:r>
        <w:rPr>
          <w:rFonts w:hint="eastAsia" w:ascii="宋体" w:hAnsi="宋体"/>
          <w:color w:val="000000" w:themeColor="text1"/>
          <w:kern w:val="0"/>
          <w:szCs w:val="24"/>
          <w14:textFill>
            <w14:solidFill>
              <w14:schemeClr w14:val="tx1"/>
            </w14:solidFill>
          </w14:textFill>
        </w:rPr>
        <w:t>应于</w:t>
      </w:r>
      <w:r>
        <w:rPr>
          <w:rFonts w:hint="eastAsia" w:ascii="宋体" w:hAnsi="宋体"/>
          <w:b/>
          <w:color w:val="000000" w:themeColor="text1"/>
          <w:kern w:val="0"/>
          <w:szCs w:val="24"/>
          <w:u w:val="single"/>
          <w14:textFill>
            <w14:solidFill>
              <w14:schemeClr w14:val="tx1"/>
            </w14:solidFill>
          </w14:textFill>
        </w:rPr>
        <w:t>参选截止日</w:t>
      </w:r>
      <w:r>
        <w:rPr>
          <w:rFonts w:ascii="宋体" w:hAnsi="宋体"/>
          <w:b/>
          <w:color w:val="000000" w:themeColor="text1"/>
          <w:szCs w:val="24"/>
          <w:u w:val="single"/>
          <w14:textFill>
            <w14:solidFill>
              <w14:schemeClr w14:val="tx1"/>
            </w14:solidFill>
          </w14:textFill>
        </w:rPr>
        <w:t>5</w:t>
      </w:r>
      <w:r>
        <w:rPr>
          <w:rFonts w:hint="eastAsia" w:ascii="宋体" w:hAnsi="宋体"/>
          <w:b/>
          <w:color w:val="000000" w:themeColor="text1"/>
          <w:szCs w:val="24"/>
          <w:u w:val="single"/>
          <w14:textFill>
            <w14:solidFill>
              <w14:schemeClr w14:val="tx1"/>
            </w14:solidFill>
          </w14:textFill>
        </w:rPr>
        <w:t>日前</w:t>
      </w:r>
      <w:r>
        <w:rPr>
          <w:rFonts w:ascii="宋体" w:hAnsi="宋体"/>
          <w:color w:val="000000" w:themeColor="text1"/>
          <w:szCs w:val="24"/>
          <w14:textFill>
            <w14:solidFill>
              <w14:schemeClr w14:val="tx1"/>
            </w14:solidFill>
          </w14:textFill>
        </w:rPr>
        <w:t>以书面形式向比选人提出。不论是比选人根据需要主动对比选文件进行必要的澄清或是根据参选人的要求对比选文件做出澄清，比选人</w:t>
      </w:r>
      <w:r>
        <w:rPr>
          <w:rFonts w:hint="eastAsia" w:ascii="宋体" w:hAnsi="宋体"/>
          <w:color w:val="000000" w:themeColor="text1"/>
          <w:szCs w:val="24"/>
          <w14:textFill>
            <w14:solidFill>
              <w14:schemeClr w14:val="tx1"/>
            </w14:solidFill>
          </w14:textFill>
        </w:rPr>
        <w:t>的</w:t>
      </w:r>
      <w:r>
        <w:rPr>
          <w:rFonts w:ascii="宋体" w:hAnsi="宋体"/>
          <w:color w:val="000000" w:themeColor="text1"/>
          <w:szCs w:val="24"/>
          <w14:textFill>
            <w14:solidFill>
              <w14:schemeClr w14:val="tx1"/>
            </w14:solidFill>
          </w14:textFill>
        </w:rPr>
        <w:t>补遗文件都将</w:t>
      </w:r>
      <w:r>
        <w:rPr>
          <w:rFonts w:hint="eastAsia" w:ascii="宋体" w:hAnsi="宋体"/>
          <w:color w:val="000000" w:themeColor="text1"/>
          <w:szCs w:val="24"/>
          <w14:textFill>
            <w14:solidFill>
              <w14:schemeClr w14:val="tx1"/>
            </w14:solidFill>
          </w14:textFill>
        </w:rPr>
        <w:t>于</w:t>
      </w:r>
      <w:r>
        <w:rPr>
          <w:rFonts w:hint="eastAsia" w:ascii="宋体" w:hAnsi="宋体"/>
          <w:b/>
          <w:color w:val="000000" w:themeColor="text1"/>
          <w:kern w:val="0"/>
          <w:szCs w:val="24"/>
          <w:u w:val="single"/>
          <w14:textFill>
            <w14:solidFill>
              <w14:schemeClr w14:val="tx1"/>
            </w14:solidFill>
          </w14:textFill>
        </w:rPr>
        <w:t>参选截止日3</w:t>
      </w:r>
      <w:r>
        <w:rPr>
          <w:rFonts w:ascii="宋体" w:hAnsi="宋体"/>
          <w:b/>
          <w:color w:val="000000" w:themeColor="text1"/>
          <w:kern w:val="0"/>
          <w:szCs w:val="24"/>
          <w:u w:val="single"/>
          <w14:textFill>
            <w14:solidFill>
              <w14:schemeClr w14:val="tx1"/>
            </w14:solidFill>
          </w14:textFill>
        </w:rPr>
        <w:t>日</w:t>
      </w:r>
      <w:r>
        <w:rPr>
          <w:rFonts w:hint="eastAsia" w:ascii="宋体" w:hAnsi="宋体"/>
          <w:b/>
          <w:color w:val="000000" w:themeColor="text1"/>
          <w:kern w:val="0"/>
          <w:szCs w:val="24"/>
          <w:u w:val="single"/>
          <w14:textFill>
            <w14:solidFill>
              <w14:schemeClr w14:val="tx1"/>
            </w14:solidFill>
          </w14:textFill>
        </w:rPr>
        <w:t>前</w:t>
      </w:r>
      <w:r>
        <w:rPr>
          <w:rFonts w:hint="eastAsia" w:ascii="宋体" w:hAnsi="宋体"/>
          <w:bCs/>
          <w:color w:val="000000" w:themeColor="text1"/>
          <w:kern w:val="0"/>
          <w:szCs w:val="24"/>
          <w14:textFill>
            <w14:solidFill>
              <w14:schemeClr w14:val="tx1"/>
            </w14:solidFill>
          </w14:textFill>
        </w:rPr>
        <w:t>在</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深圳地铁官网”、</w:t>
      </w:r>
      <w:r>
        <w:rPr>
          <w:rFonts w:hint="eastAsia" w:ascii="宋体" w:hAnsi="宋体"/>
          <w:color w:val="000000" w:themeColor="text1"/>
          <w:szCs w:val="24"/>
          <w14:textFill>
            <w14:solidFill>
              <w14:schemeClr w14:val="tx1"/>
            </w14:solidFill>
          </w14:textFill>
        </w:rPr>
        <w:t xml:space="preserve"> “</w:t>
      </w:r>
      <w:r>
        <w:rPr>
          <w:rFonts w:ascii="宋体" w:hAnsi="宋体"/>
          <w:color w:val="000000" w:themeColor="text1"/>
          <w:szCs w:val="24"/>
          <w14:textFill>
            <w14:solidFill>
              <w14:schemeClr w14:val="tx1"/>
            </w14:solidFill>
          </w14:textFill>
        </w:rPr>
        <w:t>国资委阳光采购平台”</w:t>
      </w:r>
      <w:r>
        <w:rPr>
          <w:rFonts w:hint="eastAsia" w:ascii="宋体" w:hAnsi="宋体"/>
          <w:color w:val="000000" w:themeColor="text1"/>
          <w:szCs w:val="24"/>
          <w14:textFill>
            <w14:solidFill>
              <w14:schemeClr w14:val="tx1"/>
            </w14:solidFill>
          </w14:textFill>
        </w:rPr>
        <w:t>、 “深铁招采网”、“</w:t>
      </w:r>
      <w:r>
        <w:rPr>
          <w:rFonts w:ascii="宋体" w:hAnsi="宋体"/>
          <w:color w:val="000000" w:themeColor="text1"/>
          <w:szCs w:val="24"/>
          <w14:textFill>
            <w14:solidFill>
              <w14:schemeClr w14:val="tx1"/>
            </w14:solidFill>
          </w14:textFill>
        </w:rPr>
        <w:t>深铁置业微信订阅号</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向所有</w:t>
      </w:r>
      <w:r>
        <w:rPr>
          <w:rFonts w:hint="eastAsia" w:ascii="宋体" w:hAnsi="宋体"/>
          <w:color w:val="000000" w:themeColor="text1"/>
          <w:szCs w:val="24"/>
          <w14:textFill>
            <w14:solidFill>
              <w14:schemeClr w14:val="tx1"/>
            </w14:solidFill>
          </w14:textFill>
        </w:rPr>
        <w:t>参选</w:t>
      </w:r>
      <w:r>
        <w:rPr>
          <w:rFonts w:ascii="宋体" w:hAnsi="宋体"/>
          <w:color w:val="000000" w:themeColor="text1"/>
          <w:szCs w:val="24"/>
          <w14:textFill>
            <w14:solidFill>
              <w14:schemeClr w14:val="tx1"/>
            </w14:solidFill>
          </w14:textFill>
        </w:rPr>
        <w:t>人公示。比选文件的</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作为比选文件的组成部分，具有约束力。</w:t>
      </w:r>
      <w:r>
        <w:rPr>
          <w:rFonts w:hint="eastAsia" w:ascii="宋体" w:hAnsi="宋体"/>
          <w:color w:val="000000" w:themeColor="text1"/>
          <w:szCs w:val="24"/>
          <w14:textFill>
            <w14:solidFill>
              <w14:schemeClr w14:val="tx1"/>
            </w14:solidFill>
          </w14:textFill>
        </w:rPr>
        <w:t>参选</w:t>
      </w:r>
      <w:r>
        <w:rPr>
          <w:rFonts w:ascii="宋体" w:hAnsi="宋体"/>
          <w:color w:val="000000" w:themeColor="text1"/>
          <w:szCs w:val="24"/>
          <w14:textFill>
            <w14:solidFill>
              <w14:schemeClr w14:val="tx1"/>
            </w14:solidFill>
          </w14:textFill>
        </w:rPr>
        <w:t>人应随时查看</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深圳地铁官网”、</w:t>
      </w:r>
      <w:r>
        <w:rPr>
          <w:rFonts w:hint="eastAsia" w:ascii="宋体" w:hAnsi="宋体"/>
          <w:color w:val="000000" w:themeColor="text1"/>
          <w:szCs w:val="24"/>
          <w14:textFill>
            <w14:solidFill>
              <w14:schemeClr w14:val="tx1"/>
            </w14:solidFill>
          </w14:textFill>
        </w:rPr>
        <w:t xml:space="preserve"> “</w:t>
      </w:r>
      <w:r>
        <w:rPr>
          <w:rFonts w:ascii="宋体" w:hAnsi="宋体"/>
          <w:color w:val="000000" w:themeColor="text1"/>
          <w:szCs w:val="24"/>
          <w14:textFill>
            <w14:solidFill>
              <w14:schemeClr w14:val="tx1"/>
            </w14:solidFill>
          </w14:textFill>
        </w:rPr>
        <w:t>国资委阳光采购平台</w:t>
      </w:r>
      <w:r>
        <w:rPr>
          <w:rFonts w:hint="eastAsia" w:ascii="宋体" w:hAnsi="宋体"/>
          <w:color w:val="000000" w:themeColor="text1"/>
          <w:szCs w:val="24"/>
          <w14:textFill>
            <w14:solidFill>
              <w14:schemeClr w14:val="tx1"/>
            </w14:solidFill>
          </w14:textFill>
        </w:rPr>
        <w:t>”、“深铁招采网”、“</w:t>
      </w:r>
      <w:r>
        <w:rPr>
          <w:rFonts w:ascii="宋体" w:hAnsi="宋体"/>
          <w:color w:val="000000" w:themeColor="text1"/>
          <w:szCs w:val="24"/>
          <w14:textFill>
            <w14:solidFill>
              <w14:schemeClr w14:val="tx1"/>
            </w14:solidFill>
          </w14:textFill>
        </w:rPr>
        <w:t>深铁置业微信订阅号</w:t>
      </w:r>
      <w:r>
        <w:rPr>
          <w:rFonts w:hint="eastAsia" w:ascii="宋体" w:hAnsi="宋体"/>
          <w:color w:val="000000" w:themeColor="text1"/>
          <w:szCs w:val="24"/>
          <w14:textFill>
            <w14:solidFill>
              <w14:schemeClr w14:val="tx1"/>
            </w14:solidFill>
          </w14:textFill>
        </w:rPr>
        <w:t>”中</w:t>
      </w:r>
      <w:r>
        <w:rPr>
          <w:rFonts w:ascii="宋体" w:hAnsi="宋体"/>
          <w:color w:val="000000" w:themeColor="text1"/>
          <w:szCs w:val="24"/>
          <w14:textFill>
            <w14:solidFill>
              <w14:schemeClr w14:val="tx1"/>
            </w14:solidFill>
          </w14:textFill>
        </w:rPr>
        <w:t>有关该项目补遗文件的信息</w:t>
      </w:r>
      <w:r>
        <w:rPr>
          <w:rFonts w:hint="eastAsia" w:ascii="宋体" w:hAnsi="宋体"/>
          <w:color w:val="000000" w:themeColor="text1"/>
          <w:szCs w:val="24"/>
          <w14:textFill>
            <w14:solidFill>
              <w14:schemeClr w14:val="tx1"/>
            </w14:solidFill>
          </w14:textFill>
        </w:rPr>
        <w:t>。否则，</w:t>
      </w:r>
      <w:r>
        <w:rPr>
          <w:rFonts w:ascii="宋体" w:hAnsi="宋体"/>
          <w:color w:val="000000" w:themeColor="text1"/>
          <w:szCs w:val="24"/>
          <w14:textFill>
            <w14:solidFill>
              <w14:schemeClr w14:val="tx1"/>
            </w14:solidFill>
          </w14:textFill>
        </w:rPr>
        <w:t>由此导致的不利后果由</w:t>
      </w:r>
      <w:r>
        <w:rPr>
          <w:rFonts w:hint="eastAsia" w:ascii="宋体" w:hAnsi="宋体"/>
          <w:color w:val="000000" w:themeColor="text1"/>
          <w:szCs w:val="24"/>
          <w14:textFill>
            <w14:solidFill>
              <w14:schemeClr w14:val="tx1"/>
            </w14:solidFill>
          </w14:textFill>
        </w:rPr>
        <w:t>参</w:t>
      </w:r>
      <w:r>
        <w:rPr>
          <w:rFonts w:ascii="宋体" w:hAnsi="宋体"/>
          <w:color w:val="000000" w:themeColor="text1"/>
          <w:szCs w:val="24"/>
          <w14:textFill>
            <w14:solidFill>
              <w14:schemeClr w14:val="tx1"/>
            </w14:solidFill>
          </w14:textFill>
        </w:rPr>
        <w:t>选人自负。比选文件的</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作为比选文件的组成部分，具有约束力。</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2.</w:t>
      </w:r>
      <w:r>
        <w:rPr>
          <w:rFonts w:hint="eastAsia" w:ascii="宋体" w:hAnsi="宋体"/>
          <w:color w:val="000000" w:themeColor="text1"/>
          <w14:textFill>
            <w14:solidFill>
              <w14:schemeClr w14:val="tx1"/>
            </w14:solidFill>
          </w14:textFill>
        </w:rPr>
        <w:t>比选人对在</w:t>
      </w:r>
      <w:r>
        <w:rPr>
          <w:rFonts w:hint="eastAsia" w:ascii="宋体" w:hAnsi="宋体"/>
          <w:b/>
          <w:color w:val="000000" w:themeColor="text1"/>
          <w:kern w:val="0"/>
          <w:szCs w:val="24"/>
          <w:u w:val="single"/>
          <w14:textFill>
            <w14:solidFill>
              <w14:schemeClr w14:val="tx1"/>
            </w14:solidFill>
          </w14:textFill>
        </w:rPr>
        <w:t>参选截止日</w:t>
      </w:r>
      <w:r>
        <w:rPr>
          <w:rFonts w:ascii="宋体" w:hAnsi="宋体"/>
          <w:b/>
          <w:color w:val="000000" w:themeColor="text1"/>
          <w:szCs w:val="24"/>
          <w:u w:val="single"/>
          <w14:textFill>
            <w14:solidFill>
              <w14:schemeClr w14:val="tx1"/>
            </w14:solidFill>
          </w14:textFill>
        </w:rPr>
        <w:t>5</w:t>
      </w:r>
      <w:r>
        <w:rPr>
          <w:rFonts w:hint="eastAsia" w:ascii="宋体" w:hAnsi="宋体"/>
          <w:b/>
          <w:color w:val="000000" w:themeColor="text1"/>
          <w:szCs w:val="24"/>
          <w:u w:val="single"/>
          <w14:textFill>
            <w14:solidFill>
              <w14:schemeClr w14:val="tx1"/>
            </w14:solidFill>
          </w14:textFill>
        </w:rPr>
        <w:t>日</w:t>
      </w:r>
      <w:r>
        <w:rPr>
          <w:rFonts w:hint="eastAsia" w:ascii="宋体" w:hAnsi="宋体"/>
          <w:b/>
          <w:color w:val="000000" w:themeColor="text1"/>
          <w:kern w:val="0"/>
          <w:szCs w:val="24"/>
          <w:u w:val="single"/>
          <w14:textFill>
            <w14:solidFill>
              <w14:schemeClr w14:val="tx1"/>
            </w14:solidFill>
          </w14:textFill>
        </w:rPr>
        <w:t>前</w:t>
      </w:r>
      <w:r>
        <w:rPr>
          <w:rFonts w:hint="eastAsia" w:ascii="宋体" w:hAnsi="宋体"/>
          <w:color w:val="000000" w:themeColor="text1"/>
          <w14:textFill>
            <w14:solidFill>
              <w14:schemeClr w14:val="tx1"/>
            </w14:solidFill>
          </w14:textFill>
        </w:rPr>
        <w:t>收到的以书面函件的方式要求澄清的问题，将视具体情况进行澄清，比选人的澄清将</w:t>
      </w:r>
      <w:r>
        <w:rPr>
          <w:rFonts w:hint="eastAsia" w:ascii="宋体" w:hAnsi="宋体"/>
          <w:color w:val="000000" w:themeColor="text1"/>
          <w:kern w:val="0"/>
          <w:szCs w:val="24"/>
          <w14:textFill>
            <w14:solidFill>
              <w14:schemeClr w14:val="tx1"/>
            </w14:solidFill>
          </w14:textFill>
        </w:rPr>
        <w:t>通</w:t>
      </w:r>
      <w:r>
        <w:rPr>
          <w:rFonts w:hint="eastAsia" w:ascii="宋体" w:hAnsi="宋体"/>
          <w:color w:val="000000" w:themeColor="text1"/>
          <w:szCs w:val="24"/>
          <w14:textFill>
            <w14:solidFill>
              <w14:schemeClr w14:val="tx1"/>
            </w14:solidFill>
          </w14:textFill>
        </w:rPr>
        <w:t>过“</w:t>
      </w:r>
      <w:r>
        <w:rPr>
          <w:rFonts w:ascii="宋体" w:hAnsi="宋体"/>
          <w:color w:val="000000" w:themeColor="text1"/>
          <w:szCs w:val="24"/>
          <w14:textFill>
            <w14:solidFill>
              <w14:schemeClr w14:val="tx1"/>
            </w14:solidFill>
          </w14:textFill>
        </w:rPr>
        <w:t>深圳地铁官网”、</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国资委阳光采购平台</w:t>
      </w:r>
      <w:r>
        <w:rPr>
          <w:rFonts w:hint="eastAsia" w:ascii="宋体" w:hAnsi="宋体"/>
          <w:color w:val="000000" w:themeColor="text1"/>
          <w:szCs w:val="24"/>
          <w14:textFill>
            <w14:solidFill>
              <w14:schemeClr w14:val="tx1"/>
            </w14:solidFill>
          </w14:textFill>
        </w:rPr>
        <w:t>”、“深铁招采网”、“</w:t>
      </w:r>
      <w:r>
        <w:rPr>
          <w:rFonts w:ascii="宋体" w:hAnsi="宋体"/>
          <w:color w:val="000000" w:themeColor="text1"/>
          <w:szCs w:val="24"/>
          <w14:textFill>
            <w14:solidFill>
              <w14:schemeClr w14:val="tx1"/>
            </w14:solidFill>
          </w14:textFill>
        </w:rPr>
        <w:t>深铁置业微信订阅号</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向所有</w:t>
      </w:r>
      <w:r>
        <w:rPr>
          <w:rFonts w:hint="eastAsia" w:ascii="宋体" w:hAnsi="宋体"/>
          <w:color w:val="000000" w:themeColor="text1"/>
          <w:szCs w:val="24"/>
          <w14:textFill>
            <w14:solidFill>
              <w14:schemeClr w14:val="tx1"/>
            </w14:solidFill>
          </w14:textFill>
        </w:rPr>
        <w:t>参选</w:t>
      </w:r>
      <w:r>
        <w:rPr>
          <w:rFonts w:ascii="宋体" w:hAnsi="宋体"/>
          <w:color w:val="000000" w:themeColor="text1"/>
          <w:szCs w:val="24"/>
          <w14:textFill>
            <w14:solidFill>
              <w14:schemeClr w14:val="tx1"/>
            </w14:solidFill>
          </w14:textFill>
        </w:rPr>
        <w:t>人公示。</w:t>
      </w:r>
      <w:r>
        <w:rPr>
          <w:rFonts w:hint="eastAsia" w:ascii="宋体" w:hAnsi="宋体"/>
          <w:color w:val="000000" w:themeColor="text1"/>
          <w14:textFill>
            <w14:solidFill>
              <w14:schemeClr w14:val="tx1"/>
            </w14:solidFill>
          </w14:textFill>
        </w:rPr>
        <w:t>如比选人认为参选人所提出的问题已在比选文件中明确说明，或可以根据比选文件做出明确的推断，比选人将不再予以澄清。</w:t>
      </w:r>
    </w:p>
    <w:p>
      <w:pPr>
        <w:spacing w:line="360" w:lineRule="auto"/>
        <w:rPr>
          <w:rFonts w:ascii="宋体" w:hAnsi="宋体"/>
          <w:color w:val="000000" w:themeColor="text1"/>
          <w:szCs w:val="24"/>
          <w14:textFill>
            <w14:solidFill>
              <w14:schemeClr w14:val="tx1"/>
            </w14:solidFill>
          </w14:textFill>
        </w:rPr>
      </w:pPr>
      <w:r>
        <w:rPr>
          <w:rFonts w:hint="eastAsia" w:ascii="宋体" w:hAnsi="宋体"/>
          <w:color w:val="000000" w:themeColor="text1"/>
          <w14:textFill>
            <w14:solidFill>
              <w14:schemeClr w14:val="tx1"/>
            </w14:solidFill>
          </w14:textFill>
        </w:rPr>
        <w:t xml:space="preserve">    3.</w:t>
      </w:r>
      <w:r>
        <w:rPr>
          <w:rFonts w:ascii="宋体" w:hAnsi="宋体"/>
          <w:color w:val="000000" w:themeColor="text1"/>
          <w:szCs w:val="24"/>
          <w14:textFill>
            <w14:solidFill>
              <w14:schemeClr w14:val="tx1"/>
            </w14:solidFill>
          </w14:textFill>
        </w:rPr>
        <w:t>比选文件发出后，在</w:t>
      </w:r>
      <w:r>
        <w:rPr>
          <w:rFonts w:hint="eastAsia" w:ascii="宋体" w:hAnsi="宋体"/>
          <w:b/>
          <w:color w:val="000000" w:themeColor="text1"/>
          <w:kern w:val="0"/>
          <w:szCs w:val="24"/>
          <w:u w:val="single"/>
          <w14:textFill>
            <w14:solidFill>
              <w14:schemeClr w14:val="tx1"/>
            </w14:solidFill>
          </w14:textFill>
        </w:rPr>
        <w:t>参选截止日3</w:t>
      </w:r>
      <w:r>
        <w:rPr>
          <w:rFonts w:ascii="宋体" w:hAnsi="宋体"/>
          <w:b/>
          <w:color w:val="000000" w:themeColor="text1"/>
          <w:kern w:val="0"/>
          <w:szCs w:val="24"/>
          <w:u w:val="single"/>
          <w14:textFill>
            <w14:solidFill>
              <w14:schemeClr w14:val="tx1"/>
            </w14:solidFill>
          </w14:textFill>
        </w:rPr>
        <w:t>日</w:t>
      </w:r>
      <w:r>
        <w:rPr>
          <w:rFonts w:hint="eastAsia" w:ascii="宋体" w:hAnsi="宋体"/>
          <w:b/>
          <w:color w:val="000000" w:themeColor="text1"/>
          <w:kern w:val="0"/>
          <w:szCs w:val="24"/>
          <w:u w:val="single"/>
          <w14:textFill>
            <w14:solidFill>
              <w14:schemeClr w14:val="tx1"/>
            </w14:solidFill>
          </w14:textFill>
        </w:rPr>
        <w:t>前</w:t>
      </w:r>
      <w:r>
        <w:rPr>
          <w:rFonts w:ascii="宋体" w:hAnsi="宋体"/>
          <w:color w:val="000000" w:themeColor="text1"/>
          <w:szCs w:val="24"/>
          <w14:textFill>
            <w14:solidFill>
              <w14:schemeClr w14:val="tx1"/>
            </w14:solidFill>
          </w14:textFill>
        </w:rPr>
        <w:t>的任何时候，确需要变更比选文件内容的，比选人可主动或在解答参选人提出的澄清问题时对比选文件进行修改。</w:t>
      </w:r>
    </w:p>
    <w:p>
      <w:pPr>
        <w:spacing w:line="360" w:lineRule="auto"/>
        <w:rPr>
          <w:rFonts w:ascii="宋体" w:hAnsi="宋体"/>
          <w:color w:val="000000" w:themeColor="text1"/>
          <w:sz w:val="28"/>
          <w14:textFill>
            <w14:solidFill>
              <w14:schemeClr w14:val="tx1"/>
            </w14:solidFill>
          </w14:textFill>
        </w:rPr>
      </w:pPr>
      <w:r>
        <w:rPr>
          <w:rFonts w:hint="eastAsia" w:ascii="宋体" w:hAnsi="宋体"/>
          <w:color w:val="000000" w:themeColor="text1"/>
          <w:szCs w:val="24"/>
          <w14:textFill>
            <w14:solidFill>
              <w14:schemeClr w14:val="tx1"/>
            </w14:solidFill>
          </w14:textFill>
        </w:rPr>
        <w:t xml:space="preserve">    4.</w:t>
      </w:r>
      <w:r>
        <w:rPr>
          <w:rFonts w:ascii="宋体" w:hAnsi="宋体"/>
          <w:color w:val="000000" w:themeColor="text1"/>
          <w:szCs w:val="24"/>
          <w14:textFill>
            <w14:solidFill>
              <w14:schemeClr w14:val="tx1"/>
            </w14:solidFill>
          </w14:textFill>
        </w:rPr>
        <w:t>比选文件、比选文件</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澄清(答疑)、澄清(答疑</w:t>
      </w:r>
      <w:r>
        <w:rPr>
          <w:rFonts w:hint="eastAsia" w:ascii="宋体" w:hAnsi="宋体"/>
          <w:color w:val="000000" w:themeColor="text1"/>
          <w:szCs w:val="24"/>
          <w14:textFill>
            <w14:solidFill>
              <w14:schemeClr w14:val="tx1"/>
            </w14:solidFill>
          </w14:textFill>
        </w:rPr>
        <w:t>)会议纪要、</w:t>
      </w:r>
      <w:r>
        <w:rPr>
          <w:rFonts w:ascii="宋体" w:hAnsi="宋体"/>
          <w:color w:val="000000" w:themeColor="text1"/>
          <w:szCs w:val="24"/>
          <w14:textFill>
            <w14:solidFill>
              <w14:schemeClr w14:val="tx1"/>
            </w14:solidFill>
          </w14:textFill>
        </w:rPr>
        <w:t>修改(补充)函件内容均以书面明确的内容为准。当比选文件、</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澄清(答疑)</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纪要、修改(补充)函件内容相互矛盾时，以最后发出的为准。</w:t>
      </w:r>
    </w:p>
    <w:p>
      <w:pPr>
        <w:spacing w:line="360" w:lineRule="auto"/>
        <w:ind w:firstLine="48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5.</w:t>
      </w:r>
      <w:r>
        <w:rPr>
          <w:rFonts w:ascii="宋体" w:hAnsi="宋体"/>
          <w:color w:val="000000" w:themeColor="text1"/>
          <w:szCs w:val="24"/>
          <w14:textFill>
            <w14:solidFill>
              <w14:schemeClr w14:val="tx1"/>
            </w14:solidFill>
          </w14:textFill>
        </w:rPr>
        <w:t>为使参选人在编写参选文件时有充分时间对比选文件的</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修改（补充）部分进行研究，比选人</w:t>
      </w:r>
      <w:r>
        <w:rPr>
          <w:rFonts w:hint="eastAsia" w:ascii="宋体" w:hAnsi="宋体"/>
          <w:color w:val="000000" w:themeColor="text1"/>
          <w:szCs w:val="24"/>
          <w14:textFill>
            <w14:solidFill>
              <w14:schemeClr w14:val="tx1"/>
            </w14:solidFill>
          </w14:textFill>
        </w:rPr>
        <w:t>有权</w:t>
      </w:r>
      <w:r>
        <w:rPr>
          <w:rFonts w:ascii="宋体" w:hAnsi="宋体"/>
          <w:color w:val="000000" w:themeColor="text1"/>
          <w:szCs w:val="24"/>
          <w14:textFill>
            <w14:solidFill>
              <w14:schemeClr w14:val="tx1"/>
            </w14:solidFill>
          </w14:textFill>
        </w:rPr>
        <w:t>适当延长递交参选文件的截止日期。</w:t>
      </w:r>
    </w:p>
    <w:p>
      <w:pPr>
        <w:pStyle w:val="2"/>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rPr>
          <w:color w:val="000000" w:themeColor="text1"/>
          <w:szCs w:val="44"/>
          <w14:textFill>
            <w14:solidFill>
              <w14:schemeClr w14:val="tx1"/>
            </w14:solidFill>
          </w14:textFill>
        </w:rPr>
      </w:pPr>
      <w:bookmarkStart w:id="51" w:name="_Toc97605302"/>
      <w:bookmarkStart w:id="52" w:name="_Toc4517"/>
      <w:bookmarkStart w:id="53" w:name="_Toc518494128"/>
      <w:r>
        <w:rPr>
          <w:rFonts w:hint="eastAsia"/>
          <w:color w:val="000000" w:themeColor="text1"/>
          <w:szCs w:val="44"/>
          <w14:textFill>
            <w14:solidFill>
              <w14:schemeClr w14:val="tx1"/>
            </w14:solidFill>
          </w14:textFill>
        </w:rPr>
        <w:t>第三章  参选文件的编写</w:t>
      </w:r>
      <w:bookmarkEnd w:id="51"/>
      <w:bookmarkEnd w:id="52"/>
      <w:bookmarkEnd w:id="53"/>
    </w:p>
    <w:p>
      <w:pPr>
        <w:spacing w:line="360" w:lineRule="auto"/>
        <w:outlineLvl w:val="2"/>
        <w:rPr>
          <w:b/>
          <w:bCs/>
          <w:color w:val="000000" w:themeColor="text1"/>
          <w14:textFill>
            <w14:solidFill>
              <w14:schemeClr w14:val="tx1"/>
            </w14:solidFill>
          </w14:textFill>
        </w:rPr>
      </w:pPr>
      <w:bookmarkStart w:id="54" w:name="_Toc26882"/>
      <w:bookmarkStart w:id="55" w:name="_Toc518494129"/>
      <w:bookmarkStart w:id="56" w:name="_Toc13019"/>
      <w:bookmarkStart w:id="57" w:name="_Toc197404905"/>
      <w:r>
        <w:rPr>
          <w:rFonts w:hint="eastAsia"/>
          <w:b/>
          <w:bCs/>
          <w:color w:val="000000" w:themeColor="text1"/>
          <w14:textFill>
            <w14:solidFill>
              <w14:schemeClr w14:val="tx1"/>
            </w14:solidFill>
          </w14:textFill>
        </w:rPr>
        <w:t>一、参选文件的组成及要求</w:t>
      </w:r>
      <w:bookmarkEnd w:id="54"/>
      <w:bookmarkEnd w:id="55"/>
      <w:bookmarkEnd w:id="56"/>
      <w:bookmarkEnd w:id="57"/>
    </w:p>
    <w:p>
      <w:pPr>
        <w:pStyle w:val="7"/>
        <w:tabs>
          <w:tab w:val="left" w:pos="945"/>
          <w:tab w:val="left" w:pos="1275"/>
        </w:tabs>
        <w:snapToGrid w:val="0"/>
        <w:ind w:left="0" w:leftChars="0" w:firstLine="480" w:firstLineChars="200"/>
        <w:jc w:val="left"/>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参选人应仔细阅读比选文件的所有内容，按要求提供参选文件，并保证所提供的全部资料的真实性。</w:t>
      </w:r>
    </w:p>
    <w:p>
      <w:pPr>
        <w:pStyle w:val="7"/>
        <w:tabs>
          <w:tab w:val="left" w:pos="945"/>
          <w:tab w:val="left" w:pos="1275"/>
        </w:tabs>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线上参选文件格式要求：参选文件采用中文编写。按照第二篇规定的“资格审查文件”、“技术标书”、“商务标书”相应格式在地铁集团智能招采平台上提交。</w:t>
      </w:r>
    </w:p>
    <w:p>
      <w:pPr>
        <w:pStyle w:val="7"/>
        <w:tabs>
          <w:tab w:val="left" w:pos="945"/>
          <w:tab w:val="left" w:pos="1275"/>
        </w:tabs>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纸质参选文件格式要求：参选文件采用中文编写，A4纸印刷。按照“资格审查文件”、“技术标书”、“商务标书”分别装订成三册，密封包装。</w:t>
      </w:r>
    </w:p>
    <w:p>
      <w:pPr>
        <w:spacing w:line="360" w:lineRule="auto"/>
        <w:outlineLvl w:val="2"/>
        <w:rPr>
          <w:b/>
          <w:bCs/>
          <w:color w:val="000000" w:themeColor="text1"/>
          <w14:textFill>
            <w14:solidFill>
              <w14:schemeClr w14:val="tx1"/>
            </w14:solidFill>
          </w14:textFill>
        </w:rPr>
      </w:pPr>
      <w:bookmarkStart w:id="58" w:name="_Toc11564"/>
      <w:bookmarkStart w:id="59" w:name="_Toc197404906"/>
      <w:bookmarkStart w:id="60" w:name="_Toc21530"/>
      <w:bookmarkStart w:id="61" w:name="_Toc518494130"/>
      <w:r>
        <w:rPr>
          <w:rFonts w:hint="eastAsia"/>
          <w:b/>
          <w:bCs/>
          <w:color w:val="000000" w:themeColor="text1"/>
          <w14:textFill>
            <w14:solidFill>
              <w14:schemeClr w14:val="tx1"/>
            </w14:solidFill>
          </w14:textFill>
        </w:rPr>
        <w:t>二、参选文件内容编写要求</w:t>
      </w:r>
      <w:bookmarkEnd w:id="58"/>
      <w:bookmarkEnd w:id="59"/>
      <w:bookmarkEnd w:id="60"/>
      <w:bookmarkEnd w:id="61"/>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（一）资格审查文件的编写</w:t>
      </w:r>
    </w:p>
    <w:p>
      <w:pPr>
        <w:snapToGrid w:val="0"/>
        <w:spacing w:line="360" w:lineRule="auto"/>
        <w:ind w:firstLine="480" w:firstLineChars="200"/>
        <w:jc w:val="left"/>
        <w:rPr>
          <w:rFonts w:ascii="宋体" w:hAnsi="宋体"/>
          <w:color w:val="000000" w:themeColor="text1"/>
          <w:szCs w:val="24"/>
          <w14:textFill>
            <w14:solidFill>
              <w14:schemeClr w14:val="tx1"/>
            </w14:solidFill>
          </w14:textFill>
        </w:rPr>
      </w:pPr>
      <w:r>
        <w:rPr>
          <w:rFonts w:hint="eastAsia" w:ascii="宋体" w:hAnsi="宋体"/>
          <w:color w:val="000000" w:themeColor="text1"/>
          <w:kern w:val="0"/>
          <w:szCs w:val="24"/>
          <w:lang w:val="zh-CN"/>
          <w14:textFill>
            <w14:solidFill>
              <w14:schemeClr w14:val="tx1"/>
            </w14:solidFill>
          </w14:textFill>
        </w:rPr>
        <w:t>1.</w:t>
      </w:r>
      <w:r>
        <w:rPr>
          <w:rFonts w:ascii="宋体" w:hAnsi="宋体"/>
          <w:color w:val="000000" w:themeColor="text1"/>
          <w:kern w:val="0"/>
          <w:szCs w:val="24"/>
          <w:lang w:val="zh-CN"/>
          <w14:textFill>
            <w14:solidFill>
              <w14:schemeClr w14:val="tx1"/>
            </w14:solidFill>
          </w14:textFill>
        </w:rPr>
        <w:t>参选人应按照比选文件第二篇“参选文件格式”中</w:t>
      </w:r>
      <w:r>
        <w:rPr>
          <w:rFonts w:hint="eastAsia" w:ascii="宋体" w:hAnsi="宋体"/>
          <w:color w:val="000000" w:themeColor="text1"/>
          <w:kern w:val="0"/>
          <w:szCs w:val="24"/>
          <w14:textFill>
            <w14:solidFill>
              <w14:schemeClr w14:val="tx1"/>
            </w14:solidFill>
          </w14:textFill>
        </w:rPr>
        <w:t>资格审查文件</w:t>
      </w:r>
      <w:r>
        <w:rPr>
          <w:rFonts w:ascii="宋体" w:hAnsi="宋体"/>
          <w:color w:val="000000" w:themeColor="text1"/>
          <w:kern w:val="0"/>
          <w:szCs w:val="24"/>
          <w:lang w:val="zh-CN"/>
          <w14:textFill>
            <w14:solidFill>
              <w14:schemeClr w14:val="tx1"/>
            </w14:solidFill>
          </w14:textFill>
        </w:rPr>
        <w:t>部分的要求编写</w:t>
      </w:r>
      <w:r>
        <w:rPr>
          <w:rFonts w:hint="eastAsia" w:ascii="宋体" w:hAnsi="宋体"/>
          <w:color w:val="000000" w:themeColor="text1"/>
          <w:kern w:val="0"/>
          <w:lang w:val="zh-CN"/>
          <w14:textFill>
            <w14:solidFill>
              <w14:schemeClr w14:val="tx1"/>
            </w14:solidFill>
          </w14:textFill>
        </w:rPr>
        <w:t>，</w:t>
      </w:r>
      <w:r>
        <w:rPr>
          <w:rFonts w:hint="eastAsia" w:ascii="宋体" w:hAnsi="宋体"/>
          <w:color w:val="000000" w:themeColor="text1"/>
          <w:kern w:val="0"/>
          <w14:textFill>
            <w14:solidFill>
              <w14:schemeClr w14:val="tx1"/>
            </w14:solidFill>
          </w14:textFill>
        </w:rPr>
        <w:t>主要</w:t>
      </w:r>
      <w:r>
        <w:rPr>
          <w:rFonts w:ascii="宋体" w:hAnsi="宋体"/>
          <w:color w:val="000000" w:themeColor="text1"/>
          <w:kern w:val="0"/>
          <w:lang w:val="zh-CN"/>
          <w14:textFill>
            <w14:solidFill>
              <w14:schemeClr w14:val="tx1"/>
            </w14:solidFill>
          </w14:textFill>
        </w:rPr>
        <w:t>包括以下几个主要内容：</w:t>
      </w:r>
      <w:r>
        <w:rPr>
          <w:rFonts w:hint="eastAsia" w:ascii="宋体" w:hAnsi="宋体"/>
          <w:color w:val="000000" w:themeColor="text1"/>
          <w:kern w:val="0"/>
          <w:lang w:val="zh-CN"/>
          <w14:textFill>
            <w14:solidFill>
              <w14:schemeClr w14:val="tx1"/>
            </w14:solidFill>
          </w14:textFill>
        </w:rPr>
        <w:t xml:space="preserve"> </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（1）企业法人营业执照复印件（加盖公章）</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法定代表人资格证明书（加盖公章，</w:t>
      </w:r>
      <w:r>
        <w:rPr>
          <w:rFonts w:ascii="宋体" w:hAnsi="宋体"/>
          <w:color w:val="000000" w:themeColor="text1"/>
          <w:sz w:val="24"/>
          <w:szCs w:val="24"/>
          <w14:textFill>
            <w14:solidFill>
              <w14:schemeClr w14:val="tx1"/>
            </w14:solidFill>
          </w14:textFill>
        </w:rPr>
        <w:t>原件</w:t>
      </w:r>
      <w:r>
        <w:rPr>
          <w:rFonts w:hint="eastAsia" w:ascii="宋体" w:hAnsi="宋体"/>
          <w:color w:val="000000" w:themeColor="text1"/>
          <w:sz w:val="24"/>
          <w:szCs w:val="24"/>
          <w14:textFill>
            <w14:solidFill>
              <w14:schemeClr w14:val="tx1"/>
            </w14:solidFill>
          </w14:textFill>
        </w:rPr>
        <w:t>）</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）法定代表人身份证复印件（加盖公章）</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）法定代表人授权委托书（如有，需加盖公章，</w:t>
      </w:r>
      <w:r>
        <w:rPr>
          <w:rFonts w:ascii="宋体" w:hAnsi="宋体"/>
          <w:color w:val="000000" w:themeColor="text1"/>
          <w:sz w:val="24"/>
          <w:szCs w:val="24"/>
          <w14:textFill>
            <w14:solidFill>
              <w14:schemeClr w14:val="tx1"/>
            </w14:solidFill>
          </w14:textFill>
        </w:rPr>
        <w:t>原件</w:t>
      </w:r>
      <w:r>
        <w:rPr>
          <w:rFonts w:hint="eastAsia" w:ascii="宋体" w:hAnsi="宋体"/>
          <w:color w:val="000000" w:themeColor="text1"/>
          <w:sz w:val="24"/>
          <w:szCs w:val="24"/>
          <w14:textFill>
            <w14:solidFill>
              <w14:schemeClr w14:val="tx1"/>
            </w14:solidFill>
          </w14:textFill>
        </w:rPr>
        <w:t>）</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）被授权人身份证复印件（如有且需加盖公章）</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（二）技术标书的编写</w:t>
      </w:r>
    </w:p>
    <w:p>
      <w:pPr>
        <w:snapToGrid w:val="0"/>
        <w:spacing w:line="360" w:lineRule="auto"/>
        <w:ind w:firstLine="480" w:firstLineChars="200"/>
        <w:jc w:val="left"/>
        <w:rPr>
          <w:rFonts w:ascii="宋体" w:hAnsi="宋体"/>
          <w:color w:val="000000" w:themeColor="text1"/>
          <w:kern w:val="0"/>
          <w:lang w:val="zh-CN"/>
          <w14:textFill>
            <w14:solidFill>
              <w14:schemeClr w14:val="tx1"/>
            </w14:solidFill>
          </w14:textFill>
        </w:rPr>
      </w:pPr>
      <w:r>
        <w:rPr>
          <w:rFonts w:hint="eastAsia" w:ascii="宋体" w:hAnsi="宋体"/>
          <w:color w:val="000000" w:themeColor="text1"/>
          <w:kern w:val="0"/>
          <w:szCs w:val="24"/>
          <w:lang w:val="zh-CN"/>
          <w14:textFill>
            <w14:solidFill>
              <w14:schemeClr w14:val="tx1"/>
            </w14:solidFill>
          </w14:textFill>
        </w:rPr>
        <w:t>1.</w:t>
      </w:r>
      <w:r>
        <w:rPr>
          <w:rFonts w:ascii="宋体" w:hAnsi="宋体"/>
          <w:color w:val="000000" w:themeColor="text1"/>
          <w:kern w:val="0"/>
          <w:szCs w:val="24"/>
          <w:lang w:val="zh-CN"/>
          <w14:textFill>
            <w14:solidFill>
              <w14:schemeClr w14:val="tx1"/>
            </w14:solidFill>
          </w14:textFill>
        </w:rPr>
        <w:t>参选人应按照比选文件第二篇“参选文件格式”中技术标书部分的要求编写技术标</w:t>
      </w:r>
      <w:r>
        <w:rPr>
          <w:rFonts w:ascii="宋体" w:hAnsi="宋体"/>
          <w:color w:val="000000" w:themeColor="text1"/>
          <w:kern w:val="0"/>
          <w:lang w:val="zh-CN"/>
          <w14:textFill>
            <w14:solidFill>
              <w14:schemeClr w14:val="tx1"/>
            </w14:solidFill>
          </w14:textFill>
        </w:rPr>
        <w:t>书。技术标书应包括以下几个主要内容：</w:t>
      </w:r>
      <w:r>
        <w:rPr>
          <w:rFonts w:hint="eastAsia" w:ascii="宋体" w:hAnsi="宋体"/>
          <w:color w:val="000000" w:themeColor="text1"/>
          <w:kern w:val="0"/>
          <w:lang w:val="zh-CN"/>
          <w14:textFill>
            <w14:solidFill>
              <w14:schemeClr w14:val="tx1"/>
            </w14:solidFill>
          </w14:textFill>
        </w:rPr>
        <w:t xml:space="preserve"> </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一、技术保障措施</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二、实施方案</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三、项目团队人员</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四、参选人业绩及公司实力</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r>
        <w:rPr>
          <w:rFonts w:hint="eastAsia" w:ascii="宋体" w:hAnsi="宋体"/>
          <w:color w:val="000000" w:themeColor="text1"/>
          <w:sz w:val="24"/>
          <w14:textFill>
            <w14:solidFill>
              <w14:schemeClr w14:val="tx1"/>
            </w14:solidFill>
          </w14:textFill>
        </w:rPr>
        <w:t>项目资料真实性及业绩由参选人负责核实，并</w:t>
      </w:r>
      <w:r>
        <w:rPr>
          <w:rFonts w:hint="eastAsia" w:ascii="宋体" w:hAnsi="宋体"/>
          <w:color w:val="000000" w:themeColor="text1"/>
          <w:sz w:val="24"/>
          <w:szCs w:val="24"/>
          <w14:textFill>
            <w14:solidFill>
              <w14:schemeClr w14:val="tx1"/>
            </w14:solidFill>
          </w14:textFill>
        </w:rPr>
        <w:t>按附表格式填写相关内容，加盖参</w:t>
      </w:r>
      <w:r>
        <w:rPr>
          <w:rFonts w:ascii="宋体" w:hAnsi="宋体"/>
          <w:color w:val="000000" w:themeColor="text1"/>
          <w:sz w:val="24"/>
          <w:szCs w:val="24"/>
          <w14:textFill>
            <w14:solidFill>
              <w14:schemeClr w14:val="tx1"/>
            </w14:solidFill>
          </w14:textFill>
        </w:rPr>
        <w:t>选</w:t>
      </w:r>
      <w:r>
        <w:rPr>
          <w:rFonts w:hint="eastAsia" w:ascii="宋体" w:hAnsi="宋体"/>
          <w:color w:val="000000" w:themeColor="text1"/>
          <w:sz w:val="24"/>
          <w:szCs w:val="24"/>
          <w14:textFill>
            <w14:solidFill>
              <w14:schemeClr w14:val="tx1"/>
            </w14:solidFill>
          </w14:textFill>
        </w:rPr>
        <w:t>人公章。</w:t>
      </w:r>
      <w:r>
        <w:rPr>
          <w:rFonts w:hint="eastAsia" w:ascii="宋体" w:hAnsi="宋体"/>
          <w:color w:val="000000" w:themeColor="text1"/>
          <w:sz w:val="24"/>
          <w14:textFill>
            <w14:solidFill>
              <w14:schemeClr w14:val="tx1"/>
            </w14:solidFill>
          </w14:textFill>
        </w:rPr>
        <w:t>若招标人查实上述信息不真实，参选人将负全责。</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（三）商务标书的编写</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1.参选人应按照比选文件第二篇“参选文件格式”中商务标书部分的要求编写商务标。商务标书应包括以下几个主要内容：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color w:val="000000" w:themeColor="text1"/>
          <w:szCs w:val="24"/>
          <w14:textFill>
            <w14:solidFill>
              <w14:schemeClr w14:val="tx1"/>
            </w14:solidFill>
          </w14:textFill>
        </w:rPr>
      </w:pPr>
      <w:bookmarkStart w:id="62" w:name="_Toc518494131"/>
      <w:bookmarkStart w:id="63" w:name="_Toc197404907"/>
      <w:r>
        <w:rPr>
          <w:rFonts w:hint="eastAsia" w:ascii="宋体" w:hAnsi="宋体"/>
          <w:color w:val="000000" w:themeColor="text1"/>
          <w:szCs w:val="24"/>
          <w14:textFill>
            <w14:solidFill>
              <w14:schemeClr w14:val="tx1"/>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（2）报价清单。</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2.参选报价货币为</w:t>
      </w:r>
      <w:r>
        <w:rPr>
          <w:rFonts w:hint="eastAsia" w:ascii="宋体" w:hAnsi="宋体"/>
          <w:b/>
          <w:bCs/>
          <w:color w:val="000000" w:themeColor="text1"/>
          <w:sz w:val="24"/>
          <w:szCs w:val="24"/>
          <w:u w:val="single"/>
          <w14:textFill>
            <w14:solidFill>
              <w14:schemeClr w14:val="tx1"/>
            </w14:solidFill>
          </w14:textFill>
        </w:rPr>
        <w:t>人民币</w:t>
      </w:r>
      <w:r>
        <w:rPr>
          <w:rFonts w:hint="eastAsia" w:ascii="宋体" w:hAnsi="宋体"/>
          <w:color w:val="000000" w:themeColor="text1"/>
          <w:sz w:val="24"/>
          <w:szCs w:val="24"/>
          <w14:textFill>
            <w14:solidFill>
              <w14:schemeClr w14:val="tx1"/>
            </w14:solidFill>
          </w14:textFill>
        </w:rPr>
        <w:t>。</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3.比选人认为参选人自备设施、工作人员的保险及劳动保护等费用已包含在参选人的参选报价中。</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4.比选人认为参选人报价已包含但不限于版权、人工、研发及为完成本项目工作产生的管理费、培训费等系列费用及相关税费等（包括增值税等）。</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5.比选人认为参选人为履行本合同而提供的产品和相关服务的知识产权、版权费等第三者费用、根据法律由乙方支付的税费、保险费、合同文本、研究成果等资料的印刷费等已包含在参选人的参选报价中。</w:t>
      </w:r>
    </w:p>
    <w:p>
      <w:pPr>
        <w:pStyle w:val="7"/>
        <w:snapToGrid w:val="0"/>
        <w:ind w:left="0" w:leftChars="0" w:firstLine="480" w:firstLineChars="200"/>
        <w:rPr>
          <w:rFonts w:hAnsi="宋体"/>
          <w:b/>
          <w:bCs/>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6.关于轨道交通四期综合开发项目（四）土壤环境初步调查</w:t>
      </w:r>
      <w:r>
        <w:rPr>
          <w:rFonts w:hint="eastAsia" w:hAnsi="宋体"/>
          <w:color w:val="000000" w:themeColor="text1"/>
          <w:sz w:val="24"/>
          <w:szCs w:val="24"/>
          <w14:textFill>
            <w14:solidFill>
              <w14:schemeClr w14:val="tx1"/>
            </w14:solidFill>
          </w14:textFill>
        </w:rPr>
        <w:t>的</w:t>
      </w:r>
      <w:r>
        <w:rPr>
          <w:rFonts w:hint="eastAsia" w:hAnsi="宋体"/>
          <w:b/>
          <w:bCs/>
          <w:color w:val="000000" w:themeColor="text1"/>
          <w:sz w:val="24"/>
          <w:szCs w:val="24"/>
          <w:u w:val="single"/>
          <w14:textFill>
            <w14:solidFill>
              <w14:schemeClr w14:val="tx1"/>
            </w14:solidFill>
          </w14:textFill>
        </w:rPr>
        <w:t>参选报价上限为人民币295.59万元（含税</w:t>
      </w:r>
      <w:r>
        <w:rPr>
          <w:rFonts w:hAnsi="宋体"/>
          <w:b/>
          <w:bCs/>
          <w:color w:val="000000" w:themeColor="text1"/>
          <w:sz w:val="24"/>
          <w:szCs w:val="24"/>
          <w:u w:val="single"/>
          <w14:textFill>
            <w14:solidFill>
              <w14:schemeClr w14:val="tx1"/>
            </w14:solidFill>
          </w14:textFill>
        </w:rPr>
        <w:t>）</w:t>
      </w:r>
      <w:r>
        <w:rPr>
          <w:rFonts w:hint="eastAsia" w:hAnsi="宋体"/>
          <w:b/>
          <w:bCs/>
          <w:color w:val="000000" w:themeColor="text1"/>
          <w:sz w:val="24"/>
          <w:szCs w:val="24"/>
          <w:u w:val="single"/>
          <w14:textFill>
            <w14:solidFill>
              <w14:schemeClr w14:val="tx1"/>
            </w14:solidFill>
          </w14:textFill>
        </w:rPr>
        <w:t>。</w:t>
      </w:r>
      <w:r>
        <w:rPr>
          <w:rFonts w:hint="eastAsia" w:hAnsi="宋体"/>
          <w:color w:val="000000" w:themeColor="text1"/>
          <w:sz w:val="24"/>
          <w:szCs w:val="24"/>
          <w14:textFill>
            <w14:solidFill>
              <w14:schemeClr w14:val="tx1"/>
            </w14:solidFill>
          </w14:textFill>
        </w:rPr>
        <w:t>参选人含税报价高于上限价的将作为无效标处理。</w:t>
      </w:r>
    </w:p>
    <w:p>
      <w:pPr>
        <w:spacing w:line="360" w:lineRule="auto"/>
        <w:outlineLvl w:val="2"/>
        <w:rPr>
          <w:b/>
          <w:bCs/>
          <w:color w:val="000000" w:themeColor="text1"/>
          <w14:textFill>
            <w14:solidFill>
              <w14:schemeClr w14:val="tx1"/>
            </w14:solidFill>
          </w14:textFill>
        </w:rPr>
      </w:pPr>
      <w:bookmarkStart w:id="64" w:name="_Toc24600"/>
      <w:bookmarkStart w:id="65" w:name="_Toc11189"/>
      <w:r>
        <w:rPr>
          <w:rFonts w:hint="eastAsia"/>
          <w:b/>
          <w:bCs/>
          <w:color w:val="000000" w:themeColor="text1"/>
          <w14:textFill>
            <w14:solidFill>
              <w14:schemeClr w14:val="tx1"/>
            </w14:solidFill>
          </w14:textFill>
        </w:rPr>
        <w:t>三、参选人的承诺</w:t>
      </w:r>
      <w:bookmarkEnd w:id="62"/>
      <w:bookmarkEnd w:id="63"/>
      <w:bookmarkEnd w:id="64"/>
      <w:bookmarkEnd w:id="65"/>
    </w:p>
    <w:p>
      <w:pPr>
        <w:pStyle w:val="7"/>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参选人必须对下列各项做出承诺：</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bookmarkStart w:id="66" w:name="_Toc518494132"/>
      <w:bookmarkStart w:id="67" w:name="_Toc197404908"/>
      <w:bookmarkStart w:id="68" w:name="_Toc28293"/>
    </w:p>
    <w:p>
      <w:pPr>
        <w:pStyle w:val="3"/>
        <w:rPr>
          <w:color w:val="000000" w:themeColor="text1"/>
          <w:szCs w:val="44"/>
          <w14:textFill>
            <w14:solidFill>
              <w14:schemeClr w14:val="tx1"/>
            </w14:solidFill>
          </w14:textFill>
        </w:rPr>
      </w:pPr>
      <w:bookmarkStart w:id="69" w:name="_Toc97605303"/>
      <w:r>
        <w:rPr>
          <w:rFonts w:hint="eastAsia"/>
          <w:color w:val="000000" w:themeColor="text1"/>
          <w:szCs w:val="44"/>
          <w14:textFill>
            <w14:solidFill>
              <w14:schemeClr w14:val="tx1"/>
            </w14:solidFill>
          </w14:textFill>
        </w:rPr>
        <w:t>第四章 参选文件的签章及封装要求</w:t>
      </w:r>
      <w:bookmarkEnd w:id="66"/>
      <w:bookmarkEnd w:id="67"/>
      <w:bookmarkEnd w:id="68"/>
      <w:bookmarkEnd w:id="69"/>
    </w:p>
    <w:p>
      <w:pPr>
        <w:spacing w:line="360" w:lineRule="auto"/>
        <w:outlineLvl w:val="2"/>
        <w:rPr>
          <w:b/>
          <w:bCs/>
          <w:color w:val="000000" w:themeColor="text1"/>
          <w14:textFill>
            <w14:solidFill>
              <w14:schemeClr w14:val="tx1"/>
            </w14:solidFill>
          </w14:textFill>
        </w:rPr>
      </w:pPr>
      <w:bookmarkStart w:id="70" w:name="_Toc475"/>
      <w:r>
        <w:rPr>
          <w:rFonts w:hint="eastAsia"/>
          <w:b/>
          <w:bCs/>
          <w:color w:val="000000" w:themeColor="text1"/>
          <w14:textFill>
            <w14:solidFill>
              <w14:schemeClr w14:val="tx1"/>
            </w14:solidFill>
          </w14:textFill>
        </w:rPr>
        <w:t>一、参选文件的份数</w:t>
      </w:r>
      <w:bookmarkEnd w:id="70"/>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线上参选文件递交：参选人线上递交文件应按本比选文件相关格式规定递交资格审查文件1份、技术标参选文件1份、商务标参选文件1份。</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纸质参选文件递交：参选人应提交三套参选文件。三套参选文件分别为资格审查文件、技术标标</w:t>
      </w:r>
      <w:r>
        <w:rPr>
          <w:color w:val="000000" w:themeColor="text1"/>
          <w14:textFill>
            <w14:solidFill>
              <w14:schemeClr w14:val="tx1"/>
            </w14:solidFill>
          </w14:textFill>
        </w:rPr>
        <w:t>书</w:t>
      </w:r>
      <w:r>
        <w:rPr>
          <w:rFonts w:hint="eastAsia"/>
          <w:color w:val="000000" w:themeColor="text1"/>
          <w14:textFill>
            <w14:solidFill>
              <w14:schemeClr w14:val="tx1"/>
            </w14:solidFill>
          </w14:textFill>
        </w:rPr>
        <w:t>和商务标标书，每套参选文件包含正本1册、副本6册。资格审查文件</w:t>
      </w:r>
      <w:r>
        <w:rPr>
          <w:rFonts w:hint="eastAsia"/>
          <w:b/>
          <w:color w:val="000000" w:themeColor="text1"/>
          <w14:textFill>
            <w14:solidFill>
              <w14:schemeClr w14:val="tx1"/>
            </w14:solidFill>
          </w14:textFill>
        </w:rPr>
        <w:t>双面打印</w:t>
      </w:r>
      <w:r>
        <w:rPr>
          <w:rFonts w:hint="eastAsia"/>
          <w:color w:val="000000" w:themeColor="text1"/>
          <w14:textFill>
            <w14:solidFill>
              <w14:schemeClr w14:val="tx1"/>
            </w14:solidFill>
          </w14:textFill>
        </w:rPr>
        <w:t>，技术标书</w:t>
      </w:r>
      <w:r>
        <w:rPr>
          <w:rFonts w:hint="eastAsia"/>
          <w:b/>
          <w:color w:val="000000" w:themeColor="text1"/>
          <w14:textFill>
            <w14:solidFill>
              <w14:schemeClr w14:val="tx1"/>
            </w14:solidFill>
          </w14:textFill>
        </w:rPr>
        <w:t>双面打印</w:t>
      </w:r>
      <w:r>
        <w:rPr>
          <w:rFonts w:hint="eastAsia"/>
          <w:color w:val="000000" w:themeColor="text1"/>
          <w14:textFill>
            <w14:solidFill>
              <w14:schemeClr w14:val="tx1"/>
            </w14:solidFill>
          </w14:textFill>
        </w:rPr>
        <w:t>，商务标书</w:t>
      </w:r>
      <w:r>
        <w:rPr>
          <w:rFonts w:hint="eastAsia"/>
          <w:b/>
          <w:color w:val="000000" w:themeColor="text1"/>
          <w14:textFill>
            <w14:solidFill>
              <w14:schemeClr w14:val="tx1"/>
            </w14:solidFill>
          </w14:textFill>
        </w:rPr>
        <w:t>单面打印</w:t>
      </w:r>
      <w:r>
        <w:rPr>
          <w:rFonts w:hint="eastAsia"/>
          <w:color w:val="000000" w:themeColor="text1"/>
          <w14:textFill>
            <w14:solidFill>
              <w14:schemeClr w14:val="tx1"/>
            </w14:solidFill>
          </w14:textFill>
        </w:rPr>
        <w:t>，资格审查文件、技术标书和商务标书分别封装。在每一册参选文件上要明确注明“正本”和“副本”，正本和副本有差异时，以正本为准。</w:t>
      </w:r>
    </w:p>
    <w:p>
      <w:pPr>
        <w:spacing w:line="360" w:lineRule="auto"/>
        <w:ind w:firstLine="566" w:firstLineChars="236"/>
        <w:rPr>
          <w:color w:val="000000" w:themeColor="text1"/>
          <w14:textFill>
            <w14:solidFill>
              <w14:schemeClr w14:val="tx1"/>
            </w14:solidFill>
          </w14:textFill>
        </w:rPr>
      </w:pPr>
      <w:r>
        <w:rPr>
          <w:rFonts w:hint="eastAsia"/>
          <w:color w:val="000000" w:themeColor="text1"/>
          <w:kern w:val="0"/>
          <w14:textFill>
            <w14:solidFill>
              <w14:schemeClr w14:val="tx1"/>
            </w14:solidFill>
          </w14:textFill>
        </w:rPr>
        <w:t>如线上参选文件和纸质参选文件内容不一致的，以纸质文件为准。</w:t>
      </w:r>
    </w:p>
    <w:p>
      <w:pPr>
        <w:spacing w:line="360" w:lineRule="auto"/>
        <w:outlineLvl w:val="2"/>
        <w:rPr>
          <w:b/>
          <w:bCs/>
          <w:color w:val="000000" w:themeColor="text1"/>
          <w14:textFill>
            <w14:solidFill>
              <w14:schemeClr w14:val="tx1"/>
            </w14:solidFill>
          </w14:textFill>
        </w:rPr>
      </w:pPr>
      <w:bookmarkStart w:id="71" w:name="_Toc15495"/>
      <w:r>
        <w:rPr>
          <w:rFonts w:hint="eastAsia"/>
          <w:b/>
          <w:bCs/>
          <w:color w:val="000000" w:themeColor="text1"/>
          <w14:textFill>
            <w14:solidFill>
              <w14:schemeClr w14:val="tx1"/>
            </w14:solidFill>
          </w14:textFill>
        </w:rPr>
        <w:t>二、参选文件的签章</w:t>
      </w:r>
      <w:bookmarkEnd w:id="71"/>
    </w:p>
    <w:p>
      <w:pPr>
        <w:pStyle w:val="7"/>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1.所有参选文件（正、副本）均须加盖公章及</w:t>
      </w:r>
      <w:r>
        <w:rPr>
          <w:rFonts w:ascii="宋体" w:hAnsi="宋体"/>
          <w:color w:val="000000" w:themeColor="text1"/>
          <w:sz w:val="24"/>
          <w14:textFill>
            <w14:solidFill>
              <w14:schemeClr w14:val="tx1"/>
            </w14:solidFill>
          </w14:textFill>
        </w:rPr>
        <w:t>骑缝章</w:t>
      </w:r>
      <w:r>
        <w:rPr>
          <w:rFonts w:hint="eastAsia" w:ascii="宋体" w:hAnsi="宋体"/>
          <w:color w:val="000000" w:themeColor="text1"/>
          <w:sz w:val="24"/>
          <w14:textFill>
            <w14:solidFill>
              <w14:schemeClr w14:val="tx1"/>
            </w14:solidFill>
          </w14:textFill>
        </w:rPr>
        <w:t>。</w:t>
      </w:r>
    </w:p>
    <w:p>
      <w:pPr>
        <w:pStyle w:val="7"/>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2.纸质参选文件均应使用不能擦去的墨水打印或书写，并由参选人正式授权人签署。有增加或修正的各项，都应由参选文件签字人签字证明。</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3.纸质参选文件应无涂改和行间插字，除非这些删改是根据比选人指示进行，或是参选人造成的必须修改的错误。在后一种情况下，修改处应由参选文件签字人签字证明。</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rFonts w:hint="eastAsia"/>
          <w:color w:val="000000" w:themeColor="text1"/>
          <w:kern w:val="0"/>
          <w:szCs w:val="24"/>
          <w14:textFill>
            <w14:solidFill>
              <w14:schemeClr w14:val="tx1"/>
            </w14:solidFill>
          </w14:textFill>
        </w:rPr>
        <w:t>如线上参选文件和纸质参选文件内容不一致的，以纸质文件为准。</w:t>
      </w:r>
    </w:p>
    <w:p>
      <w:pPr>
        <w:spacing w:line="360" w:lineRule="auto"/>
        <w:outlineLvl w:val="2"/>
        <w:rPr>
          <w:b/>
          <w:bCs/>
          <w:color w:val="000000" w:themeColor="text1"/>
          <w14:textFill>
            <w14:solidFill>
              <w14:schemeClr w14:val="tx1"/>
            </w14:solidFill>
          </w14:textFill>
        </w:rPr>
      </w:pPr>
      <w:bookmarkStart w:id="72" w:name="_Toc36527858"/>
      <w:bookmarkStart w:id="73" w:name="_Toc22122"/>
      <w:r>
        <w:rPr>
          <w:rFonts w:hint="eastAsia"/>
          <w:b/>
          <w:bCs/>
          <w:color w:val="000000" w:themeColor="text1"/>
          <w14:textFill>
            <w14:solidFill>
              <w14:schemeClr w14:val="tx1"/>
            </w14:solidFill>
          </w14:textFill>
        </w:rPr>
        <w:t>三、纸质参选文件的密封与</w:t>
      </w:r>
      <w:bookmarkEnd w:id="72"/>
      <w:r>
        <w:rPr>
          <w:rFonts w:hint="eastAsia"/>
          <w:b/>
          <w:bCs/>
          <w:color w:val="000000" w:themeColor="text1"/>
          <w14:textFill>
            <w14:solidFill>
              <w14:schemeClr w14:val="tx1"/>
            </w14:solidFill>
          </w14:textFill>
        </w:rPr>
        <w:t>标识</w:t>
      </w:r>
      <w:bookmarkEnd w:id="73"/>
    </w:p>
    <w:p>
      <w:pPr>
        <w:pStyle w:val="7"/>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1.纸质参选文件必须按规定密封，在外层包封封口处加盖参选人单位公章。</w:t>
      </w:r>
    </w:p>
    <w:p>
      <w:pPr>
        <w:pStyle w:val="7"/>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2.参选人应按以下规定包封纸质参选文件并加写标识：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将参选文件的所有资格审查文件、技术标标书、 商务标书均需分别密封包装后，再统一密封包装成一包，密封加盖参选人公章。</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项目名称：</w:t>
      </w:r>
      <w:r>
        <w:rPr>
          <w:rFonts w:hint="eastAsia" w:ascii="宋体" w:hAnsi="宋体" w:cs="宋体"/>
          <w:color w:val="000000" w:themeColor="text1"/>
          <w:szCs w:val="24"/>
          <w14:textFill>
            <w14:solidFill>
              <w14:schemeClr w14:val="tx1"/>
            </w14:solidFill>
          </w14:textFill>
        </w:rPr>
        <w:t>轨道交通四期综合开发项目（四）土壤环境初步调查</w:t>
      </w:r>
      <w:r>
        <w:rPr>
          <w:rFonts w:hint="eastAsia" w:ascii="宋体" w:hAnsi="宋体"/>
          <w:color w:val="000000" w:themeColor="text1"/>
          <w14:textFill>
            <w14:solidFill>
              <w14:schemeClr w14:val="tx1"/>
            </w14:solidFill>
          </w14:textFill>
        </w:rPr>
        <w:t>参选</w:t>
      </w:r>
      <w:r>
        <w:rPr>
          <w:rFonts w:ascii="宋体" w:hAnsi="宋体"/>
          <w:color w:val="000000" w:themeColor="text1"/>
          <w14:textFill>
            <w14:solidFill>
              <w14:schemeClr w14:val="tx1"/>
            </w14:solidFill>
          </w14:textFill>
        </w:rPr>
        <w:t>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参选人地址：</w:t>
      </w:r>
    </w:p>
    <w:p>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rPr>
          <w:color w:val="000000" w:themeColor="text1"/>
          <w:szCs w:val="44"/>
          <w14:textFill>
            <w14:solidFill>
              <w14:schemeClr w14:val="tx1"/>
            </w14:solidFill>
          </w14:textFill>
        </w:rPr>
      </w:pPr>
      <w:bookmarkStart w:id="74" w:name="_Toc36527859"/>
      <w:bookmarkStart w:id="75" w:name="_Toc97605304"/>
      <w:bookmarkStart w:id="76" w:name="_Toc197404909"/>
      <w:bookmarkStart w:id="77" w:name="_Toc518494133"/>
      <w:bookmarkStart w:id="78" w:name="_Toc7518"/>
      <w:r>
        <w:rPr>
          <w:rFonts w:hint="eastAsia"/>
          <w:color w:val="000000" w:themeColor="text1"/>
          <w:szCs w:val="44"/>
          <w14:textFill>
            <w14:solidFill>
              <w14:schemeClr w14:val="tx1"/>
            </w14:solidFill>
          </w14:textFill>
        </w:rPr>
        <w:t xml:space="preserve">第五章 </w:t>
      </w:r>
      <w:bookmarkEnd w:id="74"/>
      <w:r>
        <w:rPr>
          <w:rFonts w:hint="eastAsia"/>
          <w:color w:val="000000" w:themeColor="text1"/>
          <w:szCs w:val="44"/>
          <w14:textFill>
            <w14:solidFill>
              <w14:schemeClr w14:val="tx1"/>
            </w14:solidFill>
          </w14:textFill>
        </w:rPr>
        <w:t>参选文件递交</w:t>
      </w:r>
      <w:bookmarkEnd w:id="75"/>
      <w:bookmarkEnd w:id="76"/>
      <w:bookmarkEnd w:id="77"/>
      <w:bookmarkEnd w:id="78"/>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一、参选人应按本参选须知</w:t>
      </w:r>
      <w:r>
        <w:rPr>
          <w:rFonts w:hint="eastAsia" w:ascii="宋体" w:hAnsi="宋体"/>
          <w:b/>
          <w:bCs/>
          <w:color w:val="000000" w:themeColor="text1"/>
          <w14:textFill>
            <w14:solidFill>
              <w14:schemeClr w14:val="tx1"/>
            </w14:solidFill>
          </w14:textFill>
        </w:rPr>
        <w:t>规定</w:t>
      </w:r>
      <w:r>
        <w:rPr>
          <w:rFonts w:hint="eastAsia" w:ascii="宋体" w:hAnsi="宋体"/>
          <w:color w:val="000000" w:themeColor="text1"/>
          <w14:textFill>
            <w14:solidFill>
              <w14:schemeClr w14:val="tx1"/>
            </w14:solidFill>
          </w14:textFill>
        </w:rPr>
        <w:t>的方式、地点、日期和时间递交参选文件。</w:t>
      </w:r>
      <w:r>
        <w:rPr>
          <w:rFonts w:ascii="宋体" w:hAnsi="宋体"/>
          <w:b/>
          <w:color w:val="000000" w:themeColor="text1"/>
          <w14:textFill>
            <w14:solidFill>
              <w14:schemeClr w14:val="tx1"/>
            </w14:solidFill>
          </w14:textFill>
        </w:rPr>
        <w:t>递交</w:t>
      </w:r>
      <w:r>
        <w:rPr>
          <w:rFonts w:hint="eastAsia" w:ascii="宋体" w:hAnsi="宋体"/>
          <w:b/>
          <w:color w:val="000000" w:themeColor="text1"/>
          <w14:textFill>
            <w14:solidFill>
              <w14:schemeClr w14:val="tx1"/>
            </w14:solidFill>
          </w14:textFill>
        </w:rPr>
        <w:t>纸质</w:t>
      </w:r>
      <w:r>
        <w:rPr>
          <w:rFonts w:ascii="宋体" w:hAnsi="宋体"/>
          <w:b/>
          <w:color w:val="000000" w:themeColor="text1"/>
          <w14:textFill>
            <w14:solidFill>
              <w14:schemeClr w14:val="tx1"/>
            </w14:solidFill>
          </w14:textFill>
        </w:rPr>
        <w:t>参选文件者须是法定代表人或法定代表人授权委托人</w:t>
      </w:r>
      <w:r>
        <w:rPr>
          <w:rFonts w:hint="eastAsia" w:ascii="宋体" w:hAnsi="宋体"/>
          <w:color w:val="000000" w:themeColor="text1"/>
          <w14:textFill>
            <w14:solidFill>
              <w14:schemeClr w14:val="tx1"/>
            </w14:solidFill>
          </w14:textFill>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79" w:name="_Toc36527860"/>
      <w:r>
        <w:rPr>
          <w:rFonts w:hint="eastAsia"/>
          <w:color w:val="000000" w:themeColor="text1"/>
          <w:szCs w:val="24"/>
          <w14:textFill>
            <w14:solidFill>
              <w14:schemeClr w14:val="tx1"/>
            </w14:solidFill>
          </w14:textFill>
        </w:rPr>
        <w:t>参选的单位尽可能在深圳地铁智能招采平台办理企业信息登记，若最终无法登记上传参</w:t>
      </w:r>
      <w:r>
        <w:rPr>
          <w:color w:val="000000" w:themeColor="text1"/>
          <w:szCs w:val="24"/>
          <w14:textFill>
            <w14:solidFill>
              <w14:schemeClr w14:val="tx1"/>
            </w14:solidFill>
          </w14:textFill>
        </w:rPr>
        <w:t>选</w:t>
      </w:r>
      <w:r>
        <w:rPr>
          <w:rFonts w:hint="eastAsia"/>
          <w:color w:val="000000" w:themeColor="text1"/>
          <w:szCs w:val="24"/>
          <w14:textFill>
            <w14:solidFill>
              <w14:schemeClr w14:val="tx1"/>
            </w14:solidFill>
          </w14:textFill>
        </w:rPr>
        <w:t>文件，最终以纸质版为准。</w:t>
      </w:r>
      <w:r>
        <w:rPr>
          <w:rFonts w:hint="eastAsia" w:ascii="宋体" w:hAnsi="宋体"/>
          <w:color w:val="000000" w:themeColor="text1"/>
          <w:kern w:val="0"/>
          <w:szCs w:val="24"/>
          <w14:textFill>
            <w14:solidFill>
              <w14:schemeClr w14:val="tx1"/>
            </w14:solidFill>
          </w14:textFill>
        </w:rPr>
        <w:t>如线上参选文件和纸质参选文件内容不一致的，以纸质文件为准。</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二、迟到的参选文件</w:t>
      </w:r>
      <w:bookmarkEnd w:id="79"/>
    </w:p>
    <w:p>
      <w:pPr>
        <w:spacing w:line="360" w:lineRule="auto"/>
        <w:ind w:firstLine="480" w:firstLineChars="200"/>
        <w:rPr>
          <w:rFonts w:ascii="宋体" w:hAnsi="宋体"/>
          <w:b/>
          <w:color w:val="000000" w:themeColor="text1"/>
          <w14:textFill>
            <w14:solidFill>
              <w14:schemeClr w14:val="tx1"/>
            </w14:solidFill>
          </w14:textFill>
        </w:rPr>
      </w:pPr>
      <w:r>
        <w:rPr>
          <w:rFonts w:ascii="宋体" w:hAnsi="宋体"/>
          <w:color w:val="000000" w:themeColor="text1"/>
          <w14:textFill>
            <w14:solidFill>
              <w14:schemeClr w14:val="tx1"/>
            </w14:solidFill>
          </w14:textFill>
        </w:rPr>
        <w:t>在本参选须知第一章</w:t>
      </w:r>
      <w:r>
        <w:rPr>
          <w:rFonts w:hint="eastAsia" w:ascii="宋体" w:hAnsi="宋体"/>
          <w:color w:val="000000" w:themeColor="text1"/>
          <w14:textFill>
            <w14:solidFill>
              <w14:schemeClr w14:val="tx1"/>
            </w14:solidFill>
          </w14:textFill>
        </w:rPr>
        <w:t>第五条</w:t>
      </w:r>
      <w:r>
        <w:rPr>
          <w:rFonts w:ascii="宋体" w:hAnsi="宋体"/>
          <w:color w:val="000000" w:themeColor="text1"/>
          <w14:textFill>
            <w14:solidFill>
              <w14:schemeClr w14:val="tx1"/>
            </w14:solidFill>
          </w14:textFill>
        </w:rPr>
        <w:t>规定的参选截止期以后送达的或者未送达指定地点的参选文件将不予受理。</w:t>
      </w:r>
      <w:r>
        <w:rPr>
          <w:rFonts w:hint="eastAsia" w:ascii="宋体" w:hAnsi="宋体"/>
          <w:color w:val="000000" w:themeColor="text1"/>
          <w14:textFill>
            <w14:solidFill>
              <w14:schemeClr w14:val="tx1"/>
            </w14:solidFill>
          </w14:textFill>
        </w:rPr>
        <w:t>参选人在递交参选文件时应遵照工作人员的安排有秩序地进行。</w:t>
      </w:r>
      <w:bookmarkStart w:id="80" w:name="_Toc518494134"/>
    </w:p>
    <w:p>
      <w:pPr>
        <w:pStyle w:val="3"/>
        <w:rPr>
          <w:color w:val="000000" w:themeColor="text1"/>
          <w:szCs w:val="44"/>
          <w14:textFill>
            <w14:solidFill>
              <w14:schemeClr w14:val="tx1"/>
            </w14:solidFill>
          </w14:textFill>
        </w:rPr>
      </w:pPr>
      <w:bookmarkStart w:id="81" w:name="_Toc97605305"/>
      <w:bookmarkStart w:id="82" w:name="_Toc21348"/>
      <w:r>
        <w:rPr>
          <w:rFonts w:hint="eastAsia"/>
          <w:color w:val="000000" w:themeColor="text1"/>
          <w:szCs w:val="44"/>
          <w14:textFill>
            <w14:solidFill>
              <w14:schemeClr w14:val="tx1"/>
            </w14:solidFill>
          </w14:textFill>
        </w:rPr>
        <w:t>第六章  参选有效期</w:t>
      </w:r>
      <w:bookmarkEnd w:id="80"/>
      <w:bookmarkEnd w:id="81"/>
      <w:bookmarkEnd w:id="82"/>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一、自规定的参选书递交截止期限起</w:t>
      </w:r>
      <w:r>
        <w:rPr>
          <w:rFonts w:ascii="宋体" w:hAnsi="宋体"/>
          <w:color w:val="000000" w:themeColor="text1"/>
          <w:szCs w:val="24"/>
          <w14:textFill>
            <w14:solidFill>
              <w14:schemeClr w14:val="tx1"/>
            </w14:solidFill>
          </w14:textFill>
        </w:rPr>
        <w:t>180</w:t>
      </w:r>
      <w:r>
        <w:rPr>
          <w:rFonts w:hint="eastAsia" w:ascii="宋体" w:hAnsi="宋体"/>
          <w:color w:val="000000" w:themeColor="text1"/>
          <w:szCs w:val="24"/>
          <w14:textFill>
            <w14:solidFill>
              <w14:schemeClr w14:val="tx1"/>
            </w14:solidFill>
          </w14:textFill>
        </w:rPr>
        <w:t>天内，参选书均保持有效。</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二、在</w:t>
      </w:r>
      <w:r>
        <w:rPr>
          <w:rFonts w:ascii="宋体" w:hAnsi="宋体"/>
          <w:color w:val="000000" w:themeColor="text1"/>
          <w:szCs w:val="24"/>
          <w14:textFill>
            <w14:solidFill>
              <w14:schemeClr w14:val="tx1"/>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83" w:name="_Toc197404911"/>
    </w:p>
    <w:p>
      <w:pPr>
        <w:pStyle w:val="3"/>
        <w:rPr>
          <w:color w:val="000000" w:themeColor="text1"/>
          <w:szCs w:val="44"/>
          <w14:textFill>
            <w14:solidFill>
              <w14:schemeClr w14:val="tx1"/>
            </w14:solidFill>
          </w14:textFill>
        </w:rPr>
      </w:pPr>
      <w:bookmarkStart w:id="84" w:name="_Toc97605306"/>
      <w:bookmarkStart w:id="85" w:name="_Toc518494135"/>
      <w:bookmarkStart w:id="86" w:name="_Toc14032"/>
      <w:r>
        <w:rPr>
          <w:rFonts w:hint="eastAsia"/>
          <w:color w:val="000000" w:themeColor="text1"/>
          <w:szCs w:val="44"/>
          <w14:textFill>
            <w14:solidFill>
              <w14:schemeClr w14:val="tx1"/>
            </w14:solidFill>
          </w14:textFill>
        </w:rPr>
        <w:t>第七章  开标</w:t>
      </w:r>
      <w:bookmarkEnd w:id="83"/>
      <w:bookmarkEnd w:id="84"/>
      <w:bookmarkEnd w:id="85"/>
      <w:bookmarkEnd w:id="86"/>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一、截标后首先进入开标环节，比选人将于</w:t>
      </w:r>
      <w:r>
        <w:rPr>
          <w:rFonts w:ascii="宋体" w:hAnsi="宋体"/>
          <w:color w:val="000000" w:themeColor="text1"/>
          <w:szCs w:val="24"/>
          <w14:textFill>
            <w14:solidFill>
              <w14:schemeClr w14:val="tx1"/>
            </w14:solidFill>
          </w14:textFill>
        </w:rPr>
        <w:t>参选须知所</w:t>
      </w:r>
      <w:r>
        <w:rPr>
          <w:rFonts w:hint="eastAsia" w:ascii="宋体" w:hAnsi="宋体"/>
          <w:color w:val="000000" w:themeColor="text1"/>
          <w:szCs w:val="24"/>
          <w14:textFill>
            <w14:solidFill>
              <w14:schemeClr w14:val="tx1"/>
            </w14:solidFill>
          </w14:textFill>
        </w:rPr>
        <w:t>规定的时间和地点公开举行开标会议，所有参选人代表参加</w:t>
      </w:r>
      <w:r>
        <w:rPr>
          <w:rFonts w:hint="eastAsia" w:ascii="宋体" w:hAnsi="宋体"/>
          <w:b/>
          <w:bCs/>
          <w:color w:val="000000" w:themeColor="text1"/>
          <w:szCs w:val="24"/>
          <w:u w:val="single"/>
          <w14:textFill>
            <w14:solidFill>
              <w14:schemeClr w14:val="tx1"/>
            </w14:solidFill>
          </w14:textFill>
        </w:rPr>
        <w:t>（参选人代表需持</w:t>
      </w:r>
      <w:r>
        <w:rPr>
          <w:rFonts w:ascii="宋体" w:hAnsi="宋体"/>
          <w:b/>
          <w:bCs/>
          <w:color w:val="000000" w:themeColor="text1"/>
          <w:szCs w:val="24"/>
          <w:u w:val="single"/>
          <w14:textFill>
            <w14:solidFill>
              <w14:schemeClr w14:val="tx1"/>
            </w14:solidFill>
          </w14:textFill>
        </w:rPr>
        <w:t>48</w:t>
      </w:r>
      <w:r>
        <w:rPr>
          <w:rFonts w:hint="eastAsia" w:ascii="宋体" w:hAnsi="宋体"/>
          <w:b/>
          <w:bCs/>
          <w:color w:val="000000" w:themeColor="text1"/>
          <w:szCs w:val="24"/>
          <w:u w:val="single"/>
          <w14:textFill>
            <w14:solidFill>
              <w14:schemeClr w14:val="tx1"/>
            </w14:solidFill>
          </w14:textFill>
        </w:rPr>
        <w:t>小时内核酸检测绿码，行程码显示为深圳市内，具体</w:t>
      </w:r>
      <w:r>
        <w:rPr>
          <w:rFonts w:ascii="宋体" w:hAnsi="宋体"/>
          <w:b/>
          <w:bCs/>
          <w:color w:val="000000" w:themeColor="text1"/>
          <w:szCs w:val="24"/>
          <w:u w:val="single"/>
          <w14:textFill>
            <w14:solidFill>
              <w14:schemeClr w14:val="tx1"/>
            </w14:solidFill>
          </w14:textFill>
        </w:rPr>
        <w:t>以比选人</w:t>
      </w:r>
      <w:r>
        <w:rPr>
          <w:rFonts w:hint="eastAsia" w:ascii="宋体" w:hAnsi="宋体"/>
          <w:b/>
          <w:bCs/>
          <w:color w:val="000000" w:themeColor="text1"/>
          <w:szCs w:val="24"/>
          <w:u w:val="single"/>
          <w14:textFill>
            <w14:solidFill>
              <w14:schemeClr w14:val="tx1"/>
            </w14:solidFill>
          </w14:textFill>
        </w:rPr>
        <w:t>最</w:t>
      </w:r>
      <w:r>
        <w:rPr>
          <w:rFonts w:ascii="宋体" w:hAnsi="宋体"/>
          <w:b/>
          <w:bCs/>
          <w:color w:val="000000" w:themeColor="text1"/>
          <w:szCs w:val="24"/>
          <w:u w:val="single"/>
          <w14:textFill>
            <w14:solidFill>
              <w14:schemeClr w14:val="tx1"/>
            </w14:solidFill>
          </w14:textFill>
        </w:rPr>
        <w:t>新要求为准</w:t>
      </w:r>
      <w:r>
        <w:rPr>
          <w:rFonts w:hint="eastAsia" w:ascii="宋体" w:hAnsi="宋体"/>
          <w:b/>
          <w:bCs/>
          <w:color w:val="000000" w:themeColor="text1"/>
          <w:szCs w:val="24"/>
          <w:u w:val="single"/>
          <w14:textFill>
            <w14:solidFill>
              <w14:schemeClr w14:val="tx1"/>
            </w14:solidFill>
          </w14:textFill>
        </w:rPr>
        <w:t>，</w:t>
      </w:r>
      <w:r>
        <w:rPr>
          <w:rFonts w:ascii="宋体" w:hAnsi="宋体"/>
          <w:b/>
          <w:bCs/>
          <w:color w:val="000000" w:themeColor="text1"/>
          <w:szCs w:val="24"/>
          <w:u w:val="single"/>
          <w14:textFill>
            <w14:solidFill>
              <w14:schemeClr w14:val="tx1"/>
            </w14:solidFill>
          </w14:textFill>
        </w:rPr>
        <w:t>参选人须</w:t>
      </w:r>
      <w:r>
        <w:rPr>
          <w:rFonts w:hint="eastAsia" w:ascii="宋体" w:hAnsi="宋体"/>
          <w:b/>
          <w:bCs/>
          <w:color w:val="000000" w:themeColor="text1"/>
          <w:szCs w:val="24"/>
          <w:u w:val="single"/>
          <w14:textFill>
            <w14:solidFill>
              <w14:schemeClr w14:val="tx1"/>
            </w14:solidFill>
          </w14:textFill>
        </w:rPr>
        <w:t>在开</w:t>
      </w:r>
      <w:r>
        <w:rPr>
          <w:rFonts w:ascii="宋体" w:hAnsi="宋体"/>
          <w:b/>
          <w:bCs/>
          <w:color w:val="000000" w:themeColor="text1"/>
          <w:szCs w:val="24"/>
          <w:u w:val="single"/>
          <w14:textFill>
            <w14:solidFill>
              <w14:schemeClr w14:val="tx1"/>
            </w14:solidFill>
          </w14:textFill>
        </w:rPr>
        <w:t>标前</w:t>
      </w:r>
      <w:r>
        <w:rPr>
          <w:rFonts w:hint="eastAsia" w:ascii="宋体" w:hAnsi="宋体"/>
          <w:b/>
          <w:bCs/>
          <w:color w:val="000000" w:themeColor="text1"/>
          <w:szCs w:val="24"/>
          <w:u w:val="single"/>
          <w14:textFill>
            <w14:solidFill>
              <w14:schemeClr w14:val="tx1"/>
            </w14:solidFill>
          </w14:textFill>
        </w:rPr>
        <w:t>向</w:t>
      </w:r>
      <w:r>
        <w:rPr>
          <w:rFonts w:ascii="宋体" w:hAnsi="宋体"/>
          <w:b/>
          <w:bCs/>
          <w:color w:val="000000" w:themeColor="text1"/>
          <w:szCs w:val="24"/>
          <w:u w:val="single"/>
          <w14:textFill>
            <w14:solidFill>
              <w14:schemeClr w14:val="tx1"/>
            </w14:solidFill>
          </w14:textFill>
        </w:rPr>
        <w:t>比选人确认</w:t>
      </w:r>
      <w:r>
        <w:rPr>
          <w:rFonts w:hint="eastAsia" w:ascii="宋体" w:hAnsi="宋体"/>
          <w:b/>
          <w:bCs/>
          <w:color w:val="000000" w:themeColor="text1"/>
          <w:szCs w:val="24"/>
          <w:u w:val="single"/>
          <w14:textFill>
            <w14:solidFill>
              <w14:schemeClr w14:val="tx1"/>
            </w14:solidFill>
          </w14:textFill>
        </w:rPr>
        <w:t>，</w:t>
      </w:r>
      <w:r>
        <w:rPr>
          <w:rFonts w:ascii="宋体" w:hAnsi="宋体"/>
          <w:b/>
          <w:bCs/>
          <w:color w:val="000000" w:themeColor="text1"/>
          <w:szCs w:val="24"/>
          <w:u w:val="single"/>
          <w14:textFill>
            <w14:solidFill>
              <w14:schemeClr w14:val="tx1"/>
            </w14:solidFill>
          </w14:textFill>
        </w:rPr>
        <w:t>如比选人要求线上开标，参选人应按</w:t>
      </w:r>
      <w:r>
        <w:rPr>
          <w:rFonts w:hint="eastAsia" w:ascii="宋体" w:hAnsi="宋体"/>
          <w:b/>
          <w:bCs/>
          <w:color w:val="000000" w:themeColor="text1"/>
          <w:szCs w:val="24"/>
          <w:u w:val="single"/>
          <w14:textFill>
            <w14:solidFill>
              <w14:schemeClr w14:val="tx1"/>
            </w14:solidFill>
          </w14:textFill>
        </w:rPr>
        <w:t>比</w:t>
      </w:r>
      <w:r>
        <w:rPr>
          <w:rFonts w:ascii="宋体" w:hAnsi="宋体"/>
          <w:b/>
          <w:bCs/>
          <w:color w:val="000000" w:themeColor="text1"/>
          <w:szCs w:val="24"/>
          <w:u w:val="single"/>
          <w14:textFill>
            <w14:solidFill>
              <w14:schemeClr w14:val="tx1"/>
            </w14:solidFill>
          </w14:textFill>
        </w:rPr>
        <w:t>选人要求办理</w:t>
      </w:r>
      <w:r>
        <w:rPr>
          <w:rFonts w:hint="eastAsia" w:ascii="宋体" w:hAnsi="宋体"/>
          <w:b/>
          <w:bCs/>
          <w:color w:val="000000" w:themeColor="text1"/>
          <w:szCs w:val="24"/>
          <w:u w:val="single"/>
          <w14:textFill>
            <w14:solidFill>
              <w14:schemeClr w14:val="tx1"/>
            </w14:solidFill>
          </w14:textFill>
        </w:rPr>
        <w:t>）</w:t>
      </w:r>
      <w:r>
        <w:rPr>
          <w:rFonts w:hint="eastAsia" w:ascii="宋体" w:hAnsi="宋体"/>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三、</w:t>
      </w:r>
      <w:r>
        <w:rPr>
          <w:rFonts w:ascii="宋体" w:hAnsi="宋体"/>
          <w:color w:val="000000" w:themeColor="text1"/>
          <w:szCs w:val="24"/>
          <w14:textFill>
            <w14:solidFill>
              <w14:schemeClr w14:val="tx1"/>
            </w14:solidFill>
          </w14:textFill>
        </w:rPr>
        <w:t>开标会议由比选人主持</w:t>
      </w:r>
      <w:r>
        <w:rPr>
          <w:rFonts w:hint="eastAsia" w:ascii="宋体" w:hAnsi="宋体"/>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四、</w:t>
      </w:r>
      <w:r>
        <w:rPr>
          <w:rFonts w:ascii="宋体" w:hAnsi="宋体"/>
          <w:color w:val="000000" w:themeColor="text1"/>
          <w:szCs w:val="24"/>
          <w14:textFill>
            <w14:solidFill>
              <w14:schemeClr w14:val="tx1"/>
            </w14:solidFill>
          </w14:textFill>
        </w:rPr>
        <w:t>由比选人监</w:t>
      </w:r>
      <w:r>
        <w:rPr>
          <w:rFonts w:hint="eastAsia" w:ascii="宋体" w:hAnsi="宋体"/>
          <w:color w:val="000000" w:themeColor="text1"/>
          <w:szCs w:val="24"/>
          <w14:textFill>
            <w14:solidFill>
              <w14:schemeClr w14:val="tx1"/>
            </w14:solidFill>
          </w14:textFill>
        </w:rPr>
        <w:t>审人员</w:t>
      </w:r>
      <w:r>
        <w:rPr>
          <w:rFonts w:ascii="宋体" w:hAnsi="宋体"/>
          <w:color w:val="000000" w:themeColor="text1"/>
          <w:szCs w:val="24"/>
          <w14:textFill>
            <w14:solidFill>
              <w14:schemeClr w14:val="tx1"/>
            </w14:solidFill>
          </w14:textFill>
        </w:rPr>
        <w:t>及参选人监督检查</w:t>
      </w:r>
      <w:r>
        <w:rPr>
          <w:rFonts w:hint="eastAsia" w:ascii="宋体" w:hAnsi="宋体"/>
          <w:color w:val="000000" w:themeColor="text1"/>
          <w:szCs w:val="24"/>
          <w14:textFill>
            <w14:solidFill>
              <w14:schemeClr w14:val="tx1"/>
            </w14:solidFill>
          </w14:textFill>
        </w:rPr>
        <w:t>所有</w:t>
      </w:r>
      <w:r>
        <w:rPr>
          <w:rFonts w:ascii="宋体" w:hAnsi="宋体"/>
          <w:color w:val="000000" w:themeColor="text1"/>
          <w:szCs w:val="24"/>
          <w14:textFill>
            <w14:solidFill>
              <w14:schemeClr w14:val="tx1"/>
            </w14:solidFill>
          </w14:textFill>
        </w:rPr>
        <w:t>参选文件的密封情况</w:t>
      </w:r>
      <w:r>
        <w:rPr>
          <w:rFonts w:hint="eastAsia" w:ascii="宋体" w:hAnsi="宋体"/>
          <w:color w:val="000000" w:themeColor="text1"/>
          <w:szCs w:val="24"/>
          <w14:textFill>
            <w14:solidFill>
              <w14:schemeClr w14:val="tx1"/>
            </w14:solidFill>
          </w14:textFill>
        </w:rPr>
        <w:t>，也可以由比选人委托的公证机构进行检查并公证。</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五、</w:t>
      </w:r>
      <w:bookmarkStart w:id="87" w:name="_Hlk77375959"/>
      <w:r>
        <w:rPr>
          <w:rFonts w:hint="eastAsia" w:ascii="宋体" w:hAnsi="宋体"/>
          <w:color w:val="000000" w:themeColor="text1"/>
          <w:szCs w:val="24"/>
          <w14:textFill>
            <w14:solidFill>
              <w14:schemeClr w14:val="tx1"/>
            </w14:solidFill>
          </w14:textFill>
        </w:rPr>
        <w:t>经确认无误后，</w:t>
      </w:r>
      <w:bookmarkStart w:id="88" w:name="_Hlk77373092"/>
      <w:r>
        <w:rPr>
          <w:rFonts w:hint="eastAsia" w:ascii="宋体" w:hAnsi="宋体"/>
          <w:color w:val="000000" w:themeColor="text1"/>
          <w:szCs w:val="24"/>
          <w14:textFill>
            <w14:solidFill>
              <w14:schemeClr w14:val="tx1"/>
            </w14:solidFill>
          </w14:textFill>
        </w:rPr>
        <w:t>由比选人按各参选单位签到的先后时间顺序，当众拆封所有参选文件</w:t>
      </w:r>
      <w:bookmarkEnd w:id="87"/>
      <w:bookmarkEnd w:id="88"/>
      <w:r>
        <w:rPr>
          <w:rFonts w:hint="eastAsia" w:ascii="宋体" w:hAnsi="宋体"/>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六、比选人将作开标记录，并由参选人签字确认，以存档备查。开标结束后，比选人代表将所有参选文件移交招标工作人员及监督人员进行资格审查。</w:t>
      </w:r>
      <w:r>
        <w:rPr>
          <w:rFonts w:hint="eastAsia" w:ascii="宋体" w:hAnsi="宋体"/>
          <w:bCs/>
          <w:color w:val="000000" w:themeColor="text1"/>
          <w:szCs w:val="24"/>
          <w14:textFill>
            <w14:solidFill>
              <w14:schemeClr w14:val="tx1"/>
            </w14:solidFill>
          </w14:textFill>
        </w:rPr>
        <w:t>招标工作人员及监督人员认定无效标或者界定为废标后，有效参选人不足3家的，比选人宣布本次比选失败，</w:t>
      </w:r>
      <w:r>
        <w:rPr>
          <w:rFonts w:ascii="宋体" w:hAnsi="宋体"/>
          <w:bCs/>
          <w:color w:val="000000" w:themeColor="text1"/>
          <w:szCs w:val="24"/>
          <w14:textFill>
            <w14:solidFill>
              <w14:schemeClr w14:val="tx1"/>
            </w14:solidFill>
          </w14:textFill>
        </w:rPr>
        <w:t>重新</w:t>
      </w:r>
      <w:r>
        <w:rPr>
          <w:rFonts w:hint="eastAsia" w:ascii="宋体" w:hAnsi="宋体"/>
          <w:bCs/>
          <w:color w:val="000000" w:themeColor="text1"/>
          <w:szCs w:val="24"/>
          <w14:textFill>
            <w14:solidFill>
              <w14:schemeClr w14:val="tx1"/>
            </w14:solidFill>
          </w14:textFill>
        </w:rPr>
        <w:t>组织</w:t>
      </w:r>
      <w:r>
        <w:rPr>
          <w:rFonts w:ascii="宋体" w:hAnsi="宋体"/>
          <w:bCs/>
          <w:color w:val="000000" w:themeColor="text1"/>
          <w:szCs w:val="24"/>
          <w14:textFill>
            <w14:solidFill>
              <w14:schemeClr w14:val="tx1"/>
            </w14:solidFill>
          </w14:textFill>
        </w:rPr>
        <w:t>比选</w:t>
      </w:r>
      <w:r>
        <w:rPr>
          <w:rFonts w:hint="eastAsia" w:ascii="宋体" w:hAnsi="宋体"/>
          <w:bCs/>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七、按本须知规定宣布为不予受理情形的参选文件，不予送交评标委员会评审。</w:t>
      </w:r>
    </w:p>
    <w:p>
      <w:pPr>
        <w:spacing w:line="360" w:lineRule="auto"/>
        <w:ind w:firstLine="480" w:firstLineChars="200"/>
        <w:rPr>
          <w:rFonts w:ascii="宋体" w:hAnsi="宋体"/>
          <w:bCs/>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八、资格审查结束后，进入评标环节。根据评标“先评技术标，再评商务标”的原则，比选人工作人员</w:t>
      </w:r>
      <w:r>
        <w:rPr>
          <w:rFonts w:hint="eastAsia" w:ascii="宋体" w:hAnsi="宋体"/>
          <w:bCs/>
          <w:color w:val="000000" w:themeColor="text1"/>
          <w:szCs w:val="24"/>
          <w14:textFill>
            <w14:solidFill>
              <w14:schemeClr w14:val="tx1"/>
            </w14:solidFill>
          </w14:textFill>
        </w:rPr>
        <w:t>先仅将技术标书移交评标委员会</w:t>
      </w:r>
      <w:r>
        <w:rPr>
          <w:rFonts w:ascii="宋体" w:hAnsi="宋体"/>
          <w:bCs/>
          <w:color w:val="000000" w:themeColor="text1"/>
          <w:szCs w:val="24"/>
          <w14:textFill>
            <w14:solidFill>
              <w14:schemeClr w14:val="tx1"/>
            </w14:solidFill>
          </w14:textFill>
        </w:rPr>
        <w:t>,待技术标书评审完成后再移交</w:t>
      </w:r>
      <w:r>
        <w:rPr>
          <w:rFonts w:hint="eastAsia" w:ascii="宋体" w:hAnsi="宋体"/>
          <w:bCs/>
          <w:color w:val="000000" w:themeColor="text1"/>
          <w:szCs w:val="24"/>
          <w14:textFill>
            <w14:solidFill>
              <w14:schemeClr w14:val="tx1"/>
            </w14:solidFill>
          </w14:textFill>
        </w:rPr>
        <w:t>相应的</w:t>
      </w:r>
      <w:r>
        <w:rPr>
          <w:rFonts w:ascii="宋体" w:hAnsi="宋体"/>
          <w:bCs/>
          <w:color w:val="000000" w:themeColor="text1"/>
          <w:szCs w:val="24"/>
          <w14:textFill>
            <w14:solidFill>
              <w14:schemeClr w14:val="tx1"/>
            </w14:solidFill>
          </w14:textFill>
        </w:rPr>
        <w:t>商务标书。</w:t>
      </w:r>
    </w:p>
    <w:p>
      <w:pPr>
        <w:spacing w:line="360" w:lineRule="auto"/>
        <w:ind w:firstLine="480" w:firstLineChars="200"/>
        <w:rPr>
          <w:rFonts w:ascii="宋体" w:hAnsi="宋体"/>
          <w:b/>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九、参选文件有下列情形之一的，比选人将不予受理：</w:t>
      </w:r>
    </w:p>
    <w:p>
      <w:pPr>
        <w:spacing w:line="360" w:lineRule="auto"/>
        <w:ind w:firstLine="480" w:firstLineChars="200"/>
        <w:rPr>
          <w:rFonts w:ascii="宋体" w:hAnsi="宋体"/>
          <w:b/>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（1）</w:t>
      </w:r>
      <w:r>
        <w:rPr>
          <w:rFonts w:ascii="宋体" w:hAnsi="宋体"/>
          <w:color w:val="000000" w:themeColor="text1"/>
          <w:szCs w:val="24"/>
          <w14:textFill>
            <w14:solidFill>
              <w14:schemeClr w14:val="tx1"/>
            </w14:solidFill>
          </w14:textFill>
        </w:rPr>
        <w:t>参选文件在规定的参选截止时间以后送达的或者未送达指定地点的；</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（2）纸质参选文件</w:t>
      </w:r>
      <w:r>
        <w:rPr>
          <w:rFonts w:ascii="宋体" w:hAnsi="宋体"/>
          <w:color w:val="000000" w:themeColor="text1"/>
          <w:szCs w:val="24"/>
          <w14:textFill>
            <w14:solidFill>
              <w14:schemeClr w14:val="tx1"/>
            </w14:solidFill>
          </w14:textFill>
        </w:rPr>
        <w:t>未按规定密封和加盖参选人公章的</w:t>
      </w:r>
      <w:r>
        <w:rPr>
          <w:rFonts w:hint="eastAsia" w:ascii="宋体" w:hAnsi="宋体"/>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（3）</w:t>
      </w:r>
      <w:r>
        <w:rPr>
          <w:rFonts w:hint="eastAsia" w:ascii="宋体" w:hAnsi="宋体"/>
          <w:color w:val="000000" w:themeColor="text1"/>
          <w14:textFill>
            <w14:solidFill>
              <w14:schemeClr w14:val="tx1"/>
            </w14:solidFill>
          </w14:textFill>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参选</w:t>
      </w:r>
      <w:r>
        <w:rPr>
          <w:rFonts w:ascii="宋体" w:hAnsi="宋体"/>
          <w:b/>
          <w:color w:val="000000" w:themeColor="text1"/>
          <w14:textFill>
            <w14:solidFill>
              <w14:schemeClr w14:val="tx1"/>
            </w14:solidFill>
          </w14:textFill>
        </w:rPr>
        <w:t>人如</w:t>
      </w:r>
      <w:r>
        <w:rPr>
          <w:rFonts w:hint="eastAsia" w:ascii="宋体" w:hAnsi="宋体"/>
          <w:b/>
          <w:color w:val="000000" w:themeColor="text1"/>
          <w14:textFill>
            <w14:solidFill>
              <w14:schemeClr w14:val="tx1"/>
            </w14:solidFill>
          </w14:textFill>
        </w:rPr>
        <w:t>对比选文件</w:t>
      </w:r>
      <w:r>
        <w:rPr>
          <w:rFonts w:ascii="宋体" w:hAnsi="宋体"/>
          <w:b/>
          <w:color w:val="000000" w:themeColor="text1"/>
          <w14:textFill>
            <w14:solidFill>
              <w14:schemeClr w14:val="tx1"/>
            </w14:solidFill>
          </w14:textFill>
        </w:rPr>
        <w:t>及参选文件的编制有疑问，</w:t>
      </w:r>
      <w:r>
        <w:rPr>
          <w:rFonts w:hint="eastAsia" w:ascii="宋体" w:hAnsi="宋体"/>
          <w:b/>
          <w:color w:val="000000" w:themeColor="text1"/>
          <w14:textFill>
            <w14:solidFill>
              <w14:schemeClr w14:val="tx1"/>
            </w14:solidFill>
          </w14:textFill>
        </w:rPr>
        <w:t>请主动及时地</w:t>
      </w:r>
      <w:r>
        <w:rPr>
          <w:rFonts w:ascii="宋体" w:hAnsi="宋体"/>
          <w:b/>
          <w:color w:val="000000" w:themeColor="text1"/>
          <w14:textFill>
            <w14:solidFill>
              <w14:schemeClr w14:val="tx1"/>
            </w14:solidFill>
          </w14:textFill>
        </w:rPr>
        <w:t>联系比选人。</w:t>
      </w:r>
    </w:p>
    <w:p>
      <w:pPr>
        <w:pStyle w:val="3"/>
        <w:rPr>
          <w:color w:val="000000" w:themeColor="text1"/>
          <w:szCs w:val="44"/>
          <w14:textFill>
            <w14:solidFill>
              <w14:schemeClr w14:val="tx1"/>
            </w14:solidFill>
          </w14:textFill>
        </w:rPr>
      </w:pPr>
      <w:bookmarkStart w:id="89" w:name="_Toc21641"/>
      <w:bookmarkStart w:id="90" w:name="_Toc97605307"/>
      <w:bookmarkStart w:id="91" w:name="_Toc518494136"/>
      <w:r>
        <w:rPr>
          <w:color w:val="000000" w:themeColor="text1"/>
          <w:szCs w:val="44"/>
          <w14:textFill>
            <w14:solidFill>
              <w14:schemeClr w14:val="tx1"/>
            </w14:solidFill>
          </w14:textFill>
        </w:rPr>
        <w:t>第</w:t>
      </w:r>
      <w:r>
        <w:rPr>
          <w:rFonts w:hint="eastAsia"/>
          <w:color w:val="000000" w:themeColor="text1"/>
          <w:szCs w:val="44"/>
          <w14:textFill>
            <w14:solidFill>
              <w14:schemeClr w14:val="tx1"/>
            </w14:solidFill>
          </w14:textFill>
        </w:rPr>
        <w:t>八</w:t>
      </w:r>
      <w:r>
        <w:rPr>
          <w:color w:val="000000" w:themeColor="text1"/>
          <w:szCs w:val="44"/>
          <w14:textFill>
            <w14:solidFill>
              <w14:schemeClr w14:val="tx1"/>
            </w14:solidFill>
          </w14:textFill>
        </w:rPr>
        <w:t>章</w:t>
      </w:r>
      <w:r>
        <w:rPr>
          <w:rFonts w:hint="eastAsia"/>
          <w:color w:val="000000" w:themeColor="text1"/>
          <w:szCs w:val="44"/>
          <w14:textFill>
            <w14:solidFill>
              <w14:schemeClr w14:val="tx1"/>
            </w14:solidFill>
          </w14:textFill>
        </w:rPr>
        <w:t xml:space="preserve"> </w:t>
      </w:r>
      <w:r>
        <w:rPr>
          <w:color w:val="000000" w:themeColor="text1"/>
          <w:szCs w:val="44"/>
          <w14:textFill>
            <w14:solidFill>
              <w14:schemeClr w14:val="tx1"/>
            </w14:solidFill>
          </w14:textFill>
        </w:rPr>
        <w:t>评标</w:t>
      </w:r>
      <w:bookmarkEnd w:id="89"/>
      <w:bookmarkEnd w:id="90"/>
      <w:bookmarkEnd w:id="91"/>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一、评标</w:t>
      </w:r>
      <w:r>
        <w:rPr>
          <w:rFonts w:ascii="宋体" w:hAnsi="宋体"/>
          <w:b/>
          <w:bCs/>
          <w:color w:val="000000" w:themeColor="text1"/>
          <w:szCs w:val="24"/>
          <w14:textFill>
            <w14:solidFill>
              <w14:schemeClr w14:val="tx1"/>
            </w14:solidFill>
          </w14:textFill>
        </w:rPr>
        <w:t>委员会依据比选文件对参选单位</w:t>
      </w:r>
      <w:r>
        <w:rPr>
          <w:rFonts w:hint="eastAsia" w:ascii="宋体" w:hAnsi="宋体"/>
          <w:b/>
          <w:bCs/>
          <w:color w:val="000000" w:themeColor="text1"/>
          <w:szCs w:val="24"/>
          <w14:textFill>
            <w14:solidFill>
              <w14:schemeClr w14:val="tx1"/>
            </w14:solidFill>
          </w14:textFill>
        </w:rPr>
        <w:t>进行资格审查，</w:t>
      </w:r>
      <w:r>
        <w:rPr>
          <w:rFonts w:ascii="宋体" w:hAnsi="宋体"/>
          <w:b/>
          <w:bCs/>
          <w:color w:val="000000" w:themeColor="text1"/>
          <w:szCs w:val="24"/>
          <w14:textFill>
            <w14:solidFill>
              <w14:schemeClr w14:val="tx1"/>
            </w14:solidFill>
          </w14:textFill>
        </w:rPr>
        <w:t>资格审查合格的参选人</w:t>
      </w:r>
      <w:r>
        <w:rPr>
          <w:rFonts w:hint="eastAsia" w:ascii="宋体" w:hAnsi="宋体"/>
          <w:b/>
          <w:bCs/>
          <w:color w:val="000000" w:themeColor="text1"/>
          <w:szCs w:val="24"/>
          <w14:textFill>
            <w14:solidFill>
              <w14:schemeClr w14:val="tx1"/>
            </w14:solidFill>
          </w14:textFill>
        </w:rPr>
        <w:t>进入</w:t>
      </w:r>
      <w:r>
        <w:rPr>
          <w:rFonts w:ascii="宋体" w:hAnsi="宋体"/>
          <w:b/>
          <w:bCs/>
          <w:color w:val="000000" w:themeColor="text1"/>
          <w:szCs w:val="24"/>
          <w14:textFill>
            <w14:solidFill>
              <w14:schemeClr w14:val="tx1"/>
            </w14:solidFill>
          </w14:textFill>
        </w:rPr>
        <w:t>评标环节</w:t>
      </w: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二、</w:t>
      </w:r>
      <w:r>
        <w:rPr>
          <w:rFonts w:ascii="宋体" w:hAnsi="宋体"/>
          <w:b/>
          <w:bCs/>
          <w:color w:val="000000" w:themeColor="text1"/>
          <w:szCs w:val="24"/>
          <w14:textFill>
            <w14:solidFill>
              <w14:schemeClr w14:val="tx1"/>
            </w14:solidFill>
          </w14:textFill>
        </w:rPr>
        <w:t>评标</w:t>
      </w:r>
    </w:p>
    <w:p>
      <w:pPr>
        <w:spacing w:line="360" w:lineRule="auto"/>
        <w:ind w:firstLine="480" w:firstLineChars="200"/>
        <w:rPr>
          <w:rFonts w:ascii="宋体" w:hAnsi="宋体"/>
          <w:bCs/>
          <w:color w:val="000000" w:themeColor="text1"/>
          <w:szCs w:val="24"/>
          <w14:textFill>
            <w14:solidFill>
              <w14:schemeClr w14:val="tx1"/>
            </w14:solidFill>
          </w14:textFill>
        </w:rPr>
      </w:pPr>
      <w:r>
        <w:rPr>
          <w:rFonts w:ascii="宋体" w:hAnsi="宋体"/>
          <w:bCs/>
          <w:color w:val="000000" w:themeColor="text1"/>
          <w:szCs w:val="24"/>
          <w14:textFill>
            <w14:solidFill>
              <w14:schemeClr w14:val="tx1"/>
            </w14:solidFill>
          </w14:textFill>
        </w:rPr>
        <w:t>评标委员会由比选人组建，采用</w:t>
      </w:r>
      <w:r>
        <w:rPr>
          <w:rFonts w:hint="eastAsia" w:ascii="宋体" w:hAnsi="宋体"/>
          <w:bCs/>
          <w:color w:val="000000" w:themeColor="text1"/>
          <w:szCs w:val="24"/>
          <w14:textFill>
            <w14:solidFill>
              <w14:schemeClr w14:val="tx1"/>
            </w14:solidFill>
          </w14:textFill>
        </w:rPr>
        <w:t>“</w:t>
      </w:r>
      <w:r>
        <w:rPr>
          <w:rFonts w:ascii="宋体" w:hAnsi="宋体"/>
          <w:bCs/>
          <w:color w:val="000000" w:themeColor="text1"/>
          <w:szCs w:val="24"/>
          <w14:textFill>
            <w14:solidFill>
              <w14:schemeClr w14:val="tx1"/>
            </w14:solidFill>
          </w14:textFill>
        </w:rPr>
        <w:t>综合评</w:t>
      </w:r>
      <w:r>
        <w:rPr>
          <w:rFonts w:hint="eastAsia" w:ascii="宋体" w:hAnsi="宋体"/>
          <w:bCs/>
          <w:color w:val="000000" w:themeColor="text1"/>
          <w:szCs w:val="24"/>
          <w14:textFill>
            <w14:solidFill>
              <w14:schemeClr w14:val="tx1"/>
            </w14:solidFill>
          </w14:textFill>
        </w:rPr>
        <w:t>估</w:t>
      </w:r>
      <w:r>
        <w:rPr>
          <w:rFonts w:ascii="宋体" w:hAnsi="宋体"/>
          <w:bCs/>
          <w:color w:val="000000" w:themeColor="text1"/>
          <w:szCs w:val="24"/>
          <w14:textFill>
            <w14:solidFill>
              <w14:schemeClr w14:val="tx1"/>
            </w14:solidFill>
          </w14:textFill>
        </w:rPr>
        <w:t>法</w:t>
      </w:r>
      <w:r>
        <w:rPr>
          <w:rFonts w:hint="eastAsia" w:ascii="宋体" w:hAnsi="宋体"/>
          <w:bCs/>
          <w:color w:val="000000" w:themeColor="text1"/>
          <w:szCs w:val="24"/>
          <w14:textFill>
            <w14:solidFill>
              <w14:schemeClr w14:val="tx1"/>
            </w14:solidFill>
          </w14:textFill>
        </w:rPr>
        <w:t>”，评标分</w:t>
      </w:r>
      <w:r>
        <w:rPr>
          <w:rFonts w:ascii="宋体" w:hAnsi="宋体"/>
          <w:bCs/>
          <w:color w:val="000000" w:themeColor="text1"/>
          <w:szCs w:val="24"/>
          <w14:textFill>
            <w14:solidFill>
              <w14:schemeClr w14:val="tx1"/>
            </w14:solidFill>
          </w14:textFill>
        </w:rPr>
        <w:t>2</w:t>
      </w:r>
      <w:r>
        <w:rPr>
          <w:rFonts w:hint="eastAsia" w:ascii="宋体" w:hAnsi="宋体"/>
          <w:bCs/>
          <w:color w:val="000000" w:themeColor="text1"/>
          <w:szCs w:val="24"/>
          <w14:textFill>
            <w14:solidFill>
              <w14:schemeClr w14:val="tx1"/>
            </w14:solidFill>
          </w14:textFill>
        </w:rPr>
        <w:t>个</w:t>
      </w:r>
      <w:r>
        <w:rPr>
          <w:rFonts w:ascii="宋体" w:hAnsi="宋体"/>
          <w:bCs/>
          <w:color w:val="000000" w:themeColor="text1"/>
          <w:szCs w:val="24"/>
          <w14:textFill>
            <w14:solidFill>
              <w14:schemeClr w14:val="tx1"/>
            </w14:solidFill>
          </w14:textFill>
        </w:rPr>
        <w:t>阶段进行，</w:t>
      </w:r>
      <w:r>
        <w:rPr>
          <w:rFonts w:hint="eastAsia" w:ascii="宋体" w:hAnsi="宋体"/>
          <w:bCs/>
          <w:color w:val="000000" w:themeColor="text1"/>
          <w:szCs w:val="24"/>
          <w14:textFill>
            <w14:solidFill>
              <w14:schemeClr w14:val="tx1"/>
            </w14:solidFill>
          </w14:textFill>
        </w:rPr>
        <w:t>先评技术标，再评商务标，满分为100分，其中：技术标50分，商务标50分。</w:t>
      </w:r>
      <w:r>
        <w:rPr>
          <w:rFonts w:ascii="宋体" w:hAnsi="宋体"/>
          <w:bCs/>
          <w:color w:val="000000" w:themeColor="text1"/>
          <w:szCs w:val="24"/>
          <w14:textFill>
            <w14:solidFill>
              <w14:schemeClr w14:val="tx1"/>
            </w14:solidFill>
          </w14:textFill>
        </w:rPr>
        <w:t>评标方法及评分标准详见附件《评标办法》。</w:t>
      </w: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技术标评审：</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先将所有合格参选文件的技术标书移交至评标委员会</w:t>
      </w:r>
      <w:r>
        <w:rPr>
          <w:rFonts w:hint="eastAsia" w:ascii="宋体" w:hAnsi="宋体"/>
          <w:color w:val="000000" w:themeColor="text1"/>
          <w:szCs w:val="24"/>
          <w14:textFill>
            <w14:solidFill>
              <w14:schemeClr w14:val="tx1"/>
            </w14:solidFill>
          </w14:textFill>
        </w:rPr>
        <w:t>，评标委员会按照评标办法对技术标进行评审（详见评审附表），评审完成后，技术标评审表统一交工作人员，评审分数不得再更改。</w:t>
      </w:r>
      <w:r>
        <w:rPr>
          <w:rFonts w:hint="eastAsia" w:ascii="宋体" w:hAnsi="宋体"/>
          <w:bCs/>
          <w:color w:val="000000" w:themeColor="text1"/>
          <w:szCs w:val="24"/>
          <w14:textFill>
            <w14:solidFill>
              <w14:schemeClr w14:val="tx1"/>
            </w14:solidFill>
          </w14:textFill>
        </w:rPr>
        <w:t>技术标得分前3名的有效参选人方可进入下一阶段商务标的评审</w:t>
      </w:r>
      <w:r>
        <w:rPr>
          <w:rFonts w:hint="eastAsia" w:ascii="宋体" w:hAnsi="宋体"/>
          <w:color w:val="000000" w:themeColor="text1"/>
          <w:szCs w:val="24"/>
          <w14:textFill>
            <w14:solidFill>
              <w14:schemeClr w14:val="tx1"/>
            </w14:solidFill>
          </w14:textFill>
        </w:rPr>
        <w:t>（若出现得分并列导致大于3家的情况，则并列的有效参选人共同进入下一阶段商务标的评审</w:t>
      </w:r>
      <w:r>
        <w:rPr>
          <w:rFonts w:ascii="宋体" w:hAnsi="宋体"/>
          <w:color w:val="000000" w:themeColor="text1"/>
          <w:szCs w:val="24"/>
          <w14:textFill>
            <w14:solidFill>
              <w14:schemeClr w14:val="tx1"/>
            </w14:solidFill>
          </w14:textFill>
        </w:rPr>
        <w:t>）</w:t>
      </w:r>
      <w:r>
        <w:rPr>
          <w:rFonts w:hint="eastAsia" w:ascii="宋体" w:hAnsi="宋体"/>
          <w:bCs/>
          <w:color w:val="000000" w:themeColor="text1"/>
          <w:szCs w:val="24"/>
          <w14:textFill>
            <w14:solidFill>
              <w14:schemeClr w14:val="tx1"/>
            </w14:solidFill>
          </w14:textFill>
        </w:rPr>
        <w:t>。</w:t>
      </w: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商务标评审：</w:t>
      </w:r>
    </w:p>
    <w:p>
      <w:pPr>
        <w:pStyle w:val="22"/>
        <w:tabs>
          <w:tab w:val="left" w:pos="993"/>
        </w:tabs>
        <w:spacing w:line="360" w:lineRule="auto"/>
        <w:ind w:firstLine="424" w:firstLineChars="177"/>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1</w:t>
      </w:r>
      <w:r>
        <w:rPr>
          <w:rFonts w:ascii="宋体" w:hAnsi="宋体"/>
          <w:color w:val="000000" w:themeColor="text1"/>
          <w:szCs w:val="24"/>
          <w14:textFill>
            <w14:solidFill>
              <w14:schemeClr w14:val="tx1"/>
            </w14:solidFill>
          </w14:textFill>
        </w:rPr>
        <w:t>.</w:t>
      </w:r>
      <w:r>
        <w:rPr>
          <w:rFonts w:hint="eastAsia" w:ascii="宋体" w:hAnsi="宋体"/>
          <w:color w:val="000000" w:themeColor="text1"/>
          <w:szCs w:val="24"/>
          <w14:textFill>
            <w14:solidFill>
              <w14:schemeClr w14:val="tx1"/>
            </w14:solidFill>
          </w14:textFill>
        </w:rPr>
        <w:t>技术标评审结束后，将技术标前3名（包括并列前3名）参选人的商务标移交至评标委员会。当出现以下情况，评标委员会将对参选报价进行调整：</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①参选文件中大写金额与小写金额不一致的，以价低的为准；</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②</w:t>
      </w:r>
      <w:r>
        <w:rPr>
          <w:rFonts w:hint="eastAsia" w:ascii="宋体" w:hAnsi="宋体"/>
          <w:color w:val="000000" w:themeColor="text1"/>
          <w:sz w:val="24"/>
          <w:szCs w:val="24"/>
          <w14:textFill>
            <w14:solidFill>
              <w14:schemeClr w14:val="tx1"/>
            </w14:solidFill>
          </w14:textFill>
        </w:rPr>
        <w:t>比选人认为参选人为履行本合同而提供的产品和相关服务的知识产权、版权费等第三者费用、根据法律由乙方支付的税费、保险费、合同文本、研究成果等资料的印刷费等已包含在参选人的参选报价中。</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③其他情况均按照价格审核计算后，以不利于参选人的原则予以调整。</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评标委员会对参选报价进行调整后，按照商务标计算公式，完成商务标分数计算。</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2.汇总技术标得分和商务标得分后，评标委员会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14:textFill>
            <w14:solidFill>
              <w14:schemeClr w14:val="tx1"/>
            </w14:solidFill>
          </w14:textFill>
        </w:rPr>
        <w:t>并形成评标报告。</w:t>
      </w:r>
    </w:p>
    <w:p>
      <w:pPr>
        <w:pStyle w:val="3"/>
        <w:rPr>
          <w:color w:val="000000" w:themeColor="text1"/>
          <w:szCs w:val="44"/>
          <w14:textFill>
            <w14:solidFill>
              <w14:schemeClr w14:val="tx1"/>
            </w14:solidFill>
          </w14:textFill>
        </w:rPr>
      </w:pPr>
      <w:bookmarkStart w:id="92" w:name="_Toc23059"/>
      <w:bookmarkStart w:id="93" w:name="_Toc518494137"/>
      <w:bookmarkStart w:id="94" w:name="_Toc434234592"/>
      <w:bookmarkStart w:id="95" w:name="_Toc97605308"/>
      <w:r>
        <w:rPr>
          <w:color w:val="000000" w:themeColor="text1"/>
          <w:szCs w:val="44"/>
          <w14:textFill>
            <w14:solidFill>
              <w14:schemeClr w14:val="tx1"/>
            </w14:solidFill>
          </w14:textFill>
        </w:rPr>
        <w:t>第</w:t>
      </w:r>
      <w:r>
        <w:rPr>
          <w:rFonts w:hint="eastAsia"/>
          <w:color w:val="000000" w:themeColor="text1"/>
          <w:szCs w:val="44"/>
          <w14:textFill>
            <w14:solidFill>
              <w14:schemeClr w14:val="tx1"/>
            </w14:solidFill>
          </w14:textFill>
        </w:rPr>
        <w:t>九</w:t>
      </w:r>
      <w:r>
        <w:rPr>
          <w:color w:val="000000" w:themeColor="text1"/>
          <w:szCs w:val="44"/>
          <w14:textFill>
            <w14:solidFill>
              <w14:schemeClr w14:val="tx1"/>
            </w14:solidFill>
          </w14:textFill>
        </w:rPr>
        <w:t>章  确定中选人</w:t>
      </w:r>
      <w:bookmarkEnd w:id="92"/>
      <w:bookmarkEnd w:id="93"/>
      <w:bookmarkEnd w:id="94"/>
      <w:bookmarkEnd w:id="95"/>
    </w:p>
    <w:p>
      <w:pPr>
        <w:pStyle w:val="8"/>
        <w:adjustRightInd/>
        <w:snapToGrid w:val="0"/>
        <w:spacing w:line="360" w:lineRule="auto"/>
        <w:ind w:firstLine="480" w:firstLineChars="200"/>
        <w:textAlignment w:val="auto"/>
        <w:rPr>
          <w:rFonts w:hAnsi="宋体"/>
          <w:bCs/>
          <w:color w:val="000000" w:themeColor="text1"/>
          <w:sz w:val="24"/>
          <w:szCs w:val="22"/>
          <w14:textFill>
            <w14:solidFill>
              <w14:schemeClr w14:val="tx1"/>
            </w14:solidFill>
          </w14:textFill>
        </w:rPr>
      </w:pPr>
      <w:r>
        <w:rPr>
          <w:rFonts w:hint="eastAsia" w:hAnsi="宋体"/>
          <w:bCs/>
          <w:color w:val="000000" w:themeColor="text1"/>
          <w:sz w:val="24"/>
          <w14:textFill>
            <w14:solidFill>
              <w14:schemeClr w14:val="tx1"/>
            </w14:solidFill>
          </w14:textFill>
        </w:rPr>
        <w:t>一、</w:t>
      </w:r>
      <w:r>
        <w:rPr>
          <w:rFonts w:hAnsi="宋体"/>
          <w:bCs/>
          <w:color w:val="000000" w:themeColor="text1"/>
          <w:sz w:val="24"/>
          <w14:textFill>
            <w14:solidFill>
              <w14:schemeClr w14:val="tx1"/>
            </w14:solidFill>
          </w14:textFill>
        </w:rPr>
        <w:t>比选人根据评标委员会提出的书面评标报告，在对推荐的中选候选人的参选文件进行审核后，确定中选人。</w:t>
      </w:r>
    </w:p>
    <w:p>
      <w:pPr>
        <w:pStyle w:val="8"/>
        <w:adjustRightInd/>
        <w:snapToGrid w:val="0"/>
        <w:spacing w:line="360" w:lineRule="auto"/>
        <w:ind w:firstLine="480" w:firstLineChars="200"/>
        <w:textAlignment w:val="auto"/>
        <w:rPr>
          <w:rFonts w:hAnsi="宋体"/>
          <w:bCs/>
          <w:color w:val="000000" w:themeColor="text1"/>
          <w:sz w:val="24"/>
          <w14:textFill>
            <w14:solidFill>
              <w14:schemeClr w14:val="tx1"/>
            </w14:solidFill>
          </w14:textFill>
        </w:rPr>
      </w:pPr>
      <w:r>
        <w:rPr>
          <w:rFonts w:hint="eastAsia" w:hAnsi="宋体"/>
          <w:bCs/>
          <w:color w:val="000000" w:themeColor="text1"/>
          <w:sz w:val="24"/>
          <w14:textFill>
            <w14:solidFill>
              <w14:schemeClr w14:val="tx1"/>
            </w14:solidFill>
          </w14:textFill>
        </w:rPr>
        <w:t>二、</w:t>
      </w:r>
      <w:r>
        <w:rPr>
          <w:rFonts w:hAnsi="宋体"/>
          <w:bCs/>
          <w:color w:val="000000" w:themeColor="text1"/>
          <w:sz w:val="24"/>
          <w14:textFill>
            <w14:solidFill>
              <w14:schemeClr w14:val="tx1"/>
            </w14:solidFill>
          </w14:textFill>
        </w:rPr>
        <w:t>比选人在发出中选通知书前的任何时候，有权依据评标委员会的评标报告接受或拒绝任何参选</w:t>
      </w:r>
      <w:r>
        <w:rPr>
          <w:rFonts w:hint="eastAsia" w:hAnsi="宋体"/>
          <w:bCs/>
          <w:color w:val="000000" w:themeColor="text1"/>
          <w:sz w:val="24"/>
          <w14:textFill>
            <w14:solidFill>
              <w14:schemeClr w14:val="tx1"/>
            </w14:solidFill>
          </w14:textFill>
        </w:rPr>
        <w:t>人</w:t>
      </w:r>
      <w:r>
        <w:rPr>
          <w:rFonts w:hAnsi="宋体"/>
          <w:bCs/>
          <w:color w:val="000000" w:themeColor="text1"/>
          <w:sz w:val="24"/>
          <w14:textFill>
            <w14:solidFill>
              <w14:schemeClr w14:val="tx1"/>
            </w14:solidFill>
          </w14:textFill>
        </w:rPr>
        <w:t>，而且比选人不承担因此产生的任何责任，也无须将这样做的理由通知参选人。</w:t>
      </w:r>
    </w:p>
    <w:p>
      <w:pPr>
        <w:spacing w:line="360" w:lineRule="auto"/>
        <w:ind w:firstLine="480" w:firstLineChars="200"/>
        <w:rPr>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三、</w:t>
      </w:r>
      <w:r>
        <w:rPr>
          <w:rFonts w:hAnsi="宋体"/>
          <w:bCs/>
          <w:color w:val="000000" w:themeColor="text1"/>
          <w14:textFill>
            <w14:solidFill>
              <w14:schemeClr w14:val="tx1"/>
            </w14:solidFill>
          </w14:textFill>
        </w:rPr>
        <w:t>在参选有效期内，比选人将中选结果在</w:t>
      </w:r>
      <w:r>
        <w:rPr>
          <w:rFonts w:hint="eastAsia" w:hAnsi="宋体"/>
          <w:bCs/>
          <w:color w:val="000000" w:themeColor="text1"/>
          <w14:textFill>
            <w14:solidFill>
              <w14:schemeClr w14:val="tx1"/>
            </w14:solidFill>
          </w14:textFill>
        </w:rPr>
        <w:t>“地铁公司外网”、“国资委阳光采购平台”、</w:t>
      </w:r>
      <w:r>
        <w:rPr>
          <w:rFonts w:hint="eastAsia" w:ascii="宋体" w:hAnsi="宋体"/>
          <w:color w:val="000000" w:themeColor="text1"/>
          <w:szCs w:val="24"/>
          <w14:textFill>
            <w14:solidFill>
              <w14:schemeClr w14:val="tx1"/>
            </w14:solidFill>
          </w14:textFill>
        </w:rPr>
        <w:t>“深铁招采网”</w:t>
      </w:r>
      <w:r>
        <w:rPr>
          <w:rFonts w:hAnsi="宋体"/>
          <w:bCs/>
          <w:color w:val="000000" w:themeColor="text1"/>
          <w14:textFill>
            <w14:solidFill>
              <w14:schemeClr w14:val="tx1"/>
            </w14:solidFill>
          </w14:textFill>
        </w:rPr>
        <w:t>公示，</w:t>
      </w:r>
      <w:r>
        <w:rPr>
          <w:rFonts w:hint="eastAsia" w:hAnsi="宋体"/>
          <w:bCs/>
          <w:color w:val="000000" w:themeColor="text1"/>
          <w14:textFill>
            <w14:solidFill>
              <w14:schemeClr w14:val="tx1"/>
            </w14:solidFill>
          </w14:textFill>
        </w:rPr>
        <w:t>公示</w:t>
      </w:r>
      <w:r>
        <w:rPr>
          <w:rFonts w:hAnsi="宋体"/>
          <w:b/>
          <w:bCs/>
          <w:color w:val="000000" w:themeColor="text1"/>
          <w:u w:val="single"/>
          <w14:textFill>
            <w14:solidFill>
              <w14:schemeClr w14:val="tx1"/>
            </w14:solidFill>
          </w14:textFill>
        </w:rPr>
        <w:t>3个工作日</w:t>
      </w:r>
      <w:r>
        <w:rPr>
          <w:rFonts w:hAnsi="宋体"/>
          <w:bCs/>
          <w:color w:val="000000" w:themeColor="text1"/>
          <w14:textFill>
            <w14:solidFill>
              <w14:schemeClr w14:val="tx1"/>
            </w14:solidFill>
          </w14:textFill>
        </w:rPr>
        <w:t>无异议的，比选人将向中选</w:t>
      </w:r>
      <w:r>
        <w:rPr>
          <w:rFonts w:hint="eastAsia" w:hAnsi="宋体"/>
          <w:bCs/>
          <w:color w:val="000000" w:themeColor="text1"/>
          <w14:textFill>
            <w14:solidFill>
              <w14:schemeClr w14:val="tx1"/>
            </w14:solidFill>
          </w14:textFill>
        </w:rPr>
        <w:t>候选</w:t>
      </w:r>
      <w:r>
        <w:rPr>
          <w:rFonts w:hAnsi="宋体"/>
          <w:bCs/>
          <w:color w:val="000000" w:themeColor="text1"/>
          <w14:textFill>
            <w14:solidFill>
              <w14:schemeClr w14:val="tx1"/>
            </w14:solidFill>
          </w14:textFill>
        </w:rPr>
        <w:t>人发出中选通知书。</w:t>
      </w:r>
    </w:p>
    <w:p>
      <w:pPr>
        <w:pStyle w:val="3"/>
        <w:rPr>
          <w:color w:val="000000" w:themeColor="text1"/>
          <w:szCs w:val="44"/>
          <w14:textFill>
            <w14:solidFill>
              <w14:schemeClr w14:val="tx1"/>
            </w14:solidFill>
          </w14:textFill>
        </w:rPr>
      </w:pPr>
      <w:bookmarkStart w:id="96" w:name="_Toc18754"/>
      <w:bookmarkStart w:id="97" w:name="_Toc518494138"/>
      <w:bookmarkStart w:id="98" w:name="_Toc97605309"/>
      <w:r>
        <w:rPr>
          <w:rFonts w:hint="eastAsia"/>
          <w:color w:val="000000" w:themeColor="text1"/>
          <w:szCs w:val="44"/>
          <w14:textFill>
            <w14:solidFill>
              <w14:schemeClr w14:val="tx1"/>
            </w14:solidFill>
          </w14:textFill>
        </w:rPr>
        <w:t>第十章  合同的授予</w:t>
      </w:r>
      <w:bookmarkEnd w:id="96"/>
      <w:bookmarkEnd w:id="97"/>
      <w:bookmarkEnd w:id="98"/>
    </w:p>
    <w:p>
      <w:pPr>
        <w:pStyle w:val="7"/>
        <w:tabs>
          <w:tab w:val="left" w:pos="1050"/>
        </w:tabs>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w:t>
      </w:r>
      <w:r>
        <w:rPr>
          <w:rFonts w:ascii="宋体" w:hAnsi="宋体"/>
          <w:color w:val="000000" w:themeColor="text1"/>
          <w:sz w:val="24"/>
          <w14:textFill>
            <w14:solidFill>
              <w14:schemeClr w14:val="tx1"/>
            </w14:solidFill>
          </w14:textFill>
        </w:rPr>
        <w:t>比选人与中选人将于中选通知书发出之日起</w:t>
      </w:r>
      <w:r>
        <w:rPr>
          <w:rFonts w:ascii="宋体" w:hAnsi="宋体"/>
          <w:b/>
          <w:bCs/>
          <w:color w:val="000000" w:themeColor="text1"/>
          <w:sz w:val="24"/>
          <w:u w:val="single"/>
          <w14:textFill>
            <w14:solidFill>
              <w14:schemeClr w14:val="tx1"/>
            </w14:solidFill>
          </w14:textFill>
        </w:rPr>
        <w:t>30</w:t>
      </w:r>
      <w:r>
        <w:rPr>
          <w:rFonts w:hint="eastAsia" w:ascii="宋体" w:hAnsi="宋体"/>
          <w:b/>
          <w:bCs/>
          <w:color w:val="000000" w:themeColor="text1"/>
          <w:sz w:val="24"/>
          <w:u w:val="single"/>
          <w14:textFill>
            <w14:solidFill>
              <w14:schemeClr w14:val="tx1"/>
            </w14:solidFill>
          </w14:textFill>
        </w:rPr>
        <w:t>天</w:t>
      </w:r>
      <w:r>
        <w:rPr>
          <w:rFonts w:ascii="宋体" w:hAnsi="宋体"/>
          <w:color w:val="000000" w:themeColor="text1"/>
          <w:sz w:val="24"/>
          <w14:textFill>
            <w14:solidFill>
              <w14:schemeClr w14:val="tx1"/>
            </w14:solidFill>
          </w14:textFill>
        </w:rPr>
        <w:t>内，根据比选文件和中选人的参选文件签订合同</w:t>
      </w:r>
      <w:r>
        <w:rPr>
          <w:rFonts w:hint="eastAsia" w:ascii="宋体" w:hAnsi="宋体"/>
          <w:color w:val="000000" w:themeColor="text1"/>
          <w:sz w:val="24"/>
          <w14:textFill>
            <w14:solidFill>
              <w14:schemeClr w14:val="tx1"/>
            </w14:solidFill>
          </w14:textFill>
        </w:rPr>
        <w:t>。</w:t>
      </w:r>
    </w:p>
    <w:p>
      <w:pPr>
        <w:pStyle w:val="7"/>
        <w:tabs>
          <w:tab w:val="left" w:pos="1050"/>
        </w:tabs>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w:t>
      </w:r>
      <w:r>
        <w:rPr>
          <w:rFonts w:ascii="宋体" w:hAnsi="宋体"/>
          <w:color w:val="000000" w:themeColor="text1"/>
          <w:sz w:val="24"/>
          <w14:textFill>
            <w14:solidFill>
              <w14:schemeClr w14:val="tx1"/>
            </w14:solidFill>
          </w14:textFill>
        </w:rPr>
        <w:t>比选人与中选人签订的合同必须遵守本比选文件的合同条件，并且对合同条款不做实质性更改</w:t>
      </w:r>
      <w:r>
        <w:rPr>
          <w:rFonts w:hint="eastAsia" w:ascii="宋体" w:hAnsi="宋体"/>
          <w:color w:val="000000" w:themeColor="text1"/>
          <w:sz w:val="24"/>
          <w14:textFill>
            <w14:solidFill>
              <w14:schemeClr w14:val="tx1"/>
            </w14:solidFill>
          </w14:textFill>
        </w:rPr>
        <w:t>。</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w:t>
      </w:r>
      <w:r>
        <w:rPr>
          <w:rFonts w:ascii="宋体" w:hAnsi="宋体"/>
          <w:color w:val="000000" w:themeColor="text1"/>
          <w14:textFill>
            <w14:solidFill>
              <w14:schemeClr w14:val="tx1"/>
            </w14:solidFill>
          </w14:textFill>
        </w:rPr>
        <w:t>中选人如不按规定与比选人签订合同，则比选人将有充分的理由废除中选，保留要求</w:t>
      </w:r>
      <w:r>
        <w:rPr>
          <w:rFonts w:hint="eastAsia" w:ascii="宋体" w:hAnsi="宋体"/>
          <w:color w:val="000000" w:themeColor="text1"/>
          <w14:textFill>
            <w14:solidFill>
              <w14:schemeClr w14:val="tx1"/>
            </w14:solidFill>
          </w14:textFill>
        </w:rPr>
        <w:t>中选人</w:t>
      </w:r>
      <w:r>
        <w:rPr>
          <w:rFonts w:ascii="宋体" w:hAnsi="宋体"/>
          <w:color w:val="000000" w:themeColor="text1"/>
          <w14:textFill>
            <w14:solidFill>
              <w14:schemeClr w14:val="tx1"/>
            </w14:solidFill>
          </w14:textFill>
        </w:rPr>
        <w:t>赔偿损失、承担相应法律责任的权力。</w:t>
      </w:r>
      <w:r>
        <w:rPr>
          <w:rFonts w:hint="eastAsia" w:ascii="宋体" w:hAnsi="宋体"/>
          <w:color w:val="000000" w:themeColor="text1"/>
          <w14:textFill>
            <w14:solidFill>
              <w14:schemeClr w14:val="tx1"/>
            </w14:solidFill>
          </w14:textFill>
        </w:rPr>
        <w:t>比选人可以</w:t>
      </w:r>
      <w:r>
        <w:rPr>
          <w:rFonts w:ascii="宋体" w:hAnsi="宋体"/>
          <w:color w:val="000000" w:themeColor="text1"/>
          <w14:textFill>
            <w14:solidFill>
              <w14:schemeClr w14:val="tx1"/>
            </w14:solidFill>
          </w14:textFill>
        </w:rPr>
        <w:t>按</w:t>
      </w:r>
      <w:r>
        <w:rPr>
          <w:rFonts w:hint="eastAsia" w:ascii="宋体" w:hAnsi="宋体"/>
          <w:color w:val="000000" w:themeColor="text1"/>
          <w14:textFill>
            <w14:solidFill>
              <w14:schemeClr w14:val="tx1"/>
            </w14:solidFill>
          </w14:textFill>
        </w:rPr>
        <w:t>比选</w:t>
      </w:r>
      <w:r>
        <w:rPr>
          <w:rFonts w:ascii="宋体" w:hAnsi="宋体"/>
          <w:color w:val="000000" w:themeColor="text1"/>
          <w14:textFill>
            <w14:solidFill>
              <w14:schemeClr w14:val="tx1"/>
            </w14:solidFill>
          </w14:textFill>
        </w:rPr>
        <w:t>工作小组提出的中选候选人名单</w:t>
      </w:r>
      <w:r>
        <w:rPr>
          <w:rFonts w:hint="eastAsia" w:ascii="宋体" w:hAnsi="宋体"/>
          <w:color w:val="000000" w:themeColor="text1"/>
          <w14:textFill>
            <w14:solidFill>
              <w14:schemeClr w14:val="tx1"/>
            </w14:solidFill>
          </w14:textFill>
        </w:rPr>
        <w:t>得分</w:t>
      </w:r>
      <w:r>
        <w:rPr>
          <w:rFonts w:ascii="宋体" w:hAnsi="宋体"/>
          <w:color w:val="000000" w:themeColor="text1"/>
          <w14:textFill>
            <w14:solidFill>
              <w14:schemeClr w14:val="tx1"/>
            </w14:solidFill>
          </w14:textFill>
        </w:rPr>
        <w:t>排</w:t>
      </w:r>
      <w:r>
        <w:rPr>
          <w:rFonts w:hint="eastAsia" w:ascii="宋体" w:hAnsi="宋体"/>
          <w:color w:val="000000" w:themeColor="text1"/>
          <w14:textFill>
            <w14:solidFill>
              <w14:schemeClr w14:val="tx1"/>
            </w14:solidFill>
          </w14:textFill>
        </w:rPr>
        <w:t>名，依次重新</w:t>
      </w:r>
      <w:r>
        <w:rPr>
          <w:rFonts w:ascii="宋体" w:hAnsi="宋体"/>
          <w:color w:val="000000" w:themeColor="text1"/>
          <w14:textFill>
            <w14:solidFill>
              <w14:schemeClr w14:val="tx1"/>
            </w14:solidFill>
          </w14:textFill>
        </w:rPr>
        <w:t>确定中选人</w:t>
      </w:r>
      <w:r>
        <w:rPr>
          <w:rFonts w:hint="eastAsia" w:ascii="宋体" w:hAnsi="宋体"/>
          <w:color w:val="000000" w:themeColor="text1"/>
          <w14:textFill>
            <w14:solidFill>
              <w14:schemeClr w14:val="tx1"/>
            </w14:solidFill>
          </w14:textFill>
        </w:rPr>
        <w:t>候选人</w:t>
      </w:r>
      <w:r>
        <w:rPr>
          <w:rFonts w:ascii="宋体" w:hAnsi="宋体"/>
          <w:color w:val="000000" w:themeColor="text1"/>
          <w14:textFill>
            <w14:solidFill>
              <w14:schemeClr w14:val="tx1"/>
            </w14:solidFill>
          </w14:textFill>
        </w:rPr>
        <w:t>。依次</w:t>
      </w:r>
      <w:r>
        <w:rPr>
          <w:rFonts w:hint="eastAsia" w:ascii="宋体" w:hAnsi="宋体"/>
          <w:color w:val="000000" w:themeColor="text1"/>
          <w14:textFill>
            <w14:solidFill>
              <w14:schemeClr w14:val="tx1"/>
            </w14:solidFill>
          </w14:textFill>
        </w:rPr>
        <w:t>确定</w:t>
      </w:r>
      <w:r>
        <w:rPr>
          <w:rFonts w:ascii="宋体" w:hAnsi="宋体"/>
          <w:color w:val="000000" w:themeColor="text1"/>
          <w14:textFill>
            <w14:solidFill>
              <w14:schemeClr w14:val="tx1"/>
            </w14:solidFill>
          </w14:textFill>
        </w:rPr>
        <w:t>其他中选候选人与比选人</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预期</w:t>
      </w:r>
      <w:r>
        <w:rPr>
          <w:rFonts w:hint="eastAsia" w:ascii="宋体" w:hAnsi="宋体"/>
          <w:color w:val="000000" w:themeColor="text1"/>
          <w14:textFill>
            <w14:solidFill>
              <w14:schemeClr w14:val="tx1"/>
            </w14:solidFill>
          </w14:textFill>
        </w:rPr>
        <w:t>差距</w:t>
      </w:r>
      <w:r>
        <w:rPr>
          <w:rFonts w:ascii="宋体" w:hAnsi="宋体"/>
          <w:color w:val="000000" w:themeColor="text1"/>
          <w14:textFill>
            <w14:solidFill>
              <w14:schemeClr w14:val="tx1"/>
            </w14:solidFill>
          </w14:textFill>
        </w:rPr>
        <w:t>较大</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，或者对比选人明显不利的，比选人可以重新比选</w:t>
      </w:r>
      <w:r>
        <w:rPr>
          <w:rFonts w:hint="eastAsia" w:ascii="宋体" w:hAnsi="宋体"/>
          <w:color w:val="000000" w:themeColor="text1"/>
          <w14:textFill>
            <w14:solidFill>
              <w14:schemeClr w14:val="tx1"/>
            </w14:solidFill>
          </w14:textFill>
        </w:rPr>
        <w:t>。</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四、本项目根据具体服务时间签订合同。《轨道交通四期综合开发项目（四）土壤环境初步调查合同》的签约主体为深圳市地铁集团有限公司。</w:t>
      </w:r>
    </w:p>
    <w:p>
      <w:pPr>
        <w:pStyle w:val="4"/>
        <w:spacing w:line="560" w:lineRule="exact"/>
        <w:rPr>
          <w:rFonts w:ascii="宋体" w:hAnsi="宋体" w:eastAsia="宋体"/>
          <w:color w:val="000000" w:themeColor="text1"/>
          <w14:textFill>
            <w14:solidFill>
              <w14:schemeClr w14:val="tx1"/>
            </w14:solidFill>
          </w14:textFill>
        </w:rPr>
      </w:pPr>
      <w:r>
        <w:rPr>
          <w:rFonts w:ascii="宋体" w:hAnsi="宋体" w:eastAsia="宋体"/>
          <w:bCs/>
          <w:color w:val="000000" w:themeColor="text1"/>
          <w14:textFill>
            <w14:solidFill>
              <w14:schemeClr w14:val="tx1"/>
            </w14:solidFill>
          </w14:textFill>
        </w:rPr>
        <w:br w:type="page"/>
      </w:r>
      <w:bookmarkStart w:id="99" w:name="_Toc399494429"/>
      <w:bookmarkStart w:id="100" w:name="_Toc518494139"/>
      <w:bookmarkStart w:id="101" w:name="_Toc26749"/>
      <w:r>
        <w:rPr>
          <w:rFonts w:hint="eastAsia" w:ascii="宋体" w:hAnsi="宋体" w:eastAsia="宋体"/>
          <w:b/>
          <w:bCs/>
          <w:color w:val="000000" w:themeColor="text1"/>
          <w14:textFill>
            <w14:solidFill>
              <w14:schemeClr w14:val="tx1"/>
            </w14:solidFill>
          </w14:textFill>
        </w:rPr>
        <w:t>附件：评标</w:t>
      </w:r>
      <w:bookmarkEnd w:id="99"/>
      <w:r>
        <w:rPr>
          <w:rFonts w:hint="eastAsia" w:ascii="宋体" w:hAnsi="宋体" w:eastAsia="宋体"/>
          <w:b/>
          <w:bCs/>
          <w:color w:val="000000" w:themeColor="text1"/>
          <w14:textFill>
            <w14:solidFill>
              <w14:schemeClr w14:val="tx1"/>
            </w14:solidFill>
          </w14:textFill>
        </w:rPr>
        <w:t>办法</w:t>
      </w:r>
      <w:bookmarkEnd w:id="100"/>
      <w:bookmarkEnd w:id="101"/>
    </w:p>
    <w:p>
      <w:pPr>
        <w:spacing w:line="360" w:lineRule="auto"/>
        <w:rPr>
          <w:rFonts w:ascii="宋体" w:hAnsi="宋体"/>
          <w:b/>
          <w:bCs/>
          <w:color w:val="000000" w:themeColor="text1"/>
          <w:szCs w:val="24"/>
          <w14:textFill>
            <w14:solidFill>
              <w14:schemeClr w14:val="tx1"/>
            </w14:solidFill>
          </w14:textFill>
        </w:rPr>
      </w:pPr>
      <w:bookmarkStart w:id="102" w:name="_Toc16356"/>
      <w:bookmarkStart w:id="103" w:name="_Toc518494140"/>
      <w:bookmarkStart w:id="104" w:name="_Toc276575939"/>
      <w:r>
        <w:rPr>
          <w:rFonts w:hint="eastAsia" w:ascii="宋体" w:hAnsi="宋体"/>
          <w:b/>
          <w:bCs/>
          <w:color w:val="000000" w:themeColor="text1"/>
          <w:szCs w:val="24"/>
          <w14:textFill>
            <w14:solidFill>
              <w14:schemeClr w14:val="tx1"/>
            </w14:solidFill>
          </w14:textFill>
        </w:rPr>
        <w:t>一、总则</w:t>
      </w:r>
      <w:bookmarkEnd w:id="102"/>
      <w:bookmarkEnd w:id="103"/>
      <w:bookmarkEnd w:id="104"/>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spacing w:line="360" w:lineRule="auto"/>
        <w:rPr>
          <w:rFonts w:ascii="宋体" w:hAnsi="宋体"/>
          <w:b/>
          <w:bCs/>
          <w:color w:val="000000" w:themeColor="text1"/>
          <w:szCs w:val="24"/>
          <w14:textFill>
            <w14:solidFill>
              <w14:schemeClr w14:val="tx1"/>
            </w14:solidFill>
          </w14:textFill>
        </w:rPr>
      </w:pPr>
      <w:bookmarkStart w:id="105" w:name="_Toc26650"/>
      <w:bookmarkStart w:id="106" w:name="_Toc518494141"/>
      <w:r>
        <w:rPr>
          <w:rFonts w:hint="eastAsia" w:ascii="宋体" w:hAnsi="宋体"/>
          <w:b/>
          <w:bCs/>
          <w:color w:val="000000" w:themeColor="text1"/>
          <w:szCs w:val="24"/>
          <w14:textFill>
            <w14:solidFill>
              <w14:schemeClr w14:val="tx1"/>
            </w14:solidFill>
          </w14:textFill>
        </w:rPr>
        <w:t>二、评定标组织</w:t>
      </w:r>
      <w:bookmarkEnd w:id="105"/>
      <w:bookmarkEnd w:id="106"/>
    </w:p>
    <w:p>
      <w:pPr>
        <w:tabs>
          <w:tab w:val="left" w:pos="420"/>
        </w:tabs>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（一）评标委员会组成</w:t>
      </w:r>
    </w:p>
    <w:p>
      <w:pPr>
        <w:spacing w:line="360" w:lineRule="auto"/>
        <w:ind w:firstLine="480" w:firstLineChars="200"/>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由比选人在开标前成立评</w:t>
      </w:r>
      <w:r>
        <w:rPr>
          <w:rFonts w:hint="eastAsia" w:ascii="宋体" w:hAnsi="宋体"/>
          <w:color w:val="000000" w:themeColor="text1"/>
          <w:szCs w:val="24"/>
          <w14:textFill>
            <w14:solidFill>
              <w14:schemeClr w14:val="tx1"/>
            </w14:solidFill>
          </w14:textFill>
        </w:rPr>
        <w:t>标</w:t>
      </w:r>
      <w:r>
        <w:rPr>
          <w:rFonts w:ascii="宋体" w:hAnsi="宋体"/>
          <w:color w:val="000000" w:themeColor="text1"/>
          <w:szCs w:val="24"/>
          <w14:textFill>
            <w14:solidFill>
              <w14:schemeClr w14:val="tx1"/>
            </w14:solidFill>
          </w14:textFill>
        </w:rPr>
        <w:t>委员会。</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（二）评标委员会职责</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（三）评标过程由比选人派出监督专员负责监督比选、评标全过程。</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（四）评标过程的会务工作由本次比选工作小组成员负责。</w:t>
      </w:r>
    </w:p>
    <w:p>
      <w:pPr>
        <w:spacing w:line="360" w:lineRule="auto"/>
        <w:rPr>
          <w:rFonts w:ascii="宋体" w:hAnsi="宋体"/>
          <w:b/>
          <w:bCs/>
          <w:color w:val="000000" w:themeColor="text1"/>
          <w:szCs w:val="24"/>
          <w14:textFill>
            <w14:solidFill>
              <w14:schemeClr w14:val="tx1"/>
            </w14:solidFill>
          </w14:textFill>
        </w:rPr>
      </w:pPr>
      <w:bookmarkStart w:id="107" w:name="_Toc518494142"/>
      <w:bookmarkStart w:id="108" w:name="_Toc15148"/>
      <w:r>
        <w:rPr>
          <w:rFonts w:hint="eastAsia" w:ascii="宋体" w:hAnsi="宋体"/>
          <w:b/>
          <w:bCs/>
          <w:color w:val="000000" w:themeColor="text1"/>
          <w:szCs w:val="24"/>
          <w14:textFill>
            <w14:solidFill>
              <w14:schemeClr w14:val="tx1"/>
            </w14:solidFill>
          </w14:textFill>
        </w:rPr>
        <w:t>三、评标方法与程序</w:t>
      </w:r>
      <w:bookmarkEnd w:id="107"/>
      <w:bookmarkEnd w:id="108"/>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（一）本次评标采用“综合评分法”</w:t>
      </w:r>
      <w:r>
        <w:rPr>
          <w:rFonts w:hint="eastAsia" w:ascii="宋体" w:hAnsi="宋体"/>
          <w:bCs/>
          <w:color w:val="000000" w:themeColor="text1"/>
          <w:szCs w:val="24"/>
          <w14:textFill>
            <w14:solidFill>
              <w14:schemeClr w14:val="tx1"/>
            </w14:solidFill>
          </w14:textFill>
        </w:rPr>
        <w:t>，先评技术标，再评商务标，满分为100分，其中：技术标50分，商务标50分。</w:t>
      </w:r>
      <w:r>
        <w:rPr>
          <w:rFonts w:hint="eastAsia" w:ascii="宋体" w:hAnsi="宋体"/>
          <w:color w:val="000000" w:themeColor="text1"/>
          <w14:textFill>
            <w14:solidFill>
              <w14:schemeClr w14:val="tx1"/>
            </w14:solidFill>
          </w14:textFill>
        </w:rPr>
        <w:t>评标委员会先</w:t>
      </w:r>
      <w:r>
        <w:rPr>
          <w:rFonts w:ascii="宋体" w:hAnsi="宋体"/>
          <w:b/>
          <w:color w:val="000000" w:themeColor="text1"/>
          <w:szCs w:val="24"/>
          <w14:textFill>
            <w14:solidFill>
              <w14:schemeClr w14:val="tx1"/>
            </w14:solidFill>
          </w14:textFill>
        </w:rPr>
        <w:t>按照技术</w:t>
      </w:r>
      <w:r>
        <w:rPr>
          <w:rFonts w:hint="eastAsia" w:ascii="宋体" w:hAnsi="宋体"/>
          <w:b/>
          <w:color w:val="000000" w:themeColor="text1"/>
          <w:szCs w:val="24"/>
          <w14:textFill>
            <w14:solidFill>
              <w14:schemeClr w14:val="tx1"/>
            </w14:solidFill>
          </w14:textFill>
        </w:rPr>
        <w:t>标</w:t>
      </w:r>
      <w:r>
        <w:rPr>
          <w:rFonts w:ascii="宋体" w:hAnsi="宋体"/>
          <w:b/>
          <w:color w:val="000000" w:themeColor="text1"/>
          <w:szCs w:val="24"/>
          <w14:textFill>
            <w14:solidFill>
              <w14:schemeClr w14:val="tx1"/>
            </w14:solidFill>
          </w14:textFill>
        </w:rPr>
        <w:t>评分标准</w:t>
      </w:r>
      <w:r>
        <w:rPr>
          <w:rFonts w:hint="eastAsia" w:ascii="宋体" w:hAnsi="宋体"/>
          <w:b/>
          <w:color w:val="000000" w:themeColor="text1"/>
          <w:szCs w:val="24"/>
          <w14:textFill>
            <w14:solidFill>
              <w14:schemeClr w14:val="tx1"/>
            </w14:solidFill>
          </w14:textFill>
        </w:rPr>
        <w:t>对合格参选人技术文件</w:t>
      </w:r>
      <w:r>
        <w:rPr>
          <w:rFonts w:ascii="宋体" w:hAnsi="宋体"/>
          <w:b/>
          <w:color w:val="000000" w:themeColor="text1"/>
          <w:szCs w:val="24"/>
          <w14:textFill>
            <w14:solidFill>
              <w14:schemeClr w14:val="tx1"/>
            </w14:solidFill>
          </w14:textFill>
        </w:rPr>
        <w:t>进行打分</w:t>
      </w:r>
      <w:r>
        <w:rPr>
          <w:rFonts w:hint="eastAsia" w:ascii="宋体" w:hAnsi="宋体"/>
          <w:b/>
          <w:color w:val="000000" w:themeColor="text1"/>
          <w:szCs w:val="24"/>
          <w14:textFill>
            <w14:solidFill>
              <w14:schemeClr w14:val="tx1"/>
            </w14:solidFill>
          </w14:textFill>
        </w:rPr>
        <w:t>，各评委评分的算术平均值为该参选人技术标得分；技术标得分</w:t>
      </w:r>
      <w:r>
        <w:rPr>
          <w:rFonts w:ascii="宋体" w:hAnsi="宋体"/>
          <w:b/>
          <w:color w:val="000000" w:themeColor="text1"/>
          <w:szCs w:val="24"/>
          <w14:textFill>
            <w14:solidFill>
              <w14:schemeClr w14:val="tx1"/>
            </w14:solidFill>
          </w14:textFill>
        </w:rPr>
        <w:t>分数</w:t>
      </w:r>
      <w:r>
        <w:rPr>
          <w:rFonts w:hint="eastAsia" w:ascii="宋体" w:hAnsi="宋体"/>
          <w:b/>
          <w:color w:val="000000" w:themeColor="text1"/>
          <w:szCs w:val="24"/>
          <w14:textFill>
            <w14:solidFill>
              <w14:schemeClr w14:val="tx1"/>
            </w14:solidFill>
          </w14:textFill>
        </w:rPr>
        <w:t>前</w:t>
      </w:r>
      <w:r>
        <w:rPr>
          <w:rFonts w:ascii="宋体" w:hAnsi="宋体"/>
          <w:b/>
          <w:color w:val="000000" w:themeColor="text1"/>
          <w:szCs w:val="24"/>
          <w14:textFill>
            <w14:solidFill>
              <w14:schemeClr w14:val="tx1"/>
            </w14:solidFill>
          </w14:textFill>
        </w:rPr>
        <w:t>3的有效参选人方可进入</w:t>
      </w:r>
      <w:r>
        <w:rPr>
          <w:rFonts w:hint="eastAsia" w:ascii="宋体" w:hAnsi="宋体"/>
          <w:b/>
          <w:color w:val="000000" w:themeColor="text1"/>
          <w:szCs w:val="24"/>
          <w14:textFill>
            <w14:solidFill>
              <w14:schemeClr w14:val="tx1"/>
            </w14:solidFill>
          </w14:textFill>
        </w:rPr>
        <w:t>下一阶段</w:t>
      </w:r>
      <w:r>
        <w:rPr>
          <w:rFonts w:ascii="宋体" w:hAnsi="宋体"/>
          <w:b/>
          <w:color w:val="000000" w:themeColor="text1"/>
          <w:szCs w:val="24"/>
          <w14:textFill>
            <w14:solidFill>
              <w14:schemeClr w14:val="tx1"/>
            </w14:solidFill>
          </w14:textFill>
        </w:rPr>
        <w:t>商务标</w:t>
      </w:r>
      <w:r>
        <w:rPr>
          <w:rFonts w:hint="eastAsia" w:ascii="宋体" w:hAnsi="宋体"/>
          <w:b/>
          <w:color w:val="000000" w:themeColor="text1"/>
          <w:szCs w:val="24"/>
          <w14:textFill>
            <w14:solidFill>
              <w14:schemeClr w14:val="tx1"/>
            </w14:solidFill>
          </w14:textFill>
        </w:rPr>
        <w:t>的</w:t>
      </w:r>
      <w:r>
        <w:rPr>
          <w:rFonts w:ascii="宋体" w:hAnsi="宋体"/>
          <w:b/>
          <w:color w:val="000000" w:themeColor="text1"/>
          <w:szCs w:val="24"/>
          <w14:textFill>
            <w14:solidFill>
              <w14:schemeClr w14:val="tx1"/>
            </w14:solidFill>
          </w14:textFill>
        </w:rPr>
        <w:t>评审</w:t>
      </w:r>
      <w:r>
        <w:rPr>
          <w:rFonts w:hint="eastAsia" w:ascii="宋体" w:hAnsi="宋体"/>
          <w:color w:val="000000" w:themeColor="text1"/>
          <w:szCs w:val="24"/>
          <w14:textFill>
            <w14:solidFill>
              <w14:schemeClr w14:val="tx1"/>
            </w14:solidFill>
          </w14:textFill>
        </w:rPr>
        <w:t>（若出现得分并列导致大于3家的情况，则并列的有效参选人共同进入下一阶段商务标的评审）</w:t>
      </w:r>
      <w:r>
        <w:rPr>
          <w:rFonts w:ascii="宋体" w:hAnsi="宋体"/>
          <w:b/>
          <w:color w:val="000000" w:themeColor="text1"/>
          <w:szCs w:val="24"/>
          <w14:textFill>
            <w14:solidFill>
              <w14:schemeClr w14:val="tx1"/>
            </w14:solidFill>
          </w14:textFill>
        </w:rPr>
        <w:t>。</w:t>
      </w:r>
      <w:r>
        <w:rPr>
          <w:rFonts w:hint="eastAsia" w:ascii="宋体" w:hAnsi="宋体"/>
          <w:color w:val="000000" w:themeColor="text1"/>
          <w:szCs w:val="24"/>
          <w14:textFill>
            <w14:solidFill>
              <w14:schemeClr w14:val="tx1"/>
            </w14:solidFill>
          </w14:textFill>
        </w:rPr>
        <w:t>然后各</w:t>
      </w:r>
      <w:r>
        <w:rPr>
          <w:rFonts w:hint="eastAsia" w:ascii="宋体" w:hAnsi="宋体"/>
          <w:color w:val="000000" w:themeColor="text1"/>
          <w14:textFill>
            <w14:solidFill>
              <w14:schemeClr w14:val="tx1"/>
            </w14:solidFill>
          </w14:textFill>
        </w:rPr>
        <w:t>评标委员会再</w:t>
      </w:r>
      <w:r>
        <w:rPr>
          <w:rFonts w:ascii="宋体" w:hAnsi="宋体"/>
          <w:b/>
          <w:color w:val="000000" w:themeColor="text1"/>
          <w:szCs w:val="24"/>
          <w14:textFill>
            <w14:solidFill>
              <w14:schemeClr w14:val="tx1"/>
            </w14:solidFill>
          </w14:textFill>
        </w:rPr>
        <w:t>按照</w:t>
      </w:r>
      <w:r>
        <w:rPr>
          <w:rFonts w:hint="eastAsia" w:ascii="宋体" w:hAnsi="宋体"/>
          <w:b/>
          <w:color w:val="000000" w:themeColor="text1"/>
          <w:szCs w:val="24"/>
          <w14:textFill>
            <w14:solidFill>
              <w14:schemeClr w14:val="tx1"/>
            </w14:solidFill>
          </w14:textFill>
        </w:rPr>
        <w:t>商务标</w:t>
      </w:r>
      <w:r>
        <w:rPr>
          <w:rFonts w:ascii="宋体" w:hAnsi="宋体"/>
          <w:b/>
          <w:color w:val="000000" w:themeColor="text1"/>
          <w:szCs w:val="24"/>
          <w14:textFill>
            <w14:solidFill>
              <w14:schemeClr w14:val="tx1"/>
            </w14:solidFill>
          </w14:textFill>
        </w:rPr>
        <w:t>计算公式</w:t>
      </w:r>
      <w:r>
        <w:rPr>
          <w:rFonts w:hint="eastAsia" w:ascii="宋体" w:hAnsi="宋体"/>
          <w:b/>
          <w:color w:val="000000" w:themeColor="text1"/>
          <w:szCs w:val="24"/>
          <w14:textFill>
            <w14:solidFill>
              <w14:schemeClr w14:val="tx1"/>
            </w14:solidFill>
          </w14:textFill>
        </w:rPr>
        <w:t>对进入商务标评分环节的参选人商务报价进行评分，最后汇总参选人技术及商务标得分，</w:t>
      </w:r>
      <w:r>
        <w:rPr>
          <w:rFonts w:hint="eastAsia" w:ascii="宋体" w:hAnsi="宋体"/>
          <w:color w:val="000000" w:themeColor="text1"/>
          <w14:textFill>
            <w14:solidFill>
              <w14:schemeClr w14:val="tx1"/>
            </w14:solidFill>
          </w14:textFill>
        </w:rPr>
        <w:t>并</w:t>
      </w:r>
      <w:r>
        <w:rPr>
          <w:rFonts w:hint="eastAsia" w:ascii="宋体" w:hAnsi="宋体"/>
          <w:color w:val="000000" w:themeColor="text1"/>
          <w:szCs w:val="24"/>
          <w14:textFill>
            <w14:solidFill>
              <w14:schemeClr w14:val="tx1"/>
            </w14:solidFill>
          </w14:textFill>
        </w:rPr>
        <w:t>按照</w:t>
      </w:r>
      <w:r>
        <w:rPr>
          <w:rFonts w:ascii="宋体" w:hAnsi="宋体"/>
          <w:color w:val="000000" w:themeColor="text1"/>
          <w:szCs w:val="24"/>
          <w14:textFill>
            <w14:solidFill>
              <w14:schemeClr w14:val="tx1"/>
            </w14:solidFill>
          </w14:textFill>
        </w:rPr>
        <w:t>参选人的最终得分值由高到低排列名次。</w:t>
      </w:r>
      <w:r>
        <w:rPr>
          <w:rFonts w:hint="eastAsia" w:ascii="宋体" w:hAnsi="宋体"/>
          <w:color w:val="000000" w:themeColor="text1"/>
          <w:szCs w:val="24"/>
          <w14:textFill>
            <w14:solidFill>
              <w14:schemeClr w14:val="tx1"/>
            </w14:solidFill>
          </w14:textFill>
        </w:rPr>
        <w:t>若出现综合得分相同的情形，</w:t>
      </w:r>
      <w:r>
        <w:rPr>
          <w:rFonts w:ascii="宋体" w:hAnsi="宋体"/>
          <w:color w:val="000000" w:themeColor="text1"/>
          <w:szCs w:val="24"/>
          <w14:textFill>
            <w14:solidFill>
              <w14:schemeClr w14:val="tx1"/>
            </w14:solidFill>
          </w14:textFill>
        </w:rPr>
        <w:t>以技术标得分高者排在先</w:t>
      </w:r>
      <w:r>
        <w:rPr>
          <w:rFonts w:hint="eastAsia" w:ascii="宋体" w:hAnsi="宋体"/>
          <w:color w:val="000000" w:themeColor="text1"/>
          <w:szCs w:val="24"/>
          <w14:textFill>
            <w14:solidFill>
              <w14:schemeClr w14:val="tx1"/>
            </w14:solidFill>
          </w14:textFill>
        </w:rPr>
        <w:t>；若技术标得分相同的（以保留小数点后两位且四舍五入为准），以商务标报价低者排在先；若报价相同的，以抽签的形式确定中选候选人。最终，评标委员会推荐一名中选候选人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14:textFill>
            <w14:solidFill>
              <w14:schemeClr w14:val="tx1"/>
            </w14:solidFill>
          </w14:textFill>
        </w:rPr>
        <w:t>中选，并形成评标报告。</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（二）评标程序</w:t>
      </w:r>
    </w:p>
    <w:p>
      <w:pPr>
        <w:spacing w:line="360" w:lineRule="auto"/>
        <w:ind w:firstLine="480" w:firstLineChars="200"/>
        <w:rPr>
          <w:rFonts w:ascii="宋体" w:hAnsi="宋体"/>
          <w:bCs/>
          <w:color w:val="000000" w:themeColor="text1"/>
          <w:szCs w:val="24"/>
          <w14:textFill>
            <w14:solidFill>
              <w14:schemeClr w14:val="tx1"/>
            </w14:solidFill>
          </w14:textFill>
        </w:rPr>
      </w:pPr>
      <w:bookmarkStart w:id="109" w:name="_Toc6663"/>
      <w:bookmarkStart w:id="110" w:name="_Toc518494143"/>
      <w:r>
        <w:rPr>
          <w:rFonts w:hint="eastAsia" w:ascii="宋体" w:hAnsi="宋体"/>
          <w:bCs/>
          <w:color w:val="000000" w:themeColor="text1"/>
          <w:szCs w:val="24"/>
          <w14:textFill>
            <w14:solidFill>
              <w14:schemeClr w14:val="tx1"/>
            </w14:solidFill>
          </w14:textFill>
        </w:rPr>
        <w:t>1.评标分</w:t>
      </w:r>
      <w:r>
        <w:rPr>
          <w:rFonts w:ascii="宋体" w:hAnsi="宋体"/>
          <w:bCs/>
          <w:color w:val="000000" w:themeColor="text1"/>
          <w:szCs w:val="24"/>
          <w14:textFill>
            <w14:solidFill>
              <w14:schemeClr w14:val="tx1"/>
            </w14:solidFill>
          </w14:textFill>
        </w:rPr>
        <w:t>2</w:t>
      </w:r>
      <w:r>
        <w:rPr>
          <w:rFonts w:hint="eastAsia" w:ascii="宋体" w:hAnsi="宋体"/>
          <w:bCs/>
          <w:color w:val="000000" w:themeColor="text1"/>
          <w:szCs w:val="24"/>
          <w14:textFill>
            <w14:solidFill>
              <w14:schemeClr w14:val="tx1"/>
            </w14:solidFill>
          </w14:textFill>
        </w:rPr>
        <w:t>个</w:t>
      </w:r>
      <w:r>
        <w:rPr>
          <w:rFonts w:ascii="宋体" w:hAnsi="宋体"/>
          <w:bCs/>
          <w:color w:val="000000" w:themeColor="text1"/>
          <w:szCs w:val="24"/>
          <w14:textFill>
            <w14:solidFill>
              <w14:schemeClr w14:val="tx1"/>
            </w14:solidFill>
          </w14:textFill>
        </w:rPr>
        <w:t>阶段进行，先评技术标，再评商务标。</w:t>
      </w: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技术标评审：</w:t>
      </w:r>
    </w:p>
    <w:p>
      <w:pPr>
        <w:spacing w:line="360" w:lineRule="auto"/>
        <w:ind w:firstLine="480" w:firstLineChars="200"/>
        <w:rPr>
          <w:rFonts w:ascii="宋体" w:hAnsi="宋体"/>
          <w:bCs/>
          <w:color w:val="000000" w:themeColor="text1"/>
          <w:szCs w:val="24"/>
          <w:highlight w:val="yellow"/>
          <w14:textFill>
            <w14:solidFill>
              <w14:schemeClr w14:val="tx1"/>
            </w14:solidFill>
          </w14:textFill>
        </w:rPr>
      </w:pPr>
      <w:r>
        <w:rPr>
          <w:rFonts w:hint="eastAsia" w:ascii="宋体" w:hAnsi="宋体"/>
          <w:bCs/>
          <w:color w:val="000000" w:themeColor="text1"/>
          <w:szCs w:val="24"/>
          <w14:textFill>
            <w14:solidFill>
              <w14:schemeClr w14:val="tx1"/>
            </w14:solidFill>
          </w14:textFill>
        </w:rPr>
        <w:t>先将所有合格参选文件的技术标书移交至评标委员会</w:t>
      </w:r>
      <w:r>
        <w:rPr>
          <w:rFonts w:hint="eastAsia" w:ascii="宋体" w:hAnsi="宋体"/>
          <w:color w:val="000000" w:themeColor="text1"/>
          <w:szCs w:val="24"/>
          <w14:textFill>
            <w14:solidFill>
              <w14:schemeClr w14:val="tx1"/>
            </w14:solidFill>
          </w14:textFill>
        </w:rPr>
        <w:t>，评标委员会按照评审标准对技术标进行评审（详见评审附表），评审完成后，技术标评审表统一交工作人员，评审分数不得再更改。</w:t>
      </w:r>
      <w:r>
        <w:rPr>
          <w:rFonts w:hint="eastAsia" w:ascii="宋体" w:hAnsi="宋体"/>
          <w:bCs/>
          <w:color w:val="000000" w:themeColor="text1"/>
          <w:szCs w:val="24"/>
          <w14:textFill>
            <w14:solidFill>
              <w14:schemeClr w14:val="tx1"/>
            </w14:solidFill>
          </w14:textFill>
        </w:rPr>
        <w:t>技术标得分前3名的有效参选人方可进入下一阶段商务标的评审</w:t>
      </w:r>
      <w:r>
        <w:rPr>
          <w:rFonts w:hint="eastAsia" w:ascii="宋体" w:hAnsi="宋体"/>
          <w:color w:val="000000" w:themeColor="text1"/>
          <w:szCs w:val="24"/>
          <w14:textFill>
            <w14:solidFill>
              <w14:schemeClr w14:val="tx1"/>
            </w14:solidFill>
          </w14:textFill>
        </w:rPr>
        <w:t>（若出现得分并列导致大于3家的情况，则并列的有效参选人共同进入下一阶段商务标的评审</w:t>
      </w:r>
      <w:r>
        <w:rPr>
          <w:rFonts w:ascii="宋体" w:hAnsi="宋体"/>
          <w:color w:val="000000" w:themeColor="text1"/>
          <w:szCs w:val="24"/>
          <w14:textFill>
            <w14:solidFill>
              <w14:schemeClr w14:val="tx1"/>
            </w14:solidFill>
          </w14:textFill>
        </w:rPr>
        <w:t>）</w:t>
      </w:r>
      <w:r>
        <w:rPr>
          <w:rFonts w:hint="eastAsia" w:ascii="宋体" w:hAnsi="宋体"/>
          <w:bCs/>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技术标评审细则：</w:t>
      </w:r>
    </w:p>
    <w:p>
      <w:pPr>
        <w:spacing w:line="360" w:lineRule="auto"/>
        <w:rPr>
          <w:rFonts w:ascii="宋体" w:hAnsi="宋体"/>
          <w:bCs/>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 xml:space="preserve">    </w:t>
      </w:r>
    </w:p>
    <w:tbl>
      <w:tblPr>
        <w:tblStyle w:val="1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1568"/>
        <w:gridCol w:w="1289"/>
        <w:gridCol w:w="5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64"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序号</w:t>
            </w:r>
          </w:p>
        </w:tc>
        <w:tc>
          <w:tcPr>
            <w:tcW w:w="1568"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评价内容</w:t>
            </w:r>
          </w:p>
        </w:tc>
        <w:tc>
          <w:tcPr>
            <w:tcW w:w="1289"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权重</w:t>
            </w:r>
          </w:p>
        </w:tc>
        <w:tc>
          <w:tcPr>
            <w:tcW w:w="5418"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trPr>
        <w:tc>
          <w:tcPr>
            <w:tcW w:w="764"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ascii="宋体" w:hAnsi="宋体"/>
                <w:szCs w:val="21"/>
              </w:rPr>
              <w:t>1</w:t>
            </w:r>
          </w:p>
        </w:tc>
        <w:tc>
          <w:tcPr>
            <w:tcW w:w="1568"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公司资质</w:t>
            </w:r>
          </w:p>
        </w:tc>
        <w:tc>
          <w:tcPr>
            <w:tcW w:w="1289"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10</w:t>
            </w:r>
          </w:p>
        </w:tc>
        <w:tc>
          <w:tcPr>
            <w:tcW w:w="5418" w:type="dxa"/>
            <w:tcBorders>
              <w:top w:val="single" w:color="auto" w:sz="4" w:space="0"/>
              <w:left w:val="single" w:color="auto" w:sz="4" w:space="0"/>
              <w:bottom w:val="single" w:color="auto" w:sz="4" w:space="0"/>
              <w:right w:val="single" w:color="auto" w:sz="4" w:space="0"/>
            </w:tcBorders>
          </w:tcPr>
          <w:p>
            <w:pPr>
              <w:jc w:val="left"/>
              <w:rPr>
                <w:rFonts w:ascii="宋体" w:hAnsi="宋体"/>
                <w:b/>
                <w:i/>
                <w:szCs w:val="21"/>
                <w:u w:val="single"/>
              </w:rPr>
            </w:pPr>
            <w:r>
              <w:rPr>
                <w:rFonts w:hint="eastAsia"/>
                <w:szCs w:val="21"/>
              </w:rPr>
              <w:t>参选</w:t>
            </w:r>
            <w:r>
              <w:rPr>
                <w:rFonts w:hint="eastAsia" w:ascii="宋体" w:hAnsi="宋体"/>
                <w:szCs w:val="21"/>
              </w:rPr>
              <w:t>人需提供广东省或深圳环保技术咨询服务相关能力认证证书，根据不同的认定等级，分别打分（甲级得10分、乙级</w:t>
            </w:r>
            <w:r>
              <w:rPr>
                <w:rFonts w:hint="eastAsia"/>
                <w:szCs w:val="21"/>
              </w:rPr>
              <w:t>得</w:t>
            </w:r>
            <w:r>
              <w:rPr>
                <w:rFonts w:hint="eastAsia" w:ascii="宋体" w:hAnsi="宋体"/>
                <w:szCs w:val="21"/>
              </w:rPr>
              <w:t>6分，丙级得2分，其余不得分）。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64"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2</w:t>
            </w:r>
          </w:p>
        </w:tc>
        <w:tc>
          <w:tcPr>
            <w:tcW w:w="1568"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成果通过率</w:t>
            </w:r>
          </w:p>
        </w:tc>
        <w:tc>
          <w:tcPr>
            <w:tcW w:w="1289"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25</w:t>
            </w:r>
          </w:p>
        </w:tc>
        <w:tc>
          <w:tcPr>
            <w:tcW w:w="5418" w:type="dxa"/>
            <w:tcBorders>
              <w:top w:val="single" w:color="auto" w:sz="4" w:space="0"/>
              <w:left w:val="single" w:color="auto" w:sz="4" w:space="0"/>
              <w:bottom w:val="single" w:color="auto" w:sz="4" w:space="0"/>
              <w:right w:val="single" w:color="auto" w:sz="4" w:space="0"/>
            </w:tcBorders>
          </w:tcPr>
          <w:p>
            <w:pPr>
              <w:jc w:val="left"/>
              <w:rPr>
                <w:szCs w:val="21"/>
              </w:rPr>
            </w:pPr>
            <w:r>
              <w:rPr>
                <w:rFonts w:hint="eastAsia" w:ascii="宋体" w:hAnsi="宋体"/>
                <w:szCs w:val="21"/>
              </w:rPr>
              <w:t>以深圳市生态环境局202</w:t>
            </w:r>
            <w:r>
              <w:rPr>
                <w:rFonts w:ascii="宋体" w:hAnsi="宋体"/>
                <w:szCs w:val="21"/>
              </w:rPr>
              <w:t>2</w:t>
            </w:r>
            <w:r>
              <w:rPr>
                <w:rFonts w:hint="eastAsia" w:ascii="宋体" w:hAnsi="宋体"/>
                <w:szCs w:val="21"/>
              </w:rPr>
              <w:t>年</w:t>
            </w:r>
            <w:r>
              <w:rPr>
                <w:rFonts w:ascii="宋体" w:hAnsi="宋体"/>
                <w:szCs w:val="21"/>
              </w:rPr>
              <w:t>1</w:t>
            </w:r>
            <w:r>
              <w:rPr>
                <w:rFonts w:hint="eastAsia" w:ascii="宋体" w:hAnsi="宋体"/>
                <w:szCs w:val="21"/>
              </w:rPr>
              <w:t>月</w:t>
            </w:r>
            <w:r>
              <w:rPr>
                <w:rFonts w:ascii="宋体" w:hAnsi="宋体"/>
                <w:szCs w:val="21"/>
              </w:rPr>
              <w:t>25</w:t>
            </w:r>
            <w:r>
              <w:rPr>
                <w:rFonts w:hint="eastAsia" w:ascii="宋体" w:hAnsi="宋体"/>
                <w:szCs w:val="21"/>
              </w:rPr>
              <w:t>日公布的深圳市土壤污染状况调查报告评审通过情况汇总表（2019年1月-2021年</w:t>
            </w:r>
            <w:r>
              <w:rPr>
                <w:rFonts w:ascii="宋体" w:hAnsi="宋体"/>
                <w:szCs w:val="21"/>
              </w:rPr>
              <w:t>12</w:t>
            </w:r>
            <w:r>
              <w:rPr>
                <w:rFonts w:hint="eastAsia" w:ascii="宋体" w:hAnsi="宋体"/>
                <w:szCs w:val="21"/>
              </w:rPr>
              <w:t>月）为准，取形式审核、技术审核和专家评审通过率</w:t>
            </w:r>
            <w:r>
              <w:rPr>
                <w:rFonts w:hint="eastAsia"/>
                <w:szCs w:val="21"/>
              </w:rPr>
              <w:t>三项</w:t>
            </w:r>
            <w:r>
              <w:rPr>
                <w:rFonts w:hint="eastAsia" w:ascii="宋体" w:hAnsi="宋体"/>
                <w:szCs w:val="21"/>
              </w:rPr>
              <w:t>之和，总和</w:t>
            </w:r>
            <w:r>
              <w:rPr>
                <w:rFonts w:hint="eastAsia"/>
                <w:szCs w:val="21"/>
              </w:rPr>
              <w:t>在300%至</w:t>
            </w:r>
            <w:r>
              <w:rPr>
                <w:rFonts w:hint="eastAsia" w:ascii="宋体" w:hAnsi="宋体"/>
                <w:szCs w:val="21"/>
              </w:rPr>
              <w:t>200%的</w:t>
            </w:r>
            <w:r>
              <w:rPr>
                <w:rFonts w:hint="eastAsia"/>
                <w:szCs w:val="21"/>
              </w:rPr>
              <w:t>得</w:t>
            </w:r>
            <w:r>
              <w:rPr>
                <w:rFonts w:ascii="宋体" w:hAnsi="宋体"/>
                <w:szCs w:val="21"/>
              </w:rPr>
              <w:t>2</w:t>
            </w:r>
            <w:r>
              <w:rPr>
                <w:rFonts w:hint="eastAsia" w:ascii="宋体" w:hAnsi="宋体"/>
                <w:szCs w:val="21"/>
              </w:rPr>
              <w:t>5分，总和</w:t>
            </w:r>
            <w:r>
              <w:rPr>
                <w:rFonts w:hint="eastAsia"/>
                <w:szCs w:val="21"/>
              </w:rPr>
              <w:t>199%至</w:t>
            </w:r>
            <w:r>
              <w:rPr>
                <w:rFonts w:hint="eastAsia" w:ascii="宋体" w:hAnsi="宋体"/>
                <w:szCs w:val="21"/>
              </w:rPr>
              <w:t>150%得15分，</w:t>
            </w:r>
            <w:r>
              <w:rPr>
                <w:rFonts w:hint="eastAsia"/>
                <w:szCs w:val="21"/>
              </w:rPr>
              <w:t>其余</w:t>
            </w:r>
            <w:r>
              <w:rPr>
                <w:rFonts w:hint="eastAsia" w:ascii="宋体" w:hAnsi="宋体"/>
                <w:szCs w:val="21"/>
              </w:rPr>
              <w:t>得</w:t>
            </w:r>
            <w:r>
              <w:rPr>
                <w:rFonts w:ascii="宋体" w:hAnsi="宋体"/>
                <w:szCs w:val="21"/>
              </w:rPr>
              <w:t>5</w:t>
            </w:r>
            <w:r>
              <w:rPr>
                <w:rFonts w:hint="eastAsia" w:ascii="宋体" w:hAnsi="宋体"/>
                <w:szCs w:val="21"/>
              </w:rPr>
              <w:t>分</w:t>
            </w:r>
            <w:r>
              <w:rPr>
                <w:rFonts w:hint="eastAsia"/>
                <w:szCs w:val="21"/>
              </w:rPr>
              <w:t>。</w:t>
            </w:r>
            <w:r>
              <w:rPr>
                <w:rFonts w:hint="eastAsia" w:ascii="宋体" w:hAnsi="宋体"/>
                <w:szCs w:val="21"/>
              </w:rPr>
              <w:t>如其中任何一项通过率为0%，</w:t>
            </w:r>
            <w:r>
              <w:rPr>
                <w:rFonts w:hint="eastAsia"/>
                <w:szCs w:val="21"/>
              </w:rPr>
              <w:t>本</w:t>
            </w:r>
            <w:r>
              <w:rPr>
                <w:rFonts w:hint="eastAsia" w:ascii="宋体" w:hAnsi="宋体"/>
                <w:szCs w:val="21"/>
              </w:rPr>
              <w:t>项不得分。（需提供深圳市生态环境局202</w:t>
            </w:r>
            <w:r>
              <w:rPr>
                <w:rFonts w:ascii="宋体" w:hAnsi="宋体"/>
                <w:szCs w:val="21"/>
              </w:rPr>
              <w:t>2</w:t>
            </w:r>
            <w:r>
              <w:rPr>
                <w:rFonts w:hint="eastAsia" w:ascii="宋体" w:hAnsi="宋体"/>
                <w:szCs w:val="21"/>
              </w:rPr>
              <w:t>年</w:t>
            </w:r>
            <w:r>
              <w:rPr>
                <w:rFonts w:ascii="宋体" w:hAnsi="宋体"/>
                <w:szCs w:val="21"/>
              </w:rPr>
              <w:t>1</w:t>
            </w:r>
            <w:r>
              <w:rPr>
                <w:rFonts w:hint="eastAsia" w:ascii="宋体" w:hAnsi="宋体"/>
                <w:szCs w:val="21"/>
              </w:rPr>
              <w:t>月</w:t>
            </w:r>
            <w:r>
              <w:rPr>
                <w:rFonts w:ascii="宋体" w:hAnsi="宋体"/>
                <w:szCs w:val="21"/>
              </w:rPr>
              <w:t>25</w:t>
            </w:r>
            <w:r>
              <w:rPr>
                <w:rFonts w:hint="eastAsia" w:ascii="宋体" w:hAnsi="宋体"/>
                <w:szCs w:val="21"/>
              </w:rPr>
              <w:t>日土壤污染状况调查报告评审通过情况汇总表截图）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64"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3</w:t>
            </w:r>
          </w:p>
        </w:tc>
        <w:tc>
          <w:tcPr>
            <w:tcW w:w="1568"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公司业绩</w:t>
            </w:r>
          </w:p>
        </w:tc>
        <w:tc>
          <w:tcPr>
            <w:tcW w:w="1289"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ascii="宋体" w:hAnsi="宋体"/>
                <w:szCs w:val="21"/>
              </w:rPr>
              <w:t>1</w:t>
            </w:r>
            <w:r>
              <w:rPr>
                <w:rFonts w:hint="eastAsia" w:ascii="宋体" w:hAnsi="宋体"/>
                <w:szCs w:val="21"/>
              </w:rPr>
              <w:t>0</w:t>
            </w:r>
          </w:p>
        </w:tc>
        <w:tc>
          <w:tcPr>
            <w:tcW w:w="5418"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color w:val="000000"/>
                <w:szCs w:val="21"/>
              </w:rPr>
              <w:t>参选</w:t>
            </w:r>
            <w:r>
              <w:rPr>
                <w:rFonts w:hint="eastAsia" w:ascii="宋体" w:hAnsi="宋体"/>
                <w:color w:val="000000"/>
                <w:szCs w:val="21"/>
              </w:rPr>
              <w:t>人需提供近</w:t>
            </w:r>
            <w:r>
              <w:rPr>
                <w:rFonts w:ascii="宋体" w:hAnsi="宋体"/>
                <w:color w:val="000000"/>
                <w:szCs w:val="21"/>
              </w:rPr>
              <w:t>2</w:t>
            </w:r>
            <w:r>
              <w:rPr>
                <w:rFonts w:hint="eastAsia" w:ascii="宋体" w:hAnsi="宋体"/>
                <w:color w:val="000000"/>
                <w:szCs w:val="21"/>
              </w:rPr>
              <w:t>年内完成在深圳市的类似业绩</w:t>
            </w:r>
            <w:r>
              <w:rPr>
                <w:rFonts w:ascii="宋体" w:hAnsi="宋体"/>
                <w:color w:val="000000"/>
                <w:szCs w:val="21"/>
              </w:rPr>
              <w:t>，每个业绩得</w:t>
            </w:r>
            <w:r>
              <w:rPr>
                <w:rFonts w:hint="eastAsia"/>
                <w:color w:val="000000"/>
                <w:szCs w:val="21"/>
              </w:rPr>
              <w:t>2</w:t>
            </w:r>
            <w:r>
              <w:rPr>
                <w:rFonts w:hint="eastAsia" w:ascii="宋体" w:hAnsi="宋体"/>
                <w:color w:val="000000"/>
                <w:szCs w:val="21"/>
              </w:rPr>
              <w:t>分</w:t>
            </w:r>
            <w:r>
              <w:rPr>
                <w:rFonts w:ascii="宋体" w:hAnsi="宋体"/>
                <w:color w:val="000000"/>
                <w:szCs w:val="21"/>
              </w:rPr>
              <w:t>，</w:t>
            </w:r>
            <w:r>
              <w:rPr>
                <w:rFonts w:hint="eastAsia" w:ascii="宋体" w:hAnsi="宋体"/>
                <w:color w:val="000000"/>
                <w:szCs w:val="21"/>
              </w:rPr>
              <w:t>满分</w:t>
            </w:r>
            <w:r>
              <w:rPr>
                <w:rFonts w:hint="eastAsia"/>
                <w:color w:val="000000"/>
                <w:szCs w:val="21"/>
              </w:rPr>
              <w:t>10</w:t>
            </w:r>
            <w:r>
              <w:rPr>
                <w:rFonts w:hint="eastAsia" w:ascii="宋体" w:hAnsi="宋体"/>
                <w:color w:val="000000"/>
                <w:szCs w:val="21"/>
              </w:rPr>
              <w:t>分。业绩</w:t>
            </w:r>
            <w:r>
              <w:rPr>
                <w:rFonts w:ascii="宋体" w:hAnsi="宋体"/>
                <w:color w:val="000000"/>
                <w:szCs w:val="21"/>
              </w:rPr>
              <w:t>证明材料须提供合同关键页、报告</w:t>
            </w:r>
            <w:r>
              <w:rPr>
                <w:rFonts w:hint="eastAsia" w:ascii="宋体" w:hAnsi="宋体"/>
                <w:color w:val="000000"/>
                <w:szCs w:val="21"/>
              </w:rPr>
              <w:t>、</w:t>
            </w:r>
            <w:r>
              <w:rPr>
                <w:rFonts w:ascii="宋体" w:hAnsi="宋体"/>
                <w:color w:val="000000"/>
                <w:szCs w:val="21"/>
              </w:rPr>
              <w:t>时间</w:t>
            </w:r>
            <w:r>
              <w:rPr>
                <w:rFonts w:hint="eastAsia"/>
                <w:color w:val="000000"/>
                <w:szCs w:val="21"/>
              </w:rPr>
              <w:t>、</w:t>
            </w:r>
            <w:r>
              <w:rPr>
                <w:rFonts w:hint="eastAsia"/>
                <w:szCs w:val="21"/>
              </w:rPr>
              <w:t>成果取得无污染证明</w:t>
            </w:r>
            <w:r>
              <w:rPr>
                <w:rFonts w:ascii="宋体" w:hAnsi="宋体"/>
                <w:color w:val="000000"/>
                <w:szCs w:val="21"/>
              </w:rPr>
              <w:t>等</w:t>
            </w:r>
            <w:r>
              <w:rPr>
                <w:rFonts w:hint="eastAsia" w:ascii="宋体" w:hAnsi="宋体"/>
                <w:color w:val="000000"/>
                <w:szCs w:val="21"/>
              </w:rPr>
              <w:t>，如结果有污染业绩不得分，</w:t>
            </w:r>
            <w:r>
              <w:rPr>
                <w:rFonts w:ascii="宋体" w:hAnsi="宋体"/>
                <w:color w:val="000000"/>
                <w:szCs w:val="21"/>
              </w:rPr>
              <w:t>以合同签订时间为准</w:t>
            </w:r>
            <w:r>
              <w:rPr>
                <w:rFonts w:hint="eastAsia" w:ascii="宋体" w:hAnsi="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64"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4</w:t>
            </w:r>
          </w:p>
        </w:tc>
        <w:tc>
          <w:tcPr>
            <w:tcW w:w="1568"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项目负责人及团队人员资格要求</w:t>
            </w:r>
          </w:p>
        </w:tc>
        <w:tc>
          <w:tcPr>
            <w:tcW w:w="1289"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5</w:t>
            </w:r>
          </w:p>
        </w:tc>
        <w:tc>
          <w:tcPr>
            <w:tcW w:w="5418" w:type="dxa"/>
            <w:tcBorders>
              <w:top w:val="single" w:color="auto" w:sz="4" w:space="0"/>
              <w:left w:val="single" w:color="auto" w:sz="4" w:space="0"/>
              <w:bottom w:val="single" w:color="auto" w:sz="4" w:space="0"/>
              <w:right w:val="single" w:color="auto" w:sz="4" w:space="0"/>
            </w:tcBorders>
          </w:tcPr>
          <w:p>
            <w:pPr>
              <w:jc w:val="left"/>
              <w:rPr>
                <w:rFonts w:ascii="宋体" w:hAnsi="宋体"/>
                <w:color w:val="000000"/>
                <w:szCs w:val="21"/>
              </w:rPr>
            </w:pPr>
            <w:r>
              <w:rPr>
                <w:rFonts w:hint="eastAsia" w:ascii="宋体" w:hAnsi="宋体"/>
                <w:color w:val="000000"/>
                <w:szCs w:val="21"/>
              </w:rPr>
              <w:t>1.</w:t>
            </w:r>
            <w:r>
              <w:rPr>
                <w:rFonts w:hint="eastAsia" w:ascii="宋体" w:hAnsi="宋体"/>
                <w:szCs w:val="21"/>
              </w:rPr>
              <w:t>项目负责人从业资质要求（</w:t>
            </w:r>
            <w:r>
              <w:rPr>
                <w:rFonts w:hint="eastAsia"/>
                <w:szCs w:val="21"/>
              </w:rPr>
              <w:t>3</w:t>
            </w:r>
            <w:r>
              <w:rPr>
                <w:rFonts w:hint="eastAsia" w:ascii="宋体" w:hAnsi="宋体"/>
                <w:szCs w:val="21"/>
              </w:rPr>
              <w:t>分）：项目负责人</w:t>
            </w:r>
            <w:r>
              <w:rPr>
                <w:rFonts w:hint="eastAsia"/>
                <w:szCs w:val="21"/>
              </w:rPr>
              <w:t>同时</w:t>
            </w:r>
            <w:r>
              <w:rPr>
                <w:rFonts w:hint="eastAsia" w:ascii="宋体" w:hAnsi="宋体"/>
                <w:szCs w:val="21"/>
              </w:rPr>
              <w:t>具有高级职称和注册环评工程师得</w:t>
            </w:r>
            <w:r>
              <w:rPr>
                <w:rFonts w:hint="eastAsia"/>
                <w:szCs w:val="21"/>
              </w:rPr>
              <w:t>3</w:t>
            </w:r>
            <w:r>
              <w:rPr>
                <w:rFonts w:hint="eastAsia" w:ascii="宋体" w:hAnsi="宋体"/>
                <w:szCs w:val="21"/>
              </w:rPr>
              <w:t>分，</w:t>
            </w:r>
            <w:r>
              <w:rPr>
                <w:rFonts w:hint="eastAsia"/>
                <w:szCs w:val="21"/>
              </w:rPr>
              <w:t>不符合</w:t>
            </w:r>
            <w:r>
              <w:rPr>
                <w:rFonts w:ascii="宋体" w:hAnsi="宋体"/>
                <w:szCs w:val="21"/>
              </w:rPr>
              <w:t>不得分</w:t>
            </w:r>
            <w:r>
              <w:rPr>
                <w:rFonts w:hint="eastAsia" w:ascii="宋体" w:hAnsi="宋体"/>
                <w:szCs w:val="21"/>
              </w:rPr>
              <w:t>。要求提供资质证书复印件作为证明材料，并提供近三个</w:t>
            </w:r>
            <w:r>
              <w:rPr>
                <w:rFonts w:hint="eastAsia" w:ascii="宋体" w:hAnsi="宋体"/>
                <w:color w:val="000000"/>
                <w:szCs w:val="21"/>
              </w:rPr>
              <w:t>月社保证明，不提供相关证明材料的不得分。</w:t>
            </w:r>
          </w:p>
          <w:p>
            <w:pPr>
              <w:jc w:val="left"/>
              <w:rPr>
                <w:rFonts w:ascii="宋体" w:hAnsi="宋体"/>
                <w:color w:val="000000"/>
                <w:szCs w:val="21"/>
              </w:rPr>
            </w:pPr>
            <w:r>
              <w:rPr>
                <w:rFonts w:hint="eastAsia" w:ascii="宋体" w:hAnsi="宋体"/>
                <w:color w:val="000000"/>
                <w:szCs w:val="21"/>
              </w:rPr>
              <w:t>2.项目团队人员要求（</w:t>
            </w:r>
            <w:r>
              <w:rPr>
                <w:rFonts w:hint="eastAsia"/>
                <w:color w:val="000000"/>
                <w:szCs w:val="21"/>
              </w:rPr>
              <w:t>2</w:t>
            </w:r>
            <w:r>
              <w:rPr>
                <w:rFonts w:hint="eastAsia" w:ascii="宋体" w:hAnsi="宋体"/>
                <w:color w:val="000000"/>
                <w:szCs w:val="21"/>
              </w:rPr>
              <w:t>分）：</w:t>
            </w:r>
            <w:r>
              <w:rPr>
                <w:rFonts w:hint="eastAsia" w:ascii="宋体" w:hAnsi="宋体"/>
                <w:szCs w:val="21"/>
                <w:shd w:val="clear" w:color="auto" w:fill="FFFFFF"/>
              </w:rPr>
              <w:t>项目团队具有</w:t>
            </w:r>
            <w:r>
              <w:rPr>
                <w:rFonts w:hint="eastAsia" w:ascii="宋体" w:hAnsi="宋体"/>
                <w:color w:val="000000"/>
                <w:szCs w:val="21"/>
              </w:rPr>
              <w:t>注册环评工程师</w:t>
            </w:r>
            <w:r>
              <w:rPr>
                <w:rFonts w:hint="eastAsia" w:ascii="宋体" w:hAnsi="宋体"/>
                <w:szCs w:val="21"/>
                <w:shd w:val="clear" w:color="auto" w:fill="FFFFFF"/>
              </w:rPr>
              <w:t>的，每位得0.5分，最高得</w:t>
            </w:r>
            <w:r>
              <w:rPr>
                <w:rFonts w:hint="eastAsia"/>
                <w:szCs w:val="21"/>
                <w:shd w:val="clear" w:color="auto" w:fill="FFFFFF"/>
              </w:rPr>
              <w:t>2</w:t>
            </w:r>
            <w:r>
              <w:rPr>
                <w:rFonts w:hint="eastAsia" w:ascii="宋体" w:hAnsi="宋体"/>
                <w:szCs w:val="21"/>
                <w:shd w:val="clear" w:color="auto" w:fill="FFFFFF"/>
              </w:rPr>
              <w:t>分</w:t>
            </w:r>
            <w:r>
              <w:rPr>
                <w:rFonts w:hint="eastAsia" w:ascii="宋体" w:hAnsi="宋体"/>
                <w:color w:val="000000"/>
                <w:szCs w:val="21"/>
              </w:rPr>
              <w:t>，项目经理除外。</w:t>
            </w:r>
          </w:p>
          <w:p>
            <w:pPr>
              <w:ind w:firstLine="480" w:firstLineChars="200"/>
              <w:jc w:val="left"/>
              <w:rPr>
                <w:rFonts w:ascii="宋体" w:hAnsi="宋体" w:cs="宋体"/>
                <w:kern w:val="0"/>
                <w:sz w:val="18"/>
                <w:szCs w:val="18"/>
              </w:rPr>
            </w:pPr>
            <w:r>
              <w:rPr>
                <w:rFonts w:hint="eastAsia" w:ascii="宋体" w:hAnsi="宋体"/>
                <w:color w:val="000000"/>
                <w:szCs w:val="21"/>
              </w:rPr>
              <w:t>以上均要求提供资质证书复印件作为证明材料，并提供近三个月社保证明，不提供相关证明材料的不得分。</w:t>
            </w:r>
          </w:p>
        </w:tc>
      </w:tr>
    </w:tbl>
    <w:p>
      <w:pPr>
        <w:spacing w:line="360" w:lineRule="auto"/>
        <w:rPr>
          <w:rFonts w:ascii="宋体" w:hAnsi="宋体"/>
          <w:bCs/>
          <w:color w:val="000000" w:themeColor="text1"/>
          <w:szCs w:val="24"/>
          <w14:textFill>
            <w14:solidFill>
              <w14:schemeClr w14:val="tx1"/>
            </w14:solidFill>
          </w14:textFill>
        </w:rPr>
      </w:pP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商务标评审：</w:t>
      </w:r>
    </w:p>
    <w:p>
      <w:pPr>
        <w:pStyle w:val="22"/>
        <w:tabs>
          <w:tab w:val="left" w:pos="993"/>
        </w:tabs>
        <w:spacing w:line="360" w:lineRule="auto"/>
        <w:ind w:firstLine="424" w:firstLineChars="177"/>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技术标评审结束后，将技术标前3名（包括并列前3名）参选人的商务标移交至评标委员会。当出现以下情况，评标委员会将对参选报价进行调整：</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①参选文件中大写金额与小写金额不一致的，以价低的为准；</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②当在报价文件中对同一比选项目报有两个或多个报价时，以参选文件正本的商务标书价格清单</w:t>
      </w:r>
      <w:r>
        <w:rPr>
          <w:rFonts w:ascii="宋体" w:hAnsi="宋体"/>
          <w:color w:val="000000" w:themeColor="text1"/>
          <w:kern w:val="2"/>
          <w:sz w:val="24"/>
          <w:szCs w:val="24"/>
          <w14:textFill>
            <w14:solidFill>
              <w14:schemeClr w14:val="tx1"/>
            </w14:solidFill>
          </w14:textFill>
        </w:rPr>
        <w:t>各</w:t>
      </w:r>
      <w:r>
        <w:rPr>
          <w:rFonts w:hint="eastAsia" w:ascii="宋体" w:hAnsi="宋体"/>
          <w:color w:val="000000" w:themeColor="text1"/>
          <w:kern w:val="2"/>
          <w:sz w:val="24"/>
          <w:szCs w:val="24"/>
          <w14:textFill>
            <w14:solidFill>
              <w14:schemeClr w14:val="tx1"/>
            </w14:solidFill>
          </w14:textFill>
        </w:rPr>
        <w:t>单</w:t>
      </w:r>
      <w:r>
        <w:rPr>
          <w:rFonts w:ascii="宋体" w:hAnsi="宋体"/>
          <w:color w:val="000000" w:themeColor="text1"/>
          <w:kern w:val="2"/>
          <w:sz w:val="24"/>
          <w:szCs w:val="24"/>
          <w14:textFill>
            <w14:solidFill>
              <w14:schemeClr w14:val="tx1"/>
            </w14:solidFill>
          </w14:textFill>
        </w:rPr>
        <w:t>项</w:t>
      </w:r>
      <w:r>
        <w:rPr>
          <w:rFonts w:hint="eastAsia" w:ascii="宋体" w:hAnsi="宋体"/>
          <w:color w:val="000000" w:themeColor="text1"/>
          <w:kern w:val="2"/>
          <w:sz w:val="24"/>
          <w:szCs w:val="24"/>
          <w14:textFill>
            <w14:solidFill>
              <w14:schemeClr w14:val="tx1"/>
            </w14:solidFill>
          </w14:textFill>
        </w:rPr>
        <w:t>实际</w:t>
      </w:r>
      <w:r>
        <w:rPr>
          <w:rFonts w:ascii="宋体" w:hAnsi="宋体"/>
          <w:color w:val="000000" w:themeColor="text1"/>
          <w:kern w:val="2"/>
          <w:sz w:val="24"/>
          <w:szCs w:val="24"/>
          <w14:textFill>
            <w14:solidFill>
              <w14:schemeClr w14:val="tx1"/>
            </w14:solidFill>
          </w14:textFill>
        </w:rPr>
        <w:t>含税</w:t>
      </w:r>
      <w:r>
        <w:rPr>
          <w:rFonts w:hint="eastAsia" w:ascii="宋体" w:hAnsi="宋体"/>
          <w:color w:val="000000" w:themeColor="text1"/>
          <w:kern w:val="2"/>
          <w:sz w:val="24"/>
          <w:szCs w:val="24"/>
          <w14:textFill>
            <w14:solidFill>
              <w14:schemeClr w14:val="tx1"/>
            </w14:solidFill>
          </w14:textFill>
        </w:rPr>
        <w:t>合计总数为最终参选价格。该参选人须出具相关内容澄清文件。</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③比选人认为参选人为履行本合同而提供的产品和相关服务的知识产权、版权费等第三者费用、根据法律由乙方支付的税费、保险费、合同文本、研究成果等资料的印刷费等已包含在参选人的参选报价中。</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④其他情况均按照价格审核计算后，以不利于参选人的原则予以调整。</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评标委员会对参选报价进行调整后，按照商务标计算公式，完成商务标分数计算。</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商务标评审细则：</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以进入商务标环节的所有参选人所报的服务费次低价为基准价且为满分50分。若次低价同时为最高价，则以最低价为基准价且为满分。商务标得分按下列公式计算：</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F</w:t>
      </w:r>
      <w:r>
        <w:rPr>
          <w:rFonts w:hint="eastAsia" w:ascii="宋体" w:hAnsi="宋体"/>
          <w:color w:val="000000" w:themeColor="text1"/>
          <w:kern w:val="2"/>
          <w:sz w:val="24"/>
          <w:szCs w:val="24"/>
          <w:vertAlign w:val="subscript"/>
          <w14:textFill>
            <w14:solidFill>
              <w14:schemeClr w14:val="tx1"/>
            </w14:solidFill>
          </w14:textFill>
        </w:rPr>
        <w:t>n</w:t>
      </w:r>
      <w:r>
        <w:rPr>
          <w:rFonts w:hint="eastAsia" w:ascii="宋体" w:hAnsi="宋体"/>
          <w:color w:val="000000" w:themeColor="text1"/>
          <w:kern w:val="2"/>
          <w:sz w:val="24"/>
          <w:szCs w:val="24"/>
          <w14:textFill>
            <w14:solidFill>
              <w14:schemeClr w14:val="tx1"/>
            </w14:solidFill>
          </w14:textFill>
        </w:rPr>
        <w:t xml:space="preserve"> =50-50×│S</w:t>
      </w:r>
      <w:r>
        <w:rPr>
          <w:rFonts w:hint="eastAsia" w:ascii="宋体" w:hAnsi="宋体"/>
          <w:color w:val="000000" w:themeColor="text1"/>
          <w:kern w:val="2"/>
          <w:sz w:val="24"/>
          <w:szCs w:val="24"/>
          <w:vertAlign w:val="subscript"/>
          <w14:textFill>
            <w14:solidFill>
              <w14:schemeClr w14:val="tx1"/>
            </w14:solidFill>
          </w14:textFill>
        </w:rPr>
        <w:t>n</w:t>
      </w:r>
      <w:r>
        <w:rPr>
          <w:rFonts w:hint="eastAsia" w:ascii="宋体" w:hAnsi="宋体"/>
          <w:color w:val="000000" w:themeColor="text1"/>
          <w:kern w:val="2"/>
          <w:sz w:val="24"/>
          <w:szCs w:val="24"/>
          <w14:textFill>
            <w14:solidFill>
              <w14:schemeClr w14:val="tx1"/>
            </w14:solidFill>
          </w14:textFill>
        </w:rPr>
        <w:t xml:space="preserve"> - S</w:t>
      </w:r>
      <w:r>
        <w:rPr>
          <w:rFonts w:hint="eastAsia" w:ascii="宋体" w:hAnsi="宋体"/>
          <w:color w:val="000000" w:themeColor="text1"/>
          <w:kern w:val="2"/>
          <w:sz w:val="24"/>
          <w:szCs w:val="24"/>
          <w:vertAlign w:val="subscript"/>
          <w14:textFill>
            <w14:solidFill>
              <w14:schemeClr w14:val="tx1"/>
            </w14:solidFill>
          </w14:textFill>
        </w:rPr>
        <w:t>j</w:t>
      </w:r>
      <w:r>
        <w:rPr>
          <w:rFonts w:hint="eastAsia" w:ascii="宋体" w:hAnsi="宋体"/>
          <w:color w:val="000000" w:themeColor="text1"/>
          <w:kern w:val="2"/>
          <w:sz w:val="24"/>
          <w:szCs w:val="24"/>
          <w14:textFill>
            <w14:solidFill>
              <w14:schemeClr w14:val="tx1"/>
            </w14:solidFill>
          </w14:textFill>
        </w:rPr>
        <w:t>│/ S</w:t>
      </w:r>
      <w:r>
        <w:rPr>
          <w:rFonts w:hint="eastAsia" w:ascii="宋体" w:hAnsi="宋体"/>
          <w:color w:val="000000" w:themeColor="text1"/>
          <w:kern w:val="2"/>
          <w:sz w:val="24"/>
          <w:szCs w:val="24"/>
          <w:vertAlign w:val="subscript"/>
          <w14:textFill>
            <w14:solidFill>
              <w14:schemeClr w14:val="tx1"/>
            </w14:solidFill>
          </w14:textFill>
        </w:rPr>
        <w:t>j</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其中：F</w:t>
      </w:r>
      <w:r>
        <w:rPr>
          <w:rFonts w:hint="eastAsia" w:ascii="宋体" w:hAnsi="宋体"/>
          <w:color w:val="000000" w:themeColor="text1"/>
          <w:kern w:val="2"/>
          <w:sz w:val="24"/>
          <w:szCs w:val="24"/>
          <w:vertAlign w:val="subscript"/>
          <w14:textFill>
            <w14:solidFill>
              <w14:schemeClr w14:val="tx1"/>
            </w14:solidFill>
          </w14:textFill>
        </w:rPr>
        <w:t>n</w:t>
      </w:r>
      <w:r>
        <w:rPr>
          <w:rFonts w:hint="eastAsia" w:ascii="宋体" w:hAnsi="宋体"/>
          <w:color w:val="000000" w:themeColor="text1"/>
          <w:kern w:val="2"/>
          <w:sz w:val="24"/>
          <w:szCs w:val="24"/>
          <w14:textFill>
            <w14:solidFill>
              <w14:schemeClr w14:val="tx1"/>
            </w14:solidFill>
          </w14:textFill>
        </w:rPr>
        <w:t>—第n参选人的商务得分（若计算所得F</w:t>
      </w:r>
      <w:r>
        <w:rPr>
          <w:rFonts w:hint="eastAsia" w:ascii="宋体" w:hAnsi="宋体"/>
          <w:color w:val="000000" w:themeColor="text1"/>
          <w:kern w:val="2"/>
          <w:sz w:val="24"/>
          <w:szCs w:val="24"/>
          <w:vertAlign w:val="subscript"/>
          <w14:textFill>
            <w14:solidFill>
              <w14:schemeClr w14:val="tx1"/>
            </w14:solidFill>
          </w14:textFill>
        </w:rPr>
        <w:t>n</w:t>
      </w:r>
      <w:r>
        <w:rPr>
          <w:rFonts w:hint="eastAsia" w:ascii="宋体" w:hAnsi="宋体"/>
          <w:color w:val="000000" w:themeColor="text1"/>
          <w:kern w:val="2"/>
          <w:sz w:val="24"/>
          <w:szCs w:val="24"/>
          <w14:textFill>
            <w14:solidFill>
              <w14:schemeClr w14:val="tx1"/>
            </w14:solidFill>
          </w14:textFill>
        </w:rPr>
        <w:t xml:space="preserve"> ≤0，则该参选人的商务得分定为0分）</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S</w:t>
      </w:r>
      <w:r>
        <w:rPr>
          <w:rFonts w:hint="eastAsia" w:ascii="宋体" w:hAnsi="宋体"/>
          <w:color w:val="000000" w:themeColor="text1"/>
          <w:kern w:val="2"/>
          <w:sz w:val="24"/>
          <w:szCs w:val="24"/>
          <w:vertAlign w:val="subscript"/>
          <w14:textFill>
            <w14:solidFill>
              <w14:schemeClr w14:val="tx1"/>
            </w14:solidFill>
          </w14:textFill>
        </w:rPr>
        <w:t>n</w:t>
      </w:r>
      <w:r>
        <w:rPr>
          <w:rFonts w:hint="eastAsia" w:ascii="宋体" w:hAnsi="宋体"/>
          <w:color w:val="000000" w:themeColor="text1"/>
          <w:kern w:val="2"/>
          <w:sz w:val="24"/>
          <w:szCs w:val="24"/>
          <w14:textFill>
            <w14:solidFill>
              <w14:schemeClr w14:val="tx1"/>
            </w14:solidFill>
          </w14:textFill>
        </w:rPr>
        <w:t>—第n 参选人的服务费</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S</w:t>
      </w:r>
      <w:r>
        <w:rPr>
          <w:rFonts w:hint="eastAsia" w:ascii="宋体" w:hAnsi="宋体"/>
          <w:color w:val="000000" w:themeColor="text1"/>
          <w:kern w:val="2"/>
          <w:sz w:val="24"/>
          <w:szCs w:val="24"/>
          <w:vertAlign w:val="subscript"/>
          <w14:textFill>
            <w14:solidFill>
              <w14:schemeClr w14:val="tx1"/>
            </w14:solidFill>
          </w14:textFill>
        </w:rPr>
        <w:t>j</w:t>
      </w:r>
      <w:r>
        <w:rPr>
          <w:rFonts w:hint="eastAsia" w:ascii="宋体" w:hAnsi="宋体"/>
          <w:color w:val="000000" w:themeColor="text1"/>
          <w:kern w:val="2"/>
          <w:sz w:val="24"/>
          <w:szCs w:val="24"/>
          <w14:textFill>
            <w14:solidFill>
              <w14:schemeClr w14:val="tx1"/>
            </w14:solidFill>
          </w14:textFill>
        </w:rPr>
        <w:t>—以进入商务标环节的所有参选人所报的基准价</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2.汇总技术标得分和商务标得分后，评标委员会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14:textFill>
            <w14:solidFill>
              <w14:schemeClr w14:val="tx1"/>
            </w14:solidFill>
          </w14:textFill>
        </w:rPr>
        <w:t>并形成评标报告。</w:t>
      </w:r>
    </w:p>
    <w:bookmarkEnd w:id="109"/>
    <w:bookmarkEnd w:id="110"/>
    <w:p>
      <w:pPr>
        <w:spacing w:line="360" w:lineRule="auto"/>
        <w:ind w:firstLine="482" w:firstLineChars="200"/>
        <w:rPr>
          <w:rFonts w:ascii="宋体" w:hAnsi="宋体"/>
          <w:b/>
          <w:bCs/>
          <w:color w:val="000000" w:themeColor="text1"/>
          <w:szCs w:val="24"/>
          <w14:textFill>
            <w14:solidFill>
              <w14:schemeClr w14:val="tx1"/>
            </w14:solidFill>
          </w14:textFill>
        </w:rPr>
      </w:pPr>
      <w:bookmarkStart w:id="111" w:name="_Toc946"/>
      <w:bookmarkStart w:id="112" w:name="_Toc518494144"/>
      <w:r>
        <w:rPr>
          <w:rFonts w:hint="eastAsia" w:ascii="宋体" w:hAnsi="宋体"/>
          <w:b/>
          <w:bCs/>
          <w:color w:val="000000" w:themeColor="text1"/>
          <w:szCs w:val="24"/>
          <w14:textFill>
            <w14:solidFill>
              <w14:schemeClr w14:val="tx1"/>
            </w14:solidFill>
          </w14:textFill>
        </w:rPr>
        <w:t>四、中选价确定原则</w:t>
      </w:r>
      <w:bookmarkEnd w:id="111"/>
      <w:bookmarkEnd w:id="112"/>
    </w:p>
    <w:p>
      <w:pPr>
        <w:tabs>
          <w:tab w:val="left" w:pos="851"/>
        </w:tabs>
        <w:spacing w:line="360" w:lineRule="auto"/>
        <w:ind w:firstLine="480" w:firstLineChars="200"/>
        <w:rPr>
          <w:rFonts w:ascii="宋体" w:hAnsi="宋体"/>
          <w:color w:val="000000" w:themeColor="text1"/>
          <w14:textFill>
            <w14:solidFill>
              <w14:schemeClr w14:val="tx1"/>
            </w14:solidFill>
          </w14:textFill>
        </w:rPr>
      </w:pPr>
      <w:bookmarkStart w:id="113" w:name="_Toc518494145"/>
      <w:r>
        <w:rPr>
          <w:rFonts w:hint="eastAsia" w:ascii="宋体" w:hAnsi="宋体"/>
          <w:color w:val="000000" w:themeColor="text1"/>
          <w14:textFill>
            <w14:solidFill>
              <w14:schemeClr w14:val="tx1"/>
            </w14:solidFill>
          </w14:textFill>
        </w:rPr>
        <w:t>中选人的总报价即为中选价。</w:t>
      </w:r>
    </w:p>
    <w:p>
      <w:pPr>
        <w:spacing w:line="360" w:lineRule="auto"/>
        <w:ind w:firstLine="482" w:firstLineChars="200"/>
        <w:rPr>
          <w:rFonts w:ascii="宋体" w:hAnsi="宋体"/>
          <w:b/>
          <w:bCs/>
          <w:color w:val="000000" w:themeColor="text1"/>
          <w:szCs w:val="24"/>
          <w14:textFill>
            <w14:solidFill>
              <w14:schemeClr w14:val="tx1"/>
            </w14:solidFill>
          </w14:textFill>
        </w:rPr>
      </w:pPr>
      <w:bookmarkStart w:id="114" w:name="_Toc18603"/>
      <w:r>
        <w:rPr>
          <w:rFonts w:hint="eastAsia" w:ascii="宋体" w:hAnsi="宋体"/>
          <w:b/>
          <w:bCs/>
          <w:color w:val="000000" w:themeColor="text1"/>
          <w:szCs w:val="24"/>
          <w14:textFill>
            <w14:solidFill>
              <w14:schemeClr w14:val="tx1"/>
            </w14:solidFill>
          </w14:textFill>
        </w:rPr>
        <w:t>五、定标</w:t>
      </w:r>
      <w:bookmarkEnd w:id="113"/>
      <w:bookmarkEnd w:id="114"/>
    </w:p>
    <w:p>
      <w:pPr>
        <w:spacing w:line="360" w:lineRule="auto"/>
        <w:ind w:firstLine="480" w:firstLineChars="200"/>
        <w:rPr>
          <w:rFonts w:ascii="宋体" w:hAnsi="宋体"/>
          <w:color w:val="000000" w:themeColor="text1"/>
          <w:szCs w:val="24"/>
          <w14:textFill>
            <w14:solidFill>
              <w14:schemeClr w14:val="tx1"/>
            </w14:solidFill>
          </w14:textFill>
        </w:rPr>
      </w:pPr>
      <w:bookmarkStart w:id="115" w:name="_Toc518494146"/>
      <w:r>
        <w:rPr>
          <w:rFonts w:hint="eastAsia" w:ascii="宋体" w:hAnsi="宋体"/>
          <w:color w:val="000000" w:themeColor="text1"/>
          <w:szCs w:val="24"/>
          <w14:textFill>
            <w14:solidFill>
              <w14:schemeClr w14:val="tx1"/>
            </w14:solidFill>
          </w14:textFill>
        </w:rPr>
        <w:t>比选人在评标工作结束后，将根据评标委员会提交的评标报告，对推荐的中选候选人进行参选文件审核，确定中选人。</w:t>
      </w:r>
    </w:p>
    <w:p>
      <w:pPr>
        <w:spacing w:line="360" w:lineRule="auto"/>
        <w:ind w:firstLine="482" w:firstLineChars="200"/>
        <w:rPr>
          <w:rFonts w:ascii="宋体" w:hAnsi="宋体"/>
          <w:b/>
          <w:bCs/>
          <w:color w:val="000000" w:themeColor="text1"/>
          <w:szCs w:val="24"/>
          <w14:textFill>
            <w14:solidFill>
              <w14:schemeClr w14:val="tx1"/>
            </w14:solidFill>
          </w14:textFill>
        </w:rPr>
      </w:pPr>
      <w:bookmarkStart w:id="116" w:name="_Toc30153"/>
      <w:r>
        <w:rPr>
          <w:rFonts w:hint="eastAsia" w:ascii="宋体" w:hAnsi="宋体"/>
          <w:b/>
          <w:bCs/>
          <w:color w:val="000000" w:themeColor="text1"/>
          <w:szCs w:val="24"/>
          <w14:textFill>
            <w14:solidFill>
              <w14:schemeClr w14:val="tx1"/>
            </w14:solidFill>
          </w14:textFill>
        </w:rPr>
        <w:t>六、评标守则</w:t>
      </w:r>
      <w:bookmarkEnd w:id="115"/>
      <w:bookmarkEnd w:id="116"/>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（一）必须遵守评定标纪律，不得泄密；</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（二）必须公正、公平，不得徇私；</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（三）必须科学严谨，不得草率马虎；</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（四）必须客观，不得带有成见；</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（五）必须平等，不得强加于人。</w:t>
      </w:r>
    </w:p>
    <w:p>
      <w:pPr>
        <w:spacing w:line="360" w:lineRule="auto"/>
        <w:ind w:firstLine="480" w:firstLineChars="200"/>
        <w:rPr>
          <w:rFonts w:ascii="宋体" w:hAnsi="宋体"/>
          <w:color w:val="000000" w:themeColor="text1"/>
          <w:szCs w:val="24"/>
          <w14:textFill>
            <w14:solidFill>
              <w14:schemeClr w14:val="tx1"/>
            </w14:solidFill>
          </w14:textFill>
        </w:rPr>
      </w:pPr>
    </w:p>
    <w:bookmarkEnd w:id="11"/>
    <w:bookmarkEnd w:id="23"/>
    <w:bookmarkEnd w:id="24"/>
    <w:bookmarkEnd w:id="25"/>
    <w:bookmarkEnd w:id="26"/>
    <w:p>
      <w:pPr>
        <w:pStyle w:val="7"/>
        <w:tabs>
          <w:tab w:val="left" w:pos="1050"/>
        </w:tabs>
        <w:ind w:left="0" w:leftChars="0" w:firstLine="482" w:firstLineChars="200"/>
        <w:rPr>
          <w:rFonts w:ascii="宋体" w:hAnsi="宋体"/>
          <w:b/>
          <w:bCs/>
          <w:color w:val="000000" w:themeColor="text1"/>
          <w:sz w:val="24"/>
          <w:szCs w:val="24"/>
          <w14:textFill>
            <w14:solidFill>
              <w14:schemeClr w14:val="tx1"/>
            </w14:solidFill>
          </w14:textFill>
        </w:rPr>
      </w:pPr>
      <w:bookmarkStart w:id="117" w:name="_Toc197404912"/>
      <w:r>
        <w:rPr>
          <w:rFonts w:hint="eastAsia" w:ascii="宋体" w:hAnsi="宋体"/>
          <w:b/>
          <w:bCs/>
          <w:color w:val="000000" w:themeColor="text1"/>
          <w:sz w:val="24"/>
          <w:szCs w:val="24"/>
          <w14:textFill>
            <w14:solidFill>
              <w14:schemeClr w14:val="tx1"/>
            </w14:solidFill>
          </w14:textFill>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pStyle w:val="8"/>
        <w:tabs>
          <w:tab w:val="right" w:pos="9026"/>
        </w:tabs>
        <w:spacing w:line="360" w:lineRule="auto"/>
        <w:ind w:firstLine="480" w:firstLineChars="200"/>
        <w:rPr>
          <w:rFonts w:hAnsi="宋体"/>
          <w:color w:val="000000" w:themeColor="text1"/>
          <w:sz w:val="24"/>
          <w:szCs w:val="24"/>
          <w14:textFill>
            <w14:solidFill>
              <w14:schemeClr w14:val="tx1"/>
            </w14:solidFill>
          </w14:textFill>
        </w:rPr>
        <w:sectPr>
          <w:headerReference r:id="rId11" w:type="default"/>
          <w:pgSz w:w="11906" w:h="16838"/>
          <w:pgMar w:top="1440" w:right="1440" w:bottom="1440" w:left="1440" w:header="720" w:footer="890" w:gutter="0"/>
          <w:cols w:space="720" w:num="1"/>
          <w:docGrid w:linePitch="312" w:charSpace="0"/>
        </w:sect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pStyle w:val="3"/>
        <w:rPr>
          <w:color w:val="000000" w:themeColor="text1"/>
          <w:szCs w:val="44"/>
          <w14:textFill>
            <w14:solidFill>
              <w14:schemeClr w14:val="tx1"/>
            </w14:solidFill>
          </w14:textFill>
        </w:rPr>
      </w:pPr>
      <w:bookmarkStart w:id="118" w:name="_Toc97605310"/>
      <w:bookmarkStart w:id="119" w:name="_Toc13444"/>
      <w:bookmarkStart w:id="120" w:name="_Toc1301"/>
      <w:bookmarkStart w:id="121" w:name="_Toc12956"/>
      <w:r>
        <w:rPr>
          <w:rFonts w:hint="eastAsia"/>
          <w:color w:val="000000" w:themeColor="text1"/>
          <w:szCs w:val="44"/>
          <w14:textFill>
            <w14:solidFill>
              <w14:schemeClr w14:val="tx1"/>
            </w14:solidFill>
          </w14:textFill>
        </w:rPr>
        <w:t xml:space="preserve">评 审 </w:t>
      </w:r>
      <w:r>
        <w:rPr>
          <w:color w:val="000000" w:themeColor="text1"/>
          <w:szCs w:val="44"/>
          <w14:textFill>
            <w14:solidFill>
              <w14:schemeClr w14:val="tx1"/>
            </w14:solidFill>
          </w14:textFill>
        </w:rPr>
        <w:t>附</w:t>
      </w:r>
      <w:r>
        <w:rPr>
          <w:rFonts w:hint="eastAsia"/>
          <w:color w:val="000000" w:themeColor="text1"/>
          <w:szCs w:val="44"/>
          <w14:textFill>
            <w14:solidFill>
              <w14:schemeClr w14:val="tx1"/>
            </w14:solidFill>
          </w14:textFill>
        </w:rPr>
        <w:t xml:space="preserve"> </w:t>
      </w:r>
      <w:r>
        <w:rPr>
          <w:color w:val="000000" w:themeColor="text1"/>
          <w:szCs w:val="44"/>
          <w14:textFill>
            <w14:solidFill>
              <w14:schemeClr w14:val="tx1"/>
            </w14:solidFill>
          </w14:textFill>
        </w:rPr>
        <w:t>表</w:t>
      </w:r>
      <w:bookmarkEnd w:id="118"/>
      <w:bookmarkEnd w:id="119"/>
      <w:bookmarkEnd w:id="120"/>
      <w:bookmarkEnd w:id="121"/>
    </w:p>
    <w:p>
      <w:pPr>
        <w:tabs>
          <w:tab w:val="left" w:pos="1455"/>
        </w:tabs>
        <w:jc w:val="center"/>
        <w:rPr>
          <w:rFonts w:ascii="黑体" w:eastAsia="黑体"/>
          <w:color w:val="000000" w:themeColor="text1"/>
          <w:sz w:val="84"/>
          <w:szCs w:val="84"/>
          <w14:textFill>
            <w14:solidFill>
              <w14:schemeClr w14:val="tx1"/>
            </w14:solidFill>
          </w14:textFill>
        </w:rPr>
      </w:pPr>
    </w:p>
    <w:p>
      <w:pPr>
        <w:pStyle w:val="4"/>
        <w:jc w:val="left"/>
        <w:rPr>
          <w:rFonts w:ascii="宋体" w:hAnsi="宋体"/>
          <w:b/>
          <w:bCs/>
          <w:color w:val="000000" w:themeColor="text1"/>
          <w14:textFill>
            <w14:solidFill>
              <w14:schemeClr w14:val="tx1"/>
            </w14:solidFill>
          </w14:textFill>
        </w:rPr>
      </w:pPr>
      <w:r>
        <w:rPr>
          <w:color w:val="000000" w:themeColor="text1"/>
          <w:sz w:val="84"/>
          <w:szCs w:val="84"/>
          <w14:textFill>
            <w14:solidFill>
              <w14:schemeClr w14:val="tx1"/>
            </w14:solidFill>
          </w14:textFill>
        </w:rPr>
        <w:br w:type="page"/>
      </w:r>
      <w:bookmarkStart w:id="122" w:name="_Toc399494431"/>
      <w:bookmarkStart w:id="123" w:name="_Toc2841"/>
      <w:bookmarkStart w:id="124" w:name="_Toc4746"/>
      <w:bookmarkStart w:id="125" w:name="_Toc14208"/>
      <w:r>
        <w:rPr>
          <w:rFonts w:hint="eastAsia"/>
          <w:color w:val="000000" w:themeColor="text1"/>
          <w:szCs w:val="36"/>
          <w14:textFill>
            <w14:solidFill>
              <w14:schemeClr w14:val="tx1"/>
            </w14:solidFill>
          </w14:textFill>
        </w:rPr>
        <w:t>附表1：</w:t>
      </w:r>
      <w:bookmarkEnd w:id="122"/>
      <w:r>
        <w:rPr>
          <w:rFonts w:hint="eastAsia"/>
          <w:color w:val="000000" w:themeColor="text1"/>
          <w:szCs w:val="36"/>
          <w14:textFill>
            <w14:solidFill>
              <w14:schemeClr w14:val="tx1"/>
            </w14:solidFill>
          </w14:textFill>
        </w:rPr>
        <w:t>参选人签到表</w:t>
      </w:r>
      <w:bookmarkEnd w:id="123"/>
      <w:bookmarkEnd w:id="124"/>
      <w:bookmarkEnd w:id="125"/>
    </w:p>
    <w:p>
      <w:pPr>
        <w:spacing w:line="560" w:lineRule="exact"/>
        <w:ind w:firstLine="597" w:firstLineChars="249"/>
        <w:rPr>
          <w:rFonts w:ascii="宋体" w:hAnsi="宋体"/>
          <w:color w:val="000000" w:themeColor="text1"/>
          <w14:textFill>
            <w14:solidFill>
              <w14:schemeClr w14:val="tx1"/>
            </w14:solidFill>
          </w14:textFill>
        </w:rPr>
      </w:pPr>
    </w:p>
    <w:p>
      <w:pPr>
        <w:spacing w:line="480" w:lineRule="exact"/>
        <w:jc w:val="cente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参选人签到表</w:t>
      </w:r>
    </w:p>
    <w:p>
      <w:pPr>
        <w:spacing w:line="480" w:lineRule="exact"/>
        <w:jc w:val="center"/>
        <w:rPr>
          <w:rFonts w:ascii="宋体" w:hAnsi="宋体" w:cs="宋体"/>
          <w:b/>
          <w:bCs/>
          <w:color w:val="000000" w:themeColor="text1"/>
          <w:kern w:val="0"/>
          <w:sz w:val="32"/>
          <w:szCs w:val="32"/>
          <w14:textFill>
            <w14:solidFill>
              <w14:schemeClr w14:val="tx1"/>
            </w14:solidFill>
          </w14:textFill>
        </w:rPr>
      </w:pPr>
    </w:p>
    <w:p>
      <w:pPr>
        <w:spacing w:after="120" w:afterLines="50" w:line="480" w:lineRule="exact"/>
        <w:jc w:val="right"/>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日期：       年      月     日</w:t>
      </w:r>
    </w:p>
    <w:tbl>
      <w:tblPr>
        <w:tblStyle w:val="14"/>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参选人简称</w:t>
            </w: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参选人签字</w:t>
            </w:r>
          </w:p>
        </w:tc>
        <w:tc>
          <w:tcPr>
            <w:tcW w:w="1754"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联系人及电话</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hint="eastAsia" w:ascii="宋体" w:hAnsi="宋体" w:cs="Arial"/>
                <w:color w:val="000000" w:themeColor="text1"/>
                <w:kern w:val="0"/>
                <w14:textFill>
                  <w14:solidFill>
                    <w14:schemeClr w14:val="tx1"/>
                  </w14:solidFill>
                </w14:textFill>
              </w:rPr>
              <w:t>1</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hint="eastAsia" w:ascii="宋体" w:hAnsi="宋体" w:cs="Arial"/>
                <w:color w:val="000000" w:themeColor="text1"/>
                <w:kern w:val="0"/>
                <w14:textFill>
                  <w14:solidFill>
                    <w14:schemeClr w14:val="tx1"/>
                  </w14:solidFill>
                </w14:textFill>
              </w:rPr>
              <w:t>2</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hint="eastAsia" w:ascii="宋体" w:hAnsi="宋体" w:cs="Arial"/>
                <w:color w:val="000000" w:themeColor="text1"/>
                <w:kern w:val="0"/>
                <w14:textFill>
                  <w14:solidFill>
                    <w14:schemeClr w14:val="tx1"/>
                  </w14:solidFill>
                </w14:textFill>
              </w:rPr>
              <w:t>3</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4</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hint="eastAsia" w:ascii="宋体" w:hAnsi="宋体" w:cs="Arial"/>
                <w:color w:val="000000" w:themeColor="text1"/>
                <w:kern w:val="0"/>
                <w14:textFill>
                  <w14:solidFill>
                    <w14:schemeClr w14:val="tx1"/>
                  </w14:solidFill>
                </w14:textFill>
              </w:rPr>
              <w:t>5</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hint="eastAsia" w:ascii="宋体" w:hAnsi="宋体" w:cs="Arial"/>
                <w:color w:val="000000" w:themeColor="text1"/>
                <w:kern w:val="0"/>
                <w14:textFill>
                  <w14:solidFill>
                    <w14:schemeClr w14:val="tx1"/>
                  </w14:solidFill>
                </w14:textFill>
              </w:rPr>
              <w:t>6</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工作</w:t>
            </w:r>
            <w:r>
              <w:rPr>
                <w:rFonts w:ascii="宋体" w:hAnsi="宋体"/>
                <w:color w:val="000000" w:themeColor="text1"/>
                <w14:textFill>
                  <w14:solidFill>
                    <w14:schemeClr w14:val="tx1"/>
                  </w14:solidFill>
                </w14:textFill>
              </w:rPr>
              <w:t>人员</w:t>
            </w:r>
            <w:r>
              <w:rPr>
                <w:rFonts w:hint="eastAsia" w:ascii="宋体" w:hAnsi="宋体"/>
                <w:color w:val="000000" w:themeColor="text1"/>
                <w14:textFill>
                  <w14:solidFill>
                    <w14:schemeClr w14:val="tx1"/>
                  </w14:solidFill>
                </w14:textFill>
              </w:rPr>
              <w:t>(签名)：</w:t>
            </w:r>
          </w:p>
          <w:p>
            <w:pPr>
              <w:widowControl/>
              <w:spacing w:line="480" w:lineRule="exact"/>
              <w:rPr>
                <w:rFonts w:ascii="宋体" w:hAnsi="宋体"/>
                <w:color w:val="000000" w:themeColor="text1"/>
                <w14:textFill>
                  <w14:solidFill>
                    <w14:schemeClr w14:val="tx1"/>
                  </w14:solidFill>
                </w14:textFill>
              </w:rPr>
            </w:pPr>
          </w:p>
          <w:p>
            <w:pPr>
              <w:widowControl/>
              <w:spacing w:line="480" w:lineRule="exact"/>
              <w:rPr>
                <w:rFonts w:ascii="宋体" w:hAnsi="宋体"/>
                <w:color w:val="000000" w:themeColor="text1"/>
                <w14:textFill>
                  <w14:solidFill>
                    <w14:schemeClr w14:val="tx1"/>
                  </w14:solidFill>
                </w14:textFill>
              </w:rPr>
            </w:pPr>
          </w:p>
          <w:p>
            <w:pPr>
              <w:widowControl/>
              <w:spacing w:line="48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监督(签名)：</w:t>
            </w:r>
          </w:p>
        </w:tc>
      </w:tr>
    </w:tbl>
    <w:p>
      <w:pPr>
        <w:tabs>
          <w:tab w:val="left" w:pos="1455"/>
        </w:tabs>
        <w:jc w:val="center"/>
        <w:rPr>
          <w:rFonts w:ascii="宋体" w:hAnsi="宋体"/>
          <w:color w:val="000000" w:themeColor="text1"/>
          <w:szCs w:val="24"/>
          <w14:textFill>
            <w14:solidFill>
              <w14:schemeClr w14:val="tx1"/>
            </w14:solidFill>
          </w14:textFill>
        </w:rPr>
      </w:pPr>
    </w:p>
    <w:p>
      <w:pPr>
        <w:tabs>
          <w:tab w:val="left" w:pos="1455"/>
        </w:tabs>
        <w:rPr>
          <w:rFonts w:ascii="宋体" w:hAnsi="宋体"/>
          <w:color w:val="000000" w:themeColor="text1"/>
          <w:szCs w:val="24"/>
          <w14:textFill>
            <w14:solidFill>
              <w14:schemeClr w14:val="tx1"/>
            </w14:solidFill>
          </w14:textFill>
        </w:rPr>
        <w:sectPr>
          <w:headerReference r:id="rId12" w:type="default"/>
          <w:pgSz w:w="11907" w:h="16840"/>
          <w:pgMar w:top="1440" w:right="1440" w:bottom="1440" w:left="1134" w:header="720" w:footer="890" w:gutter="0"/>
          <w:cols w:space="720" w:num="1"/>
          <w:docGrid w:linePitch="312" w:charSpace="0"/>
        </w:sectPr>
      </w:pPr>
    </w:p>
    <w:bookmarkEnd w:id="2"/>
    <w:bookmarkEnd w:id="3"/>
    <w:bookmarkEnd w:id="4"/>
    <w:bookmarkEnd w:id="117"/>
    <w:p>
      <w:pPr>
        <w:pStyle w:val="4"/>
        <w:jc w:val="left"/>
        <w:rPr>
          <w:color w:val="000000" w:themeColor="text1"/>
          <w:szCs w:val="36"/>
          <w14:textFill>
            <w14:solidFill>
              <w14:schemeClr w14:val="tx1"/>
            </w14:solidFill>
          </w14:textFill>
        </w:rPr>
      </w:pPr>
      <w:bookmarkStart w:id="126" w:name="_Toc30292"/>
      <w:bookmarkStart w:id="127" w:name="_Toc31919"/>
      <w:bookmarkStart w:id="128" w:name="_Toc9954"/>
      <w:r>
        <w:rPr>
          <w:rFonts w:hint="eastAsia"/>
          <w:color w:val="000000" w:themeColor="text1"/>
          <w:szCs w:val="36"/>
          <w14:textFill>
            <w14:solidFill>
              <w14:schemeClr w14:val="tx1"/>
            </w14:solidFill>
          </w14:textFill>
        </w:rPr>
        <w:t>附表2：  开标记录表</w:t>
      </w:r>
      <w:bookmarkEnd w:id="126"/>
      <w:bookmarkEnd w:id="127"/>
      <w:bookmarkEnd w:id="128"/>
    </w:p>
    <w:p>
      <w:pPr>
        <w:snapToGrid w:val="0"/>
        <w:spacing w:line="360" w:lineRule="auto"/>
        <w:jc w:val="center"/>
        <w:rPr>
          <w:rFonts w:ascii="宋体" w:hAnsi="宋体" w:cs="宋体"/>
          <w:b/>
          <w:color w:val="000000" w:themeColor="text1"/>
          <w:kern w:val="0"/>
          <w:sz w:val="32"/>
          <w:szCs w:val="28"/>
          <w14:textFill>
            <w14:solidFill>
              <w14:schemeClr w14:val="tx1"/>
            </w14:solidFill>
          </w14:textFill>
        </w:rPr>
      </w:pPr>
      <w:r>
        <w:rPr>
          <w:rFonts w:hint="eastAsia" w:ascii="宋体" w:hAnsi="宋体" w:cs="宋体"/>
          <w:b/>
          <w:color w:val="000000" w:themeColor="text1"/>
          <w:kern w:val="0"/>
          <w:sz w:val="32"/>
          <w:szCs w:val="28"/>
          <w14:textFill>
            <w14:solidFill>
              <w14:schemeClr w14:val="tx1"/>
            </w14:solidFill>
          </w14:textFill>
        </w:rPr>
        <w:t>开标记录表</w:t>
      </w:r>
    </w:p>
    <w:p>
      <w:pPr>
        <w:snapToGrid w:val="0"/>
        <w:spacing w:line="360" w:lineRule="auto"/>
        <w:jc w:val="center"/>
        <w:rPr>
          <w:rFonts w:ascii="宋体" w:hAnsi="宋体" w:cs="宋体"/>
          <w:b/>
          <w:color w:val="000000" w:themeColor="text1"/>
          <w:kern w:val="0"/>
          <w:sz w:val="32"/>
          <w:szCs w:val="28"/>
          <w14:textFill>
            <w14:solidFill>
              <w14:schemeClr w14:val="tx1"/>
            </w14:solidFill>
          </w14:textFill>
        </w:rPr>
      </w:pPr>
      <w:r>
        <w:rPr>
          <w:rFonts w:hint="eastAsia" w:ascii="宋体" w:hAnsi="宋体" w:cs="宋体"/>
          <w:b/>
          <w:color w:val="000000" w:themeColor="text1"/>
          <w:kern w:val="0"/>
          <w:sz w:val="32"/>
          <w:szCs w:val="28"/>
          <w14:textFill>
            <w14:solidFill>
              <w14:schemeClr w14:val="tx1"/>
            </w14:solidFill>
          </w14:textFill>
        </w:rPr>
        <w:t xml:space="preserve"> </w:t>
      </w:r>
    </w:p>
    <w:p>
      <w:pPr>
        <w:spacing w:after="120" w:afterLines="50" w:line="480" w:lineRule="exact"/>
        <w:ind w:right="630"/>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Cs w:val="28"/>
          <w14:textFill>
            <w14:solidFill>
              <w14:schemeClr w14:val="tx1"/>
            </w14:solidFill>
          </w14:textFill>
        </w:rPr>
        <w:t>比选项目名称：</w:t>
      </w:r>
      <w:r>
        <w:rPr>
          <w:rFonts w:hint="eastAsia"/>
          <w:color w:val="000000" w:themeColor="text1"/>
          <w:szCs w:val="24"/>
          <w14:textFill>
            <w14:solidFill>
              <w14:schemeClr w14:val="tx1"/>
            </w14:solidFill>
          </w14:textFill>
        </w:rPr>
        <w:t>轨道交通四期综合开发项目（四）土壤环境初步调查</w:t>
      </w:r>
    </w:p>
    <w:tbl>
      <w:tblPr>
        <w:tblStyle w:val="14"/>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604"/>
        <w:gridCol w:w="1734"/>
        <w:gridCol w:w="1734"/>
        <w:gridCol w:w="1734"/>
        <w:gridCol w:w="1734"/>
        <w:gridCol w:w="1734"/>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95" w:type="dxa"/>
            <w:vMerge w:val="restart"/>
            <w:vAlign w:val="center"/>
          </w:tcPr>
          <w:p>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序号</w:t>
            </w:r>
          </w:p>
        </w:tc>
        <w:tc>
          <w:tcPr>
            <w:tcW w:w="2604" w:type="dxa"/>
            <w:vMerge w:val="restart"/>
            <w:vAlign w:val="center"/>
          </w:tcPr>
          <w:p>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项目</w:t>
            </w:r>
          </w:p>
        </w:tc>
        <w:tc>
          <w:tcPr>
            <w:tcW w:w="10405" w:type="dxa"/>
            <w:gridSpan w:val="6"/>
            <w:vAlign w:val="center"/>
          </w:tcPr>
          <w:p>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参选人</w:t>
            </w:r>
            <w:r>
              <w:rPr>
                <w:rFonts w:hint="eastAsia" w:ascii="宋体" w:hAnsi="宋体"/>
                <w:b/>
                <w:bCs/>
                <w:color w:val="000000" w:themeColor="text1"/>
                <w:szCs w:val="24"/>
                <w14:textFill>
                  <w14:solidFill>
                    <w14:schemeClr w14:val="tx1"/>
                  </w14:solidFill>
                </w14:textFill>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95" w:type="dxa"/>
            <w:vMerge w:val="continue"/>
            <w:vAlign w:val="center"/>
          </w:tcPr>
          <w:p>
            <w:pPr>
              <w:widowControl/>
              <w:jc w:val="center"/>
              <w:rPr>
                <w:rFonts w:ascii="宋体" w:hAnsi="宋体" w:cs="宋体"/>
                <w:color w:val="000000" w:themeColor="text1"/>
                <w:kern w:val="0"/>
                <w:szCs w:val="24"/>
                <w14:textFill>
                  <w14:solidFill>
                    <w14:schemeClr w14:val="tx1"/>
                  </w14:solidFill>
                </w14:textFill>
              </w:rPr>
            </w:pPr>
          </w:p>
        </w:tc>
        <w:tc>
          <w:tcPr>
            <w:tcW w:w="2604" w:type="dxa"/>
            <w:vMerge w:val="continue"/>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5" w:type="dxa"/>
            <w:vAlign w:val="center"/>
          </w:tcPr>
          <w:p>
            <w:pPr>
              <w:widowControl/>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1</w:t>
            </w:r>
          </w:p>
        </w:tc>
        <w:tc>
          <w:tcPr>
            <w:tcW w:w="2604" w:type="dxa"/>
            <w:vAlign w:val="center"/>
          </w:tcPr>
          <w:p>
            <w:pPr>
              <w:widowControl/>
              <w:jc w:val="center"/>
              <w:rPr>
                <w:rFonts w:ascii="宋体" w:hAnsi="宋体" w:cs="宋体"/>
                <w:color w:val="000000" w:themeColor="text1"/>
                <w:kern w:val="0"/>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参选文件在截止时间前送达指定地点</w:t>
            </w:r>
          </w:p>
        </w:tc>
        <w:tc>
          <w:tcPr>
            <w:tcW w:w="1734" w:type="dxa"/>
            <w:vAlign w:val="center"/>
          </w:tcPr>
          <w:p>
            <w:pPr>
              <w:widowControl/>
              <w:jc w:val="center"/>
              <w:rPr>
                <w:rFonts w:ascii="宋体" w:hAnsi="宋体"/>
                <w:color w:val="000000" w:themeColor="text1"/>
                <w:szCs w:val="24"/>
                <w14:textFill>
                  <w14:solidFill>
                    <w14:schemeClr w14:val="tx1"/>
                  </w14:solidFill>
                </w14:textFill>
              </w:rPr>
            </w:pPr>
          </w:p>
        </w:tc>
        <w:tc>
          <w:tcPr>
            <w:tcW w:w="1734" w:type="dxa"/>
          </w:tcPr>
          <w:p>
            <w:pPr>
              <w:widowControl/>
              <w:jc w:val="center"/>
              <w:rPr>
                <w:rFonts w:ascii="宋体" w:hAnsi="宋体"/>
                <w:color w:val="000000" w:themeColor="text1"/>
                <w:szCs w:val="24"/>
                <w14:textFill>
                  <w14:solidFill>
                    <w14:schemeClr w14:val="tx1"/>
                  </w14:solidFill>
                </w14:textFill>
              </w:rPr>
            </w:pPr>
          </w:p>
        </w:tc>
        <w:tc>
          <w:tcPr>
            <w:tcW w:w="1734" w:type="dxa"/>
          </w:tcPr>
          <w:p>
            <w:pPr>
              <w:widowControl/>
              <w:jc w:val="center"/>
              <w:rPr>
                <w:rFonts w:ascii="宋体" w:hAnsi="宋体"/>
                <w:color w:val="000000" w:themeColor="text1"/>
                <w:szCs w:val="24"/>
                <w14:textFill>
                  <w14:solidFill>
                    <w14:schemeClr w14:val="tx1"/>
                  </w14:solidFill>
                </w14:textFill>
              </w:rPr>
            </w:pPr>
          </w:p>
        </w:tc>
        <w:tc>
          <w:tcPr>
            <w:tcW w:w="1734" w:type="dxa"/>
            <w:vAlign w:val="center"/>
          </w:tcPr>
          <w:p>
            <w:pPr>
              <w:widowControl/>
              <w:jc w:val="center"/>
              <w:rPr>
                <w:rFonts w:ascii="宋体" w:hAnsi="宋体"/>
                <w:color w:val="000000" w:themeColor="text1"/>
                <w:szCs w:val="24"/>
                <w14:textFill>
                  <w14:solidFill>
                    <w14:schemeClr w14:val="tx1"/>
                  </w14:solidFill>
                </w14:textFill>
              </w:rPr>
            </w:pPr>
          </w:p>
        </w:tc>
        <w:tc>
          <w:tcPr>
            <w:tcW w:w="1734" w:type="dxa"/>
            <w:vAlign w:val="center"/>
          </w:tcPr>
          <w:p>
            <w:pPr>
              <w:widowControl/>
              <w:jc w:val="center"/>
              <w:rPr>
                <w:rFonts w:ascii="宋体" w:hAnsi="宋体"/>
                <w:color w:val="000000" w:themeColor="text1"/>
                <w:szCs w:val="24"/>
                <w14:textFill>
                  <w14:solidFill>
                    <w14:schemeClr w14:val="tx1"/>
                  </w14:solidFill>
                </w14:textFill>
              </w:rPr>
            </w:pPr>
          </w:p>
        </w:tc>
        <w:tc>
          <w:tcPr>
            <w:tcW w:w="1735" w:type="dxa"/>
            <w:vAlign w:val="center"/>
          </w:tcPr>
          <w:p>
            <w:pPr>
              <w:widowControl/>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2</w:t>
            </w:r>
          </w:p>
        </w:tc>
        <w:tc>
          <w:tcPr>
            <w:tcW w:w="2604" w:type="dxa"/>
            <w:vAlign w:val="center"/>
          </w:tcPr>
          <w:p>
            <w:pPr>
              <w:widowControl/>
              <w:jc w:val="center"/>
              <w:rPr>
                <w:rFonts w:ascii="宋体" w:hAnsi="宋体"/>
                <w:bCs/>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参选文件按规定密封</w:t>
            </w: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5" w:type="dxa"/>
            <w:vAlign w:val="center"/>
          </w:tcPr>
          <w:p>
            <w:pPr>
              <w:widowControl/>
              <w:jc w:val="left"/>
              <w:rPr>
                <w:rFonts w:ascii="宋体" w:hAnsi="宋体" w:cs="宋体"/>
                <w:b/>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3</w:t>
            </w:r>
          </w:p>
        </w:tc>
        <w:tc>
          <w:tcPr>
            <w:tcW w:w="2604" w:type="dxa"/>
            <w:vAlign w:val="center"/>
          </w:tcPr>
          <w:p>
            <w:pPr>
              <w:widowControl/>
              <w:jc w:val="center"/>
              <w:rPr>
                <w:rFonts w:ascii="宋体" w:hAnsi="宋体"/>
                <w:bCs/>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参选报价（</w:t>
            </w:r>
            <w:r>
              <w:rPr>
                <w:rFonts w:ascii="宋体" w:hAnsi="宋体"/>
                <w:bCs/>
                <w:color w:val="000000" w:themeColor="text1"/>
                <w:szCs w:val="24"/>
                <w14:textFill>
                  <w14:solidFill>
                    <w14:schemeClr w14:val="tx1"/>
                  </w14:solidFill>
                </w14:textFill>
              </w:rPr>
              <w:t>含税）</w:t>
            </w: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5" w:type="dxa"/>
            <w:vAlign w:val="center"/>
          </w:tcPr>
          <w:p>
            <w:pPr>
              <w:widowControl/>
              <w:jc w:val="left"/>
              <w:rPr>
                <w:rFonts w:ascii="宋体" w:hAnsi="宋体" w:cs="宋体"/>
                <w:b/>
                <w:color w:val="000000" w:themeColor="text1"/>
                <w:kern w:val="0"/>
                <w:szCs w:val="24"/>
                <w14:textFill>
                  <w14:solidFill>
                    <w14:schemeClr w14:val="tx1"/>
                  </w14:solidFill>
                </w14:textFill>
              </w:rPr>
            </w:pPr>
          </w:p>
        </w:tc>
      </w:tr>
    </w:tbl>
    <w:p>
      <w:pPr>
        <w:pStyle w:val="7"/>
        <w:spacing w:line="360" w:lineRule="exact"/>
        <w:ind w:left="0" w:leftChars="0" w:firstLine="0" w:firstLineChars="0"/>
        <w:rPr>
          <w:rFonts w:ascii="宋体" w:hAnsi="宋体"/>
          <w:b/>
          <w:color w:val="000000" w:themeColor="text1"/>
          <w14:textFill>
            <w14:solidFill>
              <w14:schemeClr w14:val="tx1"/>
            </w14:solidFill>
          </w14:textFill>
        </w:rPr>
      </w:pPr>
    </w:p>
    <w:p>
      <w:pPr>
        <w:pStyle w:val="7"/>
        <w:spacing w:line="360" w:lineRule="exact"/>
        <w:ind w:left="0" w:leftChars="0" w:firstLine="98" w:firstLineChars="49"/>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 xml:space="preserve">记录人签名： </w:t>
      </w:r>
    </w:p>
    <w:p>
      <w:pPr>
        <w:pStyle w:val="7"/>
        <w:spacing w:line="360" w:lineRule="exact"/>
        <w:ind w:left="0" w:leftChars="0" w:firstLine="98" w:firstLineChars="49"/>
        <w:rPr>
          <w:rFonts w:ascii="宋体" w:hAnsi="宋体"/>
          <w:b/>
          <w:color w:val="000000" w:themeColor="text1"/>
          <w14:textFill>
            <w14:solidFill>
              <w14:schemeClr w14:val="tx1"/>
            </w14:solidFill>
          </w14:textFill>
        </w:rPr>
      </w:pPr>
    </w:p>
    <w:p>
      <w:pPr>
        <w:pStyle w:val="7"/>
        <w:spacing w:line="360" w:lineRule="exact"/>
        <w:ind w:left="0" w:leftChars="0" w:firstLine="98" w:firstLineChars="49"/>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复核人签名：</w:t>
      </w:r>
    </w:p>
    <w:p>
      <w:pPr>
        <w:pStyle w:val="7"/>
        <w:spacing w:line="360" w:lineRule="exact"/>
        <w:ind w:left="0" w:leftChars="0" w:firstLine="98" w:firstLineChars="49"/>
        <w:rPr>
          <w:rFonts w:ascii="宋体" w:hAnsi="宋体"/>
          <w:b/>
          <w:color w:val="000000" w:themeColor="text1"/>
          <w14:textFill>
            <w14:solidFill>
              <w14:schemeClr w14:val="tx1"/>
            </w14:solidFill>
          </w14:textFill>
        </w:rPr>
      </w:pPr>
    </w:p>
    <w:p>
      <w:pPr>
        <w:pStyle w:val="7"/>
        <w:spacing w:line="360" w:lineRule="exact"/>
        <w:ind w:left="0" w:leftChars="0" w:firstLine="98" w:firstLineChars="49"/>
        <w:rPr>
          <w:rFonts w:ascii="宋体" w:hAnsi="宋体"/>
          <w:color w:val="000000" w:themeColor="text1"/>
          <w:szCs w:val="21"/>
          <w14:textFill>
            <w14:solidFill>
              <w14:schemeClr w14:val="tx1"/>
            </w14:solidFill>
          </w14:textFill>
        </w:rPr>
      </w:pPr>
      <w:r>
        <w:rPr>
          <w:rFonts w:hint="eastAsia" w:ascii="宋体" w:hAnsi="宋体"/>
          <w:b/>
          <w:color w:val="000000" w:themeColor="text1"/>
          <w14:textFill>
            <w14:solidFill>
              <w14:schemeClr w14:val="tx1"/>
            </w14:solidFill>
          </w14:textFill>
        </w:rPr>
        <w:t xml:space="preserve">监督人签名：                                                                                    </w:t>
      </w:r>
      <w:r>
        <w:rPr>
          <w:rFonts w:hint="eastAsia" w:ascii="宋体" w:hAnsi="宋体"/>
          <w:b/>
          <w:color w:val="000000" w:themeColor="text1"/>
          <w:szCs w:val="21"/>
          <w14:textFill>
            <w14:solidFill>
              <w14:schemeClr w14:val="tx1"/>
            </w14:solidFill>
          </w14:textFill>
        </w:rPr>
        <w:t>日期：</w:t>
      </w:r>
      <w:r>
        <w:rPr>
          <w:rFonts w:hint="eastAsia" w:ascii="宋体" w:hAnsi="宋体"/>
          <w:color w:val="000000" w:themeColor="text1"/>
          <w:szCs w:val="21"/>
          <w14:textFill>
            <w14:solidFill>
              <w14:schemeClr w14:val="tx1"/>
            </w14:solidFill>
          </w14:textFill>
        </w:rPr>
        <w:t xml:space="preserve">     年    月    日</w:t>
      </w:r>
      <w:bookmarkStart w:id="129" w:name="_Toc27292"/>
      <w:bookmarkStart w:id="130" w:name="_Toc14412"/>
      <w:bookmarkStart w:id="131" w:name="_Toc2127"/>
    </w:p>
    <w:p>
      <w:pPr>
        <w:pStyle w:val="4"/>
        <w:jc w:val="left"/>
        <w:rPr>
          <w:rFonts w:ascii="宋体" w:hAnsi="宋体" w:cs="宋体"/>
          <w:b/>
          <w:bCs/>
          <w:color w:val="000000" w:themeColor="text1"/>
          <w:szCs w:val="24"/>
          <w14:textFill>
            <w14:solidFill>
              <w14:schemeClr w14:val="tx1"/>
            </w14:solidFill>
          </w14:textFill>
        </w:rPr>
      </w:pPr>
      <w:r>
        <w:rPr>
          <w:rFonts w:hint="eastAsia"/>
          <w:color w:val="000000" w:themeColor="text1"/>
          <w:szCs w:val="36"/>
          <w14:textFill>
            <w14:solidFill>
              <w14:schemeClr w14:val="tx1"/>
            </w14:solidFill>
          </w14:textFill>
        </w:rPr>
        <w:t>附表3：技术标初步评审表</w:t>
      </w:r>
      <w:r>
        <w:rPr>
          <w:rFonts w:hint="eastAsia" w:ascii="宋体" w:hAnsi="宋体" w:cs="宋体"/>
          <w:b/>
          <w:bCs/>
          <w:color w:val="000000" w:themeColor="text1"/>
          <w:sz w:val="24"/>
          <w:szCs w:val="24"/>
          <w14:textFill>
            <w14:solidFill>
              <w14:schemeClr w14:val="tx1"/>
            </w14:solidFill>
          </w14:textFill>
        </w:rPr>
        <w:t xml:space="preserve"> </w:t>
      </w:r>
    </w:p>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技术标初步评审表</w:t>
      </w:r>
    </w:p>
    <w:p>
      <w:pPr>
        <w:spacing w:line="360" w:lineRule="auto"/>
        <w:jc w:val="left"/>
        <w:rPr>
          <w:rFonts w:ascii="宋体" w:hAnsi="宋体"/>
          <w:color w:val="000000" w:themeColor="text1"/>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项目名称：</w:t>
      </w:r>
      <w:r>
        <w:rPr>
          <w:rFonts w:hint="eastAsia" w:ascii="宋体" w:hAnsi="宋体" w:cs="宋体"/>
          <w:bCs/>
          <w:color w:val="000000" w:themeColor="text1"/>
          <w:kern w:val="0"/>
          <w:szCs w:val="24"/>
          <w14:textFill>
            <w14:solidFill>
              <w14:schemeClr w14:val="tx1"/>
            </w14:solidFill>
          </w14:textFill>
        </w:rPr>
        <w:t>轨道交通四期综合开发项目（四）土壤环境初步调查</w:t>
      </w:r>
    </w:p>
    <w:tbl>
      <w:tblPr>
        <w:tblStyle w:val="14"/>
        <w:tblW w:w="14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8"/>
        <w:gridCol w:w="7387"/>
        <w:gridCol w:w="1166"/>
        <w:gridCol w:w="1166"/>
        <w:gridCol w:w="1167"/>
        <w:gridCol w:w="1166"/>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restart"/>
            <w:vAlign w:val="center"/>
          </w:tcPr>
          <w:p>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序号</w:t>
            </w:r>
          </w:p>
        </w:tc>
        <w:tc>
          <w:tcPr>
            <w:tcW w:w="7387" w:type="dxa"/>
            <w:vMerge w:val="restart"/>
            <w:tcBorders>
              <w:tl2br w:val="single" w:color="auto" w:sz="4" w:space="0"/>
            </w:tcBorders>
            <w:vAlign w:val="center"/>
          </w:tcPr>
          <w:p>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项目名称                       参选人</w:t>
            </w:r>
          </w:p>
        </w:tc>
        <w:tc>
          <w:tcPr>
            <w:tcW w:w="5832" w:type="dxa"/>
            <w:gridSpan w:val="5"/>
            <w:vAlign w:val="bottom"/>
          </w:tcPr>
          <w:p>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continue"/>
            <w:tcBorders>
              <w:bottom w:val="single" w:color="auto" w:sz="4" w:space="0"/>
            </w:tcBorders>
            <w:vAlign w:val="center"/>
          </w:tcPr>
          <w:p>
            <w:pPr>
              <w:spacing w:line="360" w:lineRule="auto"/>
              <w:jc w:val="center"/>
              <w:rPr>
                <w:rFonts w:ascii="宋体" w:hAnsi="宋体"/>
                <w:b/>
                <w:bCs/>
                <w:color w:val="000000" w:themeColor="text1"/>
                <w:szCs w:val="21"/>
                <w14:textFill>
                  <w14:solidFill>
                    <w14:schemeClr w14:val="tx1"/>
                  </w14:solidFill>
                </w14:textFill>
              </w:rPr>
            </w:pPr>
          </w:p>
        </w:tc>
        <w:tc>
          <w:tcPr>
            <w:tcW w:w="7387" w:type="dxa"/>
            <w:vMerge w:val="continue"/>
            <w:tcBorders>
              <w:bottom w:val="single" w:color="auto" w:sz="4" w:space="0"/>
            </w:tcBorders>
            <w:vAlign w:val="center"/>
          </w:tcPr>
          <w:p>
            <w:pPr>
              <w:spacing w:line="360" w:lineRule="auto"/>
              <w:jc w:val="center"/>
              <w:rPr>
                <w:rFonts w:ascii="宋体" w:hAnsi="宋体"/>
                <w:b/>
                <w:bCs/>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bottom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1</w:t>
            </w:r>
          </w:p>
        </w:tc>
        <w:tc>
          <w:tcPr>
            <w:tcW w:w="7387" w:type="dxa"/>
            <w:tcBorders>
              <w:bottom w:val="single" w:color="auto" w:sz="4" w:space="0"/>
            </w:tcBorders>
            <w:vAlign w:val="center"/>
          </w:tcPr>
          <w:p>
            <w:pPr>
              <w:spacing w:line="360" w:lineRule="auto"/>
              <w:jc w:val="left"/>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lang w:val="en-US" w:eastAsia="zh-CN"/>
                <w14:textFill>
                  <w14:solidFill>
                    <w14:schemeClr w14:val="tx1"/>
                  </w14:solidFill>
                </w14:textFill>
              </w:rPr>
              <w:t>参选文件按要求加盖参选人公章</w:t>
            </w: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2</w:t>
            </w:r>
          </w:p>
        </w:tc>
        <w:tc>
          <w:tcPr>
            <w:tcW w:w="738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lang w:val="en-US" w:eastAsia="zh-CN"/>
                <w14:textFill>
                  <w14:solidFill>
                    <w14:schemeClr w14:val="tx1"/>
                  </w14:solidFill>
                </w14:textFill>
              </w:rPr>
              <w:t>参选文件经法定代表人或其委托代理人签字或盖章，或由委托代理人签字并随参选文件一起提供“法定代表人授权书”原件。</w:t>
            </w:r>
          </w:p>
        </w:tc>
        <w:tc>
          <w:tcPr>
            <w:tcW w:w="1166" w:type="dxa"/>
            <w:tcBorders>
              <w:lef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kern w:val="0"/>
                <w:sz w:val="21"/>
                <w:szCs w:val="21"/>
                <w:lang w:val="en-US" w:eastAsia="zh-CN"/>
                <w14:textFill>
                  <w14:solidFill>
                    <w14:schemeClr w14:val="tx1"/>
                  </w14:solidFill>
                </w14:textFill>
              </w:rPr>
            </w:pPr>
            <w:r>
              <w:rPr>
                <w:rFonts w:hint="eastAsia" w:ascii="宋体" w:hAnsi="宋体"/>
                <w:color w:val="000000" w:themeColor="text1"/>
                <w:kern w:val="0"/>
                <w:sz w:val="21"/>
                <w:szCs w:val="21"/>
                <w:lang w:val="en-US" w:eastAsia="zh-CN"/>
                <w14:textFill>
                  <w14:solidFill>
                    <w14:schemeClr w14:val="tx1"/>
                  </w14:solidFill>
                </w14:textFill>
              </w:rPr>
              <w:t>3</w:t>
            </w:r>
          </w:p>
        </w:tc>
        <w:tc>
          <w:tcPr>
            <w:tcW w:w="738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hint="default" w:ascii="宋体" w:hAnsi="宋体" w:eastAsia="宋体"/>
                <w:color w:val="000000" w:themeColor="text1"/>
                <w:kern w:val="0"/>
                <w:sz w:val="21"/>
                <w:szCs w:val="21"/>
                <w:lang w:val="en-US" w:eastAsia="zh-CN"/>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参选人必须是中华人民共和国境内依法注册的法人或合伙制企业或其他组织，注册成立时间不晚于2019年4月</w:t>
            </w:r>
          </w:p>
        </w:tc>
        <w:tc>
          <w:tcPr>
            <w:tcW w:w="1166" w:type="dxa"/>
            <w:tcBorders>
              <w:lef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8745" w:type="dxa"/>
            <w:gridSpan w:val="2"/>
            <w:tcBorders>
              <w:top w:val="single" w:color="auto" w:sz="4" w:space="0"/>
            </w:tcBorders>
            <w:vAlign w:val="center"/>
          </w:tcPr>
          <w:p>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评审结论：</w:t>
            </w: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r>
    </w:tbl>
    <w:p>
      <w:pPr>
        <w:tabs>
          <w:tab w:val="left" w:pos="0"/>
        </w:tabs>
        <w:snapToGrid w:val="0"/>
        <w:spacing w:line="360" w:lineRule="auto"/>
        <w:ind w:firstLine="482" w:firstLineChars="200"/>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说明：</w:t>
      </w:r>
      <w:r>
        <w:rPr>
          <w:rFonts w:hint="eastAsia" w:ascii="宋体" w:hAnsi="宋体"/>
          <w:color w:val="000000" w:themeColor="text1"/>
          <w:szCs w:val="21"/>
          <w14:textFill>
            <w14:solidFill>
              <w14:schemeClr w14:val="tx1"/>
            </w14:solidFill>
          </w14:textFill>
        </w:rPr>
        <w:t>1、评审通过的用“√”表示，未通过的用“×”表示。结论用“合格”或“不合格”表示。</w:t>
      </w:r>
    </w:p>
    <w:p>
      <w:pPr>
        <w:tabs>
          <w:tab w:val="left" w:pos="0"/>
        </w:tabs>
        <w:snapToGrid w:val="0"/>
        <w:spacing w:line="360" w:lineRule="auto"/>
        <w:ind w:firstLine="1200" w:firstLineChars="500"/>
        <w:rPr>
          <w:rFonts w:ascii="宋体" w:hAnsi="宋体"/>
          <w:color w:val="000000" w:themeColor="text1"/>
          <w:szCs w:val="24"/>
          <w14:textFill>
            <w14:solidFill>
              <w14:schemeClr w14:val="tx1"/>
            </w14:solidFill>
          </w14:textFill>
        </w:rPr>
      </w:pPr>
      <w:r>
        <w:rPr>
          <w:rFonts w:hint="eastAsia" w:ascii="宋体" w:hAnsi="宋体"/>
          <w:color w:val="000000" w:themeColor="text1"/>
          <w:szCs w:val="21"/>
          <w14:textFill>
            <w14:solidFill>
              <w14:schemeClr w14:val="tx1"/>
            </w14:solidFill>
          </w14:textFill>
        </w:rPr>
        <w:t>2、只有以上项目全部通过，评审结论为“合格”，否则结论为“不合格”。</w:t>
      </w:r>
    </w:p>
    <w:p>
      <w:pPr>
        <w:widowControl/>
        <w:spacing w:line="360" w:lineRule="auto"/>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评标</w:t>
      </w:r>
      <w:r>
        <w:rPr>
          <w:rFonts w:ascii="宋体" w:hAnsi="宋体"/>
          <w:b/>
          <w:color w:val="000000" w:themeColor="text1"/>
          <w:szCs w:val="24"/>
          <w14:textFill>
            <w14:solidFill>
              <w14:schemeClr w14:val="tx1"/>
            </w14:solidFill>
          </w14:textFill>
        </w:rPr>
        <w:t>委员会</w:t>
      </w:r>
      <w:r>
        <w:rPr>
          <w:rFonts w:hint="eastAsia" w:ascii="宋体" w:hAnsi="宋体"/>
          <w:b/>
          <w:color w:val="000000" w:themeColor="text1"/>
          <w:szCs w:val="24"/>
          <w14:textFill>
            <w14:solidFill>
              <w14:schemeClr w14:val="tx1"/>
            </w14:solidFill>
          </w14:textFill>
        </w:rPr>
        <w:t xml:space="preserve">（签名）：       </w:t>
      </w:r>
    </w:p>
    <w:p>
      <w:pPr>
        <w:widowControl/>
        <w:spacing w:line="360" w:lineRule="auto"/>
        <w:rPr>
          <w:rFonts w:ascii="宋体" w:hAnsi="宋体" w:cs="宋体"/>
          <w:b/>
          <w:bCs/>
          <w:color w:val="000000" w:themeColor="text1"/>
          <w:kern w:val="0"/>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                                                                           日期：</w:t>
      </w:r>
      <w:r>
        <w:rPr>
          <w:rFonts w:hint="eastAsia" w:ascii="宋体" w:hAnsi="宋体"/>
          <w:color w:val="000000" w:themeColor="text1"/>
          <w:szCs w:val="24"/>
          <w14:textFill>
            <w14:solidFill>
              <w14:schemeClr w14:val="tx1"/>
            </w14:solidFill>
          </w14:textFill>
        </w:rPr>
        <w:t xml:space="preserve">     年    月    日</w:t>
      </w:r>
    </w:p>
    <w:p>
      <w:pPr>
        <w:pStyle w:val="4"/>
        <w:jc w:val="left"/>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附表</w:t>
      </w:r>
      <w:r>
        <w:rPr>
          <w:color w:val="000000" w:themeColor="text1"/>
          <w:szCs w:val="36"/>
          <w14:textFill>
            <w14:solidFill>
              <w14:schemeClr w14:val="tx1"/>
            </w14:solidFill>
          </w14:textFill>
        </w:rPr>
        <w:t>4</w:t>
      </w:r>
      <w:r>
        <w:rPr>
          <w:rFonts w:hint="eastAsia"/>
          <w:color w:val="000000" w:themeColor="text1"/>
          <w:szCs w:val="36"/>
          <w14:textFill>
            <w14:solidFill>
              <w14:schemeClr w14:val="tx1"/>
            </w14:solidFill>
          </w14:textFill>
        </w:rPr>
        <w:t>：技术标评审表</w:t>
      </w:r>
      <w:bookmarkEnd w:id="129"/>
      <w:bookmarkEnd w:id="130"/>
      <w:bookmarkEnd w:id="131"/>
    </w:p>
    <w:p>
      <w:pPr>
        <w:spacing w:after="120" w:afterLines="50" w:line="480" w:lineRule="exact"/>
        <w:ind w:right="350" w:firstLine="6184" w:firstLineChars="2200"/>
        <w:jc w:val="left"/>
        <w:rPr>
          <w:rFonts w:ascii="宋体" w:hAnsi="宋体" w:cs="宋体"/>
          <w:b/>
          <w:bCs/>
          <w:color w:val="000000" w:themeColor="text1"/>
          <w:kern w:val="0"/>
          <w:szCs w:val="24"/>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技术标评审表（50分）</w:t>
      </w:r>
    </w:p>
    <w:p>
      <w:pPr>
        <w:jc w:val="left"/>
        <w:rPr>
          <w:color w:val="000000" w:themeColor="text1"/>
          <w:szCs w:val="24"/>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ascii="宋体" w:hAnsi="宋体" w:cs="宋体"/>
          <w:bCs/>
          <w:color w:val="000000" w:themeColor="text1"/>
          <w:kern w:val="0"/>
          <w:sz w:val="28"/>
          <w:szCs w:val="28"/>
          <w14:textFill>
            <w14:solidFill>
              <w14:schemeClr w14:val="tx1"/>
            </w14:solidFill>
          </w14:textFill>
        </w:rPr>
        <w:t>轨道交通四期综合开发项目（四）土壤环境初步调查</w:t>
      </w:r>
    </w:p>
    <w:p>
      <w:pPr>
        <w:pStyle w:val="2"/>
        <w:rPr>
          <w:color w:val="000000" w:themeColor="text1"/>
          <w14:textFill>
            <w14:solidFill>
              <w14:schemeClr w14:val="tx1"/>
            </w14:solidFill>
          </w14:textFill>
        </w:rPr>
      </w:pPr>
    </w:p>
    <w:tbl>
      <w:tblPr>
        <w:tblStyle w:val="14"/>
        <w:tblW w:w="14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
        <w:gridCol w:w="1279"/>
        <w:gridCol w:w="5740"/>
        <w:gridCol w:w="994"/>
        <w:gridCol w:w="1342"/>
        <w:gridCol w:w="1418"/>
        <w:gridCol w:w="1276"/>
        <w:gridCol w:w="1275"/>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671" w:type="dxa"/>
            <w:gridSpan w:val="2"/>
            <w:vMerge w:val="restart"/>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评审项目</w:t>
            </w:r>
          </w:p>
        </w:tc>
        <w:tc>
          <w:tcPr>
            <w:tcW w:w="5740" w:type="dxa"/>
            <w:vMerge w:val="restart"/>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评分细则</w:t>
            </w:r>
          </w:p>
        </w:tc>
        <w:tc>
          <w:tcPr>
            <w:tcW w:w="994" w:type="dxa"/>
            <w:vMerge w:val="restart"/>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满分值</w:t>
            </w:r>
          </w:p>
        </w:tc>
        <w:tc>
          <w:tcPr>
            <w:tcW w:w="6464" w:type="dxa"/>
            <w:gridSpan w:val="5"/>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1671" w:type="dxa"/>
            <w:gridSpan w:val="2"/>
            <w:vMerge w:val="continue"/>
            <w:vAlign w:val="center"/>
          </w:tcPr>
          <w:p>
            <w:pPr>
              <w:jc w:val="center"/>
              <w:rPr>
                <w:color w:val="000000" w:themeColor="text1"/>
                <w14:textFill>
                  <w14:solidFill>
                    <w14:schemeClr w14:val="tx1"/>
                  </w14:solidFill>
                </w14:textFill>
              </w:rPr>
            </w:pPr>
          </w:p>
        </w:tc>
        <w:tc>
          <w:tcPr>
            <w:tcW w:w="5740" w:type="dxa"/>
            <w:vMerge w:val="continue"/>
            <w:vAlign w:val="center"/>
          </w:tcPr>
          <w:p>
            <w:pPr>
              <w:jc w:val="center"/>
              <w:rPr>
                <w:color w:val="000000" w:themeColor="text1"/>
                <w14:textFill>
                  <w14:solidFill>
                    <w14:schemeClr w14:val="tx1"/>
                  </w14:solidFill>
                </w14:textFill>
              </w:rPr>
            </w:pPr>
          </w:p>
        </w:tc>
        <w:tc>
          <w:tcPr>
            <w:tcW w:w="994" w:type="dxa"/>
            <w:vMerge w:val="continue"/>
            <w:tcBorders>
              <w:right w:val="single" w:color="auto" w:sz="4" w:space="0"/>
            </w:tcBorders>
            <w:vAlign w:val="center"/>
          </w:tcPr>
          <w:p>
            <w:pPr>
              <w:jc w:val="center"/>
              <w:rPr>
                <w:color w:val="000000" w:themeColor="text1"/>
                <w14:textFill>
                  <w14:solidFill>
                    <w14:schemeClr w14:val="tx1"/>
                  </w14:solidFill>
                </w14:textFill>
              </w:rPr>
            </w:pPr>
          </w:p>
        </w:tc>
        <w:tc>
          <w:tcPr>
            <w:tcW w:w="1342" w:type="dxa"/>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418" w:type="dxa"/>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276" w:type="dxa"/>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275" w:type="dxa"/>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153" w:type="dxa"/>
            <w:tcBorders>
              <w:lef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392" w:type="dxa"/>
            <w:vAlign w:val="center"/>
          </w:tcPr>
          <w:p>
            <w:pPr>
              <w:spacing w:line="400" w:lineRule="exact"/>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279" w:type="dxa"/>
            <w:vAlign w:val="center"/>
          </w:tcPr>
          <w:p>
            <w:pPr>
              <w:rPr>
                <w:rFonts w:ascii="宋体" w:hAnsi="宋体"/>
                <w:color w:val="000000" w:themeColor="text1"/>
                <w:szCs w:val="21"/>
                <w14:textFill>
                  <w14:solidFill>
                    <w14:schemeClr w14:val="tx1"/>
                  </w14:solidFill>
                </w14:textFill>
              </w:rPr>
            </w:pPr>
            <w:r>
              <w:rPr>
                <w:rFonts w:hint="eastAsia" w:ascii="宋体" w:hAnsi="宋体"/>
                <w:szCs w:val="21"/>
              </w:rPr>
              <w:t>公司资质</w:t>
            </w:r>
          </w:p>
        </w:tc>
        <w:tc>
          <w:tcPr>
            <w:tcW w:w="5740" w:type="dxa"/>
            <w:vAlign w:val="center"/>
          </w:tcPr>
          <w:p>
            <w:pPr>
              <w:jc w:val="left"/>
              <w:rPr>
                <w:rFonts w:ascii="Calibri" w:hAnsi="Calibri"/>
                <w:color w:val="000000" w:themeColor="text1"/>
                <w:szCs w:val="22"/>
                <w:highlight w:val="yellow"/>
                <w14:textFill>
                  <w14:solidFill>
                    <w14:schemeClr w14:val="tx1"/>
                  </w14:solidFill>
                </w14:textFill>
              </w:rPr>
            </w:pPr>
            <w:r>
              <w:rPr>
                <w:rFonts w:hint="eastAsia"/>
                <w:szCs w:val="21"/>
              </w:rPr>
              <w:t>参选</w:t>
            </w:r>
            <w:r>
              <w:rPr>
                <w:rFonts w:hint="eastAsia" w:ascii="宋体" w:hAnsi="宋体"/>
                <w:szCs w:val="21"/>
              </w:rPr>
              <w:t>人需提供广东省或深圳环保技术咨询服务相关能力认证证书，根据不同的认定等级，分别打分（甲级得10分、乙级</w:t>
            </w:r>
            <w:r>
              <w:rPr>
                <w:rFonts w:hint="eastAsia"/>
                <w:szCs w:val="21"/>
              </w:rPr>
              <w:t>得</w:t>
            </w:r>
            <w:r>
              <w:rPr>
                <w:rFonts w:hint="eastAsia" w:ascii="宋体" w:hAnsi="宋体"/>
                <w:szCs w:val="21"/>
              </w:rPr>
              <w:t>6分，丙级得2分，其余不得分）</w:t>
            </w:r>
          </w:p>
        </w:tc>
        <w:tc>
          <w:tcPr>
            <w:tcW w:w="994" w:type="dxa"/>
            <w:vAlign w:val="center"/>
          </w:tcPr>
          <w:p>
            <w:pPr>
              <w:spacing w:line="400" w:lineRule="exact"/>
              <w:jc w:val="center"/>
              <w:rPr>
                <w:rFonts w:ascii="Calibri" w:hAnsi="Calibri"/>
                <w:color w:val="000000" w:themeColor="text1"/>
                <w:szCs w:val="22"/>
                <w14:textFill>
                  <w14:solidFill>
                    <w14:schemeClr w14:val="tx1"/>
                  </w14:solidFill>
                </w14:textFill>
              </w:rPr>
            </w:pPr>
            <w:r>
              <w:rPr>
                <w:rFonts w:hint="eastAsia" w:ascii="Calibri" w:hAnsi="Calibri"/>
                <w:color w:val="000000" w:themeColor="text1"/>
                <w:szCs w:val="22"/>
                <w14:textFill>
                  <w14:solidFill>
                    <w14:schemeClr w14:val="tx1"/>
                  </w14:solidFill>
                </w14:textFill>
              </w:rPr>
              <w:t>10</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spacing w:line="400" w:lineRule="exact"/>
              <w:ind w:right="420"/>
              <w:rPr>
                <w:rFonts w:ascii="宋体" w:hAnsi="宋体"/>
                <w:color w:val="000000" w:themeColor="text1"/>
                <w:szCs w:val="21"/>
                <w14:textFill>
                  <w14:solidFill>
                    <w14:schemeClr w14:val="tx1"/>
                  </w14:solidFill>
                </w14:textFill>
              </w:rPr>
            </w:pPr>
          </w:p>
        </w:tc>
        <w:tc>
          <w:tcPr>
            <w:tcW w:w="1276" w:type="dxa"/>
            <w:vAlign w:val="center"/>
          </w:tcPr>
          <w:p>
            <w:pPr>
              <w:rPr>
                <w:rFonts w:ascii="Calibri" w:hAnsi="Calibri"/>
                <w:color w:val="000000" w:themeColor="text1"/>
                <w:szCs w:val="22"/>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392" w:type="dxa"/>
            <w:vAlign w:val="center"/>
          </w:tcPr>
          <w:p>
            <w:pPr>
              <w:spacing w:line="400" w:lineRule="exact"/>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tc>
        <w:tc>
          <w:tcPr>
            <w:tcW w:w="1279" w:type="dxa"/>
            <w:vAlign w:val="center"/>
          </w:tcPr>
          <w:p>
            <w:pPr>
              <w:rPr>
                <w:rFonts w:ascii="宋体" w:hAnsi="宋体"/>
                <w:color w:val="000000" w:themeColor="text1"/>
                <w:szCs w:val="21"/>
                <w14:textFill>
                  <w14:solidFill>
                    <w14:schemeClr w14:val="tx1"/>
                  </w14:solidFill>
                </w14:textFill>
              </w:rPr>
            </w:pPr>
            <w:r>
              <w:rPr>
                <w:rFonts w:hint="eastAsia" w:ascii="宋体" w:hAnsi="宋体"/>
                <w:szCs w:val="21"/>
              </w:rPr>
              <w:t>成果通过率</w:t>
            </w:r>
          </w:p>
        </w:tc>
        <w:tc>
          <w:tcPr>
            <w:tcW w:w="5740" w:type="dxa"/>
            <w:vAlign w:val="center"/>
          </w:tcPr>
          <w:p>
            <w:pPr>
              <w:jc w:val="left"/>
              <w:rPr>
                <w:rFonts w:ascii="宋体" w:hAnsi="宋体"/>
                <w:color w:val="000000" w:themeColor="text1"/>
                <w:szCs w:val="21"/>
                <w:highlight w:val="yellow"/>
                <w14:textFill>
                  <w14:solidFill>
                    <w14:schemeClr w14:val="tx1"/>
                  </w14:solidFill>
                </w14:textFill>
              </w:rPr>
            </w:pPr>
            <w:r>
              <w:rPr>
                <w:rFonts w:hint="eastAsia" w:ascii="宋体" w:hAnsi="宋体"/>
                <w:szCs w:val="21"/>
              </w:rPr>
              <w:t>以深圳市生态环境局202</w:t>
            </w:r>
            <w:r>
              <w:rPr>
                <w:rFonts w:ascii="宋体" w:hAnsi="宋体"/>
                <w:szCs w:val="21"/>
              </w:rPr>
              <w:t>2</w:t>
            </w:r>
            <w:r>
              <w:rPr>
                <w:rFonts w:hint="eastAsia" w:ascii="宋体" w:hAnsi="宋体"/>
                <w:szCs w:val="21"/>
              </w:rPr>
              <w:t>年</w:t>
            </w:r>
            <w:r>
              <w:rPr>
                <w:rFonts w:ascii="宋体" w:hAnsi="宋体"/>
                <w:szCs w:val="21"/>
              </w:rPr>
              <w:t>1</w:t>
            </w:r>
            <w:r>
              <w:rPr>
                <w:rFonts w:hint="eastAsia" w:ascii="宋体" w:hAnsi="宋体"/>
                <w:szCs w:val="21"/>
              </w:rPr>
              <w:t>月</w:t>
            </w:r>
            <w:r>
              <w:rPr>
                <w:rFonts w:ascii="宋体" w:hAnsi="宋体"/>
                <w:szCs w:val="21"/>
              </w:rPr>
              <w:t>25</w:t>
            </w:r>
            <w:r>
              <w:rPr>
                <w:rFonts w:hint="eastAsia" w:ascii="宋体" w:hAnsi="宋体"/>
                <w:szCs w:val="21"/>
              </w:rPr>
              <w:t>日公布的深圳市土壤污染状况调查报告评审通过情况汇总表（2019年1月-2021年</w:t>
            </w:r>
            <w:r>
              <w:rPr>
                <w:rFonts w:ascii="宋体" w:hAnsi="宋体"/>
                <w:szCs w:val="21"/>
              </w:rPr>
              <w:t>12</w:t>
            </w:r>
            <w:r>
              <w:rPr>
                <w:rFonts w:hint="eastAsia" w:ascii="宋体" w:hAnsi="宋体"/>
                <w:szCs w:val="21"/>
              </w:rPr>
              <w:t>月）为准，取形式审核、技术审核和专家评审通过率</w:t>
            </w:r>
            <w:r>
              <w:rPr>
                <w:rFonts w:hint="eastAsia"/>
                <w:szCs w:val="21"/>
              </w:rPr>
              <w:t>三项</w:t>
            </w:r>
            <w:r>
              <w:rPr>
                <w:rFonts w:hint="eastAsia" w:ascii="宋体" w:hAnsi="宋体"/>
                <w:szCs w:val="21"/>
              </w:rPr>
              <w:t>之和，总和</w:t>
            </w:r>
            <w:r>
              <w:rPr>
                <w:rFonts w:hint="eastAsia"/>
                <w:szCs w:val="21"/>
              </w:rPr>
              <w:t>在300%至</w:t>
            </w:r>
            <w:r>
              <w:rPr>
                <w:rFonts w:hint="eastAsia" w:ascii="宋体" w:hAnsi="宋体"/>
                <w:szCs w:val="21"/>
              </w:rPr>
              <w:t>200%的</w:t>
            </w:r>
            <w:r>
              <w:rPr>
                <w:rFonts w:hint="eastAsia"/>
                <w:szCs w:val="21"/>
              </w:rPr>
              <w:t>得</w:t>
            </w:r>
            <w:r>
              <w:rPr>
                <w:rFonts w:ascii="宋体" w:hAnsi="宋体"/>
                <w:szCs w:val="21"/>
              </w:rPr>
              <w:t>2</w:t>
            </w:r>
            <w:r>
              <w:rPr>
                <w:rFonts w:hint="eastAsia" w:ascii="宋体" w:hAnsi="宋体"/>
                <w:szCs w:val="21"/>
              </w:rPr>
              <w:t>5分，总和</w:t>
            </w:r>
            <w:r>
              <w:rPr>
                <w:rFonts w:hint="eastAsia"/>
                <w:szCs w:val="21"/>
              </w:rPr>
              <w:t>199%至</w:t>
            </w:r>
            <w:r>
              <w:rPr>
                <w:rFonts w:hint="eastAsia" w:ascii="宋体" w:hAnsi="宋体"/>
                <w:szCs w:val="21"/>
              </w:rPr>
              <w:t>150%得15分，</w:t>
            </w:r>
            <w:r>
              <w:rPr>
                <w:rFonts w:hint="eastAsia"/>
                <w:szCs w:val="21"/>
              </w:rPr>
              <w:t>其余</w:t>
            </w:r>
            <w:r>
              <w:rPr>
                <w:rFonts w:hint="eastAsia" w:ascii="宋体" w:hAnsi="宋体"/>
                <w:szCs w:val="21"/>
              </w:rPr>
              <w:t>得</w:t>
            </w:r>
            <w:r>
              <w:rPr>
                <w:rFonts w:ascii="宋体" w:hAnsi="宋体"/>
                <w:szCs w:val="21"/>
              </w:rPr>
              <w:t>5</w:t>
            </w:r>
            <w:r>
              <w:rPr>
                <w:rFonts w:hint="eastAsia" w:ascii="宋体" w:hAnsi="宋体"/>
                <w:szCs w:val="21"/>
              </w:rPr>
              <w:t>分</w:t>
            </w:r>
            <w:r>
              <w:rPr>
                <w:rFonts w:hint="eastAsia"/>
                <w:szCs w:val="21"/>
              </w:rPr>
              <w:t>。</w:t>
            </w:r>
            <w:r>
              <w:rPr>
                <w:rFonts w:hint="eastAsia" w:ascii="宋体" w:hAnsi="宋体"/>
                <w:szCs w:val="21"/>
              </w:rPr>
              <w:t>如其中任何一项通过率为0%，</w:t>
            </w:r>
            <w:r>
              <w:rPr>
                <w:rFonts w:hint="eastAsia"/>
                <w:szCs w:val="21"/>
              </w:rPr>
              <w:t>本</w:t>
            </w:r>
            <w:r>
              <w:rPr>
                <w:rFonts w:hint="eastAsia" w:ascii="宋体" w:hAnsi="宋体"/>
                <w:szCs w:val="21"/>
              </w:rPr>
              <w:t>项不得分。（需提供深圳市生态环境局202</w:t>
            </w:r>
            <w:r>
              <w:rPr>
                <w:rFonts w:ascii="宋体" w:hAnsi="宋体"/>
                <w:szCs w:val="21"/>
              </w:rPr>
              <w:t>2</w:t>
            </w:r>
            <w:r>
              <w:rPr>
                <w:rFonts w:hint="eastAsia" w:ascii="宋体" w:hAnsi="宋体"/>
                <w:szCs w:val="21"/>
              </w:rPr>
              <w:t>年</w:t>
            </w:r>
            <w:r>
              <w:rPr>
                <w:rFonts w:ascii="宋体" w:hAnsi="宋体"/>
                <w:szCs w:val="21"/>
              </w:rPr>
              <w:t>1</w:t>
            </w:r>
            <w:r>
              <w:rPr>
                <w:rFonts w:hint="eastAsia" w:ascii="宋体" w:hAnsi="宋体"/>
                <w:szCs w:val="21"/>
              </w:rPr>
              <w:t>月</w:t>
            </w:r>
            <w:r>
              <w:rPr>
                <w:rFonts w:ascii="宋体" w:hAnsi="宋体"/>
                <w:szCs w:val="21"/>
              </w:rPr>
              <w:t>25</w:t>
            </w:r>
            <w:r>
              <w:rPr>
                <w:rFonts w:hint="eastAsia" w:ascii="宋体" w:hAnsi="宋体"/>
                <w:szCs w:val="21"/>
              </w:rPr>
              <w:t>日土壤污染状况调查报告评审通过情况汇总表截图）</w:t>
            </w:r>
          </w:p>
        </w:tc>
        <w:tc>
          <w:tcPr>
            <w:tcW w:w="994" w:type="dxa"/>
            <w:vAlign w:val="center"/>
          </w:tcPr>
          <w:p>
            <w:pPr>
              <w:spacing w:line="400" w:lineRule="exact"/>
              <w:jc w:val="center"/>
              <w:rPr>
                <w:rFonts w:ascii="Calibri" w:hAnsi="Calibri"/>
                <w:color w:val="000000" w:themeColor="text1"/>
                <w:szCs w:val="22"/>
                <w14:textFill>
                  <w14:solidFill>
                    <w14:schemeClr w14:val="tx1"/>
                  </w14:solidFill>
                </w14:textFill>
              </w:rPr>
            </w:pPr>
            <w:r>
              <w:rPr>
                <w:rFonts w:hint="eastAsia" w:ascii="Calibri" w:hAnsi="Calibri"/>
                <w:color w:val="000000" w:themeColor="text1"/>
                <w:szCs w:val="22"/>
                <w14:textFill>
                  <w14:solidFill>
                    <w14:schemeClr w14:val="tx1"/>
                  </w14:solidFill>
                </w14:textFill>
              </w:rPr>
              <w:t>25</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spacing w:line="400" w:lineRule="exact"/>
              <w:ind w:right="420"/>
              <w:rPr>
                <w:rFonts w:ascii="宋体" w:hAnsi="宋体"/>
                <w:color w:val="000000" w:themeColor="text1"/>
                <w:szCs w:val="21"/>
                <w14:textFill>
                  <w14:solidFill>
                    <w14:schemeClr w14:val="tx1"/>
                  </w14:solidFill>
                </w14:textFill>
              </w:rPr>
            </w:pPr>
          </w:p>
        </w:tc>
        <w:tc>
          <w:tcPr>
            <w:tcW w:w="1276" w:type="dxa"/>
            <w:vAlign w:val="center"/>
          </w:tcPr>
          <w:p>
            <w:pPr>
              <w:jc w:val="left"/>
              <w:rPr>
                <w:rFonts w:ascii="宋体" w:hAnsi="宋体"/>
                <w:color w:val="000000" w:themeColor="text1"/>
                <w:szCs w:val="21"/>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392" w:type="dxa"/>
            <w:vAlign w:val="center"/>
          </w:tcPr>
          <w:p>
            <w:pPr>
              <w:spacing w:line="400" w:lineRule="exact"/>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tc>
        <w:tc>
          <w:tcPr>
            <w:tcW w:w="1279" w:type="dxa"/>
            <w:vAlign w:val="center"/>
          </w:tcPr>
          <w:p>
            <w:pPr>
              <w:rPr>
                <w:rFonts w:ascii="宋体" w:hAnsi="宋体"/>
                <w:color w:val="000000" w:themeColor="text1"/>
                <w:szCs w:val="21"/>
                <w14:textFill>
                  <w14:solidFill>
                    <w14:schemeClr w14:val="tx1"/>
                  </w14:solidFill>
                </w14:textFill>
              </w:rPr>
            </w:pPr>
            <w:r>
              <w:rPr>
                <w:rFonts w:hint="eastAsia" w:ascii="宋体" w:hAnsi="宋体"/>
                <w:szCs w:val="21"/>
              </w:rPr>
              <w:t>公司业绩</w:t>
            </w:r>
          </w:p>
        </w:tc>
        <w:tc>
          <w:tcPr>
            <w:tcW w:w="5740" w:type="dxa"/>
          </w:tcPr>
          <w:p>
            <w:pPr>
              <w:jc w:val="left"/>
              <w:rPr>
                <w:rFonts w:ascii="宋体" w:hAnsi="宋体"/>
                <w:color w:val="000000" w:themeColor="text1"/>
                <w:szCs w:val="21"/>
                <w:highlight w:val="yellow"/>
                <w14:textFill>
                  <w14:solidFill>
                    <w14:schemeClr w14:val="tx1"/>
                  </w14:solidFill>
                </w14:textFill>
              </w:rPr>
            </w:pPr>
            <w:r>
              <w:rPr>
                <w:rFonts w:hint="eastAsia"/>
                <w:color w:val="000000"/>
                <w:szCs w:val="21"/>
              </w:rPr>
              <w:t>参选</w:t>
            </w:r>
            <w:r>
              <w:rPr>
                <w:rFonts w:hint="eastAsia" w:ascii="宋体" w:hAnsi="宋体"/>
                <w:color w:val="000000"/>
                <w:szCs w:val="21"/>
              </w:rPr>
              <w:t>人需提供近</w:t>
            </w:r>
            <w:r>
              <w:rPr>
                <w:rFonts w:ascii="宋体" w:hAnsi="宋体"/>
                <w:color w:val="000000"/>
                <w:szCs w:val="21"/>
              </w:rPr>
              <w:t>2</w:t>
            </w:r>
            <w:r>
              <w:rPr>
                <w:rFonts w:hint="eastAsia" w:ascii="宋体" w:hAnsi="宋体"/>
                <w:color w:val="000000"/>
                <w:szCs w:val="21"/>
              </w:rPr>
              <w:t>年内完成在深圳市的类似业绩</w:t>
            </w:r>
            <w:r>
              <w:rPr>
                <w:rFonts w:ascii="宋体" w:hAnsi="宋体"/>
                <w:color w:val="000000"/>
                <w:szCs w:val="21"/>
              </w:rPr>
              <w:t>，每个业绩得</w:t>
            </w:r>
            <w:r>
              <w:rPr>
                <w:rFonts w:hint="eastAsia"/>
                <w:color w:val="000000"/>
                <w:szCs w:val="21"/>
              </w:rPr>
              <w:t>2</w:t>
            </w:r>
            <w:r>
              <w:rPr>
                <w:rFonts w:hint="eastAsia" w:ascii="宋体" w:hAnsi="宋体"/>
                <w:color w:val="000000"/>
                <w:szCs w:val="21"/>
              </w:rPr>
              <w:t>分</w:t>
            </w:r>
            <w:r>
              <w:rPr>
                <w:rFonts w:ascii="宋体" w:hAnsi="宋体"/>
                <w:color w:val="000000"/>
                <w:szCs w:val="21"/>
              </w:rPr>
              <w:t>，</w:t>
            </w:r>
            <w:r>
              <w:rPr>
                <w:rFonts w:hint="eastAsia" w:ascii="宋体" w:hAnsi="宋体"/>
                <w:color w:val="000000"/>
                <w:szCs w:val="21"/>
              </w:rPr>
              <w:t>满分</w:t>
            </w:r>
            <w:r>
              <w:rPr>
                <w:rFonts w:hint="eastAsia"/>
                <w:color w:val="000000"/>
                <w:szCs w:val="21"/>
              </w:rPr>
              <w:t>10</w:t>
            </w:r>
            <w:r>
              <w:rPr>
                <w:rFonts w:hint="eastAsia" w:ascii="宋体" w:hAnsi="宋体"/>
                <w:color w:val="000000"/>
                <w:szCs w:val="21"/>
              </w:rPr>
              <w:t>分。业绩</w:t>
            </w:r>
            <w:r>
              <w:rPr>
                <w:rFonts w:ascii="宋体" w:hAnsi="宋体"/>
                <w:color w:val="000000"/>
                <w:szCs w:val="21"/>
              </w:rPr>
              <w:t>证明材料须提供合同关键页、报告</w:t>
            </w:r>
            <w:r>
              <w:rPr>
                <w:rFonts w:hint="eastAsia" w:ascii="宋体" w:hAnsi="宋体"/>
                <w:color w:val="000000"/>
                <w:szCs w:val="21"/>
              </w:rPr>
              <w:t>、</w:t>
            </w:r>
            <w:r>
              <w:rPr>
                <w:rFonts w:ascii="宋体" w:hAnsi="宋体"/>
                <w:color w:val="000000"/>
                <w:szCs w:val="21"/>
              </w:rPr>
              <w:t>时间</w:t>
            </w:r>
            <w:r>
              <w:rPr>
                <w:rFonts w:hint="eastAsia"/>
                <w:color w:val="000000"/>
                <w:szCs w:val="21"/>
              </w:rPr>
              <w:t>、</w:t>
            </w:r>
            <w:r>
              <w:rPr>
                <w:rFonts w:hint="eastAsia"/>
                <w:szCs w:val="21"/>
              </w:rPr>
              <w:t>成果取得无污染证明</w:t>
            </w:r>
            <w:r>
              <w:rPr>
                <w:rFonts w:ascii="宋体" w:hAnsi="宋体"/>
                <w:color w:val="000000"/>
                <w:szCs w:val="21"/>
              </w:rPr>
              <w:t>等</w:t>
            </w:r>
            <w:r>
              <w:rPr>
                <w:rFonts w:hint="eastAsia" w:ascii="宋体" w:hAnsi="宋体"/>
                <w:color w:val="000000"/>
                <w:szCs w:val="21"/>
              </w:rPr>
              <w:t>，如结果有污染业绩不得分</w:t>
            </w:r>
            <w:r>
              <w:rPr>
                <w:rFonts w:hint="eastAsia"/>
                <w:color w:val="000000"/>
                <w:szCs w:val="21"/>
              </w:rPr>
              <w:t>，</w:t>
            </w:r>
            <w:r>
              <w:rPr>
                <w:rFonts w:ascii="宋体" w:hAnsi="宋体"/>
                <w:color w:val="000000"/>
                <w:szCs w:val="21"/>
              </w:rPr>
              <w:t>以合同签订时间为准</w:t>
            </w:r>
            <w:r>
              <w:rPr>
                <w:rFonts w:hint="eastAsia" w:ascii="宋体" w:hAnsi="宋体"/>
                <w:color w:val="000000"/>
                <w:szCs w:val="21"/>
              </w:rPr>
              <w:t>。</w:t>
            </w:r>
          </w:p>
        </w:tc>
        <w:tc>
          <w:tcPr>
            <w:tcW w:w="994" w:type="dxa"/>
            <w:vAlign w:val="center"/>
          </w:tcPr>
          <w:p>
            <w:pPr>
              <w:spacing w:line="400" w:lineRule="exact"/>
              <w:jc w:val="center"/>
              <w:rPr>
                <w:rFonts w:ascii="Calibri" w:hAnsi="Calibri"/>
                <w:color w:val="000000" w:themeColor="text1"/>
                <w:szCs w:val="22"/>
                <w14:textFill>
                  <w14:solidFill>
                    <w14:schemeClr w14:val="tx1"/>
                  </w14:solidFill>
                </w14:textFill>
              </w:rPr>
            </w:pPr>
            <w:r>
              <w:rPr>
                <w:rFonts w:hint="eastAsia" w:ascii="Calibri" w:hAnsi="Calibri"/>
                <w:color w:val="000000" w:themeColor="text1"/>
                <w:szCs w:val="22"/>
                <w14:textFill>
                  <w14:solidFill>
                    <w14:schemeClr w14:val="tx1"/>
                  </w14:solidFill>
                </w14:textFill>
              </w:rPr>
              <w:t>10</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rPr>
                <w:rFonts w:ascii="宋体" w:hAnsi="宋体"/>
                <w:color w:val="000000" w:themeColor="text1"/>
                <w:szCs w:val="21"/>
                <w14:textFill>
                  <w14:solidFill>
                    <w14:schemeClr w14:val="tx1"/>
                  </w14:solidFill>
                </w14:textFill>
              </w:rPr>
            </w:pPr>
          </w:p>
        </w:tc>
        <w:tc>
          <w:tcPr>
            <w:tcW w:w="1276" w:type="dxa"/>
            <w:vAlign w:val="center"/>
          </w:tcPr>
          <w:p>
            <w:pPr>
              <w:rPr>
                <w:rFonts w:ascii="宋体" w:hAnsi="宋体"/>
                <w:color w:val="000000" w:themeColor="text1"/>
                <w:szCs w:val="21"/>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392" w:type="dxa"/>
            <w:vAlign w:val="center"/>
          </w:tcPr>
          <w:p>
            <w:pPr>
              <w:jc w:val="center"/>
              <w:rPr>
                <w:rFonts w:ascii="宋体" w:hAnsi="宋体"/>
                <w:color w:val="000000" w:themeColor="text1"/>
                <w:szCs w:val="21"/>
                <w14:textFill>
                  <w14:solidFill>
                    <w14:schemeClr w14:val="tx1"/>
                  </w14:solidFill>
                </w14:textFill>
              </w:rPr>
            </w:pPr>
            <w:r>
              <w:rPr>
                <w:rFonts w:ascii="宋体" w:hAnsi="宋体"/>
                <w:color w:val="000000" w:themeColor="text1"/>
                <w:szCs w:val="24"/>
                <w14:textFill>
                  <w14:solidFill>
                    <w14:schemeClr w14:val="tx1"/>
                  </w14:solidFill>
                </w14:textFill>
              </w:rPr>
              <w:t>4</w:t>
            </w:r>
          </w:p>
        </w:tc>
        <w:tc>
          <w:tcPr>
            <w:tcW w:w="1279" w:type="dxa"/>
            <w:vAlign w:val="center"/>
          </w:tcPr>
          <w:p>
            <w:pPr>
              <w:jc w:val="center"/>
              <w:rPr>
                <w:rFonts w:ascii="宋体" w:hAnsi="宋体"/>
                <w:color w:val="000000" w:themeColor="text1"/>
                <w:szCs w:val="24"/>
                <w14:textFill>
                  <w14:solidFill>
                    <w14:schemeClr w14:val="tx1"/>
                  </w14:solidFill>
                </w14:textFill>
              </w:rPr>
            </w:pPr>
            <w:r>
              <w:rPr>
                <w:rFonts w:hint="eastAsia" w:ascii="宋体" w:hAnsi="宋体"/>
                <w:szCs w:val="21"/>
              </w:rPr>
              <w:t>项目负责人及团队人员资格要求</w:t>
            </w:r>
          </w:p>
        </w:tc>
        <w:tc>
          <w:tcPr>
            <w:tcW w:w="5740" w:type="dxa"/>
          </w:tcPr>
          <w:p>
            <w:pPr>
              <w:jc w:val="left"/>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1.项目负责人从业资质要求（3分）：项目负责人同时具有高级职称和注册环评工程师得3分，不符合不得分。要求提供资质证书复印件作为证明材料，并提供近三个月社保证明，不提供相关证明材料的不得分。</w:t>
            </w:r>
          </w:p>
          <w:p>
            <w:pPr>
              <w:jc w:val="left"/>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2.项目团队人员要求（2分）：项目团队具有注册环评工程师的，每位得0.5分，最高得2分，项目经理除外。</w:t>
            </w:r>
          </w:p>
          <w:p>
            <w:pPr>
              <w:jc w:val="left"/>
              <w:rPr>
                <w:rFonts w:ascii="宋体" w:hAnsi="宋体"/>
                <w:color w:val="000000" w:themeColor="text1"/>
                <w:szCs w:val="24"/>
                <w:highlight w:val="yellow"/>
                <w14:textFill>
                  <w14:solidFill>
                    <w14:schemeClr w14:val="tx1"/>
                  </w14:solidFill>
                </w14:textFill>
              </w:rPr>
            </w:pPr>
            <w:r>
              <w:rPr>
                <w:rFonts w:hint="eastAsia" w:ascii="宋体" w:hAnsi="宋体"/>
                <w:color w:val="000000" w:themeColor="text1"/>
                <w:szCs w:val="24"/>
                <w14:textFill>
                  <w14:solidFill>
                    <w14:schemeClr w14:val="tx1"/>
                  </w14:solidFill>
                </w14:textFill>
              </w:rPr>
              <w:t>以上均要求提供资质证书复印件作为证明材料，并提供近三个月社保证明，不提供相关证明材料的不得分</w:t>
            </w:r>
          </w:p>
        </w:tc>
        <w:tc>
          <w:tcPr>
            <w:tcW w:w="994" w:type="dxa"/>
            <w:vAlign w:val="center"/>
          </w:tcPr>
          <w:p>
            <w:pPr>
              <w:jc w:val="center"/>
              <w:rPr>
                <w:rFonts w:ascii="Calibri" w:hAnsi="Calibri"/>
                <w:color w:val="000000" w:themeColor="text1"/>
                <w:szCs w:val="22"/>
                <w14:textFill>
                  <w14:solidFill>
                    <w14:schemeClr w14:val="tx1"/>
                  </w14:solidFill>
                </w14:textFill>
              </w:rPr>
            </w:pPr>
            <w:r>
              <w:rPr>
                <w:rFonts w:hint="eastAsia" w:ascii="Calibri" w:hAnsi="Calibri"/>
                <w:color w:val="000000" w:themeColor="text1"/>
                <w:szCs w:val="22"/>
                <w14:textFill>
                  <w14:solidFill>
                    <w14:schemeClr w14:val="tx1"/>
                  </w14:solidFill>
                </w14:textFill>
              </w:rPr>
              <w:t>5</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rPr>
                <w:rFonts w:ascii="宋体" w:hAnsi="宋体"/>
                <w:color w:val="000000" w:themeColor="text1"/>
                <w:szCs w:val="21"/>
                <w14:textFill>
                  <w14:solidFill>
                    <w14:schemeClr w14:val="tx1"/>
                  </w14:solidFill>
                </w14:textFill>
              </w:rPr>
            </w:pPr>
          </w:p>
        </w:tc>
        <w:tc>
          <w:tcPr>
            <w:tcW w:w="1276" w:type="dxa"/>
            <w:vAlign w:val="center"/>
          </w:tcPr>
          <w:p>
            <w:pPr>
              <w:rPr>
                <w:rFonts w:ascii="宋体" w:hAnsi="宋体"/>
                <w:color w:val="000000" w:themeColor="text1"/>
                <w:szCs w:val="21"/>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411" w:type="dxa"/>
            <w:gridSpan w:val="3"/>
            <w:vAlign w:val="center"/>
          </w:tcPr>
          <w:p>
            <w:pPr>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合计</w:t>
            </w:r>
          </w:p>
        </w:tc>
        <w:tc>
          <w:tcPr>
            <w:tcW w:w="994" w:type="dxa"/>
            <w:vAlign w:val="center"/>
          </w:tcPr>
          <w:p>
            <w:pPr>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50</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rPr>
                <w:rFonts w:ascii="宋体" w:hAnsi="宋体"/>
                <w:color w:val="000000" w:themeColor="text1"/>
                <w:szCs w:val="21"/>
                <w14:textFill>
                  <w14:solidFill>
                    <w14:schemeClr w14:val="tx1"/>
                  </w14:solidFill>
                </w14:textFill>
              </w:rPr>
            </w:pPr>
          </w:p>
        </w:tc>
        <w:tc>
          <w:tcPr>
            <w:tcW w:w="1276" w:type="dxa"/>
            <w:vAlign w:val="center"/>
          </w:tcPr>
          <w:p>
            <w:pPr>
              <w:rPr>
                <w:rFonts w:ascii="宋体" w:hAnsi="宋体"/>
                <w:color w:val="000000" w:themeColor="text1"/>
                <w:szCs w:val="21"/>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bl>
    <w:p>
      <w:pPr>
        <w:pStyle w:val="8"/>
        <w:spacing w:before="120" w:beforeLines="50" w:after="120" w:afterLines="50" w:line="520" w:lineRule="exact"/>
        <w:ind w:firstLine="555"/>
        <w:rPr>
          <w:rFonts w:hAnsi="宋体"/>
          <w:b/>
          <w:color w:val="000000" w:themeColor="text1"/>
          <w:kern w:val="2"/>
          <w:sz w:val="24"/>
          <w:szCs w:val="21"/>
          <w14:textFill>
            <w14:solidFill>
              <w14:schemeClr w14:val="tx1"/>
            </w14:solidFill>
          </w14:textFill>
        </w:rPr>
      </w:pPr>
      <w:r>
        <w:rPr>
          <w:rFonts w:hint="eastAsia" w:hAnsi="宋体"/>
          <w:b/>
          <w:color w:val="000000" w:themeColor="text1"/>
          <w:kern w:val="2"/>
          <w:sz w:val="24"/>
          <w:szCs w:val="21"/>
          <w14:textFill>
            <w14:solidFill>
              <w14:schemeClr w14:val="tx1"/>
            </w14:solidFill>
          </w14:textFill>
        </w:rPr>
        <w:t>评委签名：</w:t>
      </w:r>
    </w:p>
    <w:p>
      <w:pPr>
        <w:pStyle w:val="8"/>
        <w:spacing w:before="120" w:beforeLines="50" w:after="120" w:afterLines="50" w:line="520" w:lineRule="exact"/>
        <w:ind w:firstLine="555"/>
        <w:rPr>
          <w:rFonts w:cs="宋体"/>
          <w:b/>
          <w:color w:val="000000" w:themeColor="text1"/>
          <w:sz w:val="22"/>
          <w14:textFill>
            <w14:solidFill>
              <w14:schemeClr w14:val="tx1"/>
            </w14:solidFill>
          </w14:textFill>
        </w:rPr>
      </w:pPr>
    </w:p>
    <w:p>
      <w:pPr>
        <w:spacing w:line="360" w:lineRule="exact"/>
        <w:jc w:val="right"/>
        <w:rPr>
          <w:rFonts w:ascii="宋体" w:hAnsi="宋体"/>
          <w:color w:val="000000" w:themeColor="text1"/>
          <w:szCs w:val="24"/>
          <w14:textFill>
            <w14:solidFill>
              <w14:schemeClr w14:val="tx1"/>
            </w14:solidFill>
          </w14:textFill>
        </w:rPr>
      </w:pPr>
    </w:p>
    <w:p>
      <w:pPr>
        <w:spacing w:line="360" w:lineRule="exact"/>
        <w:jc w:val="right"/>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日期：   年   月   日</w:t>
      </w:r>
    </w:p>
    <w:p>
      <w:pPr>
        <w:widowControl/>
        <w:jc w:val="left"/>
        <w:rPr>
          <w:rFonts w:ascii="宋体" w:hAnsi="Courier New" w:cs="宋体"/>
          <w:b/>
          <w:color w:val="000000" w:themeColor="text1"/>
          <w:kern w:val="0"/>
          <w:sz w:val="22"/>
          <w14:textFill>
            <w14:solidFill>
              <w14:schemeClr w14:val="tx1"/>
            </w14:solidFill>
          </w14:textFill>
        </w:rPr>
      </w:pPr>
      <w:r>
        <w:rPr>
          <w:rFonts w:cs="宋体"/>
          <w:b/>
          <w:color w:val="000000" w:themeColor="text1"/>
          <w:sz w:val="22"/>
          <w14:textFill>
            <w14:solidFill>
              <w14:schemeClr w14:val="tx1"/>
            </w14:solidFill>
          </w14:textFill>
        </w:rPr>
        <w:br w:type="page"/>
      </w:r>
    </w:p>
    <w:p>
      <w:pPr>
        <w:pStyle w:val="4"/>
        <w:jc w:val="left"/>
        <w:rPr>
          <w:color w:val="000000" w:themeColor="text1"/>
          <w:szCs w:val="36"/>
          <w14:textFill>
            <w14:solidFill>
              <w14:schemeClr w14:val="tx1"/>
            </w14:solidFill>
          </w14:textFill>
        </w:rPr>
      </w:pPr>
      <w:bookmarkStart w:id="132" w:name="_Toc7695"/>
      <w:bookmarkStart w:id="133" w:name="_Toc13072"/>
      <w:bookmarkStart w:id="134" w:name="_Toc27741"/>
      <w:r>
        <w:rPr>
          <w:rFonts w:hint="eastAsia"/>
          <w:color w:val="000000" w:themeColor="text1"/>
          <w:szCs w:val="36"/>
          <w14:textFill>
            <w14:solidFill>
              <w14:schemeClr w14:val="tx1"/>
            </w14:solidFill>
          </w14:textFill>
        </w:rPr>
        <w:t>附表</w:t>
      </w:r>
      <w:r>
        <w:rPr>
          <w:color w:val="000000" w:themeColor="text1"/>
          <w:szCs w:val="36"/>
          <w14:textFill>
            <w14:solidFill>
              <w14:schemeClr w14:val="tx1"/>
            </w14:solidFill>
          </w14:textFill>
        </w:rPr>
        <w:t>5</w:t>
      </w:r>
      <w:r>
        <w:rPr>
          <w:rFonts w:hint="eastAsia"/>
          <w:color w:val="000000" w:themeColor="text1"/>
          <w:szCs w:val="36"/>
          <w14:textFill>
            <w14:solidFill>
              <w14:schemeClr w14:val="tx1"/>
            </w14:solidFill>
          </w14:textFill>
        </w:rPr>
        <w:t>：技术标评审结果汇总表</w:t>
      </w:r>
      <w:bookmarkEnd w:id="132"/>
      <w:bookmarkEnd w:id="133"/>
      <w:bookmarkEnd w:id="134"/>
    </w:p>
    <w:p>
      <w:pPr>
        <w:spacing w:line="360" w:lineRule="auto"/>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技术标评审结果汇总表</w:t>
      </w:r>
    </w:p>
    <w:p>
      <w:pPr>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color w:val="000000" w:themeColor="text1"/>
          <w:szCs w:val="24"/>
          <w14:textFill>
            <w14:solidFill>
              <w14:schemeClr w14:val="tx1"/>
            </w14:solidFill>
          </w14:textFill>
        </w:rPr>
        <w:t>轨道交通四期综合开发项目（四）土壤环境初步调查</w:t>
      </w:r>
    </w:p>
    <w:p>
      <w:pPr>
        <w:jc w:val="left"/>
        <w:rPr>
          <w:rFonts w:ascii="宋体" w:hAnsi="宋体" w:cs="宋体"/>
          <w:b/>
          <w:color w:val="000000" w:themeColor="text1"/>
          <w:kern w:val="0"/>
          <w:sz w:val="28"/>
          <w:szCs w:val="28"/>
          <w14:textFill>
            <w14:solidFill>
              <w14:schemeClr w14:val="tx1"/>
            </w14:solidFill>
          </w14:textFill>
        </w:rPr>
      </w:pPr>
    </w:p>
    <w:tbl>
      <w:tblPr>
        <w:tblStyle w:val="14"/>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5"/>
        <w:gridCol w:w="3677"/>
        <w:gridCol w:w="966"/>
        <w:gridCol w:w="993"/>
        <w:gridCol w:w="938"/>
        <w:gridCol w:w="937"/>
        <w:gridCol w:w="919"/>
        <w:gridCol w:w="900"/>
        <w:gridCol w:w="86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765" w:type="dxa"/>
            <w:vAlign w:val="center"/>
          </w:tcPr>
          <w:p>
            <w:pPr>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序号</w:t>
            </w:r>
          </w:p>
        </w:tc>
        <w:tc>
          <w:tcPr>
            <w:tcW w:w="3677" w:type="dxa"/>
            <w:tcBorders>
              <w:tl2br w:val="single" w:color="auto" w:sz="4" w:space="0"/>
            </w:tcBorders>
            <w:vAlign w:val="center"/>
          </w:tcPr>
          <w:p>
            <w:pPr>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 xml:space="preserve">                     评委</w:t>
            </w:r>
          </w:p>
          <w:p>
            <w:pPr>
              <w:jc w:val="left"/>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参选人</w:t>
            </w:r>
          </w:p>
        </w:tc>
        <w:tc>
          <w:tcPr>
            <w:tcW w:w="966"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评委1</w:t>
            </w:r>
          </w:p>
        </w:tc>
        <w:tc>
          <w:tcPr>
            <w:tcW w:w="993"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评委2</w:t>
            </w:r>
          </w:p>
        </w:tc>
        <w:tc>
          <w:tcPr>
            <w:tcW w:w="938"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评委3</w:t>
            </w:r>
          </w:p>
        </w:tc>
        <w:tc>
          <w:tcPr>
            <w:tcW w:w="937"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评委4</w:t>
            </w:r>
          </w:p>
        </w:tc>
        <w:tc>
          <w:tcPr>
            <w:tcW w:w="919"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评委5</w:t>
            </w:r>
          </w:p>
        </w:tc>
        <w:tc>
          <w:tcPr>
            <w:tcW w:w="900"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评委6</w:t>
            </w:r>
          </w:p>
        </w:tc>
        <w:tc>
          <w:tcPr>
            <w:tcW w:w="861"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评委7</w:t>
            </w:r>
          </w:p>
        </w:tc>
        <w:tc>
          <w:tcPr>
            <w:tcW w:w="1843" w:type="dxa"/>
            <w:vAlign w:val="center"/>
          </w:tcPr>
          <w:p>
            <w:pPr>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技术标得分</w:t>
            </w:r>
          </w:p>
          <w:p>
            <w:pPr>
              <w:jc w:val="center"/>
              <w:rPr>
                <w:rFonts w:ascii="宋体" w:hAnsi="宋体" w:cs="宋体"/>
                <w:b/>
                <w:bCs/>
                <w:color w:val="000000" w:themeColor="text1"/>
                <w:kern w:val="0"/>
                <w:szCs w:val="24"/>
                <w14:textFill>
                  <w14:solidFill>
                    <w14:schemeClr w14:val="tx1"/>
                  </w14:solidFill>
                </w14:textFill>
              </w:rPr>
            </w:pPr>
            <w:r>
              <w:rPr>
                <w:rFonts w:ascii="宋体" w:hAnsi="宋体"/>
                <w:b/>
                <w:color w:val="000000" w:themeColor="text1"/>
                <w:szCs w:val="24"/>
                <w14:textFill>
                  <w14:solidFill>
                    <w14:schemeClr w14:val="tx1"/>
                  </w14:solidFill>
                </w14:textFill>
              </w:rPr>
              <w:t>J</w:t>
            </w:r>
            <w:r>
              <w:rPr>
                <w:rFonts w:hint="eastAsia" w:ascii="宋体" w:hAnsi="宋体"/>
                <w:b/>
                <w:color w:val="000000" w:themeColor="text1"/>
                <w:szCs w:val="24"/>
                <w14:textFill>
                  <w14:solidFill>
                    <w14:schemeClr w14:val="tx1"/>
                  </w14:solidFill>
                </w14:textFill>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1</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2</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3</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4</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N</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bl>
    <w:p>
      <w:pPr>
        <w:spacing w:line="360" w:lineRule="auto"/>
        <w:jc w:val="left"/>
        <w:rPr>
          <w:color w:val="000000" w:themeColor="text1"/>
          <w14:textFill>
            <w14:solidFill>
              <w14:schemeClr w14:val="tx1"/>
            </w14:solidFill>
          </w14:textFill>
        </w:rPr>
      </w:pPr>
    </w:p>
    <w:p>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说明： 1</w:t>
      </w:r>
      <w:r>
        <w:rPr>
          <w:rFonts w:hint="eastAsia" w:ascii="宋体" w:hAnsi="宋体"/>
          <w:color w:val="000000" w:themeColor="text1"/>
          <w:szCs w:val="24"/>
          <w14:textFill>
            <w14:solidFill>
              <w14:schemeClr w14:val="tx1"/>
            </w14:solidFill>
          </w14:textFill>
        </w:rPr>
        <w:t>.</w:t>
      </w:r>
      <w:r>
        <w:rPr>
          <w:rFonts w:hint="eastAsia"/>
          <w:color w:val="000000" w:themeColor="text1"/>
          <w14:textFill>
            <w14:solidFill>
              <w14:schemeClr w14:val="tx1"/>
            </w14:solidFill>
          </w14:textFill>
        </w:rPr>
        <w:t>参选人技术标得分的计算办法：取各评委对每一个参选人的技术标评审得分值的算术平均值，即为该参选人技术标得分。</w:t>
      </w:r>
    </w:p>
    <w:p>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2</w:t>
      </w:r>
      <w:r>
        <w:rPr>
          <w:rFonts w:hint="eastAsia" w:ascii="宋体" w:hAnsi="宋体"/>
          <w:color w:val="000000" w:themeColor="text1"/>
          <w:szCs w:val="24"/>
          <w14:textFill>
            <w14:solidFill>
              <w14:schemeClr w14:val="tx1"/>
            </w14:solidFill>
          </w14:textFill>
        </w:rPr>
        <w:t>.</w:t>
      </w:r>
      <w:r>
        <w:rPr>
          <w:rFonts w:hint="eastAsia"/>
          <w:color w:val="000000" w:themeColor="text1"/>
          <w14:textFill>
            <w14:solidFill>
              <w14:schemeClr w14:val="tx1"/>
            </w14:solidFill>
          </w14:textFill>
        </w:rPr>
        <w:t>技术标得分的算术平均值四舍五入保留小数点后两位有效数字。</w:t>
      </w:r>
    </w:p>
    <w:p>
      <w:pPr>
        <w:pStyle w:val="6"/>
        <w:snapToGrid w:val="0"/>
        <w:rPr>
          <w:color w:val="000000" w:themeColor="text1"/>
          <w14:textFill>
            <w14:solidFill>
              <w14:schemeClr w14:val="tx1"/>
            </w14:solidFill>
          </w14:textFill>
        </w:rPr>
      </w:pPr>
    </w:p>
    <w:p>
      <w:pPr>
        <w:tabs>
          <w:tab w:val="left" w:pos="0"/>
        </w:tabs>
        <w:snapToGrid w:val="0"/>
        <w:spacing w:line="360" w:lineRule="auto"/>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评委（签名）：                                                              日期：</w:t>
      </w:r>
      <w:r>
        <w:rPr>
          <w:rFonts w:hint="eastAsia" w:ascii="宋体" w:hAnsi="宋体"/>
          <w:color w:val="000000" w:themeColor="text1"/>
          <w:szCs w:val="24"/>
          <w14:textFill>
            <w14:solidFill>
              <w14:schemeClr w14:val="tx1"/>
            </w14:solidFill>
          </w14:textFill>
        </w:rPr>
        <w:t xml:space="preserve">     年    月    日</w:t>
      </w:r>
    </w:p>
    <w:p>
      <w:pPr>
        <w:spacing w:line="480" w:lineRule="exact"/>
        <w:jc w:val="left"/>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w:t>
      </w:r>
    </w:p>
    <w:p>
      <w:pPr>
        <w:widowControl/>
        <w:jc w:val="left"/>
        <w:rPr>
          <w:rFonts w:ascii="宋体" w:hAnsi="宋体" w:cs="宋体"/>
          <w:b/>
          <w:color w:val="000000" w:themeColor="text1"/>
          <w:szCs w:val="21"/>
          <w14:textFill>
            <w14:solidFill>
              <w14:schemeClr w14:val="tx1"/>
            </w14:solidFill>
          </w14:textFill>
        </w:rPr>
      </w:pPr>
      <w:bookmarkStart w:id="135" w:name="_Toc7593"/>
      <w:bookmarkStart w:id="136" w:name="_Toc9818"/>
      <w:bookmarkStart w:id="137" w:name="_Toc29584"/>
      <w:r>
        <w:rPr>
          <w:rFonts w:ascii="宋体" w:hAnsi="宋体" w:cs="宋体"/>
          <w:b/>
          <w:color w:val="000000" w:themeColor="text1"/>
          <w:szCs w:val="21"/>
          <w14:textFill>
            <w14:solidFill>
              <w14:schemeClr w14:val="tx1"/>
            </w14:solidFill>
          </w14:textFill>
        </w:rPr>
        <w:br w:type="page"/>
      </w:r>
    </w:p>
    <w:p>
      <w:pPr>
        <w:pStyle w:val="4"/>
        <w:jc w:val="left"/>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附表6： 商务标初步评审表</w:t>
      </w:r>
    </w:p>
    <w:p>
      <w:pPr>
        <w:spacing w:after="120" w:afterLines="50" w:line="360" w:lineRule="auto"/>
        <w:ind w:right="350"/>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商务标初步评审表</w:t>
      </w:r>
    </w:p>
    <w:p>
      <w:pPr>
        <w:spacing w:after="120" w:afterLines="50" w:line="360" w:lineRule="auto"/>
        <w:ind w:right="630"/>
        <w:rPr>
          <w:rFonts w:ascii="宋体" w:hAnsi="宋体" w:cs="宋体"/>
          <w:bCs/>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项目名称：</w:t>
      </w:r>
      <w:r>
        <w:rPr>
          <w:rFonts w:hint="eastAsia" w:ascii="宋体" w:hAnsi="宋体" w:cs="宋体"/>
          <w:bCs/>
          <w:color w:val="000000" w:themeColor="text1"/>
          <w:kern w:val="0"/>
          <w:szCs w:val="21"/>
          <w14:textFill>
            <w14:solidFill>
              <w14:schemeClr w14:val="tx1"/>
            </w14:solidFill>
          </w14:textFill>
        </w:rPr>
        <w:t>轨道交通四期综合开发项目（四）土壤环境初步调查</w:t>
      </w:r>
    </w:p>
    <w:tbl>
      <w:tblPr>
        <w:tblStyle w:val="14"/>
        <w:tblW w:w="0" w:type="auto"/>
        <w:jc w:val="center"/>
        <w:tblLayout w:type="fixed"/>
        <w:tblCellMar>
          <w:top w:w="0" w:type="dxa"/>
          <w:left w:w="108" w:type="dxa"/>
          <w:bottom w:w="0" w:type="dxa"/>
          <w:right w:w="108" w:type="dxa"/>
        </w:tblCellMar>
      </w:tblPr>
      <w:tblGrid>
        <w:gridCol w:w="817"/>
        <w:gridCol w:w="7239"/>
        <w:gridCol w:w="1202"/>
        <w:gridCol w:w="1350"/>
        <w:gridCol w:w="1202"/>
        <w:gridCol w:w="1089"/>
        <w:gridCol w:w="1179"/>
      </w:tblGrid>
      <w:tr>
        <w:tblPrEx>
          <w:tblCellMar>
            <w:top w:w="0" w:type="dxa"/>
            <w:left w:w="108" w:type="dxa"/>
            <w:bottom w:w="0" w:type="dxa"/>
            <w:right w:w="108" w:type="dxa"/>
          </w:tblCellMar>
        </w:tblPrEx>
        <w:trPr>
          <w:trHeight w:val="428" w:hRule="atLeast"/>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序号</w:t>
            </w:r>
          </w:p>
        </w:tc>
        <w:tc>
          <w:tcPr>
            <w:tcW w:w="7239"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 xml:space="preserve">                                     参选人</w:t>
            </w:r>
            <w:r>
              <w:rPr>
                <w:rFonts w:hint="eastAsia" w:ascii="宋体" w:hAnsi="宋体" w:cs="宋体"/>
                <w:bCs/>
                <w:color w:val="000000" w:themeColor="text1"/>
                <w:kern w:val="0"/>
                <w:szCs w:val="21"/>
                <w14:textFill>
                  <w14:solidFill>
                    <w14:schemeClr w14:val="tx1"/>
                  </w14:solidFill>
                </w14:textFill>
              </w:rPr>
              <w:br w:type="textWrapping"/>
            </w:r>
            <w:r>
              <w:rPr>
                <w:rFonts w:hint="eastAsia" w:ascii="宋体" w:hAnsi="宋体" w:cs="宋体"/>
                <w:bCs/>
                <w:color w:val="000000" w:themeColor="text1"/>
                <w:kern w:val="0"/>
                <w:szCs w:val="21"/>
                <w14:textFill>
                  <w14:solidFill>
                    <w14:schemeClr w14:val="tx1"/>
                  </w14:solidFill>
                </w14:textFill>
              </w:rPr>
              <w:t xml:space="preserve">  项目名称</w:t>
            </w:r>
          </w:p>
        </w:tc>
        <w:tc>
          <w:tcPr>
            <w:tcW w:w="6022"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 xml:space="preserve">参选人名称  </w:t>
            </w:r>
          </w:p>
        </w:tc>
      </w:tr>
      <w:tr>
        <w:tblPrEx>
          <w:tblCellMar>
            <w:top w:w="0" w:type="dxa"/>
            <w:left w:w="108" w:type="dxa"/>
            <w:bottom w:w="0" w:type="dxa"/>
            <w:right w:w="108" w:type="dxa"/>
          </w:tblCellMar>
        </w:tblPrEx>
        <w:trPr>
          <w:trHeight w:val="428"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color w:val="000000" w:themeColor="text1"/>
                <w:kern w:val="0"/>
                <w:szCs w:val="21"/>
                <w14:textFill>
                  <w14:solidFill>
                    <w14:schemeClr w14:val="tx1"/>
                  </w14:solidFill>
                </w14:textFill>
              </w:rPr>
            </w:pPr>
          </w:p>
        </w:tc>
        <w:tc>
          <w:tcPr>
            <w:tcW w:w="7239"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6" w:hRule="atLeast"/>
          <w:jc w:val="center"/>
        </w:trPr>
        <w:tc>
          <w:tcPr>
            <w:tcW w:w="817" w:type="dxa"/>
            <w:tcBorders>
              <w:top w:val="nil"/>
              <w:left w:val="single" w:color="auto" w:sz="4" w:space="0"/>
              <w:bottom w:val="single" w:color="auto" w:sz="4" w:space="0"/>
              <w:right w:val="single" w:color="auto" w:sz="4" w:space="0"/>
            </w:tcBorders>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7239" w:type="dxa"/>
            <w:tcBorders>
              <w:top w:val="nil"/>
              <w:left w:val="nil"/>
              <w:bottom w:val="single" w:color="auto" w:sz="4" w:space="0"/>
              <w:right w:val="single" w:color="auto" w:sz="4" w:space="0"/>
            </w:tcBorders>
            <w:vAlign w:val="center"/>
          </w:tcPr>
          <w:p>
            <w:pPr>
              <w:adjustRightInd w:val="0"/>
              <w:snapToGrid w:val="0"/>
              <w:spacing w:before="120" w:beforeLines="5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商务标文件按要求加盖参选人公章</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486" w:hRule="atLeast"/>
          <w:jc w:val="center"/>
        </w:trPr>
        <w:tc>
          <w:tcPr>
            <w:tcW w:w="817" w:type="dxa"/>
            <w:tcBorders>
              <w:top w:val="nil"/>
              <w:left w:val="single" w:color="auto" w:sz="4" w:space="0"/>
              <w:bottom w:val="single" w:color="auto" w:sz="4" w:space="0"/>
              <w:right w:val="nil"/>
            </w:tcBorders>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7239"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《参选函》中的内容按比选文件的要求填写</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color w:val="000000" w:themeColor="text1"/>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742"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72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参选报价不超过参选上限价</w:t>
            </w:r>
          </w:p>
        </w:tc>
        <w:tc>
          <w:tcPr>
            <w:tcW w:w="120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rPr>
                <w:rFonts w:ascii="宋体" w:hAnsi="宋体" w:cs="宋体"/>
                <w:color w:val="000000" w:themeColor="text1"/>
                <w:szCs w:val="21"/>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45" w:hRule="atLeast"/>
          <w:jc w:val="center"/>
        </w:trPr>
        <w:tc>
          <w:tcPr>
            <w:tcW w:w="805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 审 结 论</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bl>
    <w:p>
      <w:pPr>
        <w:tabs>
          <w:tab w:val="left" w:pos="0"/>
        </w:tabs>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说明：</w:t>
      </w:r>
      <w:r>
        <w:rPr>
          <w:rFonts w:hint="eastAsia" w:ascii="宋体" w:hAnsi="宋体" w:cs="宋体"/>
          <w:color w:val="000000" w:themeColor="text1"/>
          <w:szCs w:val="21"/>
          <w14:textFill>
            <w14:solidFill>
              <w14:schemeClr w14:val="tx1"/>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评委（签名）：</w:t>
      </w:r>
    </w:p>
    <w:p>
      <w:pPr>
        <w:tabs>
          <w:tab w:val="left" w:pos="0"/>
        </w:tabs>
        <w:snapToGrid w:val="0"/>
        <w:spacing w:line="360" w:lineRule="auto"/>
        <w:ind w:firstLine="482" w:firstLineChars="200"/>
        <w:rPr>
          <w:rFonts w:ascii="宋体" w:hAnsi="宋体" w:cs="宋体"/>
          <w:b/>
          <w:color w:val="000000" w:themeColor="text1"/>
          <w:szCs w:val="21"/>
          <w14:textFill>
            <w14:solidFill>
              <w14:schemeClr w14:val="tx1"/>
            </w14:solidFill>
          </w14:textFill>
        </w:rPr>
      </w:pPr>
    </w:p>
    <w:p>
      <w:pPr>
        <w:tabs>
          <w:tab w:val="left" w:pos="0"/>
        </w:tabs>
        <w:snapToGrid w:val="0"/>
        <w:spacing w:line="360" w:lineRule="auto"/>
        <w:ind w:firstLine="482"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监督（签名）：                                                                       日期：</w:t>
      </w:r>
      <w:r>
        <w:rPr>
          <w:rFonts w:hint="eastAsia" w:ascii="宋体" w:hAnsi="宋体" w:cs="宋体"/>
          <w:color w:val="000000" w:themeColor="text1"/>
          <w:szCs w:val="21"/>
          <w14:textFill>
            <w14:solidFill>
              <w14:schemeClr w14:val="tx1"/>
            </w14:solidFill>
          </w14:textFill>
        </w:rPr>
        <w:t xml:space="preserve">     年    月    日</w:t>
      </w:r>
    </w:p>
    <w:p>
      <w:pPr>
        <w:widowControl/>
        <w:jc w:val="left"/>
      </w:pPr>
      <w:r>
        <w:br w:type="page"/>
      </w:r>
    </w:p>
    <w:p>
      <w:pPr>
        <w:pStyle w:val="4"/>
        <w:jc w:val="left"/>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附表7：商务标详细评审表</w:t>
      </w:r>
    </w:p>
    <w:p>
      <w:pPr>
        <w:spacing w:line="480" w:lineRule="exact"/>
        <w:jc w:val="left"/>
        <w:rPr>
          <w:rFonts w:ascii="宋体" w:hAnsi="宋体" w:cs="宋体"/>
          <w:b/>
          <w:bCs/>
          <w:color w:val="000000" w:themeColor="text1"/>
          <w:kern w:val="0"/>
          <w:szCs w:val="24"/>
          <w14:textFill>
            <w14:solidFill>
              <w14:schemeClr w14:val="tx1"/>
            </w14:solidFill>
          </w14:textFill>
        </w:rPr>
      </w:pPr>
    </w:p>
    <w:tbl>
      <w:tblPr>
        <w:tblStyle w:val="14"/>
        <w:tblW w:w="14175" w:type="dxa"/>
        <w:jc w:val="center"/>
        <w:tblLayout w:type="fixed"/>
        <w:tblCellMar>
          <w:top w:w="0" w:type="dxa"/>
          <w:left w:w="0" w:type="dxa"/>
          <w:bottom w:w="0" w:type="dxa"/>
          <w:right w:w="0" w:type="dxa"/>
        </w:tblCellMar>
      </w:tblPr>
      <w:tblGrid>
        <w:gridCol w:w="708"/>
        <w:gridCol w:w="1247"/>
        <w:gridCol w:w="4957"/>
        <w:gridCol w:w="2127"/>
        <w:gridCol w:w="796"/>
        <w:gridCol w:w="2344"/>
        <w:gridCol w:w="1996"/>
      </w:tblGrid>
      <w:tr>
        <w:tblPrEx>
          <w:tblCellMar>
            <w:top w:w="0" w:type="dxa"/>
            <w:left w:w="0" w:type="dxa"/>
            <w:bottom w:w="0" w:type="dxa"/>
            <w:right w:w="0" w:type="dxa"/>
          </w:tblCellMar>
        </w:tblPrEx>
        <w:trPr>
          <w:trHeight w:val="857" w:hRule="atLeast"/>
          <w:jc w:val="center"/>
        </w:trPr>
        <w:tc>
          <w:tcPr>
            <w:tcW w:w="14175" w:type="dxa"/>
            <w:gridSpan w:val="7"/>
            <w:tcBorders>
              <w:top w:val="nil"/>
              <w:left w:val="nil"/>
              <w:bottom w:val="single" w:color="auto" w:sz="4" w:space="0"/>
              <w:right w:val="nil"/>
            </w:tcBorders>
          </w:tcPr>
          <w:p>
            <w:pPr>
              <w:widowControl/>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商务标详细评审表</w:t>
            </w:r>
          </w:p>
          <w:p>
            <w:pPr>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color w:val="000000" w:themeColor="text1"/>
                <w:szCs w:val="24"/>
                <w14:textFill>
                  <w14:solidFill>
                    <w14:schemeClr w14:val="tx1"/>
                  </w14:solidFill>
                </w14:textFill>
              </w:rPr>
              <w:t>轨道交通四期综合开发项目（四）土壤环境初步调查</w:t>
            </w:r>
          </w:p>
        </w:tc>
      </w:tr>
      <w:tr>
        <w:tblPrEx>
          <w:tblCellMar>
            <w:top w:w="0" w:type="dxa"/>
            <w:left w:w="0" w:type="dxa"/>
            <w:bottom w:w="0" w:type="dxa"/>
            <w:right w:w="0" w:type="dxa"/>
          </w:tblCellMar>
        </w:tblPrEx>
        <w:trPr>
          <w:trHeight w:val="431" w:hRule="atLeast"/>
          <w:jc w:val="center"/>
        </w:trPr>
        <w:tc>
          <w:tcPr>
            <w:tcW w:w="708" w:type="dxa"/>
            <w:vMerge w:val="restart"/>
            <w:tcBorders>
              <w:top w:val="single" w:color="auto" w:sz="4" w:space="0"/>
              <w:left w:val="single" w:color="auto" w:sz="8"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序号</w:t>
            </w:r>
          </w:p>
        </w:tc>
        <w:tc>
          <w:tcPr>
            <w:tcW w:w="1247"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评审内容</w:t>
            </w:r>
          </w:p>
        </w:tc>
        <w:tc>
          <w:tcPr>
            <w:tcW w:w="4957" w:type="dxa"/>
            <w:vMerge w:val="restart"/>
            <w:tcBorders>
              <w:top w:val="single" w:color="auto" w:sz="4" w:space="0"/>
              <w:left w:val="nil"/>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评审标准</w:t>
            </w:r>
          </w:p>
        </w:tc>
        <w:tc>
          <w:tcPr>
            <w:tcW w:w="2127" w:type="dxa"/>
            <w:vMerge w:val="restart"/>
            <w:tcBorders>
              <w:top w:val="single" w:color="auto" w:sz="4" w:space="0"/>
              <w:left w:val="nil"/>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基准价</w:t>
            </w:r>
          </w:p>
        </w:tc>
        <w:tc>
          <w:tcPr>
            <w:tcW w:w="5136"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参选人名称</w:t>
            </w:r>
          </w:p>
        </w:tc>
      </w:tr>
      <w:tr>
        <w:tblPrEx>
          <w:tblCellMar>
            <w:top w:w="0" w:type="dxa"/>
            <w:left w:w="0" w:type="dxa"/>
            <w:bottom w:w="0" w:type="dxa"/>
            <w:right w:w="0" w:type="dxa"/>
          </w:tblCellMar>
        </w:tblPrEx>
        <w:trPr>
          <w:trHeight w:val="731" w:hRule="atLeast"/>
          <w:jc w:val="center"/>
        </w:trPr>
        <w:tc>
          <w:tcPr>
            <w:tcW w:w="708" w:type="dxa"/>
            <w:vMerge w:val="continue"/>
            <w:tcBorders>
              <w:left w:val="single" w:color="auto" w:sz="8" w:space="0"/>
              <w:bottom w:val="single" w:color="auto" w:sz="4" w:space="0"/>
              <w:right w:val="single" w:color="auto" w:sz="4" w:space="0"/>
            </w:tcBorders>
            <w:vAlign w:val="center"/>
          </w:tcPr>
          <w:p>
            <w:pPr>
              <w:widowControl/>
              <w:jc w:val="center"/>
              <w:rPr>
                <w:color w:val="000000" w:themeColor="text1"/>
                <w14:textFill>
                  <w14:solidFill>
                    <w14:schemeClr w14:val="tx1"/>
                  </w14:solidFill>
                </w14:textFill>
              </w:rPr>
            </w:pPr>
          </w:p>
        </w:tc>
        <w:tc>
          <w:tcPr>
            <w:tcW w:w="1247" w:type="dxa"/>
            <w:vMerge w:val="continue"/>
            <w:tcBorders>
              <w:left w:val="single" w:color="auto" w:sz="4" w:space="0"/>
              <w:bottom w:val="single" w:color="auto" w:sz="4" w:space="0"/>
              <w:right w:val="single" w:color="auto" w:sz="4" w:space="0"/>
            </w:tcBorders>
            <w:vAlign w:val="center"/>
          </w:tcPr>
          <w:p>
            <w:pPr>
              <w:widowControl/>
              <w:jc w:val="center"/>
              <w:rPr>
                <w:color w:val="000000" w:themeColor="text1"/>
                <w14:textFill>
                  <w14:solidFill>
                    <w14:schemeClr w14:val="tx1"/>
                  </w14:solidFill>
                </w14:textFill>
              </w:rPr>
            </w:pPr>
          </w:p>
        </w:tc>
        <w:tc>
          <w:tcPr>
            <w:tcW w:w="4957" w:type="dxa"/>
            <w:vMerge w:val="continue"/>
            <w:tcBorders>
              <w:left w:val="nil"/>
              <w:bottom w:val="single" w:color="auto" w:sz="4" w:space="0"/>
              <w:right w:val="single" w:color="auto" w:sz="4" w:space="0"/>
            </w:tcBorders>
            <w:vAlign w:val="center"/>
          </w:tcPr>
          <w:p>
            <w:pPr>
              <w:widowControl/>
              <w:jc w:val="center"/>
              <w:rPr>
                <w:color w:val="000000" w:themeColor="text1"/>
                <w14:textFill>
                  <w14:solidFill>
                    <w14:schemeClr w14:val="tx1"/>
                  </w14:solidFill>
                </w14:textFill>
              </w:rPr>
            </w:pPr>
          </w:p>
        </w:tc>
        <w:tc>
          <w:tcPr>
            <w:tcW w:w="2127" w:type="dxa"/>
            <w:vMerge w:val="continue"/>
            <w:tcBorders>
              <w:left w:val="nil"/>
              <w:bottom w:val="single" w:color="auto" w:sz="4" w:space="0"/>
              <w:right w:val="single" w:color="auto" w:sz="4" w:space="0"/>
            </w:tcBorders>
            <w:vAlign w:val="center"/>
          </w:tcPr>
          <w:p>
            <w:pPr>
              <w:widowControl/>
              <w:jc w:val="center"/>
              <w:rPr>
                <w:color w:val="000000" w:themeColor="text1"/>
                <w14:textFill>
                  <w14:solidFill>
                    <w14:schemeClr w14:val="tx1"/>
                  </w14:solidFill>
                </w14:textFill>
              </w:rPr>
            </w:pPr>
          </w:p>
        </w:tc>
        <w:tc>
          <w:tcPr>
            <w:tcW w:w="79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p>
        </w:tc>
        <w:tc>
          <w:tcPr>
            <w:tcW w:w="23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p>
        </w:tc>
        <w:tc>
          <w:tcPr>
            <w:tcW w:w="199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2106"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1</w:t>
            </w:r>
          </w:p>
        </w:tc>
        <w:tc>
          <w:tcPr>
            <w:tcW w:w="1247" w:type="dxa"/>
            <w:tcBorders>
              <w:top w:val="nil"/>
              <w:left w:val="single" w:color="auto" w:sz="4" w:space="0"/>
              <w:bottom w:val="single" w:color="auto" w:sz="4" w:space="0"/>
              <w:right w:val="single" w:color="000000" w:sz="4" w:space="0"/>
            </w:tcBorders>
            <w:vAlign w:val="center"/>
          </w:tcPr>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报 价</w:t>
            </w:r>
          </w:p>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（万元）</w:t>
            </w:r>
          </w:p>
        </w:tc>
        <w:tc>
          <w:tcPr>
            <w:tcW w:w="4957" w:type="dxa"/>
            <w:vMerge w:val="restart"/>
            <w:tcBorders>
              <w:top w:val="nil"/>
              <w:left w:val="single" w:color="auto" w:sz="4" w:space="0"/>
              <w:right w:val="single" w:color="auto" w:sz="4" w:space="0"/>
            </w:tcBorders>
            <w:vAlign w:val="center"/>
          </w:tcPr>
          <w:p>
            <w:pP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商务分的确定：以进入</w:t>
            </w:r>
            <w:r>
              <w:rPr>
                <w:rFonts w:ascii="宋体" w:hAnsi="宋体" w:cs="宋体"/>
                <w:color w:val="000000" w:themeColor="text1"/>
                <w:kern w:val="0"/>
                <w:szCs w:val="24"/>
                <w14:textFill>
                  <w14:solidFill>
                    <w14:schemeClr w14:val="tx1"/>
                  </w14:solidFill>
                </w14:textFill>
              </w:rPr>
              <w:t>商务标环节的</w:t>
            </w:r>
            <w:r>
              <w:rPr>
                <w:rFonts w:hint="eastAsia" w:ascii="宋体" w:hAnsi="宋体" w:cs="宋体"/>
                <w:color w:val="000000" w:themeColor="text1"/>
                <w:kern w:val="0"/>
                <w:szCs w:val="24"/>
                <w14:textFill>
                  <w14:solidFill>
                    <w14:schemeClr w14:val="tx1"/>
                  </w14:solidFill>
                </w14:textFill>
              </w:rPr>
              <w:t>所有参选人所报的</w:t>
            </w:r>
            <w:r>
              <w:rPr>
                <w:rFonts w:ascii="宋体" w:hAnsi="宋体" w:cs="宋体"/>
                <w:color w:val="000000" w:themeColor="text1"/>
                <w:kern w:val="0"/>
                <w:szCs w:val="24"/>
                <w14:textFill>
                  <w14:solidFill>
                    <w14:schemeClr w14:val="tx1"/>
                  </w14:solidFill>
                </w14:textFill>
              </w:rPr>
              <w:t>服务费</w:t>
            </w:r>
            <w:r>
              <w:rPr>
                <w:rFonts w:hint="eastAsia" w:ascii="宋体" w:hAnsi="宋体"/>
                <w:color w:val="000000" w:themeColor="text1"/>
                <w:szCs w:val="24"/>
                <w:u w:val="single"/>
                <w14:textFill>
                  <w14:solidFill>
                    <w14:schemeClr w14:val="tx1"/>
                  </w14:solidFill>
                </w14:textFill>
              </w:rPr>
              <w:t>次低价</w:t>
            </w:r>
            <w:r>
              <w:rPr>
                <w:rFonts w:hint="eastAsia" w:ascii="宋体" w:hAnsi="宋体" w:cs="宋体"/>
                <w:color w:val="000000" w:themeColor="text1"/>
                <w:kern w:val="0"/>
                <w:szCs w:val="24"/>
                <w14:textFill>
                  <w14:solidFill>
                    <w14:schemeClr w14:val="tx1"/>
                  </w14:solidFill>
                </w14:textFill>
              </w:rPr>
              <w:t>为基准价且为满分</w:t>
            </w:r>
            <w:r>
              <w:rPr>
                <w:rFonts w:hint="eastAsia" w:ascii="宋体" w:hAnsi="宋体"/>
                <w:color w:val="000000" w:themeColor="text1"/>
                <w:szCs w:val="24"/>
                <w:u w:val="single"/>
                <w14:textFill>
                  <w14:solidFill>
                    <w14:schemeClr w14:val="tx1"/>
                  </w14:solidFill>
                </w14:textFill>
              </w:rPr>
              <w:t>5</w:t>
            </w:r>
            <w:r>
              <w:rPr>
                <w:rFonts w:ascii="宋体" w:hAnsi="宋体"/>
                <w:color w:val="000000" w:themeColor="text1"/>
                <w:szCs w:val="24"/>
                <w:u w:val="single"/>
                <w14:textFill>
                  <w14:solidFill>
                    <w14:schemeClr w14:val="tx1"/>
                  </w14:solidFill>
                </w14:textFill>
              </w:rPr>
              <w:t>0</w:t>
            </w:r>
            <w:r>
              <w:rPr>
                <w:rFonts w:hint="eastAsia" w:ascii="宋体" w:hAnsi="宋体" w:cs="宋体"/>
                <w:color w:val="000000" w:themeColor="text1"/>
                <w:kern w:val="0"/>
                <w:szCs w:val="24"/>
                <w14:textFill>
                  <w14:solidFill>
                    <w14:schemeClr w14:val="tx1"/>
                  </w14:solidFill>
                </w14:textFill>
              </w:rPr>
              <w:t>分。若次低价同时为最高价，则以最低价为基准价且为满分，按下列公式计算：</w:t>
            </w:r>
          </w:p>
          <w:p>
            <w:pPr>
              <w:adjustRightInd w:val="0"/>
              <w:ind w:firstLine="480" w:firstLineChars="200"/>
              <w:textAlignment w:val="baseline"/>
              <w:rPr>
                <w:rFonts w:ascii="宋体" w:hAnsi="宋体"/>
                <w:color w:val="000000" w:themeColor="text1"/>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F</w:t>
            </w:r>
            <w:r>
              <w:rPr>
                <w:rFonts w:ascii="宋体" w:hAnsi="宋体" w:cs="宋体"/>
                <w:color w:val="000000" w:themeColor="text1"/>
                <w:kern w:val="0"/>
                <w:szCs w:val="24"/>
                <w:vertAlign w:val="subscript"/>
                <w14:textFill>
                  <w14:solidFill>
                    <w14:schemeClr w14:val="tx1"/>
                  </w14:solidFill>
                </w14:textFill>
              </w:rPr>
              <w:t>n</w:t>
            </w:r>
            <w:r>
              <w:rPr>
                <w:rFonts w:hint="eastAsia" w:ascii="宋体" w:hAnsi="宋体"/>
                <w:color w:val="000000" w:themeColor="text1"/>
                <w:szCs w:val="24"/>
                <w14:textFill>
                  <w14:solidFill>
                    <w14:schemeClr w14:val="tx1"/>
                  </w14:solidFill>
                </w14:textFill>
              </w:rPr>
              <w:t xml:space="preserve"> =5</w:t>
            </w:r>
            <w:r>
              <w:rPr>
                <w:rFonts w:ascii="宋体" w:hAnsi="宋体"/>
                <w:color w:val="000000" w:themeColor="text1"/>
                <w:szCs w:val="24"/>
                <w14:textFill>
                  <w14:solidFill>
                    <w14:schemeClr w14:val="tx1"/>
                  </w14:solidFill>
                </w14:textFill>
              </w:rPr>
              <w:t>0</w:t>
            </w:r>
            <w:r>
              <w:rPr>
                <w:rFonts w:hint="eastAsia" w:ascii="宋体" w:hAnsi="宋体"/>
                <w:color w:val="000000" w:themeColor="text1"/>
                <w:szCs w:val="24"/>
                <w14:textFill>
                  <w14:solidFill>
                    <w14:schemeClr w14:val="tx1"/>
                  </w14:solidFill>
                </w14:textFill>
              </w:rPr>
              <w:t>-5</w:t>
            </w:r>
            <w:r>
              <w:rPr>
                <w:rFonts w:ascii="宋体" w:hAnsi="宋体"/>
                <w:color w:val="000000" w:themeColor="text1"/>
                <w:szCs w:val="24"/>
                <w14:textFill>
                  <w14:solidFill>
                    <w14:schemeClr w14:val="tx1"/>
                  </w14:solidFill>
                </w14:textFill>
              </w:rPr>
              <w:t>0</w:t>
            </w:r>
            <w:r>
              <w:rPr>
                <w:rFonts w:hint="eastAsia" w:ascii="宋体" w:hAnsi="宋体"/>
                <w:color w:val="000000" w:themeColor="text1"/>
                <w:szCs w:val="24"/>
                <w14:textFill>
                  <w14:solidFill>
                    <w14:schemeClr w14:val="tx1"/>
                  </w14:solidFill>
                </w14:textFill>
              </w:rPr>
              <w:t>×│S</w:t>
            </w:r>
            <w:r>
              <w:rPr>
                <w:rFonts w:hint="eastAsia" w:ascii="宋体" w:hAnsi="宋体"/>
                <w:color w:val="000000" w:themeColor="text1"/>
                <w:szCs w:val="24"/>
                <w:vertAlign w:val="subscript"/>
                <w14:textFill>
                  <w14:solidFill>
                    <w14:schemeClr w14:val="tx1"/>
                  </w14:solidFill>
                </w14:textFill>
              </w:rPr>
              <w:t>n</w:t>
            </w:r>
            <w:r>
              <w:rPr>
                <w:rFonts w:hint="eastAsia" w:ascii="宋体" w:hAnsi="宋体"/>
                <w:color w:val="000000" w:themeColor="text1"/>
                <w:szCs w:val="24"/>
                <w14:textFill>
                  <w14:solidFill>
                    <w14:schemeClr w14:val="tx1"/>
                  </w14:solidFill>
                </w14:textFill>
              </w:rPr>
              <w:t>-</w:t>
            </w:r>
            <w:r>
              <w:rPr>
                <w:rFonts w:hint="eastAsia" w:ascii="宋体" w:hAnsi="宋体" w:cs="宋体"/>
                <w:color w:val="000000" w:themeColor="text1"/>
                <w:kern w:val="0"/>
                <w:szCs w:val="24"/>
                <w14:textFill>
                  <w14:solidFill>
                    <w14:schemeClr w14:val="tx1"/>
                  </w14:solidFill>
                </w14:textFill>
              </w:rPr>
              <w:t xml:space="preserve"> S</w:t>
            </w:r>
            <w:r>
              <w:rPr>
                <w:rFonts w:ascii="宋体" w:hAnsi="宋体" w:cs="宋体"/>
                <w:color w:val="000000" w:themeColor="text1"/>
                <w:kern w:val="0"/>
                <w:szCs w:val="24"/>
                <w:vertAlign w:val="subscript"/>
                <w14:textFill>
                  <w14:solidFill>
                    <w14:schemeClr w14:val="tx1"/>
                  </w14:solidFill>
                </w14:textFill>
              </w:rPr>
              <w:t>j</w:t>
            </w:r>
            <w:r>
              <w:rPr>
                <w:rFonts w:hint="eastAsia" w:ascii="宋体" w:hAnsi="宋体"/>
                <w:color w:val="000000" w:themeColor="text1"/>
                <w:szCs w:val="24"/>
                <w14:textFill>
                  <w14:solidFill>
                    <w14:schemeClr w14:val="tx1"/>
                  </w14:solidFill>
                </w14:textFill>
              </w:rPr>
              <w:t>│/</w:t>
            </w:r>
            <w:r>
              <w:rPr>
                <w:rFonts w:hint="eastAsia" w:ascii="宋体" w:hAnsi="宋体" w:cs="宋体"/>
                <w:color w:val="000000" w:themeColor="text1"/>
                <w:kern w:val="0"/>
                <w:szCs w:val="24"/>
                <w14:textFill>
                  <w14:solidFill>
                    <w14:schemeClr w14:val="tx1"/>
                  </w14:solidFill>
                </w14:textFill>
              </w:rPr>
              <w:t xml:space="preserve"> S</w:t>
            </w:r>
            <w:r>
              <w:rPr>
                <w:rFonts w:ascii="宋体" w:hAnsi="宋体" w:cs="宋体"/>
                <w:color w:val="000000" w:themeColor="text1"/>
                <w:kern w:val="0"/>
                <w:szCs w:val="24"/>
                <w:vertAlign w:val="subscript"/>
                <w14:textFill>
                  <w14:solidFill>
                    <w14:schemeClr w14:val="tx1"/>
                  </w14:solidFill>
                </w14:textFill>
              </w:rPr>
              <w:t>j</w:t>
            </w:r>
          </w:p>
          <w:p>
            <w:pP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其中：F</w:t>
            </w:r>
            <w:r>
              <w:rPr>
                <w:rFonts w:ascii="宋体" w:hAnsi="宋体" w:cs="宋体"/>
                <w:color w:val="000000" w:themeColor="text1"/>
                <w:kern w:val="0"/>
                <w:szCs w:val="24"/>
                <w:vertAlign w:val="subscript"/>
                <w14:textFill>
                  <w14:solidFill>
                    <w14:schemeClr w14:val="tx1"/>
                  </w14:solidFill>
                </w14:textFill>
              </w:rPr>
              <w:t>n</w:t>
            </w:r>
            <w:r>
              <w:rPr>
                <w:rFonts w:hint="eastAsia" w:ascii="宋体" w:hAnsi="宋体" w:cs="宋体"/>
                <w:color w:val="000000" w:themeColor="text1"/>
                <w:kern w:val="0"/>
                <w:szCs w:val="24"/>
                <w14:textFill>
                  <w14:solidFill>
                    <w14:schemeClr w14:val="tx1"/>
                  </w14:solidFill>
                </w14:textFill>
              </w:rPr>
              <w:t>— 第n参选人的商务得分。若计算所得Fn ≤0，则该参选人的商务得分定为0分。</w:t>
            </w:r>
          </w:p>
          <w:p>
            <w:pPr>
              <w:ind w:firstLine="720" w:firstLineChars="300"/>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S</w:t>
            </w:r>
            <w:r>
              <w:rPr>
                <w:rFonts w:ascii="宋体" w:hAnsi="宋体" w:cs="宋体"/>
                <w:color w:val="000000" w:themeColor="text1"/>
                <w:kern w:val="0"/>
                <w:szCs w:val="24"/>
                <w:vertAlign w:val="subscript"/>
                <w14:textFill>
                  <w14:solidFill>
                    <w14:schemeClr w14:val="tx1"/>
                  </w14:solidFill>
                </w14:textFill>
              </w:rPr>
              <w:t>n</w:t>
            </w:r>
            <w:r>
              <w:rPr>
                <w:rFonts w:hint="eastAsia" w:ascii="宋体" w:hAnsi="宋体" w:cs="宋体"/>
                <w:color w:val="000000" w:themeColor="text1"/>
                <w:kern w:val="0"/>
                <w:szCs w:val="24"/>
                <w14:textFill>
                  <w14:solidFill>
                    <w14:schemeClr w14:val="tx1"/>
                  </w14:solidFill>
                </w14:textFill>
              </w:rPr>
              <w:t>— 第n 参选人的服务费</w:t>
            </w:r>
          </w:p>
          <w:p>
            <w:pPr>
              <w:ind w:firstLine="720" w:firstLineChars="300"/>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S</w:t>
            </w:r>
            <w:r>
              <w:rPr>
                <w:rFonts w:ascii="宋体" w:hAnsi="宋体" w:cs="宋体"/>
                <w:color w:val="000000" w:themeColor="text1"/>
                <w:kern w:val="0"/>
                <w:szCs w:val="24"/>
                <w:vertAlign w:val="subscript"/>
                <w14:textFill>
                  <w14:solidFill>
                    <w14:schemeClr w14:val="tx1"/>
                  </w14:solidFill>
                </w14:textFill>
              </w:rPr>
              <w:t>j</w:t>
            </w:r>
            <w:r>
              <w:rPr>
                <w:rFonts w:hint="eastAsia" w:ascii="宋体" w:hAnsi="宋体" w:cs="宋体"/>
                <w:color w:val="000000" w:themeColor="text1"/>
                <w:kern w:val="0"/>
                <w:szCs w:val="24"/>
                <w14:textFill>
                  <w14:solidFill>
                    <w14:schemeClr w14:val="tx1"/>
                  </w14:solidFill>
                </w14:textFill>
              </w:rPr>
              <w:t>— 以进入商务标环节的所有参选人所报的基准价</w:t>
            </w:r>
          </w:p>
          <w:p>
            <w:pPr>
              <w:rPr>
                <w:color w:val="000000" w:themeColor="text1"/>
                <w14:textFill>
                  <w14:solidFill>
                    <w14:schemeClr w14:val="tx1"/>
                  </w14:solidFill>
                </w14:textFill>
              </w:rPr>
            </w:pPr>
          </w:p>
        </w:tc>
        <w:tc>
          <w:tcPr>
            <w:tcW w:w="212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234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9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736"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2</w:t>
            </w:r>
          </w:p>
        </w:tc>
        <w:tc>
          <w:tcPr>
            <w:tcW w:w="1247" w:type="dxa"/>
            <w:tcBorders>
              <w:top w:val="nil"/>
              <w:left w:val="single" w:color="auto" w:sz="4" w:space="0"/>
              <w:bottom w:val="single" w:color="auto" w:sz="4" w:space="0"/>
              <w:right w:val="single" w:color="000000" w:sz="4" w:space="0"/>
            </w:tcBorders>
            <w:vAlign w:val="center"/>
          </w:tcPr>
          <w:p>
            <w:pPr>
              <w:spacing w:line="360" w:lineRule="auto"/>
              <w:jc w:val="center"/>
              <w:rPr>
                <w:b/>
                <w:bCs/>
                <w:color w:val="000000" w:themeColor="text1"/>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得分</w:t>
            </w:r>
          </w:p>
          <w:p>
            <w:pPr>
              <w:jc w:val="center"/>
              <w:rPr>
                <w:rFonts w:ascii="宋体" w:hAnsi="宋体" w:cs="宋体"/>
                <w:color w:val="000000" w:themeColor="text1"/>
                <w:kern w:val="0"/>
                <w:szCs w:val="24"/>
                <w14:textFill>
                  <w14:solidFill>
                    <w14:schemeClr w14:val="tx1"/>
                  </w14:solidFill>
                </w14:textFill>
              </w:rPr>
            </w:pPr>
          </w:p>
        </w:tc>
        <w:tc>
          <w:tcPr>
            <w:tcW w:w="495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212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234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9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r>
    </w:tbl>
    <w:p>
      <w:pPr>
        <w:spacing w:line="360" w:lineRule="auto"/>
        <w:ind w:firstLine="528" w:firstLineChars="220"/>
        <w:jc w:val="left"/>
        <w:rPr>
          <w:rFonts w:eastAsia="楷体_GB2312"/>
          <w:b/>
          <w:bCs/>
          <w:color w:val="000000" w:themeColor="text1"/>
          <w:kern w:val="0"/>
          <w:sz w:val="32"/>
          <w:szCs w:val="32"/>
          <w14:textFill>
            <w14:solidFill>
              <w14:schemeClr w14:val="tx1"/>
            </w14:solidFill>
          </w14:textFill>
        </w:rPr>
      </w:pPr>
      <w:r>
        <w:rPr>
          <w:rFonts w:hint="eastAsia"/>
          <w:color w:val="000000" w:themeColor="text1"/>
          <w14:textFill>
            <w14:solidFill>
              <w14:schemeClr w14:val="tx1"/>
            </w14:solidFill>
          </w14:textFill>
        </w:rPr>
        <w:t>注：商务</w:t>
      </w:r>
      <w:r>
        <w:rPr>
          <w:color w:val="000000" w:themeColor="text1"/>
          <w14:textFill>
            <w14:solidFill>
              <w14:schemeClr w14:val="tx1"/>
            </w14:solidFill>
          </w14:textFill>
        </w:rPr>
        <w:t>标得分值</w:t>
      </w:r>
      <w:r>
        <w:rPr>
          <w:rFonts w:hint="eastAsia"/>
          <w:color w:val="000000" w:themeColor="text1"/>
          <w14:textFill>
            <w14:solidFill>
              <w14:schemeClr w14:val="tx1"/>
            </w14:solidFill>
          </w14:textFill>
        </w:rPr>
        <w:t>四舍五入</w:t>
      </w:r>
      <w:r>
        <w:rPr>
          <w:color w:val="000000" w:themeColor="text1"/>
          <w14:textFill>
            <w14:solidFill>
              <w14:schemeClr w14:val="tx1"/>
            </w14:solidFill>
          </w14:textFill>
        </w:rPr>
        <w:t>保留小数点后两位数字。</w:t>
      </w:r>
    </w:p>
    <w:p>
      <w:pPr>
        <w:widowControl/>
        <w:rPr>
          <w:rFonts w:ascii="楷体_GB2312" w:hAnsi="宋体" w:eastAsia="楷体_GB2312" w:cs="宋体"/>
          <w:b/>
          <w:bCs/>
          <w:color w:val="000000" w:themeColor="text1"/>
          <w:kern w:val="0"/>
          <w:sz w:val="32"/>
          <w:szCs w:val="32"/>
          <w14:textFill>
            <w14:solidFill>
              <w14:schemeClr w14:val="tx1"/>
            </w14:solidFill>
          </w14:textFill>
        </w:rPr>
      </w:pPr>
    </w:p>
    <w:p>
      <w:pPr>
        <w:widowControl/>
        <w:rPr>
          <w:rFonts w:ascii="楷体_GB2312" w:hAnsi="宋体" w:eastAsia="楷体_GB2312" w:cs="宋体"/>
          <w:b/>
          <w:bCs/>
          <w:color w:val="000000" w:themeColor="text1"/>
          <w:kern w:val="0"/>
          <w:sz w:val="32"/>
          <w:szCs w:val="32"/>
          <w14:textFill>
            <w14:solidFill>
              <w14:schemeClr w14:val="tx1"/>
            </w14:solidFill>
          </w14:textFill>
        </w:rPr>
      </w:pPr>
      <w:r>
        <w:rPr>
          <w:rFonts w:hint="eastAsia" w:ascii="宋体" w:hAnsi="宋体"/>
          <w:b/>
          <w:color w:val="000000" w:themeColor="text1"/>
          <w:szCs w:val="24"/>
          <w14:textFill>
            <w14:solidFill>
              <w14:schemeClr w14:val="tx1"/>
            </w14:solidFill>
          </w14:textFill>
        </w:rPr>
        <w:t>评委（签名）：                                                                  日期：</w:t>
      </w:r>
      <w:r>
        <w:rPr>
          <w:rFonts w:hint="eastAsia" w:ascii="宋体" w:hAnsi="宋体"/>
          <w:color w:val="000000" w:themeColor="text1"/>
          <w:szCs w:val="24"/>
          <w14:textFill>
            <w14:solidFill>
              <w14:schemeClr w14:val="tx1"/>
            </w14:solidFill>
          </w14:textFill>
        </w:rPr>
        <w:t xml:space="preserve">     年    月    日</w:t>
      </w:r>
    </w:p>
    <w:p>
      <w:pPr>
        <w:widowControl/>
        <w:jc w:val="left"/>
        <w:rPr>
          <w:rFonts w:ascii="宋体" w:hAnsi="宋体"/>
          <w:b/>
          <w:color w:val="000000" w:themeColor="text1"/>
          <w:szCs w:val="24"/>
          <w14:textFill>
            <w14:solidFill>
              <w14:schemeClr w14:val="tx1"/>
            </w14:solidFill>
          </w14:textFill>
        </w:rPr>
      </w:pPr>
    </w:p>
    <w:p>
      <w:pPr>
        <w:widowControl/>
        <w:jc w:val="left"/>
        <w:rPr>
          <w:rFonts w:ascii="宋体" w:hAnsi="宋体"/>
          <w:b/>
          <w:color w:val="000000" w:themeColor="text1"/>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w:t>
      </w:r>
    </w:p>
    <w:p>
      <w:pPr>
        <w:pStyle w:val="4"/>
        <w:jc w:val="left"/>
        <w:rPr>
          <w:color w:val="000000" w:themeColor="text1"/>
          <w:szCs w:val="36"/>
          <w14:textFill>
            <w14:solidFill>
              <w14:schemeClr w14:val="tx1"/>
            </w14:solidFill>
          </w14:textFill>
        </w:rPr>
      </w:pPr>
      <w:bookmarkStart w:id="138" w:name="_Toc29693"/>
      <w:bookmarkStart w:id="139" w:name="_Toc26965"/>
      <w:bookmarkStart w:id="140" w:name="_Toc19682"/>
      <w:r>
        <w:rPr>
          <w:rFonts w:hint="eastAsia"/>
          <w:color w:val="000000" w:themeColor="text1"/>
          <w:szCs w:val="36"/>
          <w14:textFill>
            <w14:solidFill>
              <w14:schemeClr w14:val="tx1"/>
            </w14:solidFill>
          </w14:textFill>
        </w:rPr>
        <w:t>附表8：</w:t>
      </w:r>
      <w:bookmarkEnd w:id="138"/>
      <w:bookmarkEnd w:id="139"/>
      <w:bookmarkEnd w:id="140"/>
      <w:r>
        <w:rPr>
          <w:rFonts w:hint="eastAsia"/>
          <w:color w:val="000000" w:themeColor="text1"/>
          <w:szCs w:val="36"/>
          <w14:textFill>
            <w14:solidFill>
              <w14:schemeClr w14:val="tx1"/>
            </w14:solidFill>
          </w14:textFill>
        </w:rPr>
        <w:t>最终得分结果汇总表</w:t>
      </w:r>
    </w:p>
    <w:p>
      <w:pPr>
        <w:widowControl/>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最终得分结果汇总表</w:t>
      </w:r>
    </w:p>
    <w:p>
      <w:pPr>
        <w:widowControl/>
        <w:spacing w:after="120" w:afterLines="50"/>
        <w:jc w:val="left"/>
        <w:rPr>
          <w:rFonts w:ascii="宋体" w:hAnsi="宋体" w:cs="宋体"/>
          <w:color w:val="000000" w:themeColor="text1"/>
          <w:kern w:val="0"/>
          <w:szCs w:val="24"/>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color w:val="000000" w:themeColor="text1"/>
          <w:szCs w:val="24"/>
          <w14:textFill>
            <w14:solidFill>
              <w14:schemeClr w14:val="tx1"/>
            </w14:solidFill>
          </w14:textFill>
        </w:rPr>
        <w:t>轨道交通四期综合开发项目（四）土壤环境初步调查</w:t>
      </w:r>
    </w:p>
    <w:tbl>
      <w:tblPr>
        <w:tblStyle w:val="14"/>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ascii="宋体" w:hAnsi="宋体"/>
                <w:b/>
                <w:bCs/>
                <w:color w:val="000000" w:themeColor="text1"/>
                <w:szCs w:val="24"/>
                <w14:textFill>
                  <w14:solidFill>
                    <w14:schemeClr w14:val="tx1"/>
                  </w14:solidFill>
                </w14:textFill>
              </w:rPr>
              <w:t>J</w:t>
            </w:r>
            <w:r>
              <w:rPr>
                <w:rFonts w:hint="eastAsia" w:ascii="宋体" w:hAnsi="宋体"/>
                <w:b/>
                <w:bCs/>
                <w:color w:val="000000" w:themeColor="text1"/>
                <w:szCs w:val="24"/>
                <w14:textFill>
                  <w14:solidFill>
                    <w14:schemeClr w14:val="tx1"/>
                  </w14:solidFill>
                </w14:textFill>
              </w:rPr>
              <w:t>n</w:t>
            </w:r>
          </w:p>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Fn</w:t>
            </w:r>
          </w:p>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ascii="宋体" w:hAnsi="宋体"/>
                <w:b/>
                <w:bCs/>
                <w:color w:val="000000" w:themeColor="text1"/>
                <w:szCs w:val="24"/>
                <w14:textFill>
                  <w14:solidFill>
                    <w14:schemeClr w14:val="tx1"/>
                  </w14:solidFill>
                </w14:textFill>
              </w:rPr>
              <w:t>N</w:t>
            </w:r>
          </w:p>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N</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J</w:t>
            </w:r>
            <w:r>
              <w:rPr>
                <w:rFonts w:hint="eastAsia" w:ascii="宋体" w:hAnsi="宋体"/>
                <w:color w:val="000000" w:themeColor="text1"/>
                <w:szCs w:val="24"/>
                <w14:textFill>
                  <w14:solidFill>
                    <w14:schemeClr w14:val="tx1"/>
                  </w14:solidFill>
                </w14:textFill>
              </w:rPr>
              <w:t>n+Fn</w:t>
            </w:r>
          </w:p>
          <w:p>
            <w:pPr>
              <w:spacing w:line="360" w:lineRule="auto"/>
              <w:jc w:val="center"/>
              <w:rPr>
                <w:rFonts w:ascii="宋体" w:hAnsi="宋体"/>
                <w:color w:val="000000" w:themeColor="text1"/>
                <w:szCs w:val="24"/>
                <w14:textFill>
                  <w14:solidFill>
                    <w14:schemeClr w14:val="tx1"/>
                  </w14:solidFill>
                </w14:textFill>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r>
    </w:tbl>
    <w:p>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注：最终</w:t>
      </w:r>
      <w:r>
        <w:rPr>
          <w:color w:val="000000" w:themeColor="text1"/>
          <w14:textFill>
            <w14:solidFill>
              <w14:schemeClr w14:val="tx1"/>
            </w14:solidFill>
          </w14:textFill>
        </w:rPr>
        <w:t>得分值</w:t>
      </w:r>
      <w:r>
        <w:rPr>
          <w:rFonts w:hint="eastAsia"/>
          <w:color w:val="000000" w:themeColor="text1"/>
          <w14:textFill>
            <w14:solidFill>
              <w14:schemeClr w14:val="tx1"/>
            </w14:solidFill>
          </w14:textFill>
        </w:rPr>
        <w:t>四舍五入</w:t>
      </w:r>
      <w:r>
        <w:rPr>
          <w:color w:val="000000" w:themeColor="text1"/>
          <w14:textFill>
            <w14:solidFill>
              <w14:schemeClr w14:val="tx1"/>
            </w14:solidFill>
          </w14:textFill>
        </w:rPr>
        <w:t>保留小数点后两位数字。</w:t>
      </w:r>
    </w:p>
    <w:p>
      <w:pPr>
        <w:pStyle w:val="6"/>
        <w:snapToGrid w:val="0"/>
        <w:rPr>
          <w:color w:val="000000" w:themeColor="text1"/>
          <w14:textFill>
            <w14:solidFill>
              <w14:schemeClr w14:val="tx1"/>
            </w14:solidFill>
          </w14:textFill>
        </w:rPr>
      </w:pPr>
    </w:p>
    <w:p>
      <w:pPr>
        <w:widowControl/>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评委（签名）：</w:t>
      </w:r>
    </w:p>
    <w:p>
      <w:pPr>
        <w:widowControl/>
        <w:rPr>
          <w:rFonts w:ascii="宋体" w:hAnsi="宋体"/>
          <w:b/>
          <w:color w:val="000000" w:themeColor="text1"/>
          <w:szCs w:val="24"/>
          <w14:textFill>
            <w14:solidFill>
              <w14:schemeClr w14:val="tx1"/>
            </w14:solidFill>
          </w14:textFill>
        </w:rPr>
      </w:pPr>
    </w:p>
    <w:p>
      <w:pPr>
        <w:widowControl/>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 xml:space="preserve">监督（签名）：       </w:t>
      </w:r>
    </w:p>
    <w:p>
      <w:pPr>
        <w:widowControl/>
        <w:rPr>
          <w:rFonts w:ascii="宋体" w:hAnsi="宋体"/>
          <w:b/>
          <w:color w:val="000000" w:themeColor="text1"/>
          <w:szCs w:val="24"/>
          <w14:textFill>
            <w14:solidFill>
              <w14:schemeClr w14:val="tx1"/>
            </w14:solidFill>
          </w14:textFill>
        </w:rPr>
      </w:pPr>
    </w:p>
    <w:p>
      <w:pPr>
        <w:widowControl/>
        <w:rPr>
          <w:rFonts w:ascii="宋体" w:hAnsi="宋体"/>
          <w:b/>
          <w:color w:val="000000" w:themeColor="text1"/>
          <w:szCs w:val="24"/>
          <w14:textFill>
            <w14:solidFill>
              <w14:schemeClr w14:val="tx1"/>
            </w14:solidFill>
          </w14:textFill>
        </w:rPr>
      </w:pPr>
    </w:p>
    <w:p>
      <w:pPr>
        <w:widowControl/>
        <w:rPr>
          <w:rFonts w:ascii="宋体" w:hAnsi="宋体"/>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 xml:space="preserve">                                                                日期：</w:t>
      </w:r>
      <w:r>
        <w:rPr>
          <w:rFonts w:hint="eastAsia" w:ascii="宋体" w:hAnsi="宋体"/>
          <w:color w:val="000000" w:themeColor="text1"/>
          <w:szCs w:val="24"/>
          <w14:textFill>
            <w14:solidFill>
              <w14:schemeClr w14:val="tx1"/>
            </w14:solidFill>
          </w14:textFill>
        </w:rPr>
        <w:t xml:space="preserve">       年      月      日</w:t>
      </w:r>
    </w:p>
    <w:p>
      <w:pPr>
        <w:widowControl/>
        <w:jc w:val="left"/>
      </w:pPr>
      <w:r>
        <w:br w:type="page"/>
      </w:r>
    </w:p>
    <w:p>
      <w:pPr>
        <w:pStyle w:val="4"/>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附表9：参选人最终得分排序表</w:t>
      </w:r>
    </w:p>
    <w:tbl>
      <w:tblPr>
        <w:tblStyle w:val="14"/>
        <w:tblW w:w="0" w:type="auto"/>
        <w:tblInd w:w="-1" w:type="dxa"/>
        <w:tblLayout w:type="fixed"/>
        <w:tblCellMar>
          <w:top w:w="0" w:type="dxa"/>
          <w:left w:w="0" w:type="dxa"/>
          <w:bottom w:w="0" w:type="dxa"/>
          <w:right w:w="0" w:type="dxa"/>
        </w:tblCellMar>
      </w:tblPr>
      <w:tblGrid>
        <w:gridCol w:w="1234"/>
        <w:gridCol w:w="3587"/>
        <w:gridCol w:w="2306"/>
        <w:gridCol w:w="2270"/>
        <w:gridCol w:w="4553"/>
      </w:tblGrid>
      <w:tr>
        <w:tblPrEx>
          <w:tblCellMar>
            <w:top w:w="0" w:type="dxa"/>
            <w:left w:w="0" w:type="dxa"/>
            <w:bottom w:w="0" w:type="dxa"/>
            <w:right w:w="0" w:type="dxa"/>
          </w:tblCellMar>
        </w:tblPrEx>
        <w:trPr>
          <w:trHeight w:val="801" w:hRule="atLeast"/>
        </w:trPr>
        <w:tc>
          <w:tcPr>
            <w:tcW w:w="13950" w:type="dxa"/>
            <w:gridSpan w:val="5"/>
            <w:tcBorders>
              <w:top w:val="nil"/>
              <w:left w:val="nil"/>
              <w:bottom w:val="single" w:color="auto" w:sz="8" w:space="0"/>
              <w:right w:val="nil"/>
            </w:tcBorders>
            <w:shd w:val="clear" w:color="auto" w:fill="auto"/>
            <w:vAlign w:val="center"/>
          </w:tcPr>
          <w:p>
            <w:pPr>
              <w:widowControl/>
              <w:spacing w:line="480" w:lineRule="exact"/>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参选人最终得分排序表</w:t>
            </w:r>
          </w:p>
          <w:p>
            <w:pPr>
              <w:widowControl/>
              <w:spacing w:line="480" w:lineRule="exact"/>
              <w:jc w:val="left"/>
              <w:rPr>
                <w:rFonts w:ascii="宋体" w:hAnsi="宋体" w:cs="Arial"/>
                <w:b/>
                <w:bCs/>
                <w:color w:val="000000" w:themeColor="text1"/>
                <w:kern w:val="0"/>
                <w:sz w:val="36"/>
                <w:szCs w:val="36"/>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color w:val="000000" w:themeColor="text1"/>
                <w:szCs w:val="24"/>
                <w14:textFill>
                  <w14:solidFill>
                    <w14:schemeClr w14:val="tx1"/>
                  </w14:solidFill>
                </w14:textFill>
              </w:rPr>
              <w:t>轨道交通四期综合开发项目（四）土壤环境初步调查</w:t>
            </w:r>
          </w:p>
        </w:tc>
      </w:tr>
      <w:tr>
        <w:tblPrEx>
          <w:tblCellMar>
            <w:top w:w="0" w:type="dxa"/>
            <w:left w:w="0" w:type="dxa"/>
            <w:bottom w:w="0" w:type="dxa"/>
            <w:right w:w="0" w:type="dxa"/>
          </w:tblCellMar>
        </w:tblPrEx>
        <w:trPr>
          <w:trHeight w:val="416" w:hRule="atLeast"/>
        </w:trPr>
        <w:tc>
          <w:tcPr>
            <w:tcW w:w="1234" w:type="dxa"/>
            <w:tcBorders>
              <w:top w:val="single" w:color="auto" w:sz="8" w:space="0"/>
              <w:left w:val="single" w:color="auto" w:sz="8" w:space="0"/>
              <w:bottom w:val="single" w:color="auto" w:sz="6" w:space="0"/>
              <w:right w:val="single" w:color="auto" w:sz="6"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3587"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参选人</w:t>
            </w:r>
          </w:p>
        </w:tc>
        <w:tc>
          <w:tcPr>
            <w:tcW w:w="2306"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排名</w:t>
            </w:r>
          </w:p>
        </w:tc>
        <w:tc>
          <w:tcPr>
            <w:tcW w:w="2270"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最终得分</w:t>
            </w:r>
          </w:p>
        </w:tc>
        <w:tc>
          <w:tcPr>
            <w:tcW w:w="4553" w:type="dxa"/>
            <w:tcBorders>
              <w:top w:val="single" w:color="auto" w:sz="8" w:space="0"/>
              <w:left w:val="single" w:color="auto" w:sz="6" w:space="0"/>
              <w:bottom w:val="single" w:color="auto" w:sz="6" w:space="0"/>
              <w:right w:val="single" w:color="auto" w:sz="8"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restart"/>
            <w:tcBorders>
              <w:top w:val="single" w:color="auto" w:sz="6" w:space="0"/>
              <w:left w:val="single" w:color="auto" w:sz="6" w:space="0"/>
              <w:right w:val="single" w:color="auto" w:sz="8" w:space="0"/>
            </w:tcBorders>
            <w:shd w:val="clear" w:color="auto" w:fill="auto"/>
            <w:vAlign w:val="center"/>
          </w:tcPr>
          <w:p>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按最终得分由高至低排序。</w:t>
            </w:r>
          </w:p>
          <w:p>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若参选人最终得分相同的，以技术标得分高者排在先；若技术标得分相同的（以保留小数点后两位且四舍五入为准），以商务标报价低者排在先；若报价相同的，以抽签的形式确定中选候选人。最终，评委推荐一名中选候选人中选，并形成评标报告。</w:t>
            </w: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14:textFill>
                  <w14:solidFill>
                    <w14:schemeClr w14:val="tx1"/>
                  </w14:solidFill>
                </w14:textFill>
              </w:rPr>
            </w:pP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14:textFill>
                  <w14:solidFill>
                    <w14:schemeClr w14:val="tx1"/>
                  </w14:solidFill>
                </w14:textFill>
              </w:rPr>
            </w:pP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14:textFill>
                  <w14:solidFill>
                    <w14:schemeClr w14:val="tx1"/>
                  </w14:solidFill>
                </w14:textFill>
              </w:rPr>
            </w:pP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14:textFill>
                  <w14:solidFill>
                    <w14:schemeClr w14:val="tx1"/>
                  </w14:solidFill>
                </w14:textFill>
              </w:rPr>
            </w:pPr>
          </w:p>
        </w:tc>
      </w:tr>
      <w:tr>
        <w:tblPrEx>
          <w:tblCellMar>
            <w:top w:w="0" w:type="dxa"/>
            <w:left w:w="0" w:type="dxa"/>
            <w:bottom w:w="0" w:type="dxa"/>
            <w:right w:w="0" w:type="dxa"/>
          </w:tblCellMar>
        </w:tblPrEx>
        <w:trPr>
          <w:cantSplit/>
          <w:trHeight w:val="533"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bottom w:val="single" w:color="auto" w:sz="4" w:space="0"/>
              <w:right w:val="single" w:color="auto" w:sz="8" w:space="0"/>
            </w:tcBorders>
            <w:shd w:val="clear" w:color="auto" w:fill="auto"/>
            <w:vAlign w:val="center"/>
          </w:tcPr>
          <w:p>
            <w:pPr>
              <w:spacing w:line="360" w:lineRule="auto"/>
              <w:rPr>
                <w:color w:val="000000" w:themeColor="text1"/>
                <w14:textFill>
                  <w14:solidFill>
                    <w14:schemeClr w14:val="tx1"/>
                  </w14:solidFill>
                </w14:textFill>
              </w:rPr>
            </w:pPr>
          </w:p>
        </w:tc>
      </w:tr>
      <w:tr>
        <w:tblPrEx>
          <w:tblCellMar>
            <w:top w:w="0" w:type="dxa"/>
            <w:left w:w="0" w:type="dxa"/>
            <w:bottom w:w="0" w:type="dxa"/>
            <w:right w:w="0" w:type="dxa"/>
          </w:tblCellMar>
        </w:tblPrEx>
        <w:trPr>
          <w:trHeight w:val="2996" w:hRule="atLeast"/>
        </w:trPr>
        <w:tc>
          <w:tcPr>
            <w:tcW w:w="13950" w:type="dxa"/>
            <w:gridSpan w:val="5"/>
            <w:tcBorders>
              <w:top w:val="single" w:color="auto" w:sz="6" w:space="0"/>
              <w:left w:val="single" w:color="auto" w:sz="8" w:space="0"/>
              <w:bottom w:val="single" w:color="auto" w:sz="8" w:space="0"/>
              <w:right w:val="single" w:color="auto" w:sz="8" w:space="0"/>
            </w:tcBorders>
            <w:shd w:val="clear" w:color="auto" w:fill="auto"/>
          </w:tcPr>
          <w:p>
            <w:pPr>
              <w:widowControl/>
              <w:spacing w:line="480" w:lineRule="exact"/>
              <w:ind w:left="424"/>
              <w:rPr>
                <w:color w:val="000000" w:themeColor="text1"/>
                <w14:textFill>
                  <w14:solidFill>
                    <w14:schemeClr w14:val="tx1"/>
                  </w14:solidFill>
                </w14:textFill>
              </w:rPr>
            </w:pPr>
          </w:p>
          <w:p>
            <w:pPr>
              <w:spacing w:line="360" w:lineRule="auto"/>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评委（签名）：</w:t>
            </w:r>
          </w:p>
          <w:p>
            <w:pPr>
              <w:widowControl/>
              <w:spacing w:line="480" w:lineRule="exact"/>
              <w:ind w:left="424"/>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widowControl/>
              <w:spacing w:line="480" w:lineRule="exact"/>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监督（签名）：</w:t>
            </w:r>
          </w:p>
          <w:p>
            <w:pPr>
              <w:widowControl/>
              <w:spacing w:line="480" w:lineRule="exac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评审日期：  年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月   日</w:t>
            </w:r>
          </w:p>
          <w:p>
            <w:pPr>
              <w:pStyle w:val="2"/>
              <w:rPr>
                <w:color w:val="000000" w:themeColor="text1"/>
                <w14:textFill>
                  <w14:solidFill>
                    <w14:schemeClr w14:val="tx1"/>
                  </w14:solidFill>
                </w14:textFill>
              </w:rPr>
            </w:pPr>
          </w:p>
        </w:tc>
      </w:tr>
    </w:tbl>
    <w:p>
      <w:pPr>
        <w:pStyle w:val="2"/>
        <w:ind w:firstLine="0"/>
        <w:rPr>
          <w:color w:val="000000" w:themeColor="text1"/>
          <w14:textFill>
            <w14:solidFill>
              <w14:schemeClr w14:val="tx1"/>
            </w14:solidFill>
          </w14:textFill>
        </w:rPr>
        <w:sectPr>
          <w:pgSz w:w="16840" w:h="11907" w:orient="landscape"/>
          <w:pgMar w:top="1440" w:right="1440" w:bottom="1134" w:left="1440" w:header="720" w:footer="890" w:gutter="0"/>
          <w:cols w:space="720" w:num="1"/>
          <w:docGrid w:linePitch="312" w:charSpace="0"/>
        </w:sectPr>
      </w:pPr>
    </w:p>
    <w:bookmarkEnd w:id="135"/>
    <w:bookmarkEnd w:id="136"/>
    <w:bookmarkEnd w:id="137"/>
    <w:p>
      <w:pPr>
        <w:pStyle w:val="3"/>
        <w:spacing w:before="240" w:line="360" w:lineRule="auto"/>
        <w:rPr>
          <w:rFonts w:ascii="宋体" w:hAnsi="宋体"/>
          <w:color w:val="000000" w:themeColor="text1"/>
          <w:szCs w:val="44"/>
          <w14:textFill>
            <w14:solidFill>
              <w14:schemeClr w14:val="tx1"/>
            </w14:solidFill>
          </w14:textFill>
        </w:rPr>
      </w:pPr>
      <w:bookmarkStart w:id="141" w:name="_Toc62576170"/>
      <w:bookmarkStart w:id="142" w:name="_Toc518494147"/>
      <w:bookmarkStart w:id="143" w:name="_Toc97605311"/>
      <w:bookmarkStart w:id="144" w:name="_Toc28592"/>
      <w:bookmarkStart w:id="145" w:name="_Toc3957"/>
      <w:bookmarkStart w:id="146" w:name="_Toc402782186"/>
      <w:bookmarkStart w:id="147" w:name="_Toc197850648"/>
      <w:bookmarkStart w:id="148" w:name="_Toc197404928"/>
      <w:bookmarkStart w:id="149" w:name="_Toc497549391"/>
      <w:bookmarkStart w:id="150" w:name="_Toc486842341"/>
      <w:bookmarkStart w:id="151" w:name="_Toc385992401"/>
      <w:bookmarkStart w:id="152" w:name="_Toc389620241"/>
      <w:r>
        <w:rPr>
          <w:rFonts w:ascii="宋体" w:hAnsi="宋体"/>
          <w:color w:val="000000" w:themeColor="text1"/>
          <w:szCs w:val="44"/>
          <w14:textFill>
            <w14:solidFill>
              <w14:schemeClr w14:val="tx1"/>
            </w14:solidFill>
          </w14:textFill>
        </w:rPr>
        <w:t>第</w:t>
      </w:r>
      <w:r>
        <w:rPr>
          <w:rFonts w:hint="eastAsia" w:ascii="宋体" w:hAnsi="宋体"/>
          <w:color w:val="000000" w:themeColor="text1"/>
          <w:szCs w:val="44"/>
          <w14:textFill>
            <w14:solidFill>
              <w14:schemeClr w14:val="tx1"/>
            </w14:solidFill>
          </w14:textFill>
        </w:rPr>
        <w:t>二篇  参选文件格式</w:t>
      </w:r>
      <w:bookmarkEnd w:id="141"/>
      <w:bookmarkEnd w:id="142"/>
      <w:bookmarkEnd w:id="143"/>
      <w:bookmarkEnd w:id="144"/>
      <w:bookmarkEnd w:id="145"/>
    </w:p>
    <w:p>
      <w:pPr>
        <w:spacing w:before="60" w:beforeLines="25" w:after="60" w:afterLines="25" w:line="560" w:lineRule="exact"/>
        <w:ind w:firstLine="547" w:firstLineChars="228"/>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每一对“[ ]”及其中间的内容，均应由参选人在编制参选时根据情况以适当的内容代替。每一对“{ }”及其中间的内容，参选人在编制参选书时应予以删除。在留有的空白或下划线上或…均应由参选人填入适当内容。</w:t>
      </w:r>
    </w:p>
    <w:p>
      <w:pPr>
        <w:rPr>
          <w:rFonts w:hAnsi="宋体"/>
          <w:b/>
          <w:bCs/>
          <w:color w:val="000000" w:themeColor="text1"/>
          <w:u w:val="single"/>
          <w14:textFill>
            <w14:solidFill>
              <w14:schemeClr w14:val="tx1"/>
            </w14:solidFill>
          </w14:textFill>
        </w:rPr>
      </w:pPr>
      <w:r>
        <w:rPr>
          <w:rFonts w:hAnsi="宋体"/>
          <w:b/>
          <w:bCs/>
          <w:color w:val="000000" w:themeColor="text1"/>
          <w:u w:val="single"/>
          <w14:textFill>
            <w14:solidFill>
              <w14:schemeClr w14:val="tx1"/>
            </w14:solidFill>
          </w14:textFill>
        </w:rPr>
        <w:br w:type="page"/>
      </w:r>
    </w:p>
    <w:p>
      <w:pPr>
        <w:spacing w:line="840" w:lineRule="exact"/>
        <w:jc w:val="center"/>
        <w:outlineLvl w:val="0"/>
        <w:rPr>
          <w:rStyle w:val="23"/>
          <w:color w:val="000000" w:themeColor="text1"/>
          <w:sz w:val="44"/>
          <w14:textFill>
            <w14:solidFill>
              <w14:schemeClr w14:val="tx1"/>
            </w14:solidFill>
          </w14:textFill>
        </w:rPr>
      </w:pPr>
      <w:bookmarkStart w:id="153" w:name="_Toc97605312"/>
      <w:r>
        <w:rPr>
          <w:rStyle w:val="23"/>
          <w:color w:val="000000" w:themeColor="text1"/>
          <w:sz w:val="44"/>
          <w:szCs w:val="44"/>
          <w14:textFill>
            <w14:solidFill>
              <w14:schemeClr w14:val="tx1"/>
            </w14:solidFill>
          </w14:textFill>
        </w:rPr>
        <w:t>第</w:t>
      </w:r>
      <w:r>
        <w:rPr>
          <w:rStyle w:val="23"/>
          <w:rFonts w:hint="eastAsia"/>
          <w:color w:val="000000" w:themeColor="text1"/>
          <w:sz w:val="44"/>
          <w:szCs w:val="44"/>
          <w14:textFill>
            <w14:solidFill>
              <w14:schemeClr w14:val="tx1"/>
            </w14:solidFill>
          </w14:textFill>
        </w:rPr>
        <w:t>一章 资格审查文件</w:t>
      </w:r>
      <w:bookmarkEnd w:id="153"/>
    </w:p>
    <w:p>
      <w:pPr>
        <w:spacing w:line="840" w:lineRule="exact"/>
        <w:jc w:val="center"/>
        <w:rPr>
          <w:rFonts w:ascii="黑体" w:hAnsi="Courier New" w:eastAsia="黑体"/>
          <w:color w:val="000000" w:themeColor="text1"/>
          <w:spacing w:val="36"/>
          <w:sz w:val="44"/>
          <w:szCs w:val="44"/>
          <w14:textFill>
            <w14:solidFill>
              <w14:schemeClr w14:val="tx1"/>
            </w14:solidFill>
          </w14:textFill>
        </w:rPr>
      </w:pPr>
      <w:r>
        <w:rPr>
          <w:rFonts w:hint="eastAsia" w:ascii="黑体" w:hAnsi="Courier New" w:eastAsia="黑体"/>
          <w:color w:val="000000" w:themeColor="text1"/>
          <w:spacing w:val="36"/>
          <w:sz w:val="44"/>
          <w:szCs w:val="44"/>
          <w14:textFill>
            <w14:solidFill>
              <w14:schemeClr w14:val="tx1"/>
            </w14:solidFill>
          </w14:textFill>
        </w:rPr>
        <w:t xml:space="preserve"> </w:t>
      </w:r>
    </w:p>
    <w:p>
      <w:pPr>
        <w:rPr>
          <w:rFonts w:ascii="黑体" w:hAnsi="Courier New" w:eastAsia="黑体"/>
          <w:b/>
          <w:bCs/>
          <w:color w:val="000000" w:themeColor="text1"/>
          <w:spacing w:val="36"/>
          <w:sz w:val="44"/>
          <w:szCs w:val="44"/>
          <w:u w:val="single"/>
          <w14:textFill>
            <w14:solidFill>
              <w14:schemeClr w14:val="tx1"/>
            </w14:solidFill>
          </w14:textFill>
        </w:rPr>
      </w:pPr>
    </w:p>
    <w:p>
      <w:pPr>
        <w:pStyle w:val="2"/>
        <w:jc w:val="center"/>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sz w:val="44"/>
          <w:szCs w:val="44"/>
        </w:rPr>
        <w:t>轨道交通四期综合开发项目（四）土壤环境初步调查</w:t>
      </w:r>
    </w:p>
    <w:p>
      <w:pPr>
        <w:jc w:val="center"/>
        <w:rPr>
          <w:rFonts w:ascii="黑体" w:hAnsi="Courier New" w:eastAsia="黑体"/>
          <w:bCs/>
          <w:color w:val="000000" w:themeColor="text1"/>
          <w:spacing w:val="36"/>
          <w:kern w:val="10"/>
          <w:sz w:val="84"/>
          <w:szCs w:val="84"/>
          <w14:textFill>
            <w14:solidFill>
              <w14:schemeClr w14:val="tx1"/>
            </w14:solidFill>
          </w14:textFill>
        </w:rPr>
      </w:pPr>
      <w:r>
        <w:rPr>
          <w:rFonts w:hint="eastAsia" w:ascii="黑体" w:hAnsi="Courier New" w:eastAsia="黑体"/>
          <w:bCs/>
          <w:color w:val="000000" w:themeColor="text1"/>
          <w:spacing w:val="36"/>
          <w:kern w:val="10"/>
          <w:sz w:val="84"/>
          <w:szCs w:val="84"/>
          <w14:textFill>
            <w14:solidFill>
              <w14:schemeClr w14:val="tx1"/>
            </w14:solidFill>
          </w14:textFill>
        </w:rPr>
        <w:t>参 选 文 件</w:t>
      </w:r>
    </w:p>
    <w:p>
      <w:pPr>
        <w:rPr>
          <w:rFonts w:hAnsi="宋体"/>
          <w:color w:val="000000" w:themeColor="text1"/>
          <w:sz w:val="17"/>
          <w:szCs w:val="17"/>
          <w14:textFill>
            <w14:solidFill>
              <w14:schemeClr w14:val="tx1"/>
            </w14:solidFill>
          </w14:textFill>
        </w:rPr>
      </w:pPr>
    </w:p>
    <w:p>
      <w:pPr>
        <w:rPr>
          <w:rFonts w:hAnsi="宋体"/>
          <w:color w:val="000000" w:themeColor="text1"/>
          <w:sz w:val="23"/>
          <w:szCs w:val="23"/>
          <w14:textFill>
            <w14:solidFill>
              <w14:schemeClr w14:val="tx1"/>
            </w14:solidFill>
          </w14:textFill>
        </w:rPr>
      </w:pPr>
    </w:p>
    <w:p>
      <w:pPr>
        <w:jc w:val="center"/>
        <w:rPr>
          <w:rFonts w:ascii="黑体" w:hAnsi="黑体" w:eastAsia="黑体"/>
          <w:color w:val="000000" w:themeColor="text1"/>
          <w:kern w:val="0"/>
          <w:sz w:val="72"/>
          <w:szCs w:val="35"/>
          <w14:textFill>
            <w14:solidFill>
              <w14:schemeClr w14:val="tx1"/>
            </w14:solidFill>
          </w14:textFill>
        </w:rPr>
      </w:pPr>
      <w:r>
        <w:rPr>
          <w:rFonts w:hint="eastAsia" w:ascii="黑体" w:hAnsi="黑体" w:eastAsia="黑体"/>
          <w:color w:val="000000" w:themeColor="text1"/>
          <w:kern w:val="0"/>
          <w:sz w:val="72"/>
          <w:szCs w:val="35"/>
          <w14:textFill>
            <w14:solidFill>
              <w14:schemeClr w14:val="tx1"/>
            </w14:solidFill>
          </w14:textFill>
        </w:rPr>
        <w:t>资格审查文件</w:t>
      </w:r>
    </w:p>
    <w:p>
      <w:pPr>
        <w:rPr>
          <w:rFonts w:hAnsi="宋体"/>
          <w:color w:val="000000" w:themeColor="text1"/>
          <w:sz w:val="23"/>
          <w:szCs w:val="23"/>
          <w14:textFill>
            <w14:solidFill>
              <w14:schemeClr w14:val="tx1"/>
            </w14:solidFill>
          </w14:textFill>
        </w:rPr>
      </w:pPr>
    </w:p>
    <w:p>
      <w:pPr>
        <w:rPr>
          <w:rFonts w:hAnsi="宋体"/>
          <w:b/>
          <w:color w:val="000000" w:themeColor="text1"/>
          <w:sz w:val="32"/>
          <w:szCs w:val="32"/>
          <w14:textFill>
            <w14:solidFill>
              <w14:schemeClr w14:val="tx1"/>
            </w14:solidFill>
          </w14:textFill>
        </w:rPr>
      </w:pPr>
    </w:p>
    <w:p>
      <w:pPr>
        <w:rPr>
          <w:rFonts w:hAnsi="宋体"/>
          <w:b/>
          <w:color w:val="000000" w:themeColor="text1"/>
          <w:sz w:val="32"/>
          <w:szCs w:val="32"/>
          <w14:textFill>
            <w14:solidFill>
              <w14:schemeClr w14:val="tx1"/>
            </w14:solidFill>
          </w14:textFill>
        </w:rPr>
      </w:pPr>
    </w:p>
    <w:p>
      <w:pPr>
        <w:spacing w:line="720" w:lineRule="auto"/>
        <w:jc w:val="center"/>
        <w:rPr>
          <w:rFonts w:hAnsi="宋体"/>
          <w:b/>
          <w:color w:val="000000" w:themeColor="text1"/>
          <w:sz w:val="28"/>
          <w:szCs w:val="28"/>
          <w:u w:val="single"/>
          <w14:textFill>
            <w14:solidFill>
              <w14:schemeClr w14:val="tx1"/>
            </w14:solidFill>
          </w14:textFill>
        </w:rPr>
      </w:pPr>
      <w:r>
        <w:rPr>
          <w:rFonts w:hint="eastAsia" w:hAnsi="宋体"/>
          <w:b/>
          <w:color w:val="000000" w:themeColor="text1"/>
          <w:sz w:val="28"/>
          <w:szCs w:val="28"/>
          <w14:textFill>
            <w14:solidFill>
              <w14:schemeClr w14:val="tx1"/>
            </w14:solidFill>
          </w14:textFill>
        </w:rPr>
        <w:t>参选人(盖章)：</w:t>
      </w:r>
      <w:r>
        <w:rPr>
          <w:rFonts w:hint="eastAsia" w:hAnsi="宋体"/>
          <w:b/>
          <w:color w:val="000000" w:themeColor="text1"/>
          <w:sz w:val="28"/>
          <w:szCs w:val="28"/>
          <w:u w:val="single"/>
          <w14:textFill>
            <w14:solidFill>
              <w14:schemeClr w14:val="tx1"/>
            </w14:solidFill>
          </w14:textFill>
        </w:rPr>
        <w:t xml:space="preserve">    </w:t>
      </w:r>
      <w:r>
        <w:rPr>
          <w:rFonts w:hAnsi="宋体"/>
          <w:b/>
          <w:color w:val="000000" w:themeColor="text1"/>
          <w:sz w:val="28"/>
          <w:szCs w:val="28"/>
          <w:u w:val="single"/>
          <w14:textFill>
            <w14:solidFill>
              <w14:schemeClr w14:val="tx1"/>
            </w14:solidFill>
          </w14:textFill>
        </w:rPr>
        <w:t>[</w:t>
      </w:r>
      <w:r>
        <w:rPr>
          <w:rFonts w:hint="eastAsia" w:hAnsi="宋体"/>
          <w:b/>
          <w:color w:val="000000" w:themeColor="text1"/>
          <w:sz w:val="28"/>
          <w:szCs w:val="28"/>
          <w:u w:val="single"/>
          <w14:textFill>
            <w14:solidFill>
              <w14:schemeClr w14:val="tx1"/>
            </w14:solidFill>
          </w14:textFill>
        </w:rPr>
        <w:t>参选人名称]</w:t>
      </w:r>
      <w:r>
        <w:rPr>
          <w:rFonts w:hAnsi="宋体"/>
          <w:b/>
          <w:color w:val="000000" w:themeColor="text1"/>
          <w:sz w:val="28"/>
          <w:szCs w:val="28"/>
          <w:u w:val="single"/>
          <w14:textFill>
            <w14:solidFill>
              <w14:schemeClr w14:val="tx1"/>
            </w14:solidFill>
          </w14:textFill>
        </w:rPr>
        <w:t xml:space="preserve">    </w:t>
      </w:r>
    </w:p>
    <w:p>
      <w:pPr>
        <w:spacing w:line="720" w:lineRule="auto"/>
        <w:jc w:val="center"/>
        <w:rPr>
          <w:rFonts w:hAnsi="宋体"/>
          <w:b/>
          <w:color w:val="000000" w:themeColor="text1"/>
          <w:sz w:val="28"/>
          <w:szCs w:val="28"/>
          <w:u w:val="single"/>
          <w14:textFill>
            <w14:solidFill>
              <w14:schemeClr w14:val="tx1"/>
            </w14:solidFill>
          </w14:textFill>
        </w:rPr>
      </w:pPr>
      <w:r>
        <w:rPr>
          <w:rFonts w:hint="eastAsia" w:hAnsi="宋体"/>
          <w:b/>
          <w:color w:val="000000" w:themeColor="text1"/>
          <w:sz w:val="28"/>
          <w:szCs w:val="28"/>
          <w14:textFill>
            <w14:solidFill>
              <w14:schemeClr w14:val="tx1"/>
            </w14:solidFill>
          </w14:textFill>
        </w:rPr>
        <w:t xml:space="preserve">法定代表人或其委托代理人(签字或盖章)： </w:t>
      </w:r>
      <w:r>
        <w:rPr>
          <w:rFonts w:hAnsi="宋体"/>
          <w:b/>
          <w:color w:val="000000" w:themeColor="text1"/>
          <w:sz w:val="28"/>
          <w:szCs w:val="28"/>
          <w14:textFill>
            <w14:solidFill>
              <w14:schemeClr w14:val="tx1"/>
            </w14:solidFill>
          </w14:textFill>
        </w:rPr>
        <w:t xml:space="preserve">   </w:t>
      </w:r>
    </w:p>
    <w:p>
      <w:pPr>
        <w:rPr>
          <w:color w:val="000000" w:themeColor="text1"/>
          <w14:textFill>
            <w14:solidFill>
              <w14:schemeClr w14:val="tx1"/>
            </w14:solidFill>
          </w14:textFill>
        </w:rPr>
      </w:pPr>
    </w:p>
    <w:p>
      <w:pPr>
        <w:jc w:val="center"/>
        <w:rPr>
          <w:color w:val="000000" w:themeColor="text1"/>
          <w14:textFill>
            <w14:solidFill>
              <w14:schemeClr w14:val="tx1"/>
            </w14:solidFill>
          </w14:textFill>
        </w:rPr>
      </w:pPr>
      <w:r>
        <w:rPr>
          <w:rFonts w:hint="eastAsia" w:ascii="宋体" w:hAnsi="宋体"/>
          <w:b/>
          <w:color w:val="000000" w:themeColor="text1"/>
          <w:kern w:val="0"/>
          <w:sz w:val="28"/>
          <w:szCs w:val="28"/>
          <w14:textFill>
            <w14:solidFill>
              <w14:schemeClr w14:val="tx1"/>
            </w14:solidFill>
          </w14:textFill>
        </w:rPr>
        <w:t xml:space="preserve">日   期：    年  </w:t>
      </w:r>
      <w:r>
        <w:rPr>
          <w:rFonts w:ascii="宋体" w:hAnsi="宋体"/>
          <w:b/>
          <w:color w:val="000000" w:themeColor="text1"/>
          <w:kern w:val="0"/>
          <w:sz w:val="28"/>
          <w:szCs w:val="28"/>
          <w14:textFill>
            <w14:solidFill>
              <w14:schemeClr w14:val="tx1"/>
            </w14:solidFill>
          </w14:textFill>
        </w:rPr>
        <w:t xml:space="preserve"> </w:t>
      </w:r>
      <w:r>
        <w:rPr>
          <w:rFonts w:hint="eastAsia" w:ascii="宋体" w:hAnsi="宋体"/>
          <w:b/>
          <w:color w:val="000000" w:themeColor="text1"/>
          <w:kern w:val="0"/>
          <w:sz w:val="28"/>
          <w:szCs w:val="28"/>
          <w14:textFill>
            <w14:solidFill>
              <w14:schemeClr w14:val="tx1"/>
            </w14:solidFill>
          </w14:textFill>
        </w:rPr>
        <w:t xml:space="preserve">月 </w:t>
      </w:r>
      <w:r>
        <w:rPr>
          <w:rFonts w:ascii="宋体" w:hAnsi="宋体"/>
          <w:b/>
          <w:color w:val="000000" w:themeColor="text1"/>
          <w:kern w:val="0"/>
          <w:sz w:val="28"/>
          <w:szCs w:val="28"/>
          <w14:textFill>
            <w14:solidFill>
              <w14:schemeClr w14:val="tx1"/>
            </w14:solidFill>
          </w14:textFill>
        </w:rPr>
        <w:t xml:space="preserve"> </w:t>
      </w:r>
      <w:r>
        <w:rPr>
          <w:rFonts w:hint="eastAsia" w:ascii="宋体" w:hAnsi="宋体"/>
          <w:b/>
          <w:color w:val="000000" w:themeColor="text1"/>
          <w:kern w:val="0"/>
          <w:sz w:val="28"/>
          <w:szCs w:val="28"/>
          <w14:textFill>
            <w14:solidFill>
              <w14:schemeClr w14:val="tx1"/>
            </w14:solidFill>
          </w14:textFill>
        </w:rPr>
        <w:t xml:space="preserve"> 日</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b/>
          <w:color w:val="000000" w:themeColor="text1"/>
          <w:kern w:val="0"/>
          <w:sz w:val="32"/>
          <w:szCs w:val="24"/>
          <w14:textFill>
            <w14:solidFill>
              <w14:schemeClr w14:val="tx1"/>
            </w14:solidFill>
          </w14:textFill>
        </w:rPr>
      </w:pPr>
      <w:r>
        <w:rPr>
          <w:color w:val="000000" w:themeColor="text1"/>
          <w:szCs w:val="24"/>
          <w14:textFill>
            <w14:solidFill>
              <w14:schemeClr w14:val="tx1"/>
            </w14:solidFill>
          </w14:textFill>
        </w:rPr>
        <w:br w:type="page"/>
      </w:r>
    </w:p>
    <w:p>
      <w:pPr>
        <w:rPr>
          <w:color w:val="000000" w:themeColor="text1"/>
          <w14:textFill>
            <w14:solidFill>
              <w14:schemeClr w14:val="tx1"/>
            </w14:solidFill>
          </w14:textFill>
        </w:rPr>
      </w:pPr>
    </w:p>
    <w:p>
      <w:pPr>
        <w:pStyle w:val="5"/>
        <w:numPr>
          <w:ilvl w:val="2"/>
          <w:numId w:val="0"/>
        </w:numPr>
        <w:jc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目录</w:t>
      </w:r>
    </w:p>
    <w:p>
      <w:pPr>
        <w:pStyle w:val="24"/>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企业法人营业执照复印件（加盖公章）</w:t>
      </w:r>
    </w:p>
    <w:p>
      <w:pPr>
        <w:pStyle w:val="24"/>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法定代表人资格证明书</w:t>
      </w:r>
    </w:p>
    <w:p>
      <w:pPr>
        <w:pStyle w:val="24"/>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法定代表人身份证复印件</w:t>
      </w:r>
    </w:p>
    <w:p>
      <w:pPr>
        <w:pStyle w:val="24"/>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法定代表人授权委托书（如有）</w:t>
      </w:r>
    </w:p>
    <w:p>
      <w:pPr>
        <w:pStyle w:val="24"/>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被授权人身份证复印件（如有）</w:t>
      </w:r>
    </w:p>
    <w:p>
      <w:pPr>
        <w:pStyle w:val="24"/>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执业资质（加盖公章）</w:t>
      </w: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widowControl/>
        <w:jc w:val="left"/>
        <w:rPr>
          <w:rFonts w:hAnsi="宋体"/>
          <w:b/>
          <w:color w:val="000000" w:themeColor="text1"/>
          <w:kern w:val="0"/>
          <w:szCs w:val="28"/>
          <w14:textFill>
            <w14:solidFill>
              <w14:schemeClr w14:val="tx1"/>
            </w14:solidFill>
          </w14:textFill>
        </w:rPr>
      </w:pPr>
      <w:r>
        <w:rPr>
          <w:b/>
          <w:color w:val="000000" w:themeColor="text1"/>
          <w:szCs w:val="28"/>
          <w14:textFill>
            <w14:solidFill>
              <w14:schemeClr w14:val="tx1"/>
            </w14:solidFill>
          </w14:textFill>
        </w:rPr>
        <w:br w:type="page"/>
      </w:r>
    </w:p>
    <w:p>
      <w:pPr>
        <w:pStyle w:val="5"/>
        <w:numPr>
          <w:ilvl w:val="2"/>
          <w:numId w:val="0"/>
        </w:num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一、企业法人营业执照复印件（加盖公章）</w:t>
      </w:r>
    </w:p>
    <w:p>
      <w:pP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pPr>
        <w:pStyle w:val="5"/>
        <w:numPr>
          <w:ilvl w:val="2"/>
          <w:numId w:val="0"/>
        </w:num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w:t>
      </w:r>
      <w:r>
        <w:rPr>
          <w:rFonts w:ascii="宋体" w:hAnsi="宋体"/>
          <w:color w:val="000000" w:themeColor="text1"/>
          <w:sz w:val="24"/>
          <w14:textFill>
            <w14:solidFill>
              <w14:schemeClr w14:val="tx1"/>
            </w14:solidFill>
          </w14:textFill>
        </w:rPr>
        <w:t>、法定代表人资格证明书格式</w:t>
      </w:r>
    </w:p>
    <w:p>
      <w:pPr>
        <w:spacing w:line="520" w:lineRule="exact"/>
        <w:ind w:firstLine="5651"/>
        <w:rPr>
          <w:rFonts w:eastAsia="华文中宋"/>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color w:val="000000" w:themeColor="text1"/>
          <w:kern w:val="0"/>
          <w:sz w:val="44"/>
          <w14:textFill>
            <w14:solidFill>
              <w14:schemeClr w14:val="tx1"/>
            </w14:solidFill>
          </w14:textFill>
        </w:rPr>
      </w:pPr>
      <w:r>
        <w:rPr>
          <w:color w:val="000000" w:themeColor="text1"/>
          <w:kern w:val="0"/>
          <w:sz w:val="44"/>
          <w14:textFill>
            <w14:solidFill>
              <w14:schemeClr w14:val="tx1"/>
            </w14:solidFill>
          </w14:textFill>
        </w:rPr>
        <w:t>法定代表人资格证明书</w:t>
      </w:r>
    </w:p>
    <w:p>
      <w:pPr>
        <w:rPr>
          <w:color w:val="000000" w:themeColor="text1"/>
          <w14:textFill>
            <w14:solidFill>
              <w14:schemeClr w14:val="tx1"/>
            </w14:solidFill>
          </w14:textFill>
        </w:rPr>
      </w:pPr>
    </w:p>
    <w:p>
      <w:pPr>
        <w:rPr>
          <w:color w:val="000000" w:themeColor="text1"/>
          <w:sz w:val="28"/>
          <w14:textFill>
            <w14:solidFill>
              <w14:schemeClr w14:val="tx1"/>
            </w14:solidFill>
          </w14:textFill>
        </w:rPr>
      </w:pPr>
    </w:p>
    <w:p>
      <w:pPr>
        <w:pStyle w:val="8"/>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单位名称：</w:t>
      </w:r>
      <w:r>
        <w:rPr>
          <w:rFonts w:hint="eastAsia" w:ascii="Times New Roman" w:hAnsi="Times New Roman"/>
          <w:color w:val="000000" w:themeColor="text1"/>
          <w:sz w:val="24"/>
          <w:szCs w:val="24"/>
          <w:u w:val="single"/>
          <w14:textFill>
            <w14:solidFill>
              <w14:schemeClr w14:val="tx1"/>
            </w14:solidFill>
          </w14:textFill>
        </w:rPr>
        <w:t xml:space="preserve">                                                          </w:t>
      </w:r>
    </w:p>
    <w:p>
      <w:pPr>
        <w:pStyle w:val="8"/>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地</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址：</w:t>
      </w:r>
      <w:r>
        <w:rPr>
          <w:rFonts w:hint="eastAsia" w:ascii="Times New Roman" w:hAnsi="Times New Roman"/>
          <w:color w:val="000000" w:themeColor="text1"/>
          <w:sz w:val="24"/>
          <w:szCs w:val="24"/>
          <w:u w:val="single"/>
          <w14:textFill>
            <w14:solidFill>
              <w14:schemeClr w14:val="tx1"/>
            </w14:solidFill>
          </w14:textFill>
        </w:rPr>
        <w:t xml:space="preserve">                                                          </w:t>
      </w:r>
    </w:p>
    <w:p>
      <w:pPr>
        <w:pStyle w:val="8"/>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姓</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名：</w:t>
      </w:r>
      <w:r>
        <w:rPr>
          <w:rFonts w:hint="eastAsia"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性</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别：</w:t>
      </w:r>
      <w:r>
        <w:rPr>
          <w:rFonts w:hint="eastAsia" w:ascii="Times New Roman" w:hAnsi="Times New Roman"/>
          <w:color w:val="000000" w:themeColor="text1"/>
          <w:sz w:val="24"/>
          <w:szCs w:val="24"/>
          <w:u w:val="single"/>
          <w14:textFill>
            <w14:solidFill>
              <w14:schemeClr w14:val="tx1"/>
            </w14:solidFill>
          </w14:textFill>
        </w:rPr>
        <w:t xml:space="preserve">                       </w:t>
      </w:r>
    </w:p>
    <w:p>
      <w:pPr>
        <w:pStyle w:val="8"/>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年</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龄：</w:t>
      </w:r>
      <w:r>
        <w:rPr>
          <w:rFonts w:hint="eastAsia"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职</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务：</w:t>
      </w:r>
      <w:r>
        <w:rPr>
          <w:rFonts w:hint="eastAsia" w:ascii="Times New Roman" w:hAnsi="Times New Roman"/>
          <w:color w:val="000000" w:themeColor="text1"/>
          <w:sz w:val="24"/>
          <w:szCs w:val="24"/>
          <w:u w:val="single"/>
          <w14:textFill>
            <w14:solidFill>
              <w14:schemeClr w14:val="tx1"/>
            </w14:solidFill>
          </w14:textFill>
        </w:rPr>
        <w:t xml:space="preserve">                       </w:t>
      </w:r>
    </w:p>
    <w:p>
      <w:pPr>
        <w:pStyle w:val="8"/>
        <w:spacing w:line="360" w:lineRule="auto"/>
        <w:ind w:left="319" w:leftChars="133" w:firstLine="120" w:firstLineChars="5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系</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的法定代表人。</w:t>
      </w:r>
    </w:p>
    <w:p>
      <w:pPr>
        <w:pStyle w:val="8"/>
        <w:spacing w:line="360" w:lineRule="auto"/>
        <w:ind w:left="410" w:leftChars="171"/>
        <w:rPr>
          <w:rFonts w:ascii="Times New Roman" w:hAnsi="Times New Roman"/>
          <w:color w:val="000000" w:themeColor="text1"/>
          <w:sz w:val="24"/>
          <w:szCs w:val="24"/>
          <w14:textFill>
            <w14:solidFill>
              <w14:schemeClr w14:val="tx1"/>
            </w14:solidFill>
          </w14:textFill>
        </w:rPr>
      </w:pPr>
    </w:p>
    <w:p>
      <w:pPr>
        <w:pStyle w:val="8"/>
        <w:spacing w:line="360" w:lineRule="auto"/>
        <w:ind w:left="410" w:leftChars="171" w:firstLine="120" w:firstLineChars="5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特此证明。</w:t>
      </w:r>
    </w:p>
    <w:p>
      <w:pPr>
        <w:pStyle w:val="8"/>
        <w:spacing w:line="360" w:lineRule="auto"/>
        <w:ind w:left="133" w:firstLine="1260" w:firstLineChars="525"/>
        <w:rPr>
          <w:rFonts w:ascii="Times New Roman" w:hAnsi="Times New Roman"/>
          <w:color w:val="000000" w:themeColor="text1"/>
          <w:sz w:val="24"/>
          <w:szCs w:val="24"/>
          <w14:textFill>
            <w14:solidFill>
              <w14:schemeClr w14:val="tx1"/>
            </w14:solidFill>
          </w14:textFill>
        </w:rPr>
      </w:pPr>
    </w:p>
    <w:p>
      <w:pPr>
        <w:pStyle w:val="8"/>
        <w:spacing w:line="360" w:lineRule="auto"/>
        <w:ind w:left="133" w:firstLine="1260" w:firstLineChars="525"/>
        <w:rPr>
          <w:rFonts w:ascii="Times New Roman" w:hAnsi="Times New Roman"/>
          <w:color w:val="000000" w:themeColor="text1"/>
          <w:sz w:val="24"/>
          <w:szCs w:val="24"/>
          <w14:textFill>
            <w14:solidFill>
              <w14:schemeClr w14:val="tx1"/>
            </w14:solidFill>
          </w14:textFill>
        </w:rPr>
      </w:pPr>
    </w:p>
    <w:p>
      <w:pPr>
        <w:pStyle w:val="8"/>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参选人（盖章）：</w:t>
      </w:r>
      <w:r>
        <w:rPr>
          <w:rFonts w:ascii="Times New Roman" w:hAnsi="Times New Roman"/>
          <w:color w:val="000000" w:themeColor="text1"/>
          <w:sz w:val="24"/>
          <w:szCs w:val="24"/>
          <w:u w:val="single"/>
          <w14:textFill>
            <w14:solidFill>
              <w14:schemeClr w14:val="tx1"/>
            </w14:solidFill>
          </w14:textFill>
        </w:rPr>
        <w:t xml:space="preserve">        [参选人名称]                </w:t>
      </w:r>
    </w:p>
    <w:p>
      <w:pPr>
        <w:pStyle w:val="8"/>
        <w:spacing w:line="360" w:lineRule="auto"/>
        <w:ind w:left="133" w:firstLine="1260" w:firstLineChars="525"/>
        <w:rPr>
          <w:rFonts w:ascii="Times New Roman" w:hAnsi="Times New Roman"/>
          <w:color w:val="000000" w:themeColor="text1"/>
          <w:sz w:val="24"/>
          <w:szCs w:val="24"/>
          <w:u w:val="single"/>
          <w14:textFill>
            <w14:solidFill>
              <w14:schemeClr w14:val="tx1"/>
            </w14:solidFill>
          </w14:textFill>
        </w:rPr>
      </w:pPr>
    </w:p>
    <w:p>
      <w:pPr>
        <w:spacing w:line="360" w:lineRule="auto"/>
        <w:ind w:firstLine="480" w:firstLineChars="200"/>
        <w:rPr>
          <w:color w:val="000000" w:themeColor="text1"/>
          <w:szCs w:val="24"/>
          <w14:textFill>
            <w14:solidFill>
              <w14:schemeClr w14:val="tx1"/>
            </w14:solidFill>
          </w14:textFill>
        </w:rPr>
      </w:pPr>
      <w:r>
        <w:rPr>
          <w:color w:val="000000" w:themeColor="text1"/>
          <w:szCs w:val="24"/>
          <w14:textFill>
            <w14:solidFill>
              <w14:schemeClr w14:val="tx1"/>
            </w14:solidFill>
          </w14:textFill>
        </w:rPr>
        <w:t>日期：</w:t>
      </w:r>
      <w:r>
        <w:rPr>
          <w:rFonts w:hint="eastAsia"/>
          <w:color w:val="000000" w:themeColor="text1"/>
          <w:szCs w:val="24"/>
          <w:u w:val="single"/>
          <w14:textFill>
            <w14:solidFill>
              <w14:schemeClr w14:val="tx1"/>
            </w14:solidFill>
          </w14:textFill>
        </w:rPr>
        <w:t xml:space="preserve">        </w:t>
      </w:r>
      <w:r>
        <w:rPr>
          <w:color w:val="000000" w:themeColor="text1"/>
          <w:szCs w:val="24"/>
          <w14:textFill>
            <w14:solidFill>
              <w14:schemeClr w14:val="tx1"/>
            </w14:solidFill>
          </w14:textFill>
        </w:rPr>
        <w:t>年</w:t>
      </w:r>
      <w:r>
        <w:rPr>
          <w:rFonts w:hint="eastAsia"/>
          <w:color w:val="000000" w:themeColor="text1"/>
          <w:szCs w:val="24"/>
          <w:u w:val="single"/>
          <w14:textFill>
            <w14:solidFill>
              <w14:schemeClr w14:val="tx1"/>
            </w14:solidFill>
          </w14:textFill>
        </w:rPr>
        <w:t xml:space="preserve">    </w:t>
      </w:r>
      <w:r>
        <w:rPr>
          <w:color w:val="000000" w:themeColor="text1"/>
          <w:szCs w:val="24"/>
          <w14:textFill>
            <w14:solidFill>
              <w14:schemeClr w14:val="tx1"/>
            </w14:solidFill>
          </w14:textFill>
        </w:rPr>
        <w:t>月</w:t>
      </w:r>
      <w:r>
        <w:rPr>
          <w:rFonts w:hint="eastAsia"/>
          <w:color w:val="000000" w:themeColor="text1"/>
          <w:szCs w:val="24"/>
          <w:u w:val="single"/>
          <w14:textFill>
            <w14:solidFill>
              <w14:schemeClr w14:val="tx1"/>
            </w14:solidFill>
          </w14:textFill>
        </w:rPr>
        <w:t xml:space="preserve">    </w:t>
      </w:r>
      <w:r>
        <w:rPr>
          <w:color w:val="000000" w:themeColor="text1"/>
          <w:szCs w:val="24"/>
          <w14:textFill>
            <w14:solidFill>
              <w14:schemeClr w14:val="tx1"/>
            </w14:solidFill>
          </w14:textFill>
        </w:rPr>
        <w:t>日</w:t>
      </w:r>
    </w:p>
    <w:p>
      <w:pPr>
        <w:pStyle w:val="8"/>
        <w:rPr>
          <w:rFonts w:ascii="Times New Roman" w:hAnsi="Times New Roman"/>
          <w:color w:val="000000" w:themeColor="text1"/>
          <w14:textFill>
            <w14:solidFill>
              <w14:schemeClr w14:val="tx1"/>
            </w14:solidFill>
          </w14:textFill>
        </w:rPr>
      </w:pPr>
    </w:p>
    <w:p>
      <w:pPr>
        <w:pStyle w:val="8"/>
        <w:rPr>
          <w:rFonts w:ascii="Times New Roman" w:hAnsi="Times New Roman"/>
          <w:color w:val="000000" w:themeColor="text1"/>
          <w14:textFill>
            <w14:solidFill>
              <w14:schemeClr w14:val="tx1"/>
            </w14:solidFill>
          </w14:textFill>
        </w:rPr>
      </w:pPr>
    </w:p>
    <w:p>
      <w:pPr>
        <w:pStyle w:val="8"/>
        <w:rPr>
          <w:rFonts w:ascii="Times New Roman" w:hAnsi="Times New Roman"/>
          <w:color w:val="000000" w:themeColor="text1"/>
          <w14:textFill>
            <w14:solidFill>
              <w14:schemeClr w14:val="tx1"/>
            </w14:solidFill>
          </w14:textFill>
        </w:rPr>
      </w:pPr>
    </w:p>
    <w:p>
      <w:pPr>
        <w:pStyle w:val="8"/>
        <w:rPr>
          <w:rFonts w:ascii="Times New Roman" w:hAnsi="Times New Roman"/>
          <w:color w:val="000000" w:themeColor="text1"/>
          <w14:textFill>
            <w14:solidFill>
              <w14:schemeClr w14:val="tx1"/>
            </w14:solidFill>
          </w14:textFill>
        </w:rPr>
      </w:pPr>
    </w:p>
    <w:p>
      <w:pPr>
        <w:pStyle w:val="5"/>
        <w:numPr>
          <w:ilvl w:val="2"/>
          <w:numId w:val="0"/>
        </w:numPr>
        <w:rPr>
          <w:b w:val="0"/>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三、法定代表人身份证复印件（加盖公章）</w:t>
      </w:r>
    </w:p>
    <w:p>
      <w:pPr>
        <w:pStyle w:val="8"/>
        <w:rPr>
          <w:rFonts w:ascii="Times New Roman" w:hAnsi="Times New Roman"/>
          <w:color w:val="000000" w:themeColor="text1"/>
          <w14:textFill>
            <w14:solidFill>
              <w14:schemeClr w14:val="tx1"/>
            </w14:solidFill>
          </w14:textFill>
        </w:rPr>
      </w:pPr>
    </w:p>
    <w:p>
      <w:pPr>
        <w:pStyle w:val="5"/>
        <w:numPr>
          <w:ilvl w:val="2"/>
          <w:numId w:val="0"/>
        </w:numPr>
        <w:spacing w:line="360" w:lineRule="auto"/>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四、</w:t>
      </w:r>
      <w:r>
        <w:rPr>
          <w:rFonts w:ascii="宋体" w:hAnsi="宋体"/>
          <w:color w:val="000000" w:themeColor="text1"/>
          <w:sz w:val="24"/>
          <w14:textFill>
            <w14:solidFill>
              <w14:schemeClr w14:val="tx1"/>
            </w14:solidFill>
          </w14:textFill>
        </w:rPr>
        <w:t>法人代表授权委托书</w:t>
      </w:r>
      <w:r>
        <w:rPr>
          <w:rFonts w:hint="eastAsia" w:ascii="宋体" w:hAnsi="宋体"/>
          <w:color w:val="000000" w:themeColor="text1"/>
          <w:sz w:val="24"/>
          <w14:textFill>
            <w14:solidFill>
              <w14:schemeClr w14:val="tx1"/>
            </w14:solidFill>
          </w14:textFill>
        </w:rPr>
        <w:t>（如有）</w:t>
      </w:r>
    </w:p>
    <w:p>
      <w:pPr>
        <w:spacing w:line="360" w:lineRule="auto"/>
        <w:jc w:val="center"/>
        <w:rPr>
          <w:b/>
          <w:color w:val="000000" w:themeColor="text1"/>
          <w:szCs w:val="24"/>
          <w14:textFill>
            <w14:solidFill>
              <w14:schemeClr w14:val="tx1"/>
            </w14:solidFill>
          </w14:textFill>
        </w:rPr>
      </w:pPr>
    </w:p>
    <w:p>
      <w:pPr>
        <w:spacing w:line="360" w:lineRule="auto"/>
        <w:jc w:val="center"/>
        <w:rPr>
          <w:b/>
          <w:color w:val="000000" w:themeColor="text1"/>
          <w:szCs w:val="24"/>
          <w14:textFill>
            <w14:solidFill>
              <w14:schemeClr w14:val="tx1"/>
            </w14:solidFill>
          </w14:textFill>
        </w:rPr>
      </w:pPr>
    </w:p>
    <w:p>
      <w:pPr>
        <w:pStyle w:val="2"/>
        <w:spacing w:line="360" w:lineRule="auto"/>
        <w:rPr>
          <w:color w:val="000000" w:themeColor="text1"/>
          <w14:textFill>
            <w14:solidFill>
              <w14:schemeClr w14:val="tx1"/>
            </w14:solidFill>
          </w14:textFill>
        </w:rPr>
      </w:pPr>
    </w:p>
    <w:p>
      <w:pPr>
        <w:jc w:val="center"/>
        <w:rPr>
          <w:color w:val="000000" w:themeColor="text1"/>
          <w:kern w:val="0"/>
          <w:sz w:val="44"/>
          <w14:textFill>
            <w14:solidFill>
              <w14:schemeClr w14:val="tx1"/>
            </w14:solidFill>
          </w14:textFill>
        </w:rPr>
      </w:pPr>
      <w:r>
        <w:rPr>
          <w:color w:val="000000" w:themeColor="text1"/>
          <w:kern w:val="0"/>
          <w:sz w:val="44"/>
          <w14:textFill>
            <w14:solidFill>
              <w14:schemeClr w14:val="tx1"/>
            </w14:solidFill>
          </w14:textFill>
        </w:rPr>
        <w:t>法人代表授权委托书</w:t>
      </w:r>
    </w:p>
    <w:p>
      <w:pPr>
        <w:rPr>
          <w:rFonts w:eastAsia="华文细黑"/>
          <w:color w:val="000000" w:themeColor="text1"/>
          <w14:textFill>
            <w14:solidFill>
              <w14:schemeClr w14:val="tx1"/>
            </w14:solidFill>
          </w14:textFill>
        </w:rPr>
      </w:pPr>
    </w:p>
    <w:p>
      <w:pPr>
        <w:pStyle w:val="8"/>
        <w:snapToGrid w:val="0"/>
        <w:spacing w:line="360" w:lineRule="auto"/>
        <w:ind w:firstLine="480" w:firstLineChars="200"/>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本授权委托书声明：我</w:t>
      </w:r>
      <w:r>
        <w:rPr>
          <w:rFonts w:ascii="Times New Roman" w:hAnsi="Times New Roman"/>
          <w:color w:val="000000" w:themeColor="text1"/>
          <w:sz w:val="24"/>
          <w:szCs w:val="24"/>
          <w:u w:val="single"/>
          <w14:textFill>
            <w14:solidFill>
              <w14:schemeClr w14:val="tx1"/>
            </w14:solidFill>
          </w14:textFill>
        </w:rPr>
        <w:t xml:space="preserve">       [姓名]     </w:t>
      </w:r>
      <w:r>
        <w:rPr>
          <w:rFonts w:ascii="Times New Roman" w:hAnsi="Times New Roman"/>
          <w:color w:val="000000" w:themeColor="text1"/>
          <w:sz w:val="24"/>
          <w:szCs w:val="24"/>
          <w14:textFill>
            <w14:solidFill>
              <w14:schemeClr w14:val="tx1"/>
            </w14:solidFill>
          </w14:textFill>
        </w:rPr>
        <w:t>系</w:t>
      </w:r>
      <w:r>
        <w:rPr>
          <w:rFonts w:ascii="Times New Roman" w:hAnsi="Times New Roman"/>
          <w:color w:val="000000" w:themeColor="text1"/>
          <w:sz w:val="24"/>
          <w:szCs w:val="24"/>
          <w:u w:val="single"/>
          <w14:textFill>
            <w14:solidFill>
              <w14:schemeClr w14:val="tx1"/>
            </w14:solidFill>
          </w14:textFill>
        </w:rPr>
        <w:t xml:space="preserve">          [参选人名称]           </w:t>
      </w:r>
      <w:r>
        <w:rPr>
          <w:rFonts w:ascii="Times New Roman" w:hAnsi="Times New Roman"/>
          <w:color w:val="000000" w:themeColor="text1"/>
          <w:sz w:val="24"/>
          <w:szCs w:val="24"/>
          <w14:textFill>
            <w14:solidFill>
              <w14:schemeClr w14:val="tx1"/>
            </w14:solidFill>
          </w14:textFill>
        </w:rPr>
        <w:t>的法定代表人，现授权委托</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 xml:space="preserve">    [单位名称]              </w:t>
      </w:r>
      <w:r>
        <w:rPr>
          <w:rFonts w:ascii="Times New Roman" w:hAnsi="Times New Roman"/>
          <w:color w:val="000000" w:themeColor="text1"/>
          <w:sz w:val="24"/>
          <w:szCs w:val="24"/>
          <w14:textFill>
            <w14:solidFill>
              <w14:schemeClr w14:val="tx1"/>
            </w14:solidFill>
          </w14:textFill>
        </w:rPr>
        <w:t>的</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 xml:space="preserve">  [姓名]       </w:t>
      </w:r>
      <w:r>
        <w:rPr>
          <w:rFonts w:ascii="Times New Roman" w:hAnsi="Times New Roman"/>
          <w:color w:val="000000" w:themeColor="text1"/>
          <w:sz w:val="24"/>
          <w:szCs w:val="24"/>
          <w14:textFill>
            <w14:solidFill>
              <w14:schemeClr w14:val="tx1"/>
            </w14:solidFill>
          </w14:textFill>
        </w:rPr>
        <w:t>全权代表我公司参选项目、代表我公司签署参选文件的法定代表人的授权委托代理人，我承认代理人全权代表我所签署的参选文件的内容、我承认代理人全权代表我司的参选任何行为。</w:t>
      </w:r>
    </w:p>
    <w:p>
      <w:pPr>
        <w:pStyle w:val="8"/>
        <w:snapToGrid w:val="0"/>
        <w:spacing w:line="360" w:lineRule="auto"/>
        <w:ind w:firstLine="480" w:firstLineChars="200"/>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授权有效期由</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年</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月</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日</w:t>
      </w:r>
      <w:r>
        <w:rPr>
          <w:rFonts w:ascii="Times New Roman" w:hAnsi="Times New Roman"/>
          <w:color w:val="000000" w:themeColor="text1"/>
          <w:sz w:val="24"/>
          <w:szCs w:val="24"/>
          <w14:textFill>
            <w14:solidFill>
              <w14:schemeClr w14:val="tx1"/>
            </w14:solidFill>
          </w14:textFill>
        </w:rPr>
        <w:t>至</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年</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月</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日</w:t>
      </w:r>
      <w:r>
        <w:rPr>
          <w:rFonts w:ascii="Times New Roman" w:hAnsi="Times New Roman"/>
          <w:color w:val="000000" w:themeColor="text1"/>
          <w:sz w:val="24"/>
          <w:szCs w:val="24"/>
          <w14:textFill>
            <w14:solidFill>
              <w14:schemeClr w14:val="tx1"/>
            </w14:solidFill>
          </w14:textFill>
        </w:rPr>
        <w:t>。</w:t>
      </w:r>
    </w:p>
    <w:p>
      <w:pPr>
        <w:pStyle w:val="8"/>
        <w:snapToGrid w:val="0"/>
        <w:spacing w:line="360" w:lineRule="auto"/>
        <w:ind w:firstLine="480" w:firstLineChars="200"/>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代理人无转委托权，特此委托。</w:t>
      </w:r>
    </w:p>
    <w:p>
      <w:pPr>
        <w:pStyle w:val="8"/>
        <w:spacing w:line="360" w:lineRule="auto"/>
        <w:ind w:left="204" w:leftChars="85" w:firstLine="480" w:firstLineChars="200"/>
        <w:rPr>
          <w:rFonts w:ascii="Times New Roman" w:hAnsi="Times New Roman"/>
          <w:color w:val="000000" w:themeColor="text1"/>
          <w:sz w:val="24"/>
          <w:szCs w:val="24"/>
          <w14:textFill>
            <w14:solidFill>
              <w14:schemeClr w14:val="tx1"/>
            </w14:solidFill>
          </w14:textFill>
        </w:rPr>
      </w:pPr>
    </w:p>
    <w:p>
      <w:pPr>
        <w:pStyle w:val="8"/>
        <w:spacing w:line="360" w:lineRule="auto"/>
        <w:ind w:left="204" w:leftChars="85" w:firstLine="480" w:firstLineChars="200"/>
        <w:rPr>
          <w:rFonts w:ascii="Times New Roman" w:hAnsi="Times New Roman"/>
          <w:color w:val="000000" w:themeColor="text1"/>
          <w:sz w:val="24"/>
          <w:szCs w:val="24"/>
          <w14:textFill>
            <w14:solidFill>
              <w14:schemeClr w14:val="tx1"/>
            </w14:solidFill>
          </w14:textFill>
        </w:rPr>
      </w:pPr>
    </w:p>
    <w:p>
      <w:pPr>
        <w:pStyle w:val="8"/>
        <w:spacing w:line="360" w:lineRule="auto"/>
        <w:ind w:left="204" w:leftChars="85" w:firstLine="480" w:firstLineChars="200"/>
        <w:rPr>
          <w:rFonts w:ascii="Times New Roman" w:hAnsi="Times New Roman"/>
          <w:color w:val="000000" w:themeColor="text1"/>
          <w:sz w:val="24"/>
          <w:szCs w:val="24"/>
          <w14:textFill>
            <w14:solidFill>
              <w14:schemeClr w14:val="tx1"/>
            </w14:solidFill>
          </w14:textFill>
        </w:rPr>
      </w:pPr>
    </w:p>
    <w:p>
      <w:pPr>
        <w:pStyle w:val="8"/>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代理人：</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性别：</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年龄：</w:t>
      </w:r>
      <w:r>
        <w:rPr>
          <w:rFonts w:hint="eastAsia" w:ascii="Times New Roman" w:hAnsi="Times New Roman"/>
          <w:color w:val="000000" w:themeColor="text1"/>
          <w:sz w:val="24"/>
          <w:szCs w:val="24"/>
          <w:u w:val="single"/>
          <w14:textFill>
            <w14:solidFill>
              <w14:schemeClr w14:val="tx1"/>
            </w14:solidFill>
          </w14:textFill>
        </w:rPr>
        <w:t xml:space="preserve">        </w:t>
      </w:r>
    </w:p>
    <w:p>
      <w:pPr>
        <w:pStyle w:val="8"/>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身份证号码：</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职务：</w:t>
      </w:r>
      <w:r>
        <w:rPr>
          <w:rFonts w:hint="eastAsia" w:ascii="Times New Roman" w:hAnsi="Times New Roman"/>
          <w:color w:val="000000" w:themeColor="text1"/>
          <w:sz w:val="24"/>
          <w:szCs w:val="24"/>
          <w:u w:val="single"/>
          <w14:textFill>
            <w14:solidFill>
              <w14:schemeClr w14:val="tx1"/>
            </w14:solidFill>
          </w14:textFill>
        </w:rPr>
        <w:t xml:space="preserve">        </w:t>
      </w:r>
    </w:p>
    <w:p>
      <w:pPr>
        <w:pStyle w:val="8"/>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参选人（盖章）：</w:t>
      </w:r>
      <w:r>
        <w:rPr>
          <w:rFonts w:ascii="Times New Roman" w:hAnsi="Times New Roman"/>
          <w:color w:val="000000" w:themeColor="text1"/>
          <w:sz w:val="24"/>
          <w:szCs w:val="24"/>
          <w:u w:val="single"/>
          <w14:textFill>
            <w14:solidFill>
              <w14:schemeClr w14:val="tx1"/>
            </w14:solidFill>
          </w14:textFill>
        </w:rPr>
        <w:t xml:space="preserve">           [参选人名称]                         </w:t>
      </w:r>
    </w:p>
    <w:p>
      <w:pPr>
        <w:pStyle w:val="8"/>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法定代表人（签字或盖章）：</w:t>
      </w:r>
    </w:p>
    <w:p>
      <w:pPr>
        <w:widowControl/>
        <w:spacing w:line="360" w:lineRule="auto"/>
        <w:ind w:firstLine="480" w:firstLineChars="200"/>
        <w:jc w:val="left"/>
        <w:rPr>
          <w:rFonts w:ascii="宋体" w:hAnsi="宋体"/>
          <w:bCs/>
          <w:color w:val="000000" w:themeColor="text1"/>
          <w:szCs w:val="24"/>
          <w14:textFill>
            <w14:solidFill>
              <w14:schemeClr w14:val="tx1"/>
            </w14:solidFill>
          </w14:textFill>
        </w:rPr>
      </w:pPr>
      <w:r>
        <w:rPr>
          <w:color w:val="000000" w:themeColor="text1"/>
          <w:szCs w:val="24"/>
          <w14:textFill>
            <w14:solidFill>
              <w14:schemeClr w14:val="tx1"/>
            </w14:solidFill>
          </w14:textFill>
        </w:rPr>
        <w:t>授权委托日期：</w:t>
      </w:r>
      <w:r>
        <w:rPr>
          <w:rFonts w:hint="eastAsia"/>
          <w:color w:val="000000" w:themeColor="text1"/>
          <w:szCs w:val="24"/>
          <w:u w:val="single"/>
          <w14:textFill>
            <w14:solidFill>
              <w14:schemeClr w14:val="tx1"/>
            </w14:solidFill>
          </w14:textFill>
        </w:rPr>
        <w:t xml:space="preserve">        </w:t>
      </w:r>
      <w:r>
        <w:rPr>
          <w:color w:val="000000" w:themeColor="text1"/>
          <w:szCs w:val="24"/>
          <w:u w:val="single"/>
          <w14:textFill>
            <w14:solidFill>
              <w14:schemeClr w14:val="tx1"/>
            </w14:solidFill>
          </w14:textFill>
        </w:rPr>
        <w:t>年</w:t>
      </w:r>
      <w:r>
        <w:rPr>
          <w:rFonts w:hint="eastAsia"/>
          <w:color w:val="000000" w:themeColor="text1"/>
          <w:szCs w:val="24"/>
          <w:u w:val="single"/>
          <w14:textFill>
            <w14:solidFill>
              <w14:schemeClr w14:val="tx1"/>
            </w14:solidFill>
          </w14:textFill>
        </w:rPr>
        <w:t xml:space="preserve">    </w:t>
      </w:r>
      <w:r>
        <w:rPr>
          <w:color w:val="000000" w:themeColor="text1"/>
          <w:szCs w:val="24"/>
          <w:u w:val="single"/>
          <w14:textFill>
            <w14:solidFill>
              <w14:schemeClr w14:val="tx1"/>
            </w14:solidFill>
          </w14:textFill>
        </w:rPr>
        <w:t>月</w:t>
      </w:r>
      <w:r>
        <w:rPr>
          <w:rFonts w:hint="eastAsia"/>
          <w:color w:val="000000" w:themeColor="text1"/>
          <w:szCs w:val="24"/>
          <w:u w:val="single"/>
          <w14:textFill>
            <w14:solidFill>
              <w14:schemeClr w14:val="tx1"/>
            </w14:solidFill>
          </w14:textFill>
        </w:rPr>
        <w:t xml:space="preserve">    </w:t>
      </w:r>
      <w:r>
        <w:rPr>
          <w:color w:val="000000" w:themeColor="text1"/>
          <w:szCs w:val="24"/>
          <w:u w:val="single"/>
          <w14:textFill>
            <w14:solidFill>
              <w14:schemeClr w14:val="tx1"/>
            </w14:solidFill>
          </w14:textFill>
        </w:rPr>
        <w:t>日</w:t>
      </w:r>
    </w:p>
    <w:p>
      <w:pPr>
        <w:pStyle w:val="5"/>
        <w:numPr>
          <w:ilvl w:val="2"/>
          <w:numId w:val="0"/>
        </w:numPr>
        <w:spacing w:line="360" w:lineRule="auto"/>
        <w:rPr>
          <w:rFonts w:ascii="宋体" w:hAnsi="宋体"/>
          <w:color w:val="000000" w:themeColor="text1"/>
          <w:sz w:val="24"/>
          <w14:textFill>
            <w14:solidFill>
              <w14:schemeClr w14:val="tx1"/>
            </w14:solidFill>
          </w14:textFill>
        </w:rPr>
      </w:pPr>
      <w:r>
        <w:rPr>
          <w:bCs/>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五、被授权人身份证复印件（如有且需加盖公章）</w:t>
      </w:r>
    </w:p>
    <w:p>
      <w:pPr>
        <w:pStyle w:val="5"/>
        <w:numPr>
          <w:ilvl w:val="2"/>
          <w:numId w:val="0"/>
        </w:numPr>
        <w:spacing w:line="360" w:lineRule="auto"/>
        <w:rPr>
          <w:b w:val="0"/>
          <w:color w:val="000000" w:themeColor="text1"/>
          <w:szCs w:val="28"/>
          <w:highlight w:val="yellow"/>
          <w14:textFill>
            <w14:solidFill>
              <w14:schemeClr w14:val="tx1"/>
            </w14:solidFill>
          </w14:textFill>
        </w:rPr>
      </w:pPr>
      <w:r>
        <w:rPr>
          <w:rFonts w:hint="eastAsia"/>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六、执业资质（加盖公章）</w:t>
      </w:r>
    </w:p>
    <w:p>
      <w:pPr>
        <w:rPr>
          <w:color w:val="000000" w:themeColor="text1"/>
          <w:highlight w:val="yellow"/>
          <w14:textFill>
            <w14:solidFill>
              <w14:schemeClr w14:val="tx1"/>
            </w14:solidFill>
          </w14:textFill>
        </w:rPr>
      </w:pPr>
    </w:p>
    <w:p>
      <w:pPr>
        <w:rPr>
          <w:color w:val="000000" w:themeColor="text1"/>
          <w:highlight w:val="yellow"/>
          <w14:textFill>
            <w14:solidFill>
              <w14:schemeClr w14:val="tx1"/>
            </w14:solidFill>
          </w14:textFill>
        </w:rPr>
      </w:pPr>
    </w:p>
    <w:p>
      <w:pPr>
        <w:spacing w:line="560" w:lineRule="exact"/>
        <w:rPr>
          <w:rFonts w:ascii="宋体" w:hAnsi="宋体"/>
          <w:b/>
          <w:bCs/>
          <w:color w:val="000000" w:themeColor="text1"/>
          <w:sz w:val="28"/>
          <w:szCs w:val="28"/>
          <w:highlight w:val="yellow"/>
          <w14:textFill>
            <w14:solidFill>
              <w14:schemeClr w14:val="tx1"/>
            </w14:solidFill>
          </w14:textFill>
        </w:rPr>
      </w:pPr>
      <w:r>
        <w:rPr>
          <w:rFonts w:ascii="宋体" w:hAnsi="宋体"/>
          <w:color w:val="000000" w:themeColor="text1"/>
          <w:highlight w:val="yellow"/>
          <w14:textFill>
            <w14:solidFill>
              <w14:schemeClr w14:val="tx1"/>
            </w14:solidFill>
          </w14:textFill>
        </w:rPr>
        <w:br w:type="page"/>
      </w:r>
    </w:p>
    <w:p>
      <w:pPr>
        <w:jc w:val="left"/>
        <w:rPr>
          <w:rFonts w:ascii="宋体" w:hAnsi="宋体" w:cs="宋体-18030"/>
          <w:color w:val="000000" w:themeColor="text1"/>
          <w:szCs w:val="24"/>
          <w14:textFill>
            <w14:solidFill>
              <w14:schemeClr w14:val="tx1"/>
            </w14:solidFill>
          </w14:textFill>
        </w:rPr>
        <w:sectPr>
          <w:headerReference r:id="rId14" w:type="first"/>
          <w:headerReference r:id="rId13" w:type="default"/>
          <w:pgSz w:w="11907" w:h="16840"/>
          <w:pgMar w:top="1134" w:right="1021" w:bottom="1134" w:left="1440" w:header="567" w:footer="868" w:gutter="0"/>
          <w:cols w:space="720" w:num="1"/>
          <w:titlePg/>
          <w:docGrid w:linePitch="380" w:charSpace="0"/>
        </w:sectPr>
      </w:pPr>
    </w:p>
    <w:p>
      <w:pPr>
        <w:pStyle w:val="8"/>
        <w:spacing w:line="360" w:lineRule="auto"/>
        <w:rPr>
          <w:rFonts w:hAnsi="宋体"/>
          <w:b/>
          <w:bCs/>
          <w:color w:val="000000" w:themeColor="text1"/>
          <w:u w:val="single"/>
          <w14:textFill>
            <w14:solidFill>
              <w14:schemeClr w14:val="tx1"/>
            </w14:solidFill>
          </w14:textFill>
        </w:rPr>
      </w:pPr>
    </w:p>
    <w:p>
      <w:pPr>
        <w:spacing w:line="840" w:lineRule="exact"/>
        <w:jc w:val="center"/>
        <w:outlineLvl w:val="0"/>
        <w:rPr>
          <w:rFonts w:ascii="黑体" w:hAnsi="Courier New" w:eastAsia="黑体"/>
          <w:color w:val="000000" w:themeColor="text1"/>
          <w:spacing w:val="36"/>
          <w:sz w:val="44"/>
          <w:szCs w:val="44"/>
          <w14:textFill>
            <w14:solidFill>
              <w14:schemeClr w14:val="tx1"/>
            </w14:solidFill>
          </w14:textFill>
        </w:rPr>
      </w:pPr>
      <w:bookmarkStart w:id="154" w:name="_Toc62576171"/>
      <w:bookmarkStart w:id="155" w:name="_Toc16038"/>
      <w:bookmarkStart w:id="156" w:name="_Toc4523"/>
      <w:bookmarkStart w:id="157" w:name="_Toc97605313"/>
      <w:r>
        <w:rPr>
          <w:rStyle w:val="23"/>
          <w:color w:val="000000" w:themeColor="text1"/>
          <w:sz w:val="44"/>
          <w:szCs w:val="44"/>
          <w14:textFill>
            <w14:solidFill>
              <w14:schemeClr w14:val="tx1"/>
            </w14:solidFill>
          </w14:textFill>
        </w:rPr>
        <w:t>第</w:t>
      </w:r>
      <w:r>
        <w:rPr>
          <w:rStyle w:val="23"/>
          <w:rFonts w:hint="eastAsia"/>
          <w:color w:val="000000" w:themeColor="text1"/>
          <w:sz w:val="44"/>
          <w:szCs w:val="44"/>
          <w14:textFill>
            <w14:solidFill>
              <w14:schemeClr w14:val="tx1"/>
            </w14:solidFill>
          </w14:textFill>
        </w:rPr>
        <w:t>二章</w:t>
      </w:r>
      <w:bookmarkEnd w:id="154"/>
      <w:bookmarkEnd w:id="155"/>
      <w:bookmarkEnd w:id="156"/>
      <w:r>
        <w:rPr>
          <w:rFonts w:hint="eastAsia" w:ascii="黑体" w:eastAsia="黑体"/>
          <w:b/>
          <w:color w:val="000000" w:themeColor="text1"/>
          <w:sz w:val="44"/>
          <w:szCs w:val="44"/>
          <w14:textFill>
            <w14:solidFill>
              <w14:schemeClr w14:val="tx1"/>
            </w14:solidFill>
          </w14:textFill>
        </w:rPr>
        <w:t xml:space="preserve"> 技术标书</w:t>
      </w:r>
      <w:bookmarkEnd w:id="157"/>
      <w:r>
        <w:rPr>
          <w:rFonts w:hint="eastAsia" w:ascii="黑体" w:eastAsia="黑体"/>
          <w:b/>
          <w:color w:val="000000" w:themeColor="text1"/>
          <w:sz w:val="44"/>
          <w:szCs w:val="44"/>
          <w14:textFill>
            <w14:solidFill>
              <w14:schemeClr w14:val="tx1"/>
            </w14:solidFill>
          </w14:textFill>
        </w:rPr>
        <w:t xml:space="preserve"> </w:t>
      </w:r>
      <w:bookmarkEnd w:id="146"/>
    </w:p>
    <w:p>
      <w:pPr>
        <w:spacing w:line="840" w:lineRule="exact"/>
        <w:jc w:val="center"/>
        <w:rPr>
          <w:rFonts w:ascii="黑体" w:hAnsi="Courier New" w:eastAsia="黑体"/>
          <w:color w:val="000000" w:themeColor="text1"/>
          <w:spacing w:val="36"/>
          <w:sz w:val="44"/>
          <w:szCs w:val="44"/>
          <w14:textFill>
            <w14:solidFill>
              <w14:schemeClr w14:val="tx1"/>
            </w14:solidFill>
          </w14:textFill>
        </w:rPr>
      </w:pPr>
      <w:r>
        <w:rPr>
          <w:rFonts w:hint="eastAsia" w:ascii="黑体" w:hAnsi="Courier New" w:eastAsia="黑体"/>
          <w:color w:val="000000" w:themeColor="text1"/>
          <w:spacing w:val="36"/>
          <w:sz w:val="44"/>
          <w:szCs w:val="44"/>
          <w14:textFill>
            <w14:solidFill>
              <w14:schemeClr w14:val="tx1"/>
            </w14:solidFill>
          </w14:textFill>
        </w:rPr>
        <w:t xml:space="preserve"> </w:t>
      </w:r>
    </w:p>
    <w:p>
      <w:pPr>
        <w:spacing w:line="840" w:lineRule="exact"/>
        <w:jc w:val="center"/>
        <w:rPr>
          <w:rFonts w:ascii="黑体" w:hAnsi="Courier New" w:eastAsia="黑体"/>
          <w:color w:val="000000" w:themeColor="text1"/>
          <w:spacing w:val="36"/>
          <w:sz w:val="44"/>
          <w:szCs w:val="44"/>
          <w14:textFill>
            <w14:solidFill>
              <w14:schemeClr w14:val="tx1"/>
            </w14:solidFill>
          </w14:textFill>
        </w:rPr>
      </w:pPr>
    </w:p>
    <w:p>
      <w:pPr>
        <w:jc w:val="center"/>
        <w:rPr>
          <w:rFonts w:ascii="黑体" w:hAnsi="Courier New" w:eastAsia="黑体"/>
          <w:b/>
          <w:bCs/>
          <w:color w:val="000000" w:themeColor="text1"/>
          <w:spacing w:val="36"/>
          <w:sz w:val="44"/>
          <w:szCs w:val="44"/>
          <w:u w:val="single"/>
          <w14:textFill>
            <w14:solidFill>
              <w14:schemeClr w14:val="tx1"/>
            </w14:solidFill>
          </w14:textFill>
        </w:rPr>
      </w:pPr>
      <w:r>
        <w:rPr>
          <w:rFonts w:hint="eastAsia" w:ascii="黑体" w:hAnsi="Courier New" w:eastAsia="黑体"/>
          <w:b/>
          <w:bCs/>
          <w:color w:val="000000" w:themeColor="text1"/>
          <w:spacing w:val="36"/>
          <w:sz w:val="44"/>
          <w:szCs w:val="44"/>
          <w:u w:val="single"/>
          <w14:textFill>
            <w14:solidFill>
              <w14:schemeClr w14:val="tx1"/>
            </w14:solidFill>
          </w14:textFill>
        </w:rPr>
        <w:t>轨道交通四期综合开发项目（四）土壤环境初步调查</w:t>
      </w: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jc w:val="center"/>
        <w:rPr>
          <w:rFonts w:ascii="黑体" w:hAnsi="Courier New" w:eastAsia="黑体"/>
          <w:bCs/>
          <w:color w:val="000000" w:themeColor="text1"/>
          <w:spacing w:val="36"/>
          <w:kern w:val="10"/>
          <w:sz w:val="84"/>
          <w:szCs w:val="84"/>
          <w14:textFill>
            <w14:solidFill>
              <w14:schemeClr w14:val="tx1"/>
            </w14:solidFill>
          </w14:textFill>
        </w:rPr>
      </w:pPr>
      <w:bookmarkStart w:id="158" w:name="_Toc18290"/>
      <w:r>
        <w:rPr>
          <w:rFonts w:hint="eastAsia" w:ascii="黑体" w:hAnsi="Courier New" w:eastAsia="黑体"/>
          <w:bCs/>
          <w:color w:val="000000" w:themeColor="text1"/>
          <w:spacing w:val="36"/>
          <w:kern w:val="10"/>
          <w:sz w:val="84"/>
          <w:szCs w:val="84"/>
          <w14:textFill>
            <w14:solidFill>
              <w14:schemeClr w14:val="tx1"/>
            </w14:solidFill>
          </w14:textFill>
        </w:rPr>
        <w:t>参 选 文 件</w:t>
      </w:r>
      <w:bookmarkEnd w:id="158"/>
    </w:p>
    <w:p>
      <w:pPr>
        <w:rPr>
          <w:rFonts w:hAnsi="宋体"/>
          <w:color w:val="000000" w:themeColor="text1"/>
          <w:sz w:val="17"/>
          <w:szCs w:val="17"/>
          <w14:textFill>
            <w14:solidFill>
              <w14:schemeClr w14:val="tx1"/>
            </w14:solidFill>
          </w14:textFill>
        </w:rPr>
      </w:pPr>
    </w:p>
    <w:p>
      <w:pPr>
        <w:rPr>
          <w:rFonts w:hAnsi="宋体"/>
          <w:color w:val="000000" w:themeColor="text1"/>
          <w:sz w:val="23"/>
          <w:szCs w:val="23"/>
          <w14:textFill>
            <w14:solidFill>
              <w14:schemeClr w14:val="tx1"/>
            </w14:solidFill>
          </w14:textFill>
        </w:rPr>
      </w:pPr>
    </w:p>
    <w:p>
      <w:pPr>
        <w:jc w:val="center"/>
        <w:rPr>
          <w:rFonts w:ascii="黑体" w:hAnsi="黑体" w:eastAsia="黑体"/>
          <w:color w:val="000000" w:themeColor="text1"/>
          <w:kern w:val="0"/>
          <w:sz w:val="72"/>
          <w:szCs w:val="35"/>
          <w14:textFill>
            <w14:solidFill>
              <w14:schemeClr w14:val="tx1"/>
            </w14:solidFill>
          </w14:textFill>
        </w:rPr>
      </w:pPr>
      <w:bookmarkStart w:id="159" w:name="_Toc15395"/>
      <w:r>
        <w:rPr>
          <w:rFonts w:hint="eastAsia" w:ascii="黑体" w:hAnsi="黑体" w:eastAsia="黑体"/>
          <w:color w:val="000000" w:themeColor="text1"/>
          <w:kern w:val="0"/>
          <w:sz w:val="72"/>
          <w:szCs w:val="35"/>
          <w14:textFill>
            <w14:solidFill>
              <w14:schemeClr w14:val="tx1"/>
            </w14:solidFill>
          </w14:textFill>
        </w:rPr>
        <w:t>技术标书</w:t>
      </w:r>
      <w:bookmarkEnd w:id="159"/>
    </w:p>
    <w:p>
      <w:pPr>
        <w:rPr>
          <w:rFonts w:hAnsi="宋体"/>
          <w:color w:val="000000" w:themeColor="text1"/>
          <w:sz w:val="23"/>
          <w:szCs w:val="23"/>
          <w14:textFill>
            <w14:solidFill>
              <w14:schemeClr w14:val="tx1"/>
            </w14:solidFill>
          </w14:textFill>
        </w:rPr>
      </w:pPr>
    </w:p>
    <w:p>
      <w:pPr>
        <w:rPr>
          <w:rFonts w:hAnsi="宋体"/>
          <w:b/>
          <w:color w:val="000000" w:themeColor="text1"/>
          <w:sz w:val="32"/>
          <w:szCs w:val="32"/>
          <w14:textFill>
            <w14:solidFill>
              <w14:schemeClr w14:val="tx1"/>
            </w14:solidFill>
          </w14:textFill>
        </w:rPr>
      </w:pPr>
    </w:p>
    <w:p>
      <w:pPr>
        <w:rPr>
          <w:rFonts w:hAnsi="宋体"/>
          <w:b/>
          <w:color w:val="000000" w:themeColor="text1"/>
          <w:sz w:val="32"/>
          <w:szCs w:val="32"/>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spacing w:line="720" w:lineRule="auto"/>
        <w:rPr>
          <w:rFonts w:hAnsi="宋体"/>
          <w:b/>
          <w:color w:val="000000" w:themeColor="text1"/>
          <w:sz w:val="28"/>
          <w:szCs w:val="28"/>
          <w:u w:val="single"/>
          <w14:textFill>
            <w14:solidFill>
              <w14:schemeClr w14:val="tx1"/>
            </w14:solidFill>
          </w14:textFill>
        </w:rPr>
      </w:pPr>
      <w:bookmarkStart w:id="160" w:name="_Toc25584"/>
      <w:r>
        <w:rPr>
          <w:rFonts w:hint="eastAsia" w:hAnsi="宋体"/>
          <w:b/>
          <w:color w:val="000000" w:themeColor="text1"/>
          <w:sz w:val="28"/>
          <w:szCs w:val="28"/>
          <w14:textFill>
            <w14:solidFill>
              <w14:schemeClr w14:val="tx1"/>
            </w14:solidFill>
          </w14:textFill>
        </w:rPr>
        <w:t>参选人(盖章)：</w:t>
      </w:r>
      <w:r>
        <w:rPr>
          <w:rFonts w:hint="eastAsia" w:hAnsi="宋体"/>
          <w:b/>
          <w:color w:val="000000" w:themeColor="text1"/>
          <w:sz w:val="28"/>
          <w:szCs w:val="28"/>
          <w:u w:val="single"/>
          <w14:textFill>
            <w14:solidFill>
              <w14:schemeClr w14:val="tx1"/>
            </w14:solidFill>
          </w14:textFill>
        </w:rPr>
        <w:t xml:space="preserve">          [参选人名称]</w:t>
      </w:r>
      <w:bookmarkEnd w:id="160"/>
      <w:r>
        <w:rPr>
          <w:rFonts w:hint="eastAsia" w:hAnsi="宋体"/>
          <w:b/>
          <w:color w:val="000000" w:themeColor="text1"/>
          <w:sz w:val="28"/>
          <w:szCs w:val="28"/>
          <w:u w:val="single"/>
          <w14:textFill>
            <w14:solidFill>
              <w14:schemeClr w14:val="tx1"/>
            </w14:solidFill>
          </w14:textFill>
        </w:rPr>
        <w:t xml:space="preserve">                 </w:t>
      </w:r>
    </w:p>
    <w:p>
      <w:pPr>
        <w:spacing w:line="720" w:lineRule="auto"/>
        <w:rPr>
          <w:rFonts w:hAnsi="宋体"/>
          <w:b/>
          <w:color w:val="000000" w:themeColor="text1"/>
          <w:sz w:val="28"/>
          <w:szCs w:val="28"/>
          <w:u w:val="single"/>
          <w14:textFill>
            <w14:solidFill>
              <w14:schemeClr w14:val="tx1"/>
            </w14:solidFill>
          </w14:textFill>
        </w:rPr>
      </w:pPr>
      <w:bookmarkStart w:id="161" w:name="_Toc537"/>
      <w:r>
        <w:rPr>
          <w:rFonts w:hint="eastAsia" w:hAnsi="宋体"/>
          <w:b/>
          <w:color w:val="000000" w:themeColor="text1"/>
          <w:sz w:val="28"/>
          <w:szCs w:val="28"/>
          <w14:textFill>
            <w14:solidFill>
              <w14:schemeClr w14:val="tx1"/>
            </w14:solidFill>
          </w14:textFill>
        </w:rPr>
        <w:t>法定代表人或其委托代理人(签字或盖章)：</w:t>
      </w:r>
      <w:bookmarkEnd w:id="161"/>
    </w:p>
    <w:p>
      <w:pPr>
        <w:spacing w:line="720" w:lineRule="auto"/>
        <w:rPr>
          <w:rFonts w:ascii="宋体" w:hAnsi="宋体"/>
          <w:b/>
          <w:color w:val="000000" w:themeColor="text1"/>
          <w:sz w:val="28"/>
          <w:szCs w:val="28"/>
          <w14:textFill>
            <w14:solidFill>
              <w14:schemeClr w14:val="tx1"/>
            </w14:solidFill>
          </w14:textFill>
        </w:rPr>
      </w:pPr>
      <w:bookmarkStart w:id="162" w:name="_Toc12639"/>
      <w:bookmarkStart w:id="163" w:name="_Toc26689"/>
      <w:bookmarkStart w:id="164" w:name="_Toc32709"/>
      <w:r>
        <w:rPr>
          <w:rFonts w:hint="eastAsia" w:ascii="宋体" w:hAnsi="宋体"/>
          <w:b/>
          <w:color w:val="000000" w:themeColor="text1"/>
          <w:sz w:val="28"/>
          <w:szCs w:val="28"/>
          <w14:textFill>
            <w14:solidFill>
              <w14:schemeClr w14:val="tx1"/>
            </w14:solidFill>
          </w14:textFill>
        </w:rPr>
        <w:t xml:space="preserve">日   期：    年  </w:t>
      </w:r>
      <w:r>
        <w:rPr>
          <w:rFonts w:ascii="宋体" w:hAnsi="宋体"/>
          <w:b/>
          <w:color w:val="000000" w:themeColor="text1"/>
          <w:sz w:val="28"/>
          <w:szCs w:val="28"/>
          <w14:textFill>
            <w14:solidFill>
              <w14:schemeClr w14:val="tx1"/>
            </w14:solidFill>
          </w14:textFill>
        </w:rPr>
        <w:t xml:space="preserve"> </w:t>
      </w:r>
      <w:r>
        <w:rPr>
          <w:rFonts w:hint="eastAsia" w:ascii="宋体" w:hAnsi="宋体"/>
          <w:b/>
          <w:color w:val="000000" w:themeColor="text1"/>
          <w:sz w:val="28"/>
          <w:szCs w:val="28"/>
          <w14:textFill>
            <w14:solidFill>
              <w14:schemeClr w14:val="tx1"/>
            </w14:solidFill>
          </w14:textFill>
        </w:rPr>
        <w:t xml:space="preserve">月 </w:t>
      </w:r>
      <w:r>
        <w:rPr>
          <w:rFonts w:ascii="宋体" w:hAnsi="宋体"/>
          <w:b/>
          <w:color w:val="000000" w:themeColor="text1"/>
          <w:sz w:val="28"/>
          <w:szCs w:val="28"/>
          <w14:textFill>
            <w14:solidFill>
              <w14:schemeClr w14:val="tx1"/>
            </w14:solidFill>
          </w14:textFill>
        </w:rPr>
        <w:t xml:space="preserve"> </w:t>
      </w:r>
      <w:r>
        <w:rPr>
          <w:rFonts w:hint="eastAsia" w:ascii="宋体" w:hAnsi="宋体"/>
          <w:b/>
          <w:color w:val="000000" w:themeColor="text1"/>
          <w:sz w:val="28"/>
          <w:szCs w:val="28"/>
          <w14:textFill>
            <w14:solidFill>
              <w14:schemeClr w14:val="tx1"/>
            </w14:solidFill>
          </w14:textFill>
        </w:rPr>
        <w:t xml:space="preserve"> 日</w:t>
      </w:r>
      <w:bookmarkEnd w:id="162"/>
      <w:bookmarkEnd w:id="163"/>
      <w:bookmarkEnd w:id="164"/>
    </w:p>
    <w:p>
      <w:pPr>
        <w:jc w:val="left"/>
        <w:rPr>
          <w:rFonts w:ascii="宋体" w:hAnsi="宋体" w:cs="宋体-18030"/>
          <w:color w:val="000000" w:themeColor="text1"/>
          <w:szCs w:val="24"/>
          <w14:textFill>
            <w14:solidFill>
              <w14:schemeClr w14:val="tx1"/>
            </w14:solidFill>
          </w14:textFill>
        </w:rPr>
        <w:sectPr>
          <w:headerReference r:id="rId16" w:type="first"/>
          <w:headerReference r:id="rId15" w:type="default"/>
          <w:pgSz w:w="11907" w:h="16840"/>
          <w:pgMar w:top="1134" w:right="1021" w:bottom="1134" w:left="1440" w:header="567" w:footer="868" w:gutter="0"/>
          <w:cols w:space="720" w:num="1"/>
          <w:titlePg/>
          <w:docGrid w:linePitch="380" w:charSpace="0"/>
        </w:sectPr>
      </w:pPr>
    </w:p>
    <w:p>
      <w:pPr>
        <w:jc w:val="center"/>
        <w:rPr>
          <w:rFonts w:ascii="宋体" w:hAnsi="宋体"/>
          <w:b/>
          <w:bCs/>
          <w:color w:val="000000" w:themeColor="text1"/>
          <w:sz w:val="28"/>
          <w:szCs w:val="28"/>
          <w14:textFill>
            <w14:solidFill>
              <w14:schemeClr w14:val="tx1"/>
            </w14:solidFill>
          </w14:textFill>
        </w:rPr>
      </w:pPr>
    </w:p>
    <w:p>
      <w:pPr>
        <w:keepNext/>
        <w:keepLines/>
        <w:numPr>
          <w:ilvl w:val="2"/>
          <w:numId w:val="0"/>
        </w:numPr>
        <w:tabs>
          <w:tab w:val="left" w:pos="1260"/>
        </w:tabs>
        <w:adjustRightInd w:val="0"/>
        <w:spacing w:before="260" w:after="260" w:line="416" w:lineRule="atLeast"/>
        <w:ind w:left="1260" w:hanging="420"/>
        <w:jc w:val="center"/>
        <w:textAlignment w:val="baseline"/>
        <w:outlineLvl w:val="2"/>
        <w:rPr>
          <w:b/>
          <w:kern w:val="0"/>
          <w:sz w:val="32"/>
          <w:szCs w:val="24"/>
        </w:rPr>
      </w:pPr>
      <w:bookmarkStart w:id="165" w:name="_Toc57731986"/>
      <w:r>
        <w:rPr>
          <w:rFonts w:hint="eastAsia"/>
          <w:b/>
          <w:kern w:val="0"/>
          <w:sz w:val="32"/>
          <w:szCs w:val="24"/>
        </w:rPr>
        <w:t>目录</w:t>
      </w:r>
    </w:p>
    <w:p>
      <w:pPr>
        <w:autoSpaceDE w:val="0"/>
        <w:autoSpaceDN w:val="0"/>
        <w:adjustRightInd w:val="0"/>
        <w:spacing w:before="50" w:line="360" w:lineRule="auto"/>
        <w:ind w:left="472"/>
        <w:rPr>
          <w:rFonts w:ascii="宋体" w:hAnsi="宋体" w:cs="宋体"/>
          <w:b/>
          <w:szCs w:val="21"/>
        </w:rPr>
      </w:pP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一、公司资质（加盖公章）</w:t>
      </w: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二、成果通过率（加盖公章）</w:t>
      </w: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三、公司业绩（加盖公章）</w:t>
      </w: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四</w:t>
      </w:r>
      <w:r>
        <w:rPr>
          <w:rFonts w:ascii="宋体" w:hAnsi="宋体" w:cs="宋体"/>
          <w:b/>
          <w:szCs w:val="21"/>
        </w:rPr>
        <w:t>、</w:t>
      </w:r>
      <w:r>
        <w:rPr>
          <w:rFonts w:hint="eastAsia" w:ascii="宋体" w:hAnsi="宋体" w:cs="宋体"/>
          <w:b/>
          <w:szCs w:val="21"/>
        </w:rPr>
        <w:t>项目负责人及团队人员资格要求（加盖公章）</w:t>
      </w:r>
    </w:p>
    <w:bookmarkEnd w:id="165"/>
    <w:p>
      <w:pPr>
        <w:spacing w:line="360" w:lineRule="auto"/>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spacing w:line="360" w:lineRule="auto"/>
        <w:rPr>
          <w:rFonts w:ascii="宋体" w:hAnsi="宋体"/>
          <w:bCs/>
          <w:szCs w:val="24"/>
        </w:rPr>
      </w:pPr>
    </w:p>
    <w:p>
      <w:pPr>
        <w:pStyle w:val="2"/>
      </w:pPr>
    </w:p>
    <w:p>
      <w:pPr>
        <w:spacing w:line="360" w:lineRule="auto"/>
        <w:rPr>
          <w:rFonts w:ascii="宋体" w:hAnsi="宋体"/>
          <w:bCs/>
          <w:szCs w:val="24"/>
        </w:rPr>
      </w:pPr>
    </w:p>
    <w:p>
      <w:pPr>
        <w:rPr>
          <w:rFonts w:hAnsi="宋体"/>
          <w:b/>
          <w:szCs w:val="24"/>
        </w:rPr>
      </w:pPr>
      <w:bookmarkStart w:id="166" w:name="_Toc402782196"/>
    </w:p>
    <w:p>
      <w:pPr>
        <w:spacing w:line="360" w:lineRule="auto"/>
        <w:rPr>
          <w:rFonts w:ascii="宋体" w:hAnsi="宋体"/>
          <w:b/>
          <w:bCs/>
          <w:lang w:val="zh-CN"/>
        </w:rPr>
      </w:pPr>
      <w:r>
        <w:rPr>
          <w:rFonts w:hint="eastAsia" w:ascii="宋体" w:hAnsi="宋体"/>
          <w:b/>
          <w:bCs/>
        </w:rPr>
        <w:t xml:space="preserve"> </w:t>
      </w:r>
      <w:r>
        <w:rPr>
          <w:rFonts w:hint="eastAsia" w:ascii="宋体" w:hAnsi="宋体" w:cs="宋体"/>
          <w:b/>
          <w:szCs w:val="21"/>
        </w:rPr>
        <w:t>一</w:t>
      </w:r>
      <w:r>
        <w:rPr>
          <w:rFonts w:ascii="宋体" w:hAnsi="宋体" w:cs="宋体"/>
          <w:b/>
          <w:szCs w:val="21"/>
        </w:rPr>
        <w:t>、</w:t>
      </w:r>
      <w:r>
        <w:rPr>
          <w:rFonts w:hint="eastAsia" w:ascii="宋体" w:hAnsi="宋体" w:cs="宋体"/>
          <w:b/>
          <w:szCs w:val="21"/>
        </w:rPr>
        <w:t>公司资质</w:t>
      </w:r>
    </w:p>
    <w:p>
      <w:pPr>
        <w:rPr>
          <w:rFonts w:hAnsi="宋体"/>
          <w:b/>
          <w:szCs w:val="24"/>
        </w:rPr>
      </w:pPr>
      <w:r>
        <w:rPr>
          <w:rFonts w:hint="eastAsia"/>
          <w:szCs w:val="21"/>
        </w:rPr>
        <w:t>参选</w:t>
      </w:r>
      <w:r>
        <w:rPr>
          <w:rFonts w:hint="eastAsia" w:ascii="宋体" w:hAnsi="宋体"/>
          <w:szCs w:val="21"/>
        </w:rPr>
        <w:t>人需提供广东省或深圳环保技术咨询服务相关能力认证证书</w:t>
      </w: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r>
        <w:rPr>
          <w:rFonts w:hint="eastAsia" w:ascii="宋体" w:hAnsi="宋体" w:cs="宋体"/>
          <w:b/>
          <w:szCs w:val="21"/>
        </w:rPr>
        <w:t>二、成果通过率（加盖公章）</w:t>
      </w:r>
    </w:p>
    <w:p>
      <w:r>
        <w:rPr>
          <w:rFonts w:hint="eastAsia" w:ascii="宋体" w:hAnsi="宋体"/>
          <w:szCs w:val="21"/>
        </w:rPr>
        <w:t>以深圳市生态环境局202</w:t>
      </w:r>
      <w:r>
        <w:rPr>
          <w:rFonts w:ascii="宋体" w:hAnsi="宋体"/>
          <w:szCs w:val="21"/>
        </w:rPr>
        <w:t>2</w:t>
      </w:r>
      <w:r>
        <w:rPr>
          <w:rFonts w:hint="eastAsia" w:ascii="宋体" w:hAnsi="宋体"/>
          <w:szCs w:val="21"/>
        </w:rPr>
        <w:t>年</w:t>
      </w:r>
      <w:r>
        <w:rPr>
          <w:rFonts w:ascii="宋体" w:hAnsi="宋体"/>
          <w:szCs w:val="21"/>
        </w:rPr>
        <w:t>1</w:t>
      </w:r>
      <w:r>
        <w:rPr>
          <w:rFonts w:hint="eastAsia" w:ascii="宋体" w:hAnsi="宋体"/>
          <w:szCs w:val="21"/>
        </w:rPr>
        <w:t>月</w:t>
      </w:r>
      <w:r>
        <w:rPr>
          <w:rFonts w:ascii="宋体" w:hAnsi="宋体"/>
          <w:szCs w:val="21"/>
        </w:rPr>
        <w:t>25</w:t>
      </w:r>
      <w:r>
        <w:rPr>
          <w:rFonts w:hint="eastAsia" w:ascii="宋体" w:hAnsi="宋体"/>
          <w:szCs w:val="21"/>
        </w:rPr>
        <w:t>日公布的深圳市土壤污染状况调查报告评审通过情况汇总表（2019年1月-2021年</w:t>
      </w:r>
      <w:r>
        <w:rPr>
          <w:rFonts w:ascii="宋体" w:hAnsi="宋体"/>
          <w:szCs w:val="21"/>
        </w:rPr>
        <w:t>12</w:t>
      </w:r>
      <w:r>
        <w:rPr>
          <w:rFonts w:hint="eastAsia" w:ascii="宋体" w:hAnsi="宋体"/>
          <w:szCs w:val="21"/>
        </w:rPr>
        <w:t>月）为准</w:t>
      </w: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r>
        <w:rPr>
          <w:rFonts w:hint="eastAsia" w:ascii="宋体" w:hAnsi="宋体" w:cs="宋体"/>
          <w:b/>
          <w:szCs w:val="21"/>
        </w:rPr>
        <w:t>三、公司业绩</w:t>
      </w:r>
    </w:p>
    <w:p>
      <w:pPr>
        <w:snapToGrid w:val="0"/>
        <w:spacing w:after="200" w:line="288" w:lineRule="auto"/>
        <w:rPr>
          <w:sz w:val="21"/>
        </w:rPr>
      </w:pPr>
    </w:p>
    <w:p>
      <w:pPr>
        <w:pStyle w:val="24"/>
        <w:spacing w:before="50" w:line="360" w:lineRule="auto"/>
        <w:ind w:firstLine="480" w:firstLineChars="200"/>
        <w:rPr>
          <w:color w:val="FF0000"/>
        </w:rPr>
      </w:pPr>
      <w:r>
        <w:rPr>
          <w:rFonts w:hint="eastAsia"/>
          <w:szCs w:val="21"/>
        </w:rPr>
        <w:t>参选人需提供近</w:t>
      </w:r>
      <w:r>
        <w:rPr>
          <w:szCs w:val="21"/>
        </w:rPr>
        <w:t>2</w:t>
      </w:r>
      <w:r>
        <w:rPr>
          <w:rFonts w:hint="eastAsia"/>
          <w:szCs w:val="21"/>
        </w:rPr>
        <w:t>年内完成在深圳市的类似业绩</w:t>
      </w:r>
      <w:r>
        <w:rPr>
          <w:szCs w:val="21"/>
        </w:rPr>
        <w:t>，</w:t>
      </w:r>
      <w:r>
        <w:rPr>
          <w:rFonts w:hint="eastAsia"/>
          <w:szCs w:val="21"/>
        </w:rPr>
        <w:t>业绩</w:t>
      </w:r>
      <w:r>
        <w:rPr>
          <w:szCs w:val="21"/>
        </w:rPr>
        <w:t>证明材料须提供合同关键页、报告</w:t>
      </w:r>
      <w:r>
        <w:rPr>
          <w:rFonts w:hint="eastAsia"/>
          <w:szCs w:val="21"/>
        </w:rPr>
        <w:t>、</w:t>
      </w:r>
      <w:r>
        <w:rPr>
          <w:szCs w:val="21"/>
        </w:rPr>
        <w:t>时间</w:t>
      </w:r>
      <w:r>
        <w:rPr>
          <w:rFonts w:hint="eastAsia"/>
          <w:szCs w:val="21"/>
        </w:rPr>
        <w:t>、</w:t>
      </w:r>
      <w:r>
        <w:rPr>
          <w:rFonts w:hint="eastAsia"/>
          <w:color w:val="auto"/>
          <w:szCs w:val="21"/>
        </w:rPr>
        <w:t>成果取得无污染证明</w:t>
      </w:r>
      <w:r>
        <w:rPr>
          <w:szCs w:val="21"/>
        </w:rPr>
        <w:t>等</w:t>
      </w:r>
      <w:r>
        <w:rPr>
          <w:rFonts w:hint="eastAsia"/>
          <w:szCs w:val="21"/>
        </w:rPr>
        <w:t>，如结果有污染业绩不得分，</w:t>
      </w:r>
      <w:r>
        <w:rPr>
          <w:szCs w:val="21"/>
        </w:rPr>
        <w:t>以合同签订时间为准</w:t>
      </w:r>
      <w:r>
        <w:rPr>
          <w:rFonts w:hint="eastAsia"/>
          <w:szCs w:val="21"/>
        </w:rPr>
        <w:t>。</w:t>
      </w:r>
      <w:r>
        <w:rPr>
          <w:b/>
        </w:rPr>
        <w:br w:type="page"/>
      </w:r>
    </w:p>
    <w:p/>
    <w:p>
      <w:pPr>
        <w:pStyle w:val="2"/>
      </w:pPr>
    </w:p>
    <w:p>
      <w:pPr>
        <w:rPr>
          <w:rFonts w:hAnsi="宋体"/>
          <w:b/>
          <w:szCs w:val="24"/>
        </w:rPr>
      </w:pPr>
    </w:p>
    <w:p>
      <w:pPr>
        <w:rPr>
          <w:rFonts w:ascii="宋体" w:hAnsi="宋体"/>
          <w:b/>
          <w:bCs/>
        </w:rPr>
      </w:pPr>
      <w:r>
        <w:rPr>
          <w:rFonts w:hint="eastAsia" w:hAnsi="宋体"/>
          <w:b/>
          <w:szCs w:val="24"/>
        </w:rPr>
        <w:t>四、项目负责人及团队人员资格要求</w:t>
      </w:r>
    </w:p>
    <w:p>
      <w:pPr>
        <w:spacing w:line="360" w:lineRule="auto"/>
        <w:rPr>
          <w:rFonts w:ascii="宋体" w:hAnsi="宋体"/>
          <w:bCs/>
        </w:rPr>
      </w:pPr>
    </w:p>
    <w:p>
      <w:pPr>
        <w:spacing w:line="360" w:lineRule="auto"/>
        <w:rPr>
          <w:rFonts w:ascii="宋体" w:hAnsi="宋体"/>
          <w:bCs/>
        </w:rPr>
      </w:pPr>
      <w:r>
        <w:rPr>
          <w:rFonts w:hint="eastAsia" w:ascii="宋体" w:hAnsi="宋体"/>
          <w:bCs/>
        </w:rPr>
        <w:t>1.项目负责人从业资质要求（3分）：项目负责人同时具有高级职称和注册环评工程师。要求提供资质证书复印件作为证明材料，并提供近三个月社保证明，不提供相关证明材料的不得分。</w:t>
      </w:r>
    </w:p>
    <w:p>
      <w:pPr>
        <w:spacing w:line="360" w:lineRule="auto"/>
        <w:rPr>
          <w:rFonts w:ascii="宋体" w:hAnsi="宋体"/>
          <w:bCs/>
        </w:rPr>
      </w:pPr>
      <w:r>
        <w:rPr>
          <w:rFonts w:hint="eastAsia" w:ascii="宋体" w:hAnsi="宋体"/>
          <w:bCs/>
        </w:rPr>
        <w:t>2.项目团队人员要求（2分）：项目团队具有注册环评工程师的，项目经理除外。</w:t>
      </w:r>
    </w:p>
    <w:p>
      <w:pPr>
        <w:pStyle w:val="8"/>
        <w:spacing w:line="360" w:lineRule="auto"/>
        <w:rPr>
          <w:rFonts w:hAnsi="宋体"/>
          <w:b/>
          <w:sz w:val="24"/>
          <w:szCs w:val="24"/>
        </w:rPr>
      </w:pPr>
    </w:p>
    <w:p>
      <w:pPr>
        <w:pStyle w:val="8"/>
        <w:spacing w:line="360" w:lineRule="auto"/>
        <w:rPr>
          <w:rFonts w:hAnsi="宋体"/>
          <w:b/>
          <w:sz w:val="24"/>
          <w:szCs w:val="24"/>
        </w:rPr>
      </w:pPr>
    </w:p>
    <w:p>
      <w:pPr>
        <w:pStyle w:val="8"/>
        <w:spacing w:line="360" w:lineRule="auto"/>
        <w:rPr>
          <w:rFonts w:hAnsi="宋体"/>
          <w:b/>
          <w:sz w:val="24"/>
          <w:szCs w:val="24"/>
        </w:rPr>
      </w:pPr>
    </w:p>
    <w:p>
      <w:pPr>
        <w:pStyle w:val="8"/>
        <w:spacing w:line="360" w:lineRule="auto"/>
        <w:rPr>
          <w:rFonts w:hAnsi="宋体"/>
          <w:b/>
          <w:sz w:val="24"/>
          <w:szCs w:val="24"/>
        </w:rPr>
      </w:pPr>
    </w:p>
    <w:p>
      <w:pPr>
        <w:pStyle w:val="8"/>
        <w:spacing w:line="360" w:lineRule="auto"/>
        <w:rPr>
          <w:rFonts w:hAnsi="宋体"/>
          <w:b/>
          <w:sz w:val="24"/>
          <w:szCs w:val="24"/>
        </w:rPr>
      </w:pPr>
    </w:p>
    <w:p>
      <w:pPr>
        <w:widowControl/>
        <w:jc w:val="left"/>
        <w:rPr>
          <w:rFonts w:ascii="黑体" w:hAnsi="黑体" w:eastAsia="黑体"/>
          <w:b/>
          <w:color w:val="000000" w:themeColor="text1"/>
          <w:sz w:val="44"/>
          <w:szCs w:val="44"/>
          <w14:textFill>
            <w14:solidFill>
              <w14:schemeClr w14:val="tx1"/>
            </w14:solidFill>
          </w14:textFill>
        </w:rPr>
      </w:pPr>
      <w:r>
        <w:rPr>
          <w:rFonts w:hint="eastAsia" w:hAnsi="宋体"/>
          <w:b/>
          <w:szCs w:val="24"/>
        </w:rPr>
        <w:br w:type="page"/>
      </w:r>
      <w:bookmarkEnd w:id="147"/>
      <w:bookmarkEnd w:id="166"/>
      <w:bookmarkStart w:id="167" w:name="_Toc402782200"/>
    </w:p>
    <w:p>
      <w:pPr>
        <w:widowControl/>
        <w:jc w:val="left"/>
        <w:rPr>
          <w:rFonts w:ascii="黑体" w:hAnsi="黑体" w:eastAsia="黑体"/>
          <w:b/>
          <w:color w:val="000000" w:themeColor="text1"/>
          <w:sz w:val="44"/>
          <w:szCs w:val="44"/>
          <w14:textFill>
            <w14:solidFill>
              <w14:schemeClr w14:val="tx1"/>
            </w14:solidFill>
          </w14:textFill>
        </w:rPr>
        <w:sectPr>
          <w:headerReference r:id="rId17" w:type="default"/>
          <w:pgSz w:w="11907" w:h="16840"/>
          <w:pgMar w:top="1440" w:right="1440" w:bottom="1440" w:left="1440" w:header="720" w:footer="890" w:gutter="0"/>
          <w:cols w:space="720" w:num="1"/>
          <w:titlePg/>
          <w:docGrid w:linePitch="360" w:charSpace="0"/>
        </w:sectPr>
      </w:pPr>
    </w:p>
    <w:p>
      <w:pPr>
        <w:spacing w:line="840" w:lineRule="exact"/>
        <w:jc w:val="center"/>
        <w:outlineLvl w:val="0"/>
        <w:rPr>
          <w:rStyle w:val="23"/>
          <w:color w:val="000000" w:themeColor="text1"/>
          <w:sz w:val="44"/>
          <w:szCs w:val="44"/>
          <w14:textFill>
            <w14:solidFill>
              <w14:schemeClr w14:val="tx1"/>
            </w14:solidFill>
          </w14:textFill>
        </w:rPr>
      </w:pPr>
      <w:bookmarkStart w:id="168" w:name="_Toc12450"/>
      <w:bookmarkStart w:id="169" w:name="_Toc20746"/>
      <w:bookmarkStart w:id="170" w:name="_Toc97605314"/>
      <w:r>
        <w:rPr>
          <w:rStyle w:val="23"/>
          <w:rFonts w:hint="eastAsia"/>
          <w:color w:val="000000" w:themeColor="text1"/>
          <w:sz w:val="44"/>
          <w:szCs w:val="44"/>
          <w14:textFill>
            <w14:solidFill>
              <w14:schemeClr w14:val="tx1"/>
            </w14:solidFill>
          </w14:textFill>
        </w:rPr>
        <w:t>第三章</w:t>
      </w:r>
      <w:bookmarkEnd w:id="168"/>
      <w:bookmarkEnd w:id="169"/>
      <w:r>
        <w:rPr>
          <w:rStyle w:val="23"/>
          <w:rFonts w:hint="eastAsia"/>
          <w:color w:val="000000" w:themeColor="text1"/>
          <w:sz w:val="44"/>
          <w:szCs w:val="44"/>
          <w14:textFill>
            <w14:solidFill>
              <w14:schemeClr w14:val="tx1"/>
            </w14:solidFill>
          </w14:textFill>
        </w:rPr>
        <w:t xml:space="preserve"> 商务标书</w:t>
      </w:r>
      <w:bookmarkEnd w:id="170"/>
    </w:p>
    <w:p>
      <w:pPr>
        <w:spacing w:line="840" w:lineRule="exact"/>
        <w:jc w:val="center"/>
        <w:rPr>
          <w:rFonts w:ascii="宋体" w:hAnsi="宋体"/>
          <w:b/>
          <w:color w:val="000000" w:themeColor="text1"/>
          <w:spacing w:val="36"/>
          <w:sz w:val="44"/>
          <w:szCs w:val="44"/>
          <w14:textFill>
            <w14:solidFill>
              <w14:schemeClr w14:val="tx1"/>
            </w14:solidFill>
          </w14:textFill>
        </w:rPr>
      </w:pPr>
    </w:p>
    <w:p>
      <w:pPr>
        <w:jc w:val="center"/>
        <w:rPr>
          <w:rFonts w:ascii="黑体" w:hAnsi="Courier New" w:eastAsia="黑体"/>
          <w:b/>
          <w:bCs/>
          <w:color w:val="000000" w:themeColor="text1"/>
          <w:spacing w:val="36"/>
          <w:sz w:val="44"/>
          <w:szCs w:val="44"/>
          <w:u w:val="single"/>
          <w14:textFill>
            <w14:solidFill>
              <w14:schemeClr w14:val="tx1"/>
            </w14:solidFill>
          </w14:textFill>
        </w:rPr>
      </w:pPr>
      <w:r>
        <w:rPr>
          <w:rFonts w:hint="eastAsia" w:ascii="黑体" w:hAnsi="Courier New" w:eastAsia="黑体"/>
          <w:b/>
          <w:bCs/>
          <w:color w:val="000000" w:themeColor="text1"/>
          <w:spacing w:val="36"/>
          <w:sz w:val="44"/>
          <w:szCs w:val="44"/>
          <w:u w:val="single"/>
          <w14:textFill>
            <w14:solidFill>
              <w14:schemeClr w14:val="tx1"/>
            </w14:solidFill>
          </w14:textFill>
        </w:rPr>
        <w:t>轨道交通四期综合开发项目（四）土壤环境初步调查</w:t>
      </w:r>
    </w:p>
    <w:p>
      <w:pPr>
        <w:rPr>
          <w:color w:val="000000" w:themeColor="text1"/>
          <w14:textFill>
            <w14:solidFill>
              <w14:schemeClr w14:val="tx1"/>
            </w14:solidFill>
          </w14:textFill>
        </w:rPr>
      </w:pPr>
      <w:r>
        <w:rPr>
          <w:rFonts w:hint="eastAsia"/>
          <w:color w:val="000000" w:themeColor="text1"/>
          <w:sz w:val="52"/>
          <w14:textFill>
            <w14:solidFill>
              <w14:schemeClr w14:val="tx1"/>
            </w14:solidFill>
          </w14:textFill>
        </w:rPr>
        <w:t xml:space="preserve"> </w:t>
      </w:r>
      <w:r>
        <w:rPr>
          <w:rFonts w:hint="eastAsia"/>
          <w:color w:val="000000" w:themeColor="text1"/>
          <w14:textFill>
            <w14:solidFill>
              <w14:schemeClr w14:val="tx1"/>
            </w14:solidFill>
          </w14:textFill>
        </w:rPr>
        <w:t xml:space="preserve">    </w:t>
      </w:r>
    </w:p>
    <w:p>
      <w:pPr>
        <w:rPr>
          <w:bCs/>
          <w:color w:val="000000" w:themeColor="text1"/>
          <w:sz w:val="52"/>
          <w:szCs w:val="52"/>
          <w14:textFill>
            <w14:solidFill>
              <w14:schemeClr w14:val="tx1"/>
            </w14:solidFill>
          </w14:textFill>
        </w:rPr>
      </w:pPr>
    </w:p>
    <w:p>
      <w:pPr>
        <w:jc w:val="center"/>
        <w:rPr>
          <w:rFonts w:ascii="宋体" w:hAnsi="宋体"/>
          <w:bCs/>
          <w:color w:val="000000" w:themeColor="text1"/>
          <w:spacing w:val="36"/>
          <w:kern w:val="10"/>
          <w:sz w:val="84"/>
          <w:szCs w:val="84"/>
          <w14:textFill>
            <w14:solidFill>
              <w14:schemeClr w14:val="tx1"/>
            </w14:solidFill>
          </w14:textFill>
        </w:rPr>
      </w:pPr>
      <w:bookmarkStart w:id="171" w:name="_Toc1909"/>
      <w:r>
        <w:rPr>
          <w:rFonts w:hint="eastAsia" w:ascii="宋体" w:hAnsi="宋体"/>
          <w:bCs/>
          <w:color w:val="000000" w:themeColor="text1"/>
          <w:spacing w:val="36"/>
          <w:kern w:val="10"/>
          <w:sz w:val="84"/>
          <w:szCs w:val="84"/>
          <w14:textFill>
            <w14:solidFill>
              <w14:schemeClr w14:val="tx1"/>
            </w14:solidFill>
          </w14:textFill>
        </w:rPr>
        <w:t>参 选 文 件</w:t>
      </w:r>
      <w:bookmarkEnd w:id="171"/>
    </w:p>
    <w:p>
      <w:pPr>
        <w:rPr>
          <w:color w:val="000000" w:themeColor="text1"/>
          <w:sz w:val="17"/>
          <w:szCs w:val="17"/>
          <w14:textFill>
            <w14:solidFill>
              <w14:schemeClr w14:val="tx1"/>
            </w14:solidFill>
          </w14:textFill>
        </w:rPr>
      </w:pPr>
    </w:p>
    <w:p>
      <w:pPr>
        <w:rPr>
          <w:color w:val="000000" w:themeColor="text1"/>
          <w:sz w:val="23"/>
          <w:szCs w:val="23"/>
          <w14:textFill>
            <w14:solidFill>
              <w14:schemeClr w14:val="tx1"/>
            </w14:solidFill>
          </w14:textFill>
        </w:rPr>
      </w:pPr>
    </w:p>
    <w:p>
      <w:pPr>
        <w:rPr>
          <w:color w:val="000000" w:themeColor="text1"/>
          <w:sz w:val="35"/>
          <w:szCs w:val="35"/>
          <w14:textFill>
            <w14:solidFill>
              <w14:schemeClr w14:val="tx1"/>
            </w14:solidFill>
          </w14:textFill>
        </w:rPr>
      </w:pPr>
    </w:p>
    <w:p>
      <w:pPr>
        <w:rPr>
          <w:color w:val="000000" w:themeColor="text1"/>
          <w14:textFill>
            <w14:solidFill>
              <w14:schemeClr w14:val="tx1"/>
            </w14:solidFill>
          </w14:textFill>
        </w:rPr>
      </w:pPr>
    </w:p>
    <w:p>
      <w:pPr>
        <w:jc w:val="center"/>
        <w:rPr>
          <w:rFonts w:ascii="宋体"/>
          <w:b/>
          <w:color w:val="000000" w:themeColor="text1"/>
          <w:sz w:val="52"/>
          <w14:textFill>
            <w14:solidFill>
              <w14:schemeClr w14:val="tx1"/>
            </w14:solidFill>
          </w14:textFill>
        </w:rPr>
      </w:pPr>
      <w:bookmarkStart w:id="172" w:name="_Toc16605"/>
      <w:bookmarkStart w:id="173" w:name="_Toc276575953"/>
      <w:bookmarkStart w:id="174" w:name="_Toc6501"/>
      <w:bookmarkStart w:id="175" w:name="_Toc518494150"/>
      <w:r>
        <w:rPr>
          <w:rFonts w:hint="eastAsia" w:ascii="宋体"/>
          <w:b/>
          <w:color w:val="000000" w:themeColor="text1"/>
          <w:sz w:val="52"/>
          <w14:textFill>
            <w14:solidFill>
              <w14:schemeClr w14:val="tx1"/>
            </w14:solidFill>
          </w14:textFill>
        </w:rPr>
        <w:t>商务标书</w:t>
      </w:r>
      <w:bookmarkEnd w:id="172"/>
      <w:bookmarkEnd w:id="173"/>
      <w:bookmarkEnd w:id="174"/>
      <w:bookmarkEnd w:id="175"/>
    </w:p>
    <w:p>
      <w:pPr>
        <w:rPr>
          <w:b/>
          <w:color w:val="000000" w:themeColor="text1"/>
          <w:sz w:val="32"/>
          <w:szCs w:val="32"/>
          <w14:textFill>
            <w14:solidFill>
              <w14:schemeClr w14:val="tx1"/>
            </w14:solidFill>
          </w14:textFill>
        </w:rPr>
      </w:pPr>
    </w:p>
    <w:p>
      <w:pPr>
        <w:pStyle w:val="8"/>
        <w:spacing w:before="468" w:beforeLines="150" w:after="468" w:afterLines="150" w:line="720" w:lineRule="exact"/>
        <w:ind w:firstLine="540" w:firstLineChars="192"/>
        <w:rPr>
          <w:rFonts w:hAnsi="宋体"/>
          <w:b/>
          <w:bCs/>
          <w:color w:val="000000" w:themeColor="text1"/>
          <w:sz w:val="28"/>
          <w:szCs w:val="28"/>
          <w:u w:val="single"/>
          <w14:textFill>
            <w14:solidFill>
              <w14:schemeClr w14:val="tx1"/>
            </w14:solidFill>
          </w14:textFill>
        </w:rPr>
      </w:pPr>
      <w:r>
        <w:rPr>
          <w:rFonts w:hint="eastAsia" w:hAnsi="宋体"/>
          <w:b/>
          <w:bCs/>
          <w:color w:val="000000" w:themeColor="text1"/>
          <w:sz w:val="28"/>
          <w:szCs w:val="28"/>
          <w14:textFill>
            <w14:solidFill>
              <w14:schemeClr w14:val="tx1"/>
            </w14:solidFill>
          </w14:textFill>
        </w:rPr>
        <w:t>参选人(盖章)：</w:t>
      </w:r>
      <w:r>
        <w:rPr>
          <w:rFonts w:hint="eastAsia" w:hAnsi="宋体"/>
          <w:b/>
          <w:bCs/>
          <w:color w:val="000000" w:themeColor="text1"/>
          <w:sz w:val="28"/>
          <w:szCs w:val="28"/>
          <w:u w:val="single"/>
          <w14:textFill>
            <w14:solidFill>
              <w14:schemeClr w14:val="tx1"/>
            </w14:solidFill>
          </w14:textFill>
        </w:rPr>
        <w:t xml:space="preserve">          [参选人名称]                 </w:t>
      </w:r>
    </w:p>
    <w:p>
      <w:pPr>
        <w:pStyle w:val="8"/>
        <w:spacing w:before="468" w:beforeLines="150" w:after="468" w:afterLines="150" w:line="720" w:lineRule="exact"/>
        <w:ind w:firstLine="540" w:firstLineChars="192"/>
        <w:rPr>
          <w:rFonts w:hAnsi="宋体"/>
          <w:b/>
          <w:bCs/>
          <w:color w:val="000000" w:themeColor="text1"/>
          <w:sz w:val="28"/>
          <w:szCs w:val="28"/>
          <w:u w:val="single"/>
          <w14:textFill>
            <w14:solidFill>
              <w14:schemeClr w14:val="tx1"/>
            </w14:solidFill>
          </w14:textFill>
        </w:rPr>
      </w:pPr>
      <w:r>
        <w:rPr>
          <w:rFonts w:hint="eastAsia" w:hAnsi="宋体"/>
          <w:b/>
          <w:bCs/>
          <w:color w:val="000000" w:themeColor="text1"/>
          <w:sz w:val="28"/>
          <w:szCs w:val="28"/>
          <w14:textFill>
            <w14:solidFill>
              <w14:schemeClr w14:val="tx1"/>
            </w14:solidFill>
          </w14:textFill>
        </w:rPr>
        <w:t>法定代表人或其委托代理人(签字或盖章)：</w:t>
      </w:r>
    </w:p>
    <w:p>
      <w:pPr>
        <w:jc w:val="center"/>
        <w:rPr>
          <w:rFonts w:ascii="宋体" w:hAnsi="宋体"/>
          <w:b/>
          <w:bCs/>
          <w:color w:val="000000" w:themeColor="text1"/>
          <w:kern w:val="0"/>
          <w:sz w:val="28"/>
          <w:szCs w:val="28"/>
          <w14:textFill>
            <w14:solidFill>
              <w14:schemeClr w14:val="tx1"/>
            </w14:solidFill>
          </w14:textFill>
        </w:rPr>
      </w:pPr>
      <w:bookmarkStart w:id="176" w:name="_Toc31968"/>
      <w:bookmarkStart w:id="177" w:name="_Toc14987"/>
      <w:bookmarkStart w:id="178" w:name="_Toc9746"/>
      <w:r>
        <w:rPr>
          <w:rFonts w:hint="eastAsia" w:ascii="宋体" w:hAnsi="宋体"/>
          <w:b/>
          <w:bCs/>
          <w:color w:val="000000" w:themeColor="text1"/>
          <w:kern w:val="0"/>
          <w:sz w:val="28"/>
          <w:szCs w:val="28"/>
          <w14:textFill>
            <w14:solidFill>
              <w14:schemeClr w14:val="tx1"/>
            </w14:solidFill>
          </w14:textFill>
        </w:rPr>
        <w:t>日   期：    年   月   日</w:t>
      </w:r>
      <w:bookmarkEnd w:id="176"/>
      <w:bookmarkEnd w:id="177"/>
      <w:bookmarkEnd w:id="178"/>
    </w:p>
    <w:p>
      <w:pPr>
        <w:widowControl/>
        <w:jc w:val="left"/>
        <w:rPr>
          <w:rFonts w:ascii="宋体" w:hAnsi="宋体"/>
          <w:b/>
          <w:color w:val="000000" w:themeColor="text1"/>
          <w:kern w:val="0"/>
          <w:sz w:val="32"/>
          <w:szCs w:val="24"/>
          <w14:textFill>
            <w14:solidFill>
              <w14:schemeClr w14:val="tx1"/>
            </w14:solidFill>
          </w14:textFill>
        </w:rPr>
      </w:pPr>
      <w:bookmarkStart w:id="179" w:name="_Toc518494151"/>
      <w:r>
        <w:rPr>
          <w:rFonts w:ascii="宋体" w:hAnsi="宋体"/>
          <w:color w:val="000000" w:themeColor="text1"/>
          <w:szCs w:val="24"/>
          <w14:textFill>
            <w14:solidFill>
              <w14:schemeClr w14:val="tx1"/>
            </w14:solidFill>
          </w14:textFill>
        </w:rPr>
        <w:br w:type="page"/>
      </w:r>
    </w:p>
    <w:p>
      <w:pPr>
        <w:rPr>
          <w:color w:val="000000" w:themeColor="text1"/>
          <w14:textFill>
            <w14:solidFill>
              <w14:schemeClr w14:val="tx1"/>
            </w14:solidFill>
          </w14:textFill>
        </w:rPr>
      </w:pPr>
    </w:p>
    <w:p>
      <w:pPr>
        <w:pStyle w:val="5"/>
        <w:numPr>
          <w:ilvl w:val="2"/>
          <w:numId w:val="0"/>
        </w:numPr>
        <w:jc w:val="center"/>
        <w:rPr>
          <w:rFonts w:ascii="宋体" w:hAnsi="宋体"/>
          <w:color w:val="000000" w:themeColor="text1"/>
          <w:szCs w:val="24"/>
          <w14:textFill>
            <w14:solidFill>
              <w14:schemeClr w14:val="tx1"/>
            </w14:solidFill>
          </w14:textFill>
        </w:rPr>
      </w:pPr>
      <w:bookmarkStart w:id="180" w:name="_Toc19322"/>
      <w:bookmarkStart w:id="181" w:name="_Toc26669"/>
      <w:r>
        <w:rPr>
          <w:rFonts w:hint="eastAsia" w:ascii="宋体" w:hAnsi="宋体"/>
          <w:color w:val="000000" w:themeColor="text1"/>
          <w:szCs w:val="24"/>
          <w14:textFill>
            <w14:solidFill>
              <w14:schemeClr w14:val="tx1"/>
            </w14:solidFill>
          </w14:textFill>
        </w:rPr>
        <w:t>商务标书目录</w:t>
      </w:r>
      <w:bookmarkEnd w:id="179"/>
      <w:bookmarkEnd w:id="180"/>
      <w:bookmarkEnd w:id="181"/>
    </w:p>
    <w:p>
      <w:pPr>
        <w:rPr>
          <w:color w:val="000000" w:themeColor="text1"/>
          <w14:textFill>
            <w14:solidFill>
              <w14:schemeClr w14:val="tx1"/>
            </w14:solidFill>
          </w14:textFill>
        </w:rPr>
      </w:pPr>
    </w:p>
    <w:p>
      <w:pPr>
        <w:rPr>
          <w:bCs/>
          <w:color w:val="000000" w:themeColor="text1"/>
          <w14:textFill>
            <w14:solidFill>
              <w14:schemeClr w14:val="tx1"/>
            </w14:solidFill>
          </w14:textFill>
        </w:rPr>
      </w:pPr>
      <w:bookmarkStart w:id="182" w:name="_Toc26044"/>
      <w:bookmarkStart w:id="183" w:name="_Toc16404"/>
      <w:bookmarkStart w:id="184" w:name="_Toc30902"/>
      <w:r>
        <w:rPr>
          <w:rFonts w:hint="eastAsia"/>
          <w:bCs/>
          <w:color w:val="000000" w:themeColor="text1"/>
          <w14:textFill>
            <w14:solidFill>
              <w14:schemeClr w14:val="tx1"/>
            </w14:solidFill>
          </w14:textFill>
        </w:rPr>
        <w:t>一、参选函</w:t>
      </w:r>
      <w:bookmarkEnd w:id="182"/>
      <w:bookmarkEnd w:id="183"/>
      <w:bookmarkEnd w:id="184"/>
    </w:p>
    <w:p>
      <w:pPr>
        <w:rPr>
          <w:color w:val="000000" w:themeColor="text1"/>
          <w14:textFill>
            <w14:solidFill>
              <w14:schemeClr w14:val="tx1"/>
            </w14:solidFill>
          </w14:textFill>
        </w:rPr>
      </w:pPr>
      <w:bookmarkStart w:id="185" w:name="_Toc32386"/>
      <w:bookmarkStart w:id="186" w:name="_Toc16526"/>
      <w:bookmarkStart w:id="187" w:name="_Toc28981"/>
    </w:p>
    <w:p>
      <w:pP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二、报价清单</w:t>
      </w:r>
      <w:bookmarkEnd w:id="185"/>
      <w:bookmarkEnd w:id="186"/>
      <w:bookmarkEnd w:id="187"/>
    </w:p>
    <w:p>
      <w:pPr>
        <w:rPr>
          <w:rFonts w:ascii="宋体" w:hAnsi="宋体"/>
          <w:bCs/>
          <w:color w:val="000000" w:themeColor="text1"/>
          <w14:textFill>
            <w14:solidFill>
              <w14:schemeClr w14:val="tx1"/>
            </w14:solidFill>
          </w14:textFill>
        </w:rPr>
      </w:pPr>
    </w:p>
    <w:p>
      <w:pPr>
        <w:rPr>
          <w:rFonts w:ascii="宋体" w:hAnsi="宋体"/>
          <w:bCs/>
          <w:color w:val="000000" w:themeColor="text1"/>
          <w14:textFill>
            <w14:solidFill>
              <w14:schemeClr w14:val="tx1"/>
            </w14:solidFill>
          </w14:textFill>
        </w:rPr>
      </w:pPr>
    </w:p>
    <w:p>
      <w:pPr>
        <w:pStyle w:val="5"/>
        <w:numPr>
          <w:ilvl w:val="2"/>
          <w:numId w:val="0"/>
        </w:numPr>
        <w:spacing w:before="0" w:after="0"/>
        <w:rPr>
          <w:rFonts w:ascii="宋体" w:hAnsi="宋体"/>
          <w:color w:val="000000" w:themeColor="text1"/>
          <w:sz w:val="24"/>
          <w14:textFill>
            <w14:solidFill>
              <w14:schemeClr w14:val="tx1"/>
            </w14:solidFill>
          </w14:textFill>
        </w:rPr>
      </w:pPr>
      <w:bookmarkStart w:id="188" w:name="_Toc276575955"/>
      <w:bookmarkStart w:id="189" w:name="_Toc518494154"/>
      <w:r>
        <w:rPr>
          <w:rFonts w:ascii="宋体" w:hAnsi="宋体"/>
          <w:color w:val="000000" w:themeColor="text1"/>
          <w:sz w:val="24"/>
          <w14:textFill>
            <w14:solidFill>
              <w14:schemeClr w14:val="tx1"/>
            </w14:solidFill>
          </w14:textFill>
        </w:rPr>
        <w:br w:type="page"/>
      </w:r>
      <w:bookmarkStart w:id="190" w:name="_Toc31700"/>
      <w:bookmarkStart w:id="191" w:name="_Toc15036"/>
      <w:r>
        <w:rPr>
          <w:rFonts w:hint="eastAsia" w:ascii="宋体" w:hAnsi="宋体"/>
          <w:color w:val="000000" w:themeColor="text1"/>
          <w:sz w:val="24"/>
          <w14:textFill>
            <w14:solidFill>
              <w14:schemeClr w14:val="tx1"/>
            </w14:solidFill>
          </w14:textFill>
        </w:rPr>
        <w:t>一、参选函格式</w:t>
      </w:r>
      <w:bookmarkEnd w:id="188"/>
      <w:bookmarkEnd w:id="189"/>
      <w:bookmarkEnd w:id="190"/>
      <w:bookmarkEnd w:id="191"/>
    </w:p>
    <w:p>
      <w:pPr>
        <w:rPr>
          <w:color w:val="000000" w:themeColor="text1"/>
          <w14:textFill>
            <w14:solidFill>
              <w14:schemeClr w14:val="tx1"/>
            </w14:solidFill>
          </w14:textFill>
        </w:rPr>
      </w:pPr>
    </w:p>
    <w:p>
      <w:pPr>
        <w:pStyle w:val="8"/>
        <w:spacing w:before="156" w:beforeLines="50" w:after="156" w:afterLines="50" w:line="240" w:lineRule="auto"/>
        <w:jc w:val="center"/>
        <w:rPr>
          <w:rFonts w:hAnsi="宋体"/>
          <w:b/>
          <w:color w:val="000000" w:themeColor="text1"/>
          <w:sz w:val="36"/>
          <w:szCs w:val="36"/>
          <w14:textFill>
            <w14:solidFill>
              <w14:schemeClr w14:val="tx1"/>
            </w14:solidFill>
          </w14:textFill>
        </w:rPr>
      </w:pPr>
      <w:r>
        <w:rPr>
          <w:rFonts w:hAnsi="宋体"/>
          <w:b/>
          <w:color w:val="000000" w:themeColor="text1"/>
          <w:sz w:val="36"/>
          <w:szCs w:val="36"/>
          <w14:textFill>
            <w14:solidFill>
              <w14:schemeClr w14:val="tx1"/>
            </w14:solidFill>
          </w14:textFill>
        </w:rPr>
        <w:t>参选函</w:t>
      </w:r>
    </w:p>
    <w:p>
      <w:pPr>
        <w:pStyle w:val="8"/>
        <w:spacing w:line="460" w:lineRule="exact"/>
        <w:rPr>
          <w:rFonts w:hAnsi="宋体"/>
          <w:b/>
          <w:bCs/>
          <w:color w:val="000000" w:themeColor="text1"/>
          <w:sz w:val="24"/>
          <w:szCs w:val="24"/>
          <w14:textFill>
            <w14:solidFill>
              <w14:schemeClr w14:val="tx1"/>
            </w14:solidFill>
          </w14:textFill>
        </w:rPr>
      </w:pPr>
      <w:r>
        <w:rPr>
          <w:rFonts w:hAnsi="宋体"/>
          <w:b/>
          <w:bCs/>
          <w:color w:val="000000" w:themeColor="text1"/>
          <w:sz w:val="24"/>
          <w:szCs w:val="24"/>
          <w14:textFill>
            <w14:solidFill>
              <w14:schemeClr w14:val="tx1"/>
            </w14:solidFill>
          </w14:textFill>
        </w:rPr>
        <w:t>致：</w:t>
      </w:r>
      <w:r>
        <w:rPr>
          <w:rFonts w:hint="eastAsia" w:hAnsi="宋体"/>
          <w:b/>
          <w:bCs/>
          <w:color w:val="000000" w:themeColor="text1"/>
          <w:sz w:val="24"/>
          <w:szCs w:val="24"/>
          <w14:textFill>
            <w14:solidFill>
              <w14:schemeClr w14:val="tx1"/>
            </w14:solidFill>
          </w14:textFill>
        </w:rPr>
        <w:t>深圳市地铁集团有限公司</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1.经分析研究了贵司提供的比选文件，经研究后，我方愿以总报价</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元（含税）（大写:</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元）作为</w:t>
      </w:r>
      <w:r>
        <w:rPr>
          <w:rFonts w:hint="eastAsia" w:ascii="宋体" w:hAnsi="宋体"/>
          <w:color w:val="000000" w:themeColor="text1"/>
          <w:u w:val="single"/>
          <w14:textFill>
            <w14:solidFill>
              <w14:schemeClr w14:val="tx1"/>
            </w14:solidFill>
          </w14:textFill>
        </w:rPr>
        <w:t>轨道交通四期综合开发项目（四）土壤环境初步调查</w:t>
      </w:r>
      <w:r>
        <w:rPr>
          <w:rFonts w:hint="eastAsia" w:ascii="宋体" w:hAnsi="宋体"/>
          <w:color w:val="000000" w:themeColor="text1"/>
          <w14:textFill>
            <w14:solidFill>
              <w14:schemeClr w14:val="tx1"/>
            </w14:solidFill>
          </w14:textFill>
        </w:rPr>
        <w:t>的总报价；并按合同条件、比选文件、参选文件以及国家和地方有关规定的要求，承担并完成本项目的任务。</w:t>
      </w:r>
    </w:p>
    <w:p>
      <w:pPr>
        <w:spacing w:line="460" w:lineRule="exact"/>
        <w:ind w:firstLine="480" w:firstLineChars="200"/>
        <w:rPr>
          <w:rFonts w:ascii="宋体" w:hAnsi="宋体" w:cs="宋体"/>
          <w:color w:val="000000" w:themeColor="text1"/>
          <w:szCs w:val="24"/>
          <w14:textFill>
            <w14:solidFill>
              <w14:schemeClr w14:val="tx1"/>
            </w14:solidFill>
          </w14:textFill>
        </w:rPr>
      </w:pPr>
      <w:r>
        <w:rPr>
          <w:rFonts w:hint="eastAsia" w:ascii="宋体" w:hAnsi="宋体"/>
          <w:color w:val="000000" w:themeColor="text1"/>
          <w14:textFill>
            <w14:solidFill>
              <w14:schemeClr w14:val="tx1"/>
            </w14:solidFill>
          </w14:textFill>
        </w:rPr>
        <w:t>2.</w:t>
      </w:r>
      <w:r>
        <w:rPr>
          <w:rFonts w:hint="eastAsia" w:hAnsi="宋体"/>
          <w:color w:val="000000" w:themeColor="text1"/>
          <w:szCs w:val="32"/>
          <w14:textFill>
            <w14:solidFill>
              <w14:schemeClr w14:val="tx1"/>
            </w14:solidFill>
          </w14:textFill>
        </w:rPr>
        <w:t>我方郑重承诺，我公司完全符合比选公告中的所有报名条件，请给予参加参选；我方</w:t>
      </w:r>
      <w:r>
        <w:rPr>
          <w:rFonts w:hint="eastAsia"/>
          <w:color w:val="000000" w:themeColor="text1"/>
          <w:szCs w:val="32"/>
          <w14:textFill>
            <w14:solidFill>
              <w14:schemeClr w14:val="tx1"/>
            </w14:solidFill>
          </w14:textFill>
        </w:rPr>
        <w:t>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3.</w:t>
      </w:r>
      <w:r>
        <w:rPr>
          <w:rFonts w:ascii="宋体" w:hAnsi="宋体"/>
          <w:color w:val="000000" w:themeColor="text1"/>
          <w14:textFill>
            <w14:solidFill>
              <w14:schemeClr w14:val="tx1"/>
            </w14:solidFill>
          </w14:textFill>
        </w:rPr>
        <w:t>我方对贵司</w:t>
      </w:r>
      <w:r>
        <w:rPr>
          <w:rFonts w:hint="eastAsia" w:ascii="宋体" w:hAnsi="宋体"/>
          <w:color w:val="000000" w:themeColor="text1"/>
          <w14:textFill>
            <w14:solidFill>
              <w14:schemeClr w14:val="tx1"/>
            </w14:solidFill>
          </w14:textFill>
        </w:rPr>
        <w:t>比</w:t>
      </w:r>
      <w:r>
        <w:rPr>
          <w:rFonts w:ascii="宋体" w:hAnsi="宋体"/>
          <w:color w:val="000000" w:themeColor="text1"/>
          <w14:textFill>
            <w14:solidFill>
              <w14:schemeClr w14:val="tx1"/>
            </w14:solidFill>
          </w14:textFill>
        </w:rPr>
        <w:t>选文件中的合同条件无保留、无条件同意，特此声明及承诺。</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4.</w:t>
      </w:r>
      <w:r>
        <w:rPr>
          <w:rFonts w:ascii="宋体" w:hAnsi="宋体"/>
          <w:color w:val="000000" w:themeColor="text1"/>
          <w14:textFill>
            <w14:solidFill>
              <w14:schemeClr w14:val="tx1"/>
            </w14:solidFill>
          </w14:textFill>
        </w:rPr>
        <w:t>如果贵公司接受我方的参选，我方保证按合同规定的期限完成</w:t>
      </w:r>
      <w:r>
        <w:rPr>
          <w:rFonts w:hint="eastAsia" w:ascii="宋体" w:hAnsi="宋体"/>
          <w:color w:val="000000" w:themeColor="text1"/>
          <w:u w:val="single"/>
          <w14:textFill>
            <w14:solidFill>
              <w14:schemeClr w14:val="tx1"/>
            </w14:solidFill>
          </w14:textFill>
        </w:rPr>
        <w:t>轨道交通四期综合开发项目（四）土壤环境初步调查</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工作。</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5.</w:t>
      </w:r>
      <w:r>
        <w:rPr>
          <w:rFonts w:ascii="宋体" w:hAnsi="宋体"/>
          <w:color w:val="000000" w:themeColor="text1"/>
          <w14:textFill>
            <w14:solidFill>
              <w14:schemeClr w14:val="tx1"/>
            </w14:solidFill>
          </w14:textFill>
        </w:rPr>
        <w:t>我方同意在规定的递交参选书截止之日起</w:t>
      </w:r>
      <w:r>
        <w:rPr>
          <w:rFonts w:hint="eastAsia" w:ascii="宋体" w:hAnsi="宋体"/>
          <w:color w:val="000000" w:themeColor="text1"/>
          <w14:textFill>
            <w14:solidFill>
              <w14:schemeClr w14:val="tx1"/>
            </w14:solidFill>
          </w14:textFill>
        </w:rPr>
        <w:t>180</w:t>
      </w:r>
      <w:r>
        <w:rPr>
          <w:rFonts w:ascii="宋体" w:hAnsi="宋体"/>
          <w:color w:val="000000" w:themeColor="text1"/>
          <w14:textFill>
            <w14:solidFill>
              <w14:schemeClr w14:val="tx1"/>
            </w14:solidFill>
          </w14:textFill>
        </w:rPr>
        <w:t>天内遵守本参选。在该期限期满之前，本报价对我方始终有约束力，并可随时被接受。</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6.</w:t>
      </w:r>
      <w:r>
        <w:rPr>
          <w:rFonts w:hint="eastAsia" w:ascii="宋体" w:hAnsi="宋体" w:cs="宋体"/>
          <w:color w:val="000000" w:themeColor="text1"/>
          <w:szCs w:val="24"/>
          <w14:textFill>
            <w14:solidFill>
              <w14:schemeClr w14:val="tx1"/>
            </w14:solidFill>
          </w14:textFill>
        </w:rPr>
        <w:t>如果我方中选，我方保证在接到比选人通知中规定的日期内开始</w:t>
      </w:r>
      <w:r>
        <w:rPr>
          <w:rFonts w:hint="eastAsia" w:ascii="宋体" w:hAnsi="宋体"/>
          <w:color w:val="000000" w:themeColor="text1"/>
          <w:u w:val="single"/>
          <w14:textFill>
            <w14:solidFill>
              <w14:schemeClr w14:val="tx1"/>
            </w14:solidFill>
          </w14:textFill>
        </w:rPr>
        <w:t>轨道交通四期综合开发项目（四）土壤环境初步调查</w:t>
      </w:r>
      <w:r>
        <w:rPr>
          <w:rFonts w:hint="eastAsia" w:ascii="宋体" w:hAnsi="宋体"/>
          <w:color w:val="000000" w:themeColor="text1"/>
          <w14:textFill>
            <w14:solidFill>
              <w14:schemeClr w14:val="tx1"/>
            </w14:solidFill>
          </w14:textFill>
        </w:rPr>
        <w:t>工作，</w:t>
      </w:r>
      <w:r>
        <w:rPr>
          <w:rFonts w:hint="eastAsia" w:ascii="宋体" w:hAnsi="宋体" w:cs="宋体"/>
          <w:color w:val="000000" w:themeColor="text1"/>
          <w:szCs w:val="24"/>
          <w14:textFill>
            <w14:solidFill>
              <w14:schemeClr w14:val="tx1"/>
            </w14:solidFill>
          </w14:textFill>
        </w:rPr>
        <w:t>并在规定的期限内提供相应的服务</w:t>
      </w:r>
      <w:r>
        <w:rPr>
          <w:rFonts w:ascii="宋体" w:hAnsi="宋体"/>
          <w:color w:val="000000" w:themeColor="text1"/>
          <w14:textFill>
            <w14:solidFill>
              <w14:schemeClr w14:val="tx1"/>
            </w14:solidFill>
          </w14:textFill>
        </w:rPr>
        <w:t>。</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7.</w:t>
      </w:r>
      <w:r>
        <w:rPr>
          <w:rFonts w:ascii="宋体" w:hAnsi="宋体"/>
          <w:color w:val="000000" w:themeColor="text1"/>
          <w14:textFill>
            <w14:solidFill>
              <w14:schemeClr w14:val="tx1"/>
            </w14:solidFill>
          </w14:textFill>
        </w:rPr>
        <w:t>我方承诺：参选人所委派的项目组主要人员在中</w:t>
      </w:r>
      <w:r>
        <w:rPr>
          <w:rFonts w:hint="eastAsia" w:ascii="宋体" w:hAnsi="宋体"/>
          <w:color w:val="000000" w:themeColor="text1"/>
          <w14:textFill>
            <w14:solidFill>
              <w14:schemeClr w14:val="tx1"/>
            </w14:solidFill>
          </w14:textFill>
        </w:rPr>
        <w:t>选</w:t>
      </w:r>
      <w:r>
        <w:rPr>
          <w:rFonts w:ascii="宋体" w:hAnsi="宋体"/>
          <w:color w:val="000000" w:themeColor="text1"/>
          <w14:textFill>
            <w14:solidFill>
              <w14:schemeClr w14:val="tx1"/>
            </w14:solidFill>
          </w14:textFill>
        </w:rPr>
        <w:t>后不得任意更改，如确需变更，需经比选人认可同意，如未经比选人同意，我方自行变更参选文件中委派的主要人</w:t>
      </w:r>
      <w:r>
        <w:rPr>
          <w:rFonts w:hint="eastAsia" w:ascii="宋体" w:hAnsi="宋体"/>
          <w:color w:val="000000" w:themeColor="text1"/>
          <w14:textFill>
            <w14:solidFill>
              <w14:schemeClr w14:val="tx1"/>
            </w14:solidFill>
          </w14:textFill>
        </w:rPr>
        <w:t>员（项目经理、项目组主要人员），自愿接受相应处罚。</w:t>
      </w:r>
    </w:p>
    <w:p>
      <w:pPr>
        <w:spacing w:line="460" w:lineRule="exact"/>
        <w:ind w:firstLine="480" w:firstLineChars="200"/>
        <w:rPr>
          <w:rFonts w:ascii="宋体" w:hAnsi="宋体" w:cs="宋体"/>
          <w:color w:val="000000" w:themeColor="text1"/>
          <w:szCs w:val="24"/>
          <w14:textFill>
            <w14:solidFill>
              <w14:schemeClr w14:val="tx1"/>
            </w14:solidFill>
          </w14:textFill>
        </w:rPr>
      </w:pPr>
      <w:r>
        <w:rPr>
          <w:rFonts w:hint="eastAsia" w:ascii="宋体" w:hAnsi="宋体"/>
          <w:color w:val="000000" w:themeColor="text1"/>
          <w14:textFill>
            <w14:solidFill>
              <w14:schemeClr w14:val="tx1"/>
            </w14:solidFill>
          </w14:textFill>
        </w:rPr>
        <w:t>8.我方承诺：参选人</w:t>
      </w:r>
      <w:r>
        <w:rPr>
          <w:rFonts w:hint="eastAsia" w:ascii="宋体" w:hAnsi="宋体" w:cs="宋体"/>
          <w:color w:val="000000" w:themeColor="text1"/>
          <w:szCs w:val="24"/>
          <w14:textFill>
            <w14:solidFill>
              <w14:schemeClr w14:val="tx1"/>
            </w14:solidFill>
          </w14:textFill>
        </w:rPr>
        <w:t>参与政府采购活动近三年内（参选人成立不足三年的可从成立之日起算），在经营活动中无重大违法记录、无行贿犯罪记录、无串通投标、弄虚作假不良行为记录被暂停投标资格期间的情况。</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9.</w:t>
      </w:r>
      <w:r>
        <w:rPr>
          <w:rFonts w:ascii="宋体" w:hAnsi="宋体"/>
          <w:color w:val="000000" w:themeColor="text1"/>
          <w14:textFill>
            <w14:solidFill>
              <w14:schemeClr w14:val="tx1"/>
            </w14:solidFill>
          </w14:textFill>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460" w:lineRule="exact"/>
        <w:ind w:firstLine="464" w:firstLineChars="200"/>
        <w:rPr>
          <w:rFonts w:ascii="宋体" w:hAnsi="宋体"/>
          <w:color w:val="000000" w:themeColor="text1"/>
          <w14:textFill>
            <w14:solidFill>
              <w14:schemeClr w14:val="tx1"/>
            </w14:solidFill>
          </w14:textFill>
        </w:rPr>
      </w:pPr>
      <w:r>
        <w:rPr>
          <w:rFonts w:hint="eastAsia" w:ascii="宋体" w:hAnsi="宋体" w:cs="宋体"/>
          <w:color w:val="000000" w:themeColor="text1"/>
          <w:spacing w:val="-4"/>
          <w:kern w:val="0"/>
          <w:szCs w:val="24"/>
          <w14:textFill>
            <w14:solidFill>
              <w14:schemeClr w14:val="tx1"/>
            </w14:solidFill>
          </w14:textFill>
        </w:rPr>
        <w:t>10.我方</w:t>
      </w:r>
      <w:r>
        <w:rPr>
          <w:rFonts w:hint="eastAsia" w:ascii="宋体" w:hAnsi="宋体" w:cs="宋体"/>
          <w:color w:val="000000" w:themeColor="text1"/>
          <w:szCs w:val="24"/>
          <w14:textFill>
            <w14:solidFill>
              <w14:schemeClr w14:val="tx1"/>
            </w14:solidFill>
          </w14:textFill>
        </w:rPr>
        <w:t>同意：比选人可以在参选有效期截止前，要求延长参选有效期并取得参选人或</w:t>
      </w:r>
      <w:r>
        <w:rPr>
          <w:rFonts w:hint="eastAsia" w:ascii="宋体" w:hAnsi="宋体"/>
          <w:color w:val="000000" w:themeColor="text1"/>
          <w14:textFill>
            <w14:solidFill>
              <w14:schemeClr w14:val="tx1"/>
            </w14:solidFill>
          </w14:textFill>
        </w:rPr>
        <w:t>中标候选人同意。</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11.我方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也无须将这样做的理由通知受影响的参选人。</w:t>
      </w:r>
    </w:p>
    <w:p>
      <w:pPr>
        <w:spacing w:line="460" w:lineRule="exact"/>
        <w:ind w:firstLine="480" w:firstLineChars="200"/>
        <w:rPr>
          <w:rFonts w:ascii="宋体" w:hAnsi="宋体"/>
          <w:color w:val="000000" w:themeColor="text1"/>
          <w14:textFill>
            <w14:solidFill>
              <w14:schemeClr w14:val="tx1"/>
            </w14:solidFill>
          </w14:textFill>
        </w:rPr>
      </w:pPr>
    </w:p>
    <w:p>
      <w:pPr>
        <w:spacing w:line="460" w:lineRule="exact"/>
        <w:ind w:firstLine="480" w:firstLineChars="200"/>
        <w:rPr>
          <w:rFonts w:ascii="宋体" w:hAnsi="宋体"/>
          <w:color w:val="000000" w:themeColor="text1"/>
          <w14:textFill>
            <w14:solidFill>
              <w14:schemeClr w14:val="tx1"/>
            </w14:solidFill>
          </w14:textFill>
        </w:rPr>
      </w:pP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参选人：（盖章）         [参选人名称]</w:t>
      </w:r>
      <w:r>
        <w:rPr>
          <w:rFonts w:ascii="宋体" w:hAnsi="宋体"/>
          <w:color w:val="000000" w:themeColor="text1"/>
          <w:u w:val="single"/>
          <w14:textFill>
            <w14:solidFill>
              <w14:schemeClr w14:val="tx1"/>
            </w14:solidFill>
          </w14:textFill>
        </w:rPr>
        <w:t xml:space="preserve">                                     </w:t>
      </w:r>
    </w:p>
    <w:p>
      <w:pPr>
        <w:spacing w:line="460" w:lineRule="exact"/>
        <w:ind w:firstLine="480" w:firstLineChars="200"/>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法</w:t>
      </w:r>
      <w:r>
        <w:rPr>
          <w:rFonts w:hint="eastAsia" w:ascii="宋体" w:hAnsi="宋体"/>
          <w:color w:val="000000" w:themeColor="text1"/>
          <w14:textFill>
            <w14:solidFill>
              <w14:schemeClr w14:val="tx1"/>
            </w14:solidFill>
          </w14:textFill>
        </w:rPr>
        <w:t>定</w:t>
      </w:r>
      <w:r>
        <w:rPr>
          <w:rFonts w:ascii="宋体" w:hAnsi="宋体"/>
          <w:color w:val="000000" w:themeColor="text1"/>
          <w14:textFill>
            <w14:solidFill>
              <w14:schemeClr w14:val="tx1"/>
            </w14:solidFill>
          </w14:textFill>
        </w:rPr>
        <w:t>代表</w:t>
      </w:r>
      <w:r>
        <w:rPr>
          <w:rFonts w:hint="eastAsia" w:ascii="宋体" w:hAnsi="宋体"/>
          <w:color w:val="000000" w:themeColor="text1"/>
          <w14:textFill>
            <w14:solidFill>
              <w14:schemeClr w14:val="tx1"/>
            </w14:solidFill>
          </w14:textFill>
        </w:rPr>
        <w:t>人</w:t>
      </w:r>
      <w:r>
        <w:rPr>
          <w:rFonts w:ascii="宋体" w:hAnsi="宋体"/>
          <w:color w:val="000000" w:themeColor="text1"/>
          <w14:textFill>
            <w14:solidFill>
              <w14:schemeClr w14:val="tx1"/>
            </w14:solidFill>
          </w14:textFill>
        </w:rPr>
        <w:t>或授权代理人</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签字或盖章）：</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联系人：</w:t>
      </w:r>
    </w:p>
    <w:p>
      <w:pPr>
        <w:pStyle w:val="2"/>
        <w:spacing w:line="460" w:lineRule="exact"/>
        <w:ind w:firstLine="480" w:firstLineChars="200"/>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电话：</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传真：</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日期：</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年</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月</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日</w:t>
      </w:r>
    </w:p>
    <w:p>
      <w:pPr>
        <w:pStyle w:val="8"/>
        <w:spacing w:before="156" w:beforeLines="50" w:after="156" w:afterLines="50" w:line="240" w:lineRule="auto"/>
        <w:jc w:val="center"/>
        <w:rPr>
          <w:rFonts w:hAnsi="宋体"/>
          <w:b/>
          <w:color w:val="000000" w:themeColor="text1"/>
          <w:sz w:val="36"/>
          <w:szCs w:val="36"/>
          <w14:textFill>
            <w14:solidFill>
              <w14:schemeClr w14:val="tx1"/>
            </w14:solidFill>
          </w14:textFill>
        </w:rPr>
      </w:pPr>
    </w:p>
    <w:p>
      <w:pPr>
        <w:pStyle w:val="5"/>
        <w:numPr>
          <w:ilvl w:val="2"/>
          <w:numId w:val="0"/>
        </w:numPr>
        <w:spacing w:before="0" w:after="0"/>
        <w:ind w:left="418" w:leftChars="-1"/>
        <w:rPr>
          <w:rFonts w:ascii="宋体" w:hAnsi="宋体"/>
          <w:bCs/>
          <w:color w:val="000000" w:themeColor="text1"/>
          <w:sz w:val="24"/>
          <w14:textFill>
            <w14:solidFill>
              <w14:schemeClr w14:val="tx1"/>
            </w14:solidFill>
          </w14:textFill>
        </w:rPr>
      </w:pPr>
      <w:bookmarkStart w:id="192" w:name="_Toc518494155"/>
      <w:bookmarkStart w:id="193" w:name="_Toc27199"/>
      <w:bookmarkStart w:id="194" w:name="_Toc276575956"/>
      <w:bookmarkStart w:id="195" w:name="_Toc30955"/>
      <w:r>
        <w:rPr>
          <w:rFonts w:hint="eastAsia" w:ascii="宋体" w:hAnsi="宋体"/>
          <w:color w:val="000000" w:themeColor="text1"/>
          <w:sz w:val="24"/>
          <w14:textFill>
            <w14:solidFill>
              <w14:schemeClr w14:val="tx1"/>
            </w14:solidFill>
          </w14:textFill>
        </w:rPr>
        <w:br w:type="page"/>
      </w:r>
      <w:r>
        <w:rPr>
          <w:rFonts w:hint="eastAsia" w:ascii="宋体" w:hAnsi="宋体"/>
          <w:color w:val="000000" w:themeColor="text1"/>
          <w:sz w:val="24"/>
          <w14:textFill>
            <w14:solidFill>
              <w14:schemeClr w14:val="tx1"/>
            </w14:solidFill>
          </w14:textFill>
        </w:rPr>
        <w:t>二</w:t>
      </w:r>
      <w:r>
        <w:rPr>
          <w:rFonts w:hint="eastAsia" w:ascii="宋体" w:hAnsi="宋体"/>
          <w:bCs/>
          <w:color w:val="000000" w:themeColor="text1"/>
          <w:sz w:val="24"/>
          <w14:textFill>
            <w14:solidFill>
              <w14:schemeClr w14:val="tx1"/>
            </w14:solidFill>
          </w14:textFill>
        </w:rPr>
        <w:t>、报价清单格式</w:t>
      </w:r>
      <w:bookmarkEnd w:id="192"/>
      <w:bookmarkEnd w:id="193"/>
      <w:bookmarkEnd w:id="194"/>
      <w:bookmarkEnd w:id="195"/>
    </w:p>
    <w:p>
      <w:pPr>
        <w:pStyle w:val="2"/>
        <w:spacing w:line="520" w:lineRule="exact"/>
        <w:ind w:firstLine="0"/>
        <w:jc w:val="lef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说明：此件是参选书的组成部分，由参选人填写后放入商务标中。如此文件中任何内容不响应比选文件要求，参选文件将被作无效标处理。}</w:t>
      </w:r>
    </w:p>
    <w:p>
      <w:pPr>
        <w:jc w:val="center"/>
        <w:rPr>
          <w:color w:val="000000" w:themeColor="text1"/>
          <w14:textFill>
            <w14:solidFill>
              <w14:schemeClr w14:val="tx1"/>
            </w14:solidFill>
          </w14:textFill>
        </w:rPr>
      </w:pPr>
      <w:bookmarkStart w:id="196" w:name="_Toc1956"/>
      <w:bookmarkStart w:id="197" w:name="_Toc23381"/>
      <w:bookmarkStart w:id="198" w:name="_Toc32497"/>
      <w:r>
        <w:rPr>
          <w:rFonts w:hint="eastAsia"/>
          <w:color w:val="000000" w:themeColor="text1"/>
          <w:kern w:val="0"/>
          <w:sz w:val="44"/>
          <w:szCs w:val="44"/>
          <w14:textFill>
            <w14:solidFill>
              <w14:schemeClr w14:val="tx1"/>
            </w14:solidFill>
          </w14:textFill>
        </w:rPr>
        <w:t>报价清单</w:t>
      </w:r>
      <w:bookmarkEnd w:id="196"/>
      <w:bookmarkEnd w:id="197"/>
      <w:bookmarkEnd w:id="198"/>
    </w:p>
    <w:p>
      <w:pPr>
        <w:tabs>
          <w:tab w:val="left" w:pos="8364"/>
        </w:tabs>
        <w:snapToGrid w:val="0"/>
        <w:spacing w:line="360" w:lineRule="auto"/>
        <w:ind w:right="32"/>
        <w:jc w:val="right"/>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 xml:space="preserve">  货币单位：</w:t>
      </w:r>
      <w:r>
        <w:rPr>
          <w:rFonts w:hint="eastAsia" w:ascii="宋体" w:hAnsi="宋体"/>
          <w:color w:val="000000" w:themeColor="text1"/>
          <w:u w:val="single"/>
          <w14:textFill>
            <w14:solidFill>
              <w14:schemeClr w14:val="tx1"/>
            </w14:solidFill>
          </w14:textFill>
        </w:rPr>
        <w:t>人民币（元）</w:t>
      </w:r>
    </w:p>
    <w:tbl>
      <w:tblPr>
        <w:tblStyle w:val="14"/>
        <w:tblW w:w="8273" w:type="dxa"/>
        <w:tblInd w:w="17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3827"/>
        <w:gridCol w:w="444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tblHeader/>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58"/>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项目内容</w:t>
            </w:r>
          </w:p>
        </w:tc>
        <w:tc>
          <w:tcPr>
            <w:tcW w:w="4446" w:type="dxa"/>
            <w:tcBorders>
              <w:top w:val="single" w:color="auto" w:sz="4" w:space="0"/>
              <w:left w:val="single" w:color="auto" w:sz="4" w:space="0"/>
              <w:right w:val="single" w:color="auto" w:sz="4" w:space="0"/>
            </w:tcBorders>
            <w:vAlign w:val="center"/>
          </w:tcPr>
          <w:p>
            <w:pPr>
              <w:tabs>
                <w:tab w:val="left" w:pos="8364"/>
              </w:tabs>
              <w:snapToGrid w:val="0"/>
              <w:ind w:right="-58"/>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轨道交通四期综合开发项目（四）土壤环境初步调查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381"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资料收集、现场踏勘费</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563"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土壤样品采集及分析测试费</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543"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地下水样品采集与分析测试费</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1062"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报告编制费</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411"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专家咨询费</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411"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税费</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411"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合计</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大写：</w:t>
            </w:r>
            <w:r>
              <w:rPr>
                <w:rFonts w:ascii="宋体" w:hAnsi="宋体" w:cs="宋体"/>
                <w:color w:val="000000" w:themeColor="text1"/>
                <w:kern w:val="0"/>
                <w:szCs w:val="24"/>
                <w14:textFill>
                  <w14:solidFill>
                    <w14:schemeClr w14:val="tx1"/>
                  </w14:solidFill>
                </w14:textFill>
              </w:rPr>
              <w:t>人民币</w:t>
            </w:r>
            <w:r>
              <w:rPr>
                <w:rFonts w:ascii="宋体" w:hAnsi="宋体" w:cs="宋体"/>
                <w:color w:val="000000" w:themeColor="text1"/>
                <w:kern w:val="0"/>
                <w:szCs w:val="24"/>
                <w:u w:val="single"/>
                <w14:textFill>
                  <w14:solidFill>
                    <w14:schemeClr w14:val="tx1"/>
                  </w14:solidFill>
                </w14:textFill>
              </w:rPr>
              <w:t xml:space="preserve">           </w:t>
            </w:r>
            <w:r>
              <w:rPr>
                <w:rFonts w:ascii="宋体" w:hAnsi="宋体" w:cs="宋体"/>
                <w:color w:val="000000" w:themeColor="text1"/>
                <w:kern w:val="0"/>
                <w:szCs w:val="24"/>
                <w14:textFill>
                  <w14:solidFill>
                    <w14:schemeClr w14:val="tx1"/>
                  </w14:solidFill>
                </w14:textFill>
              </w:rPr>
              <w:t>元</w:t>
            </w:r>
          </w:p>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小写：RMB</w:t>
            </w:r>
            <w:r>
              <w:rPr>
                <w:rFonts w:ascii="宋体" w:hAnsi="宋体" w:cs="宋体"/>
                <w:color w:val="000000" w:themeColor="text1"/>
                <w:kern w:val="0"/>
                <w:szCs w:val="24"/>
                <w:u w:val="single"/>
                <w14:textFill>
                  <w14:solidFill>
                    <w14:schemeClr w14:val="tx1"/>
                  </w14:solidFill>
                </w14:textFill>
              </w:rPr>
              <w:t xml:space="preserve">   </w:t>
            </w:r>
            <w:r>
              <w:rPr>
                <w:rFonts w:hint="eastAsia" w:ascii="宋体" w:hAnsi="宋体" w:cs="宋体"/>
                <w:color w:val="000000" w:themeColor="text1"/>
                <w:kern w:val="0"/>
                <w:szCs w:val="24"/>
                <w:u w:val="single"/>
                <w14:textFill>
                  <w14:solidFill>
                    <w14:schemeClr w14:val="tx1"/>
                  </w14:solidFill>
                </w14:textFill>
              </w:rPr>
              <w:t xml:space="preserve"> </w:t>
            </w:r>
            <w:r>
              <w:rPr>
                <w:rFonts w:ascii="宋体" w:hAnsi="宋体" w:cs="宋体"/>
                <w:color w:val="000000" w:themeColor="text1"/>
                <w:kern w:val="0"/>
                <w:szCs w:val="24"/>
                <w:u w:val="single"/>
                <w14:textFill>
                  <w14:solidFill>
                    <w14:schemeClr w14:val="tx1"/>
                  </w14:solidFill>
                </w14:textFill>
              </w:rPr>
              <w:t xml:space="preserve">    </w:t>
            </w:r>
            <w:r>
              <w:rPr>
                <w:rFonts w:hint="eastAsia" w:ascii="宋体" w:hAnsi="宋体" w:cs="宋体"/>
                <w:color w:val="000000" w:themeColor="text1"/>
                <w:kern w:val="0"/>
                <w:szCs w:val="24"/>
                <w:u w:val="single"/>
                <w14:textFill>
                  <w14:solidFill>
                    <w14:schemeClr w14:val="tx1"/>
                  </w14:solidFill>
                </w14:textFill>
              </w:rPr>
              <w:t xml:space="preserve">  </w:t>
            </w:r>
            <w:r>
              <w:rPr>
                <w:rFonts w:ascii="宋体" w:hAnsi="宋体" w:cs="宋体"/>
                <w:color w:val="000000" w:themeColor="text1"/>
                <w:kern w:val="0"/>
                <w:szCs w:val="24"/>
                <w:u w:val="single"/>
                <w14:textFill>
                  <w14:solidFill>
                    <w14:schemeClr w14:val="tx1"/>
                  </w14:solidFill>
                </w14:textFill>
              </w:rPr>
              <w:t xml:space="preserve">    </w:t>
            </w:r>
            <w:r>
              <w:rPr>
                <w:rFonts w:ascii="宋体" w:hAnsi="宋体" w:cs="宋体"/>
                <w:color w:val="000000" w:themeColor="text1"/>
                <w:kern w:val="0"/>
                <w:szCs w:val="24"/>
                <w14:textFill>
                  <w14:solidFill>
                    <w14:schemeClr w14:val="tx1"/>
                  </w14:solidFill>
                </w14:textFill>
              </w:rPr>
              <w:t>元</w:t>
            </w:r>
          </w:p>
        </w:tc>
      </w:tr>
    </w:tbl>
    <w:p>
      <w:pPr>
        <w:jc w:val="left"/>
        <w:rPr>
          <w:rFonts w:ascii="宋体" w:hAnsi="宋体" w:cs="宋体-18030"/>
          <w:color w:val="000000" w:themeColor="text1"/>
          <w:szCs w:val="24"/>
          <w14:textFill>
            <w14:solidFill>
              <w14:schemeClr w14:val="tx1"/>
            </w14:solidFill>
          </w14:textFill>
        </w:rPr>
      </w:pPr>
    </w:p>
    <w:p>
      <w:pPr>
        <w:spacing w:line="460" w:lineRule="exact"/>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本报价为总价包干，包含了乙方因履行本合同要求的所有工作任务而投入的一切成本费用，且不随通货膨胀的影响而变化。包括但不限于人工费用（含管理费用）、交通餐饮住宿费用，报告编制文印费用、考察调研及技术交流费用、</w:t>
      </w:r>
      <w:r>
        <w:rPr>
          <w:rFonts w:ascii="宋体" w:hAnsi="宋体"/>
          <w:color w:val="000000" w:themeColor="text1"/>
          <w:szCs w:val="24"/>
          <w14:textFill>
            <w14:solidFill>
              <w14:schemeClr w14:val="tx1"/>
            </w14:solidFill>
          </w14:textFill>
        </w:rPr>
        <w:t>知识产权</w:t>
      </w:r>
      <w:r>
        <w:rPr>
          <w:rFonts w:hint="eastAsia" w:ascii="宋体" w:hAnsi="宋体"/>
          <w:color w:val="000000" w:themeColor="text1"/>
          <w:szCs w:val="24"/>
          <w14:textFill>
            <w14:solidFill>
              <w14:schemeClr w14:val="tx1"/>
            </w14:solidFill>
          </w14:textFill>
        </w:rPr>
        <w:t>费、利润、乙方在提供本咨询服务时应交缴的各种税费及调研费、专家评审</w:t>
      </w:r>
      <w:r>
        <w:rPr>
          <w:rFonts w:ascii="宋体" w:hAnsi="宋体"/>
          <w:color w:val="000000" w:themeColor="text1"/>
          <w:szCs w:val="24"/>
          <w14:textFill>
            <w14:solidFill>
              <w14:schemeClr w14:val="tx1"/>
            </w14:solidFill>
          </w14:textFill>
        </w:rPr>
        <w:t>或</w:t>
      </w:r>
      <w:r>
        <w:rPr>
          <w:rFonts w:hint="eastAsia" w:ascii="宋体" w:hAnsi="宋体"/>
          <w:color w:val="000000" w:themeColor="text1"/>
          <w:szCs w:val="24"/>
          <w14:textFill>
            <w14:solidFill>
              <w14:schemeClr w14:val="tx1"/>
            </w14:solidFill>
          </w14:textFill>
        </w:rPr>
        <w:t>验收费等。</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p>
    <w:p>
      <w:pPr>
        <w:spacing w:line="560" w:lineRule="exact"/>
        <w:rPr>
          <w:rFonts w:ascii="宋体" w:hAnsi="宋体"/>
          <w:color w:val="000000" w:themeColor="text1"/>
          <w14:textFill>
            <w14:solidFill>
              <w14:schemeClr w14:val="tx1"/>
            </w14:solidFill>
          </w14:textFill>
        </w:rPr>
      </w:pPr>
    </w:p>
    <w:p>
      <w:pPr>
        <w:spacing w:line="56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参选人：（盖章）</w:t>
      </w:r>
      <w:r>
        <w:rPr>
          <w:rFonts w:hint="eastAsia" w:ascii="宋体" w:hAnsi="宋体"/>
          <w:color w:val="000000" w:themeColor="text1"/>
          <w:u w:val="single"/>
          <w14:textFill>
            <w14:solidFill>
              <w14:schemeClr w14:val="tx1"/>
            </w14:solidFill>
          </w14:textFill>
        </w:rPr>
        <w:t xml:space="preserve">         [参选人名称]                   </w:t>
      </w:r>
    </w:p>
    <w:p>
      <w:pPr>
        <w:spacing w:line="560" w:lineRule="exact"/>
        <w:ind w:firstLine="480" w:firstLineChars="200"/>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 xml:space="preserve">   法定代表人或授权代理人（</w:t>
      </w:r>
      <w:r>
        <w:rPr>
          <w:rFonts w:ascii="宋体" w:hAnsi="宋体"/>
          <w:color w:val="000000" w:themeColor="text1"/>
          <w14:textFill>
            <w14:solidFill>
              <w14:schemeClr w14:val="tx1"/>
            </w14:solidFill>
          </w14:textFill>
        </w:rPr>
        <w:t>签名或盖章）</w:t>
      </w:r>
      <w:r>
        <w:rPr>
          <w:rFonts w:hint="eastAsia" w:ascii="宋体" w:hAnsi="宋体"/>
          <w:color w:val="000000" w:themeColor="text1"/>
          <w14:textFill>
            <w14:solidFill>
              <w14:schemeClr w14:val="tx1"/>
            </w14:solidFill>
          </w14:textFill>
        </w:rPr>
        <w:t>：</w:t>
      </w:r>
    </w:p>
    <w:p>
      <w:pPr>
        <w:spacing w:line="56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日  期：   年    月    日</w:t>
      </w:r>
    </w:p>
    <w:p>
      <w:pPr>
        <w:widowControl/>
        <w:jc w:val="lef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pPr>
        <w:rPr>
          <w:rFonts w:ascii="黑体" w:hAnsi="黑体" w:eastAsia="黑体"/>
          <w:b/>
          <w:color w:val="000000" w:themeColor="text1"/>
          <w:sz w:val="44"/>
          <w:szCs w:val="44"/>
          <w14:textFill>
            <w14:solidFill>
              <w14:schemeClr w14:val="tx1"/>
            </w14:solidFill>
          </w14:textFill>
        </w:rPr>
      </w:pPr>
    </w:p>
    <w:p>
      <w:pPr>
        <w:pStyle w:val="3"/>
        <w:spacing w:before="240" w:line="360" w:lineRule="auto"/>
        <w:rPr>
          <w:rFonts w:ascii="宋体" w:hAnsi="宋体"/>
          <w:color w:val="000000" w:themeColor="text1"/>
          <w:szCs w:val="44"/>
          <w14:textFill>
            <w14:solidFill>
              <w14:schemeClr w14:val="tx1"/>
            </w14:solidFill>
          </w14:textFill>
        </w:rPr>
      </w:pPr>
      <w:bookmarkStart w:id="199" w:name="_Toc8111"/>
      <w:bookmarkStart w:id="200" w:name="_Toc97605315"/>
      <w:bookmarkStart w:id="201" w:name="_Toc24400"/>
      <w:r>
        <w:rPr>
          <w:rFonts w:hint="eastAsia" w:ascii="宋体" w:hAnsi="宋体"/>
          <w:color w:val="000000" w:themeColor="text1"/>
          <w:szCs w:val="44"/>
          <w14:textFill>
            <w14:solidFill>
              <w14:schemeClr w14:val="tx1"/>
            </w14:solidFill>
          </w14:textFill>
        </w:rPr>
        <w:t>第三篇   合 同</w:t>
      </w:r>
      <w:bookmarkEnd w:id="199"/>
      <w:bookmarkEnd w:id="200"/>
      <w:bookmarkEnd w:id="201"/>
      <w:bookmarkStart w:id="202" w:name="_Toc362859541"/>
      <w:bookmarkEnd w:id="202"/>
    </w:p>
    <w:p>
      <w:pPr>
        <w:jc w:val="center"/>
        <w:rPr>
          <w:rFonts w:ascii="宋体" w:hAnsi="宋体"/>
          <w:b/>
          <w:color w:val="000000" w:themeColor="text1"/>
          <w:szCs w:val="24"/>
          <w14:textFill>
            <w14:solidFill>
              <w14:schemeClr w14:val="tx1"/>
            </w14:solidFill>
          </w14:textFill>
        </w:rPr>
      </w:pPr>
    </w:p>
    <w:p>
      <w:pPr>
        <w:spacing w:line="360" w:lineRule="auto"/>
        <w:jc w:val="center"/>
        <w:rPr>
          <w:rFonts w:ascii="宋体" w:hAnsi="宋体"/>
          <w:b/>
          <w:color w:val="000000" w:themeColor="text1"/>
          <w:spacing w:val="10"/>
          <w:sz w:val="48"/>
          <w:szCs w:val="48"/>
          <w14:textFill>
            <w14:solidFill>
              <w14:schemeClr w14:val="tx1"/>
            </w14:solidFill>
          </w14:textFill>
        </w:rPr>
      </w:pPr>
    </w:p>
    <w:p>
      <w:pPr>
        <w:jc w:val="center"/>
        <w:rPr>
          <w:rFonts w:ascii="宋体" w:hAnsi="宋体"/>
          <w:b/>
          <w:color w:val="000000" w:themeColor="text1"/>
          <w:spacing w:val="10"/>
          <w:sz w:val="48"/>
          <w:szCs w:val="48"/>
          <w14:textFill>
            <w14:solidFill>
              <w14:schemeClr w14:val="tx1"/>
            </w14:solidFill>
          </w14:textFill>
        </w:rPr>
      </w:pPr>
      <w:bookmarkStart w:id="203" w:name="_Toc27736"/>
      <w:bookmarkStart w:id="204" w:name="_Toc7072"/>
      <w:bookmarkStart w:id="205" w:name="_Toc3946"/>
      <w:bookmarkStart w:id="206" w:name="_Toc25846"/>
      <w:bookmarkStart w:id="207" w:name="_Toc62576173"/>
      <w:r>
        <w:rPr>
          <w:rFonts w:hint="eastAsia" w:ascii="宋体" w:hAnsi="宋体"/>
          <w:b/>
          <w:color w:val="000000" w:themeColor="text1"/>
          <w:spacing w:val="10"/>
          <w:sz w:val="48"/>
          <w:szCs w:val="48"/>
          <w14:textFill>
            <w14:solidFill>
              <w14:schemeClr w14:val="tx1"/>
            </w14:solidFill>
          </w14:textFill>
        </w:rPr>
        <w:t>轨道交通四期综合开发项目（四）土壤环境初步调查服务</w:t>
      </w:r>
      <w:bookmarkEnd w:id="203"/>
      <w:bookmarkStart w:id="208" w:name="_Toc25839"/>
      <w:r>
        <w:rPr>
          <w:rFonts w:ascii="宋体" w:hAnsi="宋体"/>
          <w:b/>
          <w:color w:val="000000" w:themeColor="text1"/>
          <w:spacing w:val="10"/>
          <w:sz w:val="48"/>
          <w:szCs w:val="48"/>
          <w14:textFill>
            <w14:solidFill>
              <w14:schemeClr w14:val="tx1"/>
            </w14:solidFill>
          </w14:textFill>
        </w:rPr>
        <w:t>合同</w:t>
      </w:r>
      <w:bookmarkEnd w:id="204"/>
      <w:bookmarkEnd w:id="205"/>
      <w:bookmarkEnd w:id="206"/>
      <w:bookmarkEnd w:id="207"/>
      <w:bookmarkEnd w:id="208"/>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ind w:firstLine="1606" w:firstLineChars="500"/>
        <w:rPr>
          <w:rFonts w:ascii="宋体" w:hAnsi="宋体"/>
          <w:b/>
          <w:color w:val="000000" w:themeColor="text1"/>
          <w:spacing w:val="10"/>
          <w:sz w:val="30"/>
          <w:szCs w:val="30"/>
          <w:u w:val="single"/>
          <w14:textFill>
            <w14:solidFill>
              <w14:schemeClr w14:val="tx1"/>
            </w14:solidFill>
          </w14:textFill>
        </w:rPr>
      </w:pPr>
      <w:r>
        <w:rPr>
          <w:rFonts w:hint="eastAsia" w:ascii="宋体" w:hAnsi="宋体"/>
          <w:b/>
          <w:color w:val="000000" w:themeColor="text1"/>
          <w:spacing w:val="10"/>
          <w:sz w:val="30"/>
          <w:szCs w:val="30"/>
          <w14:textFill>
            <w14:solidFill>
              <w14:schemeClr w14:val="tx1"/>
            </w14:solidFill>
          </w14:textFill>
        </w:rPr>
        <w:t>甲   方：</w:t>
      </w:r>
      <w:r>
        <w:rPr>
          <w:rFonts w:hint="eastAsia" w:ascii="宋体" w:hAnsi="宋体"/>
          <w:b/>
          <w:color w:val="000000" w:themeColor="text1"/>
          <w:spacing w:val="10"/>
          <w:sz w:val="30"/>
          <w:szCs w:val="30"/>
          <w:u w:val="single"/>
          <w14:textFill>
            <w14:solidFill>
              <w14:schemeClr w14:val="tx1"/>
            </w14:solidFill>
          </w14:textFill>
        </w:rPr>
        <w:t xml:space="preserve"> 深圳市地铁集团有限公司</w:t>
      </w:r>
    </w:p>
    <w:p>
      <w:pPr>
        <w:spacing w:line="360" w:lineRule="auto"/>
        <w:rPr>
          <w:rFonts w:ascii="宋体" w:hAnsi="宋体"/>
          <w:b/>
          <w:color w:val="000000" w:themeColor="text1"/>
          <w:spacing w:val="10"/>
          <w:sz w:val="30"/>
          <w:szCs w:val="30"/>
          <w14:textFill>
            <w14:solidFill>
              <w14:schemeClr w14:val="tx1"/>
            </w14:solidFill>
          </w14:textFill>
        </w:rPr>
      </w:pPr>
      <w:r>
        <w:rPr>
          <w:rFonts w:hint="eastAsia" w:ascii="宋体" w:hAnsi="宋体"/>
          <w:b/>
          <w:color w:val="000000" w:themeColor="text1"/>
          <w:spacing w:val="10"/>
          <w:sz w:val="30"/>
          <w:szCs w:val="30"/>
          <w14:textFill>
            <w14:solidFill>
              <w14:schemeClr w14:val="tx1"/>
            </w14:solidFill>
          </w14:textFill>
        </w:rPr>
        <w:t xml:space="preserve"> </w:t>
      </w:r>
    </w:p>
    <w:p>
      <w:pPr>
        <w:spacing w:line="360" w:lineRule="auto"/>
        <w:ind w:firstLine="1606" w:firstLineChars="500"/>
        <w:rPr>
          <w:rFonts w:ascii="宋体" w:hAnsi="宋体"/>
          <w:b/>
          <w:color w:val="000000" w:themeColor="text1"/>
          <w:spacing w:val="10"/>
          <w:sz w:val="30"/>
          <w:szCs w:val="30"/>
          <w:u w:val="single"/>
          <w14:textFill>
            <w14:solidFill>
              <w14:schemeClr w14:val="tx1"/>
            </w14:solidFill>
          </w14:textFill>
        </w:rPr>
      </w:pPr>
      <w:r>
        <w:rPr>
          <w:rFonts w:hint="eastAsia" w:ascii="宋体" w:hAnsi="宋体"/>
          <w:b/>
          <w:color w:val="000000" w:themeColor="text1"/>
          <w:spacing w:val="10"/>
          <w:sz w:val="30"/>
          <w:szCs w:val="30"/>
          <w14:textFill>
            <w14:solidFill>
              <w14:schemeClr w14:val="tx1"/>
            </w14:solidFill>
          </w14:textFill>
        </w:rPr>
        <w:t>乙</w:t>
      </w:r>
      <w:r>
        <w:rPr>
          <w:rFonts w:hint="eastAsia" w:ascii="宋体" w:hAnsi="宋体"/>
          <w:b/>
          <w:color w:val="000000" w:themeColor="text1"/>
          <w:spacing w:val="10"/>
          <w:sz w:val="18"/>
          <w:szCs w:val="30"/>
          <w14:textFill>
            <w14:solidFill>
              <w14:schemeClr w14:val="tx1"/>
            </w14:solidFill>
          </w14:textFill>
        </w:rPr>
        <w:t xml:space="preserve">    </w:t>
      </w:r>
      <w:r>
        <w:rPr>
          <w:rFonts w:hint="eastAsia" w:ascii="宋体" w:hAnsi="宋体"/>
          <w:b/>
          <w:color w:val="000000" w:themeColor="text1"/>
          <w:spacing w:val="10"/>
          <w:sz w:val="30"/>
          <w:szCs w:val="30"/>
          <w14:textFill>
            <w14:solidFill>
              <w14:schemeClr w14:val="tx1"/>
            </w14:solidFill>
          </w14:textFill>
        </w:rPr>
        <w:t>方：</w:t>
      </w:r>
      <w:r>
        <w:rPr>
          <w:rFonts w:hint="eastAsia" w:ascii="宋体" w:hAnsi="宋体"/>
          <w:b/>
          <w:color w:val="000000" w:themeColor="text1"/>
          <w:spacing w:val="10"/>
          <w:sz w:val="30"/>
          <w:szCs w:val="30"/>
          <w:u w:val="single"/>
          <w14:textFill>
            <w14:solidFill>
              <w14:schemeClr w14:val="tx1"/>
            </w14:solidFill>
          </w14:textFill>
        </w:rPr>
        <w:t xml:space="preserve">                        </w:t>
      </w:r>
    </w:p>
    <w:p>
      <w:pPr>
        <w:spacing w:line="360" w:lineRule="auto"/>
        <w:ind w:firstLine="1606" w:firstLineChars="500"/>
        <w:rPr>
          <w:rFonts w:ascii="宋体" w:hAnsi="宋体"/>
          <w:b/>
          <w:color w:val="000000" w:themeColor="text1"/>
          <w:spacing w:val="10"/>
          <w:sz w:val="30"/>
          <w:szCs w:val="30"/>
          <w14:textFill>
            <w14:solidFill>
              <w14:schemeClr w14:val="tx1"/>
            </w14:solidFill>
          </w14:textFill>
        </w:rPr>
      </w:pPr>
    </w:p>
    <w:p>
      <w:pPr>
        <w:rPr>
          <w:rFonts w:ascii="宋体" w:hAnsi="宋体"/>
          <w:b/>
          <w:sz w:val="44"/>
        </w:rPr>
      </w:pPr>
      <w:r>
        <w:rPr>
          <w:color w:val="000000" w:themeColor="text1"/>
          <w:sz w:val="28"/>
          <w:szCs w:val="28"/>
          <w14:textFill>
            <w14:solidFill>
              <w14:schemeClr w14:val="tx1"/>
            </w14:solidFill>
          </w14:textFill>
        </w:rPr>
        <w:br w:type="page"/>
      </w:r>
      <w:bookmarkEnd w:id="148"/>
      <w:bookmarkEnd w:id="149"/>
      <w:bookmarkEnd w:id="150"/>
      <w:bookmarkEnd w:id="151"/>
      <w:bookmarkEnd w:id="152"/>
      <w:bookmarkEnd w:id="167"/>
    </w:p>
    <w:p>
      <w:pPr>
        <w:rPr>
          <w:rFonts w:ascii="宋体" w:hAnsi="宋体"/>
          <w:b/>
          <w:sz w:val="44"/>
        </w:rPr>
      </w:pPr>
    </w:p>
    <w:p>
      <w:pPr>
        <w:spacing w:line="360" w:lineRule="auto"/>
        <w:jc w:val="center"/>
        <w:outlineLvl w:val="1"/>
        <w:rPr>
          <w:rFonts w:ascii="宋体" w:hAnsi="宋体"/>
          <w:b/>
          <w:bCs/>
          <w:kern w:val="0"/>
          <w:sz w:val="32"/>
          <w:szCs w:val="32"/>
        </w:rPr>
      </w:pPr>
      <w:r>
        <w:rPr>
          <w:rFonts w:hint="eastAsia" w:ascii="宋体" w:hAnsi="宋体"/>
          <w:b/>
          <w:bCs/>
          <w:kern w:val="0"/>
          <w:sz w:val="32"/>
          <w:szCs w:val="32"/>
        </w:rPr>
        <w:t xml:space="preserve">第一部分 </w:t>
      </w:r>
      <w:r>
        <w:rPr>
          <w:rFonts w:ascii="宋体" w:hAnsi="宋体"/>
          <w:b/>
          <w:bCs/>
          <w:kern w:val="0"/>
          <w:sz w:val="32"/>
          <w:szCs w:val="32"/>
        </w:rPr>
        <w:t>协议书</w:t>
      </w:r>
    </w:p>
    <w:p>
      <w:pPr>
        <w:adjustRightInd w:val="0"/>
        <w:snapToGrid w:val="0"/>
        <w:spacing w:line="560" w:lineRule="exact"/>
        <w:ind w:firstLine="480" w:firstLineChars="200"/>
        <w:jc w:val="left"/>
        <w:rPr>
          <w:rFonts w:ascii="宋体" w:hAnsi="宋体"/>
        </w:rPr>
      </w:pPr>
      <w:r>
        <w:rPr>
          <w:rFonts w:ascii="宋体" w:hAnsi="宋体"/>
          <w:u w:val="single"/>
        </w:rPr>
        <w:t>深圳市地铁集团有限公司</w:t>
      </w:r>
      <w:r>
        <w:rPr>
          <w:rFonts w:hint="eastAsia" w:ascii="宋体" w:hAnsi="宋体"/>
          <w:u w:val="single"/>
        </w:rPr>
        <w:t xml:space="preserve"> </w:t>
      </w:r>
      <w:r>
        <w:rPr>
          <w:rFonts w:ascii="宋体" w:hAnsi="宋体"/>
        </w:rPr>
        <w:t>（以下简称“甲方”）通过</w:t>
      </w:r>
      <w:r>
        <w:rPr>
          <w:rFonts w:hint="eastAsia" w:ascii="宋体" w:hAnsi="宋体"/>
        </w:rPr>
        <w:t>比选确定</w:t>
      </w:r>
      <w:r>
        <w:rPr>
          <w:rFonts w:hint="eastAsia" w:ascii="宋体" w:hAnsi="宋体"/>
          <w:u w:val="single"/>
        </w:rPr>
        <w:t xml:space="preserve"> </w:t>
      </w:r>
      <w:r>
        <w:rPr>
          <w:rFonts w:ascii="宋体" w:hAnsi="宋体"/>
        </w:rPr>
        <w:t>（以下简称“乙方”）承担</w:t>
      </w:r>
      <w:r>
        <w:rPr>
          <w:rFonts w:hint="eastAsia" w:ascii="宋体" w:hAnsi="宋体"/>
        </w:rPr>
        <w:t>轨道交通四期综合开发项目（四）土壤环境初步调查</w:t>
      </w:r>
      <w:r>
        <w:rPr>
          <w:rFonts w:hint="eastAsia" w:ascii="宋体" w:hAnsi="宋体"/>
          <w:u w:val="single"/>
        </w:rPr>
        <w:t xml:space="preserve"> </w:t>
      </w:r>
      <w:r>
        <w:rPr>
          <w:rFonts w:ascii="宋体" w:hAnsi="宋体"/>
          <w:kern w:val="0"/>
        </w:rPr>
        <w:t>工作</w:t>
      </w:r>
      <w:r>
        <w:rPr>
          <w:rFonts w:ascii="宋体" w:hAnsi="宋体"/>
        </w:rPr>
        <w:t>。</w:t>
      </w:r>
    </w:p>
    <w:p>
      <w:pPr>
        <w:adjustRightInd w:val="0"/>
        <w:snapToGrid w:val="0"/>
        <w:spacing w:line="560" w:lineRule="exact"/>
        <w:ind w:firstLine="480"/>
        <w:jc w:val="left"/>
        <w:rPr>
          <w:rFonts w:ascii="宋体" w:hAnsi="宋体"/>
        </w:rPr>
      </w:pPr>
      <w:r>
        <w:rPr>
          <w:rFonts w:ascii="宋体" w:hAnsi="宋体"/>
        </w:rPr>
        <w:t>一、本协议书中所用术语的含义与下文提到合同条款中相应术语的含义相同</w:t>
      </w:r>
    </w:p>
    <w:p>
      <w:pPr>
        <w:adjustRightInd w:val="0"/>
        <w:snapToGrid w:val="0"/>
        <w:spacing w:line="560" w:lineRule="exact"/>
        <w:ind w:firstLine="480"/>
        <w:jc w:val="left"/>
        <w:rPr>
          <w:rFonts w:ascii="宋体" w:hAnsi="宋体"/>
          <w:kern w:val="0"/>
        </w:rPr>
      </w:pPr>
      <w:r>
        <w:rPr>
          <w:rFonts w:ascii="宋体" w:hAnsi="宋体"/>
        </w:rPr>
        <w:t>二、</w:t>
      </w:r>
      <w:r>
        <w:rPr>
          <w:rFonts w:ascii="宋体" w:hAnsi="宋体"/>
          <w:kern w:val="0"/>
        </w:rPr>
        <w:t>本合同文件组成及解释顺序：</w:t>
      </w:r>
    </w:p>
    <w:p>
      <w:pPr>
        <w:adjustRightInd w:val="0"/>
        <w:snapToGrid w:val="0"/>
        <w:spacing w:line="560" w:lineRule="exact"/>
        <w:ind w:firstLine="480"/>
        <w:jc w:val="left"/>
        <w:rPr>
          <w:rFonts w:ascii="宋体" w:hAnsi="宋体"/>
          <w:b/>
          <w:sz w:val="28"/>
          <w:szCs w:val="28"/>
          <w:u w:val="single"/>
        </w:rPr>
      </w:pPr>
      <w:r>
        <w:rPr>
          <w:rFonts w:hint="eastAsia" w:ascii="宋体" w:hAnsi="宋体"/>
          <w:b/>
          <w:kern w:val="0"/>
        </w:rPr>
        <w:t xml:space="preserve">（一）核心工作成果内容要求（包括但不限于）： </w:t>
      </w:r>
    </w:p>
    <w:p>
      <w:pPr>
        <w:adjustRightInd w:val="0"/>
        <w:snapToGrid w:val="0"/>
        <w:spacing w:line="560" w:lineRule="exact"/>
        <w:ind w:firstLine="480"/>
        <w:jc w:val="left"/>
        <w:rPr>
          <w:rFonts w:ascii="宋体" w:hAnsi="宋体"/>
          <w:kern w:val="0"/>
        </w:rPr>
      </w:pPr>
      <w:r>
        <w:rPr>
          <w:rFonts w:hint="eastAsia" w:ascii="宋体" w:hAnsi="宋体"/>
          <w:kern w:val="0"/>
        </w:rPr>
        <w:t>根据《深圳市建设用地土壤污染状况调查与风险评估工作指引（2021年版）》内容</w:t>
      </w:r>
      <w:r>
        <w:rPr>
          <w:rFonts w:ascii="宋体" w:hAnsi="宋体"/>
          <w:kern w:val="0"/>
        </w:rPr>
        <w:t>开展工作。</w:t>
      </w:r>
      <w:r>
        <w:rPr>
          <w:rFonts w:hint="eastAsia" w:ascii="宋体" w:hAnsi="宋体"/>
          <w:kern w:val="0"/>
        </w:rPr>
        <w:t>具体内容包括并不限于：</w:t>
      </w:r>
    </w:p>
    <w:p>
      <w:pPr>
        <w:adjustRightInd w:val="0"/>
        <w:snapToGrid w:val="0"/>
        <w:spacing w:line="560" w:lineRule="exact"/>
        <w:ind w:firstLine="480"/>
        <w:jc w:val="left"/>
        <w:rPr>
          <w:rFonts w:ascii="宋体" w:hAnsi="宋体"/>
          <w:kern w:val="0"/>
        </w:rPr>
      </w:pPr>
      <w:r>
        <w:rPr>
          <w:rFonts w:hint="eastAsia" w:ascii="宋体" w:hAnsi="宋体"/>
          <w:kern w:val="0"/>
        </w:rPr>
        <w:t>1.现状调查及资料收集；</w:t>
      </w:r>
    </w:p>
    <w:p>
      <w:pPr>
        <w:adjustRightInd w:val="0"/>
        <w:snapToGrid w:val="0"/>
        <w:spacing w:line="560" w:lineRule="exact"/>
        <w:ind w:firstLine="480"/>
        <w:jc w:val="left"/>
        <w:rPr>
          <w:rFonts w:ascii="宋体" w:hAnsi="宋体"/>
          <w:kern w:val="0"/>
        </w:rPr>
      </w:pPr>
      <w:r>
        <w:rPr>
          <w:rFonts w:hint="eastAsia" w:ascii="宋体" w:hAnsi="宋体"/>
          <w:kern w:val="0"/>
        </w:rPr>
        <w:t>2.编制项目场地土壤环境初步调查报告；</w:t>
      </w:r>
    </w:p>
    <w:p>
      <w:pPr>
        <w:adjustRightInd w:val="0"/>
        <w:snapToGrid w:val="0"/>
        <w:spacing w:line="560" w:lineRule="exact"/>
        <w:ind w:firstLine="480"/>
        <w:jc w:val="left"/>
        <w:rPr>
          <w:rFonts w:ascii="宋体" w:hAnsi="宋体"/>
          <w:kern w:val="0"/>
        </w:rPr>
      </w:pPr>
      <w:r>
        <w:rPr>
          <w:rFonts w:hint="eastAsia" w:ascii="宋体" w:hAnsi="宋体"/>
          <w:kern w:val="0"/>
        </w:rPr>
        <w:t>3.将项目场地土壤环境初步调查报告书报送评审机构专家及环境保护行政主管部门审查并通过；</w:t>
      </w:r>
    </w:p>
    <w:p>
      <w:pPr>
        <w:adjustRightInd w:val="0"/>
        <w:snapToGrid w:val="0"/>
        <w:spacing w:line="560" w:lineRule="exact"/>
        <w:ind w:firstLine="480"/>
        <w:jc w:val="left"/>
        <w:rPr>
          <w:rFonts w:ascii="宋体" w:hAnsi="宋体"/>
          <w:kern w:val="0"/>
        </w:rPr>
      </w:pPr>
      <w:r>
        <w:rPr>
          <w:rFonts w:hint="eastAsia" w:ascii="宋体" w:hAnsi="宋体"/>
          <w:kern w:val="0"/>
        </w:rPr>
        <w:t>4.完成项目场地土壤环境初步调查报告书上传全国土壤调查信息平台备案等相关工作；</w:t>
      </w:r>
    </w:p>
    <w:p>
      <w:pPr>
        <w:adjustRightInd w:val="0"/>
        <w:snapToGrid w:val="0"/>
        <w:spacing w:line="560" w:lineRule="exact"/>
        <w:ind w:firstLine="480"/>
        <w:jc w:val="left"/>
        <w:rPr>
          <w:rFonts w:ascii="宋体" w:hAnsi="宋体"/>
          <w:kern w:val="0"/>
        </w:rPr>
      </w:pPr>
      <w:r>
        <w:rPr>
          <w:rFonts w:hint="eastAsia" w:ascii="宋体" w:hAnsi="宋体"/>
          <w:kern w:val="0"/>
        </w:rPr>
        <w:t>5.后续服务工作。</w:t>
      </w:r>
    </w:p>
    <w:p>
      <w:pPr>
        <w:adjustRightInd w:val="0"/>
        <w:snapToGrid w:val="0"/>
        <w:spacing w:line="560" w:lineRule="exact"/>
        <w:ind w:firstLine="480"/>
        <w:jc w:val="left"/>
        <w:rPr>
          <w:rFonts w:ascii="宋体" w:hAnsi="宋体"/>
          <w:kern w:val="0"/>
        </w:rPr>
      </w:pPr>
      <w:r>
        <w:rPr>
          <w:rFonts w:hint="eastAsia" w:ascii="宋体" w:hAnsi="宋体"/>
          <w:kern w:val="0"/>
        </w:rPr>
        <w:t>土壤环境初步调查主要通过资料收集、现场踏勘和人员访谈，确定地块疑似污染区域和主要污染物类型；通过初步采样调查，判断地块是否存在污染，筛选关注污染物，初步掌握污染程度和空间分布。</w:t>
      </w:r>
    </w:p>
    <w:p>
      <w:pPr>
        <w:adjustRightInd w:val="0"/>
        <w:snapToGrid w:val="0"/>
        <w:spacing w:line="560" w:lineRule="exact"/>
        <w:ind w:firstLine="480"/>
        <w:jc w:val="left"/>
        <w:rPr>
          <w:rFonts w:ascii="宋体" w:hAnsi="宋体"/>
          <w:kern w:val="0"/>
        </w:rPr>
      </w:pPr>
      <w:r>
        <w:rPr>
          <w:rFonts w:hint="eastAsia" w:ascii="宋体" w:hAnsi="宋体"/>
        </w:rPr>
        <w:t>（二）</w:t>
      </w:r>
      <w:r>
        <w:rPr>
          <w:rFonts w:ascii="宋体" w:hAnsi="宋体"/>
          <w:kern w:val="0"/>
        </w:rPr>
        <w:t>组成合同的各个文件应该是一个整体，彼此相互解释，互为说明。组成本合同的文件及优先解释顺序如下：</w:t>
      </w:r>
    </w:p>
    <w:p>
      <w:pPr>
        <w:tabs>
          <w:tab w:val="left" w:pos="1080"/>
        </w:tabs>
        <w:adjustRightInd w:val="0"/>
        <w:snapToGrid w:val="0"/>
        <w:spacing w:line="560" w:lineRule="exact"/>
        <w:ind w:firstLine="480" w:firstLineChars="200"/>
        <w:jc w:val="left"/>
        <w:rPr>
          <w:rFonts w:ascii="宋体" w:hAnsi="宋体"/>
        </w:rPr>
      </w:pPr>
      <w:r>
        <w:rPr>
          <w:rFonts w:hint="eastAsia" w:ascii="宋体" w:hAnsi="宋体"/>
        </w:rPr>
        <w:t>1、</w:t>
      </w:r>
      <w:r>
        <w:rPr>
          <w:rFonts w:ascii="宋体" w:hAnsi="宋体"/>
        </w:rPr>
        <w:t>协议书；</w:t>
      </w:r>
    </w:p>
    <w:p>
      <w:pPr>
        <w:tabs>
          <w:tab w:val="left" w:pos="1080"/>
        </w:tabs>
        <w:adjustRightInd w:val="0"/>
        <w:snapToGrid w:val="0"/>
        <w:spacing w:line="560" w:lineRule="exact"/>
        <w:ind w:firstLine="480" w:firstLineChars="200"/>
        <w:jc w:val="left"/>
        <w:rPr>
          <w:rFonts w:ascii="宋体" w:hAnsi="宋体"/>
        </w:rPr>
      </w:pPr>
      <w:r>
        <w:rPr>
          <w:rFonts w:hint="eastAsia" w:ascii="宋体" w:hAnsi="宋体"/>
        </w:rPr>
        <w:t>2、</w:t>
      </w:r>
      <w:r>
        <w:rPr>
          <w:rFonts w:ascii="宋体" w:hAnsi="宋体"/>
        </w:rPr>
        <w:t>合同专用条款；</w:t>
      </w:r>
    </w:p>
    <w:p>
      <w:pPr>
        <w:tabs>
          <w:tab w:val="left" w:pos="1080"/>
        </w:tabs>
        <w:adjustRightInd w:val="0"/>
        <w:snapToGrid w:val="0"/>
        <w:spacing w:line="560" w:lineRule="exact"/>
        <w:ind w:firstLine="480" w:firstLineChars="200"/>
        <w:jc w:val="left"/>
        <w:rPr>
          <w:rFonts w:ascii="宋体" w:hAnsi="宋体"/>
        </w:rPr>
      </w:pPr>
      <w:r>
        <w:rPr>
          <w:rFonts w:hint="eastAsia" w:ascii="宋体" w:hAnsi="宋体"/>
        </w:rPr>
        <w:t>3、</w:t>
      </w:r>
      <w:r>
        <w:rPr>
          <w:rFonts w:ascii="宋体" w:hAnsi="宋体"/>
        </w:rPr>
        <w:t>合同通用条款；</w:t>
      </w:r>
    </w:p>
    <w:p>
      <w:pPr>
        <w:tabs>
          <w:tab w:val="left" w:pos="1080"/>
        </w:tabs>
        <w:adjustRightInd w:val="0"/>
        <w:snapToGrid w:val="0"/>
        <w:spacing w:line="560" w:lineRule="exact"/>
        <w:ind w:firstLine="480" w:firstLineChars="200"/>
        <w:jc w:val="left"/>
        <w:rPr>
          <w:rFonts w:ascii="宋体" w:hAnsi="宋体"/>
        </w:rPr>
      </w:pPr>
      <w:r>
        <w:rPr>
          <w:rFonts w:hint="eastAsia" w:ascii="宋体" w:hAnsi="宋体"/>
        </w:rPr>
        <w:t>4、比选</w:t>
      </w:r>
      <w:r>
        <w:rPr>
          <w:rFonts w:ascii="宋体" w:hAnsi="宋体"/>
        </w:rPr>
        <w:t>文件、</w:t>
      </w:r>
      <w:r>
        <w:rPr>
          <w:rFonts w:hint="eastAsia" w:ascii="宋体" w:hAnsi="宋体"/>
        </w:rPr>
        <w:t>参选</w:t>
      </w:r>
      <w:r>
        <w:rPr>
          <w:rFonts w:ascii="宋体" w:hAnsi="宋体"/>
        </w:rPr>
        <w:t>文件及其澄清文件（如果有）；</w:t>
      </w:r>
    </w:p>
    <w:p>
      <w:pPr>
        <w:tabs>
          <w:tab w:val="left" w:pos="1080"/>
        </w:tabs>
        <w:adjustRightInd w:val="0"/>
        <w:snapToGrid w:val="0"/>
        <w:spacing w:line="560" w:lineRule="exact"/>
        <w:ind w:firstLine="480" w:firstLineChars="200"/>
        <w:jc w:val="left"/>
        <w:rPr>
          <w:rFonts w:ascii="宋体" w:hAnsi="宋体"/>
        </w:rPr>
      </w:pPr>
      <w:r>
        <w:rPr>
          <w:rFonts w:hint="eastAsia" w:ascii="宋体" w:hAnsi="宋体"/>
        </w:rPr>
        <w:t>5、</w:t>
      </w:r>
      <w:r>
        <w:rPr>
          <w:rFonts w:ascii="宋体" w:hAnsi="宋体"/>
        </w:rPr>
        <w:t>双方有关的洽商、变更等书面记录和文件；</w:t>
      </w:r>
    </w:p>
    <w:p>
      <w:pPr>
        <w:tabs>
          <w:tab w:val="left" w:pos="1080"/>
        </w:tabs>
        <w:adjustRightInd w:val="0"/>
        <w:snapToGrid w:val="0"/>
        <w:spacing w:line="560" w:lineRule="exact"/>
        <w:ind w:firstLine="480" w:firstLineChars="200"/>
        <w:jc w:val="left"/>
        <w:rPr>
          <w:rFonts w:ascii="宋体" w:hAnsi="宋体"/>
        </w:rPr>
      </w:pPr>
      <w:r>
        <w:rPr>
          <w:rFonts w:hint="eastAsia" w:ascii="宋体" w:hAnsi="宋体"/>
        </w:rPr>
        <w:t>6、</w:t>
      </w:r>
      <w:r>
        <w:rPr>
          <w:rFonts w:ascii="宋体" w:hAnsi="宋体"/>
        </w:rPr>
        <w:t>合同进行过程中双方认可的有关信件、数据电文(电报、电传、传真、电子数据交换和电子邮件)。</w:t>
      </w:r>
    </w:p>
    <w:p>
      <w:pPr>
        <w:adjustRightInd w:val="0"/>
        <w:snapToGrid w:val="0"/>
        <w:spacing w:line="560" w:lineRule="exact"/>
        <w:ind w:firstLine="480"/>
        <w:jc w:val="left"/>
        <w:textAlignment w:val="baseline"/>
        <w:rPr>
          <w:rFonts w:ascii="宋体" w:hAnsi="宋体"/>
          <w:kern w:val="0"/>
          <w:szCs w:val="24"/>
        </w:rPr>
      </w:pPr>
      <w:r>
        <w:rPr>
          <w:rFonts w:ascii="宋体" w:hAnsi="宋体"/>
          <w:kern w:val="0"/>
          <w:szCs w:val="24"/>
        </w:rPr>
        <w:t>三、上述文件应认为是互为补充和解释的，若有不明确及不一致之处，以上面所列顺序在前及时间在后者为准。</w:t>
      </w:r>
    </w:p>
    <w:p>
      <w:pPr>
        <w:autoSpaceDE w:val="0"/>
        <w:autoSpaceDN w:val="0"/>
        <w:adjustRightInd w:val="0"/>
        <w:snapToGrid w:val="0"/>
        <w:spacing w:line="560" w:lineRule="exact"/>
        <w:ind w:firstLine="482"/>
        <w:jc w:val="left"/>
        <w:rPr>
          <w:rFonts w:ascii="宋体" w:hAnsi="宋体"/>
          <w:szCs w:val="24"/>
          <w:shd w:val="clear" w:color="auto" w:fill="FFFFFF"/>
        </w:rPr>
      </w:pPr>
      <w:r>
        <w:rPr>
          <w:rFonts w:ascii="宋体" w:hAnsi="宋体"/>
          <w:szCs w:val="24"/>
        </w:rPr>
        <w:t>四、根据上述合同文件要求，</w:t>
      </w:r>
      <w:r>
        <w:rPr>
          <w:rFonts w:ascii="宋体" w:hAnsi="宋体"/>
          <w:snapToGrid w:val="0"/>
          <w:szCs w:val="24"/>
        </w:rPr>
        <w:t>经双方协商同意本项目</w:t>
      </w:r>
      <w:r>
        <w:rPr>
          <w:rFonts w:hint="eastAsia" w:ascii="宋体" w:hAnsi="宋体"/>
          <w:snapToGrid w:val="0"/>
          <w:szCs w:val="24"/>
        </w:rPr>
        <w:t>土壤环境初步调查</w:t>
      </w:r>
      <w:r>
        <w:rPr>
          <w:rFonts w:hint="eastAsia" w:ascii="宋体" w:hAnsi="宋体"/>
          <w:color w:val="000000"/>
          <w:szCs w:val="24"/>
        </w:rPr>
        <w:t>服务</w:t>
      </w:r>
      <w:r>
        <w:rPr>
          <w:rFonts w:ascii="宋体" w:hAnsi="宋体"/>
          <w:snapToGrid w:val="0"/>
          <w:szCs w:val="24"/>
        </w:rPr>
        <w:t>工作</w:t>
      </w:r>
      <w:r>
        <w:rPr>
          <w:rFonts w:ascii="宋体" w:hAnsi="宋体"/>
          <w:b/>
          <w:snapToGrid w:val="0"/>
          <w:szCs w:val="24"/>
        </w:rPr>
        <w:t>总费用为</w:t>
      </w:r>
      <w:r>
        <w:rPr>
          <w:rFonts w:hint="eastAsia" w:ascii="宋体" w:hAnsi="宋体"/>
          <w:b/>
          <w:snapToGrid w:val="0"/>
          <w:szCs w:val="24"/>
        </w:rPr>
        <w:t>大写</w:t>
      </w:r>
      <w:r>
        <w:rPr>
          <w:rFonts w:hint="eastAsia" w:ascii="宋体" w:hAnsi="宋体"/>
          <w:b/>
          <w:snapToGrid w:val="0"/>
          <w:szCs w:val="24"/>
          <w:u w:val="single"/>
        </w:rPr>
        <w:t xml:space="preserve"> </w:t>
      </w:r>
      <w:r>
        <w:rPr>
          <w:rFonts w:ascii="宋体" w:hAnsi="宋体"/>
          <w:b/>
          <w:snapToGrid w:val="0"/>
          <w:szCs w:val="24"/>
          <w:u w:val="single"/>
        </w:rPr>
        <w:t xml:space="preserve">   </w:t>
      </w:r>
      <w:r>
        <w:rPr>
          <w:rFonts w:ascii="宋体" w:hAnsi="宋体"/>
          <w:b/>
          <w:snapToGrid w:val="0"/>
          <w:szCs w:val="24"/>
        </w:rPr>
        <w:t>,</w:t>
      </w:r>
      <w:r>
        <w:rPr>
          <w:rFonts w:hint="eastAsia" w:ascii="宋体" w:hAnsi="宋体"/>
          <w:b/>
          <w:snapToGrid w:val="0"/>
          <w:szCs w:val="24"/>
        </w:rPr>
        <w:t>为总价包干合同</w:t>
      </w:r>
      <w:r>
        <w:rPr>
          <w:rFonts w:hint="eastAsia" w:ascii="宋体" w:hAnsi="宋体"/>
          <w:snapToGrid w:val="0"/>
          <w:szCs w:val="24"/>
        </w:rPr>
        <w:t>，</w:t>
      </w:r>
      <w:r>
        <w:rPr>
          <w:rFonts w:hint="eastAsia" w:ascii="宋体" w:hAnsi="宋体"/>
          <w:szCs w:val="24"/>
        </w:rPr>
        <w:t>含组织土壤环境初步调查方案专家评审，并最终获得生态主管部门同意本项目土壤环境初步调查方案的费用以及人工费、会议费、专家评审费、打印费、税金等一切费用</w:t>
      </w:r>
      <w:r>
        <w:rPr>
          <w:rFonts w:hint="eastAsia" w:ascii="宋体" w:hAnsi="宋体"/>
          <w:snapToGrid w:val="0"/>
          <w:szCs w:val="24"/>
        </w:rPr>
        <w:t>。</w:t>
      </w:r>
      <w:r>
        <w:rPr>
          <w:rFonts w:hint="eastAsia" w:ascii="宋体" w:hAnsi="宋体"/>
          <w:b/>
          <w:snapToGrid w:val="0"/>
          <w:szCs w:val="24"/>
        </w:rPr>
        <w:t>上</w:t>
      </w:r>
      <w:r>
        <w:rPr>
          <w:rFonts w:ascii="宋体" w:hAnsi="宋体"/>
          <w:b/>
          <w:snapToGrid w:val="0"/>
          <w:szCs w:val="24"/>
        </w:rPr>
        <w:t>述总费用中不含税价为</w:t>
      </w:r>
      <w:r>
        <w:rPr>
          <w:rFonts w:hint="eastAsia" w:ascii="宋体" w:hAnsi="宋体"/>
          <w:b/>
          <w:snapToGrid w:val="0"/>
          <w:szCs w:val="24"/>
          <w:u w:val="single"/>
        </w:rPr>
        <w:t xml:space="preserve">  </w:t>
      </w:r>
      <w:r>
        <w:rPr>
          <w:rFonts w:hint="eastAsia" w:ascii="宋体" w:hAnsi="宋体"/>
          <w:b/>
          <w:snapToGrid w:val="0"/>
          <w:szCs w:val="24"/>
        </w:rPr>
        <w:t>元</w:t>
      </w:r>
      <w:r>
        <w:rPr>
          <w:rFonts w:ascii="宋体" w:hAnsi="宋体"/>
          <w:b/>
          <w:snapToGrid w:val="0"/>
          <w:szCs w:val="24"/>
        </w:rPr>
        <w:t>，增值税</w:t>
      </w:r>
      <w:r>
        <w:rPr>
          <w:rFonts w:hint="eastAsia" w:ascii="宋体" w:hAnsi="宋体"/>
          <w:b/>
          <w:snapToGrid w:val="0"/>
          <w:szCs w:val="24"/>
        </w:rPr>
        <w:t>税额</w:t>
      </w:r>
      <w:r>
        <w:rPr>
          <w:rFonts w:ascii="宋体" w:hAnsi="宋体"/>
          <w:b/>
          <w:snapToGrid w:val="0"/>
          <w:szCs w:val="24"/>
        </w:rPr>
        <w:t>为</w:t>
      </w:r>
      <w:r>
        <w:rPr>
          <w:rFonts w:hint="eastAsia" w:ascii="宋体" w:hAnsi="宋体"/>
          <w:b/>
          <w:snapToGrid w:val="0"/>
          <w:szCs w:val="24"/>
          <w:u w:val="single"/>
        </w:rPr>
        <w:t xml:space="preserve">  元</w:t>
      </w:r>
      <w:r>
        <w:rPr>
          <w:rFonts w:hint="eastAsia" w:ascii="宋体" w:hAnsi="宋体"/>
          <w:b/>
          <w:snapToGrid w:val="0"/>
          <w:szCs w:val="24"/>
        </w:rPr>
        <w:t>，税率为</w:t>
      </w:r>
      <w:r>
        <w:rPr>
          <w:rFonts w:hint="eastAsia" w:ascii="宋体" w:hAnsi="宋体"/>
          <w:b/>
          <w:snapToGrid w:val="0"/>
          <w:szCs w:val="24"/>
          <w:u w:val="single"/>
        </w:rPr>
        <w:t xml:space="preserve"> </w:t>
      </w:r>
      <w:r>
        <w:rPr>
          <w:rFonts w:hint="eastAsia" w:ascii="宋体" w:hAnsi="宋体"/>
          <w:b/>
          <w:snapToGrid w:val="0"/>
          <w:szCs w:val="24"/>
        </w:rPr>
        <w:t>%。</w:t>
      </w:r>
      <w:r>
        <w:rPr>
          <w:rFonts w:hint="eastAsia" w:ascii="宋体" w:hAnsi="宋体"/>
          <w:szCs w:val="24"/>
          <w:shd w:val="clear" w:color="auto" w:fill="FFFFFF"/>
        </w:rPr>
        <w:t>合同的增值税率根据国家税收法规政策变动而调整，不含税价不随增值税率的变化进行调整。</w:t>
      </w:r>
    </w:p>
    <w:p>
      <w:pPr>
        <w:adjustRightInd w:val="0"/>
        <w:snapToGrid w:val="0"/>
        <w:spacing w:line="560" w:lineRule="exact"/>
        <w:ind w:firstLine="482"/>
        <w:jc w:val="left"/>
        <w:textAlignment w:val="baseline"/>
        <w:rPr>
          <w:rFonts w:ascii="宋体" w:hAnsi="宋体"/>
          <w:snapToGrid w:val="0"/>
          <w:kern w:val="0"/>
          <w:szCs w:val="24"/>
        </w:rPr>
      </w:pPr>
      <w:r>
        <w:rPr>
          <w:rFonts w:hint="eastAsia" w:ascii="宋体" w:hAnsi="宋体"/>
          <w:snapToGrid w:val="0"/>
          <w:kern w:val="0"/>
          <w:szCs w:val="24"/>
        </w:rPr>
        <w:t>本合同的服务费用包含乙方履行合同中约定的评估工作、编制报告、组织评审会以及乙方为及时、完整而准确的履行本合同而支付的人工费、仪器使用费、设备设施安装拆卸费、办公费、住宿费、交通费、税费、保险费、印刷费（包括合同文本和汇报材料的印刷费）、公证费、保险费、评审会等，以及乙方作为有经验的咨询机构能够合理预测的其他费用、利润等所有一切费用。</w:t>
      </w:r>
    </w:p>
    <w:p>
      <w:pPr>
        <w:adjustRightInd w:val="0"/>
        <w:snapToGrid w:val="0"/>
        <w:spacing w:line="560" w:lineRule="exact"/>
        <w:ind w:firstLine="482"/>
        <w:jc w:val="left"/>
        <w:textAlignment w:val="baseline"/>
        <w:rPr>
          <w:rFonts w:ascii="宋体" w:hAnsi="宋体"/>
          <w:snapToGrid w:val="0"/>
          <w:kern w:val="0"/>
          <w:szCs w:val="24"/>
        </w:rPr>
      </w:pPr>
      <w:r>
        <w:rPr>
          <w:rFonts w:hint="eastAsia" w:ascii="宋体" w:hAnsi="宋体"/>
          <w:snapToGrid w:val="0"/>
          <w:kern w:val="0"/>
          <w:szCs w:val="24"/>
        </w:rPr>
        <w:t>合同款项支付前需由乙方提出付款申请并提供等额的增值税专用发票，经甲方审批确认以后14个工作日内支付。</w:t>
      </w:r>
    </w:p>
    <w:p>
      <w:pPr>
        <w:adjustRightInd w:val="0"/>
        <w:snapToGrid w:val="0"/>
        <w:spacing w:line="560" w:lineRule="exact"/>
        <w:ind w:firstLine="482"/>
        <w:jc w:val="left"/>
        <w:textAlignment w:val="baseline"/>
        <w:rPr>
          <w:rFonts w:ascii="宋体" w:hAnsi="宋体"/>
          <w:kern w:val="0"/>
          <w:szCs w:val="24"/>
        </w:rPr>
      </w:pPr>
      <w:r>
        <w:rPr>
          <w:rFonts w:ascii="宋体" w:hAnsi="宋体"/>
          <w:kern w:val="0"/>
          <w:szCs w:val="24"/>
        </w:rPr>
        <w:t>五、乙方在此立约，保证全部按照本合同规定向甲方提供成果和服务。</w:t>
      </w:r>
    </w:p>
    <w:p>
      <w:pPr>
        <w:adjustRightInd w:val="0"/>
        <w:snapToGrid w:val="0"/>
        <w:spacing w:line="560" w:lineRule="exact"/>
        <w:ind w:firstLine="480"/>
        <w:jc w:val="left"/>
        <w:textAlignment w:val="baseline"/>
        <w:rPr>
          <w:rFonts w:ascii="宋体" w:hAnsi="宋体"/>
          <w:kern w:val="0"/>
          <w:szCs w:val="24"/>
        </w:rPr>
      </w:pPr>
      <w:r>
        <w:rPr>
          <w:rFonts w:ascii="宋体" w:hAnsi="宋体"/>
          <w:kern w:val="0"/>
          <w:szCs w:val="24"/>
        </w:rPr>
        <w:t>六、作为对所提供的成果和服务以及修补缺陷的报酬，甲方在此立约，保证按合同规定的方式和时间向乙方支付合同价款。</w:t>
      </w:r>
    </w:p>
    <w:p>
      <w:pPr>
        <w:adjustRightInd w:val="0"/>
        <w:snapToGrid w:val="0"/>
        <w:spacing w:line="560" w:lineRule="exact"/>
        <w:ind w:firstLine="480"/>
        <w:jc w:val="left"/>
        <w:textAlignment w:val="baseline"/>
        <w:rPr>
          <w:rFonts w:ascii="宋体" w:hAnsi="宋体"/>
          <w:kern w:val="0"/>
          <w:szCs w:val="24"/>
        </w:rPr>
      </w:pPr>
      <w:r>
        <w:rPr>
          <w:rFonts w:hint="eastAsia" w:ascii="宋体" w:hAnsi="宋体"/>
          <w:kern w:val="0"/>
          <w:szCs w:val="24"/>
        </w:rPr>
        <w:t>七、如后续本项目建设开发方面发生重大变化，导致工作内容重现重大调整，则后续的工作内容、计费等，双方另行协商。</w:t>
      </w:r>
    </w:p>
    <w:p>
      <w:pPr>
        <w:adjustRightInd w:val="0"/>
        <w:snapToGrid w:val="0"/>
        <w:spacing w:line="560" w:lineRule="exact"/>
        <w:ind w:firstLine="480"/>
        <w:jc w:val="left"/>
        <w:textAlignment w:val="baseline"/>
        <w:rPr>
          <w:rFonts w:ascii="宋体" w:hAnsi="宋体"/>
          <w:kern w:val="0"/>
        </w:rPr>
      </w:pPr>
      <w:r>
        <w:rPr>
          <w:rFonts w:hint="eastAsia" w:ascii="宋体" w:hAnsi="宋体"/>
          <w:kern w:val="0"/>
        </w:rPr>
        <w:t>八</w:t>
      </w:r>
      <w:r>
        <w:rPr>
          <w:rFonts w:ascii="宋体" w:hAnsi="宋体"/>
          <w:kern w:val="0"/>
        </w:rPr>
        <w:t>、本</w:t>
      </w:r>
      <w:r>
        <w:rPr>
          <w:rFonts w:hint="eastAsia" w:ascii="宋体" w:hAnsi="宋体"/>
          <w:kern w:val="0"/>
        </w:rPr>
        <w:t>合同</w:t>
      </w:r>
      <w:r>
        <w:rPr>
          <w:rFonts w:ascii="宋体" w:hAnsi="宋体"/>
          <w:kern w:val="0"/>
        </w:rPr>
        <w:t>一式</w:t>
      </w:r>
      <w:r>
        <w:rPr>
          <w:rFonts w:ascii="宋体" w:hAnsi="宋体"/>
          <w:kern w:val="0"/>
        </w:rPr>
        <w:fldChar w:fldCharType="begin"/>
      </w:r>
      <w:r>
        <w:rPr>
          <w:rFonts w:ascii="宋体" w:hAnsi="宋体"/>
          <w:kern w:val="0"/>
        </w:rPr>
        <w:instrText xml:space="preserve"> </w:instrText>
      </w:r>
      <w:r>
        <w:rPr>
          <w:rFonts w:hint="eastAsia" w:ascii="宋体" w:hAnsi="宋体"/>
          <w:kern w:val="0"/>
        </w:rPr>
        <w:instrText xml:space="preserve">= 12 \* CHINESENUM2</w:instrText>
      </w:r>
      <w:r>
        <w:rPr>
          <w:rFonts w:ascii="宋体" w:hAnsi="宋体"/>
          <w:kern w:val="0"/>
        </w:rPr>
        <w:instrText xml:space="preserve"> </w:instrText>
      </w:r>
      <w:r>
        <w:rPr>
          <w:rFonts w:ascii="宋体" w:hAnsi="宋体"/>
          <w:kern w:val="0"/>
        </w:rPr>
        <w:fldChar w:fldCharType="separate"/>
      </w:r>
      <w:r>
        <w:rPr>
          <w:rFonts w:hint="eastAsia" w:ascii="宋体" w:hAnsi="宋体"/>
          <w:kern w:val="0"/>
        </w:rPr>
        <w:t>壹拾贰</w:t>
      </w:r>
      <w:r>
        <w:rPr>
          <w:rFonts w:ascii="宋体" w:hAnsi="宋体"/>
          <w:kern w:val="0"/>
        </w:rPr>
        <w:fldChar w:fldCharType="end"/>
      </w:r>
      <w:r>
        <w:rPr>
          <w:rFonts w:ascii="宋体" w:hAnsi="宋体"/>
          <w:kern w:val="0"/>
        </w:rPr>
        <w:t>份，其中正本</w:t>
      </w:r>
      <w:r>
        <w:rPr>
          <w:rFonts w:ascii="宋体" w:hAnsi="宋体"/>
          <w:kern w:val="0"/>
        </w:rPr>
        <w:fldChar w:fldCharType="begin"/>
      </w:r>
      <w:r>
        <w:rPr>
          <w:rFonts w:ascii="宋体" w:hAnsi="宋体"/>
          <w:kern w:val="0"/>
        </w:rPr>
        <w:instrText xml:space="preserve"> </w:instrText>
      </w:r>
      <w:r>
        <w:rPr>
          <w:rFonts w:hint="eastAsia" w:ascii="宋体" w:hAnsi="宋体"/>
          <w:kern w:val="0"/>
        </w:rPr>
        <w:instrText xml:space="preserve">= 2 \* CHINESENUM2</w:instrText>
      </w:r>
      <w:r>
        <w:rPr>
          <w:rFonts w:ascii="宋体" w:hAnsi="宋体"/>
          <w:kern w:val="0"/>
        </w:rPr>
        <w:instrText xml:space="preserve"> </w:instrText>
      </w:r>
      <w:r>
        <w:rPr>
          <w:rFonts w:ascii="宋体" w:hAnsi="宋体"/>
          <w:kern w:val="0"/>
        </w:rPr>
        <w:fldChar w:fldCharType="separate"/>
      </w:r>
      <w:r>
        <w:rPr>
          <w:rFonts w:hint="eastAsia" w:ascii="宋体" w:hAnsi="宋体"/>
          <w:kern w:val="0"/>
        </w:rPr>
        <w:t>贰</w:t>
      </w:r>
      <w:r>
        <w:rPr>
          <w:rFonts w:ascii="宋体" w:hAnsi="宋体"/>
          <w:kern w:val="0"/>
        </w:rPr>
        <w:fldChar w:fldCharType="end"/>
      </w:r>
      <w:r>
        <w:rPr>
          <w:rFonts w:ascii="宋体" w:hAnsi="宋体"/>
          <w:kern w:val="0"/>
        </w:rPr>
        <w:t>份，协议双方各</w:t>
      </w:r>
      <w:r>
        <w:rPr>
          <w:rFonts w:ascii="宋体" w:hAnsi="宋体"/>
          <w:kern w:val="0"/>
        </w:rPr>
        <w:fldChar w:fldCharType="begin"/>
      </w:r>
      <w:r>
        <w:rPr>
          <w:rFonts w:ascii="宋体" w:hAnsi="宋体"/>
          <w:kern w:val="0"/>
        </w:rPr>
        <w:instrText xml:space="preserve"> = 1 \* CHINESENUM2 </w:instrText>
      </w:r>
      <w:r>
        <w:rPr>
          <w:rFonts w:ascii="宋体" w:hAnsi="宋体"/>
          <w:kern w:val="0"/>
        </w:rPr>
        <w:fldChar w:fldCharType="separate"/>
      </w:r>
      <w:r>
        <w:rPr>
          <w:rFonts w:ascii="宋体" w:hAnsi="宋体"/>
          <w:kern w:val="0"/>
        </w:rPr>
        <w:t>壹</w:t>
      </w:r>
      <w:r>
        <w:rPr>
          <w:rFonts w:ascii="宋体" w:hAnsi="宋体"/>
          <w:kern w:val="0"/>
        </w:rPr>
        <w:fldChar w:fldCharType="end"/>
      </w:r>
      <w:r>
        <w:rPr>
          <w:rFonts w:ascii="宋体" w:hAnsi="宋体"/>
          <w:kern w:val="0"/>
        </w:rPr>
        <w:t>份；副本</w:t>
      </w:r>
      <w:r>
        <w:rPr>
          <w:rFonts w:ascii="宋体" w:hAnsi="宋体"/>
          <w:kern w:val="0"/>
        </w:rPr>
        <w:fldChar w:fldCharType="begin"/>
      </w:r>
      <w:r>
        <w:rPr>
          <w:rFonts w:ascii="宋体" w:hAnsi="宋体"/>
          <w:kern w:val="0"/>
        </w:rPr>
        <w:instrText xml:space="preserve"> </w:instrText>
      </w:r>
      <w:r>
        <w:rPr>
          <w:rFonts w:hint="eastAsia" w:ascii="宋体" w:hAnsi="宋体"/>
          <w:kern w:val="0"/>
        </w:rPr>
        <w:instrText xml:space="preserve">= 10 \* CHINESENUM2</w:instrText>
      </w:r>
      <w:r>
        <w:rPr>
          <w:rFonts w:ascii="宋体" w:hAnsi="宋体"/>
          <w:kern w:val="0"/>
        </w:rPr>
        <w:instrText xml:space="preserve"> </w:instrText>
      </w:r>
      <w:r>
        <w:rPr>
          <w:rFonts w:ascii="宋体" w:hAnsi="宋体"/>
          <w:kern w:val="0"/>
        </w:rPr>
        <w:fldChar w:fldCharType="separate"/>
      </w:r>
      <w:r>
        <w:rPr>
          <w:rFonts w:hint="eastAsia" w:ascii="宋体" w:hAnsi="宋体"/>
          <w:kern w:val="0"/>
        </w:rPr>
        <w:t>壹拾</w:t>
      </w:r>
      <w:r>
        <w:rPr>
          <w:rFonts w:ascii="宋体" w:hAnsi="宋体"/>
          <w:kern w:val="0"/>
        </w:rPr>
        <w:fldChar w:fldCharType="end"/>
      </w:r>
      <w:r>
        <w:rPr>
          <w:rFonts w:hint="eastAsia" w:ascii="宋体" w:hAnsi="宋体"/>
          <w:kern w:val="0"/>
        </w:rPr>
        <w:t>份，</w:t>
      </w:r>
      <w:r>
        <w:rPr>
          <w:rFonts w:ascii="宋体" w:hAnsi="宋体"/>
          <w:kern w:val="0"/>
        </w:rPr>
        <w:t>甲方</w:t>
      </w:r>
      <w:r>
        <w:rPr>
          <w:rFonts w:ascii="宋体" w:hAnsi="宋体"/>
          <w:kern w:val="0"/>
        </w:rPr>
        <w:fldChar w:fldCharType="begin"/>
      </w:r>
      <w:r>
        <w:rPr>
          <w:rFonts w:ascii="宋体" w:hAnsi="宋体"/>
          <w:kern w:val="0"/>
        </w:rPr>
        <w:instrText xml:space="preserve"> </w:instrText>
      </w:r>
      <w:r>
        <w:rPr>
          <w:rFonts w:hint="eastAsia" w:ascii="宋体" w:hAnsi="宋体"/>
          <w:kern w:val="0"/>
        </w:rPr>
        <w:instrText xml:space="preserve">= 8 \* CHINESENUM2</w:instrText>
      </w:r>
      <w:r>
        <w:rPr>
          <w:rFonts w:ascii="宋体" w:hAnsi="宋体"/>
          <w:kern w:val="0"/>
        </w:rPr>
        <w:instrText xml:space="preserve"> </w:instrText>
      </w:r>
      <w:r>
        <w:rPr>
          <w:rFonts w:ascii="宋体" w:hAnsi="宋体"/>
          <w:kern w:val="0"/>
        </w:rPr>
        <w:fldChar w:fldCharType="separate"/>
      </w:r>
      <w:r>
        <w:rPr>
          <w:rFonts w:hint="eastAsia" w:ascii="宋体" w:hAnsi="宋体"/>
          <w:kern w:val="0"/>
        </w:rPr>
        <w:t>捌</w:t>
      </w:r>
      <w:r>
        <w:rPr>
          <w:rFonts w:ascii="宋体" w:hAnsi="宋体"/>
          <w:kern w:val="0"/>
        </w:rPr>
        <w:fldChar w:fldCharType="end"/>
      </w:r>
      <w:r>
        <w:rPr>
          <w:rFonts w:ascii="宋体" w:hAnsi="宋体"/>
          <w:kern w:val="0"/>
        </w:rPr>
        <w:t>份</w:t>
      </w:r>
      <w:r>
        <w:rPr>
          <w:rFonts w:hint="eastAsia" w:ascii="宋体" w:hAnsi="宋体"/>
          <w:kern w:val="0"/>
        </w:rPr>
        <w:t>、</w:t>
      </w:r>
      <w:r>
        <w:rPr>
          <w:rFonts w:ascii="宋体" w:hAnsi="宋体"/>
          <w:kern w:val="0"/>
        </w:rPr>
        <w:t>乙方</w:t>
      </w:r>
      <w:r>
        <w:rPr>
          <w:rFonts w:ascii="宋体" w:hAnsi="宋体"/>
          <w:kern w:val="0"/>
        </w:rPr>
        <w:fldChar w:fldCharType="begin"/>
      </w:r>
      <w:r>
        <w:rPr>
          <w:rFonts w:ascii="宋体" w:hAnsi="宋体"/>
          <w:kern w:val="0"/>
        </w:rPr>
        <w:instrText xml:space="preserve"> </w:instrText>
      </w:r>
      <w:r>
        <w:rPr>
          <w:rFonts w:hint="eastAsia" w:ascii="宋体" w:hAnsi="宋体"/>
          <w:kern w:val="0"/>
        </w:rPr>
        <w:instrText xml:space="preserve">= 2 \* CHINESENUM2</w:instrText>
      </w:r>
      <w:r>
        <w:rPr>
          <w:rFonts w:ascii="宋体" w:hAnsi="宋体"/>
          <w:kern w:val="0"/>
        </w:rPr>
        <w:instrText xml:space="preserve"> </w:instrText>
      </w:r>
      <w:r>
        <w:rPr>
          <w:rFonts w:ascii="宋体" w:hAnsi="宋体"/>
          <w:kern w:val="0"/>
        </w:rPr>
        <w:fldChar w:fldCharType="separate"/>
      </w:r>
      <w:r>
        <w:rPr>
          <w:rFonts w:hint="eastAsia" w:ascii="宋体" w:hAnsi="宋体"/>
          <w:kern w:val="0"/>
        </w:rPr>
        <w:t>贰</w:t>
      </w:r>
      <w:r>
        <w:rPr>
          <w:rFonts w:ascii="宋体" w:hAnsi="宋体"/>
          <w:kern w:val="0"/>
        </w:rPr>
        <w:fldChar w:fldCharType="end"/>
      </w:r>
      <w:r>
        <w:rPr>
          <w:rFonts w:ascii="宋体" w:hAnsi="宋体"/>
          <w:kern w:val="0"/>
        </w:rPr>
        <w:t>份。本协议自双方签字盖章之日起生效。</w:t>
      </w:r>
    </w:p>
    <w:p>
      <w:pPr>
        <w:adjustRightInd w:val="0"/>
        <w:snapToGrid w:val="0"/>
        <w:spacing w:line="560" w:lineRule="exact"/>
        <w:ind w:firstLine="480"/>
        <w:jc w:val="left"/>
        <w:textAlignment w:val="baseline"/>
        <w:rPr>
          <w:rFonts w:ascii="宋体" w:hAnsi="宋体"/>
          <w:kern w:val="0"/>
          <w:szCs w:val="24"/>
        </w:rPr>
        <w:sectPr>
          <w:footerReference r:id="rId18" w:type="default"/>
          <w:pgSz w:w="11906" w:h="16838"/>
          <w:pgMar w:top="1440" w:right="1800" w:bottom="1440" w:left="1800" w:header="851" w:footer="992" w:gutter="0"/>
          <w:pgNumType w:start="1"/>
          <w:cols w:space="720" w:num="1"/>
          <w:docGrid w:type="lines" w:linePitch="312" w:charSpace="0"/>
        </w:sectPr>
      </w:pPr>
      <w:r>
        <w:rPr>
          <w:rFonts w:hint="eastAsia" w:ascii="宋体" w:hAnsi="宋体"/>
          <w:kern w:val="0"/>
          <w:szCs w:val="24"/>
        </w:rPr>
        <w:t>九、附件：报价清单</w:t>
      </w:r>
      <w:r>
        <w:rPr>
          <w:rFonts w:hint="eastAsia" w:ascii="宋体" w:hAnsi="宋体"/>
        </w:rPr>
        <w:t>。</w:t>
      </w:r>
    </w:p>
    <w:p>
      <w:pPr>
        <w:adjustRightInd w:val="0"/>
        <w:snapToGrid w:val="0"/>
        <w:spacing w:line="360" w:lineRule="auto"/>
        <w:jc w:val="left"/>
        <w:outlineLvl w:val="1"/>
        <w:rPr>
          <w:rFonts w:ascii="宋体" w:hAnsi="宋体"/>
          <w:b/>
          <w:sz w:val="28"/>
          <w:szCs w:val="28"/>
        </w:rPr>
      </w:pPr>
      <w:r>
        <w:rPr>
          <w:rFonts w:hint="eastAsia" w:ascii="宋体" w:hAnsi="宋体"/>
          <w:b/>
          <w:sz w:val="28"/>
          <w:szCs w:val="28"/>
        </w:rPr>
        <w:t>（此页无正文）</w:t>
      </w:r>
    </w:p>
    <w:tbl>
      <w:tblPr>
        <w:tblStyle w:val="14"/>
        <w:tblW w:w="9923" w:type="dxa"/>
        <w:tblInd w:w="-318" w:type="dxa"/>
        <w:tblLayout w:type="fixed"/>
        <w:tblCellMar>
          <w:top w:w="0" w:type="dxa"/>
          <w:left w:w="108" w:type="dxa"/>
          <w:bottom w:w="0" w:type="dxa"/>
          <w:right w:w="108" w:type="dxa"/>
        </w:tblCellMar>
      </w:tblPr>
      <w:tblGrid>
        <w:gridCol w:w="2269"/>
        <w:gridCol w:w="2835"/>
        <w:gridCol w:w="1843"/>
        <w:gridCol w:w="2976"/>
      </w:tblGrid>
      <w:tr>
        <w:tblPrEx>
          <w:tblCellMar>
            <w:top w:w="0" w:type="dxa"/>
            <w:left w:w="108" w:type="dxa"/>
            <w:bottom w:w="0" w:type="dxa"/>
            <w:right w:w="108" w:type="dxa"/>
          </w:tblCellMar>
        </w:tblPrEx>
        <w:trPr>
          <w:trHeight w:val="1134" w:hRule="exact"/>
        </w:trPr>
        <w:tc>
          <w:tcPr>
            <w:tcW w:w="2269" w:type="dxa"/>
          </w:tcPr>
          <w:p>
            <w:pPr>
              <w:rPr>
                <w:rFonts w:ascii="宋体" w:hAnsi="宋体"/>
                <w:b/>
                <w:sz w:val="30"/>
                <w:szCs w:val="30"/>
              </w:rPr>
            </w:pPr>
            <w:r>
              <w:rPr>
                <w:rFonts w:hint="eastAsia" w:ascii="宋体" w:hAnsi="宋体"/>
                <w:b/>
                <w:sz w:val="30"/>
                <w:szCs w:val="30"/>
              </w:rPr>
              <w:t>甲方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835" w:type="dxa"/>
          </w:tcPr>
          <w:p>
            <w:pPr>
              <w:spacing w:before="25" w:line="240" w:lineRule="atLeast"/>
              <w:rPr>
                <w:rFonts w:ascii="宋体" w:hAnsi="宋体"/>
                <w:b/>
                <w:sz w:val="28"/>
                <w:szCs w:val="28"/>
              </w:rPr>
            </w:pPr>
          </w:p>
        </w:tc>
        <w:tc>
          <w:tcPr>
            <w:tcW w:w="1843" w:type="dxa"/>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住    所：</w:t>
            </w:r>
          </w:p>
        </w:tc>
        <w:tc>
          <w:tcPr>
            <w:tcW w:w="2835" w:type="dxa"/>
          </w:tcPr>
          <w:p>
            <w:pPr>
              <w:rPr>
                <w:rFonts w:ascii="宋体" w:hAnsi="宋体"/>
              </w:rPr>
            </w:pPr>
          </w:p>
        </w:tc>
        <w:tc>
          <w:tcPr>
            <w:tcW w:w="1843" w:type="dxa"/>
          </w:tcPr>
          <w:p>
            <w:pPr>
              <w:rPr>
                <w:rFonts w:ascii="宋体" w:hAnsi="宋体"/>
              </w:rPr>
            </w:pP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电    话：</w:t>
            </w:r>
          </w:p>
        </w:tc>
        <w:tc>
          <w:tcPr>
            <w:tcW w:w="2835" w:type="dxa"/>
          </w:tcPr>
          <w:p>
            <w:pPr>
              <w:rPr>
                <w:rFonts w:ascii="宋体" w:hAnsi="宋体"/>
              </w:rPr>
            </w:pPr>
          </w:p>
        </w:tc>
        <w:tc>
          <w:tcPr>
            <w:tcW w:w="1843" w:type="dxa"/>
          </w:tcPr>
          <w:p>
            <w:pPr>
              <w:rPr>
                <w:rFonts w:ascii="宋体" w:hAnsi="宋体"/>
              </w:rPr>
            </w:pPr>
            <w:r>
              <w:rPr>
                <w:rFonts w:ascii="宋体" w:hAnsi="宋体"/>
              </w:rPr>
              <w:t>传    真：</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开户银行：</w:t>
            </w:r>
          </w:p>
        </w:tc>
        <w:tc>
          <w:tcPr>
            <w:tcW w:w="2835" w:type="dxa"/>
          </w:tcPr>
          <w:p>
            <w:pPr>
              <w:rPr>
                <w:rFonts w:ascii="宋体" w:hAnsi="宋体"/>
              </w:rPr>
            </w:pPr>
          </w:p>
        </w:tc>
        <w:tc>
          <w:tcPr>
            <w:tcW w:w="1843" w:type="dxa"/>
          </w:tcPr>
          <w:p>
            <w:pPr>
              <w:rPr>
                <w:rFonts w:ascii="宋体" w:hAnsi="宋体"/>
              </w:rPr>
            </w:pPr>
            <w:r>
              <w:rPr>
                <w:rFonts w:ascii="宋体" w:hAnsi="宋体"/>
              </w:rPr>
              <w:t>开户全名：</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jc w:val="left"/>
              <w:rPr>
                <w:rFonts w:ascii="宋体" w:hAnsi="宋体"/>
              </w:rPr>
            </w:pPr>
            <w:r>
              <w:rPr>
                <w:rFonts w:ascii="宋体" w:hAnsi="宋体"/>
              </w:rPr>
              <w:t xml:space="preserve">账  </w:t>
            </w:r>
            <w:r>
              <w:rPr>
                <w:rFonts w:hint="eastAsia" w:ascii="宋体" w:hAnsi="宋体"/>
              </w:rPr>
              <w:t xml:space="preserve">  </w:t>
            </w:r>
            <w:r>
              <w:rPr>
                <w:rFonts w:ascii="宋体" w:hAnsi="宋体"/>
              </w:rPr>
              <w:t>号</w:t>
            </w:r>
            <w:r>
              <w:rPr>
                <w:rFonts w:hint="eastAsia" w:ascii="宋体" w:hAnsi="宋体"/>
              </w:rPr>
              <w:t>：</w:t>
            </w:r>
          </w:p>
        </w:tc>
        <w:tc>
          <w:tcPr>
            <w:tcW w:w="2835" w:type="dxa"/>
          </w:tcPr>
          <w:p>
            <w:pPr>
              <w:rPr>
                <w:rFonts w:ascii="宋体" w:hAnsi="宋体"/>
              </w:rPr>
            </w:pPr>
          </w:p>
        </w:tc>
        <w:tc>
          <w:tcPr>
            <w:tcW w:w="1843" w:type="dxa"/>
          </w:tcPr>
          <w:p>
            <w:pPr>
              <w:rPr>
                <w:rFonts w:ascii="宋体" w:hAnsi="宋体"/>
              </w:rPr>
            </w:pPr>
            <w:r>
              <w:rPr>
                <w:rFonts w:ascii="宋体" w:hAnsi="宋体"/>
              </w:rPr>
              <w:t>邮政编码：</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hint="eastAsia" w:ascii="宋体" w:hAnsi="宋体"/>
              </w:rPr>
              <w:t xml:space="preserve">项目主管部门经办人及电话：           </w:t>
            </w:r>
          </w:p>
        </w:tc>
        <w:tc>
          <w:tcPr>
            <w:tcW w:w="2835" w:type="dxa"/>
          </w:tcPr>
          <w:p>
            <w:pPr>
              <w:rPr>
                <w:rFonts w:ascii="宋体" w:hAnsi="宋体"/>
                <w:szCs w:val="21"/>
              </w:rPr>
            </w:pPr>
          </w:p>
        </w:tc>
        <w:tc>
          <w:tcPr>
            <w:tcW w:w="1843" w:type="dxa"/>
          </w:tcPr>
          <w:p>
            <w:pPr>
              <w:rPr>
                <w:rFonts w:ascii="宋体" w:hAnsi="宋体"/>
              </w:rPr>
            </w:pPr>
            <w:r>
              <w:rPr>
                <w:rFonts w:hint="eastAsia" w:ascii="宋体" w:hAnsi="宋体"/>
              </w:rPr>
              <w:t>项目主管部门审核人：</w:t>
            </w:r>
          </w:p>
        </w:tc>
        <w:tc>
          <w:tcPr>
            <w:tcW w:w="2976" w:type="dxa"/>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hint="eastAsia" w:ascii="宋体" w:hAnsi="宋体"/>
              </w:rPr>
              <w:t>合约部门经办人及电话:</w:t>
            </w:r>
          </w:p>
        </w:tc>
        <w:tc>
          <w:tcPr>
            <w:tcW w:w="2835" w:type="dxa"/>
          </w:tcPr>
          <w:p>
            <w:pPr>
              <w:rPr>
                <w:rFonts w:ascii="宋体" w:hAnsi="宋体"/>
                <w:szCs w:val="21"/>
              </w:rPr>
            </w:pPr>
          </w:p>
        </w:tc>
        <w:tc>
          <w:tcPr>
            <w:tcW w:w="1843" w:type="dxa"/>
          </w:tcPr>
          <w:p>
            <w:pPr>
              <w:rPr>
                <w:rFonts w:ascii="宋体" w:hAnsi="宋体"/>
              </w:rPr>
            </w:pPr>
            <w:r>
              <w:rPr>
                <w:rFonts w:hint="eastAsia" w:ascii="宋体" w:hAnsi="宋体"/>
              </w:rPr>
              <w:t>合约部门审核人：</w:t>
            </w:r>
          </w:p>
        </w:tc>
        <w:tc>
          <w:tcPr>
            <w:tcW w:w="2976" w:type="dxa"/>
          </w:tcPr>
          <w:p>
            <w:pPr>
              <w:rPr>
                <w:rFonts w:ascii="宋体" w:hAnsi="宋体"/>
                <w:szCs w:val="21"/>
              </w:rPr>
            </w:pPr>
          </w:p>
        </w:tc>
      </w:tr>
      <w:tr>
        <w:tblPrEx>
          <w:tblCellMar>
            <w:top w:w="0" w:type="dxa"/>
            <w:left w:w="108" w:type="dxa"/>
            <w:bottom w:w="0" w:type="dxa"/>
            <w:right w:w="108" w:type="dxa"/>
          </w:tblCellMar>
        </w:tblPrEx>
        <w:trPr>
          <w:trHeight w:val="680" w:hRule="exact"/>
        </w:trPr>
        <w:tc>
          <w:tcPr>
            <w:tcW w:w="9923" w:type="dxa"/>
            <w:gridSpan w:val="4"/>
          </w:tcPr>
          <w:p>
            <w:pPr>
              <w:rPr>
                <w:rFonts w:ascii="宋体" w:hAnsi="宋体"/>
                <w:szCs w:val="21"/>
              </w:rPr>
            </w:pPr>
          </w:p>
        </w:tc>
      </w:tr>
      <w:tr>
        <w:tblPrEx>
          <w:tblCellMar>
            <w:top w:w="0" w:type="dxa"/>
            <w:left w:w="108" w:type="dxa"/>
            <w:bottom w:w="0" w:type="dxa"/>
            <w:right w:w="108" w:type="dxa"/>
          </w:tblCellMar>
        </w:tblPrEx>
        <w:trPr>
          <w:trHeight w:val="1134" w:hRule="exact"/>
        </w:trPr>
        <w:tc>
          <w:tcPr>
            <w:tcW w:w="2269" w:type="dxa"/>
          </w:tcPr>
          <w:p>
            <w:pPr>
              <w:rPr>
                <w:rFonts w:ascii="宋体" w:hAnsi="宋体"/>
                <w:b/>
                <w:sz w:val="30"/>
                <w:szCs w:val="30"/>
              </w:rPr>
            </w:pPr>
            <w:r>
              <w:rPr>
                <w:rFonts w:hint="eastAsia" w:ascii="宋体" w:hAnsi="宋体"/>
                <w:b/>
                <w:sz w:val="30"/>
                <w:szCs w:val="30"/>
              </w:rPr>
              <w:t>乙方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835" w:type="dxa"/>
          </w:tcPr>
          <w:p>
            <w:pPr>
              <w:spacing w:before="25" w:line="240" w:lineRule="atLeast"/>
              <w:ind w:left="-122" w:leftChars="-51"/>
              <w:jc w:val="left"/>
              <w:rPr>
                <w:rFonts w:ascii="宋体" w:hAnsi="宋体"/>
                <w:b/>
                <w:sz w:val="30"/>
                <w:szCs w:val="30"/>
              </w:rPr>
            </w:pPr>
          </w:p>
        </w:tc>
        <w:tc>
          <w:tcPr>
            <w:tcW w:w="1843" w:type="dxa"/>
          </w:tcPr>
          <w:p>
            <w:pPr>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住    所：</w:t>
            </w:r>
          </w:p>
        </w:tc>
        <w:tc>
          <w:tcPr>
            <w:tcW w:w="2835" w:type="dxa"/>
          </w:tcPr>
          <w:p>
            <w:pPr>
              <w:rPr>
                <w:rFonts w:ascii="宋体" w:hAnsi="宋体"/>
              </w:rPr>
            </w:pPr>
          </w:p>
        </w:tc>
        <w:tc>
          <w:tcPr>
            <w:tcW w:w="1843" w:type="dxa"/>
          </w:tcPr>
          <w:p>
            <w:pPr>
              <w:rPr>
                <w:rFonts w:ascii="宋体" w:hAnsi="宋体"/>
              </w:rPr>
            </w:pPr>
          </w:p>
        </w:tc>
        <w:tc>
          <w:tcPr>
            <w:tcW w:w="2976" w:type="dxa"/>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电    话：</w:t>
            </w:r>
          </w:p>
        </w:tc>
        <w:tc>
          <w:tcPr>
            <w:tcW w:w="2835" w:type="dxa"/>
          </w:tcPr>
          <w:p>
            <w:pPr>
              <w:rPr>
                <w:rFonts w:ascii="宋体" w:hAnsi="宋体"/>
              </w:rPr>
            </w:pPr>
          </w:p>
        </w:tc>
        <w:tc>
          <w:tcPr>
            <w:tcW w:w="1843" w:type="dxa"/>
          </w:tcPr>
          <w:p>
            <w:pPr>
              <w:rPr>
                <w:rFonts w:ascii="宋体" w:hAnsi="宋体"/>
              </w:rPr>
            </w:pPr>
            <w:r>
              <w:rPr>
                <w:rFonts w:ascii="宋体" w:hAnsi="宋体"/>
              </w:rPr>
              <w:t>传    真：</w:t>
            </w:r>
          </w:p>
        </w:tc>
        <w:tc>
          <w:tcPr>
            <w:tcW w:w="2976" w:type="dxa"/>
          </w:tcPr>
          <w:p>
            <w:pPr>
              <w:rPr>
                <w:rFonts w:ascii="宋体" w:hAnsi="宋体"/>
                <w:szCs w:val="24"/>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开户银行：</w:t>
            </w:r>
          </w:p>
        </w:tc>
        <w:tc>
          <w:tcPr>
            <w:tcW w:w="2835" w:type="dxa"/>
          </w:tcPr>
          <w:p>
            <w:pPr>
              <w:rPr>
                <w:rFonts w:ascii="宋体" w:hAnsi="宋体"/>
              </w:rPr>
            </w:pPr>
          </w:p>
        </w:tc>
        <w:tc>
          <w:tcPr>
            <w:tcW w:w="1843" w:type="dxa"/>
          </w:tcPr>
          <w:p>
            <w:pPr>
              <w:rPr>
                <w:rFonts w:ascii="宋体" w:hAnsi="宋体"/>
              </w:rPr>
            </w:pPr>
            <w:r>
              <w:rPr>
                <w:rFonts w:ascii="宋体" w:hAnsi="宋体"/>
              </w:rPr>
              <w:t>开户全名：</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账    号</w:t>
            </w:r>
            <w:r>
              <w:rPr>
                <w:rFonts w:hint="eastAsia" w:ascii="宋体" w:hAnsi="宋体"/>
              </w:rPr>
              <w:t>：</w:t>
            </w:r>
          </w:p>
        </w:tc>
        <w:tc>
          <w:tcPr>
            <w:tcW w:w="2835" w:type="dxa"/>
          </w:tcPr>
          <w:p>
            <w:pPr>
              <w:rPr>
                <w:rFonts w:ascii="宋体" w:hAnsi="宋体"/>
              </w:rPr>
            </w:pPr>
          </w:p>
        </w:tc>
        <w:tc>
          <w:tcPr>
            <w:tcW w:w="1843" w:type="dxa"/>
          </w:tcPr>
          <w:p>
            <w:pPr>
              <w:rPr>
                <w:rFonts w:ascii="宋体" w:hAnsi="宋体"/>
              </w:rPr>
            </w:pPr>
            <w:r>
              <w:rPr>
                <w:rFonts w:ascii="宋体" w:hAnsi="宋体"/>
              </w:rPr>
              <w:t>邮政编码：</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hint="eastAsia" w:ascii="宋体" w:hAnsi="宋体"/>
              </w:rPr>
              <w:t>经办人：</w:t>
            </w:r>
          </w:p>
        </w:tc>
        <w:tc>
          <w:tcPr>
            <w:tcW w:w="2835" w:type="dxa"/>
          </w:tcPr>
          <w:p>
            <w:pPr>
              <w:rPr>
                <w:rFonts w:ascii="宋体" w:hAnsi="宋体"/>
                <w:szCs w:val="24"/>
              </w:rPr>
            </w:pPr>
          </w:p>
        </w:tc>
        <w:tc>
          <w:tcPr>
            <w:tcW w:w="1843" w:type="dxa"/>
          </w:tcPr>
          <w:p>
            <w:pPr>
              <w:rPr>
                <w:rFonts w:ascii="宋体" w:hAnsi="宋体"/>
              </w:rPr>
            </w:pPr>
            <w:r>
              <w:rPr>
                <w:rFonts w:hint="eastAsia" w:ascii="宋体" w:hAnsi="宋体"/>
              </w:rPr>
              <w:t>经办人电话：</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9923" w:type="dxa"/>
            <w:gridSpan w:val="4"/>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tcPr>
          <w:p>
            <w:pPr>
              <w:rPr>
                <w:rFonts w:ascii="宋体" w:hAnsi="宋体"/>
                <w:b/>
              </w:rPr>
            </w:pPr>
            <w:r>
              <w:rPr>
                <w:rFonts w:hint="eastAsia" w:ascii="宋体" w:hAnsi="宋体"/>
                <w:b/>
              </w:rPr>
              <w:t>合同签署地点：</w:t>
            </w:r>
          </w:p>
        </w:tc>
        <w:tc>
          <w:tcPr>
            <w:tcW w:w="2835" w:type="dxa"/>
          </w:tcPr>
          <w:p>
            <w:pPr>
              <w:rPr>
                <w:rFonts w:ascii="宋体" w:hAnsi="宋体"/>
                <w:b/>
                <w:szCs w:val="21"/>
              </w:rPr>
            </w:pPr>
            <w:r>
              <w:rPr>
                <w:rFonts w:hint="eastAsia" w:ascii="宋体" w:hAnsi="宋体"/>
                <w:b/>
                <w:szCs w:val="21"/>
              </w:rPr>
              <w:t>深   圳</w:t>
            </w:r>
          </w:p>
        </w:tc>
        <w:tc>
          <w:tcPr>
            <w:tcW w:w="1843" w:type="dxa"/>
          </w:tcPr>
          <w:p>
            <w:pPr>
              <w:rPr>
                <w:rFonts w:ascii="宋体" w:hAnsi="宋体"/>
              </w:rPr>
            </w:pPr>
          </w:p>
        </w:tc>
        <w:tc>
          <w:tcPr>
            <w:tcW w:w="2976" w:type="dxa"/>
          </w:tcPr>
          <w:p>
            <w:pPr>
              <w:rPr>
                <w:rFonts w:ascii="宋体" w:hAnsi="宋体"/>
                <w:szCs w:val="21"/>
                <w:highlight w:val="yellow"/>
              </w:rPr>
            </w:pPr>
          </w:p>
        </w:tc>
      </w:tr>
      <w:tr>
        <w:tblPrEx>
          <w:tblCellMar>
            <w:top w:w="0" w:type="dxa"/>
            <w:left w:w="108" w:type="dxa"/>
            <w:bottom w:w="0" w:type="dxa"/>
            <w:right w:w="108" w:type="dxa"/>
          </w:tblCellMar>
        </w:tblPrEx>
        <w:trPr>
          <w:trHeight w:val="680" w:hRule="exact"/>
        </w:trPr>
        <w:tc>
          <w:tcPr>
            <w:tcW w:w="2269" w:type="dxa"/>
          </w:tcPr>
          <w:p>
            <w:pPr>
              <w:rPr>
                <w:rFonts w:ascii="宋体" w:hAnsi="宋体"/>
                <w:b/>
              </w:rPr>
            </w:pPr>
            <w:r>
              <w:rPr>
                <w:rFonts w:hint="eastAsia" w:ascii="宋体" w:hAnsi="宋体"/>
                <w:b/>
              </w:rPr>
              <w:t>时      间：</w:t>
            </w:r>
          </w:p>
        </w:tc>
        <w:tc>
          <w:tcPr>
            <w:tcW w:w="2835" w:type="dxa"/>
          </w:tcPr>
          <w:p>
            <w:pPr>
              <w:rPr>
                <w:rFonts w:ascii="宋体" w:hAnsi="宋体"/>
                <w:b/>
                <w:szCs w:val="21"/>
              </w:rPr>
            </w:pPr>
            <w:r>
              <w:rPr>
                <w:rFonts w:hint="eastAsia" w:ascii="宋体" w:hAnsi="宋体"/>
                <w:b/>
                <w:szCs w:val="21"/>
              </w:rPr>
              <w:t>202</w:t>
            </w:r>
            <w:r>
              <w:rPr>
                <w:rFonts w:ascii="宋体" w:hAnsi="宋体"/>
                <w:b/>
                <w:szCs w:val="21"/>
              </w:rPr>
              <w:t>2</w:t>
            </w:r>
            <w:r>
              <w:rPr>
                <w:rFonts w:hint="eastAsia" w:ascii="宋体" w:hAnsi="宋体"/>
                <w:b/>
                <w:szCs w:val="21"/>
              </w:rPr>
              <w:t xml:space="preserve">年  </w:t>
            </w:r>
            <w:r>
              <w:rPr>
                <w:rFonts w:ascii="宋体" w:hAnsi="宋体"/>
                <w:b/>
                <w:szCs w:val="21"/>
              </w:rPr>
              <w:t xml:space="preserve">    </w:t>
            </w:r>
            <w:r>
              <w:rPr>
                <w:rFonts w:hint="eastAsia" w:ascii="宋体" w:hAnsi="宋体"/>
                <w:b/>
                <w:szCs w:val="21"/>
              </w:rPr>
              <w:t xml:space="preserve"> 月 </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日</w:t>
            </w:r>
          </w:p>
        </w:tc>
        <w:tc>
          <w:tcPr>
            <w:tcW w:w="1843" w:type="dxa"/>
          </w:tcPr>
          <w:p>
            <w:pPr>
              <w:rPr>
                <w:rFonts w:ascii="宋体" w:hAnsi="宋体"/>
              </w:rPr>
            </w:pPr>
          </w:p>
        </w:tc>
        <w:tc>
          <w:tcPr>
            <w:tcW w:w="2976" w:type="dxa"/>
          </w:tcPr>
          <w:p>
            <w:pPr>
              <w:rPr>
                <w:rFonts w:ascii="宋体" w:hAnsi="宋体"/>
                <w:szCs w:val="21"/>
                <w:highlight w:val="yellow"/>
              </w:rPr>
            </w:pPr>
          </w:p>
        </w:tc>
      </w:tr>
    </w:tbl>
    <w:p>
      <w:pPr>
        <w:adjustRightInd w:val="0"/>
        <w:snapToGrid w:val="0"/>
        <w:spacing w:line="360" w:lineRule="auto"/>
        <w:ind w:firstLine="560"/>
        <w:jc w:val="center"/>
        <w:outlineLvl w:val="1"/>
        <w:rPr>
          <w:rFonts w:ascii="宋体" w:hAnsi="宋体"/>
        </w:rPr>
        <w:sectPr>
          <w:pgSz w:w="11906" w:h="16838"/>
          <w:pgMar w:top="1440" w:right="1800" w:bottom="1440" w:left="1800" w:header="851" w:footer="992" w:gutter="0"/>
          <w:cols w:space="720" w:num="1"/>
          <w:docGrid w:type="lines" w:linePitch="312" w:charSpace="0"/>
        </w:sectPr>
      </w:pPr>
    </w:p>
    <w:p>
      <w:pPr>
        <w:adjustRightInd w:val="0"/>
        <w:snapToGrid w:val="0"/>
        <w:spacing w:line="360" w:lineRule="auto"/>
        <w:outlineLvl w:val="1"/>
        <w:rPr>
          <w:rFonts w:ascii="宋体" w:hAnsi="宋体"/>
          <w:b/>
          <w:bCs/>
          <w:sz w:val="28"/>
          <w:szCs w:val="28"/>
        </w:rPr>
      </w:pPr>
      <w:r>
        <w:rPr>
          <w:rFonts w:hint="eastAsia" w:ascii="宋体" w:hAnsi="宋体"/>
          <w:b/>
          <w:bCs/>
          <w:sz w:val="28"/>
          <w:szCs w:val="28"/>
        </w:rPr>
        <w:t>附件：报价清单</w:t>
      </w:r>
    </w:p>
    <w:p>
      <w:pPr>
        <w:jc w:val="left"/>
        <w:rPr>
          <w:rFonts w:ascii="宋体" w:hAnsi="宋体" w:cs="宋体-18030"/>
          <w:szCs w:val="24"/>
        </w:rPr>
      </w:pPr>
    </w:p>
    <w:p>
      <w:pPr>
        <w:spacing w:line="560" w:lineRule="exact"/>
        <w:rPr>
          <w:rFonts w:ascii="宋体" w:hAnsi="宋体"/>
        </w:rPr>
      </w:pPr>
    </w:p>
    <w:p>
      <w:pPr>
        <w:spacing w:line="560" w:lineRule="exact"/>
        <w:rPr>
          <w:rFonts w:ascii="宋体" w:hAnsi="宋体"/>
        </w:rPr>
      </w:pPr>
    </w:p>
    <w:p>
      <w:pPr>
        <w:adjustRightInd w:val="0"/>
        <w:snapToGrid w:val="0"/>
        <w:spacing w:line="360" w:lineRule="auto"/>
        <w:outlineLvl w:val="1"/>
        <w:rPr>
          <w:rFonts w:ascii="宋体" w:hAnsi="宋体"/>
          <w:b/>
          <w:bCs/>
          <w:sz w:val="28"/>
          <w:szCs w:val="28"/>
        </w:rPr>
        <w:sectPr>
          <w:pgSz w:w="11906" w:h="16838"/>
          <w:pgMar w:top="1440" w:right="1800" w:bottom="1440" w:left="1800" w:header="851" w:footer="992" w:gutter="0"/>
          <w:cols w:space="720" w:num="1"/>
          <w:docGrid w:type="lines" w:linePitch="312" w:charSpace="0"/>
        </w:sectPr>
      </w:pPr>
    </w:p>
    <w:p>
      <w:pPr>
        <w:spacing w:line="360" w:lineRule="auto"/>
        <w:jc w:val="center"/>
        <w:outlineLvl w:val="1"/>
        <w:rPr>
          <w:rFonts w:ascii="宋体" w:hAnsi="宋体"/>
          <w:b/>
          <w:bCs/>
          <w:kern w:val="0"/>
          <w:sz w:val="32"/>
          <w:szCs w:val="32"/>
        </w:rPr>
      </w:pPr>
      <w:bookmarkStart w:id="209" w:name="_Toc188439095"/>
      <w:bookmarkStart w:id="210" w:name="_Toc196714228"/>
      <w:bookmarkStart w:id="211" w:name="_Toc191203204"/>
      <w:bookmarkStart w:id="212" w:name="_Toc358562905"/>
      <w:r>
        <w:rPr>
          <w:rFonts w:ascii="宋体" w:hAnsi="宋体"/>
          <w:b/>
          <w:bCs/>
          <w:kern w:val="0"/>
          <w:sz w:val="32"/>
          <w:szCs w:val="32"/>
        </w:rPr>
        <w:t>第二部分</w:t>
      </w:r>
      <w:r>
        <w:rPr>
          <w:rFonts w:hint="eastAsia" w:ascii="宋体" w:hAnsi="宋体"/>
          <w:b/>
          <w:bCs/>
          <w:kern w:val="0"/>
          <w:sz w:val="32"/>
          <w:szCs w:val="32"/>
        </w:rPr>
        <w:t xml:space="preserve"> </w:t>
      </w:r>
      <w:r>
        <w:rPr>
          <w:rFonts w:ascii="宋体" w:hAnsi="宋体"/>
          <w:b/>
          <w:bCs/>
          <w:kern w:val="0"/>
          <w:sz w:val="32"/>
          <w:szCs w:val="32"/>
        </w:rPr>
        <w:t>合同条款</w:t>
      </w:r>
      <w:bookmarkEnd w:id="209"/>
      <w:bookmarkEnd w:id="210"/>
      <w:bookmarkEnd w:id="211"/>
      <w:bookmarkEnd w:id="212"/>
    </w:p>
    <w:p>
      <w:pPr>
        <w:jc w:val="center"/>
        <w:rPr>
          <w:rFonts w:ascii="宋体" w:hAnsi="宋体"/>
          <w:b/>
          <w:bCs/>
          <w:sz w:val="32"/>
          <w:szCs w:val="36"/>
        </w:rPr>
      </w:pPr>
      <w:bookmarkStart w:id="213" w:name="_Toc120011519"/>
      <w:bookmarkStart w:id="214" w:name="_Toc118025247"/>
      <w:bookmarkStart w:id="215" w:name="_Toc119136045"/>
      <w:bookmarkStart w:id="216" w:name="_Toc118025122"/>
      <w:bookmarkStart w:id="217" w:name="_Toc183576280"/>
      <w:r>
        <w:rPr>
          <w:rFonts w:hint="eastAsia" w:ascii="宋体" w:hAnsi="宋体"/>
          <w:b/>
          <w:bCs/>
          <w:sz w:val="32"/>
          <w:szCs w:val="36"/>
        </w:rPr>
        <w:t>（1）</w:t>
      </w:r>
      <w:r>
        <w:rPr>
          <w:rFonts w:ascii="宋体" w:hAnsi="宋体"/>
          <w:b/>
          <w:bCs/>
          <w:sz w:val="32"/>
          <w:szCs w:val="36"/>
        </w:rPr>
        <w:t>通用</w:t>
      </w:r>
      <w:bookmarkEnd w:id="213"/>
      <w:bookmarkEnd w:id="214"/>
      <w:bookmarkEnd w:id="215"/>
      <w:bookmarkEnd w:id="216"/>
      <w:bookmarkEnd w:id="217"/>
      <w:r>
        <w:rPr>
          <w:rFonts w:ascii="宋体" w:hAnsi="宋体"/>
          <w:b/>
          <w:bCs/>
          <w:sz w:val="32"/>
          <w:szCs w:val="36"/>
        </w:rPr>
        <w:t>条款</w:t>
      </w:r>
    </w:p>
    <w:p/>
    <w:p>
      <w:pPr>
        <w:autoSpaceDE w:val="0"/>
        <w:autoSpaceDN w:val="0"/>
        <w:adjustRightInd w:val="0"/>
        <w:snapToGrid w:val="0"/>
        <w:spacing w:line="360" w:lineRule="auto"/>
        <w:ind w:left="482"/>
        <w:jc w:val="left"/>
        <w:rPr>
          <w:rFonts w:ascii="宋体" w:hAnsi="宋体"/>
          <w:b/>
        </w:rPr>
      </w:pPr>
      <w:bookmarkStart w:id="218" w:name="_Toc129268158"/>
      <w:bookmarkStart w:id="219" w:name="_Toc129314286"/>
      <w:bookmarkStart w:id="220" w:name="_Toc129321189"/>
      <w:bookmarkStart w:id="221" w:name="_Toc136138480"/>
      <w:bookmarkStart w:id="222" w:name="_Toc129270739"/>
      <w:bookmarkStart w:id="223" w:name="_Toc136138833"/>
      <w:r>
        <w:rPr>
          <w:rFonts w:hint="eastAsia" w:ascii="宋体" w:hAnsi="宋体"/>
          <w:b/>
        </w:rPr>
        <w:t>1、</w:t>
      </w:r>
      <w:r>
        <w:rPr>
          <w:rFonts w:ascii="宋体" w:hAnsi="宋体"/>
          <w:b/>
        </w:rPr>
        <w:t>定义</w:t>
      </w:r>
      <w:bookmarkEnd w:id="218"/>
      <w:bookmarkEnd w:id="219"/>
      <w:bookmarkEnd w:id="220"/>
      <w:bookmarkEnd w:id="221"/>
      <w:bookmarkEnd w:id="222"/>
      <w:bookmarkEnd w:id="223"/>
    </w:p>
    <w:p>
      <w:pPr>
        <w:adjustRightInd w:val="0"/>
        <w:snapToGrid w:val="0"/>
        <w:spacing w:line="360" w:lineRule="auto"/>
        <w:ind w:firstLine="480"/>
        <w:jc w:val="left"/>
        <w:rPr>
          <w:rFonts w:ascii="宋体" w:hAnsi="宋体"/>
          <w:lang w:val="zh-CN"/>
        </w:rPr>
      </w:pPr>
      <w:r>
        <w:rPr>
          <w:rFonts w:ascii="宋体" w:hAnsi="宋体"/>
          <w:lang w:val="zh-CN"/>
        </w:rPr>
        <w:t>在合同中，下列措词和用语应具有此处所赋予它们的含义：</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1.1</w:t>
      </w:r>
      <w:r>
        <w:rPr>
          <w:rFonts w:ascii="宋体" w:hAnsi="宋体"/>
          <w:lang w:val="zh-CN"/>
        </w:rPr>
        <w:t>“合同文件”是指合同协议书、合同专用条款、合同通用条款等。</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1.2</w:t>
      </w:r>
      <w:r>
        <w:rPr>
          <w:rFonts w:ascii="宋体" w:hAnsi="宋体"/>
          <w:lang w:val="zh-CN"/>
        </w:rPr>
        <w:t>“</w:t>
      </w:r>
      <w:r>
        <w:rPr>
          <w:rFonts w:hint="eastAsia" w:ascii="宋体" w:hAnsi="宋体"/>
          <w:lang w:val="zh-CN"/>
        </w:rPr>
        <w:t>轨道交通四期综合开发项目（四）土壤环境初步调查</w:t>
      </w:r>
      <w:r>
        <w:rPr>
          <w:rFonts w:hint="eastAsia" w:ascii="宋体" w:hAnsi="宋体"/>
        </w:rPr>
        <w:t>服务</w:t>
      </w:r>
      <w:r>
        <w:rPr>
          <w:rFonts w:ascii="宋体" w:hAnsi="宋体"/>
          <w:lang w:val="zh-CN"/>
        </w:rPr>
        <w:t>”系指合同规定乙方须承担的</w:t>
      </w:r>
      <w:r>
        <w:rPr>
          <w:rFonts w:hint="eastAsia" w:ascii="宋体" w:hAnsi="宋体"/>
          <w:lang w:val="zh-CN"/>
        </w:rPr>
        <w:t>土壤环境初步调查</w:t>
      </w:r>
      <w:r>
        <w:rPr>
          <w:rFonts w:ascii="宋体" w:hAnsi="宋体"/>
          <w:lang w:val="zh-CN"/>
        </w:rPr>
        <w:t>报告及相关的</w:t>
      </w:r>
      <w:r>
        <w:rPr>
          <w:rFonts w:hint="eastAsia" w:ascii="宋体" w:hAnsi="宋体"/>
          <w:lang w:val="zh-CN"/>
        </w:rPr>
        <w:t>评审</w:t>
      </w:r>
      <w:r>
        <w:rPr>
          <w:rFonts w:ascii="宋体" w:hAnsi="宋体"/>
          <w:lang w:val="zh-CN"/>
        </w:rPr>
        <w:t>联络、配合，以及其它服务。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1.3</w:t>
      </w:r>
      <w:r>
        <w:rPr>
          <w:rFonts w:ascii="宋体" w:hAnsi="宋体"/>
          <w:lang w:val="zh-CN"/>
        </w:rPr>
        <w:t>“</w:t>
      </w:r>
      <w:r>
        <w:rPr>
          <w:rFonts w:hint="eastAsia" w:ascii="宋体" w:hAnsi="宋体"/>
        </w:rPr>
        <w:t>土壤环境初步调查报告</w:t>
      </w:r>
      <w:r>
        <w:rPr>
          <w:rFonts w:ascii="宋体" w:hAnsi="宋体"/>
          <w:lang w:val="zh-CN"/>
        </w:rPr>
        <w:t>”指按合同规定的乙方提供服务的</w:t>
      </w:r>
      <w:r>
        <w:rPr>
          <w:rFonts w:hint="eastAsia" w:ascii="宋体" w:hAnsi="宋体"/>
        </w:rPr>
        <w:t>土壤环境初步调查</w:t>
      </w:r>
      <w:r>
        <w:rPr>
          <w:rFonts w:ascii="宋体" w:hAnsi="宋体"/>
          <w:lang w:val="zh-CN"/>
        </w:rPr>
        <w:t>过程文件、最终成果文件。</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1.4</w:t>
      </w:r>
      <w:r>
        <w:rPr>
          <w:rFonts w:ascii="宋体" w:hAnsi="宋体"/>
          <w:lang w:val="zh-CN"/>
        </w:rPr>
        <w:t>“合同价”系指根据合同规定乙方在正确地完全履行合同义务后甲方应支付给乙方的费用。</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1.5</w:t>
      </w:r>
      <w:r>
        <w:rPr>
          <w:rFonts w:ascii="宋体" w:hAnsi="宋体"/>
          <w:lang w:val="zh-CN"/>
        </w:rPr>
        <w:t>“项目”系指乙方根据合同规定为提供所有成果和相关服务而进行的全部工作，除非上下文另有说明。</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1.6</w:t>
      </w:r>
      <w:r>
        <w:rPr>
          <w:rFonts w:ascii="宋体" w:hAnsi="宋体"/>
          <w:lang w:val="zh-CN"/>
        </w:rPr>
        <w:t>“变更指令”系指“通用条款”和“专用条款”所述，甲方向乙方发出的、要求乙方对项目进行变更的、规定格式的书面命令。</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1.7</w:t>
      </w:r>
      <w:r>
        <w:rPr>
          <w:rFonts w:ascii="宋体" w:hAnsi="宋体"/>
          <w:lang w:val="zh-CN"/>
        </w:rPr>
        <w:t>“天”指日历天数。</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1.8</w:t>
      </w:r>
      <w:r>
        <w:rPr>
          <w:rFonts w:ascii="宋体" w:hAnsi="宋体"/>
          <w:lang w:val="zh-CN"/>
        </w:rPr>
        <w:t>“验收”系指甲方依据合同条件、技术标准接受成果及服务所进行的必要程序。</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 </w:t>
      </w:r>
      <w:r>
        <w:rPr>
          <w:rFonts w:ascii="宋体" w:hAnsi="宋体"/>
          <w:lang w:val="zh-CN"/>
        </w:rPr>
        <w:t>本合同中的标题和题名仅作提示参考，并无作合同解释之特殊用意。本合同中引用某个条款时，除非特别说明，应解释为包含该条款项下所有子条款的内容。</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1.10 </w:t>
      </w:r>
      <w:r>
        <w:rPr>
          <w:rFonts w:ascii="宋体" w:hAnsi="宋体"/>
          <w:lang w:val="zh-CN"/>
        </w:rPr>
        <w:t>凡指当事人或各方的措辞应包括公司以及具有法人资格的任何组织。仅表明单数形式的词也包括复数含义，视上下文需要而定，反之亦然。</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1.11 </w:t>
      </w:r>
      <w:r>
        <w:rPr>
          <w:rFonts w:ascii="宋体" w:hAnsi="宋体"/>
          <w:lang w:val="zh-CN"/>
        </w:rPr>
        <w:t>凡合同中规定通讯是“书面的”或“用书面形式”，这是指任何手写的、打印的或印刷的通讯，包括电报和传真发送等。</w:t>
      </w:r>
    </w:p>
    <w:p>
      <w:pPr>
        <w:autoSpaceDE w:val="0"/>
        <w:autoSpaceDN w:val="0"/>
        <w:adjustRightInd w:val="0"/>
        <w:snapToGrid w:val="0"/>
        <w:spacing w:line="360" w:lineRule="auto"/>
        <w:ind w:left="482"/>
        <w:jc w:val="left"/>
        <w:rPr>
          <w:rFonts w:ascii="宋体" w:hAnsi="宋体"/>
          <w:b/>
        </w:rPr>
      </w:pPr>
      <w:r>
        <w:rPr>
          <w:rFonts w:hint="eastAsia" w:ascii="宋体" w:hAnsi="宋体"/>
          <w:b/>
        </w:rPr>
        <w:t>2、</w:t>
      </w:r>
      <w:r>
        <w:rPr>
          <w:rFonts w:ascii="宋体" w:hAnsi="宋体"/>
          <w:b/>
        </w:rPr>
        <w:t>适用性</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2.1 </w:t>
      </w:r>
      <w:r>
        <w:rPr>
          <w:rFonts w:ascii="宋体" w:hAnsi="宋体"/>
          <w:lang w:val="zh-CN"/>
        </w:rPr>
        <w:t>本合同“通用条款”适用于没有被本合同其它部分的条款所取代的范围。</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2.2 </w:t>
      </w:r>
      <w:r>
        <w:rPr>
          <w:rFonts w:ascii="宋体" w:hAnsi="宋体"/>
          <w:lang w:val="zh-CN"/>
        </w:rPr>
        <w:t xml:space="preserve"> 一旦“通用条款”与“专用条款”抵触，则以“专用条款”为准。</w:t>
      </w:r>
    </w:p>
    <w:p>
      <w:pPr>
        <w:autoSpaceDE w:val="0"/>
        <w:autoSpaceDN w:val="0"/>
        <w:adjustRightInd w:val="0"/>
        <w:snapToGrid w:val="0"/>
        <w:spacing w:line="360" w:lineRule="auto"/>
        <w:ind w:left="482"/>
        <w:jc w:val="left"/>
        <w:rPr>
          <w:rFonts w:ascii="宋体" w:hAnsi="宋体"/>
          <w:b/>
        </w:rPr>
      </w:pPr>
      <w:bookmarkStart w:id="224" w:name="_Toc136138835"/>
      <w:bookmarkStart w:id="225" w:name="_Toc136138482"/>
      <w:bookmarkStart w:id="226" w:name="_Toc129268160"/>
      <w:bookmarkStart w:id="227" w:name="_Toc129270741"/>
      <w:bookmarkStart w:id="228" w:name="_Toc129321191"/>
      <w:bookmarkStart w:id="229" w:name="_Toc129314288"/>
      <w:r>
        <w:rPr>
          <w:rFonts w:hint="eastAsia" w:ascii="宋体" w:hAnsi="宋体"/>
          <w:b/>
        </w:rPr>
        <w:t>3、</w:t>
      </w:r>
      <w:r>
        <w:rPr>
          <w:rFonts w:ascii="宋体" w:hAnsi="宋体"/>
          <w:b/>
        </w:rPr>
        <w:t>标准</w:t>
      </w:r>
      <w:bookmarkEnd w:id="224"/>
      <w:bookmarkEnd w:id="225"/>
      <w:bookmarkEnd w:id="226"/>
      <w:bookmarkEnd w:id="227"/>
      <w:bookmarkEnd w:id="228"/>
      <w:bookmarkEnd w:id="229"/>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3.1 </w:t>
      </w:r>
      <w:r>
        <w:rPr>
          <w:rFonts w:ascii="宋体" w:hAnsi="宋体"/>
          <w:lang w:val="zh-CN"/>
        </w:rPr>
        <w:t>所有成果和服务均应符合“任务大纲”中所述的标准。如果没有提及适用标准，则应符合中华人民共和国国家标准或行业、地方标准。这些标准必须是有关机构发布的最新版本的标准。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3.2 </w:t>
      </w:r>
      <w:r>
        <w:rPr>
          <w:rFonts w:ascii="宋体" w:hAnsi="宋体"/>
          <w:lang w:val="zh-CN"/>
        </w:rPr>
        <w:t>若乙方采用了非国内公开发行的标准，乙方应向甲方提供有关标准的中、英文文本。</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3.3 </w:t>
      </w:r>
      <w:r>
        <w:rPr>
          <w:rFonts w:ascii="宋体" w:hAnsi="宋体"/>
          <w:lang w:val="zh-CN"/>
        </w:rPr>
        <w:t>除非合同中另有规定，计量单位均应采用中华人民共和国法定计量单位。</w:t>
      </w:r>
    </w:p>
    <w:p>
      <w:pPr>
        <w:autoSpaceDE w:val="0"/>
        <w:autoSpaceDN w:val="0"/>
        <w:adjustRightInd w:val="0"/>
        <w:snapToGrid w:val="0"/>
        <w:spacing w:line="360" w:lineRule="auto"/>
        <w:ind w:left="482"/>
        <w:jc w:val="left"/>
        <w:rPr>
          <w:rFonts w:ascii="宋体" w:hAnsi="宋体"/>
          <w:b/>
        </w:rPr>
      </w:pPr>
      <w:bookmarkStart w:id="230" w:name="_Toc129268161"/>
      <w:bookmarkStart w:id="231" w:name="_Toc136138483"/>
      <w:bookmarkStart w:id="232" w:name="_Toc129270742"/>
      <w:bookmarkStart w:id="233" w:name="_Toc129314289"/>
      <w:bookmarkStart w:id="234" w:name="_Toc136138836"/>
      <w:bookmarkStart w:id="235" w:name="_Toc129321192"/>
      <w:r>
        <w:rPr>
          <w:rFonts w:hint="eastAsia" w:ascii="宋体" w:hAnsi="宋体"/>
          <w:b/>
        </w:rPr>
        <w:t>4、</w:t>
      </w:r>
      <w:r>
        <w:rPr>
          <w:rFonts w:ascii="宋体" w:hAnsi="宋体"/>
          <w:b/>
        </w:rPr>
        <w:t>使用合同文件和资料</w:t>
      </w:r>
      <w:bookmarkEnd w:id="230"/>
      <w:bookmarkEnd w:id="231"/>
      <w:bookmarkEnd w:id="232"/>
      <w:bookmarkEnd w:id="233"/>
      <w:bookmarkEnd w:id="234"/>
      <w:bookmarkEnd w:id="235"/>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4.1 </w:t>
      </w:r>
      <w:r>
        <w:rPr>
          <w:rFonts w:ascii="宋体" w:hAnsi="宋体"/>
          <w:lang w:val="zh-CN"/>
        </w:rPr>
        <w:t>没有甲方事先书面同意，乙方不得将由甲方提供的有关合同或任何合同条文、计划、图纸、样品或资料提供给乙方雇佣于履行本合同以外的任何其他人。即使向本合同的雇员提供，也应注意保密并限于履行合同必须的范围。</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4.2 </w:t>
      </w:r>
      <w:r>
        <w:rPr>
          <w:rFonts w:ascii="宋体" w:hAnsi="宋体"/>
          <w:lang w:val="zh-CN"/>
        </w:rPr>
        <w:t>没有甲方事先书面同意，除了履行本合同之外，乙方不应使用本条款第4.1条所列举的任何文件和资料。</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4.3 </w:t>
      </w:r>
      <w:r>
        <w:rPr>
          <w:rFonts w:ascii="宋体" w:hAnsi="宋体"/>
          <w:lang w:val="zh-CN"/>
        </w:rPr>
        <w:t>除了合同本身以外，本条款第4.1条所列举的任何文件是甲方的财产。如果甲方有要求，乙方在完成合同后应将这些文件（包含全部拷贝）还给甲方。</w:t>
      </w:r>
    </w:p>
    <w:p>
      <w:pPr>
        <w:autoSpaceDE w:val="0"/>
        <w:autoSpaceDN w:val="0"/>
        <w:adjustRightInd w:val="0"/>
        <w:snapToGrid w:val="0"/>
        <w:spacing w:line="360" w:lineRule="auto"/>
        <w:ind w:left="482"/>
        <w:jc w:val="left"/>
        <w:rPr>
          <w:rFonts w:ascii="宋体" w:hAnsi="宋体"/>
          <w:b/>
        </w:rPr>
      </w:pPr>
      <w:bookmarkStart w:id="236" w:name="_Toc129268162"/>
      <w:bookmarkStart w:id="237" w:name="_Toc136138837"/>
      <w:bookmarkStart w:id="238" w:name="_Toc136138484"/>
      <w:bookmarkStart w:id="239" w:name="_Toc129314290"/>
      <w:bookmarkStart w:id="240" w:name="_Toc129321193"/>
      <w:bookmarkStart w:id="241" w:name="_Toc129270743"/>
      <w:r>
        <w:rPr>
          <w:rFonts w:hint="eastAsia" w:ascii="宋体" w:hAnsi="宋体"/>
          <w:b/>
        </w:rPr>
        <w:t>5、</w:t>
      </w:r>
      <w:r>
        <w:rPr>
          <w:rFonts w:ascii="宋体" w:hAnsi="宋体"/>
          <w:b/>
        </w:rPr>
        <w:t>知识产权</w:t>
      </w:r>
      <w:bookmarkEnd w:id="236"/>
      <w:bookmarkEnd w:id="237"/>
      <w:bookmarkEnd w:id="238"/>
      <w:bookmarkEnd w:id="239"/>
      <w:bookmarkEnd w:id="240"/>
      <w:bookmarkEnd w:id="241"/>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5.1 </w:t>
      </w:r>
      <w:r>
        <w:rPr>
          <w:rFonts w:ascii="宋体" w:hAnsi="宋体"/>
          <w:lang w:val="zh-CN"/>
        </w:rPr>
        <w:t>乙方应保证，乙方提供的成果或服务，使用第三人专利、专有技术、技术秘密、商业秘密、著作权、商标权等知识产权的，乙方应向甲方说明知识产权的权利人、名称等权利状况，相应知识产权使用费由乙方负责支付。</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5.2 </w:t>
      </w:r>
      <w:r>
        <w:rPr>
          <w:rFonts w:ascii="宋体" w:hAnsi="宋体"/>
          <w:lang w:val="zh-CN"/>
        </w:rPr>
        <w:t>乙方提供的成果或服务，侵犯了第三人专利、专有技术、技术秘密、商业秘密、著作权、商标权等知识产权的，由乙方承担全部法律责任和经济赔偿责任。</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5.3 </w:t>
      </w:r>
      <w:r>
        <w:rPr>
          <w:rFonts w:ascii="宋体" w:hAnsi="宋体"/>
          <w:lang w:val="zh-CN"/>
        </w:rPr>
        <w:t>对于乙方所编制的所有文件，甲方有权在本工程或相关目的的使用或复制此类文件，在此情况下复制此类文件时不需取得乙方的许可。</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5.4 </w:t>
      </w:r>
      <w:r>
        <w:rPr>
          <w:rFonts w:ascii="宋体" w:hAnsi="宋体"/>
          <w:lang w:val="zh-CN"/>
        </w:rPr>
        <w:t>乙方可单独或与他人联合出版有关项目和服务的材料。但如果服务完成或终止后的二年内出版有关材料时，则需得到甲方的同意。</w:t>
      </w:r>
    </w:p>
    <w:p>
      <w:pPr>
        <w:autoSpaceDE w:val="0"/>
        <w:autoSpaceDN w:val="0"/>
        <w:adjustRightInd w:val="0"/>
        <w:snapToGrid w:val="0"/>
        <w:spacing w:line="360" w:lineRule="auto"/>
        <w:ind w:left="482"/>
        <w:jc w:val="left"/>
        <w:rPr>
          <w:rFonts w:ascii="宋体" w:hAnsi="宋体"/>
          <w:b/>
        </w:rPr>
      </w:pPr>
      <w:bookmarkStart w:id="242" w:name="_Toc129270744"/>
      <w:bookmarkStart w:id="243" w:name="_Toc136138838"/>
      <w:bookmarkStart w:id="244" w:name="_Toc129268163"/>
      <w:bookmarkStart w:id="245" w:name="_Toc129314291"/>
      <w:bookmarkStart w:id="246" w:name="_Toc129321194"/>
      <w:bookmarkStart w:id="247" w:name="_Toc136138485"/>
      <w:r>
        <w:rPr>
          <w:rFonts w:hint="eastAsia" w:ascii="宋体" w:hAnsi="宋体"/>
          <w:b/>
        </w:rPr>
        <w:t>6、</w:t>
      </w:r>
      <w:r>
        <w:rPr>
          <w:rFonts w:ascii="宋体" w:hAnsi="宋体"/>
          <w:b/>
        </w:rPr>
        <w:t>检查和验收</w:t>
      </w:r>
      <w:bookmarkEnd w:id="242"/>
      <w:bookmarkEnd w:id="243"/>
      <w:bookmarkEnd w:id="244"/>
      <w:bookmarkEnd w:id="245"/>
      <w:bookmarkEnd w:id="246"/>
      <w:bookmarkEnd w:id="247"/>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6.1 </w:t>
      </w:r>
      <w:r>
        <w:rPr>
          <w:rFonts w:ascii="宋体" w:hAnsi="宋体"/>
          <w:lang w:val="zh-CN"/>
        </w:rPr>
        <w:t>乙方应接受甲方或其代表对成果和服务的检查和验收，服从甲方或其代表的质量检验和监督。</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6.2 </w:t>
      </w:r>
      <w:r>
        <w:rPr>
          <w:rFonts w:ascii="宋体" w:hAnsi="宋体"/>
          <w:lang w:val="zh-CN"/>
        </w:rPr>
        <w:t>本节的规定无论如何也不能免除乙方在本合同项下的保证义务或其他义务。</w:t>
      </w:r>
    </w:p>
    <w:p>
      <w:pPr>
        <w:autoSpaceDE w:val="0"/>
        <w:autoSpaceDN w:val="0"/>
        <w:adjustRightInd w:val="0"/>
        <w:snapToGrid w:val="0"/>
        <w:spacing w:line="360" w:lineRule="auto"/>
        <w:ind w:left="482"/>
        <w:jc w:val="left"/>
        <w:rPr>
          <w:rFonts w:ascii="宋体" w:hAnsi="宋体"/>
          <w:b/>
        </w:rPr>
      </w:pPr>
      <w:bookmarkStart w:id="248" w:name="_Toc129321195"/>
      <w:bookmarkStart w:id="249" w:name="_Toc129314292"/>
      <w:bookmarkStart w:id="250" w:name="_Toc136138486"/>
      <w:bookmarkStart w:id="251" w:name="_Toc136138839"/>
      <w:bookmarkStart w:id="252" w:name="_Toc129270745"/>
      <w:bookmarkStart w:id="253" w:name="_Toc129268164"/>
      <w:r>
        <w:rPr>
          <w:rFonts w:hint="eastAsia" w:ascii="宋体" w:hAnsi="宋体"/>
          <w:b/>
        </w:rPr>
        <w:t>7、</w:t>
      </w:r>
      <w:r>
        <w:rPr>
          <w:rFonts w:ascii="宋体" w:hAnsi="宋体"/>
          <w:b/>
        </w:rPr>
        <w:t>保险</w:t>
      </w:r>
      <w:bookmarkEnd w:id="248"/>
      <w:bookmarkEnd w:id="249"/>
      <w:bookmarkEnd w:id="250"/>
      <w:bookmarkEnd w:id="251"/>
      <w:bookmarkEnd w:id="252"/>
      <w:bookmarkEnd w:id="253"/>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7.1 </w:t>
      </w:r>
      <w:r>
        <w:rPr>
          <w:rFonts w:ascii="宋体" w:hAnsi="宋体"/>
          <w:lang w:val="zh-CN"/>
        </w:rPr>
        <w:t>乙方采用在本合同条件下，应对成果和服务可能出现的损失、人员伤亡及第三者责任险全面保险。乙方为执行本合同规定任务，所发生的保险费用由乙方负责承担。</w:t>
      </w:r>
    </w:p>
    <w:p>
      <w:pPr>
        <w:autoSpaceDE w:val="0"/>
        <w:autoSpaceDN w:val="0"/>
        <w:adjustRightInd w:val="0"/>
        <w:snapToGrid w:val="0"/>
        <w:spacing w:line="360" w:lineRule="auto"/>
        <w:ind w:left="482"/>
        <w:jc w:val="left"/>
        <w:rPr>
          <w:rFonts w:ascii="宋体" w:hAnsi="宋体"/>
          <w:b/>
        </w:rPr>
      </w:pPr>
      <w:bookmarkStart w:id="254" w:name="_Toc129314293"/>
      <w:bookmarkStart w:id="255" w:name="_Toc129268165"/>
      <w:bookmarkStart w:id="256" w:name="_Toc129270746"/>
      <w:bookmarkStart w:id="257" w:name="_Toc129321196"/>
      <w:bookmarkStart w:id="258" w:name="_Toc136138487"/>
      <w:bookmarkStart w:id="259" w:name="_Toc136138840"/>
      <w:r>
        <w:rPr>
          <w:rFonts w:hint="eastAsia" w:ascii="宋体" w:hAnsi="宋体"/>
          <w:b/>
        </w:rPr>
        <w:t>8、</w:t>
      </w:r>
      <w:r>
        <w:rPr>
          <w:rFonts w:ascii="宋体" w:hAnsi="宋体"/>
          <w:b/>
        </w:rPr>
        <w:t>保证</w:t>
      </w:r>
      <w:bookmarkEnd w:id="254"/>
      <w:bookmarkEnd w:id="255"/>
      <w:bookmarkEnd w:id="256"/>
      <w:bookmarkEnd w:id="257"/>
      <w:bookmarkEnd w:id="258"/>
      <w:bookmarkEnd w:id="259"/>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8.1 </w:t>
      </w:r>
      <w:r>
        <w:rPr>
          <w:rFonts w:ascii="宋体" w:hAnsi="宋体"/>
          <w:lang w:val="zh-CN"/>
        </w:rPr>
        <w:t>乙方应对</w:t>
      </w:r>
      <w:r>
        <w:rPr>
          <w:rFonts w:hint="eastAsia" w:ascii="宋体" w:hAnsi="宋体"/>
        </w:rPr>
        <w:t>土壤环境初步调查</w:t>
      </w:r>
      <w:r>
        <w:rPr>
          <w:rFonts w:ascii="宋体" w:hAnsi="宋体"/>
          <w:lang w:val="zh-CN"/>
        </w:rPr>
        <w:t>服务等建立完整的有效的质量保证体系，制定质量保证计划，并坚持实施，确保项目之质量。</w:t>
      </w:r>
    </w:p>
    <w:p>
      <w:pPr>
        <w:autoSpaceDE w:val="0"/>
        <w:autoSpaceDN w:val="0"/>
        <w:adjustRightInd w:val="0"/>
        <w:snapToGrid w:val="0"/>
        <w:spacing w:line="360" w:lineRule="auto"/>
        <w:ind w:left="480"/>
        <w:jc w:val="left"/>
        <w:rPr>
          <w:rFonts w:ascii="宋体" w:hAnsi="宋体"/>
          <w:lang w:val="zh-CN"/>
        </w:rPr>
      </w:pPr>
      <w:r>
        <w:rPr>
          <w:rFonts w:hint="eastAsia" w:ascii="宋体" w:hAnsi="宋体"/>
          <w:lang w:val="zh-CN"/>
        </w:rPr>
        <w:t xml:space="preserve">8.2 </w:t>
      </w:r>
      <w:r>
        <w:rPr>
          <w:rFonts w:ascii="宋体" w:hAnsi="宋体"/>
          <w:lang w:val="zh-CN"/>
        </w:rPr>
        <w:t>乙方应保证合同项下所供成果和服务</w:t>
      </w:r>
      <w:r>
        <w:rPr>
          <w:rFonts w:hint="eastAsia" w:ascii="宋体" w:hAnsi="宋体"/>
          <w:lang w:val="zh-CN"/>
        </w:rPr>
        <w:t>与甲方要求</w:t>
      </w:r>
      <w:r>
        <w:rPr>
          <w:rFonts w:ascii="宋体" w:hAnsi="宋体"/>
          <w:lang w:val="zh-CN"/>
        </w:rPr>
        <w:t>一致。</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8.3 </w:t>
      </w:r>
      <w:r>
        <w:rPr>
          <w:rFonts w:ascii="宋体" w:hAnsi="宋体"/>
          <w:lang w:val="zh-CN"/>
        </w:rPr>
        <w:t>乙方应保证合同项下的成果和服务在正常情况下不会因乙方在服务过程中的缺陷、错误或工作人员的过失、错误或疏忽而导致甲方的损失。</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8.4 </w:t>
      </w:r>
      <w:r>
        <w:rPr>
          <w:rFonts w:ascii="宋体" w:hAnsi="宋体"/>
          <w:lang w:val="zh-CN"/>
        </w:rPr>
        <w:t>乙方应保证若由于乙方的成果和服务的潜在缺陷而导致的事故，所有因此造成的损失乙方应负相应责任。</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8.5 </w:t>
      </w:r>
      <w:r>
        <w:rPr>
          <w:rFonts w:ascii="宋体" w:hAnsi="宋体"/>
          <w:lang w:val="zh-CN"/>
        </w:rPr>
        <w:t>乙方保证给予甲方或甲方许可人员在乙方工作地检查其质保体系和工作流程的任一环节提供方便。</w:t>
      </w:r>
    </w:p>
    <w:p>
      <w:pPr>
        <w:autoSpaceDE w:val="0"/>
        <w:autoSpaceDN w:val="0"/>
        <w:adjustRightInd w:val="0"/>
        <w:snapToGrid w:val="0"/>
        <w:spacing w:line="360" w:lineRule="auto"/>
        <w:ind w:left="482"/>
        <w:jc w:val="left"/>
        <w:rPr>
          <w:rFonts w:ascii="宋体" w:hAnsi="宋体"/>
          <w:b/>
        </w:rPr>
      </w:pPr>
      <w:bookmarkStart w:id="260" w:name="_Toc129270747"/>
      <w:bookmarkStart w:id="261" w:name="_Toc136138841"/>
      <w:bookmarkStart w:id="262" w:name="_Toc129321197"/>
      <w:bookmarkStart w:id="263" w:name="_Toc129314294"/>
      <w:bookmarkStart w:id="264" w:name="_Toc129268166"/>
      <w:bookmarkStart w:id="265" w:name="_Toc136138488"/>
      <w:r>
        <w:rPr>
          <w:rFonts w:hint="eastAsia" w:ascii="宋体" w:hAnsi="宋体"/>
          <w:b/>
        </w:rPr>
        <w:t>9、</w:t>
      </w:r>
      <w:r>
        <w:rPr>
          <w:rFonts w:ascii="宋体" w:hAnsi="宋体"/>
          <w:b/>
        </w:rPr>
        <w:t>价格</w:t>
      </w:r>
      <w:bookmarkEnd w:id="260"/>
      <w:bookmarkEnd w:id="261"/>
      <w:bookmarkEnd w:id="262"/>
      <w:bookmarkEnd w:id="263"/>
      <w:bookmarkEnd w:id="264"/>
      <w:bookmarkEnd w:id="265"/>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9.1 </w:t>
      </w:r>
      <w:r>
        <w:rPr>
          <w:rFonts w:ascii="宋体" w:hAnsi="宋体"/>
          <w:lang w:val="zh-CN"/>
        </w:rPr>
        <w:t>合同价格包含为履行本合同而提供的</w:t>
      </w:r>
      <w:r>
        <w:rPr>
          <w:rFonts w:hint="eastAsia" w:ascii="宋体" w:hAnsi="宋体"/>
          <w:lang w:val="zh-CN"/>
        </w:rPr>
        <w:t>土壤环境初步调查</w:t>
      </w:r>
      <w:r>
        <w:rPr>
          <w:rFonts w:ascii="宋体" w:hAnsi="宋体"/>
          <w:lang w:val="zh-CN"/>
        </w:rPr>
        <w:t>成果</w:t>
      </w:r>
      <w:r>
        <w:rPr>
          <w:rFonts w:hint="eastAsia" w:ascii="宋体" w:hAnsi="宋体"/>
          <w:lang w:val="zh-CN"/>
        </w:rPr>
        <w:t>报告的编制</w:t>
      </w:r>
      <w:r>
        <w:rPr>
          <w:rFonts w:ascii="宋体" w:hAnsi="宋体"/>
          <w:lang w:val="zh-CN"/>
        </w:rPr>
        <w:t>和相关</w:t>
      </w:r>
      <w:r>
        <w:rPr>
          <w:rFonts w:hint="eastAsia" w:ascii="宋体" w:hAnsi="宋体"/>
          <w:lang w:val="zh-CN"/>
        </w:rPr>
        <w:t>评审、服务</w:t>
      </w:r>
      <w:r>
        <w:rPr>
          <w:rFonts w:ascii="宋体" w:hAnsi="宋体"/>
          <w:lang w:val="zh-CN"/>
        </w:rPr>
        <w:t>的费用及由乙方为本项目支付的税费、</w:t>
      </w:r>
      <w:r>
        <w:rPr>
          <w:rFonts w:hint="eastAsia" w:ascii="宋体" w:hAnsi="宋体"/>
          <w:lang w:val="zh-CN"/>
        </w:rPr>
        <w:t>评审费、</w:t>
      </w:r>
      <w:r>
        <w:rPr>
          <w:rFonts w:ascii="宋体" w:hAnsi="宋体"/>
          <w:lang w:val="zh-CN"/>
        </w:rPr>
        <w:t>保险费（包括合同文本的印刷费、公证费）等。</w:t>
      </w:r>
    </w:p>
    <w:p>
      <w:pPr>
        <w:autoSpaceDE w:val="0"/>
        <w:autoSpaceDN w:val="0"/>
        <w:adjustRightInd w:val="0"/>
        <w:snapToGrid w:val="0"/>
        <w:spacing w:line="360" w:lineRule="auto"/>
        <w:ind w:left="480"/>
        <w:jc w:val="left"/>
        <w:rPr>
          <w:rFonts w:ascii="宋体" w:hAnsi="宋体"/>
          <w:lang w:val="zh-CN"/>
        </w:rPr>
      </w:pPr>
      <w:r>
        <w:rPr>
          <w:rFonts w:hint="eastAsia" w:ascii="宋体" w:hAnsi="宋体"/>
          <w:lang w:val="zh-CN"/>
        </w:rPr>
        <w:t xml:space="preserve">9.2 </w:t>
      </w:r>
      <w:r>
        <w:rPr>
          <w:rFonts w:ascii="宋体" w:hAnsi="宋体"/>
          <w:lang w:val="zh-CN"/>
        </w:rPr>
        <w:t>应当认为乙方已经彻底查清，并在合同价格中充分考虑到了以下几项：</w:t>
      </w:r>
    </w:p>
    <w:p>
      <w:pPr>
        <w:tabs>
          <w:tab w:val="left" w:pos="993"/>
        </w:tabs>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9.2.1 </w:t>
      </w:r>
      <w:r>
        <w:rPr>
          <w:rFonts w:ascii="宋体" w:hAnsi="宋体"/>
          <w:lang w:val="zh-CN"/>
        </w:rPr>
        <w:t>影响到合同价格的全部条件和情况；</w:t>
      </w:r>
    </w:p>
    <w:p>
      <w:pPr>
        <w:tabs>
          <w:tab w:val="left" w:pos="993"/>
        </w:tabs>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9.2.2</w:t>
      </w:r>
      <w:r>
        <w:rPr>
          <w:rFonts w:ascii="宋体" w:hAnsi="宋体"/>
          <w:lang w:val="zh-CN"/>
        </w:rPr>
        <w:t xml:space="preserve"> 完成合同所述项目的所有可能性(含规划的变动及工期的延展)；</w:t>
      </w:r>
    </w:p>
    <w:p>
      <w:pPr>
        <w:tabs>
          <w:tab w:val="left" w:pos="993"/>
        </w:tabs>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9.2.3</w:t>
      </w:r>
      <w:r>
        <w:rPr>
          <w:rFonts w:ascii="宋体" w:hAnsi="宋体"/>
          <w:lang w:val="zh-CN"/>
        </w:rPr>
        <w:t xml:space="preserve"> 现场的综合情况；</w:t>
      </w:r>
    </w:p>
    <w:p>
      <w:pPr>
        <w:tabs>
          <w:tab w:val="left" w:pos="993"/>
        </w:tabs>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9.2.4</w:t>
      </w:r>
      <w:r>
        <w:rPr>
          <w:rFonts w:ascii="宋体" w:hAnsi="宋体"/>
          <w:lang w:val="zh-CN"/>
        </w:rPr>
        <w:t xml:space="preserve"> 现场总的劳务情况。</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9.3 </w:t>
      </w:r>
      <w:r>
        <w:rPr>
          <w:rFonts w:ascii="宋体" w:hAnsi="宋体"/>
          <w:lang w:val="zh-CN"/>
        </w:rPr>
        <w:t>除非合同中另有规定，乙方为其履行本合同而要求甲方支付的合同金额应与其投标报价一致。</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9.4 </w:t>
      </w:r>
      <w:r>
        <w:rPr>
          <w:rFonts w:ascii="宋体" w:hAnsi="宋体"/>
          <w:lang w:val="zh-CN"/>
        </w:rPr>
        <w:t>合同的结算和审计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9.4.1 </w:t>
      </w:r>
      <w:r>
        <w:rPr>
          <w:rFonts w:ascii="宋体" w:hAnsi="宋体"/>
          <w:lang w:val="zh-CN"/>
        </w:rPr>
        <w:t>乙方应在</w:t>
      </w:r>
      <w:r>
        <w:rPr>
          <w:rFonts w:hint="eastAsia" w:ascii="宋体" w:hAnsi="宋体"/>
          <w:lang w:val="zh-CN"/>
        </w:rPr>
        <w:t>土壤环境初步调查评价</w:t>
      </w:r>
      <w:r>
        <w:rPr>
          <w:rFonts w:ascii="宋体" w:hAnsi="宋体"/>
          <w:lang w:val="zh-CN"/>
        </w:rPr>
        <w:t>报告完成后1个月内按要求提交完整的结算资料。</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9.4.2 </w:t>
      </w:r>
      <w:r>
        <w:rPr>
          <w:rFonts w:ascii="宋体" w:hAnsi="宋体"/>
          <w:lang w:val="zh-CN"/>
        </w:rPr>
        <w:t>乙方不配合或提交虚假资料的，甲方有权</w:t>
      </w:r>
      <w:r>
        <w:rPr>
          <w:rFonts w:hint="eastAsia" w:ascii="宋体" w:hAnsi="宋体"/>
          <w:lang w:val="zh-CN"/>
        </w:rPr>
        <w:t>不予付款且不承担任何违约责任</w:t>
      </w:r>
      <w:r>
        <w:rPr>
          <w:rFonts w:ascii="宋体" w:hAnsi="宋体"/>
          <w:lang w:val="zh-CN"/>
        </w:rPr>
        <w:t>。</w:t>
      </w:r>
    </w:p>
    <w:p>
      <w:pPr>
        <w:autoSpaceDE w:val="0"/>
        <w:autoSpaceDN w:val="0"/>
        <w:adjustRightInd w:val="0"/>
        <w:snapToGrid w:val="0"/>
        <w:spacing w:line="360" w:lineRule="auto"/>
        <w:ind w:left="482"/>
        <w:jc w:val="left"/>
        <w:rPr>
          <w:rFonts w:ascii="宋体" w:hAnsi="宋体"/>
          <w:b/>
        </w:rPr>
      </w:pPr>
      <w:bookmarkStart w:id="266" w:name="_Toc136138489"/>
      <w:bookmarkStart w:id="267" w:name="_Toc136138842"/>
      <w:bookmarkStart w:id="268" w:name="_Toc129321198"/>
      <w:bookmarkStart w:id="269" w:name="_Toc129314295"/>
      <w:bookmarkStart w:id="270" w:name="_Toc129268167"/>
      <w:bookmarkStart w:id="271" w:name="_Toc129270748"/>
      <w:r>
        <w:rPr>
          <w:rFonts w:hint="eastAsia" w:ascii="宋体" w:hAnsi="宋体"/>
          <w:b/>
        </w:rPr>
        <w:t>10、</w:t>
      </w:r>
      <w:r>
        <w:rPr>
          <w:rFonts w:ascii="宋体" w:hAnsi="宋体"/>
          <w:b/>
        </w:rPr>
        <w:t>付款</w:t>
      </w:r>
      <w:bookmarkEnd w:id="266"/>
      <w:bookmarkEnd w:id="267"/>
      <w:bookmarkEnd w:id="268"/>
      <w:bookmarkEnd w:id="269"/>
      <w:bookmarkEnd w:id="270"/>
      <w:bookmarkEnd w:id="271"/>
    </w:p>
    <w:p>
      <w:pPr>
        <w:spacing w:line="300" w:lineRule="auto"/>
        <w:ind w:firstLine="472" w:firstLineChars="196"/>
        <w:rPr>
          <w:rFonts w:ascii="宋体" w:hAnsi="宋体"/>
          <w:b/>
          <w:szCs w:val="24"/>
        </w:rPr>
      </w:pPr>
      <w:r>
        <w:rPr>
          <w:rFonts w:hint="eastAsia" w:ascii="宋体" w:hAnsi="宋体"/>
          <w:b/>
          <w:szCs w:val="24"/>
        </w:rPr>
        <w:t>（1）支付原则</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a)乙方须在规定的时间节点完成合同规定工作内容，向甲方提出支付请求，支付请求必须注明支付的合同依据，并附上有关单据及证明材料。</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b)乙方收取一次性付款的款项，</w:t>
      </w:r>
      <w:r>
        <w:rPr>
          <w:rFonts w:hint="eastAsia" w:ascii="宋体" w:hAnsi="宋体"/>
          <w:b/>
          <w:bCs/>
          <w:u w:val="single"/>
          <w:lang w:val="zh-CN"/>
        </w:rPr>
        <w:t>需提供与收取款项等额的增值税专用发票</w:t>
      </w:r>
      <w:r>
        <w:rPr>
          <w:rFonts w:hint="eastAsia" w:ascii="宋体" w:hAnsi="宋体"/>
          <w:lang w:val="zh-CN"/>
        </w:rPr>
        <w:t>，审核通过后在14个工作日内支付。</w:t>
      </w:r>
    </w:p>
    <w:p>
      <w:pPr>
        <w:autoSpaceDE w:val="0"/>
        <w:autoSpaceDN w:val="0"/>
        <w:adjustRightInd w:val="0"/>
        <w:snapToGrid w:val="0"/>
        <w:spacing w:line="360" w:lineRule="auto"/>
        <w:ind w:left="482"/>
        <w:jc w:val="left"/>
        <w:rPr>
          <w:rFonts w:ascii="宋体" w:hAnsi="宋体"/>
          <w:b/>
        </w:rPr>
      </w:pPr>
      <w:bookmarkStart w:id="272" w:name="_Toc136138490"/>
      <w:bookmarkStart w:id="273" w:name="_Toc129321199"/>
      <w:bookmarkStart w:id="274" w:name="_Toc129314296"/>
      <w:bookmarkStart w:id="275" w:name="_Toc129268168"/>
      <w:bookmarkStart w:id="276" w:name="_Toc136138843"/>
      <w:bookmarkStart w:id="277" w:name="_Toc129270749"/>
      <w:r>
        <w:rPr>
          <w:rFonts w:hint="eastAsia" w:ascii="宋体" w:hAnsi="宋体"/>
          <w:b/>
        </w:rPr>
        <w:t>11、</w:t>
      </w:r>
      <w:r>
        <w:rPr>
          <w:rFonts w:ascii="宋体" w:hAnsi="宋体"/>
          <w:b/>
        </w:rPr>
        <w:t>变更</w:t>
      </w:r>
      <w:bookmarkEnd w:id="272"/>
      <w:bookmarkEnd w:id="273"/>
      <w:bookmarkEnd w:id="274"/>
      <w:bookmarkEnd w:id="275"/>
      <w:bookmarkEnd w:id="276"/>
      <w:bookmarkEnd w:id="277"/>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11.1 </w:t>
      </w:r>
      <w:r>
        <w:rPr>
          <w:rFonts w:ascii="宋体" w:hAnsi="宋体"/>
          <w:lang w:val="zh-CN"/>
        </w:rPr>
        <w:t>甲方可以在执行合同期间的任何时候书面向乙方发出指令，在本合同的一般范围内对不限于下述内容进行变更：</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11.1.1 土壤环境初步调查</w:t>
      </w:r>
      <w:r>
        <w:rPr>
          <w:rFonts w:ascii="宋体" w:hAnsi="宋体"/>
          <w:lang w:val="zh-CN"/>
        </w:rPr>
        <w:t>报告</w:t>
      </w:r>
      <w:r>
        <w:rPr>
          <w:rFonts w:hint="eastAsia" w:ascii="宋体" w:hAnsi="宋体"/>
          <w:lang w:val="zh-CN"/>
        </w:rPr>
        <w:t>评</w:t>
      </w:r>
      <w:r>
        <w:rPr>
          <w:rFonts w:ascii="宋体" w:hAnsi="宋体"/>
          <w:lang w:val="zh-CN"/>
        </w:rPr>
        <w:t>估内容</w:t>
      </w:r>
      <w:r>
        <w:rPr>
          <w:rFonts w:hint="eastAsia" w:ascii="宋体" w:hAnsi="宋体"/>
          <w:lang w:val="zh-CN"/>
        </w:rPr>
        <w:t>：</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11.1.2 </w:t>
      </w:r>
      <w:r>
        <w:rPr>
          <w:rFonts w:ascii="宋体" w:hAnsi="宋体"/>
          <w:lang w:val="zh-CN"/>
        </w:rPr>
        <w:t>乙方提供的服务。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11.2 </w:t>
      </w:r>
      <w:r>
        <w:rPr>
          <w:rFonts w:ascii="宋体" w:hAnsi="宋体"/>
          <w:lang w:val="zh-CN"/>
        </w:rPr>
        <w:t>若上述变更导致了乙方履行合同义务的费用或所需时间的增加或减少，应对合同价格或进度或两者进行合理的调整，同时相应地修改合同。乙方必须在接到甲方的变更指示后30天内根据本款提出调整的实施意见。</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11.3 </w:t>
      </w:r>
      <w:r>
        <w:rPr>
          <w:rFonts w:ascii="宋体" w:hAnsi="宋体"/>
          <w:lang w:val="zh-CN"/>
        </w:rPr>
        <w:t>除了甲方的书面提出，乙方不得对项目作任何变更。但是，乙方可以向甲方提出变更的建议。</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11.4 </w:t>
      </w:r>
      <w:r>
        <w:rPr>
          <w:rFonts w:ascii="宋体" w:hAnsi="宋体"/>
          <w:lang w:val="zh-CN"/>
        </w:rPr>
        <w:t>甲方在执行合同期间发出的变更应视为合同的组成部分。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11.5 </w:t>
      </w:r>
      <w:r>
        <w:rPr>
          <w:rFonts w:ascii="宋体" w:hAnsi="宋体"/>
          <w:lang w:val="zh-CN"/>
        </w:rPr>
        <w:t>甲方要求乙方做出变更前，应将此类变更的性质和方式通知乙方。在收到通知后，乙方应尽快向甲方提交变更建议书，内容包括：</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11.5.1 </w:t>
      </w:r>
      <w:r>
        <w:rPr>
          <w:rFonts w:ascii="宋体" w:hAnsi="宋体"/>
          <w:lang w:val="zh-CN"/>
        </w:rPr>
        <w:t>将要实施的工作的说明以及工作的实施进度计划；</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11.5.2 </w:t>
      </w:r>
      <w:r>
        <w:rPr>
          <w:rFonts w:ascii="宋体" w:hAnsi="宋体"/>
          <w:lang w:val="zh-CN"/>
        </w:rPr>
        <w:t>对进度计划或对本合同项下的乙方义务进行必要的修改的建议；</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11.5.3 </w:t>
      </w:r>
      <w:r>
        <w:rPr>
          <w:rFonts w:ascii="宋体" w:hAnsi="宋体"/>
          <w:lang w:val="zh-CN"/>
        </w:rPr>
        <w:t>乙方对合同价格调整的建议。</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11.6 </w:t>
      </w:r>
      <w:r>
        <w:rPr>
          <w:rFonts w:ascii="宋体" w:hAnsi="宋体"/>
          <w:lang w:val="zh-CN"/>
        </w:rPr>
        <w:t>如因甲方更改要求致使价格及时间表的调整，乙方在合理的时间内，按甲方所需详细程度提交一份对合同价格和/或执行时间表的修改方案，内容包括但不限于价格的构成。这种情况下对合同价格进行修正应按下述方式进行：</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11.6.1 </w:t>
      </w:r>
      <w:r>
        <w:rPr>
          <w:rFonts w:ascii="宋体" w:hAnsi="宋体"/>
          <w:lang w:val="zh-CN"/>
        </w:rPr>
        <w:t>对合同中已明确并有定价的选项及替代方案，按合同中明列的相应金额计；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11.6.2 </w:t>
      </w:r>
      <w:r>
        <w:rPr>
          <w:rFonts w:ascii="宋体" w:hAnsi="宋体"/>
          <w:lang w:val="zh-CN"/>
        </w:rPr>
        <w:t>对合同中尚未明确和定价的选项及替代方案，其金额须由甲方乙方按以下一种或多种方法协商确定：</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w:t>
      </w:r>
      <w:r>
        <w:rPr>
          <w:rFonts w:ascii="宋体" w:hAnsi="宋体"/>
          <w:lang w:val="zh-CN"/>
        </w:rPr>
        <w:t>根据乙方在与合同一致的基础上提出的总价；</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（2）</w:t>
      </w:r>
      <w:r>
        <w:rPr>
          <w:rFonts w:ascii="宋体" w:hAnsi="宋体"/>
          <w:lang w:val="zh-CN"/>
        </w:rPr>
        <w:t>根据合同单价和/或单位费率计算而计出总价；</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（3）</w:t>
      </w:r>
      <w:r>
        <w:rPr>
          <w:rFonts w:ascii="宋体" w:hAnsi="宋体"/>
          <w:lang w:val="zh-CN"/>
        </w:rPr>
        <w:t>根据合同价格类推和/或按比例计算而计出总价；</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（4）</w:t>
      </w:r>
      <w:r>
        <w:rPr>
          <w:rFonts w:ascii="宋体" w:hAnsi="宋体"/>
          <w:lang w:val="zh-CN"/>
        </w:rPr>
        <w:t>根据合同规定的成本价。</w:t>
      </w:r>
    </w:p>
    <w:p>
      <w:pPr>
        <w:autoSpaceDE w:val="0"/>
        <w:autoSpaceDN w:val="0"/>
        <w:adjustRightInd w:val="0"/>
        <w:snapToGrid w:val="0"/>
        <w:spacing w:line="360" w:lineRule="auto"/>
        <w:ind w:firstLine="480"/>
        <w:jc w:val="left"/>
        <w:rPr>
          <w:rFonts w:ascii="宋体" w:hAnsi="宋体"/>
          <w:lang w:val="zh-CN"/>
        </w:rPr>
      </w:pPr>
      <w:r>
        <w:rPr>
          <w:rFonts w:ascii="宋体" w:hAnsi="宋体"/>
          <w:lang w:val="zh-CN"/>
        </w:rPr>
        <w:t>这类变更定价时，应考虑部分已完成工程已经不再有用，及乙方可以从第三者得到部分资金补偿的情况。</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11.7 </w:t>
      </w:r>
      <w:r>
        <w:rPr>
          <w:rFonts w:ascii="宋体" w:hAnsi="宋体"/>
          <w:lang w:val="zh-CN"/>
        </w:rPr>
        <w:t>如果乙方认为甲方的指示、决定或其它行为包括那些与合同要求不一致将会或已经对其履行合同造成负面影响的行为，会影响乙方履约则乙方应立即以规定的格式向甲方发出“变更建议书”。</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11.8 </w:t>
      </w:r>
      <w:r>
        <w:rPr>
          <w:rFonts w:ascii="宋体" w:hAnsi="宋体"/>
          <w:lang w:val="zh-CN"/>
        </w:rPr>
        <w:t>在甲方与乙方对修改方案协商一致的基础上，甲方向乙方签署正式变更指令，变更项目实施内容同时相应修改合同价和/或履约时间。</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11.9 </w:t>
      </w:r>
      <w:r>
        <w:rPr>
          <w:rFonts w:ascii="宋体" w:hAnsi="宋体"/>
          <w:lang w:val="zh-CN"/>
        </w:rPr>
        <w:t>如果甲方的行为对乙方的影响是符合合同条款的或是甲方的行为是因为乙方不按合同要求履行而被迫做出的，则甲方不签发变更指令。</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11.10 </w:t>
      </w:r>
      <w:r>
        <w:rPr>
          <w:rFonts w:ascii="宋体" w:hAnsi="宋体"/>
          <w:lang w:val="zh-CN"/>
        </w:rPr>
        <w:t>变更部分的审核和支付</w:t>
      </w:r>
    </w:p>
    <w:p>
      <w:pPr>
        <w:autoSpaceDE w:val="0"/>
        <w:autoSpaceDN w:val="0"/>
        <w:adjustRightInd w:val="0"/>
        <w:snapToGrid w:val="0"/>
        <w:spacing w:line="360" w:lineRule="auto"/>
        <w:ind w:firstLine="480"/>
        <w:jc w:val="left"/>
        <w:rPr>
          <w:rFonts w:ascii="宋体" w:hAnsi="宋体"/>
          <w:lang w:val="zh-CN"/>
        </w:rPr>
      </w:pPr>
      <w:r>
        <w:rPr>
          <w:rFonts w:ascii="宋体" w:hAnsi="宋体"/>
          <w:lang w:val="zh-CN"/>
        </w:rPr>
        <w:t>合同内的变更须最终经过深圳市政府有关部门的审定</w:t>
      </w:r>
      <w:r>
        <w:rPr>
          <w:rFonts w:hint="eastAsia" w:ascii="宋体" w:hAnsi="宋体"/>
          <w:lang w:val="zh-CN"/>
        </w:rPr>
        <w:t>的</w:t>
      </w:r>
      <w:r>
        <w:rPr>
          <w:rFonts w:ascii="宋体" w:hAnsi="宋体"/>
          <w:lang w:val="zh-CN"/>
        </w:rPr>
        <w:t>，深圳市政府有关部门的审定价为变更的最终价格</w:t>
      </w:r>
      <w:r>
        <w:rPr>
          <w:rFonts w:hint="eastAsia" w:ascii="宋体" w:hAnsi="宋体"/>
          <w:lang w:val="zh-CN"/>
        </w:rPr>
        <w:t>，不需</w:t>
      </w:r>
      <w:r>
        <w:rPr>
          <w:rFonts w:ascii="宋体" w:hAnsi="宋体"/>
          <w:lang w:val="zh-CN"/>
        </w:rPr>
        <w:t>经过深圳市政府有关部门的审定</w:t>
      </w:r>
      <w:r>
        <w:rPr>
          <w:rFonts w:hint="eastAsia" w:ascii="宋体" w:hAnsi="宋体"/>
          <w:lang w:val="zh-CN"/>
        </w:rPr>
        <w:t>的，甲方的审定价为变更的最终价格</w:t>
      </w:r>
      <w:r>
        <w:rPr>
          <w:rFonts w:ascii="宋体" w:hAnsi="宋体"/>
          <w:lang w:val="zh-CN"/>
        </w:rPr>
        <w:t>。所有变更在按照甲方变更程序审核后，纳入合同付款程序，但最多暂支付到变更总价的80%，待审定后支付其余部分或收回多付部分。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11.11</w:t>
      </w:r>
      <w:r>
        <w:rPr>
          <w:rFonts w:hint="eastAsia" w:ascii="宋体" w:hAnsi="宋体"/>
          <w:szCs w:val="24"/>
        </w:rPr>
        <w:t>如后续本合同执行过程中本项目建设开发方面发生重大变化，导致工作内容重现重大调整，则后续的工作内容、计费等，双方另行协商。</w:t>
      </w:r>
    </w:p>
    <w:p>
      <w:pPr>
        <w:autoSpaceDE w:val="0"/>
        <w:autoSpaceDN w:val="0"/>
        <w:adjustRightInd w:val="0"/>
        <w:snapToGrid w:val="0"/>
        <w:spacing w:line="360" w:lineRule="auto"/>
        <w:ind w:left="482"/>
        <w:jc w:val="left"/>
        <w:rPr>
          <w:rFonts w:ascii="宋体" w:hAnsi="宋体"/>
          <w:b/>
        </w:rPr>
      </w:pPr>
      <w:bookmarkStart w:id="278" w:name="_Toc129321200"/>
      <w:bookmarkStart w:id="279" w:name="_Toc136138491"/>
      <w:bookmarkStart w:id="280" w:name="_Toc129268169"/>
      <w:bookmarkStart w:id="281" w:name="_Toc136138844"/>
      <w:bookmarkStart w:id="282" w:name="_Toc129314297"/>
      <w:bookmarkStart w:id="283" w:name="_Toc129270750"/>
      <w:r>
        <w:rPr>
          <w:rFonts w:hint="eastAsia" w:ascii="宋体" w:hAnsi="宋体"/>
          <w:b/>
        </w:rPr>
        <w:t>12、</w:t>
      </w:r>
      <w:r>
        <w:rPr>
          <w:rFonts w:ascii="宋体" w:hAnsi="宋体"/>
          <w:b/>
        </w:rPr>
        <w:t>合同修改</w:t>
      </w:r>
      <w:bookmarkEnd w:id="278"/>
      <w:bookmarkEnd w:id="279"/>
      <w:bookmarkEnd w:id="280"/>
      <w:bookmarkEnd w:id="281"/>
      <w:bookmarkEnd w:id="282"/>
      <w:bookmarkEnd w:id="283"/>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12.1 </w:t>
      </w:r>
      <w:r>
        <w:rPr>
          <w:rFonts w:ascii="宋体" w:hAnsi="宋体"/>
          <w:lang w:val="zh-CN"/>
        </w:rPr>
        <w:t>除了通用条款第11条的规定外，对本合同条件所作的任何修改、补充均须根据双方协商达成的协议，以规定的标准修改书形式由双方授权代表签字来完成，并作为本合同不可分割的组成部分，具有与合同本身同样的效力。</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12.2 </w:t>
      </w:r>
      <w:r>
        <w:rPr>
          <w:rFonts w:ascii="宋体" w:hAnsi="宋体"/>
          <w:lang w:val="zh-CN"/>
        </w:rPr>
        <w:t>特别约定：由于合同服务时间较长，关于</w:t>
      </w:r>
      <w:r>
        <w:rPr>
          <w:rFonts w:hint="eastAsia" w:ascii="宋体" w:hAnsi="宋体"/>
          <w:lang w:val="zh-CN"/>
        </w:rPr>
        <w:t>土壤环境初步调查</w:t>
      </w:r>
      <w:r>
        <w:rPr>
          <w:rFonts w:ascii="宋体" w:hAnsi="宋体"/>
          <w:lang w:val="zh-CN"/>
        </w:rPr>
        <w:t>报告服务中存在不确定性因素。在合同执行期间，</w:t>
      </w:r>
      <w:r>
        <w:rPr>
          <w:rFonts w:hint="eastAsia" w:ascii="宋体" w:hAnsi="宋体"/>
          <w:lang w:val="zh-CN"/>
        </w:rPr>
        <w:t>甲方有权</w:t>
      </w:r>
      <w:r>
        <w:rPr>
          <w:rFonts w:ascii="宋体" w:hAnsi="宋体"/>
          <w:lang w:val="zh-CN"/>
        </w:rPr>
        <w:t>对</w:t>
      </w:r>
      <w:r>
        <w:rPr>
          <w:rFonts w:hint="eastAsia" w:ascii="宋体" w:hAnsi="宋体"/>
          <w:lang w:val="zh-CN"/>
        </w:rPr>
        <w:t>工作内容</w:t>
      </w:r>
      <w:r>
        <w:rPr>
          <w:rFonts w:ascii="宋体" w:hAnsi="宋体"/>
          <w:lang w:val="zh-CN"/>
        </w:rPr>
        <w:t>进行修改</w:t>
      </w:r>
      <w:r>
        <w:rPr>
          <w:rFonts w:hint="eastAsia" w:ascii="宋体" w:hAnsi="宋体"/>
          <w:lang w:val="zh-CN"/>
        </w:rPr>
        <w:t>，在</w:t>
      </w:r>
      <w:r>
        <w:rPr>
          <w:rFonts w:ascii="宋体" w:hAnsi="宋体"/>
          <w:lang w:val="zh-CN"/>
        </w:rPr>
        <w:t>乙方</w:t>
      </w:r>
      <w:r>
        <w:rPr>
          <w:rFonts w:hint="eastAsia" w:ascii="宋体" w:hAnsi="宋体"/>
          <w:lang w:val="zh-CN"/>
        </w:rPr>
        <w:t>应</w:t>
      </w:r>
      <w:r>
        <w:rPr>
          <w:rFonts w:ascii="宋体" w:hAnsi="宋体"/>
          <w:lang w:val="zh-CN"/>
        </w:rPr>
        <w:t>按甲方调整的</w:t>
      </w:r>
      <w:r>
        <w:rPr>
          <w:rFonts w:hint="eastAsia" w:ascii="宋体" w:hAnsi="宋体"/>
          <w:lang w:val="zh-CN"/>
        </w:rPr>
        <w:t>工作内容提</w:t>
      </w:r>
      <w:r>
        <w:rPr>
          <w:rFonts w:ascii="宋体" w:hAnsi="宋体"/>
          <w:lang w:val="zh-CN"/>
        </w:rPr>
        <w:t>供服务，合同</w:t>
      </w:r>
      <w:r>
        <w:rPr>
          <w:rFonts w:hint="eastAsia" w:ascii="宋体" w:hAnsi="宋体"/>
          <w:lang w:val="zh-CN"/>
        </w:rPr>
        <w:t>价</w:t>
      </w:r>
      <w:r>
        <w:rPr>
          <w:rFonts w:ascii="宋体" w:hAnsi="宋体"/>
          <w:lang w:val="zh-CN"/>
        </w:rPr>
        <w:t>款不予调整</w:t>
      </w:r>
      <w:r>
        <w:rPr>
          <w:rFonts w:hint="eastAsia" w:ascii="宋体" w:hAnsi="宋体"/>
          <w:lang w:val="zh-CN"/>
        </w:rPr>
        <w:t>。</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12.3 </w:t>
      </w:r>
      <w:r>
        <w:rPr>
          <w:rFonts w:ascii="宋体" w:hAnsi="宋体"/>
          <w:lang w:val="zh-CN"/>
        </w:rPr>
        <w:t>如果甲方书面要求乙方提供合同范围外的服务时，乙方应提交变更服务的建议书，在甲方确认后，乙方应提供双方约定的服务。此类建议书的准备和提交应作为本合同的一项附加的服务不另收费。</w:t>
      </w:r>
    </w:p>
    <w:p>
      <w:pPr>
        <w:autoSpaceDE w:val="0"/>
        <w:autoSpaceDN w:val="0"/>
        <w:adjustRightInd w:val="0"/>
        <w:snapToGrid w:val="0"/>
        <w:spacing w:line="360" w:lineRule="auto"/>
        <w:ind w:left="482"/>
        <w:jc w:val="left"/>
        <w:rPr>
          <w:rFonts w:ascii="宋体" w:hAnsi="宋体"/>
          <w:b/>
        </w:rPr>
      </w:pPr>
      <w:bookmarkStart w:id="284" w:name="_Toc129314298"/>
      <w:bookmarkStart w:id="285" w:name="_Toc129268170"/>
      <w:bookmarkStart w:id="286" w:name="_Toc129321201"/>
      <w:bookmarkStart w:id="287" w:name="_Toc129270751"/>
      <w:bookmarkStart w:id="288" w:name="_Toc136138492"/>
      <w:bookmarkStart w:id="289" w:name="_Toc136138845"/>
      <w:r>
        <w:rPr>
          <w:rFonts w:hint="eastAsia" w:ascii="宋体" w:hAnsi="宋体"/>
          <w:b/>
        </w:rPr>
        <w:t>13、</w:t>
      </w:r>
      <w:r>
        <w:rPr>
          <w:rFonts w:ascii="宋体" w:hAnsi="宋体"/>
          <w:b/>
        </w:rPr>
        <w:t>转让与分包</w:t>
      </w:r>
      <w:bookmarkEnd w:id="284"/>
      <w:bookmarkEnd w:id="285"/>
      <w:bookmarkEnd w:id="286"/>
      <w:bookmarkEnd w:id="287"/>
      <w:bookmarkEnd w:id="288"/>
      <w:bookmarkEnd w:id="289"/>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13.1 </w:t>
      </w:r>
      <w:r>
        <w:rPr>
          <w:rFonts w:ascii="宋体" w:hAnsi="宋体"/>
          <w:lang w:val="zh-CN"/>
        </w:rPr>
        <w:t>除甲方事先书面同意外，乙方不得部分转让或全部转让其应履行的合同义务。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13.2 </w:t>
      </w:r>
      <w:r>
        <w:rPr>
          <w:rFonts w:ascii="宋体" w:hAnsi="宋体"/>
          <w:lang w:val="zh-CN"/>
        </w:rPr>
        <w:t>乙方应书面通知甲方本合同项下所授予的所有分包合同。无论是原投标书中的还是后来的分包通知均不能解除乙方承担的本合同项下的任何责任或义务。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13.3 </w:t>
      </w:r>
      <w:r>
        <w:rPr>
          <w:rFonts w:ascii="宋体" w:hAnsi="宋体"/>
          <w:lang w:val="zh-CN"/>
        </w:rPr>
        <w:t>甲方有权与乙方的分包商进行商议，检查其工作或因其它原因与分包商接触。</w:t>
      </w:r>
    </w:p>
    <w:p>
      <w:pPr>
        <w:autoSpaceDE w:val="0"/>
        <w:autoSpaceDN w:val="0"/>
        <w:adjustRightInd w:val="0"/>
        <w:snapToGrid w:val="0"/>
        <w:spacing w:line="360" w:lineRule="auto"/>
        <w:ind w:left="482"/>
        <w:jc w:val="left"/>
        <w:rPr>
          <w:rFonts w:ascii="宋体" w:hAnsi="宋体"/>
          <w:b/>
        </w:rPr>
      </w:pPr>
      <w:bookmarkStart w:id="290" w:name="_Toc129321202"/>
      <w:bookmarkStart w:id="291" w:name="_Toc136138493"/>
      <w:bookmarkStart w:id="292" w:name="_Toc129314299"/>
      <w:bookmarkStart w:id="293" w:name="_Toc129270752"/>
      <w:bookmarkStart w:id="294" w:name="_Toc129268171"/>
      <w:bookmarkStart w:id="295" w:name="_Toc136138846"/>
      <w:r>
        <w:rPr>
          <w:rFonts w:hint="eastAsia" w:ascii="宋体" w:hAnsi="宋体"/>
          <w:b/>
        </w:rPr>
        <w:t>14、</w:t>
      </w:r>
      <w:r>
        <w:rPr>
          <w:rFonts w:ascii="宋体" w:hAnsi="宋体"/>
          <w:b/>
        </w:rPr>
        <w:t>索赔</w:t>
      </w:r>
      <w:bookmarkEnd w:id="290"/>
      <w:bookmarkEnd w:id="291"/>
      <w:bookmarkEnd w:id="292"/>
      <w:bookmarkEnd w:id="293"/>
      <w:bookmarkEnd w:id="294"/>
      <w:bookmarkEnd w:id="295"/>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14.1 </w:t>
      </w:r>
      <w:r>
        <w:rPr>
          <w:rFonts w:ascii="宋体" w:hAnsi="宋体"/>
          <w:lang w:val="zh-CN"/>
        </w:rPr>
        <w:t>因乙方的工作错误造成重大质量事故的，乙方除免收受损失部分的合同费外，还应付给与甲方在直接受损部分合同费等额的赔偿金。</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14.2 </w:t>
      </w:r>
      <w:r>
        <w:rPr>
          <w:rFonts w:ascii="宋体" w:hAnsi="宋体"/>
          <w:lang w:val="zh-CN"/>
        </w:rPr>
        <w:t>如果乙方提供的成果和服务与合同要求不符，则乙方负有全部责任，甲方有权因此向乙方提出索赔，乙方应支付相应部分合同费10~30%的违约金。</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14.3 </w:t>
      </w:r>
      <w:r>
        <w:rPr>
          <w:rFonts w:ascii="宋体" w:hAnsi="宋体"/>
          <w:lang w:val="zh-CN"/>
        </w:rPr>
        <w:t>如果甲方提出索赔通知后30天内乙方未能予以答复，该索赔应视为已被乙方接受。若乙方未能在甲方提出索赔通知的30天内或甲方同意的更长一些的时间内，按甲方同意的方式处理索赔事宜，甲方将从付款中扣回索赔金额，同时保留进一步要求赔偿的权利。</w:t>
      </w:r>
    </w:p>
    <w:p>
      <w:pPr>
        <w:autoSpaceDE w:val="0"/>
        <w:autoSpaceDN w:val="0"/>
        <w:adjustRightInd w:val="0"/>
        <w:snapToGrid w:val="0"/>
        <w:spacing w:line="360" w:lineRule="auto"/>
        <w:ind w:left="482"/>
        <w:jc w:val="left"/>
        <w:rPr>
          <w:rFonts w:ascii="宋体" w:hAnsi="宋体"/>
          <w:b/>
        </w:rPr>
      </w:pPr>
      <w:bookmarkStart w:id="296" w:name="_Toc129270753"/>
      <w:bookmarkStart w:id="297" w:name="_Toc136138847"/>
      <w:bookmarkStart w:id="298" w:name="_Toc136138494"/>
      <w:bookmarkStart w:id="299" w:name="_Toc129268172"/>
      <w:bookmarkStart w:id="300" w:name="_Toc129314300"/>
      <w:bookmarkStart w:id="301" w:name="_Toc129321203"/>
      <w:r>
        <w:rPr>
          <w:rFonts w:hint="eastAsia" w:ascii="宋体" w:hAnsi="宋体"/>
          <w:b/>
        </w:rPr>
        <w:t>15、</w:t>
      </w:r>
      <w:r>
        <w:rPr>
          <w:rFonts w:ascii="宋体" w:hAnsi="宋体"/>
          <w:b/>
        </w:rPr>
        <w:t>提交</w:t>
      </w:r>
      <w:r>
        <w:rPr>
          <w:rFonts w:hint="eastAsia" w:ascii="宋体" w:hAnsi="宋体"/>
          <w:b/>
        </w:rPr>
        <w:t>报告、</w:t>
      </w:r>
      <w:r>
        <w:rPr>
          <w:rFonts w:ascii="宋体" w:hAnsi="宋体"/>
          <w:b/>
        </w:rPr>
        <w:t>成果与核定损失额</w:t>
      </w:r>
      <w:bookmarkEnd w:id="296"/>
      <w:bookmarkEnd w:id="297"/>
      <w:bookmarkEnd w:id="298"/>
      <w:bookmarkEnd w:id="299"/>
      <w:bookmarkEnd w:id="300"/>
      <w:bookmarkEnd w:id="301"/>
    </w:p>
    <w:p>
      <w:pPr>
        <w:adjustRightInd w:val="0"/>
        <w:snapToGrid w:val="0"/>
        <w:spacing w:line="360" w:lineRule="auto"/>
        <w:ind w:firstLine="480"/>
        <w:jc w:val="left"/>
        <w:rPr>
          <w:rFonts w:ascii="宋体" w:hAnsi="宋体"/>
        </w:rPr>
      </w:pPr>
      <w:r>
        <w:rPr>
          <w:rFonts w:hint="eastAsia" w:ascii="宋体" w:hAnsi="宋体"/>
          <w:lang w:val="zh-CN"/>
        </w:rPr>
        <w:t xml:space="preserve">15.1 </w:t>
      </w:r>
      <w:r>
        <w:rPr>
          <w:rFonts w:ascii="宋体" w:hAnsi="宋体"/>
          <w:lang w:val="zh-CN"/>
        </w:rPr>
        <w:t>如果乙方未能按合同规定的时间按期交付成果</w:t>
      </w:r>
      <w:r>
        <w:rPr>
          <w:rFonts w:hint="eastAsia" w:ascii="宋体" w:hAnsi="宋体"/>
          <w:lang w:val="zh-CN"/>
        </w:rPr>
        <w:t>，或未按甲方要求配合甲方开展工规申办等工作，</w:t>
      </w:r>
      <w:r>
        <w:rPr>
          <w:rFonts w:ascii="宋体" w:hAnsi="宋体"/>
          <w:lang w:val="zh-CN"/>
        </w:rPr>
        <w:t>在乙方同意支付核定损失额的条件下，甲方将同意延长</w:t>
      </w:r>
      <w:r>
        <w:rPr>
          <w:rFonts w:hint="eastAsia" w:ascii="宋体" w:hAnsi="宋体"/>
          <w:lang w:val="zh-CN"/>
        </w:rPr>
        <w:t>土壤环境初步调查</w:t>
      </w:r>
      <w:r>
        <w:rPr>
          <w:rFonts w:ascii="宋体" w:hAnsi="宋体"/>
          <w:lang w:val="zh-CN"/>
        </w:rPr>
        <w:t>报告。</w:t>
      </w:r>
      <w:r>
        <w:rPr>
          <w:rFonts w:ascii="宋体" w:hAnsi="宋体"/>
        </w:rPr>
        <w:t>每延一天，乙方按逾期部分</w:t>
      </w:r>
      <w:r>
        <w:rPr>
          <w:rFonts w:hint="eastAsia" w:ascii="宋体" w:hAnsi="宋体"/>
        </w:rPr>
        <w:t>服务</w:t>
      </w:r>
      <w:r>
        <w:rPr>
          <w:rFonts w:ascii="宋体" w:hAnsi="宋体"/>
        </w:rPr>
        <w:t>合同费的千分之二向甲方支付违约金。</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15.2 </w:t>
      </w:r>
      <w:r>
        <w:rPr>
          <w:rFonts w:ascii="宋体" w:hAnsi="宋体"/>
          <w:lang w:val="zh-CN"/>
        </w:rPr>
        <w:t>如果乙方在达到核定损失额的最高限额后仍不能提交成果，甲方有权因乙方违约终止合同，而乙方仍有义务支付上述迟交核定损失金额。</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15.3 </w:t>
      </w:r>
      <w:r>
        <w:rPr>
          <w:rFonts w:ascii="宋体" w:hAnsi="宋体"/>
          <w:lang w:val="zh-CN"/>
        </w:rPr>
        <w:t>如果甲方使服务受到阻碍或延误，以致增加了服务的工作量或持续时间，则：</w:t>
      </w:r>
    </w:p>
    <w:p>
      <w:pPr>
        <w:tabs>
          <w:tab w:val="left" w:pos="1080"/>
          <w:tab w:val="left" w:pos="1155"/>
        </w:tabs>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15.3.1 </w:t>
      </w:r>
      <w:r>
        <w:rPr>
          <w:rFonts w:ascii="宋体" w:hAnsi="宋体"/>
          <w:lang w:val="zh-CN"/>
        </w:rPr>
        <w:t>乙方应将此情况与可能产生的影响通知甲方；</w:t>
      </w:r>
    </w:p>
    <w:p>
      <w:pPr>
        <w:tabs>
          <w:tab w:val="left" w:pos="1080"/>
          <w:tab w:val="left" w:pos="1155"/>
        </w:tabs>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15.3.2 </w:t>
      </w:r>
      <w:r>
        <w:rPr>
          <w:rFonts w:ascii="宋体" w:hAnsi="宋体"/>
          <w:lang w:val="zh-CN"/>
        </w:rPr>
        <w:t>完成全部服务的时间应相应地予以延长。</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15.4 </w:t>
      </w:r>
      <w:r>
        <w:rPr>
          <w:rFonts w:ascii="宋体" w:hAnsi="宋体"/>
          <w:lang w:val="zh-CN"/>
        </w:rPr>
        <w:t>如果出现按照本合同乙方不能负责任的情况，以及该情况使乙方不能负责或不能履行全部或部分服务时，应立即通知甲方。</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15.5 </w:t>
      </w:r>
      <w:r>
        <w:rPr>
          <w:rFonts w:ascii="宋体" w:hAnsi="宋体"/>
          <w:lang w:val="zh-CN"/>
        </w:rPr>
        <w:t>如果不得不暂停某些服务时，则该类服务的完成期限应予延长，直至此种情况不再持续。</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15.6 </w:t>
      </w:r>
      <w:r>
        <w:rPr>
          <w:rFonts w:ascii="宋体" w:hAnsi="宋体"/>
          <w:lang w:val="zh-CN"/>
        </w:rPr>
        <w:t>如果履行某些服务的速度不得不减慢，则该类服务的完成期限由于此种情况可能必须给予延长。</w:t>
      </w:r>
    </w:p>
    <w:p>
      <w:pPr>
        <w:autoSpaceDE w:val="0"/>
        <w:autoSpaceDN w:val="0"/>
        <w:adjustRightInd w:val="0"/>
        <w:snapToGrid w:val="0"/>
        <w:spacing w:line="360" w:lineRule="auto"/>
        <w:ind w:left="482"/>
        <w:jc w:val="left"/>
        <w:rPr>
          <w:rFonts w:ascii="宋体" w:hAnsi="宋体"/>
          <w:b/>
        </w:rPr>
      </w:pPr>
      <w:bookmarkStart w:id="302" w:name="_Toc129270754"/>
      <w:bookmarkStart w:id="303" w:name="_Toc129314301"/>
      <w:bookmarkStart w:id="304" w:name="_Toc136138848"/>
      <w:bookmarkStart w:id="305" w:name="_Toc129321204"/>
      <w:bookmarkStart w:id="306" w:name="_Toc129268173"/>
      <w:bookmarkStart w:id="307" w:name="_Toc136138495"/>
      <w:r>
        <w:rPr>
          <w:rFonts w:hint="eastAsia" w:ascii="宋体" w:hAnsi="宋体"/>
          <w:b/>
        </w:rPr>
        <w:t>16、</w:t>
      </w:r>
      <w:r>
        <w:rPr>
          <w:rFonts w:ascii="宋体" w:hAnsi="宋体"/>
          <w:b/>
        </w:rPr>
        <w:t>不可抗力</w:t>
      </w:r>
      <w:bookmarkEnd w:id="302"/>
      <w:bookmarkEnd w:id="303"/>
      <w:bookmarkEnd w:id="304"/>
      <w:bookmarkEnd w:id="305"/>
      <w:bookmarkEnd w:id="306"/>
      <w:bookmarkEnd w:id="307"/>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16.1 </w:t>
      </w:r>
      <w:r>
        <w:rPr>
          <w:rFonts w:ascii="宋体" w:hAnsi="宋体"/>
          <w:lang w:val="zh-CN"/>
        </w:rPr>
        <w:t>签约双方任一方由于受诸如战争、严重火灾、洪水、台风、地震、流行病、防疫限制等不可抗力事故的影响而不能执行合同时，履行合同的期限应予以延长，则延长的期限相当于事故所影响的时间。不可抗力事故系指双方在缔结合同时所不能预见的，并且它的发生及其后果是无法避免和无法克服的事故。</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16.2 </w:t>
      </w:r>
      <w:r>
        <w:rPr>
          <w:rFonts w:ascii="宋体" w:hAnsi="宋体"/>
          <w:lang w:val="zh-CN"/>
        </w:rPr>
        <w:t>受阻一方应在不可抗力事故发生后尽快用电报、传真或电传通知对方，并于事故发生后14天内将有关当局出具的证明文件用特快专递或挂号信寄给对方审阅确认。一旦不可抗力事故的影响持续120天以上，双方应通过友好协商在合理的时间内达成进一步履行合同的协议或终止合同的协议。</w:t>
      </w:r>
    </w:p>
    <w:p>
      <w:pPr>
        <w:autoSpaceDE w:val="0"/>
        <w:autoSpaceDN w:val="0"/>
        <w:adjustRightInd w:val="0"/>
        <w:snapToGrid w:val="0"/>
        <w:spacing w:line="360" w:lineRule="auto"/>
        <w:ind w:left="482"/>
        <w:jc w:val="left"/>
        <w:rPr>
          <w:rFonts w:ascii="宋体" w:hAnsi="宋体"/>
          <w:b/>
        </w:rPr>
      </w:pPr>
      <w:bookmarkStart w:id="308" w:name="_Toc129268174"/>
      <w:bookmarkStart w:id="309" w:name="_Toc136138849"/>
      <w:bookmarkStart w:id="310" w:name="_Toc129314302"/>
      <w:bookmarkStart w:id="311" w:name="_Toc129321205"/>
      <w:bookmarkStart w:id="312" w:name="_Toc136138496"/>
      <w:bookmarkStart w:id="313" w:name="_Toc129270755"/>
      <w:r>
        <w:rPr>
          <w:rFonts w:hint="eastAsia" w:ascii="宋体" w:hAnsi="宋体"/>
          <w:b/>
        </w:rPr>
        <w:t>17、</w:t>
      </w:r>
      <w:r>
        <w:rPr>
          <w:rFonts w:ascii="宋体" w:hAnsi="宋体"/>
          <w:b/>
        </w:rPr>
        <w:t>合同的终止</w:t>
      </w:r>
      <w:bookmarkEnd w:id="308"/>
      <w:bookmarkEnd w:id="309"/>
      <w:bookmarkEnd w:id="310"/>
      <w:bookmarkEnd w:id="311"/>
      <w:bookmarkEnd w:id="312"/>
      <w:bookmarkEnd w:id="313"/>
    </w:p>
    <w:p>
      <w:pPr>
        <w:autoSpaceDE w:val="0"/>
        <w:autoSpaceDN w:val="0"/>
        <w:adjustRightInd w:val="0"/>
        <w:snapToGrid w:val="0"/>
        <w:spacing w:line="360" w:lineRule="auto"/>
        <w:ind w:firstLine="480"/>
        <w:jc w:val="left"/>
        <w:rPr>
          <w:rFonts w:ascii="宋体" w:hAnsi="宋体"/>
          <w:lang w:val="zh-CN"/>
        </w:rPr>
      </w:pPr>
      <w:bookmarkStart w:id="314" w:name="_Toc132623069"/>
      <w:bookmarkStart w:id="315" w:name="_Toc131999359"/>
      <w:bookmarkStart w:id="316" w:name="_Toc129268175"/>
      <w:bookmarkStart w:id="317" w:name="_Toc129321206"/>
      <w:bookmarkStart w:id="318" w:name="_Toc132528608"/>
      <w:bookmarkStart w:id="319" w:name="_Toc136138497"/>
      <w:bookmarkStart w:id="320" w:name="_Toc129314303"/>
      <w:bookmarkStart w:id="321" w:name="_Toc129270756"/>
      <w:bookmarkStart w:id="322" w:name="_Toc132188998"/>
      <w:bookmarkStart w:id="323" w:name="_Toc133125066"/>
      <w:r>
        <w:rPr>
          <w:rFonts w:hint="eastAsia" w:ascii="宋体" w:hAnsi="宋体"/>
          <w:lang w:val="zh-CN"/>
        </w:rPr>
        <w:t xml:space="preserve">17.1 </w:t>
      </w:r>
      <w:r>
        <w:rPr>
          <w:rFonts w:ascii="宋体" w:hAnsi="宋体"/>
          <w:lang w:val="zh-CN"/>
        </w:rPr>
        <w:t>合同义务履行完成终止合同</w:t>
      </w:r>
      <w:bookmarkEnd w:id="314"/>
      <w:bookmarkEnd w:id="315"/>
      <w:bookmarkEnd w:id="316"/>
      <w:bookmarkEnd w:id="317"/>
      <w:bookmarkEnd w:id="318"/>
      <w:bookmarkEnd w:id="319"/>
      <w:bookmarkEnd w:id="320"/>
      <w:bookmarkEnd w:id="321"/>
      <w:bookmarkEnd w:id="322"/>
      <w:bookmarkEnd w:id="323"/>
    </w:p>
    <w:p>
      <w:pPr>
        <w:adjustRightInd w:val="0"/>
        <w:snapToGrid w:val="0"/>
        <w:spacing w:line="360" w:lineRule="auto"/>
        <w:ind w:firstLine="480"/>
        <w:jc w:val="left"/>
        <w:rPr>
          <w:rFonts w:ascii="宋体" w:hAnsi="宋体"/>
          <w:lang w:val="zh-CN"/>
        </w:rPr>
      </w:pPr>
      <w:r>
        <w:rPr>
          <w:rFonts w:ascii="宋体" w:hAnsi="宋体"/>
          <w:lang w:val="zh-CN"/>
        </w:rPr>
        <w:t>当合同双方完成了合同中规定的责任和义务，合同终止。</w:t>
      </w:r>
    </w:p>
    <w:p>
      <w:pPr>
        <w:autoSpaceDE w:val="0"/>
        <w:autoSpaceDN w:val="0"/>
        <w:adjustRightInd w:val="0"/>
        <w:snapToGrid w:val="0"/>
        <w:spacing w:line="360" w:lineRule="auto"/>
        <w:ind w:firstLine="480"/>
        <w:jc w:val="left"/>
        <w:rPr>
          <w:rFonts w:ascii="宋体" w:hAnsi="宋体"/>
          <w:lang w:val="zh-CN"/>
        </w:rPr>
      </w:pPr>
      <w:bookmarkStart w:id="324" w:name="_Toc129270757"/>
      <w:bookmarkStart w:id="325" w:name="_Toc131999360"/>
      <w:bookmarkStart w:id="326" w:name="_Toc133125067"/>
      <w:bookmarkStart w:id="327" w:name="_Toc132188999"/>
      <w:bookmarkStart w:id="328" w:name="_Toc129268176"/>
      <w:bookmarkStart w:id="329" w:name="_Toc132623070"/>
      <w:bookmarkStart w:id="330" w:name="_Toc136138498"/>
      <w:bookmarkStart w:id="331" w:name="_Toc129314304"/>
      <w:bookmarkStart w:id="332" w:name="_Toc129321207"/>
      <w:bookmarkStart w:id="333" w:name="_Toc132528609"/>
      <w:r>
        <w:rPr>
          <w:rFonts w:hint="eastAsia" w:ascii="宋体" w:hAnsi="宋体"/>
          <w:lang w:val="zh-CN"/>
        </w:rPr>
        <w:t xml:space="preserve">17.2 </w:t>
      </w:r>
      <w:r>
        <w:rPr>
          <w:rFonts w:ascii="宋体" w:hAnsi="宋体"/>
          <w:lang w:val="zh-CN"/>
        </w:rPr>
        <w:t>同意终止合同</w:t>
      </w:r>
      <w:bookmarkEnd w:id="324"/>
      <w:bookmarkEnd w:id="325"/>
      <w:bookmarkEnd w:id="326"/>
      <w:bookmarkEnd w:id="327"/>
      <w:bookmarkEnd w:id="328"/>
      <w:bookmarkEnd w:id="329"/>
      <w:bookmarkEnd w:id="330"/>
      <w:bookmarkEnd w:id="331"/>
      <w:bookmarkEnd w:id="332"/>
      <w:bookmarkEnd w:id="333"/>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17.2.1 </w:t>
      </w:r>
      <w:r>
        <w:rPr>
          <w:rFonts w:ascii="宋体" w:hAnsi="宋体"/>
          <w:lang w:val="zh-CN"/>
        </w:rPr>
        <w:t>若双方同意，合同可以在任何条件下终止。</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17.2.2 </w:t>
      </w:r>
      <w:r>
        <w:rPr>
          <w:rFonts w:ascii="宋体" w:hAnsi="宋体"/>
          <w:lang w:val="zh-CN"/>
        </w:rPr>
        <w:t>在本条款第17.2.1条的情况下，合同双方则将无例外的免去除已履行的义务外的双方所有的合同规定的责任和义务。</w:t>
      </w:r>
    </w:p>
    <w:p>
      <w:pPr>
        <w:autoSpaceDE w:val="0"/>
        <w:autoSpaceDN w:val="0"/>
        <w:adjustRightInd w:val="0"/>
        <w:snapToGrid w:val="0"/>
        <w:spacing w:line="360" w:lineRule="auto"/>
        <w:ind w:firstLine="480"/>
        <w:jc w:val="left"/>
        <w:rPr>
          <w:rFonts w:ascii="宋体" w:hAnsi="宋体"/>
          <w:lang w:val="zh-CN"/>
        </w:rPr>
      </w:pPr>
      <w:bookmarkStart w:id="334" w:name="_Toc132189000"/>
      <w:bookmarkStart w:id="335" w:name="_Toc136138499"/>
      <w:bookmarkStart w:id="336" w:name="_Toc131999361"/>
      <w:bookmarkStart w:id="337" w:name="_Toc129321208"/>
      <w:bookmarkStart w:id="338" w:name="_Toc129268177"/>
      <w:bookmarkStart w:id="339" w:name="_Toc132623071"/>
      <w:bookmarkStart w:id="340" w:name="_Toc129270758"/>
      <w:bookmarkStart w:id="341" w:name="_Toc129314305"/>
      <w:bookmarkStart w:id="342" w:name="_Toc132528610"/>
      <w:bookmarkStart w:id="343" w:name="_Toc133125068"/>
      <w:r>
        <w:rPr>
          <w:rFonts w:hint="eastAsia" w:ascii="宋体" w:hAnsi="宋体"/>
          <w:lang w:val="zh-CN"/>
        </w:rPr>
        <w:t xml:space="preserve">17.3 </w:t>
      </w:r>
      <w:r>
        <w:rPr>
          <w:rFonts w:ascii="宋体" w:hAnsi="宋体"/>
          <w:lang w:val="zh-CN"/>
        </w:rPr>
        <w:t>因乙方违约终止合同</w:t>
      </w:r>
      <w:bookmarkEnd w:id="334"/>
      <w:bookmarkEnd w:id="335"/>
      <w:bookmarkEnd w:id="336"/>
      <w:bookmarkEnd w:id="337"/>
      <w:bookmarkEnd w:id="338"/>
      <w:bookmarkEnd w:id="339"/>
      <w:bookmarkEnd w:id="340"/>
      <w:bookmarkEnd w:id="341"/>
      <w:bookmarkEnd w:id="342"/>
      <w:bookmarkEnd w:id="343"/>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17.3.1 </w:t>
      </w:r>
      <w:r>
        <w:rPr>
          <w:rFonts w:ascii="宋体" w:hAnsi="宋体"/>
          <w:lang w:val="zh-CN"/>
        </w:rPr>
        <w:t>如果甲方发现以下违约情形之一后可向乙方发出书面违约通知书，提出终止部分或全部合同，并且乙方应向甲方按相应合同费的10％~30％支付违约金：</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w:t>
      </w:r>
      <w:r>
        <w:rPr>
          <w:rFonts w:ascii="宋体" w:hAnsi="宋体"/>
          <w:lang w:val="zh-CN"/>
        </w:rPr>
        <w:t>如果乙方无能力进行的相关的服务或不能按时提供规定的成果供甲方认可；</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（2）</w:t>
      </w:r>
      <w:r>
        <w:rPr>
          <w:rFonts w:ascii="宋体" w:hAnsi="宋体"/>
          <w:lang w:val="zh-CN"/>
        </w:rPr>
        <w:t>如果乙方长期未能通过成果或服务的甲方的检查；</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（3）</w:t>
      </w:r>
      <w:r>
        <w:rPr>
          <w:rFonts w:ascii="宋体" w:hAnsi="宋体"/>
          <w:lang w:val="zh-CN"/>
        </w:rPr>
        <w:t>如果乙方不具备合同要求的工作条件或未能按照合同规定的工作方式进行；</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（4）</w:t>
      </w:r>
      <w:r>
        <w:rPr>
          <w:rFonts w:ascii="宋体" w:hAnsi="宋体"/>
          <w:lang w:val="zh-CN"/>
        </w:rPr>
        <w:t>如果乙方在合同规定的期限或甲方同意延长的期限内未能提供符合合同规定的部分或全部成果或服务；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（5）</w:t>
      </w:r>
      <w:r>
        <w:rPr>
          <w:rFonts w:ascii="宋体" w:hAnsi="宋体"/>
          <w:lang w:val="zh-CN"/>
        </w:rPr>
        <w:t>如果乙方未能履行合同规定的其他任何义务；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w:t>
      </w:r>
      <w:r>
        <w:rPr>
          <w:rFonts w:ascii="宋体" w:hAnsi="宋体"/>
          <w:lang w:val="zh-CN"/>
        </w:rPr>
        <w:t>6</w:t>
      </w:r>
      <w:r>
        <w:rPr>
          <w:rFonts w:hint="eastAsia" w:ascii="宋体" w:hAnsi="宋体"/>
          <w:lang w:val="zh-CN"/>
        </w:rPr>
        <w:t>）</w:t>
      </w:r>
      <w:r>
        <w:rPr>
          <w:rFonts w:ascii="宋体" w:hAnsi="宋体"/>
          <w:lang w:val="zh-CN"/>
        </w:rPr>
        <w:t>如果甲方认为乙方在本合同的竞争和实施过程中有腐败和欺诈行为。</w:t>
      </w:r>
    </w:p>
    <w:p>
      <w:pPr>
        <w:adjustRightInd w:val="0"/>
        <w:snapToGrid w:val="0"/>
        <w:spacing w:line="360" w:lineRule="auto"/>
        <w:ind w:firstLine="480"/>
        <w:jc w:val="left"/>
        <w:rPr>
          <w:rFonts w:ascii="宋体" w:hAnsi="宋体"/>
          <w:lang w:val="zh-CN"/>
        </w:rPr>
      </w:pPr>
      <w:r>
        <w:rPr>
          <w:rFonts w:ascii="宋体" w:hAnsi="宋体"/>
          <w:lang w:val="zh-CN"/>
        </w:rPr>
        <w:t>为此目的，定义下述条件：</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w:t>
      </w:r>
      <w:r>
        <w:rPr>
          <w:rFonts w:ascii="宋体" w:hAnsi="宋体"/>
          <w:lang w:val="zh-CN"/>
        </w:rPr>
        <w:t xml:space="preserve">“腐败行为”是指提供、给予、接受或索取任何有价值的东西来影响有关人员在合同实施过程中的行为； </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2）</w:t>
      </w:r>
      <w:r>
        <w:rPr>
          <w:rFonts w:ascii="宋体" w:hAnsi="宋体"/>
          <w:lang w:val="zh-CN"/>
        </w:rPr>
        <w:t>“欺诈行为”是指为了影响合同实施过程而谎报事实，损害甲方的利益，包括乙方之间串通投标（递交投标书之前和之后），人为地使各投标价丧失竞争性，剥夺甲方从自由公开竞争所获得的权益。</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17.3.2 </w:t>
      </w:r>
      <w:r>
        <w:rPr>
          <w:rFonts w:ascii="宋体" w:hAnsi="宋体"/>
          <w:lang w:val="zh-CN"/>
        </w:rPr>
        <w:t>如果甲方根据本条款第17.3.1条的规定，发出违约通知书15天（或经甲方书面确认的时间）后，甲方有权按其认为适当的条件和方法或采取其认为最合适的措施来完成被终止了的项目，乙方应对所超出的那部分费用或为了执行完成被终止了的该部分而甲方实际发生的直接费用负责。但是，乙方应继续执行合同中未终止的部分。</w:t>
      </w:r>
    </w:p>
    <w:p>
      <w:pPr>
        <w:autoSpaceDE w:val="0"/>
        <w:autoSpaceDN w:val="0"/>
        <w:adjustRightInd w:val="0"/>
        <w:snapToGrid w:val="0"/>
        <w:spacing w:line="360" w:lineRule="auto"/>
        <w:ind w:firstLine="480"/>
        <w:jc w:val="left"/>
        <w:rPr>
          <w:rFonts w:ascii="宋体" w:hAnsi="宋体"/>
          <w:lang w:val="zh-CN"/>
        </w:rPr>
      </w:pPr>
      <w:bookmarkStart w:id="344" w:name="_Toc132189001"/>
      <w:bookmarkStart w:id="345" w:name="_Toc129268178"/>
      <w:bookmarkStart w:id="346" w:name="_Toc136138500"/>
      <w:bookmarkStart w:id="347" w:name="_Toc132528611"/>
      <w:bookmarkStart w:id="348" w:name="_Toc131999362"/>
      <w:bookmarkStart w:id="349" w:name="_Toc129321209"/>
      <w:bookmarkStart w:id="350" w:name="_Toc129314306"/>
      <w:bookmarkStart w:id="351" w:name="_Toc132623072"/>
      <w:bookmarkStart w:id="352" w:name="_Toc129270759"/>
      <w:bookmarkStart w:id="353" w:name="_Toc133125069"/>
      <w:r>
        <w:rPr>
          <w:rFonts w:hint="eastAsia" w:ascii="宋体" w:hAnsi="宋体"/>
          <w:lang w:val="zh-CN"/>
        </w:rPr>
        <w:t xml:space="preserve">17.4 </w:t>
      </w:r>
      <w:r>
        <w:rPr>
          <w:rFonts w:ascii="宋体" w:hAnsi="宋体"/>
          <w:lang w:val="zh-CN"/>
        </w:rPr>
        <w:t>因甲方违约终止合同</w:t>
      </w:r>
      <w:bookmarkEnd w:id="344"/>
      <w:bookmarkEnd w:id="345"/>
      <w:bookmarkEnd w:id="346"/>
      <w:bookmarkEnd w:id="347"/>
      <w:bookmarkEnd w:id="348"/>
      <w:bookmarkEnd w:id="349"/>
      <w:bookmarkEnd w:id="350"/>
      <w:bookmarkEnd w:id="351"/>
      <w:bookmarkEnd w:id="352"/>
      <w:bookmarkEnd w:id="353"/>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17.4.1 </w:t>
      </w:r>
      <w:r>
        <w:rPr>
          <w:rFonts w:ascii="宋体" w:hAnsi="宋体"/>
          <w:lang w:val="zh-CN"/>
        </w:rPr>
        <w:t>如果甲方严重违背了合同规定的责任义务，而且这种违约没有任何条款允许时，则乙方有权终止合同的一部分或全部，但前提条件是乙方应在终止合同前二个月书面通知甲方，而甲方未能在这个期限内采取合理的措施以弥补其违约。</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17.4.2 </w:t>
      </w:r>
      <w:r>
        <w:rPr>
          <w:rFonts w:ascii="宋体" w:hAnsi="宋体"/>
          <w:lang w:val="zh-CN"/>
        </w:rPr>
        <w:t>在本条款第17.4.1条的情况下，乙方有权要求甲方补偿其因违约而造成的任何直接损失。但是，乙方应继续执行合同中未终止的部分。</w:t>
      </w:r>
    </w:p>
    <w:p>
      <w:pPr>
        <w:autoSpaceDE w:val="0"/>
        <w:autoSpaceDN w:val="0"/>
        <w:adjustRightInd w:val="0"/>
        <w:snapToGrid w:val="0"/>
        <w:spacing w:line="360" w:lineRule="auto"/>
        <w:ind w:left="482"/>
        <w:jc w:val="left"/>
        <w:rPr>
          <w:rFonts w:ascii="宋体" w:hAnsi="宋体"/>
          <w:b/>
        </w:rPr>
      </w:pPr>
      <w:bookmarkStart w:id="354" w:name="_Toc129268179"/>
      <w:bookmarkStart w:id="355" w:name="_Toc136138850"/>
      <w:bookmarkStart w:id="356" w:name="_Toc136138501"/>
      <w:bookmarkStart w:id="357" w:name="_Toc129270760"/>
      <w:bookmarkStart w:id="358" w:name="_Toc129321210"/>
      <w:bookmarkStart w:id="359" w:name="_Toc129314307"/>
      <w:r>
        <w:rPr>
          <w:rFonts w:hint="eastAsia" w:ascii="宋体" w:hAnsi="宋体"/>
          <w:b/>
        </w:rPr>
        <w:t>18、</w:t>
      </w:r>
      <w:r>
        <w:rPr>
          <w:rFonts w:ascii="宋体" w:hAnsi="宋体"/>
          <w:b/>
        </w:rPr>
        <w:t>项目暂停</w:t>
      </w:r>
      <w:bookmarkEnd w:id="354"/>
      <w:bookmarkEnd w:id="355"/>
      <w:bookmarkEnd w:id="356"/>
      <w:bookmarkEnd w:id="357"/>
      <w:bookmarkEnd w:id="358"/>
      <w:bookmarkEnd w:id="359"/>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18.1 </w:t>
      </w:r>
      <w:r>
        <w:rPr>
          <w:rFonts w:ascii="宋体" w:hAnsi="宋体"/>
          <w:lang w:val="zh-CN"/>
        </w:rPr>
        <w:t>甲方可以在任何时间由于任何原因暂停项目，并以书面通知乙方暂停部分和暂停起始日以及重新恢复的大约日期，乙方必须在暂停起始日尽快暂停上述项目，但未暂停部分必须继续执行。若要恢复，甲方必须以书面方式通知乙方，说明恢复部分以及恢复的生效日，以便恢复前述暂停部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18.2 </w:t>
      </w:r>
      <w:r>
        <w:rPr>
          <w:rFonts w:ascii="宋体" w:hAnsi="宋体"/>
          <w:lang w:val="zh-CN"/>
        </w:rPr>
        <w:t>在甲方提出项目暂停持续较长时间的情况下，甲方按通用条款和专用条款的有关规定执行。如果项目暂停是因为乙方违约造成的则本条款不适用。</w:t>
      </w:r>
    </w:p>
    <w:p>
      <w:pPr>
        <w:autoSpaceDE w:val="0"/>
        <w:autoSpaceDN w:val="0"/>
        <w:adjustRightInd w:val="0"/>
        <w:snapToGrid w:val="0"/>
        <w:spacing w:line="360" w:lineRule="auto"/>
        <w:ind w:left="482"/>
        <w:jc w:val="left"/>
        <w:rPr>
          <w:rFonts w:ascii="宋体" w:hAnsi="宋体"/>
          <w:b/>
        </w:rPr>
      </w:pPr>
      <w:bookmarkStart w:id="360" w:name="_Toc136138502"/>
      <w:bookmarkStart w:id="361" w:name="_Toc136138851"/>
      <w:bookmarkStart w:id="362" w:name="_Toc129268180"/>
      <w:bookmarkStart w:id="363" w:name="_Toc129321211"/>
      <w:bookmarkStart w:id="364" w:name="_Toc129270761"/>
      <w:bookmarkStart w:id="365" w:name="_Toc129314308"/>
      <w:r>
        <w:rPr>
          <w:rFonts w:hint="eastAsia" w:ascii="宋体" w:hAnsi="宋体"/>
          <w:b/>
        </w:rPr>
        <w:t>19、</w:t>
      </w:r>
      <w:r>
        <w:rPr>
          <w:rFonts w:ascii="宋体" w:hAnsi="宋体"/>
          <w:b/>
        </w:rPr>
        <w:t>合同双方的权利与义务</w:t>
      </w:r>
      <w:bookmarkEnd w:id="360"/>
      <w:bookmarkEnd w:id="361"/>
      <w:bookmarkEnd w:id="362"/>
      <w:bookmarkEnd w:id="363"/>
      <w:bookmarkEnd w:id="364"/>
      <w:bookmarkEnd w:id="365"/>
    </w:p>
    <w:p>
      <w:pPr>
        <w:autoSpaceDE w:val="0"/>
        <w:autoSpaceDN w:val="0"/>
        <w:adjustRightInd w:val="0"/>
        <w:snapToGrid w:val="0"/>
        <w:spacing w:line="360" w:lineRule="auto"/>
        <w:ind w:firstLine="480"/>
        <w:jc w:val="left"/>
        <w:rPr>
          <w:rFonts w:ascii="宋体" w:hAnsi="宋体"/>
          <w:b/>
          <w:lang w:val="zh-CN"/>
        </w:rPr>
      </w:pPr>
      <w:bookmarkStart w:id="366" w:name="_Toc129268181"/>
      <w:bookmarkStart w:id="367" w:name="_Toc136138503"/>
      <w:bookmarkStart w:id="368" w:name="_Toc131999365"/>
      <w:bookmarkStart w:id="369" w:name="_Toc129314309"/>
      <w:bookmarkStart w:id="370" w:name="_Toc133125072"/>
      <w:bookmarkStart w:id="371" w:name="_Toc132189004"/>
      <w:bookmarkStart w:id="372" w:name="_Toc132623075"/>
      <w:bookmarkStart w:id="373" w:name="_Toc129321212"/>
      <w:bookmarkStart w:id="374" w:name="_Toc129270762"/>
      <w:bookmarkStart w:id="375" w:name="_Toc132528614"/>
      <w:r>
        <w:rPr>
          <w:rFonts w:hint="eastAsia" w:ascii="宋体" w:hAnsi="宋体"/>
          <w:b/>
          <w:lang w:val="zh-CN"/>
        </w:rPr>
        <w:t xml:space="preserve">19.1 </w:t>
      </w:r>
      <w:r>
        <w:rPr>
          <w:rFonts w:ascii="宋体" w:hAnsi="宋体"/>
          <w:b/>
          <w:lang w:val="zh-CN"/>
        </w:rPr>
        <w:t>甲方的权利与义务</w:t>
      </w:r>
      <w:bookmarkEnd w:id="366"/>
      <w:bookmarkEnd w:id="367"/>
      <w:bookmarkEnd w:id="368"/>
      <w:bookmarkEnd w:id="369"/>
      <w:bookmarkEnd w:id="370"/>
      <w:bookmarkEnd w:id="371"/>
      <w:bookmarkEnd w:id="372"/>
      <w:bookmarkEnd w:id="373"/>
      <w:bookmarkEnd w:id="374"/>
      <w:bookmarkEnd w:id="375"/>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19.1.1 </w:t>
      </w:r>
      <w:r>
        <w:rPr>
          <w:rFonts w:ascii="宋体" w:hAnsi="宋体"/>
          <w:lang w:val="zh-CN"/>
        </w:rPr>
        <w:t>依据合同条款和附件的具体规定对乙方开展相关的管理工作，有权对乙方的</w:t>
      </w:r>
      <w:r>
        <w:rPr>
          <w:rFonts w:hint="eastAsia" w:ascii="宋体" w:hAnsi="宋体"/>
        </w:rPr>
        <w:t>土壤环境初步调查的</w:t>
      </w:r>
      <w:r>
        <w:rPr>
          <w:rFonts w:ascii="宋体" w:hAnsi="宋体"/>
          <w:lang w:val="zh-CN"/>
        </w:rPr>
        <w:t>组织、进程和成果等进行甲方认为必要的检查和监督；</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19.1.2 </w:t>
      </w:r>
      <w:r>
        <w:rPr>
          <w:rFonts w:ascii="宋体" w:hAnsi="宋体"/>
          <w:lang w:val="zh-CN"/>
        </w:rPr>
        <w:t>在专用条款第</w:t>
      </w:r>
      <w:r>
        <w:rPr>
          <w:rFonts w:hint="eastAsia" w:ascii="宋体" w:hAnsi="宋体"/>
          <w:lang w:val="zh-CN"/>
        </w:rPr>
        <w:t>9</w:t>
      </w:r>
      <w:r>
        <w:rPr>
          <w:rFonts w:ascii="宋体" w:hAnsi="宋体"/>
          <w:lang w:val="zh-CN"/>
        </w:rPr>
        <w:t>条规定的</w:t>
      </w:r>
      <w:r>
        <w:rPr>
          <w:rFonts w:hint="eastAsia" w:ascii="宋体" w:hAnsi="宋体"/>
          <w:lang w:val="zh-CN"/>
        </w:rPr>
        <w:t>土壤环境初步调查</w:t>
      </w:r>
      <w:r>
        <w:rPr>
          <w:rFonts w:ascii="宋体" w:hAnsi="宋体"/>
          <w:lang w:val="zh-CN"/>
        </w:rPr>
        <w:t>报告范围内，有权要求乙方进一步提供依据、计算数据等，以判断成果的可靠性。</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19.1.3 </w:t>
      </w:r>
      <w:r>
        <w:rPr>
          <w:rFonts w:ascii="宋体" w:hAnsi="宋体"/>
          <w:lang w:val="zh-CN"/>
        </w:rPr>
        <w:t>甲方的工作</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w:t>
      </w:r>
      <w:r>
        <w:rPr>
          <w:rFonts w:ascii="宋体" w:hAnsi="宋体"/>
          <w:lang w:val="zh-CN"/>
        </w:rPr>
        <w:t>及时向乙方提供所需文件资料、图纸等；</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（2）</w:t>
      </w:r>
      <w:r>
        <w:rPr>
          <w:rFonts w:ascii="宋体" w:hAnsi="宋体"/>
          <w:lang w:val="zh-CN"/>
        </w:rPr>
        <w:t>按通用条款第10款规定的时间和方式，及时向乙方支付各阶段合同费用。</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（3）</w:t>
      </w:r>
      <w:r>
        <w:rPr>
          <w:rFonts w:ascii="宋体" w:hAnsi="宋体"/>
          <w:lang w:val="zh-CN"/>
        </w:rPr>
        <w:t>组织审查乙方提供的报告，并及时将审查（审批）意见以书面方式通知乙方。</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（4）</w:t>
      </w:r>
      <w:r>
        <w:rPr>
          <w:rFonts w:ascii="宋体" w:hAnsi="宋体"/>
          <w:lang w:val="zh-CN"/>
        </w:rPr>
        <w:t>维护乙方的权威，使本项目</w:t>
      </w:r>
      <w:r>
        <w:rPr>
          <w:rFonts w:hint="eastAsia" w:ascii="宋体" w:hAnsi="宋体"/>
          <w:lang w:val="zh-CN"/>
        </w:rPr>
        <w:t>土壤环境初步调查</w:t>
      </w:r>
      <w:r>
        <w:rPr>
          <w:rFonts w:ascii="宋体" w:hAnsi="宋体"/>
          <w:lang w:val="zh-CN"/>
        </w:rPr>
        <w:t>报告工作自始至终处于有效控制之中。</w:t>
      </w:r>
    </w:p>
    <w:p>
      <w:pPr>
        <w:adjustRightInd w:val="0"/>
        <w:snapToGrid w:val="0"/>
        <w:spacing w:line="480" w:lineRule="exact"/>
        <w:ind w:firstLine="480" w:firstLineChars="200"/>
        <w:rPr>
          <w:rFonts w:ascii="宋体" w:hAnsi="宋体"/>
          <w:lang w:val="zh-CN"/>
        </w:rPr>
      </w:pPr>
      <w:r>
        <w:rPr>
          <w:rFonts w:hint="eastAsia" w:ascii="宋体" w:hAnsi="宋体"/>
          <w:lang w:val="zh-CN"/>
        </w:rPr>
        <w:t>（5）</w:t>
      </w:r>
      <w:r>
        <w:rPr>
          <w:rFonts w:ascii="宋体" w:hAnsi="宋体"/>
          <w:lang w:val="zh-CN"/>
        </w:rPr>
        <w:t>按合同要求支付费用。</w:t>
      </w:r>
    </w:p>
    <w:p>
      <w:pPr>
        <w:adjustRightInd w:val="0"/>
        <w:snapToGrid w:val="0"/>
        <w:spacing w:line="480" w:lineRule="exact"/>
        <w:ind w:firstLine="480" w:firstLineChars="200"/>
        <w:rPr>
          <w:rFonts w:ascii="宋体" w:hAnsi="宋体"/>
          <w:lang w:val="zh-CN"/>
        </w:rPr>
      </w:pPr>
      <w:r>
        <w:rPr>
          <w:rFonts w:hint="eastAsia" w:ascii="宋体" w:hAnsi="宋体"/>
          <w:lang w:val="zh-CN"/>
        </w:rPr>
        <w:t>（6）协助乙方土壤环境初步调查报告书</w:t>
      </w:r>
      <w:r>
        <w:rPr>
          <w:rFonts w:ascii="宋体" w:hAnsi="宋体"/>
          <w:lang w:val="zh-CN"/>
        </w:rPr>
        <w:t>组织评审工作。</w:t>
      </w:r>
    </w:p>
    <w:p>
      <w:pPr>
        <w:autoSpaceDE w:val="0"/>
        <w:autoSpaceDN w:val="0"/>
        <w:adjustRightInd w:val="0"/>
        <w:snapToGrid w:val="0"/>
        <w:spacing w:line="360" w:lineRule="auto"/>
        <w:ind w:firstLine="480"/>
        <w:jc w:val="left"/>
        <w:rPr>
          <w:rFonts w:ascii="宋体" w:hAnsi="宋体"/>
          <w:b/>
          <w:lang w:val="zh-CN"/>
        </w:rPr>
      </w:pPr>
      <w:bookmarkStart w:id="376" w:name="_Toc136138504"/>
      <w:bookmarkStart w:id="377" w:name="_Toc129268182"/>
      <w:bookmarkStart w:id="378" w:name="_Toc131999366"/>
      <w:bookmarkStart w:id="379" w:name="_Toc132623076"/>
      <w:bookmarkStart w:id="380" w:name="_Toc132528615"/>
      <w:bookmarkStart w:id="381" w:name="_Toc129270763"/>
      <w:bookmarkStart w:id="382" w:name="_Toc129321213"/>
      <w:bookmarkStart w:id="383" w:name="_Toc132189005"/>
      <w:bookmarkStart w:id="384" w:name="_Toc129314310"/>
      <w:bookmarkStart w:id="385" w:name="_Toc133125073"/>
      <w:r>
        <w:rPr>
          <w:rFonts w:hint="eastAsia" w:ascii="宋体" w:hAnsi="宋体"/>
          <w:b/>
          <w:lang w:val="zh-CN"/>
        </w:rPr>
        <w:t xml:space="preserve">19.2 </w:t>
      </w:r>
      <w:r>
        <w:rPr>
          <w:rFonts w:ascii="宋体" w:hAnsi="宋体"/>
          <w:b/>
          <w:lang w:val="zh-CN"/>
        </w:rPr>
        <w:t>乙方的权利与义务</w:t>
      </w:r>
      <w:bookmarkEnd w:id="376"/>
      <w:bookmarkEnd w:id="377"/>
      <w:bookmarkEnd w:id="378"/>
      <w:bookmarkEnd w:id="379"/>
      <w:bookmarkEnd w:id="380"/>
      <w:bookmarkEnd w:id="381"/>
      <w:bookmarkEnd w:id="382"/>
      <w:bookmarkEnd w:id="383"/>
      <w:bookmarkEnd w:id="384"/>
      <w:bookmarkEnd w:id="385"/>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19.2.1 </w:t>
      </w:r>
      <w:r>
        <w:rPr>
          <w:rFonts w:ascii="宋体" w:hAnsi="宋体"/>
          <w:lang w:val="zh-CN"/>
        </w:rPr>
        <w:t>按照约定的内容和时间，自行或组织完成合同条款及其附件约定的工作,并遵守本</w:t>
      </w:r>
      <w:r>
        <w:rPr>
          <w:rFonts w:hint="eastAsia" w:ascii="宋体" w:hAnsi="宋体"/>
          <w:lang w:val="zh-CN"/>
        </w:rPr>
        <w:t>项目</w:t>
      </w:r>
      <w:r>
        <w:rPr>
          <w:rFonts w:ascii="宋体" w:hAnsi="宋体"/>
          <w:lang w:val="zh-CN"/>
        </w:rPr>
        <w:t>管理</w:t>
      </w:r>
      <w:r>
        <w:rPr>
          <w:rFonts w:hint="eastAsia" w:ascii="宋体" w:hAnsi="宋体"/>
          <w:lang w:val="zh-CN"/>
        </w:rPr>
        <w:t>的</w:t>
      </w:r>
      <w:r>
        <w:rPr>
          <w:rFonts w:ascii="宋体" w:hAnsi="宋体"/>
          <w:lang w:val="zh-CN"/>
        </w:rPr>
        <w:t>有关规定。</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19.2.2 </w:t>
      </w:r>
      <w:r>
        <w:rPr>
          <w:rFonts w:hint="eastAsia" w:ascii="宋体" w:hAnsi="宋体" w:cs="宋体"/>
        </w:rPr>
        <w:t>审查甲方提供的资料是否符合测算要求，如发现甲方提供的资料不全或不符合</w:t>
      </w:r>
      <w:r>
        <w:rPr>
          <w:rFonts w:hint="eastAsia" w:ascii="宋体" w:hAnsi="宋体"/>
          <w:lang w:val="zh-CN"/>
        </w:rPr>
        <w:t>土壤环境初步调查</w:t>
      </w:r>
      <w:r>
        <w:rPr>
          <w:rFonts w:ascii="宋体" w:hAnsi="宋体"/>
          <w:lang w:val="zh-CN"/>
        </w:rPr>
        <w:t>报告</w:t>
      </w:r>
      <w:r>
        <w:rPr>
          <w:rFonts w:hint="eastAsia" w:ascii="宋体" w:hAnsi="宋体" w:cs="宋体"/>
        </w:rPr>
        <w:t>要求，应于收到资料起3日内通知甲方，并提出书面意见。</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19.2.3 </w:t>
      </w:r>
      <w:r>
        <w:rPr>
          <w:rFonts w:hint="eastAsia" w:ascii="宋体" w:hAnsi="宋体" w:cs="宋体"/>
        </w:rPr>
        <w:t>乙方应当严格遵守有关法律、法规，执行相关测量和有关技术标准、规定，根据甲方提供的资料对甲方委托的项目进行准确及时的土壤环境初步调查，及时向甲方提交土壤环境初步调查成果</w:t>
      </w:r>
      <w:r>
        <w:rPr>
          <w:rFonts w:ascii="宋体" w:hAnsi="宋体"/>
          <w:lang w:val="zh-CN"/>
        </w:rPr>
        <w:t>。</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19.2.4 </w:t>
      </w:r>
      <w:r>
        <w:rPr>
          <w:rFonts w:hint="eastAsia" w:ascii="宋体" w:hAnsi="宋体" w:cs="宋体"/>
        </w:rPr>
        <w:t>本次土壤环境初步调查成果如与政府批准的规划指标存在差异，乙方负责指导进行报告修改，直至满足规划指标要求。</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19.2.5 </w:t>
      </w:r>
      <w:r>
        <w:rPr>
          <w:rFonts w:ascii="宋体" w:hAnsi="宋体"/>
          <w:lang w:val="zh-CN"/>
        </w:rPr>
        <w:t>按合同规定的进度要求，在交付成果文件时提前通知甲方，以便甲方组织审查工作。</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19.2.6 </w:t>
      </w:r>
      <w:r>
        <w:rPr>
          <w:rFonts w:ascii="宋体" w:hAnsi="宋体"/>
          <w:lang w:val="zh-CN"/>
        </w:rPr>
        <w:t>通知甲方代表参加</w:t>
      </w:r>
      <w:r>
        <w:rPr>
          <w:rFonts w:hint="eastAsia" w:ascii="宋体" w:hAnsi="宋体" w:cs="宋体"/>
        </w:rPr>
        <w:t>本项目土壤环境初步调查的</w:t>
      </w:r>
      <w:r>
        <w:rPr>
          <w:rFonts w:ascii="宋体" w:hAnsi="宋体"/>
          <w:lang w:val="zh-CN"/>
        </w:rPr>
        <w:t>工作有关会议。</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19.2.7 </w:t>
      </w:r>
      <w:r>
        <w:rPr>
          <w:rFonts w:ascii="宋体" w:hAnsi="宋体"/>
          <w:lang w:val="zh-CN"/>
        </w:rPr>
        <w:t>乙方应履行的其它与本合同有关的责任。</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19.2.8 </w:t>
      </w:r>
      <w:r>
        <w:rPr>
          <w:rFonts w:ascii="宋体" w:hAnsi="宋体"/>
          <w:lang w:val="zh-CN"/>
        </w:rPr>
        <w:t>按本合同第9条规定的付给乙方的报酬应为乙方与本合同有关的唯一报酬。在与本合同有关的活动中，或在履行合同义务时，不应为私利而接受其它任何个人、单位的佣金、回扣或类似费用。</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19.2.9 </w:t>
      </w:r>
      <w:r>
        <w:rPr>
          <w:rFonts w:ascii="宋体" w:hAnsi="宋体"/>
          <w:lang w:val="zh-CN"/>
        </w:rPr>
        <w:t>乙方未履行19.2款的各项义务，给甲方造成损失的，乙方承担有关的违约责任，赔偿有关损失，支付违约金。</w:t>
      </w:r>
    </w:p>
    <w:p>
      <w:pPr>
        <w:adjustRightInd w:val="0"/>
        <w:snapToGrid w:val="0"/>
        <w:spacing w:line="480" w:lineRule="exact"/>
        <w:ind w:firstLine="580"/>
        <w:rPr>
          <w:rFonts w:ascii="宋体" w:hAnsi="宋体"/>
          <w:lang w:val="zh-CN"/>
        </w:rPr>
      </w:pPr>
      <w:r>
        <w:rPr>
          <w:rFonts w:hint="eastAsia" w:ascii="宋体" w:hAnsi="宋体"/>
          <w:lang w:val="zh-CN"/>
        </w:rPr>
        <w:t>19.2.10</w:t>
      </w:r>
      <w:r>
        <w:rPr>
          <w:rFonts w:ascii="宋体" w:hAnsi="宋体"/>
          <w:lang w:val="zh-CN"/>
        </w:rPr>
        <w:t>按甲方的进度要求公正客观地开展</w:t>
      </w:r>
      <w:r>
        <w:rPr>
          <w:rFonts w:hint="eastAsia" w:ascii="宋体" w:hAnsi="宋体"/>
          <w:lang w:val="zh-CN"/>
        </w:rPr>
        <w:t>土壤环境初步调查报告书编制</w:t>
      </w:r>
      <w:r>
        <w:rPr>
          <w:rFonts w:ascii="宋体" w:hAnsi="宋体"/>
          <w:lang w:val="zh-CN"/>
        </w:rPr>
        <w:t>工作。</w:t>
      </w:r>
    </w:p>
    <w:p>
      <w:pPr>
        <w:adjustRightInd w:val="0"/>
        <w:snapToGrid w:val="0"/>
        <w:spacing w:line="480" w:lineRule="exact"/>
        <w:ind w:firstLine="580"/>
        <w:rPr>
          <w:rFonts w:ascii="宋体" w:hAnsi="宋体"/>
          <w:lang w:val="zh-CN"/>
        </w:rPr>
      </w:pPr>
      <w:r>
        <w:rPr>
          <w:rFonts w:hint="eastAsia" w:ascii="宋体" w:hAnsi="宋体"/>
          <w:lang w:val="zh-CN"/>
        </w:rPr>
        <w:t>19.2.11</w:t>
      </w:r>
      <w:r>
        <w:rPr>
          <w:rFonts w:ascii="宋体" w:hAnsi="宋体"/>
          <w:lang w:val="zh-CN"/>
        </w:rPr>
        <w:t>乙方应保证</w:t>
      </w:r>
      <w:r>
        <w:rPr>
          <w:rFonts w:hint="eastAsia" w:ascii="宋体" w:hAnsi="宋体"/>
          <w:lang w:val="zh-CN"/>
        </w:rPr>
        <w:t>土壤环境初步调查报告书</w:t>
      </w:r>
      <w:r>
        <w:rPr>
          <w:rFonts w:ascii="宋体" w:hAnsi="宋体"/>
          <w:lang w:val="zh-CN"/>
        </w:rPr>
        <w:t>成果的客观公正性，以便政府能正确决策。</w:t>
      </w:r>
    </w:p>
    <w:p>
      <w:pPr>
        <w:adjustRightInd w:val="0"/>
        <w:snapToGrid w:val="0"/>
        <w:spacing w:line="480" w:lineRule="exact"/>
        <w:ind w:firstLine="580"/>
        <w:rPr>
          <w:rFonts w:ascii="宋体" w:hAnsi="宋体"/>
          <w:lang w:val="zh-CN"/>
        </w:rPr>
      </w:pPr>
      <w:r>
        <w:rPr>
          <w:rFonts w:hint="eastAsia" w:ascii="宋体" w:hAnsi="宋体"/>
          <w:lang w:val="zh-CN"/>
        </w:rPr>
        <w:t>19.2.12负责土壤环境初步调查报告书</w:t>
      </w:r>
      <w:r>
        <w:rPr>
          <w:rFonts w:ascii="宋体" w:hAnsi="宋体"/>
          <w:lang w:val="zh-CN"/>
        </w:rPr>
        <w:t>评审</w:t>
      </w:r>
      <w:r>
        <w:rPr>
          <w:rFonts w:hint="eastAsia" w:ascii="宋体" w:hAnsi="宋体"/>
          <w:lang w:val="zh-CN"/>
        </w:rPr>
        <w:t>咨询费用。</w:t>
      </w:r>
    </w:p>
    <w:p>
      <w:pPr>
        <w:adjustRightInd w:val="0"/>
        <w:snapToGrid w:val="0"/>
        <w:spacing w:line="480" w:lineRule="exact"/>
        <w:ind w:firstLine="580"/>
        <w:rPr>
          <w:rFonts w:ascii="宋体" w:hAnsi="宋体"/>
          <w:lang w:val="zh-CN"/>
        </w:rPr>
      </w:pPr>
      <w:r>
        <w:rPr>
          <w:rFonts w:hint="eastAsia" w:ascii="宋体" w:hAnsi="宋体"/>
          <w:lang w:val="zh-CN"/>
        </w:rPr>
        <w:t>19.2.13</w:t>
      </w:r>
      <w:r>
        <w:rPr>
          <w:rFonts w:ascii="宋体" w:hAnsi="宋体"/>
          <w:lang w:val="zh-CN"/>
        </w:rPr>
        <w:t>向甲方提供本</w:t>
      </w:r>
      <w:r>
        <w:rPr>
          <w:rFonts w:hint="eastAsia" w:ascii="宋体" w:hAnsi="宋体"/>
          <w:lang w:val="zh-CN"/>
        </w:rPr>
        <w:t>土壤环境初步调查报告书壹</w:t>
      </w:r>
      <w:r>
        <w:rPr>
          <w:rFonts w:ascii="宋体" w:hAnsi="宋体"/>
          <w:lang w:val="zh-CN"/>
        </w:rPr>
        <w:t>拾份</w:t>
      </w:r>
      <w:r>
        <w:rPr>
          <w:rFonts w:hint="eastAsia" w:ascii="宋体" w:hAnsi="宋体"/>
          <w:lang w:val="zh-CN"/>
        </w:rPr>
        <w:t>，电子文档（word版）壹份</w:t>
      </w:r>
      <w:r>
        <w:rPr>
          <w:rFonts w:ascii="宋体" w:hAnsi="宋体"/>
          <w:lang w:val="zh-CN"/>
        </w:rPr>
        <w:t>。</w:t>
      </w:r>
    </w:p>
    <w:p>
      <w:pPr>
        <w:adjustRightInd w:val="0"/>
        <w:snapToGrid w:val="0"/>
        <w:spacing w:line="480" w:lineRule="exact"/>
        <w:ind w:firstLine="580"/>
        <w:rPr>
          <w:rFonts w:ascii="宋体" w:hAnsi="宋体"/>
          <w:lang w:val="zh-CN"/>
        </w:rPr>
      </w:pPr>
      <w:r>
        <w:rPr>
          <w:rFonts w:hint="eastAsia" w:ascii="宋体" w:hAnsi="宋体"/>
          <w:lang w:val="zh-CN"/>
        </w:rPr>
        <w:t>19.2.14</w:t>
      </w:r>
      <w:r>
        <w:rPr>
          <w:rFonts w:ascii="宋体" w:hAnsi="宋体"/>
          <w:lang w:val="zh-CN"/>
        </w:rPr>
        <w:t>乙方在本合同签订生效后按</w:t>
      </w:r>
      <w:r>
        <w:rPr>
          <w:rFonts w:hint="eastAsia" w:ascii="宋体" w:hAnsi="宋体"/>
          <w:lang w:val="zh-CN"/>
        </w:rPr>
        <w:t>甲方</w:t>
      </w:r>
      <w:r>
        <w:rPr>
          <w:rFonts w:ascii="宋体" w:hAnsi="宋体"/>
          <w:lang w:val="zh-CN"/>
        </w:rPr>
        <w:t>提供的工作进度要求完成</w:t>
      </w:r>
      <w:r>
        <w:rPr>
          <w:rFonts w:hint="eastAsia" w:ascii="宋体" w:hAnsi="宋体"/>
          <w:lang w:val="zh-CN"/>
        </w:rPr>
        <w:t>土壤环境初步调查报告书编制</w:t>
      </w:r>
      <w:r>
        <w:rPr>
          <w:rFonts w:ascii="宋体" w:hAnsi="宋体"/>
          <w:lang w:val="zh-CN"/>
        </w:rPr>
        <w:t>工作，并提交</w:t>
      </w:r>
      <w:r>
        <w:rPr>
          <w:rFonts w:hint="eastAsia" w:ascii="宋体" w:hAnsi="宋体"/>
          <w:lang w:val="zh-CN"/>
        </w:rPr>
        <w:t>甲方认可的土壤环境初步调查报告书编制</w:t>
      </w:r>
      <w:r>
        <w:rPr>
          <w:rFonts w:ascii="宋体" w:hAnsi="宋体"/>
          <w:lang w:val="zh-CN"/>
        </w:rPr>
        <w:t>成果。</w:t>
      </w:r>
    </w:p>
    <w:p>
      <w:pPr>
        <w:adjustRightInd w:val="0"/>
        <w:snapToGrid w:val="0"/>
        <w:spacing w:line="480" w:lineRule="exact"/>
        <w:ind w:firstLine="580"/>
        <w:rPr>
          <w:rFonts w:ascii="宋体" w:hAnsi="宋体"/>
          <w:lang w:val="zh-CN"/>
        </w:rPr>
      </w:pPr>
      <w:r>
        <w:rPr>
          <w:rFonts w:hint="eastAsia" w:ascii="宋体" w:hAnsi="宋体"/>
          <w:lang w:val="zh-CN"/>
        </w:rPr>
        <w:t>19.2.15自收到甲方通知后1个月内，乙方将编制完成的土壤环境初步调查报告书组织专家评审，取得专家评审同意的书面意见；之后协助甲方最终获得行政主管部门的书面不反对回复意见。</w:t>
      </w:r>
    </w:p>
    <w:p>
      <w:pPr>
        <w:adjustRightInd w:val="0"/>
        <w:snapToGrid w:val="0"/>
        <w:spacing w:line="480" w:lineRule="exact"/>
        <w:ind w:firstLine="580"/>
        <w:rPr>
          <w:rFonts w:ascii="宋体" w:hAnsi="宋体"/>
          <w:lang w:val="zh-CN"/>
        </w:rPr>
      </w:pPr>
      <w:r>
        <w:rPr>
          <w:rFonts w:hint="eastAsia" w:ascii="宋体" w:hAnsi="宋体"/>
          <w:lang w:val="zh-CN"/>
        </w:rPr>
        <w:t>19.2.16乙方须承诺服从甲方的进度安排，以及为配合该项目政府报批而可能调整的进度安排。</w:t>
      </w:r>
    </w:p>
    <w:p>
      <w:pPr>
        <w:autoSpaceDE w:val="0"/>
        <w:autoSpaceDN w:val="0"/>
        <w:adjustRightInd w:val="0"/>
        <w:snapToGrid w:val="0"/>
        <w:spacing w:line="360" w:lineRule="auto"/>
        <w:ind w:left="482"/>
        <w:jc w:val="left"/>
        <w:rPr>
          <w:rFonts w:ascii="宋体" w:hAnsi="宋体"/>
          <w:b/>
        </w:rPr>
      </w:pPr>
      <w:bookmarkStart w:id="386" w:name="_Toc129270764"/>
      <w:bookmarkStart w:id="387" w:name="_Toc136138852"/>
      <w:bookmarkStart w:id="388" w:name="_Toc129268183"/>
      <w:bookmarkStart w:id="389" w:name="_Toc129321214"/>
      <w:bookmarkStart w:id="390" w:name="_Toc136138505"/>
      <w:bookmarkStart w:id="391" w:name="_Toc129314311"/>
      <w:r>
        <w:rPr>
          <w:rFonts w:hint="eastAsia" w:ascii="宋体" w:hAnsi="宋体"/>
          <w:b/>
        </w:rPr>
        <w:t>20、</w:t>
      </w:r>
      <w:r>
        <w:rPr>
          <w:rFonts w:ascii="宋体" w:hAnsi="宋体"/>
          <w:b/>
        </w:rPr>
        <w:t>违约责任</w:t>
      </w:r>
      <w:bookmarkEnd w:id="386"/>
      <w:bookmarkEnd w:id="387"/>
      <w:bookmarkEnd w:id="388"/>
      <w:bookmarkEnd w:id="389"/>
      <w:bookmarkEnd w:id="390"/>
      <w:bookmarkEnd w:id="391"/>
    </w:p>
    <w:p>
      <w:pPr>
        <w:spacing w:line="360" w:lineRule="auto"/>
        <w:ind w:firstLine="480" w:firstLineChars="200"/>
        <w:rPr>
          <w:rFonts w:ascii="宋体" w:hAnsi="宋体"/>
          <w:lang w:val="zh-CN"/>
        </w:rPr>
      </w:pPr>
      <w:r>
        <w:rPr>
          <w:rFonts w:hint="eastAsia" w:ascii="宋体" w:hAnsi="宋体"/>
          <w:lang w:val="zh-CN"/>
        </w:rPr>
        <w:t>20.1.</w:t>
      </w:r>
      <w:r>
        <w:rPr>
          <w:rFonts w:ascii="宋体" w:hAnsi="宋体"/>
          <w:lang w:val="zh-CN"/>
        </w:rPr>
        <w:t>甲方未按合同</w:t>
      </w:r>
      <w:r>
        <w:rPr>
          <w:rFonts w:hint="eastAsia" w:ascii="宋体" w:hAnsi="宋体"/>
          <w:lang w:val="zh-CN"/>
        </w:rPr>
        <w:t>要求</w:t>
      </w:r>
      <w:r>
        <w:rPr>
          <w:rFonts w:ascii="宋体" w:hAnsi="宋体"/>
          <w:lang w:val="zh-CN"/>
        </w:rPr>
        <w:t>提供约定的服务，</w:t>
      </w:r>
      <w:r>
        <w:rPr>
          <w:rFonts w:hint="eastAsia" w:ascii="宋体" w:hAnsi="宋体"/>
          <w:lang w:val="zh-CN"/>
        </w:rPr>
        <w:t>对土壤环境初步调查</w:t>
      </w:r>
      <w:r>
        <w:rPr>
          <w:rFonts w:ascii="宋体" w:hAnsi="宋体"/>
          <w:lang w:val="zh-CN"/>
        </w:rPr>
        <w:t>工作</w:t>
      </w:r>
      <w:r>
        <w:rPr>
          <w:rFonts w:hint="eastAsia" w:ascii="宋体" w:hAnsi="宋体"/>
          <w:lang w:val="zh-CN"/>
        </w:rPr>
        <w:t>造成影响</w:t>
      </w:r>
      <w:r>
        <w:rPr>
          <w:rFonts w:ascii="宋体" w:hAnsi="宋体"/>
          <w:lang w:val="zh-CN"/>
        </w:rPr>
        <w:t>的，乙方有权要求甲方履行职责、顺延服务期；严重影响乙方工作开展的，可暂停服务，但必须提前30天知会甲方，便于甲方采取措施，消除影响。</w:t>
      </w:r>
    </w:p>
    <w:p>
      <w:pPr>
        <w:spacing w:line="360" w:lineRule="auto"/>
        <w:ind w:firstLine="480" w:firstLineChars="200"/>
        <w:rPr>
          <w:rFonts w:ascii="宋体" w:hAnsi="宋体"/>
          <w:lang w:val="zh-CN"/>
        </w:rPr>
      </w:pPr>
      <w:r>
        <w:rPr>
          <w:rFonts w:hint="eastAsia" w:ascii="宋体" w:hAnsi="宋体"/>
          <w:lang w:val="zh-CN"/>
        </w:rPr>
        <w:t>20.2.</w:t>
      </w:r>
      <w:r>
        <w:rPr>
          <w:rFonts w:ascii="宋体" w:hAnsi="宋体"/>
          <w:lang w:val="zh-CN"/>
        </w:rPr>
        <w:t>甲方未按合同约定履行合同约定的职责的，不能按相应条款要求对乙方进行处罚。</w:t>
      </w:r>
    </w:p>
    <w:p>
      <w:pPr>
        <w:spacing w:line="360" w:lineRule="auto"/>
        <w:ind w:firstLine="480" w:firstLineChars="200"/>
        <w:rPr>
          <w:rFonts w:ascii="宋体" w:hAnsi="宋体"/>
          <w:lang w:val="zh-CN"/>
        </w:rPr>
      </w:pPr>
      <w:r>
        <w:rPr>
          <w:rFonts w:hint="eastAsia" w:ascii="宋体" w:hAnsi="宋体"/>
          <w:lang w:val="zh-CN"/>
        </w:rPr>
        <w:t>20.3.</w:t>
      </w:r>
      <w:r>
        <w:rPr>
          <w:rFonts w:ascii="宋体" w:hAnsi="宋体"/>
          <w:lang w:val="zh-CN"/>
        </w:rPr>
        <w:t>甲方受客观原因的制约，未能履行合同职责的，有责任采取措施，消除影响，或与乙方协商变通办法解决。</w:t>
      </w:r>
    </w:p>
    <w:p>
      <w:pPr>
        <w:spacing w:line="360" w:lineRule="auto"/>
        <w:ind w:firstLine="420"/>
        <w:rPr>
          <w:rFonts w:ascii="宋体" w:hAnsi="宋体"/>
          <w:lang w:val="zh-CN"/>
        </w:rPr>
      </w:pPr>
      <w:r>
        <w:rPr>
          <w:rFonts w:hint="eastAsia" w:ascii="宋体" w:hAnsi="宋体"/>
          <w:lang w:val="zh-CN"/>
        </w:rPr>
        <w:t>20.4.</w:t>
      </w:r>
      <w:r>
        <w:rPr>
          <w:rFonts w:ascii="宋体" w:hAnsi="宋体"/>
          <w:lang w:val="zh-CN"/>
        </w:rPr>
        <w:t>乙方未按合同约定</w:t>
      </w:r>
      <w:r>
        <w:rPr>
          <w:rFonts w:hint="eastAsia" w:ascii="宋体" w:hAnsi="宋体"/>
          <w:lang w:val="zh-CN"/>
        </w:rPr>
        <w:t>进行土壤环境初步调查报告书编制，或未按要求出具土壤环境初步调查报告书等情况，乙方每逾期1天</w:t>
      </w:r>
      <w:r>
        <w:rPr>
          <w:rFonts w:ascii="宋体" w:hAnsi="宋体"/>
          <w:lang w:val="zh-CN"/>
        </w:rPr>
        <w:t>应支付</w:t>
      </w:r>
      <w:r>
        <w:rPr>
          <w:rFonts w:hint="eastAsia" w:ascii="宋体" w:hAnsi="宋体"/>
          <w:lang w:val="zh-CN"/>
        </w:rPr>
        <w:t>合同总金额1%</w:t>
      </w:r>
      <w:r>
        <w:rPr>
          <w:rFonts w:ascii="宋体" w:hAnsi="宋体"/>
          <w:lang w:val="zh-CN"/>
        </w:rPr>
        <w:t>违约金</w:t>
      </w:r>
      <w:r>
        <w:rPr>
          <w:rFonts w:hint="eastAsia" w:ascii="宋体" w:hAnsi="宋体"/>
          <w:lang w:val="zh-CN"/>
        </w:rPr>
        <w:t>，如10日内仍无法按合同约定提供土壤环境初步调查报告书，则甲方有权解除合同。</w:t>
      </w:r>
    </w:p>
    <w:p>
      <w:pPr>
        <w:autoSpaceDE w:val="0"/>
        <w:autoSpaceDN w:val="0"/>
        <w:adjustRightInd w:val="0"/>
        <w:snapToGrid w:val="0"/>
        <w:spacing w:line="360" w:lineRule="auto"/>
        <w:ind w:left="482"/>
        <w:jc w:val="left"/>
        <w:rPr>
          <w:rFonts w:ascii="宋体" w:hAnsi="宋体"/>
          <w:b/>
        </w:rPr>
      </w:pPr>
      <w:bookmarkStart w:id="392" w:name="_Toc129321215"/>
      <w:bookmarkStart w:id="393" w:name="_Toc136138506"/>
      <w:bookmarkStart w:id="394" w:name="_Toc129270765"/>
      <w:bookmarkStart w:id="395" w:name="_Toc136138853"/>
      <w:bookmarkStart w:id="396" w:name="_Toc129314312"/>
      <w:bookmarkStart w:id="397" w:name="_Toc129268184"/>
      <w:r>
        <w:rPr>
          <w:rFonts w:hint="eastAsia" w:ascii="宋体" w:hAnsi="宋体"/>
          <w:b/>
        </w:rPr>
        <w:t>21、</w:t>
      </w:r>
      <w:r>
        <w:rPr>
          <w:rFonts w:ascii="宋体" w:hAnsi="宋体"/>
          <w:b/>
        </w:rPr>
        <w:t>争议的解决</w:t>
      </w:r>
      <w:bookmarkEnd w:id="392"/>
      <w:bookmarkEnd w:id="393"/>
      <w:bookmarkEnd w:id="394"/>
      <w:bookmarkEnd w:id="395"/>
      <w:bookmarkEnd w:id="396"/>
      <w:bookmarkEnd w:id="397"/>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21.1 </w:t>
      </w:r>
      <w:r>
        <w:rPr>
          <w:rFonts w:ascii="宋体" w:hAnsi="宋体"/>
          <w:lang w:val="zh-CN"/>
        </w:rPr>
        <w:t>合同发生争议时，由甲方与乙方协商解决，调解不成的可按下列方式处理：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21.1.1 </w:t>
      </w:r>
      <w:r>
        <w:rPr>
          <w:rFonts w:ascii="宋体" w:hAnsi="宋体"/>
          <w:lang w:val="zh-CN"/>
        </w:rPr>
        <w:t>向深圳仲裁机构申请仲裁；</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21.1.2 依法</w:t>
      </w:r>
      <w:r>
        <w:rPr>
          <w:rFonts w:ascii="宋体" w:hAnsi="宋体"/>
          <w:lang w:val="zh-CN"/>
        </w:rPr>
        <w:t>向深圳市的人民法院提请诉讼。</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21.2 </w:t>
      </w:r>
      <w:r>
        <w:rPr>
          <w:rFonts w:ascii="宋体" w:hAnsi="宋体"/>
          <w:lang w:val="zh-CN"/>
        </w:rPr>
        <w:t>经调解达成协议的，当事人应当自动执行。</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21.3 </w:t>
      </w:r>
      <w:r>
        <w:rPr>
          <w:rFonts w:ascii="宋体" w:hAnsi="宋体"/>
          <w:lang w:val="zh-CN"/>
        </w:rPr>
        <w:t>协商、调解和仲裁及诉讼期间，合同应继续执行，合同各方不得以争议为由拒绝执行。</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21.4 </w:t>
      </w:r>
      <w:r>
        <w:rPr>
          <w:rFonts w:ascii="宋体" w:hAnsi="宋体"/>
          <w:lang w:val="zh-CN"/>
        </w:rPr>
        <w:t>任何到期的，已确认完成服务应支付的款项均不得由于提交争议而扣压。</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21.5 </w:t>
      </w:r>
      <w:r>
        <w:rPr>
          <w:rFonts w:ascii="宋体" w:hAnsi="宋体"/>
          <w:lang w:val="zh-CN"/>
        </w:rPr>
        <w:t>因合同双方不可抗拒的原因，致使合同无法继续执行时，不视为违约，由合同双方协商终止合同，已完成的工作量应支付费用。</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21.6</w:t>
      </w:r>
      <w:r>
        <w:rPr>
          <w:rFonts w:hint="eastAsia" w:ascii="宋体" w:hAnsi="宋体"/>
          <w:szCs w:val="24"/>
        </w:rPr>
        <w:t>如后续本项目建设开发方面发生重大变化，导致工作内容重现重大调整，则后续的工作内容、计费等，由双方另行协商。</w:t>
      </w:r>
    </w:p>
    <w:p>
      <w:pPr>
        <w:autoSpaceDE w:val="0"/>
        <w:autoSpaceDN w:val="0"/>
        <w:adjustRightInd w:val="0"/>
        <w:snapToGrid w:val="0"/>
        <w:spacing w:line="360" w:lineRule="auto"/>
        <w:ind w:left="482"/>
        <w:jc w:val="left"/>
        <w:rPr>
          <w:rFonts w:ascii="宋体" w:hAnsi="宋体"/>
          <w:b/>
        </w:rPr>
      </w:pPr>
      <w:bookmarkStart w:id="398" w:name="_Toc129270766"/>
      <w:bookmarkStart w:id="399" w:name="_Toc129268185"/>
      <w:bookmarkStart w:id="400" w:name="_Toc136138854"/>
      <w:bookmarkStart w:id="401" w:name="_Toc136138507"/>
      <w:bookmarkStart w:id="402" w:name="_Toc129314313"/>
      <w:bookmarkStart w:id="403" w:name="_Toc129321216"/>
      <w:r>
        <w:rPr>
          <w:rFonts w:hint="eastAsia" w:ascii="宋体" w:hAnsi="宋体"/>
          <w:b/>
        </w:rPr>
        <w:t>22、</w:t>
      </w:r>
      <w:r>
        <w:rPr>
          <w:rFonts w:ascii="宋体" w:hAnsi="宋体"/>
          <w:b/>
        </w:rPr>
        <w:t>税</w:t>
      </w:r>
      <w:bookmarkEnd w:id="398"/>
      <w:bookmarkEnd w:id="399"/>
      <w:bookmarkEnd w:id="400"/>
      <w:bookmarkEnd w:id="401"/>
      <w:bookmarkEnd w:id="402"/>
      <w:bookmarkEnd w:id="403"/>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21.1 </w:t>
      </w:r>
      <w:r>
        <w:rPr>
          <w:rFonts w:ascii="宋体" w:hAnsi="宋体"/>
          <w:lang w:val="zh-CN"/>
        </w:rPr>
        <w:t>中国政府根据现行税法规定对甲方征收的与本合同有关的一切税费均应由甲方负担。</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21.2 </w:t>
      </w:r>
      <w:r>
        <w:rPr>
          <w:rFonts w:ascii="宋体" w:hAnsi="宋体"/>
          <w:lang w:val="zh-CN"/>
        </w:rPr>
        <w:t>中国政府根据现行税法规定对乙方征收的与本合同有关的一切税费均应由乙方负担。</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21.3 </w:t>
      </w:r>
      <w:r>
        <w:rPr>
          <w:rFonts w:ascii="宋体" w:hAnsi="宋体"/>
          <w:lang w:val="zh-CN"/>
        </w:rPr>
        <w:t>在中国境外发生的与本合同执行有关的一切税费均应由乙方负担。</w:t>
      </w:r>
    </w:p>
    <w:p>
      <w:pPr>
        <w:autoSpaceDE w:val="0"/>
        <w:autoSpaceDN w:val="0"/>
        <w:adjustRightInd w:val="0"/>
        <w:snapToGrid w:val="0"/>
        <w:spacing w:line="360" w:lineRule="auto"/>
        <w:ind w:left="482"/>
        <w:jc w:val="left"/>
        <w:rPr>
          <w:rFonts w:ascii="宋体" w:hAnsi="宋体"/>
          <w:b/>
        </w:rPr>
      </w:pPr>
      <w:bookmarkStart w:id="404" w:name="_Toc129270767"/>
      <w:bookmarkStart w:id="405" w:name="_Toc136138508"/>
      <w:bookmarkStart w:id="406" w:name="_Toc129268186"/>
      <w:bookmarkStart w:id="407" w:name="_Toc129314314"/>
      <w:bookmarkStart w:id="408" w:name="_Toc136138855"/>
      <w:bookmarkStart w:id="409" w:name="_Toc129321217"/>
      <w:r>
        <w:rPr>
          <w:rFonts w:hint="eastAsia" w:ascii="宋体" w:hAnsi="宋体"/>
          <w:b/>
        </w:rPr>
        <w:t>23、</w:t>
      </w:r>
      <w:r>
        <w:rPr>
          <w:rFonts w:ascii="宋体" w:hAnsi="宋体"/>
          <w:b/>
        </w:rPr>
        <w:t>履约保证金</w:t>
      </w:r>
      <w:bookmarkEnd w:id="404"/>
      <w:bookmarkEnd w:id="405"/>
      <w:bookmarkEnd w:id="406"/>
      <w:bookmarkEnd w:id="407"/>
      <w:bookmarkEnd w:id="408"/>
      <w:bookmarkEnd w:id="409"/>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本项目不需要提供履约保证金。</w:t>
      </w:r>
    </w:p>
    <w:p>
      <w:pPr>
        <w:autoSpaceDE w:val="0"/>
        <w:autoSpaceDN w:val="0"/>
        <w:adjustRightInd w:val="0"/>
        <w:snapToGrid w:val="0"/>
        <w:spacing w:line="360" w:lineRule="auto"/>
        <w:ind w:left="482"/>
        <w:jc w:val="left"/>
        <w:rPr>
          <w:rFonts w:ascii="宋体" w:hAnsi="宋体"/>
          <w:b/>
        </w:rPr>
      </w:pPr>
      <w:bookmarkStart w:id="410" w:name="_Toc129268187"/>
      <w:bookmarkStart w:id="411" w:name="_Toc129321218"/>
      <w:bookmarkStart w:id="412" w:name="_Toc129314315"/>
      <w:bookmarkStart w:id="413" w:name="_Toc129270768"/>
      <w:bookmarkStart w:id="414" w:name="_Toc136138509"/>
      <w:bookmarkStart w:id="415" w:name="_Toc136138856"/>
      <w:r>
        <w:rPr>
          <w:rFonts w:hint="eastAsia" w:ascii="宋体" w:hAnsi="宋体"/>
          <w:b/>
        </w:rPr>
        <w:t>24、</w:t>
      </w:r>
      <w:r>
        <w:rPr>
          <w:rFonts w:ascii="宋体" w:hAnsi="宋体"/>
          <w:b/>
        </w:rPr>
        <w:t>主导语言、适用法律、合同生效及签约地</w:t>
      </w:r>
      <w:bookmarkEnd w:id="410"/>
      <w:bookmarkEnd w:id="411"/>
      <w:bookmarkEnd w:id="412"/>
      <w:bookmarkEnd w:id="413"/>
      <w:bookmarkEnd w:id="414"/>
      <w:bookmarkEnd w:id="415"/>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24.1 </w:t>
      </w:r>
      <w:r>
        <w:rPr>
          <w:rFonts w:ascii="宋体" w:hAnsi="宋体"/>
          <w:lang w:val="zh-CN"/>
        </w:rPr>
        <w:t>本合同应用中文书写，双方交换的与合同有关的信件和其他文件也应用中文书写。</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24.2 </w:t>
      </w:r>
      <w:r>
        <w:rPr>
          <w:rFonts w:ascii="宋体" w:hAnsi="宋体"/>
          <w:lang w:val="zh-CN"/>
        </w:rPr>
        <w:t>本合同应按照中华人民共和国法律进行解释。</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24.3 </w:t>
      </w:r>
      <w:r>
        <w:rPr>
          <w:rFonts w:ascii="宋体" w:hAnsi="宋体"/>
          <w:lang w:val="zh-CN"/>
        </w:rPr>
        <w:t>合同</w:t>
      </w:r>
      <w:r>
        <w:rPr>
          <w:rFonts w:hint="eastAsia" w:ascii="宋体" w:hAnsi="宋体"/>
          <w:lang w:val="zh-CN"/>
        </w:rPr>
        <w:t>应经</w:t>
      </w:r>
      <w:r>
        <w:rPr>
          <w:rFonts w:ascii="宋体" w:hAnsi="宋体"/>
          <w:lang w:val="zh-CN"/>
        </w:rPr>
        <w:t>双方法定代表人（或授权</w:t>
      </w:r>
      <w:r>
        <w:rPr>
          <w:rFonts w:hint="eastAsia" w:ascii="宋体" w:hAnsi="宋体"/>
          <w:lang w:val="zh-CN"/>
        </w:rPr>
        <w:t>代表</w:t>
      </w:r>
      <w:r>
        <w:rPr>
          <w:rFonts w:ascii="宋体" w:hAnsi="宋体"/>
          <w:lang w:val="zh-CN"/>
        </w:rPr>
        <w:t>）签字并</w:t>
      </w:r>
      <w:r>
        <w:rPr>
          <w:rFonts w:hint="eastAsia" w:ascii="宋体" w:hAnsi="宋体"/>
          <w:lang w:val="zh-CN"/>
        </w:rPr>
        <w:t>由</w:t>
      </w:r>
      <w:r>
        <w:rPr>
          <w:rFonts w:ascii="宋体" w:hAnsi="宋体"/>
          <w:lang w:val="zh-CN"/>
        </w:rPr>
        <w:t>双方</w:t>
      </w:r>
      <w:r>
        <w:rPr>
          <w:rFonts w:hint="eastAsia" w:ascii="宋体" w:hAnsi="宋体"/>
          <w:lang w:val="zh-CN"/>
        </w:rPr>
        <w:t>盖章</w:t>
      </w:r>
      <w:r>
        <w:rPr>
          <w:rFonts w:ascii="宋体" w:hAnsi="宋体"/>
          <w:lang w:val="zh-CN"/>
        </w:rPr>
        <w:t>：</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24.4 </w:t>
      </w:r>
      <w:r>
        <w:rPr>
          <w:rFonts w:ascii="宋体" w:hAnsi="宋体"/>
          <w:lang w:val="zh-CN"/>
        </w:rPr>
        <w:t>本合同签约地为深圳市。</w:t>
      </w:r>
    </w:p>
    <w:p>
      <w:pPr>
        <w:autoSpaceDE w:val="0"/>
        <w:autoSpaceDN w:val="0"/>
        <w:adjustRightInd w:val="0"/>
        <w:snapToGrid w:val="0"/>
        <w:spacing w:line="360" w:lineRule="auto"/>
        <w:ind w:left="482"/>
        <w:jc w:val="left"/>
        <w:rPr>
          <w:rFonts w:ascii="宋体" w:hAnsi="宋体"/>
          <w:b/>
        </w:rPr>
      </w:pPr>
      <w:bookmarkStart w:id="416" w:name="_Toc129321219"/>
      <w:bookmarkStart w:id="417" w:name="_Toc129314316"/>
      <w:bookmarkStart w:id="418" w:name="_Toc129268188"/>
      <w:bookmarkStart w:id="419" w:name="_Toc129270769"/>
      <w:bookmarkStart w:id="420" w:name="_Toc136138857"/>
      <w:bookmarkStart w:id="421" w:name="_Toc136138510"/>
      <w:r>
        <w:rPr>
          <w:rFonts w:hint="eastAsia" w:ascii="宋体" w:hAnsi="宋体"/>
          <w:b/>
        </w:rPr>
        <w:t>25、</w:t>
      </w:r>
      <w:r>
        <w:rPr>
          <w:rFonts w:ascii="宋体" w:hAnsi="宋体"/>
          <w:b/>
        </w:rPr>
        <w:t>通知</w:t>
      </w:r>
      <w:bookmarkEnd w:id="416"/>
      <w:bookmarkEnd w:id="417"/>
      <w:bookmarkEnd w:id="418"/>
      <w:bookmarkEnd w:id="419"/>
      <w:bookmarkEnd w:id="420"/>
      <w:bookmarkEnd w:id="421"/>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25.1 </w:t>
      </w:r>
      <w:r>
        <w:rPr>
          <w:rFonts w:ascii="宋体" w:hAnsi="宋体"/>
          <w:lang w:val="zh-CN"/>
        </w:rPr>
        <w:t>本合同一方给对方的通知应用书面形式或电报或传真送到合同协议书中规定的对方的地址。</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25.2 </w:t>
      </w:r>
      <w:r>
        <w:rPr>
          <w:rFonts w:ascii="宋体" w:hAnsi="宋体"/>
          <w:lang w:val="zh-CN"/>
        </w:rPr>
        <w:t>通知以送到日期或通知书上载明的生效日期为生效日期，两者中以晚的一个日期为准。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25.3 </w:t>
      </w:r>
      <w:r>
        <w:rPr>
          <w:rFonts w:ascii="宋体" w:hAnsi="宋体"/>
          <w:lang w:val="zh-CN"/>
        </w:rPr>
        <w:t>凡合同规定任何人发出通知、同意或确认时，该同意或确认不得被无故扣押。</w:t>
      </w:r>
      <w:bookmarkStart w:id="422" w:name="_Toc207619458"/>
    </w:p>
    <w:p>
      <w:pPr>
        <w:autoSpaceDE w:val="0"/>
        <w:autoSpaceDN w:val="0"/>
        <w:adjustRightInd w:val="0"/>
        <w:snapToGrid w:val="0"/>
        <w:spacing w:line="360" w:lineRule="auto"/>
        <w:ind w:firstLine="480"/>
        <w:jc w:val="left"/>
        <w:rPr>
          <w:rFonts w:ascii="宋体" w:hAnsi="宋体"/>
          <w:lang w:val="zh-CN"/>
        </w:rPr>
        <w:sectPr>
          <w:pgSz w:w="11906" w:h="16838"/>
          <w:pgMar w:top="1440" w:right="1800" w:bottom="1440" w:left="1800" w:header="851" w:footer="992" w:gutter="0"/>
          <w:cols w:space="720" w:num="1"/>
          <w:docGrid w:type="lines" w:linePitch="312" w:charSpace="0"/>
        </w:sectPr>
      </w:pPr>
    </w:p>
    <w:p>
      <w:pPr>
        <w:spacing w:line="360" w:lineRule="auto"/>
        <w:ind w:left="643"/>
        <w:jc w:val="center"/>
        <w:outlineLvl w:val="1"/>
        <w:rPr>
          <w:rFonts w:ascii="宋体" w:hAnsi="宋体"/>
          <w:b/>
          <w:bCs/>
          <w:kern w:val="0"/>
          <w:sz w:val="32"/>
          <w:szCs w:val="32"/>
        </w:rPr>
      </w:pPr>
      <w:r>
        <w:rPr>
          <w:rFonts w:hint="eastAsia" w:ascii="宋体" w:hAnsi="宋体"/>
          <w:b/>
          <w:bCs/>
          <w:kern w:val="0"/>
          <w:sz w:val="32"/>
          <w:szCs w:val="32"/>
        </w:rPr>
        <w:t xml:space="preserve">（二） </w:t>
      </w:r>
      <w:r>
        <w:rPr>
          <w:rFonts w:ascii="宋体" w:hAnsi="宋体"/>
          <w:b/>
          <w:bCs/>
          <w:kern w:val="0"/>
          <w:sz w:val="32"/>
          <w:szCs w:val="32"/>
        </w:rPr>
        <w:t>专用条款</w:t>
      </w:r>
      <w:bookmarkEnd w:id="422"/>
    </w:p>
    <w:p>
      <w:pPr>
        <w:autoSpaceDE w:val="0"/>
        <w:autoSpaceDN w:val="0"/>
        <w:adjustRightInd w:val="0"/>
        <w:snapToGrid w:val="0"/>
        <w:spacing w:line="360" w:lineRule="auto"/>
        <w:ind w:left="482"/>
        <w:jc w:val="left"/>
        <w:rPr>
          <w:rFonts w:ascii="宋体" w:hAnsi="宋体"/>
          <w:b/>
        </w:rPr>
      </w:pPr>
    </w:p>
    <w:p>
      <w:pPr>
        <w:autoSpaceDE w:val="0"/>
        <w:autoSpaceDN w:val="0"/>
        <w:adjustRightInd w:val="0"/>
        <w:snapToGrid w:val="0"/>
        <w:spacing w:line="360" w:lineRule="auto"/>
        <w:ind w:left="482"/>
        <w:jc w:val="left"/>
        <w:rPr>
          <w:rFonts w:ascii="宋体" w:hAnsi="宋体"/>
          <w:b/>
        </w:rPr>
      </w:pPr>
      <w:r>
        <w:rPr>
          <w:rFonts w:hint="eastAsia" w:ascii="宋体" w:hAnsi="宋体"/>
          <w:b/>
        </w:rPr>
        <w:t>1、</w:t>
      </w:r>
      <w:r>
        <w:rPr>
          <w:rFonts w:ascii="宋体" w:hAnsi="宋体"/>
          <w:b/>
        </w:rPr>
        <w:fldChar w:fldCharType="begin"/>
      </w:r>
      <w:r>
        <w:rPr>
          <w:rFonts w:ascii="宋体" w:hAnsi="宋体"/>
          <w:b/>
        </w:rPr>
        <w:instrText xml:space="preserve"> TOC \o "1-1" \h \z </w:instrText>
      </w:r>
      <w:r>
        <w:rPr>
          <w:rFonts w:ascii="宋体" w:hAnsi="宋体"/>
          <w:b/>
        </w:rPr>
        <w:fldChar w:fldCharType="end"/>
      </w:r>
      <w:r>
        <w:rPr>
          <w:rFonts w:ascii="宋体" w:hAnsi="宋体"/>
          <w:b/>
        </w:rPr>
        <w:t>说明</w:t>
      </w:r>
      <w:r>
        <w:rPr>
          <w:rFonts w:hint="eastAsia" w:ascii="宋体" w:hAnsi="宋体"/>
          <w:b/>
        </w:rPr>
        <w:t>（通用条款第2款）</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1.1</w:t>
      </w:r>
      <w:r>
        <w:rPr>
          <w:rFonts w:ascii="宋体" w:hAnsi="宋体"/>
          <w:lang w:val="zh-CN"/>
        </w:rPr>
        <w:t>“专用条款”和“通用条款”同属合同文件，如果“专用条款”与“通用条款”有矛盾之处，则以“专用条款”为准。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1.2</w:t>
      </w:r>
      <w:r>
        <w:rPr>
          <w:rFonts w:ascii="宋体" w:hAnsi="宋体"/>
          <w:lang w:val="zh-CN"/>
        </w:rPr>
        <w:t>“专用条款”的下述规定将取代、补充和修正合同“通用条款”的规定。相应的合同通用条款的编号在合同专用条款的括号中说明。</w:t>
      </w:r>
    </w:p>
    <w:p>
      <w:pPr>
        <w:autoSpaceDE w:val="0"/>
        <w:autoSpaceDN w:val="0"/>
        <w:adjustRightInd w:val="0"/>
        <w:snapToGrid w:val="0"/>
        <w:spacing w:line="360" w:lineRule="auto"/>
        <w:ind w:left="482"/>
        <w:jc w:val="left"/>
        <w:rPr>
          <w:rFonts w:ascii="宋体" w:hAnsi="宋体"/>
          <w:b/>
        </w:rPr>
      </w:pPr>
      <w:r>
        <w:rPr>
          <w:rFonts w:hint="eastAsia" w:ascii="宋体" w:hAnsi="宋体"/>
          <w:b/>
        </w:rPr>
        <w:t>2、</w:t>
      </w:r>
      <w:r>
        <w:rPr>
          <w:rFonts w:ascii="宋体" w:hAnsi="宋体"/>
          <w:b/>
        </w:rPr>
        <w:t>本合同依据下列法规和文件签订</w:t>
      </w:r>
      <w:r>
        <w:rPr>
          <w:rFonts w:hint="eastAsia" w:ascii="宋体" w:hAnsi="宋体"/>
          <w:b/>
        </w:rPr>
        <w:t>（通用条款第3款）</w:t>
      </w:r>
    </w:p>
    <w:p>
      <w:pPr>
        <w:adjustRightInd w:val="0"/>
        <w:snapToGrid w:val="0"/>
        <w:spacing w:line="360" w:lineRule="auto"/>
        <w:ind w:firstLine="480"/>
        <w:jc w:val="left"/>
        <w:rPr>
          <w:rFonts w:ascii="宋体" w:hAnsi="宋体"/>
          <w:kern w:val="0"/>
        </w:rPr>
      </w:pPr>
      <w:r>
        <w:rPr>
          <w:rFonts w:hint="eastAsia" w:ascii="宋体" w:hAnsi="宋体"/>
          <w:kern w:val="0"/>
        </w:rPr>
        <w:t xml:space="preserve">2.1 </w:t>
      </w:r>
      <w:r>
        <w:rPr>
          <w:rFonts w:ascii="宋体" w:hAnsi="宋体"/>
          <w:kern w:val="0"/>
        </w:rPr>
        <w:t>有关招标投标的法律、法规、规章和规范性文件的规定。</w:t>
      </w:r>
    </w:p>
    <w:p>
      <w:pPr>
        <w:adjustRightInd w:val="0"/>
        <w:snapToGrid w:val="0"/>
        <w:spacing w:line="360" w:lineRule="auto"/>
        <w:ind w:firstLine="480"/>
        <w:jc w:val="left"/>
        <w:rPr>
          <w:rFonts w:ascii="宋体" w:hAnsi="宋体"/>
          <w:kern w:val="0"/>
        </w:rPr>
      </w:pPr>
      <w:r>
        <w:rPr>
          <w:rFonts w:hint="eastAsia" w:ascii="宋体" w:hAnsi="宋体"/>
          <w:kern w:val="0"/>
        </w:rPr>
        <w:t>2.2现行</w:t>
      </w:r>
      <w:r>
        <w:rPr>
          <w:rFonts w:ascii="宋体" w:hAnsi="宋体"/>
          <w:kern w:val="0"/>
        </w:rPr>
        <w:t>《中华人民共和国</w:t>
      </w:r>
      <w:r>
        <w:rPr>
          <w:rFonts w:hint="eastAsia" w:ascii="宋体" w:hAnsi="宋体"/>
          <w:kern w:val="0"/>
        </w:rPr>
        <w:t>民</w:t>
      </w:r>
      <w:r>
        <w:rPr>
          <w:rFonts w:ascii="宋体" w:hAnsi="宋体"/>
          <w:kern w:val="0"/>
        </w:rPr>
        <w:t>法典》、</w:t>
      </w:r>
      <w:r>
        <w:rPr>
          <w:rFonts w:hint="eastAsia" w:ascii="宋体" w:hAnsi="宋体"/>
        </w:rPr>
        <w:t>土壤环境初步调查相关法律法规</w:t>
      </w:r>
    </w:p>
    <w:p>
      <w:pPr>
        <w:adjustRightInd w:val="0"/>
        <w:snapToGrid w:val="0"/>
        <w:spacing w:line="360" w:lineRule="auto"/>
        <w:ind w:firstLine="480"/>
        <w:jc w:val="left"/>
        <w:rPr>
          <w:rFonts w:ascii="宋体" w:hAnsi="宋体"/>
          <w:kern w:val="0"/>
        </w:rPr>
      </w:pPr>
      <w:r>
        <w:rPr>
          <w:rFonts w:hint="eastAsia" w:ascii="宋体" w:hAnsi="宋体"/>
          <w:kern w:val="0"/>
        </w:rPr>
        <w:t>2.3</w:t>
      </w:r>
      <w:r>
        <w:rPr>
          <w:rFonts w:hint="eastAsia" w:ascii="宋体" w:hAnsi="宋体" w:cs="宋体"/>
        </w:rPr>
        <w:t>国家及地方现行有关法规和规章。</w:t>
      </w:r>
    </w:p>
    <w:p>
      <w:pPr>
        <w:autoSpaceDE w:val="0"/>
        <w:autoSpaceDN w:val="0"/>
        <w:adjustRightInd w:val="0"/>
        <w:snapToGrid w:val="0"/>
        <w:spacing w:line="360" w:lineRule="auto"/>
        <w:ind w:left="482"/>
        <w:jc w:val="left"/>
        <w:rPr>
          <w:rFonts w:ascii="宋体" w:hAnsi="宋体"/>
          <w:b/>
        </w:rPr>
      </w:pPr>
      <w:r>
        <w:rPr>
          <w:rFonts w:hint="eastAsia" w:ascii="宋体" w:hAnsi="宋体"/>
          <w:b/>
        </w:rPr>
        <w:t>3、</w:t>
      </w:r>
      <w:r>
        <w:rPr>
          <w:rFonts w:ascii="宋体" w:hAnsi="宋体"/>
          <w:b/>
        </w:rPr>
        <w:t>费用及支付办法（通用条款第9、10款）</w:t>
      </w:r>
    </w:p>
    <w:p>
      <w:pPr>
        <w:adjustRightInd w:val="0"/>
        <w:snapToGrid w:val="0"/>
        <w:spacing w:line="360" w:lineRule="auto"/>
        <w:ind w:firstLine="480"/>
        <w:jc w:val="left"/>
        <w:rPr>
          <w:rFonts w:ascii="宋体" w:hAnsi="宋体"/>
          <w:bCs/>
        </w:rPr>
      </w:pPr>
      <w:r>
        <w:rPr>
          <w:rFonts w:ascii="宋体" w:hAnsi="宋体"/>
          <w:bCs/>
        </w:rPr>
        <w:t>在通用条款第9款增加下列内容：</w:t>
      </w:r>
    </w:p>
    <w:p>
      <w:pPr>
        <w:adjustRightInd w:val="0"/>
        <w:snapToGrid w:val="0"/>
        <w:spacing w:line="360" w:lineRule="auto"/>
        <w:ind w:firstLine="480"/>
        <w:jc w:val="left"/>
        <w:rPr>
          <w:rFonts w:ascii="宋体" w:hAnsi="宋体"/>
          <w:bCs/>
        </w:rPr>
      </w:pPr>
      <w:r>
        <w:rPr>
          <w:rFonts w:ascii="宋体" w:hAnsi="宋体"/>
          <w:bCs/>
        </w:rPr>
        <w:t>9.6合同</w:t>
      </w:r>
      <w:r>
        <w:rPr>
          <w:rFonts w:hint="eastAsia" w:ascii="宋体" w:hAnsi="宋体"/>
          <w:kern w:val="0"/>
        </w:rPr>
        <w:t>价款</w:t>
      </w:r>
    </w:p>
    <w:p>
      <w:pPr>
        <w:adjustRightInd w:val="0"/>
        <w:snapToGrid w:val="0"/>
        <w:spacing w:line="360" w:lineRule="auto"/>
        <w:ind w:firstLine="480"/>
        <w:jc w:val="left"/>
        <w:rPr>
          <w:rFonts w:ascii="宋体" w:hAnsi="宋体"/>
        </w:rPr>
      </w:pPr>
      <w:r>
        <w:rPr>
          <w:rFonts w:hint="eastAsia" w:ascii="宋体" w:hAnsi="宋体"/>
        </w:rPr>
        <w:t>土壤环境初步调查服务费用为总</w:t>
      </w:r>
      <w:r>
        <w:rPr>
          <w:rFonts w:ascii="宋体" w:hAnsi="宋体"/>
        </w:rPr>
        <w:t>价包干</w:t>
      </w:r>
      <w:r>
        <w:rPr>
          <w:rFonts w:hint="eastAsia" w:ascii="宋体" w:hAnsi="宋体"/>
        </w:rPr>
        <w:t>，合同价</w:t>
      </w:r>
      <w:r>
        <w:rPr>
          <w:rFonts w:ascii="宋体" w:hAnsi="宋体"/>
        </w:rPr>
        <w:t>款</w:t>
      </w:r>
      <w:r>
        <w:rPr>
          <w:rFonts w:hint="eastAsia" w:ascii="宋体" w:hAnsi="宋体"/>
        </w:rPr>
        <w:t>（含税）人民币</w:t>
      </w:r>
      <w:r>
        <w:rPr>
          <w:rFonts w:hint="eastAsia" w:ascii="宋体" w:hAnsi="宋体"/>
          <w:u w:val="single"/>
        </w:rPr>
        <w:t xml:space="preserve">  </w:t>
      </w:r>
      <w:r>
        <w:rPr>
          <w:rFonts w:hint="eastAsia" w:ascii="宋体" w:hAnsi="宋体"/>
        </w:rPr>
        <w:t>元（￥元），其中不含税总价为元，增值税税额</w:t>
      </w:r>
      <w:r>
        <w:rPr>
          <w:rFonts w:ascii="宋体" w:hAnsi="宋体"/>
          <w:snapToGrid w:val="0"/>
          <w:szCs w:val="24"/>
          <w:u w:val="single"/>
        </w:rPr>
        <w:t xml:space="preserve"> </w:t>
      </w:r>
      <w:r>
        <w:rPr>
          <w:rFonts w:hint="eastAsia" w:ascii="宋体" w:hAnsi="宋体"/>
        </w:rPr>
        <w:t>元，增值税率为</w:t>
      </w:r>
      <w:r>
        <w:rPr>
          <w:rFonts w:hint="eastAsia" w:ascii="宋体" w:hAnsi="宋体"/>
          <w:u w:val="single"/>
        </w:rPr>
        <w:t xml:space="preserve">  %</w:t>
      </w:r>
      <w:r>
        <w:rPr>
          <w:rFonts w:hint="eastAsia" w:ascii="宋体" w:hAnsi="宋体"/>
        </w:rPr>
        <w:t>。合同的增值税率根据国家税收法规政策变动而调整，不含税价不随增值税率的变化进行调整。本</w:t>
      </w:r>
      <w:r>
        <w:rPr>
          <w:rFonts w:ascii="宋体" w:hAnsi="宋体"/>
        </w:rPr>
        <w:t>合同价款</w:t>
      </w:r>
      <w:r>
        <w:rPr>
          <w:rFonts w:hint="eastAsia" w:ascii="宋体" w:hAnsi="宋体"/>
        </w:rPr>
        <w:t>包含土壤环境初步调查的专家评审会、人工工资、差旅费、保险费、税费等一切费用。</w:t>
      </w:r>
      <w:r>
        <w:rPr>
          <w:rFonts w:hint="eastAsia" w:ascii="宋体" w:hAnsi="宋体"/>
          <w:snapToGrid w:val="0"/>
          <w:szCs w:val="24"/>
        </w:rPr>
        <w:t>合同款项支付前需由乙方提出付款申请并提供等额的增值税专用发票，经甲方审批确认以后14个工作日内支付。</w:t>
      </w:r>
    </w:p>
    <w:p>
      <w:pPr>
        <w:adjustRightInd w:val="0"/>
        <w:snapToGrid w:val="0"/>
        <w:spacing w:line="360" w:lineRule="auto"/>
        <w:ind w:firstLine="480"/>
        <w:jc w:val="left"/>
        <w:rPr>
          <w:rFonts w:ascii="宋体" w:hAnsi="宋体"/>
          <w:bCs/>
        </w:rPr>
      </w:pPr>
      <w:r>
        <w:rPr>
          <w:rFonts w:ascii="宋体" w:hAnsi="宋体"/>
          <w:bCs/>
        </w:rPr>
        <w:t>在通用条款第10条增加下列内容：</w:t>
      </w:r>
    </w:p>
    <w:p>
      <w:pPr>
        <w:adjustRightInd w:val="0"/>
        <w:snapToGrid w:val="0"/>
        <w:spacing w:line="360" w:lineRule="auto"/>
        <w:ind w:firstLine="482"/>
        <w:jc w:val="left"/>
        <w:rPr>
          <w:rFonts w:ascii="宋体" w:hAnsi="宋体"/>
          <w:b/>
          <w:bCs/>
        </w:rPr>
      </w:pPr>
      <w:r>
        <w:rPr>
          <w:rFonts w:ascii="宋体" w:hAnsi="宋体"/>
          <w:b/>
          <w:bCs/>
        </w:rPr>
        <w:t>10.3</w:t>
      </w:r>
      <w:r>
        <w:rPr>
          <w:rFonts w:ascii="宋体" w:hAnsi="宋体"/>
          <w:b/>
          <w:kern w:val="0"/>
        </w:rPr>
        <w:t>支付方式</w:t>
      </w:r>
      <w:r>
        <w:rPr>
          <w:rFonts w:hint="eastAsia" w:ascii="宋体" w:hAnsi="宋体"/>
          <w:b/>
          <w:kern w:val="0"/>
        </w:rPr>
        <w:t>及服务期限</w:t>
      </w:r>
    </w:p>
    <w:p>
      <w:pPr>
        <w:adjustRightInd w:val="0"/>
        <w:snapToGrid w:val="0"/>
        <w:spacing w:line="360" w:lineRule="auto"/>
        <w:ind w:firstLine="480"/>
        <w:jc w:val="left"/>
        <w:rPr>
          <w:rFonts w:ascii="宋体" w:hAnsi="宋体"/>
        </w:rPr>
      </w:pPr>
      <w:r>
        <w:rPr>
          <w:rFonts w:hint="eastAsia" w:ascii="宋体" w:hAnsi="宋体"/>
        </w:rPr>
        <w:t>（1）</w:t>
      </w:r>
      <w:bookmarkStart w:id="423" w:name="_Hlk42843411"/>
      <w:r>
        <w:rPr>
          <w:rFonts w:hint="eastAsia" w:ascii="宋体" w:hAnsi="宋体"/>
        </w:rPr>
        <w:t>合同服务期</w:t>
      </w:r>
      <w:r>
        <w:rPr>
          <w:rFonts w:hint="eastAsia" w:ascii="宋体" w:hAnsi="宋体"/>
          <w:bCs/>
        </w:rPr>
        <w:t>限：</w:t>
      </w:r>
      <w:bookmarkEnd w:id="423"/>
      <w:r>
        <w:rPr>
          <w:rFonts w:hint="eastAsia" w:ascii="宋体" w:hAnsi="宋体"/>
          <w:bCs/>
        </w:rPr>
        <w:t>自合同签订之日起至乙方完成合同内容之日止。</w:t>
      </w:r>
    </w:p>
    <w:p>
      <w:pPr>
        <w:spacing w:line="300" w:lineRule="auto"/>
        <w:ind w:firstLine="470" w:firstLineChars="196"/>
        <w:rPr>
          <w:rFonts w:ascii="宋体" w:hAnsi="宋体"/>
          <w:b/>
          <w:szCs w:val="24"/>
        </w:rPr>
      </w:pPr>
      <w:r>
        <w:rPr>
          <w:rFonts w:hint="eastAsia" w:ascii="宋体" w:hAnsi="宋体"/>
          <w:szCs w:val="24"/>
        </w:rPr>
        <w:t>（2）</w:t>
      </w:r>
      <w:r>
        <w:rPr>
          <w:rFonts w:hint="eastAsia" w:ascii="宋体" w:hAnsi="宋体"/>
          <w:b/>
          <w:szCs w:val="24"/>
        </w:rPr>
        <w:t>乙方指定银行账户如下：</w:t>
      </w:r>
    </w:p>
    <w:p>
      <w:pPr>
        <w:numPr>
          <w:ilvl w:val="0"/>
          <w:numId w:val="3"/>
        </w:numPr>
        <w:spacing w:line="300" w:lineRule="auto"/>
        <w:rPr>
          <w:rFonts w:ascii="宋体" w:hAnsi="宋体"/>
          <w:b/>
          <w:szCs w:val="24"/>
        </w:rPr>
      </w:pPr>
      <w:r>
        <w:rPr>
          <w:rFonts w:hint="eastAsia" w:ascii="宋体" w:hAnsi="宋体"/>
          <w:b/>
          <w:szCs w:val="24"/>
        </w:rPr>
        <w:t>支付进度</w:t>
      </w:r>
    </w:p>
    <w:p>
      <w:pPr>
        <w:adjustRightInd w:val="0"/>
        <w:snapToGrid w:val="0"/>
        <w:spacing w:line="360" w:lineRule="auto"/>
        <w:ind w:firstLine="420"/>
        <w:jc w:val="left"/>
        <w:rPr>
          <w:rFonts w:ascii="宋体" w:hAnsi="宋体"/>
          <w:bCs/>
        </w:rPr>
      </w:pPr>
      <w:r>
        <w:rPr>
          <w:rFonts w:hint="eastAsia" w:ascii="宋体" w:hAnsi="宋体"/>
          <w:bCs/>
        </w:rPr>
        <w:t>场地土壤环境初步调查费用由委托人按照工作完成情况分期支付给咨询人，根据项目实施进度分为两个阶段，具体支付金额如下：</w:t>
      </w:r>
    </w:p>
    <w:p>
      <w:pPr>
        <w:adjustRightInd w:val="0"/>
        <w:snapToGrid w:val="0"/>
        <w:spacing w:line="360" w:lineRule="auto"/>
        <w:ind w:firstLine="420"/>
        <w:jc w:val="left"/>
        <w:rPr>
          <w:rFonts w:ascii="宋体" w:hAnsi="宋体"/>
          <w:bCs/>
        </w:rPr>
      </w:pPr>
      <w:r>
        <w:rPr>
          <w:rFonts w:hint="eastAsia" w:ascii="宋体" w:hAnsi="宋体"/>
          <w:bCs/>
        </w:rPr>
        <w:t>（1）场地土壤环境初步调查费用由委托人按照工作完成情况分期支付给咨询人，根据项目实施进度分为两个阶段，具体支付金额如下：</w:t>
      </w:r>
    </w:p>
    <w:p>
      <w:pPr>
        <w:adjustRightInd w:val="0"/>
        <w:snapToGrid w:val="0"/>
        <w:spacing w:line="360" w:lineRule="auto"/>
        <w:ind w:firstLine="420"/>
        <w:jc w:val="left"/>
        <w:rPr>
          <w:rFonts w:ascii="宋体" w:hAnsi="宋体"/>
          <w:bCs/>
        </w:rPr>
      </w:pPr>
      <w:r>
        <w:rPr>
          <w:rFonts w:hint="eastAsia" w:ascii="宋体" w:hAnsi="宋体"/>
          <w:bCs/>
        </w:rPr>
        <w:t>（1）合同签订后，支付合同价款的5%作为首付款；</w:t>
      </w:r>
    </w:p>
    <w:p>
      <w:pPr>
        <w:adjustRightInd w:val="0"/>
        <w:snapToGrid w:val="0"/>
        <w:spacing w:line="360" w:lineRule="auto"/>
        <w:ind w:firstLine="420"/>
        <w:jc w:val="left"/>
        <w:rPr>
          <w:rFonts w:ascii="宋体" w:hAnsi="宋体"/>
          <w:bCs/>
        </w:rPr>
      </w:pPr>
      <w:r>
        <w:rPr>
          <w:rFonts w:hint="eastAsia" w:ascii="宋体" w:hAnsi="宋体"/>
          <w:bCs/>
        </w:rPr>
        <w:t>（2）完成盖下昂鹅车辆段地块场地土壤环境初步调查报告并经委托人认可后支付总合同价款的20%；</w:t>
      </w:r>
    </w:p>
    <w:p>
      <w:pPr>
        <w:adjustRightInd w:val="0"/>
        <w:snapToGrid w:val="0"/>
        <w:spacing w:line="360" w:lineRule="auto"/>
        <w:ind w:firstLine="420"/>
        <w:jc w:val="left"/>
        <w:rPr>
          <w:rFonts w:ascii="宋体" w:hAnsi="宋体"/>
          <w:bCs/>
        </w:rPr>
      </w:pPr>
      <w:r>
        <w:rPr>
          <w:rFonts w:hint="eastAsia" w:ascii="宋体" w:hAnsi="宋体"/>
          <w:bCs/>
        </w:rPr>
        <w:t>（3）盖下昂鹅车辆段地块初步调查报告通过专家评审，咨询人并将专家评审意见上传至深圳市生态环境局污染地块管理系统取得无污染审核意见后，支付合同价款的25%；</w:t>
      </w:r>
    </w:p>
    <w:p>
      <w:pPr>
        <w:adjustRightInd w:val="0"/>
        <w:snapToGrid w:val="0"/>
        <w:spacing w:line="360" w:lineRule="auto"/>
        <w:ind w:firstLine="420"/>
        <w:jc w:val="left"/>
        <w:rPr>
          <w:rFonts w:ascii="宋体" w:hAnsi="宋体"/>
          <w:bCs/>
        </w:rPr>
      </w:pPr>
      <w:r>
        <w:rPr>
          <w:rFonts w:hint="eastAsia" w:ascii="宋体" w:hAnsi="宋体"/>
          <w:bCs/>
        </w:rPr>
        <w:t>（4）完成昂鹅车辆段白地地块场地土壤环境初步调查报告并经委托人认可后，支付合同价款的10%；</w:t>
      </w:r>
    </w:p>
    <w:p>
      <w:pPr>
        <w:adjustRightInd w:val="0"/>
        <w:snapToGrid w:val="0"/>
        <w:spacing w:line="360" w:lineRule="auto"/>
        <w:ind w:firstLine="420"/>
        <w:jc w:val="left"/>
        <w:rPr>
          <w:rFonts w:ascii="宋体" w:hAnsi="宋体"/>
          <w:bCs/>
        </w:rPr>
      </w:pPr>
      <w:r>
        <w:rPr>
          <w:rFonts w:hint="eastAsia" w:ascii="宋体" w:hAnsi="宋体"/>
          <w:bCs/>
        </w:rPr>
        <w:t>（5）昂鹅车辆段白地地块初步调查报告通过深圳市生态环境局技术初审，并在污染地块管理系统中下达技术初审意见后，支付合同价款的20%；</w:t>
      </w:r>
    </w:p>
    <w:p>
      <w:pPr>
        <w:adjustRightInd w:val="0"/>
        <w:snapToGrid w:val="0"/>
        <w:spacing w:line="360" w:lineRule="auto"/>
        <w:ind w:firstLine="420"/>
        <w:jc w:val="left"/>
        <w:rPr>
          <w:rFonts w:ascii="宋体" w:hAnsi="宋体"/>
          <w:bCs/>
        </w:rPr>
      </w:pPr>
      <w:r>
        <w:rPr>
          <w:rFonts w:hint="eastAsia" w:ascii="宋体" w:hAnsi="宋体"/>
          <w:bCs/>
        </w:rPr>
        <w:t>（6）昂鹅车辆段白地地块初步调查报告通过专家评审，咨询人并将专家评审意见上传至污染地块管理系统取得无污染审核意见后，支付合同价款的15%。</w:t>
      </w:r>
    </w:p>
    <w:p>
      <w:pPr>
        <w:adjustRightInd w:val="0"/>
        <w:snapToGrid w:val="0"/>
        <w:spacing w:line="360" w:lineRule="auto"/>
        <w:ind w:firstLine="420"/>
        <w:jc w:val="left"/>
        <w:rPr>
          <w:rFonts w:ascii="宋体" w:hAnsi="宋体"/>
          <w:bCs/>
        </w:rPr>
      </w:pPr>
      <w:r>
        <w:rPr>
          <w:rFonts w:hint="eastAsia" w:ascii="宋体" w:hAnsi="宋体"/>
          <w:bCs/>
        </w:rPr>
        <w:t>（7）咨询人向委托人申请合同结算，委托人审核通过后15个工作日内，委托人向咨询人一次性支付合同结算余款。</w:t>
      </w:r>
    </w:p>
    <w:p>
      <w:pPr>
        <w:adjustRightInd w:val="0"/>
        <w:snapToGrid w:val="0"/>
        <w:spacing w:line="360" w:lineRule="auto"/>
        <w:ind w:firstLine="420"/>
        <w:jc w:val="left"/>
        <w:rPr>
          <w:rFonts w:ascii="宋体" w:hAnsi="宋体"/>
          <w:bCs/>
        </w:rPr>
      </w:pPr>
      <w:r>
        <w:rPr>
          <w:rFonts w:hint="eastAsia" w:ascii="宋体" w:hAnsi="宋体"/>
          <w:bCs/>
        </w:rPr>
        <w:t>如在合同执行期间，国家税率进行了调整，税额和合同尾款按照调整后的执行。每一笔支付均由咨询人根据合同规定书面提出申请、支付理由和金额，报委托人审定批准后30日内支付给咨询人，咨询人需按委托人要求提供增值税专用发票。</w:t>
      </w:r>
    </w:p>
    <w:p>
      <w:pPr>
        <w:adjustRightInd w:val="0"/>
        <w:snapToGrid w:val="0"/>
        <w:spacing w:line="360" w:lineRule="auto"/>
        <w:ind w:firstLine="420"/>
        <w:jc w:val="left"/>
        <w:rPr>
          <w:rFonts w:ascii="宋体" w:hAnsi="宋体"/>
          <w:b/>
        </w:rPr>
      </w:pPr>
      <w:r>
        <w:rPr>
          <w:rFonts w:hint="eastAsia" w:ascii="宋体" w:hAnsi="宋体"/>
          <w:b/>
        </w:rPr>
        <w:t>4、</w:t>
      </w:r>
      <w:r>
        <w:rPr>
          <w:rFonts w:ascii="宋体" w:hAnsi="宋体"/>
          <w:b/>
        </w:rPr>
        <w:t>变更的确定（通用条款第11款）</w:t>
      </w:r>
    </w:p>
    <w:p>
      <w:pPr>
        <w:adjustRightInd w:val="0"/>
        <w:snapToGrid w:val="0"/>
        <w:spacing w:line="360" w:lineRule="auto"/>
        <w:ind w:firstLine="480"/>
        <w:jc w:val="left"/>
        <w:rPr>
          <w:rFonts w:ascii="宋体" w:hAnsi="宋体"/>
          <w:bCs/>
        </w:rPr>
      </w:pPr>
      <w:r>
        <w:rPr>
          <w:rFonts w:ascii="宋体" w:hAnsi="宋体"/>
          <w:bCs/>
        </w:rPr>
        <w:t>在通用条款第11款增加下列内容：</w:t>
      </w:r>
    </w:p>
    <w:p>
      <w:pPr>
        <w:adjustRightInd w:val="0"/>
        <w:snapToGrid w:val="0"/>
        <w:spacing w:line="360" w:lineRule="auto"/>
        <w:ind w:firstLine="480"/>
        <w:jc w:val="left"/>
        <w:rPr>
          <w:rFonts w:ascii="宋体" w:hAnsi="宋体"/>
          <w:bCs/>
        </w:rPr>
      </w:pPr>
      <w:r>
        <w:rPr>
          <w:rFonts w:ascii="宋体" w:hAnsi="宋体"/>
          <w:bCs/>
        </w:rPr>
        <w:t>11.1</w:t>
      </w:r>
      <w:r>
        <w:rPr>
          <w:rFonts w:hint="eastAsia" w:ascii="宋体" w:hAnsi="宋体"/>
          <w:bCs/>
        </w:rPr>
        <w:t xml:space="preserve">1 </w:t>
      </w:r>
      <w:r>
        <w:rPr>
          <w:rFonts w:ascii="宋体" w:hAnsi="宋体"/>
          <w:bCs/>
        </w:rPr>
        <w:t>更换服务单位时的合同费扣除办法</w:t>
      </w:r>
    </w:p>
    <w:p>
      <w:pPr>
        <w:adjustRightInd w:val="0"/>
        <w:snapToGrid w:val="0"/>
        <w:spacing w:line="360" w:lineRule="auto"/>
        <w:ind w:firstLine="480"/>
        <w:jc w:val="left"/>
        <w:rPr>
          <w:rFonts w:ascii="宋体" w:hAnsi="宋体"/>
          <w:bCs/>
        </w:rPr>
      </w:pPr>
      <w:r>
        <w:rPr>
          <w:rFonts w:ascii="宋体" w:hAnsi="宋体"/>
          <w:bCs/>
        </w:rPr>
        <w:t>按照合同约定乙方不能胜任某一项目（包括工点、系统或其中一部分）的</w:t>
      </w:r>
      <w:r>
        <w:rPr>
          <w:rFonts w:hint="eastAsia" w:ascii="宋体" w:hAnsi="宋体"/>
          <w:bCs/>
        </w:rPr>
        <w:t>土壤环境初步调查</w:t>
      </w:r>
      <w:r>
        <w:rPr>
          <w:rFonts w:ascii="宋体" w:hAnsi="宋体"/>
          <w:bCs/>
        </w:rPr>
        <w:t>工作，经甲方要求两次以上整改仍不能改善或改善不能满足合同要求，需要更换服务单位时，甲方将按照合同中取费标准的2倍从乙方的合同中扣除该项目的合同费，分包给新的分包服务单位，同时并不免除乙方的责任。</w:t>
      </w:r>
    </w:p>
    <w:p>
      <w:pPr>
        <w:adjustRightInd w:val="0"/>
        <w:snapToGrid w:val="0"/>
        <w:spacing w:line="360" w:lineRule="auto"/>
        <w:ind w:firstLine="480"/>
        <w:jc w:val="left"/>
        <w:rPr>
          <w:rFonts w:ascii="宋体" w:hAnsi="宋体"/>
          <w:bCs/>
        </w:rPr>
      </w:pPr>
      <w:r>
        <w:rPr>
          <w:rFonts w:hint="eastAsia" w:ascii="宋体" w:hAnsi="宋体"/>
          <w:bCs/>
        </w:rPr>
        <w:t>11.12重复工作费用的计取</w:t>
      </w:r>
    </w:p>
    <w:p>
      <w:pPr>
        <w:adjustRightInd w:val="0"/>
        <w:snapToGrid w:val="0"/>
        <w:spacing w:line="360" w:lineRule="auto"/>
        <w:ind w:firstLine="480"/>
        <w:jc w:val="left"/>
        <w:rPr>
          <w:rFonts w:ascii="宋体" w:hAnsi="宋体"/>
          <w:bCs/>
        </w:rPr>
      </w:pPr>
      <w:r>
        <w:rPr>
          <w:rFonts w:hint="eastAsia" w:ascii="宋体" w:hAnsi="宋体"/>
          <w:bCs/>
        </w:rPr>
        <w:t>乙方根据甲方要求完成土壤环境初步调查报告书、评审意见并提交甲方后，因甲方原因导致实际情况发生变化，需乙方重新进行土壤环境初步调查、或评审的，乙方应免费进行土壤环境初步调查服务并进行评审，且甲方不需增加额外费用。</w:t>
      </w:r>
    </w:p>
    <w:p>
      <w:pPr>
        <w:autoSpaceDE w:val="0"/>
        <w:autoSpaceDN w:val="0"/>
        <w:adjustRightInd w:val="0"/>
        <w:snapToGrid w:val="0"/>
        <w:spacing w:line="360" w:lineRule="auto"/>
        <w:ind w:left="482"/>
        <w:jc w:val="left"/>
        <w:rPr>
          <w:rFonts w:ascii="宋体" w:hAnsi="宋体"/>
          <w:b/>
        </w:rPr>
      </w:pPr>
      <w:r>
        <w:rPr>
          <w:rFonts w:hint="eastAsia" w:ascii="宋体" w:hAnsi="宋体"/>
          <w:b/>
        </w:rPr>
        <w:t>5、</w:t>
      </w:r>
      <w:r>
        <w:rPr>
          <w:rFonts w:ascii="宋体" w:hAnsi="宋体"/>
          <w:b/>
        </w:rPr>
        <w:t>违约责任（通用条款第20款）</w:t>
      </w:r>
    </w:p>
    <w:p>
      <w:pPr>
        <w:adjustRightInd w:val="0"/>
        <w:snapToGrid w:val="0"/>
        <w:spacing w:line="360" w:lineRule="auto"/>
        <w:ind w:firstLine="480"/>
        <w:jc w:val="left"/>
        <w:rPr>
          <w:rFonts w:ascii="宋体" w:hAnsi="宋体"/>
          <w:bCs/>
        </w:rPr>
      </w:pPr>
      <w:r>
        <w:rPr>
          <w:rFonts w:ascii="宋体" w:hAnsi="宋体"/>
          <w:bCs/>
        </w:rPr>
        <w:t>在通用条款第20款增加下列内容：</w:t>
      </w:r>
    </w:p>
    <w:p>
      <w:pPr>
        <w:tabs>
          <w:tab w:val="left" w:pos="426"/>
        </w:tabs>
        <w:adjustRightInd w:val="0"/>
        <w:snapToGrid w:val="0"/>
        <w:spacing w:line="360" w:lineRule="auto"/>
        <w:ind w:firstLine="480"/>
        <w:jc w:val="left"/>
        <w:rPr>
          <w:rFonts w:ascii="宋体" w:hAnsi="宋体"/>
        </w:rPr>
      </w:pPr>
      <w:r>
        <w:rPr>
          <w:rFonts w:hint="eastAsia" w:ascii="宋体" w:hAnsi="宋体"/>
        </w:rPr>
        <w:t>20.5</w:t>
      </w:r>
      <w:r>
        <w:rPr>
          <w:rFonts w:ascii="宋体" w:hAnsi="宋体"/>
        </w:rPr>
        <w:t>在合同履行期间，若甲方单方提出解除合同，乙方已开始</w:t>
      </w:r>
      <w:r>
        <w:rPr>
          <w:rFonts w:hint="eastAsia" w:ascii="宋体" w:hAnsi="宋体"/>
        </w:rPr>
        <w:t>土壤环境初步调查</w:t>
      </w:r>
      <w:r>
        <w:rPr>
          <w:rFonts w:ascii="宋体" w:hAnsi="宋体"/>
        </w:rPr>
        <w:t>工作的，甲方应根据实际完成的工作量结算合同费</w:t>
      </w:r>
      <w:r>
        <w:rPr>
          <w:rFonts w:hint="eastAsia" w:ascii="宋体" w:hAnsi="宋体"/>
        </w:rPr>
        <w:t>，</w:t>
      </w:r>
      <w:r>
        <w:rPr>
          <w:rFonts w:ascii="宋体" w:hAnsi="宋体"/>
        </w:rPr>
        <w:t>除此外，甲方不承担其他任何责任。</w:t>
      </w:r>
    </w:p>
    <w:p>
      <w:pPr>
        <w:tabs>
          <w:tab w:val="left" w:pos="426"/>
        </w:tabs>
        <w:adjustRightInd w:val="0"/>
        <w:snapToGrid w:val="0"/>
        <w:spacing w:line="360" w:lineRule="auto"/>
        <w:ind w:firstLine="480" w:firstLineChars="200"/>
        <w:jc w:val="left"/>
        <w:rPr>
          <w:rFonts w:ascii="宋体" w:hAnsi="宋体"/>
        </w:rPr>
      </w:pPr>
      <w:r>
        <w:rPr>
          <w:rFonts w:hint="eastAsia" w:ascii="宋体" w:hAnsi="宋体"/>
        </w:rPr>
        <w:t>20.</w:t>
      </w:r>
      <w:r>
        <w:rPr>
          <w:rFonts w:ascii="宋体" w:hAnsi="宋体"/>
        </w:rPr>
        <w:t>7本合同签订生效后，乙方无正当理由而又未完成履行合同规定的义务时，甲方有权向乙方发出催告履行合同的通知。若乙方在甲方发出通知后10天内</w:t>
      </w:r>
      <w:r>
        <w:rPr>
          <w:rFonts w:hint="eastAsia" w:ascii="宋体" w:hAnsi="宋体"/>
        </w:rPr>
        <w:t>未</w:t>
      </w:r>
      <w:r>
        <w:rPr>
          <w:rFonts w:ascii="宋体" w:hAnsi="宋体"/>
        </w:rPr>
        <w:t>整改的</w:t>
      </w:r>
      <w:r>
        <w:rPr>
          <w:rFonts w:hint="eastAsia" w:ascii="宋体" w:hAnsi="宋体"/>
        </w:rPr>
        <w:t>或</w:t>
      </w:r>
      <w:r>
        <w:rPr>
          <w:rFonts w:ascii="宋体" w:hAnsi="宋体"/>
        </w:rPr>
        <w:t>无履行合同的行为，甲方将在发出通知后20天内终止本合同，双方按有效的工作量结算合同费。若由此而造成甲方损失时，乙方应承担由此而产生的法律责任和经济责任。</w:t>
      </w:r>
    </w:p>
    <w:p>
      <w:pPr>
        <w:tabs>
          <w:tab w:val="left" w:pos="426"/>
        </w:tabs>
        <w:adjustRightInd w:val="0"/>
        <w:snapToGrid w:val="0"/>
        <w:spacing w:line="360" w:lineRule="auto"/>
        <w:ind w:firstLine="480"/>
        <w:jc w:val="left"/>
        <w:rPr>
          <w:rFonts w:ascii="宋体" w:hAnsi="宋体"/>
        </w:rPr>
      </w:pPr>
      <w:r>
        <w:rPr>
          <w:rFonts w:hint="eastAsia" w:ascii="宋体" w:hAnsi="宋体"/>
        </w:rPr>
        <w:t>20.</w:t>
      </w:r>
      <w:r>
        <w:rPr>
          <w:rFonts w:ascii="宋体" w:hAnsi="宋体"/>
        </w:rPr>
        <w:t>8甲方向乙方提交的一切文件、资料以及乙方为甲方完成的</w:t>
      </w:r>
      <w:r>
        <w:rPr>
          <w:rFonts w:hint="eastAsia" w:ascii="宋体" w:hAnsi="宋体" w:cs="宋体"/>
        </w:rPr>
        <w:t>土壤环境初步调查</w:t>
      </w:r>
      <w:r>
        <w:rPr>
          <w:rFonts w:ascii="宋体" w:hAnsi="宋体"/>
        </w:rPr>
        <w:t>成果</w:t>
      </w:r>
      <w:r>
        <w:rPr>
          <w:rFonts w:hint="eastAsia" w:ascii="宋体" w:hAnsi="宋体"/>
        </w:rPr>
        <w:t>及文件</w:t>
      </w:r>
      <w:r>
        <w:rPr>
          <w:rFonts w:ascii="宋体" w:hAnsi="宋体"/>
        </w:rPr>
        <w:t>，乙方有保密的义务，未经甲方同意，不得泄露或转让给第三方</w:t>
      </w:r>
      <w:r>
        <w:rPr>
          <w:rFonts w:hint="eastAsia" w:ascii="宋体" w:hAnsi="宋体"/>
        </w:rPr>
        <w:t>，</w:t>
      </w:r>
      <w:r>
        <w:rPr>
          <w:rFonts w:ascii="宋体" w:hAnsi="宋体"/>
        </w:rPr>
        <w:t>否则</w:t>
      </w:r>
      <w:r>
        <w:rPr>
          <w:rFonts w:hint="eastAsia" w:ascii="宋体" w:hAnsi="宋体"/>
        </w:rPr>
        <w:t>，</w:t>
      </w:r>
      <w:r>
        <w:rPr>
          <w:rFonts w:ascii="宋体" w:hAnsi="宋体"/>
        </w:rPr>
        <w:t>乙方应</w:t>
      </w:r>
      <w:r>
        <w:rPr>
          <w:rFonts w:hint="eastAsia" w:ascii="宋体" w:hAnsi="宋体"/>
        </w:rPr>
        <w:t>向</w:t>
      </w:r>
      <w:r>
        <w:rPr>
          <w:rFonts w:ascii="宋体" w:hAnsi="宋体"/>
        </w:rPr>
        <w:t>甲方支付合同</w:t>
      </w:r>
      <w:r>
        <w:rPr>
          <w:rFonts w:hint="eastAsia" w:ascii="宋体" w:hAnsi="宋体"/>
        </w:rPr>
        <w:t>价</w:t>
      </w:r>
      <w:r>
        <w:rPr>
          <w:rFonts w:ascii="宋体" w:hAnsi="宋体"/>
        </w:rPr>
        <w:t>款</w:t>
      </w:r>
      <w:r>
        <w:rPr>
          <w:rFonts w:hint="eastAsia" w:ascii="宋体" w:hAnsi="宋体"/>
        </w:rPr>
        <w:t>20%的</w:t>
      </w:r>
      <w:r>
        <w:rPr>
          <w:rFonts w:ascii="宋体" w:hAnsi="宋体"/>
        </w:rPr>
        <w:t>违</w:t>
      </w:r>
      <w:r>
        <w:rPr>
          <w:rFonts w:hint="eastAsia" w:ascii="宋体" w:hAnsi="宋体"/>
        </w:rPr>
        <w:t>约</w:t>
      </w:r>
      <w:r>
        <w:rPr>
          <w:rFonts w:ascii="宋体" w:hAnsi="宋体"/>
        </w:rPr>
        <w:t>金。如发生以上情况，乙方应根据损失情况承担经济赔偿的责任，并承担由此引起的法律责任。</w:t>
      </w:r>
    </w:p>
    <w:p>
      <w:pPr>
        <w:spacing w:line="360" w:lineRule="auto"/>
        <w:ind w:firstLine="480" w:firstLineChars="200"/>
        <w:rPr>
          <w:rFonts w:ascii="宋体" w:hAnsi="宋体"/>
        </w:rPr>
      </w:pPr>
      <w:r>
        <w:rPr>
          <w:rFonts w:hint="eastAsia" w:ascii="宋体" w:hAnsi="宋体"/>
        </w:rPr>
        <w:t>20.9</w:t>
      </w:r>
      <w:r>
        <w:rPr>
          <w:rFonts w:ascii="宋体" w:hAnsi="宋体"/>
        </w:rPr>
        <w:t>如因政策性原因造成</w:t>
      </w:r>
      <w:r>
        <w:rPr>
          <w:rFonts w:hint="eastAsia" w:ascii="宋体" w:hAnsi="宋体"/>
        </w:rPr>
        <w:t>土壤环境初步调查、评审意见</w:t>
      </w:r>
      <w:r>
        <w:rPr>
          <w:rFonts w:ascii="宋体" w:hAnsi="宋体"/>
        </w:rPr>
        <w:t>完成时间拖延，</w:t>
      </w:r>
      <w:r>
        <w:rPr>
          <w:rFonts w:hint="eastAsia" w:ascii="宋体" w:hAnsi="宋体" w:cs="宋体"/>
        </w:rPr>
        <w:t>土壤环境初步调查工作</w:t>
      </w:r>
      <w:r>
        <w:rPr>
          <w:rFonts w:ascii="宋体" w:hAnsi="宋体"/>
        </w:rPr>
        <w:t>顺延，不增加费用。</w:t>
      </w:r>
    </w:p>
    <w:p>
      <w:pPr>
        <w:pStyle w:val="2"/>
        <w:spacing w:line="360" w:lineRule="auto"/>
        <w:rPr>
          <w:rFonts w:ascii="宋体" w:hAnsi="宋体"/>
        </w:rPr>
      </w:pPr>
      <w:r>
        <w:rPr>
          <w:rFonts w:hint="eastAsia" w:ascii="宋体" w:hAnsi="宋体"/>
        </w:rPr>
        <w:t>20.10.咨询人提交成果不能满足验收要求时，咨询人应在合同规定的时间内修改、补充，直至满足要求，委托人不再增加合同费用。</w:t>
      </w:r>
    </w:p>
    <w:p>
      <w:pPr>
        <w:pStyle w:val="2"/>
        <w:spacing w:line="360" w:lineRule="auto"/>
        <w:rPr>
          <w:rFonts w:ascii="宋体" w:hAnsi="宋体"/>
        </w:rPr>
      </w:pPr>
      <w:r>
        <w:rPr>
          <w:rFonts w:hint="eastAsia" w:ascii="宋体" w:hAnsi="宋体"/>
        </w:rPr>
        <w:t>20.11.咨询人未在合同规定的时间内提交符合要求的成果，每逾期一天，须向委托人支付合同总价1%的违约金，委托人有权从合同价款中扣除，逾期超过10天委托人有权解除合同；委托人未按合同付款，则对应付未付部份，委托人应支付咨询人同期银行活期利息的赔偿。</w:t>
      </w:r>
    </w:p>
    <w:p>
      <w:pPr>
        <w:pStyle w:val="2"/>
        <w:spacing w:line="360" w:lineRule="auto"/>
        <w:rPr>
          <w:rFonts w:ascii="宋体" w:hAnsi="宋体"/>
        </w:rPr>
      </w:pPr>
      <w:r>
        <w:rPr>
          <w:rFonts w:hint="eastAsia" w:ascii="宋体" w:hAnsi="宋体"/>
        </w:rPr>
        <w:t>20.12.委托人单方面终止合同时，委托人需按咨询人经委托人确认的已完成工作量支付费用；咨询人单方面终止合同时，需退还委托人已支付的合同款，并赔偿委托人因此而造成的损失。</w:t>
      </w:r>
    </w:p>
    <w:p>
      <w:pPr>
        <w:pStyle w:val="2"/>
        <w:spacing w:line="360" w:lineRule="auto"/>
        <w:rPr>
          <w:rFonts w:ascii="宋体" w:hAnsi="宋体"/>
        </w:rPr>
      </w:pPr>
      <w:r>
        <w:rPr>
          <w:rFonts w:hint="eastAsia" w:ascii="宋体" w:hAnsi="宋体"/>
        </w:rPr>
        <w:t>如咨询人未经委托人同意，私自更换投标书中承诺的主要人员且拒不改正的，则咨询/设计人向委托人承担以下违约责任：</w:t>
      </w:r>
    </w:p>
    <w:p>
      <w:pPr>
        <w:pStyle w:val="2"/>
        <w:spacing w:line="360" w:lineRule="auto"/>
        <w:rPr>
          <w:rFonts w:ascii="宋体" w:hAnsi="宋体"/>
        </w:rPr>
      </w:pPr>
      <w:r>
        <w:rPr>
          <w:rFonts w:hint="eastAsia" w:ascii="宋体" w:hAnsi="宋体"/>
        </w:rPr>
        <w:t>（1）更换项目负责人：承担20000元的违约金；</w:t>
      </w:r>
    </w:p>
    <w:p>
      <w:pPr>
        <w:pStyle w:val="2"/>
        <w:spacing w:line="360" w:lineRule="auto"/>
        <w:rPr>
          <w:rFonts w:ascii="宋体" w:hAnsi="宋体"/>
        </w:rPr>
      </w:pPr>
      <w:r>
        <w:rPr>
          <w:rFonts w:hint="eastAsia" w:ascii="宋体" w:hAnsi="宋体"/>
        </w:rPr>
        <w:t>（2）更换其他主要人员：承担10000元一人次的违约金。</w:t>
      </w:r>
    </w:p>
    <w:p>
      <w:pPr>
        <w:pStyle w:val="2"/>
        <w:spacing w:line="360" w:lineRule="auto"/>
        <w:rPr>
          <w:rFonts w:ascii="宋体" w:hAnsi="宋体"/>
        </w:rPr>
      </w:pPr>
      <w:r>
        <w:rPr>
          <w:rFonts w:hint="eastAsia" w:ascii="宋体" w:hAnsi="宋体"/>
        </w:rPr>
        <w:t>20.13.如给委托人造成损失的，咨询人需赔偿委托人全部损失（包括但不限于甲方实际损失、赔偿、鉴定费、公证费、诉讼费用及律师费等）</w:t>
      </w:r>
    </w:p>
    <w:p>
      <w:pPr>
        <w:autoSpaceDE w:val="0"/>
        <w:autoSpaceDN w:val="0"/>
        <w:adjustRightInd w:val="0"/>
        <w:snapToGrid w:val="0"/>
        <w:spacing w:line="360" w:lineRule="auto"/>
        <w:ind w:left="482"/>
        <w:jc w:val="left"/>
        <w:rPr>
          <w:rFonts w:ascii="宋体" w:hAnsi="宋体"/>
          <w:b/>
        </w:rPr>
      </w:pPr>
      <w:r>
        <w:rPr>
          <w:rFonts w:hint="eastAsia" w:ascii="宋体" w:hAnsi="宋体"/>
          <w:b/>
        </w:rPr>
        <w:t>6、</w:t>
      </w:r>
      <w:r>
        <w:rPr>
          <w:rFonts w:ascii="宋体" w:hAnsi="宋体"/>
          <w:b/>
        </w:rPr>
        <w:t>争议的解决（通用条款第21款）</w:t>
      </w:r>
    </w:p>
    <w:p>
      <w:pPr>
        <w:adjustRightInd w:val="0"/>
        <w:snapToGrid w:val="0"/>
        <w:spacing w:line="360" w:lineRule="auto"/>
        <w:ind w:firstLine="480"/>
        <w:jc w:val="left"/>
        <w:rPr>
          <w:rFonts w:ascii="宋体" w:hAnsi="宋体"/>
          <w:bCs/>
        </w:rPr>
      </w:pPr>
      <w:r>
        <w:rPr>
          <w:rFonts w:ascii="宋体" w:hAnsi="宋体"/>
          <w:bCs/>
        </w:rPr>
        <w:t>通用条款第21.1款替代为下列内容：</w:t>
      </w:r>
    </w:p>
    <w:p>
      <w:pPr>
        <w:adjustRightInd w:val="0"/>
        <w:snapToGrid w:val="0"/>
        <w:spacing w:line="360" w:lineRule="auto"/>
        <w:ind w:firstLine="480"/>
        <w:jc w:val="left"/>
        <w:rPr>
          <w:rFonts w:ascii="宋体" w:hAnsi="宋体"/>
          <w:bCs/>
        </w:rPr>
      </w:pPr>
      <w:r>
        <w:rPr>
          <w:rFonts w:ascii="宋体" w:hAnsi="宋体"/>
          <w:bCs/>
        </w:rPr>
        <w:t>双方在执行合同过程中因违反合同规定的义务而产生分歧和争议以及造成对方损失时，双方应本着合作精神，通过友好协商解决；协商不能解决时，可</w:t>
      </w:r>
      <w:r>
        <w:rPr>
          <w:rFonts w:hint="eastAsia" w:ascii="宋体" w:hAnsi="宋体"/>
          <w:bCs/>
        </w:rPr>
        <w:t>向甲方</w:t>
      </w:r>
      <w:r>
        <w:rPr>
          <w:rFonts w:ascii="宋体" w:hAnsi="宋体"/>
          <w:bCs/>
        </w:rPr>
        <w:t>所</w:t>
      </w:r>
      <w:r>
        <w:rPr>
          <w:rFonts w:hint="eastAsia" w:ascii="宋体" w:hAnsi="宋体"/>
          <w:bCs/>
        </w:rPr>
        <w:t>在</w:t>
      </w:r>
      <w:r>
        <w:rPr>
          <w:rFonts w:ascii="宋体" w:hAnsi="宋体"/>
          <w:bCs/>
        </w:rPr>
        <w:t>地人民法院提起诉讼。</w:t>
      </w:r>
    </w:p>
    <w:p>
      <w:pPr>
        <w:autoSpaceDE w:val="0"/>
        <w:autoSpaceDN w:val="0"/>
        <w:adjustRightInd w:val="0"/>
        <w:snapToGrid w:val="0"/>
        <w:spacing w:line="360" w:lineRule="auto"/>
        <w:ind w:firstLine="482"/>
        <w:jc w:val="left"/>
        <w:rPr>
          <w:rFonts w:ascii="宋体" w:hAnsi="宋体"/>
          <w:lang w:val="zh-CN"/>
        </w:rPr>
      </w:pPr>
      <w:r>
        <w:rPr>
          <w:rFonts w:hint="eastAsia" w:ascii="宋体" w:hAnsi="宋体"/>
          <w:b/>
        </w:rPr>
        <w:t>7、</w:t>
      </w:r>
      <w:r>
        <w:rPr>
          <w:rFonts w:ascii="宋体" w:hAnsi="宋体"/>
          <w:b/>
        </w:rPr>
        <w:t>其他（新增专用条款）</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7</w:t>
      </w:r>
      <w:r>
        <w:rPr>
          <w:rFonts w:ascii="宋体" w:hAnsi="宋体"/>
          <w:lang w:val="zh-CN"/>
        </w:rPr>
        <w:t>.1 在本合同执行过程中，双方对于各种问题的提出或答复，均应以有关部门负责人签字的书面文件形式为准，任何情况下任何一方都不能拒收对方送交的书面函件。</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7</w:t>
      </w:r>
      <w:r>
        <w:rPr>
          <w:rFonts w:ascii="宋体" w:hAnsi="宋体"/>
          <w:lang w:val="zh-CN"/>
        </w:rPr>
        <w:t>.2 本合同附件、本合同有关会议纪要及补充协议与本合同书具有同等法律效力。</w:t>
      </w:r>
    </w:p>
    <w:p>
      <w:pPr>
        <w:autoSpaceDE w:val="0"/>
        <w:autoSpaceDN w:val="0"/>
        <w:adjustRightInd w:val="0"/>
        <w:snapToGrid w:val="0"/>
        <w:spacing w:line="360" w:lineRule="auto"/>
        <w:ind w:firstLine="480"/>
        <w:jc w:val="left"/>
        <w:rPr>
          <w:rFonts w:ascii="宋体" w:hAnsi="宋体"/>
          <w:kern w:val="0"/>
        </w:rPr>
      </w:pPr>
      <w:r>
        <w:rPr>
          <w:rFonts w:hint="eastAsia" w:ascii="宋体" w:hAnsi="宋体"/>
          <w:bCs/>
        </w:rPr>
        <w:t>7</w:t>
      </w:r>
      <w:r>
        <w:rPr>
          <w:rFonts w:ascii="宋体" w:hAnsi="宋体"/>
          <w:bCs/>
        </w:rPr>
        <w:t xml:space="preserve">.3 </w:t>
      </w:r>
      <w:r>
        <w:rPr>
          <w:rFonts w:ascii="宋体" w:hAnsi="宋体"/>
          <w:kern w:val="0"/>
        </w:rPr>
        <w:t>甲方或设计单位对乙方提交的</w:t>
      </w:r>
      <w:r>
        <w:rPr>
          <w:rFonts w:hint="eastAsia" w:ascii="宋体" w:hAnsi="宋体" w:cs="宋体"/>
        </w:rPr>
        <w:t>土壤环境初步调查报告书</w:t>
      </w:r>
      <w:r>
        <w:rPr>
          <w:rFonts w:ascii="宋体" w:hAnsi="宋体"/>
          <w:kern w:val="0"/>
        </w:rPr>
        <w:t>如有重大不同意见时，应首先与乙方协商解决。协商不成时，可由甲方或设计单位向市行政主管部门提出复查申请，由市行政主管部门组织专家论证复查并做出复查结论,复查费用由与专家复查结论持不同意见的一方承担。甲方或设计单位对复查结论仍有分歧时可通过法律途径解决争端。</w:t>
      </w:r>
    </w:p>
    <w:p>
      <w:pPr>
        <w:snapToGrid w:val="0"/>
        <w:spacing w:line="360" w:lineRule="auto"/>
        <w:ind w:firstLine="480"/>
        <w:jc w:val="left"/>
        <w:rPr>
          <w:rFonts w:ascii="宋体" w:hAnsi="宋体"/>
          <w:kern w:val="0"/>
        </w:rPr>
      </w:pPr>
      <w:r>
        <w:rPr>
          <w:rFonts w:hint="eastAsia" w:ascii="宋体" w:hAnsi="宋体"/>
          <w:kern w:val="0"/>
        </w:rPr>
        <w:t>7</w:t>
      </w:r>
      <w:r>
        <w:rPr>
          <w:rFonts w:ascii="宋体" w:hAnsi="宋体"/>
          <w:kern w:val="0"/>
        </w:rPr>
        <w:t>.</w:t>
      </w:r>
      <w:r>
        <w:rPr>
          <w:rFonts w:hint="eastAsia" w:ascii="宋体" w:hAnsi="宋体"/>
          <w:kern w:val="0"/>
        </w:rPr>
        <w:t>4</w:t>
      </w:r>
      <w:r>
        <w:rPr>
          <w:rFonts w:ascii="宋体" w:hAnsi="宋体"/>
          <w:kern w:val="0"/>
        </w:rPr>
        <w:t>双方履行完合同规定的义务后，本合同即行终止。</w:t>
      </w:r>
    </w:p>
    <w:p>
      <w:pPr>
        <w:spacing w:line="360" w:lineRule="auto"/>
        <w:jc w:val="center"/>
        <w:outlineLvl w:val="0"/>
        <w:rPr>
          <w:rFonts w:ascii="宋体" w:hAnsi="宋体"/>
          <w:b/>
          <w:color w:val="000000" w:themeColor="text1"/>
          <w:sz w:val="44"/>
          <w:szCs w:val="44"/>
          <w14:textFill>
            <w14:solidFill>
              <w14:schemeClr w14:val="tx1"/>
            </w14:solidFill>
          </w14:textFill>
        </w:rPr>
      </w:pPr>
      <w:r>
        <w:rPr>
          <w:rFonts w:ascii="仿宋_GB2312" w:eastAsia="仿宋_GB2312"/>
          <w:b/>
          <w:color w:val="000000" w:themeColor="text1"/>
          <w14:textFill>
            <w14:solidFill>
              <w14:schemeClr w14:val="tx1"/>
            </w14:solidFill>
          </w14:textFill>
        </w:rPr>
        <w:br w:type="page"/>
      </w:r>
      <w:bookmarkStart w:id="424" w:name="_Toc19323"/>
      <w:bookmarkStart w:id="425" w:name="_Toc97605332"/>
      <w:r>
        <w:rPr>
          <w:rFonts w:hint="eastAsia" w:ascii="宋体" w:hAnsi="宋体"/>
          <w:b/>
          <w:color w:val="000000" w:themeColor="text1"/>
          <w:sz w:val="44"/>
          <w:szCs w:val="44"/>
          <w14:textFill>
            <w14:solidFill>
              <w14:schemeClr w14:val="tx1"/>
            </w14:solidFill>
          </w14:textFill>
        </w:rPr>
        <w:t>中</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标</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通</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知</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书</w:t>
      </w:r>
      <w:bookmarkEnd w:id="424"/>
      <w:bookmarkEnd w:id="425"/>
    </w:p>
    <w:p>
      <w:pPr>
        <w:spacing w:line="360" w:lineRule="auto"/>
        <w:jc w:val="center"/>
        <w:rPr>
          <w:rFonts w:ascii="宋体" w:hAnsi="宋体"/>
          <w:b/>
          <w:color w:val="000000" w:themeColor="text1"/>
          <w:sz w:val="30"/>
          <w:szCs w:val="30"/>
          <w14:textFill>
            <w14:solidFill>
              <w14:schemeClr w14:val="tx1"/>
            </w14:solidFill>
          </w14:textFill>
        </w:rPr>
      </w:pPr>
    </w:p>
    <w:p>
      <w:pPr>
        <w:spacing w:line="360" w:lineRule="auto"/>
        <w:jc w:val="center"/>
        <w:rPr>
          <w:rFonts w:ascii="宋体" w:hAnsi="宋体"/>
          <w:b/>
          <w:color w:val="000000" w:themeColor="text1"/>
          <w:sz w:val="30"/>
          <w:szCs w:val="30"/>
          <w14:textFill>
            <w14:solidFill>
              <w14:schemeClr w14:val="tx1"/>
            </w14:solidFill>
          </w14:textFill>
        </w:rPr>
      </w:pPr>
    </w:p>
    <w:p>
      <w:pPr>
        <w:rPr>
          <w:color w:val="000000" w:themeColor="text1"/>
          <w14:textFill>
            <w14:solidFill>
              <w14:schemeClr w14:val="tx1"/>
            </w14:solidFill>
          </w14:textFill>
        </w:rPr>
      </w:pPr>
      <w:bookmarkStart w:id="426" w:name="_Toc13271"/>
      <w:bookmarkStart w:id="427" w:name="_Toc32701"/>
      <w:bookmarkStart w:id="428" w:name="_Toc3850"/>
      <w:r>
        <w:rPr>
          <w:rFonts w:hint="eastAsia" w:ascii="宋体" w:hAnsi="宋体"/>
          <w:b/>
          <w:color w:val="000000" w:themeColor="text1"/>
          <w:sz w:val="30"/>
          <w:szCs w:val="30"/>
          <w14:textFill>
            <w14:solidFill>
              <w14:schemeClr w14:val="tx1"/>
            </w14:solidFill>
          </w14:textFill>
        </w:rPr>
        <w:t>致参选人：</w:t>
      </w:r>
      <w:bookmarkEnd w:id="426"/>
      <w:bookmarkEnd w:id="427"/>
      <w:bookmarkEnd w:id="428"/>
      <w:r>
        <w:rPr>
          <w:rFonts w:hint="eastAsia"/>
          <w:color w:val="000000" w:themeColor="text1"/>
          <w:u w:val="single"/>
          <w14:textFill>
            <w14:solidFill>
              <w14:schemeClr w14:val="tx1"/>
            </w14:solidFill>
          </w14:textFill>
        </w:rPr>
        <w:t xml:space="preserve">                                          </w:t>
      </w:r>
    </w:p>
    <w:p>
      <w:pPr>
        <w:rPr>
          <w:color w:val="000000" w:themeColor="text1"/>
          <w14:textFill>
            <w14:solidFill>
              <w14:schemeClr w14:val="tx1"/>
            </w14:solidFill>
          </w14:textFill>
        </w:rPr>
      </w:pPr>
      <w:bookmarkStart w:id="429" w:name="_Toc13706"/>
      <w:bookmarkStart w:id="430" w:name="_Toc14052"/>
      <w:bookmarkStart w:id="431" w:name="_Toc28182"/>
      <w:r>
        <w:rPr>
          <w:rFonts w:hint="eastAsia" w:ascii="宋体" w:hAnsi="宋体"/>
          <w:b/>
          <w:color w:val="000000" w:themeColor="text1"/>
          <w:sz w:val="30"/>
          <w:szCs w:val="30"/>
          <w14:textFill>
            <w14:solidFill>
              <w14:schemeClr w14:val="tx1"/>
            </w14:solidFill>
          </w14:textFill>
        </w:rPr>
        <w:t>承担项目：</w:t>
      </w:r>
      <w:bookmarkEnd w:id="429"/>
      <w:bookmarkEnd w:id="430"/>
      <w:bookmarkEnd w:id="431"/>
      <w:r>
        <w:rPr>
          <w:rFonts w:hint="eastAsia" w:ascii="宋体" w:hAnsi="宋体"/>
          <w:b/>
          <w:color w:val="000000" w:themeColor="text1"/>
          <w:sz w:val="30"/>
          <w:szCs w:val="30"/>
          <w14:textFill>
            <w14:solidFill>
              <w14:schemeClr w14:val="tx1"/>
            </w14:solidFill>
          </w14:textFill>
        </w:rPr>
        <w:t>轨道交通四期综合开发项目（四）土壤环境初步调查</w:t>
      </w:r>
    </w:p>
    <w:p>
      <w:pPr>
        <w:spacing w:after="100" w:afterAutospacing="1" w:line="360" w:lineRule="auto"/>
        <w:ind w:firstLine="567" w:firstLineChars="189"/>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贵司于    年  月  日提交了上述项目的参选文件，依照《中华人民共和国招标</w:t>
      </w:r>
      <w:r>
        <w:rPr>
          <w:rFonts w:ascii="宋体" w:hAnsi="宋体"/>
          <w:color w:val="000000" w:themeColor="text1"/>
          <w:sz w:val="30"/>
          <w:szCs w:val="30"/>
          <w14:textFill>
            <w14:solidFill>
              <w14:schemeClr w14:val="tx1"/>
            </w14:solidFill>
          </w14:textFill>
        </w:rPr>
        <w:t>投标</w:t>
      </w:r>
      <w:r>
        <w:rPr>
          <w:rFonts w:hint="eastAsia" w:ascii="宋体" w:hAnsi="宋体"/>
          <w:color w:val="000000" w:themeColor="text1"/>
          <w:sz w:val="30"/>
          <w:szCs w:val="30"/>
          <w14:textFill>
            <w14:solidFill>
              <w14:schemeClr w14:val="tx1"/>
            </w14:solidFill>
          </w14:textFill>
        </w:rPr>
        <w:t>法》和《轨道交通四期综合开发项目（四）土壤环境初步调查服务比选文件》，经资格审查和评定标程序，并报我公司批准，贵司的参选文件已被我公司接受，中选合同总价为人民币xxxx元            （大写：          元）。确定贵司为轨道交通四期综合开发项目（四）土壤环境初步调查服务中选单位。</w:t>
      </w:r>
    </w:p>
    <w:p>
      <w:pPr>
        <w:spacing w:line="360" w:lineRule="auto"/>
        <w:ind w:firstLine="612"/>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请做好签署合同的准备。</w:t>
      </w:r>
    </w:p>
    <w:p>
      <w:pPr>
        <w:spacing w:line="360" w:lineRule="auto"/>
        <w:ind w:firstLine="612"/>
        <w:rPr>
          <w:rFonts w:ascii="宋体" w:hAnsi="宋体"/>
          <w:color w:val="000000" w:themeColor="text1"/>
          <w:sz w:val="30"/>
          <w:szCs w:val="30"/>
          <w14:textFill>
            <w14:solidFill>
              <w14:schemeClr w14:val="tx1"/>
            </w14:solidFill>
          </w14:textFill>
        </w:rPr>
      </w:pPr>
    </w:p>
    <w:p>
      <w:pPr>
        <w:spacing w:line="360" w:lineRule="auto"/>
        <w:jc w:val="right"/>
        <w:rPr>
          <w:rFonts w:ascii="宋体" w:hAnsi="宋体"/>
          <w:color w:val="000000" w:themeColor="text1"/>
          <w:sz w:val="30"/>
          <w:szCs w:val="30"/>
          <w14:textFill>
            <w14:solidFill>
              <w14:schemeClr w14:val="tx1"/>
            </w14:solidFill>
          </w14:textFill>
        </w:rPr>
      </w:pPr>
      <w:r>
        <w:rPr>
          <w:color w:val="000000" w:themeColor="text1"/>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深圳市地铁集团有限公司</w:t>
      </w:r>
    </w:p>
    <w:p>
      <w:pPr>
        <w:spacing w:line="360" w:lineRule="auto"/>
        <w:jc w:val="right"/>
        <w:rPr>
          <w:rFonts w:ascii="宋体" w:hAnsi="宋体"/>
          <w:color w:val="000000" w:themeColor="text1"/>
          <w:sz w:val="30"/>
          <w:szCs w:val="30"/>
          <w14:textFill>
            <w14:solidFill>
              <w14:schemeClr w14:val="tx1"/>
            </w14:solidFill>
          </w14:textFill>
        </w:rPr>
      </w:pPr>
    </w:p>
    <w:p>
      <w:pPr>
        <w:spacing w:line="360" w:lineRule="auto"/>
        <w:jc w:val="right"/>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法定代表人（或授权代表）：</w:t>
      </w:r>
    </w:p>
    <w:p>
      <w:pPr>
        <w:spacing w:line="360" w:lineRule="auto"/>
        <w:jc w:val="right"/>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 xml:space="preserve">                                      </w:t>
      </w:r>
      <w:bookmarkStart w:id="432" w:name="_Toc9170"/>
      <w:bookmarkStart w:id="433" w:name="_Toc30815"/>
      <w:bookmarkStart w:id="434" w:name="_Toc12162"/>
      <w:r>
        <w:rPr>
          <w:rFonts w:hint="eastAsia" w:ascii="宋体" w:hAnsi="宋体"/>
          <w:color w:val="000000" w:themeColor="text1"/>
          <w:sz w:val="30"/>
          <w:szCs w:val="30"/>
          <w14:textFill>
            <w14:solidFill>
              <w14:schemeClr w14:val="tx1"/>
            </w14:solidFill>
          </w14:textFill>
        </w:rPr>
        <w:t>年   月   日</w:t>
      </w:r>
      <w:bookmarkEnd w:id="432"/>
      <w:bookmarkEnd w:id="433"/>
      <w:bookmarkEnd w:id="434"/>
    </w:p>
    <w:p>
      <w:pPr>
        <w:rPr>
          <w:color w:val="000000" w:themeColor="text1"/>
          <w14:textFill>
            <w14:solidFill>
              <w14:schemeClr w14:val="tx1"/>
            </w14:solidFill>
          </w14:textFill>
        </w:rPr>
      </w:pPr>
    </w:p>
    <w:sectPr>
      <w:headerReference r:id="rId19" w:type="default"/>
      <w:pgSz w:w="11907" w:h="16840"/>
      <w:pgMar w:top="1440" w:right="1440" w:bottom="1440" w:left="1440" w:header="1021" w:footer="113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192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21920" cy="1828800"/>
                      </a:xfrm>
                      <a:prstGeom prst="rect">
                        <a:avLst/>
                      </a:prstGeom>
                      <a:noFill/>
                      <a:ln>
                        <a:noFill/>
                      </a:ln>
                    </wps:spPr>
                    <wps:txbx>
                      <w:txbxContent>
                        <w:p>
                          <w:pPr>
                            <w:pStyle w:val="10"/>
                          </w:pPr>
                        </w:p>
                      </w:txbxContent>
                    </wps:txbx>
                    <wps:bodyPr lIns="0" tIns="0" rIns="0" bIns="0">
                      <a:spAutoFit/>
                    </wps:bodyPr>
                  </wps:wsp>
                </a:graphicData>
              </a:graphic>
            </wp:anchor>
          </w:drawing>
        </mc:Choice>
        <mc:Fallback>
          <w:pict>
            <v:shape id="_x0000_s1026" o:spid="_x0000_s1026" o:spt="202" type="#_x0000_t202" style="position:absolute;left:0pt;margin-top:0pt;height:144pt;width:9.6pt;mso-position-horizontal:center;mso-position-horizontal-relative:margin;z-index:251659264;mso-width-relative:page;mso-height-relative:page;" filled="f" stroked="f" coordsize="21600,21600" o:gfxdata="UEsDBAoAAAAAAIdO4kAAAAAAAAAAAAAAAAAEAAAAZHJzL1BLAwQUAAAACACHTuJAvjc/jtEAAAAE&#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43P47RAAAABAEAAA8AAAAAAAAAAQAgAAAAIgAAAGRycy9kb3ducmV2LnhtbFBLAQIUABQA&#10;AAAIAIdO4kCO+jp6vgEAAIADAAAOAAAAAAAAAAEAIAAAACABAABkcnMvZTJvRG9jLnhtbFBLBQYA&#10;AAAABgAGAFkBAABQBQAAAAA=&#10;">
              <v:fill on="f" focussize="0,0"/>
              <v:stroke on="f"/>
              <v:imagedata o:title=""/>
              <o:lock v:ext="edit" aspectratio="f"/>
              <v:textbox inset="0mm,0mm,0mm,0mm" style="mso-fit-shape-to-text:t;">
                <w:txbxContent>
                  <w:p>
                    <w:pPr>
                      <w:pStyle w:val="10"/>
                    </w:pPr>
                  </w:p>
                </w:txbxContent>
              </v:textbox>
            </v:shape>
          </w:pict>
        </mc:Fallback>
      </mc:AlternateContent>
    </w: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7957535"/>
    </w:sdtPr>
    <w:sdtEndPr>
      <w:rPr>
        <w:rStyle w:val="17"/>
      </w:rPr>
    </w:sdtEndPr>
    <w:sdtContent>
      <w:p>
        <w:pPr>
          <w:pStyle w:val="10"/>
          <w:framePr w:wrap="auto" w:vAnchor="text" w:hAnchor="margin" w:xAlign="center" w:y="1"/>
          <w:rPr>
            <w:rStyle w:val="17"/>
          </w:rPr>
        </w:pPr>
        <w:r>
          <w:rPr>
            <w:rStyle w:val="17"/>
          </w:rPr>
          <w:fldChar w:fldCharType="begin"/>
        </w:r>
        <w:r>
          <w:rPr>
            <w:rStyle w:val="17"/>
          </w:rPr>
          <w:instrText xml:space="preserve"> PAGE </w:instrText>
        </w:r>
        <w:r>
          <w:rPr>
            <w:rStyle w:val="17"/>
          </w:rPr>
          <w:fldChar w:fldCharType="end"/>
        </w:r>
      </w:p>
    </w:sdtContent>
  </w:sdt>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41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2000773262"/>
    </w:sdtPr>
    <w:sdtEndPr>
      <w:rPr>
        <w:rStyle w:val="17"/>
      </w:rPr>
    </w:sdtEndPr>
    <w:sdtContent>
      <w:p>
        <w:pPr>
          <w:pStyle w:val="10"/>
          <w:framePr w:wrap="auto" w:vAnchor="text" w:hAnchor="margin" w:xAlign="center" w:y="1"/>
          <w:rPr>
            <w:rStyle w:val="17"/>
          </w:rPr>
        </w:pPr>
        <w:r>
          <w:rPr>
            <w:rStyle w:val="17"/>
          </w:rPr>
          <w:fldChar w:fldCharType="begin"/>
        </w:r>
        <w:r>
          <w:rPr>
            <w:rStyle w:val="17"/>
          </w:rPr>
          <w:instrText xml:space="preserve"> PAGE </w:instrText>
        </w:r>
        <w:r>
          <w:rPr>
            <w:rStyle w:val="17"/>
          </w:rPr>
          <w:fldChar w:fldCharType="separate"/>
        </w:r>
        <w:r>
          <w:rPr>
            <w:rStyle w:val="17"/>
          </w:rPr>
          <w:t>45</w:t>
        </w:r>
        <w:r>
          <w:rPr>
            <w:rStyle w:val="17"/>
          </w:rPr>
          <w:fldChar w:fldCharType="end"/>
        </w:r>
      </w:p>
    </w:sdtContent>
  </w:sdt>
  <w:p>
    <w:pPr>
      <w:pStyle w:val="10"/>
      <w:jc w:val="right"/>
    </w:pPr>
  </w:p>
  <w:p>
    <w:pPr>
      <w:pStyle w:val="1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jc w:val="center"/>
    </w:pPr>
    <w:r>
      <w:fldChar w:fldCharType="begin"/>
    </w:r>
    <w:r>
      <w:instrText xml:space="preserve"> PAGE   \* MERGEFORMAT </w:instrText>
    </w:r>
    <w:r>
      <w:fldChar w:fldCharType="separate"/>
    </w:r>
    <w:r>
      <w:rPr>
        <w:lang w:val="zh-CN"/>
      </w:rPr>
      <w:t>28</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left"/>
      <w:rPr>
        <w:rFonts w:ascii="宋体" w:hAnsi="宋体" w:cs="宋体"/>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rStyle w:val="25"/>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rStyle w:val="25"/>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r>
      <w:rPr>
        <w:rFonts w:hint="eastAsia" w:ascii="宋体" w:hAnsi="宋体" w:cs="宋体"/>
        <w:szCs w:val="18"/>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r>
      <w:rPr>
        <w:rFonts w:hint="eastAsia" w:ascii="宋体" w:hAnsi="宋体" w:cs="宋体"/>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2E91E20"/>
    <w:multiLevelType w:val="multilevel"/>
    <w:tmpl w:val="42E91E20"/>
    <w:lvl w:ilvl="0" w:tentative="0">
      <w:start w:val="2"/>
      <w:numFmt w:val="decimal"/>
      <w:lvlText w:val="（%1）"/>
      <w:lvlJc w:val="left"/>
      <w:pPr>
        <w:ind w:left="1192" w:hanging="72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2">
    <w:nsid w:val="7BD02619"/>
    <w:multiLevelType w:val="multilevel"/>
    <w:tmpl w:val="7BD02619"/>
    <w:lvl w:ilvl="0" w:tentative="0">
      <w:start w:val="1"/>
      <w:numFmt w:val="japaneseCounting"/>
      <w:lvlText w:val="%1、"/>
      <w:lvlJc w:val="left"/>
      <w:pPr>
        <w:ind w:left="982"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7840"/>
    <w:rsid w:val="0003771F"/>
    <w:rsid w:val="0004182C"/>
    <w:rsid w:val="00043F7D"/>
    <w:rsid w:val="00055138"/>
    <w:rsid w:val="00056E4F"/>
    <w:rsid w:val="0006272B"/>
    <w:rsid w:val="00072028"/>
    <w:rsid w:val="00077DA9"/>
    <w:rsid w:val="00085146"/>
    <w:rsid w:val="000A0660"/>
    <w:rsid w:val="000B0278"/>
    <w:rsid w:val="000C4242"/>
    <w:rsid w:val="000D223F"/>
    <w:rsid w:val="000E0B97"/>
    <w:rsid w:val="000E7274"/>
    <w:rsid w:val="000F1349"/>
    <w:rsid w:val="000F25B7"/>
    <w:rsid w:val="000F6F5C"/>
    <w:rsid w:val="00116E5E"/>
    <w:rsid w:val="001212FF"/>
    <w:rsid w:val="00143934"/>
    <w:rsid w:val="00152524"/>
    <w:rsid w:val="001617BC"/>
    <w:rsid w:val="00162F3B"/>
    <w:rsid w:val="00172A27"/>
    <w:rsid w:val="0017501E"/>
    <w:rsid w:val="001C15DB"/>
    <w:rsid w:val="001E29BA"/>
    <w:rsid w:val="001F605B"/>
    <w:rsid w:val="00202718"/>
    <w:rsid w:val="00215D21"/>
    <w:rsid w:val="0021767F"/>
    <w:rsid w:val="00223926"/>
    <w:rsid w:val="00225F61"/>
    <w:rsid w:val="002510DD"/>
    <w:rsid w:val="00257BE9"/>
    <w:rsid w:val="0026152F"/>
    <w:rsid w:val="00263EE4"/>
    <w:rsid w:val="00290E28"/>
    <w:rsid w:val="002A1CCA"/>
    <w:rsid w:val="002C595F"/>
    <w:rsid w:val="002D18D7"/>
    <w:rsid w:val="002E101D"/>
    <w:rsid w:val="003021A9"/>
    <w:rsid w:val="0030424A"/>
    <w:rsid w:val="00321155"/>
    <w:rsid w:val="00346FAB"/>
    <w:rsid w:val="00375D6B"/>
    <w:rsid w:val="003913A9"/>
    <w:rsid w:val="003A04F8"/>
    <w:rsid w:val="003A290E"/>
    <w:rsid w:val="003A327E"/>
    <w:rsid w:val="003D480B"/>
    <w:rsid w:val="003D53B6"/>
    <w:rsid w:val="003F3780"/>
    <w:rsid w:val="00416A88"/>
    <w:rsid w:val="00434222"/>
    <w:rsid w:val="004372F4"/>
    <w:rsid w:val="004376D9"/>
    <w:rsid w:val="0044000A"/>
    <w:rsid w:val="00446C2C"/>
    <w:rsid w:val="004732DA"/>
    <w:rsid w:val="0049100D"/>
    <w:rsid w:val="004A3F11"/>
    <w:rsid w:val="004A5B1C"/>
    <w:rsid w:val="004C69FF"/>
    <w:rsid w:val="004E7057"/>
    <w:rsid w:val="00501C69"/>
    <w:rsid w:val="005147F9"/>
    <w:rsid w:val="00520F05"/>
    <w:rsid w:val="00530487"/>
    <w:rsid w:val="00536F35"/>
    <w:rsid w:val="00540D84"/>
    <w:rsid w:val="00541448"/>
    <w:rsid w:val="0055702B"/>
    <w:rsid w:val="00581BAD"/>
    <w:rsid w:val="0058293D"/>
    <w:rsid w:val="005B7B17"/>
    <w:rsid w:val="005C4A1B"/>
    <w:rsid w:val="005C7081"/>
    <w:rsid w:val="005D2FBA"/>
    <w:rsid w:val="005F18EC"/>
    <w:rsid w:val="00630960"/>
    <w:rsid w:val="006447E7"/>
    <w:rsid w:val="00681387"/>
    <w:rsid w:val="006860B3"/>
    <w:rsid w:val="006B6455"/>
    <w:rsid w:val="006D0CBC"/>
    <w:rsid w:val="006D2DBA"/>
    <w:rsid w:val="006F37AB"/>
    <w:rsid w:val="0070414E"/>
    <w:rsid w:val="007058B5"/>
    <w:rsid w:val="007133C5"/>
    <w:rsid w:val="00721E6E"/>
    <w:rsid w:val="007572A6"/>
    <w:rsid w:val="007817A5"/>
    <w:rsid w:val="007838B9"/>
    <w:rsid w:val="007B5091"/>
    <w:rsid w:val="007C44CD"/>
    <w:rsid w:val="007D1B4C"/>
    <w:rsid w:val="007E55E4"/>
    <w:rsid w:val="007F14ED"/>
    <w:rsid w:val="00834865"/>
    <w:rsid w:val="00840439"/>
    <w:rsid w:val="00843B39"/>
    <w:rsid w:val="008A24E7"/>
    <w:rsid w:val="008A58E0"/>
    <w:rsid w:val="008B565F"/>
    <w:rsid w:val="008C1A08"/>
    <w:rsid w:val="008C4484"/>
    <w:rsid w:val="008E7103"/>
    <w:rsid w:val="008F0E83"/>
    <w:rsid w:val="008F531E"/>
    <w:rsid w:val="00903A93"/>
    <w:rsid w:val="009040CA"/>
    <w:rsid w:val="00906ABE"/>
    <w:rsid w:val="009247E0"/>
    <w:rsid w:val="00926C7E"/>
    <w:rsid w:val="00972B3F"/>
    <w:rsid w:val="00990BEB"/>
    <w:rsid w:val="00993BAB"/>
    <w:rsid w:val="009A5169"/>
    <w:rsid w:val="009D4448"/>
    <w:rsid w:val="009D4AAF"/>
    <w:rsid w:val="009E6821"/>
    <w:rsid w:val="009F7533"/>
    <w:rsid w:val="00A37027"/>
    <w:rsid w:val="00A44CBF"/>
    <w:rsid w:val="00A5630D"/>
    <w:rsid w:val="00A747C2"/>
    <w:rsid w:val="00A74C24"/>
    <w:rsid w:val="00A816C5"/>
    <w:rsid w:val="00AC1027"/>
    <w:rsid w:val="00AE459A"/>
    <w:rsid w:val="00AF47A3"/>
    <w:rsid w:val="00B042C6"/>
    <w:rsid w:val="00B242C9"/>
    <w:rsid w:val="00B3421B"/>
    <w:rsid w:val="00B34A77"/>
    <w:rsid w:val="00B36324"/>
    <w:rsid w:val="00B40355"/>
    <w:rsid w:val="00B51A44"/>
    <w:rsid w:val="00BA0C4A"/>
    <w:rsid w:val="00BC308F"/>
    <w:rsid w:val="00BC5EC6"/>
    <w:rsid w:val="00BD0A75"/>
    <w:rsid w:val="00BE1A53"/>
    <w:rsid w:val="00BF23DD"/>
    <w:rsid w:val="00C15476"/>
    <w:rsid w:val="00C5432A"/>
    <w:rsid w:val="00C80112"/>
    <w:rsid w:val="00C9432D"/>
    <w:rsid w:val="00CA08AE"/>
    <w:rsid w:val="00CA46C2"/>
    <w:rsid w:val="00CC5C25"/>
    <w:rsid w:val="00CF2966"/>
    <w:rsid w:val="00D00C49"/>
    <w:rsid w:val="00D1047C"/>
    <w:rsid w:val="00D11EBA"/>
    <w:rsid w:val="00D17A38"/>
    <w:rsid w:val="00D21727"/>
    <w:rsid w:val="00D23AD8"/>
    <w:rsid w:val="00D32668"/>
    <w:rsid w:val="00D33CD6"/>
    <w:rsid w:val="00D44CD2"/>
    <w:rsid w:val="00D574DB"/>
    <w:rsid w:val="00D93669"/>
    <w:rsid w:val="00DB1BC2"/>
    <w:rsid w:val="00DC31C5"/>
    <w:rsid w:val="00DD401D"/>
    <w:rsid w:val="00DD4051"/>
    <w:rsid w:val="00E062E4"/>
    <w:rsid w:val="00E12D88"/>
    <w:rsid w:val="00E244C2"/>
    <w:rsid w:val="00E322EB"/>
    <w:rsid w:val="00E349B7"/>
    <w:rsid w:val="00E35A88"/>
    <w:rsid w:val="00E369A2"/>
    <w:rsid w:val="00E36CD9"/>
    <w:rsid w:val="00E37E8F"/>
    <w:rsid w:val="00E442EB"/>
    <w:rsid w:val="00E47A87"/>
    <w:rsid w:val="00E5721C"/>
    <w:rsid w:val="00E66EA5"/>
    <w:rsid w:val="00E76E9A"/>
    <w:rsid w:val="00E90DB3"/>
    <w:rsid w:val="00E90EFD"/>
    <w:rsid w:val="00EC485D"/>
    <w:rsid w:val="00EF72A9"/>
    <w:rsid w:val="00F00AFD"/>
    <w:rsid w:val="00F03EB6"/>
    <w:rsid w:val="00F050AF"/>
    <w:rsid w:val="00F13F5F"/>
    <w:rsid w:val="00F30CC6"/>
    <w:rsid w:val="00F30E9A"/>
    <w:rsid w:val="00F35E94"/>
    <w:rsid w:val="00F67E26"/>
    <w:rsid w:val="00F739C6"/>
    <w:rsid w:val="00FA2373"/>
    <w:rsid w:val="00FC3C2E"/>
    <w:rsid w:val="00FC54BD"/>
    <w:rsid w:val="00FE06E0"/>
    <w:rsid w:val="00FE66A9"/>
    <w:rsid w:val="00FF0808"/>
    <w:rsid w:val="01C767EC"/>
    <w:rsid w:val="025D3E64"/>
    <w:rsid w:val="031C29AB"/>
    <w:rsid w:val="031C47D3"/>
    <w:rsid w:val="03330CE8"/>
    <w:rsid w:val="03E90BC0"/>
    <w:rsid w:val="04A05DCB"/>
    <w:rsid w:val="04B56037"/>
    <w:rsid w:val="0580255B"/>
    <w:rsid w:val="05D27102"/>
    <w:rsid w:val="095A10C3"/>
    <w:rsid w:val="09BA1926"/>
    <w:rsid w:val="0A387D68"/>
    <w:rsid w:val="0AB16400"/>
    <w:rsid w:val="0B390215"/>
    <w:rsid w:val="0B804C9E"/>
    <w:rsid w:val="0D413609"/>
    <w:rsid w:val="0E173549"/>
    <w:rsid w:val="0E8063BE"/>
    <w:rsid w:val="0F3C0C60"/>
    <w:rsid w:val="0F77617D"/>
    <w:rsid w:val="0FE24264"/>
    <w:rsid w:val="109418C5"/>
    <w:rsid w:val="11810183"/>
    <w:rsid w:val="11887EF3"/>
    <w:rsid w:val="11A03511"/>
    <w:rsid w:val="11D06ECD"/>
    <w:rsid w:val="132235E4"/>
    <w:rsid w:val="141360B7"/>
    <w:rsid w:val="14512D78"/>
    <w:rsid w:val="146D32F7"/>
    <w:rsid w:val="14924E5B"/>
    <w:rsid w:val="149F46BE"/>
    <w:rsid w:val="15051235"/>
    <w:rsid w:val="151C50E7"/>
    <w:rsid w:val="15C2756D"/>
    <w:rsid w:val="165977FF"/>
    <w:rsid w:val="17424BAE"/>
    <w:rsid w:val="17E22CEF"/>
    <w:rsid w:val="18020A48"/>
    <w:rsid w:val="18175500"/>
    <w:rsid w:val="18B81CF7"/>
    <w:rsid w:val="19D5323F"/>
    <w:rsid w:val="1A7341F6"/>
    <w:rsid w:val="1A9B708E"/>
    <w:rsid w:val="1B6D3CD4"/>
    <w:rsid w:val="1B795D1C"/>
    <w:rsid w:val="1E4B74D7"/>
    <w:rsid w:val="1E526001"/>
    <w:rsid w:val="1FE1628D"/>
    <w:rsid w:val="1FFA616D"/>
    <w:rsid w:val="202577EE"/>
    <w:rsid w:val="2083223E"/>
    <w:rsid w:val="210E6DA6"/>
    <w:rsid w:val="213D70C9"/>
    <w:rsid w:val="219364B5"/>
    <w:rsid w:val="22E422FB"/>
    <w:rsid w:val="233A464D"/>
    <w:rsid w:val="23773AA5"/>
    <w:rsid w:val="24E61117"/>
    <w:rsid w:val="24E9376C"/>
    <w:rsid w:val="26854F28"/>
    <w:rsid w:val="269744F5"/>
    <w:rsid w:val="2739773F"/>
    <w:rsid w:val="27822EC9"/>
    <w:rsid w:val="28DB5531"/>
    <w:rsid w:val="298A69FC"/>
    <w:rsid w:val="2B0D1BE7"/>
    <w:rsid w:val="2B272AB6"/>
    <w:rsid w:val="2BDE00E8"/>
    <w:rsid w:val="2CDF69A1"/>
    <w:rsid w:val="2D367496"/>
    <w:rsid w:val="2E0466CB"/>
    <w:rsid w:val="2F084E27"/>
    <w:rsid w:val="2F871B87"/>
    <w:rsid w:val="2F8E17EE"/>
    <w:rsid w:val="3049631E"/>
    <w:rsid w:val="31025E15"/>
    <w:rsid w:val="310F3D19"/>
    <w:rsid w:val="313E3C47"/>
    <w:rsid w:val="33261F97"/>
    <w:rsid w:val="335B0115"/>
    <w:rsid w:val="33830580"/>
    <w:rsid w:val="3498659B"/>
    <w:rsid w:val="34F41F2C"/>
    <w:rsid w:val="350F70EF"/>
    <w:rsid w:val="38964BEE"/>
    <w:rsid w:val="38C90567"/>
    <w:rsid w:val="38CA35FF"/>
    <w:rsid w:val="39501A56"/>
    <w:rsid w:val="39A40F1B"/>
    <w:rsid w:val="39A62BD2"/>
    <w:rsid w:val="3A00075C"/>
    <w:rsid w:val="3AB20D76"/>
    <w:rsid w:val="3B9E173A"/>
    <w:rsid w:val="3CB360FA"/>
    <w:rsid w:val="3D3E4A22"/>
    <w:rsid w:val="3DAF3CC3"/>
    <w:rsid w:val="3DDF46FD"/>
    <w:rsid w:val="3E5121A8"/>
    <w:rsid w:val="3F1232B3"/>
    <w:rsid w:val="3F914C45"/>
    <w:rsid w:val="40FE3E8B"/>
    <w:rsid w:val="410503E4"/>
    <w:rsid w:val="42043FF9"/>
    <w:rsid w:val="427D2D1F"/>
    <w:rsid w:val="428A5532"/>
    <w:rsid w:val="42B15EAB"/>
    <w:rsid w:val="42F03D02"/>
    <w:rsid w:val="437A129C"/>
    <w:rsid w:val="43CC36DF"/>
    <w:rsid w:val="43E66281"/>
    <w:rsid w:val="4402231F"/>
    <w:rsid w:val="44D246FF"/>
    <w:rsid w:val="454E09D9"/>
    <w:rsid w:val="463E205A"/>
    <w:rsid w:val="46E4303D"/>
    <w:rsid w:val="485B586E"/>
    <w:rsid w:val="48D72E3F"/>
    <w:rsid w:val="491759EB"/>
    <w:rsid w:val="49E34727"/>
    <w:rsid w:val="4B035457"/>
    <w:rsid w:val="4E1E06E7"/>
    <w:rsid w:val="4EFC5D88"/>
    <w:rsid w:val="52412DBF"/>
    <w:rsid w:val="53321661"/>
    <w:rsid w:val="534126D5"/>
    <w:rsid w:val="53AB2A77"/>
    <w:rsid w:val="54714AD0"/>
    <w:rsid w:val="548419D0"/>
    <w:rsid w:val="557F6F1E"/>
    <w:rsid w:val="558B6B9C"/>
    <w:rsid w:val="563629B4"/>
    <w:rsid w:val="56773862"/>
    <w:rsid w:val="57380828"/>
    <w:rsid w:val="579D1137"/>
    <w:rsid w:val="5A8B318B"/>
    <w:rsid w:val="5AB6155F"/>
    <w:rsid w:val="5AD05A3F"/>
    <w:rsid w:val="5CFC6504"/>
    <w:rsid w:val="5D2A1A3C"/>
    <w:rsid w:val="5DBB344F"/>
    <w:rsid w:val="5EE7371B"/>
    <w:rsid w:val="5EFA57FC"/>
    <w:rsid w:val="5F6C7350"/>
    <w:rsid w:val="61586E50"/>
    <w:rsid w:val="62041BE8"/>
    <w:rsid w:val="63C447AB"/>
    <w:rsid w:val="63D61167"/>
    <w:rsid w:val="642A06D6"/>
    <w:rsid w:val="64CF53D3"/>
    <w:rsid w:val="64F01AD0"/>
    <w:rsid w:val="651171DD"/>
    <w:rsid w:val="66544C4E"/>
    <w:rsid w:val="66886B03"/>
    <w:rsid w:val="685F5232"/>
    <w:rsid w:val="68744082"/>
    <w:rsid w:val="697F07B2"/>
    <w:rsid w:val="6BD5681A"/>
    <w:rsid w:val="6BEA3859"/>
    <w:rsid w:val="6C806761"/>
    <w:rsid w:val="6C905844"/>
    <w:rsid w:val="6DB43269"/>
    <w:rsid w:val="6E166A23"/>
    <w:rsid w:val="6EA6719B"/>
    <w:rsid w:val="6EC2352C"/>
    <w:rsid w:val="6EF0727A"/>
    <w:rsid w:val="6F151E74"/>
    <w:rsid w:val="6F182F49"/>
    <w:rsid w:val="6FC60110"/>
    <w:rsid w:val="70AB09AE"/>
    <w:rsid w:val="71AC6100"/>
    <w:rsid w:val="743007D4"/>
    <w:rsid w:val="74CB5C23"/>
    <w:rsid w:val="752A5E0C"/>
    <w:rsid w:val="75AC150E"/>
    <w:rsid w:val="75D85744"/>
    <w:rsid w:val="75DF4C62"/>
    <w:rsid w:val="76F27BB2"/>
    <w:rsid w:val="77DC6CFF"/>
    <w:rsid w:val="78191A61"/>
    <w:rsid w:val="781E583F"/>
    <w:rsid w:val="78264C06"/>
    <w:rsid w:val="785F5A52"/>
    <w:rsid w:val="787569AC"/>
    <w:rsid w:val="7948428D"/>
    <w:rsid w:val="79715DC4"/>
    <w:rsid w:val="79CF5664"/>
    <w:rsid w:val="7A074729"/>
    <w:rsid w:val="7A3865BE"/>
    <w:rsid w:val="7A3B2518"/>
    <w:rsid w:val="7A756989"/>
    <w:rsid w:val="7AF710C1"/>
    <w:rsid w:val="7B807318"/>
    <w:rsid w:val="7B9A43A5"/>
    <w:rsid w:val="7BD6271F"/>
    <w:rsid w:val="7CF6794E"/>
    <w:rsid w:val="7D2A3903"/>
    <w:rsid w:val="7E622382"/>
    <w:rsid w:val="7F0A7354"/>
    <w:rsid w:val="7F405D4A"/>
    <w:rsid w:val="7F407104"/>
    <w:rsid w:val="7F6B3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link w:val="21"/>
    <w:qFormat/>
    <w:uiPriority w:val="0"/>
    <w:pPr>
      <w:keepNext/>
      <w:keepLines/>
      <w:adjustRightInd w:val="0"/>
      <w:spacing w:before="340" w:after="330" w:line="578" w:lineRule="atLeast"/>
      <w:jc w:val="center"/>
      <w:textAlignment w:val="baseline"/>
      <w:outlineLvl w:val="0"/>
    </w:pPr>
    <w:rPr>
      <w:rFonts w:eastAsia="黑体"/>
      <w:b/>
      <w:kern w:val="44"/>
      <w:sz w:val="44"/>
    </w:rPr>
  </w:style>
  <w:style w:type="paragraph" w:styleId="4">
    <w:name w:val="heading 2"/>
    <w:basedOn w:val="1"/>
    <w:next w:val="1"/>
    <w:link w:val="23"/>
    <w:qFormat/>
    <w:uiPriority w:val="0"/>
    <w:pPr>
      <w:keepNext/>
      <w:keepLines/>
      <w:adjustRightInd w:val="0"/>
      <w:spacing w:before="260" w:after="260" w:line="416" w:lineRule="atLeast"/>
      <w:jc w:val="center"/>
      <w:textAlignment w:val="baseline"/>
      <w:outlineLvl w:val="1"/>
    </w:pPr>
    <w:rPr>
      <w:rFonts w:ascii="黑体" w:hAnsi="黑体" w:eastAsia="黑体"/>
      <w:kern w:val="0"/>
      <w:sz w:val="36"/>
    </w:rPr>
  </w:style>
  <w:style w:type="paragraph" w:styleId="5">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6">
    <w:name w:val="Body Text"/>
    <w:basedOn w:val="1"/>
    <w:qFormat/>
    <w:uiPriority w:val="0"/>
    <w:pPr>
      <w:spacing w:line="360" w:lineRule="auto"/>
    </w:pPr>
    <w:rPr>
      <w:kern w:val="0"/>
      <w:sz w:val="20"/>
    </w:rPr>
  </w:style>
  <w:style w:type="paragraph" w:styleId="7">
    <w:name w:val="Body Text Indent"/>
    <w:basedOn w:val="1"/>
    <w:qFormat/>
    <w:uiPriority w:val="0"/>
    <w:pPr>
      <w:spacing w:line="360" w:lineRule="auto"/>
      <w:ind w:left="540" w:leftChars="257" w:firstLine="360" w:firstLineChars="150"/>
    </w:pPr>
    <w:rPr>
      <w:kern w:val="0"/>
      <w:sz w:val="20"/>
    </w:rPr>
  </w:style>
  <w:style w:type="paragraph" w:styleId="8">
    <w:name w:val="Plain Text"/>
    <w:basedOn w:val="1"/>
    <w:qFormat/>
    <w:uiPriority w:val="0"/>
    <w:pPr>
      <w:adjustRightInd w:val="0"/>
      <w:spacing w:line="312" w:lineRule="atLeast"/>
      <w:textAlignment w:val="baseline"/>
    </w:pPr>
    <w:rPr>
      <w:rFonts w:ascii="宋体" w:hAnsi="Courier New"/>
      <w:kern w:val="0"/>
      <w:sz w:val="20"/>
    </w:rPr>
  </w:style>
  <w:style w:type="paragraph" w:styleId="9">
    <w:name w:val="Balloon Text"/>
    <w:basedOn w:val="1"/>
    <w:link w:val="26"/>
    <w:qFormat/>
    <w:uiPriority w:val="0"/>
    <w:rPr>
      <w:sz w:val="18"/>
      <w:szCs w:val="18"/>
    </w:rPr>
  </w:style>
  <w:style w:type="paragraph" w:styleId="10">
    <w:name w:val="footer"/>
    <w:basedOn w:val="1"/>
    <w:qFormat/>
    <w:uiPriority w:val="0"/>
    <w:pPr>
      <w:tabs>
        <w:tab w:val="center" w:pos="4153"/>
        <w:tab w:val="right" w:pos="8306"/>
      </w:tabs>
      <w:adjustRightInd w:val="0"/>
      <w:spacing w:line="240" w:lineRule="atLeast"/>
      <w:jc w:val="left"/>
      <w:textAlignment w:val="baseline"/>
    </w:pPr>
    <w:rPr>
      <w:kern w:val="0"/>
      <w:sz w:val="18"/>
    </w:rPr>
  </w:style>
  <w:style w:type="paragraph" w:styleId="11">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styleId="12">
    <w:name w:val="toc 1"/>
    <w:basedOn w:val="1"/>
    <w:next w:val="1"/>
    <w:qFormat/>
    <w:uiPriority w:val="39"/>
    <w:pPr>
      <w:snapToGrid w:val="0"/>
      <w:spacing w:line="520" w:lineRule="exact"/>
      <w:ind w:firstLine="200" w:firstLineChars="200"/>
    </w:pPr>
    <w:rPr>
      <w:rFonts w:eastAsia="黑体"/>
      <w:color w:val="000000"/>
      <w:szCs w:val="24"/>
    </w:rPr>
  </w:style>
  <w:style w:type="paragraph" w:styleId="13">
    <w:name w:val="toc 2"/>
    <w:basedOn w:val="1"/>
    <w:next w:val="1"/>
    <w:qFormat/>
    <w:uiPriority w:val="39"/>
    <w:pPr>
      <w:snapToGrid w:val="0"/>
      <w:spacing w:line="480" w:lineRule="exact"/>
      <w:ind w:firstLine="300" w:firstLineChars="300"/>
    </w:pPr>
    <w:rPr>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Hyperlink"/>
    <w:basedOn w:val="16"/>
    <w:unhideWhenUsed/>
    <w:qFormat/>
    <w:uiPriority w:val="99"/>
    <w:rPr>
      <w:color w:val="0563C1" w:themeColor="hyperlink"/>
      <w:u w:val="single"/>
      <w14:textFill>
        <w14:solidFill>
          <w14:schemeClr w14:val="hlink"/>
        </w14:solidFill>
      </w14:textFill>
    </w:rPr>
  </w:style>
  <w:style w:type="paragraph" w:customStyle="1" w:styleId="19">
    <w:name w:val="WPSOffice手动目录 1"/>
    <w:qFormat/>
    <w:uiPriority w:val="0"/>
    <w:rPr>
      <w:rFonts w:ascii="Times New Roman" w:hAnsi="Times New Roman" w:eastAsia="宋体" w:cs="Times New Roman"/>
      <w:lang w:val="en-US" w:eastAsia="zh-CN" w:bidi="ar-SA"/>
    </w:rPr>
  </w:style>
  <w:style w:type="paragraph" w:customStyle="1" w:styleId="20">
    <w:name w:val="列出段落1"/>
    <w:basedOn w:val="1"/>
    <w:qFormat/>
    <w:uiPriority w:val="0"/>
    <w:pPr>
      <w:ind w:firstLine="420" w:firstLineChars="200"/>
    </w:pPr>
  </w:style>
  <w:style w:type="character" w:customStyle="1" w:styleId="21">
    <w:name w:val="标题 1 Char"/>
    <w:link w:val="3"/>
    <w:qFormat/>
    <w:uiPriority w:val="0"/>
    <w:rPr>
      <w:rFonts w:ascii="Times New Roman" w:hAnsi="Times New Roman" w:eastAsia="黑体"/>
      <w:b/>
      <w:kern w:val="44"/>
      <w:sz w:val="44"/>
    </w:rPr>
  </w:style>
  <w:style w:type="paragraph" w:customStyle="1" w:styleId="22">
    <w:name w:val="彩色列表 - 着色 11"/>
    <w:basedOn w:val="1"/>
    <w:qFormat/>
    <w:uiPriority w:val="99"/>
    <w:pPr>
      <w:ind w:firstLine="420" w:firstLineChars="200"/>
    </w:pPr>
  </w:style>
  <w:style w:type="character" w:customStyle="1" w:styleId="23">
    <w:name w:val="标题 2 Char"/>
    <w:link w:val="4"/>
    <w:qFormat/>
    <w:uiPriority w:val="0"/>
    <w:rPr>
      <w:rFonts w:ascii="黑体" w:hAnsi="黑体" w:eastAsia="黑体"/>
      <w:kern w:val="0"/>
      <w:sz w:val="36"/>
    </w:rPr>
  </w:style>
  <w:style w:type="paragraph" w:customStyle="1" w:styleId="2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5">
    <w:name w:val="页眉 Char1"/>
    <w:qFormat/>
    <w:uiPriority w:val="0"/>
    <w:rPr>
      <w:rFonts w:ascii="Times New Roman" w:hAnsi="Times New Roman" w:eastAsia="宋体" w:cs="Times New Roman"/>
      <w:kern w:val="2"/>
      <w:sz w:val="18"/>
      <w:szCs w:val="18"/>
      <w:lang w:val="en-US" w:eastAsia="zh-CN" w:bidi="ar-SA"/>
    </w:rPr>
  </w:style>
  <w:style w:type="character" w:customStyle="1" w:styleId="26">
    <w:name w:val="批注框文本 Char"/>
    <w:basedOn w:val="16"/>
    <w:link w:val="9"/>
    <w:qFormat/>
    <w:uiPriority w:val="0"/>
    <w:rPr>
      <w:kern w:val="2"/>
      <w:sz w:val="18"/>
      <w:szCs w:val="18"/>
    </w:rPr>
  </w:style>
  <w:style w:type="paragraph" w:customStyle="1" w:styleId="27">
    <w:name w:val="修订1"/>
    <w:hidden/>
    <w:semiHidden/>
    <w:qFormat/>
    <w:uiPriority w:val="99"/>
    <w:rPr>
      <w:rFonts w:ascii="Times New Roman" w:hAnsi="Times New Roman" w:eastAsia="宋体" w:cs="Times New Roman"/>
      <w:kern w:val="2"/>
      <w:sz w:val="24"/>
      <w:lang w:val="en-US" w:eastAsia="zh-CN" w:bidi="ar-SA"/>
    </w:rPr>
  </w:style>
  <w:style w:type="paragraph" w:styleId="2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footer" Target="footer6.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E57CE1-45CD-437F-AB9D-A0BC40796E4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74</Pages>
  <Words>15438</Words>
  <Characters>18217</Characters>
  <Lines>2602</Lines>
  <Paragraphs>2403</Paragraphs>
  <TotalTime>2</TotalTime>
  <ScaleCrop>false</ScaleCrop>
  <LinksUpToDate>false</LinksUpToDate>
  <CharactersWithSpaces>31252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2022-03-11T09:57:00Z</dcterms:created>
  <dc:creator>陈科行</dc:creator>
  <cp:lastModifiedBy>牟子贤</cp:lastModifiedBy>
  <cp:lastPrinted>2022-03-07T19:38:00Z</cp:lastPrinted>
  <dcterms:modified xsi:type="dcterms:W3CDTF">2022-04-27T01:39:34Z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