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深铁置业2022年度拟销售项目</w:t>
      </w: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展示区开放系列活动、现场包装及宣传推广服务</w:t>
      </w:r>
    </w:p>
    <w:p>
      <w:pPr>
        <w:pStyle w:val="2"/>
        <w:ind w:firstLine="400"/>
      </w:pPr>
    </w:p>
    <w:p>
      <w:pPr>
        <w:spacing w:line="480" w:lineRule="atLeast"/>
        <w:jc w:val="center"/>
        <w:rPr>
          <w:rFonts w:ascii="宋体" w:hAnsi="宋体"/>
          <w:b/>
          <w:bCs/>
          <w:color w:val="0D0D0D" w:themeColor="text1" w:themeTint="F2"/>
          <w:spacing w:val="36"/>
          <w:kern w:val="10"/>
          <w:sz w:val="84"/>
          <w:szCs w:val="8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84"/>
          <w:szCs w:val="84"/>
          <w14:textFill>
            <w14:solidFill>
              <w14:schemeClr w14:val="tx1">
                <w14:lumMod w14:val="95000"/>
                <w14:lumOff w14:val="5000"/>
              </w14:schemeClr>
            </w14:solidFill>
          </w14:textFill>
        </w:rPr>
        <w:t>比选文件</w:t>
      </w: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4"/>
        <w:snapToGrid w:val="0"/>
        <w:spacing w:line="480" w:lineRule="atLeast"/>
        <w:ind w:firstLine="1259" w:firstLineChars="273"/>
        <w:rPr>
          <w:rFonts w:hAnsi="宋体"/>
          <w:b/>
          <w:bCs/>
          <w:color w:val="0D0D0D" w:themeColor="text1" w:themeTint="F2"/>
          <w:sz w:val="32"/>
          <w:szCs w:val="32"/>
          <w14:textFill>
            <w14:solidFill>
              <w14:schemeClr w14:val="tx1">
                <w14:lumMod w14:val="95000"/>
                <w14:lumOff w14:val="5000"/>
              </w14:schemeClr>
            </w14:solidFill>
          </w14:textFill>
        </w:rPr>
      </w:pPr>
      <w:r>
        <w:rPr>
          <w:rFonts w:hint="eastAsia" w:hAnsi="宋体"/>
          <w:b/>
          <w:bCs/>
          <w:color w:val="0D0D0D" w:themeColor="text1" w:themeTint="F2"/>
          <w:spacing w:val="70"/>
          <w:sz w:val="32"/>
          <w:szCs w:val="32"/>
          <w14:textFill>
            <w14:solidFill>
              <w14:schemeClr w14:val="tx1">
                <w14:lumMod w14:val="95000"/>
                <w14:lumOff w14:val="5000"/>
              </w14:schemeClr>
            </w14:solidFill>
          </w14:textFill>
        </w:rPr>
        <w:t>比选人：</w:t>
      </w:r>
      <w:r>
        <w:rPr>
          <w:rFonts w:hint="eastAsia" w:hAnsi="宋体"/>
          <w:b/>
          <w:bCs/>
          <w:color w:val="0D0D0D" w:themeColor="text1" w:themeTint="F2"/>
          <w:spacing w:val="70"/>
          <w:sz w:val="32"/>
          <w:szCs w:val="32"/>
          <w:u w:val="single"/>
          <w14:textFill>
            <w14:solidFill>
              <w14:schemeClr w14:val="tx1">
                <w14:lumMod w14:val="95000"/>
                <w14:lumOff w14:val="5000"/>
              </w14:schemeClr>
            </w14:solidFill>
          </w14:textFill>
        </w:rPr>
        <w:t xml:space="preserve"> </w:t>
      </w:r>
      <w:bookmarkStart w:id="0" w:name="_Hlk72914893"/>
      <w:r>
        <w:rPr>
          <w:rFonts w:hint="eastAsia" w:hAnsi="宋体"/>
          <w:b/>
          <w:bCs/>
          <w:color w:val="0D0D0D" w:themeColor="text1" w:themeTint="F2"/>
          <w:sz w:val="32"/>
          <w:szCs w:val="32"/>
          <w:u w:val="single"/>
          <w14:textFill>
            <w14:solidFill>
              <w14:schemeClr w14:val="tx1">
                <w14:lumMod w14:val="95000"/>
                <w14:lumOff w14:val="5000"/>
              </w14:schemeClr>
            </w14:solidFill>
          </w14:textFill>
        </w:rPr>
        <w:t>深圳市地铁集团有限公司</w:t>
      </w:r>
      <w:bookmarkEnd w:id="0"/>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p>
    <w:p>
      <w:pPr>
        <w:pStyle w:val="24"/>
        <w:snapToGrid w:val="0"/>
        <w:spacing w:line="480" w:lineRule="atLeast"/>
        <w:ind w:firstLine="1259" w:firstLineChars="392"/>
        <w:rPr>
          <w:rFonts w:hAnsi="宋体"/>
          <w:b/>
          <w:bCs/>
          <w:color w:val="0D0D0D" w:themeColor="text1" w:themeTint="F2"/>
          <w:sz w:val="32"/>
          <w:szCs w:val="32"/>
          <w:u w:val="single"/>
          <w14:textFill>
            <w14:solidFill>
              <w14:schemeClr w14:val="tx1">
                <w14:lumMod w14:val="95000"/>
                <w14:lumOff w14:val="5000"/>
              </w14:schemeClr>
            </w14:solidFill>
          </w14:textFill>
        </w:rPr>
      </w:pPr>
      <w:r>
        <w:rPr>
          <w:rFonts w:hint="eastAsia" w:hAnsi="宋体"/>
          <w:b/>
          <w:bCs/>
          <w:color w:val="0D0D0D" w:themeColor="text1" w:themeTint="F2"/>
          <w:sz w:val="32"/>
          <w:szCs w:val="32"/>
          <w14:textFill>
            <w14:solidFill>
              <w14:schemeClr w14:val="tx1">
                <w14:lumMod w14:val="95000"/>
                <w14:lumOff w14:val="5000"/>
              </w14:schemeClr>
            </w14:solidFill>
          </w14:textFill>
        </w:rPr>
        <w:t>法定代表人：</w:t>
      </w:r>
      <w:bookmarkStart w:id="1" w:name="法定代表人或其委托代理人封面"/>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Ansi="宋体"/>
          <w:b/>
          <w:bCs/>
          <w:color w:val="0D0D0D" w:themeColor="text1" w:themeTint="F2"/>
          <w:sz w:val="32"/>
          <w:szCs w:val="32"/>
          <w:u w:val="single"/>
          <w14:textFill>
            <w14:solidFill>
              <w14:schemeClr w14:val="tx1">
                <w14:lumMod w14:val="95000"/>
                <w14:lumOff w14:val="5000"/>
              </w14:schemeClr>
            </w14:solidFill>
          </w14:textFill>
        </w:rPr>
        <w:t xml:space="preserve">        </w:t>
      </w:r>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辛杰           </w:t>
      </w:r>
    </w:p>
    <w:p>
      <w:pPr>
        <w:spacing w:line="480" w:lineRule="atLeast"/>
        <w:jc w:val="center"/>
        <w:rPr>
          <w:rFonts w:ascii="宋体" w:hAnsi="宋体"/>
          <w:b/>
          <w:bCs/>
          <w:color w:val="0D0D0D" w:themeColor="text1" w:themeTint="F2"/>
          <w:sz w:val="32"/>
          <w:szCs w:val="32"/>
          <w14:textFill>
            <w14:solidFill>
              <w14:schemeClr w14:val="tx1">
                <w14:lumMod w14:val="95000"/>
                <w14:lumOff w14:val="5000"/>
              </w14:schemeClr>
            </w14:solidFill>
          </w14:textFill>
        </w:rPr>
      </w:pP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r>
        <w:rPr>
          <w:rFonts w:hint="eastAsia" w:ascii="宋体" w:hAnsi="宋体"/>
          <w:b/>
          <w:bCs/>
          <w:color w:val="0D0D0D" w:themeColor="text1" w:themeTint="F2"/>
          <w:sz w:val="32"/>
          <w:szCs w:val="32"/>
          <w14:textFill>
            <w14:solidFill>
              <w14:schemeClr w14:val="tx1">
                <w14:lumMod w14:val="95000"/>
                <w14:lumOff w14:val="5000"/>
              </w14:schemeClr>
            </w14:solidFill>
          </w14:textFill>
        </w:rPr>
        <w:t>二〇二二年三月</w:t>
      </w:r>
      <w:r>
        <w:rPr>
          <w:rFonts w:ascii="宋体" w:hAnsi="宋体"/>
          <w:b/>
          <w:color w:val="0D0D0D" w:themeColor="text1" w:themeTint="F2"/>
          <w:sz w:val="36"/>
          <w14:textFill>
            <w14:solidFill>
              <w14:schemeClr w14:val="tx1">
                <w14:lumMod w14:val="95000"/>
                <w14:lumOff w14:val="5000"/>
              </w14:schemeClr>
            </w14:solidFill>
          </w14:textFill>
        </w:rPr>
        <w:br w:type="page"/>
      </w:r>
      <w:r>
        <w:rPr>
          <w:rFonts w:hint="eastAsia" w:ascii="宋体" w:hAnsi="宋体"/>
          <w:b/>
          <w:color w:val="0D0D0D" w:themeColor="text1" w:themeTint="F2"/>
          <w:sz w:val="36"/>
          <w14:textFill>
            <w14:solidFill>
              <w14:schemeClr w14:val="tx1">
                <w14:lumMod w14:val="95000"/>
                <w14:lumOff w14:val="5000"/>
              </w14:schemeClr>
            </w14:solidFill>
          </w14:textFill>
        </w:rPr>
        <w:t>目录</w:t>
      </w:r>
      <w:bookmarkStart w:id="2" w:name="_Toc188623169"/>
      <w:bookmarkStart w:id="3" w:name="_Toc389620163"/>
      <w:bookmarkStart w:id="4" w:name="_Toc385992323"/>
      <w:bookmarkStart w:id="5" w:name="_Toc497549383"/>
    </w:p>
    <w:p>
      <w:pPr>
        <w:pStyle w:val="32"/>
        <w:tabs>
          <w:tab w:val="right" w:leader="dot" w:pos="9323"/>
        </w:tabs>
        <w:ind w:firstLine="560"/>
        <w:rPr>
          <w:rFonts w:asciiTheme="minorHAnsi" w:hAnsiTheme="minorHAnsi" w:eastAsiaTheme="minorEastAsia" w:cstheme="minorBidi"/>
          <w:color w:val="auto"/>
          <w:sz w:val="21"/>
          <w:szCs w:val="22"/>
        </w:rPr>
      </w:pP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begin"/>
      </w:r>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TOC \o "1-3</w:instrText>
      </w:r>
      <w:bookmarkEnd w:id="1"/>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\h \z \u </w:instrText>
      </w: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separate"/>
      </w:r>
      <w:r>
        <w:fldChar w:fldCharType="begin"/>
      </w:r>
      <w:r>
        <w:instrText xml:space="preserve"> HYPERLINK \l "_Toc98264002" </w:instrText>
      </w:r>
      <w:r>
        <w:fldChar w:fldCharType="separate"/>
      </w:r>
      <w:r>
        <w:rPr>
          <w:rStyle w:val="53"/>
          <w:rFonts w:ascii="宋体" w:hAnsi="宋体"/>
        </w:rPr>
        <w:t>致参选人</w:t>
      </w:r>
      <w:r>
        <w:tab/>
      </w:r>
      <w:r>
        <w:fldChar w:fldCharType="begin"/>
      </w:r>
      <w:r>
        <w:instrText xml:space="preserve"> PAGEREF _Toc98264002 \h </w:instrText>
      </w:r>
      <w:r>
        <w:fldChar w:fldCharType="separate"/>
      </w:r>
      <w:r>
        <w:t>4</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"_Toc98264003" </w:instrText>
      </w:r>
      <w:r>
        <w:fldChar w:fldCharType="separate"/>
      </w:r>
      <w:r>
        <w:rPr>
          <w:rStyle w:val="53"/>
          <w:rFonts w:ascii="宋体" w:hAnsi="宋体"/>
        </w:rPr>
        <w:t>参选文件无效和废标的情形摘要</w:t>
      </w:r>
      <w:r>
        <w:tab/>
      </w:r>
      <w:r>
        <w:fldChar w:fldCharType="begin"/>
      </w:r>
      <w:r>
        <w:instrText xml:space="preserve"> PAGEREF _Toc98264003 \h </w:instrText>
      </w:r>
      <w:r>
        <w:fldChar w:fldCharType="separate"/>
      </w:r>
      <w:r>
        <w:t>5</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"_Toc98264004" </w:instrText>
      </w:r>
      <w:r>
        <w:fldChar w:fldCharType="separate"/>
      </w:r>
      <w:r>
        <w:rPr>
          <w:rStyle w:val="53"/>
          <w:rFonts w:ascii="宋体" w:hAnsi="宋体"/>
        </w:rPr>
        <w:t>比选公告</w:t>
      </w:r>
      <w:r>
        <w:tab/>
      </w:r>
      <w:r>
        <w:fldChar w:fldCharType="begin"/>
      </w:r>
      <w:r>
        <w:instrText xml:space="preserve"> PAGEREF _Toc98264004 \h </w:instrText>
      </w:r>
      <w:r>
        <w:fldChar w:fldCharType="separate"/>
      </w:r>
      <w:r>
        <w:t>7</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"_Toc98264005" </w:instrText>
      </w:r>
      <w:r>
        <w:fldChar w:fldCharType="separate"/>
      </w:r>
      <w:r>
        <w:rPr>
          <w:rStyle w:val="53"/>
          <w:rFonts w:ascii="宋体" w:hAnsi="宋体"/>
        </w:rPr>
        <w:t>比选须知</w:t>
      </w:r>
      <w:r>
        <w:tab/>
      </w:r>
      <w:r>
        <w:fldChar w:fldCharType="begin"/>
      </w:r>
      <w:r>
        <w:instrText xml:space="preserve"> PAGEREF _Toc98264005 \h </w:instrText>
      </w:r>
      <w:r>
        <w:fldChar w:fldCharType="separate"/>
      </w:r>
      <w:r>
        <w:t>12</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"_Toc98264006" </w:instrText>
      </w:r>
      <w:r>
        <w:fldChar w:fldCharType="separate"/>
      </w:r>
      <w:r>
        <w:rPr>
          <w:rStyle w:val="53"/>
          <w:rFonts w:ascii="宋体" w:hAnsi="宋体"/>
          <w:b/>
          <w:bCs/>
        </w:rPr>
        <w:t>第一章 总则</w:t>
      </w:r>
      <w:r>
        <w:tab/>
      </w:r>
      <w:r>
        <w:fldChar w:fldCharType="begin"/>
      </w:r>
      <w:r>
        <w:instrText xml:space="preserve"> PAGEREF _Toc98264006 \h </w:instrText>
      </w:r>
      <w:r>
        <w:fldChar w:fldCharType="separate"/>
      </w:r>
      <w:r>
        <w:t>12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"_Toc98264007" </w:instrText>
      </w:r>
      <w:r>
        <w:fldChar w:fldCharType="separate"/>
      </w:r>
      <w:r>
        <w:rPr>
          <w:rStyle w:val="53"/>
          <w:rFonts w:ascii="宋体" w:hAnsi="宋体"/>
          <w:bCs/>
        </w:rPr>
        <w:t>一、项目概况</w:t>
      </w:r>
      <w:r>
        <w:tab/>
      </w:r>
      <w:r>
        <w:fldChar w:fldCharType="begin"/>
      </w:r>
      <w:r>
        <w:instrText xml:space="preserve"> PAGEREF _Toc98264007 \h </w:instrText>
      </w:r>
      <w:r>
        <w:fldChar w:fldCharType="separate"/>
      </w:r>
      <w:r>
        <w:t>12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"_Toc98264008" </w:instrText>
      </w:r>
      <w:r>
        <w:fldChar w:fldCharType="separate"/>
      </w:r>
      <w:r>
        <w:rPr>
          <w:rStyle w:val="53"/>
          <w:rFonts w:ascii="宋体" w:hAnsi="宋体"/>
          <w:bCs/>
        </w:rPr>
        <w:t>二、服务内容</w:t>
      </w:r>
      <w:r>
        <w:tab/>
      </w:r>
      <w:r>
        <w:fldChar w:fldCharType="begin"/>
      </w:r>
      <w:r>
        <w:instrText xml:space="preserve"> PAGEREF _Toc98264008 \h </w:instrText>
      </w:r>
      <w:r>
        <w:fldChar w:fldCharType="separate"/>
      </w:r>
      <w:r>
        <w:t>13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"_Toc98264009" </w:instrText>
      </w:r>
      <w:r>
        <w:fldChar w:fldCharType="separate"/>
      </w:r>
      <w:r>
        <w:rPr>
          <w:rStyle w:val="53"/>
          <w:rFonts w:ascii="宋体" w:hAnsi="宋体"/>
          <w:bCs/>
        </w:rPr>
        <w:t>二、工作方式及服务期限</w:t>
      </w:r>
      <w:r>
        <w:tab/>
      </w:r>
      <w:r>
        <w:fldChar w:fldCharType="begin"/>
      </w:r>
      <w:r>
        <w:instrText xml:space="preserve"> PAGEREF _Toc98264009 \h </w:instrText>
      </w:r>
      <w:r>
        <w:fldChar w:fldCharType="separate"/>
      </w:r>
      <w:r>
        <w:t>14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"_Toc98264010" </w:instrText>
      </w:r>
      <w:r>
        <w:fldChar w:fldCharType="separate"/>
      </w:r>
      <w:r>
        <w:rPr>
          <w:rStyle w:val="53"/>
          <w:rFonts w:ascii="宋体" w:hAnsi="宋体"/>
          <w:bCs/>
        </w:rPr>
        <w:t>三、参选人资格条件</w:t>
      </w:r>
      <w:r>
        <w:tab/>
      </w:r>
      <w:r>
        <w:fldChar w:fldCharType="begin"/>
      </w:r>
      <w:r>
        <w:instrText xml:space="preserve"> PAGEREF _Toc98264010 \h </w:instrText>
      </w:r>
      <w:r>
        <w:fldChar w:fldCharType="separate"/>
      </w:r>
      <w:r>
        <w:t>15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"_Toc98264011" </w:instrText>
      </w:r>
      <w:r>
        <w:fldChar w:fldCharType="separate"/>
      </w:r>
      <w:r>
        <w:rPr>
          <w:rStyle w:val="53"/>
          <w:rFonts w:ascii="宋体" w:hAnsi="宋体"/>
          <w:bCs/>
        </w:rPr>
        <w:t>四、比选的时间安排</w:t>
      </w:r>
      <w:r>
        <w:tab/>
      </w:r>
      <w:r>
        <w:fldChar w:fldCharType="begin"/>
      </w:r>
      <w:r>
        <w:instrText xml:space="preserve"> PAGEREF _Toc98264011 \h </w:instrText>
      </w:r>
      <w:r>
        <w:fldChar w:fldCharType="separate"/>
      </w:r>
      <w:r>
        <w:t>15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"_Toc98264012" </w:instrText>
      </w:r>
      <w:r>
        <w:fldChar w:fldCharType="separate"/>
      </w:r>
      <w:r>
        <w:rPr>
          <w:rStyle w:val="53"/>
          <w:rFonts w:ascii="宋体" w:hAnsi="宋体"/>
          <w:bCs/>
        </w:rPr>
        <w:t>五、参选费用</w:t>
      </w:r>
      <w:r>
        <w:tab/>
      </w:r>
      <w:r>
        <w:fldChar w:fldCharType="begin"/>
      </w:r>
      <w:r>
        <w:instrText xml:space="preserve"> PAGEREF _Toc98264012 \h </w:instrText>
      </w:r>
      <w:r>
        <w:fldChar w:fldCharType="separate"/>
      </w:r>
      <w:r>
        <w:t>15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"_Toc98264013" </w:instrText>
      </w:r>
      <w:r>
        <w:fldChar w:fldCharType="separate"/>
      </w:r>
      <w:r>
        <w:rPr>
          <w:rStyle w:val="53"/>
          <w:rFonts w:ascii="宋体" w:hAnsi="宋体"/>
          <w:bCs/>
        </w:rPr>
        <w:t>六、参选报价限价</w:t>
      </w:r>
      <w:r>
        <w:tab/>
      </w:r>
      <w:r>
        <w:fldChar w:fldCharType="begin"/>
      </w:r>
      <w:r>
        <w:instrText xml:space="preserve"> PAGEREF _Toc98264013 \h </w:instrText>
      </w:r>
      <w:r>
        <w:fldChar w:fldCharType="separate"/>
      </w:r>
      <w:r>
        <w:t>16</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"_Toc98264014" </w:instrText>
      </w:r>
      <w:r>
        <w:fldChar w:fldCharType="separate"/>
      </w:r>
      <w:r>
        <w:rPr>
          <w:rStyle w:val="53"/>
          <w:rFonts w:ascii="宋体" w:hAnsi="宋体"/>
          <w:b/>
          <w:bCs/>
        </w:rPr>
        <w:t>第二章 比选文件</w:t>
      </w:r>
      <w:r>
        <w:tab/>
      </w:r>
      <w:r>
        <w:fldChar w:fldCharType="begin"/>
      </w:r>
      <w:r>
        <w:instrText xml:space="preserve"> PAGEREF _Toc98264014 \h </w:instrText>
      </w:r>
      <w:r>
        <w:fldChar w:fldCharType="separate"/>
      </w:r>
      <w:r>
        <w:t>17</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"_Toc98264015" </w:instrText>
      </w:r>
      <w:r>
        <w:fldChar w:fldCharType="separate"/>
      </w:r>
      <w:r>
        <w:rPr>
          <w:rStyle w:val="53"/>
          <w:rFonts w:ascii="宋体" w:hAnsi="宋体"/>
          <w:bCs/>
        </w:rPr>
        <w:t>一、比选文件的构成</w:t>
      </w:r>
      <w:r>
        <w:tab/>
      </w:r>
      <w:r>
        <w:fldChar w:fldCharType="begin"/>
      </w:r>
      <w:r>
        <w:instrText xml:space="preserve"> PAGEREF _Toc98264015 \h </w:instrText>
      </w:r>
      <w:r>
        <w:fldChar w:fldCharType="separate"/>
      </w:r>
      <w:r>
        <w:t>17</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"_Toc98264016" </w:instrText>
      </w:r>
      <w:r>
        <w:fldChar w:fldCharType="separate"/>
      </w:r>
      <w:r>
        <w:rPr>
          <w:rStyle w:val="53"/>
          <w:rFonts w:ascii="宋体" w:hAnsi="宋体"/>
          <w:bCs/>
        </w:rPr>
        <w:t>二、比选文件的补遗、澄清、修改</w:t>
      </w:r>
      <w:r>
        <w:tab/>
      </w:r>
      <w:r>
        <w:fldChar w:fldCharType="begin"/>
      </w:r>
      <w:r>
        <w:instrText xml:space="preserve"> PAGEREF _Toc98264016 \h </w:instrText>
      </w:r>
      <w:r>
        <w:fldChar w:fldCharType="separate"/>
      </w:r>
      <w:r>
        <w:t>17</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"_Toc98264017" </w:instrText>
      </w:r>
      <w:r>
        <w:fldChar w:fldCharType="separate"/>
      </w:r>
      <w:r>
        <w:rPr>
          <w:rStyle w:val="53"/>
          <w:rFonts w:ascii="宋体" w:hAnsi="宋体"/>
          <w:b/>
          <w:bCs/>
        </w:rPr>
        <w:t>第三章  参选文件的编写</w:t>
      </w:r>
      <w:r>
        <w:tab/>
      </w:r>
      <w:r>
        <w:fldChar w:fldCharType="begin"/>
      </w:r>
      <w:r>
        <w:instrText xml:space="preserve"> PAGEREF _Toc98264017 \h </w:instrText>
      </w:r>
      <w:r>
        <w:fldChar w:fldCharType="separate"/>
      </w:r>
      <w:r>
        <w:t>18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"_Toc98264018" </w:instrText>
      </w:r>
      <w:r>
        <w:fldChar w:fldCharType="separate"/>
      </w:r>
      <w:r>
        <w:rPr>
          <w:rStyle w:val="53"/>
          <w:rFonts w:ascii="宋体" w:hAnsi="宋体"/>
          <w:bCs/>
        </w:rPr>
        <w:t>一、参选文件的组成及要求</w:t>
      </w:r>
      <w:r>
        <w:tab/>
      </w:r>
      <w:r>
        <w:fldChar w:fldCharType="begin"/>
      </w:r>
      <w:r>
        <w:instrText xml:space="preserve"> PAGEREF _Toc98264018 \h </w:instrText>
      </w:r>
      <w:r>
        <w:fldChar w:fldCharType="separate"/>
      </w:r>
      <w:r>
        <w:t>18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"_Toc98264019" </w:instrText>
      </w:r>
      <w:r>
        <w:fldChar w:fldCharType="separate"/>
      </w:r>
      <w:r>
        <w:rPr>
          <w:rStyle w:val="53"/>
          <w:rFonts w:ascii="宋体" w:hAnsi="宋体"/>
          <w:bCs/>
        </w:rPr>
        <w:t>二、参选文件内容编写要求</w:t>
      </w:r>
      <w:r>
        <w:tab/>
      </w:r>
      <w:r>
        <w:fldChar w:fldCharType="begin"/>
      </w:r>
      <w:r>
        <w:instrText xml:space="preserve"> PAGEREF _Toc98264019 \h </w:instrText>
      </w:r>
      <w:r>
        <w:fldChar w:fldCharType="separate"/>
      </w:r>
      <w:r>
        <w:t>18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"_Toc98264020" </w:instrText>
      </w:r>
      <w:r>
        <w:fldChar w:fldCharType="separate"/>
      </w:r>
      <w:r>
        <w:rPr>
          <w:rStyle w:val="53"/>
          <w:rFonts w:ascii="宋体" w:hAnsi="宋体"/>
          <w:bCs/>
        </w:rPr>
        <w:t>三、参选人的承诺</w:t>
      </w:r>
      <w:r>
        <w:tab/>
      </w:r>
      <w:r>
        <w:fldChar w:fldCharType="begin"/>
      </w:r>
      <w:r>
        <w:instrText xml:space="preserve"> PAGEREF _Toc98264020 \h </w:instrText>
      </w:r>
      <w:r>
        <w:fldChar w:fldCharType="separate"/>
      </w:r>
      <w:r>
        <w:t>21</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"_Toc98264021" </w:instrText>
      </w:r>
      <w:r>
        <w:fldChar w:fldCharType="separate"/>
      </w:r>
      <w:r>
        <w:rPr>
          <w:rStyle w:val="53"/>
          <w:rFonts w:ascii="宋体" w:hAnsi="宋体"/>
          <w:b/>
          <w:bCs/>
        </w:rPr>
        <w:t>第四章 参选文件的签章及封装要求</w:t>
      </w:r>
      <w:r>
        <w:tab/>
      </w:r>
      <w:r>
        <w:fldChar w:fldCharType="begin"/>
      </w:r>
      <w:r>
        <w:instrText xml:space="preserve"> PAGEREF _Toc98264021 \h </w:instrText>
      </w:r>
      <w:r>
        <w:fldChar w:fldCharType="separate"/>
      </w:r>
      <w:r>
        <w:t>22</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"_Toc98264022" </w:instrText>
      </w:r>
      <w:r>
        <w:fldChar w:fldCharType="separate"/>
      </w:r>
      <w:r>
        <w:rPr>
          <w:rStyle w:val="53"/>
          <w:rFonts w:ascii="宋体" w:hAnsi="宋体"/>
          <w:b/>
          <w:bCs/>
        </w:rPr>
        <w:t>第五章 参选文件递交</w:t>
      </w:r>
      <w:r>
        <w:tab/>
      </w:r>
      <w:r>
        <w:fldChar w:fldCharType="begin"/>
      </w:r>
      <w:r>
        <w:instrText xml:space="preserve"> PAGEREF _Toc98264022 \h </w:instrText>
      </w:r>
      <w:r>
        <w:fldChar w:fldCharType="separate"/>
      </w:r>
      <w:r>
        <w:t>23</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"_Toc98264023" </w:instrText>
      </w:r>
      <w:r>
        <w:fldChar w:fldCharType="separate"/>
      </w:r>
      <w:r>
        <w:rPr>
          <w:rStyle w:val="53"/>
          <w:rFonts w:ascii="宋体" w:hAnsi="宋体"/>
          <w:b/>
          <w:bCs/>
        </w:rPr>
        <w:t>第六章  参选有效期</w:t>
      </w:r>
      <w:r>
        <w:tab/>
      </w:r>
      <w:r>
        <w:fldChar w:fldCharType="begin"/>
      </w:r>
      <w:r>
        <w:instrText xml:space="preserve"> PAGEREF _Toc98264023 \h </w:instrText>
      </w:r>
      <w:r>
        <w:fldChar w:fldCharType="separate"/>
      </w:r>
      <w:r>
        <w:t>23</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"_Toc98264024" </w:instrText>
      </w:r>
      <w:r>
        <w:fldChar w:fldCharType="separate"/>
      </w:r>
      <w:r>
        <w:rPr>
          <w:rStyle w:val="53"/>
          <w:rFonts w:ascii="宋体" w:hAnsi="宋体"/>
          <w:b/>
          <w:bCs/>
        </w:rPr>
        <w:t>第七章  开标</w:t>
      </w:r>
      <w:r>
        <w:tab/>
      </w:r>
      <w:r>
        <w:fldChar w:fldCharType="begin"/>
      </w:r>
      <w:r>
        <w:instrText xml:space="preserve"> PAGEREF _Toc98264024 \h </w:instrText>
      </w:r>
      <w:r>
        <w:fldChar w:fldCharType="separate"/>
      </w:r>
      <w:r>
        <w:t>24</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"_Toc98264025" </w:instrText>
      </w:r>
      <w:r>
        <w:fldChar w:fldCharType="separate"/>
      </w:r>
      <w:r>
        <w:rPr>
          <w:rStyle w:val="53"/>
          <w:rFonts w:ascii="宋体" w:hAnsi="宋体"/>
          <w:b/>
          <w:bCs/>
        </w:rPr>
        <w:t>第八章  述标</w:t>
      </w:r>
      <w:r>
        <w:tab/>
      </w:r>
      <w:r>
        <w:fldChar w:fldCharType="begin"/>
      </w:r>
      <w:r>
        <w:instrText xml:space="preserve"> PAGEREF _Toc98264025 \h </w:instrText>
      </w:r>
      <w:r>
        <w:fldChar w:fldCharType="separate"/>
      </w:r>
      <w:r>
        <w:t>24</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"_Toc98264026" </w:instrText>
      </w:r>
      <w:r>
        <w:fldChar w:fldCharType="separate"/>
      </w:r>
      <w:r>
        <w:rPr>
          <w:rStyle w:val="53"/>
          <w:rFonts w:ascii="宋体" w:hAnsi="宋体"/>
          <w:b/>
          <w:bCs/>
        </w:rPr>
        <w:t>第九章  评标</w:t>
      </w:r>
      <w:r>
        <w:tab/>
      </w:r>
      <w:r>
        <w:fldChar w:fldCharType="begin"/>
      </w:r>
      <w:r>
        <w:instrText xml:space="preserve"> PAGEREF _Toc98264026 \h </w:instrText>
      </w:r>
      <w:r>
        <w:fldChar w:fldCharType="separate"/>
      </w:r>
      <w:r>
        <w:t>25</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"_Toc98264027" </w:instrText>
      </w:r>
      <w:r>
        <w:fldChar w:fldCharType="separate"/>
      </w:r>
      <w:r>
        <w:rPr>
          <w:rStyle w:val="53"/>
          <w:rFonts w:ascii="宋体" w:hAnsi="宋体"/>
          <w:b/>
          <w:bCs/>
        </w:rPr>
        <w:t>第十章  确定中选人</w:t>
      </w:r>
      <w:r>
        <w:tab/>
      </w:r>
      <w:r>
        <w:fldChar w:fldCharType="begin"/>
      </w:r>
      <w:r>
        <w:instrText xml:space="preserve"> PAGEREF _Toc98264027 \h </w:instrText>
      </w:r>
      <w:r>
        <w:fldChar w:fldCharType="separate"/>
      </w:r>
      <w:r>
        <w:t>27</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"_Toc98264028" </w:instrText>
      </w:r>
      <w:r>
        <w:fldChar w:fldCharType="separate"/>
      </w:r>
      <w:r>
        <w:rPr>
          <w:rStyle w:val="53"/>
          <w:rFonts w:ascii="宋体" w:hAnsi="宋体"/>
          <w:b/>
          <w:bCs/>
        </w:rPr>
        <w:t>第十一章  合同的授予</w:t>
      </w:r>
      <w:r>
        <w:tab/>
      </w:r>
      <w:r>
        <w:fldChar w:fldCharType="begin"/>
      </w:r>
      <w:r>
        <w:instrText xml:space="preserve"> PAGEREF _Toc98264028 \h </w:instrText>
      </w:r>
      <w:r>
        <w:fldChar w:fldCharType="separate"/>
      </w:r>
      <w:r>
        <w:t>27</w:t>
      </w:r>
      <w:r>
        <w:fldChar w:fldCharType="end"/>
      </w:r>
      <w:r>
        <w:fldChar w:fldCharType="end"/>
      </w:r>
    </w:p>
    <w:p>
      <w:pPr>
        <w:pStyle w:val="40"/>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"_Toc98264029" </w:instrText>
      </w:r>
      <w:r>
        <w:fldChar w:fldCharType="separate"/>
      </w:r>
      <w:r>
        <w:rPr>
          <w:rStyle w:val="53"/>
          <w:rFonts w:ascii="宋体" w:hAnsi="宋体"/>
          <w:b/>
          <w:bCs/>
        </w:rPr>
        <w:t>附件</w:t>
      </w:r>
      <w:r>
        <w:tab/>
      </w:r>
      <w:r>
        <w:fldChar w:fldCharType="begin"/>
      </w:r>
      <w:r>
        <w:instrText xml:space="preserve"> PAGEREF _Toc98264029 \h </w:instrText>
      </w:r>
      <w:r>
        <w:fldChar w:fldCharType="separate"/>
      </w:r>
      <w:r>
        <w:t>29</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"_Toc98264030" </w:instrText>
      </w:r>
      <w:r>
        <w:fldChar w:fldCharType="separate"/>
      </w:r>
      <w:r>
        <w:rPr>
          <w:rStyle w:val="53"/>
          <w:rFonts w:ascii="宋体" w:hAnsi="宋体"/>
        </w:rPr>
        <w:t>第一篇 评标办法</w:t>
      </w:r>
      <w:r>
        <w:tab/>
      </w:r>
      <w:r>
        <w:fldChar w:fldCharType="begin"/>
      </w:r>
      <w:r>
        <w:instrText xml:space="preserve"> PAGEREF _Toc98264030 \h </w:instrText>
      </w:r>
      <w:r>
        <w:fldChar w:fldCharType="separate"/>
      </w:r>
      <w:r>
        <w:t>29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"_Toc98264031" </w:instrText>
      </w:r>
      <w:r>
        <w:fldChar w:fldCharType="separate"/>
      </w:r>
      <w:r>
        <w:rPr>
          <w:rStyle w:val="53"/>
          <w:rFonts w:ascii="宋体" w:hAnsi="宋体"/>
          <w:bCs/>
        </w:rPr>
        <w:t>一、总则</w:t>
      </w:r>
      <w:r>
        <w:tab/>
      </w:r>
      <w:r>
        <w:fldChar w:fldCharType="begin"/>
      </w:r>
      <w:r>
        <w:instrText xml:space="preserve"> PAGEREF _Toc98264031 \h </w:instrText>
      </w:r>
      <w:r>
        <w:fldChar w:fldCharType="separate"/>
      </w:r>
      <w:r>
        <w:t>29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"_Toc98264032" </w:instrText>
      </w:r>
      <w:r>
        <w:fldChar w:fldCharType="separate"/>
      </w:r>
      <w:r>
        <w:rPr>
          <w:rStyle w:val="53"/>
          <w:rFonts w:ascii="宋体" w:hAnsi="宋体"/>
          <w:bCs/>
        </w:rPr>
        <w:t>二、评定标组织</w:t>
      </w:r>
      <w:r>
        <w:tab/>
      </w:r>
      <w:r>
        <w:fldChar w:fldCharType="begin"/>
      </w:r>
      <w:r>
        <w:instrText xml:space="preserve"> PAGEREF _Toc98264032 \h </w:instrText>
      </w:r>
      <w:r>
        <w:fldChar w:fldCharType="separate"/>
      </w:r>
      <w:r>
        <w:t>29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"_Toc98264033" </w:instrText>
      </w:r>
      <w:r>
        <w:fldChar w:fldCharType="separate"/>
      </w:r>
      <w:r>
        <w:rPr>
          <w:rStyle w:val="53"/>
          <w:rFonts w:ascii="宋体" w:hAnsi="宋体"/>
          <w:bCs/>
        </w:rPr>
        <w:t>三、评标方法与程序</w:t>
      </w:r>
      <w:r>
        <w:tab/>
      </w:r>
      <w:r>
        <w:fldChar w:fldCharType="begin"/>
      </w:r>
      <w:r>
        <w:instrText xml:space="preserve"> PAGEREF _Toc98264033 \h </w:instrText>
      </w:r>
      <w:r>
        <w:fldChar w:fldCharType="separate"/>
      </w:r>
      <w:r>
        <w:t>29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"_Toc98264034" </w:instrText>
      </w:r>
      <w:r>
        <w:fldChar w:fldCharType="separate"/>
      </w:r>
      <w:r>
        <w:rPr>
          <w:rStyle w:val="53"/>
          <w:rFonts w:ascii="宋体" w:hAnsi="宋体"/>
          <w:bCs/>
        </w:rPr>
        <w:t>四、评审标准</w:t>
      </w:r>
      <w:r>
        <w:tab/>
      </w:r>
      <w:r>
        <w:fldChar w:fldCharType="begin"/>
      </w:r>
      <w:r>
        <w:instrText xml:space="preserve"> PAGEREF _Toc98264034 \h </w:instrText>
      </w:r>
      <w:r>
        <w:fldChar w:fldCharType="separate"/>
      </w:r>
      <w:r>
        <w:t>32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"_Toc98264035" </w:instrText>
      </w:r>
      <w:r>
        <w:fldChar w:fldCharType="separate"/>
      </w:r>
      <w:r>
        <w:rPr>
          <w:rStyle w:val="53"/>
          <w:rFonts w:ascii="宋体" w:hAnsi="宋体"/>
          <w:bCs/>
        </w:rPr>
        <w:t>五、中选价确定原则</w:t>
      </w:r>
      <w:r>
        <w:tab/>
      </w:r>
      <w:r>
        <w:fldChar w:fldCharType="begin"/>
      </w:r>
      <w:r>
        <w:instrText xml:space="preserve"> PAGEREF _Toc98264035 \h </w:instrText>
      </w:r>
      <w:r>
        <w:fldChar w:fldCharType="separate"/>
      </w:r>
      <w:r>
        <w:t>32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"_Toc98264036" </w:instrText>
      </w:r>
      <w:r>
        <w:fldChar w:fldCharType="separate"/>
      </w:r>
      <w:r>
        <w:rPr>
          <w:rStyle w:val="53"/>
          <w:rFonts w:ascii="宋体" w:hAnsi="宋体"/>
          <w:bCs/>
        </w:rPr>
        <w:t>六、定标</w:t>
      </w:r>
      <w:r>
        <w:tab/>
      </w:r>
      <w:r>
        <w:fldChar w:fldCharType="begin"/>
      </w:r>
      <w:r>
        <w:instrText xml:space="preserve"> PAGEREF _Toc98264036 \h </w:instrText>
      </w:r>
      <w:r>
        <w:fldChar w:fldCharType="separate"/>
      </w:r>
      <w:r>
        <w:t>32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"_Toc98264037" </w:instrText>
      </w:r>
      <w:r>
        <w:fldChar w:fldCharType="separate"/>
      </w:r>
      <w:r>
        <w:rPr>
          <w:rStyle w:val="53"/>
          <w:rFonts w:ascii="宋体" w:hAnsi="宋体"/>
          <w:bCs/>
        </w:rPr>
        <w:t>七、评标守则</w:t>
      </w:r>
      <w:r>
        <w:tab/>
      </w:r>
      <w:r>
        <w:fldChar w:fldCharType="begin"/>
      </w:r>
      <w:r>
        <w:instrText xml:space="preserve"> PAGEREF _Toc98264037 \h </w:instrText>
      </w:r>
      <w:r>
        <w:fldChar w:fldCharType="separate"/>
      </w:r>
      <w:r>
        <w:t>32</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"_Toc98264038" </w:instrText>
      </w:r>
      <w:r>
        <w:fldChar w:fldCharType="separate"/>
      </w:r>
      <w:r>
        <w:rPr>
          <w:rStyle w:val="53"/>
          <w:rFonts w:ascii="宋体" w:hAnsi="宋体"/>
        </w:rPr>
        <w:t>第二篇  参选文件格式</w:t>
      </w:r>
      <w:r>
        <w:tab/>
      </w:r>
      <w:r>
        <w:fldChar w:fldCharType="begin"/>
      </w:r>
      <w:r>
        <w:instrText xml:space="preserve"> PAGEREF _Toc98264038 \h </w:instrText>
      </w:r>
      <w:r>
        <w:fldChar w:fldCharType="separate"/>
      </w:r>
      <w:r>
        <w:t>54</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"_Toc98264039" </w:instrText>
      </w:r>
      <w:r>
        <w:fldChar w:fldCharType="separate"/>
      </w:r>
      <w:r>
        <w:rPr>
          <w:rStyle w:val="53"/>
          <w:rFonts w:ascii="宋体" w:hAnsi="宋体"/>
        </w:rPr>
        <w:t>第一章</w:t>
      </w:r>
      <w:r>
        <w:rPr>
          <w:rStyle w:val="53"/>
          <w:rFonts w:hint="eastAsia" w:ascii="宋体" w:hAnsi="宋体"/>
        </w:rPr>
        <w:t xml:space="preserve"> 资信标</w:t>
      </w:r>
      <w:r>
        <w:tab/>
      </w:r>
      <w:r>
        <w:fldChar w:fldCharType="begin"/>
      </w:r>
      <w:r>
        <w:instrText xml:space="preserve"> PAGEREF _Toc98264039 \h </w:instrText>
      </w:r>
      <w:r>
        <w:fldChar w:fldCharType="separate"/>
      </w:r>
      <w:r>
        <w:t>55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"_Toc98264040" </w:instrText>
      </w:r>
      <w:r>
        <w:fldChar w:fldCharType="separate"/>
      </w:r>
      <w:r>
        <w:rPr>
          <w:rStyle w:val="53"/>
        </w:rPr>
        <w:t>一、</w:t>
      </w:r>
      <w:r>
        <w:rPr>
          <w:rFonts w:asciiTheme="minorHAnsi" w:hAnsiTheme="minorHAnsi" w:eastAsiaTheme="minorEastAsia" w:cstheme="minorBidi"/>
          <w:sz w:val="21"/>
          <w:szCs w:val="22"/>
        </w:rPr>
        <w:tab/>
      </w:r>
      <w:r>
        <w:rPr>
          <w:rStyle w:val="53"/>
          <w:rFonts w:ascii="宋体" w:hAnsi="宋体"/>
        </w:rPr>
        <w:t>参选人营业执照复印件、政府网站显示注册资本的信息页</w:t>
      </w:r>
      <w:r>
        <w:tab/>
      </w:r>
      <w:r>
        <w:fldChar w:fldCharType="begin"/>
      </w:r>
      <w:r>
        <w:instrText xml:space="preserve"> PAGEREF _Toc98264040 \h </w:instrText>
      </w:r>
      <w:r>
        <w:fldChar w:fldCharType="separate"/>
      </w:r>
      <w:r>
        <w:t>57</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"_Toc98264041" </w:instrText>
      </w:r>
      <w:r>
        <w:fldChar w:fldCharType="separate"/>
      </w:r>
      <w:r>
        <w:rPr>
          <w:rStyle w:val="53"/>
          <w:rFonts w:ascii="宋体" w:hAnsi="宋体"/>
        </w:rPr>
        <w:t>二、法定代表人资格证明书</w:t>
      </w:r>
      <w:r>
        <w:tab/>
      </w:r>
      <w:r>
        <w:fldChar w:fldCharType="begin"/>
      </w:r>
      <w:r>
        <w:instrText xml:space="preserve"> PAGEREF _Toc98264041 \h </w:instrText>
      </w:r>
      <w:r>
        <w:fldChar w:fldCharType="separate"/>
      </w:r>
      <w:r>
        <w:t>58</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"_Toc98264042" </w:instrText>
      </w:r>
      <w:r>
        <w:fldChar w:fldCharType="separate"/>
      </w:r>
      <w:r>
        <w:rPr>
          <w:rStyle w:val="53"/>
          <w:rFonts w:ascii="宋体" w:hAnsi="宋体"/>
        </w:rPr>
        <w:t>三、法定代表人身份证件复印件</w:t>
      </w:r>
      <w:r>
        <w:tab/>
      </w:r>
      <w:r>
        <w:fldChar w:fldCharType="begin"/>
      </w:r>
      <w:r>
        <w:instrText xml:space="preserve"> PAGEREF _Toc98264042 \h </w:instrText>
      </w:r>
      <w:r>
        <w:fldChar w:fldCharType="separate"/>
      </w:r>
      <w:r>
        <w:t>59</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"_Toc98264043" </w:instrText>
      </w:r>
      <w:r>
        <w:fldChar w:fldCharType="separate"/>
      </w:r>
      <w:r>
        <w:rPr>
          <w:rStyle w:val="53"/>
          <w:rFonts w:ascii="宋体" w:hAnsi="宋体"/>
        </w:rPr>
        <w:t>四、法定代表人授权委托书【如递交比选文件人不是法定代表人时提供】</w:t>
      </w:r>
      <w:r>
        <w:tab/>
      </w:r>
      <w:r>
        <w:fldChar w:fldCharType="begin"/>
      </w:r>
      <w:r>
        <w:instrText xml:space="preserve"> PAGEREF _Toc98264043 \h </w:instrText>
      </w:r>
      <w:r>
        <w:fldChar w:fldCharType="separate"/>
      </w:r>
      <w:r>
        <w:t>60</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"_Toc98264044" </w:instrText>
      </w:r>
      <w:r>
        <w:fldChar w:fldCharType="separate"/>
      </w:r>
      <w:r>
        <w:rPr>
          <w:rStyle w:val="53"/>
          <w:rFonts w:ascii="宋体" w:hAnsi="宋体"/>
        </w:rPr>
        <w:t>五、被授权人身份证件复印件【如递交比选文件人不是法定代表人时提供】</w:t>
      </w:r>
      <w:r>
        <w:tab/>
      </w:r>
      <w:r>
        <w:fldChar w:fldCharType="begin"/>
      </w:r>
      <w:r>
        <w:instrText xml:space="preserve"> PAGEREF _Toc98264044 \h </w:instrText>
      </w:r>
      <w:r>
        <w:fldChar w:fldCharType="separate"/>
      </w:r>
      <w:r>
        <w:t>61</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"_Toc98264045" </w:instrText>
      </w:r>
      <w:r>
        <w:fldChar w:fldCharType="separate"/>
      </w:r>
      <w:r>
        <w:rPr>
          <w:rStyle w:val="53"/>
          <w:rFonts w:ascii="宋体" w:hAnsi="宋体"/>
          <w:bCs/>
        </w:rPr>
        <w:t>六、参选业绩证明材料（加盖公章）</w:t>
      </w:r>
      <w:r>
        <w:tab/>
      </w:r>
      <w:r>
        <w:fldChar w:fldCharType="begin"/>
      </w:r>
      <w:r>
        <w:instrText xml:space="preserve"> PAGEREF _Toc98264045 \h </w:instrText>
      </w:r>
      <w:r>
        <w:fldChar w:fldCharType="separate"/>
      </w:r>
      <w:r>
        <w:t>62</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"_Toc98264046" </w:instrText>
      </w:r>
      <w:r>
        <w:fldChar w:fldCharType="separate"/>
      </w:r>
      <w:r>
        <w:rPr>
          <w:rStyle w:val="53"/>
          <w:rFonts w:ascii="宋体" w:hAnsi="宋体"/>
        </w:rPr>
        <w:t>第二章</w:t>
      </w:r>
      <w:r>
        <w:rPr>
          <w:rStyle w:val="53"/>
          <w:rFonts w:hint="eastAsia" w:ascii="宋体" w:hAnsi="宋体"/>
        </w:rPr>
        <w:t xml:space="preserve"> 技术标</w:t>
      </w:r>
      <w:r>
        <w:tab/>
      </w:r>
      <w:r>
        <w:fldChar w:fldCharType="begin"/>
      </w:r>
      <w:r>
        <w:instrText xml:space="preserve"> PAGEREF _Toc98264046 \h </w:instrText>
      </w:r>
      <w:r>
        <w:fldChar w:fldCharType="separate"/>
      </w:r>
      <w:r>
        <w:t>63</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"_Toc98264047" </w:instrText>
      </w:r>
      <w:r>
        <w:fldChar w:fldCharType="separate"/>
      </w:r>
      <w:r>
        <w:rPr>
          <w:rStyle w:val="53"/>
          <w:rFonts w:ascii="宋体" w:hAnsi="宋体"/>
          <w:bCs/>
        </w:rPr>
        <w:t>一、技术标1：地铁前海时代营销中心开放活动方案</w:t>
      </w:r>
      <w:r>
        <w:tab/>
      </w:r>
      <w:r>
        <w:fldChar w:fldCharType="begin"/>
      </w:r>
      <w:r>
        <w:instrText xml:space="preserve"> PAGEREF _Toc98264047 \h </w:instrText>
      </w:r>
      <w:r>
        <w:fldChar w:fldCharType="separate"/>
      </w:r>
      <w:r>
        <w:t>65</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"_Toc98264048" </w:instrText>
      </w:r>
      <w:r>
        <w:fldChar w:fldCharType="separate"/>
      </w:r>
      <w:r>
        <w:rPr>
          <w:rStyle w:val="53"/>
          <w:rFonts w:ascii="宋体" w:hAnsi="宋体"/>
          <w:bCs/>
        </w:rPr>
        <w:t>二、技术标2：深铁璟城营销中心开放活动方案</w:t>
      </w:r>
      <w:r>
        <w:tab/>
      </w:r>
      <w:r>
        <w:fldChar w:fldCharType="begin"/>
      </w:r>
      <w:r>
        <w:instrText xml:space="preserve"> PAGEREF _Toc98264048 \h </w:instrText>
      </w:r>
      <w:r>
        <w:fldChar w:fldCharType="separate"/>
      </w:r>
      <w:r>
        <w:t>66</w:t>
      </w:r>
      <w:r>
        <w:fldChar w:fldCharType="end"/>
      </w:r>
      <w:r>
        <w:fldChar w:fldCharType="end"/>
      </w:r>
    </w:p>
    <w:p>
      <w:pPr>
        <w:pStyle w:val="23"/>
        <w:rPr>
          <w:rFonts w:asciiTheme="minorHAnsi" w:hAnsiTheme="minorHAnsi" w:eastAsiaTheme="minorEastAsia" w:cstheme="minorBidi"/>
          <w:sz w:val="21"/>
          <w:szCs w:val="22"/>
        </w:rPr>
      </w:pPr>
      <w:r>
        <w:fldChar w:fldCharType="begin"/>
      </w:r>
      <w:r>
        <w:instrText xml:space="preserve"> HYPERLINK \l "_Toc98264049" </w:instrText>
      </w:r>
      <w:r>
        <w:fldChar w:fldCharType="separate"/>
      </w:r>
      <w:r>
        <w:rPr>
          <w:rStyle w:val="53"/>
          <w:rFonts w:ascii="宋体" w:hAnsi="宋体"/>
        </w:rPr>
        <w:t>第三章</w:t>
      </w:r>
      <w:r>
        <w:rPr>
          <w:rStyle w:val="53"/>
          <w:rFonts w:hint="eastAsia" w:ascii="宋体" w:hAnsi="宋体"/>
        </w:rPr>
        <w:t xml:space="preserve"> 商务标</w:t>
      </w:r>
      <w:r>
        <w:tab/>
      </w:r>
      <w:r>
        <w:fldChar w:fldCharType="begin"/>
      </w:r>
      <w:r>
        <w:instrText xml:space="preserve"> PAGEREF _Toc98264049 \h </w:instrText>
      </w:r>
      <w:r>
        <w:fldChar w:fldCharType="separate"/>
      </w:r>
      <w:r>
        <w:t>67</w:t>
      </w:r>
      <w:r>
        <w:fldChar w:fldCharType="end"/>
      </w:r>
      <w:r>
        <w:fldChar w:fldCharType="end"/>
      </w:r>
    </w:p>
    <w:p>
      <w:pPr>
        <w:pStyle w:val="32"/>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"_Toc98264050" </w:instrText>
      </w:r>
      <w:r>
        <w:fldChar w:fldCharType="separate"/>
      </w:r>
      <w:r>
        <w:rPr>
          <w:rStyle w:val="53"/>
          <w:rFonts w:ascii="宋体" w:hAnsi="宋体"/>
        </w:rPr>
        <w:t>第三篇  合同</w:t>
      </w:r>
      <w:r>
        <w:tab/>
      </w:r>
      <w:r>
        <w:fldChar w:fldCharType="begin"/>
      </w:r>
      <w:r>
        <w:instrText xml:space="preserve"> PAGEREF _Toc98264050 \h </w:instrText>
      </w:r>
      <w:r>
        <w:fldChar w:fldCharType="separate"/>
      </w:r>
      <w:r>
        <w:t>87</w:t>
      </w:r>
      <w:r>
        <w:fldChar w:fldCharType="end"/>
      </w:r>
      <w:r>
        <w:fldChar w:fldCharType="end"/>
      </w:r>
    </w:p>
    <w:p>
      <w:pPr>
        <w:pStyle w:val="32"/>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bookmarkEnd w:id="2"/>
    <w:p>
      <w:pPr>
        <w:pStyle w:val="4"/>
        <w:spacing w:before="240" w:line="480" w:lineRule="atLeast"/>
        <w:ind w:left="425"/>
        <w:rPr>
          <w:rFonts w:ascii="宋体" w:hAnsi="宋体"/>
          <w:b w:val="0"/>
          <w:color w:val="0D0D0D" w:themeColor="text1" w:themeTint="F2"/>
          <w:sz w:val="44"/>
          <w:szCs w:val="44"/>
          <w14:textFill>
            <w14:solidFill>
              <w14:schemeClr w14:val="tx1">
                <w14:lumMod w14:val="95000"/>
                <w14:lumOff w14:val="5000"/>
              </w14:schemeClr>
            </w14:solidFill>
          </w14:textFill>
        </w:rPr>
      </w:pPr>
      <w:bookmarkStart w:id="6" w:name="_Toc98264002"/>
      <w:bookmarkStart w:id="7" w:name="_Toc434234570"/>
      <w:bookmarkStart w:id="8" w:name="_Toc197404897"/>
      <w:r>
        <w:rPr>
          <w:rFonts w:ascii="宋体" w:hAnsi="宋体"/>
          <w:b w:val="0"/>
          <w:color w:val="0D0D0D" w:themeColor="text1" w:themeTint="F2"/>
          <w:sz w:val="44"/>
          <w:szCs w:val="44"/>
          <w14:textFill>
            <w14:solidFill>
              <w14:schemeClr w14:val="tx1">
                <w14:lumMod w14:val="95000"/>
                <w14:lumOff w14:val="5000"/>
              </w14:schemeClr>
            </w14:solidFill>
          </w14:textFill>
        </w:rPr>
        <w:t>致参选人</w:t>
      </w:r>
      <w:bookmarkEnd w:id="6"/>
    </w:p>
    <w:p>
      <w:pPr>
        <w:pStyle w:val="24"/>
        <w:spacing w:before="240" w:beforeLines="100" w:after="120" w:afterLines="50" w:line="480" w:lineRule="atLeast"/>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本比选文件是依据有关</w:t>
      </w:r>
      <w:r>
        <w:rPr>
          <w:rFonts w:hint="eastAsia" w:hAnsi="宋体"/>
          <w:color w:val="0D0D0D" w:themeColor="text1" w:themeTint="F2"/>
          <w:sz w:val="24"/>
          <w14:textFill>
            <w14:solidFill>
              <w14:schemeClr w14:val="tx1">
                <w14:lumMod w14:val="95000"/>
                <w14:lumOff w14:val="5000"/>
              </w14:schemeClr>
            </w14:solidFill>
          </w14:textFill>
        </w:rPr>
        <w:t>招标</w:t>
      </w:r>
      <w:r>
        <w:rPr>
          <w:rFonts w:hAnsi="宋体"/>
          <w:color w:val="0D0D0D" w:themeColor="text1" w:themeTint="F2"/>
          <w:sz w:val="24"/>
          <w14:textFill>
            <w14:solidFill>
              <w14:schemeClr w14:val="tx1">
                <w14:lumMod w14:val="95000"/>
                <w14:lumOff w14:val="5000"/>
              </w14:schemeClr>
            </w14:solidFill>
          </w14:textFill>
        </w:rPr>
        <w:t>投标的法律、法规、规章和规范性文件的规定，根据本比选</w:t>
      </w:r>
      <w:r>
        <w:rPr>
          <w:rFonts w:hint="eastAsia" w:hAnsi="宋体"/>
          <w:color w:val="0D0D0D" w:themeColor="text1" w:themeTint="F2"/>
          <w:sz w:val="24"/>
          <w14:textFill>
            <w14:solidFill>
              <w14:schemeClr w14:val="tx1">
                <w14:lumMod w14:val="95000"/>
                <w14:lumOff w14:val="5000"/>
              </w14:schemeClr>
            </w14:solidFill>
          </w14:textFill>
        </w:rPr>
        <w:t>项目</w:t>
      </w:r>
      <w:r>
        <w:rPr>
          <w:rFonts w:hAnsi="宋体"/>
          <w:color w:val="0D0D0D" w:themeColor="text1" w:themeTint="F2"/>
          <w:sz w:val="24"/>
          <w14:textFill>
            <w14:solidFill>
              <w14:schemeClr w14:val="tx1">
                <w14:lumMod w14:val="95000"/>
                <w14:lumOff w14:val="5000"/>
              </w14:schemeClr>
            </w14:solidFill>
          </w14:textFill>
        </w:rPr>
        <w:t>的特点和需要编制的。</w:t>
      </w:r>
    </w:p>
    <w:p>
      <w:pPr>
        <w:spacing w:line="480" w:lineRule="atLeast"/>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比选文件的编制遵循公开、公平、公正和诚实信用的原则，比选文件的内容已清楚地反映了</w:t>
      </w:r>
      <w:r>
        <w:rPr>
          <w:rFonts w:hint="eastAsia" w:hAnsi="宋体"/>
          <w:b/>
          <w:bCs/>
          <w:color w:val="0D0D0D" w:themeColor="text1" w:themeTint="F2"/>
          <w:sz w:val="24"/>
          <w14:textFill>
            <w14:solidFill>
              <w14:schemeClr w14:val="tx1">
                <w14:lumMod w14:val="95000"/>
                <w14:lumOff w14:val="5000"/>
              </w14:schemeClr>
            </w14:solidFill>
          </w14:textFill>
        </w:rPr>
        <w:t>深铁置业2022年度拟销售项目展示区开放系列活动、现场包装及宣传推广服务</w:t>
      </w:r>
      <w:r>
        <w:rPr>
          <w:rFonts w:hint="eastAsia" w:hAnsi="宋体"/>
          <w:color w:val="0D0D0D" w:themeColor="text1" w:themeTint="F2"/>
          <w:sz w:val="24"/>
          <w14:textFill>
            <w14:solidFill>
              <w14:schemeClr w14:val="tx1">
                <w14:lumMod w14:val="95000"/>
                <w14:lumOff w14:val="5000"/>
              </w14:schemeClr>
            </w14:solidFill>
          </w14:textFill>
        </w:rPr>
        <w:t>工作内容和基本</w:t>
      </w:r>
      <w:r>
        <w:rPr>
          <w:rFonts w:hAnsi="宋体"/>
          <w:color w:val="0D0D0D" w:themeColor="text1" w:themeTint="F2"/>
          <w:sz w:val="24"/>
          <w14:textFill>
            <w14:solidFill>
              <w14:schemeClr w14:val="tx1">
                <w14:lumMod w14:val="95000"/>
                <w14:lumOff w14:val="5000"/>
              </w14:schemeClr>
            </w14:solidFill>
          </w14:textFill>
        </w:rPr>
        <w:t>要求。我们要求参选人必须完全响应本比选文件的实质性内容。</w:t>
      </w:r>
    </w:p>
    <w:p>
      <w:pPr>
        <w:spacing w:line="480" w:lineRule="atLeast"/>
        <w:ind w:firstLine="480" w:firstLineChars="200"/>
        <w:jc w:val="left"/>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u w:val="single"/>
          <w14:textFill>
            <w14:solidFill>
              <w14:schemeClr w14:val="tx1">
                <w14:lumMod w14:val="95000"/>
                <w14:lumOff w14:val="5000"/>
              </w14:schemeClr>
            </w14:solidFill>
          </w14:textFill>
        </w:rPr>
        <w:t>领取了本比选文件的</w:t>
      </w:r>
      <w:r>
        <w:rPr>
          <w:rFonts w:hAnsi="宋体"/>
          <w:color w:val="0D0D0D" w:themeColor="text1" w:themeTint="F2"/>
          <w:sz w:val="24"/>
          <w:u w:val="single"/>
          <w14:textFill>
            <w14:solidFill>
              <w14:schemeClr w14:val="tx1">
                <w14:lumMod w14:val="95000"/>
                <w14:lumOff w14:val="5000"/>
              </w14:schemeClr>
            </w14:solidFill>
          </w14:textFill>
        </w:rPr>
        <w:t>参选人</w:t>
      </w:r>
      <w:r>
        <w:rPr>
          <w:rFonts w:hint="eastAsia" w:hAnsi="宋体"/>
          <w:color w:val="0D0D0D" w:themeColor="text1" w:themeTint="F2"/>
          <w:sz w:val="24"/>
          <w:u w:val="single"/>
          <w14:textFill>
            <w14:solidFill>
              <w14:schemeClr w14:val="tx1">
                <w14:lumMod w14:val="95000"/>
                <w14:lumOff w14:val="5000"/>
              </w14:schemeClr>
            </w14:solidFill>
          </w14:textFill>
        </w:rPr>
        <w:t>，请</w:t>
      </w:r>
      <w:r>
        <w:rPr>
          <w:rFonts w:hAnsi="宋体"/>
          <w:color w:val="0D0D0D" w:themeColor="text1" w:themeTint="F2"/>
          <w:sz w:val="24"/>
          <w:u w:val="single"/>
          <w14:textFill>
            <w14:solidFill>
              <w14:schemeClr w14:val="tx1">
                <w14:lumMod w14:val="95000"/>
                <w14:lumOff w14:val="5000"/>
              </w14:schemeClr>
            </w14:solidFill>
          </w14:textFill>
        </w:rPr>
        <w:t>随时查看“深圳地铁</w:t>
      </w:r>
      <w:r>
        <w:rPr>
          <w:rFonts w:hint="eastAsia" w:hAnsi="宋体"/>
          <w:color w:val="0D0D0D" w:themeColor="text1" w:themeTint="F2"/>
          <w:sz w:val="24"/>
          <w:u w:val="single"/>
          <w14:textFill>
            <w14:solidFill>
              <w14:schemeClr w14:val="tx1">
                <w14:lumMod w14:val="95000"/>
                <w14:lumOff w14:val="5000"/>
              </w14:schemeClr>
            </w14:solidFill>
          </w14:textFill>
        </w:rPr>
        <w:t>官</w:t>
      </w:r>
      <w:r>
        <w:rPr>
          <w:rFonts w:hAnsi="宋体"/>
          <w:color w:val="0D0D0D" w:themeColor="text1" w:themeTint="F2"/>
          <w:sz w:val="24"/>
          <w:u w:val="single"/>
          <w14:textFill>
            <w14:solidFill>
              <w14:schemeClr w14:val="tx1">
                <w14:lumMod w14:val="95000"/>
                <w14:lumOff w14:val="5000"/>
              </w14:schemeClr>
            </w14:solidFill>
          </w14:textFill>
        </w:rPr>
        <w:t>网”</w:t>
      </w:r>
      <w:r>
        <w:rPr>
          <w:rFonts w:hint="eastAsia" w:hAnsi="宋体"/>
          <w:color w:val="0D0D0D" w:themeColor="text1" w:themeTint="F2"/>
          <w:sz w:val="24"/>
          <w:u w:val="single"/>
          <w14:textFill>
            <w14:solidFill>
              <w14:schemeClr w14:val="tx1">
                <w14:lumMod w14:val="95000"/>
                <w14:lumOff w14:val="5000"/>
              </w14:schemeClr>
            </w14:solidFill>
          </w14:textFill>
        </w:rPr>
        <w:t>、“深铁招采网”、“</w:t>
      </w:r>
      <w:r>
        <w:rPr>
          <w:rFonts w:hAnsi="宋体"/>
          <w:color w:val="0D0D0D" w:themeColor="text1" w:themeTint="F2"/>
          <w:sz w:val="24"/>
          <w:u w:val="single"/>
          <w14:textFill>
            <w14:solidFill>
              <w14:schemeClr w14:val="tx1">
                <w14:lumMod w14:val="95000"/>
                <w14:lumOff w14:val="5000"/>
              </w14:schemeClr>
            </w14:solidFill>
          </w14:textFill>
        </w:rPr>
        <w:t>国资委阳光采购平台</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深铁置业</w:t>
      </w:r>
      <w:r>
        <w:rPr>
          <w:rFonts w:hint="eastAsia" w:hAnsi="宋体"/>
          <w:color w:val="0D0D0D" w:themeColor="text1" w:themeTint="F2"/>
          <w:sz w:val="24"/>
          <w:u w:val="single"/>
          <w14:textFill>
            <w14:solidFill>
              <w14:schemeClr w14:val="tx1">
                <w14:lumMod w14:val="95000"/>
                <w14:lumOff w14:val="5000"/>
              </w14:schemeClr>
            </w14:solidFill>
          </w14:textFill>
        </w:rPr>
        <w:t>微信订阅</w:t>
      </w:r>
      <w:r>
        <w:rPr>
          <w:rFonts w:hAnsi="宋体"/>
          <w:color w:val="0D0D0D" w:themeColor="text1" w:themeTint="F2"/>
          <w:sz w:val="24"/>
          <w:u w:val="single"/>
          <w14:textFill>
            <w14:solidFill>
              <w14:schemeClr w14:val="tx1">
                <w14:lumMod w14:val="95000"/>
                <w14:lumOff w14:val="5000"/>
              </w14:schemeClr>
            </w14:solidFill>
          </w14:textFill>
        </w:rPr>
        <w:t>号</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中有关该项目</w:t>
      </w:r>
      <w:r>
        <w:rPr>
          <w:rFonts w:hint="eastAsia" w:hAnsi="宋体"/>
          <w:color w:val="0D0D0D" w:themeColor="text1" w:themeTint="F2"/>
          <w:sz w:val="24"/>
          <w:u w:val="single"/>
          <w14:textFill>
            <w14:solidFill>
              <w14:schemeClr w14:val="tx1">
                <w14:lumMod w14:val="95000"/>
                <w14:lumOff w14:val="5000"/>
              </w14:schemeClr>
            </w14:solidFill>
          </w14:textFill>
        </w:rPr>
        <w:t>补遗</w:t>
      </w:r>
      <w:r>
        <w:rPr>
          <w:rFonts w:hAnsi="宋体"/>
          <w:color w:val="0D0D0D" w:themeColor="text1" w:themeTint="F2"/>
          <w:sz w:val="24"/>
          <w:u w:val="single"/>
          <w14:textFill>
            <w14:solidFill>
              <w14:schemeClr w14:val="tx1">
                <w14:lumMod w14:val="95000"/>
                <w14:lumOff w14:val="5000"/>
              </w14:schemeClr>
            </w14:solidFill>
          </w14:textFill>
        </w:rPr>
        <w:t>文件的信息。</w:t>
      </w:r>
      <w:r>
        <w:rPr>
          <w:rFonts w:hint="eastAsia" w:hAnsi="宋体"/>
          <w:color w:val="0D0D0D" w:themeColor="text1" w:themeTint="F2"/>
          <w:sz w:val="24"/>
          <w:u w:val="single"/>
          <w14:textFill>
            <w14:solidFill>
              <w14:schemeClr w14:val="tx1">
                <w14:lumMod w14:val="95000"/>
                <w14:lumOff w14:val="5000"/>
              </w14:schemeClr>
            </w14:solidFill>
          </w14:textFill>
        </w:rPr>
        <w:t>否则，</w:t>
      </w:r>
      <w:r>
        <w:rPr>
          <w:rFonts w:hAnsi="宋体"/>
          <w:color w:val="0D0D0D" w:themeColor="text1" w:themeTint="F2"/>
          <w:sz w:val="24"/>
          <w:u w:val="single"/>
          <w14:textFill>
            <w14:solidFill>
              <w14:schemeClr w14:val="tx1">
                <w14:lumMod w14:val="95000"/>
                <w14:lumOff w14:val="5000"/>
              </w14:schemeClr>
            </w14:solidFill>
          </w14:textFill>
        </w:rPr>
        <w:t>由此导致的不利后果由参选人自负。</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比选人（盖章）：</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w:t>
      </w:r>
      <w:r>
        <w:rPr>
          <w:rFonts w:hint="eastAsia" w:hAnsi="宋体"/>
          <w:color w:val="0D0D0D" w:themeColor="text1" w:themeTint="F2"/>
          <w:sz w:val="24"/>
          <w14:textFill>
            <w14:solidFill>
              <w14:schemeClr w14:val="tx1">
                <w14:lumMod w14:val="95000"/>
                <w14:lumOff w14:val="5000"/>
              </w14:schemeClr>
            </w14:solidFill>
          </w14:textFill>
        </w:rPr>
        <w:t>人</w:t>
      </w:r>
      <w:r>
        <w:rPr>
          <w:rFonts w:hAnsi="宋体"/>
          <w:color w:val="0D0D0D" w:themeColor="text1" w:themeTint="F2"/>
          <w:sz w:val="24"/>
          <w14:textFill>
            <w14:solidFill>
              <w14:schemeClr w14:val="tx1">
                <w14:lumMod w14:val="95000"/>
                <w14:lumOff w14:val="5000"/>
              </w14:schemeClr>
            </w14:solidFill>
          </w14:textFill>
        </w:rPr>
        <w:t>地址：</w:t>
      </w:r>
      <w:r>
        <w:rPr>
          <w:rFonts w:hint="eastAsia" w:hAnsi="宋体"/>
          <w:color w:val="0D0D0D" w:themeColor="text1" w:themeTint="F2"/>
          <w:sz w:val="24"/>
          <w14:textFill>
            <w14:solidFill>
              <w14:schemeClr w14:val="tx1">
                <w14:lumMod w14:val="95000"/>
                <w14:lumOff w14:val="5000"/>
              </w14:schemeClr>
            </w14:solidFill>
          </w14:textFill>
        </w:rPr>
        <w:t>深圳市福田区深南大道6011-8号深铁置业大厦</w:t>
      </w:r>
    </w:p>
    <w:p>
      <w:pPr>
        <w:pStyle w:val="24"/>
        <w:spacing w:line="360" w:lineRule="auto"/>
        <w:ind w:right="94" w:rightChars="45"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邮政编码：518026</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 系 人：</w:t>
      </w:r>
      <w:r>
        <w:rPr>
          <w:rFonts w:hint="eastAsia" w:hAnsi="宋体"/>
          <w:color w:val="0D0D0D" w:themeColor="text1" w:themeTint="F2"/>
          <w:sz w:val="24"/>
          <w14:textFill>
            <w14:solidFill>
              <w14:schemeClr w14:val="tx1">
                <w14:lumMod w14:val="95000"/>
                <w14:lumOff w14:val="5000"/>
              </w14:schemeClr>
            </w14:solidFill>
          </w14:textFill>
        </w:rPr>
        <w:t>郭小姐</w:t>
      </w:r>
    </w:p>
    <w:p>
      <w:pPr>
        <w:pStyle w:val="24"/>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联系电话：0755-89986525/13411196142</w:t>
      </w:r>
    </w:p>
    <w:p>
      <w:pPr>
        <w:pStyle w:val="24"/>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电    邮：</w:t>
      </w:r>
      <w:r>
        <w:rPr>
          <w:rFonts w:hAnsi="宋体"/>
          <w:color w:val="0D0D0D" w:themeColor="text1" w:themeTint="F2"/>
          <w:sz w:val="24"/>
          <w14:textFill>
            <w14:solidFill>
              <w14:schemeClr w14:val="tx1">
                <w14:lumMod w14:val="95000"/>
                <w14:lumOff w14:val="5000"/>
              </w14:schemeClr>
            </w14:solidFill>
          </w14:textFill>
        </w:rPr>
        <w:t>guolishan@shenzhenmc.com</w:t>
      </w:r>
    </w:p>
    <w:p>
      <w:pPr>
        <w:pStyle w:val="24"/>
        <w:spacing w:line="360" w:lineRule="auto"/>
        <w:ind w:firstLine="420" w:firstLineChars="175"/>
        <w:rPr>
          <w:rFonts w:hAnsi="宋体"/>
          <w:color w:val="0D0D0D" w:themeColor="text1" w:themeTint="F2"/>
          <w:sz w:val="24"/>
          <w:u w:val="single"/>
          <w:shd w:val="clear" w:color="auto" w:fill="FFFF00"/>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期：2022</w:t>
      </w:r>
      <w:r>
        <w:rPr>
          <w:rFonts w:hint="eastAsia"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lang w:val="en-US" w:eastAsia="zh-CN"/>
          <w14:textFill>
            <w14:solidFill>
              <w14:schemeClr w14:val="tx1">
                <w14:lumMod w14:val="95000"/>
                <w14:lumOff w14:val="5000"/>
              </w14:schemeClr>
            </w14:solidFill>
          </w14:textFill>
        </w:rPr>
        <w:t>3</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hAnsi="宋体"/>
          <w:color w:val="0D0D0D" w:themeColor="text1" w:themeTint="F2"/>
          <w:sz w:val="24"/>
          <w:lang w:val="en-US" w:eastAsia="zh-CN"/>
          <w14:textFill>
            <w14:solidFill>
              <w14:schemeClr w14:val="tx1">
                <w14:lumMod w14:val="95000"/>
                <w14:lumOff w14:val="5000"/>
              </w14:schemeClr>
            </w14:solidFill>
          </w14:textFill>
        </w:rPr>
        <w:t>25</w:t>
      </w:r>
      <w:r>
        <w:rPr>
          <w:rFonts w:hint="eastAsia" w:hAnsi="宋体"/>
          <w:color w:val="0D0D0D" w:themeColor="text1" w:themeTint="F2"/>
          <w:sz w:val="24"/>
          <w14:textFill>
            <w14:solidFill>
              <w14:schemeClr w14:val="tx1">
                <w14:lumMod w14:val="95000"/>
                <w14:lumOff w14:val="5000"/>
              </w14:schemeClr>
            </w14:solidFill>
          </w14:textFill>
        </w:rPr>
        <w:t>日</w:t>
      </w: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4"/>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4"/>
        <w:spacing w:before="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9" w:name="_Toc188439083"/>
      <w:bookmarkStart w:id="10" w:name="_Toc98264003"/>
      <w:bookmarkStart w:id="11" w:name="_Toc191203192"/>
      <w:bookmarkStart w:id="12" w:name="_Toc372555579"/>
      <w:r>
        <w:rPr>
          <w:rFonts w:hint="eastAsia" w:ascii="宋体" w:hAnsi="宋体"/>
          <w:b w:val="0"/>
          <w:color w:val="0D0D0D" w:themeColor="text1" w:themeTint="F2"/>
          <w:sz w:val="44"/>
          <w:szCs w:val="44"/>
          <w14:textFill>
            <w14:solidFill>
              <w14:schemeClr w14:val="tx1">
                <w14:lumMod w14:val="95000"/>
                <w14:lumOff w14:val="5000"/>
              </w14:schemeClr>
            </w14:solidFill>
          </w14:textFill>
        </w:rPr>
        <w:t>参选文件</w:t>
      </w:r>
      <w:bookmarkStart w:id="13" w:name="OLE_LINK1"/>
      <w:r>
        <w:rPr>
          <w:rFonts w:hint="eastAsia" w:ascii="宋体" w:hAnsi="宋体"/>
          <w:b w:val="0"/>
          <w:color w:val="0D0D0D" w:themeColor="text1" w:themeTint="F2"/>
          <w:sz w:val="44"/>
          <w:szCs w:val="44"/>
          <w14:textFill>
            <w14:solidFill>
              <w14:schemeClr w14:val="tx1">
                <w14:lumMod w14:val="95000"/>
                <w14:lumOff w14:val="5000"/>
              </w14:schemeClr>
            </w14:solidFill>
          </w14:textFill>
        </w:rPr>
        <w:t>无效和废标的情形</w:t>
      </w:r>
      <w:bookmarkEnd w:id="13"/>
      <w:r>
        <w:rPr>
          <w:rFonts w:hint="eastAsia" w:ascii="宋体" w:hAnsi="宋体"/>
          <w:b w:val="0"/>
          <w:color w:val="0D0D0D" w:themeColor="text1" w:themeTint="F2"/>
          <w:sz w:val="44"/>
          <w:szCs w:val="44"/>
          <w14:textFill>
            <w14:solidFill>
              <w14:schemeClr w14:val="tx1">
                <w14:lumMod w14:val="95000"/>
                <w14:lumOff w14:val="5000"/>
              </w14:schemeClr>
            </w14:solidFill>
          </w14:textFill>
        </w:rPr>
        <w:t>摘要</w:t>
      </w:r>
      <w:bookmarkEnd w:id="9"/>
      <w:bookmarkEnd w:id="10"/>
      <w:bookmarkEnd w:id="11"/>
      <w:bookmarkEnd w:id="12"/>
    </w:p>
    <w:p>
      <w:pPr>
        <w:pStyle w:val="24"/>
        <w:snapToGrid w:val="0"/>
        <w:spacing w:line="360" w:lineRule="auto"/>
        <w:ind w:firstLine="482" w:firstLineChars="200"/>
        <w:rPr>
          <w:rFonts w:hAnsi="宋体"/>
          <w:b/>
          <w:bCs/>
          <w:color w:val="0D0D0D" w:themeColor="text1" w:themeTint="F2"/>
          <w:sz w:val="24"/>
          <w:szCs w:val="36"/>
          <w14:textFill>
            <w14:solidFill>
              <w14:schemeClr w14:val="tx1">
                <w14:lumMod w14:val="95000"/>
                <w14:lumOff w14:val="5000"/>
              </w14:schemeClr>
            </w14:solidFill>
          </w14:textFill>
        </w:rPr>
      </w:pPr>
      <w:bookmarkStart w:id="14" w:name="_Toc188439084"/>
      <w:bookmarkStart w:id="15" w:name="_Toc191203193"/>
      <w:r>
        <w:rPr>
          <w:rFonts w:hint="eastAsia" w:hAnsi="宋体"/>
          <w:b/>
          <w:bCs/>
          <w:color w:val="0D0D0D" w:themeColor="text1" w:themeTint="F2"/>
          <w:sz w:val="24"/>
          <w:szCs w:val="36"/>
          <w14:textFill>
            <w14:solidFill>
              <w14:schemeClr w14:val="tx1">
                <w14:lumMod w14:val="95000"/>
                <w14:lumOff w14:val="5000"/>
              </w14:schemeClr>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4"/>
      <w:bookmarkEnd w:id="15"/>
    </w:p>
    <w:p>
      <w:pPr>
        <w:adjustRightInd w:val="0"/>
        <w:snapToGrid w:val="0"/>
        <w:spacing w:line="360" w:lineRule="auto"/>
        <w:ind w:firstLine="472" w:firstLineChars="196"/>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一、参选文件不予受理的情形（由比选人负责判定）:</w:t>
      </w:r>
    </w:p>
    <w:p>
      <w:pPr>
        <w:adjustRightInd w:val="0"/>
        <w:snapToGrid w:val="0"/>
        <w:spacing w:line="360" w:lineRule="auto"/>
        <w:ind w:left="480"/>
        <w:rPr>
          <w:rFonts w:ascii="宋体" w:hAnsi="宋体"/>
          <w:bCs/>
          <w:color w:val="0D0D0D" w:themeColor="text1" w:themeTint="F2"/>
          <w:sz w:val="24"/>
          <w:szCs w:val="32"/>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adjustRightInd w:val="0"/>
        <w:snapToGrid w:val="0"/>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2.参选文件</w:t>
      </w:r>
      <w:r>
        <w:rPr>
          <w:rFonts w:ascii="宋体" w:hAnsi="宋体"/>
          <w:bCs/>
          <w:color w:val="0D0D0D" w:themeColor="text1" w:themeTint="F2"/>
          <w:sz w:val="24"/>
          <w:szCs w:val="24"/>
          <w14:textFill>
            <w14:solidFill>
              <w14:schemeClr w14:val="tx1">
                <w14:lumMod w14:val="95000"/>
                <w14:lumOff w14:val="5000"/>
              </w14:schemeClr>
            </w14:solidFill>
          </w14:textFill>
        </w:rPr>
        <w:t>未按规定封</w:t>
      </w:r>
      <w:r>
        <w:rPr>
          <w:rFonts w:hint="eastAsia" w:ascii="宋体" w:hAnsi="宋体"/>
          <w:bCs/>
          <w:color w:val="0D0D0D" w:themeColor="text1" w:themeTint="F2"/>
          <w:sz w:val="24"/>
          <w:szCs w:val="24"/>
          <w14:textFill>
            <w14:solidFill>
              <w14:schemeClr w14:val="tx1">
                <w14:lumMod w14:val="95000"/>
                <w14:lumOff w14:val="5000"/>
              </w14:schemeClr>
            </w14:solidFill>
          </w14:textFill>
        </w:rPr>
        <w:t>装</w:t>
      </w:r>
      <w:r>
        <w:rPr>
          <w:rFonts w:ascii="宋体" w:hAnsi="宋体"/>
          <w:bCs/>
          <w:color w:val="0D0D0D" w:themeColor="text1" w:themeTint="F2"/>
          <w:sz w:val="24"/>
          <w:szCs w:val="24"/>
          <w14:textFill>
            <w14:solidFill>
              <w14:schemeClr w14:val="tx1">
                <w14:lumMod w14:val="95000"/>
                <w14:lumOff w14:val="5000"/>
              </w14:schemeClr>
            </w14:solidFill>
          </w14:textFill>
        </w:rPr>
        <w:t>和加盖参选人公章的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14:textFill>
            <w14:solidFill>
              <w14:schemeClr w14:val="tx1">
                <w14:lumMod w14:val="95000"/>
                <w14:lumOff w14:val="5000"/>
              </w14:schemeClr>
            </w14:solidFill>
          </w14:textFill>
        </w:rPr>
        <w:t>参选文件有下列情形之一的，初步评审不合格，应作无效标处理</w:t>
      </w:r>
      <w:r>
        <w:rPr>
          <w:rFonts w:hint="eastAsia" w:ascii="宋体" w:hAnsi="宋体"/>
          <w:b/>
          <w:bCs/>
          <w:color w:val="0D0D0D" w:themeColor="text1" w:themeTint="F2"/>
          <w:sz w:val="24"/>
          <w:szCs w:val="32"/>
          <w14:textFill>
            <w14:solidFill>
              <w14:schemeClr w14:val="tx1">
                <w14:lumMod w14:val="95000"/>
                <w14:lumOff w14:val="5000"/>
              </w14:schemeClr>
            </w14:solidFill>
          </w14:textFill>
        </w:rPr>
        <w:t>（由评标委员会负责判定）</w:t>
      </w:r>
      <w:r>
        <w:rPr>
          <w:rFonts w:hint="eastAsia" w:ascii="宋体" w:hAnsi="宋体"/>
          <w:b/>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1．参选文件未按要求加盖参选人公章的；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2．参选文件</w:t>
      </w:r>
      <w:r>
        <w:rPr>
          <w:rFonts w:ascii="宋体" w:hAnsi="宋体"/>
          <w:color w:val="0D0D0D" w:themeColor="text1" w:themeTint="F2"/>
          <w:sz w:val="24"/>
          <w14:textFill>
            <w14:solidFill>
              <w14:schemeClr w14:val="tx1">
                <w14:lumMod w14:val="95000"/>
                <w14:lumOff w14:val="5000"/>
              </w14:schemeClr>
            </w14:solidFill>
          </w14:textFill>
        </w:rPr>
        <w:t>未经法定代表人或其委托代理人签字</w:t>
      </w:r>
      <w:r>
        <w:rPr>
          <w:rFonts w:hint="eastAsia" w:ascii="宋体" w:hAnsi="宋体"/>
          <w:color w:val="0D0D0D" w:themeColor="text1" w:themeTint="F2"/>
          <w:sz w:val="24"/>
          <w14:textFill>
            <w14:solidFill>
              <w14:schemeClr w14:val="tx1">
                <w14:lumMod w14:val="95000"/>
                <w14:lumOff w14:val="5000"/>
              </w14:schemeClr>
            </w14:solidFill>
          </w14:textFill>
        </w:rPr>
        <w:t>或盖章</w:t>
      </w:r>
      <w:r>
        <w:rPr>
          <w:rFonts w:ascii="宋体" w:hAnsi="宋体"/>
          <w:color w:val="0D0D0D" w:themeColor="text1" w:themeTint="F2"/>
          <w:sz w:val="24"/>
          <w14:textFill>
            <w14:solidFill>
              <w14:schemeClr w14:val="tx1">
                <w14:lumMod w14:val="95000"/>
                <w14:lumOff w14:val="5000"/>
              </w14:schemeClr>
            </w14:solidFill>
          </w14:textFill>
        </w:rPr>
        <w:t>的，或</w:t>
      </w:r>
      <w:r>
        <w:rPr>
          <w:rFonts w:hint="eastAsia" w:ascii="宋体" w:hAnsi="宋体"/>
          <w:color w:val="0D0D0D" w:themeColor="text1" w:themeTint="F2"/>
          <w:sz w:val="24"/>
          <w14:textFill>
            <w14:solidFill>
              <w14:schemeClr w14:val="tx1">
                <w14:lumMod w14:val="95000"/>
                <w14:lumOff w14:val="5000"/>
              </w14:schemeClr>
            </w14:solidFill>
          </w14:textFill>
        </w:rPr>
        <w:t>有</w:t>
      </w:r>
      <w:r>
        <w:rPr>
          <w:rFonts w:ascii="宋体" w:hAnsi="宋体"/>
          <w:color w:val="0D0D0D" w:themeColor="text1" w:themeTint="F2"/>
          <w:sz w:val="24"/>
          <w14:textFill>
            <w14:solidFill>
              <w14:schemeClr w14:val="tx1">
                <w14:lumMod w14:val="95000"/>
                <w14:lumOff w14:val="5000"/>
              </w14:schemeClr>
            </w14:solidFill>
          </w14:textFill>
        </w:rPr>
        <w:t>委托代理人签字但未随参选文件一起提供“法定代表人授权书”原件的；</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3．对固定的参选格式文件内容进行了实质性修改，或加进额外的条件；</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4．《参选函》</w:t>
      </w:r>
      <w:r>
        <w:rPr>
          <w:rFonts w:ascii="宋体" w:hAnsi="宋体"/>
          <w:color w:val="0D0D0D" w:themeColor="text1" w:themeTint="F2"/>
          <w:sz w:val="24"/>
          <w14:textFill>
            <w14:solidFill>
              <w14:schemeClr w14:val="tx1">
                <w14:lumMod w14:val="95000"/>
                <w14:lumOff w14:val="5000"/>
              </w14:schemeClr>
            </w14:solidFill>
          </w14:textFill>
        </w:rPr>
        <w:t>中的内容未按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文件的</w:t>
      </w:r>
      <w:r>
        <w:rPr>
          <w:rFonts w:hint="eastAsia" w:ascii="宋体" w:hAnsi="宋体"/>
          <w:color w:val="0D0D0D" w:themeColor="text1" w:themeTint="F2"/>
          <w:sz w:val="24"/>
          <w14:textFill>
            <w14:solidFill>
              <w14:schemeClr w14:val="tx1">
                <w14:lumMod w14:val="95000"/>
                <w14:lumOff w14:val="5000"/>
              </w14:schemeClr>
            </w14:solidFill>
          </w14:textFill>
        </w:rPr>
        <w:t>要求</w:t>
      </w:r>
      <w:r>
        <w:rPr>
          <w:rFonts w:ascii="宋体" w:hAnsi="宋体"/>
          <w:color w:val="0D0D0D" w:themeColor="text1" w:themeTint="F2"/>
          <w:sz w:val="24"/>
          <w14:textFill>
            <w14:solidFill>
              <w14:schemeClr w14:val="tx1">
                <w14:lumMod w14:val="95000"/>
                <w14:lumOff w14:val="5000"/>
              </w14:schemeClr>
            </w14:solidFill>
          </w14:textFill>
        </w:rPr>
        <w:t>填写；</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sz w:val="24"/>
        </w:rPr>
        <w:t>参选人的报价超出本项目参选上限价或分项价格上限的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 xml:space="preserve">6. </w:t>
      </w:r>
      <w:r>
        <w:rPr>
          <w:rFonts w:hint="eastAsia" w:ascii="宋体" w:hAnsi="宋体"/>
          <w:color w:val="0D0D0D" w:themeColor="text1" w:themeTint="F2"/>
          <w:sz w:val="24"/>
          <w14:textFill>
            <w14:solidFill>
              <w14:schemeClr w14:val="tx1">
                <w14:lumMod w14:val="95000"/>
                <w14:lumOff w14:val="5000"/>
              </w14:schemeClr>
            </w14:solidFill>
          </w14:textFill>
        </w:rPr>
        <w:t>经审查</w:t>
      </w:r>
      <w:r>
        <w:rPr>
          <w:rFonts w:ascii="宋体" w:hAnsi="宋体"/>
          <w:color w:val="0D0D0D" w:themeColor="text1" w:themeTint="F2"/>
          <w:sz w:val="24"/>
          <w14:textFill>
            <w14:solidFill>
              <w14:schemeClr w14:val="tx1">
                <w14:lumMod w14:val="95000"/>
                <w14:lumOff w14:val="5000"/>
              </w14:schemeClr>
            </w14:solidFill>
          </w14:textFill>
        </w:rPr>
        <w:t>参选人不符合资格要求的。</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三、参选文件存在下列情形的，应作废标处理（由评标委员会负责判定）：</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1．参选人以他人的名义参选或出现串通参选、弄虚作假情形的；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2、不同参选人的参选文件内容存在非正常一致的</w:t>
      </w:r>
      <w:r>
        <w:rPr>
          <w:rFonts w:hint="eastAsia" w:ascii="宋体" w:hAnsi="宋体"/>
          <w:sz w:val="24"/>
        </w:rPr>
        <w:t>（包括但不限于线上递交参选文件的CPU序号、硬盘序列号、MAC地址、IP地址等）</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3、不同参选人的参选文件错漏之处一致的；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r>
        <w:rPr>
          <w:rFonts w:hint="eastAsia" w:ascii="宋体" w:hAnsi="宋体"/>
          <w:sz w:val="24"/>
        </w:rPr>
        <w:t>不同参选人的参选报价或者报价组成异常一致或者呈规律性变化的；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、不同参选人的参选文件由同一单位或者同一个人编制的；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sz w:val="24"/>
        </w:rPr>
        <w:t>不同参选人的参选文件载明的项目负责人与主要技术人员出现同一人的；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7</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、不同参选人的参选文件相互混装的；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8</w:t>
      </w:r>
      <w:r>
        <w:rPr>
          <w:rFonts w:hint="eastAsia" w:ascii="宋体" w:hAnsi="宋体"/>
          <w:color w:val="0D0D0D" w:themeColor="text1" w:themeTint="F2"/>
          <w:sz w:val="24"/>
          <w14:textFill>
            <w14:solidFill>
              <w14:schemeClr w14:val="tx1">
                <w14:lumMod w14:val="95000"/>
                <w14:lumOff w14:val="5000"/>
              </w14:schemeClr>
            </w14:solidFill>
          </w14:textFill>
        </w:rPr>
        <w:t>、不同参选人委托同一人参选的；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9</w:t>
      </w:r>
      <w:r>
        <w:rPr>
          <w:rFonts w:hint="eastAsia" w:ascii="宋体" w:hAnsi="宋体"/>
          <w:color w:val="0D0D0D" w:themeColor="text1" w:themeTint="F2"/>
          <w:sz w:val="24"/>
          <w14:textFill>
            <w14:solidFill>
              <w14:schemeClr w14:val="tx1">
                <w14:lumMod w14:val="95000"/>
                <w14:lumOff w14:val="5000"/>
              </w14:schemeClr>
            </w14:solidFill>
          </w14:textFill>
        </w:rPr>
        <w:t>、参选人拒不按照评标委员会要求对参选文件进行澄清、说明、补正的。</w:t>
      </w:r>
    </w:p>
    <w:p>
      <w:pPr>
        <w:spacing w:line="360" w:lineRule="auto"/>
        <w:ind w:firstLine="480" w:firstLineChars="200"/>
        <w:rPr>
          <w:rFonts w:ascii="宋体" w:hAnsi="宋体"/>
          <w:sz w:val="24"/>
          <w:szCs w:val="24"/>
        </w:rPr>
      </w:pPr>
      <w:r>
        <w:rPr>
          <w:rFonts w:hint="eastAsia" w:ascii="宋体" w:hAnsi="宋体"/>
          <w:sz w:val="24"/>
          <w:szCs w:val="24"/>
        </w:rPr>
        <w:t>当参选人出现上述</w:t>
      </w:r>
      <w:r>
        <w:rPr>
          <w:rFonts w:ascii="宋体" w:hAnsi="宋体"/>
          <w:sz w:val="24"/>
          <w:szCs w:val="24"/>
        </w:rPr>
        <w:t>9</w:t>
      </w:r>
      <w:r>
        <w:rPr>
          <w:rFonts w:hint="eastAsia" w:ascii="宋体" w:hAnsi="宋体"/>
          <w:sz w:val="24"/>
          <w:szCs w:val="24"/>
        </w:rPr>
        <w:t>条的情形时，比选人将该参选人列入比选人不良诚信行为名录，并保留对外公示的权利。</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四</w:t>
      </w:r>
      <w:r>
        <w:rPr>
          <w:rFonts w:ascii="宋体" w:hAnsi="宋体"/>
          <w:b/>
          <w:color w:val="0D0D0D" w:themeColor="text1" w:themeTint="F2"/>
          <w:sz w:val="24"/>
          <w14:textFill>
            <w14:solidFill>
              <w14:schemeClr w14:val="tx1">
                <w14:lumMod w14:val="95000"/>
                <w14:lumOff w14:val="5000"/>
              </w14:schemeClr>
            </w14:solidFill>
          </w14:textFill>
        </w:rPr>
        <w:t>、本项目不接受有下列情形之一的企业或从业人员参与参选：</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2017</w:t>
      </w:r>
      <w:r>
        <w:rPr>
          <w:rFonts w:hint="eastAsia" w:ascii="宋体" w:hAnsi="宋体"/>
          <w:color w:val="0D0D0D" w:themeColor="text1" w:themeTint="F2"/>
          <w:sz w:val="24"/>
          <w14:textFill>
            <w14:solidFill>
              <w14:schemeClr w14:val="tx1">
                <w14:lumMod w14:val="95000"/>
                <w14:lumOff w14:val="5000"/>
              </w14:schemeClr>
            </w14:solidFill>
          </w14:textFill>
        </w:rPr>
        <w:t>年</w:t>
      </w:r>
      <w:r>
        <w:rPr>
          <w:rFonts w:ascii="宋体" w:hAnsi="宋体"/>
          <w:color w:val="0D0D0D" w:themeColor="text1" w:themeTint="F2"/>
          <w:sz w:val="24"/>
          <w14:textFill>
            <w14:solidFill>
              <w14:schemeClr w14:val="tx1">
                <w14:lumMod w14:val="95000"/>
                <w14:lumOff w14:val="5000"/>
              </w14:schemeClr>
            </w14:solidFill>
          </w14:textFill>
        </w:rPr>
        <w:t>1月1日以来，有串通参选不良行为记录或涉嫌串通参选，并正在接受城市主管部门调查的参选申请人；</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2</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联合体参选申请人。</w:t>
      </w: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rPr>
          <w:rFonts w:ascii="宋体" w:hAnsi="宋体"/>
          <w:color w:val="0D0D0D" w:themeColor="text1" w:themeTint="F2"/>
          <w:sz w:val="44"/>
          <w:szCs w:val="44"/>
          <w14:textFill>
            <w14:solidFill>
              <w14:schemeClr w14:val="tx1">
                <w14:lumMod w14:val="95000"/>
                <w14:lumOff w14:val="5000"/>
              </w14:schemeClr>
            </w14:solidFill>
          </w14:textFill>
        </w:rPr>
      </w:pPr>
    </w:p>
    <w:p>
      <w:pPr>
        <w:pStyle w:val="4"/>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bookmarkStart w:id="16" w:name="_Toc98264004"/>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bookmarkEnd w:id="16"/>
    </w:p>
    <w:p/>
    <w:bookmarkEnd w:id="7"/>
    <w:p>
      <w:pPr>
        <w:adjustRightInd w:val="0"/>
        <w:snapToGrid w:val="0"/>
        <w:spacing w:line="336"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r>
        <w:rPr>
          <w:rFonts w:hint="eastAsia" w:ascii="宋体" w:hAnsi="宋体"/>
          <w:bCs/>
          <w:color w:val="0D0D0D" w:themeColor="text1" w:themeTint="F2"/>
          <w:kern w:val="0"/>
          <w:sz w:val="24"/>
          <w:szCs w:val="22"/>
          <w14:textFill>
            <w14:solidFill>
              <w14:schemeClr w14:val="tx1">
                <w14:lumMod w14:val="95000"/>
                <w14:lumOff w14:val="5000"/>
              </w14:schemeClr>
            </w14:solidFill>
          </w14:textFill>
        </w:rPr>
        <w:t>拟对</w:t>
      </w:r>
      <w:r>
        <w:rPr>
          <w:rFonts w:hint="eastAsia" w:hAnsi="宋体"/>
          <w:b/>
          <w:bCs/>
          <w:color w:val="0D0D0D" w:themeColor="text1" w:themeTint="F2"/>
          <w:sz w:val="24"/>
          <w:szCs w:val="22"/>
          <w:u w:val="single"/>
          <w14:textFill>
            <w14:solidFill>
              <w14:schemeClr w14:val="tx1">
                <w14:lumMod w14:val="95000"/>
                <w14:lumOff w14:val="5000"/>
              </w14:schemeClr>
            </w14:solidFill>
          </w14:textFill>
        </w:rPr>
        <w:t>深铁置业2022年度拟销售项目展示区开放系列活动、现场包装及宣传推广服务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4"/>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深铁置业2022年度拟销售项目展示区开放系列活动、现场包装及宣传推广服务</w:t>
      </w:r>
    </w:p>
    <w:p>
      <w:pPr>
        <w:pStyle w:val="24"/>
        <w:snapToGrid w:val="0"/>
        <w:spacing w:line="336" w:lineRule="auto"/>
        <w:ind w:firstLine="482" w:firstLineChars="200"/>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2223"/>
        <w:gridCol w:w="6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序号</w:t>
            </w:r>
          </w:p>
        </w:tc>
        <w:tc>
          <w:tcPr>
            <w:tcW w:w="1164"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项目名称</w:t>
            </w:r>
          </w:p>
        </w:tc>
        <w:tc>
          <w:tcPr>
            <w:tcW w:w="3474"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1</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深铁珑境花园</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深铁珑境花园位于深圳市龙华区大浪街道布龙路与和平路交汇处，接驳地铁4号线龙胜站。项目为深铁置业在龙华首献作品，住宅首批主推建面约180</w:t>
            </w:r>
            <w:r>
              <w:rPr>
                <w:rFonts w:hint="eastAsia" w:ascii="宋体" w:hAnsi="宋体" w:cs="Segoe UI Symbol"/>
                <w:kern w:val="0"/>
                <w:sz w:val="22"/>
                <w:szCs w:val="22"/>
              </w:rPr>
              <w:t>㎡</w:t>
            </w:r>
            <w:r>
              <w:rPr>
                <w:rFonts w:hint="eastAsia" w:ascii="宋体" w:hAnsi="宋体" w:cs="仿宋_GB2312"/>
                <w:kern w:val="0"/>
                <w:sz w:val="22"/>
                <w:szCs w:val="22"/>
              </w:rPr>
              <w:t>复式</w:t>
            </w:r>
            <w:r>
              <w:rPr>
                <w:rFonts w:hint="eastAsia" w:ascii="宋体" w:hAnsi="宋体"/>
                <w:kern w:val="0"/>
                <w:sz w:val="22"/>
                <w:szCs w:val="22"/>
              </w:rPr>
              <w:t>和10</w:t>
            </w:r>
            <w:r>
              <w:rPr>
                <w:rFonts w:ascii="宋体" w:hAnsi="宋体"/>
                <w:kern w:val="0"/>
                <w:sz w:val="22"/>
                <w:szCs w:val="22"/>
              </w:rPr>
              <w:t>7</w:t>
            </w:r>
            <w:r>
              <w:rPr>
                <w:rFonts w:hint="eastAsia" w:ascii="宋体" w:hAnsi="宋体"/>
                <w:kern w:val="0"/>
                <w:sz w:val="22"/>
                <w:szCs w:val="22"/>
              </w:rPr>
              <w:t>-143</w:t>
            </w:r>
            <w:r>
              <w:rPr>
                <w:rFonts w:hint="eastAsia" w:ascii="宋体" w:hAnsi="宋体" w:cs="Segoe UI Symbol"/>
                <w:kern w:val="0"/>
                <w:sz w:val="22"/>
                <w:szCs w:val="22"/>
              </w:rPr>
              <w:t>㎡</w:t>
            </w:r>
            <w:r>
              <w:rPr>
                <w:rFonts w:hint="eastAsia" w:ascii="宋体" w:hAnsi="宋体" w:cs="仿宋_GB2312"/>
                <w:kern w:val="0"/>
                <w:sz w:val="22"/>
                <w:szCs w:val="22"/>
              </w:rPr>
              <w:t>洋</w:t>
            </w:r>
            <w:r>
              <w:rPr>
                <w:rFonts w:hint="eastAsia" w:ascii="宋体" w:hAnsi="宋体"/>
                <w:kern w:val="0"/>
                <w:sz w:val="22"/>
                <w:szCs w:val="22"/>
              </w:rPr>
              <w:t>房，是集高端住宅、缤纷商业、生态景观、自带学府约28万</w:t>
            </w:r>
            <w:r>
              <w:rPr>
                <w:rFonts w:hint="eastAsia" w:ascii="宋体" w:hAnsi="宋体" w:cs="Segoe UI Symbol"/>
                <w:kern w:val="0"/>
                <w:sz w:val="22"/>
                <w:szCs w:val="22"/>
              </w:rPr>
              <w:t>㎡</w:t>
            </w:r>
            <w:r>
              <w:rPr>
                <w:rFonts w:hint="eastAsia" w:ascii="宋体" w:hAnsi="宋体" w:cs="仿宋_GB2312"/>
                <w:kern w:val="0"/>
                <w:sz w:val="22"/>
                <w:szCs w:val="22"/>
              </w:rPr>
              <w:t>纯居大型综合体，以超低密度、低容积率定义舒居生活</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2</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深铁璟城</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深铁璟城位于深圳市宝安区松岗片区地铁11号线终点站碧头站上盖，东宝河南侧，松福大道以北。项目总占地约33万</w:t>
            </w:r>
            <w:r>
              <w:rPr>
                <w:rFonts w:hint="eastAsia" w:ascii="宋体" w:hAnsi="宋体" w:cs="Segoe UI Symbol"/>
                <w:kern w:val="0"/>
                <w:sz w:val="22"/>
                <w:szCs w:val="22"/>
              </w:rPr>
              <w:t>㎡</w:t>
            </w:r>
            <w:r>
              <w:rPr>
                <w:rFonts w:hint="eastAsia" w:ascii="宋体" w:hAnsi="宋体" w:cs="仿宋_GB2312"/>
                <w:kern w:val="0"/>
                <w:sz w:val="22"/>
                <w:szCs w:val="22"/>
              </w:rPr>
              <w:t>，建筑面积约</w:t>
            </w:r>
            <w:r>
              <w:rPr>
                <w:rFonts w:hint="eastAsia" w:ascii="宋体" w:hAnsi="宋体"/>
                <w:kern w:val="0"/>
                <w:sz w:val="22"/>
                <w:szCs w:val="22"/>
              </w:rPr>
              <w:t>70万</w:t>
            </w:r>
            <w:r>
              <w:rPr>
                <w:rFonts w:hint="eastAsia" w:ascii="宋体" w:hAnsi="宋体" w:cs="Segoe UI Symbol"/>
                <w:kern w:val="0"/>
                <w:sz w:val="22"/>
                <w:szCs w:val="22"/>
              </w:rPr>
              <w:t>㎡</w:t>
            </w:r>
            <w:r>
              <w:rPr>
                <w:rFonts w:hint="eastAsia" w:ascii="宋体" w:hAnsi="宋体" w:cs="仿宋_GB2312"/>
                <w:kern w:val="0"/>
                <w:sz w:val="22"/>
                <w:szCs w:val="22"/>
              </w:rPr>
              <w:t>，是集高端住宅、缤纷商业、运动公园、九年教育配套于一体的大型生态综合体，其中首批推出北区盖上</w:t>
            </w:r>
            <w:r>
              <w:rPr>
                <w:rFonts w:hint="eastAsia" w:ascii="宋体" w:hAnsi="宋体"/>
                <w:kern w:val="0"/>
                <w:sz w:val="22"/>
                <w:szCs w:val="22"/>
              </w:rPr>
              <w:t>1244套75-148平2-4房的低密住宅产品。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3</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深铁懿府</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深铁懿府位于深圳南山华侨城北片区，安托山西侧，深云路以东，广深高速以北。项目总建设用地面积约</w:t>
            </w:r>
            <w:r>
              <w:rPr>
                <w:rFonts w:ascii="宋体" w:hAnsi="宋体"/>
                <w:kern w:val="0"/>
                <w:sz w:val="22"/>
                <w:szCs w:val="22"/>
              </w:rPr>
              <w:t>21万㎡，总建筑面积约75万㎡</w:t>
            </w:r>
            <w:r>
              <w:rPr>
                <w:rFonts w:hint="eastAsia" w:ascii="宋体" w:hAnsi="宋体"/>
                <w:kern w:val="0"/>
                <w:sz w:val="22"/>
                <w:szCs w:val="22"/>
              </w:rPr>
              <w:t>，</w:t>
            </w:r>
            <w:r>
              <w:rPr>
                <w:rFonts w:ascii="宋体" w:hAnsi="宋体"/>
                <w:kern w:val="0"/>
                <w:sz w:val="22"/>
                <w:szCs w:val="22"/>
              </w:rPr>
              <w:t>是集住宅、商务公寓、写字楼、商业、教育配套、体育公园于一体的“复合人文生态综合体”。深铁懿府三期可售总面积约 68400㎡，可售套数约282套，主力户型为建筑面积约240㎡5房</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4</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地铁前海时代广场</w:t>
            </w:r>
            <w:r>
              <w:rPr>
                <w:rFonts w:ascii="宋体" w:hAnsi="宋体"/>
                <w:kern w:val="0"/>
                <w:sz w:val="22"/>
                <w:szCs w:val="22"/>
              </w:rPr>
              <w:t>4号地块</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地铁前海时代广场位于深圳南山前海桂湾片区，梦海大道以东，怡海大道以西，桂湾四路以南，滨海大道以北。项目总建设用地面积约</w:t>
            </w:r>
            <w:r>
              <w:rPr>
                <w:rFonts w:ascii="宋体" w:hAnsi="宋体"/>
                <w:kern w:val="0"/>
                <w:sz w:val="22"/>
                <w:szCs w:val="22"/>
              </w:rPr>
              <w:t>33.6万㎡，总建筑面积约131万㎡</w:t>
            </w:r>
            <w:r>
              <w:rPr>
                <w:rFonts w:hint="eastAsia" w:ascii="宋体" w:hAnsi="宋体"/>
                <w:kern w:val="0"/>
                <w:sz w:val="22"/>
                <w:szCs w:val="22"/>
              </w:rPr>
              <w:t>，</w:t>
            </w:r>
            <w:r>
              <w:rPr>
                <w:rFonts w:ascii="宋体" w:hAnsi="宋体"/>
                <w:kern w:val="0"/>
                <w:sz w:val="22"/>
                <w:szCs w:val="22"/>
              </w:rPr>
              <w:t>是集住宅、商务公寓、写字楼、商业、酒店、教育配套、保障性住房于一体的“全业态综合体项目”。其中4号地块总面积为234451㎡，主要为办公、公寓及商业，定位全能商务综合体旗舰</w:t>
            </w:r>
            <w:r>
              <w:rPr>
                <w:rFonts w:hint="eastAsia" w:ascii="宋体" w:hAnsi="宋体"/>
                <w:kern w:val="0"/>
                <w:sz w:val="22"/>
                <w:szCs w:val="22"/>
              </w:rPr>
              <w:t>，</w:t>
            </w:r>
            <w:r>
              <w:rPr>
                <w:rFonts w:ascii="宋体" w:hAnsi="宋体"/>
                <w:kern w:val="0"/>
                <w:sz w:val="22"/>
                <w:szCs w:val="22"/>
              </w:rPr>
              <w:t>办公总面积为169350㎡</w:t>
            </w:r>
            <w:r>
              <w:rPr>
                <w:rFonts w:hint="eastAsia" w:ascii="宋体" w:hAnsi="宋体"/>
                <w:kern w:val="0"/>
                <w:sz w:val="22"/>
                <w:szCs w:val="22"/>
              </w:rPr>
              <w:t>，</w:t>
            </w:r>
            <w:r>
              <w:rPr>
                <w:rFonts w:ascii="宋体" w:hAnsi="宋体"/>
                <w:kern w:val="0"/>
                <w:sz w:val="22"/>
                <w:szCs w:val="22"/>
              </w:rPr>
              <w:t>公寓销售产品共计27200㎡。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5</w:t>
            </w:r>
          </w:p>
        </w:tc>
        <w:tc>
          <w:tcPr>
            <w:tcW w:w="1164" w:type="pct"/>
            <w:vAlign w:val="center"/>
          </w:tcPr>
          <w:p>
            <w:pPr>
              <w:adjustRightInd w:val="0"/>
              <w:snapToGrid w:val="0"/>
              <w:spacing w:line="276" w:lineRule="auto"/>
              <w:rPr>
                <w:rFonts w:ascii="宋体" w:hAnsi="宋体"/>
                <w:kern w:val="0"/>
                <w:sz w:val="22"/>
                <w:szCs w:val="22"/>
              </w:rPr>
            </w:pPr>
            <w:bookmarkStart w:id="17" w:name="_Hlk93996622"/>
            <w:r>
              <w:rPr>
                <w:rFonts w:hint="eastAsia" w:ascii="宋体" w:hAnsi="宋体"/>
                <w:kern w:val="0"/>
                <w:sz w:val="22"/>
                <w:szCs w:val="22"/>
              </w:rPr>
              <w:t>深铁赤湾项目</w:t>
            </w:r>
            <w:bookmarkEnd w:id="17"/>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深铁赤湾项目位于赤湾山以南，</w:t>
            </w:r>
            <w:r>
              <w:rPr>
                <w:rFonts w:ascii="宋体" w:hAnsi="宋体"/>
                <w:kern w:val="0"/>
                <w:sz w:val="22"/>
                <w:szCs w:val="22"/>
              </w:rPr>
              <w:t>12号线左炮台站，为地铁停车场开发物业</w:t>
            </w:r>
            <w:r>
              <w:rPr>
                <w:rFonts w:hint="eastAsia" w:ascii="宋体" w:hAnsi="宋体"/>
                <w:kern w:val="0"/>
                <w:sz w:val="22"/>
                <w:szCs w:val="22"/>
              </w:rPr>
              <w:t>。项目总</w:t>
            </w:r>
            <w:r>
              <w:rPr>
                <w:rFonts w:ascii="宋体" w:hAnsi="宋体"/>
                <w:kern w:val="0"/>
                <w:sz w:val="22"/>
                <w:szCs w:val="22"/>
              </w:rPr>
              <w:t>占地14.5万㎡，由商品房、可售型人才房、商业、幼儿园、九年一贯制学校、公共配套等组成。基于本项目自贸双核、倚山瞰海、生态景观、国际化人文环境的价值优势，整体定位为“自贸滨海中心·高端山海大境”，打造绿色、瞰海、国际、私享的高端豪宅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6</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深铁瑞城项目</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瑞城项目位于长圳车辆段，用地位于光侨路以北，科裕路以西，东长大道以东。项目用地面积188520㎡，总建筑面积633143㎡，总房源4776套。项目是集住宅、商业、教育配套、体育公园于一体的“复合人文生态综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7</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color w:val="000000"/>
                <w:sz w:val="22"/>
                <w:szCs w:val="22"/>
              </w:rPr>
              <w:t>山海漫街</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color w:val="000000"/>
                <w:sz w:val="22"/>
                <w:szCs w:val="22"/>
              </w:rPr>
              <w:t>山海漫街商业项目为南山蛇口西龙瑞</w:t>
            </w:r>
            <w:r>
              <w:rPr>
                <w:rFonts w:ascii="宋体" w:hAnsi="宋体"/>
                <w:color w:val="000000"/>
                <w:sz w:val="22"/>
                <w:szCs w:val="22"/>
              </w:rPr>
              <w:t>佳园商业裙楼</w:t>
            </w:r>
            <w:r>
              <w:rPr>
                <w:rFonts w:hint="eastAsia" w:ascii="宋体" w:hAnsi="宋体"/>
                <w:color w:val="000000"/>
                <w:sz w:val="22"/>
                <w:szCs w:val="22"/>
              </w:rPr>
              <w:t>，面积约</w:t>
            </w:r>
            <w:r>
              <w:rPr>
                <w:rFonts w:ascii="宋体" w:hAnsi="宋体"/>
                <w:color w:val="000000"/>
                <w:sz w:val="22"/>
                <w:szCs w:val="22"/>
              </w:rPr>
              <w:t>5192</w:t>
            </w:r>
            <w:r>
              <w:rPr>
                <w:rFonts w:hint="eastAsia" w:ascii="宋体" w:hAnsi="宋体" w:cs="Batang"/>
                <w:color w:val="000000"/>
                <w:sz w:val="22"/>
                <w:szCs w:val="22"/>
              </w:rPr>
              <w:t>㎡</w:t>
            </w:r>
            <w:r>
              <w:rPr>
                <w:rFonts w:hint="eastAsia" w:ascii="宋体" w:hAnsi="宋体"/>
                <w:color w:val="000000"/>
                <w:sz w:val="22"/>
                <w:szCs w:val="22"/>
              </w:rPr>
              <w:t>，共31套商铺，面积约33-</w:t>
            </w:r>
            <w:r>
              <w:rPr>
                <w:rFonts w:ascii="宋体" w:hAnsi="宋体"/>
                <w:color w:val="000000"/>
                <w:sz w:val="22"/>
                <w:szCs w:val="22"/>
              </w:rPr>
              <w:t>304</w:t>
            </w:r>
            <w:r>
              <w:rPr>
                <w:rFonts w:hint="eastAsia" w:ascii="宋体" w:hAnsi="宋体" w:cs="Batang"/>
                <w:color w:val="000000"/>
                <w:sz w:val="22"/>
                <w:szCs w:val="22"/>
              </w:rPr>
              <w:t>㎡</w:t>
            </w:r>
            <w:r>
              <w:rPr>
                <w:rFonts w:hint="eastAsia" w:ascii="宋体" w:hAnsi="宋体" w:cs="仿宋_GB2312"/>
                <w:color w:val="000000"/>
                <w:sz w:val="22"/>
                <w:szCs w:val="22"/>
              </w:rPr>
              <w:t>不等</w:t>
            </w:r>
            <w:r>
              <w:rPr>
                <w:rFonts w:hint="eastAsia" w:ascii="宋体" w:hAnsi="宋体"/>
                <w:color w:val="000000"/>
                <w:sz w:val="22"/>
                <w:szCs w:val="22"/>
              </w:rPr>
              <w:t>。商业集中于架空层</w:t>
            </w:r>
            <w:r>
              <w:rPr>
                <w:rFonts w:ascii="宋体" w:hAnsi="宋体"/>
                <w:color w:val="000000"/>
                <w:sz w:val="22"/>
                <w:szCs w:val="22"/>
              </w:rPr>
              <w:t>10</w:t>
            </w:r>
            <w:r>
              <w:rPr>
                <w:rFonts w:hint="eastAsia" w:ascii="宋体" w:hAnsi="宋体"/>
                <w:color w:val="000000"/>
                <w:sz w:val="22"/>
                <w:szCs w:val="22"/>
              </w:rPr>
              <w:t>米平台，社区型围合式商业。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8</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深铁金融科技大厦</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深铁金融科技大厦地处科技园核心位置，两条地铁线接驳，南山区地标性建筑之一，片区商务氛围成熟，总部办公企业居多，主要以高新技术企业为主，承租能力强。项目占地约</w:t>
            </w:r>
            <w:r>
              <w:rPr>
                <w:rFonts w:ascii="宋体" w:hAnsi="宋体"/>
                <w:kern w:val="0"/>
                <w:sz w:val="22"/>
                <w:szCs w:val="22"/>
              </w:rPr>
              <w:t>9800㎡，建筑面积约97760㎡，集甲级办公、酒店、商业、片区交通枢纽为一体的超高层综合体，其中办公建筑面积约42487㎡</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9</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深铁置业大厦</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深铁置业大厦位于车公庙商务区，四条地铁线接驳，与绿景</w:t>
            </w:r>
            <w:r>
              <w:rPr>
                <w:rFonts w:ascii="宋体" w:hAnsi="宋体"/>
                <w:kern w:val="0"/>
                <w:sz w:val="22"/>
                <w:szCs w:val="22"/>
              </w:rPr>
              <w:t>NEO大厦呈香蜜湖路两侧双子楼</w:t>
            </w:r>
            <w:r>
              <w:rPr>
                <w:rFonts w:hint="eastAsia" w:ascii="宋体" w:hAnsi="宋体"/>
                <w:kern w:val="0"/>
                <w:sz w:val="22"/>
                <w:szCs w:val="22"/>
              </w:rPr>
              <w:t>，</w:t>
            </w:r>
            <w:r>
              <w:rPr>
                <w:rFonts w:ascii="宋体" w:hAnsi="宋体"/>
                <w:kern w:val="0"/>
                <w:sz w:val="22"/>
                <w:szCs w:val="22"/>
              </w:rPr>
              <w:t>项目占地约6559.5㎡，建筑高度249米，计容建筑面积约11.6万㎡，涵盖写字楼和配套商业，其中1-4层为商业面积约1.2万㎡</w:t>
            </w:r>
            <w:r>
              <w:rPr>
                <w:rFonts w:hint="eastAsia" w:ascii="宋体" w:hAnsi="宋体"/>
                <w:kern w:val="0"/>
                <w:sz w:val="22"/>
                <w:szCs w:val="22"/>
              </w:rPr>
              <w:t>，</w:t>
            </w:r>
            <w:r>
              <w:rPr>
                <w:rFonts w:ascii="宋体" w:hAnsi="宋体"/>
                <w:kern w:val="0"/>
                <w:sz w:val="22"/>
                <w:szCs w:val="22"/>
              </w:rPr>
              <w:t>办公设置在5-55层面积约10.3万㎡</w:t>
            </w:r>
            <w:r>
              <w:rPr>
                <w:rFonts w:hint="eastAsia" w:ascii="宋体" w:hAnsi="宋体"/>
                <w:kern w:val="0"/>
                <w:sz w:val="22"/>
                <w:szCs w:val="22"/>
              </w:rPr>
              <w:t>，是</w:t>
            </w:r>
            <w:r>
              <w:rPr>
                <w:rFonts w:ascii="宋体" w:hAnsi="宋体"/>
                <w:kern w:val="0"/>
                <w:sz w:val="22"/>
                <w:szCs w:val="22"/>
              </w:rPr>
              <w:t>集写字楼、商业、片区大型交通枢纽为一体的超高层综合体建筑。</w:t>
            </w:r>
          </w:p>
        </w:tc>
      </w:tr>
    </w:tbl>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24"/>
        <w:snapToGrid w:val="0"/>
        <w:spacing w:line="336"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本次开展深铁置业2022年度拟销售项目展示区开放系列活动、现场包装及宣传推广服务</w:t>
      </w:r>
      <w:r>
        <w:rPr>
          <w:rFonts w:hint="eastAsia" w:hAnsi="宋体"/>
          <w:bCs/>
          <w:color w:val="0D0D0D" w:themeColor="text1" w:themeTint="F2"/>
          <w:sz w:val="24"/>
          <w:szCs w:val="22"/>
          <w14:textFill>
            <w14:solidFill>
              <w14:schemeClr w14:val="tx1">
                <w14:lumMod w14:val="95000"/>
                <w14:lumOff w14:val="5000"/>
              </w14:schemeClr>
            </w14:solidFill>
          </w14:textFill>
        </w:rPr>
        <w:t>公司的公开比选，采用“一标两包”的形式，共产生两个中选人，并分别签订合同。</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铁置业2022年度拟销售项目展示区开放系列活动、现场包装及宣传推广服务为深铁珑境花园一期、深铁璟城一期、深铁懿府三期、地铁前海时代广场4号地块、深铁赤湾项目一期、深铁瑞城三期、山海漫街、深铁置业大厦、深铁科技金融大厦共9个项目包括但不限于展示区开放活动策划及执行、系列拓客和暖场活动策划及执行、现场包装相关物料采购、设计制作与执行、相关活动的收尾撤场、宣传推广等内容，具体要求如下：</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（一）活动部分</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展示区开放活动</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在项目展示区开放节点，根据具体项目的需求举办富有仪式感及特色的开放活动，主题鲜明、突出项目调性及品质，包括但不限于有：开放仪式、现场暖场表演、媒体互动交流形式及伴手礼、活动氛围营造及包装。</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其中展示区开放活动根据各项目展示区的不同分为：项目现场展示区开放活动、异地展示区开放活动、现场论坛活动等。</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系列拓客及暖场活动</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（1）拓客活动：项目结合圈层客户特点，举办有互动性、创意性的拓客活动，包含但不限于：酒会类活动、品鉴类活动、答谢类活动、音乐类活动等，以此撬动目标客户圈层吸引更多客户。</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（2）暖场活动：项目在开放展示区后，为吸引更多客户上门，并增加客户停留时间，拟于项目展示区举行暖场活动，活动内容需符合项目调性，有主题性、趣味性，能吸引客户停留。</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各项目活动铺排如下：</w:t>
      </w:r>
    </w:p>
    <w:tbl>
      <w:tblPr>
        <w:tblStyle w:val="47"/>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6"/>
        <w:gridCol w:w="1776"/>
        <w:gridCol w:w="1305"/>
        <w:gridCol w:w="1446"/>
        <w:gridCol w:w="1569"/>
        <w:gridCol w:w="1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1776"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主开放活动</w:t>
            </w:r>
          </w:p>
        </w:tc>
        <w:tc>
          <w:tcPr>
            <w:tcW w:w="1305"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其它开放活动1</w:t>
            </w:r>
          </w:p>
        </w:tc>
        <w:tc>
          <w:tcPr>
            <w:tcW w:w="1446"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其它开放活动2</w:t>
            </w:r>
          </w:p>
        </w:tc>
        <w:tc>
          <w:tcPr>
            <w:tcW w:w="1569"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拓客活动</w:t>
            </w:r>
          </w:p>
        </w:tc>
        <w:tc>
          <w:tcPr>
            <w:tcW w:w="1454"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暖场活动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1876" w:type="dxa"/>
            <w:vMerge w:val="continue"/>
            <w:vAlign w:val="center"/>
          </w:tcPr>
          <w:p>
            <w:pPr>
              <w:widowControl/>
              <w:jc w:val="left"/>
              <w:rPr>
                <w:rFonts w:ascii="宋体" w:hAnsi="宋体" w:cs="宋体"/>
                <w:color w:val="000000"/>
                <w:kern w:val="0"/>
                <w:sz w:val="18"/>
                <w:szCs w:val="18"/>
              </w:rPr>
            </w:pPr>
          </w:p>
        </w:tc>
        <w:tc>
          <w:tcPr>
            <w:tcW w:w="1776" w:type="dxa"/>
            <w:vMerge w:val="continue"/>
            <w:vAlign w:val="center"/>
          </w:tcPr>
          <w:p>
            <w:pPr>
              <w:widowControl/>
              <w:jc w:val="left"/>
              <w:rPr>
                <w:rFonts w:ascii="宋体" w:hAnsi="宋体" w:cs="宋体"/>
                <w:color w:val="000000"/>
                <w:kern w:val="0"/>
                <w:sz w:val="18"/>
                <w:szCs w:val="18"/>
              </w:rPr>
            </w:pPr>
          </w:p>
        </w:tc>
        <w:tc>
          <w:tcPr>
            <w:tcW w:w="1305" w:type="dxa"/>
            <w:vMerge w:val="continue"/>
            <w:vAlign w:val="center"/>
          </w:tcPr>
          <w:p>
            <w:pPr>
              <w:widowControl/>
              <w:jc w:val="left"/>
              <w:rPr>
                <w:rFonts w:ascii="宋体" w:hAnsi="宋体" w:cs="宋体"/>
                <w:color w:val="000000"/>
                <w:kern w:val="0"/>
                <w:sz w:val="18"/>
                <w:szCs w:val="18"/>
              </w:rPr>
            </w:pPr>
          </w:p>
        </w:tc>
        <w:tc>
          <w:tcPr>
            <w:tcW w:w="1446" w:type="dxa"/>
            <w:vMerge w:val="continue"/>
            <w:vAlign w:val="center"/>
          </w:tcPr>
          <w:p>
            <w:pPr>
              <w:widowControl/>
              <w:jc w:val="left"/>
              <w:rPr>
                <w:rFonts w:ascii="宋体" w:hAnsi="宋体" w:cs="宋体"/>
                <w:color w:val="000000"/>
                <w:kern w:val="0"/>
                <w:sz w:val="18"/>
                <w:szCs w:val="18"/>
              </w:rPr>
            </w:pPr>
          </w:p>
        </w:tc>
        <w:tc>
          <w:tcPr>
            <w:tcW w:w="1569"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1454"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深铁珑境花园一期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52F展示区开放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52F论坛/沙龙</w:t>
            </w:r>
          </w:p>
        </w:tc>
        <w:tc>
          <w:tcPr>
            <w:tcW w:w="1446" w:type="dxa"/>
            <w:shd w:val="clear" w:color="auto" w:fill="404040"/>
            <w:vAlign w:val="center"/>
          </w:tcPr>
          <w:p>
            <w:pPr>
              <w:widowControl/>
              <w:jc w:val="center"/>
              <w:rPr>
                <w:rFonts w:ascii="宋体" w:hAnsi="宋体" w:cs="宋体"/>
                <w:b/>
                <w:bCs/>
                <w:color w:val="000000"/>
                <w:kern w:val="0"/>
                <w:sz w:val="18"/>
                <w:szCs w:val="18"/>
              </w:rPr>
            </w:pP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深铁璟城一期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1F展厅开放</w:t>
            </w:r>
          </w:p>
        </w:tc>
        <w:tc>
          <w:tcPr>
            <w:tcW w:w="1446" w:type="dxa"/>
            <w:shd w:val="clear" w:color="auto"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深铁懿府三期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1305"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地铁前海时代广场4号地块</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春泉营销中心开放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144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临时展点开放</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深铁赤湾项目一期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展厅开放</w:t>
            </w:r>
          </w:p>
        </w:tc>
        <w:tc>
          <w:tcPr>
            <w:tcW w:w="1305"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深铁瑞城三期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山海漫街</w:t>
            </w:r>
          </w:p>
        </w:tc>
        <w:tc>
          <w:tcPr>
            <w:tcW w:w="177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305"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深铁金融科技大厦</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1454"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深铁置业大厦</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1454"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bl>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（二）现场包装设计制作部分</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为展示区达到展示条件，营造营销氛围，对展示区现场进行包装制作，内容包括但不限于展示区外围包装、内部包装、样板房区域包装等。</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（三）宣传推广部分</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根据展示区开放前后，基于项目蓄客需求，进行不同线上推广渠道的投放。</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24"/>
        <w:snapToGrid w:val="0"/>
        <w:spacing w:line="336" w:lineRule="auto"/>
        <w:ind w:firstLine="480" w:firstLineChars="200"/>
        <w:rPr>
          <w:rFonts w:hAnsi="宋体"/>
          <w:kern w:val="2"/>
          <w:sz w:val="24"/>
          <w:szCs w:val="24"/>
        </w:rPr>
      </w:pPr>
      <w:r>
        <w:rPr>
          <w:rFonts w:hint="eastAsia" w:hAnsi="宋体"/>
          <w:kern w:val="2"/>
          <w:sz w:val="24"/>
          <w:szCs w:val="24"/>
        </w:rPr>
        <w:t>具体分项目要求详见附件1《深铁置业2022年度拟销售项目展示区开放系列活动、现场包装及宣传推广服务分项目内容》。</w:t>
      </w:r>
    </w:p>
    <w:p>
      <w:pPr>
        <w:pStyle w:val="24"/>
        <w:snapToGrid w:val="0"/>
        <w:spacing w:line="336" w:lineRule="auto"/>
        <w:ind w:firstLine="480" w:firstLineChars="200"/>
        <w:rPr>
          <w:rFonts w:hAnsi="宋体"/>
          <w:kern w:val="2"/>
          <w:sz w:val="24"/>
          <w:szCs w:val="24"/>
        </w:rPr>
      </w:pPr>
      <w:r>
        <w:rPr>
          <w:rFonts w:hint="eastAsia" w:hAnsi="宋体"/>
          <w:kern w:val="2"/>
          <w:sz w:val="24"/>
          <w:szCs w:val="24"/>
        </w:rPr>
        <w:t>分项目服务内容清单详见附件2《深铁置业2022年度拟销售项目展示区开放系列活动、现场包装及宣传推广服务清单》。</w:t>
      </w:r>
    </w:p>
    <w:p>
      <w:pPr>
        <w:pStyle w:val="24"/>
        <w:snapToGrid w:val="0"/>
        <w:spacing w:line="336"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w:t>
      </w:r>
      <w:r>
        <w:rPr>
          <w:rFonts w:hAnsi="宋体"/>
          <w:color w:val="0D0D0D" w:themeColor="text1" w:themeTint="F2"/>
          <w:sz w:val="24"/>
          <w:szCs w:val="24"/>
          <w14:textFill>
            <w14:solidFill>
              <w14:schemeClr w14:val="tx1">
                <w14:lumMod w14:val="95000"/>
                <w14:lumOff w14:val="5000"/>
              </w14:schemeClr>
            </w14:solidFill>
          </w14:textFill>
        </w:rPr>
        <w:t>2215</w:t>
      </w:r>
      <w:r>
        <w:rPr>
          <w:rFonts w:hint="eastAsia" w:hAnsi="宋体"/>
          <w:color w:val="0D0D0D" w:themeColor="text1" w:themeTint="F2"/>
          <w:sz w:val="24"/>
          <w:szCs w:val="24"/>
          <w14:textFill>
            <w14:solidFill>
              <w14:schemeClr w14:val="tx1">
                <w14:lumMod w14:val="95000"/>
                <w14:lumOff w14:val="5000"/>
              </w14:schemeClr>
            </w14:solidFill>
          </w14:textFill>
        </w:rPr>
        <w:t>万元（含税），参选人需对2个标包共9个项目分别报价，报价不能超过本次比选总上限价、项目所在标包的总上限价及每个项目最高限价、具体细项最高限价。</w:t>
      </w:r>
      <w:r>
        <w:rPr>
          <w:rFonts w:hAnsi="宋体"/>
          <w:color w:val="0D0D0D" w:themeColor="text1" w:themeTint="F2"/>
          <w:sz w:val="24"/>
          <w:szCs w:val="24"/>
          <w14:textFill>
            <w14:solidFill>
              <w14:schemeClr w14:val="tx1">
                <w14:lumMod w14:val="95000"/>
                <w14:lumOff w14:val="5000"/>
              </w14:schemeClr>
            </w14:solidFill>
          </w14:textFill>
        </w:rPr>
        <w:t xml:space="preserve"> </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各标包及项目分别最高限价如下：</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bookmarkStart w:id="18" w:name="_Hlk98185401"/>
      <w:r>
        <w:rPr>
          <w:rFonts w:hAnsi="宋体"/>
          <w:color w:val="0D0D0D" w:themeColor="text1" w:themeTint="F2"/>
          <w:sz w:val="24"/>
          <w:szCs w:val="24"/>
          <w14:textFill>
            <w14:solidFill>
              <w14:schemeClr w14:val="tx1">
                <w14:lumMod w14:val="95000"/>
                <w14:lumOff w14:val="5000"/>
              </w14:schemeClr>
            </w14:solidFill>
          </w14:textFill>
        </w:rPr>
        <w:t>1.A包：</w:t>
      </w:r>
      <w:r>
        <w:rPr>
          <w:rFonts w:hint="eastAsia" w:hAnsi="宋体"/>
          <w:color w:val="0D0D0D" w:themeColor="text1" w:themeTint="F2"/>
          <w:sz w:val="24"/>
          <w:szCs w:val="24"/>
          <w14:textFill>
            <w14:solidFill>
              <w14:schemeClr w14:val="tx1">
                <w14:lumMod w14:val="95000"/>
                <w14:lumOff w14:val="5000"/>
              </w14:schemeClr>
            </w14:solidFill>
          </w14:textFill>
        </w:rPr>
        <w:t>深铁珑境花园一期、地铁前海时代广场</w:t>
      </w:r>
      <w:r>
        <w:rPr>
          <w:rFonts w:hAnsi="宋体"/>
          <w:color w:val="0D0D0D" w:themeColor="text1" w:themeTint="F2"/>
          <w:sz w:val="24"/>
          <w:szCs w:val="24"/>
          <w14:textFill>
            <w14:solidFill>
              <w14:schemeClr w14:val="tx1">
                <w14:lumMod w14:val="95000"/>
                <w14:lumOff w14:val="5000"/>
              </w14:schemeClr>
            </w14:solidFill>
          </w14:textFill>
        </w:rPr>
        <w:t>4号地块、深</w:t>
      </w:r>
      <w:r>
        <w:rPr>
          <w:rFonts w:hint="eastAsia" w:hAnsi="宋体"/>
          <w:color w:val="0D0D0D" w:themeColor="text1" w:themeTint="F2"/>
          <w:sz w:val="24"/>
          <w:szCs w:val="24"/>
          <w14:textFill>
            <w14:solidFill>
              <w14:schemeClr w14:val="tx1">
                <w14:lumMod w14:val="95000"/>
                <w14:lumOff w14:val="5000"/>
              </w14:schemeClr>
            </w14:solidFill>
          </w14:textFill>
        </w:rPr>
        <w:t>铁金融科技大厦、深铁置业大厦展示区开放系列活动、现场包装及宣传推广服务总最高限价为</w:t>
      </w:r>
      <w:r>
        <w:rPr>
          <w:rFonts w:hAnsi="宋体"/>
          <w:color w:val="0D0D0D" w:themeColor="text1" w:themeTint="F2"/>
          <w:sz w:val="24"/>
          <w:szCs w:val="24"/>
          <w14:textFill>
            <w14:solidFill>
              <w14:schemeClr w14:val="tx1">
                <w14:lumMod w14:val="95000"/>
                <w14:lumOff w14:val="5000"/>
              </w14:schemeClr>
            </w14:solidFill>
          </w14:textFill>
        </w:rPr>
        <w:t>1,120</w:t>
      </w:r>
      <w:r>
        <w:rPr>
          <w:rFonts w:hint="eastAsia" w:hAnsi="宋体"/>
          <w:color w:val="0D0D0D" w:themeColor="text1" w:themeTint="F2"/>
          <w:sz w:val="24"/>
          <w:szCs w:val="24"/>
          <w14:textFill>
            <w14:solidFill>
              <w14:schemeClr w14:val="tx1">
                <w14:lumMod w14:val="95000"/>
                <w14:lumOff w14:val="5000"/>
              </w14:schemeClr>
            </w14:solidFill>
          </w14:textFill>
        </w:rPr>
        <w:t>万元（含税）。其中：深铁珑境花园一期最高限价为</w:t>
      </w:r>
      <w:r>
        <w:rPr>
          <w:rFonts w:hAnsi="宋体"/>
          <w:color w:val="0D0D0D" w:themeColor="text1" w:themeTint="F2"/>
          <w:sz w:val="24"/>
          <w:szCs w:val="24"/>
          <w14:textFill>
            <w14:solidFill>
              <w14:schemeClr w14:val="tx1">
                <w14:lumMod w14:val="95000"/>
                <w14:lumOff w14:val="5000"/>
              </w14:schemeClr>
            </w14:solidFill>
          </w14:textFill>
        </w:rPr>
        <w:t>367</w:t>
      </w:r>
      <w:r>
        <w:rPr>
          <w:rFonts w:hint="eastAsia" w:hAnsi="宋体"/>
          <w:color w:val="0D0D0D" w:themeColor="text1" w:themeTint="F2"/>
          <w:sz w:val="24"/>
          <w:szCs w:val="24"/>
          <w14:textFill>
            <w14:solidFill>
              <w14:schemeClr w14:val="tx1">
                <w14:lumMod w14:val="95000"/>
                <w14:lumOff w14:val="5000"/>
              </w14:schemeClr>
            </w14:solidFill>
          </w14:textFill>
        </w:rPr>
        <w:t>万元（含税）；地铁前海时代广场</w:t>
      </w:r>
      <w:r>
        <w:rPr>
          <w:rFonts w:hAnsi="宋体"/>
          <w:color w:val="0D0D0D" w:themeColor="text1" w:themeTint="F2"/>
          <w:sz w:val="24"/>
          <w:szCs w:val="24"/>
          <w14:textFill>
            <w14:solidFill>
              <w14:schemeClr w14:val="tx1">
                <w14:lumMod w14:val="95000"/>
                <w14:lumOff w14:val="5000"/>
              </w14:schemeClr>
            </w14:solidFill>
          </w14:textFill>
        </w:rPr>
        <w:t>4号地块</w:t>
      </w:r>
      <w:r>
        <w:rPr>
          <w:rFonts w:hint="eastAsia" w:hAnsi="宋体"/>
          <w:color w:val="0D0D0D" w:themeColor="text1" w:themeTint="F2"/>
          <w:sz w:val="24"/>
          <w:szCs w:val="24"/>
          <w14:textFill>
            <w14:solidFill>
              <w14:schemeClr w14:val="tx1">
                <w14:lumMod w14:val="95000"/>
                <w14:lumOff w14:val="5000"/>
              </w14:schemeClr>
            </w14:solidFill>
          </w14:textFill>
        </w:rPr>
        <w:t>最高限价为</w:t>
      </w:r>
      <w:r>
        <w:rPr>
          <w:rFonts w:hAnsi="宋体"/>
          <w:color w:val="0D0D0D" w:themeColor="text1" w:themeTint="F2"/>
          <w:sz w:val="24"/>
          <w:szCs w:val="24"/>
          <w14:textFill>
            <w14:solidFill>
              <w14:schemeClr w14:val="tx1">
                <w14:lumMod w14:val="95000"/>
                <w14:lumOff w14:val="5000"/>
              </w14:schemeClr>
            </w14:solidFill>
          </w14:textFill>
        </w:rPr>
        <w:t>457</w:t>
      </w:r>
      <w:r>
        <w:rPr>
          <w:rFonts w:hint="eastAsia" w:hAnsi="宋体"/>
          <w:color w:val="0D0D0D" w:themeColor="text1" w:themeTint="F2"/>
          <w:sz w:val="24"/>
          <w:szCs w:val="24"/>
          <w14:textFill>
            <w14:solidFill>
              <w14:schemeClr w14:val="tx1">
                <w14:lumMod w14:val="95000"/>
                <w14:lumOff w14:val="5000"/>
              </w14:schemeClr>
            </w14:solidFill>
          </w14:textFill>
        </w:rPr>
        <w:t>万元（含税）；深铁金融科技大厦最高限价为</w:t>
      </w:r>
      <w:r>
        <w:rPr>
          <w:rFonts w:hAnsi="宋体"/>
          <w:color w:val="0D0D0D" w:themeColor="text1" w:themeTint="F2"/>
          <w:sz w:val="24"/>
          <w:szCs w:val="24"/>
          <w14:textFill>
            <w14:solidFill>
              <w14:schemeClr w14:val="tx1">
                <w14:lumMod w14:val="95000"/>
                <w14:lumOff w14:val="5000"/>
              </w14:schemeClr>
            </w14:solidFill>
          </w14:textFill>
        </w:rPr>
        <w:t>148</w:t>
      </w:r>
      <w:r>
        <w:rPr>
          <w:rFonts w:hint="eastAsia" w:hAnsi="宋体"/>
          <w:color w:val="0D0D0D" w:themeColor="text1" w:themeTint="F2"/>
          <w:sz w:val="24"/>
          <w:szCs w:val="24"/>
          <w14:textFill>
            <w14:solidFill>
              <w14:schemeClr w14:val="tx1">
                <w14:lumMod w14:val="95000"/>
                <w14:lumOff w14:val="5000"/>
              </w14:schemeClr>
            </w14:solidFill>
          </w14:textFill>
        </w:rPr>
        <w:t>万元（含税）；深铁置业大厦最高限价为</w:t>
      </w:r>
      <w:r>
        <w:rPr>
          <w:rFonts w:hAnsi="宋体"/>
          <w:color w:val="0D0D0D" w:themeColor="text1" w:themeTint="F2"/>
          <w:sz w:val="24"/>
          <w:szCs w:val="24"/>
          <w14:textFill>
            <w14:solidFill>
              <w14:schemeClr w14:val="tx1">
                <w14:lumMod w14:val="95000"/>
                <w14:lumOff w14:val="5000"/>
              </w14:schemeClr>
            </w14:solidFill>
          </w14:textFill>
        </w:rPr>
        <w:t>148</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2.B</w:t>
      </w:r>
      <w:r>
        <w:rPr>
          <w:rFonts w:hint="eastAsia" w:hAnsi="宋体"/>
          <w:color w:val="0D0D0D" w:themeColor="text1" w:themeTint="F2"/>
          <w:sz w:val="24"/>
          <w:szCs w:val="24"/>
          <w14:textFill>
            <w14:solidFill>
              <w14:schemeClr w14:val="tx1">
                <w14:lumMod w14:val="95000"/>
                <w14:lumOff w14:val="5000"/>
              </w14:schemeClr>
            </w14:solidFill>
          </w14:textFill>
        </w:rPr>
        <w:t>包：深铁璟城一期、深铁懿府三期、深铁赤湾项目一期、深铁瑞城三期、山海漫街展示区开放系列活动、现场包装及宣传推广服务</w:t>
      </w:r>
      <w:bookmarkEnd w:id="18"/>
      <w:r>
        <w:rPr>
          <w:rFonts w:hint="eastAsia" w:hAnsi="宋体"/>
          <w:color w:val="0D0D0D" w:themeColor="text1" w:themeTint="F2"/>
          <w:sz w:val="24"/>
          <w:szCs w:val="24"/>
          <w14:textFill>
            <w14:solidFill>
              <w14:schemeClr w14:val="tx1">
                <w14:lumMod w14:val="95000"/>
                <w14:lumOff w14:val="5000"/>
              </w14:schemeClr>
            </w14:solidFill>
          </w14:textFill>
        </w:rPr>
        <w:t>总最高限价为</w:t>
      </w:r>
      <w:r>
        <w:rPr>
          <w:rFonts w:hAnsi="宋体"/>
          <w:color w:val="0D0D0D" w:themeColor="text1" w:themeTint="F2"/>
          <w:sz w:val="24"/>
          <w:szCs w:val="24"/>
          <w14:textFill>
            <w14:solidFill>
              <w14:schemeClr w14:val="tx1">
                <w14:lumMod w14:val="95000"/>
                <w14:lumOff w14:val="5000"/>
              </w14:schemeClr>
            </w14:solidFill>
          </w14:textFill>
        </w:rPr>
        <w:t>1,095</w:t>
      </w:r>
      <w:r>
        <w:rPr>
          <w:rFonts w:hint="eastAsia" w:hAnsi="宋体"/>
          <w:color w:val="0D0D0D" w:themeColor="text1" w:themeTint="F2"/>
          <w:sz w:val="24"/>
          <w:szCs w:val="24"/>
          <w14:textFill>
            <w14:solidFill>
              <w14:schemeClr w14:val="tx1">
                <w14:lumMod w14:val="95000"/>
                <w14:lumOff w14:val="5000"/>
              </w14:schemeClr>
            </w14:solidFill>
          </w14:textFill>
        </w:rPr>
        <w:t>万元（含税）。其中：深铁璟城一期最高限价为</w:t>
      </w:r>
      <w:r>
        <w:rPr>
          <w:rFonts w:hAnsi="宋体"/>
          <w:color w:val="0D0D0D" w:themeColor="text1" w:themeTint="F2"/>
          <w:sz w:val="24"/>
          <w:szCs w:val="24"/>
          <w14:textFill>
            <w14:solidFill>
              <w14:schemeClr w14:val="tx1">
                <w14:lumMod w14:val="95000"/>
                <w14:lumOff w14:val="5000"/>
              </w14:schemeClr>
            </w14:solidFill>
          </w14:textFill>
        </w:rPr>
        <w:t>392</w:t>
      </w:r>
      <w:r>
        <w:rPr>
          <w:rFonts w:hint="eastAsia" w:hAnsi="宋体"/>
          <w:color w:val="0D0D0D" w:themeColor="text1" w:themeTint="F2"/>
          <w:sz w:val="24"/>
          <w:szCs w:val="24"/>
          <w14:textFill>
            <w14:solidFill>
              <w14:schemeClr w14:val="tx1">
                <w14:lumMod w14:val="95000"/>
                <w14:lumOff w14:val="5000"/>
              </w14:schemeClr>
            </w14:solidFill>
          </w14:textFill>
        </w:rPr>
        <w:t>万元（含税）；深铁懿府三期最高限价为</w:t>
      </w:r>
      <w:r>
        <w:rPr>
          <w:rFonts w:hAnsi="宋体"/>
          <w:color w:val="0D0D0D" w:themeColor="text1" w:themeTint="F2"/>
          <w:sz w:val="24"/>
          <w:szCs w:val="24"/>
          <w14:textFill>
            <w14:solidFill>
              <w14:schemeClr w14:val="tx1">
                <w14:lumMod w14:val="95000"/>
                <w14:lumOff w14:val="5000"/>
              </w14:schemeClr>
            </w14:solidFill>
          </w14:textFill>
        </w:rPr>
        <w:t>232</w:t>
      </w:r>
      <w:r>
        <w:rPr>
          <w:rFonts w:hint="eastAsia" w:hAnsi="宋体"/>
          <w:color w:val="0D0D0D" w:themeColor="text1" w:themeTint="F2"/>
          <w:sz w:val="24"/>
          <w:szCs w:val="24"/>
          <w14:textFill>
            <w14:solidFill>
              <w14:schemeClr w14:val="tx1">
                <w14:lumMod w14:val="95000"/>
                <w14:lumOff w14:val="5000"/>
              </w14:schemeClr>
            </w14:solidFill>
          </w14:textFill>
        </w:rPr>
        <w:t>万元（含税）；深铁赤湾项目一期最高限价为</w:t>
      </w:r>
      <w:r>
        <w:rPr>
          <w:rFonts w:hAnsi="宋体"/>
          <w:color w:val="0D0D0D" w:themeColor="text1" w:themeTint="F2"/>
          <w:sz w:val="24"/>
          <w:szCs w:val="24"/>
          <w14:textFill>
            <w14:solidFill>
              <w14:schemeClr w14:val="tx1">
                <w14:lumMod w14:val="95000"/>
                <w14:lumOff w14:val="5000"/>
              </w14:schemeClr>
            </w14:solidFill>
          </w14:textFill>
        </w:rPr>
        <w:t>150</w:t>
      </w:r>
      <w:r>
        <w:rPr>
          <w:rFonts w:hint="eastAsia" w:hAnsi="宋体"/>
          <w:color w:val="0D0D0D" w:themeColor="text1" w:themeTint="F2"/>
          <w:sz w:val="24"/>
          <w:szCs w:val="24"/>
          <w14:textFill>
            <w14:solidFill>
              <w14:schemeClr w14:val="tx1">
                <w14:lumMod w14:val="95000"/>
                <w14:lumOff w14:val="5000"/>
              </w14:schemeClr>
            </w14:solidFill>
          </w14:textFill>
        </w:rPr>
        <w:t>万元（含税）；深铁瑞城三期最高限价为</w:t>
      </w:r>
      <w:r>
        <w:rPr>
          <w:rFonts w:hAnsi="宋体"/>
          <w:color w:val="0D0D0D" w:themeColor="text1" w:themeTint="F2"/>
          <w:sz w:val="24"/>
          <w:szCs w:val="24"/>
          <w14:textFill>
            <w14:solidFill>
              <w14:schemeClr w14:val="tx1">
                <w14:lumMod w14:val="95000"/>
                <w14:lumOff w14:val="5000"/>
              </w14:schemeClr>
            </w14:solidFill>
          </w14:textFill>
        </w:rPr>
        <w:t>269</w:t>
      </w:r>
      <w:r>
        <w:rPr>
          <w:rFonts w:hint="eastAsia" w:hAnsi="宋体"/>
          <w:color w:val="0D0D0D" w:themeColor="text1" w:themeTint="F2"/>
          <w:sz w:val="24"/>
          <w:szCs w:val="24"/>
          <w14:textFill>
            <w14:solidFill>
              <w14:schemeClr w14:val="tx1">
                <w14:lumMod w14:val="95000"/>
                <w14:lumOff w14:val="5000"/>
              </w14:schemeClr>
            </w14:solidFill>
          </w14:textFill>
        </w:rPr>
        <w:t>万元（含税）；山海漫街最高限价为</w:t>
      </w:r>
      <w:r>
        <w:rPr>
          <w:rFonts w:hAnsi="宋体"/>
          <w:color w:val="0D0D0D" w:themeColor="text1" w:themeTint="F2"/>
          <w:sz w:val="24"/>
          <w:szCs w:val="24"/>
          <w14:textFill>
            <w14:solidFill>
              <w14:schemeClr w14:val="tx1">
                <w14:lumMod w14:val="95000"/>
                <w14:lumOff w14:val="5000"/>
              </w14:schemeClr>
            </w14:solidFill>
          </w14:textFill>
        </w:rPr>
        <w:t>52</w:t>
      </w:r>
      <w:r>
        <w:rPr>
          <w:rFonts w:hint="eastAsia" w:hAnsi="宋体"/>
          <w:color w:val="0D0D0D" w:themeColor="text1" w:themeTint="F2"/>
          <w:sz w:val="24"/>
          <w:szCs w:val="24"/>
          <w14:textFill>
            <w14:solidFill>
              <w14:schemeClr w14:val="tx1">
                <w14:lumMod w14:val="95000"/>
                <w14:lumOff w14:val="5000"/>
              </w14:schemeClr>
            </w14:solidFill>
          </w14:textFill>
        </w:rPr>
        <w:t>万元（含税）。</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具体细项最高限价详见下表（万元，含税）：</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【注：各项具体细项的最终报价均不能超过以下细项最高限价】</w:t>
      </w:r>
    </w:p>
    <w:tbl>
      <w:tblPr>
        <w:tblStyle w:val="47"/>
        <w:tblW w:w="10915" w:type="dxa"/>
        <w:tblInd w:w="-1026" w:type="dxa"/>
        <w:tblLayout w:type="autofit"/>
        <w:tblCellMar>
          <w:top w:w="0" w:type="dxa"/>
          <w:left w:w="108" w:type="dxa"/>
          <w:bottom w:w="0" w:type="dxa"/>
          <w:right w:w="108" w:type="dxa"/>
        </w:tblCellMar>
      </w:tblPr>
      <w:tblGrid>
        <w:gridCol w:w="992"/>
        <w:gridCol w:w="993"/>
        <w:gridCol w:w="993"/>
        <w:gridCol w:w="887"/>
        <w:gridCol w:w="696"/>
        <w:gridCol w:w="425"/>
        <w:gridCol w:w="427"/>
        <w:gridCol w:w="696"/>
        <w:gridCol w:w="427"/>
        <w:gridCol w:w="579"/>
        <w:gridCol w:w="682"/>
        <w:gridCol w:w="708"/>
        <w:gridCol w:w="709"/>
        <w:gridCol w:w="567"/>
        <w:gridCol w:w="464"/>
        <w:gridCol w:w="670"/>
      </w:tblGrid>
      <w:tr>
        <w:tblPrEx>
          <w:tblCellMar>
            <w:top w:w="0" w:type="dxa"/>
            <w:left w:w="108" w:type="dxa"/>
            <w:bottom w:w="0" w:type="dxa"/>
            <w:right w:w="108" w:type="dxa"/>
          </w:tblCellMar>
        </w:tblPrEx>
        <w:trPr>
          <w:trHeight w:val="480" w:hRule="atLeast"/>
        </w:trPr>
        <w:tc>
          <w:tcPr>
            <w:tcW w:w="992" w:type="dxa"/>
            <w:vMerge w:val="restart"/>
            <w:tcBorders>
              <w:top w:val="single" w:color="auto" w:sz="8" w:space="0"/>
              <w:left w:val="single" w:color="auto" w:sz="8" w:space="0"/>
              <w:bottom w:val="single" w:color="auto" w:sz="4" w:space="0"/>
              <w:right w:val="nil"/>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6123" w:type="dxa"/>
            <w:gridSpan w:val="9"/>
            <w:tcBorders>
              <w:top w:val="single" w:color="auto" w:sz="8" w:space="0"/>
              <w:left w:val="single" w:color="auto" w:sz="8" w:space="0"/>
              <w:bottom w:val="single" w:color="auto" w:sz="4" w:space="0"/>
              <w:right w:val="single" w:color="000000"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活动类</w:t>
            </w:r>
          </w:p>
        </w:tc>
        <w:tc>
          <w:tcPr>
            <w:tcW w:w="682" w:type="dxa"/>
            <w:vMerge w:val="restart"/>
            <w:tcBorders>
              <w:top w:val="single" w:color="auto" w:sz="8" w:space="0"/>
              <w:left w:val="nil"/>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活动总价</w:t>
            </w:r>
          </w:p>
        </w:tc>
        <w:tc>
          <w:tcPr>
            <w:tcW w:w="708" w:type="dxa"/>
            <w:vMerge w:val="restart"/>
            <w:tcBorders>
              <w:top w:val="single" w:color="auto" w:sz="8" w:space="0"/>
              <w:left w:val="single" w:color="auto" w:sz="8" w:space="0"/>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现场包装</w:t>
            </w:r>
          </w:p>
        </w:tc>
        <w:tc>
          <w:tcPr>
            <w:tcW w:w="709" w:type="dxa"/>
            <w:vMerge w:val="restart"/>
            <w:tcBorders>
              <w:top w:val="single" w:color="auto" w:sz="8" w:space="0"/>
              <w:left w:val="single" w:color="auto" w:sz="8" w:space="0"/>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宣传推广</w:t>
            </w:r>
          </w:p>
        </w:tc>
        <w:tc>
          <w:tcPr>
            <w:tcW w:w="567" w:type="dxa"/>
            <w:vMerge w:val="restart"/>
            <w:tcBorders>
              <w:top w:val="single" w:color="auto" w:sz="8" w:space="0"/>
              <w:left w:val="single" w:color="auto" w:sz="8" w:space="0"/>
              <w:bottom w:val="single" w:color="auto" w:sz="4" w:space="0"/>
              <w:right w:val="nil"/>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464" w:type="dxa"/>
            <w:vMerge w:val="restart"/>
            <w:tcBorders>
              <w:top w:val="single" w:color="auto" w:sz="8" w:space="0"/>
              <w:left w:val="single" w:color="auto" w:sz="8" w:space="0"/>
              <w:bottom w:val="single" w:color="auto" w:sz="4" w:space="0"/>
              <w:right w:val="single" w:color="auto" w:sz="8"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分包</w:t>
            </w:r>
          </w:p>
        </w:tc>
        <w:tc>
          <w:tcPr>
            <w:tcW w:w="670" w:type="dxa"/>
            <w:vMerge w:val="restart"/>
            <w:tcBorders>
              <w:top w:val="single" w:color="auto" w:sz="8" w:space="0"/>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r>
      <w:tr>
        <w:tblPrEx>
          <w:tblCellMar>
            <w:top w:w="0" w:type="dxa"/>
            <w:left w:w="108" w:type="dxa"/>
            <w:bottom w:w="0" w:type="dxa"/>
            <w:right w:w="108" w:type="dxa"/>
          </w:tblCellMar>
        </w:tblPrEx>
        <w:trPr>
          <w:trHeight w:val="480" w:hRule="atLeast"/>
        </w:trPr>
        <w:tc>
          <w:tcPr>
            <w:tcW w:w="992"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vMerge w:val="restart"/>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主开放活动</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其它开放活动1</w:t>
            </w:r>
          </w:p>
        </w:tc>
        <w:tc>
          <w:tcPr>
            <w:tcW w:w="88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其它开放活动2</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拓客活动</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暖场活动</w:t>
            </w:r>
          </w:p>
        </w:tc>
        <w:tc>
          <w:tcPr>
            <w:tcW w:w="682" w:type="dxa"/>
            <w:vMerge w:val="continue"/>
            <w:tcBorders>
              <w:top w:val="single" w:color="auto" w:sz="8" w:space="0"/>
              <w:left w:val="nil"/>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8"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9"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567"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vMerge w:val="continue"/>
            <w:tcBorders>
              <w:top w:val="nil"/>
              <w:left w:val="single" w:color="auto" w:sz="8"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9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88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场次</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682" w:type="dxa"/>
            <w:vMerge w:val="continue"/>
            <w:tcBorders>
              <w:top w:val="single" w:color="auto" w:sz="8" w:space="0"/>
              <w:left w:val="nil"/>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8"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9"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567"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深铁珑境花园一期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52F展示区开放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52F论坛/沙龙</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155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172 </w:t>
            </w:r>
          </w:p>
        </w:tc>
        <w:tc>
          <w:tcPr>
            <w:tcW w:w="567" w:type="dxa"/>
            <w:vMerge w:val="restart"/>
            <w:tcBorders>
              <w:top w:val="nil"/>
              <w:left w:val="single" w:color="auto" w:sz="8" w:space="0"/>
              <w:bottom w:val="single" w:color="000000" w:sz="4"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367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cs="宋体"/>
                <w:b/>
                <w:bCs/>
                <w:color w:val="000000"/>
                <w:kern w:val="0"/>
                <w:sz w:val="18"/>
                <w:szCs w:val="18"/>
              </w:rPr>
            </w:pPr>
            <w:r>
              <w:rPr>
                <w:rFonts w:ascii="宋体" w:hAnsi="宋体" w:cs="宋体"/>
                <w:b/>
                <w:bCs/>
                <w:color w:val="000000"/>
                <w:kern w:val="0"/>
                <w:sz w:val="18"/>
                <w:szCs w:val="18"/>
              </w:rPr>
              <w:t>2,215</w:t>
            </w: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10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地铁前海时代广场4号地块</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春泉营销中心开放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8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临时展点开放</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219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98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140 </w:t>
            </w:r>
          </w:p>
        </w:tc>
        <w:tc>
          <w:tcPr>
            <w:tcW w:w="567" w:type="dxa"/>
            <w:vMerge w:val="restart"/>
            <w:tcBorders>
              <w:top w:val="nil"/>
              <w:left w:val="single" w:color="auto" w:sz="8" w:space="0"/>
              <w:bottom w:val="single" w:color="000000" w:sz="4"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457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 </w:t>
            </w:r>
          </w:p>
        </w:tc>
        <w:tc>
          <w:tcPr>
            <w:tcW w:w="8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8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深铁金融科技大厦</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79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56 </w:t>
            </w:r>
          </w:p>
        </w:tc>
        <w:tc>
          <w:tcPr>
            <w:tcW w:w="567" w:type="dxa"/>
            <w:vMerge w:val="restart"/>
            <w:tcBorders>
              <w:top w:val="nil"/>
              <w:left w:val="single" w:color="auto" w:sz="8" w:space="0"/>
              <w:bottom w:val="single" w:color="000000" w:sz="4"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148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14"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深铁置业大厦</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79 </w:t>
            </w:r>
          </w:p>
        </w:tc>
        <w:tc>
          <w:tcPr>
            <w:tcW w:w="708" w:type="dxa"/>
            <w:vMerge w:val="restart"/>
            <w:tcBorders>
              <w:top w:val="nil"/>
              <w:left w:val="single" w:color="auto" w:sz="8" w:space="0"/>
              <w:bottom w:val="single" w:color="000000" w:sz="8"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 </w:t>
            </w:r>
          </w:p>
        </w:tc>
        <w:tc>
          <w:tcPr>
            <w:tcW w:w="709" w:type="dxa"/>
            <w:vMerge w:val="restart"/>
            <w:tcBorders>
              <w:top w:val="nil"/>
              <w:left w:val="single" w:color="auto" w:sz="8" w:space="0"/>
              <w:bottom w:val="single" w:color="000000" w:sz="8"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56 </w:t>
            </w:r>
          </w:p>
        </w:tc>
        <w:tc>
          <w:tcPr>
            <w:tcW w:w="567" w:type="dxa"/>
            <w:vMerge w:val="restart"/>
            <w:tcBorders>
              <w:top w:val="nil"/>
              <w:left w:val="single" w:color="auto" w:sz="8" w:space="0"/>
              <w:bottom w:val="single" w:color="000000" w:sz="8"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148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2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993" w:type="dxa"/>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887" w:type="dxa"/>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0" w:type="auto"/>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0" w:type="auto"/>
            <w:tcBorders>
              <w:top w:val="nil"/>
              <w:left w:val="nil"/>
              <w:bottom w:val="single" w:color="auto" w:sz="8" w:space="0"/>
              <w:right w:val="single" w:color="auto" w:sz="8"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8"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14"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深铁璟城一期</w:t>
            </w:r>
          </w:p>
        </w:tc>
        <w:tc>
          <w:tcPr>
            <w:tcW w:w="99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1F展厅开放</w:t>
            </w:r>
          </w:p>
        </w:tc>
        <w:tc>
          <w:tcPr>
            <w:tcW w:w="887" w:type="dxa"/>
            <w:tcBorders>
              <w:top w:val="single" w:color="auto" w:sz="4" w:space="0"/>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c>
          <w:tcPr>
            <w:tcW w:w="682" w:type="dxa"/>
            <w:vMerge w:val="restart"/>
            <w:tcBorders>
              <w:top w:val="single" w:color="auto" w:sz="4" w:space="0"/>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142 </w:t>
            </w:r>
          </w:p>
        </w:tc>
        <w:tc>
          <w:tcPr>
            <w:tcW w:w="708" w:type="dxa"/>
            <w:vMerge w:val="restart"/>
            <w:tcBorders>
              <w:top w:val="single" w:color="auto" w:sz="4" w:space="0"/>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80 </w:t>
            </w:r>
          </w:p>
        </w:tc>
        <w:tc>
          <w:tcPr>
            <w:tcW w:w="709" w:type="dxa"/>
            <w:vMerge w:val="restart"/>
            <w:tcBorders>
              <w:top w:val="single" w:color="auto" w:sz="4" w:space="0"/>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170 </w:t>
            </w:r>
          </w:p>
        </w:tc>
        <w:tc>
          <w:tcPr>
            <w:tcW w:w="567" w:type="dxa"/>
            <w:vMerge w:val="restart"/>
            <w:tcBorders>
              <w:top w:val="single" w:color="auto" w:sz="4" w:space="0"/>
              <w:left w:val="single" w:color="auto" w:sz="8" w:space="0"/>
              <w:bottom w:val="single" w:color="000000" w:sz="4" w:space="0"/>
              <w:right w:val="nil"/>
            </w:tcBorders>
            <w:shd w:val="clear" w:color="000000" w:fill="9BC2E6"/>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392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60"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45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10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682" w:type="dxa"/>
            <w:vMerge w:val="continue"/>
            <w:tcBorders>
              <w:top w:val="single" w:color="auto" w:sz="4" w:space="0"/>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single" w:color="auto" w:sz="4" w:space="0"/>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single" w:color="auto" w:sz="4" w:space="0"/>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single" w:color="auto" w:sz="4" w:space="0"/>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深铁懿府三期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82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90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60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232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52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285"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深铁赤湾项目一期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展厅开放</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63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55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150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285"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45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17.5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深铁瑞城三期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130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38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101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269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720"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38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8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65"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山海漫街</w:t>
            </w:r>
          </w:p>
        </w:tc>
        <w:tc>
          <w:tcPr>
            <w:tcW w:w="993" w:type="dxa"/>
            <w:tcBorders>
              <w:top w:val="nil"/>
              <w:left w:val="single" w:color="auto" w:sz="8" w:space="0"/>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12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14"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15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bl>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pStyle w:val="114"/>
        <w:numPr>
          <w:ilvl w:val="0"/>
          <w:numId w:val="2"/>
        </w:numPr>
        <w:adjustRightInd w:val="0"/>
        <w:snapToGrid w:val="0"/>
        <w:spacing w:line="336" w:lineRule="auto"/>
        <w:ind w:firstLine="480"/>
        <w:rPr>
          <w:rFonts w:ascii="宋体" w:hAnsi="宋体"/>
          <w:sz w:val="24"/>
          <w:szCs w:val="24"/>
        </w:rPr>
      </w:pPr>
      <w:bookmarkStart w:id="19" w:name="baidusnap7"/>
      <w:bookmarkEnd w:id="19"/>
      <w:bookmarkStart w:id="20" w:name="baidusnap0"/>
      <w:bookmarkEnd w:id="20"/>
      <w:bookmarkStart w:id="21" w:name="baidusnap4"/>
      <w:bookmarkEnd w:id="21"/>
      <w:bookmarkStart w:id="22" w:name="baidusnap1"/>
      <w:bookmarkEnd w:id="22"/>
      <w:r>
        <w:rPr>
          <w:rFonts w:hint="eastAsia" w:ascii="宋体" w:hAnsi="宋体"/>
          <w:sz w:val="24"/>
          <w:szCs w:val="24"/>
        </w:rPr>
        <w:t>公司资质：</w:t>
      </w:r>
      <w:r>
        <w:rPr>
          <w:rFonts w:hint="eastAsia" w:ascii="宋体" w:hAnsi="宋体" w:cs="仿宋_GB2312"/>
          <w:sz w:val="24"/>
          <w:szCs w:val="24"/>
        </w:rPr>
        <w:t>参选人必须是中华人民共和国境内注册的法人或非法人组织，注册成立时间不得晚于201</w:t>
      </w:r>
      <w:r>
        <w:rPr>
          <w:rFonts w:ascii="宋体" w:hAnsi="宋体" w:cs="仿宋_GB2312"/>
          <w:sz w:val="24"/>
          <w:szCs w:val="24"/>
        </w:rPr>
        <w:t>8</w:t>
      </w:r>
      <w:r>
        <w:rPr>
          <w:rFonts w:hint="eastAsia" w:ascii="宋体" w:hAnsi="宋体" w:cs="仿宋_GB2312"/>
          <w:sz w:val="24"/>
          <w:szCs w:val="24"/>
        </w:rPr>
        <w:t>年1月1日。</w:t>
      </w:r>
    </w:p>
    <w:p>
      <w:pPr>
        <w:pStyle w:val="114"/>
        <w:numPr>
          <w:ilvl w:val="0"/>
          <w:numId w:val="2"/>
        </w:numPr>
        <w:adjustRightInd w:val="0"/>
        <w:snapToGrid w:val="0"/>
        <w:spacing w:line="336" w:lineRule="auto"/>
        <w:ind w:firstLine="480"/>
        <w:rPr>
          <w:rFonts w:ascii="宋体" w:hAnsi="宋体"/>
          <w:sz w:val="24"/>
          <w:szCs w:val="24"/>
        </w:rPr>
      </w:pPr>
      <w:bookmarkStart w:id="23" w:name="_Hlk94176291"/>
      <w:r>
        <w:rPr>
          <w:rFonts w:hint="eastAsia" w:ascii="宋体" w:hAnsi="宋体"/>
          <w:sz w:val="24"/>
          <w:szCs w:val="24"/>
        </w:rPr>
        <w:t>公司业绩</w:t>
      </w:r>
      <w:bookmarkEnd w:id="23"/>
      <w:r>
        <w:rPr>
          <w:rFonts w:hint="eastAsia" w:ascii="宋体" w:hAnsi="宋体"/>
          <w:sz w:val="24"/>
          <w:szCs w:val="24"/>
        </w:rPr>
        <w:t>：</w:t>
      </w:r>
      <w:r>
        <w:rPr>
          <w:rFonts w:hint="eastAsia" w:ascii="宋体" w:hAnsi="宋体"/>
          <w:color w:val="000000"/>
          <w:sz w:val="24"/>
          <w:szCs w:val="24"/>
        </w:rPr>
        <w:t>2019年1月1日至今，服务全国50强或深圳20强房地产开发公司品牌</w:t>
      </w:r>
      <w:r>
        <w:rPr>
          <w:rFonts w:hint="eastAsia" w:ascii="宋体" w:hAnsi="宋体"/>
          <w:color w:val="0D0D0D"/>
          <w:sz w:val="24"/>
          <w:szCs w:val="24"/>
        </w:rPr>
        <w:t>（全国50强排名参考2019年-2021年中指研究院或易居克尔瑞数据，深圳20强排名参考2019-2021年深圳房协数据）</w:t>
      </w:r>
      <w:r>
        <w:rPr>
          <w:rFonts w:hint="eastAsia" w:ascii="宋体" w:hAnsi="宋体"/>
          <w:color w:val="000000"/>
          <w:sz w:val="24"/>
          <w:szCs w:val="24"/>
        </w:rPr>
        <w:t>在北上广深一线城市的项目或品牌的活动或包装或美陈，且合同金额在50万以上的案例</w:t>
      </w:r>
      <w:r>
        <w:rPr>
          <w:rFonts w:hint="eastAsia" w:ascii="宋体" w:hAnsi="宋体"/>
          <w:kern w:val="0"/>
          <w:sz w:val="24"/>
          <w:szCs w:val="24"/>
        </w:rPr>
        <w:t>不少于</w:t>
      </w:r>
      <w:r>
        <w:rPr>
          <w:rFonts w:ascii="宋体" w:hAnsi="宋体"/>
          <w:kern w:val="0"/>
          <w:sz w:val="24"/>
          <w:szCs w:val="24"/>
          <w:u w:val="single"/>
        </w:rPr>
        <w:t>2</w:t>
      </w:r>
      <w:r>
        <w:rPr>
          <w:rFonts w:hint="eastAsia" w:ascii="宋体" w:hAnsi="宋体"/>
          <w:kern w:val="0"/>
          <w:sz w:val="24"/>
          <w:szCs w:val="24"/>
          <w:u w:val="single"/>
        </w:rPr>
        <w:t>个</w:t>
      </w:r>
      <w:r>
        <w:rPr>
          <w:rFonts w:hint="eastAsia" w:ascii="宋体" w:hAnsi="宋体"/>
          <w:kern w:val="0"/>
          <w:sz w:val="24"/>
          <w:szCs w:val="24"/>
        </w:rPr>
        <w:t>。</w:t>
      </w:r>
    </w:p>
    <w:p>
      <w:pPr>
        <w:pStyle w:val="114"/>
        <w:numPr>
          <w:ilvl w:val="0"/>
          <w:numId w:val="2"/>
        </w:numPr>
        <w:adjustRightInd w:val="0"/>
        <w:snapToGrid w:val="0"/>
        <w:spacing w:line="336" w:lineRule="auto"/>
        <w:ind w:firstLine="480"/>
        <w:rPr>
          <w:rFonts w:ascii="宋体" w:hAnsi="宋体"/>
          <w:sz w:val="24"/>
          <w:szCs w:val="24"/>
        </w:rPr>
      </w:pPr>
      <w:r>
        <w:rPr>
          <w:rFonts w:hint="eastAsia" w:ascii="宋体" w:hAnsi="宋体"/>
          <w:color w:val="0D0D0D"/>
          <w:sz w:val="24"/>
          <w:szCs w:val="24"/>
        </w:rPr>
        <w:t>2</w:t>
      </w:r>
      <w:r>
        <w:rPr>
          <w:rFonts w:ascii="宋体" w:hAnsi="宋体"/>
          <w:color w:val="0D0D0D"/>
          <w:sz w:val="24"/>
          <w:szCs w:val="24"/>
        </w:rPr>
        <w:t>019</w:t>
      </w:r>
      <w:r>
        <w:rPr>
          <w:rFonts w:hint="eastAsia" w:ascii="宋体" w:hAnsi="宋体"/>
          <w:color w:val="0D0D0D"/>
          <w:sz w:val="24"/>
          <w:szCs w:val="24"/>
        </w:rPr>
        <w:t>年</w:t>
      </w:r>
      <w:r>
        <w:rPr>
          <w:rFonts w:ascii="宋体" w:hAnsi="宋体"/>
          <w:color w:val="0D0D0D"/>
          <w:sz w:val="24"/>
          <w:szCs w:val="24"/>
        </w:rPr>
        <w:t>1月1日以来，有串通参选不良行为记录或涉嫌串通参选，并正在接受城市主管部门调查的参选申请人不得参选</w:t>
      </w:r>
      <w:r>
        <w:rPr>
          <w:rFonts w:hint="eastAsia" w:ascii="宋体" w:hAnsi="宋体"/>
          <w:color w:val="0D0D0D"/>
          <w:sz w:val="24"/>
          <w:szCs w:val="24"/>
        </w:rPr>
        <w:t>。</w:t>
      </w:r>
    </w:p>
    <w:p>
      <w:pPr>
        <w:pStyle w:val="114"/>
        <w:numPr>
          <w:ilvl w:val="0"/>
          <w:numId w:val="2"/>
        </w:numPr>
        <w:adjustRightInd w:val="0"/>
        <w:snapToGrid w:val="0"/>
        <w:spacing w:line="336" w:lineRule="auto"/>
        <w:ind w:firstLine="480"/>
        <w:rPr>
          <w:rFonts w:ascii="宋体" w:hAnsi="宋体"/>
          <w:sz w:val="24"/>
          <w:szCs w:val="24"/>
        </w:rPr>
      </w:pPr>
      <w:r>
        <w:rPr>
          <w:rFonts w:hint="eastAsia" w:ascii="宋体" w:hAnsi="宋体"/>
          <w:color w:val="0D0D0D"/>
          <w:sz w:val="24"/>
          <w:szCs w:val="24"/>
        </w:rPr>
        <w:t>201</w:t>
      </w:r>
      <w:r>
        <w:rPr>
          <w:rFonts w:ascii="宋体" w:hAnsi="宋体"/>
          <w:color w:val="0D0D0D"/>
          <w:sz w:val="24"/>
          <w:szCs w:val="24"/>
        </w:rPr>
        <w:t>9</w:t>
      </w:r>
      <w:r>
        <w:rPr>
          <w:rFonts w:hint="eastAsia" w:ascii="宋体" w:hAnsi="宋体"/>
          <w:color w:val="0D0D0D"/>
          <w:sz w:val="24"/>
          <w:szCs w:val="24"/>
        </w:rPr>
        <w:t>年1月1日以来，</w:t>
      </w:r>
      <w:bookmarkStart w:id="24" w:name="_Hlk93843371"/>
      <w:r>
        <w:rPr>
          <w:rFonts w:hint="eastAsia" w:ascii="宋体" w:hAnsi="宋体"/>
          <w:sz w:val="24"/>
          <w:szCs w:val="24"/>
        </w:rPr>
        <w:t>在深圳市地铁集团有限公司或下属单位</w:t>
      </w:r>
      <w:r>
        <w:rPr>
          <w:rFonts w:ascii="宋体" w:hAnsi="宋体"/>
          <w:sz w:val="24"/>
          <w:szCs w:val="24"/>
        </w:rPr>
        <w:t>合同履约评价考核</w:t>
      </w:r>
      <w:r>
        <w:rPr>
          <w:rFonts w:hint="eastAsia" w:ascii="宋体" w:hAnsi="宋体"/>
          <w:sz w:val="24"/>
          <w:szCs w:val="24"/>
        </w:rPr>
        <w:t>等级不合格</w:t>
      </w:r>
      <w:bookmarkEnd w:id="24"/>
      <w:r>
        <w:rPr>
          <w:rFonts w:hint="eastAsia" w:ascii="宋体" w:hAnsi="宋体"/>
          <w:sz w:val="24"/>
          <w:szCs w:val="24"/>
        </w:rPr>
        <w:t>的参选申请人不得参选。</w:t>
      </w:r>
    </w:p>
    <w:p>
      <w:pPr>
        <w:pStyle w:val="114"/>
        <w:numPr>
          <w:ilvl w:val="0"/>
          <w:numId w:val="2"/>
        </w:numPr>
        <w:adjustRightInd w:val="0"/>
        <w:snapToGrid w:val="0"/>
        <w:spacing w:line="336" w:lineRule="auto"/>
        <w:ind w:firstLine="480"/>
        <w:rPr>
          <w:rFonts w:ascii="宋体" w:hAnsi="宋体"/>
          <w:sz w:val="24"/>
          <w:szCs w:val="24"/>
        </w:rPr>
      </w:pPr>
      <w:r>
        <w:rPr>
          <w:rFonts w:hint="eastAsia" w:ascii="宋体" w:hAnsi="宋体"/>
          <w:sz w:val="24"/>
          <w:szCs w:val="24"/>
        </w:rPr>
        <w:t>不接受联合体投标。</w:t>
      </w:r>
    </w:p>
    <w:p>
      <w:pPr>
        <w:suppressAutoHyphens/>
        <w:topLinePunct/>
        <w:adjustRightInd w:val="0"/>
        <w:snapToGrid w:val="0"/>
        <w:spacing w:line="336"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7"/>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102"/>
        <w:gridCol w:w="2382"/>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3月</w:t>
            </w:r>
            <w:r>
              <w:rPr>
                <w:rFonts w:ascii="宋体" w:hAnsi="宋体"/>
                <w:bCs/>
                <w:color w:val="0D0D0D" w:themeColor="text1" w:themeTint="F2"/>
                <w:sz w:val="18"/>
                <w:szCs w:val="18"/>
                <w14:textFill>
                  <w14:solidFill>
                    <w14:schemeClr w14:val="tx1">
                      <w14:lumMod w14:val="95000"/>
                      <w14:lumOff w14:val="5000"/>
                    </w14:schemeClr>
                  </w14:solidFill>
                </w14:textFill>
              </w:rPr>
              <w:t>25</w:t>
            </w:r>
            <w:r>
              <w:rPr>
                <w:rFonts w:hint="eastAsia" w:ascii="宋体" w:hAnsi="宋体"/>
                <w:bCs/>
                <w:color w:val="0D0D0D" w:themeColor="text1" w:themeTint="F2"/>
                <w:sz w:val="18"/>
                <w:szCs w:val="18"/>
                <w14:textFill>
                  <w14:solidFill>
                    <w14:schemeClr w14:val="tx1">
                      <w14:lumMod w14:val="95000"/>
                      <w14:lumOff w14:val="5000"/>
                    </w14:schemeClr>
                  </w14:solidFill>
                </w14:textFill>
              </w:rPr>
              <w:t>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日上午9:30</w:t>
            </w:r>
          </w:p>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4</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cs="宋体"/>
                <w:bCs/>
                <w:color w:val="000000"/>
                <w:kern w:val="2"/>
                <w:sz w:val="21"/>
                <w:szCs w:val="21"/>
              </w:rPr>
              <w:t>评标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8</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地点：地铁大厦智能评定标中心会议室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Pr>
        <w:pStyle w:val="24"/>
        <w:snapToGrid w:val="0"/>
        <w:spacing w:line="336"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备注：若参选人的纸质版参选文件与电子版参选文件提交的时间或内容相冲突，以提交的纸质版参选文件的时间或内容为准。</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24"/>
        <w:snapToGrid w:val="0"/>
        <w:spacing w:line="336"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4"/>
        <w:snapToGrid w:val="0"/>
        <w:spacing w:line="336"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不是法定代表人，除携带本人身份证复印件外，还需携带法定代表人证明书和法定代表人身份证件复印件及授权委托书。</w:t>
      </w:r>
    </w:p>
    <w:p>
      <w:pPr>
        <w:pStyle w:val="24"/>
        <w:snapToGrid w:val="0"/>
        <w:spacing w:line="336"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24"/>
        <w:snapToGrid w:val="0"/>
        <w:spacing w:line="336"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联系人：郭</w:t>
      </w:r>
      <w:r>
        <w:rPr>
          <w:rFonts w:hint="eastAsia" w:hAnsi="宋体"/>
          <w:color w:val="0D0D0D" w:themeColor="text1" w:themeTint="F2"/>
          <w:sz w:val="24"/>
          <w14:textFill>
            <w14:solidFill>
              <w14:schemeClr w14:val="tx1">
                <w14:lumMod w14:val="95000"/>
                <w14:lumOff w14:val="5000"/>
              </w14:schemeClr>
            </w14:solidFill>
          </w14:textFill>
        </w:rPr>
        <w:t>小姐</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0755-89986525/13411196142</w:t>
      </w:r>
    </w:p>
    <w:p>
      <w:pPr>
        <w:pStyle w:val="24"/>
        <w:snapToGrid w:val="0"/>
        <w:spacing w:line="336"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24"/>
        <w:snapToGrid w:val="0"/>
        <w:spacing w:line="336" w:lineRule="auto"/>
        <w:ind w:firstLine="480" w:firstLineChars="200"/>
        <w:jc w:val="right"/>
        <w:rPr>
          <w:rFonts w:hint="default" w:hAnsi="宋体" w:eastAsia="宋体" w:cs="宋体"/>
          <w:color w:val="0D0D0D" w:themeColor="text1" w:themeTint="F2"/>
          <w:sz w:val="24"/>
          <w:szCs w:val="24"/>
          <w:lang w:val="en-US" w:eastAsia="zh-CN"/>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2022</w:t>
      </w:r>
      <w:r>
        <w:rPr>
          <w:rFonts w:hAnsi="宋体"/>
          <w:color w:val="0D0D0D" w:themeColor="text1" w:themeTint="F2"/>
          <w:sz w:val="24"/>
          <w14:textFill>
            <w14:solidFill>
              <w14:schemeClr w14:val="tx1">
                <w14:lumMod w14:val="95000"/>
                <w14:lumOff w14:val="5000"/>
              </w14:schemeClr>
            </w14:solidFill>
          </w14:textFill>
        </w:rPr>
        <w:t>年 3</w:t>
      </w:r>
      <w:r>
        <w:rPr>
          <w:rFonts w:hint="eastAsia" w:hAnsi="宋体"/>
          <w:color w:val="0D0D0D" w:themeColor="text1" w:themeTint="F2"/>
          <w:sz w:val="24"/>
          <w14:textFill>
            <w14:solidFill>
              <w14:schemeClr w14:val="tx1">
                <w14:lumMod w14:val="95000"/>
                <w14:lumOff w14:val="5000"/>
              </w14:schemeClr>
            </w14:solidFill>
          </w14:textFill>
        </w:rPr>
        <w:t>月</w:t>
      </w:r>
      <w:r>
        <w:rPr>
          <w:rFonts w:hint="eastAsia" w:hAnsi="宋体"/>
          <w:color w:val="0D0D0D" w:themeColor="text1" w:themeTint="F2"/>
          <w:sz w:val="24"/>
          <w:lang w:val="en-US" w:eastAsia="zh-CN"/>
          <w14:textFill>
            <w14:solidFill>
              <w14:schemeClr w14:val="tx1">
                <w14:lumMod w14:val="95000"/>
                <w14:lumOff w14:val="5000"/>
              </w14:schemeClr>
            </w14:solidFill>
          </w14:textFill>
        </w:rPr>
        <w:t>25日</w:t>
      </w:r>
      <w:bookmarkStart w:id="123" w:name="_GoBack"/>
      <w:bookmarkEnd w:id="123"/>
    </w:p>
    <w:p>
      <w:pPr>
        <w:pStyle w:val="4"/>
        <w:spacing w:line="480" w:lineRule="atLeast"/>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bookmarkStart w:id="25" w:name="_Toc98264005"/>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比选须知</w:t>
      </w:r>
      <w:bookmarkEnd w:id="25"/>
    </w:p>
    <w:p>
      <w:pPr>
        <w:pStyle w:val="5"/>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26" w:name="_Toc98264006"/>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第一章 总则</w:t>
      </w:r>
      <w:bookmarkEnd w:id="26"/>
    </w:p>
    <w:p>
      <w:pPr>
        <w:pStyle w:val="6"/>
        <w:numPr>
          <w:ilvl w:val="2"/>
          <w:numId w:val="0"/>
        </w:numPr>
        <w:spacing w:before="240" w:beforeLines="100" w:after="120" w:afterLines="50" w:line="480" w:lineRule="atLeast"/>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7" w:name="_Toc98264007"/>
      <w:r>
        <w:rPr>
          <w:rFonts w:hint="eastAsia" w:ascii="宋体" w:hAnsi="宋体"/>
          <w:bCs/>
          <w:color w:val="0D0D0D" w:themeColor="text1" w:themeTint="F2"/>
          <w:sz w:val="24"/>
          <w:szCs w:val="24"/>
          <w14:textFill>
            <w14:solidFill>
              <w14:schemeClr w14:val="tx1">
                <w14:lumMod w14:val="95000"/>
                <w14:lumOff w14:val="5000"/>
              </w14:schemeClr>
            </w14:solidFill>
          </w14:textFill>
        </w:rPr>
        <w:t>一、项目概况</w:t>
      </w:r>
      <w:bookmarkEnd w:id="27"/>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2223"/>
        <w:gridCol w:w="6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序号</w:t>
            </w:r>
          </w:p>
        </w:tc>
        <w:tc>
          <w:tcPr>
            <w:tcW w:w="1164"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项目名称</w:t>
            </w:r>
          </w:p>
        </w:tc>
        <w:tc>
          <w:tcPr>
            <w:tcW w:w="3474" w:type="pct"/>
            <w:vAlign w:val="center"/>
          </w:tcPr>
          <w:p>
            <w:pPr>
              <w:adjustRightInd w:val="0"/>
              <w:snapToGrid w:val="0"/>
              <w:spacing w:line="276" w:lineRule="auto"/>
              <w:jc w:val="center"/>
              <w:rPr>
                <w:rFonts w:ascii="宋体" w:hAnsi="宋体"/>
                <w:b/>
                <w:bCs/>
                <w:kern w:val="0"/>
                <w:sz w:val="22"/>
                <w:szCs w:val="22"/>
              </w:rPr>
            </w:pPr>
            <w:r>
              <w:rPr>
                <w:rFonts w:hint="eastAsia" w:ascii="宋体" w:hAnsi="宋体"/>
                <w:b/>
                <w:bCs/>
                <w:kern w:val="0"/>
                <w:sz w:val="22"/>
                <w:szCs w:val="22"/>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1</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深铁珑境花园</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深铁珑境花园位于深圳市龙华区大浪街道布龙路与和平路交汇处，接驳地铁4号线龙胜站。项目为深铁置业在龙华首献作品，住宅首批主推建面约180</w:t>
            </w:r>
            <w:r>
              <w:rPr>
                <w:rFonts w:hint="eastAsia" w:ascii="宋体" w:hAnsi="宋体" w:cs="Segoe UI Symbol"/>
                <w:kern w:val="0"/>
                <w:sz w:val="22"/>
                <w:szCs w:val="22"/>
              </w:rPr>
              <w:t>㎡</w:t>
            </w:r>
            <w:r>
              <w:rPr>
                <w:rFonts w:hint="eastAsia" w:ascii="宋体" w:hAnsi="宋体" w:cs="仿宋_GB2312"/>
                <w:kern w:val="0"/>
                <w:sz w:val="22"/>
                <w:szCs w:val="22"/>
              </w:rPr>
              <w:t>复式</w:t>
            </w:r>
            <w:r>
              <w:rPr>
                <w:rFonts w:hint="eastAsia" w:ascii="宋体" w:hAnsi="宋体"/>
                <w:kern w:val="0"/>
                <w:sz w:val="22"/>
                <w:szCs w:val="22"/>
              </w:rPr>
              <w:t>和10</w:t>
            </w:r>
            <w:r>
              <w:rPr>
                <w:rFonts w:ascii="宋体" w:hAnsi="宋体"/>
                <w:kern w:val="0"/>
                <w:sz w:val="22"/>
                <w:szCs w:val="22"/>
              </w:rPr>
              <w:t>7</w:t>
            </w:r>
            <w:r>
              <w:rPr>
                <w:rFonts w:hint="eastAsia" w:ascii="宋体" w:hAnsi="宋体"/>
                <w:kern w:val="0"/>
                <w:sz w:val="22"/>
                <w:szCs w:val="22"/>
              </w:rPr>
              <w:t>-143</w:t>
            </w:r>
            <w:r>
              <w:rPr>
                <w:rFonts w:hint="eastAsia" w:ascii="宋体" w:hAnsi="宋体" w:cs="Segoe UI Symbol"/>
                <w:kern w:val="0"/>
                <w:sz w:val="22"/>
                <w:szCs w:val="22"/>
              </w:rPr>
              <w:t>㎡</w:t>
            </w:r>
            <w:r>
              <w:rPr>
                <w:rFonts w:hint="eastAsia" w:ascii="宋体" w:hAnsi="宋体" w:cs="仿宋_GB2312"/>
                <w:kern w:val="0"/>
                <w:sz w:val="22"/>
                <w:szCs w:val="22"/>
              </w:rPr>
              <w:t>洋</w:t>
            </w:r>
            <w:r>
              <w:rPr>
                <w:rFonts w:hint="eastAsia" w:ascii="宋体" w:hAnsi="宋体"/>
                <w:kern w:val="0"/>
                <w:sz w:val="22"/>
                <w:szCs w:val="22"/>
              </w:rPr>
              <w:t>房，是集高端住宅、缤纷商业、生态景观、自带学府约28万</w:t>
            </w:r>
            <w:r>
              <w:rPr>
                <w:rFonts w:hint="eastAsia" w:ascii="宋体" w:hAnsi="宋体" w:cs="Segoe UI Symbol"/>
                <w:kern w:val="0"/>
                <w:sz w:val="22"/>
                <w:szCs w:val="22"/>
              </w:rPr>
              <w:t>㎡</w:t>
            </w:r>
            <w:r>
              <w:rPr>
                <w:rFonts w:hint="eastAsia" w:ascii="宋体" w:hAnsi="宋体" w:cs="仿宋_GB2312"/>
                <w:kern w:val="0"/>
                <w:sz w:val="22"/>
                <w:szCs w:val="22"/>
              </w:rPr>
              <w:t>纯居大型综合体，以超低密度、低容积率定义舒居生活</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2</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深铁璟城</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深铁璟城位于深圳市宝安区松岗片区地铁11号线终点站碧头站上盖，东宝河南侧，松福大道以北。项目总占地约33万</w:t>
            </w:r>
            <w:r>
              <w:rPr>
                <w:rFonts w:hint="eastAsia" w:ascii="宋体" w:hAnsi="宋体" w:cs="Segoe UI Symbol"/>
                <w:kern w:val="0"/>
                <w:sz w:val="22"/>
                <w:szCs w:val="22"/>
              </w:rPr>
              <w:t>㎡</w:t>
            </w:r>
            <w:r>
              <w:rPr>
                <w:rFonts w:hint="eastAsia" w:ascii="宋体" w:hAnsi="宋体" w:cs="仿宋_GB2312"/>
                <w:kern w:val="0"/>
                <w:sz w:val="22"/>
                <w:szCs w:val="22"/>
              </w:rPr>
              <w:t>，建筑面积约</w:t>
            </w:r>
            <w:r>
              <w:rPr>
                <w:rFonts w:hint="eastAsia" w:ascii="宋体" w:hAnsi="宋体"/>
                <w:kern w:val="0"/>
                <w:sz w:val="22"/>
                <w:szCs w:val="22"/>
              </w:rPr>
              <w:t>70万</w:t>
            </w:r>
            <w:r>
              <w:rPr>
                <w:rFonts w:hint="eastAsia" w:ascii="宋体" w:hAnsi="宋体" w:cs="Segoe UI Symbol"/>
                <w:kern w:val="0"/>
                <w:sz w:val="22"/>
                <w:szCs w:val="22"/>
              </w:rPr>
              <w:t>㎡</w:t>
            </w:r>
            <w:r>
              <w:rPr>
                <w:rFonts w:hint="eastAsia" w:ascii="宋体" w:hAnsi="宋体" w:cs="仿宋_GB2312"/>
                <w:kern w:val="0"/>
                <w:sz w:val="22"/>
                <w:szCs w:val="22"/>
              </w:rPr>
              <w:t>，是集高端住宅、缤纷商业、运动公园、九年教育配套于一体的大型生态综合体，其中首批推出北区盖上</w:t>
            </w:r>
            <w:r>
              <w:rPr>
                <w:rFonts w:hint="eastAsia" w:ascii="宋体" w:hAnsi="宋体"/>
                <w:kern w:val="0"/>
                <w:sz w:val="22"/>
                <w:szCs w:val="22"/>
              </w:rPr>
              <w:t>1244套75-148平2-4房的低密住宅产品。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3</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深铁懿府</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深铁懿府位于深圳南山华侨城北片区，安托山西侧，深云路以东，广深高速以北。项目总建设用地面积约</w:t>
            </w:r>
            <w:r>
              <w:rPr>
                <w:rFonts w:ascii="宋体" w:hAnsi="宋体"/>
                <w:kern w:val="0"/>
                <w:sz w:val="22"/>
                <w:szCs w:val="22"/>
              </w:rPr>
              <w:t>21万㎡，总建筑面积约75万㎡</w:t>
            </w:r>
            <w:r>
              <w:rPr>
                <w:rFonts w:hint="eastAsia" w:ascii="宋体" w:hAnsi="宋体"/>
                <w:kern w:val="0"/>
                <w:sz w:val="22"/>
                <w:szCs w:val="22"/>
              </w:rPr>
              <w:t>，</w:t>
            </w:r>
            <w:r>
              <w:rPr>
                <w:rFonts w:ascii="宋体" w:hAnsi="宋体"/>
                <w:kern w:val="0"/>
                <w:sz w:val="22"/>
                <w:szCs w:val="22"/>
              </w:rPr>
              <w:t>是集住宅、商务公寓、写字楼、商业、教育配套、体育公园于一体的“复合人文生态综合体”。深铁懿府三期可售总面积约 68400㎡，可售套数约282套，主力户型为建筑面积约240㎡5房</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4</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地铁前海时代广场</w:t>
            </w:r>
            <w:r>
              <w:rPr>
                <w:rFonts w:ascii="宋体" w:hAnsi="宋体"/>
                <w:kern w:val="0"/>
                <w:sz w:val="22"/>
                <w:szCs w:val="22"/>
              </w:rPr>
              <w:t>4号地块</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地铁前海时代广场位于深圳南山前海桂湾片区，梦海大道以东，怡海大道以西，桂湾四路以南，滨海大道以北。项目总建设用地面积约</w:t>
            </w:r>
            <w:r>
              <w:rPr>
                <w:rFonts w:ascii="宋体" w:hAnsi="宋体"/>
                <w:kern w:val="0"/>
                <w:sz w:val="22"/>
                <w:szCs w:val="22"/>
              </w:rPr>
              <w:t>33.6万㎡，总建筑面积约131万㎡</w:t>
            </w:r>
            <w:r>
              <w:rPr>
                <w:rFonts w:hint="eastAsia" w:ascii="宋体" w:hAnsi="宋体"/>
                <w:kern w:val="0"/>
                <w:sz w:val="22"/>
                <w:szCs w:val="22"/>
              </w:rPr>
              <w:t>，</w:t>
            </w:r>
            <w:r>
              <w:rPr>
                <w:rFonts w:ascii="宋体" w:hAnsi="宋体"/>
                <w:kern w:val="0"/>
                <w:sz w:val="22"/>
                <w:szCs w:val="22"/>
              </w:rPr>
              <w:t>是集住宅、商务公寓、写字楼、商业、酒店、教育配套、保障性住房于一体的“全业态综合体项目”。其中4号地块总面积为234451㎡，主要为办公、公寓及商业，定位全能商务综合体旗舰</w:t>
            </w:r>
            <w:r>
              <w:rPr>
                <w:rFonts w:hint="eastAsia" w:ascii="宋体" w:hAnsi="宋体"/>
                <w:kern w:val="0"/>
                <w:sz w:val="22"/>
                <w:szCs w:val="22"/>
              </w:rPr>
              <w:t>，</w:t>
            </w:r>
            <w:r>
              <w:rPr>
                <w:rFonts w:ascii="宋体" w:hAnsi="宋体"/>
                <w:kern w:val="0"/>
                <w:sz w:val="22"/>
                <w:szCs w:val="22"/>
              </w:rPr>
              <w:t>办公总面积为169350㎡</w:t>
            </w:r>
            <w:r>
              <w:rPr>
                <w:rFonts w:hint="eastAsia" w:ascii="宋体" w:hAnsi="宋体"/>
                <w:kern w:val="0"/>
                <w:sz w:val="22"/>
                <w:szCs w:val="22"/>
              </w:rPr>
              <w:t>，</w:t>
            </w:r>
            <w:r>
              <w:rPr>
                <w:rFonts w:ascii="宋体" w:hAnsi="宋体"/>
                <w:kern w:val="0"/>
                <w:sz w:val="22"/>
                <w:szCs w:val="22"/>
              </w:rPr>
              <w:t>公寓销售产品共计27200㎡。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5</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深铁赤湾项目</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深铁赤湾项目位于赤湾山以南，</w:t>
            </w:r>
            <w:r>
              <w:rPr>
                <w:rFonts w:ascii="宋体" w:hAnsi="宋体"/>
                <w:kern w:val="0"/>
                <w:sz w:val="22"/>
                <w:szCs w:val="22"/>
              </w:rPr>
              <w:t>12号线左炮台站，为地铁停车场开发物业</w:t>
            </w:r>
            <w:r>
              <w:rPr>
                <w:rFonts w:hint="eastAsia" w:ascii="宋体" w:hAnsi="宋体"/>
                <w:kern w:val="0"/>
                <w:sz w:val="22"/>
                <w:szCs w:val="22"/>
              </w:rPr>
              <w:t>。项目总</w:t>
            </w:r>
            <w:r>
              <w:rPr>
                <w:rFonts w:ascii="宋体" w:hAnsi="宋体"/>
                <w:kern w:val="0"/>
                <w:sz w:val="22"/>
                <w:szCs w:val="22"/>
              </w:rPr>
              <w:t>占地14.5万㎡，由商品房、可售型人才房、商业、幼儿园、九年一贯制学校、公共配套等组成。基于本项目自贸双核、倚山瞰海、生态景观、国际化人文环境的价值优势，整体定位为“自贸滨海中心·高端山海大境”，打造绿色、瞰海、国际、私享的高端豪宅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6</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深铁瑞城项目</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瑞城项目位于长圳车辆段，用地位于光侨路以北，科裕路以西，东长大道以东。项目用地面积188520㎡，总建筑面积633143㎡，总房源4776套。项目是集住宅、商业、教育配套、体育公园于一体的“复合人文生态综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7</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color w:val="000000"/>
                <w:sz w:val="22"/>
                <w:szCs w:val="22"/>
              </w:rPr>
              <w:t>山海漫街</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color w:val="000000"/>
                <w:sz w:val="22"/>
                <w:szCs w:val="22"/>
              </w:rPr>
              <w:t>山海漫街商业项目为南山蛇口西龙瑞</w:t>
            </w:r>
            <w:r>
              <w:rPr>
                <w:rFonts w:ascii="宋体" w:hAnsi="宋体"/>
                <w:color w:val="000000"/>
                <w:sz w:val="22"/>
                <w:szCs w:val="22"/>
              </w:rPr>
              <w:t>佳园商业裙楼</w:t>
            </w:r>
            <w:r>
              <w:rPr>
                <w:rFonts w:hint="eastAsia" w:ascii="宋体" w:hAnsi="宋体"/>
                <w:color w:val="000000"/>
                <w:sz w:val="22"/>
                <w:szCs w:val="22"/>
              </w:rPr>
              <w:t>，面积约</w:t>
            </w:r>
            <w:r>
              <w:rPr>
                <w:rFonts w:ascii="宋体" w:hAnsi="宋体"/>
                <w:color w:val="000000"/>
                <w:sz w:val="22"/>
                <w:szCs w:val="22"/>
              </w:rPr>
              <w:t>5192</w:t>
            </w:r>
            <w:r>
              <w:rPr>
                <w:rFonts w:hint="eastAsia" w:ascii="宋体" w:hAnsi="宋体" w:cs="Batang"/>
                <w:color w:val="000000"/>
                <w:sz w:val="22"/>
                <w:szCs w:val="22"/>
              </w:rPr>
              <w:t>㎡</w:t>
            </w:r>
            <w:r>
              <w:rPr>
                <w:rFonts w:hint="eastAsia" w:ascii="宋体" w:hAnsi="宋体"/>
                <w:color w:val="000000"/>
                <w:sz w:val="22"/>
                <w:szCs w:val="22"/>
              </w:rPr>
              <w:t>，共31套商铺，面积约33-</w:t>
            </w:r>
            <w:r>
              <w:rPr>
                <w:rFonts w:ascii="宋体" w:hAnsi="宋体"/>
                <w:color w:val="000000"/>
                <w:sz w:val="22"/>
                <w:szCs w:val="22"/>
              </w:rPr>
              <w:t>304</w:t>
            </w:r>
            <w:r>
              <w:rPr>
                <w:rFonts w:hint="eastAsia" w:ascii="宋体" w:hAnsi="宋体" w:cs="Batang"/>
                <w:color w:val="000000"/>
                <w:sz w:val="22"/>
                <w:szCs w:val="22"/>
              </w:rPr>
              <w:t>㎡</w:t>
            </w:r>
            <w:r>
              <w:rPr>
                <w:rFonts w:hint="eastAsia" w:ascii="宋体" w:hAnsi="宋体" w:cs="仿宋_GB2312"/>
                <w:color w:val="000000"/>
                <w:sz w:val="22"/>
                <w:szCs w:val="22"/>
              </w:rPr>
              <w:t>不等</w:t>
            </w:r>
            <w:r>
              <w:rPr>
                <w:rFonts w:hint="eastAsia" w:ascii="宋体" w:hAnsi="宋体"/>
                <w:color w:val="000000"/>
                <w:sz w:val="22"/>
                <w:szCs w:val="22"/>
              </w:rPr>
              <w:t>。商业集中于架空层</w:t>
            </w:r>
            <w:r>
              <w:rPr>
                <w:rFonts w:ascii="宋体" w:hAnsi="宋体"/>
                <w:color w:val="000000"/>
                <w:sz w:val="22"/>
                <w:szCs w:val="22"/>
              </w:rPr>
              <w:t>10</w:t>
            </w:r>
            <w:r>
              <w:rPr>
                <w:rFonts w:hint="eastAsia" w:ascii="宋体" w:hAnsi="宋体"/>
                <w:color w:val="000000"/>
                <w:sz w:val="22"/>
                <w:szCs w:val="22"/>
              </w:rPr>
              <w:t>米平台，社区型围合式商业。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ascii="宋体" w:hAnsi="宋体"/>
                <w:kern w:val="0"/>
                <w:sz w:val="22"/>
                <w:szCs w:val="22"/>
              </w:rPr>
              <w:t>8</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深铁金融科技大厦</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深铁金融科技大厦地处科技园核心位置，两条地铁线接驳，南山区地标性建筑之一，片区商务氛围成熟，总部办公企业居多，主要以高新技术企业为主，承租能力强。项目占地约</w:t>
            </w:r>
            <w:r>
              <w:rPr>
                <w:rFonts w:ascii="宋体" w:hAnsi="宋体"/>
                <w:kern w:val="0"/>
                <w:sz w:val="22"/>
                <w:szCs w:val="22"/>
              </w:rPr>
              <w:t>9800㎡，建筑面积约97760㎡，集甲级办公、酒店、商业、片区交通枢纽为一体的超高层综合体，其中办公建筑面积约42487㎡</w:t>
            </w:r>
            <w:r>
              <w:rPr>
                <w:rFonts w:hint="eastAsia" w:ascii="宋体" w:hAnsi="宋体"/>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 w:type="pct"/>
            <w:vAlign w:val="center"/>
          </w:tcPr>
          <w:p>
            <w:pPr>
              <w:adjustRightInd w:val="0"/>
              <w:snapToGrid w:val="0"/>
              <w:spacing w:line="276" w:lineRule="auto"/>
              <w:jc w:val="center"/>
              <w:rPr>
                <w:rFonts w:ascii="宋体" w:hAnsi="宋体"/>
                <w:kern w:val="0"/>
                <w:sz w:val="22"/>
                <w:szCs w:val="22"/>
              </w:rPr>
            </w:pPr>
            <w:r>
              <w:rPr>
                <w:rFonts w:hint="eastAsia" w:ascii="宋体" w:hAnsi="宋体"/>
                <w:kern w:val="0"/>
                <w:sz w:val="22"/>
                <w:szCs w:val="22"/>
              </w:rPr>
              <w:t>9</w:t>
            </w:r>
          </w:p>
        </w:tc>
        <w:tc>
          <w:tcPr>
            <w:tcW w:w="116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深铁置业大厦</w:t>
            </w:r>
          </w:p>
        </w:tc>
        <w:tc>
          <w:tcPr>
            <w:tcW w:w="3474" w:type="pct"/>
            <w:vAlign w:val="center"/>
          </w:tcPr>
          <w:p>
            <w:pPr>
              <w:adjustRightInd w:val="0"/>
              <w:snapToGrid w:val="0"/>
              <w:spacing w:line="276" w:lineRule="auto"/>
              <w:rPr>
                <w:rFonts w:ascii="宋体" w:hAnsi="宋体"/>
                <w:kern w:val="0"/>
                <w:sz w:val="22"/>
                <w:szCs w:val="22"/>
              </w:rPr>
            </w:pPr>
            <w:r>
              <w:rPr>
                <w:rFonts w:hint="eastAsia" w:ascii="宋体" w:hAnsi="宋体"/>
                <w:kern w:val="0"/>
                <w:sz w:val="22"/>
                <w:szCs w:val="22"/>
              </w:rPr>
              <w:t>深铁置业大厦位于车公庙商务区，四条地铁线接驳，与绿景</w:t>
            </w:r>
            <w:r>
              <w:rPr>
                <w:rFonts w:ascii="宋体" w:hAnsi="宋体"/>
                <w:kern w:val="0"/>
                <w:sz w:val="22"/>
                <w:szCs w:val="22"/>
              </w:rPr>
              <w:t>NEO大厦呈香蜜湖路两侧双子楼</w:t>
            </w:r>
            <w:r>
              <w:rPr>
                <w:rFonts w:hint="eastAsia" w:ascii="宋体" w:hAnsi="宋体"/>
                <w:kern w:val="0"/>
                <w:sz w:val="22"/>
                <w:szCs w:val="22"/>
              </w:rPr>
              <w:t>，</w:t>
            </w:r>
            <w:r>
              <w:rPr>
                <w:rFonts w:ascii="宋体" w:hAnsi="宋体"/>
                <w:kern w:val="0"/>
                <w:sz w:val="22"/>
                <w:szCs w:val="22"/>
              </w:rPr>
              <w:t>项目占地约6559.5㎡，建筑高度249米，计容建筑面积约11.6万㎡，涵盖写字楼和配套商业，其中1-4层为商业面积约1.2万㎡</w:t>
            </w:r>
            <w:r>
              <w:rPr>
                <w:rFonts w:hint="eastAsia" w:ascii="宋体" w:hAnsi="宋体"/>
                <w:kern w:val="0"/>
                <w:sz w:val="22"/>
                <w:szCs w:val="22"/>
              </w:rPr>
              <w:t>，</w:t>
            </w:r>
            <w:r>
              <w:rPr>
                <w:rFonts w:ascii="宋体" w:hAnsi="宋体"/>
                <w:kern w:val="0"/>
                <w:sz w:val="22"/>
                <w:szCs w:val="22"/>
              </w:rPr>
              <w:t>办公设置在5-55层面积约10.3万㎡</w:t>
            </w:r>
            <w:r>
              <w:rPr>
                <w:rFonts w:hint="eastAsia" w:ascii="宋体" w:hAnsi="宋体"/>
                <w:kern w:val="0"/>
                <w:sz w:val="22"/>
                <w:szCs w:val="22"/>
              </w:rPr>
              <w:t>，是</w:t>
            </w:r>
            <w:r>
              <w:rPr>
                <w:rFonts w:ascii="宋体" w:hAnsi="宋体"/>
                <w:kern w:val="0"/>
                <w:sz w:val="22"/>
                <w:szCs w:val="22"/>
              </w:rPr>
              <w:t>集写字楼、商业、片区大型交通枢纽为一体的超高层综合体建筑。</w:t>
            </w:r>
          </w:p>
        </w:tc>
      </w:tr>
    </w:tbl>
    <w:p>
      <w:pPr>
        <w:pStyle w:val="114"/>
        <w:spacing w:line="360" w:lineRule="auto"/>
        <w:ind w:firstLine="48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4</w:t>
      </w:r>
      <w:r>
        <w:rPr>
          <w:rFonts w:ascii="宋体" w:hAnsi="宋体"/>
          <w:color w:val="0D0D0D" w:themeColor="text1" w:themeTint="F2"/>
          <w:kern w:val="0"/>
          <w:sz w:val="24"/>
          <w:szCs w:val="24"/>
          <w14:textFill>
            <w14:solidFill>
              <w14:schemeClr w14:val="tx1">
                <w14:lumMod w14:val="95000"/>
                <w14:lumOff w14:val="5000"/>
              </w14:schemeClr>
            </w14:solidFill>
          </w14:textFill>
        </w:rPr>
        <w:t>.</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招采主体补充说明：</w:t>
      </w:r>
    </w:p>
    <w:p>
      <w:pPr>
        <w:adjustRightInd w:val="0"/>
        <w:snapToGrid w:val="0"/>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深铁珑境花园、深铁璟城、地铁前海时代广场、深铁赤湾项目、深铁瑞城、山海漫街、深铁置业大厦、深铁金融科技大厦的土地开发主体为深圳市地铁集团有限公司，深铁懿府的土地开发主体为深圳地铁前海国际发展有限公司。深圳地铁前海国际发展有限公司与深圳市地铁集团有限公司签订委托经营管理协议，深圳地铁前海国际发展有限公司委托深圳市地铁集团有限公司负责其名下及其管理的所有项目的开发、建设、销售以及相关项目经营管理等全链条业务的经营管理。故本次9个项目统一由深圳市地铁集团有限公司开展招采工作，后续根据项目主体不同，各项目分别签订合同，即B包由中选人分别与深圳市地铁集团有限公司、深圳地铁前海国际发展有限公司签订合同。</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8" w:name="_Toc98264008"/>
      <w:r>
        <w:rPr>
          <w:rFonts w:hint="eastAsia" w:ascii="宋体" w:hAnsi="宋体"/>
          <w:bCs/>
          <w:color w:val="0D0D0D" w:themeColor="text1" w:themeTint="F2"/>
          <w:sz w:val="24"/>
          <w:szCs w:val="24"/>
          <w14:textFill>
            <w14:solidFill>
              <w14:schemeClr w14:val="tx1">
                <w14:lumMod w14:val="95000"/>
                <w14:lumOff w14:val="5000"/>
              </w14:schemeClr>
            </w14:solidFill>
          </w14:textFill>
        </w:rPr>
        <w:t>二</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服务内容</w:t>
      </w:r>
      <w:bookmarkEnd w:id="28"/>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铁置业2022年度拟销售项目展示区开放系列活动、现场包装及宣传推广服务为深铁珑境花园一期、深铁璟城一期、深铁懿府三期、地铁前海时代广场4号地块、深铁赤湾项目一期、深铁瑞城三期、山海漫街、深铁置业大厦、深铁科技金融大厦共9个项目包括但不限于展示区开放活动策划及执行、系列拓客和暖场活动策划及执行、现场包装相关物料采购、设计制作与执行、相关活动的收尾撤场、宣传推广等内容，具体要求如下：</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（一）活动部分</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展示区开放活动</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在项目展示区开放节点，根据具体项目的需求举办富有仪式感及特色的开放活动，主题鲜明、突出项目调性及品质，包括但不限于有：开放仪式、现场暖场表演、媒体互动交流形式及伴手礼、活动氛围营造及包装。</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其中展示区开放活动根据各项目展示区的不同分为：项目现场展示区开放活动、异地展示区开放活动、现场论坛活动等。</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系列拓客及暖场活动</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（1）拓客活动：项目结合圈层客户特点，举办有互动性、创意性的拓客活动，包含但不限于：酒会类活动、品鉴类活动、答谢类活动、音乐类活动等，以此撬动目标客户圈层吸引更多客户。</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（2）暖场活动：项目在开放展示区后，为吸引更多客户上门，并增加客户停留时间，拟于项目展示区举行暖场活动，活动内容需符合项目调性，有主题性、趣味性，能吸引客户停留。</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各项目活动铺排如下：</w:t>
      </w:r>
    </w:p>
    <w:tbl>
      <w:tblPr>
        <w:tblStyle w:val="47"/>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6"/>
        <w:gridCol w:w="1776"/>
        <w:gridCol w:w="1305"/>
        <w:gridCol w:w="1446"/>
        <w:gridCol w:w="1569"/>
        <w:gridCol w:w="1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1776"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主开放活动</w:t>
            </w:r>
          </w:p>
        </w:tc>
        <w:tc>
          <w:tcPr>
            <w:tcW w:w="1305"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其它开放活动1</w:t>
            </w:r>
          </w:p>
        </w:tc>
        <w:tc>
          <w:tcPr>
            <w:tcW w:w="1446" w:type="dxa"/>
            <w:vMerge w:val="restart"/>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其它开放活动2</w:t>
            </w:r>
          </w:p>
        </w:tc>
        <w:tc>
          <w:tcPr>
            <w:tcW w:w="1569"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拓客活动</w:t>
            </w:r>
          </w:p>
        </w:tc>
        <w:tc>
          <w:tcPr>
            <w:tcW w:w="1454"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暖场活动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1876" w:type="dxa"/>
            <w:vMerge w:val="continue"/>
            <w:vAlign w:val="center"/>
          </w:tcPr>
          <w:p>
            <w:pPr>
              <w:widowControl/>
              <w:jc w:val="left"/>
              <w:rPr>
                <w:rFonts w:ascii="宋体" w:hAnsi="宋体" w:cs="宋体"/>
                <w:color w:val="000000"/>
                <w:kern w:val="0"/>
                <w:sz w:val="18"/>
                <w:szCs w:val="18"/>
              </w:rPr>
            </w:pPr>
          </w:p>
        </w:tc>
        <w:tc>
          <w:tcPr>
            <w:tcW w:w="1776" w:type="dxa"/>
            <w:vMerge w:val="continue"/>
            <w:vAlign w:val="center"/>
          </w:tcPr>
          <w:p>
            <w:pPr>
              <w:widowControl/>
              <w:jc w:val="left"/>
              <w:rPr>
                <w:rFonts w:ascii="宋体" w:hAnsi="宋体" w:cs="宋体"/>
                <w:color w:val="000000"/>
                <w:kern w:val="0"/>
                <w:sz w:val="18"/>
                <w:szCs w:val="18"/>
              </w:rPr>
            </w:pPr>
          </w:p>
        </w:tc>
        <w:tc>
          <w:tcPr>
            <w:tcW w:w="1305" w:type="dxa"/>
            <w:vMerge w:val="continue"/>
            <w:vAlign w:val="center"/>
          </w:tcPr>
          <w:p>
            <w:pPr>
              <w:widowControl/>
              <w:jc w:val="left"/>
              <w:rPr>
                <w:rFonts w:ascii="宋体" w:hAnsi="宋体" w:cs="宋体"/>
                <w:color w:val="000000"/>
                <w:kern w:val="0"/>
                <w:sz w:val="18"/>
                <w:szCs w:val="18"/>
              </w:rPr>
            </w:pPr>
          </w:p>
        </w:tc>
        <w:tc>
          <w:tcPr>
            <w:tcW w:w="1446" w:type="dxa"/>
            <w:vMerge w:val="continue"/>
            <w:vAlign w:val="center"/>
          </w:tcPr>
          <w:p>
            <w:pPr>
              <w:widowControl/>
              <w:jc w:val="left"/>
              <w:rPr>
                <w:rFonts w:ascii="宋体" w:hAnsi="宋体" w:cs="宋体"/>
                <w:color w:val="000000"/>
                <w:kern w:val="0"/>
                <w:sz w:val="18"/>
                <w:szCs w:val="18"/>
              </w:rPr>
            </w:pPr>
          </w:p>
        </w:tc>
        <w:tc>
          <w:tcPr>
            <w:tcW w:w="1569"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1454"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深铁珑境花园一期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52F展示区开放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52F论坛/沙龙</w:t>
            </w:r>
          </w:p>
        </w:tc>
        <w:tc>
          <w:tcPr>
            <w:tcW w:w="1446" w:type="dxa"/>
            <w:shd w:val="clear" w:color="auto" w:fill="404040"/>
            <w:vAlign w:val="center"/>
          </w:tcPr>
          <w:p>
            <w:pPr>
              <w:widowControl/>
              <w:jc w:val="center"/>
              <w:rPr>
                <w:rFonts w:ascii="宋体" w:hAnsi="宋体" w:cs="宋体"/>
                <w:b/>
                <w:bCs/>
                <w:color w:val="000000"/>
                <w:kern w:val="0"/>
                <w:sz w:val="18"/>
                <w:szCs w:val="18"/>
              </w:rPr>
            </w:pP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深铁璟城一期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1F展厅开放</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深铁懿府三期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1305"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地铁前海时代广场4号地块</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春泉营销中心开放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144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临时展点开放</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深铁赤湾项目一期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展厅开放</w:t>
            </w:r>
          </w:p>
        </w:tc>
        <w:tc>
          <w:tcPr>
            <w:tcW w:w="1305"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深铁瑞城三期</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山海漫街</w:t>
            </w:r>
          </w:p>
        </w:tc>
        <w:tc>
          <w:tcPr>
            <w:tcW w:w="177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305"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1454"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深铁金融科技大厦</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1454"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876" w:type="dxa"/>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深铁置业大厦</w:t>
            </w:r>
          </w:p>
        </w:tc>
        <w:tc>
          <w:tcPr>
            <w:tcW w:w="1776"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1305"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1446"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569" w:type="dxa"/>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1454" w:type="dxa"/>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bl>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（二）现场包装设计制作部分</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为展示区达到展示条件，营造营销氛围，对展示区现场进行包装制作，内容包括但不限于展示区外围包装、内部包装、样板房区域包装等。</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（三）宣传推广部分</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根据展示区开放前后，基于项目蓄客需求，进行不同线上推广渠道的投放。</w:t>
      </w:r>
    </w:p>
    <w:p>
      <w:pPr>
        <w:pStyle w:val="24"/>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24"/>
        <w:snapToGrid w:val="0"/>
        <w:spacing w:line="336" w:lineRule="auto"/>
        <w:ind w:firstLine="480" w:firstLineChars="200"/>
        <w:rPr>
          <w:rFonts w:hAnsi="宋体"/>
          <w:kern w:val="2"/>
          <w:sz w:val="24"/>
          <w:szCs w:val="24"/>
        </w:rPr>
      </w:pPr>
      <w:r>
        <w:rPr>
          <w:rFonts w:hint="eastAsia" w:hAnsi="宋体"/>
          <w:kern w:val="2"/>
          <w:sz w:val="24"/>
          <w:szCs w:val="24"/>
        </w:rPr>
        <w:t>具体分项目要求详见附件1《深铁置业2022年度拟销售项目展示区开放系列活动、现场包装及宣传推广服务分项目内容》。</w:t>
      </w:r>
    </w:p>
    <w:p>
      <w:pPr>
        <w:pStyle w:val="24"/>
        <w:snapToGrid w:val="0"/>
        <w:spacing w:line="336" w:lineRule="auto"/>
        <w:ind w:firstLine="480" w:firstLineChars="200"/>
        <w:rPr>
          <w:rFonts w:hAnsi="宋体"/>
          <w:kern w:val="2"/>
          <w:sz w:val="24"/>
          <w:szCs w:val="24"/>
        </w:rPr>
      </w:pPr>
      <w:r>
        <w:rPr>
          <w:rFonts w:hint="eastAsia" w:hAnsi="宋体"/>
          <w:kern w:val="2"/>
          <w:sz w:val="24"/>
          <w:szCs w:val="24"/>
        </w:rPr>
        <w:t>分项目服务内容清单详见附件2《深铁置业2022年度拟销售项目展示区开放系列活动、现场包装及宣传推广服务清单》。</w:t>
      </w:r>
    </w:p>
    <w:p>
      <w:pPr>
        <w:pStyle w:val="24"/>
        <w:snapToGrid w:val="0"/>
        <w:spacing w:line="336" w:lineRule="auto"/>
        <w:ind w:firstLine="480" w:firstLineChars="200"/>
        <w:rPr>
          <w:rFonts w:ascii="仿宋_GB2312" w:hAnsi="仿宋" w:eastAsia="仿宋_GB2312"/>
          <w:kern w:val="2"/>
          <w:sz w:val="24"/>
          <w:szCs w:val="24"/>
        </w:rPr>
      </w:pP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9" w:name="_Toc98264009"/>
      <w:r>
        <w:rPr>
          <w:rFonts w:hint="eastAsia" w:ascii="宋体" w:hAnsi="宋体"/>
          <w:bCs/>
          <w:color w:val="0D0D0D" w:themeColor="text1" w:themeTint="F2"/>
          <w:sz w:val="24"/>
          <w:szCs w:val="24"/>
          <w14:textFill>
            <w14:solidFill>
              <w14:schemeClr w14:val="tx1">
                <w14:lumMod w14:val="95000"/>
                <w14:lumOff w14:val="5000"/>
              </w14:schemeClr>
            </w14:solidFill>
          </w14:textFill>
        </w:rPr>
        <w:t>二、工作方式及服务期限</w:t>
      </w:r>
      <w:bookmarkEnd w:id="29"/>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1、9个</w:t>
      </w:r>
      <w:r>
        <w:rPr>
          <w:rFonts w:ascii="宋体" w:hAnsi="宋体"/>
          <w:color w:val="0D0D0D" w:themeColor="text1" w:themeTint="F2"/>
          <w:sz w:val="24"/>
          <w:szCs w:val="24"/>
          <w14:textFill>
            <w14:solidFill>
              <w14:schemeClr w14:val="tx1">
                <w14:lumMod w14:val="95000"/>
                <w14:lumOff w14:val="5000"/>
              </w14:schemeClr>
            </w14:solidFill>
          </w14:textFill>
        </w:rPr>
        <w:t>项目</w:t>
      </w:r>
      <w:r>
        <w:rPr>
          <w:rFonts w:hint="eastAsia" w:ascii="宋体" w:hAnsi="宋体"/>
          <w:color w:val="0D0D0D" w:themeColor="text1" w:themeTint="F2"/>
          <w:sz w:val="24"/>
          <w:szCs w:val="24"/>
          <w14:textFill>
            <w14:solidFill>
              <w14:schemeClr w14:val="tx1">
                <w14:lumMod w14:val="95000"/>
                <w14:lumOff w14:val="5000"/>
              </w14:schemeClr>
            </w14:solidFill>
          </w14:textFill>
        </w:rPr>
        <w:t>根据项目主体不同，分项目签订合同。即：</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深铁珑境花园、深铁璟城、地铁前海时代广场、深铁赤湾项目、深铁瑞城、山海漫街、深铁置业大厦、深铁金融科技大厦项目展示区开放系列活动、现场包装及宣传推广服务合同的签约主体为深圳市地铁集团有限公司</w:t>
      </w:r>
      <w:r>
        <w:rPr>
          <w:rFonts w:hint="eastAsia" w:ascii="宋体" w:hAnsi="宋体"/>
          <w:color w:val="0D0D0D" w:themeColor="text1" w:themeTint="F2"/>
          <w:sz w:val="24"/>
          <w:szCs w:val="24"/>
          <w14:textFill>
            <w14:solidFill>
              <w14:schemeClr w14:val="tx1">
                <w14:lumMod w14:val="95000"/>
                <w14:lumOff w14:val="5000"/>
              </w14:schemeClr>
            </w14:solidFill>
          </w14:textFill>
        </w:rPr>
        <w:t>；深铁懿府项目展示区开放系列活动、现场包装及宣传推广服务合同的签约主体为深圳地铁前海国际发展有限公司。</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2、合同为综合单价合同，据实结算。</w:t>
      </w:r>
    </w:p>
    <w:p>
      <w:pPr>
        <w:pStyle w:val="24"/>
        <w:tabs>
          <w:tab w:val="left" w:pos="1134"/>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3</w:t>
      </w:r>
      <w:r>
        <w:rPr>
          <w:rFonts w:hint="eastAsia" w:hAnsi="宋体"/>
          <w:color w:val="0D0D0D" w:themeColor="text1" w:themeTint="F2"/>
          <w:sz w:val="24"/>
          <w:szCs w:val="24"/>
          <w14:textFill>
            <w14:solidFill>
              <w14:schemeClr w14:val="tx1">
                <w14:lumMod w14:val="95000"/>
                <w14:lumOff w14:val="5000"/>
              </w14:schemeClr>
            </w14:solidFill>
          </w14:textFill>
        </w:rPr>
        <w:t>、服务期限：本合同签订之日起至2023年12月31日。</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30" w:name="_Toc98264010"/>
      <w:r>
        <w:rPr>
          <w:rFonts w:hint="eastAsia" w:ascii="宋体" w:hAnsi="宋体"/>
          <w:bCs/>
          <w:color w:val="0D0D0D" w:themeColor="text1" w:themeTint="F2"/>
          <w:sz w:val="24"/>
          <w:szCs w:val="24"/>
          <w14:textFill>
            <w14:solidFill>
              <w14:schemeClr w14:val="tx1">
                <w14:lumMod w14:val="95000"/>
                <w14:lumOff w14:val="5000"/>
              </w14:schemeClr>
            </w14:solidFill>
          </w14:textFill>
        </w:rPr>
        <w:t>三、参选人资格条件</w:t>
      </w:r>
      <w:bookmarkEnd w:id="30"/>
    </w:p>
    <w:p>
      <w:pPr>
        <w:pStyle w:val="114"/>
        <w:numPr>
          <w:ilvl w:val="0"/>
          <w:numId w:val="3"/>
        </w:numPr>
        <w:adjustRightInd w:val="0"/>
        <w:snapToGrid w:val="0"/>
        <w:spacing w:line="336" w:lineRule="auto"/>
        <w:ind w:firstLine="426" w:firstLineChars="0"/>
        <w:rPr>
          <w:rFonts w:ascii="宋体" w:hAnsi="宋体"/>
          <w:sz w:val="24"/>
          <w:szCs w:val="24"/>
        </w:rPr>
      </w:pPr>
      <w:r>
        <w:rPr>
          <w:rFonts w:hint="eastAsia" w:ascii="宋体" w:hAnsi="宋体"/>
          <w:sz w:val="24"/>
          <w:szCs w:val="24"/>
        </w:rPr>
        <w:t>公司资质：参选人必须是中华人民共和国境内注册的法人或非法人组织，注册成立时间不得晚于201</w:t>
      </w:r>
      <w:r>
        <w:rPr>
          <w:rFonts w:ascii="宋体" w:hAnsi="宋体"/>
          <w:sz w:val="24"/>
          <w:szCs w:val="24"/>
        </w:rPr>
        <w:t>8</w:t>
      </w:r>
      <w:r>
        <w:rPr>
          <w:rFonts w:hint="eastAsia" w:ascii="宋体" w:hAnsi="宋体"/>
          <w:sz w:val="24"/>
          <w:szCs w:val="24"/>
        </w:rPr>
        <w:t>年1月1日。</w:t>
      </w:r>
    </w:p>
    <w:p>
      <w:pPr>
        <w:pStyle w:val="114"/>
        <w:numPr>
          <w:ilvl w:val="0"/>
          <w:numId w:val="3"/>
        </w:numPr>
        <w:adjustRightInd w:val="0"/>
        <w:snapToGrid w:val="0"/>
        <w:spacing w:line="336" w:lineRule="auto"/>
        <w:ind w:firstLine="480"/>
        <w:rPr>
          <w:rFonts w:ascii="宋体" w:hAnsi="宋体"/>
          <w:sz w:val="24"/>
          <w:szCs w:val="24"/>
        </w:rPr>
      </w:pPr>
      <w:r>
        <w:rPr>
          <w:rFonts w:hint="eastAsia" w:ascii="宋体" w:hAnsi="宋体"/>
          <w:sz w:val="24"/>
          <w:szCs w:val="24"/>
        </w:rPr>
        <w:t>公司业绩：</w:t>
      </w:r>
      <w:r>
        <w:rPr>
          <w:rFonts w:hint="eastAsia" w:ascii="宋体" w:hAnsi="宋体"/>
          <w:color w:val="000000"/>
          <w:sz w:val="24"/>
          <w:szCs w:val="24"/>
        </w:rPr>
        <w:t>2019年1月1日至今，服务全国50强或深圳20强房地产开发公司品牌</w:t>
      </w:r>
      <w:r>
        <w:rPr>
          <w:rFonts w:hint="eastAsia" w:ascii="宋体" w:hAnsi="宋体"/>
          <w:color w:val="0D0D0D"/>
          <w:sz w:val="24"/>
          <w:szCs w:val="24"/>
        </w:rPr>
        <w:t>（全国50强排名参考2019年-2021年中指研究院或易居克尔瑞数据，深圳20强排名参考2019-2021年深圳房协数据）</w:t>
      </w:r>
      <w:r>
        <w:rPr>
          <w:rFonts w:hint="eastAsia" w:ascii="宋体" w:hAnsi="宋体"/>
          <w:color w:val="000000"/>
          <w:sz w:val="24"/>
          <w:szCs w:val="24"/>
        </w:rPr>
        <w:t>在北上广深一线城市的项目或品牌的活动或包装或美陈，且合同金额在50万以上的案例</w:t>
      </w:r>
      <w:r>
        <w:rPr>
          <w:rFonts w:hint="eastAsia" w:ascii="宋体" w:hAnsi="宋体"/>
          <w:kern w:val="0"/>
          <w:sz w:val="24"/>
          <w:szCs w:val="24"/>
        </w:rPr>
        <w:t>不少于</w:t>
      </w:r>
      <w:r>
        <w:rPr>
          <w:rFonts w:ascii="宋体" w:hAnsi="宋体"/>
          <w:kern w:val="0"/>
          <w:sz w:val="24"/>
          <w:szCs w:val="24"/>
          <w:u w:val="single"/>
        </w:rPr>
        <w:t>2</w:t>
      </w:r>
      <w:r>
        <w:rPr>
          <w:rFonts w:hint="eastAsia" w:ascii="宋体" w:hAnsi="宋体"/>
          <w:kern w:val="0"/>
          <w:sz w:val="24"/>
          <w:szCs w:val="24"/>
          <w:u w:val="single"/>
        </w:rPr>
        <w:t>个</w:t>
      </w:r>
      <w:r>
        <w:rPr>
          <w:rFonts w:hint="eastAsia" w:ascii="宋体" w:hAnsi="宋体"/>
          <w:kern w:val="0"/>
          <w:sz w:val="24"/>
          <w:szCs w:val="24"/>
        </w:rPr>
        <w:t>。</w:t>
      </w:r>
    </w:p>
    <w:p>
      <w:pPr>
        <w:pStyle w:val="114"/>
        <w:numPr>
          <w:ilvl w:val="0"/>
          <w:numId w:val="3"/>
        </w:numPr>
        <w:adjustRightInd w:val="0"/>
        <w:snapToGrid w:val="0"/>
        <w:spacing w:line="336" w:lineRule="auto"/>
        <w:ind w:firstLine="480"/>
        <w:rPr>
          <w:rFonts w:ascii="宋体" w:hAnsi="宋体"/>
          <w:sz w:val="24"/>
          <w:szCs w:val="24"/>
        </w:rPr>
      </w:pPr>
      <w:r>
        <w:rPr>
          <w:rFonts w:hint="eastAsia" w:ascii="宋体" w:hAnsi="宋体"/>
          <w:color w:val="0D0D0D"/>
          <w:sz w:val="24"/>
          <w:szCs w:val="24"/>
        </w:rPr>
        <w:t>2</w:t>
      </w:r>
      <w:r>
        <w:rPr>
          <w:rFonts w:ascii="宋体" w:hAnsi="宋体"/>
          <w:color w:val="0D0D0D"/>
          <w:sz w:val="24"/>
          <w:szCs w:val="24"/>
        </w:rPr>
        <w:t>019</w:t>
      </w:r>
      <w:r>
        <w:rPr>
          <w:rFonts w:hint="eastAsia" w:ascii="宋体" w:hAnsi="宋体"/>
          <w:color w:val="0D0D0D"/>
          <w:sz w:val="24"/>
          <w:szCs w:val="24"/>
        </w:rPr>
        <w:t>年</w:t>
      </w:r>
      <w:r>
        <w:rPr>
          <w:rFonts w:ascii="宋体" w:hAnsi="宋体"/>
          <w:color w:val="0D0D0D"/>
          <w:sz w:val="24"/>
          <w:szCs w:val="24"/>
        </w:rPr>
        <w:t>1月1日以来，有串通参选不良行为记录或涉嫌串通参选，并正在接受城市主管部门调查的参选申请人不得参选</w:t>
      </w:r>
      <w:r>
        <w:rPr>
          <w:rFonts w:hint="eastAsia" w:ascii="宋体" w:hAnsi="宋体"/>
          <w:color w:val="0D0D0D"/>
          <w:sz w:val="24"/>
          <w:szCs w:val="24"/>
        </w:rPr>
        <w:t>。</w:t>
      </w:r>
    </w:p>
    <w:p>
      <w:pPr>
        <w:pStyle w:val="114"/>
        <w:numPr>
          <w:ilvl w:val="0"/>
          <w:numId w:val="3"/>
        </w:numPr>
        <w:adjustRightInd w:val="0"/>
        <w:snapToGrid w:val="0"/>
        <w:spacing w:line="336" w:lineRule="auto"/>
        <w:ind w:firstLine="480"/>
        <w:rPr>
          <w:rFonts w:ascii="宋体" w:hAnsi="宋体"/>
          <w:sz w:val="24"/>
          <w:szCs w:val="24"/>
        </w:rPr>
      </w:pPr>
      <w:r>
        <w:rPr>
          <w:rFonts w:hint="eastAsia" w:ascii="宋体" w:hAnsi="宋体"/>
          <w:color w:val="0D0D0D"/>
          <w:sz w:val="24"/>
          <w:szCs w:val="24"/>
        </w:rPr>
        <w:t>201</w:t>
      </w:r>
      <w:r>
        <w:rPr>
          <w:rFonts w:ascii="宋体" w:hAnsi="宋体"/>
          <w:color w:val="0D0D0D"/>
          <w:sz w:val="24"/>
          <w:szCs w:val="24"/>
        </w:rPr>
        <w:t>9</w:t>
      </w:r>
      <w:r>
        <w:rPr>
          <w:rFonts w:hint="eastAsia" w:ascii="宋体" w:hAnsi="宋体"/>
          <w:color w:val="0D0D0D"/>
          <w:sz w:val="24"/>
          <w:szCs w:val="24"/>
        </w:rPr>
        <w:t>年1月1日以来，</w:t>
      </w:r>
      <w:r>
        <w:rPr>
          <w:rFonts w:hint="eastAsia" w:ascii="宋体" w:hAnsi="宋体"/>
          <w:sz w:val="24"/>
          <w:szCs w:val="24"/>
        </w:rPr>
        <w:t>在深圳市地铁集团有限公司或下属单位</w:t>
      </w:r>
      <w:r>
        <w:rPr>
          <w:rFonts w:ascii="宋体" w:hAnsi="宋体"/>
          <w:sz w:val="24"/>
          <w:szCs w:val="24"/>
        </w:rPr>
        <w:t>合同履约评价考核</w:t>
      </w:r>
      <w:r>
        <w:rPr>
          <w:rFonts w:hint="eastAsia" w:ascii="宋体" w:hAnsi="宋体"/>
          <w:sz w:val="24"/>
          <w:szCs w:val="24"/>
        </w:rPr>
        <w:t>等级不合格的参选申请人不得参选。</w:t>
      </w:r>
    </w:p>
    <w:p>
      <w:pPr>
        <w:pStyle w:val="114"/>
        <w:numPr>
          <w:ilvl w:val="0"/>
          <w:numId w:val="3"/>
        </w:numPr>
        <w:adjustRightInd w:val="0"/>
        <w:snapToGrid w:val="0"/>
        <w:spacing w:line="336" w:lineRule="auto"/>
        <w:ind w:firstLine="480"/>
        <w:rPr>
          <w:rFonts w:ascii="宋体" w:hAnsi="宋体"/>
          <w:sz w:val="24"/>
          <w:szCs w:val="24"/>
        </w:rPr>
      </w:pPr>
      <w:r>
        <w:rPr>
          <w:rFonts w:hint="eastAsia" w:ascii="宋体" w:hAnsi="宋体"/>
          <w:sz w:val="24"/>
          <w:szCs w:val="24"/>
        </w:rPr>
        <w:t>不接受联合体投标。</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31" w:name="_Toc98264011"/>
      <w:r>
        <w:rPr>
          <w:rFonts w:hint="eastAsia" w:ascii="宋体" w:hAnsi="宋体"/>
          <w:bCs/>
          <w:color w:val="0D0D0D" w:themeColor="text1" w:themeTint="F2"/>
          <w:sz w:val="24"/>
          <w:szCs w:val="24"/>
          <w14:textFill>
            <w14:solidFill>
              <w14:schemeClr w14:val="tx1">
                <w14:lumMod w14:val="95000"/>
                <w14:lumOff w14:val="5000"/>
              </w14:schemeClr>
            </w14:solidFill>
          </w14:textFill>
        </w:rPr>
        <w:t>四、比选的时间安排</w:t>
      </w:r>
      <w:bookmarkEnd w:id="31"/>
    </w:p>
    <w:tbl>
      <w:tblPr>
        <w:tblStyle w:val="47"/>
        <w:tblW w:w="93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3"/>
        <w:gridCol w:w="1102"/>
        <w:gridCol w:w="2382"/>
        <w:gridCol w:w="51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3" w:hRule="atLeast"/>
          <w:jc w:val="cent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序号</w:t>
            </w: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内  容</w:t>
            </w:r>
          </w:p>
        </w:tc>
        <w:tc>
          <w:tcPr>
            <w:tcW w:w="238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时间安排</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center"/>
              <w:rPr>
                <w:rFonts w:ascii="宋体" w:hAnsi="宋体"/>
                <w:b/>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bCs/>
                <w:color w:val="0D0D0D" w:themeColor="text1" w:themeTint="F2"/>
                <w:sz w:val="18"/>
                <w:szCs w:val="18"/>
                <w14:textFill>
                  <w14:solidFill>
                    <w14:schemeClr w14:val="tx1">
                      <w14:lumMod w14:val="95000"/>
                      <w14:lumOff w14:val="5000"/>
                    </w14:schemeClr>
                  </w14:solidFill>
                </w14:textFill>
              </w:rPr>
              <w:t>3月</w:t>
            </w:r>
            <w:r>
              <w:rPr>
                <w:rFonts w:ascii="宋体" w:hAnsi="宋体"/>
                <w:bCs/>
                <w:color w:val="0D0D0D" w:themeColor="text1" w:themeTint="F2"/>
                <w:sz w:val="18"/>
                <w:szCs w:val="18"/>
                <w14:textFill>
                  <w14:solidFill>
                    <w14:schemeClr w14:val="tx1">
                      <w14:lumMod w14:val="95000"/>
                      <w14:lumOff w14:val="5000"/>
                    </w14:schemeClr>
                  </w14:solidFill>
                </w14:textFill>
              </w:rPr>
              <w:t>25</w:t>
            </w:r>
            <w:r>
              <w:rPr>
                <w:rFonts w:hint="eastAsia" w:ascii="宋体" w:hAnsi="宋体"/>
                <w:bCs/>
                <w:color w:val="0D0D0D" w:themeColor="text1" w:themeTint="F2"/>
                <w:sz w:val="18"/>
                <w:szCs w:val="18"/>
                <w14:textFill>
                  <w14:solidFill>
                    <w14:schemeClr w14:val="tx1">
                      <w14:lumMod w14:val="95000"/>
                      <w14:lumOff w14:val="5000"/>
                    </w14:schemeClr>
                  </w14:solidFill>
                </w14:textFill>
              </w:rPr>
              <w:t>日</w:t>
            </w:r>
          </w:p>
        </w:tc>
        <w:tc>
          <w:tcPr>
            <w:tcW w:w="51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深圳市地铁集团有限公司外网、深铁招采网、国资委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日上午9:30</w:t>
            </w:r>
          </w:p>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sz w:val="18"/>
                <w:szCs w:val="18"/>
              </w:rPr>
              <w:t>（按各参选单位递交纸质参选文件的时间为准。）</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1.纸质版参选文件递交地点：深铁置业大厦指定会议室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2.电子版参选文件递交平台：深圳地铁智能招采系统</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2"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述标地点：深铁置业大厦指定会议室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723"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4</w:t>
            </w:r>
          </w:p>
        </w:tc>
        <w:tc>
          <w:tcPr>
            <w:tcW w:w="110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cs="宋体"/>
                <w:bCs/>
                <w:color w:val="000000"/>
                <w:kern w:val="2"/>
                <w:sz w:val="21"/>
                <w:szCs w:val="21"/>
              </w:rPr>
              <w:t>评标</w:t>
            </w:r>
          </w:p>
        </w:tc>
        <w:tc>
          <w:tcPr>
            <w:tcW w:w="2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36" w:lineRule="auto"/>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8</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日上午</w:t>
            </w:r>
            <w:r>
              <w:rPr>
                <w:rFonts w:ascii="宋体" w:hAnsi="宋体"/>
                <w:bCs/>
                <w:color w:val="0D0D0D" w:themeColor="text1" w:themeTint="F2"/>
                <w:sz w:val="18"/>
                <w:szCs w:val="18"/>
                <w14:textFill>
                  <w14:solidFill>
                    <w14:schemeClr w14:val="tx1">
                      <w14:lumMod w14:val="95000"/>
                      <w14:lumOff w14:val="5000"/>
                    </w14:schemeClr>
                  </w14:solidFill>
                </w14:textFill>
              </w:rPr>
              <w:t>9:30</w:t>
            </w:r>
          </w:p>
        </w:tc>
        <w:tc>
          <w:tcPr>
            <w:tcW w:w="518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地点：地铁大厦智能评定标中心会议室</w:t>
            </w:r>
          </w:p>
          <w:p>
            <w:pPr>
              <w:pStyle w:val="3"/>
              <w:adjustRightInd w:val="0"/>
              <w:snapToGrid w:val="0"/>
              <w:spacing w:line="336" w:lineRule="auto"/>
              <w:ind w:left="0" w:leftChars="0" w:firstLine="0" w:firstLineChars="0"/>
              <w:jc w:val="left"/>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（请持</w:t>
            </w:r>
            <w:r>
              <w:rPr>
                <w:rFonts w:ascii="宋体" w:hAnsi="宋体"/>
                <w:bCs/>
                <w:color w:val="0D0D0D" w:themeColor="text1" w:themeTint="F2"/>
                <w:kern w:val="2"/>
                <w:sz w:val="18"/>
                <w:szCs w:val="18"/>
                <w14:textFill>
                  <w14:solidFill>
                    <w14:schemeClr w14:val="tx1">
                      <w14:lumMod w14:val="95000"/>
                      <w14:lumOff w14:val="5000"/>
                    </w14:schemeClr>
                  </w14:solidFill>
                </w14:textFill>
              </w:rPr>
              <w:t>24</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小时内核酸检测结果并申请报备方可入内）</w:t>
            </w:r>
          </w:p>
        </w:tc>
      </w:tr>
    </w:tbl>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注：以上地点有可能变动。如有变动，以比选人的最新通知为准。</w:t>
      </w:r>
    </w:p>
    <w:p>
      <w:pPr>
        <w:pStyle w:val="3"/>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32" w:name="_Toc98264012"/>
      <w:r>
        <w:rPr>
          <w:rFonts w:hint="eastAsia" w:ascii="宋体" w:hAnsi="宋体"/>
          <w:bCs/>
          <w:color w:val="0D0D0D" w:themeColor="text1" w:themeTint="F2"/>
          <w:sz w:val="24"/>
          <w:szCs w:val="24"/>
          <w14:textFill>
            <w14:solidFill>
              <w14:schemeClr w14:val="tx1">
                <w14:lumMod w14:val="95000"/>
                <w14:lumOff w14:val="5000"/>
              </w14:schemeClr>
            </w14:solidFill>
          </w14:textFill>
        </w:rPr>
        <w:t>五、参选费用</w:t>
      </w:r>
      <w:bookmarkEnd w:id="32"/>
    </w:p>
    <w:p>
      <w:pPr>
        <w:pStyle w:val="24"/>
        <w:tabs>
          <w:tab w:val="right" w:pos="9026"/>
        </w:tabs>
        <w:spacing w:line="480" w:lineRule="atLeast"/>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参选人</w:t>
      </w:r>
      <w:r>
        <w:rPr>
          <w:rFonts w:hAnsi="宋体"/>
          <w:bCs/>
          <w:color w:val="0D0D0D" w:themeColor="text1" w:themeTint="F2"/>
          <w:sz w:val="24"/>
          <w:szCs w:val="22"/>
          <w14:textFill>
            <w14:solidFill>
              <w14:schemeClr w14:val="tx1">
                <w14:lumMod w14:val="95000"/>
                <w14:lumOff w14:val="5000"/>
              </w14:schemeClr>
            </w14:solidFill>
          </w14:textFill>
        </w:rPr>
        <w:t>应承担所有与准备和参加参选有关的费用。</w:t>
      </w:r>
      <w:r>
        <w:rPr>
          <w:rFonts w:hint="eastAsia" w:hAnsi="宋体"/>
          <w:bCs/>
          <w:color w:val="0D0D0D" w:themeColor="text1" w:themeTint="F2"/>
          <w:sz w:val="24"/>
          <w:szCs w:val="22"/>
          <w14:textFill>
            <w14:solidFill>
              <w14:schemeClr w14:val="tx1">
                <w14:lumMod w14:val="95000"/>
                <w14:lumOff w14:val="5000"/>
              </w14:schemeClr>
            </w14:solidFill>
          </w14:textFill>
        </w:rPr>
        <w:t>无论参选</w:t>
      </w:r>
      <w:r>
        <w:rPr>
          <w:rFonts w:hAnsi="宋体"/>
          <w:bCs/>
          <w:color w:val="0D0D0D" w:themeColor="text1" w:themeTint="F2"/>
          <w:sz w:val="24"/>
          <w:szCs w:val="22"/>
          <w14:textFill>
            <w14:solidFill>
              <w14:schemeClr w14:val="tx1">
                <w14:lumMod w14:val="95000"/>
                <w14:lumOff w14:val="5000"/>
              </w14:schemeClr>
            </w14:solidFill>
          </w14:textFill>
        </w:rPr>
        <w:t>的结果如何，参选人均自行承担因参加参选</w:t>
      </w:r>
      <w:r>
        <w:rPr>
          <w:rFonts w:hint="eastAsia" w:hAnsi="宋体"/>
          <w:bCs/>
          <w:color w:val="0D0D0D" w:themeColor="text1" w:themeTint="F2"/>
          <w:sz w:val="24"/>
          <w:szCs w:val="22"/>
          <w14:textFill>
            <w14:solidFill>
              <w14:schemeClr w14:val="tx1">
                <w14:lumMod w14:val="95000"/>
                <w14:lumOff w14:val="5000"/>
              </w14:schemeClr>
            </w14:solidFill>
          </w14:textFill>
        </w:rPr>
        <w:t>而</w:t>
      </w:r>
      <w:r>
        <w:rPr>
          <w:rFonts w:hAnsi="宋体"/>
          <w:bCs/>
          <w:color w:val="0D0D0D" w:themeColor="text1" w:themeTint="F2"/>
          <w:sz w:val="24"/>
          <w:szCs w:val="22"/>
          <w14:textFill>
            <w14:solidFill>
              <w14:schemeClr w14:val="tx1">
                <w14:lumMod w14:val="95000"/>
                <w14:lumOff w14:val="5000"/>
              </w14:schemeClr>
            </w14:solidFill>
          </w14:textFill>
        </w:rPr>
        <w:t>发生的一切费用。</w:t>
      </w:r>
    </w:p>
    <w:p>
      <w:pPr>
        <w:pStyle w:val="6"/>
        <w:numPr>
          <w:ilvl w:val="2"/>
          <w:numId w:val="0"/>
        </w:numPr>
        <w:snapToGrid w:val="0"/>
        <w:spacing w:before="0" w:after="0" w:line="360" w:lineRule="auto"/>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33" w:name="_Toc518494124"/>
      <w:bookmarkStart w:id="34" w:name="_Toc98264013"/>
      <w:r>
        <w:rPr>
          <w:rFonts w:hint="eastAsia" w:ascii="宋体" w:hAnsi="宋体"/>
          <w:bCs/>
          <w:color w:val="0D0D0D" w:themeColor="text1" w:themeTint="F2"/>
          <w:sz w:val="24"/>
          <w:szCs w:val="24"/>
          <w14:textFill>
            <w14:solidFill>
              <w14:schemeClr w14:val="tx1">
                <w14:lumMod w14:val="95000"/>
                <w14:lumOff w14:val="5000"/>
              </w14:schemeClr>
            </w14:solidFill>
          </w14:textFill>
        </w:rPr>
        <w:t>六、参选报价限价</w:t>
      </w:r>
      <w:bookmarkEnd w:id="33"/>
      <w:bookmarkEnd w:id="34"/>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w:t>
      </w:r>
      <w:r>
        <w:rPr>
          <w:rFonts w:hAnsi="宋体"/>
          <w:color w:val="0D0D0D" w:themeColor="text1" w:themeTint="F2"/>
          <w:sz w:val="24"/>
          <w:szCs w:val="24"/>
          <w14:textFill>
            <w14:solidFill>
              <w14:schemeClr w14:val="tx1">
                <w14:lumMod w14:val="95000"/>
                <w14:lumOff w14:val="5000"/>
              </w14:schemeClr>
            </w14:solidFill>
          </w14:textFill>
        </w:rPr>
        <w:t>2215</w:t>
      </w:r>
      <w:r>
        <w:rPr>
          <w:rFonts w:hint="eastAsia" w:hAnsi="宋体"/>
          <w:color w:val="0D0D0D" w:themeColor="text1" w:themeTint="F2"/>
          <w:sz w:val="24"/>
          <w:szCs w:val="24"/>
          <w14:textFill>
            <w14:solidFill>
              <w14:schemeClr w14:val="tx1">
                <w14:lumMod w14:val="95000"/>
                <w14:lumOff w14:val="5000"/>
              </w14:schemeClr>
            </w14:solidFill>
          </w14:textFill>
        </w:rPr>
        <w:t>万元（含税），参选人需对2个标包共9个项目分别报价，报价不能超过本次比选总上限价、项目所在标包的总上限价及每个项目最高限价、具体细项最高限价。</w:t>
      </w:r>
      <w:r>
        <w:rPr>
          <w:rFonts w:hAnsi="宋体"/>
          <w:color w:val="0D0D0D" w:themeColor="text1" w:themeTint="F2"/>
          <w:sz w:val="24"/>
          <w:szCs w:val="24"/>
          <w14:textFill>
            <w14:solidFill>
              <w14:schemeClr w14:val="tx1">
                <w14:lumMod w14:val="95000"/>
                <w14:lumOff w14:val="5000"/>
              </w14:schemeClr>
            </w14:solidFill>
          </w14:textFill>
        </w:rPr>
        <w:t xml:space="preserve"> </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各标包及项目分别最高限价如下：</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1.A包：</w:t>
      </w:r>
      <w:r>
        <w:rPr>
          <w:rFonts w:hint="eastAsia" w:hAnsi="宋体"/>
          <w:color w:val="0D0D0D" w:themeColor="text1" w:themeTint="F2"/>
          <w:sz w:val="24"/>
          <w:szCs w:val="24"/>
          <w14:textFill>
            <w14:solidFill>
              <w14:schemeClr w14:val="tx1">
                <w14:lumMod w14:val="95000"/>
                <w14:lumOff w14:val="5000"/>
              </w14:schemeClr>
            </w14:solidFill>
          </w14:textFill>
        </w:rPr>
        <w:t>深铁珑境花园一期、地铁前海时代广场</w:t>
      </w:r>
      <w:r>
        <w:rPr>
          <w:rFonts w:hAnsi="宋体"/>
          <w:color w:val="0D0D0D" w:themeColor="text1" w:themeTint="F2"/>
          <w:sz w:val="24"/>
          <w:szCs w:val="24"/>
          <w14:textFill>
            <w14:solidFill>
              <w14:schemeClr w14:val="tx1">
                <w14:lumMod w14:val="95000"/>
                <w14:lumOff w14:val="5000"/>
              </w14:schemeClr>
            </w14:solidFill>
          </w14:textFill>
        </w:rPr>
        <w:t>4号地块、深</w:t>
      </w:r>
      <w:r>
        <w:rPr>
          <w:rFonts w:hint="eastAsia" w:hAnsi="宋体"/>
          <w:color w:val="0D0D0D" w:themeColor="text1" w:themeTint="F2"/>
          <w:sz w:val="24"/>
          <w:szCs w:val="24"/>
          <w14:textFill>
            <w14:solidFill>
              <w14:schemeClr w14:val="tx1">
                <w14:lumMod w14:val="95000"/>
                <w14:lumOff w14:val="5000"/>
              </w14:schemeClr>
            </w14:solidFill>
          </w14:textFill>
        </w:rPr>
        <w:t>铁金融科技大厦、深铁置业大厦展示区开放系列活动、现场包装及宣传推广服务总最高限价为</w:t>
      </w:r>
      <w:r>
        <w:rPr>
          <w:rFonts w:hAnsi="宋体"/>
          <w:color w:val="0D0D0D" w:themeColor="text1" w:themeTint="F2"/>
          <w:sz w:val="24"/>
          <w:szCs w:val="24"/>
          <w14:textFill>
            <w14:solidFill>
              <w14:schemeClr w14:val="tx1">
                <w14:lumMod w14:val="95000"/>
                <w14:lumOff w14:val="5000"/>
              </w14:schemeClr>
            </w14:solidFill>
          </w14:textFill>
        </w:rPr>
        <w:t>1,120</w:t>
      </w:r>
      <w:r>
        <w:rPr>
          <w:rFonts w:hint="eastAsia" w:hAnsi="宋体"/>
          <w:color w:val="0D0D0D" w:themeColor="text1" w:themeTint="F2"/>
          <w:sz w:val="24"/>
          <w:szCs w:val="24"/>
          <w14:textFill>
            <w14:solidFill>
              <w14:schemeClr w14:val="tx1">
                <w14:lumMod w14:val="95000"/>
                <w14:lumOff w14:val="5000"/>
              </w14:schemeClr>
            </w14:solidFill>
          </w14:textFill>
        </w:rPr>
        <w:t>万元（含税）。其中：深铁珑境花园一期最高限价为</w:t>
      </w:r>
      <w:r>
        <w:rPr>
          <w:rFonts w:hAnsi="宋体"/>
          <w:color w:val="0D0D0D" w:themeColor="text1" w:themeTint="F2"/>
          <w:sz w:val="24"/>
          <w:szCs w:val="24"/>
          <w14:textFill>
            <w14:solidFill>
              <w14:schemeClr w14:val="tx1">
                <w14:lumMod w14:val="95000"/>
                <w14:lumOff w14:val="5000"/>
              </w14:schemeClr>
            </w14:solidFill>
          </w14:textFill>
        </w:rPr>
        <w:t>367</w:t>
      </w:r>
      <w:r>
        <w:rPr>
          <w:rFonts w:hint="eastAsia" w:hAnsi="宋体"/>
          <w:color w:val="0D0D0D" w:themeColor="text1" w:themeTint="F2"/>
          <w:sz w:val="24"/>
          <w:szCs w:val="24"/>
          <w14:textFill>
            <w14:solidFill>
              <w14:schemeClr w14:val="tx1">
                <w14:lumMod w14:val="95000"/>
                <w14:lumOff w14:val="5000"/>
              </w14:schemeClr>
            </w14:solidFill>
          </w14:textFill>
        </w:rPr>
        <w:t>万元（含税）；地铁前海时代广场</w:t>
      </w:r>
      <w:r>
        <w:rPr>
          <w:rFonts w:hAnsi="宋体"/>
          <w:color w:val="0D0D0D" w:themeColor="text1" w:themeTint="F2"/>
          <w:sz w:val="24"/>
          <w:szCs w:val="24"/>
          <w14:textFill>
            <w14:solidFill>
              <w14:schemeClr w14:val="tx1">
                <w14:lumMod w14:val="95000"/>
                <w14:lumOff w14:val="5000"/>
              </w14:schemeClr>
            </w14:solidFill>
          </w14:textFill>
        </w:rPr>
        <w:t>4号地块</w:t>
      </w:r>
      <w:r>
        <w:rPr>
          <w:rFonts w:hint="eastAsia" w:hAnsi="宋体"/>
          <w:color w:val="0D0D0D" w:themeColor="text1" w:themeTint="F2"/>
          <w:sz w:val="24"/>
          <w:szCs w:val="24"/>
          <w14:textFill>
            <w14:solidFill>
              <w14:schemeClr w14:val="tx1">
                <w14:lumMod w14:val="95000"/>
                <w14:lumOff w14:val="5000"/>
              </w14:schemeClr>
            </w14:solidFill>
          </w14:textFill>
        </w:rPr>
        <w:t>最高限价为</w:t>
      </w:r>
      <w:r>
        <w:rPr>
          <w:rFonts w:hAnsi="宋体"/>
          <w:color w:val="0D0D0D" w:themeColor="text1" w:themeTint="F2"/>
          <w:sz w:val="24"/>
          <w:szCs w:val="24"/>
          <w14:textFill>
            <w14:solidFill>
              <w14:schemeClr w14:val="tx1">
                <w14:lumMod w14:val="95000"/>
                <w14:lumOff w14:val="5000"/>
              </w14:schemeClr>
            </w14:solidFill>
          </w14:textFill>
        </w:rPr>
        <w:t>457</w:t>
      </w:r>
      <w:r>
        <w:rPr>
          <w:rFonts w:hint="eastAsia" w:hAnsi="宋体"/>
          <w:color w:val="0D0D0D" w:themeColor="text1" w:themeTint="F2"/>
          <w:sz w:val="24"/>
          <w:szCs w:val="24"/>
          <w14:textFill>
            <w14:solidFill>
              <w14:schemeClr w14:val="tx1">
                <w14:lumMod w14:val="95000"/>
                <w14:lumOff w14:val="5000"/>
              </w14:schemeClr>
            </w14:solidFill>
          </w14:textFill>
        </w:rPr>
        <w:t>万元（含税）；深铁金融科技大厦最高限价为</w:t>
      </w:r>
      <w:r>
        <w:rPr>
          <w:rFonts w:hAnsi="宋体"/>
          <w:color w:val="0D0D0D" w:themeColor="text1" w:themeTint="F2"/>
          <w:sz w:val="24"/>
          <w:szCs w:val="24"/>
          <w14:textFill>
            <w14:solidFill>
              <w14:schemeClr w14:val="tx1">
                <w14:lumMod w14:val="95000"/>
                <w14:lumOff w14:val="5000"/>
              </w14:schemeClr>
            </w14:solidFill>
          </w14:textFill>
        </w:rPr>
        <w:t>148</w:t>
      </w:r>
      <w:r>
        <w:rPr>
          <w:rFonts w:hint="eastAsia" w:hAnsi="宋体"/>
          <w:color w:val="0D0D0D" w:themeColor="text1" w:themeTint="F2"/>
          <w:sz w:val="24"/>
          <w:szCs w:val="24"/>
          <w14:textFill>
            <w14:solidFill>
              <w14:schemeClr w14:val="tx1">
                <w14:lumMod w14:val="95000"/>
                <w14:lumOff w14:val="5000"/>
              </w14:schemeClr>
            </w14:solidFill>
          </w14:textFill>
        </w:rPr>
        <w:t>万元（含税）；深铁置业大厦最高限价为</w:t>
      </w:r>
      <w:r>
        <w:rPr>
          <w:rFonts w:hAnsi="宋体"/>
          <w:color w:val="0D0D0D" w:themeColor="text1" w:themeTint="F2"/>
          <w:sz w:val="24"/>
          <w:szCs w:val="24"/>
          <w14:textFill>
            <w14:solidFill>
              <w14:schemeClr w14:val="tx1">
                <w14:lumMod w14:val="95000"/>
                <w14:lumOff w14:val="5000"/>
              </w14:schemeClr>
            </w14:solidFill>
          </w14:textFill>
        </w:rPr>
        <w:t>148</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2.B</w:t>
      </w:r>
      <w:r>
        <w:rPr>
          <w:rFonts w:hint="eastAsia" w:hAnsi="宋体"/>
          <w:color w:val="0D0D0D" w:themeColor="text1" w:themeTint="F2"/>
          <w:sz w:val="24"/>
          <w:szCs w:val="24"/>
          <w14:textFill>
            <w14:solidFill>
              <w14:schemeClr w14:val="tx1">
                <w14:lumMod w14:val="95000"/>
                <w14:lumOff w14:val="5000"/>
              </w14:schemeClr>
            </w14:solidFill>
          </w14:textFill>
        </w:rPr>
        <w:t>包：深铁璟城一期、深铁懿府三期、深铁赤湾项目一期、深铁瑞城三期、山海漫街展示区开放系列活动、现场包装及宣传推广服务总最高限价为</w:t>
      </w:r>
      <w:r>
        <w:rPr>
          <w:rFonts w:hAnsi="宋体"/>
          <w:color w:val="0D0D0D" w:themeColor="text1" w:themeTint="F2"/>
          <w:sz w:val="24"/>
          <w:szCs w:val="24"/>
          <w14:textFill>
            <w14:solidFill>
              <w14:schemeClr w14:val="tx1">
                <w14:lumMod w14:val="95000"/>
                <w14:lumOff w14:val="5000"/>
              </w14:schemeClr>
            </w14:solidFill>
          </w14:textFill>
        </w:rPr>
        <w:t>1,095</w:t>
      </w:r>
      <w:r>
        <w:rPr>
          <w:rFonts w:hint="eastAsia" w:hAnsi="宋体"/>
          <w:color w:val="0D0D0D" w:themeColor="text1" w:themeTint="F2"/>
          <w:sz w:val="24"/>
          <w:szCs w:val="24"/>
          <w14:textFill>
            <w14:solidFill>
              <w14:schemeClr w14:val="tx1">
                <w14:lumMod w14:val="95000"/>
                <w14:lumOff w14:val="5000"/>
              </w14:schemeClr>
            </w14:solidFill>
          </w14:textFill>
        </w:rPr>
        <w:t>万元（含税）。其中：深铁璟城一期最高限价为</w:t>
      </w:r>
      <w:r>
        <w:rPr>
          <w:rFonts w:hAnsi="宋体"/>
          <w:color w:val="0D0D0D" w:themeColor="text1" w:themeTint="F2"/>
          <w:sz w:val="24"/>
          <w:szCs w:val="24"/>
          <w14:textFill>
            <w14:solidFill>
              <w14:schemeClr w14:val="tx1">
                <w14:lumMod w14:val="95000"/>
                <w14:lumOff w14:val="5000"/>
              </w14:schemeClr>
            </w14:solidFill>
          </w14:textFill>
        </w:rPr>
        <w:t>392</w:t>
      </w:r>
      <w:r>
        <w:rPr>
          <w:rFonts w:hint="eastAsia" w:hAnsi="宋体"/>
          <w:color w:val="0D0D0D" w:themeColor="text1" w:themeTint="F2"/>
          <w:sz w:val="24"/>
          <w:szCs w:val="24"/>
          <w14:textFill>
            <w14:solidFill>
              <w14:schemeClr w14:val="tx1">
                <w14:lumMod w14:val="95000"/>
                <w14:lumOff w14:val="5000"/>
              </w14:schemeClr>
            </w14:solidFill>
          </w14:textFill>
        </w:rPr>
        <w:t>万元（含税）；深铁懿府三期最高限价为</w:t>
      </w:r>
      <w:r>
        <w:rPr>
          <w:rFonts w:hAnsi="宋体"/>
          <w:color w:val="0D0D0D" w:themeColor="text1" w:themeTint="F2"/>
          <w:sz w:val="24"/>
          <w:szCs w:val="24"/>
          <w14:textFill>
            <w14:solidFill>
              <w14:schemeClr w14:val="tx1">
                <w14:lumMod w14:val="95000"/>
                <w14:lumOff w14:val="5000"/>
              </w14:schemeClr>
            </w14:solidFill>
          </w14:textFill>
        </w:rPr>
        <w:t>232</w:t>
      </w:r>
      <w:r>
        <w:rPr>
          <w:rFonts w:hint="eastAsia" w:hAnsi="宋体"/>
          <w:color w:val="0D0D0D" w:themeColor="text1" w:themeTint="F2"/>
          <w:sz w:val="24"/>
          <w:szCs w:val="24"/>
          <w14:textFill>
            <w14:solidFill>
              <w14:schemeClr w14:val="tx1">
                <w14:lumMod w14:val="95000"/>
                <w14:lumOff w14:val="5000"/>
              </w14:schemeClr>
            </w14:solidFill>
          </w14:textFill>
        </w:rPr>
        <w:t>万元（含税）；深铁赤湾项目一期最高限价为</w:t>
      </w:r>
      <w:r>
        <w:rPr>
          <w:rFonts w:hAnsi="宋体"/>
          <w:color w:val="0D0D0D" w:themeColor="text1" w:themeTint="F2"/>
          <w:sz w:val="24"/>
          <w:szCs w:val="24"/>
          <w14:textFill>
            <w14:solidFill>
              <w14:schemeClr w14:val="tx1">
                <w14:lumMod w14:val="95000"/>
                <w14:lumOff w14:val="5000"/>
              </w14:schemeClr>
            </w14:solidFill>
          </w14:textFill>
        </w:rPr>
        <w:t>150</w:t>
      </w:r>
      <w:r>
        <w:rPr>
          <w:rFonts w:hint="eastAsia" w:hAnsi="宋体"/>
          <w:color w:val="0D0D0D" w:themeColor="text1" w:themeTint="F2"/>
          <w:sz w:val="24"/>
          <w:szCs w:val="24"/>
          <w14:textFill>
            <w14:solidFill>
              <w14:schemeClr w14:val="tx1">
                <w14:lumMod w14:val="95000"/>
                <w14:lumOff w14:val="5000"/>
              </w14:schemeClr>
            </w14:solidFill>
          </w14:textFill>
        </w:rPr>
        <w:t>万元（含税）；深铁瑞城三期最高限价为</w:t>
      </w:r>
      <w:r>
        <w:rPr>
          <w:rFonts w:hAnsi="宋体"/>
          <w:color w:val="0D0D0D" w:themeColor="text1" w:themeTint="F2"/>
          <w:sz w:val="24"/>
          <w:szCs w:val="24"/>
          <w14:textFill>
            <w14:solidFill>
              <w14:schemeClr w14:val="tx1">
                <w14:lumMod w14:val="95000"/>
                <w14:lumOff w14:val="5000"/>
              </w14:schemeClr>
            </w14:solidFill>
          </w14:textFill>
        </w:rPr>
        <w:t>269</w:t>
      </w:r>
      <w:r>
        <w:rPr>
          <w:rFonts w:hint="eastAsia" w:hAnsi="宋体"/>
          <w:color w:val="0D0D0D" w:themeColor="text1" w:themeTint="F2"/>
          <w:sz w:val="24"/>
          <w:szCs w:val="24"/>
          <w14:textFill>
            <w14:solidFill>
              <w14:schemeClr w14:val="tx1">
                <w14:lumMod w14:val="95000"/>
                <w14:lumOff w14:val="5000"/>
              </w14:schemeClr>
            </w14:solidFill>
          </w14:textFill>
        </w:rPr>
        <w:t>万元（含税）；山海漫街最高限价为</w:t>
      </w:r>
      <w:r>
        <w:rPr>
          <w:rFonts w:hAnsi="宋体"/>
          <w:color w:val="0D0D0D" w:themeColor="text1" w:themeTint="F2"/>
          <w:sz w:val="24"/>
          <w:szCs w:val="24"/>
          <w14:textFill>
            <w14:solidFill>
              <w14:schemeClr w14:val="tx1">
                <w14:lumMod w14:val="95000"/>
                <w14:lumOff w14:val="5000"/>
              </w14:schemeClr>
            </w14:solidFill>
          </w14:textFill>
        </w:rPr>
        <w:t>52</w:t>
      </w:r>
      <w:r>
        <w:rPr>
          <w:rFonts w:hint="eastAsia" w:hAnsi="宋体"/>
          <w:color w:val="0D0D0D" w:themeColor="text1" w:themeTint="F2"/>
          <w:sz w:val="24"/>
          <w:szCs w:val="24"/>
          <w14:textFill>
            <w14:solidFill>
              <w14:schemeClr w14:val="tx1">
                <w14:lumMod w14:val="95000"/>
                <w14:lumOff w14:val="5000"/>
              </w14:schemeClr>
            </w14:solidFill>
          </w14:textFill>
        </w:rPr>
        <w:t>万元（含税）。</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具体细项最高限价详见下表（万元，含税）：</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【注：各项具体细项的最终报价均不能超过以下细项最高限价】</w:t>
      </w:r>
    </w:p>
    <w:tbl>
      <w:tblPr>
        <w:tblStyle w:val="47"/>
        <w:tblW w:w="10915" w:type="dxa"/>
        <w:tblInd w:w="-1026" w:type="dxa"/>
        <w:tblLayout w:type="autofit"/>
        <w:tblCellMar>
          <w:top w:w="0" w:type="dxa"/>
          <w:left w:w="108" w:type="dxa"/>
          <w:bottom w:w="0" w:type="dxa"/>
          <w:right w:w="108" w:type="dxa"/>
        </w:tblCellMar>
      </w:tblPr>
      <w:tblGrid>
        <w:gridCol w:w="992"/>
        <w:gridCol w:w="993"/>
        <w:gridCol w:w="993"/>
        <w:gridCol w:w="887"/>
        <w:gridCol w:w="696"/>
        <w:gridCol w:w="425"/>
        <w:gridCol w:w="427"/>
        <w:gridCol w:w="696"/>
        <w:gridCol w:w="427"/>
        <w:gridCol w:w="579"/>
        <w:gridCol w:w="682"/>
        <w:gridCol w:w="708"/>
        <w:gridCol w:w="709"/>
        <w:gridCol w:w="567"/>
        <w:gridCol w:w="464"/>
        <w:gridCol w:w="670"/>
      </w:tblGrid>
      <w:tr>
        <w:tblPrEx>
          <w:tblCellMar>
            <w:top w:w="0" w:type="dxa"/>
            <w:left w:w="108" w:type="dxa"/>
            <w:bottom w:w="0" w:type="dxa"/>
            <w:right w:w="108" w:type="dxa"/>
          </w:tblCellMar>
        </w:tblPrEx>
        <w:trPr>
          <w:trHeight w:val="480" w:hRule="atLeast"/>
        </w:trPr>
        <w:tc>
          <w:tcPr>
            <w:tcW w:w="992" w:type="dxa"/>
            <w:vMerge w:val="restart"/>
            <w:tcBorders>
              <w:top w:val="single" w:color="auto" w:sz="8" w:space="0"/>
              <w:left w:val="single" w:color="auto" w:sz="8" w:space="0"/>
              <w:bottom w:val="single" w:color="auto" w:sz="4" w:space="0"/>
              <w:right w:val="nil"/>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6123" w:type="dxa"/>
            <w:gridSpan w:val="9"/>
            <w:tcBorders>
              <w:top w:val="single" w:color="auto" w:sz="8" w:space="0"/>
              <w:left w:val="single" w:color="auto" w:sz="8" w:space="0"/>
              <w:bottom w:val="single" w:color="auto" w:sz="4" w:space="0"/>
              <w:right w:val="single" w:color="000000"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活动类</w:t>
            </w:r>
          </w:p>
        </w:tc>
        <w:tc>
          <w:tcPr>
            <w:tcW w:w="682" w:type="dxa"/>
            <w:vMerge w:val="restart"/>
            <w:tcBorders>
              <w:top w:val="single" w:color="auto" w:sz="8" w:space="0"/>
              <w:left w:val="nil"/>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活动总价</w:t>
            </w:r>
          </w:p>
        </w:tc>
        <w:tc>
          <w:tcPr>
            <w:tcW w:w="708" w:type="dxa"/>
            <w:vMerge w:val="restart"/>
            <w:tcBorders>
              <w:top w:val="single" w:color="auto" w:sz="8" w:space="0"/>
              <w:left w:val="single" w:color="auto" w:sz="8" w:space="0"/>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现场包装</w:t>
            </w:r>
          </w:p>
        </w:tc>
        <w:tc>
          <w:tcPr>
            <w:tcW w:w="709" w:type="dxa"/>
            <w:vMerge w:val="restart"/>
            <w:tcBorders>
              <w:top w:val="single" w:color="auto" w:sz="8" w:space="0"/>
              <w:left w:val="single" w:color="auto" w:sz="8" w:space="0"/>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宣传推广</w:t>
            </w:r>
          </w:p>
        </w:tc>
        <w:tc>
          <w:tcPr>
            <w:tcW w:w="567" w:type="dxa"/>
            <w:vMerge w:val="restart"/>
            <w:tcBorders>
              <w:top w:val="single" w:color="auto" w:sz="8" w:space="0"/>
              <w:left w:val="single" w:color="auto" w:sz="8" w:space="0"/>
              <w:bottom w:val="single" w:color="auto" w:sz="4" w:space="0"/>
              <w:right w:val="nil"/>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464" w:type="dxa"/>
            <w:vMerge w:val="restart"/>
            <w:tcBorders>
              <w:top w:val="single" w:color="auto" w:sz="8" w:space="0"/>
              <w:left w:val="single" w:color="auto" w:sz="8" w:space="0"/>
              <w:bottom w:val="single" w:color="auto" w:sz="4" w:space="0"/>
              <w:right w:val="single" w:color="auto" w:sz="8"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分包</w:t>
            </w:r>
          </w:p>
        </w:tc>
        <w:tc>
          <w:tcPr>
            <w:tcW w:w="670" w:type="dxa"/>
            <w:vMerge w:val="restart"/>
            <w:tcBorders>
              <w:top w:val="single" w:color="auto" w:sz="8" w:space="0"/>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r>
      <w:tr>
        <w:tblPrEx>
          <w:tblCellMar>
            <w:top w:w="0" w:type="dxa"/>
            <w:left w:w="108" w:type="dxa"/>
            <w:bottom w:w="0" w:type="dxa"/>
            <w:right w:w="108" w:type="dxa"/>
          </w:tblCellMar>
        </w:tblPrEx>
        <w:trPr>
          <w:trHeight w:val="480" w:hRule="atLeast"/>
        </w:trPr>
        <w:tc>
          <w:tcPr>
            <w:tcW w:w="992"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vMerge w:val="restart"/>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主开放活动</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其它开放活动1</w:t>
            </w:r>
          </w:p>
        </w:tc>
        <w:tc>
          <w:tcPr>
            <w:tcW w:w="88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其它开放活动2</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拓客活动</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暖场活动</w:t>
            </w:r>
          </w:p>
        </w:tc>
        <w:tc>
          <w:tcPr>
            <w:tcW w:w="682" w:type="dxa"/>
            <w:vMerge w:val="continue"/>
            <w:tcBorders>
              <w:top w:val="single" w:color="auto" w:sz="8" w:space="0"/>
              <w:left w:val="nil"/>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8"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9"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567"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vMerge w:val="continue"/>
            <w:tcBorders>
              <w:top w:val="nil"/>
              <w:left w:val="single" w:color="auto" w:sz="8"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9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88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场次</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682" w:type="dxa"/>
            <w:vMerge w:val="continue"/>
            <w:tcBorders>
              <w:top w:val="single" w:color="auto" w:sz="8" w:space="0"/>
              <w:left w:val="nil"/>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8"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9"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567"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深铁珑境花园一期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52F展示区开放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52F论坛/沙龙</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155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172 </w:t>
            </w:r>
          </w:p>
        </w:tc>
        <w:tc>
          <w:tcPr>
            <w:tcW w:w="567" w:type="dxa"/>
            <w:vMerge w:val="restart"/>
            <w:tcBorders>
              <w:top w:val="nil"/>
              <w:left w:val="single" w:color="auto" w:sz="8" w:space="0"/>
              <w:bottom w:val="single" w:color="000000" w:sz="4"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367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cs="宋体"/>
                <w:b/>
                <w:bCs/>
                <w:color w:val="000000"/>
                <w:kern w:val="0"/>
                <w:sz w:val="18"/>
                <w:szCs w:val="18"/>
              </w:rPr>
            </w:pPr>
            <w:r>
              <w:rPr>
                <w:rFonts w:ascii="宋体" w:hAnsi="宋体" w:cs="宋体"/>
                <w:b/>
                <w:bCs/>
                <w:color w:val="000000"/>
                <w:kern w:val="0"/>
                <w:sz w:val="18"/>
                <w:szCs w:val="18"/>
              </w:rPr>
              <w:t>2,215</w:t>
            </w: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10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地铁前海时代广场4号地块</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春泉营销中心开放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8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临时展点开放</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219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98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140 </w:t>
            </w:r>
          </w:p>
        </w:tc>
        <w:tc>
          <w:tcPr>
            <w:tcW w:w="567" w:type="dxa"/>
            <w:vMerge w:val="restart"/>
            <w:tcBorders>
              <w:top w:val="nil"/>
              <w:left w:val="single" w:color="auto" w:sz="8" w:space="0"/>
              <w:bottom w:val="single" w:color="000000" w:sz="4"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457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 </w:t>
            </w:r>
          </w:p>
        </w:tc>
        <w:tc>
          <w:tcPr>
            <w:tcW w:w="8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8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深铁金融科技大厦</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79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56 </w:t>
            </w:r>
          </w:p>
        </w:tc>
        <w:tc>
          <w:tcPr>
            <w:tcW w:w="567" w:type="dxa"/>
            <w:vMerge w:val="restart"/>
            <w:tcBorders>
              <w:top w:val="nil"/>
              <w:left w:val="single" w:color="auto" w:sz="8" w:space="0"/>
              <w:bottom w:val="single" w:color="000000" w:sz="4"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148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14"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深铁置业大厦</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79 </w:t>
            </w:r>
          </w:p>
        </w:tc>
        <w:tc>
          <w:tcPr>
            <w:tcW w:w="708" w:type="dxa"/>
            <w:vMerge w:val="restart"/>
            <w:tcBorders>
              <w:top w:val="nil"/>
              <w:left w:val="single" w:color="auto" w:sz="8" w:space="0"/>
              <w:bottom w:val="single" w:color="000000" w:sz="8"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 </w:t>
            </w:r>
          </w:p>
        </w:tc>
        <w:tc>
          <w:tcPr>
            <w:tcW w:w="709" w:type="dxa"/>
            <w:vMerge w:val="restart"/>
            <w:tcBorders>
              <w:top w:val="nil"/>
              <w:left w:val="single" w:color="auto" w:sz="8" w:space="0"/>
              <w:bottom w:val="single" w:color="000000" w:sz="8"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56 </w:t>
            </w:r>
          </w:p>
        </w:tc>
        <w:tc>
          <w:tcPr>
            <w:tcW w:w="567" w:type="dxa"/>
            <w:vMerge w:val="restart"/>
            <w:tcBorders>
              <w:top w:val="nil"/>
              <w:left w:val="single" w:color="auto" w:sz="8" w:space="0"/>
              <w:bottom w:val="single" w:color="000000" w:sz="8"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148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2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993" w:type="dxa"/>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887" w:type="dxa"/>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0" w:type="auto"/>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0" w:type="auto"/>
            <w:tcBorders>
              <w:top w:val="nil"/>
              <w:left w:val="nil"/>
              <w:bottom w:val="single" w:color="auto" w:sz="8" w:space="0"/>
              <w:right w:val="single" w:color="auto" w:sz="8"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8"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14"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深铁璟城一期</w:t>
            </w:r>
          </w:p>
        </w:tc>
        <w:tc>
          <w:tcPr>
            <w:tcW w:w="99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1F展厅开放</w:t>
            </w:r>
          </w:p>
        </w:tc>
        <w:tc>
          <w:tcPr>
            <w:tcW w:w="887" w:type="dxa"/>
            <w:tcBorders>
              <w:top w:val="single" w:color="auto" w:sz="4" w:space="0"/>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c>
          <w:tcPr>
            <w:tcW w:w="682" w:type="dxa"/>
            <w:vMerge w:val="restart"/>
            <w:tcBorders>
              <w:top w:val="single" w:color="auto" w:sz="4" w:space="0"/>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142 </w:t>
            </w:r>
          </w:p>
        </w:tc>
        <w:tc>
          <w:tcPr>
            <w:tcW w:w="708" w:type="dxa"/>
            <w:vMerge w:val="restart"/>
            <w:tcBorders>
              <w:top w:val="single" w:color="auto" w:sz="4" w:space="0"/>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80 </w:t>
            </w:r>
          </w:p>
        </w:tc>
        <w:tc>
          <w:tcPr>
            <w:tcW w:w="709" w:type="dxa"/>
            <w:vMerge w:val="restart"/>
            <w:tcBorders>
              <w:top w:val="single" w:color="auto" w:sz="4" w:space="0"/>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170 </w:t>
            </w:r>
          </w:p>
        </w:tc>
        <w:tc>
          <w:tcPr>
            <w:tcW w:w="567" w:type="dxa"/>
            <w:vMerge w:val="restart"/>
            <w:tcBorders>
              <w:top w:val="single" w:color="auto" w:sz="4" w:space="0"/>
              <w:left w:val="single" w:color="auto" w:sz="8" w:space="0"/>
              <w:bottom w:val="single" w:color="000000" w:sz="4" w:space="0"/>
              <w:right w:val="nil"/>
            </w:tcBorders>
            <w:shd w:val="clear" w:color="000000" w:fill="9BC2E6"/>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392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60"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45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10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682" w:type="dxa"/>
            <w:vMerge w:val="continue"/>
            <w:tcBorders>
              <w:top w:val="single" w:color="auto" w:sz="4" w:space="0"/>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single" w:color="auto" w:sz="4" w:space="0"/>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single" w:color="auto" w:sz="4" w:space="0"/>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single" w:color="auto" w:sz="4" w:space="0"/>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深铁懿府三期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82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90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60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232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52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285"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深铁赤湾项目一期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展厅开放</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63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55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150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285"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45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17.5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深铁瑞城三期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130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38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101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269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720"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38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8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65" w:hRule="atLeast"/>
        </w:trPr>
        <w:tc>
          <w:tcPr>
            <w:tcW w:w="992" w:type="dxa"/>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山海漫街</w:t>
            </w:r>
          </w:p>
        </w:tc>
        <w:tc>
          <w:tcPr>
            <w:tcW w:w="993" w:type="dxa"/>
            <w:tcBorders>
              <w:top w:val="nil"/>
              <w:left w:val="single" w:color="auto" w:sz="8" w:space="0"/>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682" w:type="dxa"/>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708" w:type="dxa"/>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12 </w:t>
            </w:r>
          </w:p>
        </w:tc>
        <w:tc>
          <w:tcPr>
            <w:tcW w:w="709" w:type="dxa"/>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w:t>
            </w:r>
          </w:p>
        </w:tc>
        <w:tc>
          <w:tcPr>
            <w:tcW w:w="567" w:type="dxa"/>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52 </w:t>
            </w:r>
          </w:p>
        </w:tc>
        <w:tc>
          <w:tcPr>
            <w:tcW w:w="464" w:type="dxa"/>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bl>
    <w:p>
      <w:pPr>
        <w:pStyle w:val="24"/>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报价为含税价，包含乙方因履行本合同要求的所有活动/包装服务过程中发生的策划费、执行费、设计费、制作费、人工费、场地费、交通费、运输费、保险费、政府报批收费、税金、撤场清理费等一切乙方为了履行本协议项下委托事项所产生的费用。除甲方书面确认的可增加的费用外，本协议价款不因任何事由上浮，包括但不限于不可抗力、价格上涨等因素。</w:t>
      </w:r>
    </w:p>
    <w:p>
      <w:pPr>
        <w:pStyle w:val="5"/>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5" w:name="_Toc98264014"/>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第二章 比选文件</w:t>
      </w:r>
      <w:bookmarkEnd w:id="35"/>
    </w:p>
    <w:p>
      <w:pPr>
        <w:pStyle w:val="6"/>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6" w:name="_Toc98264015"/>
      <w:r>
        <w:rPr>
          <w:rFonts w:hint="eastAsia" w:ascii="宋体" w:hAnsi="宋体"/>
          <w:bCs/>
          <w:color w:val="0D0D0D" w:themeColor="text1" w:themeTint="F2"/>
          <w:sz w:val="24"/>
          <w14:textFill>
            <w14:solidFill>
              <w14:schemeClr w14:val="tx1">
                <w14:lumMod w14:val="95000"/>
                <w14:lumOff w14:val="5000"/>
              </w14:schemeClr>
            </w14:solidFill>
          </w14:textFill>
        </w:rPr>
        <w:t>一</w:t>
      </w:r>
      <w:r>
        <w:rPr>
          <w:rFonts w:ascii="宋体" w:hAnsi="宋体"/>
          <w:bCs/>
          <w:color w:val="0D0D0D" w:themeColor="text1" w:themeTint="F2"/>
          <w:sz w:val="24"/>
          <w14:textFill>
            <w14:solidFill>
              <w14:schemeClr w14:val="tx1">
                <w14:lumMod w14:val="95000"/>
                <w14:lumOff w14:val="5000"/>
              </w14:schemeClr>
            </w14:solidFill>
          </w14:textFill>
        </w:rPr>
        <w:t>、比选文件的</w:t>
      </w:r>
      <w:r>
        <w:rPr>
          <w:rFonts w:hint="eastAsia" w:ascii="宋体" w:hAnsi="宋体"/>
          <w:bCs/>
          <w:color w:val="0D0D0D" w:themeColor="text1" w:themeTint="F2"/>
          <w:sz w:val="24"/>
          <w14:textFill>
            <w14:solidFill>
              <w14:schemeClr w14:val="tx1">
                <w14:lumMod w14:val="95000"/>
                <w14:lumOff w14:val="5000"/>
              </w14:schemeClr>
            </w14:solidFill>
          </w14:textFill>
        </w:rPr>
        <w:t>构成</w:t>
      </w:r>
      <w:bookmarkEnd w:id="36"/>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比选文件用以阐明所需（1）参选须知；（2）评定标程序；（3）深铁置业2022年度拟销售项目展示区开放系列活动、现场包装及宣传推广服务工作任务及要求；（4）合同条款等，比选文件由下述部分组成：</w:t>
      </w:r>
    </w:p>
    <w:p>
      <w:pPr>
        <w:pStyle w:val="3"/>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致参选人</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参选文件无效和废标的情形摘要</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第一篇 比选文件</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第二篇 参选文件格式</w:t>
      </w:r>
    </w:p>
    <w:p>
      <w:pPr>
        <w:pStyle w:val="3"/>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第三篇 合同条件</w:t>
      </w:r>
    </w:p>
    <w:p>
      <w:pPr>
        <w:pStyle w:val="6"/>
        <w:numPr>
          <w:ilvl w:val="2"/>
          <w:numId w:val="0"/>
        </w:numPr>
        <w:spacing w:before="240" w:beforeLines="100" w:after="120" w:afterLines="50" w:line="480" w:lineRule="atLeast"/>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7" w:name="_Toc98264016"/>
      <w:r>
        <w:rPr>
          <w:rFonts w:hint="eastAsia" w:ascii="宋体" w:hAnsi="宋体"/>
          <w:bCs/>
          <w:color w:val="0D0D0D" w:themeColor="text1" w:themeTint="F2"/>
          <w:sz w:val="24"/>
          <w14:textFill>
            <w14:solidFill>
              <w14:schemeClr w14:val="tx1">
                <w14:lumMod w14:val="95000"/>
                <w14:lumOff w14:val="5000"/>
              </w14:schemeClr>
            </w14:solidFill>
          </w14:textFill>
        </w:rPr>
        <w:t>二、比选文件的补遗、澄清、修改</w:t>
      </w:r>
      <w:bookmarkEnd w:id="37"/>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参选人若对比选文件有疑问，需要比选人予以澄清，</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应于</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7</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日前</w:t>
      </w:r>
      <w:r>
        <w:rPr>
          <w:rFonts w:ascii="宋体" w:hAnsi="宋体"/>
          <w:color w:val="0D0D0D" w:themeColor="text1" w:themeTint="F2"/>
          <w:sz w:val="24"/>
          <w:szCs w:val="24"/>
          <w14:textFill>
            <w14:solidFill>
              <w14:schemeClr w14:val="tx1">
                <w14:lumMod w14:val="95000"/>
                <w14:lumOff w14:val="5000"/>
              </w14:schemeClr>
            </w14:solidFill>
          </w14:textFill>
        </w:rPr>
        <w:t>以书面形式向比选人提出，送至比选文件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“致参选人”</w:t>
      </w:r>
      <w:r>
        <w:rPr>
          <w:rFonts w:ascii="宋体" w:hAnsi="宋体"/>
          <w:color w:val="0D0D0D" w:themeColor="text1" w:themeTint="F2"/>
          <w:sz w:val="24"/>
          <w:szCs w:val="24"/>
          <w14:textFill>
            <w14:solidFill>
              <w14:schemeClr w14:val="tx1">
                <w14:lumMod w14:val="95000"/>
                <w14:lumOff w14:val="5000"/>
              </w14:schemeClr>
            </w14:solidFill>
          </w14:textFill>
        </w:rPr>
        <w:t>中写明的比选人地址。不论是比选人根据需要主动对比选文件进行必要的澄清或是根据参选人的要求对比选文件做出澄清，比选人</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补遗文件都将在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kern w:val="0"/>
          <w:sz w:val="24"/>
          <w:szCs w:val="24"/>
          <w:u w:val="single"/>
          <w14:textFill>
            <w14:solidFill>
              <w14:schemeClr w14:val="tx1">
                <w14:lumMod w14:val="95000"/>
                <w14:lumOff w14:val="5000"/>
              </w14:schemeClr>
            </w14:solidFill>
          </w14:textFill>
        </w:rPr>
        <w:t>通</w:t>
      </w:r>
      <w:r>
        <w:rPr>
          <w:rFonts w:hint="eastAsia" w:ascii="宋体" w:hAnsi="宋体"/>
          <w:color w:val="0D0D0D" w:themeColor="text1" w:themeTint="F2"/>
          <w:sz w:val="24"/>
          <w:szCs w:val="24"/>
          <w14:textFill>
            <w14:solidFill>
              <w14:schemeClr w14:val="tx1">
                <w14:lumMod w14:val="95000"/>
                <w14:lumOff w14:val="5000"/>
              </w14:schemeClr>
            </w14:solidFill>
          </w14:textFill>
        </w:rPr>
        <w:t>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w:t>
      </w:r>
      <w:r>
        <w:rPr>
          <w:rFonts w:ascii="宋体" w:hAnsi="宋体"/>
          <w:color w:val="0D0D0D" w:themeColor="text1" w:themeTint="F2"/>
          <w:sz w:val="24"/>
          <w:szCs w:val="24"/>
          <w14:textFill>
            <w14:solidFill>
              <w14:schemeClr w14:val="tx1">
                <w14:lumMod w14:val="95000"/>
                <w14:lumOff w14:val="5000"/>
              </w14:schemeClr>
            </w14:solidFill>
          </w14:textFill>
        </w:rPr>
        <w:t>订阅号向所有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公示。</w:t>
      </w: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人应随时查看</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微信订阅号中</w:t>
      </w:r>
      <w:r>
        <w:rPr>
          <w:rFonts w:ascii="宋体" w:hAnsi="宋体"/>
          <w:color w:val="0D0D0D" w:themeColor="text1" w:themeTint="F2"/>
          <w:sz w:val="24"/>
          <w:szCs w:val="24"/>
          <w14:textFill>
            <w14:solidFill>
              <w14:schemeClr w14:val="tx1">
                <w14:lumMod w14:val="95000"/>
                <w14:lumOff w14:val="5000"/>
              </w14:schemeClr>
            </w14:solidFill>
          </w14:textFill>
        </w:rPr>
        <w:t>有关该项目补遗文件的信息</w:t>
      </w:r>
      <w:r>
        <w:rPr>
          <w:rFonts w:hint="eastAsia" w:ascii="宋体" w:hAnsi="宋体"/>
          <w:color w:val="0D0D0D" w:themeColor="text1" w:themeTint="F2"/>
          <w:sz w:val="24"/>
          <w:szCs w:val="24"/>
          <w14:textFill>
            <w14:solidFill>
              <w14:schemeClr w14:val="tx1">
                <w14:lumMod w14:val="95000"/>
                <w14:lumOff w14:val="5000"/>
              </w14:schemeClr>
            </w14:solidFill>
          </w14:textFill>
        </w:rPr>
        <w:t>。否则，</w:t>
      </w:r>
      <w:r>
        <w:rPr>
          <w:rFonts w:ascii="宋体" w:hAnsi="宋体"/>
          <w:color w:val="0D0D0D" w:themeColor="text1" w:themeTint="F2"/>
          <w:sz w:val="24"/>
          <w:szCs w:val="24"/>
          <w14:textFill>
            <w14:solidFill>
              <w14:schemeClr w14:val="tx1">
                <w14:lumMod w14:val="95000"/>
                <w14:lumOff w14:val="5000"/>
              </w14:schemeClr>
            </w14:solidFill>
          </w14:textFill>
        </w:rPr>
        <w:t>由此导致的不利后果由</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自负。比选文件的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作为比选文件的组成部分，具有约束力。</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color w:val="0D0D0D" w:themeColor="text1" w:themeTint="F2"/>
          <w:sz w:val="24"/>
          <w14:textFill>
            <w14:solidFill>
              <w14:schemeClr w14:val="tx1">
                <w14:lumMod w14:val="95000"/>
                <w14:lumOff w14:val="5000"/>
              </w14:schemeClr>
            </w14:solidFill>
          </w14:textFill>
        </w:rPr>
        <w:t>比选人对在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7</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sz w:val="24"/>
          <w14:textFill>
            <w14:solidFill>
              <w14:schemeClr w14:val="tx1">
                <w14:lumMod w14:val="95000"/>
                <w14:lumOff w14:val="5000"/>
              </w14:schemeClr>
            </w14:solidFill>
          </w14:textFill>
        </w:rPr>
        <w:t>收到的以书面函件的方式要求澄清的问题，将视具体情况进行澄清，比选人的澄清将</w:t>
      </w:r>
      <w:r>
        <w:rPr>
          <w:rFonts w:hint="eastAsia" w:ascii="宋体" w:hAnsi="宋体"/>
          <w:color w:val="0D0D0D" w:themeColor="text1" w:themeTint="F2"/>
          <w:sz w:val="24"/>
          <w:szCs w:val="24"/>
          <w14:textFill>
            <w14:solidFill>
              <w14:schemeClr w14:val="tx1">
                <w14:lumMod w14:val="95000"/>
                <w14:lumOff w14:val="5000"/>
              </w14:schemeClr>
            </w14:solidFill>
          </w14:textFill>
        </w:rPr>
        <w:t>通过“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、“深铁招采网”、</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w:t>
      </w:r>
      <w:r>
        <w:rPr>
          <w:rFonts w:ascii="宋体" w:hAnsi="宋体"/>
          <w:color w:val="0D0D0D" w:themeColor="text1" w:themeTint="F2"/>
          <w:sz w:val="24"/>
          <w:szCs w:val="24"/>
          <w14:textFill>
            <w14:solidFill>
              <w14:schemeClr w14:val="tx1">
                <w14:lumMod w14:val="95000"/>
                <w14:lumOff w14:val="5000"/>
              </w14:schemeClr>
            </w14:solidFill>
          </w14:textFill>
        </w:rPr>
        <w:t>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w:t>
      </w:r>
      <w:r>
        <w:rPr>
          <w:rFonts w:hint="eastAsia" w:ascii="宋体" w:hAnsi="宋体"/>
          <w:color w:val="0D0D0D" w:themeColor="text1" w:themeTint="F2"/>
          <w:sz w:val="24"/>
          <w:szCs w:val="24"/>
          <w14:textFill>
            <w14:solidFill>
              <w14:schemeClr w14:val="tx1">
                <w14:lumMod w14:val="95000"/>
                <w14:lumOff w14:val="5000"/>
              </w14:schemeClr>
            </w14:solidFill>
          </w14:textFill>
        </w:rPr>
        <w:t>示</w:t>
      </w:r>
      <w:r>
        <w:rPr>
          <w:rFonts w:hint="eastAsia" w:ascii="宋体" w:hAnsi="宋体"/>
          <w:color w:val="0D0D0D" w:themeColor="text1" w:themeTint="F2"/>
          <w:sz w:val="24"/>
          <w14:textFill>
            <w14:solidFill>
              <w14:schemeClr w14:val="tx1">
                <w14:lumMod w14:val="95000"/>
                <w14:lumOff w14:val="5000"/>
              </w14:schemeClr>
            </w14:solidFill>
          </w14:textFill>
        </w:rPr>
        <w:t>。如比选人认为参选人所提出的问题已在比选文件中明确说明，或可以根据比选文件做出明确的推断，比选人将不再予以澄清。</w:t>
      </w:r>
    </w:p>
    <w:p>
      <w:pPr>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 xml:space="preserve">    （三）</w:t>
      </w:r>
      <w:r>
        <w:rPr>
          <w:rFonts w:ascii="宋体" w:hAnsi="宋体"/>
          <w:color w:val="0D0D0D" w:themeColor="text1" w:themeTint="F2"/>
          <w:sz w:val="24"/>
          <w:szCs w:val="24"/>
          <w14:textFill>
            <w14:solidFill>
              <w14:schemeClr w14:val="tx1">
                <w14:lumMod w14:val="95000"/>
                <w14:lumOff w14:val="5000"/>
              </w14:schemeClr>
            </w14:solidFill>
          </w14:textFill>
        </w:rPr>
        <w:t>比选文件发出后，在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ascii="宋体" w:hAnsi="宋体"/>
          <w:color w:val="0D0D0D" w:themeColor="text1" w:themeTint="F2"/>
          <w:sz w:val="24"/>
          <w:szCs w:val="24"/>
          <w14:textFill>
            <w14:solidFill>
              <w14:schemeClr w14:val="tx1">
                <w14:lumMod w14:val="95000"/>
                <w14:lumOff w14:val="5000"/>
              </w14:schemeClr>
            </w14:solidFill>
          </w14:textFill>
        </w:rPr>
        <w:t>的任何时候，确需要变更比选文件内容的，比选人可主动或在解答参选人提出的澄清问题时对比选文件进行修改。</w:t>
      </w:r>
    </w:p>
    <w:p>
      <w:pPr>
        <w:spacing w:line="480" w:lineRule="atLeast"/>
        <w:rPr>
          <w:rFonts w:ascii="宋体" w:hAnsi="宋体"/>
          <w:color w:val="0D0D0D" w:themeColor="text1" w:themeTint="F2"/>
          <w:sz w:val="28"/>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（四）</w:t>
      </w:r>
      <w:r>
        <w:rPr>
          <w:rFonts w:ascii="宋体" w:hAnsi="宋体"/>
          <w:color w:val="0D0D0D" w:themeColor="text1" w:themeTint="F2"/>
          <w:sz w:val="24"/>
          <w:szCs w:val="24"/>
          <w14:textFill>
            <w14:solidFill>
              <w14:schemeClr w14:val="tx1">
                <w14:lumMod w14:val="95000"/>
                <w14:lumOff w14:val="5000"/>
              </w14:schemeClr>
            </w14:solidFill>
          </w14:textFill>
        </w:rPr>
        <w:t>比选文件、比选文件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)会议纪要、</w:t>
      </w:r>
      <w:r>
        <w:rPr>
          <w:rFonts w:ascii="宋体" w:hAnsi="宋体"/>
          <w:color w:val="0D0D0D" w:themeColor="text1" w:themeTint="F2"/>
          <w:sz w:val="24"/>
          <w:szCs w:val="24"/>
          <w14:textFill>
            <w14:solidFill>
              <w14:schemeClr w14:val="tx1">
                <w14:lumMod w14:val="95000"/>
                <w14:lumOff w14:val="5000"/>
              </w14:schemeClr>
            </w14:solidFill>
          </w14:textFill>
        </w:rPr>
        <w:t>修改(补充)函件内容均以书面明确的内容为准。当比选文件、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纪要、修改(补充)函件内容相互矛盾时，以最后发出的为准。</w:t>
      </w:r>
    </w:p>
    <w:p>
      <w:pPr>
        <w:spacing w:line="480" w:lineRule="atLeast"/>
        <w:ind w:firstLine="480"/>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w:t>
      </w:r>
      <w:r>
        <w:rPr>
          <w:rFonts w:ascii="宋体" w:hAnsi="宋体"/>
          <w:color w:val="0D0D0D" w:themeColor="text1" w:themeTint="F2"/>
          <w:sz w:val="24"/>
          <w:szCs w:val="24"/>
          <w14:textFill>
            <w14:solidFill>
              <w14:schemeClr w14:val="tx1">
                <w14:lumMod w14:val="95000"/>
                <w14:lumOff w14:val="5000"/>
              </w14:schemeClr>
            </w14:solidFill>
          </w14:textFill>
        </w:rPr>
        <w:t>为使参选人在编写参选文件时有充分时间对比选文件的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修改（补充）部分进行研究，比选人</w:t>
      </w:r>
      <w:r>
        <w:rPr>
          <w:rFonts w:hint="eastAsia" w:ascii="宋体" w:hAnsi="宋体"/>
          <w:color w:val="0D0D0D" w:themeColor="text1" w:themeTint="F2"/>
          <w:sz w:val="24"/>
          <w:szCs w:val="24"/>
          <w14:textFill>
            <w14:solidFill>
              <w14:schemeClr w14:val="tx1">
                <w14:lumMod w14:val="95000"/>
                <w14:lumOff w14:val="5000"/>
              </w14:schemeClr>
            </w14:solidFill>
          </w14:textFill>
        </w:rPr>
        <w:t>有权</w:t>
      </w:r>
      <w:r>
        <w:rPr>
          <w:rFonts w:ascii="宋体" w:hAnsi="宋体"/>
          <w:color w:val="0D0D0D" w:themeColor="text1" w:themeTint="F2"/>
          <w:sz w:val="24"/>
          <w:szCs w:val="24"/>
          <w14:textFill>
            <w14:solidFill>
              <w14:schemeClr w14:val="tx1">
                <w14:lumMod w14:val="95000"/>
                <w14:lumOff w14:val="5000"/>
              </w14:schemeClr>
            </w14:solidFill>
          </w14:textFill>
        </w:rPr>
        <w:t>适当延长递交参选文件的截止日期。</w:t>
      </w:r>
    </w:p>
    <w:p>
      <w:pPr>
        <w:pStyle w:val="5"/>
        <w:spacing w:line="480" w:lineRule="atLeast"/>
        <w:rPr>
          <w:rFonts w:ascii="宋体" w:hAnsi="宋体" w:eastAsia="宋体"/>
          <w:b/>
          <w:bCs/>
          <w:color w:val="0D0D0D" w:themeColor="text1" w:themeTint="F2"/>
          <w:sz w:val="32"/>
          <w14:textFill>
            <w14:solidFill>
              <w14:schemeClr w14:val="tx1">
                <w14:lumMod w14:val="95000"/>
                <w14:lumOff w14:val="5000"/>
              </w14:schemeClr>
            </w14:solidFill>
          </w14:textFill>
        </w:rPr>
      </w:pPr>
      <w:bookmarkStart w:id="38" w:name="_Toc98264017"/>
      <w:r>
        <w:rPr>
          <w:rFonts w:hint="eastAsia" w:ascii="宋体" w:hAnsi="宋体" w:eastAsia="宋体"/>
          <w:b/>
          <w:bCs/>
          <w:color w:val="0D0D0D" w:themeColor="text1" w:themeTint="F2"/>
          <w:sz w:val="32"/>
          <w14:textFill>
            <w14:solidFill>
              <w14:schemeClr w14:val="tx1">
                <w14:lumMod w14:val="95000"/>
                <w14:lumOff w14:val="5000"/>
              </w14:schemeClr>
            </w14:solidFill>
          </w14:textFill>
        </w:rPr>
        <w:t>第三章  参选文件的编写</w:t>
      </w:r>
      <w:bookmarkEnd w:id="38"/>
    </w:p>
    <w:p>
      <w:pPr>
        <w:pStyle w:val="6"/>
        <w:numPr>
          <w:ilvl w:val="2"/>
          <w:numId w:val="0"/>
        </w:numPr>
        <w:spacing w:before="240" w:beforeLines="100" w:after="120" w:afterLines="50" w:line="480" w:lineRule="atLeas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9" w:name="_Toc98264018"/>
      <w:r>
        <w:rPr>
          <w:rFonts w:hint="eastAsia" w:ascii="宋体" w:hAnsi="宋体"/>
          <w:bCs/>
          <w:color w:val="0D0D0D" w:themeColor="text1" w:themeTint="F2"/>
          <w:sz w:val="24"/>
          <w14:textFill>
            <w14:solidFill>
              <w14:schemeClr w14:val="tx1">
                <w14:lumMod w14:val="95000"/>
                <w14:lumOff w14:val="5000"/>
              </w14:schemeClr>
            </w14:solidFill>
          </w14:textFill>
        </w:rPr>
        <w:t>一、参选文件的组成及要求</w:t>
      </w:r>
      <w:bookmarkEnd w:id="39"/>
    </w:p>
    <w:p>
      <w:pPr>
        <w:pStyle w:val="3"/>
        <w:tabs>
          <w:tab w:val="left" w:pos="945"/>
          <w:tab w:val="left" w:pos="1275"/>
        </w:tabs>
        <w:snapToGrid w:val="0"/>
        <w:spacing w:line="480" w:lineRule="atLeast"/>
        <w:ind w:left="0" w:leftChars="0" w:firstLine="480"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1"/>
          <w14:textFill>
            <w14:solidFill>
              <w14:schemeClr w14:val="tx1">
                <w14:lumMod w14:val="95000"/>
                <w14:lumOff w14:val="5000"/>
              </w14:schemeClr>
            </w14:solidFill>
          </w14:textFill>
        </w:rPr>
        <w:t>参选人应仔细阅读比选文件的所有内容，按要求提供参选文件，并保证所提供的全部资料的真实性。</w:t>
      </w:r>
    </w:p>
    <w:p>
      <w:pPr>
        <w:pStyle w:val="3"/>
        <w:tabs>
          <w:tab w:val="left" w:pos="945"/>
          <w:tab w:val="left" w:pos="1275"/>
        </w:tabs>
        <w:snapToGrid w:val="0"/>
        <w:spacing w:line="480" w:lineRule="atLeast"/>
        <w:ind w:left="480" w:leftChars="0" w:firstLine="0" w:firstLineChars="0"/>
        <w:jc w:val="left"/>
        <w:rPr>
          <w:rFonts w:ascii="宋体" w:hAnsi="宋体"/>
          <w:color w:val="0D0D0D" w:themeColor="text1" w:themeTint="F2"/>
          <w:sz w:val="24"/>
          <w:szCs w:val="21"/>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w:t>
      </w:r>
      <w:r>
        <w:rPr>
          <w:rFonts w:ascii="宋体" w:hAnsi="宋体"/>
          <w:color w:val="0D0D0D" w:themeColor="text1" w:themeTint="F2"/>
          <w:sz w:val="24"/>
          <w14:textFill>
            <w14:solidFill>
              <w14:schemeClr w14:val="tx1">
                <w14:lumMod w14:val="95000"/>
                <w14:lumOff w14:val="5000"/>
              </w14:schemeClr>
            </w14:solidFill>
          </w14:textFill>
        </w:rPr>
        <w:t>格式要求</w:t>
      </w:r>
      <w:r>
        <w:rPr>
          <w:rFonts w:hint="eastAsia" w:ascii="宋体" w:hAnsi="宋体"/>
          <w:color w:val="0D0D0D" w:themeColor="text1" w:themeTint="F2"/>
          <w:sz w:val="24"/>
          <w14:textFill>
            <w14:solidFill>
              <w14:schemeClr w14:val="tx1">
                <w14:lumMod w14:val="95000"/>
                <w14:lumOff w14:val="5000"/>
              </w14:schemeClr>
            </w14:solidFill>
          </w14:textFill>
        </w:rPr>
        <w:t>：参选文件采用中文编写，A4纸印刷</w:t>
      </w:r>
      <w:r>
        <w:rPr>
          <w:rFonts w:ascii="宋体" w:hAnsi="宋体"/>
          <w:color w:val="0D0D0D" w:themeColor="text1" w:themeTint="F2"/>
          <w:sz w:val="24"/>
          <w:szCs w:val="21"/>
          <w14:textFill>
            <w14:solidFill>
              <w14:schemeClr w14:val="tx1">
                <w14:lumMod w14:val="95000"/>
                <w14:lumOff w14:val="5000"/>
              </w14:schemeClr>
            </w14:solidFill>
          </w14:textFill>
        </w:rPr>
        <w:t>。</w:t>
      </w:r>
    </w:p>
    <w:p>
      <w:pPr>
        <w:pStyle w:val="3"/>
        <w:tabs>
          <w:tab w:val="left" w:pos="945"/>
          <w:tab w:val="left" w:pos="1275"/>
        </w:tabs>
        <w:snapToGrid w:val="0"/>
        <w:spacing w:line="480" w:lineRule="atLeast"/>
        <w:ind w:left="0" w:leftChars="0" w:firstLine="482"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u w:val="single"/>
          <w14:textFill>
            <w14:solidFill>
              <w14:schemeClr w14:val="tx1">
                <w14:lumMod w14:val="95000"/>
                <w14:lumOff w14:val="5000"/>
              </w14:schemeClr>
            </w14:solidFill>
          </w14:textFill>
        </w:rPr>
        <w:t>参选文件</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按照“资信标书”、“技术标书”(内含技术标1和技术标2)、 “商务标书A包”、“商务标书</w:t>
      </w:r>
      <w:r>
        <w:rPr>
          <w:rFonts w:ascii="宋体" w:hAnsi="宋体"/>
          <w:b/>
          <w:color w:val="0D0D0D" w:themeColor="text1" w:themeTint="F2"/>
          <w:sz w:val="24"/>
          <w:szCs w:val="21"/>
          <w:u w:val="single"/>
          <w14:textFill>
            <w14:solidFill>
              <w14:schemeClr w14:val="tx1">
                <w14:lumMod w14:val="95000"/>
                <w14:lumOff w14:val="5000"/>
              </w14:schemeClr>
            </w14:solidFill>
          </w14:textFill>
        </w:rPr>
        <w:t>B</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包”分别装订成册</w:t>
      </w:r>
      <w:r>
        <w:rPr>
          <w:rFonts w:hint="eastAsia" w:ascii="宋体" w:hAnsi="宋体"/>
          <w:b/>
          <w:color w:val="0D0D0D" w:themeColor="text1" w:themeTint="F2"/>
          <w:sz w:val="24"/>
          <w:u w:val="single"/>
          <w14:textFill>
            <w14:solidFill>
              <w14:schemeClr w14:val="tx1">
                <w14:lumMod w14:val="95000"/>
                <w14:lumOff w14:val="5000"/>
              </w14:schemeClr>
            </w14:solidFill>
          </w14:textFill>
        </w:rPr>
        <w:t>，密封包装。</w:t>
      </w:r>
    </w:p>
    <w:p>
      <w:pPr>
        <w:pStyle w:val="6"/>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40" w:name="_Toc98264019"/>
      <w:r>
        <w:rPr>
          <w:rFonts w:hint="eastAsia" w:ascii="宋体" w:hAnsi="宋体"/>
          <w:bCs/>
          <w:color w:val="0D0D0D" w:themeColor="text1" w:themeTint="F2"/>
          <w:sz w:val="24"/>
          <w14:textFill>
            <w14:solidFill>
              <w14:schemeClr w14:val="tx1">
                <w14:lumMod w14:val="95000"/>
                <w14:lumOff w14:val="5000"/>
              </w14:schemeClr>
            </w14:solidFill>
          </w14:textFill>
        </w:rPr>
        <w:t>二、参选文件内容编写要求</w:t>
      </w:r>
      <w:bookmarkEnd w:id="40"/>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“资信标书”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参选人应按照比选文件第二篇“参选文件格式”中</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资信标书</w:t>
      </w:r>
      <w:r>
        <w:rPr>
          <w:rFonts w:hint="eastAsia" w:ascii="宋体" w:hAnsi="宋体"/>
          <w:b/>
          <w:bCs/>
          <w:sz w:val="24"/>
          <w:szCs w:val="24"/>
          <w:lang w:val="zh-CN"/>
        </w:rPr>
        <w:t>部分的要求编写资信标</w:t>
      </w:r>
      <w:r>
        <w:rPr>
          <w:rFonts w:hint="eastAsia" w:ascii="宋体" w:hAnsi="宋体"/>
          <w:b/>
          <w:bCs/>
          <w:sz w:val="24"/>
          <w:lang w:val="zh-CN"/>
        </w:rPr>
        <w:t>书</w:t>
      </w:r>
      <w:r>
        <w:rPr>
          <w:rFonts w:hint="eastAsia" w:ascii="宋体" w:hAnsi="宋体"/>
          <w:sz w:val="24"/>
          <w:lang w:val="zh-CN"/>
        </w:rPr>
        <w:t>。</w:t>
      </w:r>
      <w:r>
        <w:rPr>
          <w:rFonts w:hint="eastAsia" w:ascii="宋体" w:hAnsi="宋体"/>
          <w:b/>
          <w:bCs/>
          <w:color w:val="0D0D0D" w:themeColor="text1" w:themeTint="F2"/>
          <w:sz w:val="24"/>
          <w:szCs w:val="24"/>
          <w14:textFill>
            <w14:solidFill>
              <w14:schemeClr w14:val="tx1">
                <w14:lumMod w14:val="95000"/>
                <w14:lumOff w14:val="5000"/>
              </w14:schemeClr>
            </w14:solidFill>
          </w14:textFill>
        </w:rPr>
        <w:t>资信标书应包括以下几个主要内容：</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1.参选人营业执照复印件、政府网站显示公司注册资本的信息页（加盖公章）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.法定代表人资格证明书原件</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加</w:t>
      </w:r>
      <w:r>
        <w:rPr>
          <w:rFonts w:ascii="宋体" w:hAnsi="宋体"/>
          <w:color w:val="0D0D0D" w:themeColor="text1" w:themeTint="F2"/>
          <w:sz w:val="24"/>
          <w:szCs w:val="24"/>
          <w14:textFill>
            <w14:solidFill>
              <w14:schemeClr w14:val="tx1">
                <w14:lumMod w14:val="95000"/>
                <w14:lumOff w14:val="5000"/>
              </w14:schemeClr>
            </w14:solidFill>
          </w14:textFill>
        </w:rPr>
        <w:t>盖公章）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.法定代表人身份证件复印件（加盖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.法定代表人授权委托书原件（加盖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.被授权人身份证件复印件（加盖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hAnsi="宋体"/>
          <w:sz w:val="24"/>
          <w:szCs w:val="24"/>
        </w:rPr>
      </w:pPr>
      <w:r>
        <w:rPr>
          <w:rFonts w:ascii="宋体" w:hAnsi="宋体"/>
          <w:color w:val="0D0D0D" w:themeColor="text1" w:themeTint="F2"/>
          <w:sz w:val="24"/>
          <w:szCs w:val="24"/>
          <w14:textFill>
            <w14:solidFill>
              <w14:schemeClr w14:val="tx1">
                <w14:lumMod w14:val="95000"/>
                <w14:lumOff w14:val="5000"/>
              </w14:schemeClr>
            </w14:solidFill>
          </w14:textFill>
        </w:rPr>
        <w:t>6.</w:t>
      </w:r>
      <w:r>
        <w:rPr>
          <w:rFonts w:hint="eastAsia" w:ascii="宋体" w:hAnsi="宋体"/>
          <w:color w:val="0D0D0D" w:themeColor="text1" w:themeTint="F2"/>
          <w:sz w:val="24"/>
          <w:szCs w:val="24"/>
          <w14:textFill>
            <w14:solidFill>
              <w14:schemeClr w14:val="tx1">
                <w14:lumMod w14:val="95000"/>
                <w14:lumOff w14:val="5000"/>
              </w14:schemeClr>
            </w14:solidFill>
          </w14:textFill>
        </w:rPr>
        <w:t>参选业绩证明材料（加盖公章）</w:t>
      </w:r>
      <w:r>
        <w:rPr>
          <w:rFonts w:hint="eastAsia" w:hAnsi="宋体"/>
          <w:sz w:val="24"/>
          <w:szCs w:val="24"/>
        </w:rPr>
        <w:t>：</w:t>
      </w:r>
    </w:p>
    <w:p>
      <w:pPr>
        <w:widowControl/>
        <w:adjustRightInd w:val="0"/>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2019年1月1日至今，服务全国50强或深圳20强房地产开发公司品牌（全国50强排名参考2019年-2021年中指研究院或易居克尔瑞数据，深圳20强排名参考2019-2021年深圳房协数据）在北上广深一线城市的项目或品牌的活动或包装或美陈，且合同金额在50万以上的案例不少于2个。</w:t>
      </w:r>
    </w:p>
    <w:p>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备注：</w:t>
      </w:r>
    </w:p>
    <w:p>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a.业绩证明材料需提供合同关键页复印件（包括但不限于名称、委托内容、合同价格、委托期限、签订日期、盖章页等）及相关活动现场图片；</w:t>
      </w:r>
    </w:p>
    <w:p>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 xml:space="preserve">b.合同名称或委托内容需标明具体活动/包装服务类型； </w:t>
      </w:r>
    </w:p>
    <w:p>
      <w:pPr>
        <w:pStyle w:val="3"/>
        <w:snapToGrid w:val="0"/>
        <w:ind w:left="0" w:leftChars="0" w:firstLine="480" w:firstLineChars="200"/>
        <w:rPr>
          <w:rFonts w:ascii="宋体" w:hAnsi="宋体"/>
          <w:sz w:val="24"/>
          <w:szCs w:val="24"/>
        </w:rPr>
      </w:pPr>
      <w:r>
        <w:rPr>
          <w:rFonts w:hint="eastAsia" w:ascii="宋体" w:hAnsi="宋体"/>
          <w:sz w:val="24"/>
          <w:szCs w:val="24"/>
        </w:rPr>
        <w:t>参选人业绩证明资料真实性由参选人负责，并加盖公章。若比选人查实上述信息不真实，参选人将负全责。</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“技术标书”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参选人应按照比选文件第二篇“参选文件格式”中</w:t>
      </w:r>
      <w:r>
        <w:rPr>
          <w:rFonts w:hint="eastAsia" w:ascii="宋体" w:hAnsi="宋体"/>
          <w:b/>
          <w:bCs/>
          <w:sz w:val="24"/>
          <w:szCs w:val="24"/>
          <w:lang w:val="zh-CN"/>
        </w:rPr>
        <w:t>技术标书部分的要求编写技术标</w:t>
      </w:r>
      <w:r>
        <w:rPr>
          <w:rFonts w:hint="eastAsia" w:ascii="宋体" w:hAnsi="宋体"/>
          <w:b/>
          <w:bCs/>
          <w:sz w:val="24"/>
          <w:lang w:val="zh-CN"/>
        </w:rPr>
        <w:t>书</w:t>
      </w:r>
      <w:r>
        <w:rPr>
          <w:rFonts w:hint="eastAsia" w:ascii="宋体" w:hAnsi="宋体"/>
          <w:sz w:val="24"/>
          <w:lang w:val="zh-CN"/>
        </w:rPr>
        <w:t>。</w:t>
      </w:r>
      <w:r>
        <w:rPr>
          <w:rFonts w:hint="eastAsia" w:ascii="宋体" w:hAnsi="宋体"/>
          <w:b/>
          <w:bCs/>
          <w:color w:val="0D0D0D" w:themeColor="text1" w:themeTint="F2"/>
          <w:sz w:val="24"/>
          <w:szCs w:val="24"/>
          <w14:textFill>
            <w14:solidFill>
              <w14:schemeClr w14:val="tx1">
                <w14:lumMod w14:val="95000"/>
                <w14:lumOff w14:val="5000"/>
              </w14:schemeClr>
            </w14:solidFill>
          </w14:textFill>
        </w:rPr>
        <w:t>技术标书应包括以下几个主要内容：</w:t>
      </w:r>
    </w:p>
    <w:bookmarkEnd w:id="8"/>
    <w:p>
      <w:pPr>
        <w:pStyle w:val="3"/>
        <w:snapToGrid w:val="0"/>
        <w:ind w:left="0" w:leftChars="0" w:firstLine="480" w:firstLineChars="200"/>
        <w:rPr>
          <w:rFonts w:ascii="宋体" w:hAnsi="宋体"/>
          <w:sz w:val="24"/>
          <w:szCs w:val="24"/>
        </w:rPr>
      </w:pPr>
      <w:bookmarkStart w:id="41" w:name="_Hlk73001981"/>
      <w:bookmarkStart w:id="42" w:name="_Toc197404907"/>
      <w:r>
        <w:rPr>
          <w:rFonts w:hint="eastAsia" w:ascii="宋体" w:hAnsi="宋体"/>
          <w:sz w:val="24"/>
          <w:szCs w:val="24"/>
        </w:rPr>
        <w:t>技术标1：地铁前海时代营销中心开放活动方案</w:t>
      </w:r>
    </w:p>
    <w:p>
      <w:pPr>
        <w:pStyle w:val="3"/>
        <w:snapToGrid w:val="0"/>
        <w:ind w:left="0" w:leftChars="0" w:firstLine="480" w:firstLineChars="200"/>
        <w:rPr>
          <w:rFonts w:ascii="宋体" w:hAnsi="宋体"/>
          <w:sz w:val="24"/>
          <w:szCs w:val="24"/>
        </w:rPr>
      </w:pPr>
      <w:r>
        <w:rPr>
          <w:rFonts w:hint="eastAsia" w:ascii="宋体" w:hAnsi="宋体"/>
          <w:sz w:val="24"/>
          <w:szCs w:val="24"/>
        </w:rPr>
        <w:t>技术标2：深铁璟城营销中心开放活动方案</w:t>
      </w:r>
    </w:p>
    <w:bookmarkEnd w:id="41"/>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1．参选人应按照比选文件第二篇“参选文件格式”中商务标书部分的要求编写商务标。商务标书共</w:t>
      </w:r>
      <w:r>
        <w:rPr>
          <w:rFonts w:ascii="宋体" w:hAnsi="宋体"/>
          <w:color w:val="0D0D0D" w:themeColor="text1" w:themeTint="F2"/>
          <w:sz w:val="24"/>
          <w:szCs w:val="24"/>
          <w14:textFill>
            <w14:solidFill>
              <w14:schemeClr w14:val="tx1">
                <w14:lumMod w14:val="95000"/>
                <w14:lumOff w14:val="5000"/>
              </w14:schemeClr>
            </w14:solidFill>
          </w14:textFill>
        </w:rPr>
        <w:t>分</w:t>
      </w:r>
      <w:r>
        <w:rPr>
          <w:rFonts w:hint="eastAsia" w:ascii="宋体" w:hAnsi="宋体"/>
          <w:color w:val="0D0D0D" w:themeColor="text1" w:themeTint="F2"/>
          <w:sz w:val="24"/>
          <w:szCs w:val="24"/>
          <w14:textFill>
            <w14:solidFill>
              <w14:schemeClr w14:val="tx1">
                <w14:lumMod w14:val="95000"/>
                <w14:lumOff w14:val="5000"/>
              </w14:schemeClr>
            </w14:solidFill>
          </w14:textFill>
        </w:rPr>
        <w:t>A、B两个个独立标书</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分别应包括以下几个主要内容：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 xml:space="preserve">1.1 </w:t>
      </w:r>
      <w:r>
        <w:rPr>
          <w:rFonts w:hint="eastAsia" w:ascii="宋体" w:hAnsi="宋体"/>
          <w:b/>
          <w:bCs/>
          <w:color w:val="0D0D0D" w:themeColor="text1" w:themeTint="F2"/>
          <w:sz w:val="24"/>
          <w:szCs w:val="24"/>
          <w14:textFill>
            <w14:solidFill>
              <w14:schemeClr w14:val="tx1">
                <w14:lumMod w14:val="95000"/>
                <w14:lumOff w14:val="5000"/>
              </w14:schemeClr>
            </w14:solidFill>
          </w14:textFill>
        </w:rPr>
        <w:t>A包：深铁珑境花园一期、地铁前海时代广场4号地块、深铁金融科技大厦、深铁置业大厦项目展示区开放系列活动、现场包装及宣传推广服务商务标</w:t>
      </w:r>
      <w:r>
        <w:rPr>
          <w:rFonts w:ascii="宋体" w:hAnsi="宋体"/>
          <w:b/>
          <w:bCs/>
          <w:color w:val="0D0D0D" w:themeColor="text1" w:themeTint="F2"/>
          <w:sz w:val="24"/>
          <w:szCs w:val="24"/>
          <w14:textFill>
            <w14:solidFill>
              <w14:schemeClr w14:val="tx1">
                <w14:lumMod w14:val="95000"/>
                <w14:lumOff w14:val="5000"/>
              </w14:schemeClr>
            </w14:solidFill>
          </w14:textFill>
        </w:rPr>
        <w:t>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1.2</w:t>
      </w:r>
      <w:r>
        <w:rPr>
          <w:rFonts w:ascii="宋体" w:hAnsi="宋体"/>
          <w:b/>
          <w:bCs/>
          <w:color w:val="0D0D0D" w:themeColor="text1" w:themeTint="F2"/>
          <w:sz w:val="24"/>
          <w:szCs w:val="24"/>
          <w14:textFill>
            <w14:solidFill>
              <w14:schemeClr w14:val="tx1">
                <w14:lumMod w14:val="95000"/>
                <w14:lumOff w14:val="5000"/>
              </w14:schemeClr>
            </w14:solidFill>
          </w14:textFill>
        </w:rPr>
        <w:t xml:space="preserve"> B包：</w:t>
      </w:r>
      <w:r>
        <w:rPr>
          <w:rFonts w:hint="eastAsia" w:ascii="宋体" w:hAnsi="宋体"/>
          <w:b/>
          <w:bCs/>
          <w:color w:val="0D0D0D" w:themeColor="text1" w:themeTint="F2"/>
          <w:sz w:val="24"/>
          <w:szCs w:val="24"/>
          <w14:textFill>
            <w14:solidFill>
              <w14:schemeClr w14:val="tx1">
                <w14:lumMod w14:val="95000"/>
                <w14:lumOff w14:val="5000"/>
              </w14:schemeClr>
            </w14:solidFill>
          </w14:textFill>
        </w:rPr>
        <w:t>深铁璟城一期、深铁懿府三期、深铁赤湾项目一期、深铁瑞城三期、山海漫街项目展示区开放系列活动、现场包装及宣传推广服务</w:t>
      </w:r>
      <w:r>
        <w:rPr>
          <w:rFonts w:ascii="宋体" w:hAnsi="宋体"/>
          <w:b/>
          <w:bCs/>
          <w:color w:val="0D0D0D" w:themeColor="text1" w:themeTint="F2"/>
          <w:sz w:val="24"/>
          <w:szCs w:val="24"/>
          <w14:textFill>
            <w14:solidFill>
              <w14:schemeClr w14:val="tx1">
                <w14:lumMod w14:val="95000"/>
                <w14:lumOff w14:val="5000"/>
              </w14:schemeClr>
            </w14:solidFill>
          </w14:textFill>
        </w:rPr>
        <w:t>商务标书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2．参选报价货币为</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人民币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3．比选人认为参选人报价已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4．比选人认为</w:t>
      </w:r>
      <w:r>
        <w:rPr>
          <w:rFonts w:hint="eastAsia" w:ascii="宋体" w:hAnsi="宋体"/>
          <w:color w:val="0D0D0D" w:themeColor="text1" w:themeTint="F2"/>
          <w:sz w:val="24"/>
          <w:szCs w:val="24"/>
          <w14:textFill>
            <w14:solidFill>
              <w14:schemeClr w14:val="tx1">
                <w14:lumMod w14:val="95000"/>
                <w14:lumOff w14:val="5000"/>
              </w14:schemeClr>
            </w14:solidFill>
          </w14:textFill>
        </w:rPr>
        <w:t>参选人为履行本合同而提供的方案和相关服务的知识产权、版权费等第三者费用、根据法律由乙方支付的税费、保险费、合同文本、研究成果等资料的印刷费等已包含在参选人的投标报价中。</w:t>
      </w:r>
    </w:p>
    <w:p>
      <w:pPr>
        <w:pStyle w:val="3"/>
        <w:snapToGrid w:val="0"/>
        <w:ind w:left="0" w:leftChars="0"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w:t>
      </w:r>
      <w:r>
        <w:rPr>
          <w:rFonts w:hAnsi="宋体"/>
          <w:color w:val="0D0D0D" w:themeColor="text1" w:themeTint="F2"/>
          <w:sz w:val="24"/>
          <w:szCs w:val="24"/>
          <w14:textFill>
            <w14:solidFill>
              <w14:schemeClr w14:val="tx1">
                <w14:lumMod w14:val="95000"/>
                <w14:lumOff w14:val="5000"/>
              </w14:schemeClr>
            </w14:solidFill>
          </w14:textFill>
        </w:rPr>
        <w:t>2215</w:t>
      </w:r>
      <w:r>
        <w:rPr>
          <w:rFonts w:hint="eastAsia" w:hAnsi="宋体"/>
          <w:color w:val="0D0D0D" w:themeColor="text1" w:themeTint="F2"/>
          <w:sz w:val="24"/>
          <w:szCs w:val="24"/>
          <w14:textFill>
            <w14:solidFill>
              <w14:schemeClr w14:val="tx1">
                <w14:lumMod w14:val="95000"/>
                <w14:lumOff w14:val="5000"/>
              </w14:schemeClr>
            </w14:solidFill>
          </w14:textFill>
        </w:rPr>
        <w:t>万元（含税），参选人需对2个标包共9个项目分别报价，报价不能超过本次比选总上限价、项目所在标包的总上限价及每个项目最高限价、具体细项的最高限价。</w:t>
      </w:r>
      <w:r>
        <w:rPr>
          <w:rFonts w:hAnsi="宋体"/>
          <w:color w:val="0D0D0D" w:themeColor="text1" w:themeTint="F2"/>
          <w:sz w:val="24"/>
          <w:szCs w:val="24"/>
          <w14:textFill>
            <w14:solidFill>
              <w14:schemeClr w14:val="tx1">
                <w14:lumMod w14:val="95000"/>
                <w14:lumOff w14:val="5000"/>
              </w14:schemeClr>
            </w14:solidFill>
          </w14:textFill>
        </w:rPr>
        <w:t xml:space="preserve"> </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各标包及项目分别最高限价如下：</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1.A包：</w:t>
      </w:r>
      <w:r>
        <w:rPr>
          <w:rFonts w:hint="eastAsia" w:hAnsi="宋体"/>
          <w:color w:val="0D0D0D" w:themeColor="text1" w:themeTint="F2"/>
          <w:sz w:val="24"/>
          <w:szCs w:val="24"/>
          <w14:textFill>
            <w14:solidFill>
              <w14:schemeClr w14:val="tx1">
                <w14:lumMod w14:val="95000"/>
                <w14:lumOff w14:val="5000"/>
              </w14:schemeClr>
            </w14:solidFill>
          </w14:textFill>
        </w:rPr>
        <w:t>深铁珑境花园一期、地铁前海时代广场</w:t>
      </w:r>
      <w:r>
        <w:rPr>
          <w:rFonts w:hAnsi="宋体"/>
          <w:color w:val="0D0D0D" w:themeColor="text1" w:themeTint="F2"/>
          <w:sz w:val="24"/>
          <w:szCs w:val="24"/>
          <w14:textFill>
            <w14:solidFill>
              <w14:schemeClr w14:val="tx1">
                <w14:lumMod w14:val="95000"/>
                <w14:lumOff w14:val="5000"/>
              </w14:schemeClr>
            </w14:solidFill>
          </w14:textFill>
        </w:rPr>
        <w:t>4号地块、深</w:t>
      </w:r>
      <w:r>
        <w:rPr>
          <w:rFonts w:hint="eastAsia" w:hAnsi="宋体"/>
          <w:color w:val="0D0D0D" w:themeColor="text1" w:themeTint="F2"/>
          <w:sz w:val="24"/>
          <w:szCs w:val="24"/>
          <w14:textFill>
            <w14:solidFill>
              <w14:schemeClr w14:val="tx1">
                <w14:lumMod w14:val="95000"/>
                <w14:lumOff w14:val="5000"/>
              </w14:schemeClr>
            </w14:solidFill>
          </w14:textFill>
        </w:rPr>
        <w:t>铁金融科技大厦、深铁置业大厦展示区开放系列活动、现场包装及宣传推广服务总最高限价为</w:t>
      </w:r>
      <w:r>
        <w:rPr>
          <w:rFonts w:hAnsi="宋体"/>
          <w:color w:val="0D0D0D" w:themeColor="text1" w:themeTint="F2"/>
          <w:sz w:val="24"/>
          <w:szCs w:val="24"/>
          <w14:textFill>
            <w14:solidFill>
              <w14:schemeClr w14:val="tx1">
                <w14:lumMod w14:val="95000"/>
                <w14:lumOff w14:val="5000"/>
              </w14:schemeClr>
            </w14:solidFill>
          </w14:textFill>
        </w:rPr>
        <w:t>1,120</w:t>
      </w:r>
      <w:r>
        <w:rPr>
          <w:rFonts w:hint="eastAsia" w:hAnsi="宋体"/>
          <w:color w:val="0D0D0D" w:themeColor="text1" w:themeTint="F2"/>
          <w:sz w:val="24"/>
          <w:szCs w:val="24"/>
          <w14:textFill>
            <w14:solidFill>
              <w14:schemeClr w14:val="tx1">
                <w14:lumMod w14:val="95000"/>
                <w14:lumOff w14:val="5000"/>
              </w14:schemeClr>
            </w14:solidFill>
          </w14:textFill>
        </w:rPr>
        <w:t>万元（含税）。其中：深铁珑境花园一期最高限价为</w:t>
      </w:r>
      <w:r>
        <w:rPr>
          <w:rFonts w:hAnsi="宋体"/>
          <w:color w:val="0D0D0D" w:themeColor="text1" w:themeTint="F2"/>
          <w:sz w:val="24"/>
          <w:szCs w:val="24"/>
          <w14:textFill>
            <w14:solidFill>
              <w14:schemeClr w14:val="tx1">
                <w14:lumMod w14:val="95000"/>
                <w14:lumOff w14:val="5000"/>
              </w14:schemeClr>
            </w14:solidFill>
          </w14:textFill>
        </w:rPr>
        <w:t>367</w:t>
      </w:r>
      <w:r>
        <w:rPr>
          <w:rFonts w:hint="eastAsia" w:hAnsi="宋体"/>
          <w:color w:val="0D0D0D" w:themeColor="text1" w:themeTint="F2"/>
          <w:sz w:val="24"/>
          <w:szCs w:val="24"/>
          <w14:textFill>
            <w14:solidFill>
              <w14:schemeClr w14:val="tx1">
                <w14:lumMod w14:val="95000"/>
                <w14:lumOff w14:val="5000"/>
              </w14:schemeClr>
            </w14:solidFill>
          </w14:textFill>
        </w:rPr>
        <w:t>万元（含税）；地铁前海时代广场</w:t>
      </w:r>
      <w:r>
        <w:rPr>
          <w:rFonts w:hAnsi="宋体"/>
          <w:color w:val="0D0D0D" w:themeColor="text1" w:themeTint="F2"/>
          <w:sz w:val="24"/>
          <w:szCs w:val="24"/>
          <w14:textFill>
            <w14:solidFill>
              <w14:schemeClr w14:val="tx1">
                <w14:lumMod w14:val="95000"/>
                <w14:lumOff w14:val="5000"/>
              </w14:schemeClr>
            </w14:solidFill>
          </w14:textFill>
        </w:rPr>
        <w:t>4号地块</w:t>
      </w:r>
      <w:r>
        <w:rPr>
          <w:rFonts w:hint="eastAsia" w:hAnsi="宋体"/>
          <w:color w:val="0D0D0D" w:themeColor="text1" w:themeTint="F2"/>
          <w:sz w:val="24"/>
          <w:szCs w:val="24"/>
          <w14:textFill>
            <w14:solidFill>
              <w14:schemeClr w14:val="tx1">
                <w14:lumMod w14:val="95000"/>
                <w14:lumOff w14:val="5000"/>
              </w14:schemeClr>
            </w14:solidFill>
          </w14:textFill>
        </w:rPr>
        <w:t>最高限价为</w:t>
      </w:r>
      <w:r>
        <w:rPr>
          <w:rFonts w:hAnsi="宋体"/>
          <w:color w:val="0D0D0D" w:themeColor="text1" w:themeTint="F2"/>
          <w:sz w:val="24"/>
          <w:szCs w:val="24"/>
          <w14:textFill>
            <w14:solidFill>
              <w14:schemeClr w14:val="tx1">
                <w14:lumMod w14:val="95000"/>
                <w14:lumOff w14:val="5000"/>
              </w14:schemeClr>
            </w14:solidFill>
          </w14:textFill>
        </w:rPr>
        <w:t>457</w:t>
      </w:r>
      <w:r>
        <w:rPr>
          <w:rFonts w:hint="eastAsia" w:hAnsi="宋体"/>
          <w:color w:val="0D0D0D" w:themeColor="text1" w:themeTint="F2"/>
          <w:sz w:val="24"/>
          <w:szCs w:val="24"/>
          <w14:textFill>
            <w14:solidFill>
              <w14:schemeClr w14:val="tx1">
                <w14:lumMod w14:val="95000"/>
                <w14:lumOff w14:val="5000"/>
              </w14:schemeClr>
            </w14:solidFill>
          </w14:textFill>
        </w:rPr>
        <w:t>万元（含税）；深铁金融科技大厦最高限价为</w:t>
      </w:r>
      <w:r>
        <w:rPr>
          <w:rFonts w:hAnsi="宋体"/>
          <w:color w:val="0D0D0D" w:themeColor="text1" w:themeTint="F2"/>
          <w:sz w:val="24"/>
          <w:szCs w:val="24"/>
          <w14:textFill>
            <w14:solidFill>
              <w14:schemeClr w14:val="tx1">
                <w14:lumMod w14:val="95000"/>
                <w14:lumOff w14:val="5000"/>
              </w14:schemeClr>
            </w14:solidFill>
          </w14:textFill>
        </w:rPr>
        <w:t>148</w:t>
      </w:r>
      <w:r>
        <w:rPr>
          <w:rFonts w:hint="eastAsia" w:hAnsi="宋体"/>
          <w:color w:val="0D0D0D" w:themeColor="text1" w:themeTint="F2"/>
          <w:sz w:val="24"/>
          <w:szCs w:val="24"/>
          <w14:textFill>
            <w14:solidFill>
              <w14:schemeClr w14:val="tx1">
                <w14:lumMod w14:val="95000"/>
                <w14:lumOff w14:val="5000"/>
              </w14:schemeClr>
            </w14:solidFill>
          </w14:textFill>
        </w:rPr>
        <w:t>万元（含税）；深铁置业大厦最高限价为</w:t>
      </w:r>
      <w:r>
        <w:rPr>
          <w:rFonts w:hAnsi="宋体"/>
          <w:color w:val="0D0D0D" w:themeColor="text1" w:themeTint="F2"/>
          <w:sz w:val="24"/>
          <w:szCs w:val="24"/>
          <w14:textFill>
            <w14:solidFill>
              <w14:schemeClr w14:val="tx1">
                <w14:lumMod w14:val="95000"/>
                <w14:lumOff w14:val="5000"/>
              </w14:schemeClr>
            </w14:solidFill>
          </w14:textFill>
        </w:rPr>
        <w:t>148</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2.B</w:t>
      </w:r>
      <w:r>
        <w:rPr>
          <w:rFonts w:hint="eastAsia" w:hAnsi="宋体"/>
          <w:color w:val="0D0D0D" w:themeColor="text1" w:themeTint="F2"/>
          <w:sz w:val="24"/>
          <w:szCs w:val="24"/>
          <w14:textFill>
            <w14:solidFill>
              <w14:schemeClr w14:val="tx1">
                <w14:lumMod w14:val="95000"/>
                <w14:lumOff w14:val="5000"/>
              </w14:schemeClr>
            </w14:solidFill>
          </w14:textFill>
        </w:rPr>
        <w:t>包：深铁璟城一期、深铁懿府三期、深铁赤湾项目一期、深铁瑞城三期、山海漫街展示区开放系列活动、现场包装及宣传推广服务总最高限价为</w:t>
      </w:r>
      <w:r>
        <w:rPr>
          <w:rFonts w:hAnsi="宋体"/>
          <w:color w:val="0D0D0D" w:themeColor="text1" w:themeTint="F2"/>
          <w:sz w:val="24"/>
          <w:szCs w:val="24"/>
          <w14:textFill>
            <w14:solidFill>
              <w14:schemeClr w14:val="tx1">
                <w14:lumMod w14:val="95000"/>
                <w14:lumOff w14:val="5000"/>
              </w14:schemeClr>
            </w14:solidFill>
          </w14:textFill>
        </w:rPr>
        <w:t>1,095</w:t>
      </w:r>
      <w:r>
        <w:rPr>
          <w:rFonts w:hint="eastAsia" w:hAnsi="宋体"/>
          <w:color w:val="0D0D0D" w:themeColor="text1" w:themeTint="F2"/>
          <w:sz w:val="24"/>
          <w:szCs w:val="24"/>
          <w14:textFill>
            <w14:solidFill>
              <w14:schemeClr w14:val="tx1">
                <w14:lumMod w14:val="95000"/>
                <w14:lumOff w14:val="5000"/>
              </w14:schemeClr>
            </w14:solidFill>
          </w14:textFill>
        </w:rPr>
        <w:t>万元（含税）。其中：深铁璟城一期最高限价为</w:t>
      </w:r>
      <w:r>
        <w:rPr>
          <w:rFonts w:hAnsi="宋体"/>
          <w:color w:val="0D0D0D" w:themeColor="text1" w:themeTint="F2"/>
          <w:sz w:val="24"/>
          <w:szCs w:val="24"/>
          <w14:textFill>
            <w14:solidFill>
              <w14:schemeClr w14:val="tx1">
                <w14:lumMod w14:val="95000"/>
                <w14:lumOff w14:val="5000"/>
              </w14:schemeClr>
            </w14:solidFill>
          </w14:textFill>
        </w:rPr>
        <w:t>392</w:t>
      </w:r>
      <w:r>
        <w:rPr>
          <w:rFonts w:hint="eastAsia" w:hAnsi="宋体"/>
          <w:color w:val="0D0D0D" w:themeColor="text1" w:themeTint="F2"/>
          <w:sz w:val="24"/>
          <w:szCs w:val="24"/>
          <w14:textFill>
            <w14:solidFill>
              <w14:schemeClr w14:val="tx1">
                <w14:lumMod w14:val="95000"/>
                <w14:lumOff w14:val="5000"/>
              </w14:schemeClr>
            </w14:solidFill>
          </w14:textFill>
        </w:rPr>
        <w:t>万元（含税）；深铁懿府三期最高限价为</w:t>
      </w:r>
      <w:r>
        <w:rPr>
          <w:rFonts w:hAnsi="宋体"/>
          <w:color w:val="0D0D0D" w:themeColor="text1" w:themeTint="F2"/>
          <w:sz w:val="24"/>
          <w:szCs w:val="24"/>
          <w14:textFill>
            <w14:solidFill>
              <w14:schemeClr w14:val="tx1">
                <w14:lumMod w14:val="95000"/>
                <w14:lumOff w14:val="5000"/>
              </w14:schemeClr>
            </w14:solidFill>
          </w14:textFill>
        </w:rPr>
        <w:t>232</w:t>
      </w:r>
      <w:r>
        <w:rPr>
          <w:rFonts w:hint="eastAsia" w:hAnsi="宋体"/>
          <w:color w:val="0D0D0D" w:themeColor="text1" w:themeTint="F2"/>
          <w:sz w:val="24"/>
          <w:szCs w:val="24"/>
          <w14:textFill>
            <w14:solidFill>
              <w14:schemeClr w14:val="tx1">
                <w14:lumMod w14:val="95000"/>
                <w14:lumOff w14:val="5000"/>
              </w14:schemeClr>
            </w14:solidFill>
          </w14:textFill>
        </w:rPr>
        <w:t>万元（含税）；深铁赤湾项目一期最高限价为</w:t>
      </w:r>
      <w:r>
        <w:rPr>
          <w:rFonts w:hAnsi="宋体"/>
          <w:color w:val="0D0D0D" w:themeColor="text1" w:themeTint="F2"/>
          <w:sz w:val="24"/>
          <w:szCs w:val="24"/>
          <w14:textFill>
            <w14:solidFill>
              <w14:schemeClr w14:val="tx1">
                <w14:lumMod w14:val="95000"/>
                <w14:lumOff w14:val="5000"/>
              </w14:schemeClr>
            </w14:solidFill>
          </w14:textFill>
        </w:rPr>
        <w:t>150</w:t>
      </w:r>
      <w:r>
        <w:rPr>
          <w:rFonts w:hint="eastAsia" w:hAnsi="宋体"/>
          <w:color w:val="0D0D0D" w:themeColor="text1" w:themeTint="F2"/>
          <w:sz w:val="24"/>
          <w:szCs w:val="24"/>
          <w14:textFill>
            <w14:solidFill>
              <w14:schemeClr w14:val="tx1">
                <w14:lumMod w14:val="95000"/>
                <w14:lumOff w14:val="5000"/>
              </w14:schemeClr>
            </w14:solidFill>
          </w14:textFill>
        </w:rPr>
        <w:t>万元（含税）；深铁瑞城三期最高限价为</w:t>
      </w:r>
      <w:r>
        <w:rPr>
          <w:rFonts w:hAnsi="宋体"/>
          <w:color w:val="0D0D0D" w:themeColor="text1" w:themeTint="F2"/>
          <w:sz w:val="24"/>
          <w:szCs w:val="24"/>
          <w14:textFill>
            <w14:solidFill>
              <w14:schemeClr w14:val="tx1">
                <w14:lumMod w14:val="95000"/>
                <w14:lumOff w14:val="5000"/>
              </w14:schemeClr>
            </w14:solidFill>
          </w14:textFill>
        </w:rPr>
        <w:t>269</w:t>
      </w:r>
      <w:r>
        <w:rPr>
          <w:rFonts w:hint="eastAsia" w:hAnsi="宋体"/>
          <w:color w:val="0D0D0D" w:themeColor="text1" w:themeTint="F2"/>
          <w:sz w:val="24"/>
          <w:szCs w:val="24"/>
          <w14:textFill>
            <w14:solidFill>
              <w14:schemeClr w14:val="tx1">
                <w14:lumMod w14:val="95000"/>
                <w14:lumOff w14:val="5000"/>
              </w14:schemeClr>
            </w14:solidFill>
          </w14:textFill>
        </w:rPr>
        <w:t>万元（含税）；山海漫街最高限价为</w:t>
      </w:r>
      <w:r>
        <w:rPr>
          <w:rFonts w:hAnsi="宋体"/>
          <w:color w:val="0D0D0D" w:themeColor="text1" w:themeTint="F2"/>
          <w:sz w:val="24"/>
          <w:szCs w:val="24"/>
          <w14:textFill>
            <w14:solidFill>
              <w14:schemeClr w14:val="tx1">
                <w14:lumMod w14:val="95000"/>
                <w14:lumOff w14:val="5000"/>
              </w14:schemeClr>
            </w14:solidFill>
          </w14:textFill>
        </w:rPr>
        <w:t>52</w:t>
      </w:r>
      <w:r>
        <w:rPr>
          <w:rFonts w:hint="eastAsia" w:hAnsi="宋体"/>
          <w:color w:val="0D0D0D" w:themeColor="text1" w:themeTint="F2"/>
          <w:sz w:val="24"/>
          <w:szCs w:val="24"/>
          <w14:textFill>
            <w14:solidFill>
              <w14:schemeClr w14:val="tx1">
                <w14:lumMod w14:val="95000"/>
                <w14:lumOff w14:val="5000"/>
              </w14:schemeClr>
            </w14:solidFill>
          </w14:textFill>
        </w:rPr>
        <w:t>万元（含税）。</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具体细项最高限价详见下表（万元，含税）：</w:t>
      </w:r>
    </w:p>
    <w:p>
      <w:pPr>
        <w:pStyle w:val="24"/>
        <w:tabs>
          <w:tab w:val="right" w:pos="9026"/>
        </w:tabs>
        <w:snapToGrid w:val="0"/>
        <w:spacing w:line="336"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【注：各项具体细项的最终报价均不能超过以下细项最高限价】</w:t>
      </w:r>
    </w:p>
    <w:tbl>
      <w:tblPr>
        <w:tblStyle w:val="47"/>
        <w:tblW w:w="10915" w:type="dxa"/>
        <w:tblInd w:w="-1026" w:type="dxa"/>
        <w:tblLayout w:type="autofit"/>
        <w:tblCellMar>
          <w:top w:w="0" w:type="dxa"/>
          <w:left w:w="108" w:type="dxa"/>
          <w:bottom w:w="0" w:type="dxa"/>
          <w:right w:w="108" w:type="dxa"/>
        </w:tblCellMar>
      </w:tblPr>
      <w:tblGrid>
        <w:gridCol w:w="992"/>
        <w:gridCol w:w="993"/>
        <w:gridCol w:w="993"/>
        <w:gridCol w:w="887"/>
        <w:gridCol w:w="696"/>
        <w:gridCol w:w="425"/>
        <w:gridCol w:w="427"/>
        <w:gridCol w:w="696"/>
        <w:gridCol w:w="427"/>
        <w:gridCol w:w="579"/>
        <w:gridCol w:w="682"/>
        <w:gridCol w:w="708"/>
        <w:gridCol w:w="709"/>
        <w:gridCol w:w="567"/>
        <w:gridCol w:w="464"/>
        <w:gridCol w:w="670"/>
      </w:tblGrid>
      <w:tr>
        <w:tblPrEx>
          <w:tblCellMar>
            <w:top w:w="0" w:type="dxa"/>
            <w:left w:w="108" w:type="dxa"/>
            <w:bottom w:w="0" w:type="dxa"/>
            <w:right w:w="108" w:type="dxa"/>
          </w:tblCellMar>
        </w:tblPrEx>
        <w:trPr>
          <w:trHeight w:val="480" w:hRule="atLeast"/>
        </w:trPr>
        <w:tc>
          <w:tcPr>
            <w:tcW w:w="992" w:type="dxa"/>
            <w:vMerge w:val="restart"/>
            <w:tcBorders>
              <w:top w:val="single" w:color="auto" w:sz="8" w:space="0"/>
              <w:left w:val="single" w:color="auto" w:sz="8" w:space="0"/>
              <w:bottom w:val="single" w:color="auto" w:sz="4" w:space="0"/>
              <w:right w:val="nil"/>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项目</w:t>
            </w:r>
          </w:p>
        </w:tc>
        <w:tc>
          <w:tcPr>
            <w:tcW w:w="6123" w:type="dxa"/>
            <w:gridSpan w:val="9"/>
            <w:tcBorders>
              <w:top w:val="single" w:color="auto" w:sz="8" w:space="0"/>
              <w:left w:val="single" w:color="auto" w:sz="8" w:space="0"/>
              <w:bottom w:val="single" w:color="auto" w:sz="4" w:space="0"/>
              <w:right w:val="single" w:color="000000"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活动类</w:t>
            </w:r>
          </w:p>
        </w:tc>
        <w:tc>
          <w:tcPr>
            <w:tcW w:w="682" w:type="dxa"/>
            <w:vMerge w:val="restart"/>
            <w:tcBorders>
              <w:top w:val="single" w:color="auto" w:sz="8" w:space="0"/>
              <w:left w:val="nil"/>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活动总价</w:t>
            </w:r>
          </w:p>
        </w:tc>
        <w:tc>
          <w:tcPr>
            <w:tcW w:w="708" w:type="dxa"/>
            <w:vMerge w:val="restart"/>
            <w:tcBorders>
              <w:top w:val="single" w:color="auto" w:sz="8" w:space="0"/>
              <w:left w:val="single" w:color="auto" w:sz="8" w:space="0"/>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现场包装</w:t>
            </w:r>
          </w:p>
        </w:tc>
        <w:tc>
          <w:tcPr>
            <w:tcW w:w="709" w:type="dxa"/>
            <w:vMerge w:val="restart"/>
            <w:tcBorders>
              <w:top w:val="single" w:color="auto" w:sz="8" w:space="0"/>
              <w:left w:val="single" w:color="auto" w:sz="8" w:space="0"/>
              <w:bottom w:val="single" w:color="auto" w:sz="4" w:space="0"/>
              <w:right w:val="single" w:color="auto"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宣传推广</w:t>
            </w:r>
          </w:p>
        </w:tc>
        <w:tc>
          <w:tcPr>
            <w:tcW w:w="567" w:type="dxa"/>
            <w:vMerge w:val="restart"/>
            <w:tcBorders>
              <w:top w:val="single" w:color="auto" w:sz="8" w:space="0"/>
              <w:left w:val="single" w:color="auto" w:sz="8" w:space="0"/>
              <w:bottom w:val="single" w:color="auto" w:sz="4" w:space="0"/>
              <w:right w:val="nil"/>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464" w:type="dxa"/>
            <w:vMerge w:val="restart"/>
            <w:tcBorders>
              <w:top w:val="single" w:color="auto" w:sz="8" w:space="0"/>
              <w:left w:val="single" w:color="auto" w:sz="8" w:space="0"/>
              <w:bottom w:val="single" w:color="auto" w:sz="4" w:space="0"/>
              <w:right w:val="single" w:color="auto" w:sz="8"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分包</w:t>
            </w:r>
          </w:p>
        </w:tc>
        <w:tc>
          <w:tcPr>
            <w:tcW w:w="670" w:type="dxa"/>
            <w:vMerge w:val="restart"/>
            <w:tcBorders>
              <w:top w:val="single" w:color="auto" w:sz="8" w:space="0"/>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r>
      <w:tr>
        <w:tblPrEx>
          <w:tblCellMar>
            <w:top w:w="0" w:type="dxa"/>
            <w:left w:w="108" w:type="dxa"/>
            <w:bottom w:w="0" w:type="dxa"/>
            <w:right w:w="108" w:type="dxa"/>
          </w:tblCellMar>
        </w:tblPrEx>
        <w:trPr>
          <w:trHeight w:val="480" w:hRule="atLeast"/>
        </w:trPr>
        <w:tc>
          <w:tcPr>
            <w:tcW w:w="992"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vMerge w:val="restart"/>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主开放活动</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其它开放活动1</w:t>
            </w:r>
          </w:p>
        </w:tc>
        <w:tc>
          <w:tcPr>
            <w:tcW w:w="88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其它开放活动2</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拓客活动</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暖场活动</w:t>
            </w:r>
          </w:p>
        </w:tc>
        <w:tc>
          <w:tcPr>
            <w:tcW w:w="682" w:type="dxa"/>
            <w:vMerge w:val="continue"/>
            <w:tcBorders>
              <w:top w:val="single" w:color="auto" w:sz="8" w:space="0"/>
              <w:left w:val="nil"/>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8"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9"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567"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vMerge w:val="continue"/>
            <w:tcBorders>
              <w:top w:val="nil"/>
              <w:left w:val="single" w:color="auto" w:sz="8"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99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88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单场活动单价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场次</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总价</w:t>
            </w:r>
          </w:p>
        </w:tc>
        <w:tc>
          <w:tcPr>
            <w:tcW w:w="682" w:type="dxa"/>
            <w:vMerge w:val="continue"/>
            <w:tcBorders>
              <w:top w:val="single" w:color="auto" w:sz="8" w:space="0"/>
              <w:left w:val="nil"/>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8"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709"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b/>
                <w:bCs/>
                <w:color w:val="000000"/>
                <w:kern w:val="0"/>
                <w:sz w:val="18"/>
                <w:szCs w:val="18"/>
              </w:rPr>
            </w:pPr>
          </w:p>
        </w:tc>
        <w:tc>
          <w:tcPr>
            <w:tcW w:w="567" w:type="dxa"/>
            <w:vMerge w:val="continue"/>
            <w:tcBorders>
              <w:top w:val="single" w:color="auto" w:sz="8" w:space="0"/>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深铁珑境花园一期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52F展示区开放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52F论坛/沙龙</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155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172 </w:t>
            </w:r>
          </w:p>
        </w:tc>
        <w:tc>
          <w:tcPr>
            <w:tcW w:w="567" w:type="dxa"/>
            <w:vMerge w:val="restart"/>
            <w:tcBorders>
              <w:top w:val="nil"/>
              <w:left w:val="single" w:color="auto" w:sz="8" w:space="0"/>
              <w:bottom w:val="single" w:color="000000" w:sz="4"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367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jc w:val="center"/>
              <w:rPr>
                <w:rFonts w:ascii="宋体" w:hAnsi="宋体" w:cs="宋体"/>
                <w:b/>
                <w:bCs/>
                <w:color w:val="000000"/>
                <w:kern w:val="0"/>
                <w:sz w:val="18"/>
                <w:szCs w:val="18"/>
              </w:rPr>
            </w:pPr>
            <w:r>
              <w:rPr>
                <w:rFonts w:ascii="宋体" w:hAnsi="宋体" w:cs="宋体"/>
                <w:b/>
                <w:bCs/>
                <w:color w:val="000000"/>
                <w:kern w:val="0"/>
                <w:sz w:val="18"/>
                <w:szCs w:val="18"/>
              </w:rPr>
              <w:t>2,215</w:t>
            </w: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10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地铁前海时代广场4号地块</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春泉营销中心开放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8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临时展点开放</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219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98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140 </w:t>
            </w:r>
          </w:p>
        </w:tc>
        <w:tc>
          <w:tcPr>
            <w:tcW w:w="567" w:type="dxa"/>
            <w:vMerge w:val="restart"/>
            <w:tcBorders>
              <w:top w:val="nil"/>
              <w:left w:val="single" w:color="auto" w:sz="8" w:space="0"/>
              <w:bottom w:val="single" w:color="000000" w:sz="4"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457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 </w:t>
            </w:r>
          </w:p>
        </w:tc>
        <w:tc>
          <w:tcPr>
            <w:tcW w:w="8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8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深铁金融科技大厦</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79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56 </w:t>
            </w:r>
          </w:p>
        </w:tc>
        <w:tc>
          <w:tcPr>
            <w:tcW w:w="567" w:type="dxa"/>
            <w:vMerge w:val="restart"/>
            <w:tcBorders>
              <w:top w:val="nil"/>
              <w:left w:val="single" w:color="auto" w:sz="8" w:space="0"/>
              <w:bottom w:val="single" w:color="000000" w:sz="4"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148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8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14" w:hRule="atLeast"/>
        </w:trPr>
        <w:tc>
          <w:tcPr>
            <w:tcW w:w="992" w:type="dxa"/>
            <w:vMerge w:val="restart"/>
            <w:tcBorders>
              <w:top w:val="nil"/>
              <w:left w:val="single" w:color="auto" w:sz="8" w:space="0"/>
              <w:bottom w:val="single" w:color="auto" w:sz="4" w:space="0"/>
              <w:right w:val="nil"/>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深铁置业大厦</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发布会</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8"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79 </w:t>
            </w:r>
          </w:p>
        </w:tc>
        <w:tc>
          <w:tcPr>
            <w:tcW w:w="708" w:type="dxa"/>
            <w:vMerge w:val="restart"/>
            <w:tcBorders>
              <w:top w:val="nil"/>
              <w:left w:val="single" w:color="auto" w:sz="8" w:space="0"/>
              <w:bottom w:val="single" w:color="000000" w:sz="8"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 </w:t>
            </w:r>
          </w:p>
        </w:tc>
        <w:tc>
          <w:tcPr>
            <w:tcW w:w="709" w:type="dxa"/>
            <w:vMerge w:val="restart"/>
            <w:tcBorders>
              <w:top w:val="nil"/>
              <w:left w:val="single" w:color="auto" w:sz="8" w:space="0"/>
              <w:bottom w:val="single" w:color="000000" w:sz="8"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56 </w:t>
            </w:r>
          </w:p>
        </w:tc>
        <w:tc>
          <w:tcPr>
            <w:tcW w:w="567" w:type="dxa"/>
            <w:vMerge w:val="restart"/>
            <w:tcBorders>
              <w:top w:val="nil"/>
              <w:left w:val="single" w:color="auto" w:sz="8" w:space="0"/>
              <w:bottom w:val="single" w:color="000000" w:sz="8" w:space="0"/>
              <w:right w:val="nil"/>
            </w:tcBorders>
            <w:shd w:val="clear" w:color="auto" w:fill="B8CCE4" w:themeFill="accent1" w:themeFillTint="6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148 </w:t>
            </w:r>
          </w:p>
        </w:tc>
        <w:tc>
          <w:tcPr>
            <w:tcW w:w="464" w:type="dxa"/>
            <w:vMerge w:val="restart"/>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A包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20" w:hRule="atLeast"/>
        </w:trPr>
        <w:tc>
          <w:tcPr>
            <w:tcW w:w="992" w:type="dxa"/>
            <w:vMerge w:val="continue"/>
            <w:tcBorders>
              <w:top w:val="nil"/>
              <w:left w:val="single" w:color="auto" w:sz="8" w:space="0"/>
              <w:bottom w:val="single" w:color="auto" w:sz="4" w:space="0"/>
              <w:right w:val="nil"/>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993" w:type="dxa"/>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887" w:type="dxa"/>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8"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24 </w:t>
            </w:r>
          </w:p>
        </w:tc>
        <w:tc>
          <w:tcPr>
            <w:tcW w:w="0" w:type="auto"/>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8"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0" w:type="auto"/>
            <w:tcBorders>
              <w:top w:val="nil"/>
              <w:left w:val="nil"/>
              <w:bottom w:val="single" w:color="auto" w:sz="8" w:space="0"/>
              <w:right w:val="single" w:color="auto" w:sz="8"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8" w:space="0"/>
              <w:right w:val="nil"/>
            </w:tcBorders>
            <w:shd w:val="clear" w:color="auto" w:fill="B8CCE4" w:themeFill="accent1" w:themeFillTint="66"/>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shd w:val="clear" w:color="auto" w:fill="B8CCE4" w:themeFill="accent1" w:themeFillTint="66"/>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14"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深铁璟城一期</w:t>
            </w:r>
          </w:p>
        </w:tc>
        <w:tc>
          <w:tcPr>
            <w:tcW w:w="99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1F展厅开放</w:t>
            </w:r>
          </w:p>
        </w:tc>
        <w:tc>
          <w:tcPr>
            <w:tcW w:w="887" w:type="dxa"/>
            <w:tcBorders>
              <w:top w:val="single" w:color="auto" w:sz="4" w:space="0"/>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10场</w:t>
            </w:r>
          </w:p>
        </w:tc>
        <w:tc>
          <w:tcPr>
            <w:tcW w:w="682" w:type="dxa"/>
            <w:vMerge w:val="restart"/>
            <w:tcBorders>
              <w:top w:val="single" w:color="auto" w:sz="4" w:space="0"/>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142 </w:t>
            </w:r>
          </w:p>
        </w:tc>
        <w:tc>
          <w:tcPr>
            <w:tcW w:w="708" w:type="dxa"/>
            <w:vMerge w:val="restart"/>
            <w:tcBorders>
              <w:top w:val="single" w:color="auto" w:sz="4" w:space="0"/>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80 </w:t>
            </w:r>
          </w:p>
        </w:tc>
        <w:tc>
          <w:tcPr>
            <w:tcW w:w="709" w:type="dxa"/>
            <w:vMerge w:val="restart"/>
            <w:tcBorders>
              <w:top w:val="single" w:color="auto" w:sz="4" w:space="0"/>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170 </w:t>
            </w:r>
          </w:p>
        </w:tc>
        <w:tc>
          <w:tcPr>
            <w:tcW w:w="567" w:type="dxa"/>
            <w:vMerge w:val="restart"/>
            <w:tcBorders>
              <w:top w:val="single" w:color="auto" w:sz="4" w:space="0"/>
              <w:left w:val="single" w:color="auto" w:sz="8" w:space="0"/>
              <w:bottom w:val="single" w:color="000000" w:sz="4" w:space="0"/>
              <w:right w:val="nil"/>
            </w:tcBorders>
            <w:shd w:val="clear" w:color="000000" w:fill="9BC2E6"/>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392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60"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45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10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682" w:type="dxa"/>
            <w:vMerge w:val="continue"/>
            <w:tcBorders>
              <w:top w:val="single" w:color="auto" w:sz="4" w:space="0"/>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single" w:color="auto" w:sz="4" w:space="0"/>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single" w:color="auto" w:sz="4" w:space="0"/>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single" w:color="auto" w:sz="4" w:space="0"/>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深铁懿府三期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营销中心开放</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82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90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60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232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52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6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285"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深铁赤湾项目一期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展厅开放</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63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55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150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285"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45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17.5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07"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深铁瑞城三期</w:t>
            </w: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样板房开放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答谢活动</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8场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130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38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101 </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269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720"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35 </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38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8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32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b/>
                <w:bCs/>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65" w:hRule="atLeast"/>
        </w:trPr>
        <w:tc>
          <w:tcPr>
            <w:tcW w:w="992" w:type="dxa"/>
            <w:vMerge w:val="restart"/>
            <w:tcBorders>
              <w:top w:val="nil"/>
              <w:left w:val="single" w:color="auto" w:sz="8" w:space="0"/>
              <w:bottom w:val="single" w:color="auto" w:sz="4" w:space="0"/>
              <w:right w:val="nil"/>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山海漫街</w:t>
            </w:r>
          </w:p>
        </w:tc>
        <w:tc>
          <w:tcPr>
            <w:tcW w:w="993" w:type="dxa"/>
            <w:tcBorders>
              <w:top w:val="nil"/>
              <w:left w:val="single" w:color="auto" w:sz="8" w:space="0"/>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0" w:type="auto"/>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0" w:type="auto"/>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5场</w:t>
            </w:r>
          </w:p>
        </w:tc>
        <w:tc>
          <w:tcPr>
            <w:tcW w:w="682" w:type="dxa"/>
            <w:vMerge w:val="restart"/>
            <w:tcBorders>
              <w:top w:val="nil"/>
              <w:left w:val="nil"/>
              <w:bottom w:val="single" w:color="auto"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40 </w:t>
            </w:r>
          </w:p>
        </w:tc>
        <w:tc>
          <w:tcPr>
            <w:tcW w:w="708"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12 </w:t>
            </w:r>
          </w:p>
        </w:tc>
        <w:tc>
          <w:tcPr>
            <w:tcW w:w="709" w:type="dxa"/>
            <w:vMerge w:val="restart"/>
            <w:tcBorders>
              <w:top w:val="nil"/>
              <w:left w:val="single" w:color="auto" w:sz="8" w:space="0"/>
              <w:bottom w:val="single" w:color="000000" w:sz="4" w:space="0"/>
              <w:right w:val="single" w:color="auto" w:sz="8" w:space="0"/>
            </w:tcBorders>
            <w:shd w:val="clear" w:color="000000" w:fill="FCE4D6"/>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w:t>
            </w:r>
          </w:p>
        </w:tc>
        <w:tc>
          <w:tcPr>
            <w:tcW w:w="567" w:type="dxa"/>
            <w:vMerge w:val="restart"/>
            <w:tcBorders>
              <w:top w:val="nil"/>
              <w:left w:val="single" w:color="auto" w:sz="8" w:space="0"/>
              <w:bottom w:val="single" w:color="000000" w:sz="4" w:space="0"/>
              <w:right w:val="nil"/>
            </w:tcBorders>
            <w:shd w:val="clear" w:color="000000" w:fill="9BC2E6"/>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52 </w:t>
            </w:r>
          </w:p>
        </w:tc>
        <w:tc>
          <w:tcPr>
            <w:tcW w:w="464" w:type="dxa"/>
            <w:vMerge w:val="restart"/>
            <w:tcBorders>
              <w:top w:val="nil"/>
              <w:left w:val="single" w:color="auto" w:sz="8" w:space="0"/>
              <w:bottom w:val="single" w:color="auto" w:sz="4" w:space="0"/>
              <w:right w:val="single" w:color="auto" w:sz="8" w:space="0"/>
            </w:tcBorders>
            <w:shd w:val="clear" w:color="000000" w:fill="9BC2E6"/>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B包</w:t>
            </w: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14" w:hRule="atLeast"/>
        </w:trPr>
        <w:tc>
          <w:tcPr>
            <w:tcW w:w="992" w:type="dxa"/>
            <w:vMerge w:val="continue"/>
            <w:tcBorders>
              <w:top w:val="nil"/>
              <w:left w:val="single" w:color="auto" w:sz="8" w:space="0"/>
              <w:bottom w:val="single" w:color="auto" w:sz="4" w:space="0"/>
              <w:right w:val="nil"/>
            </w:tcBorders>
            <w:vAlign w:val="center"/>
          </w:tcPr>
          <w:p>
            <w:pPr>
              <w:widowControl/>
              <w:jc w:val="left"/>
              <w:rPr>
                <w:rFonts w:ascii="宋体" w:hAnsi="宋体" w:cs="宋体"/>
                <w:color w:val="000000"/>
                <w:kern w:val="0"/>
                <w:sz w:val="18"/>
                <w:szCs w:val="18"/>
              </w:rPr>
            </w:pPr>
          </w:p>
        </w:tc>
        <w:tc>
          <w:tcPr>
            <w:tcW w:w="993" w:type="dxa"/>
            <w:tcBorders>
              <w:top w:val="nil"/>
              <w:left w:val="single" w:color="auto" w:sz="8" w:space="0"/>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993"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887" w:type="dxa"/>
            <w:tcBorders>
              <w:top w:val="nil"/>
              <w:left w:val="nil"/>
              <w:bottom w:val="single" w:color="auto" w:sz="4" w:space="0"/>
              <w:right w:val="single" w:color="auto" w:sz="4" w:space="0"/>
            </w:tcBorders>
            <w:shd w:val="clear" w:color="000000" w:fill="40404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5.00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25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3.00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xml:space="preserve">5 </w:t>
            </w:r>
          </w:p>
        </w:tc>
        <w:tc>
          <w:tcPr>
            <w:tcW w:w="0" w:type="auto"/>
            <w:tcBorders>
              <w:top w:val="nil"/>
              <w:left w:val="nil"/>
              <w:bottom w:val="single" w:color="auto" w:sz="4" w:space="0"/>
              <w:right w:val="single" w:color="auto" w:sz="8" w:space="0"/>
            </w:tcBorders>
            <w:shd w:val="clear" w:color="auto" w:fill="auto"/>
            <w:vAlign w:val="center"/>
          </w:tcPr>
          <w:p>
            <w:pPr>
              <w:widowControl/>
              <w:jc w:val="center"/>
              <w:rPr>
                <w:rFonts w:ascii="宋体" w:hAnsi="宋体" w:cs="宋体"/>
                <w:b/>
                <w:bCs/>
                <w:color w:val="FF0000"/>
                <w:kern w:val="0"/>
                <w:sz w:val="18"/>
                <w:szCs w:val="18"/>
              </w:rPr>
            </w:pPr>
            <w:r>
              <w:rPr>
                <w:rFonts w:hint="eastAsia" w:ascii="宋体" w:hAnsi="宋体" w:cs="宋体"/>
                <w:b/>
                <w:bCs/>
                <w:color w:val="FF0000"/>
                <w:kern w:val="0"/>
                <w:sz w:val="18"/>
                <w:szCs w:val="18"/>
              </w:rPr>
              <w:t xml:space="preserve">15 </w:t>
            </w:r>
          </w:p>
        </w:tc>
        <w:tc>
          <w:tcPr>
            <w:tcW w:w="682" w:type="dxa"/>
            <w:vMerge w:val="continue"/>
            <w:tcBorders>
              <w:top w:val="nil"/>
              <w:left w:val="nil"/>
              <w:bottom w:val="single" w:color="auto" w:sz="4" w:space="0"/>
              <w:right w:val="single" w:color="auto" w:sz="8" w:space="0"/>
            </w:tcBorders>
            <w:vAlign w:val="center"/>
          </w:tcPr>
          <w:p>
            <w:pPr>
              <w:widowControl/>
              <w:jc w:val="left"/>
              <w:rPr>
                <w:rFonts w:ascii="宋体" w:hAnsi="宋体" w:cs="宋体"/>
                <w:b/>
                <w:bCs/>
                <w:color w:val="FF0000"/>
                <w:kern w:val="0"/>
                <w:sz w:val="18"/>
                <w:szCs w:val="18"/>
              </w:rPr>
            </w:pPr>
          </w:p>
        </w:tc>
        <w:tc>
          <w:tcPr>
            <w:tcW w:w="708"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709" w:type="dxa"/>
            <w:vMerge w:val="continue"/>
            <w:tcBorders>
              <w:top w:val="nil"/>
              <w:left w:val="single" w:color="auto" w:sz="8" w:space="0"/>
              <w:bottom w:val="single" w:color="000000" w:sz="4" w:space="0"/>
              <w:right w:val="single" w:color="auto" w:sz="8" w:space="0"/>
            </w:tcBorders>
            <w:vAlign w:val="center"/>
          </w:tcPr>
          <w:p>
            <w:pPr>
              <w:widowControl/>
              <w:jc w:val="left"/>
              <w:rPr>
                <w:rFonts w:ascii="宋体" w:hAnsi="宋体" w:cs="宋体"/>
                <w:b/>
                <w:bCs/>
                <w:color w:val="FF0000"/>
                <w:kern w:val="0"/>
                <w:sz w:val="18"/>
                <w:szCs w:val="18"/>
              </w:rPr>
            </w:pPr>
          </w:p>
        </w:tc>
        <w:tc>
          <w:tcPr>
            <w:tcW w:w="567" w:type="dxa"/>
            <w:vMerge w:val="continue"/>
            <w:tcBorders>
              <w:top w:val="nil"/>
              <w:left w:val="single" w:color="auto" w:sz="8" w:space="0"/>
              <w:bottom w:val="single" w:color="000000" w:sz="4" w:space="0"/>
              <w:right w:val="nil"/>
            </w:tcBorders>
            <w:vAlign w:val="center"/>
          </w:tcPr>
          <w:p>
            <w:pPr>
              <w:widowControl/>
              <w:jc w:val="left"/>
              <w:rPr>
                <w:rFonts w:ascii="宋体" w:hAnsi="宋体" w:cs="宋体"/>
                <w:color w:val="000000"/>
                <w:kern w:val="0"/>
                <w:sz w:val="18"/>
                <w:szCs w:val="18"/>
              </w:rPr>
            </w:pPr>
          </w:p>
        </w:tc>
        <w:tc>
          <w:tcPr>
            <w:tcW w:w="464" w:type="dxa"/>
            <w:vMerge w:val="continue"/>
            <w:tcBorders>
              <w:top w:val="nil"/>
              <w:left w:val="single" w:color="auto" w:sz="8" w:space="0"/>
              <w:bottom w:val="single" w:color="auto" w:sz="4" w:space="0"/>
              <w:right w:val="single" w:color="auto" w:sz="8" w:space="0"/>
            </w:tcBorders>
            <w:vAlign w:val="center"/>
          </w:tcPr>
          <w:p>
            <w:pPr>
              <w:widowControl/>
              <w:jc w:val="left"/>
              <w:rPr>
                <w:rFonts w:ascii="宋体" w:hAnsi="宋体" w:cs="宋体"/>
                <w:color w:val="000000"/>
                <w:kern w:val="0"/>
                <w:sz w:val="18"/>
                <w:szCs w:val="18"/>
              </w:rPr>
            </w:pPr>
          </w:p>
        </w:tc>
        <w:tc>
          <w:tcPr>
            <w:tcW w:w="670" w:type="dxa"/>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18"/>
                <w:szCs w:val="18"/>
              </w:rPr>
            </w:pPr>
          </w:p>
        </w:tc>
      </w:tr>
    </w:tbl>
    <w:p>
      <w:pPr>
        <w:pStyle w:val="3"/>
        <w:snapToGrid w:val="0"/>
        <w:ind w:left="0" w:leftChars="0"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参选人报价精确到元。报价高于最高限价的将作为无效标处理。</w:t>
      </w:r>
    </w:p>
    <w:p>
      <w:pPr>
        <w:pStyle w:val="6"/>
        <w:numPr>
          <w:ilvl w:val="2"/>
          <w:numId w:val="0"/>
        </w:numPr>
        <w:spacing w:before="240" w:beforeLines="100" w:after="120" w:afterLines="50" w:line="560" w:lineRule="exac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43" w:name="_Toc98264020"/>
      <w:r>
        <w:rPr>
          <w:rFonts w:hint="eastAsia" w:ascii="宋体" w:hAnsi="宋体"/>
          <w:bCs/>
          <w:color w:val="0D0D0D" w:themeColor="text1" w:themeTint="F2"/>
          <w:sz w:val="24"/>
          <w14:textFill>
            <w14:solidFill>
              <w14:schemeClr w14:val="tx1">
                <w14:lumMod w14:val="95000"/>
                <w14:lumOff w14:val="5000"/>
              </w14:schemeClr>
            </w14:solidFill>
          </w14:textFill>
        </w:rPr>
        <w:t>三、参选人的承诺</w:t>
      </w:r>
      <w:bookmarkEnd w:id="43"/>
    </w:p>
    <w:bookmarkEnd w:id="42"/>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参选人必须对下列各项做出承诺：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Pr>
          <w:rFonts w:hint="eastAsia" w:ascii="宋体" w:hAnsi="宋体" w:cs="Arial Unicode MS"/>
          <w:bCs/>
          <w:color w:val="0D0D0D" w:themeColor="text1" w:themeTint="F2"/>
          <w:sz w:val="24"/>
          <w:szCs w:val="24"/>
          <w14:textFill>
            <w14:solidFill>
              <w14:schemeClr w14:val="tx1">
                <w14:lumMod w14:val="95000"/>
                <w14:lumOff w14:val="5000"/>
              </w14:schemeClr>
            </w14:solidFill>
          </w14:textFill>
        </w:rPr>
        <w:t>。</w:t>
      </w:r>
    </w:p>
    <w:p>
      <w:pPr>
        <w:pStyle w:val="3"/>
        <w:spacing w:line="480" w:lineRule="atLeast"/>
        <w:ind w:left="0" w:leftChars="0" w:firstLine="400" w:firstLineChars="200"/>
        <w:rPr>
          <w:rFonts w:ascii="宋体" w:hAnsi="宋体"/>
          <w:color w:val="0D0D0D" w:themeColor="text1" w:themeTint="F2"/>
          <w14:textFill>
            <w14:solidFill>
              <w14:schemeClr w14:val="tx1">
                <w14:lumMod w14:val="95000"/>
                <w14:lumOff w14:val="5000"/>
              </w14:schemeClr>
            </w14:solidFill>
          </w14:textFill>
        </w:rPr>
      </w:pPr>
    </w:p>
    <w:p>
      <w:pPr>
        <w:pStyle w:val="5"/>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4" w:name="_Toc98264021"/>
      <w:bookmarkStart w:id="45" w:name="_Toc197404908"/>
      <w:r>
        <w:rPr>
          <w:rFonts w:hint="eastAsia" w:ascii="宋体" w:hAnsi="宋体" w:eastAsia="宋体"/>
          <w:b/>
          <w:bCs/>
          <w:color w:val="0D0D0D" w:themeColor="text1" w:themeTint="F2"/>
          <w14:textFill>
            <w14:solidFill>
              <w14:schemeClr w14:val="tx1">
                <w14:lumMod w14:val="95000"/>
                <w14:lumOff w14:val="5000"/>
              </w14:schemeClr>
            </w14:solidFill>
          </w14:textFill>
        </w:rPr>
        <w:t>第四章 参选文件的签章及封装要求</w:t>
      </w:r>
      <w:bookmarkEnd w:id="44"/>
      <w:bookmarkEnd w:id="45"/>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一、参选文件的份数</w:t>
      </w:r>
    </w:p>
    <w:p>
      <w:pPr>
        <w:pStyle w:val="3"/>
        <w:snapToGrid w:val="0"/>
        <w:ind w:left="0" w:leftChars="0" w:firstLine="480" w:firstLineChars="200"/>
        <w:rPr>
          <w:rFonts w:ascii="宋体" w:hAnsi="宋体"/>
          <w:kern w:val="2"/>
          <w:sz w:val="24"/>
          <w:szCs w:val="24"/>
        </w:rPr>
      </w:pPr>
      <w:r>
        <w:rPr>
          <w:rFonts w:hint="eastAsia" w:ascii="宋体" w:hAnsi="宋体"/>
          <w:sz w:val="24"/>
          <w:szCs w:val="24"/>
        </w:rPr>
        <w:t>参选人应提交三套参选文件，即资信标参选文件、技术标参选文件、商务标参选文件，其中技术标含</w:t>
      </w:r>
      <w:r>
        <w:rPr>
          <w:rFonts w:hint="eastAsia" w:ascii="宋体" w:hAnsi="宋体"/>
          <w:b/>
          <w:bCs/>
          <w:sz w:val="24"/>
          <w:szCs w:val="24"/>
          <w:u w:val="single"/>
        </w:rPr>
        <w:t>技术标1和技术标2的“技术标书”</w:t>
      </w:r>
      <w:r>
        <w:rPr>
          <w:rFonts w:hint="eastAsia" w:ascii="宋体" w:hAnsi="宋体"/>
          <w:sz w:val="24"/>
          <w:szCs w:val="24"/>
        </w:rPr>
        <w:t>，商务标含</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A包和B包的“商务标书”</w:t>
      </w:r>
      <w:r>
        <w:rPr>
          <w:rFonts w:hint="eastAsia"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sz w:val="24"/>
          <w:szCs w:val="24"/>
        </w:rPr>
        <w:t>每套参选文件包含正本1册、副本6册。资信标书、技术标书和商务标书分别封装。在每一册参选文件上要明确注明“正本”和“副本”，正本和副本有差异时，以正本为准。</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二、参选文件的签章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（一）所有参选文件（正、副本）均须加盖公章。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（二）参选文件均应使用不能擦去的墨水打印或书写，并由参选人正式授权人签署。有增加或修正的各项，都应由参选文件签字人签字证明。</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（三）参选文件应无涂改和行间插字，除非这些删改是根据比选人指示进行，或是参选人造成的必须修改的错误。在后一种情况下，修改处应由参选文件签字人签字证明。</w:t>
      </w:r>
    </w:p>
    <w:p>
      <w:pPr>
        <w:pStyle w:val="3"/>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bookmarkStart w:id="46" w:name="_Toc36527858"/>
      <w:r>
        <w:rPr>
          <w:rFonts w:hint="eastAsia" w:ascii="宋体" w:hAnsi="宋体"/>
          <w:b/>
          <w:color w:val="0D0D0D" w:themeColor="text1" w:themeTint="F2"/>
          <w:sz w:val="24"/>
          <w14:textFill>
            <w14:solidFill>
              <w14:schemeClr w14:val="tx1">
                <w14:lumMod w14:val="95000"/>
                <w14:lumOff w14:val="5000"/>
              </w14:schemeClr>
            </w14:solidFill>
          </w14:textFill>
        </w:rPr>
        <w:t>三、参选文件的密封与</w:t>
      </w:r>
      <w:bookmarkEnd w:id="46"/>
      <w:r>
        <w:rPr>
          <w:rFonts w:hint="eastAsia" w:ascii="宋体" w:hAnsi="宋体"/>
          <w:b/>
          <w:color w:val="0D0D0D" w:themeColor="text1" w:themeTint="F2"/>
          <w:sz w:val="24"/>
          <w14:textFill>
            <w14:solidFill>
              <w14:schemeClr w14:val="tx1">
                <w14:lumMod w14:val="95000"/>
                <w14:lumOff w14:val="5000"/>
              </w14:schemeClr>
            </w14:solidFill>
          </w14:textFill>
        </w:rPr>
        <w:t>标识</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（一）参选文件必须按规定密封，在外层包封封口处加盖参选人单位公章。</w:t>
      </w:r>
    </w:p>
    <w:p>
      <w:pPr>
        <w:pStyle w:val="3"/>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（二）参选人应按以下规定密封参选文件并加写标识：</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参选文件共</w:t>
      </w:r>
      <w:r>
        <w:rPr>
          <w:rFonts w:ascii="宋体" w:hAnsi="宋体"/>
          <w:bCs/>
          <w:color w:val="0D0D0D" w:themeColor="text1" w:themeTint="F2"/>
          <w:sz w:val="24"/>
          <w14:textFill>
            <w14:solidFill>
              <w14:schemeClr w14:val="tx1">
                <w14:lumMod w14:val="95000"/>
                <w14:lumOff w14:val="5000"/>
              </w14:schemeClr>
            </w14:solidFill>
          </w14:textFill>
        </w:rPr>
        <w:t>包含</w:t>
      </w:r>
      <w:r>
        <w:rPr>
          <w:rFonts w:hint="eastAsia" w:ascii="宋体" w:hAnsi="宋体"/>
          <w:bCs/>
          <w:color w:val="0D0D0D" w:themeColor="text1" w:themeTint="F2"/>
          <w:sz w:val="24"/>
          <w14:textFill>
            <w14:solidFill>
              <w14:schemeClr w14:val="tx1">
                <w14:lumMod w14:val="95000"/>
                <w14:lumOff w14:val="5000"/>
              </w14:schemeClr>
            </w14:solidFill>
          </w14:textFill>
        </w:rPr>
        <w:t>三个</w:t>
      </w:r>
      <w:r>
        <w:rPr>
          <w:rFonts w:ascii="宋体" w:hAnsi="宋体"/>
          <w:bCs/>
          <w:color w:val="0D0D0D" w:themeColor="text1" w:themeTint="F2"/>
          <w:sz w:val="24"/>
          <w14:textFill>
            <w14:solidFill>
              <w14:schemeClr w14:val="tx1">
                <w14:lumMod w14:val="95000"/>
                <w14:lumOff w14:val="5000"/>
              </w14:schemeClr>
            </w14:solidFill>
          </w14:textFill>
        </w:rPr>
        <w:t>分别</w:t>
      </w:r>
      <w:r>
        <w:rPr>
          <w:rFonts w:hint="eastAsia" w:ascii="宋体" w:hAnsi="宋体"/>
          <w:bCs/>
          <w:color w:val="0D0D0D" w:themeColor="text1" w:themeTint="F2"/>
          <w:sz w:val="24"/>
          <w14:textFill>
            <w14:solidFill>
              <w14:schemeClr w14:val="tx1">
                <w14:lumMod w14:val="95000"/>
                <w14:lumOff w14:val="5000"/>
              </w14:schemeClr>
            </w14:solidFill>
          </w14:textFill>
        </w:rPr>
        <w:t>独立装订成册</w:t>
      </w:r>
      <w:r>
        <w:rPr>
          <w:rFonts w:ascii="宋体" w:hAnsi="宋体"/>
          <w:bCs/>
          <w:color w:val="0D0D0D" w:themeColor="text1" w:themeTint="F2"/>
          <w:sz w:val="24"/>
          <w14:textFill>
            <w14:solidFill>
              <w14:schemeClr w14:val="tx1">
                <w14:lumMod w14:val="95000"/>
                <w14:lumOff w14:val="5000"/>
              </w14:schemeClr>
            </w14:solidFill>
          </w14:textFill>
        </w:rPr>
        <w:t>的文件：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1、“资信标书”装订成一个单独文件；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2</w:t>
      </w:r>
      <w:r>
        <w:rPr>
          <w:rFonts w:hint="eastAsia" w:ascii="宋体" w:hAnsi="宋体"/>
          <w:bCs/>
          <w:color w:val="0D0D0D" w:themeColor="text1" w:themeTint="F2"/>
          <w:sz w:val="24"/>
          <w14:textFill>
            <w14:solidFill>
              <w14:schemeClr w14:val="tx1">
                <w14:lumMod w14:val="95000"/>
                <w14:lumOff w14:val="5000"/>
              </w14:schemeClr>
            </w14:solidFill>
          </w14:textFill>
        </w:rPr>
        <w:t>、“技术标书”装订成一个单独文件，内含两个分别装订成册的技术标书，即为：</w:t>
      </w:r>
    </w:p>
    <w:p>
      <w:pPr>
        <w:pStyle w:val="3"/>
        <w:snapToGrid w:val="0"/>
        <w:ind w:left="0" w:leftChars="0" w:firstLine="480" w:firstLineChars="200"/>
        <w:rPr>
          <w:rFonts w:ascii="宋体" w:hAnsi="宋体"/>
          <w:sz w:val="24"/>
          <w:szCs w:val="24"/>
        </w:rPr>
      </w:pPr>
      <w:r>
        <w:rPr>
          <w:rFonts w:hint="eastAsia" w:ascii="宋体" w:hAnsi="宋体"/>
          <w:sz w:val="24"/>
          <w:szCs w:val="24"/>
        </w:rPr>
        <w:t>技术标1：地铁前海时代营销中心开放活动方案</w:t>
      </w:r>
    </w:p>
    <w:p>
      <w:pPr>
        <w:pStyle w:val="3"/>
        <w:snapToGrid w:val="0"/>
        <w:ind w:left="0" w:leftChars="0" w:firstLine="480" w:firstLineChars="200"/>
        <w:rPr>
          <w:rFonts w:ascii="宋体" w:hAnsi="宋体"/>
          <w:sz w:val="24"/>
          <w:szCs w:val="24"/>
        </w:rPr>
      </w:pPr>
      <w:r>
        <w:rPr>
          <w:rFonts w:hint="eastAsia" w:ascii="宋体" w:hAnsi="宋体"/>
          <w:sz w:val="24"/>
          <w:szCs w:val="24"/>
        </w:rPr>
        <w:t>技术标2：深铁璟城营销中心开放活动方案</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3</w:t>
      </w:r>
      <w:r>
        <w:rPr>
          <w:rFonts w:hint="eastAsia" w:ascii="宋体" w:hAnsi="宋体"/>
          <w:bCs/>
          <w:color w:val="0D0D0D" w:themeColor="text1" w:themeTint="F2"/>
          <w:sz w:val="24"/>
          <w14:textFill>
            <w14:solidFill>
              <w14:schemeClr w14:val="tx1">
                <w14:lumMod w14:val="95000"/>
                <w14:lumOff w14:val="5000"/>
              </w14:schemeClr>
            </w14:solidFill>
          </w14:textFill>
        </w:rPr>
        <w:t>、“商务标书”装订成一个单独文件，内含两个分别装订成册的商务标书，即为：</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A包</w:t>
      </w:r>
      <w:r>
        <w:rPr>
          <w:rFonts w:hint="eastAsia"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深铁珑境花园一期、地铁前海时代广场4号地块、深铁金融科技大厦、深铁置业大厦项目展示区开放系列活动、现场包装及宣传推广服务商务标</w:t>
      </w:r>
      <w:r>
        <w:rPr>
          <w:rFonts w:ascii="宋体" w:hAnsi="宋体"/>
          <w:bCs/>
          <w:color w:val="0D0D0D" w:themeColor="text1" w:themeTint="F2"/>
          <w:sz w:val="24"/>
          <w:szCs w:val="24"/>
          <w14:textFill>
            <w14:solidFill>
              <w14:schemeClr w14:val="tx1">
                <w14:lumMod w14:val="95000"/>
                <w14:lumOff w14:val="5000"/>
              </w14:schemeClr>
            </w14:solidFill>
          </w14:textFill>
        </w:rPr>
        <w:t>书</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t>B包：</w:t>
      </w:r>
      <w:r>
        <w:rPr>
          <w:rFonts w:hint="eastAsia" w:ascii="宋体" w:hAnsi="宋体"/>
          <w:bCs/>
          <w:color w:val="0D0D0D" w:themeColor="text1" w:themeTint="F2"/>
          <w:sz w:val="24"/>
          <w:szCs w:val="24"/>
          <w14:textFill>
            <w14:solidFill>
              <w14:schemeClr w14:val="tx1">
                <w14:lumMod w14:val="95000"/>
                <w14:lumOff w14:val="5000"/>
              </w14:schemeClr>
            </w14:solidFill>
          </w14:textFill>
        </w:rPr>
        <w:t>深铁璟城一期、深铁懿府三期、深铁赤湾项目一期、深铁瑞城三期、山海漫街项目展示区开放系列活动、现场包装及宣传推广服务</w:t>
      </w:r>
      <w:r>
        <w:rPr>
          <w:rFonts w:ascii="宋体" w:hAnsi="宋体"/>
          <w:bCs/>
          <w:color w:val="0D0D0D" w:themeColor="text1" w:themeTint="F2"/>
          <w:sz w:val="24"/>
          <w:szCs w:val="24"/>
          <w14:textFill>
            <w14:solidFill>
              <w14:schemeClr w14:val="tx1">
                <w14:lumMod w14:val="95000"/>
                <w14:lumOff w14:val="5000"/>
              </w14:schemeClr>
            </w14:solidFill>
          </w14:textFill>
        </w:rPr>
        <w:t>商务标书</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sz w:val="24"/>
          <w:szCs w:val="24"/>
        </w:rPr>
        <w:t>将参选文件的所有资信标书、技术标书、 商务标书均需统一密封包装成一包，密封加盖参选人公章。</w:t>
      </w:r>
      <w:r>
        <w:rPr>
          <w:rFonts w:hint="eastAsia" w:ascii="宋体" w:hAnsi="宋体"/>
          <w:bCs/>
          <w:color w:val="0D0D0D" w:themeColor="text1" w:themeTint="F2"/>
          <w:sz w:val="24"/>
          <w14:textFill>
            <w14:solidFill>
              <w14:schemeClr w14:val="tx1">
                <w14:lumMod w14:val="95000"/>
                <w14:lumOff w14:val="5000"/>
              </w14:schemeClr>
            </w14:solidFill>
          </w14:textFill>
        </w:rPr>
        <w:t>封面上应注明以下相应标识：</w:t>
      </w:r>
    </w:p>
    <w:p>
      <w:pPr>
        <w:pStyle w:val="24"/>
        <w:tabs>
          <w:tab w:val="right" w:pos="9026"/>
        </w:tabs>
        <w:spacing w:line="360" w:lineRule="auto"/>
        <w:ind w:firstLine="482" w:firstLineChars="200"/>
        <w:rPr>
          <w:rFonts w:hAnsi="宋体"/>
          <w:bCs/>
          <w:color w:val="0D0D0D" w:themeColor="text1" w:themeTint="F2"/>
          <w:sz w:val="24"/>
          <w14:textFill>
            <w14:solidFill>
              <w14:schemeClr w14:val="tx1">
                <w14:lumMod w14:val="95000"/>
                <w14:lumOff w14:val="5000"/>
              </w14:schemeClr>
            </w14:solidFill>
          </w14:textFill>
        </w:rPr>
      </w:pPr>
      <w:r>
        <w:rPr>
          <w:rFonts w:hint="eastAsia" w:hAnsi="宋体"/>
          <w:b/>
          <w:bCs/>
          <w:color w:val="0D0D0D" w:themeColor="text1" w:themeTint="F2"/>
          <w:sz w:val="24"/>
          <w14:textFill>
            <w14:solidFill>
              <w14:schemeClr w14:val="tx1">
                <w14:lumMod w14:val="95000"/>
                <w14:lumOff w14:val="5000"/>
              </w14:schemeClr>
            </w14:solidFill>
          </w14:textFill>
        </w:rPr>
        <w:t>项目名称：深铁置业2022年度拟销售项目展示区开放系列活动、现场包装及宣传推广服务参选</w:t>
      </w:r>
      <w:r>
        <w:rPr>
          <w:rFonts w:hAnsi="宋体"/>
          <w:b/>
          <w:bCs/>
          <w:color w:val="0D0D0D" w:themeColor="text1" w:themeTint="F2"/>
          <w:sz w:val="24"/>
          <w14:textFill>
            <w14:solidFill>
              <w14:schemeClr w14:val="tx1">
                <w14:lumMod w14:val="95000"/>
                <w14:lumOff w14:val="5000"/>
              </w14:schemeClr>
            </w14:solidFill>
          </w14:textFill>
        </w:rPr>
        <w:t>文件</w:t>
      </w:r>
      <w:r>
        <w:rPr>
          <w:rFonts w:hint="eastAsia" w:hAnsi="宋体"/>
          <w:b/>
          <w:bCs/>
          <w:color w:val="0D0D0D" w:themeColor="text1" w:themeTint="F2"/>
          <w:sz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参选人地址：</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7" w:name="_Toc36527859"/>
      <w:bookmarkStart w:id="48" w:name="_Toc98264022"/>
      <w:bookmarkStart w:id="49" w:name="_Toc197404909"/>
      <w:r>
        <w:rPr>
          <w:rFonts w:hint="eastAsia" w:ascii="宋体" w:hAnsi="宋体" w:eastAsia="宋体"/>
          <w:b/>
          <w:bCs/>
          <w:color w:val="0D0D0D" w:themeColor="text1" w:themeTint="F2"/>
          <w14:textFill>
            <w14:solidFill>
              <w14:schemeClr w14:val="tx1">
                <w14:lumMod w14:val="95000"/>
                <w14:lumOff w14:val="5000"/>
              </w14:schemeClr>
            </w14:solidFill>
          </w14:textFill>
        </w:rPr>
        <w:t>第五章 参选</w:t>
      </w:r>
      <w:bookmarkEnd w:id="47"/>
      <w:r>
        <w:rPr>
          <w:rFonts w:hint="eastAsia" w:ascii="宋体" w:hAnsi="宋体" w:eastAsia="宋体"/>
          <w:b/>
          <w:bCs/>
          <w:color w:val="0D0D0D" w:themeColor="text1" w:themeTint="F2"/>
          <w14:textFill>
            <w14:solidFill>
              <w14:schemeClr w14:val="tx1">
                <w14:lumMod w14:val="95000"/>
                <w14:lumOff w14:val="5000"/>
              </w14:schemeClr>
            </w14:solidFill>
          </w14:textFill>
        </w:rPr>
        <w:t>文件递交</w:t>
      </w:r>
      <w:bookmarkEnd w:id="48"/>
      <w:bookmarkEnd w:id="49"/>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一、参选人应按本参选须知</w:t>
      </w:r>
      <w:r>
        <w:rPr>
          <w:rFonts w:hint="eastAsia" w:ascii="宋体" w:hAnsi="宋体"/>
          <w:b/>
          <w:bCs/>
          <w:color w:val="0D0D0D" w:themeColor="text1" w:themeTint="F2"/>
          <w:sz w:val="24"/>
          <w14:textFill>
            <w14:solidFill>
              <w14:schemeClr w14:val="tx1">
                <w14:lumMod w14:val="95000"/>
                <w14:lumOff w14:val="5000"/>
              </w14:schemeClr>
            </w14:solidFill>
          </w14:textFill>
        </w:rPr>
        <w:t>规定</w:t>
      </w:r>
      <w:r>
        <w:rPr>
          <w:rFonts w:hint="eastAsia" w:ascii="宋体" w:hAnsi="宋体"/>
          <w:b/>
          <w:color w:val="0D0D0D" w:themeColor="text1" w:themeTint="F2"/>
          <w:sz w:val="24"/>
          <w14:textFill>
            <w14:solidFill>
              <w14:schemeClr w14:val="tx1">
                <w14:lumMod w14:val="95000"/>
                <w14:lumOff w14:val="5000"/>
              </w14:schemeClr>
            </w14:solidFill>
          </w14:textFill>
        </w:rPr>
        <w:t>的地点、日期和时间递交参选文件。</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1.纸质版参选文件递交地点：深铁置业大厦指定会议室</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2.电子版参选文件递交平台：深圳地铁智能招采系统</w:t>
      </w:r>
      <w:r>
        <w:rPr>
          <w:rFonts w:ascii="宋体" w:hAnsi="宋体"/>
          <w:color w:val="0D0D0D" w:themeColor="text1" w:themeTint="F2"/>
          <w:sz w:val="24"/>
          <w14:textFill>
            <w14:solidFill>
              <w14:schemeClr w14:val="tx1">
                <w14:lumMod w14:val="95000"/>
                <w14:lumOff w14:val="5000"/>
              </w14:schemeClr>
            </w14:solidFill>
          </w14:textFill>
        </w:rPr>
        <w:t>https://cg.shenzhenmc.com/szmccg/ananymous/jyzt/zc/gyszc</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纸质版</w:t>
      </w:r>
      <w:r>
        <w:rPr>
          <w:rFonts w:ascii="宋体" w:hAnsi="宋体"/>
          <w:color w:val="0D0D0D" w:themeColor="text1" w:themeTint="F2"/>
          <w:sz w:val="24"/>
          <w14:textFill>
            <w14:solidFill>
              <w14:schemeClr w14:val="tx1">
                <w14:lumMod w14:val="95000"/>
                <w14:lumOff w14:val="5000"/>
              </w14:schemeClr>
            </w14:solidFill>
          </w14:textFill>
        </w:rPr>
        <w:t>递交参选文件者须是法定代表人或法定代表人授权委托人</w:t>
      </w:r>
      <w:r>
        <w:rPr>
          <w:rFonts w:hint="eastAsia" w:ascii="宋体" w:hAnsi="宋体"/>
          <w:color w:val="0D0D0D" w:themeColor="text1" w:themeTint="F2"/>
          <w:sz w:val="24"/>
          <w14:textFill>
            <w14:solidFill>
              <w14:schemeClr w14:val="tx1">
                <w14:lumMod w14:val="95000"/>
                <w14:lumOff w14:val="5000"/>
              </w14:schemeClr>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50" w:name="_Toc36527860"/>
    </w:p>
    <w:p>
      <w:pPr>
        <w:spacing w:line="480" w:lineRule="atLeast"/>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szCs w:val="24"/>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二、迟到的参选文件</w:t>
      </w:r>
      <w:bookmarkEnd w:id="50"/>
    </w:p>
    <w:p>
      <w:pPr>
        <w:snapToGrid w:val="0"/>
        <w:spacing w:line="480" w:lineRule="atLeast"/>
        <w:ind w:firstLine="482"/>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在本参选须知规定的参选截止期以后</w:t>
      </w:r>
      <w:r>
        <w:rPr>
          <w:rFonts w:ascii="宋体" w:hAnsi="宋体"/>
          <w:bCs/>
          <w:color w:val="0D0D0D" w:themeColor="text1" w:themeTint="F2"/>
          <w:sz w:val="24"/>
          <w:szCs w:val="24"/>
          <w14:textFill>
            <w14:solidFill>
              <w14:schemeClr w14:val="tx1">
                <w14:lumMod w14:val="95000"/>
                <w14:lumOff w14:val="5000"/>
              </w14:schemeClr>
            </w14:solidFill>
          </w14:textFill>
        </w:rPr>
        <w:t>逾期送达的或者未送达指定地点的</w:t>
      </w: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参选文件将不</w:t>
      </w:r>
      <w:r>
        <w:rPr>
          <w:rFonts w:ascii="宋体" w:hAnsi="宋体"/>
          <w:bCs/>
          <w:color w:val="0D0D0D" w:themeColor="text1" w:themeTint="F2"/>
          <w:sz w:val="24"/>
          <w:szCs w:val="24"/>
          <w14:textFill>
            <w14:solidFill>
              <w14:schemeClr w14:val="tx1">
                <w14:lumMod w14:val="95000"/>
                <w14:lumOff w14:val="5000"/>
              </w14:schemeClr>
            </w14:solidFill>
          </w14:textFill>
        </w:rPr>
        <w:t>予受理</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rPr>
        <w:t>参选人在递交参选文件时应遵照工作人员的安排有秩序地进行。</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1" w:name="_Toc98264023"/>
      <w:bookmarkStart w:id="52" w:name="_Toc197404910"/>
      <w:r>
        <w:rPr>
          <w:rFonts w:hint="eastAsia" w:ascii="宋体" w:hAnsi="宋体" w:eastAsia="宋体"/>
          <w:b/>
          <w:bCs/>
          <w:color w:val="0D0D0D" w:themeColor="text1" w:themeTint="F2"/>
          <w14:textFill>
            <w14:solidFill>
              <w14:schemeClr w14:val="tx1">
                <w14:lumMod w14:val="95000"/>
                <w14:lumOff w14:val="5000"/>
              </w14:schemeClr>
            </w14:solidFill>
          </w14:textFill>
        </w:rPr>
        <w:t>第六章  参选有效期</w:t>
      </w:r>
      <w:bookmarkEnd w:id="51"/>
      <w:bookmarkEnd w:id="52"/>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一、自规定的参选书递交截止期限起180天内，参选书均保持有效。</w:t>
      </w:r>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二、在</w:t>
      </w:r>
      <w:r>
        <w:rPr>
          <w:rFonts w:ascii="宋体" w:hAnsi="宋体"/>
          <w:color w:val="0D0D0D" w:themeColor="text1" w:themeTint="F2"/>
          <w:sz w:val="24"/>
          <w:szCs w:val="24"/>
          <w14:textFill>
            <w14:solidFill>
              <w14:schemeClr w14:val="tx1">
                <w14:lumMod w14:val="95000"/>
                <w14:lumOff w14:val="5000"/>
              </w14:schemeClr>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53" w:name="_Toc197404911"/>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4" w:name="_Toc98264024"/>
      <w:r>
        <w:rPr>
          <w:rFonts w:hint="eastAsia" w:ascii="宋体" w:hAnsi="宋体" w:eastAsia="宋体"/>
          <w:b/>
          <w:bCs/>
          <w:color w:val="0D0D0D" w:themeColor="text1" w:themeTint="F2"/>
          <w14:textFill>
            <w14:solidFill>
              <w14:schemeClr w14:val="tx1">
                <w14:lumMod w14:val="95000"/>
                <w14:lumOff w14:val="5000"/>
              </w14:schemeClr>
            </w14:solidFill>
          </w14:textFill>
        </w:rPr>
        <w:t>第七章  开标</w:t>
      </w:r>
      <w:bookmarkEnd w:id="53"/>
      <w:bookmarkEnd w:id="54"/>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一、截标后首先进入开标环节，比选人将于</w:t>
      </w:r>
      <w:r>
        <w:rPr>
          <w:rFonts w:ascii="宋体" w:hAnsi="宋体"/>
          <w:color w:val="0D0D0D" w:themeColor="text1" w:themeTint="F2"/>
          <w:sz w:val="24"/>
          <w:szCs w:val="24"/>
          <w14:textFill>
            <w14:solidFill>
              <w14:schemeClr w14:val="tx1">
                <w14:lumMod w14:val="95000"/>
                <w14:lumOff w14:val="5000"/>
              </w14:schemeClr>
            </w14:solidFill>
          </w14:textFill>
        </w:rPr>
        <w:t>参选须知所</w:t>
      </w:r>
      <w:r>
        <w:rPr>
          <w:rFonts w:hint="eastAsia" w:ascii="宋体" w:hAnsi="宋体"/>
          <w:color w:val="0D0D0D" w:themeColor="text1" w:themeTint="F2"/>
          <w:sz w:val="24"/>
          <w:szCs w:val="24"/>
          <w14:textFill>
            <w14:solidFill>
              <w14:schemeClr w14:val="tx1">
                <w14:lumMod w14:val="95000"/>
                <w14:lumOff w14:val="5000"/>
              </w14:schemeClr>
            </w14:solidFill>
          </w14:textFill>
        </w:rPr>
        <w:t>规定的时间和地点公开举行开标会议，并邀请所有参选人代表参加。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开标会议由比选人主持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w:t>
      </w:r>
      <w:r>
        <w:rPr>
          <w:rFonts w:ascii="宋体" w:hAnsi="宋体"/>
          <w:color w:val="0D0D0D" w:themeColor="text1" w:themeTint="F2"/>
          <w:sz w:val="24"/>
          <w:szCs w:val="24"/>
          <w14:textFill>
            <w14:solidFill>
              <w14:schemeClr w14:val="tx1">
                <w14:lumMod w14:val="95000"/>
                <w14:lumOff w14:val="5000"/>
              </w14:schemeClr>
            </w14:solidFill>
          </w14:textFill>
        </w:rPr>
        <w:t>由比选人监</w:t>
      </w:r>
      <w:r>
        <w:rPr>
          <w:rFonts w:hint="eastAsia" w:ascii="宋体" w:hAnsi="宋体"/>
          <w:color w:val="0D0D0D" w:themeColor="text1" w:themeTint="F2"/>
          <w:sz w:val="24"/>
          <w:szCs w:val="24"/>
          <w14:textFill>
            <w14:solidFill>
              <w14:schemeClr w14:val="tx1">
                <w14:lumMod w14:val="95000"/>
                <w14:lumOff w14:val="5000"/>
              </w14:schemeClr>
            </w14:solidFill>
          </w14:textFill>
        </w:rPr>
        <w:t>审人员</w:t>
      </w:r>
      <w:r>
        <w:rPr>
          <w:rFonts w:ascii="宋体" w:hAnsi="宋体"/>
          <w:color w:val="0D0D0D" w:themeColor="text1" w:themeTint="F2"/>
          <w:sz w:val="24"/>
          <w:szCs w:val="24"/>
          <w14:textFill>
            <w14:solidFill>
              <w14:schemeClr w14:val="tx1">
                <w14:lumMod w14:val="95000"/>
                <w14:lumOff w14:val="5000"/>
              </w14:schemeClr>
            </w14:solidFill>
          </w14:textFill>
        </w:rPr>
        <w:t>及参选人监督检查</w:t>
      </w:r>
      <w:r>
        <w:rPr>
          <w:rFonts w:hint="eastAsia" w:ascii="宋体" w:hAnsi="宋体"/>
          <w:color w:val="0D0D0D" w:themeColor="text1" w:themeTint="F2"/>
          <w:sz w:val="24"/>
          <w:szCs w:val="24"/>
          <w14:textFill>
            <w14:solidFill>
              <w14:schemeClr w14:val="tx1">
                <w14:lumMod w14:val="95000"/>
                <w14:lumOff w14:val="5000"/>
              </w14:schemeClr>
            </w14:solidFill>
          </w14:textFill>
        </w:rPr>
        <w:t>所有</w:t>
      </w:r>
      <w:r>
        <w:rPr>
          <w:rFonts w:ascii="宋体" w:hAnsi="宋体"/>
          <w:color w:val="0D0D0D" w:themeColor="text1" w:themeTint="F2"/>
          <w:sz w:val="24"/>
          <w:szCs w:val="24"/>
          <w14:textFill>
            <w14:solidFill>
              <w14:schemeClr w14:val="tx1">
                <w14:lumMod w14:val="95000"/>
                <w14:lumOff w14:val="5000"/>
              </w14:schemeClr>
            </w14:solidFill>
          </w14:textFill>
        </w:rPr>
        <w:t>参选文件的密封情况</w:t>
      </w:r>
      <w:r>
        <w:rPr>
          <w:rFonts w:hint="eastAsia" w:ascii="宋体" w:hAnsi="宋体"/>
          <w:color w:val="0D0D0D" w:themeColor="text1" w:themeTint="F2"/>
          <w:sz w:val="24"/>
          <w:szCs w:val="24"/>
          <w14:textFill>
            <w14:solidFill>
              <w14:schemeClr w14:val="tx1">
                <w14:lumMod w14:val="95000"/>
                <w14:lumOff w14:val="5000"/>
              </w14:schemeClr>
            </w14:solidFill>
          </w14:textFill>
        </w:rPr>
        <w:t>，也可以由比选人委托的公证机构进行检查并公证。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五、经确认无误后，由比选人当众拆封参选文件，宣读参选人名称及价格等。</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六、比选人将作开标记录，并由参选人签字确认，以存档备查。</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七、按本须知规定宣布为不予受理情形的参选文件，不予送交评标委员会评审。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八、开标结束后，进入评标环节。比选人</w:t>
      </w:r>
      <w:r>
        <w:rPr>
          <w:rFonts w:hint="eastAsia" w:ascii="宋体" w:hAnsi="宋体"/>
          <w:bCs/>
          <w:color w:val="0D0D0D" w:themeColor="text1" w:themeTint="F2"/>
          <w:sz w:val="24"/>
          <w:szCs w:val="24"/>
          <w14:textFill>
            <w14:solidFill>
              <w14:schemeClr w14:val="tx1">
                <w14:lumMod w14:val="95000"/>
                <w14:lumOff w14:val="5000"/>
              </w14:schemeClr>
            </w14:solidFill>
          </w14:textFill>
        </w:rPr>
        <w:t>将比选文件移交评标委员会</w:t>
      </w:r>
      <w:r>
        <w:rPr>
          <w:rFonts w:ascii="宋体" w:hAnsi="宋体"/>
          <w:bCs/>
          <w:color w:val="0D0D0D" w:themeColor="text1" w:themeTint="F2"/>
          <w:sz w:val="24"/>
          <w:szCs w:val="24"/>
          <w14:textFill>
            <w14:solidFill>
              <w14:schemeClr w14:val="tx1">
                <w14:lumMod w14:val="95000"/>
                <w14:lumOff w14:val="5000"/>
              </w14:schemeClr>
            </w14:solidFill>
          </w14:textFill>
        </w:rPr>
        <w:t>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九、参选文件有下列情形之一的，比选人将不予受理：</w:t>
      </w:r>
    </w:p>
    <w:p>
      <w:pPr>
        <w:spacing w:line="360" w:lineRule="auto"/>
        <w:ind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（二）参选文件</w:t>
      </w:r>
      <w:r>
        <w:rPr>
          <w:rFonts w:ascii="宋体" w:hAnsi="宋体"/>
          <w:color w:val="0D0D0D" w:themeColor="text1" w:themeTint="F2"/>
          <w:sz w:val="24"/>
          <w:szCs w:val="24"/>
          <w14:textFill>
            <w14:solidFill>
              <w14:schemeClr w14:val="tx1">
                <w14:lumMod w14:val="95000"/>
                <w14:lumOff w14:val="5000"/>
              </w14:schemeClr>
            </w14:solidFill>
          </w14:textFill>
        </w:rPr>
        <w:t>未按规定密封和加盖参选人公章的</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hint="eastAsia" w:ascii="宋体" w:hAnsi="宋体"/>
          <w:color w:val="0D0D0D" w:themeColor="text1" w:themeTint="F2"/>
          <w:sz w:val="24"/>
          <w14:textFill>
            <w14:solidFill>
              <w14:schemeClr w14:val="tx1">
                <w14:lumMod w14:val="95000"/>
                <w14:lumOff w14:val="5000"/>
              </w14:schemeClr>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参选</w:t>
      </w:r>
      <w:r>
        <w:rPr>
          <w:rFonts w:ascii="宋体" w:hAnsi="宋体"/>
          <w:b/>
          <w:color w:val="0D0D0D" w:themeColor="text1" w:themeTint="F2"/>
          <w:sz w:val="24"/>
          <w14:textFill>
            <w14:solidFill>
              <w14:schemeClr w14:val="tx1">
                <w14:lumMod w14:val="95000"/>
                <w14:lumOff w14:val="5000"/>
              </w14:schemeClr>
            </w14:solidFill>
          </w14:textFill>
        </w:rPr>
        <w:t>人如</w:t>
      </w:r>
      <w:r>
        <w:rPr>
          <w:rFonts w:hint="eastAsia" w:ascii="宋体" w:hAnsi="宋体"/>
          <w:b/>
          <w:color w:val="0D0D0D" w:themeColor="text1" w:themeTint="F2"/>
          <w:sz w:val="24"/>
          <w14:textFill>
            <w14:solidFill>
              <w14:schemeClr w14:val="tx1">
                <w14:lumMod w14:val="95000"/>
                <w14:lumOff w14:val="5000"/>
              </w14:schemeClr>
            </w14:solidFill>
          </w14:textFill>
        </w:rPr>
        <w:t>对比选文件</w:t>
      </w:r>
      <w:r>
        <w:rPr>
          <w:rFonts w:ascii="宋体" w:hAnsi="宋体"/>
          <w:b/>
          <w:color w:val="0D0D0D" w:themeColor="text1" w:themeTint="F2"/>
          <w:sz w:val="24"/>
          <w14:textFill>
            <w14:solidFill>
              <w14:schemeClr w14:val="tx1">
                <w14:lumMod w14:val="95000"/>
                <w14:lumOff w14:val="5000"/>
              </w14:schemeClr>
            </w14:solidFill>
          </w14:textFill>
        </w:rPr>
        <w:t>及参选文件的编制有疑问，</w:t>
      </w:r>
      <w:r>
        <w:rPr>
          <w:rFonts w:hint="eastAsia" w:ascii="宋体" w:hAnsi="宋体"/>
          <w:b/>
          <w:color w:val="0D0D0D" w:themeColor="text1" w:themeTint="F2"/>
          <w:sz w:val="24"/>
          <w14:textFill>
            <w14:solidFill>
              <w14:schemeClr w14:val="tx1">
                <w14:lumMod w14:val="95000"/>
                <w14:lumOff w14:val="5000"/>
              </w14:schemeClr>
            </w14:solidFill>
          </w14:textFill>
        </w:rPr>
        <w:t>请主动及时地</w:t>
      </w:r>
      <w:r>
        <w:rPr>
          <w:rFonts w:ascii="宋体" w:hAnsi="宋体"/>
          <w:b/>
          <w:color w:val="0D0D0D" w:themeColor="text1" w:themeTint="F2"/>
          <w:sz w:val="24"/>
          <w14:textFill>
            <w14:solidFill>
              <w14:schemeClr w14:val="tx1">
                <w14:lumMod w14:val="95000"/>
                <w14:lumOff w14:val="5000"/>
              </w14:schemeClr>
            </w14:solidFill>
          </w14:textFill>
        </w:rPr>
        <w:t>联系比选人。</w:t>
      </w:r>
    </w:p>
    <w:p>
      <w:pPr>
        <w:pStyle w:val="5"/>
        <w:spacing w:line="360" w:lineRule="auto"/>
        <w:rPr>
          <w:rFonts w:ascii="宋体" w:hAnsi="宋体" w:eastAsia="宋体"/>
          <w:b/>
          <w:bCs/>
          <w:color w:val="000000"/>
        </w:rPr>
      </w:pPr>
      <w:bookmarkStart w:id="55" w:name="_Toc9457"/>
      <w:bookmarkStart w:id="56" w:name="_Toc62476353"/>
      <w:bookmarkStart w:id="57" w:name="_Toc98264025"/>
      <w:r>
        <w:rPr>
          <w:rFonts w:hint="eastAsia" w:ascii="宋体" w:hAnsi="宋体" w:eastAsia="宋体"/>
          <w:b/>
          <w:bCs/>
          <w:color w:val="000000"/>
        </w:rPr>
        <w:t>第八章  述标</w:t>
      </w:r>
      <w:bookmarkEnd w:id="55"/>
      <w:bookmarkEnd w:id="56"/>
      <w:bookmarkEnd w:id="57"/>
    </w:p>
    <w:p>
      <w:pPr>
        <w:adjustRightInd w:val="0"/>
        <w:snapToGrid w:val="0"/>
        <w:spacing w:line="360" w:lineRule="auto"/>
        <w:ind w:firstLine="480" w:firstLineChars="200"/>
        <w:rPr>
          <w:rFonts w:ascii="宋体" w:hAnsi="宋体"/>
          <w:color w:val="000000"/>
          <w:sz w:val="24"/>
          <w:szCs w:val="24"/>
        </w:rPr>
      </w:pPr>
      <w:r>
        <w:rPr>
          <w:rFonts w:hint="eastAsia" w:ascii="宋体" w:hAnsi="宋体"/>
          <w:color w:val="000000"/>
          <w:sz w:val="24"/>
          <w:szCs w:val="24"/>
        </w:rPr>
        <w:t>在参选</w:t>
      </w:r>
      <w:r>
        <w:rPr>
          <w:rFonts w:ascii="宋体" w:hAnsi="宋体"/>
          <w:color w:val="000000"/>
          <w:sz w:val="24"/>
          <w:szCs w:val="24"/>
        </w:rPr>
        <w:t>文件递交截止</w:t>
      </w:r>
      <w:r>
        <w:rPr>
          <w:rFonts w:hint="eastAsia" w:ascii="宋体" w:hAnsi="宋体"/>
          <w:color w:val="000000"/>
          <w:sz w:val="24"/>
          <w:szCs w:val="24"/>
        </w:rPr>
        <w:t>后，</w:t>
      </w:r>
      <w:r>
        <w:rPr>
          <w:rFonts w:ascii="宋体" w:hAnsi="宋体"/>
          <w:color w:val="000000"/>
          <w:sz w:val="24"/>
          <w:szCs w:val="24"/>
        </w:rPr>
        <w:t>评标开始前，</w:t>
      </w:r>
      <w:r>
        <w:rPr>
          <w:rFonts w:hint="eastAsia" w:ascii="宋体" w:hAnsi="宋体"/>
          <w:color w:val="000000"/>
          <w:sz w:val="24"/>
          <w:szCs w:val="24"/>
        </w:rPr>
        <w:t>甲方将</w:t>
      </w:r>
      <w:r>
        <w:rPr>
          <w:rFonts w:ascii="宋体" w:hAnsi="宋体"/>
          <w:color w:val="000000"/>
          <w:sz w:val="24"/>
          <w:szCs w:val="24"/>
        </w:rPr>
        <w:t>组织</w:t>
      </w:r>
      <w:r>
        <w:rPr>
          <w:rFonts w:hint="eastAsia" w:ascii="宋体" w:hAnsi="宋体"/>
          <w:color w:val="000000"/>
          <w:sz w:val="24"/>
          <w:szCs w:val="24"/>
        </w:rPr>
        <w:t>述标</w:t>
      </w:r>
      <w:r>
        <w:rPr>
          <w:rFonts w:ascii="宋体" w:hAnsi="宋体"/>
          <w:color w:val="000000"/>
          <w:sz w:val="24"/>
          <w:szCs w:val="24"/>
        </w:rPr>
        <w:t>会</w:t>
      </w:r>
      <w:r>
        <w:rPr>
          <w:rFonts w:hint="eastAsia" w:ascii="宋体" w:hAnsi="宋体"/>
          <w:color w:val="000000"/>
          <w:sz w:val="24"/>
          <w:szCs w:val="24"/>
        </w:rPr>
        <w:t>，具体</w:t>
      </w:r>
      <w:r>
        <w:rPr>
          <w:rFonts w:ascii="宋体" w:hAnsi="宋体"/>
          <w:color w:val="000000"/>
          <w:sz w:val="24"/>
          <w:szCs w:val="24"/>
        </w:rPr>
        <w:t>时间以甲方通知为准。</w:t>
      </w:r>
    </w:p>
    <w:p>
      <w:pPr>
        <w:pStyle w:val="2"/>
        <w:adjustRightInd w:val="0"/>
        <w:snapToGrid w:val="0"/>
        <w:spacing w:line="360" w:lineRule="auto"/>
        <w:ind w:left="0" w:leftChars="0" w:firstLine="480"/>
        <w:rPr>
          <w:rFonts w:hAnsi="宋体"/>
          <w:kern w:val="2"/>
          <w:sz w:val="24"/>
        </w:rPr>
      </w:pPr>
      <w:r>
        <w:rPr>
          <w:rFonts w:hint="eastAsia" w:hAnsi="宋体"/>
          <w:kern w:val="2"/>
          <w:sz w:val="24"/>
        </w:rPr>
        <w:t>述标内容为《地铁前海时代营销中心开放活动方案》、《深铁璟城营销中心开放活动方案》，参选人按照比选人通知的时间在指定地点进行现场陈述。各参选人按签到顺序逐一单独进行。</w:t>
      </w:r>
    </w:p>
    <w:p>
      <w:pPr>
        <w:pStyle w:val="2"/>
        <w:adjustRightInd w:val="0"/>
        <w:snapToGrid w:val="0"/>
        <w:spacing w:line="360" w:lineRule="auto"/>
        <w:ind w:left="0" w:leftChars="0" w:firstLine="480"/>
        <w:rPr>
          <w:rFonts w:hAnsi="宋体"/>
          <w:kern w:val="2"/>
          <w:sz w:val="24"/>
        </w:rPr>
      </w:pPr>
      <w:r>
        <w:rPr>
          <w:rFonts w:hint="eastAsia" w:hAnsi="宋体"/>
          <w:kern w:val="2"/>
          <w:sz w:val="24"/>
        </w:rPr>
        <w:t>主陈述人必须是参选人拟派的项目负责人，其它项目组成员作为辅助；非以上人员不得进入现场。参加述标的所有人员须核对身份，请答辩人员务必携带有效的身份证明材料。</w:t>
      </w:r>
    </w:p>
    <w:p>
      <w:pPr>
        <w:pStyle w:val="2"/>
        <w:adjustRightInd w:val="0"/>
        <w:snapToGrid w:val="0"/>
        <w:spacing w:line="360" w:lineRule="auto"/>
        <w:ind w:left="0" w:leftChars="0" w:firstLine="480"/>
        <w:rPr>
          <w:rFonts w:hAnsi="宋体"/>
          <w:kern w:val="2"/>
          <w:sz w:val="24"/>
        </w:rPr>
      </w:pPr>
      <w:r>
        <w:rPr>
          <w:rFonts w:hAnsi="宋体"/>
          <w:kern w:val="2"/>
          <w:sz w:val="24"/>
        </w:rPr>
        <w:t></w:t>
      </w:r>
      <w:r>
        <w:rPr>
          <w:rFonts w:hAnsi="宋体"/>
          <w:kern w:val="2"/>
          <w:sz w:val="24"/>
        </w:rPr>
        <w:tab/>
      </w:r>
      <w:r>
        <w:rPr>
          <w:rFonts w:hint="eastAsia" w:hAnsi="宋体"/>
          <w:kern w:val="2"/>
          <w:sz w:val="24"/>
        </w:rPr>
        <w:t>上午：《地铁前海时代营销中心开放活动方案》</w:t>
      </w:r>
    </w:p>
    <w:p>
      <w:pPr>
        <w:pStyle w:val="2"/>
        <w:adjustRightInd w:val="0"/>
        <w:snapToGrid w:val="0"/>
        <w:spacing w:line="360" w:lineRule="auto"/>
        <w:ind w:left="0" w:leftChars="0" w:firstLine="480"/>
        <w:rPr>
          <w:rFonts w:hAnsi="宋体"/>
          <w:kern w:val="2"/>
          <w:sz w:val="24"/>
        </w:rPr>
      </w:pPr>
      <w:r>
        <w:rPr>
          <w:rFonts w:hAnsi="宋体"/>
          <w:kern w:val="2"/>
          <w:sz w:val="24"/>
        </w:rPr>
        <w:t></w:t>
      </w:r>
      <w:r>
        <w:rPr>
          <w:rFonts w:hAnsi="宋体"/>
          <w:kern w:val="2"/>
          <w:sz w:val="24"/>
        </w:rPr>
        <w:tab/>
      </w:r>
      <w:r>
        <w:rPr>
          <w:rFonts w:hint="eastAsia" w:hAnsi="宋体"/>
          <w:kern w:val="2"/>
          <w:sz w:val="24"/>
        </w:rPr>
        <w:t>下午：《深铁璟城营销中心开放活动方案》</w:t>
      </w:r>
    </w:p>
    <w:p>
      <w:pPr>
        <w:pStyle w:val="2"/>
        <w:adjustRightInd w:val="0"/>
        <w:snapToGrid w:val="0"/>
        <w:spacing w:line="360" w:lineRule="auto"/>
        <w:ind w:left="0" w:leftChars="0" w:firstLine="480"/>
        <w:rPr>
          <w:rFonts w:hAnsi="宋体"/>
          <w:kern w:val="2"/>
          <w:sz w:val="24"/>
        </w:rPr>
      </w:pPr>
      <w:r>
        <w:rPr>
          <w:rFonts w:hint="eastAsia" w:hAnsi="宋体"/>
          <w:kern w:val="2"/>
          <w:sz w:val="24"/>
        </w:rPr>
        <w:t>为保证陈述效果，可以辅助使用投影演示等形式，但不能再提供任何书面资料。</w:t>
      </w:r>
    </w:p>
    <w:p>
      <w:pPr>
        <w:pStyle w:val="2"/>
        <w:adjustRightInd w:val="0"/>
        <w:snapToGrid w:val="0"/>
        <w:spacing w:line="360" w:lineRule="auto"/>
        <w:ind w:left="0" w:leftChars="0" w:firstLine="480"/>
        <w:rPr>
          <w:rFonts w:hAnsi="宋体"/>
          <w:kern w:val="2"/>
          <w:sz w:val="24"/>
        </w:rPr>
      </w:pPr>
      <w:r>
        <w:rPr>
          <w:rFonts w:hint="eastAsia" w:hAnsi="宋体"/>
          <w:kern w:val="2"/>
          <w:sz w:val="24"/>
        </w:rPr>
        <w:t>陈述后接着进行5分钟以内的答辩，由参选人回答评委提出的问题。</w:t>
      </w:r>
    </w:p>
    <w:p>
      <w:pPr>
        <w:pStyle w:val="2"/>
        <w:adjustRightInd w:val="0"/>
        <w:snapToGrid w:val="0"/>
        <w:spacing w:line="360" w:lineRule="auto"/>
        <w:ind w:left="0" w:leftChars="0" w:firstLine="480"/>
        <w:rPr>
          <w:rFonts w:hAnsi="宋体"/>
          <w:kern w:val="2"/>
          <w:sz w:val="24"/>
        </w:rPr>
      </w:pPr>
      <w:r>
        <w:rPr>
          <w:rFonts w:hint="eastAsia" w:hAnsi="宋体"/>
          <w:kern w:val="2"/>
          <w:sz w:val="24"/>
        </w:rPr>
        <w:t>现场陈述结束后，参选人不留下陈述文件并立即离开现场，不得与其他参选人交谈，透露任何有关陈述内容。一经发现，其参与资格将被取消。</w:t>
      </w:r>
    </w:p>
    <w:p>
      <w:pPr>
        <w:pStyle w:val="2"/>
        <w:adjustRightInd w:val="0"/>
        <w:snapToGrid w:val="0"/>
        <w:spacing w:line="360" w:lineRule="auto"/>
        <w:ind w:left="0" w:leftChars="0" w:firstLine="400"/>
      </w:pPr>
    </w:p>
    <w:p>
      <w:pPr>
        <w:pStyle w:val="5"/>
        <w:spacing w:before="0" w:after="0" w:line="360" w:lineRule="auto"/>
        <w:ind w:firstLine="200"/>
        <w:rPr>
          <w:rFonts w:ascii="宋体" w:hAnsi="宋体" w:eastAsia="宋体"/>
          <w:b/>
          <w:bCs/>
          <w:color w:val="0D0D0D" w:themeColor="text1" w:themeTint="F2"/>
          <w14:textFill>
            <w14:solidFill>
              <w14:schemeClr w14:val="tx1">
                <w14:lumMod w14:val="95000"/>
                <w14:lumOff w14:val="5000"/>
              </w14:schemeClr>
            </w14:solidFill>
          </w14:textFill>
        </w:rPr>
      </w:pPr>
      <w:bookmarkStart w:id="58" w:name="_Toc98264026"/>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九</w:t>
      </w:r>
      <w:r>
        <w:rPr>
          <w:rFonts w:ascii="宋体" w:hAnsi="宋体" w:eastAsia="宋体"/>
          <w:b/>
          <w:bCs/>
          <w:color w:val="0D0D0D" w:themeColor="text1" w:themeTint="F2"/>
          <w14:textFill>
            <w14:solidFill>
              <w14:schemeClr w14:val="tx1">
                <w14:lumMod w14:val="95000"/>
                <w14:lumOff w14:val="5000"/>
              </w14:schemeClr>
            </w14:solidFill>
          </w14:textFill>
        </w:rPr>
        <w:t>章</w:t>
      </w:r>
      <w:r>
        <w:rPr>
          <w:rFonts w:hint="eastAsia" w:ascii="宋体" w:hAnsi="宋体" w:eastAsia="宋体"/>
          <w:b/>
          <w:bCs/>
          <w:color w:val="0D0D0D" w:themeColor="text1" w:themeTint="F2"/>
          <w14:textFill>
            <w14:solidFill>
              <w14:schemeClr w14:val="tx1">
                <w14:lumMod w14:val="95000"/>
                <w14:lumOff w14:val="5000"/>
              </w14:schemeClr>
            </w14:solidFill>
          </w14:textFill>
        </w:rPr>
        <w:t xml:space="preserve"> </w:t>
      </w:r>
      <w:r>
        <w:rPr>
          <w:rFonts w:ascii="宋体" w:hAnsi="宋体" w:eastAsia="宋体"/>
          <w:b/>
          <w:bCs/>
          <w:color w:val="0D0D0D" w:themeColor="text1" w:themeTint="F2"/>
          <w14:textFill>
            <w14:solidFill>
              <w14:schemeClr w14:val="tx1">
                <w14:lumMod w14:val="95000"/>
                <w14:lumOff w14:val="5000"/>
              </w14:schemeClr>
            </w14:solidFill>
          </w14:textFill>
        </w:rPr>
        <w:t>评标</w:t>
      </w:r>
      <w:bookmarkEnd w:id="58"/>
    </w:p>
    <w:p>
      <w:pPr>
        <w:spacing w:line="360" w:lineRule="auto"/>
        <w:ind w:firstLine="482"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一、开标完成结束后，进入评标环节。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评标委员会由比选人组建，采用“综合评估法”，先评资信标，再评技术标，最后评商务标，满分为100分，其中：资信标20分、技术标50分、商务标30分。评标方法及评分标准详见附件《评标办法》。</w:t>
      </w: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二、</w:t>
      </w:r>
      <w:r>
        <w:rPr>
          <w:rFonts w:ascii="宋体" w:hAnsi="宋体"/>
          <w:b/>
          <w:bCs/>
          <w:color w:val="0D0D0D" w:themeColor="text1" w:themeTint="F2"/>
          <w:sz w:val="24"/>
          <w:szCs w:val="24"/>
          <w14:textFill>
            <w14:solidFill>
              <w14:schemeClr w14:val="tx1">
                <w14:lumMod w14:val="95000"/>
                <w14:lumOff w14:val="5000"/>
              </w14:schemeClr>
            </w14:solidFill>
          </w14:textFill>
        </w:rPr>
        <w:t>评标</w:t>
      </w:r>
    </w:p>
    <w:p>
      <w:pPr>
        <w:pStyle w:val="114"/>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评标分</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个阶段进行，</w:t>
      </w:r>
      <w:r>
        <w:rPr>
          <w:rFonts w:hint="eastAsia" w:ascii="宋体" w:hAnsi="宋体"/>
          <w:bCs/>
          <w:color w:val="0D0D0D" w:themeColor="text1" w:themeTint="F2"/>
          <w:sz w:val="24"/>
          <w:szCs w:val="24"/>
          <w14:textFill>
            <w14:solidFill>
              <w14:schemeClr w14:val="tx1">
                <w14:lumMod w14:val="95000"/>
                <w14:lumOff w14:val="5000"/>
              </w14:schemeClr>
            </w14:solidFill>
          </w14:textFill>
        </w:rPr>
        <w:t>先评资信标，再评技术标，再评A包商务标，最后评B包商务标</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114"/>
        <w:tabs>
          <w:tab w:val="left" w:pos="993"/>
        </w:tabs>
        <w:spacing w:line="360" w:lineRule="auto"/>
        <w:ind w:firstLine="424" w:firstLineChars="177"/>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
          <w:bCs/>
          <w:color w:val="0D0D0D" w:themeColor="text1" w:themeTint="F2"/>
          <w:sz w:val="24"/>
          <w:szCs w:val="24"/>
          <w14:textFill>
            <w14:solidFill>
              <w14:schemeClr w14:val="tx1">
                <w14:lumMod w14:val="95000"/>
                <w14:lumOff w14:val="5000"/>
              </w14:schemeClr>
            </w14:solidFill>
          </w14:textFill>
        </w:rPr>
        <w:t>资信标评审：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第一阶段，先将所有合格参选文件的资信标书移交至评标委员会，评标委员会对参选文件的资信标书进行初步评审（有效性审查），只有通过初步评审的资信标书才有资格进入下一步的详细评审。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w:t>
      </w:r>
      <w:r>
        <w:rPr>
          <w:rFonts w:ascii="宋体" w:hAnsi="宋体"/>
          <w:bCs/>
          <w:sz w:val="24"/>
          <w:szCs w:val="24"/>
        </w:rPr>
        <w:t>.</w:t>
      </w:r>
      <w:r>
        <w:rPr>
          <w:rFonts w:hint="eastAsia" w:ascii="宋体" w:hAnsi="宋体"/>
          <w:bCs/>
          <w:sz w:val="24"/>
          <w:szCs w:val="24"/>
        </w:rPr>
        <w:t>评标委员会否决无效标或者界定为废标后，</w:t>
      </w:r>
      <w:r>
        <w:rPr>
          <w:rFonts w:hint="eastAsia" w:ascii="宋体" w:hAnsi="宋体"/>
          <w:color w:val="0D0D0D" w:themeColor="text1" w:themeTint="F2"/>
          <w:sz w:val="24"/>
          <w:szCs w:val="24"/>
          <w14:textFill>
            <w14:solidFill>
              <w14:schemeClr w14:val="tx1">
                <w14:lumMod w14:val="95000"/>
                <w14:lumOff w14:val="5000"/>
              </w14:schemeClr>
            </w14:solidFill>
          </w14:textFill>
        </w:rPr>
        <w:t>若合格参选人少于</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家 ，</w:t>
      </w:r>
      <w:r>
        <w:rPr>
          <w:rFonts w:hint="eastAsia" w:ascii="宋体" w:hAnsi="宋体"/>
          <w:bCs/>
          <w:sz w:val="24"/>
          <w:szCs w:val="24"/>
        </w:rPr>
        <w:t>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bCs/>
          <w:sz w:val="24"/>
          <w:szCs w:val="24"/>
        </w:rPr>
        <w:t>资信标初步审查完成后，参选人对参选人的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资信标书进行详细评审，完成资信标详细评审表（详见评标附表）。</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szCs w:val="24"/>
          <w14:textFill>
            <w14:solidFill>
              <w14:schemeClr w14:val="tx1">
                <w14:lumMod w14:val="95000"/>
                <w14:lumOff w14:val="5000"/>
              </w14:schemeClr>
            </w14:solidFill>
          </w14:textFill>
        </w:rPr>
        <w:t>技术标评审：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资信标评审结束后，将技术标书（含技术标1和技术标2）移交评标委员会，评标委员会对参选文件的技术标书进行初步评审（有效性审查）</w:t>
      </w:r>
      <w:bookmarkStart w:id="59" w:name="_Hlk91533858"/>
      <w:r>
        <w:rPr>
          <w:rFonts w:hint="eastAsia" w:ascii="宋体" w:hAnsi="宋体"/>
          <w:color w:val="0D0D0D" w:themeColor="text1" w:themeTint="F2"/>
          <w:sz w:val="24"/>
          <w:szCs w:val="24"/>
          <w14:textFill>
            <w14:solidFill>
              <w14:schemeClr w14:val="tx1">
                <w14:lumMod w14:val="95000"/>
                <w14:lumOff w14:val="5000"/>
              </w14:schemeClr>
            </w14:solidFill>
          </w14:textFill>
        </w:rPr>
        <w:t>，只有通过初步评审的技术标书才有资格进入下一步的详细评审。</w:t>
      </w:r>
    </w:p>
    <w:bookmarkEnd w:id="59"/>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bCs/>
          <w:sz w:val="24"/>
          <w:szCs w:val="24"/>
        </w:rPr>
        <w:t>技术标初步审查完成后，参选人对参选人的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技术标书进行详细评审，完成技术标1详细评审表及技术标</w:t>
      </w: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详细评审表（详见评标附表）。</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技术标评审结束后，评标委员会对有效参选人的资信标及技术标分数进行汇总，得出【资信标+技术标1】以及【资信标+技术标2】总分。</w:t>
      </w: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（三）A包商务标评审：</w:t>
      </w:r>
    </w:p>
    <w:p>
      <w:pPr>
        <w:tabs>
          <w:tab w:val="left" w:pos="993"/>
        </w:tabs>
        <w:spacing w:line="360" w:lineRule="auto"/>
        <w:ind w:firstLine="480" w:firstLineChars="200"/>
        <w:rPr>
          <w:rFonts w:ascii="宋体" w:hAnsi="宋体"/>
          <w:sz w:val="24"/>
          <w:szCs w:val="24"/>
        </w:rPr>
      </w:pPr>
      <w:r>
        <w:rPr>
          <w:rFonts w:hint="eastAsia" w:ascii="宋体" w:hAnsi="宋体"/>
          <w:sz w:val="24"/>
          <w:szCs w:val="24"/>
        </w:rPr>
        <w:t>【资信标+技术标1】得分前3名进入A包商务标评审环节。若出现得分并列导致大于3家的情况，则并列的有效参选人共同进入下一阶段商务标的评审。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将</w:t>
      </w:r>
      <w:r>
        <w:rPr>
          <w:rFonts w:hint="eastAsia" w:ascii="宋体" w:hAnsi="宋体"/>
          <w:sz w:val="24"/>
          <w:szCs w:val="24"/>
        </w:rPr>
        <w:t>【资信标+技术标1】得分前3名的A包</w:t>
      </w:r>
      <w:r>
        <w:rPr>
          <w:rFonts w:hint="eastAsia" w:ascii="宋体" w:hAnsi="宋体"/>
          <w:color w:val="0D0D0D" w:themeColor="text1" w:themeTint="F2"/>
          <w:sz w:val="24"/>
          <w:szCs w:val="24"/>
          <w14:textFill>
            <w14:solidFill>
              <w14:schemeClr w14:val="tx1">
                <w14:lumMod w14:val="95000"/>
                <w14:lumOff w14:val="5000"/>
              </w14:schemeClr>
            </w14:solidFill>
          </w14:textFill>
        </w:rPr>
        <w:t>商务标书移交评标委员会，评标委员会对A包进行商务标评审，同时汇总各参选人资信标、技术标1及A包商务标分值。</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评标委员会对A包的商务标部分进行初步评审（有效性审查），只有通过初步评审的A包商务标文件才有资格进入下一步的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A</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包详细评审。若A包商务标初步评审后参选人不足三家，则从【资信标+技术标1】得分排名第4名参选人起由高至低进行商务标递补。</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详细评审环节：评标委员会对所有参选人A包的商务标进行评审，按照商务标计算公式，完成商务标分数计算。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A</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包商务标分数计算完毕后，汇总各参选人资信标、技术标1及商务标分值，评委按照参选人的最终得分值由高到低排列名次。推荐排名第一的参选人为A包的中选候选人。A包的中选候选人不再参与B包的评审。</w:t>
      </w: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（四）B包商务标评审：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第二阶段汇总的【资信标+技术标2】得分前3名进入B包商务标评审环节。若出现得分并列导致大于3家的情况，则并列的有效参选人共同进入下一阶段商务标的评审；若前3名存在参选人已成为A包中选候选人，则该参选人不再参与B包的评审，从【资信标+技术标2】得分排名第4名参选人起由高至低进行商务标递补。</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B包的商务标部分进行初步评审（有效性审查），只有通过初步评审的B包商务标文件才有资格进入下一步的B包详细评审。经B包商务标初步审查，评标委员会作出无效标或者废标处理，致有效参选人不足</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家，则从【资信标+技术标2】得分排名第4名参选人起由高至低进行商务标递补。</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详细评审环节：评标委员会对所有参选人B包的商务标进行评审，按照商务标计算公式，完成商务标分数计算。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B包商务标分数计算完毕后，汇总各参选人资信标、技术标</w:t>
      </w: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及商务标分值，评委按照参选人的最终得分值由高到低排列名次。推荐排名第一的参选人为B包的中选候选人。</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p>
    <w:p>
      <w:pPr>
        <w:pStyle w:val="3"/>
        <w:tabs>
          <w:tab w:val="left" w:pos="2460"/>
        </w:tabs>
        <w:adjustRightInd w:val="0"/>
        <w:snapToGrid w:val="0"/>
        <w:ind w:left="0" w:leftChars="0" w:firstLine="0" w:firstLineChars="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备注：1</w:t>
      </w:r>
      <w:r>
        <w:rPr>
          <w:rFonts w:ascii="宋体" w:hAnsi="宋体"/>
          <w:color w:val="0D0D0D" w:themeColor="text1" w:themeTint="F2"/>
          <w:kern w:val="2"/>
          <w:sz w:val="24"/>
          <w:szCs w:val="24"/>
          <w14:textFill>
            <w14:solidFill>
              <w14:schemeClr w14:val="tx1">
                <w14:lumMod w14:val="95000"/>
                <w14:lumOff w14:val="5000"/>
              </w14:schemeClr>
            </w14:solidFill>
          </w14:textFill>
        </w:rPr>
        <w:t>.</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3"/>
        <w:tabs>
          <w:tab w:val="left" w:pos="2460"/>
        </w:tabs>
        <w:adjustRightInd w:val="0"/>
        <w:snapToGrid w:val="0"/>
        <w:ind w:left="0" w:leftChars="0" w:firstLine="480" w:firstLineChars="200"/>
        <w:jc w:val="left"/>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2</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szCs w:val="24"/>
        </w:rPr>
        <w:t>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w:t>
      </w:r>
      <w:r>
        <w:rPr>
          <w:rFonts w:hint="eastAsia" w:ascii="宋体" w:hAnsi="宋体"/>
          <w:sz w:val="24"/>
          <w:szCs w:val="24"/>
        </w:rPr>
        <w:t>总</w:t>
      </w:r>
      <w:r>
        <w:rPr>
          <w:rFonts w:ascii="宋体" w:hAnsi="宋体"/>
          <w:sz w:val="24"/>
          <w:szCs w:val="24"/>
        </w:rPr>
        <w:t>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bookmarkStart w:id="60"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bookmarkEnd w:id="60"/>
    <w:p>
      <w:pPr>
        <w:pStyle w:val="3"/>
        <w:tabs>
          <w:tab w:val="left" w:pos="2460"/>
        </w:tabs>
        <w:adjustRightInd w:val="0"/>
        <w:snapToGrid w:val="0"/>
        <w:ind w:left="0" w:leftChars="0" w:firstLine="480" w:firstLineChars="200"/>
        <w:jc w:val="left"/>
        <w:rPr>
          <w:rFonts w:ascii="宋体" w:hAnsi="宋体"/>
          <w:color w:val="0D0D0D" w:themeColor="text1" w:themeTint="F2"/>
          <w:sz w:val="24"/>
          <w:szCs w:val="24"/>
          <w14:textFill>
            <w14:solidFill>
              <w14:schemeClr w14:val="tx1">
                <w14:lumMod w14:val="95000"/>
                <w14:lumOff w14:val="5000"/>
              </w14:schemeClr>
            </w14:solidFill>
          </w14:textFill>
        </w:rPr>
      </w:pP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61" w:name="_Toc197404913"/>
      <w:bookmarkStart w:id="62" w:name="_Toc98264027"/>
      <w:bookmarkStart w:id="63" w:name="_Toc434234592"/>
      <w:bookmarkStart w:id="64" w:name="_Toc388259588"/>
      <w:bookmarkStart w:id="65" w:name="_Toc290560899"/>
      <w:bookmarkStart w:id="66" w:name="_Toc197404912"/>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十</w:t>
      </w:r>
      <w:r>
        <w:rPr>
          <w:rFonts w:ascii="宋体" w:hAnsi="宋体" w:eastAsia="宋体"/>
          <w:b/>
          <w:bCs/>
          <w:color w:val="0D0D0D" w:themeColor="text1" w:themeTint="F2"/>
          <w14:textFill>
            <w14:solidFill>
              <w14:schemeClr w14:val="tx1">
                <w14:lumMod w14:val="95000"/>
                <w14:lumOff w14:val="5000"/>
              </w14:schemeClr>
            </w14:solidFill>
          </w14:textFill>
        </w:rPr>
        <w:t>章  确定中</w:t>
      </w:r>
      <w:r>
        <w:rPr>
          <w:rFonts w:hint="eastAsia" w:ascii="宋体" w:hAnsi="宋体" w:eastAsia="宋体"/>
          <w:b/>
          <w:bCs/>
          <w:color w:val="0D0D0D" w:themeColor="text1" w:themeTint="F2"/>
          <w14:textFill>
            <w14:solidFill>
              <w14:schemeClr w14:val="tx1">
                <w14:lumMod w14:val="95000"/>
                <w14:lumOff w14:val="5000"/>
              </w14:schemeClr>
            </w14:solidFill>
          </w14:textFill>
        </w:rPr>
        <w:t>选</w:t>
      </w:r>
      <w:r>
        <w:rPr>
          <w:rFonts w:ascii="宋体" w:hAnsi="宋体" w:eastAsia="宋体"/>
          <w:b/>
          <w:bCs/>
          <w:color w:val="0D0D0D" w:themeColor="text1" w:themeTint="F2"/>
          <w14:textFill>
            <w14:solidFill>
              <w14:schemeClr w14:val="tx1">
                <w14:lumMod w14:val="95000"/>
                <w14:lumOff w14:val="5000"/>
              </w14:schemeClr>
            </w14:solidFill>
          </w14:textFill>
        </w:rPr>
        <w:t>人</w:t>
      </w:r>
      <w:bookmarkEnd w:id="61"/>
      <w:bookmarkEnd w:id="62"/>
      <w:bookmarkEnd w:id="63"/>
      <w:bookmarkEnd w:id="64"/>
      <w:bookmarkEnd w:id="65"/>
    </w:p>
    <w:p>
      <w:pPr>
        <w:pStyle w:val="24"/>
        <w:adjustRightInd/>
        <w:snapToGrid w:val="0"/>
        <w:spacing w:line="480" w:lineRule="atLeast"/>
        <w:ind w:firstLine="480" w:firstLineChars="200"/>
        <w:textAlignment w:val="auto"/>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一、</w:t>
      </w:r>
      <w:r>
        <w:rPr>
          <w:rFonts w:hAnsi="宋体"/>
          <w:bCs/>
          <w:color w:val="0D0D0D" w:themeColor="text1" w:themeTint="F2"/>
          <w:sz w:val="24"/>
          <w14:textFill>
            <w14:solidFill>
              <w14:schemeClr w14:val="tx1">
                <w14:lumMod w14:val="95000"/>
                <w14:lumOff w14:val="5000"/>
              </w14:schemeClr>
            </w14:solidFill>
          </w14:textFill>
        </w:rPr>
        <w:t>比选人根据评标委员会提出的书面评标报告，在对推荐的中选候选人的参选文件进行审核后，确定中选人。</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二、</w:t>
      </w:r>
      <w:r>
        <w:rPr>
          <w:rFonts w:hAnsi="宋体"/>
          <w:bCs/>
          <w:color w:val="0D0D0D" w:themeColor="text1" w:themeTint="F2"/>
          <w:sz w:val="24"/>
          <w14:textFill>
            <w14:solidFill>
              <w14:schemeClr w14:val="tx1">
                <w14:lumMod w14:val="95000"/>
                <w14:lumOff w14:val="5000"/>
              </w14:schemeClr>
            </w14:solidFill>
          </w14:textFill>
        </w:rPr>
        <w:t>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w:t>
      </w:r>
      <w:r>
        <w:rPr>
          <w:rFonts w:hAnsi="宋体"/>
          <w:bCs/>
          <w:color w:val="0D0D0D" w:themeColor="text1" w:themeTint="F2"/>
          <w:sz w:val="24"/>
          <w14:textFill>
            <w14:solidFill>
              <w14:schemeClr w14:val="tx1">
                <w14:lumMod w14:val="95000"/>
                <w14:lumOff w14:val="5000"/>
              </w14:schemeClr>
            </w14:solidFill>
          </w14:textFill>
        </w:rPr>
        <w:t>在参选有效期内，比选人将中选结果在比选人网站公示，</w:t>
      </w:r>
      <w:r>
        <w:rPr>
          <w:rFonts w:hint="eastAsia" w:hAnsi="宋体"/>
          <w:bCs/>
          <w:color w:val="0D0D0D" w:themeColor="text1" w:themeTint="F2"/>
          <w:sz w:val="24"/>
          <w14:textFill>
            <w14:solidFill>
              <w14:schemeClr w14:val="tx1">
                <w14:lumMod w14:val="95000"/>
                <w14:lumOff w14:val="5000"/>
              </w14:schemeClr>
            </w14:solidFill>
          </w14:textFill>
        </w:rPr>
        <w:t>公示</w:t>
      </w:r>
      <w:r>
        <w:rPr>
          <w:rFonts w:hAnsi="宋体"/>
          <w:b/>
          <w:bCs/>
          <w:color w:val="0D0D0D" w:themeColor="text1" w:themeTint="F2"/>
          <w:sz w:val="24"/>
          <w:u w:val="single"/>
          <w14:textFill>
            <w14:solidFill>
              <w14:schemeClr w14:val="tx1">
                <w14:lumMod w14:val="95000"/>
                <w14:lumOff w14:val="5000"/>
              </w14:schemeClr>
            </w14:solidFill>
          </w14:textFill>
        </w:rPr>
        <w:t>3个工作日</w:t>
      </w:r>
      <w:r>
        <w:rPr>
          <w:rFonts w:hAnsi="宋体"/>
          <w:bCs/>
          <w:color w:val="0D0D0D" w:themeColor="text1" w:themeTint="F2"/>
          <w:sz w:val="24"/>
          <w14:textFill>
            <w14:solidFill>
              <w14:schemeClr w14:val="tx1">
                <w14:lumMod w14:val="95000"/>
                <w14:lumOff w14:val="5000"/>
              </w14:schemeClr>
            </w14:solidFill>
          </w14:textFill>
        </w:rPr>
        <w:t>无异议的，比选人将向中选</w:t>
      </w:r>
      <w:r>
        <w:rPr>
          <w:rFonts w:hint="eastAsia" w:hAnsi="宋体"/>
          <w:bCs/>
          <w:color w:val="0D0D0D" w:themeColor="text1" w:themeTint="F2"/>
          <w:sz w:val="24"/>
          <w14:textFill>
            <w14:solidFill>
              <w14:schemeClr w14:val="tx1">
                <w14:lumMod w14:val="95000"/>
                <w14:lumOff w14:val="5000"/>
              </w14:schemeClr>
            </w14:solidFill>
          </w14:textFill>
        </w:rPr>
        <w:t>候选</w:t>
      </w:r>
      <w:r>
        <w:rPr>
          <w:rFonts w:hAnsi="宋体"/>
          <w:bCs/>
          <w:color w:val="0D0D0D" w:themeColor="text1" w:themeTint="F2"/>
          <w:sz w:val="24"/>
          <w14:textFill>
            <w14:solidFill>
              <w14:schemeClr w14:val="tx1">
                <w14:lumMod w14:val="95000"/>
                <w14:lumOff w14:val="5000"/>
              </w14:schemeClr>
            </w14:solidFill>
          </w14:textFill>
        </w:rPr>
        <w:t>人发出中选通知书。</w:t>
      </w:r>
    </w:p>
    <w:p>
      <w:pPr>
        <w:pStyle w:val="5"/>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67" w:name="_Toc98264028"/>
      <w:r>
        <w:rPr>
          <w:rFonts w:hint="eastAsia" w:ascii="宋体" w:hAnsi="宋体" w:eastAsia="宋体"/>
          <w:b/>
          <w:bCs/>
          <w:color w:val="0D0D0D" w:themeColor="text1" w:themeTint="F2"/>
          <w14:textFill>
            <w14:solidFill>
              <w14:schemeClr w14:val="tx1">
                <w14:lumMod w14:val="95000"/>
                <w14:lumOff w14:val="5000"/>
              </w14:schemeClr>
            </w14:solidFill>
          </w14:textFill>
        </w:rPr>
        <w:t>第十一章  合同的授予</w:t>
      </w:r>
      <w:bookmarkEnd w:id="67"/>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ascii="宋体" w:hAnsi="宋体"/>
          <w:color w:val="0D0D0D" w:themeColor="text1" w:themeTint="F2"/>
          <w:sz w:val="24"/>
          <w14:textFill>
            <w14:solidFill>
              <w14:schemeClr w14:val="tx1">
                <w14:lumMod w14:val="95000"/>
                <w14:lumOff w14:val="5000"/>
              </w14:schemeClr>
            </w14:solidFill>
          </w14:textFill>
        </w:rPr>
        <w:t>比选人与中选人将于中选通知书发出之日起</w:t>
      </w:r>
      <w:r>
        <w:rPr>
          <w:rFonts w:ascii="宋体" w:hAnsi="宋体"/>
          <w:b/>
          <w:bCs/>
          <w:color w:val="0D0D0D" w:themeColor="text1" w:themeTint="F2"/>
          <w:sz w:val="24"/>
          <w:u w:val="single"/>
          <w14:textFill>
            <w14:solidFill>
              <w14:schemeClr w14:val="tx1">
                <w14:lumMod w14:val="95000"/>
                <w14:lumOff w14:val="5000"/>
              </w14:schemeClr>
            </w14:solidFill>
          </w14:textFill>
        </w:rPr>
        <w:t>30</w:t>
      </w:r>
      <w:r>
        <w:rPr>
          <w:rFonts w:hint="eastAsia" w:ascii="宋体" w:hAnsi="宋体"/>
          <w:b/>
          <w:bCs/>
          <w:color w:val="0D0D0D" w:themeColor="text1" w:themeTint="F2"/>
          <w:sz w:val="24"/>
          <w:u w:val="single"/>
          <w14:textFill>
            <w14:solidFill>
              <w14:schemeClr w14:val="tx1">
                <w14:lumMod w14:val="95000"/>
                <w14:lumOff w14:val="5000"/>
              </w14:schemeClr>
            </w14:solidFill>
          </w14:textFill>
        </w:rPr>
        <w:t>个工作</w:t>
      </w:r>
      <w:r>
        <w:rPr>
          <w:rFonts w:ascii="宋体" w:hAnsi="宋体"/>
          <w:b/>
          <w:bCs/>
          <w:color w:val="0D0D0D" w:themeColor="text1" w:themeTint="F2"/>
          <w:sz w:val="24"/>
          <w:u w:val="single"/>
          <w14:textFill>
            <w14:solidFill>
              <w14:schemeClr w14:val="tx1">
                <w14:lumMod w14:val="95000"/>
                <w14:lumOff w14:val="5000"/>
              </w14:schemeClr>
            </w14:solidFill>
          </w14:textFill>
        </w:rPr>
        <w:t>日</w:t>
      </w:r>
      <w:r>
        <w:rPr>
          <w:rFonts w:ascii="宋体" w:hAnsi="宋体"/>
          <w:color w:val="0D0D0D" w:themeColor="text1" w:themeTint="F2"/>
          <w:sz w:val="24"/>
          <w14:textFill>
            <w14:solidFill>
              <w14:schemeClr w14:val="tx1">
                <w14:lumMod w14:val="95000"/>
                <w14:lumOff w14:val="5000"/>
              </w14:schemeClr>
            </w14:solidFill>
          </w14:textFill>
        </w:rPr>
        <w:t>内，根据比选文件和中选人的参选文件签订合同</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比选人与中选人签订的合同必须遵守本比选文件的合同条件，并且对合同条款不做实质性更改</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三、中选人如不按规定与比选人签订合同</w:t>
      </w:r>
      <w:r>
        <w:rPr>
          <w:rFonts w:ascii="宋体" w:hAnsi="宋体"/>
          <w:color w:val="0D0D0D" w:themeColor="text1" w:themeTint="F2"/>
          <w:sz w:val="24"/>
          <w14:textFill>
            <w14:solidFill>
              <w14:schemeClr w14:val="tx1">
                <w14:lumMod w14:val="95000"/>
                <w14:lumOff w14:val="5000"/>
              </w14:schemeClr>
            </w14:solidFill>
          </w14:textFill>
        </w:rPr>
        <w:t>，或在合同履行过程中</w:t>
      </w:r>
      <w:r>
        <w:rPr>
          <w:rFonts w:hint="eastAsia" w:ascii="宋体" w:hAnsi="宋体"/>
          <w:color w:val="0D0D0D" w:themeColor="text1" w:themeTint="F2"/>
          <w:sz w:val="24"/>
          <w14:textFill>
            <w14:solidFill>
              <w14:schemeClr w14:val="tx1">
                <w14:lumMod w14:val="95000"/>
                <w14:lumOff w14:val="5000"/>
              </w14:schemeClr>
            </w14:solidFill>
          </w14:textFill>
        </w:rPr>
        <w:t>未按</w:t>
      </w:r>
      <w:r>
        <w:rPr>
          <w:rFonts w:ascii="宋体" w:hAnsi="宋体"/>
          <w:color w:val="0D0D0D" w:themeColor="text1" w:themeTint="F2"/>
          <w:sz w:val="24"/>
          <w14:textFill>
            <w14:solidFill>
              <w14:schemeClr w14:val="tx1">
                <w14:lumMod w14:val="95000"/>
                <w14:lumOff w14:val="5000"/>
              </w14:schemeClr>
            </w14:solidFill>
          </w14:textFill>
        </w:rPr>
        <w:t>比选人要求提供服务，</w:t>
      </w:r>
      <w:r>
        <w:rPr>
          <w:rFonts w:hint="eastAsia" w:ascii="宋体" w:hAnsi="宋体"/>
          <w:color w:val="0D0D0D" w:themeColor="text1" w:themeTint="F2"/>
          <w:sz w:val="24"/>
          <w14:textFill>
            <w14:solidFill>
              <w14:schemeClr w14:val="tx1">
                <w14:lumMod w14:val="95000"/>
                <w14:lumOff w14:val="5000"/>
              </w14:schemeClr>
            </w14:solidFill>
          </w14:textFill>
        </w:rPr>
        <w:t>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w:t>
      </w:r>
    </w:p>
    <w:p>
      <w:pPr>
        <w:pStyle w:val="3"/>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、本项目</w:t>
      </w:r>
      <w:r>
        <w:rPr>
          <w:rFonts w:hint="eastAsia" w:ascii="宋体" w:hAnsi="宋体"/>
          <w:color w:val="0D0D0D" w:themeColor="text1" w:themeTint="F2"/>
          <w:sz w:val="24"/>
          <w14:textFill>
            <w14:solidFill>
              <w14:schemeClr w14:val="tx1">
                <w14:lumMod w14:val="95000"/>
                <w14:lumOff w14:val="5000"/>
              </w14:schemeClr>
            </w14:solidFill>
          </w14:textFill>
        </w:rPr>
        <w:t>根据</w:t>
      </w:r>
      <w:r>
        <w:rPr>
          <w:rFonts w:ascii="宋体" w:hAnsi="宋体"/>
          <w:color w:val="0D0D0D" w:themeColor="text1" w:themeTint="F2"/>
          <w:sz w:val="24"/>
          <w14:textFill>
            <w14:solidFill>
              <w14:schemeClr w14:val="tx1">
                <w14:lumMod w14:val="95000"/>
                <w14:lumOff w14:val="5000"/>
              </w14:schemeClr>
            </w14:solidFill>
          </w14:textFill>
        </w:rPr>
        <w:t>项目不同，分</w:t>
      </w:r>
      <w:r>
        <w:rPr>
          <w:rFonts w:hint="eastAsia" w:ascii="宋体" w:hAnsi="宋体"/>
          <w:color w:val="0D0D0D" w:themeColor="text1" w:themeTint="F2"/>
          <w:sz w:val="24"/>
          <w14:textFill>
            <w14:solidFill>
              <w14:schemeClr w14:val="tx1">
                <w14:lumMod w14:val="95000"/>
                <w14:lumOff w14:val="5000"/>
              </w14:schemeClr>
            </w14:solidFill>
          </w14:textFill>
        </w:rPr>
        <w:t>项目分别</w:t>
      </w:r>
      <w:r>
        <w:rPr>
          <w:rFonts w:ascii="宋体" w:hAnsi="宋体"/>
          <w:color w:val="0D0D0D" w:themeColor="text1" w:themeTint="F2"/>
          <w:sz w:val="24"/>
          <w14:textFill>
            <w14:solidFill>
              <w14:schemeClr w14:val="tx1">
                <w14:lumMod w14:val="95000"/>
                <w14:lumOff w14:val="5000"/>
              </w14:schemeClr>
            </w14:solidFill>
          </w14:textFill>
        </w:rPr>
        <w:t>签订合同。</w:t>
      </w:r>
    </w:p>
    <w:p>
      <w:pPr>
        <w:pStyle w:val="3"/>
        <w:tabs>
          <w:tab w:val="left" w:pos="1050"/>
        </w:tabs>
        <w:spacing w:line="480" w:lineRule="atLeast"/>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深铁珑境花园、深铁璟城、地铁前海时代广场、深铁赤湾项目、深铁瑞城、山海漫街、深铁置业大厦、深铁金融科技大厦项目展示区开放系列活动、现场包装及宣传推广服务合同的签约主体为深圳市地铁集团有限公司；深铁懿府项目展示区开放系列活动、现场包装及宣传推广服务合同的签约主体为深圳地铁前海国际发展有限公司。</w:t>
      </w:r>
    </w:p>
    <w:p>
      <w:pPr>
        <w:widowControl/>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br w:type="page"/>
      </w:r>
    </w:p>
    <w:p>
      <w:pPr>
        <w:pStyle w:val="5"/>
        <w:spacing w:line="480" w:lineRule="atLeast"/>
        <w:rPr>
          <w:rFonts w:ascii="宋体" w:hAnsi="宋体" w:eastAsia="宋体"/>
          <w:b/>
          <w:bCs/>
          <w:color w:val="0D0D0D" w:themeColor="text1" w:themeTint="F2"/>
          <w:sz w:val="40"/>
          <w:szCs w:val="24"/>
          <w14:textFill>
            <w14:solidFill>
              <w14:schemeClr w14:val="tx1">
                <w14:lumMod w14:val="95000"/>
                <w14:lumOff w14:val="5000"/>
              </w14:schemeClr>
            </w14:solidFill>
          </w14:textFill>
        </w:rPr>
      </w:pPr>
      <w:bookmarkStart w:id="68" w:name="_Toc98264029"/>
      <w:bookmarkStart w:id="69" w:name="_Toc399494429"/>
      <w:r>
        <w:rPr>
          <w:rFonts w:hint="eastAsia" w:ascii="宋体" w:hAnsi="宋体" w:eastAsia="宋体"/>
          <w:b/>
          <w:bCs/>
          <w:color w:val="0D0D0D" w:themeColor="text1" w:themeTint="F2"/>
          <w:sz w:val="40"/>
          <w:szCs w:val="24"/>
          <w14:textFill>
            <w14:solidFill>
              <w14:schemeClr w14:val="tx1">
                <w14:lumMod w14:val="95000"/>
                <w14:lumOff w14:val="5000"/>
              </w14:schemeClr>
            </w14:solidFill>
          </w14:textFill>
        </w:rPr>
        <w:t>附件</w:t>
      </w:r>
      <w:bookmarkEnd w:id="68"/>
    </w:p>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70" w:name="_Toc98264030"/>
      <w:r>
        <w:rPr>
          <w:rFonts w:hint="eastAsia" w:ascii="宋体" w:hAnsi="宋体"/>
          <w:b w:val="0"/>
          <w:color w:val="0D0D0D" w:themeColor="text1" w:themeTint="F2"/>
          <w:sz w:val="44"/>
          <w:szCs w:val="44"/>
          <w14:textFill>
            <w14:solidFill>
              <w14:schemeClr w14:val="tx1">
                <w14:lumMod w14:val="95000"/>
                <w14:lumOff w14:val="5000"/>
              </w14:schemeClr>
            </w14:solidFill>
          </w14:textFill>
        </w:rPr>
        <w:t>第一篇 评标</w:t>
      </w:r>
      <w:bookmarkEnd w:id="69"/>
      <w:r>
        <w:rPr>
          <w:rFonts w:hint="eastAsia" w:ascii="宋体" w:hAnsi="宋体"/>
          <w:b w:val="0"/>
          <w:color w:val="0D0D0D" w:themeColor="text1" w:themeTint="F2"/>
          <w:sz w:val="44"/>
          <w:szCs w:val="44"/>
          <w14:textFill>
            <w14:solidFill>
              <w14:schemeClr w14:val="tx1">
                <w14:lumMod w14:val="95000"/>
                <w14:lumOff w14:val="5000"/>
              </w14:schemeClr>
            </w14:solidFill>
          </w14:textFill>
        </w:rPr>
        <w:t>办法</w:t>
      </w:r>
      <w:bookmarkEnd w:id="70"/>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1" w:name="_Toc98264031"/>
      <w:bookmarkStart w:id="72" w:name="_Toc276575939"/>
      <w:r>
        <w:rPr>
          <w:rFonts w:hint="eastAsia" w:ascii="宋体" w:hAnsi="宋体"/>
          <w:bCs/>
          <w:color w:val="0D0D0D" w:themeColor="text1" w:themeTint="F2"/>
          <w:sz w:val="24"/>
          <w14:textFill>
            <w14:solidFill>
              <w14:schemeClr w14:val="tx1">
                <w14:lumMod w14:val="95000"/>
                <w14:lumOff w14:val="5000"/>
              </w14:schemeClr>
            </w14:solidFill>
          </w14:textFill>
        </w:rPr>
        <w:t>一、总则</w:t>
      </w:r>
      <w:bookmarkEnd w:id="71"/>
      <w:bookmarkEnd w:id="72"/>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3" w:name="_Toc98264032"/>
      <w:r>
        <w:rPr>
          <w:rFonts w:hint="eastAsia" w:ascii="宋体" w:hAnsi="宋体"/>
          <w:bCs/>
          <w:color w:val="0D0D0D" w:themeColor="text1" w:themeTint="F2"/>
          <w:sz w:val="24"/>
          <w14:textFill>
            <w14:solidFill>
              <w14:schemeClr w14:val="tx1">
                <w14:lumMod w14:val="95000"/>
                <w14:lumOff w14:val="5000"/>
              </w14:schemeClr>
            </w14:solidFill>
          </w14:textFill>
        </w:rPr>
        <w:t>二、评定标组织</w:t>
      </w:r>
      <w:bookmarkEnd w:id="73"/>
    </w:p>
    <w:p>
      <w:pPr>
        <w:tabs>
          <w:tab w:val="left" w:pos="420"/>
        </w:tabs>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（一）评标委员会组成</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由比选人在开标前成立评标委员会。</w:t>
      </w:r>
      <w:r>
        <w:rPr>
          <w:rFonts w:hint="eastAsia" w:ascii="宋体" w:hAnsi="宋体"/>
          <w:color w:val="0D0D0D" w:themeColor="text1" w:themeTint="F2"/>
          <w:sz w:val="24"/>
          <w14:textFill>
            <w14:solidFill>
              <w14:schemeClr w14:val="tx1">
                <w14:lumMod w14:val="95000"/>
                <w14:lumOff w14:val="5000"/>
              </w14:schemeClr>
            </w14:solidFill>
          </w14:textFill>
        </w:rPr>
        <w:t>评标委员会由</w:t>
      </w:r>
      <w:r>
        <w:rPr>
          <w:rFonts w:ascii="宋体" w:hAnsi="宋体"/>
          <w:color w:val="0D0D0D" w:themeColor="text1" w:themeTint="F2"/>
          <w:sz w:val="24"/>
          <w14:textFill>
            <w14:solidFill>
              <w14:schemeClr w14:val="tx1">
                <w14:lumMod w14:val="95000"/>
                <w14:lumOff w14:val="5000"/>
              </w14:schemeClr>
            </w14:solidFill>
          </w14:textFill>
        </w:rPr>
        <w:t>7位评委</w:t>
      </w:r>
      <w:r>
        <w:rPr>
          <w:rFonts w:hint="eastAsia" w:ascii="宋体" w:hAnsi="宋体"/>
          <w:color w:val="0D0D0D" w:themeColor="text1" w:themeTint="F2"/>
          <w:sz w:val="24"/>
          <w14:textFill>
            <w14:solidFill>
              <w14:schemeClr w14:val="tx1">
                <w14:lumMod w14:val="95000"/>
                <w14:lumOff w14:val="5000"/>
              </w14:schemeClr>
            </w14:solidFill>
          </w14:textFill>
        </w:rPr>
        <w:t>组成，深铁置业纪检监察室派员全程监督。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（二）评标委员会职责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（三）评标过程由比选人派出监督专员负责监督比选、评标全过程。</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（四）评标过程的会务工作由本次比选工作小组负责。</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4" w:name="_Toc98264033"/>
      <w:r>
        <w:rPr>
          <w:rFonts w:hint="eastAsia" w:ascii="宋体" w:hAnsi="宋体"/>
          <w:bCs/>
          <w:color w:val="0D0D0D" w:themeColor="text1" w:themeTint="F2"/>
          <w:sz w:val="24"/>
          <w14:textFill>
            <w14:solidFill>
              <w14:schemeClr w14:val="tx1">
                <w14:lumMod w14:val="95000"/>
                <w14:lumOff w14:val="5000"/>
              </w14:schemeClr>
            </w14:solidFill>
          </w14:textFill>
        </w:rPr>
        <w:t>三、评标方法与程序</w:t>
      </w:r>
      <w:bookmarkEnd w:id="74"/>
    </w:p>
    <w:p>
      <w:pPr>
        <w:spacing w:line="360" w:lineRule="auto"/>
        <w:ind w:firstLine="480" w:firstLineChars="200"/>
        <w:rPr>
          <w:rFonts w:ascii="宋体" w:hAnsi="宋体"/>
          <w:bCs/>
          <w:sz w:val="24"/>
          <w:szCs w:val="24"/>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hint="eastAsia" w:ascii="宋体" w:hAnsi="宋体"/>
          <w:sz w:val="24"/>
          <w:szCs w:val="24"/>
        </w:rPr>
        <w:t>本次评标采用“综合评分法”</w:t>
      </w:r>
      <w:r>
        <w:rPr>
          <w:rFonts w:hint="eastAsia" w:ascii="宋体" w:hAnsi="宋体"/>
          <w:bCs/>
          <w:sz w:val="24"/>
          <w:szCs w:val="24"/>
        </w:rPr>
        <w:t>，先评资信标、再评技术标、最后评商务标，满分为100分，其中：资信标</w:t>
      </w:r>
      <w:r>
        <w:rPr>
          <w:rFonts w:ascii="宋体" w:hAnsi="宋体"/>
          <w:bCs/>
          <w:sz w:val="24"/>
          <w:szCs w:val="24"/>
        </w:rPr>
        <w:t>20</w:t>
      </w:r>
      <w:r>
        <w:rPr>
          <w:rFonts w:hint="eastAsia" w:ascii="宋体" w:hAnsi="宋体"/>
          <w:bCs/>
          <w:sz w:val="24"/>
          <w:szCs w:val="24"/>
        </w:rPr>
        <w:t>分、技术标50分，商务标</w:t>
      </w:r>
      <w:r>
        <w:rPr>
          <w:rFonts w:ascii="宋体" w:hAnsi="宋体"/>
          <w:bCs/>
          <w:sz w:val="24"/>
          <w:szCs w:val="24"/>
        </w:rPr>
        <w:t>3</w:t>
      </w:r>
      <w:r>
        <w:rPr>
          <w:rFonts w:hint="eastAsia" w:ascii="宋体" w:hAnsi="宋体"/>
          <w:bCs/>
          <w:sz w:val="24"/>
          <w:szCs w:val="24"/>
        </w:rPr>
        <w:t>0分。</w:t>
      </w:r>
    </w:p>
    <w:p>
      <w:pPr>
        <w:spacing w:line="360" w:lineRule="auto"/>
        <w:ind w:firstLine="480" w:firstLineChars="200"/>
        <w:rPr>
          <w:rFonts w:ascii="宋体" w:hAnsi="宋体"/>
          <w:sz w:val="24"/>
        </w:rPr>
      </w:pPr>
      <w:r>
        <w:rPr>
          <w:rFonts w:hint="eastAsia" w:ascii="宋体" w:hAnsi="宋体"/>
          <w:sz w:val="24"/>
        </w:rPr>
        <w:t>本项目“一标两包”（A包和B包）</w:t>
      </w:r>
    </w:p>
    <w:p>
      <w:pPr>
        <w:spacing w:line="360" w:lineRule="auto"/>
        <w:ind w:firstLine="480" w:firstLineChars="200"/>
        <w:rPr>
          <w:rFonts w:ascii="宋体" w:hAnsi="宋体"/>
          <w:bCs/>
          <w:color w:val="0D0D0D" w:themeColor="text1" w:themeTint="F2"/>
          <w:kern w:val="0"/>
          <w:sz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14:textFill>
            <w14:solidFill>
              <w14:schemeClr w14:val="tx1">
                <w14:lumMod w14:val="95000"/>
                <w14:lumOff w14:val="5000"/>
              </w14:schemeClr>
            </w14:solidFill>
          </w14:textFill>
        </w:rPr>
        <w:t>1.A包：深铁珑境花园一期、地铁前海时代广场4号地块、深铁金融科技大厦、深铁置业大厦展示区开放系列活动、现场包装及宣传推广服务；</w:t>
      </w:r>
    </w:p>
    <w:p>
      <w:pPr>
        <w:spacing w:line="360" w:lineRule="auto"/>
        <w:ind w:firstLine="480" w:firstLineChars="200"/>
        <w:rPr>
          <w:rFonts w:ascii="宋体" w:hAnsi="宋体"/>
          <w:bCs/>
          <w:color w:val="0D0D0D" w:themeColor="text1" w:themeTint="F2"/>
          <w:kern w:val="0"/>
          <w:sz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14:textFill>
            <w14:solidFill>
              <w14:schemeClr w14:val="tx1">
                <w14:lumMod w14:val="95000"/>
                <w14:lumOff w14:val="5000"/>
              </w14:schemeClr>
            </w14:solidFill>
          </w14:textFill>
        </w:rPr>
        <w:t>2.B包：深铁璟城一期、深铁懿府三期、深铁赤湾项目一期、深铁瑞城三期、山海漫街展示区开放系列活动、现场包装及宣传推广服务。</w:t>
      </w:r>
    </w:p>
    <w:p>
      <w:pPr>
        <w:spacing w:line="360" w:lineRule="auto"/>
        <w:ind w:firstLine="480" w:firstLineChars="200"/>
        <w:rPr>
          <w:rFonts w:ascii="宋体" w:hAnsi="宋体"/>
          <w:sz w:val="24"/>
          <w:szCs w:val="24"/>
        </w:rPr>
      </w:pPr>
    </w:p>
    <w:p>
      <w:pPr>
        <w:spacing w:line="360" w:lineRule="auto"/>
        <w:ind w:firstLine="480" w:firstLineChars="200"/>
        <w:rPr>
          <w:rFonts w:ascii="宋体" w:hAnsi="宋体"/>
          <w:bCs/>
          <w:sz w:val="24"/>
          <w:szCs w:val="24"/>
        </w:rPr>
      </w:pPr>
      <w:r>
        <w:rPr>
          <w:rFonts w:hint="eastAsia" w:ascii="宋体" w:hAnsi="宋体"/>
          <w:sz w:val="24"/>
          <w:szCs w:val="24"/>
        </w:rPr>
        <w:t>评标委员会先</w:t>
      </w:r>
      <w:r>
        <w:rPr>
          <w:rFonts w:hint="eastAsia" w:ascii="宋体" w:hAnsi="宋体"/>
          <w:bCs/>
          <w:sz w:val="24"/>
          <w:szCs w:val="24"/>
        </w:rPr>
        <w:t>按照资信标评分标准对各参选人资信文件进行打分，各评委评分的算术平均值为该参选人资信标得分。</w:t>
      </w:r>
    </w:p>
    <w:p>
      <w:pPr>
        <w:spacing w:line="360" w:lineRule="auto"/>
        <w:ind w:firstLine="480" w:firstLineChars="200"/>
        <w:rPr>
          <w:rFonts w:ascii="宋体" w:hAnsi="宋体"/>
          <w:bCs/>
          <w:sz w:val="24"/>
          <w:szCs w:val="24"/>
        </w:rPr>
      </w:pPr>
      <w:r>
        <w:rPr>
          <w:rFonts w:hint="eastAsia" w:ascii="宋体" w:hAnsi="宋体"/>
          <w:sz w:val="24"/>
          <w:szCs w:val="24"/>
        </w:rPr>
        <w:t>然后评标委员会</w:t>
      </w:r>
      <w:r>
        <w:rPr>
          <w:rFonts w:hint="eastAsia" w:ascii="宋体" w:hAnsi="宋体"/>
          <w:bCs/>
          <w:sz w:val="24"/>
          <w:szCs w:val="24"/>
        </w:rPr>
        <w:t>按技术标1-技术标2的顺序，按照技术标评分标准对各参选人技术文件分别进行打分，各评委评分的算术平均值为该参选人技术标1及技术标2的得分。</w:t>
      </w:r>
    </w:p>
    <w:p>
      <w:pPr>
        <w:spacing w:line="360" w:lineRule="auto"/>
        <w:ind w:firstLine="480" w:firstLineChars="200"/>
        <w:rPr>
          <w:rFonts w:ascii="宋体" w:hAnsi="宋体"/>
          <w:sz w:val="24"/>
          <w:szCs w:val="24"/>
        </w:rPr>
      </w:pPr>
      <w:r>
        <w:rPr>
          <w:rFonts w:hint="eastAsia" w:ascii="宋体" w:hAnsi="宋体"/>
          <w:sz w:val="24"/>
          <w:szCs w:val="24"/>
        </w:rPr>
        <w:t>然后评标委员会</w:t>
      </w:r>
      <w:r>
        <w:rPr>
          <w:rFonts w:hint="eastAsia" w:ascii="宋体" w:hAnsi="宋体"/>
          <w:color w:val="0D0D0D" w:themeColor="text1" w:themeTint="F2"/>
          <w:sz w:val="24"/>
          <w:szCs w:val="24"/>
          <w14:textFill>
            <w14:solidFill>
              <w14:schemeClr w14:val="tx1">
                <w14:lumMod w14:val="95000"/>
                <w14:lumOff w14:val="5000"/>
              </w14:schemeClr>
            </w14:solidFill>
          </w14:textFill>
        </w:rPr>
        <w:t>按A包—B包的顺序，</w:t>
      </w:r>
      <w:r>
        <w:rPr>
          <w:rFonts w:hint="eastAsia" w:ascii="宋体" w:hAnsi="宋体"/>
          <w:bCs/>
          <w:sz w:val="24"/>
          <w:szCs w:val="24"/>
        </w:rPr>
        <w:t>按照商务标计算公式对各参选人商务报价进行评分，最后按顺序汇总各包参选人资信、技术及商务标得分</w:t>
      </w:r>
      <w:r>
        <w:rPr>
          <w:rFonts w:hint="eastAsia" w:ascii="宋体" w:hAnsi="宋体"/>
          <w:b/>
          <w:sz w:val="24"/>
          <w:szCs w:val="24"/>
        </w:rPr>
        <w:t>，</w:t>
      </w:r>
      <w:r>
        <w:rPr>
          <w:rFonts w:hint="eastAsia" w:ascii="宋体" w:hAnsi="宋体"/>
          <w:sz w:val="24"/>
          <w:szCs w:val="24"/>
        </w:rPr>
        <w:t>并按照参选人的最终得分值由高到低排列名次。各包若出现综合得分相同的情形，以技术标得分高者排在先；若技术标得分相同的（以保留小数点后两位且四舍五入为准），以商务标报价低者排在先；若报价相同的，以抽签的形式确定中选候选人。</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已开包段的中选候选人不再参与后续包段的评审。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最终，评委针对各包分别推荐一名中选候选人，共</w:t>
      </w: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名中选候选人。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（二）评标程序</w:t>
      </w:r>
    </w:p>
    <w:p>
      <w:pPr>
        <w:pStyle w:val="114"/>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评标分</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个阶段进行，</w:t>
      </w:r>
      <w:r>
        <w:rPr>
          <w:rFonts w:hint="eastAsia" w:ascii="宋体" w:hAnsi="宋体"/>
          <w:bCs/>
          <w:color w:val="0D0D0D" w:themeColor="text1" w:themeTint="F2"/>
          <w:sz w:val="24"/>
          <w:szCs w:val="24"/>
          <w14:textFill>
            <w14:solidFill>
              <w14:schemeClr w14:val="tx1">
                <w14:lumMod w14:val="95000"/>
                <w14:lumOff w14:val="5000"/>
              </w14:schemeClr>
            </w14:solidFill>
          </w14:textFill>
        </w:rPr>
        <w:t>先评资信标，再评技术标，再评A包商务标，最后评B包商务标</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114"/>
        <w:tabs>
          <w:tab w:val="left" w:pos="993"/>
        </w:tabs>
        <w:spacing w:line="360" w:lineRule="auto"/>
        <w:ind w:firstLine="424" w:firstLineChars="177"/>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（一）</w:t>
      </w:r>
      <w:r>
        <w:rPr>
          <w:rFonts w:hint="eastAsia" w:ascii="宋体" w:hAnsi="宋体"/>
          <w:b/>
          <w:bCs/>
          <w:color w:val="0D0D0D" w:themeColor="text1" w:themeTint="F2"/>
          <w:sz w:val="24"/>
          <w:szCs w:val="24"/>
          <w14:textFill>
            <w14:solidFill>
              <w14:schemeClr w14:val="tx1">
                <w14:lumMod w14:val="95000"/>
                <w14:lumOff w14:val="5000"/>
              </w14:schemeClr>
            </w14:solidFill>
          </w14:textFill>
        </w:rPr>
        <w:t>资信标评审：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第一阶段，先将所有合格参选文件的资信标书移交至评标委员会，评标委员会对参选文件的资信标书进行初步评审（有效性审查），只有通过初步评审的资信标书才有资格进入下一步的详细评审。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w:t>
      </w:r>
      <w:r>
        <w:rPr>
          <w:rFonts w:ascii="宋体" w:hAnsi="宋体"/>
          <w:bCs/>
          <w:sz w:val="24"/>
          <w:szCs w:val="24"/>
        </w:rPr>
        <w:t>.</w:t>
      </w:r>
      <w:r>
        <w:rPr>
          <w:rFonts w:hint="eastAsia" w:ascii="宋体" w:hAnsi="宋体"/>
          <w:bCs/>
          <w:sz w:val="24"/>
          <w:szCs w:val="24"/>
        </w:rPr>
        <w:t>评标委员会否决无效标或者界定为废标后，</w:t>
      </w:r>
      <w:r>
        <w:rPr>
          <w:rFonts w:hint="eastAsia" w:ascii="宋体" w:hAnsi="宋体"/>
          <w:color w:val="0D0D0D" w:themeColor="text1" w:themeTint="F2"/>
          <w:sz w:val="24"/>
          <w:szCs w:val="24"/>
          <w14:textFill>
            <w14:solidFill>
              <w14:schemeClr w14:val="tx1">
                <w14:lumMod w14:val="95000"/>
                <w14:lumOff w14:val="5000"/>
              </w14:schemeClr>
            </w14:solidFill>
          </w14:textFill>
        </w:rPr>
        <w:t>若合格参选人少于</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家 ，</w:t>
      </w:r>
      <w:r>
        <w:rPr>
          <w:rFonts w:hint="eastAsia" w:ascii="宋体" w:hAnsi="宋体"/>
          <w:bCs/>
          <w:sz w:val="24"/>
          <w:szCs w:val="24"/>
        </w:rPr>
        <w:t>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bCs/>
          <w:sz w:val="24"/>
          <w:szCs w:val="24"/>
        </w:rPr>
        <w:t>资信标初步审查完成后，参选人对参选人的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资信标书进行详细评审，完成资信标详细评审表（详见评标附表）。</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szCs w:val="24"/>
          <w14:textFill>
            <w14:solidFill>
              <w14:schemeClr w14:val="tx1">
                <w14:lumMod w14:val="95000"/>
                <w14:lumOff w14:val="5000"/>
              </w14:schemeClr>
            </w14:solidFill>
          </w14:textFill>
        </w:rPr>
        <w:t>技术标评审：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资信标评审结束后，将技术标书（含技术标1和技术标2）移交评标委员会，评标委员会对参选文件的技术标书进行初步评审（有效性审查），只有通过初步评审的技术标书才有资格进入下一步的详细评审。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bCs/>
          <w:sz w:val="24"/>
          <w:szCs w:val="24"/>
        </w:rPr>
        <w:t>技术标初步审查完成后，参选人对参选人的</w:t>
      </w:r>
      <w:r>
        <w:rPr>
          <w:rFonts w:hint="eastAsia" w:ascii="宋体" w:hAnsi="宋体"/>
          <w:color w:val="0D0D0D" w:themeColor="text1" w:themeTint="F2"/>
          <w:sz w:val="24"/>
          <w:szCs w:val="24"/>
          <w14:textFill>
            <w14:solidFill>
              <w14:schemeClr w14:val="tx1">
                <w14:lumMod w14:val="95000"/>
                <w14:lumOff w14:val="5000"/>
              </w14:schemeClr>
            </w14:solidFill>
          </w14:textFill>
        </w:rPr>
        <w:t>技术标书进行详细评审，完成技术标1详细评审表及技术标</w:t>
      </w: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详细评审表（详见评标附表）。</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技术标评审结束后，评标委员会对有效参选人的资信标及技术标分数进行汇总，得出【资信标+技术标1】以及【资信标+技术标2】总分。</w:t>
      </w: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（三）A包商务标评审：</w:t>
      </w:r>
    </w:p>
    <w:p>
      <w:pPr>
        <w:tabs>
          <w:tab w:val="left" w:pos="993"/>
        </w:tabs>
        <w:spacing w:line="360" w:lineRule="auto"/>
        <w:ind w:firstLine="480" w:firstLineChars="200"/>
        <w:rPr>
          <w:rFonts w:ascii="宋体" w:hAnsi="宋体"/>
          <w:sz w:val="24"/>
          <w:szCs w:val="24"/>
        </w:rPr>
      </w:pPr>
      <w:r>
        <w:rPr>
          <w:rFonts w:hint="eastAsia" w:ascii="宋体" w:hAnsi="宋体"/>
          <w:sz w:val="24"/>
          <w:szCs w:val="24"/>
        </w:rPr>
        <w:t>【资信标+技术标1】得分前3名进入A包商务标评审环节。若出现得分并列导致大于3家的情况，则并列的有效参选人共同进入下一阶段商务标的评审。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将</w:t>
      </w:r>
      <w:r>
        <w:rPr>
          <w:rFonts w:hint="eastAsia" w:ascii="宋体" w:hAnsi="宋体"/>
          <w:sz w:val="24"/>
          <w:szCs w:val="24"/>
        </w:rPr>
        <w:t>【资信标+技术标1】得分前3名的A包</w:t>
      </w:r>
      <w:r>
        <w:rPr>
          <w:rFonts w:hint="eastAsia" w:ascii="宋体" w:hAnsi="宋体"/>
          <w:color w:val="0D0D0D" w:themeColor="text1" w:themeTint="F2"/>
          <w:sz w:val="24"/>
          <w:szCs w:val="24"/>
          <w14:textFill>
            <w14:solidFill>
              <w14:schemeClr w14:val="tx1">
                <w14:lumMod w14:val="95000"/>
                <w14:lumOff w14:val="5000"/>
              </w14:schemeClr>
            </w14:solidFill>
          </w14:textFill>
        </w:rPr>
        <w:t>商务标书移交评标委员会，评标委员会对A包进行商务标评审，同时汇总各参选人资信标、技术标1及A包商务标分值。</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评标委员会对A包的商务标部分进行初步评审（有效性审查），只有通过初步评审的A包商务标文件才有资格进入下一步的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A</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包详细评审。若A包商务标初步评审后参选人不足三家，则从【资信标+技术标1】得分排名第4名参选人起由高至低进行商务标递补。</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详细评审环节：评标委员会对所有参选人A包的商务标进行评审，按照商务标计算公式，完成商务标分数计算。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A</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包商务标分数计算完毕后，汇总各参选人资信标、技术标1及商务标分值，评委按照参选人的最终得分值由高到低排列名次。推荐排名第一的参选人为A包的中选候选人。A包的中选候选人不再参与B包的评审。</w:t>
      </w:r>
    </w:p>
    <w:p>
      <w:pPr>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（四）B包商务标评审：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第二阶段汇总的【资信标+技术标2】得分前3名进入B包商务标评审环节。若出现得分并列导致大于3家的情况，则并列的有效参选人共同进入下一阶段商务标的评审；若前3名存在参选人已成为A包中选候选人，则该参选人不再参与B包的评审，从【资信标+技术标2】得分排名第4名参选人起由高至低进行商务标递补。</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B包的商务标部分进行初步评审（有效性审查），只有通过初步评审的B包商务标文件才有资格进入下一步的B包详细评审。经B包商务标初步审查，评标委员会作出无效标或者废标处理，致有效参选人不足</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家，则从【资信标+技术标2】得分排名第4名参选人起由高至低进行商务标递补。</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详细评审环节：评标委员会对所有参选人B包的商务标进行评审，按照商务标计算公式，完成商务标分数计算。</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B包商务标分数计算完毕后，汇总各参选人资信标、技术标</w:t>
      </w: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及商务标分值，评委按照参选人的最终得分值由高到低排列名次。推荐排名第一的参选人为B包的中选候选人。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备注：</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1</w:t>
      </w:r>
      <w:r>
        <w:rPr>
          <w:rFonts w:ascii="宋体" w:hAnsi="宋体"/>
          <w:color w:val="0D0D0D" w:themeColor="text1" w:themeTint="F2"/>
          <w:kern w:val="2"/>
          <w:sz w:val="24"/>
          <w:szCs w:val="24"/>
          <w14:textFill>
            <w14:solidFill>
              <w14:schemeClr w14:val="tx1">
                <w14:lumMod w14:val="95000"/>
                <w14:lumOff w14:val="5000"/>
              </w14:schemeClr>
            </w14:solidFill>
          </w14:textFill>
        </w:rPr>
        <w:t>.</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3"/>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若各参选人的报价，如出现税率不一致的情况，则以不含税总价作为参选人的报价进行计算；若税率一致，则以含税总价作为参选人的报价进行计算。</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最终，评委针对各包分别推荐一名中选候选人，共</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名中选候选人，并形成评标报告。</w:t>
      </w:r>
    </w:p>
    <w:p>
      <w:pPr>
        <w:pStyle w:val="204"/>
        <w:tabs>
          <w:tab w:val="left" w:pos="993"/>
        </w:tabs>
        <w:spacing w:line="360" w:lineRule="auto"/>
        <w:ind w:firstLine="424" w:firstLineChars="177"/>
        <w:rPr>
          <w:rFonts w:ascii="宋体" w:hAnsi="宋体"/>
          <w:sz w:val="24"/>
          <w:szCs w:val="24"/>
        </w:rPr>
      </w:pPr>
      <w:r>
        <w:rPr>
          <w:rFonts w:hint="eastAsia" w:ascii="宋体" w:hAnsi="宋体"/>
          <w:color w:val="0D0D0D" w:themeColor="text1" w:themeTint="F2"/>
          <w:sz w:val="24"/>
          <w:szCs w:val="24"/>
          <w14:textFill>
            <w14:solidFill>
              <w14:schemeClr w14:val="tx1">
                <w14:lumMod w14:val="95000"/>
                <w14:lumOff w14:val="5000"/>
              </w14:schemeClr>
            </w14:solidFill>
          </w14:textFill>
        </w:rPr>
        <w:t>2</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sz w:val="24"/>
          <w:szCs w:val="24"/>
        </w:rPr>
        <w:t>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w:t>
      </w:r>
      <w:r>
        <w:rPr>
          <w:rFonts w:hint="eastAsia" w:ascii="宋体" w:hAnsi="宋体"/>
          <w:sz w:val="24"/>
          <w:szCs w:val="24"/>
        </w:rPr>
        <w:t>总</w:t>
      </w:r>
      <w:r>
        <w:rPr>
          <w:rFonts w:ascii="宋体" w:hAnsi="宋体"/>
          <w:sz w:val="24"/>
          <w:szCs w:val="24"/>
        </w:rPr>
        <w:t>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pacing w:line="360" w:lineRule="auto"/>
        <w:ind w:firstLine="283" w:firstLineChars="118"/>
        <w:rPr>
          <w:rFonts w:ascii="宋体" w:hAnsi="宋体" w:cs="宋体"/>
          <w:kern w:val="0"/>
          <w:sz w:val="24"/>
          <w:szCs w:val="24"/>
        </w:rPr>
      </w:pPr>
      <w:r>
        <w:rPr>
          <w:rFonts w:hint="eastAsia" w:ascii="宋体" w:hAnsi="宋体"/>
          <w:sz w:val="24"/>
          <w:szCs w:val="24"/>
        </w:rPr>
        <w:t>（5）</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pacing w:line="360" w:lineRule="auto"/>
        <w:ind w:firstLine="403" w:firstLineChars="168"/>
        <w:rPr>
          <w:rFonts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p>
      <w:pPr>
        <w:pStyle w:val="3"/>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5" w:name="_Toc98264034"/>
      <w:r>
        <w:rPr>
          <w:rFonts w:hint="eastAsia" w:ascii="宋体" w:hAnsi="宋体"/>
          <w:bCs/>
          <w:color w:val="0D0D0D" w:themeColor="text1" w:themeTint="F2"/>
          <w:sz w:val="24"/>
          <w14:textFill>
            <w14:solidFill>
              <w14:schemeClr w14:val="tx1">
                <w14:lumMod w14:val="95000"/>
                <w14:lumOff w14:val="5000"/>
              </w14:schemeClr>
            </w14:solidFill>
          </w14:textFill>
        </w:rPr>
        <w:t>四、评审标准</w:t>
      </w:r>
      <w:bookmarkEnd w:id="75"/>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s="Arial"/>
          <w:snapToGrid w:val="0"/>
          <w:kern w:val="0"/>
          <w:sz w:val="24"/>
          <w:szCs w:val="24"/>
        </w:rPr>
        <w:t>资信标、技术标及商务标初步评审及详细标准详见附件</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6" w:name="_Toc98264035"/>
      <w:r>
        <w:rPr>
          <w:rFonts w:hint="eastAsia" w:ascii="宋体" w:hAnsi="宋体"/>
          <w:bCs/>
          <w:color w:val="0D0D0D" w:themeColor="text1" w:themeTint="F2"/>
          <w:sz w:val="24"/>
          <w14:textFill>
            <w14:solidFill>
              <w14:schemeClr w14:val="tx1">
                <w14:lumMod w14:val="95000"/>
                <w14:lumOff w14:val="5000"/>
              </w14:schemeClr>
            </w14:solidFill>
          </w14:textFill>
        </w:rPr>
        <w:t>五、中选价确定原则</w:t>
      </w:r>
      <w:bookmarkEnd w:id="76"/>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 xml:space="preserve"> 中选人针对相应包的总报价即为该包的中选价、标包内各项目及各项目内细项价格即为相应项的中选价。</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7" w:name="_Toc98264036"/>
      <w:r>
        <w:rPr>
          <w:rFonts w:hint="eastAsia" w:ascii="宋体" w:hAnsi="宋体"/>
          <w:bCs/>
          <w:color w:val="0D0D0D" w:themeColor="text1" w:themeTint="F2"/>
          <w:sz w:val="24"/>
          <w14:textFill>
            <w14:solidFill>
              <w14:schemeClr w14:val="tx1">
                <w14:lumMod w14:val="95000"/>
                <w14:lumOff w14:val="5000"/>
              </w14:schemeClr>
            </w14:solidFill>
          </w14:textFill>
        </w:rPr>
        <w:t>六、定标</w:t>
      </w:r>
      <w:bookmarkEnd w:id="77"/>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比选人在评标工作结束后，将根据评标委员会提交的评标报告，对推荐的中选候选人进行参选文件审核，确定各包的中选人。</w:t>
      </w:r>
    </w:p>
    <w:p>
      <w:pPr>
        <w:pStyle w:val="6"/>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8" w:name="_Toc98264037"/>
      <w:r>
        <w:rPr>
          <w:rFonts w:hint="eastAsia" w:ascii="宋体" w:hAnsi="宋体"/>
          <w:bCs/>
          <w:color w:val="0D0D0D" w:themeColor="text1" w:themeTint="F2"/>
          <w:sz w:val="24"/>
          <w14:textFill>
            <w14:solidFill>
              <w14:schemeClr w14:val="tx1">
                <w14:lumMod w14:val="95000"/>
                <w14:lumOff w14:val="5000"/>
              </w14:schemeClr>
            </w14:solidFill>
          </w14:textFill>
        </w:rPr>
        <w:t>七</w:t>
      </w:r>
      <w:r>
        <w:rPr>
          <w:rFonts w:ascii="宋体"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14:textFill>
            <w14:solidFill>
              <w14:schemeClr w14:val="tx1">
                <w14:lumMod w14:val="95000"/>
                <w14:lumOff w14:val="5000"/>
              </w14:schemeClr>
            </w14:solidFill>
          </w14:textFill>
        </w:rPr>
        <w:t>评标守则</w:t>
      </w:r>
      <w:bookmarkEnd w:id="78"/>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（一）必须遵守评定标纪律，不得泄密；</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（二）必须公正、公平，不得徇私；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（三）必须科学严谨，不得草率马虎；</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（四）必须客观，不得带有成见；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（五）必须平等，不得强加于人。</w:t>
      </w:r>
      <w:bookmarkStart w:id="79" w:name="_Toc399494430"/>
      <w:bookmarkStart w:id="80" w:name="_Toc17781"/>
      <w:bookmarkStart w:id="81" w:name="_Toc16508"/>
      <w:bookmarkStart w:id="82" w:name="_Toc5323"/>
    </w:p>
    <w:p>
      <w:pPr>
        <w:spacing w:line="360" w:lineRule="auto"/>
        <w:ind w:firstLine="600" w:firstLineChars="249"/>
        <w:rPr>
          <w:rFonts w:ascii="宋体" w:hAnsi="宋体"/>
          <w:b/>
          <w:bCs/>
          <w:color w:val="0D0D0D" w:themeColor="text1" w:themeTint="F2"/>
          <w:sz w:val="28"/>
          <w:szCs w:val="21"/>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所有与比选评标活动有关的人员必须遵守国家、地方政府制定的法律、法规和</w:t>
      </w:r>
      <w:bookmarkEnd w:id="3"/>
      <w:bookmarkEnd w:id="4"/>
      <w:bookmarkEnd w:id="5"/>
      <w:r>
        <w:rPr>
          <w:rFonts w:hint="eastAsia" w:ascii="宋体" w:hAnsi="宋体"/>
          <w:b/>
          <w:bCs/>
          <w:color w:val="0D0D0D" w:themeColor="text1" w:themeTint="F2"/>
          <w:sz w:val="24"/>
          <w14:textFill>
            <w14:solidFill>
              <w14:schemeClr w14:val="tx1">
                <w14:lumMod w14:val="95000"/>
                <w14:lumOff w14:val="5000"/>
              </w14:schemeClr>
            </w14:solidFill>
          </w14:textFill>
        </w:rPr>
        <w:t>市建设行政主管部门的相关规定，遵守保密制度；如有违犯，将按有关规定给予行政处分；情节严重、构成犯罪的，交由司</w:t>
      </w:r>
      <w:bookmarkEnd w:id="66"/>
      <w:r>
        <w:rPr>
          <w:rFonts w:hint="eastAsia" w:ascii="宋体" w:hAnsi="宋体"/>
          <w:b/>
          <w:bCs/>
          <w:color w:val="0D0D0D" w:themeColor="text1" w:themeTint="F2"/>
          <w:sz w:val="24"/>
          <w14:textFill>
            <w14:solidFill>
              <w14:schemeClr w14:val="tx1">
                <w14:lumMod w14:val="95000"/>
                <w14:lumOff w14:val="5000"/>
              </w14:schemeClr>
            </w14:solidFill>
          </w14:textFill>
        </w:rPr>
        <w:t>法机关依法追究其法律。</w:t>
      </w:r>
      <w:r>
        <w:rPr>
          <w:rFonts w:ascii="宋体" w:hAnsi="宋体"/>
          <w:bCs/>
          <w:color w:val="0D0D0D" w:themeColor="text1" w:themeTint="F2"/>
          <w:sz w:val="24"/>
          <w14:textFill>
            <w14:solidFill>
              <w14:schemeClr w14:val="tx1">
                <w14:lumMod w14:val="95000"/>
                <w14:lumOff w14:val="5000"/>
              </w14:schemeClr>
            </w14:solidFill>
          </w14:textFill>
        </w:rPr>
        <w:br w:type="page"/>
      </w:r>
      <w:bookmarkStart w:id="83" w:name="_Toc399494431"/>
      <w:r>
        <w:rPr>
          <w:rFonts w:hint="eastAsia" w:ascii="宋体" w:hAnsi="宋体"/>
          <w:b/>
          <w:color w:val="0D0D0D" w:themeColor="text1" w:themeTint="F2"/>
          <w:sz w:val="28"/>
          <w:szCs w:val="21"/>
          <w14:textFill>
            <w14:solidFill>
              <w14:schemeClr w14:val="tx1">
                <w14:lumMod w14:val="95000"/>
                <w14:lumOff w14:val="5000"/>
              </w14:schemeClr>
            </w14:solidFill>
          </w14:textFill>
        </w:rPr>
        <w:t>附表1：</w:t>
      </w:r>
      <w:bookmarkEnd w:id="79"/>
      <w:bookmarkEnd w:id="80"/>
      <w:bookmarkEnd w:id="81"/>
      <w:bookmarkEnd w:id="82"/>
      <w:bookmarkEnd w:id="83"/>
      <w:r>
        <w:rPr>
          <w:rFonts w:hint="eastAsia" w:ascii="宋体" w:hAnsi="宋体"/>
          <w:b/>
          <w:bCs/>
          <w:color w:val="0D0D0D" w:themeColor="text1" w:themeTint="F2"/>
          <w:sz w:val="28"/>
          <w:szCs w:val="21"/>
          <w14:textFill>
            <w14:solidFill>
              <w14:schemeClr w14:val="tx1">
                <w14:lumMod w14:val="95000"/>
                <w14:lumOff w14:val="5000"/>
              </w14:schemeClr>
            </w14:solidFill>
          </w14:textFill>
        </w:rPr>
        <w:t>参选人签到表</w:t>
      </w:r>
    </w:p>
    <w:p>
      <w:pPr>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参选人签到表</w:t>
      </w:r>
    </w:p>
    <w:p>
      <w:pPr>
        <w:spacing w:after="120" w:afterLines="50" w:line="480" w:lineRule="atLeast"/>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日期：       年      月     日</w:t>
      </w:r>
    </w:p>
    <w:tbl>
      <w:tblPr>
        <w:tblStyle w:val="47"/>
        <w:tblW w:w="9406" w:type="dxa"/>
        <w:jc w:val="center"/>
        <w:tblLayout w:type="fixed"/>
        <w:tblCellMar>
          <w:top w:w="0" w:type="dxa"/>
          <w:left w:w="0" w:type="dxa"/>
          <w:bottom w:w="0" w:type="dxa"/>
          <w:right w:w="0" w:type="dxa"/>
        </w:tblCellMar>
      </w:tblPr>
      <w:tblGrid>
        <w:gridCol w:w="741"/>
        <w:gridCol w:w="3619"/>
        <w:gridCol w:w="1746"/>
        <w:gridCol w:w="1892"/>
        <w:gridCol w:w="1408"/>
      </w:tblGrid>
      <w:tr>
        <w:tblPrEx>
          <w:tblCellMar>
            <w:top w:w="0" w:type="dxa"/>
            <w:left w:w="0" w:type="dxa"/>
            <w:bottom w:w="0" w:type="dxa"/>
            <w:right w:w="0" w:type="dxa"/>
          </w:tblCellMar>
        </w:tblPrEx>
        <w:trPr>
          <w:trHeight w:val="98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序号</w:t>
            </w:r>
          </w:p>
        </w:tc>
        <w:tc>
          <w:tcPr>
            <w:tcW w:w="3619"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参选人全称</w:t>
            </w:r>
          </w:p>
        </w:tc>
        <w:tc>
          <w:tcPr>
            <w:tcW w:w="174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参选人简称</w:t>
            </w:r>
          </w:p>
        </w:tc>
        <w:tc>
          <w:tcPr>
            <w:tcW w:w="1892"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参选人签字</w:t>
            </w:r>
          </w:p>
        </w:tc>
        <w:tc>
          <w:tcPr>
            <w:tcW w:w="140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2</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3</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ascii="宋体" w:hAnsi="宋体" w:cs="Arial"/>
                <w:color w:val="0D0D0D" w:themeColor="text1" w:themeTint="F2"/>
                <w:kern w:val="0"/>
                <w:sz w:val="24"/>
                <w14:textFill>
                  <w14:solidFill>
                    <w14:schemeClr w14:val="tx1">
                      <w14:lumMod w14:val="95000"/>
                      <w14:lumOff w14:val="5000"/>
                    </w14:schemeClr>
                  </w14:solidFill>
                </w14:textFill>
              </w:rPr>
              <w:t>4</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5</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6</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7</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8</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9</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10</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649" w:hRule="atLeast"/>
          <w:jc w:val="center"/>
        </w:trPr>
        <w:tc>
          <w:tcPr>
            <w:tcW w:w="9406"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工作</w:t>
            </w:r>
            <w:r>
              <w:rPr>
                <w:rFonts w:ascii="宋体" w:hAnsi="宋体"/>
                <w:color w:val="0D0D0D" w:themeColor="text1" w:themeTint="F2"/>
                <w:sz w:val="24"/>
                <w14:textFill>
                  <w14:solidFill>
                    <w14:schemeClr w14:val="tx1">
                      <w14:lumMod w14:val="95000"/>
                      <w14:lumOff w14:val="5000"/>
                    </w14:schemeClr>
                  </w14:solidFill>
                </w14:textFill>
              </w:rPr>
              <w:t>人员</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监督(签名)：</w:t>
            </w:r>
          </w:p>
        </w:tc>
      </w:tr>
    </w:tbl>
    <w:p>
      <w:pPr>
        <w:spacing w:line="480" w:lineRule="atLeast"/>
        <w:jc w:val="left"/>
        <w:rPr>
          <w:rFonts w:ascii="宋体" w:hAnsi="宋体"/>
          <w:b/>
          <w:color w:val="0D0D0D" w:themeColor="text1" w:themeTint="F2"/>
          <w:sz w:val="24"/>
          <w14:textFill>
            <w14:solidFill>
              <w14:schemeClr w14:val="tx1">
                <w14:lumMod w14:val="95000"/>
                <w14:lumOff w14:val="5000"/>
              </w14:schemeClr>
            </w14:solidFill>
          </w14:textFill>
        </w:rPr>
        <w:sectPr>
          <w:footerReference r:id="rId3" w:type="default"/>
          <w:pgSz w:w="11907" w:h="16840"/>
          <w:pgMar w:top="1440" w:right="1134" w:bottom="1440" w:left="1440" w:header="720" w:footer="890" w:gutter="0"/>
          <w:cols w:space="720" w:num="1"/>
          <w:docGrid w:linePitch="312" w:charSpace="0"/>
        </w:sectPr>
      </w:pP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附表2</w:t>
      </w:r>
      <w:r>
        <w:rPr>
          <w:rFonts w:hint="eastAsia" w:ascii="宋体" w:hAnsi="宋体" w:cs="宋体"/>
          <w:b/>
          <w:bCs/>
          <w:color w:val="0D0D0D" w:themeColor="text1" w:themeTint="F2"/>
          <w:kern w:val="0"/>
          <w:sz w:val="36"/>
          <w:szCs w:val="36"/>
          <w14:textFill>
            <w14:solidFill>
              <w14:schemeClr w14:val="tx1">
                <w14:lumMod w14:val="95000"/>
                <w14:lumOff w14:val="5000"/>
              </w14:schemeClr>
            </w14:solidFill>
          </w14:textFill>
        </w:rPr>
        <w:t>：</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比选项目名称：深铁置业2022年度拟销售项目展示区开放系列活动、现场包装及宣传推广服务</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7"/>
        <w:tblW w:w="1399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379"/>
        <w:gridCol w:w="2212"/>
        <w:gridCol w:w="2351"/>
        <w:gridCol w:w="2212"/>
        <w:gridCol w:w="2074"/>
        <w:gridCol w:w="1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30"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2379"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0781" w:type="dxa"/>
            <w:gridSpan w:val="5"/>
            <w:shd w:val="clear" w:color="auto" w:fill="auto"/>
            <w:vAlign w:val="center"/>
          </w:tcPr>
          <w:p>
            <w:pPr>
              <w:widowControl/>
              <w:jc w:val="center"/>
              <w:rPr>
                <w:color w:val="0D0D0D" w:themeColor="text1" w:themeTint="F2"/>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30"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79"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3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1</w:t>
            </w:r>
          </w:p>
        </w:tc>
        <w:tc>
          <w:tcPr>
            <w:tcW w:w="2379"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参选文件在截止时间前送达指定地点</w:t>
            </w:r>
          </w:p>
        </w:tc>
        <w:tc>
          <w:tcPr>
            <w:tcW w:w="2212"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30"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2</w:t>
            </w:r>
          </w:p>
        </w:tc>
        <w:tc>
          <w:tcPr>
            <w:tcW w:w="2379" w:type="dxa"/>
            <w:vAlign w:val="center"/>
          </w:tcPr>
          <w:p>
            <w:pPr>
              <w:widowControl/>
              <w:jc w:val="center"/>
              <w:rPr>
                <w:rFonts w:ascii="宋体" w:hAnsi="宋体"/>
                <w:bCs/>
                <w:color w:val="0D0D0D" w:themeColor="text1" w:themeTint="F2"/>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参选文件按规定密封</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0" w:type="dxa"/>
            <w:vMerge w:val="restart"/>
            <w:vAlign w:val="center"/>
          </w:tcPr>
          <w:p>
            <w:pPr>
              <w:widowControl/>
              <w:jc w:val="center"/>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color w:val="0D0D0D" w:themeColor="text1" w:themeTint="F2"/>
                <w:kern w:val="0"/>
                <w:sz w:val="24"/>
                <w:szCs w:val="24"/>
                <w14:textFill>
                  <w14:solidFill>
                    <w14:schemeClr w14:val="tx1">
                      <w14:lumMod w14:val="95000"/>
                      <w14:lumOff w14:val="5000"/>
                    </w14:schemeClr>
                  </w14:solidFill>
                </w14:textFill>
              </w:rPr>
              <w:t>3</w:t>
            </w:r>
          </w:p>
        </w:tc>
        <w:tc>
          <w:tcPr>
            <w:tcW w:w="2379" w:type="dxa"/>
            <w:vAlign w:val="center"/>
          </w:tcPr>
          <w:p>
            <w:pPr>
              <w:widowControl/>
              <w:jc w:val="center"/>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sz w:val="24"/>
                <w:szCs w:val="24"/>
              </w:rPr>
              <w:t>参选报价：</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A包</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30" w:type="dxa"/>
            <w:vMerge w:val="continue"/>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2379" w:type="dxa"/>
            <w:vAlign w:val="center"/>
          </w:tcPr>
          <w:p>
            <w:pPr>
              <w:widowControl/>
              <w:jc w:val="center"/>
              <w:rPr>
                <w:rFonts w:ascii="宋体" w:hAnsi="宋体"/>
                <w:bCs/>
                <w:sz w:val="24"/>
                <w:szCs w:val="24"/>
              </w:rPr>
            </w:pPr>
            <w:r>
              <w:rPr>
                <w:rFonts w:hint="eastAsia" w:ascii="宋体" w:hAnsi="宋体"/>
                <w:bCs/>
                <w:sz w:val="24"/>
                <w:szCs w:val="24"/>
              </w:rPr>
              <w:t>参选报价：</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包</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30" w:type="dxa"/>
            <w:vMerge w:val="continue"/>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2379" w:type="dxa"/>
            <w:vAlign w:val="center"/>
          </w:tcPr>
          <w:p>
            <w:pPr>
              <w:widowControl/>
              <w:jc w:val="center"/>
              <w:rPr>
                <w:rFonts w:ascii="宋体" w:hAnsi="宋体"/>
                <w:bCs/>
                <w:sz w:val="24"/>
                <w:szCs w:val="24"/>
              </w:rPr>
            </w:pPr>
            <w:r>
              <w:rPr>
                <w:rFonts w:hint="eastAsia" w:ascii="宋体" w:hAnsi="宋体"/>
                <w:bCs/>
                <w:sz w:val="24"/>
                <w:szCs w:val="24"/>
              </w:rPr>
              <w:t>参选总报价</w:t>
            </w: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09"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参选人签名确认</w:t>
            </w:r>
          </w:p>
        </w:tc>
        <w:tc>
          <w:tcPr>
            <w:tcW w:w="221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51"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1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074"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32"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3"/>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3"/>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 xml:space="preserve">监督人签名： </w:t>
      </w:r>
      <w:r>
        <w:rPr>
          <w:rFonts w:ascii="宋体" w:hAnsi="宋体"/>
          <w:b/>
          <w:color w:val="0D0D0D" w:themeColor="text1" w:themeTint="F2"/>
          <w14:textFill>
            <w14:solidFill>
              <w14:schemeClr w14:val="tx1">
                <w14:lumMod w14:val="95000"/>
                <w14:lumOff w14:val="5000"/>
              </w14:schemeClr>
            </w14:solidFill>
          </w14:textFill>
        </w:rPr>
        <w:t xml:space="preserve">                                                                                                    </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附表3</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w:t>
      </w:r>
      <w:r>
        <w:rPr>
          <w:rFonts w:hint="eastAsia" w:ascii="宋体" w:hAnsi="宋体" w:cs="宋体"/>
          <w:b/>
          <w:kern w:val="0"/>
          <w:sz w:val="28"/>
          <w:szCs w:val="28"/>
        </w:rPr>
        <w:t xml:space="preserve"> 资信标初步评审表</w:t>
      </w:r>
    </w:p>
    <w:p>
      <w:pPr>
        <w:spacing w:line="360" w:lineRule="auto"/>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资信标初步评审表</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比选项目名称：深铁置业2022年度拟销售项目展示区开放系列活动、现场包装及宣传推广服务</w:t>
      </w:r>
    </w:p>
    <w:tbl>
      <w:tblPr>
        <w:tblStyle w:val="47"/>
        <w:tblW w:w="14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5"/>
        <w:gridCol w:w="7268"/>
        <w:gridCol w:w="974"/>
        <w:gridCol w:w="1493"/>
        <w:gridCol w:w="1343"/>
        <w:gridCol w:w="1195"/>
        <w:gridCol w:w="1196"/>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865" w:type="dxa"/>
            <w:vMerge w:val="restart"/>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序号</w:t>
            </w:r>
          </w:p>
        </w:tc>
        <w:tc>
          <w:tcPr>
            <w:tcW w:w="7268" w:type="dxa"/>
            <w:vMerge w:val="restart"/>
            <w:tcBorders>
              <w:tl2br w:val="single" w:color="auto" w:sz="4" w:space="0"/>
            </w:tcBorders>
            <w:vAlign w:val="center"/>
          </w:tcPr>
          <w:p>
            <w:pPr>
              <w:spacing w:line="480" w:lineRule="atLeast"/>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Cs w:val="24"/>
                <w14:textFill>
                  <w14:solidFill>
                    <w14:schemeClr w14:val="tx1">
                      <w14:lumMod w14:val="95000"/>
                      <w14:lumOff w14:val="5000"/>
                    </w14:schemeClr>
                  </w14:solidFill>
                </w14:textFill>
              </w:rPr>
              <w:t xml:space="preserve">   评审项目 </w:t>
            </w:r>
            <w:r>
              <w:rPr>
                <w:rFonts w:ascii="宋体" w:hAnsi="宋体"/>
                <w:b/>
                <w:bCs/>
                <w:color w:val="0D0D0D" w:themeColor="text1" w:themeTint="F2"/>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Cs w:val="24"/>
                <w14:textFill>
                  <w14:solidFill>
                    <w14:schemeClr w14:val="tx1">
                      <w14:lumMod w14:val="95000"/>
                      <w14:lumOff w14:val="5000"/>
                    </w14:schemeClr>
                  </w14:solidFill>
                </w14:textFill>
              </w:rPr>
              <w:t>参选人</w:t>
            </w:r>
          </w:p>
        </w:tc>
        <w:tc>
          <w:tcPr>
            <w:tcW w:w="6216" w:type="dxa"/>
            <w:gridSpan w:val="6"/>
            <w:shd w:val="clear" w:color="auto" w:fill="auto"/>
          </w:tcPr>
          <w:p>
            <w:pPr>
              <w:widowControl/>
              <w:spacing w:line="480" w:lineRule="atLeast"/>
              <w:jc w:val="left"/>
              <w:rPr>
                <w:b/>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b/>
                <w:color w:val="0D0D0D" w:themeColor="text1" w:themeTint="F2"/>
                <w14:textFill>
                  <w14:solidFill>
                    <w14:schemeClr w14:val="tx1">
                      <w14:lumMod w14:val="95000"/>
                      <w14:lumOff w14:val="5000"/>
                    </w14:schemeClr>
                  </w14:solidFill>
                </w14:textFill>
              </w:rPr>
              <w:t xml:space="preserve">   参选</w:t>
            </w:r>
            <w:r>
              <w:rPr>
                <w:b/>
                <w:color w:val="0D0D0D" w:themeColor="text1" w:themeTint="F2"/>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9" w:hRule="atLeast"/>
          <w:jc w:val="center"/>
        </w:trPr>
        <w:tc>
          <w:tcPr>
            <w:tcW w:w="865"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7268"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974" w:type="dxa"/>
            <w:vAlign w:val="center"/>
          </w:tcPr>
          <w:p>
            <w:pPr>
              <w:widowControl/>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93"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343"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5"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6" w:type="dxa"/>
            <w:vAlign w:val="center"/>
          </w:tcPr>
          <w:p>
            <w:pPr>
              <w:widowControl/>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1</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参选文件按要求加盖参选人公章；</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2</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参选文件经法定代表人或其委托代理人签字，或由委托代理人签字并随参选文件一起提供“法定代表人授权书”原件；</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3</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参选人成立时间：2018年1月1日之前成立；</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90"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4</w:t>
            </w:r>
          </w:p>
        </w:tc>
        <w:tc>
          <w:tcPr>
            <w:tcW w:w="7268"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公司业绩：2019年1月1日至今，服务全国50强或深圳20强房地产开发公司品牌（全国50强排名参考2019年-2021年中指研究院或易居克尔瑞数据，深圳20强排名参考2019-2021年深圳房协数据）在北上广深一线城市的项目或品牌的活动或包装或美陈，且合同金额在50万以上的案例不少于2个。</w:t>
            </w:r>
          </w:p>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备注：a.需提供合同关键页复印件（包括但不限于名称、委托内容、合同价格、委托期限、签订日期、盖章页等）及相关活动现场图片；</w:t>
            </w:r>
          </w:p>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b.合同名称或委托内容需标明具体活动类型。</w:t>
            </w:r>
          </w:p>
        </w:tc>
        <w:tc>
          <w:tcPr>
            <w:tcW w:w="974"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9" w:hRule="atLeast"/>
          <w:jc w:val="center"/>
        </w:trPr>
        <w:tc>
          <w:tcPr>
            <w:tcW w:w="8133" w:type="dxa"/>
            <w:gridSpan w:val="2"/>
            <w:vAlign w:val="center"/>
          </w:tcPr>
          <w:p>
            <w:pPr>
              <w:jc w:val="center"/>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结论</w:t>
            </w:r>
          </w:p>
        </w:tc>
        <w:tc>
          <w:tcPr>
            <w:tcW w:w="974"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493"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343"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95"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96"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480" w:lineRule="atLeast"/>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 xml:space="preserve">监督（签名）： </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     年    月    日</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p>
    <w:p>
      <w:pPr>
        <w:spacing w:line="360" w:lineRule="auto"/>
        <w:jc w:val="left"/>
        <w:rPr>
          <w:rFonts w:ascii="宋体" w:hAnsi="宋体"/>
          <w:b/>
          <w:snapToGrid w:val="0"/>
          <w:sz w:val="28"/>
          <w:szCs w:val="28"/>
        </w:rPr>
      </w:pP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附表</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4:</w:t>
      </w:r>
      <w:r>
        <w:rPr>
          <w:rFonts w:hint="eastAsia" w:ascii="宋体" w:hAnsi="宋体" w:cs="宋体"/>
          <w:b/>
          <w:kern w:val="0"/>
          <w:sz w:val="28"/>
          <w:szCs w:val="28"/>
        </w:rPr>
        <w:t xml:space="preserve"> 资信标详细评审表</w:t>
      </w:r>
    </w:p>
    <w:p>
      <w:pPr>
        <w:spacing w:line="360" w:lineRule="auto"/>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资信标详细评审表</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比选项目名称：深铁置业2022年度拟销售项目展示区开放系列活动、现场包装及宣传推广服务</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864"/>
        <w:gridCol w:w="7000"/>
        <w:gridCol w:w="709"/>
        <w:gridCol w:w="948"/>
        <w:gridCol w:w="948"/>
        <w:gridCol w:w="948"/>
        <w:gridCol w:w="948"/>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636" w:type="dxa"/>
            <w:vMerge w:val="restart"/>
            <w:noWrap/>
            <w:vAlign w:val="center"/>
          </w:tcPr>
          <w:p>
            <w:pPr>
              <w:adjustRightInd w:val="0"/>
              <w:snapToGrid w:val="0"/>
              <w:spacing w:line="240" w:lineRule="atLeast"/>
              <w:rPr>
                <w:rFonts w:ascii="仿宋_GB2312" w:hAnsi="宋体" w:eastAsia="仿宋_GB2312"/>
                <w:color w:val="000000"/>
                <w:szCs w:val="21"/>
              </w:rPr>
            </w:pPr>
            <w:r>
              <w:rPr>
                <w:rFonts w:hint="eastAsia" w:ascii="仿宋_GB2312" w:hAnsi="宋体" w:eastAsia="仿宋_GB2312"/>
                <w:color w:val="000000"/>
                <w:szCs w:val="21"/>
              </w:rPr>
              <w:t>序号</w:t>
            </w:r>
          </w:p>
        </w:tc>
        <w:tc>
          <w:tcPr>
            <w:tcW w:w="864" w:type="dxa"/>
            <w:vMerge w:val="restart"/>
            <w:vAlign w:val="center"/>
          </w:tcPr>
          <w:p>
            <w:pPr>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评分项</w:t>
            </w:r>
          </w:p>
        </w:tc>
        <w:tc>
          <w:tcPr>
            <w:tcW w:w="7000" w:type="dxa"/>
            <w:vMerge w:val="restart"/>
            <w:vAlign w:val="center"/>
          </w:tcPr>
          <w:p>
            <w:pPr>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评分标准</w:t>
            </w:r>
          </w:p>
        </w:tc>
        <w:tc>
          <w:tcPr>
            <w:tcW w:w="709" w:type="dxa"/>
            <w:vMerge w:val="restart"/>
            <w:vAlign w:val="center"/>
          </w:tcPr>
          <w:p>
            <w:pPr>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满分值</w:t>
            </w:r>
          </w:p>
        </w:tc>
        <w:tc>
          <w:tcPr>
            <w:tcW w:w="4741" w:type="dxa"/>
            <w:gridSpan w:val="5"/>
          </w:tcPr>
          <w:p>
            <w:pPr>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636" w:type="dxa"/>
            <w:vMerge w:val="continue"/>
            <w:noWrap/>
            <w:vAlign w:val="center"/>
          </w:tcPr>
          <w:p>
            <w:pPr>
              <w:adjustRightInd w:val="0"/>
              <w:snapToGrid w:val="0"/>
              <w:spacing w:line="240" w:lineRule="atLeast"/>
              <w:rPr>
                <w:rFonts w:ascii="仿宋_GB2312" w:hAnsi="宋体" w:eastAsia="仿宋_GB2312"/>
                <w:color w:val="000000"/>
                <w:szCs w:val="21"/>
              </w:rPr>
            </w:pPr>
          </w:p>
        </w:tc>
        <w:tc>
          <w:tcPr>
            <w:tcW w:w="864" w:type="dxa"/>
            <w:vMerge w:val="continue"/>
            <w:vAlign w:val="center"/>
          </w:tcPr>
          <w:p>
            <w:pPr>
              <w:adjustRightInd w:val="0"/>
              <w:snapToGrid w:val="0"/>
              <w:spacing w:line="240" w:lineRule="atLeast"/>
              <w:jc w:val="center"/>
              <w:rPr>
                <w:rFonts w:ascii="仿宋_GB2312" w:hAnsi="宋体" w:eastAsia="仿宋_GB2312"/>
                <w:color w:val="000000"/>
                <w:szCs w:val="21"/>
              </w:rPr>
            </w:pPr>
          </w:p>
        </w:tc>
        <w:tc>
          <w:tcPr>
            <w:tcW w:w="7000" w:type="dxa"/>
            <w:vMerge w:val="continue"/>
            <w:vAlign w:val="center"/>
          </w:tcPr>
          <w:p>
            <w:pPr>
              <w:adjustRightInd w:val="0"/>
              <w:snapToGrid w:val="0"/>
              <w:spacing w:line="240" w:lineRule="atLeast"/>
              <w:jc w:val="center"/>
              <w:rPr>
                <w:rFonts w:ascii="仿宋_GB2312" w:hAnsi="宋体" w:eastAsia="仿宋_GB2312"/>
                <w:color w:val="000000"/>
                <w:szCs w:val="21"/>
              </w:rPr>
            </w:pPr>
          </w:p>
        </w:tc>
        <w:tc>
          <w:tcPr>
            <w:tcW w:w="709" w:type="dxa"/>
            <w:vMerge w:val="continue"/>
            <w:vAlign w:val="center"/>
          </w:tcPr>
          <w:p>
            <w:pPr>
              <w:adjustRightInd w:val="0"/>
              <w:snapToGrid w:val="0"/>
              <w:spacing w:line="240" w:lineRule="atLeast"/>
              <w:jc w:val="center"/>
              <w:rPr>
                <w:rFonts w:ascii="仿宋_GB2312" w:hAnsi="宋体" w:eastAsia="仿宋_GB2312"/>
                <w:color w:val="000000"/>
                <w:szCs w:val="21"/>
              </w:rPr>
            </w:pPr>
          </w:p>
        </w:tc>
        <w:tc>
          <w:tcPr>
            <w:tcW w:w="948" w:type="dxa"/>
          </w:tcPr>
          <w:p>
            <w:pPr>
              <w:adjustRightInd w:val="0"/>
              <w:snapToGrid w:val="0"/>
              <w:spacing w:line="240" w:lineRule="atLeast"/>
              <w:jc w:val="center"/>
              <w:rPr>
                <w:rFonts w:ascii="仿宋_GB2312" w:hAnsi="宋体" w:eastAsia="仿宋_GB2312"/>
                <w:color w:val="000000"/>
                <w:szCs w:val="21"/>
              </w:rPr>
            </w:pPr>
          </w:p>
        </w:tc>
        <w:tc>
          <w:tcPr>
            <w:tcW w:w="948" w:type="dxa"/>
          </w:tcPr>
          <w:p>
            <w:pPr>
              <w:adjustRightInd w:val="0"/>
              <w:snapToGrid w:val="0"/>
              <w:spacing w:line="240" w:lineRule="atLeast"/>
              <w:jc w:val="center"/>
              <w:rPr>
                <w:rFonts w:ascii="仿宋_GB2312" w:hAnsi="宋体" w:eastAsia="仿宋_GB2312"/>
                <w:color w:val="000000"/>
                <w:szCs w:val="21"/>
              </w:rPr>
            </w:pPr>
          </w:p>
        </w:tc>
        <w:tc>
          <w:tcPr>
            <w:tcW w:w="948" w:type="dxa"/>
          </w:tcPr>
          <w:p>
            <w:pPr>
              <w:adjustRightInd w:val="0"/>
              <w:snapToGrid w:val="0"/>
              <w:spacing w:line="240" w:lineRule="atLeast"/>
              <w:jc w:val="center"/>
              <w:rPr>
                <w:rFonts w:ascii="仿宋_GB2312" w:hAnsi="宋体" w:eastAsia="仿宋_GB2312"/>
                <w:color w:val="000000"/>
                <w:szCs w:val="21"/>
              </w:rPr>
            </w:pPr>
          </w:p>
        </w:tc>
        <w:tc>
          <w:tcPr>
            <w:tcW w:w="948" w:type="dxa"/>
          </w:tcPr>
          <w:p>
            <w:pPr>
              <w:adjustRightInd w:val="0"/>
              <w:snapToGrid w:val="0"/>
              <w:spacing w:line="240" w:lineRule="atLeast"/>
              <w:jc w:val="center"/>
              <w:rPr>
                <w:rFonts w:ascii="仿宋_GB2312" w:hAnsi="宋体" w:eastAsia="仿宋_GB2312"/>
                <w:color w:val="000000"/>
                <w:szCs w:val="21"/>
              </w:rPr>
            </w:pPr>
          </w:p>
        </w:tc>
        <w:tc>
          <w:tcPr>
            <w:tcW w:w="949" w:type="dxa"/>
          </w:tcPr>
          <w:p>
            <w:pPr>
              <w:adjustRightInd w:val="0"/>
              <w:snapToGrid w:val="0"/>
              <w:spacing w:line="240" w:lineRule="atLeast"/>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4" w:hRule="atLeast"/>
        </w:trPr>
        <w:tc>
          <w:tcPr>
            <w:tcW w:w="636" w:type="dxa"/>
            <w:noWrap/>
            <w:vAlign w:val="center"/>
          </w:tcPr>
          <w:p>
            <w:pPr>
              <w:widowControl/>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1</w:t>
            </w:r>
          </w:p>
        </w:tc>
        <w:tc>
          <w:tcPr>
            <w:tcW w:w="864" w:type="dxa"/>
            <w:vAlign w:val="center"/>
          </w:tcPr>
          <w:p>
            <w:pPr>
              <w:widowControl/>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公司规模</w:t>
            </w:r>
          </w:p>
        </w:tc>
        <w:tc>
          <w:tcPr>
            <w:tcW w:w="7000" w:type="dxa"/>
            <w:vAlign w:val="center"/>
          </w:tcPr>
          <w:p>
            <w:pPr>
              <w:widowControl/>
              <w:adjustRightInd w:val="0"/>
              <w:snapToGrid w:val="0"/>
              <w:jc w:val="left"/>
              <w:rPr>
                <w:rFonts w:ascii="仿宋_GB2312" w:hAnsi="宋体" w:eastAsia="仿宋_GB2312"/>
                <w:color w:val="000000"/>
                <w:szCs w:val="21"/>
              </w:rPr>
            </w:pPr>
            <w:r>
              <w:rPr>
                <w:rFonts w:hint="eastAsia" w:ascii="仿宋_GB2312" w:hAnsi="宋体" w:eastAsia="仿宋_GB2312"/>
              </w:rPr>
              <w:t>（1）公司注册资本</w:t>
            </w:r>
            <w:r>
              <w:rPr>
                <w:rFonts w:hint="eastAsia" w:ascii="微软雅黑" w:hAnsi="微软雅黑" w:eastAsia="微软雅黑" w:cs="微软雅黑"/>
              </w:rPr>
              <w:t>≧</w:t>
            </w:r>
            <w:r>
              <w:rPr>
                <w:rFonts w:hint="eastAsia" w:ascii="仿宋_GB2312" w:hAnsi="宋体" w:eastAsia="仿宋_GB2312"/>
              </w:rPr>
              <w:t>500万（5分），500万</w:t>
            </w:r>
            <w:r>
              <w:rPr>
                <w:rFonts w:hint="eastAsia" w:ascii="微软雅黑" w:hAnsi="微软雅黑" w:eastAsia="微软雅黑" w:cs="微软雅黑"/>
              </w:rPr>
              <w:t>﹥</w:t>
            </w:r>
            <w:r>
              <w:rPr>
                <w:rFonts w:hint="eastAsia" w:ascii="仿宋_GB2312" w:hAnsi="仿宋_GB2312" w:eastAsia="仿宋_GB2312" w:cs="仿宋_GB2312"/>
              </w:rPr>
              <w:t>公司注册资本</w:t>
            </w:r>
            <w:r>
              <w:rPr>
                <w:rFonts w:hint="eastAsia" w:ascii="微软雅黑" w:hAnsi="微软雅黑" w:eastAsia="微软雅黑" w:cs="微软雅黑"/>
              </w:rPr>
              <w:t>≧</w:t>
            </w:r>
            <w:r>
              <w:rPr>
                <w:rFonts w:hint="eastAsia" w:ascii="仿宋_GB2312" w:hAnsi="宋体" w:eastAsia="仿宋_GB2312"/>
              </w:rPr>
              <w:t>200万（3分），公司注册资本</w:t>
            </w:r>
            <w:r>
              <w:rPr>
                <w:rFonts w:hint="eastAsia" w:ascii="微软雅黑" w:hAnsi="微软雅黑" w:eastAsia="微软雅黑" w:cs="微软雅黑"/>
              </w:rPr>
              <w:t>﹤</w:t>
            </w:r>
            <w:r>
              <w:rPr>
                <w:rFonts w:hint="eastAsia" w:ascii="仿宋_GB2312" w:hAnsi="宋体" w:eastAsia="仿宋_GB2312"/>
              </w:rPr>
              <w:t>200万（0分）。（满分5分）</w:t>
            </w:r>
          </w:p>
        </w:tc>
        <w:tc>
          <w:tcPr>
            <w:tcW w:w="709" w:type="dxa"/>
            <w:vAlign w:val="center"/>
          </w:tcPr>
          <w:p>
            <w:pPr>
              <w:widowControl/>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5</w:t>
            </w: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9" w:type="dxa"/>
          </w:tcPr>
          <w:p>
            <w:pPr>
              <w:widowControl/>
              <w:adjustRightInd w:val="0"/>
              <w:snapToGrid w:val="0"/>
              <w:spacing w:line="240" w:lineRule="atLeast"/>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4" w:hRule="atLeast"/>
        </w:trPr>
        <w:tc>
          <w:tcPr>
            <w:tcW w:w="636" w:type="dxa"/>
            <w:noWrap/>
            <w:vAlign w:val="center"/>
          </w:tcPr>
          <w:p>
            <w:pPr>
              <w:widowControl/>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2</w:t>
            </w:r>
          </w:p>
        </w:tc>
        <w:tc>
          <w:tcPr>
            <w:tcW w:w="864" w:type="dxa"/>
            <w:vAlign w:val="center"/>
          </w:tcPr>
          <w:p>
            <w:pPr>
              <w:widowControl/>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公司业绩</w:t>
            </w:r>
          </w:p>
        </w:tc>
        <w:tc>
          <w:tcPr>
            <w:tcW w:w="7000" w:type="dxa"/>
            <w:vAlign w:val="center"/>
          </w:tcPr>
          <w:p>
            <w:pPr>
              <w:widowControl/>
              <w:adjustRightInd w:val="0"/>
              <w:snapToGrid w:val="0"/>
              <w:spacing w:line="240" w:lineRule="atLeast"/>
              <w:jc w:val="left"/>
              <w:rPr>
                <w:rFonts w:ascii="仿宋_GB2312" w:hAnsi="宋体" w:eastAsia="仿宋_GB2312"/>
                <w:color w:val="000000"/>
                <w:szCs w:val="21"/>
              </w:rPr>
            </w:pPr>
            <w:r>
              <w:rPr>
                <w:rFonts w:hint="eastAsia" w:ascii="仿宋_GB2312" w:hAnsi="宋体" w:eastAsia="仿宋_GB2312"/>
                <w:color w:val="000000"/>
                <w:szCs w:val="21"/>
              </w:rPr>
              <w:t>2019年1月1日至今，服务全国50强或深圳20强房地产开发公司品牌（全国50强排名参考2019年-2021年中指研究院或易居克尔瑞数据，深圳20强排名参考2019-2021年深圳房协数据）在北上广深一线城市的项目或品牌的活动，且合同金额在50万元以上的案例。（满分10分，每个案例1分）</w:t>
            </w:r>
          </w:p>
          <w:p>
            <w:pPr>
              <w:widowControl/>
              <w:adjustRightInd w:val="0"/>
              <w:snapToGrid w:val="0"/>
              <w:spacing w:line="240" w:lineRule="atLeast"/>
              <w:jc w:val="left"/>
              <w:rPr>
                <w:rFonts w:ascii="仿宋_GB2312" w:hAnsi="宋体" w:eastAsia="仿宋_GB2312"/>
                <w:color w:val="000000"/>
                <w:szCs w:val="21"/>
              </w:rPr>
            </w:pPr>
            <w:r>
              <w:rPr>
                <w:rFonts w:hint="eastAsia" w:ascii="仿宋_GB2312" w:hAnsi="宋体" w:eastAsia="仿宋_GB2312"/>
                <w:color w:val="000000"/>
                <w:szCs w:val="21"/>
              </w:rPr>
              <w:t>2019年1月1日至今，服务全国50强或深圳20强房地产开发公司品牌（全国50强排名参考2019年-2021年中指研究院或易居克尔瑞数据，深圳20强排名参考2019-2021年深圳房协数据）在北上广深一线城市的项目或品牌的美陈或包装服务，且合同金额在50万元以上的案例。</w:t>
            </w:r>
          </w:p>
          <w:p>
            <w:pPr>
              <w:widowControl/>
              <w:adjustRightInd w:val="0"/>
              <w:snapToGrid w:val="0"/>
              <w:spacing w:line="240" w:lineRule="atLeast"/>
              <w:jc w:val="left"/>
              <w:rPr>
                <w:rFonts w:ascii="仿宋_GB2312" w:hAnsi="宋体" w:eastAsia="仿宋_GB2312"/>
                <w:color w:val="000000"/>
                <w:szCs w:val="21"/>
              </w:rPr>
            </w:pPr>
            <w:r>
              <w:rPr>
                <w:rFonts w:hint="eastAsia" w:ascii="仿宋_GB2312" w:hAnsi="宋体" w:eastAsia="仿宋_GB2312"/>
                <w:color w:val="000000"/>
                <w:szCs w:val="21"/>
              </w:rPr>
              <w:t>（满分5分，每个案例1分）</w:t>
            </w:r>
          </w:p>
          <w:p>
            <w:pPr>
              <w:adjustRightInd w:val="0"/>
              <w:snapToGrid w:val="0"/>
              <w:spacing w:line="240" w:lineRule="atLeast"/>
              <w:jc w:val="left"/>
              <w:rPr>
                <w:rFonts w:ascii="仿宋_GB2312" w:hAnsi="宋体" w:eastAsia="仿宋_GB2312"/>
                <w:szCs w:val="21"/>
              </w:rPr>
            </w:pPr>
            <w:r>
              <w:rPr>
                <w:rFonts w:hint="eastAsia" w:ascii="仿宋_GB2312" w:hAnsi="宋体" w:eastAsia="仿宋_GB2312"/>
                <w:szCs w:val="21"/>
              </w:rPr>
              <w:t>备注：</w:t>
            </w:r>
          </w:p>
          <w:p>
            <w:pPr>
              <w:adjustRightInd w:val="0"/>
              <w:snapToGrid w:val="0"/>
              <w:spacing w:line="240" w:lineRule="atLeast"/>
              <w:jc w:val="left"/>
              <w:rPr>
                <w:rFonts w:ascii="仿宋_GB2312" w:hAnsi="宋体" w:eastAsia="仿宋_GB2312"/>
                <w:szCs w:val="21"/>
              </w:rPr>
            </w:pPr>
            <w:r>
              <w:rPr>
                <w:rFonts w:hint="eastAsia" w:ascii="仿宋_GB2312" w:hAnsi="宋体" w:eastAsia="仿宋_GB2312"/>
                <w:szCs w:val="21"/>
              </w:rPr>
              <w:t>a.需提供合同关键页复印件（包括但不限于名称、委托内容、合同价格、委托期限、签订日期、盖章页等）及相关活动现场图片；</w:t>
            </w:r>
          </w:p>
          <w:p>
            <w:pPr>
              <w:adjustRightInd w:val="0"/>
              <w:snapToGrid w:val="0"/>
              <w:spacing w:line="240" w:lineRule="atLeast"/>
              <w:jc w:val="left"/>
              <w:rPr>
                <w:rFonts w:ascii="仿宋_GB2312" w:hAnsi="宋体" w:eastAsia="仿宋_GB2312"/>
                <w:szCs w:val="21"/>
              </w:rPr>
            </w:pPr>
            <w:r>
              <w:rPr>
                <w:rFonts w:hint="eastAsia" w:ascii="仿宋_GB2312" w:hAnsi="宋体" w:eastAsia="仿宋_GB2312"/>
                <w:szCs w:val="21"/>
              </w:rPr>
              <w:t xml:space="preserve">b.合同名称或委托内容需标明具体活动类型； </w:t>
            </w:r>
          </w:p>
          <w:p>
            <w:pPr>
              <w:widowControl/>
              <w:adjustRightInd w:val="0"/>
              <w:snapToGrid w:val="0"/>
              <w:spacing w:line="240" w:lineRule="atLeast"/>
              <w:jc w:val="left"/>
              <w:rPr>
                <w:rFonts w:ascii="仿宋_GB2312" w:hAnsi="宋体" w:eastAsia="仿宋_GB2312"/>
                <w:color w:val="000000"/>
                <w:szCs w:val="21"/>
              </w:rPr>
            </w:pPr>
            <w:r>
              <w:rPr>
                <w:rFonts w:hint="eastAsia" w:ascii="仿宋_GB2312" w:hAnsi="宋体" w:eastAsia="仿宋_GB2312"/>
                <w:szCs w:val="21"/>
              </w:rPr>
              <w:t>c.未提供或无法清晰显示业绩情况不得分。</w:t>
            </w:r>
          </w:p>
        </w:tc>
        <w:tc>
          <w:tcPr>
            <w:tcW w:w="709" w:type="dxa"/>
            <w:vAlign w:val="center"/>
          </w:tcPr>
          <w:p>
            <w:pPr>
              <w:widowControl/>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15</w:t>
            </w: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9" w:type="dxa"/>
          </w:tcPr>
          <w:p>
            <w:pPr>
              <w:widowControl/>
              <w:adjustRightInd w:val="0"/>
              <w:snapToGrid w:val="0"/>
              <w:spacing w:line="240" w:lineRule="atLeast"/>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8500" w:type="dxa"/>
            <w:gridSpan w:val="3"/>
            <w:noWrap/>
            <w:vAlign w:val="center"/>
          </w:tcPr>
          <w:p>
            <w:pPr>
              <w:widowControl/>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合计</w:t>
            </w:r>
          </w:p>
        </w:tc>
        <w:tc>
          <w:tcPr>
            <w:tcW w:w="709" w:type="dxa"/>
            <w:vAlign w:val="center"/>
          </w:tcPr>
          <w:p>
            <w:pPr>
              <w:widowControl/>
              <w:adjustRightInd w:val="0"/>
              <w:snapToGrid w:val="0"/>
              <w:spacing w:line="240" w:lineRule="atLeast"/>
              <w:jc w:val="center"/>
              <w:rPr>
                <w:rFonts w:ascii="仿宋_GB2312" w:hAnsi="宋体" w:eastAsia="仿宋_GB2312"/>
                <w:color w:val="000000"/>
                <w:szCs w:val="21"/>
              </w:rPr>
            </w:pPr>
            <w:r>
              <w:rPr>
                <w:rFonts w:hint="eastAsia" w:ascii="仿宋_GB2312" w:hAnsi="宋体" w:eastAsia="仿宋_GB2312"/>
                <w:color w:val="000000"/>
                <w:szCs w:val="21"/>
              </w:rPr>
              <w:t>2</w:t>
            </w:r>
            <w:r>
              <w:rPr>
                <w:rFonts w:ascii="仿宋_GB2312" w:hAnsi="宋体" w:eastAsia="仿宋_GB2312"/>
                <w:color w:val="000000"/>
                <w:szCs w:val="21"/>
              </w:rPr>
              <w:t>0</w:t>
            </w: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8" w:type="dxa"/>
          </w:tcPr>
          <w:p>
            <w:pPr>
              <w:widowControl/>
              <w:adjustRightInd w:val="0"/>
              <w:snapToGrid w:val="0"/>
              <w:spacing w:line="240" w:lineRule="atLeast"/>
              <w:jc w:val="center"/>
              <w:rPr>
                <w:rFonts w:ascii="仿宋_GB2312" w:hAnsi="宋体" w:eastAsia="仿宋_GB2312"/>
                <w:color w:val="000000"/>
                <w:szCs w:val="21"/>
              </w:rPr>
            </w:pPr>
          </w:p>
        </w:tc>
        <w:tc>
          <w:tcPr>
            <w:tcW w:w="949" w:type="dxa"/>
          </w:tcPr>
          <w:p>
            <w:pPr>
              <w:widowControl/>
              <w:adjustRightInd w:val="0"/>
              <w:snapToGrid w:val="0"/>
              <w:spacing w:line="240" w:lineRule="atLeast"/>
              <w:jc w:val="center"/>
              <w:rPr>
                <w:rFonts w:ascii="仿宋_GB2312" w:hAnsi="宋体" w:eastAsia="仿宋_GB2312"/>
                <w:color w:val="000000"/>
                <w:szCs w:val="21"/>
              </w:rPr>
            </w:pPr>
          </w:p>
        </w:tc>
      </w:tr>
    </w:tbl>
    <w:p>
      <w:pPr>
        <w:tabs>
          <w:tab w:val="left" w:pos="0"/>
        </w:tabs>
        <w:snapToGrid w:val="0"/>
        <w:spacing w:line="360" w:lineRule="auto"/>
        <w:rPr>
          <w:rFonts w:ascii="宋体" w:hAnsi="宋体" w:cs="宋体"/>
          <w:b/>
          <w:sz w:val="24"/>
          <w:szCs w:val="24"/>
        </w:rPr>
      </w:pPr>
      <w:r>
        <w:rPr>
          <w:rFonts w:hint="eastAsia" w:ascii="宋体" w:hAnsi="宋体" w:cs="宋体"/>
          <w:b/>
          <w:sz w:val="24"/>
          <w:szCs w:val="24"/>
        </w:rPr>
        <w:t>评委(签名)：</w:t>
      </w:r>
    </w:p>
    <w:p>
      <w:pPr>
        <w:widowControl/>
        <w:spacing w:line="360" w:lineRule="auto"/>
        <w:rPr>
          <w:rFonts w:ascii="宋体" w:hAnsi="宋体" w:cs="宋体"/>
          <w:b/>
          <w:sz w:val="24"/>
          <w:szCs w:val="24"/>
        </w:rPr>
      </w:pPr>
      <w:r>
        <w:rPr>
          <w:rFonts w:hint="eastAsia" w:ascii="宋体" w:hAnsi="宋体" w:cs="宋体"/>
          <w:b/>
          <w:sz w:val="24"/>
          <w:szCs w:val="24"/>
        </w:rPr>
        <w:t xml:space="preserve">监督（签名）：  </w:t>
      </w:r>
      <w:r>
        <w:rPr>
          <w:rFonts w:hint="eastAsia" w:ascii="宋体" w:hAnsi="宋体" w:cs="宋体"/>
          <w:sz w:val="24"/>
          <w:szCs w:val="24"/>
        </w:rPr>
        <w:t xml:space="preserve">                                                                            </w:t>
      </w:r>
      <w:r>
        <w:rPr>
          <w:rFonts w:hint="eastAsia" w:ascii="宋体" w:hAnsi="宋体" w:cs="宋体"/>
          <w:b/>
          <w:sz w:val="24"/>
          <w:szCs w:val="24"/>
        </w:rPr>
        <w:t>日期：</w:t>
      </w:r>
      <w:r>
        <w:rPr>
          <w:rFonts w:hint="eastAsia" w:ascii="宋体" w:hAnsi="宋体" w:cs="宋体"/>
          <w:sz w:val="24"/>
          <w:szCs w:val="24"/>
        </w:rPr>
        <w:t xml:space="preserve">     年    月    日</w:t>
      </w:r>
    </w:p>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p>
    <w:p>
      <w:pPr>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附表</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5:</w:t>
      </w:r>
      <w:r>
        <w:rPr>
          <w:rFonts w:hint="eastAsia" w:ascii="宋体" w:hAnsi="宋体" w:cs="宋体"/>
          <w:b/>
          <w:kern w:val="0"/>
          <w:sz w:val="28"/>
          <w:szCs w:val="28"/>
        </w:rPr>
        <w:t xml:space="preserve"> 技术标初步评审表</w:t>
      </w:r>
    </w:p>
    <w:p>
      <w:pPr>
        <w:spacing w:line="360" w:lineRule="auto"/>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技术标初步评审表</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比选项目名称：深铁置业2022年度拟销售项目展示区开放系列活动、现场包装及宣传推广服务</w:t>
      </w:r>
    </w:p>
    <w:tbl>
      <w:tblPr>
        <w:tblStyle w:val="47"/>
        <w:tblW w:w="14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3"/>
        <w:gridCol w:w="7253"/>
        <w:gridCol w:w="972"/>
        <w:gridCol w:w="1489"/>
        <w:gridCol w:w="1340"/>
        <w:gridCol w:w="1192"/>
        <w:gridCol w:w="1193"/>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863" w:type="dxa"/>
            <w:vMerge w:val="restart"/>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序号</w:t>
            </w:r>
          </w:p>
        </w:tc>
        <w:tc>
          <w:tcPr>
            <w:tcW w:w="7253" w:type="dxa"/>
            <w:vMerge w:val="restart"/>
            <w:tcBorders>
              <w:tl2br w:val="single" w:color="auto" w:sz="4" w:space="0"/>
            </w:tcBorders>
            <w:vAlign w:val="center"/>
          </w:tcPr>
          <w:p>
            <w:pPr>
              <w:spacing w:line="480" w:lineRule="atLeast"/>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Cs w:val="24"/>
                <w14:textFill>
                  <w14:solidFill>
                    <w14:schemeClr w14:val="tx1">
                      <w14:lumMod w14:val="95000"/>
                      <w14:lumOff w14:val="5000"/>
                    </w14:schemeClr>
                  </w14:solidFill>
                </w14:textFill>
              </w:rPr>
              <w:t xml:space="preserve">   评审项目 </w:t>
            </w:r>
            <w:r>
              <w:rPr>
                <w:rFonts w:ascii="宋体" w:hAnsi="宋体"/>
                <w:b/>
                <w:bCs/>
                <w:color w:val="0D0D0D" w:themeColor="text1" w:themeTint="F2"/>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Cs w:val="24"/>
                <w14:textFill>
                  <w14:solidFill>
                    <w14:schemeClr w14:val="tx1">
                      <w14:lumMod w14:val="95000"/>
                      <w14:lumOff w14:val="5000"/>
                    </w14:schemeClr>
                  </w14:solidFill>
                </w14:textFill>
              </w:rPr>
              <w:t>参选人</w:t>
            </w:r>
          </w:p>
        </w:tc>
        <w:tc>
          <w:tcPr>
            <w:tcW w:w="6203" w:type="dxa"/>
            <w:gridSpan w:val="6"/>
            <w:shd w:val="clear" w:color="auto" w:fill="auto"/>
          </w:tcPr>
          <w:p>
            <w:pPr>
              <w:widowControl/>
              <w:spacing w:line="480" w:lineRule="atLeast"/>
              <w:jc w:val="left"/>
              <w:rPr>
                <w:b/>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b/>
                <w:color w:val="0D0D0D" w:themeColor="text1" w:themeTint="F2"/>
                <w14:textFill>
                  <w14:solidFill>
                    <w14:schemeClr w14:val="tx1">
                      <w14:lumMod w14:val="95000"/>
                      <w14:lumOff w14:val="5000"/>
                    </w14:schemeClr>
                  </w14:solidFill>
                </w14:textFill>
              </w:rPr>
              <w:t xml:space="preserve">   参选</w:t>
            </w:r>
            <w:r>
              <w:rPr>
                <w:b/>
                <w:color w:val="0D0D0D" w:themeColor="text1" w:themeTint="F2"/>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1007" w:hRule="atLeast"/>
          <w:jc w:val="center"/>
        </w:trPr>
        <w:tc>
          <w:tcPr>
            <w:tcW w:w="863"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7253"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972" w:type="dxa"/>
            <w:vAlign w:val="center"/>
          </w:tcPr>
          <w:p>
            <w:pPr>
              <w:widowControl/>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89"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340"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2"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3" w:type="dxa"/>
            <w:vAlign w:val="center"/>
          </w:tcPr>
          <w:p>
            <w:pPr>
              <w:widowControl/>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643" w:hRule="atLeast"/>
          <w:jc w:val="center"/>
        </w:trPr>
        <w:tc>
          <w:tcPr>
            <w:tcW w:w="863"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1</w:t>
            </w:r>
          </w:p>
        </w:tc>
        <w:tc>
          <w:tcPr>
            <w:tcW w:w="7253"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参选文件按要求加盖参选人公章；</w:t>
            </w:r>
          </w:p>
        </w:tc>
        <w:tc>
          <w:tcPr>
            <w:tcW w:w="972"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89"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2"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643" w:hRule="atLeast"/>
          <w:jc w:val="center"/>
        </w:trPr>
        <w:tc>
          <w:tcPr>
            <w:tcW w:w="863"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2</w:t>
            </w:r>
          </w:p>
        </w:tc>
        <w:tc>
          <w:tcPr>
            <w:tcW w:w="7253"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参选文件按要求密封；</w:t>
            </w:r>
          </w:p>
        </w:tc>
        <w:tc>
          <w:tcPr>
            <w:tcW w:w="972"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89"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2"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7" w:type="dxa"/>
          <w:trHeight w:val="1007" w:hRule="atLeast"/>
          <w:jc w:val="center"/>
        </w:trPr>
        <w:tc>
          <w:tcPr>
            <w:tcW w:w="8116" w:type="dxa"/>
            <w:gridSpan w:val="2"/>
            <w:vAlign w:val="center"/>
          </w:tcPr>
          <w:p>
            <w:pPr>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评审结论：</w:t>
            </w:r>
          </w:p>
        </w:tc>
        <w:tc>
          <w:tcPr>
            <w:tcW w:w="972"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489"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340"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92"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93"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480" w:lineRule="atLeast"/>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 xml:space="preserve">监督（签名）： </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     年    月    日</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p>
    <w:p>
      <w:pPr>
        <w:spacing w:line="360" w:lineRule="auto"/>
        <w:jc w:val="left"/>
        <w:rPr>
          <w:rFonts w:ascii="宋体" w:hAnsi="宋体"/>
          <w:b/>
          <w:snapToGrid w:val="0"/>
          <w:sz w:val="28"/>
          <w:szCs w:val="28"/>
        </w:rPr>
      </w:pPr>
    </w:p>
    <w:p>
      <w:pPr>
        <w:pStyle w:val="2"/>
        <w:ind w:firstLine="400"/>
      </w:pPr>
    </w:p>
    <w:p>
      <w:pPr>
        <w:pStyle w:val="2"/>
        <w:ind w:firstLine="400"/>
      </w:pPr>
    </w:p>
    <w:p>
      <w:pPr>
        <w:pStyle w:val="2"/>
        <w:ind w:firstLine="400"/>
      </w:pPr>
    </w:p>
    <w:p>
      <w:pPr>
        <w:pStyle w:val="2"/>
        <w:ind w:firstLine="400"/>
      </w:pPr>
    </w:p>
    <w:p>
      <w:pPr>
        <w:pStyle w:val="2"/>
        <w:ind w:firstLine="400"/>
      </w:pPr>
    </w:p>
    <w:p>
      <w:pPr>
        <w:spacing w:line="360" w:lineRule="auto"/>
        <w:jc w:val="left"/>
        <w:rPr>
          <w:rFonts w:ascii="宋体" w:hAnsi="宋体"/>
          <w:b/>
          <w:bCs/>
          <w:snapToGrid w:val="0"/>
          <w:sz w:val="28"/>
          <w:szCs w:val="28"/>
        </w:rPr>
      </w:pPr>
      <w:r>
        <w:rPr>
          <w:rFonts w:hint="eastAsia" w:ascii="宋体" w:hAnsi="宋体"/>
          <w:b/>
          <w:snapToGrid w:val="0"/>
          <w:sz w:val="28"/>
          <w:szCs w:val="28"/>
        </w:rPr>
        <w:t>附表</w:t>
      </w:r>
      <w:r>
        <w:rPr>
          <w:rFonts w:ascii="宋体" w:hAnsi="宋体"/>
          <w:b/>
          <w:snapToGrid w:val="0"/>
          <w:sz w:val="28"/>
          <w:szCs w:val="28"/>
        </w:rPr>
        <w:t>6</w:t>
      </w:r>
      <w:r>
        <w:rPr>
          <w:rFonts w:hint="eastAsia" w:ascii="宋体" w:hAnsi="宋体"/>
          <w:b/>
          <w:snapToGrid w:val="0"/>
          <w:sz w:val="28"/>
          <w:szCs w:val="28"/>
        </w:rPr>
        <w:t>：技术标1详细评审表</w:t>
      </w:r>
    </w:p>
    <w:p>
      <w:pPr>
        <w:spacing w:line="360" w:lineRule="auto"/>
        <w:jc w:val="center"/>
        <w:rPr>
          <w:rFonts w:ascii="宋体" w:hAnsi="宋体"/>
          <w:b/>
          <w:bCs/>
          <w:snapToGrid w:val="0"/>
          <w:sz w:val="28"/>
          <w:szCs w:val="28"/>
        </w:rPr>
      </w:pPr>
      <w:r>
        <w:rPr>
          <w:rFonts w:hint="eastAsia" w:ascii="宋体" w:hAnsi="宋体"/>
          <w:b/>
          <w:bCs/>
          <w:snapToGrid w:val="0"/>
          <w:sz w:val="28"/>
          <w:szCs w:val="28"/>
        </w:rPr>
        <w:t>技术标1详细评审表（50分）</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比选项目名称：深铁置业2022年度拟销售项目展示区开放系列活动、现场包装及宣传推广服务</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技术标1：地铁前海时代营销中心开放活动方案</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979"/>
        <w:gridCol w:w="5620"/>
        <w:gridCol w:w="1361"/>
        <w:gridCol w:w="1361"/>
        <w:gridCol w:w="1361"/>
        <w:gridCol w:w="1361"/>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73" w:type="pct"/>
            <w:vMerge w:val="restart"/>
            <w:noWrap/>
            <w:vAlign w:val="center"/>
          </w:tcPr>
          <w:p>
            <w:pPr>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序号</w:t>
            </w:r>
          </w:p>
        </w:tc>
        <w:tc>
          <w:tcPr>
            <w:tcW w:w="345" w:type="pct"/>
            <w:vMerge w:val="restart"/>
            <w:vAlign w:val="center"/>
          </w:tcPr>
          <w:p>
            <w:pPr>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评分项</w:t>
            </w:r>
          </w:p>
        </w:tc>
        <w:tc>
          <w:tcPr>
            <w:tcW w:w="1982" w:type="pct"/>
            <w:vMerge w:val="restart"/>
            <w:vAlign w:val="center"/>
          </w:tcPr>
          <w:p>
            <w:pPr>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评分标准</w:t>
            </w:r>
          </w:p>
        </w:tc>
        <w:tc>
          <w:tcPr>
            <w:tcW w:w="480" w:type="pct"/>
            <w:vMerge w:val="restart"/>
            <w:vAlign w:val="center"/>
          </w:tcPr>
          <w:p>
            <w:pPr>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满分值</w:t>
            </w:r>
          </w:p>
        </w:tc>
        <w:tc>
          <w:tcPr>
            <w:tcW w:w="1920" w:type="pct"/>
            <w:gridSpan w:val="4"/>
          </w:tcPr>
          <w:p>
            <w:pPr>
              <w:adjustRightInd w:val="0"/>
              <w:snapToGrid w:val="0"/>
              <w:jc w:val="center"/>
              <w:rPr>
                <w:rFonts w:ascii="仿宋_GB2312" w:hAnsi="宋体" w:eastAsia="仿宋_GB2312"/>
                <w:color w:val="000000"/>
                <w:szCs w:val="21"/>
              </w:rPr>
            </w:pPr>
            <w:r>
              <w:rPr>
                <w:rFonts w:hint="eastAsia" w:ascii="宋体" w:hAnsi="宋体" w:cs="宋体"/>
                <w:b/>
                <w:bCs/>
                <w:sz w:val="24"/>
                <w:szCs w:val="24"/>
                <w:lang w:val="zh-TW"/>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273" w:type="pct"/>
            <w:vMerge w:val="continue"/>
            <w:noWrap/>
            <w:vAlign w:val="center"/>
          </w:tcPr>
          <w:p>
            <w:pPr>
              <w:widowControl/>
              <w:adjustRightInd w:val="0"/>
              <w:snapToGrid w:val="0"/>
              <w:rPr>
                <w:rFonts w:ascii="仿宋_GB2312" w:hAnsi="宋体" w:eastAsia="仿宋_GB2312"/>
                <w:color w:val="000000"/>
                <w:szCs w:val="21"/>
              </w:rPr>
            </w:pPr>
          </w:p>
        </w:tc>
        <w:tc>
          <w:tcPr>
            <w:tcW w:w="345" w:type="pct"/>
            <w:vMerge w:val="continue"/>
            <w:vAlign w:val="center"/>
          </w:tcPr>
          <w:p>
            <w:pPr>
              <w:widowControl/>
              <w:adjustRightInd w:val="0"/>
              <w:snapToGrid w:val="0"/>
              <w:jc w:val="center"/>
              <w:rPr>
                <w:rFonts w:ascii="仿宋_GB2312" w:hAnsi="宋体" w:eastAsia="仿宋_GB2312"/>
                <w:color w:val="000000"/>
                <w:szCs w:val="21"/>
              </w:rPr>
            </w:pPr>
          </w:p>
        </w:tc>
        <w:tc>
          <w:tcPr>
            <w:tcW w:w="1982" w:type="pct"/>
            <w:vMerge w:val="continue"/>
            <w:vAlign w:val="center"/>
          </w:tcPr>
          <w:p>
            <w:pPr>
              <w:widowControl/>
              <w:adjustRightInd w:val="0"/>
              <w:snapToGrid w:val="0"/>
              <w:jc w:val="center"/>
              <w:rPr>
                <w:rFonts w:ascii="仿宋_GB2312" w:hAnsi="宋体" w:eastAsia="仿宋_GB2312"/>
                <w:color w:val="000000"/>
                <w:szCs w:val="21"/>
              </w:rPr>
            </w:pPr>
          </w:p>
        </w:tc>
        <w:tc>
          <w:tcPr>
            <w:tcW w:w="480" w:type="pct"/>
            <w:vMerge w:val="continue"/>
            <w:vAlign w:val="center"/>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273" w:type="pct"/>
            <w:noWrap/>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1</w:t>
            </w:r>
          </w:p>
        </w:tc>
        <w:tc>
          <w:tcPr>
            <w:tcW w:w="345"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活动策略</w:t>
            </w:r>
          </w:p>
        </w:tc>
        <w:tc>
          <w:tcPr>
            <w:tcW w:w="1982" w:type="pct"/>
            <w:vAlign w:val="center"/>
          </w:tcPr>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活动方案及活动流程符合项目形象需求与品质需求</w:t>
            </w:r>
          </w:p>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横向比较（满分2</w:t>
            </w:r>
            <w:r>
              <w:rPr>
                <w:rFonts w:ascii="仿宋_GB2312" w:hAnsi="宋体" w:eastAsia="仿宋_GB2312"/>
                <w:color w:val="000000"/>
                <w:szCs w:val="21"/>
              </w:rPr>
              <w:t>0</w:t>
            </w:r>
            <w:r>
              <w:rPr>
                <w:rFonts w:hint="eastAsia" w:ascii="仿宋_GB2312" w:hAnsi="宋体" w:eastAsia="仿宋_GB2312"/>
                <w:color w:val="000000"/>
                <w:szCs w:val="21"/>
              </w:rPr>
              <w:t>分，优秀</w:t>
            </w:r>
            <w:r>
              <w:rPr>
                <w:rFonts w:ascii="仿宋_GB2312" w:hAnsi="宋体" w:eastAsia="仿宋_GB2312"/>
                <w:color w:val="000000"/>
                <w:szCs w:val="21"/>
              </w:rPr>
              <w:t>16</w:t>
            </w:r>
            <w:r>
              <w:rPr>
                <w:rFonts w:hint="eastAsia" w:ascii="仿宋_GB2312" w:hAnsi="宋体" w:eastAsia="仿宋_GB2312"/>
                <w:color w:val="000000"/>
                <w:szCs w:val="21"/>
              </w:rPr>
              <w:t>-</w:t>
            </w:r>
            <w:r>
              <w:rPr>
                <w:rFonts w:ascii="仿宋_GB2312" w:hAnsi="宋体" w:eastAsia="仿宋_GB2312"/>
                <w:color w:val="000000"/>
                <w:szCs w:val="21"/>
              </w:rPr>
              <w:t>20</w:t>
            </w:r>
            <w:r>
              <w:rPr>
                <w:rFonts w:hint="eastAsia" w:ascii="仿宋_GB2312" w:hAnsi="宋体" w:eastAsia="仿宋_GB2312"/>
                <w:color w:val="000000"/>
                <w:szCs w:val="21"/>
              </w:rPr>
              <w:t>分，良好1</w:t>
            </w:r>
            <w:r>
              <w:rPr>
                <w:rFonts w:ascii="仿宋_GB2312" w:hAnsi="宋体" w:eastAsia="仿宋_GB2312"/>
                <w:color w:val="000000"/>
                <w:szCs w:val="21"/>
              </w:rPr>
              <w:t>0-15</w:t>
            </w:r>
            <w:r>
              <w:rPr>
                <w:rFonts w:hint="eastAsia" w:ascii="仿宋_GB2312" w:hAnsi="宋体" w:eastAsia="仿宋_GB2312"/>
                <w:color w:val="000000"/>
                <w:szCs w:val="21"/>
              </w:rPr>
              <w:t>分，中等5-</w:t>
            </w:r>
            <w:r>
              <w:rPr>
                <w:rFonts w:ascii="仿宋_GB2312" w:hAnsi="宋体" w:eastAsia="仿宋_GB2312"/>
                <w:color w:val="000000"/>
                <w:szCs w:val="21"/>
              </w:rPr>
              <w:t>9</w:t>
            </w:r>
            <w:r>
              <w:rPr>
                <w:rFonts w:hint="eastAsia" w:ascii="仿宋_GB2312" w:hAnsi="宋体" w:eastAsia="仿宋_GB2312"/>
                <w:color w:val="000000"/>
                <w:szCs w:val="21"/>
              </w:rPr>
              <w:t>分，较差≤</w:t>
            </w:r>
            <w:r>
              <w:rPr>
                <w:rFonts w:ascii="仿宋_GB2312" w:hAnsi="宋体" w:eastAsia="仿宋_GB2312"/>
                <w:color w:val="000000"/>
                <w:szCs w:val="21"/>
              </w:rPr>
              <w:t>4</w:t>
            </w:r>
            <w:r>
              <w:rPr>
                <w:rFonts w:hint="eastAsia" w:ascii="仿宋_GB2312" w:hAnsi="宋体" w:eastAsia="仿宋_GB2312"/>
                <w:color w:val="000000"/>
                <w:szCs w:val="21"/>
              </w:rPr>
              <w:t>分）</w:t>
            </w:r>
          </w:p>
        </w:tc>
        <w:tc>
          <w:tcPr>
            <w:tcW w:w="480" w:type="pct"/>
            <w:vAlign w:val="center"/>
          </w:tcPr>
          <w:p>
            <w:pPr>
              <w:widowControl/>
              <w:adjustRightInd w:val="0"/>
              <w:snapToGrid w:val="0"/>
              <w:jc w:val="center"/>
              <w:rPr>
                <w:rFonts w:ascii="仿宋_GB2312" w:hAnsi="宋体" w:eastAsia="仿宋_GB2312"/>
                <w:color w:val="000000"/>
                <w:szCs w:val="21"/>
              </w:rPr>
            </w:pPr>
            <w:r>
              <w:rPr>
                <w:rFonts w:ascii="仿宋_GB2312" w:hAnsi="宋体" w:eastAsia="仿宋_GB2312"/>
                <w:color w:val="000000"/>
                <w:szCs w:val="21"/>
              </w:rPr>
              <w:t>20</w:t>
            </w: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273" w:type="pct"/>
            <w:noWrap/>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2</w:t>
            </w:r>
          </w:p>
        </w:tc>
        <w:tc>
          <w:tcPr>
            <w:tcW w:w="345"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活动创意</w:t>
            </w:r>
          </w:p>
        </w:tc>
        <w:tc>
          <w:tcPr>
            <w:tcW w:w="1982" w:type="pct"/>
            <w:vAlign w:val="center"/>
          </w:tcPr>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活动方案创新有亮点，具备一定特色，让客户感受到项目的心意和品质</w:t>
            </w:r>
          </w:p>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横向比较（满分</w:t>
            </w:r>
            <w:r>
              <w:rPr>
                <w:rFonts w:ascii="仿宋_GB2312" w:hAnsi="宋体" w:eastAsia="仿宋_GB2312"/>
                <w:color w:val="000000"/>
                <w:szCs w:val="21"/>
              </w:rPr>
              <w:t>15</w:t>
            </w:r>
            <w:r>
              <w:rPr>
                <w:rFonts w:hint="eastAsia" w:ascii="仿宋_GB2312" w:hAnsi="宋体" w:eastAsia="仿宋_GB2312"/>
                <w:color w:val="000000"/>
                <w:szCs w:val="21"/>
              </w:rPr>
              <w:t>分，优秀</w:t>
            </w:r>
            <w:r>
              <w:rPr>
                <w:rFonts w:ascii="仿宋_GB2312" w:hAnsi="宋体" w:eastAsia="仿宋_GB2312"/>
                <w:color w:val="000000"/>
                <w:szCs w:val="21"/>
              </w:rPr>
              <w:t>12</w:t>
            </w:r>
            <w:r>
              <w:rPr>
                <w:rFonts w:hint="eastAsia" w:ascii="仿宋_GB2312" w:hAnsi="宋体" w:eastAsia="仿宋_GB2312"/>
                <w:color w:val="000000"/>
                <w:szCs w:val="21"/>
              </w:rPr>
              <w:t>-1</w:t>
            </w:r>
            <w:r>
              <w:rPr>
                <w:rFonts w:ascii="仿宋_GB2312" w:hAnsi="宋体" w:eastAsia="仿宋_GB2312"/>
                <w:color w:val="000000"/>
                <w:szCs w:val="21"/>
              </w:rPr>
              <w:t>5</w:t>
            </w:r>
            <w:r>
              <w:rPr>
                <w:rFonts w:hint="eastAsia" w:ascii="仿宋_GB2312" w:hAnsi="宋体" w:eastAsia="仿宋_GB2312"/>
                <w:color w:val="000000"/>
                <w:szCs w:val="21"/>
              </w:rPr>
              <w:t>分，良好</w:t>
            </w:r>
            <w:r>
              <w:rPr>
                <w:rFonts w:ascii="仿宋_GB2312" w:hAnsi="宋体" w:eastAsia="仿宋_GB2312"/>
                <w:color w:val="000000"/>
                <w:szCs w:val="21"/>
              </w:rPr>
              <w:t>8</w:t>
            </w:r>
            <w:r>
              <w:rPr>
                <w:rFonts w:hint="eastAsia" w:ascii="仿宋_GB2312" w:hAnsi="宋体" w:eastAsia="仿宋_GB2312"/>
                <w:color w:val="000000"/>
                <w:szCs w:val="21"/>
              </w:rPr>
              <w:t>-</w:t>
            </w:r>
            <w:r>
              <w:rPr>
                <w:rFonts w:ascii="仿宋_GB2312" w:hAnsi="宋体" w:eastAsia="仿宋_GB2312"/>
                <w:color w:val="000000"/>
                <w:szCs w:val="21"/>
              </w:rPr>
              <w:t>11</w:t>
            </w:r>
            <w:r>
              <w:rPr>
                <w:rFonts w:hint="eastAsia" w:ascii="仿宋_GB2312" w:hAnsi="宋体" w:eastAsia="仿宋_GB2312"/>
                <w:color w:val="000000"/>
                <w:szCs w:val="21"/>
              </w:rPr>
              <w:t>分，中等4-</w:t>
            </w:r>
            <w:r>
              <w:rPr>
                <w:rFonts w:ascii="仿宋_GB2312" w:hAnsi="宋体" w:eastAsia="仿宋_GB2312"/>
                <w:color w:val="000000"/>
                <w:szCs w:val="21"/>
              </w:rPr>
              <w:t>7</w:t>
            </w:r>
            <w:r>
              <w:rPr>
                <w:rFonts w:hint="eastAsia" w:ascii="仿宋_GB2312" w:hAnsi="宋体" w:eastAsia="仿宋_GB2312"/>
                <w:color w:val="000000"/>
                <w:szCs w:val="21"/>
              </w:rPr>
              <w:t>分，较差≤3分）</w:t>
            </w:r>
          </w:p>
        </w:tc>
        <w:tc>
          <w:tcPr>
            <w:tcW w:w="480"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1</w:t>
            </w:r>
            <w:r>
              <w:rPr>
                <w:rFonts w:ascii="仿宋_GB2312" w:hAnsi="宋体" w:eastAsia="仿宋_GB2312"/>
                <w:color w:val="000000"/>
                <w:szCs w:val="21"/>
              </w:rPr>
              <w:t>5</w:t>
            </w: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trPr>
        <w:tc>
          <w:tcPr>
            <w:tcW w:w="273" w:type="pct"/>
            <w:noWrap/>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3</w:t>
            </w:r>
          </w:p>
        </w:tc>
        <w:tc>
          <w:tcPr>
            <w:tcW w:w="345"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执行性</w:t>
            </w:r>
          </w:p>
        </w:tc>
        <w:tc>
          <w:tcPr>
            <w:tcW w:w="1982" w:type="pct"/>
            <w:vAlign w:val="center"/>
          </w:tcPr>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活动的可执行性强，有合理的工作铺排方案、团队人员安排、独特的资源等</w:t>
            </w:r>
          </w:p>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横向比较（满分10分，优秀8-10分，良好6-7分，中等4-5分，较差≤3分）</w:t>
            </w:r>
          </w:p>
        </w:tc>
        <w:tc>
          <w:tcPr>
            <w:tcW w:w="480"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1</w:t>
            </w:r>
            <w:r>
              <w:rPr>
                <w:rFonts w:ascii="仿宋_GB2312" w:hAnsi="宋体" w:eastAsia="仿宋_GB2312"/>
                <w:color w:val="000000"/>
                <w:szCs w:val="21"/>
              </w:rPr>
              <w:t>0</w:t>
            </w: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3" w:type="pct"/>
            <w:noWrap/>
            <w:vAlign w:val="center"/>
          </w:tcPr>
          <w:p>
            <w:pPr>
              <w:widowControl/>
              <w:adjustRightInd w:val="0"/>
              <w:snapToGrid w:val="0"/>
              <w:jc w:val="center"/>
              <w:rPr>
                <w:rFonts w:ascii="仿宋_GB2312" w:hAnsi="宋体" w:eastAsia="仿宋_GB2312"/>
                <w:color w:val="000000"/>
                <w:szCs w:val="21"/>
              </w:rPr>
            </w:pPr>
            <w:r>
              <w:rPr>
                <w:rFonts w:ascii="仿宋_GB2312" w:hAnsi="宋体" w:eastAsia="仿宋_GB2312"/>
                <w:color w:val="000000"/>
                <w:szCs w:val="21"/>
              </w:rPr>
              <w:t>4</w:t>
            </w:r>
          </w:p>
        </w:tc>
        <w:tc>
          <w:tcPr>
            <w:tcW w:w="345" w:type="pct"/>
            <w:vAlign w:val="center"/>
          </w:tcPr>
          <w:p>
            <w:pPr>
              <w:adjustRightInd w:val="0"/>
              <w:snapToGrid w:val="0"/>
              <w:jc w:val="center"/>
              <w:textAlignment w:val="baseline"/>
              <w:rPr>
                <w:rFonts w:ascii="仿宋_GB2312" w:hAnsi="宋体" w:eastAsia="仿宋_GB2312"/>
                <w:color w:val="000000"/>
                <w:szCs w:val="21"/>
              </w:rPr>
            </w:pPr>
            <w:r>
              <w:rPr>
                <w:rFonts w:hint="eastAsia" w:ascii="仿宋_GB2312" w:hAnsi="宋体" w:eastAsia="仿宋_GB2312"/>
                <w:color w:val="000000"/>
                <w:szCs w:val="21"/>
              </w:rPr>
              <w:t>陈述答辩</w:t>
            </w:r>
          </w:p>
        </w:tc>
        <w:tc>
          <w:tcPr>
            <w:tcW w:w="1982" w:type="pct"/>
            <w:vAlign w:val="center"/>
          </w:tcPr>
          <w:p>
            <w:pPr>
              <w:adjustRightInd w:val="0"/>
              <w:snapToGrid w:val="0"/>
              <w:jc w:val="left"/>
              <w:textAlignment w:val="baseline"/>
              <w:rPr>
                <w:rFonts w:ascii="仿宋_GB2312" w:hAnsi="宋体" w:eastAsia="仿宋_GB2312"/>
                <w:color w:val="000000"/>
                <w:szCs w:val="21"/>
              </w:rPr>
            </w:pPr>
            <w:r>
              <w:rPr>
                <w:rFonts w:hint="eastAsia" w:ascii="仿宋_GB2312" w:hAnsi="宋体" w:eastAsia="仿宋_GB2312"/>
                <w:color w:val="000000"/>
                <w:szCs w:val="21"/>
              </w:rPr>
              <w:t>回答问题思路清晰、逻辑性强，能充分体现作为项目负责人自身的组织能力、管理水平和丰富经验（0</w:t>
            </w:r>
            <w:r>
              <w:rPr>
                <w:rFonts w:ascii="仿宋_GB2312" w:hAnsi="宋体" w:eastAsia="仿宋_GB2312"/>
                <w:color w:val="000000"/>
                <w:szCs w:val="21"/>
              </w:rPr>
              <w:t>-5</w:t>
            </w:r>
            <w:r>
              <w:rPr>
                <w:rFonts w:hint="eastAsia" w:ascii="仿宋_GB2312" w:hAnsi="宋体" w:eastAsia="仿宋_GB2312"/>
                <w:color w:val="000000"/>
                <w:szCs w:val="21"/>
              </w:rPr>
              <w:t>分）</w:t>
            </w:r>
          </w:p>
        </w:tc>
        <w:tc>
          <w:tcPr>
            <w:tcW w:w="480"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5</w:t>
            </w: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6" w:hRule="atLeast"/>
        </w:trPr>
        <w:tc>
          <w:tcPr>
            <w:tcW w:w="2600" w:type="pct"/>
            <w:gridSpan w:val="3"/>
            <w:noWrap/>
            <w:vAlign w:val="center"/>
          </w:tcPr>
          <w:p>
            <w:pPr>
              <w:adjustRightInd w:val="0"/>
              <w:snapToGrid w:val="0"/>
              <w:jc w:val="center"/>
              <w:textAlignment w:val="baseline"/>
              <w:rPr>
                <w:rFonts w:ascii="仿宋_GB2312" w:hAnsi="宋体" w:eastAsia="仿宋_GB2312"/>
                <w:color w:val="000000"/>
                <w:szCs w:val="21"/>
              </w:rPr>
            </w:pPr>
            <w:r>
              <w:rPr>
                <w:rFonts w:hint="eastAsia" w:ascii="仿宋_GB2312" w:hAnsi="宋体" w:eastAsia="仿宋_GB2312"/>
                <w:color w:val="000000"/>
                <w:szCs w:val="21"/>
              </w:rPr>
              <w:t>合计</w:t>
            </w:r>
          </w:p>
        </w:tc>
        <w:tc>
          <w:tcPr>
            <w:tcW w:w="480" w:type="pct"/>
            <w:vAlign w:val="center"/>
          </w:tcPr>
          <w:p>
            <w:pPr>
              <w:widowControl/>
              <w:adjustRightInd w:val="0"/>
              <w:snapToGrid w:val="0"/>
              <w:jc w:val="center"/>
              <w:rPr>
                <w:rFonts w:ascii="仿宋_GB2312" w:hAnsi="宋体" w:eastAsia="仿宋_GB2312"/>
                <w:color w:val="000000"/>
                <w:szCs w:val="21"/>
              </w:rPr>
            </w:pPr>
            <w:r>
              <w:rPr>
                <w:rFonts w:ascii="仿宋_GB2312" w:hAnsi="宋体" w:eastAsia="仿宋_GB2312"/>
                <w:color w:val="000000"/>
                <w:szCs w:val="21"/>
              </w:rPr>
              <w:t>50</w:t>
            </w: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bl>
    <w:p>
      <w:pPr>
        <w:tabs>
          <w:tab w:val="left" w:pos="0"/>
        </w:tabs>
        <w:snapToGrid w:val="0"/>
        <w:spacing w:line="360" w:lineRule="auto"/>
        <w:rPr>
          <w:rFonts w:ascii="宋体" w:hAnsi="宋体" w:cs="宋体"/>
          <w:b/>
          <w:szCs w:val="21"/>
        </w:rPr>
      </w:pPr>
    </w:p>
    <w:p>
      <w:pPr>
        <w:tabs>
          <w:tab w:val="left" w:pos="0"/>
        </w:tabs>
        <w:snapToGrid w:val="0"/>
        <w:spacing w:line="360" w:lineRule="auto"/>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22" w:firstLineChars="200"/>
        <w:jc w:val="right"/>
        <w:rPr>
          <w:rFonts w:ascii="宋体" w:hAnsi="宋体" w:cs="宋体"/>
          <w:szCs w:val="21"/>
        </w:rPr>
      </w:pPr>
      <w:r>
        <w:rPr>
          <w:rFonts w:hint="eastAsia" w:ascii="宋体" w:hAnsi="宋体" w:cs="宋体"/>
          <w:b/>
          <w:szCs w:val="21"/>
        </w:rPr>
        <w:t>日期：</w:t>
      </w:r>
      <w:r>
        <w:rPr>
          <w:rFonts w:hint="eastAsia" w:ascii="宋体" w:hAnsi="宋体" w:cs="宋体"/>
          <w:szCs w:val="21"/>
        </w:rPr>
        <w:t xml:space="preserve">     年    月    日</w:t>
      </w:r>
    </w:p>
    <w:p>
      <w:pPr>
        <w:pStyle w:val="2"/>
        <w:ind w:firstLine="400"/>
      </w:pPr>
    </w:p>
    <w:p>
      <w:pPr>
        <w:spacing w:line="360" w:lineRule="auto"/>
        <w:rPr>
          <w:rFonts w:ascii="宋体" w:hAnsi="宋体" w:cs="宋体"/>
          <w:b/>
          <w:sz w:val="28"/>
          <w:szCs w:val="28"/>
        </w:rPr>
      </w:pPr>
    </w:p>
    <w:p>
      <w:pPr>
        <w:spacing w:line="360" w:lineRule="auto"/>
        <w:rPr>
          <w:rFonts w:ascii="宋体" w:hAnsi="宋体" w:cs="宋体"/>
          <w:b/>
          <w:bCs/>
          <w:kern w:val="0"/>
          <w:sz w:val="28"/>
          <w:szCs w:val="28"/>
        </w:rPr>
      </w:pPr>
      <w:r>
        <w:rPr>
          <w:rFonts w:hint="eastAsia" w:ascii="宋体" w:hAnsi="宋体" w:cs="宋体"/>
          <w:b/>
          <w:sz w:val="28"/>
          <w:szCs w:val="28"/>
        </w:rPr>
        <w:t>附表</w:t>
      </w:r>
      <w:r>
        <w:rPr>
          <w:rFonts w:ascii="宋体" w:hAnsi="宋体" w:cs="宋体"/>
          <w:b/>
          <w:sz w:val="28"/>
          <w:szCs w:val="28"/>
        </w:rPr>
        <w:t>7</w:t>
      </w:r>
      <w:r>
        <w:rPr>
          <w:rFonts w:hint="eastAsia" w:ascii="宋体" w:hAnsi="宋体" w:cs="宋体"/>
          <w:b/>
          <w:sz w:val="28"/>
          <w:szCs w:val="28"/>
        </w:rPr>
        <w:t>：技术标1详细评审结果汇总表</w:t>
      </w: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技术标1详细评审结果汇总表</w:t>
      </w:r>
    </w:p>
    <w:p>
      <w:pPr>
        <w:spacing w:line="360" w:lineRule="auto"/>
        <w:jc w:val="center"/>
        <w:rPr>
          <w:rFonts w:ascii="宋体" w:hAnsi="宋体" w:cs="宋体"/>
          <w:bCs/>
          <w:snapToGrid w:val="0"/>
          <w:sz w:val="24"/>
          <w:szCs w:val="24"/>
        </w:rPr>
      </w:pP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比选项目名称：深铁置业2022年度拟销售项目展示区开放系列活动、现场包装及宣传推广服务</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技术标1：地铁前海时代营销中心开放活动方案</w:t>
      </w:r>
    </w:p>
    <w:tbl>
      <w:tblPr>
        <w:tblStyle w:val="47"/>
        <w:tblW w:w="13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5"/>
        <w:gridCol w:w="3851"/>
        <w:gridCol w:w="964"/>
        <w:gridCol w:w="965"/>
        <w:gridCol w:w="964"/>
        <w:gridCol w:w="965"/>
        <w:gridCol w:w="965"/>
        <w:gridCol w:w="964"/>
        <w:gridCol w:w="965"/>
        <w:gridCol w:w="1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序号</w:t>
            </w:r>
          </w:p>
        </w:tc>
        <w:tc>
          <w:tcPr>
            <w:tcW w:w="3851" w:type="dxa"/>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 xml:space="preserve">                     评委</w:t>
            </w:r>
          </w:p>
          <w:p>
            <w:pPr>
              <w:spacing w:line="360" w:lineRule="auto"/>
              <w:jc w:val="left"/>
              <w:rPr>
                <w:rFonts w:ascii="宋体" w:hAnsi="宋体" w:cs="宋体"/>
                <w:b/>
                <w:bCs/>
                <w:kern w:val="0"/>
                <w:sz w:val="24"/>
                <w:szCs w:val="24"/>
              </w:rPr>
            </w:pPr>
            <w:r>
              <w:rPr>
                <w:rFonts w:hint="eastAsia" w:ascii="宋体" w:hAnsi="宋体" w:cs="宋体"/>
                <w:b/>
                <w:bCs/>
                <w:kern w:val="0"/>
                <w:sz w:val="24"/>
                <w:szCs w:val="24"/>
              </w:rPr>
              <w:t xml:space="preserve">   参选人</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评委1</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评委2</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评委3</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评委4</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评委5</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评委6</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评委7</w:t>
            </w: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技术标得分</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1</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2</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3</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4</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5</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bl>
    <w:p>
      <w:pPr>
        <w:spacing w:line="360" w:lineRule="auto"/>
        <w:jc w:val="left"/>
        <w:rPr>
          <w:rFonts w:ascii="宋体" w:hAnsi="宋体" w:cs="宋体"/>
          <w:sz w:val="24"/>
          <w:szCs w:val="24"/>
        </w:rPr>
      </w:pPr>
      <w:r>
        <w:rPr>
          <w:rFonts w:hint="eastAsia" w:ascii="宋体" w:hAnsi="宋体" w:cs="宋体"/>
          <w:sz w:val="24"/>
          <w:szCs w:val="24"/>
        </w:rPr>
        <w:t>说明： 1、参选人技术标得分的计算办法：取各评委对每一个参选人的技术标评审得分值的算术平均值，即为该参选人技术标得分。</w:t>
      </w:r>
    </w:p>
    <w:p>
      <w:pPr>
        <w:spacing w:line="360" w:lineRule="auto"/>
        <w:jc w:val="left"/>
        <w:rPr>
          <w:rFonts w:ascii="宋体" w:hAnsi="宋体" w:cs="宋体"/>
          <w:sz w:val="24"/>
          <w:szCs w:val="24"/>
        </w:rPr>
      </w:pPr>
      <w:r>
        <w:rPr>
          <w:rFonts w:hint="eastAsia" w:ascii="宋体" w:hAnsi="宋体" w:cs="宋体"/>
          <w:sz w:val="24"/>
          <w:szCs w:val="24"/>
        </w:rPr>
        <w:t xml:space="preserve">       2、技术标得分的算术平均值保留小数点后两位数字，且四舍五入。</w:t>
      </w:r>
    </w:p>
    <w:p>
      <w:pPr>
        <w:pStyle w:val="20"/>
        <w:snapToGrid w:val="0"/>
        <w:rPr>
          <w:rFonts w:ascii="宋体" w:hAnsi="宋体" w:cs="宋体"/>
          <w:sz w:val="24"/>
          <w:szCs w:val="24"/>
        </w:rPr>
      </w:pPr>
    </w:p>
    <w:p>
      <w:pPr>
        <w:tabs>
          <w:tab w:val="left" w:pos="0"/>
        </w:tabs>
        <w:snapToGrid w:val="0"/>
        <w:spacing w:line="360" w:lineRule="auto"/>
        <w:rPr>
          <w:rFonts w:ascii="宋体" w:hAnsi="宋体" w:cs="宋体"/>
          <w:b/>
          <w:sz w:val="24"/>
          <w:szCs w:val="24"/>
        </w:rPr>
      </w:pPr>
      <w:r>
        <w:rPr>
          <w:rFonts w:hint="eastAsia" w:ascii="宋体" w:hAnsi="宋体" w:cs="宋体"/>
          <w:b/>
          <w:sz w:val="24"/>
          <w:szCs w:val="24"/>
        </w:rPr>
        <w:t>评委(签名)：</w:t>
      </w:r>
    </w:p>
    <w:p>
      <w:pPr>
        <w:widowControl/>
        <w:spacing w:line="360" w:lineRule="auto"/>
        <w:rPr>
          <w:rFonts w:ascii="宋体" w:hAnsi="宋体" w:cs="宋体"/>
          <w:b/>
          <w:sz w:val="24"/>
          <w:szCs w:val="24"/>
        </w:rPr>
      </w:pPr>
      <w:r>
        <w:rPr>
          <w:rFonts w:hint="eastAsia" w:ascii="宋体" w:hAnsi="宋体" w:cs="宋体"/>
          <w:b/>
          <w:sz w:val="24"/>
          <w:szCs w:val="24"/>
        </w:rPr>
        <w:t xml:space="preserve">监督（签名）：  </w:t>
      </w:r>
      <w:r>
        <w:rPr>
          <w:rFonts w:hint="eastAsia" w:ascii="宋体" w:hAnsi="宋体" w:cs="宋体"/>
          <w:sz w:val="24"/>
          <w:szCs w:val="24"/>
        </w:rPr>
        <w:t xml:space="preserve">                                                                            </w:t>
      </w:r>
      <w:r>
        <w:rPr>
          <w:rFonts w:hint="eastAsia" w:ascii="宋体" w:hAnsi="宋体" w:cs="宋体"/>
          <w:b/>
          <w:sz w:val="24"/>
          <w:szCs w:val="24"/>
        </w:rPr>
        <w:t>日期：</w:t>
      </w:r>
      <w:r>
        <w:rPr>
          <w:rFonts w:hint="eastAsia" w:ascii="宋体" w:hAnsi="宋体" w:cs="宋体"/>
          <w:sz w:val="24"/>
          <w:szCs w:val="24"/>
        </w:rPr>
        <w:t xml:space="preserve">     年    月    日</w:t>
      </w:r>
    </w:p>
    <w:p>
      <w:pPr>
        <w:tabs>
          <w:tab w:val="left" w:pos="0"/>
        </w:tabs>
        <w:snapToGrid w:val="0"/>
        <w:spacing w:line="360" w:lineRule="auto"/>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p>
    <w:p>
      <w:pPr>
        <w:spacing w:line="360" w:lineRule="auto"/>
        <w:jc w:val="left"/>
        <w:rPr>
          <w:rFonts w:ascii="宋体" w:hAnsi="宋体"/>
          <w:b/>
          <w:bCs/>
          <w:snapToGrid w:val="0"/>
          <w:sz w:val="28"/>
          <w:szCs w:val="28"/>
        </w:rPr>
      </w:pPr>
      <w:r>
        <w:rPr>
          <w:rFonts w:hint="eastAsia" w:ascii="宋体" w:hAnsi="宋体"/>
          <w:b/>
          <w:snapToGrid w:val="0"/>
          <w:sz w:val="28"/>
          <w:szCs w:val="28"/>
        </w:rPr>
        <w:t>附表</w:t>
      </w:r>
      <w:r>
        <w:rPr>
          <w:rFonts w:ascii="宋体" w:hAnsi="宋体"/>
          <w:b/>
          <w:snapToGrid w:val="0"/>
          <w:sz w:val="28"/>
          <w:szCs w:val="28"/>
        </w:rPr>
        <w:t>8</w:t>
      </w:r>
      <w:r>
        <w:rPr>
          <w:rFonts w:hint="eastAsia" w:ascii="宋体" w:hAnsi="宋体"/>
          <w:b/>
          <w:snapToGrid w:val="0"/>
          <w:sz w:val="28"/>
          <w:szCs w:val="28"/>
        </w:rPr>
        <w:t>：技术标</w:t>
      </w:r>
      <w:r>
        <w:rPr>
          <w:rFonts w:ascii="宋体" w:hAnsi="宋体"/>
          <w:b/>
          <w:snapToGrid w:val="0"/>
          <w:sz w:val="28"/>
          <w:szCs w:val="28"/>
        </w:rPr>
        <w:t>2</w:t>
      </w:r>
      <w:r>
        <w:rPr>
          <w:rFonts w:hint="eastAsia" w:ascii="宋体" w:hAnsi="宋体"/>
          <w:b/>
          <w:snapToGrid w:val="0"/>
          <w:sz w:val="28"/>
          <w:szCs w:val="28"/>
        </w:rPr>
        <w:t>详细评审表</w:t>
      </w:r>
    </w:p>
    <w:p>
      <w:pPr>
        <w:spacing w:line="360" w:lineRule="auto"/>
        <w:jc w:val="center"/>
        <w:rPr>
          <w:rFonts w:ascii="宋体" w:hAnsi="宋体"/>
          <w:b/>
          <w:bCs/>
          <w:snapToGrid w:val="0"/>
          <w:sz w:val="28"/>
          <w:szCs w:val="28"/>
        </w:rPr>
      </w:pPr>
      <w:r>
        <w:rPr>
          <w:rFonts w:hint="eastAsia" w:ascii="宋体" w:hAnsi="宋体"/>
          <w:b/>
          <w:bCs/>
          <w:snapToGrid w:val="0"/>
          <w:sz w:val="28"/>
          <w:szCs w:val="28"/>
        </w:rPr>
        <w:t>技术标</w:t>
      </w:r>
      <w:r>
        <w:rPr>
          <w:rFonts w:ascii="宋体" w:hAnsi="宋体"/>
          <w:b/>
          <w:bCs/>
          <w:snapToGrid w:val="0"/>
          <w:sz w:val="28"/>
          <w:szCs w:val="28"/>
        </w:rPr>
        <w:t>2</w:t>
      </w:r>
      <w:r>
        <w:rPr>
          <w:rFonts w:hint="eastAsia" w:ascii="宋体" w:hAnsi="宋体"/>
          <w:b/>
          <w:bCs/>
          <w:snapToGrid w:val="0"/>
          <w:sz w:val="28"/>
          <w:szCs w:val="28"/>
        </w:rPr>
        <w:t>详细评审表（50分）</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比选项目名称：深铁置业2022年度拟销售项目展示区开放系列活动、现场包装及宣传推广服务</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技术标1：深铁璟城营销中心开放活动方案</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979"/>
        <w:gridCol w:w="5620"/>
        <w:gridCol w:w="1361"/>
        <w:gridCol w:w="1361"/>
        <w:gridCol w:w="1361"/>
        <w:gridCol w:w="1361"/>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273" w:type="pct"/>
            <w:vMerge w:val="restart"/>
            <w:noWrap/>
            <w:vAlign w:val="center"/>
          </w:tcPr>
          <w:p>
            <w:pPr>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序号</w:t>
            </w:r>
          </w:p>
        </w:tc>
        <w:tc>
          <w:tcPr>
            <w:tcW w:w="345" w:type="pct"/>
            <w:vMerge w:val="restart"/>
            <w:vAlign w:val="center"/>
          </w:tcPr>
          <w:p>
            <w:pPr>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评分项</w:t>
            </w:r>
          </w:p>
        </w:tc>
        <w:tc>
          <w:tcPr>
            <w:tcW w:w="1982" w:type="pct"/>
            <w:vMerge w:val="restart"/>
            <w:vAlign w:val="center"/>
          </w:tcPr>
          <w:p>
            <w:pPr>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评分标准</w:t>
            </w:r>
          </w:p>
        </w:tc>
        <w:tc>
          <w:tcPr>
            <w:tcW w:w="480" w:type="pct"/>
            <w:vMerge w:val="restart"/>
            <w:vAlign w:val="center"/>
          </w:tcPr>
          <w:p>
            <w:pPr>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满分值</w:t>
            </w:r>
          </w:p>
        </w:tc>
        <w:tc>
          <w:tcPr>
            <w:tcW w:w="1920" w:type="pct"/>
            <w:gridSpan w:val="4"/>
          </w:tcPr>
          <w:p>
            <w:pPr>
              <w:adjustRightInd w:val="0"/>
              <w:snapToGrid w:val="0"/>
              <w:jc w:val="center"/>
              <w:rPr>
                <w:rFonts w:ascii="仿宋_GB2312" w:hAnsi="宋体" w:eastAsia="仿宋_GB2312"/>
                <w:color w:val="000000"/>
                <w:szCs w:val="21"/>
              </w:rPr>
            </w:pPr>
            <w:r>
              <w:rPr>
                <w:rFonts w:hint="eastAsia" w:ascii="宋体" w:hAnsi="宋体" w:cs="宋体"/>
                <w:b/>
                <w:bCs/>
                <w:sz w:val="24"/>
                <w:szCs w:val="24"/>
                <w:lang w:val="zh-TW"/>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273" w:type="pct"/>
            <w:vMerge w:val="continue"/>
            <w:noWrap/>
            <w:vAlign w:val="center"/>
          </w:tcPr>
          <w:p>
            <w:pPr>
              <w:widowControl/>
              <w:adjustRightInd w:val="0"/>
              <w:snapToGrid w:val="0"/>
              <w:rPr>
                <w:rFonts w:ascii="仿宋_GB2312" w:hAnsi="宋体" w:eastAsia="仿宋_GB2312"/>
                <w:color w:val="000000"/>
                <w:szCs w:val="21"/>
              </w:rPr>
            </w:pPr>
          </w:p>
        </w:tc>
        <w:tc>
          <w:tcPr>
            <w:tcW w:w="345" w:type="pct"/>
            <w:vMerge w:val="continue"/>
            <w:vAlign w:val="center"/>
          </w:tcPr>
          <w:p>
            <w:pPr>
              <w:widowControl/>
              <w:adjustRightInd w:val="0"/>
              <w:snapToGrid w:val="0"/>
              <w:jc w:val="center"/>
              <w:rPr>
                <w:rFonts w:ascii="仿宋_GB2312" w:hAnsi="宋体" w:eastAsia="仿宋_GB2312"/>
                <w:color w:val="000000"/>
                <w:szCs w:val="21"/>
              </w:rPr>
            </w:pPr>
          </w:p>
        </w:tc>
        <w:tc>
          <w:tcPr>
            <w:tcW w:w="1982" w:type="pct"/>
            <w:vMerge w:val="continue"/>
            <w:vAlign w:val="center"/>
          </w:tcPr>
          <w:p>
            <w:pPr>
              <w:widowControl/>
              <w:adjustRightInd w:val="0"/>
              <w:snapToGrid w:val="0"/>
              <w:jc w:val="center"/>
              <w:rPr>
                <w:rFonts w:ascii="仿宋_GB2312" w:hAnsi="宋体" w:eastAsia="仿宋_GB2312"/>
                <w:color w:val="000000"/>
                <w:szCs w:val="21"/>
              </w:rPr>
            </w:pPr>
          </w:p>
        </w:tc>
        <w:tc>
          <w:tcPr>
            <w:tcW w:w="480" w:type="pct"/>
            <w:vMerge w:val="continue"/>
            <w:vAlign w:val="center"/>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273" w:type="pct"/>
            <w:noWrap/>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1</w:t>
            </w:r>
          </w:p>
        </w:tc>
        <w:tc>
          <w:tcPr>
            <w:tcW w:w="345"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活动策略</w:t>
            </w:r>
          </w:p>
        </w:tc>
        <w:tc>
          <w:tcPr>
            <w:tcW w:w="1982" w:type="pct"/>
            <w:vAlign w:val="center"/>
          </w:tcPr>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活动方案及活动流程符合项目形象需求与品质需求</w:t>
            </w:r>
          </w:p>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横向比较（满分2</w:t>
            </w:r>
            <w:r>
              <w:rPr>
                <w:rFonts w:ascii="仿宋_GB2312" w:hAnsi="宋体" w:eastAsia="仿宋_GB2312"/>
                <w:color w:val="000000"/>
                <w:szCs w:val="21"/>
              </w:rPr>
              <w:t>0</w:t>
            </w:r>
            <w:r>
              <w:rPr>
                <w:rFonts w:hint="eastAsia" w:ascii="仿宋_GB2312" w:hAnsi="宋体" w:eastAsia="仿宋_GB2312"/>
                <w:color w:val="000000"/>
                <w:szCs w:val="21"/>
              </w:rPr>
              <w:t>分，优秀</w:t>
            </w:r>
            <w:r>
              <w:rPr>
                <w:rFonts w:ascii="仿宋_GB2312" w:hAnsi="宋体" w:eastAsia="仿宋_GB2312"/>
                <w:color w:val="000000"/>
                <w:szCs w:val="21"/>
              </w:rPr>
              <w:t>16</w:t>
            </w:r>
            <w:r>
              <w:rPr>
                <w:rFonts w:hint="eastAsia" w:ascii="仿宋_GB2312" w:hAnsi="宋体" w:eastAsia="仿宋_GB2312"/>
                <w:color w:val="000000"/>
                <w:szCs w:val="21"/>
              </w:rPr>
              <w:t>-</w:t>
            </w:r>
            <w:r>
              <w:rPr>
                <w:rFonts w:ascii="仿宋_GB2312" w:hAnsi="宋体" w:eastAsia="仿宋_GB2312"/>
                <w:color w:val="000000"/>
                <w:szCs w:val="21"/>
              </w:rPr>
              <w:t>20</w:t>
            </w:r>
            <w:r>
              <w:rPr>
                <w:rFonts w:hint="eastAsia" w:ascii="仿宋_GB2312" w:hAnsi="宋体" w:eastAsia="仿宋_GB2312"/>
                <w:color w:val="000000"/>
                <w:szCs w:val="21"/>
              </w:rPr>
              <w:t>分，良好1</w:t>
            </w:r>
            <w:r>
              <w:rPr>
                <w:rFonts w:ascii="仿宋_GB2312" w:hAnsi="宋体" w:eastAsia="仿宋_GB2312"/>
                <w:color w:val="000000"/>
                <w:szCs w:val="21"/>
              </w:rPr>
              <w:t>0-15</w:t>
            </w:r>
            <w:r>
              <w:rPr>
                <w:rFonts w:hint="eastAsia" w:ascii="仿宋_GB2312" w:hAnsi="宋体" w:eastAsia="仿宋_GB2312"/>
                <w:color w:val="000000"/>
                <w:szCs w:val="21"/>
              </w:rPr>
              <w:t>分，中等5-</w:t>
            </w:r>
            <w:r>
              <w:rPr>
                <w:rFonts w:ascii="仿宋_GB2312" w:hAnsi="宋体" w:eastAsia="仿宋_GB2312"/>
                <w:color w:val="000000"/>
                <w:szCs w:val="21"/>
              </w:rPr>
              <w:t>9</w:t>
            </w:r>
            <w:r>
              <w:rPr>
                <w:rFonts w:hint="eastAsia" w:ascii="仿宋_GB2312" w:hAnsi="宋体" w:eastAsia="仿宋_GB2312"/>
                <w:color w:val="000000"/>
                <w:szCs w:val="21"/>
              </w:rPr>
              <w:t>分，较差≤</w:t>
            </w:r>
            <w:r>
              <w:rPr>
                <w:rFonts w:ascii="仿宋_GB2312" w:hAnsi="宋体" w:eastAsia="仿宋_GB2312"/>
                <w:color w:val="000000"/>
                <w:szCs w:val="21"/>
              </w:rPr>
              <w:t>4</w:t>
            </w:r>
            <w:r>
              <w:rPr>
                <w:rFonts w:hint="eastAsia" w:ascii="仿宋_GB2312" w:hAnsi="宋体" w:eastAsia="仿宋_GB2312"/>
                <w:color w:val="000000"/>
                <w:szCs w:val="21"/>
              </w:rPr>
              <w:t>分）</w:t>
            </w:r>
          </w:p>
        </w:tc>
        <w:tc>
          <w:tcPr>
            <w:tcW w:w="480" w:type="pct"/>
            <w:vAlign w:val="center"/>
          </w:tcPr>
          <w:p>
            <w:pPr>
              <w:widowControl/>
              <w:adjustRightInd w:val="0"/>
              <w:snapToGrid w:val="0"/>
              <w:jc w:val="center"/>
              <w:rPr>
                <w:rFonts w:ascii="仿宋_GB2312" w:hAnsi="宋体" w:eastAsia="仿宋_GB2312"/>
                <w:color w:val="000000"/>
                <w:szCs w:val="21"/>
              </w:rPr>
            </w:pPr>
            <w:r>
              <w:rPr>
                <w:rFonts w:ascii="仿宋_GB2312" w:hAnsi="宋体" w:eastAsia="仿宋_GB2312"/>
                <w:color w:val="000000"/>
                <w:szCs w:val="21"/>
              </w:rPr>
              <w:t>20</w:t>
            </w: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273" w:type="pct"/>
            <w:noWrap/>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2</w:t>
            </w:r>
          </w:p>
        </w:tc>
        <w:tc>
          <w:tcPr>
            <w:tcW w:w="345"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活动创意</w:t>
            </w:r>
          </w:p>
        </w:tc>
        <w:tc>
          <w:tcPr>
            <w:tcW w:w="1982" w:type="pct"/>
            <w:vAlign w:val="center"/>
          </w:tcPr>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活动方案创新有亮点，具备一定特色，让客户感受到项目的心意和品质</w:t>
            </w:r>
          </w:p>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横向比较（满分</w:t>
            </w:r>
            <w:r>
              <w:rPr>
                <w:rFonts w:ascii="仿宋_GB2312" w:hAnsi="宋体" w:eastAsia="仿宋_GB2312"/>
                <w:color w:val="000000"/>
                <w:szCs w:val="21"/>
              </w:rPr>
              <w:t>15</w:t>
            </w:r>
            <w:r>
              <w:rPr>
                <w:rFonts w:hint="eastAsia" w:ascii="仿宋_GB2312" w:hAnsi="宋体" w:eastAsia="仿宋_GB2312"/>
                <w:color w:val="000000"/>
                <w:szCs w:val="21"/>
              </w:rPr>
              <w:t>分，优秀</w:t>
            </w:r>
            <w:r>
              <w:rPr>
                <w:rFonts w:ascii="仿宋_GB2312" w:hAnsi="宋体" w:eastAsia="仿宋_GB2312"/>
                <w:color w:val="000000"/>
                <w:szCs w:val="21"/>
              </w:rPr>
              <w:t>12</w:t>
            </w:r>
            <w:r>
              <w:rPr>
                <w:rFonts w:hint="eastAsia" w:ascii="仿宋_GB2312" w:hAnsi="宋体" w:eastAsia="仿宋_GB2312"/>
                <w:color w:val="000000"/>
                <w:szCs w:val="21"/>
              </w:rPr>
              <w:t>-1</w:t>
            </w:r>
            <w:r>
              <w:rPr>
                <w:rFonts w:ascii="仿宋_GB2312" w:hAnsi="宋体" w:eastAsia="仿宋_GB2312"/>
                <w:color w:val="000000"/>
                <w:szCs w:val="21"/>
              </w:rPr>
              <w:t>5</w:t>
            </w:r>
            <w:r>
              <w:rPr>
                <w:rFonts w:hint="eastAsia" w:ascii="仿宋_GB2312" w:hAnsi="宋体" w:eastAsia="仿宋_GB2312"/>
                <w:color w:val="000000"/>
                <w:szCs w:val="21"/>
              </w:rPr>
              <w:t>分，良好</w:t>
            </w:r>
            <w:r>
              <w:rPr>
                <w:rFonts w:ascii="仿宋_GB2312" w:hAnsi="宋体" w:eastAsia="仿宋_GB2312"/>
                <w:color w:val="000000"/>
                <w:szCs w:val="21"/>
              </w:rPr>
              <w:t>8</w:t>
            </w:r>
            <w:r>
              <w:rPr>
                <w:rFonts w:hint="eastAsia" w:ascii="仿宋_GB2312" w:hAnsi="宋体" w:eastAsia="仿宋_GB2312"/>
                <w:color w:val="000000"/>
                <w:szCs w:val="21"/>
              </w:rPr>
              <w:t>-</w:t>
            </w:r>
            <w:r>
              <w:rPr>
                <w:rFonts w:ascii="仿宋_GB2312" w:hAnsi="宋体" w:eastAsia="仿宋_GB2312"/>
                <w:color w:val="000000"/>
                <w:szCs w:val="21"/>
              </w:rPr>
              <w:t>11</w:t>
            </w:r>
            <w:r>
              <w:rPr>
                <w:rFonts w:hint="eastAsia" w:ascii="仿宋_GB2312" w:hAnsi="宋体" w:eastAsia="仿宋_GB2312"/>
                <w:color w:val="000000"/>
                <w:szCs w:val="21"/>
              </w:rPr>
              <w:t>分，中等4-</w:t>
            </w:r>
            <w:r>
              <w:rPr>
                <w:rFonts w:ascii="仿宋_GB2312" w:hAnsi="宋体" w:eastAsia="仿宋_GB2312"/>
                <w:color w:val="000000"/>
                <w:szCs w:val="21"/>
              </w:rPr>
              <w:t>7</w:t>
            </w:r>
            <w:r>
              <w:rPr>
                <w:rFonts w:hint="eastAsia" w:ascii="仿宋_GB2312" w:hAnsi="宋体" w:eastAsia="仿宋_GB2312"/>
                <w:color w:val="000000"/>
                <w:szCs w:val="21"/>
              </w:rPr>
              <w:t>分，较差≤3分）</w:t>
            </w:r>
          </w:p>
        </w:tc>
        <w:tc>
          <w:tcPr>
            <w:tcW w:w="480"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1</w:t>
            </w:r>
            <w:r>
              <w:rPr>
                <w:rFonts w:ascii="仿宋_GB2312" w:hAnsi="宋体" w:eastAsia="仿宋_GB2312"/>
                <w:color w:val="000000"/>
                <w:szCs w:val="21"/>
              </w:rPr>
              <w:t>5</w:t>
            </w: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trPr>
        <w:tc>
          <w:tcPr>
            <w:tcW w:w="273" w:type="pct"/>
            <w:noWrap/>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3</w:t>
            </w:r>
          </w:p>
        </w:tc>
        <w:tc>
          <w:tcPr>
            <w:tcW w:w="345"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执行性</w:t>
            </w:r>
          </w:p>
        </w:tc>
        <w:tc>
          <w:tcPr>
            <w:tcW w:w="1982" w:type="pct"/>
            <w:vAlign w:val="center"/>
          </w:tcPr>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活动的可执行性强，有合理的工作铺排方案、团队人员安排、独特的资源等</w:t>
            </w:r>
          </w:p>
          <w:p>
            <w:pPr>
              <w:widowControl/>
              <w:adjustRightInd w:val="0"/>
              <w:snapToGrid w:val="0"/>
              <w:jc w:val="left"/>
              <w:rPr>
                <w:rFonts w:ascii="仿宋_GB2312" w:hAnsi="宋体" w:eastAsia="仿宋_GB2312"/>
                <w:color w:val="000000"/>
                <w:szCs w:val="21"/>
              </w:rPr>
            </w:pPr>
            <w:r>
              <w:rPr>
                <w:rFonts w:hint="eastAsia" w:ascii="仿宋_GB2312" w:hAnsi="宋体" w:eastAsia="仿宋_GB2312"/>
                <w:color w:val="000000"/>
                <w:szCs w:val="21"/>
              </w:rPr>
              <w:t>横向比较（满分10分，优秀8-10分，良好6-7分，中等4-5分，较差≤3分）</w:t>
            </w:r>
          </w:p>
        </w:tc>
        <w:tc>
          <w:tcPr>
            <w:tcW w:w="480"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1</w:t>
            </w:r>
            <w:r>
              <w:rPr>
                <w:rFonts w:ascii="仿宋_GB2312" w:hAnsi="宋体" w:eastAsia="仿宋_GB2312"/>
                <w:color w:val="000000"/>
                <w:szCs w:val="21"/>
              </w:rPr>
              <w:t>0</w:t>
            </w: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3" w:type="pct"/>
            <w:noWrap/>
            <w:vAlign w:val="center"/>
          </w:tcPr>
          <w:p>
            <w:pPr>
              <w:widowControl/>
              <w:adjustRightInd w:val="0"/>
              <w:snapToGrid w:val="0"/>
              <w:jc w:val="center"/>
              <w:rPr>
                <w:rFonts w:ascii="仿宋_GB2312" w:hAnsi="宋体" w:eastAsia="仿宋_GB2312"/>
                <w:color w:val="000000"/>
                <w:szCs w:val="21"/>
              </w:rPr>
            </w:pPr>
            <w:r>
              <w:rPr>
                <w:rFonts w:ascii="仿宋_GB2312" w:hAnsi="宋体" w:eastAsia="仿宋_GB2312"/>
                <w:color w:val="000000"/>
                <w:szCs w:val="21"/>
              </w:rPr>
              <w:t>4</w:t>
            </w:r>
          </w:p>
        </w:tc>
        <w:tc>
          <w:tcPr>
            <w:tcW w:w="345" w:type="pct"/>
            <w:vAlign w:val="center"/>
          </w:tcPr>
          <w:p>
            <w:pPr>
              <w:adjustRightInd w:val="0"/>
              <w:snapToGrid w:val="0"/>
              <w:jc w:val="center"/>
              <w:textAlignment w:val="baseline"/>
              <w:rPr>
                <w:rFonts w:ascii="仿宋_GB2312" w:hAnsi="宋体" w:eastAsia="仿宋_GB2312"/>
                <w:color w:val="000000"/>
                <w:szCs w:val="21"/>
              </w:rPr>
            </w:pPr>
            <w:r>
              <w:rPr>
                <w:rFonts w:hint="eastAsia" w:ascii="仿宋_GB2312" w:hAnsi="宋体" w:eastAsia="仿宋_GB2312"/>
                <w:color w:val="000000"/>
                <w:szCs w:val="21"/>
              </w:rPr>
              <w:t>陈述答辩</w:t>
            </w:r>
          </w:p>
        </w:tc>
        <w:tc>
          <w:tcPr>
            <w:tcW w:w="1982" w:type="pct"/>
            <w:vAlign w:val="center"/>
          </w:tcPr>
          <w:p>
            <w:pPr>
              <w:adjustRightInd w:val="0"/>
              <w:snapToGrid w:val="0"/>
              <w:jc w:val="left"/>
              <w:textAlignment w:val="baseline"/>
              <w:rPr>
                <w:rFonts w:ascii="仿宋_GB2312" w:hAnsi="宋体" w:eastAsia="仿宋_GB2312"/>
                <w:color w:val="000000"/>
                <w:szCs w:val="21"/>
              </w:rPr>
            </w:pPr>
            <w:r>
              <w:rPr>
                <w:rFonts w:hint="eastAsia" w:ascii="仿宋_GB2312" w:hAnsi="宋体" w:eastAsia="仿宋_GB2312"/>
                <w:color w:val="000000"/>
                <w:szCs w:val="21"/>
              </w:rPr>
              <w:t>回答问题思路清晰、逻辑性强，能充分体现作为项目负责人自身的组织能力、管理水平和丰富经验（0</w:t>
            </w:r>
            <w:r>
              <w:rPr>
                <w:rFonts w:ascii="仿宋_GB2312" w:hAnsi="宋体" w:eastAsia="仿宋_GB2312"/>
                <w:color w:val="000000"/>
                <w:szCs w:val="21"/>
              </w:rPr>
              <w:t>-5</w:t>
            </w:r>
            <w:r>
              <w:rPr>
                <w:rFonts w:hint="eastAsia" w:ascii="仿宋_GB2312" w:hAnsi="宋体" w:eastAsia="仿宋_GB2312"/>
                <w:color w:val="000000"/>
                <w:szCs w:val="21"/>
              </w:rPr>
              <w:t>分）</w:t>
            </w:r>
          </w:p>
        </w:tc>
        <w:tc>
          <w:tcPr>
            <w:tcW w:w="480" w:type="pct"/>
            <w:vAlign w:val="center"/>
          </w:tcPr>
          <w:p>
            <w:pPr>
              <w:widowControl/>
              <w:adjustRightInd w:val="0"/>
              <w:snapToGrid w:val="0"/>
              <w:jc w:val="center"/>
              <w:rPr>
                <w:rFonts w:ascii="仿宋_GB2312" w:hAnsi="宋体" w:eastAsia="仿宋_GB2312"/>
                <w:color w:val="000000"/>
                <w:szCs w:val="21"/>
              </w:rPr>
            </w:pPr>
            <w:r>
              <w:rPr>
                <w:rFonts w:hint="eastAsia" w:ascii="仿宋_GB2312" w:hAnsi="宋体" w:eastAsia="仿宋_GB2312"/>
                <w:color w:val="000000"/>
                <w:szCs w:val="21"/>
              </w:rPr>
              <w:t>5</w:t>
            </w: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2600" w:type="pct"/>
            <w:gridSpan w:val="3"/>
            <w:noWrap/>
            <w:vAlign w:val="center"/>
          </w:tcPr>
          <w:p>
            <w:pPr>
              <w:adjustRightInd w:val="0"/>
              <w:snapToGrid w:val="0"/>
              <w:jc w:val="center"/>
              <w:textAlignment w:val="baseline"/>
              <w:rPr>
                <w:rFonts w:ascii="仿宋_GB2312" w:hAnsi="宋体" w:eastAsia="仿宋_GB2312"/>
                <w:color w:val="000000"/>
                <w:szCs w:val="21"/>
              </w:rPr>
            </w:pPr>
            <w:r>
              <w:rPr>
                <w:rFonts w:hint="eastAsia" w:ascii="仿宋_GB2312" w:hAnsi="宋体" w:eastAsia="仿宋_GB2312"/>
                <w:color w:val="000000"/>
                <w:szCs w:val="21"/>
              </w:rPr>
              <w:t>合计</w:t>
            </w:r>
          </w:p>
        </w:tc>
        <w:tc>
          <w:tcPr>
            <w:tcW w:w="480" w:type="pct"/>
            <w:vAlign w:val="center"/>
          </w:tcPr>
          <w:p>
            <w:pPr>
              <w:widowControl/>
              <w:adjustRightInd w:val="0"/>
              <w:snapToGrid w:val="0"/>
              <w:jc w:val="center"/>
              <w:rPr>
                <w:rFonts w:ascii="仿宋_GB2312" w:hAnsi="宋体" w:eastAsia="仿宋_GB2312"/>
                <w:color w:val="000000"/>
                <w:szCs w:val="21"/>
              </w:rPr>
            </w:pPr>
            <w:r>
              <w:rPr>
                <w:rFonts w:ascii="仿宋_GB2312" w:hAnsi="宋体" w:eastAsia="仿宋_GB2312"/>
                <w:color w:val="000000"/>
                <w:szCs w:val="21"/>
              </w:rPr>
              <w:t>50</w:t>
            </w: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c>
          <w:tcPr>
            <w:tcW w:w="480" w:type="pct"/>
          </w:tcPr>
          <w:p>
            <w:pPr>
              <w:widowControl/>
              <w:adjustRightInd w:val="0"/>
              <w:snapToGrid w:val="0"/>
              <w:jc w:val="center"/>
              <w:rPr>
                <w:rFonts w:ascii="仿宋_GB2312" w:hAnsi="宋体" w:eastAsia="仿宋_GB2312"/>
                <w:color w:val="000000"/>
                <w:szCs w:val="21"/>
              </w:rPr>
            </w:pPr>
          </w:p>
        </w:tc>
      </w:tr>
    </w:tbl>
    <w:p>
      <w:pPr>
        <w:tabs>
          <w:tab w:val="left" w:pos="0"/>
        </w:tabs>
        <w:snapToGrid w:val="0"/>
        <w:spacing w:line="360" w:lineRule="auto"/>
        <w:rPr>
          <w:rFonts w:ascii="宋体" w:hAnsi="宋体" w:cs="宋体"/>
          <w:b/>
          <w:szCs w:val="21"/>
        </w:rPr>
      </w:pPr>
    </w:p>
    <w:p>
      <w:pPr>
        <w:tabs>
          <w:tab w:val="left" w:pos="0"/>
        </w:tabs>
        <w:snapToGrid w:val="0"/>
        <w:spacing w:line="360" w:lineRule="auto"/>
        <w:rPr>
          <w:rFonts w:ascii="宋体" w:hAnsi="宋体" w:cs="宋体"/>
          <w:b/>
          <w:szCs w:val="21"/>
        </w:rPr>
      </w:pPr>
      <w:r>
        <w:rPr>
          <w:rFonts w:hint="eastAsia" w:ascii="宋体" w:hAnsi="宋体" w:cs="宋体"/>
          <w:b/>
          <w:szCs w:val="21"/>
        </w:rPr>
        <w:t>评委（签名）：</w:t>
      </w:r>
    </w:p>
    <w:p>
      <w:pPr>
        <w:tabs>
          <w:tab w:val="left" w:pos="0"/>
        </w:tabs>
        <w:snapToGrid w:val="0"/>
        <w:spacing w:line="360" w:lineRule="auto"/>
        <w:ind w:firstLine="422" w:firstLineChars="200"/>
        <w:jc w:val="right"/>
        <w:rPr>
          <w:rFonts w:ascii="宋体" w:hAnsi="宋体" w:cs="宋体"/>
          <w:szCs w:val="21"/>
        </w:rPr>
      </w:pPr>
      <w:r>
        <w:rPr>
          <w:rFonts w:hint="eastAsia" w:ascii="宋体" w:hAnsi="宋体" w:cs="宋体"/>
          <w:b/>
          <w:szCs w:val="21"/>
        </w:rPr>
        <w:t>日期：</w:t>
      </w:r>
      <w:r>
        <w:rPr>
          <w:rFonts w:hint="eastAsia" w:ascii="宋体" w:hAnsi="宋体" w:cs="宋体"/>
          <w:szCs w:val="21"/>
        </w:rPr>
        <w:t xml:space="preserve">     年    月    日</w:t>
      </w:r>
    </w:p>
    <w:p>
      <w:pPr>
        <w:pStyle w:val="2"/>
        <w:ind w:firstLine="400"/>
      </w:pPr>
    </w:p>
    <w:p>
      <w:pPr>
        <w:spacing w:line="360" w:lineRule="auto"/>
        <w:rPr>
          <w:rFonts w:ascii="宋体" w:hAnsi="宋体" w:cs="宋体"/>
          <w:b/>
          <w:sz w:val="28"/>
          <w:szCs w:val="28"/>
        </w:rPr>
      </w:pPr>
    </w:p>
    <w:p>
      <w:pPr>
        <w:spacing w:line="360" w:lineRule="auto"/>
        <w:rPr>
          <w:rFonts w:ascii="宋体" w:hAnsi="宋体" w:cs="宋体"/>
          <w:b/>
          <w:bCs/>
          <w:kern w:val="0"/>
          <w:sz w:val="28"/>
          <w:szCs w:val="28"/>
        </w:rPr>
      </w:pPr>
      <w:r>
        <w:rPr>
          <w:rFonts w:hint="eastAsia" w:ascii="宋体" w:hAnsi="宋体" w:cs="宋体"/>
          <w:b/>
          <w:sz w:val="28"/>
          <w:szCs w:val="28"/>
        </w:rPr>
        <w:t>附表</w:t>
      </w:r>
      <w:r>
        <w:rPr>
          <w:rFonts w:ascii="宋体" w:hAnsi="宋体" w:cs="宋体"/>
          <w:b/>
          <w:sz w:val="28"/>
          <w:szCs w:val="28"/>
        </w:rPr>
        <w:t>9</w:t>
      </w:r>
      <w:r>
        <w:rPr>
          <w:rFonts w:hint="eastAsia" w:ascii="宋体" w:hAnsi="宋体" w:cs="宋体"/>
          <w:b/>
          <w:sz w:val="28"/>
          <w:szCs w:val="28"/>
        </w:rPr>
        <w:t>：技术标</w:t>
      </w:r>
      <w:r>
        <w:rPr>
          <w:rFonts w:ascii="宋体" w:hAnsi="宋体" w:cs="宋体"/>
          <w:b/>
          <w:sz w:val="28"/>
          <w:szCs w:val="28"/>
        </w:rPr>
        <w:t>2</w:t>
      </w:r>
      <w:r>
        <w:rPr>
          <w:rFonts w:hint="eastAsia" w:ascii="宋体" w:hAnsi="宋体" w:cs="宋体"/>
          <w:b/>
          <w:sz w:val="28"/>
          <w:szCs w:val="28"/>
        </w:rPr>
        <w:t>详细评审结果汇总表</w:t>
      </w: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技术标</w:t>
      </w:r>
      <w:r>
        <w:rPr>
          <w:rFonts w:ascii="宋体" w:hAnsi="宋体" w:cs="宋体"/>
          <w:b/>
          <w:bCs/>
          <w:kern w:val="0"/>
          <w:sz w:val="32"/>
          <w:szCs w:val="32"/>
        </w:rPr>
        <w:t>2</w:t>
      </w:r>
      <w:r>
        <w:rPr>
          <w:rFonts w:hint="eastAsia" w:ascii="宋体" w:hAnsi="宋体" w:cs="宋体"/>
          <w:b/>
          <w:bCs/>
          <w:kern w:val="0"/>
          <w:sz w:val="32"/>
          <w:szCs w:val="32"/>
        </w:rPr>
        <w:t>详细评审结果汇总表</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比选项目名称：深铁置业2022年度拟销售项目展示区开放系列活动、现场包装及宣传推广服务</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技术标1：深铁璟城营销中心开放活动方案</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7"/>
        <w:tblW w:w="13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5"/>
        <w:gridCol w:w="3851"/>
        <w:gridCol w:w="964"/>
        <w:gridCol w:w="965"/>
        <w:gridCol w:w="964"/>
        <w:gridCol w:w="965"/>
        <w:gridCol w:w="965"/>
        <w:gridCol w:w="964"/>
        <w:gridCol w:w="965"/>
        <w:gridCol w:w="1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序号</w:t>
            </w:r>
          </w:p>
        </w:tc>
        <w:tc>
          <w:tcPr>
            <w:tcW w:w="3851" w:type="dxa"/>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 xml:space="preserve">                     评委</w:t>
            </w:r>
          </w:p>
          <w:p>
            <w:pPr>
              <w:spacing w:line="360" w:lineRule="auto"/>
              <w:jc w:val="left"/>
              <w:rPr>
                <w:rFonts w:ascii="宋体" w:hAnsi="宋体" w:cs="宋体"/>
                <w:b/>
                <w:bCs/>
                <w:kern w:val="0"/>
                <w:sz w:val="24"/>
                <w:szCs w:val="24"/>
              </w:rPr>
            </w:pPr>
            <w:r>
              <w:rPr>
                <w:rFonts w:hint="eastAsia" w:ascii="宋体" w:hAnsi="宋体" w:cs="宋体"/>
                <w:b/>
                <w:bCs/>
                <w:kern w:val="0"/>
                <w:sz w:val="24"/>
                <w:szCs w:val="24"/>
              </w:rPr>
              <w:t xml:space="preserve">   参选人</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评委1</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评委2</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评委3</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评委4</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评委5</w:t>
            </w: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评委6</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评委7</w:t>
            </w: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技术标得分</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1</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2</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3</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4</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r>
              <w:rPr>
                <w:rFonts w:hint="eastAsia" w:ascii="宋体" w:hAnsi="宋体" w:cs="宋体"/>
                <w:kern w:val="0"/>
                <w:sz w:val="24"/>
                <w:szCs w:val="24"/>
              </w:rPr>
              <w:t>5</w:t>
            </w:r>
          </w:p>
        </w:tc>
        <w:tc>
          <w:tcPr>
            <w:tcW w:w="38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c>
          <w:tcPr>
            <w:tcW w:w="96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96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 w:val="24"/>
                <w:szCs w:val="24"/>
              </w:rPr>
            </w:pPr>
          </w:p>
        </w:tc>
        <w:tc>
          <w:tcPr>
            <w:tcW w:w="18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szCs w:val="24"/>
              </w:rPr>
            </w:pPr>
          </w:p>
        </w:tc>
      </w:tr>
    </w:tbl>
    <w:p>
      <w:pPr>
        <w:spacing w:line="360" w:lineRule="auto"/>
        <w:jc w:val="left"/>
        <w:rPr>
          <w:rFonts w:ascii="宋体" w:hAnsi="宋体" w:cs="宋体"/>
          <w:sz w:val="24"/>
          <w:szCs w:val="24"/>
        </w:rPr>
      </w:pPr>
      <w:r>
        <w:rPr>
          <w:rFonts w:hint="eastAsia" w:ascii="宋体" w:hAnsi="宋体" w:cs="宋体"/>
          <w:sz w:val="24"/>
          <w:szCs w:val="24"/>
        </w:rPr>
        <w:t>说明： 1、参选人技术标得分的计算办法：取各评委对每一个参选人的技术标评审得分值的算术平均值，即为该参选人技术标得分。</w:t>
      </w:r>
    </w:p>
    <w:p>
      <w:pPr>
        <w:spacing w:line="360" w:lineRule="auto"/>
        <w:jc w:val="left"/>
        <w:rPr>
          <w:rFonts w:ascii="宋体" w:hAnsi="宋体" w:cs="宋体"/>
          <w:sz w:val="24"/>
          <w:szCs w:val="24"/>
        </w:rPr>
      </w:pPr>
      <w:r>
        <w:rPr>
          <w:rFonts w:hint="eastAsia" w:ascii="宋体" w:hAnsi="宋体" w:cs="宋体"/>
          <w:sz w:val="24"/>
          <w:szCs w:val="24"/>
        </w:rPr>
        <w:t xml:space="preserve">       2、技术标得分的算术平均值保留小数点后两位数字，且四舍五入。</w:t>
      </w:r>
    </w:p>
    <w:p>
      <w:pPr>
        <w:pStyle w:val="20"/>
        <w:snapToGrid w:val="0"/>
        <w:rPr>
          <w:rFonts w:ascii="宋体" w:hAnsi="宋体" w:cs="宋体"/>
          <w:sz w:val="24"/>
          <w:szCs w:val="24"/>
        </w:rPr>
      </w:pPr>
    </w:p>
    <w:p>
      <w:pPr>
        <w:tabs>
          <w:tab w:val="left" w:pos="0"/>
        </w:tabs>
        <w:snapToGrid w:val="0"/>
        <w:spacing w:line="360" w:lineRule="auto"/>
        <w:rPr>
          <w:rFonts w:ascii="宋体" w:hAnsi="宋体" w:cs="宋体"/>
          <w:b/>
          <w:sz w:val="24"/>
          <w:szCs w:val="24"/>
        </w:rPr>
      </w:pPr>
      <w:r>
        <w:rPr>
          <w:rFonts w:hint="eastAsia" w:ascii="宋体" w:hAnsi="宋体" w:cs="宋体"/>
          <w:b/>
          <w:sz w:val="24"/>
          <w:szCs w:val="24"/>
        </w:rPr>
        <w:t>评委(签名)：</w:t>
      </w:r>
    </w:p>
    <w:p>
      <w:pPr>
        <w:widowControl/>
        <w:spacing w:line="360" w:lineRule="auto"/>
        <w:rPr>
          <w:rFonts w:ascii="宋体" w:hAnsi="宋体" w:cs="宋体"/>
          <w:b/>
          <w:sz w:val="24"/>
          <w:szCs w:val="24"/>
        </w:rPr>
      </w:pPr>
      <w:r>
        <w:rPr>
          <w:rFonts w:hint="eastAsia" w:ascii="宋体" w:hAnsi="宋体" w:cs="宋体"/>
          <w:b/>
          <w:sz w:val="24"/>
          <w:szCs w:val="24"/>
        </w:rPr>
        <w:t xml:space="preserve">监督（签名）：  </w:t>
      </w:r>
      <w:r>
        <w:rPr>
          <w:rFonts w:hint="eastAsia" w:ascii="宋体" w:hAnsi="宋体" w:cs="宋体"/>
          <w:sz w:val="24"/>
          <w:szCs w:val="24"/>
        </w:rPr>
        <w:t xml:space="preserve">                                                                            </w:t>
      </w:r>
      <w:r>
        <w:rPr>
          <w:rFonts w:hint="eastAsia" w:ascii="宋体" w:hAnsi="宋体" w:cs="宋体"/>
          <w:b/>
          <w:sz w:val="24"/>
          <w:szCs w:val="24"/>
        </w:rPr>
        <w:t>日期：</w:t>
      </w:r>
      <w:r>
        <w:rPr>
          <w:rFonts w:hint="eastAsia" w:ascii="宋体" w:hAnsi="宋体" w:cs="宋体"/>
          <w:sz w:val="24"/>
          <w:szCs w:val="24"/>
        </w:rPr>
        <w:t xml:space="preserve">     年    月    日</w:t>
      </w:r>
    </w:p>
    <w:p>
      <w:pPr>
        <w:tabs>
          <w:tab w:val="left" w:pos="0"/>
        </w:tabs>
        <w:snapToGrid w:val="0"/>
        <w:spacing w:line="360" w:lineRule="auto"/>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p>
    <w:p>
      <w:pPr>
        <w:widowControl/>
        <w:spacing w:line="360" w:lineRule="auto"/>
        <w:jc w:val="left"/>
        <w:rPr>
          <w:rFonts w:ascii="宋体" w:hAnsi="宋体" w:cs="宋体"/>
          <w:b/>
          <w:bCs/>
          <w:kern w:val="0"/>
          <w:sz w:val="28"/>
          <w:szCs w:val="28"/>
        </w:rPr>
      </w:pPr>
      <w:r>
        <w:rPr>
          <w:rFonts w:hint="eastAsia" w:ascii="宋体" w:hAnsi="宋体"/>
          <w:b/>
          <w:sz w:val="28"/>
          <w:szCs w:val="28"/>
        </w:rPr>
        <w:t>附表</w:t>
      </w:r>
      <w:r>
        <w:rPr>
          <w:rFonts w:ascii="宋体" w:hAnsi="宋体"/>
          <w:b/>
          <w:sz w:val="28"/>
          <w:szCs w:val="28"/>
        </w:rPr>
        <w:t>10</w:t>
      </w:r>
      <w:r>
        <w:rPr>
          <w:rFonts w:hint="eastAsia" w:ascii="宋体" w:hAnsi="宋体"/>
          <w:b/>
          <w:sz w:val="28"/>
          <w:szCs w:val="28"/>
        </w:rPr>
        <w:t>：技术标1与资信标得分汇总</w:t>
      </w:r>
    </w:p>
    <w:p>
      <w:pPr>
        <w:widowControl/>
        <w:spacing w:line="360" w:lineRule="auto"/>
        <w:jc w:val="center"/>
        <w:rPr>
          <w:rFonts w:ascii="宋体" w:hAnsi="宋体" w:cs="宋体"/>
          <w:b/>
          <w:bCs/>
          <w:kern w:val="0"/>
          <w:sz w:val="36"/>
          <w:szCs w:val="36"/>
        </w:rPr>
      </w:pPr>
      <w:r>
        <w:rPr>
          <w:rFonts w:hint="eastAsia" w:ascii="宋体" w:hAnsi="宋体" w:cs="宋体"/>
          <w:b/>
          <w:bCs/>
          <w:kern w:val="0"/>
          <w:sz w:val="36"/>
          <w:szCs w:val="36"/>
        </w:rPr>
        <w:t>技术标1与资信标得分汇总表</w:t>
      </w:r>
    </w:p>
    <w:p>
      <w:pPr>
        <w:spacing w:after="120" w:afterLines="50" w:line="360" w:lineRule="auto"/>
        <w:ind w:right="630"/>
        <w:rPr>
          <w:rFonts w:ascii="宋体" w:hAnsi="宋体" w:cs="宋体"/>
          <w:b/>
          <w:bCs/>
          <w:snapToGrid w:val="0"/>
          <w:sz w:val="22"/>
          <w:szCs w:val="22"/>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深铁置业2022年度拟销售项目展示区开放系列活动、现场包装及宣传推广服务</w:t>
      </w:r>
      <w:r>
        <w:rPr>
          <w:rFonts w:hint="eastAsia" w:ascii="宋体" w:hAnsi="宋体" w:cs="宋体"/>
          <w:b/>
          <w:bCs/>
          <w:snapToGrid w:val="0"/>
          <w:sz w:val="22"/>
          <w:szCs w:val="22"/>
        </w:rPr>
        <w:t xml:space="preserve"> </w:t>
      </w:r>
    </w:p>
    <w:p>
      <w:pPr>
        <w:spacing w:after="120" w:afterLines="50" w:line="276" w:lineRule="auto"/>
        <w:ind w:right="630" w:firstLine="1325" w:firstLineChars="550"/>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7"/>
        <w:tblW w:w="14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3"/>
        <w:gridCol w:w="3660"/>
        <w:gridCol w:w="2016"/>
        <w:gridCol w:w="2103"/>
        <w:gridCol w:w="1720"/>
        <w:gridCol w:w="2392"/>
        <w:gridCol w:w="2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663"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3660"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016"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Cn</w:t>
            </w:r>
          </w:p>
          <w:p>
            <w:pPr>
              <w:spacing w:line="360" w:lineRule="auto"/>
              <w:jc w:val="center"/>
              <w:rPr>
                <w:rFonts w:ascii="宋体" w:hAnsi="宋体" w:cs="宋体"/>
                <w:b/>
                <w:bCs/>
                <w:sz w:val="22"/>
                <w:szCs w:val="22"/>
              </w:rPr>
            </w:pPr>
            <w:r>
              <w:rPr>
                <w:rFonts w:hint="eastAsia" w:ascii="宋体" w:hAnsi="宋体" w:cs="宋体"/>
                <w:b/>
                <w:bCs/>
                <w:sz w:val="22"/>
                <w:szCs w:val="22"/>
              </w:rPr>
              <w:t>（资信标得分）</w:t>
            </w:r>
          </w:p>
        </w:tc>
        <w:tc>
          <w:tcPr>
            <w:tcW w:w="2103"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r>
              <w:rPr>
                <w:rFonts w:ascii="宋体" w:hAnsi="宋体" w:cs="宋体"/>
                <w:b/>
                <w:bCs/>
                <w:sz w:val="22"/>
                <w:szCs w:val="22"/>
              </w:rPr>
              <w:t>1</w:t>
            </w:r>
          </w:p>
          <w:p>
            <w:pPr>
              <w:spacing w:line="360" w:lineRule="auto"/>
              <w:jc w:val="center"/>
              <w:rPr>
                <w:rFonts w:ascii="宋体" w:hAnsi="宋体" w:cs="宋体"/>
                <w:b/>
                <w:bCs/>
                <w:sz w:val="22"/>
                <w:szCs w:val="22"/>
              </w:rPr>
            </w:pPr>
            <w:r>
              <w:rPr>
                <w:rFonts w:hint="eastAsia" w:ascii="宋体" w:hAnsi="宋体" w:cs="宋体"/>
                <w:b/>
                <w:bCs/>
                <w:sz w:val="22"/>
                <w:szCs w:val="22"/>
              </w:rPr>
              <w:t>（技术标得分）</w:t>
            </w:r>
          </w:p>
        </w:tc>
        <w:tc>
          <w:tcPr>
            <w:tcW w:w="1720"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Bn</w:t>
            </w:r>
            <w:r>
              <w:rPr>
                <w:rFonts w:ascii="宋体" w:hAnsi="宋体" w:cs="宋体"/>
                <w:b/>
                <w:bCs/>
                <w:sz w:val="22"/>
                <w:szCs w:val="22"/>
              </w:rPr>
              <w:t>1</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392" w:type="dxa"/>
          </w:tcPr>
          <w:p>
            <w:pPr>
              <w:spacing w:line="360" w:lineRule="auto"/>
              <w:jc w:val="center"/>
              <w:rPr>
                <w:rFonts w:ascii="宋体" w:hAnsi="宋体" w:cs="宋体"/>
                <w:b/>
                <w:bCs/>
                <w:sz w:val="22"/>
                <w:szCs w:val="22"/>
              </w:rPr>
            </w:pPr>
            <w:r>
              <w:rPr>
                <w:rFonts w:hint="eastAsia" w:ascii="宋体" w:hAnsi="宋体" w:cs="宋体"/>
                <w:b/>
                <w:bCs/>
                <w:sz w:val="22"/>
                <w:szCs w:val="22"/>
              </w:rPr>
              <w:t>排名</w:t>
            </w:r>
          </w:p>
        </w:tc>
        <w:tc>
          <w:tcPr>
            <w:tcW w:w="2392"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63" w:type="dxa"/>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spacing w:line="360" w:lineRule="auto"/>
              <w:jc w:val="center"/>
              <w:rPr>
                <w:rFonts w:ascii="宋体" w:hAnsi="宋体" w:cs="宋体"/>
                <w:sz w:val="22"/>
                <w:szCs w:val="22"/>
              </w:rPr>
            </w:pPr>
          </w:p>
        </w:tc>
        <w:tc>
          <w:tcPr>
            <w:tcW w:w="2392" w:type="dxa"/>
            <w:vMerge w:val="restart"/>
            <w:vAlign w:val="center"/>
          </w:tcPr>
          <w:p>
            <w:pPr>
              <w:spacing w:line="360" w:lineRule="auto"/>
              <w:jc w:val="center"/>
              <w:rPr>
                <w:rFonts w:ascii="宋体" w:hAnsi="宋体" w:cs="宋体"/>
                <w:sz w:val="22"/>
                <w:szCs w:val="22"/>
              </w:rPr>
            </w:pPr>
            <w:r>
              <w:rPr>
                <w:rFonts w:hint="eastAsia" w:ascii="宋体" w:hAnsi="宋体" w:cs="宋体"/>
                <w:sz w:val="22"/>
                <w:szCs w:val="22"/>
              </w:rPr>
              <w:t>Bn</w:t>
            </w:r>
            <w:r>
              <w:rPr>
                <w:rFonts w:ascii="宋体" w:hAnsi="宋体" w:cs="宋体"/>
                <w:sz w:val="22"/>
                <w:szCs w:val="22"/>
              </w:rPr>
              <w:t>1</w:t>
            </w:r>
            <w:r>
              <w:rPr>
                <w:rFonts w:hint="eastAsia" w:ascii="宋体" w:hAnsi="宋体" w:cs="宋体"/>
                <w:sz w:val="22"/>
                <w:szCs w:val="22"/>
              </w:rPr>
              <w:t>=Cn+En</w:t>
            </w:r>
            <w:r>
              <w:rPr>
                <w:rFonts w:ascii="宋体" w:hAnsi="宋体" w:cs="宋体"/>
                <w:sz w:val="22"/>
                <w:szCs w:val="2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663" w:type="dxa"/>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widowControl/>
              <w:jc w:val="left"/>
              <w:rPr>
                <w:rFonts w:ascii="宋体" w:hAnsi="宋体" w:cs="宋体"/>
                <w:sz w:val="22"/>
                <w:szCs w:val="22"/>
              </w:rPr>
            </w:pPr>
          </w:p>
        </w:tc>
        <w:tc>
          <w:tcPr>
            <w:tcW w:w="2392" w:type="dxa"/>
            <w:vMerge w:val="continue"/>
            <w:vAlign w:val="center"/>
          </w:tcPr>
          <w:p>
            <w:pPr>
              <w:widowControl/>
              <w:jc w:val="lef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663" w:type="dxa"/>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widowControl/>
              <w:jc w:val="left"/>
              <w:rPr>
                <w:rFonts w:ascii="宋体" w:hAnsi="宋体" w:cs="宋体"/>
                <w:sz w:val="22"/>
                <w:szCs w:val="22"/>
              </w:rPr>
            </w:pPr>
          </w:p>
        </w:tc>
        <w:tc>
          <w:tcPr>
            <w:tcW w:w="2392" w:type="dxa"/>
            <w:vMerge w:val="continue"/>
            <w:vAlign w:val="center"/>
          </w:tcPr>
          <w:p>
            <w:pPr>
              <w:widowControl/>
              <w:jc w:val="lef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663" w:type="dxa"/>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widowControl/>
              <w:jc w:val="left"/>
              <w:rPr>
                <w:rFonts w:ascii="宋体" w:hAnsi="宋体" w:cs="宋体"/>
                <w:sz w:val="22"/>
                <w:szCs w:val="22"/>
              </w:rPr>
            </w:pPr>
          </w:p>
        </w:tc>
        <w:tc>
          <w:tcPr>
            <w:tcW w:w="2392" w:type="dxa"/>
            <w:vMerge w:val="continue"/>
            <w:vAlign w:val="center"/>
          </w:tcPr>
          <w:p>
            <w:pPr>
              <w:widowControl/>
              <w:jc w:val="lef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663" w:type="dxa"/>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widowControl/>
              <w:jc w:val="left"/>
              <w:rPr>
                <w:rFonts w:ascii="宋体" w:hAnsi="宋体" w:cs="宋体"/>
                <w:sz w:val="22"/>
                <w:szCs w:val="22"/>
              </w:rPr>
            </w:pPr>
          </w:p>
        </w:tc>
        <w:tc>
          <w:tcPr>
            <w:tcW w:w="2392" w:type="dxa"/>
            <w:vMerge w:val="continue"/>
            <w:vAlign w:val="center"/>
          </w:tcPr>
          <w:p>
            <w:pPr>
              <w:widowControl/>
              <w:jc w:val="lef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663" w:type="dxa"/>
            <w:vAlign w:val="center"/>
          </w:tcPr>
          <w:p>
            <w:pPr>
              <w:spacing w:line="360" w:lineRule="auto"/>
              <w:jc w:val="center"/>
              <w:rPr>
                <w:rFonts w:ascii="宋体" w:hAnsi="宋体" w:cs="宋体"/>
                <w:sz w:val="22"/>
                <w:szCs w:val="22"/>
              </w:rPr>
            </w:pPr>
            <w:r>
              <w:rPr>
                <w:rFonts w:ascii="宋体" w:hAnsi="宋体" w:cs="宋体"/>
                <w:sz w:val="22"/>
                <w:szCs w:val="22"/>
              </w:rPr>
              <w:t>6</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widowControl/>
              <w:jc w:val="left"/>
              <w:rPr>
                <w:rFonts w:ascii="宋体" w:hAnsi="宋体" w:cs="宋体"/>
                <w:sz w:val="22"/>
                <w:szCs w:val="22"/>
              </w:rPr>
            </w:pPr>
          </w:p>
        </w:tc>
        <w:tc>
          <w:tcPr>
            <w:tcW w:w="2392" w:type="dxa"/>
            <w:vMerge w:val="continue"/>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widowControl/>
        <w:spacing w:line="360" w:lineRule="auto"/>
        <w:jc w:val="right"/>
        <w:rPr>
          <w:rFonts w:ascii="宋体" w:hAnsi="宋体" w:cs="宋体"/>
          <w:b/>
          <w:bCs/>
          <w:kern w:val="0"/>
          <w:sz w:val="22"/>
          <w:szCs w:val="22"/>
        </w:rPr>
      </w:pPr>
      <w:r>
        <w:rPr>
          <w:rFonts w:hint="eastAsia" w:ascii="宋体" w:hAnsi="宋体" w:cs="宋体"/>
          <w:b/>
          <w:sz w:val="22"/>
          <w:szCs w:val="22"/>
        </w:rPr>
        <w:t>日期：</w:t>
      </w:r>
      <w:r>
        <w:rPr>
          <w:rFonts w:hint="eastAsia" w:ascii="宋体" w:hAnsi="宋体" w:cs="宋体"/>
          <w:sz w:val="22"/>
          <w:szCs w:val="22"/>
        </w:rPr>
        <w:t xml:space="preserve">     年    月    日</w:t>
      </w:r>
    </w:p>
    <w:p>
      <w:pPr>
        <w:pStyle w:val="2"/>
        <w:ind w:firstLine="400"/>
      </w:pPr>
    </w:p>
    <w:p>
      <w:pPr>
        <w:pStyle w:val="2"/>
        <w:ind w:firstLine="400"/>
      </w:pPr>
    </w:p>
    <w:p>
      <w:pPr>
        <w:pStyle w:val="2"/>
        <w:ind w:firstLine="400"/>
      </w:pPr>
    </w:p>
    <w:p>
      <w:pPr>
        <w:pStyle w:val="2"/>
        <w:ind w:firstLine="400"/>
      </w:pPr>
    </w:p>
    <w:p>
      <w:pPr>
        <w:widowControl/>
        <w:spacing w:line="360" w:lineRule="auto"/>
        <w:jc w:val="left"/>
        <w:rPr>
          <w:rFonts w:ascii="宋体" w:hAnsi="宋体" w:cs="宋体"/>
          <w:b/>
          <w:bCs/>
          <w:kern w:val="0"/>
          <w:sz w:val="28"/>
          <w:szCs w:val="28"/>
        </w:rPr>
      </w:pPr>
      <w:r>
        <w:rPr>
          <w:rFonts w:hint="eastAsia" w:ascii="宋体" w:hAnsi="宋体"/>
          <w:b/>
          <w:sz w:val="28"/>
          <w:szCs w:val="28"/>
        </w:rPr>
        <w:t>附表</w:t>
      </w:r>
      <w:r>
        <w:rPr>
          <w:rFonts w:ascii="宋体" w:hAnsi="宋体"/>
          <w:b/>
          <w:sz w:val="28"/>
          <w:szCs w:val="28"/>
        </w:rPr>
        <w:t>11</w:t>
      </w:r>
      <w:r>
        <w:rPr>
          <w:rFonts w:hint="eastAsia" w:ascii="宋体" w:hAnsi="宋体"/>
          <w:b/>
          <w:sz w:val="28"/>
          <w:szCs w:val="28"/>
        </w:rPr>
        <w:t>：技术标</w:t>
      </w:r>
      <w:r>
        <w:rPr>
          <w:rFonts w:ascii="宋体" w:hAnsi="宋体"/>
          <w:b/>
          <w:sz w:val="28"/>
          <w:szCs w:val="28"/>
        </w:rPr>
        <w:t>2</w:t>
      </w:r>
      <w:r>
        <w:rPr>
          <w:rFonts w:hint="eastAsia" w:ascii="宋体" w:hAnsi="宋体"/>
          <w:b/>
          <w:sz w:val="28"/>
          <w:szCs w:val="28"/>
        </w:rPr>
        <w:t>与资信标得分汇总</w:t>
      </w:r>
    </w:p>
    <w:p>
      <w:pPr>
        <w:widowControl/>
        <w:spacing w:line="360" w:lineRule="auto"/>
        <w:jc w:val="center"/>
        <w:rPr>
          <w:rFonts w:ascii="宋体" w:hAnsi="宋体" w:cs="宋体"/>
          <w:b/>
          <w:bCs/>
          <w:kern w:val="0"/>
          <w:sz w:val="36"/>
          <w:szCs w:val="36"/>
        </w:rPr>
      </w:pPr>
      <w:r>
        <w:rPr>
          <w:rFonts w:hint="eastAsia" w:ascii="宋体" w:hAnsi="宋体" w:cs="宋体"/>
          <w:b/>
          <w:bCs/>
          <w:kern w:val="0"/>
          <w:sz w:val="36"/>
          <w:szCs w:val="36"/>
        </w:rPr>
        <w:t>技术标</w:t>
      </w:r>
      <w:r>
        <w:rPr>
          <w:rFonts w:ascii="宋体" w:hAnsi="宋体" w:cs="宋体"/>
          <w:b/>
          <w:bCs/>
          <w:kern w:val="0"/>
          <w:sz w:val="36"/>
          <w:szCs w:val="36"/>
        </w:rPr>
        <w:t>2</w:t>
      </w:r>
      <w:r>
        <w:rPr>
          <w:rFonts w:hint="eastAsia" w:ascii="宋体" w:hAnsi="宋体" w:cs="宋体"/>
          <w:b/>
          <w:bCs/>
          <w:kern w:val="0"/>
          <w:sz w:val="36"/>
          <w:szCs w:val="36"/>
        </w:rPr>
        <w:t>与资信标得分汇总表</w:t>
      </w:r>
    </w:p>
    <w:p>
      <w:pPr>
        <w:spacing w:after="120" w:afterLines="50" w:line="360" w:lineRule="auto"/>
        <w:ind w:right="630"/>
        <w:rPr>
          <w:rFonts w:ascii="宋体" w:hAnsi="宋体" w:cs="宋体"/>
          <w:b/>
          <w:bCs/>
          <w:snapToGrid w:val="0"/>
          <w:sz w:val="22"/>
          <w:szCs w:val="22"/>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深铁置业2022年度拟销售项目展示区开放系列活动、现场包装及宣传推广服务</w:t>
      </w:r>
      <w:r>
        <w:rPr>
          <w:rFonts w:hint="eastAsia" w:ascii="宋体" w:hAnsi="宋体" w:cs="宋体"/>
          <w:b/>
          <w:bCs/>
          <w:snapToGrid w:val="0"/>
          <w:sz w:val="22"/>
          <w:szCs w:val="22"/>
        </w:rPr>
        <w:t xml:space="preserve"> </w:t>
      </w:r>
    </w:p>
    <w:p>
      <w:pPr>
        <w:spacing w:after="120" w:afterLines="50" w:line="276" w:lineRule="auto"/>
        <w:ind w:right="630" w:firstLine="1325" w:firstLineChars="550"/>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7"/>
        <w:tblW w:w="14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3"/>
        <w:gridCol w:w="3660"/>
        <w:gridCol w:w="2016"/>
        <w:gridCol w:w="2103"/>
        <w:gridCol w:w="1720"/>
        <w:gridCol w:w="2392"/>
        <w:gridCol w:w="2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663"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3660"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016"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Cn</w:t>
            </w:r>
          </w:p>
          <w:p>
            <w:pPr>
              <w:spacing w:line="360" w:lineRule="auto"/>
              <w:jc w:val="center"/>
              <w:rPr>
                <w:rFonts w:ascii="宋体" w:hAnsi="宋体" w:cs="宋体"/>
                <w:b/>
                <w:bCs/>
                <w:sz w:val="22"/>
                <w:szCs w:val="22"/>
              </w:rPr>
            </w:pPr>
            <w:r>
              <w:rPr>
                <w:rFonts w:hint="eastAsia" w:ascii="宋体" w:hAnsi="宋体" w:cs="宋体"/>
                <w:b/>
                <w:bCs/>
                <w:sz w:val="22"/>
                <w:szCs w:val="22"/>
              </w:rPr>
              <w:t>（资信标得分）</w:t>
            </w:r>
          </w:p>
        </w:tc>
        <w:tc>
          <w:tcPr>
            <w:tcW w:w="2103"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r>
              <w:rPr>
                <w:rFonts w:ascii="宋体" w:hAnsi="宋体" w:cs="宋体"/>
                <w:b/>
                <w:bCs/>
                <w:sz w:val="22"/>
                <w:szCs w:val="22"/>
              </w:rPr>
              <w:t>2</w:t>
            </w:r>
          </w:p>
          <w:p>
            <w:pPr>
              <w:spacing w:line="360" w:lineRule="auto"/>
              <w:jc w:val="center"/>
              <w:rPr>
                <w:rFonts w:ascii="宋体" w:hAnsi="宋体" w:cs="宋体"/>
                <w:b/>
                <w:bCs/>
                <w:sz w:val="22"/>
                <w:szCs w:val="22"/>
              </w:rPr>
            </w:pPr>
            <w:r>
              <w:rPr>
                <w:rFonts w:hint="eastAsia" w:ascii="宋体" w:hAnsi="宋体" w:cs="宋体"/>
                <w:b/>
                <w:bCs/>
                <w:sz w:val="22"/>
                <w:szCs w:val="22"/>
              </w:rPr>
              <w:t>（技术标得分）</w:t>
            </w:r>
          </w:p>
        </w:tc>
        <w:tc>
          <w:tcPr>
            <w:tcW w:w="1720"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Bn</w:t>
            </w:r>
            <w:r>
              <w:rPr>
                <w:rFonts w:ascii="宋体" w:hAnsi="宋体" w:cs="宋体"/>
                <w:b/>
                <w:bCs/>
                <w:sz w:val="22"/>
                <w:szCs w:val="22"/>
              </w:rPr>
              <w:t>2</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392" w:type="dxa"/>
          </w:tcPr>
          <w:p>
            <w:pPr>
              <w:spacing w:line="360" w:lineRule="auto"/>
              <w:jc w:val="center"/>
              <w:rPr>
                <w:rFonts w:ascii="宋体" w:hAnsi="宋体" w:cs="宋体"/>
                <w:b/>
                <w:bCs/>
                <w:sz w:val="22"/>
                <w:szCs w:val="22"/>
              </w:rPr>
            </w:pPr>
            <w:r>
              <w:rPr>
                <w:rFonts w:hint="eastAsia" w:ascii="宋体" w:hAnsi="宋体" w:cs="宋体"/>
                <w:b/>
                <w:bCs/>
                <w:sz w:val="22"/>
                <w:szCs w:val="22"/>
              </w:rPr>
              <w:t>排名</w:t>
            </w:r>
          </w:p>
        </w:tc>
        <w:tc>
          <w:tcPr>
            <w:tcW w:w="2392" w:type="dxa"/>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663" w:type="dxa"/>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spacing w:line="360" w:lineRule="auto"/>
              <w:jc w:val="center"/>
              <w:rPr>
                <w:rFonts w:ascii="宋体" w:hAnsi="宋体" w:cs="宋体"/>
                <w:sz w:val="22"/>
                <w:szCs w:val="22"/>
              </w:rPr>
            </w:pPr>
          </w:p>
        </w:tc>
        <w:tc>
          <w:tcPr>
            <w:tcW w:w="2392" w:type="dxa"/>
            <w:vMerge w:val="restart"/>
            <w:vAlign w:val="center"/>
          </w:tcPr>
          <w:p>
            <w:pPr>
              <w:spacing w:line="360" w:lineRule="auto"/>
              <w:jc w:val="center"/>
              <w:rPr>
                <w:rFonts w:ascii="宋体" w:hAnsi="宋体" w:cs="宋体"/>
                <w:sz w:val="22"/>
                <w:szCs w:val="22"/>
              </w:rPr>
            </w:pPr>
            <w:r>
              <w:rPr>
                <w:rFonts w:hint="eastAsia" w:ascii="宋体" w:hAnsi="宋体" w:cs="宋体"/>
                <w:sz w:val="22"/>
                <w:szCs w:val="22"/>
              </w:rPr>
              <w:t>Bn</w:t>
            </w:r>
            <w:r>
              <w:rPr>
                <w:rFonts w:ascii="宋体" w:hAnsi="宋体" w:cs="宋体"/>
                <w:sz w:val="22"/>
                <w:szCs w:val="22"/>
              </w:rPr>
              <w:t>2</w:t>
            </w:r>
            <w:r>
              <w:rPr>
                <w:rFonts w:hint="eastAsia" w:ascii="宋体" w:hAnsi="宋体" w:cs="宋体"/>
                <w:sz w:val="22"/>
                <w:szCs w:val="22"/>
              </w:rPr>
              <w:t>=Cn+En</w:t>
            </w:r>
            <w:r>
              <w:rPr>
                <w:rFonts w:ascii="宋体" w:hAnsi="宋体" w:cs="宋体"/>
                <w:sz w:val="22"/>
                <w:szCs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663" w:type="dxa"/>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widowControl/>
              <w:jc w:val="left"/>
              <w:rPr>
                <w:rFonts w:ascii="宋体" w:hAnsi="宋体" w:cs="宋体"/>
                <w:sz w:val="22"/>
                <w:szCs w:val="22"/>
              </w:rPr>
            </w:pPr>
          </w:p>
        </w:tc>
        <w:tc>
          <w:tcPr>
            <w:tcW w:w="2392" w:type="dxa"/>
            <w:vMerge w:val="continue"/>
            <w:vAlign w:val="center"/>
          </w:tcPr>
          <w:p>
            <w:pPr>
              <w:widowControl/>
              <w:jc w:val="lef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663" w:type="dxa"/>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widowControl/>
              <w:jc w:val="left"/>
              <w:rPr>
                <w:rFonts w:ascii="宋体" w:hAnsi="宋体" w:cs="宋体"/>
                <w:sz w:val="22"/>
                <w:szCs w:val="22"/>
              </w:rPr>
            </w:pPr>
          </w:p>
        </w:tc>
        <w:tc>
          <w:tcPr>
            <w:tcW w:w="2392" w:type="dxa"/>
            <w:vMerge w:val="continue"/>
            <w:vAlign w:val="center"/>
          </w:tcPr>
          <w:p>
            <w:pPr>
              <w:widowControl/>
              <w:jc w:val="lef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663" w:type="dxa"/>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widowControl/>
              <w:jc w:val="left"/>
              <w:rPr>
                <w:rFonts w:ascii="宋体" w:hAnsi="宋体" w:cs="宋体"/>
                <w:sz w:val="22"/>
                <w:szCs w:val="22"/>
              </w:rPr>
            </w:pPr>
          </w:p>
        </w:tc>
        <w:tc>
          <w:tcPr>
            <w:tcW w:w="2392" w:type="dxa"/>
            <w:vMerge w:val="continue"/>
            <w:vAlign w:val="center"/>
          </w:tcPr>
          <w:p>
            <w:pPr>
              <w:widowControl/>
              <w:jc w:val="lef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663" w:type="dxa"/>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widowControl/>
              <w:jc w:val="left"/>
              <w:rPr>
                <w:rFonts w:ascii="宋体" w:hAnsi="宋体" w:cs="宋体"/>
                <w:sz w:val="22"/>
                <w:szCs w:val="22"/>
              </w:rPr>
            </w:pPr>
          </w:p>
        </w:tc>
        <w:tc>
          <w:tcPr>
            <w:tcW w:w="2392" w:type="dxa"/>
            <w:vMerge w:val="continue"/>
            <w:vAlign w:val="center"/>
          </w:tcPr>
          <w:p>
            <w:pPr>
              <w:widowControl/>
              <w:jc w:val="left"/>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663" w:type="dxa"/>
            <w:vAlign w:val="center"/>
          </w:tcPr>
          <w:p>
            <w:pPr>
              <w:spacing w:line="360" w:lineRule="auto"/>
              <w:jc w:val="center"/>
              <w:rPr>
                <w:rFonts w:ascii="宋体" w:hAnsi="宋体" w:cs="宋体"/>
                <w:sz w:val="22"/>
                <w:szCs w:val="22"/>
              </w:rPr>
            </w:pPr>
            <w:r>
              <w:rPr>
                <w:rFonts w:ascii="宋体" w:hAnsi="宋体" w:cs="宋体"/>
                <w:sz w:val="22"/>
                <w:szCs w:val="22"/>
              </w:rPr>
              <w:t>6</w:t>
            </w:r>
          </w:p>
        </w:tc>
        <w:tc>
          <w:tcPr>
            <w:tcW w:w="3660" w:type="dxa"/>
            <w:vAlign w:val="center"/>
          </w:tcPr>
          <w:p>
            <w:pPr>
              <w:spacing w:line="360" w:lineRule="auto"/>
              <w:jc w:val="left"/>
              <w:rPr>
                <w:rFonts w:ascii="宋体" w:hAnsi="宋体" w:cs="宋体"/>
                <w:sz w:val="22"/>
                <w:szCs w:val="22"/>
              </w:rPr>
            </w:pPr>
          </w:p>
        </w:tc>
        <w:tc>
          <w:tcPr>
            <w:tcW w:w="2016" w:type="dxa"/>
            <w:vAlign w:val="center"/>
          </w:tcPr>
          <w:p>
            <w:pPr>
              <w:spacing w:line="360" w:lineRule="auto"/>
              <w:jc w:val="left"/>
              <w:rPr>
                <w:rFonts w:ascii="宋体" w:hAnsi="宋体" w:cs="宋体"/>
                <w:sz w:val="22"/>
                <w:szCs w:val="22"/>
              </w:rPr>
            </w:pPr>
          </w:p>
        </w:tc>
        <w:tc>
          <w:tcPr>
            <w:tcW w:w="2103" w:type="dxa"/>
            <w:vAlign w:val="center"/>
          </w:tcPr>
          <w:p>
            <w:pPr>
              <w:spacing w:line="360" w:lineRule="auto"/>
              <w:jc w:val="left"/>
              <w:rPr>
                <w:rFonts w:ascii="宋体" w:hAnsi="宋体" w:cs="宋体"/>
                <w:sz w:val="22"/>
                <w:szCs w:val="22"/>
              </w:rPr>
            </w:pPr>
          </w:p>
        </w:tc>
        <w:tc>
          <w:tcPr>
            <w:tcW w:w="1720" w:type="dxa"/>
            <w:vAlign w:val="center"/>
          </w:tcPr>
          <w:p>
            <w:pPr>
              <w:spacing w:line="360" w:lineRule="auto"/>
              <w:jc w:val="left"/>
              <w:rPr>
                <w:rFonts w:ascii="宋体" w:hAnsi="宋体" w:cs="宋体"/>
                <w:sz w:val="22"/>
                <w:szCs w:val="22"/>
              </w:rPr>
            </w:pPr>
          </w:p>
        </w:tc>
        <w:tc>
          <w:tcPr>
            <w:tcW w:w="2392" w:type="dxa"/>
          </w:tcPr>
          <w:p>
            <w:pPr>
              <w:widowControl/>
              <w:jc w:val="left"/>
              <w:rPr>
                <w:rFonts w:ascii="宋体" w:hAnsi="宋体" w:cs="宋体"/>
                <w:sz w:val="22"/>
                <w:szCs w:val="22"/>
              </w:rPr>
            </w:pPr>
          </w:p>
        </w:tc>
        <w:tc>
          <w:tcPr>
            <w:tcW w:w="2392" w:type="dxa"/>
            <w:vMerge w:val="continue"/>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widowControl/>
        <w:spacing w:line="360" w:lineRule="auto"/>
        <w:jc w:val="right"/>
        <w:rPr>
          <w:rFonts w:ascii="宋体" w:hAnsi="宋体" w:cs="宋体"/>
          <w:b/>
          <w:bCs/>
          <w:kern w:val="0"/>
          <w:sz w:val="22"/>
          <w:szCs w:val="22"/>
        </w:rPr>
      </w:pPr>
      <w:r>
        <w:rPr>
          <w:rFonts w:hint="eastAsia" w:ascii="宋体" w:hAnsi="宋体" w:cs="宋体"/>
          <w:b/>
          <w:sz w:val="22"/>
          <w:szCs w:val="22"/>
        </w:rPr>
        <w:t>日期：</w:t>
      </w:r>
      <w:r>
        <w:rPr>
          <w:rFonts w:hint="eastAsia" w:ascii="宋体" w:hAnsi="宋体" w:cs="宋体"/>
          <w:sz w:val="22"/>
          <w:szCs w:val="22"/>
        </w:rPr>
        <w:t xml:space="preserve">     年    月    日</w:t>
      </w:r>
    </w:p>
    <w:p>
      <w:pPr>
        <w:tabs>
          <w:tab w:val="left" w:pos="0"/>
        </w:tabs>
        <w:snapToGrid w:val="0"/>
        <w:spacing w:line="360" w:lineRule="auto"/>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p>
    <w:p>
      <w:pPr>
        <w:tabs>
          <w:tab w:val="left" w:pos="0"/>
        </w:tabs>
        <w:snapToGrid w:val="0"/>
        <w:spacing w:line="360" w:lineRule="auto"/>
        <w:rPr>
          <w:rFonts w:ascii="宋体" w:hAnsi="宋体"/>
          <w:b/>
          <w:color w:val="0D0D0D" w:themeColor="text1" w:themeTint="F2"/>
          <w:sz w:val="28"/>
          <w:szCs w:val="28"/>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附件</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12</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：商务标A包初步评审表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A</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深铁置业2022年度拟销售项目展示区开放系列活动、现场包装及宣传推广服务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【A包：深铁珑境花园一期、地铁前海时代广场4号地块、深铁金融科技大厦、深铁置业大厦展示区开放系列活动、现场包装及宣传推广服务】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7"/>
        <w:tblW w:w="0" w:type="auto"/>
        <w:jc w:val="center"/>
        <w:tblLayout w:type="fixed"/>
        <w:tblCellMar>
          <w:top w:w="0" w:type="dxa"/>
          <w:left w:w="108" w:type="dxa"/>
          <w:bottom w:w="0" w:type="dxa"/>
          <w:right w:w="108" w:type="dxa"/>
        </w:tblCellMar>
      </w:tblPr>
      <w:tblGrid>
        <w:gridCol w:w="783"/>
        <w:gridCol w:w="5982"/>
        <w:gridCol w:w="1350"/>
        <w:gridCol w:w="1350"/>
        <w:gridCol w:w="1351"/>
        <w:gridCol w:w="1350"/>
        <w:gridCol w:w="1356"/>
      </w:tblGrid>
      <w:tr>
        <w:tblPrEx>
          <w:tblCellMar>
            <w:top w:w="0" w:type="dxa"/>
            <w:left w:w="108" w:type="dxa"/>
            <w:bottom w:w="0" w:type="dxa"/>
            <w:right w:w="108" w:type="dxa"/>
          </w:tblCellMar>
        </w:tblPrEx>
        <w:trPr>
          <w:trHeight w:val="199" w:hRule="atLeast"/>
          <w:jc w:val="center"/>
        </w:trPr>
        <w:tc>
          <w:tcPr>
            <w:tcW w:w="7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5982"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6757"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718" w:hRule="atLeast"/>
          <w:jc w:val="center"/>
        </w:trPr>
        <w:tc>
          <w:tcPr>
            <w:tcW w:w="7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59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36"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982"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84" w:hRule="atLeast"/>
          <w:jc w:val="center"/>
        </w:trPr>
        <w:tc>
          <w:tcPr>
            <w:tcW w:w="783"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9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35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45" w:hRule="atLeast"/>
          <w:jc w:val="center"/>
        </w:trPr>
        <w:tc>
          <w:tcPr>
            <w:tcW w:w="783"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9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35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908" w:hRule="atLeast"/>
          <w:jc w:val="center"/>
        </w:trPr>
        <w:tc>
          <w:tcPr>
            <w:tcW w:w="783"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9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35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74" w:hRule="atLeast"/>
          <w:jc w:val="center"/>
        </w:trPr>
        <w:tc>
          <w:tcPr>
            <w:tcW w:w="67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480" w:lineRule="atLeast"/>
        <w:rPr>
          <w:rFonts w:ascii="宋体" w:hAnsi="宋体" w:cs="宋体"/>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w:t>
      </w:r>
      <w:r>
        <w:rPr>
          <w:rFonts w:ascii="宋体" w:hAnsi="宋体"/>
          <w:b/>
          <w:color w:val="0D0D0D" w:themeColor="text1" w:themeTint="F2"/>
          <w:sz w:val="28"/>
          <w:szCs w:val="21"/>
          <w14:textFill>
            <w14:solidFill>
              <w14:schemeClr w14:val="tx1">
                <w14:lumMod w14:val="95000"/>
                <w14:lumOff w14:val="5000"/>
              </w14:schemeClr>
            </w14:solidFill>
          </w14:textFill>
        </w:rPr>
        <w:t>13：</w:t>
      </w:r>
      <w:r>
        <w:rPr>
          <w:rFonts w:hint="eastAsia" w:ascii="宋体" w:hAnsi="宋体"/>
          <w:b/>
          <w:color w:val="0D0D0D" w:themeColor="text1" w:themeTint="F2"/>
          <w:sz w:val="28"/>
          <w:szCs w:val="21"/>
          <w14:textFill>
            <w14:solidFill>
              <w14:schemeClr w14:val="tx1">
                <w14:lumMod w14:val="95000"/>
                <w14:lumOff w14:val="5000"/>
              </w14:schemeClr>
            </w14:solidFill>
          </w14:textFill>
        </w:rPr>
        <w:t>商务标</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A包</w:t>
      </w:r>
      <w:r>
        <w:rPr>
          <w:rFonts w:hint="eastAsia" w:ascii="宋体" w:hAnsi="宋体"/>
          <w:b/>
          <w:color w:val="0D0D0D" w:themeColor="text1" w:themeTint="F2"/>
          <w:sz w:val="28"/>
          <w:szCs w:val="21"/>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标A包详细评审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深铁置业2022年度拟销售项目展示区开放系列活动、现场包装及宣传推广服务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【A包：深铁珑境花园一期、地铁前海时代广场4号地块、深铁金融科技大厦、深铁置业大厦展示区开放系列活动、现场包装及宣传推广服务】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7"/>
        <w:tblW w:w="15107" w:type="dxa"/>
        <w:jc w:val="center"/>
        <w:tblLayout w:type="fixed"/>
        <w:tblCellMar>
          <w:top w:w="0" w:type="dxa"/>
          <w:left w:w="0" w:type="dxa"/>
          <w:bottom w:w="0" w:type="dxa"/>
          <w:right w:w="0" w:type="dxa"/>
        </w:tblCellMar>
      </w:tblPr>
      <w:tblGrid>
        <w:gridCol w:w="606"/>
        <w:gridCol w:w="1068"/>
        <w:gridCol w:w="5846"/>
        <w:gridCol w:w="987"/>
        <w:gridCol w:w="1320"/>
        <w:gridCol w:w="1320"/>
        <w:gridCol w:w="1320"/>
        <w:gridCol w:w="1320"/>
        <w:gridCol w:w="1320"/>
      </w:tblGrid>
      <w:tr>
        <w:tblPrEx>
          <w:tblCellMar>
            <w:top w:w="0" w:type="dxa"/>
            <w:left w:w="0" w:type="dxa"/>
            <w:bottom w:w="0" w:type="dxa"/>
            <w:right w:w="0" w:type="dxa"/>
          </w:tblCellMar>
        </w:tblPrEx>
        <w:trPr>
          <w:trHeight w:val="653" w:hRule="atLeast"/>
          <w:jc w:val="center"/>
        </w:trPr>
        <w:tc>
          <w:tcPr>
            <w:tcW w:w="606"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序号</w:t>
            </w:r>
          </w:p>
        </w:tc>
        <w:tc>
          <w:tcPr>
            <w:tcW w:w="106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评审内容</w:t>
            </w:r>
          </w:p>
        </w:tc>
        <w:tc>
          <w:tcPr>
            <w:tcW w:w="5846"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评审标准</w:t>
            </w:r>
          </w:p>
        </w:tc>
        <w:tc>
          <w:tcPr>
            <w:tcW w:w="98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基准价</w:t>
            </w:r>
          </w:p>
        </w:tc>
        <w:tc>
          <w:tcPr>
            <w:tcW w:w="6600"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参选人名称</w:t>
            </w:r>
          </w:p>
        </w:tc>
      </w:tr>
      <w:tr>
        <w:tblPrEx>
          <w:tblCellMar>
            <w:top w:w="0" w:type="dxa"/>
            <w:left w:w="0" w:type="dxa"/>
            <w:bottom w:w="0" w:type="dxa"/>
            <w:right w:w="0" w:type="dxa"/>
          </w:tblCellMar>
        </w:tblPrEx>
        <w:trPr>
          <w:trHeight w:val="624" w:hRule="atLeast"/>
          <w:jc w:val="center"/>
        </w:trPr>
        <w:tc>
          <w:tcPr>
            <w:tcW w:w="606"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0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5846"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98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3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r>
      <w:tr>
        <w:tblPrEx>
          <w:tblCellMar>
            <w:top w:w="0" w:type="dxa"/>
            <w:left w:w="0" w:type="dxa"/>
            <w:bottom w:w="0" w:type="dxa"/>
            <w:right w:w="0" w:type="dxa"/>
          </w:tblCellMar>
        </w:tblPrEx>
        <w:trPr>
          <w:trHeight w:val="2612" w:hRule="atLeast"/>
          <w:jc w:val="center"/>
        </w:trPr>
        <w:tc>
          <w:tcPr>
            <w:tcW w:w="606"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1</w:t>
            </w:r>
          </w:p>
        </w:tc>
        <w:tc>
          <w:tcPr>
            <w:tcW w:w="1068"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报 价</w:t>
            </w:r>
          </w:p>
          <w:p>
            <w:pPr>
              <w:adjustRightInd w:val="0"/>
              <w:snapToGrid w:val="0"/>
              <w:jc w:val="left"/>
              <w:rPr>
                <w:rFonts w:ascii="宋体" w:hAnsi="宋体" w:cs="宋体"/>
                <w:sz w:val="24"/>
                <w:szCs w:val="24"/>
              </w:rPr>
            </w:pPr>
            <w:r>
              <w:rPr>
                <w:rFonts w:hint="eastAsia" w:ascii="宋体" w:hAnsi="宋体" w:cs="宋体"/>
                <w:sz w:val="24"/>
                <w:szCs w:val="24"/>
              </w:rPr>
              <w:t>（万元）</w:t>
            </w:r>
          </w:p>
        </w:tc>
        <w:tc>
          <w:tcPr>
            <w:tcW w:w="5846"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（1）商务标根据参选人所报的报价评分。</w:t>
            </w:r>
          </w:p>
          <w:p>
            <w:pPr>
              <w:adjustRightInd w:val="0"/>
              <w:snapToGrid w:val="0"/>
              <w:jc w:val="left"/>
              <w:rPr>
                <w:rFonts w:ascii="宋体" w:hAnsi="宋体" w:cs="宋体"/>
                <w:sz w:val="24"/>
                <w:szCs w:val="24"/>
              </w:rPr>
            </w:pPr>
            <w:r>
              <w:rPr>
                <w:rFonts w:hint="eastAsia" w:ascii="宋体" w:hAnsi="宋体" w:cs="宋体"/>
                <w:sz w:val="24"/>
                <w:szCs w:val="24"/>
              </w:rPr>
              <w:t>（2）商务分的确定：以进入相应包商务标环节的所有参选人所报的服务费次低价为基准价且为满分30分。若次低价同时为最高价，则以最低价为基准价且为满分，按下列公式计算：</w:t>
            </w:r>
          </w:p>
          <w:p>
            <w:pPr>
              <w:adjustRightInd w:val="0"/>
              <w:snapToGrid w:val="0"/>
              <w:jc w:val="left"/>
              <w:rPr>
                <w:rFonts w:ascii="宋体" w:hAnsi="宋体" w:cs="宋体"/>
                <w:sz w:val="24"/>
                <w:szCs w:val="24"/>
              </w:rPr>
            </w:pPr>
            <w:r>
              <w:rPr>
                <w:rFonts w:hint="eastAsia" w:ascii="宋体" w:hAnsi="宋体" w:cs="宋体"/>
                <w:sz w:val="24"/>
                <w:szCs w:val="24"/>
              </w:rPr>
              <w:t xml:space="preserve">Fn=（30-30×│Sn-Sj│/Sj） </w:t>
            </w:r>
          </w:p>
          <w:p>
            <w:pPr>
              <w:adjustRightInd w:val="0"/>
              <w:snapToGrid w:val="0"/>
              <w:jc w:val="left"/>
              <w:rPr>
                <w:rFonts w:ascii="宋体" w:hAnsi="宋体" w:cs="宋体"/>
                <w:sz w:val="24"/>
                <w:szCs w:val="24"/>
              </w:rPr>
            </w:pPr>
            <w:r>
              <w:rPr>
                <w:rFonts w:hint="eastAsia" w:ascii="宋体" w:hAnsi="宋体" w:cs="宋体"/>
                <w:sz w:val="24"/>
                <w:szCs w:val="24"/>
              </w:rPr>
              <w:t>其中：Fn—第n参选人的商务得分（当Fn小于零分时，该参选人的商务得分按零分计）。</w:t>
            </w:r>
          </w:p>
          <w:p>
            <w:pPr>
              <w:adjustRightInd w:val="0"/>
              <w:snapToGrid w:val="0"/>
              <w:jc w:val="left"/>
              <w:rPr>
                <w:rFonts w:ascii="宋体" w:hAnsi="宋体" w:cs="宋体"/>
                <w:sz w:val="24"/>
                <w:szCs w:val="24"/>
              </w:rPr>
            </w:pPr>
            <w:r>
              <w:rPr>
                <w:rFonts w:hint="eastAsia" w:ascii="宋体" w:hAnsi="宋体" w:cs="宋体"/>
                <w:sz w:val="24"/>
                <w:szCs w:val="24"/>
              </w:rPr>
              <w:t>Sn—第n参选人的服务费</w:t>
            </w:r>
          </w:p>
          <w:p>
            <w:pPr>
              <w:adjustRightInd w:val="0"/>
              <w:snapToGrid w:val="0"/>
              <w:jc w:val="left"/>
              <w:rPr>
                <w:rFonts w:ascii="宋体" w:hAnsi="宋体" w:cs="宋体"/>
                <w:sz w:val="24"/>
                <w:szCs w:val="24"/>
              </w:rPr>
            </w:pPr>
            <w:r>
              <w:rPr>
                <w:rFonts w:hint="eastAsia" w:ascii="宋体" w:hAnsi="宋体" w:cs="宋体"/>
                <w:sz w:val="24"/>
                <w:szCs w:val="24"/>
              </w:rPr>
              <w:t>Sj—所有参选人所报的服务费基准价</w:t>
            </w:r>
          </w:p>
        </w:tc>
        <w:tc>
          <w:tcPr>
            <w:tcW w:w="987"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r>
        <w:tblPrEx>
          <w:tblCellMar>
            <w:top w:w="0" w:type="dxa"/>
            <w:left w:w="0" w:type="dxa"/>
            <w:bottom w:w="0" w:type="dxa"/>
            <w:right w:w="0" w:type="dxa"/>
          </w:tblCellMar>
        </w:tblPrEx>
        <w:trPr>
          <w:trHeight w:val="1706" w:hRule="atLeast"/>
          <w:jc w:val="center"/>
        </w:trPr>
        <w:tc>
          <w:tcPr>
            <w:tcW w:w="606"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2</w:t>
            </w:r>
          </w:p>
        </w:tc>
        <w:tc>
          <w:tcPr>
            <w:tcW w:w="1068"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得分</w:t>
            </w:r>
          </w:p>
          <w:p>
            <w:pPr>
              <w:adjustRightInd w:val="0"/>
              <w:snapToGrid w:val="0"/>
              <w:jc w:val="left"/>
              <w:rPr>
                <w:rFonts w:ascii="宋体" w:hAnsi="宋体" w:cs="宋体"/>
                <w:sz w:val="24"/>
                <w:szCs w:val="24"/>
              </w:rPr>
            </w:pPr>
          </w:p>
        </w:tc>
        <w:tc>
          <w:tcPr>
            <w:tcW w:w="5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987"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bl>
    <w:p>
      <w:pPr>
        <w:adjustRightInd w:val="0"/>
        <w:snapToGrid w:val="0"/>
        <w:spacing w:line="360" w:lineRule="auto"/>
        <w:jc w:val="left"/>
        <w:rPr>
          <w:rFonts w:ascii="宋体" w:hAnsi="宋体" w:cs="宋体"/>
          <w:b/>
          <w:bCs/>
          <w:kern w:val="0"/>
          <w:szCs w:val="21"/>
        </w:rPr>
      </w:pPr>
      <w:r>
        <w:rPr>
          <w:rFonts w:hint="eastAsia" w:ascii="宋体" w:hAnsi="宋体" w:cs="宋体"/>
          <w:szCs w:val="21"/>
        </w:rPr>
        <w:t>注：商务标得分的算术平均值保留小数点后两位数字，且四舍五入。</w:t>
      </w:r>
    </w:p>
    <w:p>
      <w:pPr>
        <w:widowControl/>
        <w:spacing w:line="360" w:lineRule="auto"/>
        <w:rPr>
          <w:rFonts w:ascii="宋体" w:hAnsi="宋体" w:cs="宋体"/>
          <w:b/>
          <w:bCs/>
          <w:kern w:val="0"/>
          <w:szCs w:val="21"/>
        </w:rPr>
      </w:pPr>
      <w:r>
        <w:rPr>
          <w:rFonts w:hint="eastAsia" w:ascii="宋体" w:hAnsi="宋体" w:cs="宋体"/>
          <w:b/>
          <w:szCs w:val="21"/>
        </w:rPr>
        <w:t xml:space="preserve">评委（签名）： </w:t>
      </w:r>
    </w:p>
    <w:p>
      <w:pPr>
        <w:widowControl/>
        <w:spacing w:line="360" w:lineRule="auto"/>
        <w:jc w:val="left"/>
        <w:rPr>
          <w:rFonts w:ascii="宋体" w:hAnsi="宋体"/>
          <w:b/>
          <w:sz w:val="24"/>
          <w:szCs w:val="24"/>
        </w:rPr>
      </w:pPr>
      <w:r>
        <w:rPr>
          <w:rFonts w:hint="eastAsia" w:ascii="宋体" w:hAnsi="宋体" w:cs="宋体"/>
          <w:b/>
          <w:szCs w:val="21"/>
        </w:rPr>
        <w:t>监督（签名）：                                                                             日期：</w:t>
      </w:r>
      <w:r>
        <w:rPr>
          <w:rFonts w:hint="eastAsia" w:ascii="宋体" w:hAnsi="宋体" w:cs="宋体"/>
          <w:szCs w:val="21"/>
        </w:rPr>
        <w:t xml:space="preserve">     年    月    日</w:t>
      </w:r>
    </w:p>
    <w:p>
      <w:pPr>
        <w:widowControl/>
        <w:spacing w:line="360" w:lineRule="auto"/>
        <w:jc w:val="left"/>
        <w:rPr>
          <w:rFonts w:ascii="宋体" w:hAnsi="宋体" w:cs="宋体"/>
          <w:b/>
          <w:bCs/>
          <w:kern w:val="0"/>
          <w:sz w:val="28"/>
          <w:szCs w:val="28"/>
        </w:rPr>
      </w:pPr>
      <w:r>
        <w:rPr>
          <w:rFonts w:hint="eastAsia" w:ascii="宋体" w:hAnsi="宋体"/>
          <w:b/>
          <w:sz w:val="28"/>
          <w:szCs w:val="28"/>
        </w:rPr>
        <w:t>附表</w:t>
      </w:r>
      <w:r>
        <w:rPr>
          <w:rFonts w:ascii="宋体" w:hAnsi="宋体"/>
          <w:b/>
          <w:sz w:val="28"/>
          <w:szCs w:val="28"/>
        </w:rPr>
        <w:t>14</w:t>
      </w:r>
      <w:r>
        <w:rPr>
          <w:rFonts w:hint="eastAsia" w:ascii="宋体" w:hAnsi="宋体"/>
          <w:b/>
          <w:sz w:val="28"/>
          <w:szCs w:val="28"/>
        </w:rPr>
        <w:t>：A包最终得分结果汇总表</w:t>
      </w:r>
    </w:p>
    <w:p>
      <w:pPr>
        <w:widowControl/>
        <w:spacing w:line="360" w:lineRule="auto"/>
        <w:jc w:val="center"/>
        <w:rPr>
          <w:rFonts w:ascii="宋体" w:hAnsi="宋体" w:cs="宋体"/>
          <w:b/>
          <w:bCs/>
          <w:kern w:val="0"/>
          <w:sz w:val="36"/>
          <w:szCs w:val="36"/>
        </w:rPr>
      </w:pPr>
      <w:r>
        <w:rPr>
          <w:rFonts w:ascii="宋体" w:hAnsi="宋体" w:cs="宋体"/>
          <w:b/>
          <w:bCs/>
          <w:kern w:val="0"/>
          <w:sz w:val="36"/>
          <w:szCs w:val="36"/>
        </w:rPr>
        <w:t>A</w:t>
      </w:r>
      <w:r>
        <w:rPr>
          <w:rFonts w:hint="eastAsia" w:ascii="宋体" w:hAnsi="宋体" w:cs="宋体"/>
          <w:b/>
          <w:bCs/>
          <w:kern w:val="0"/>
          <w:sz w:val="36"/>
          <w:szCs w:val="36"/>
        </w:rPr>
        <w:t>包最终得分结果汇总表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深铁置业2022年度拟销售项目展示区开放系列活动、现场包装及宣传推广服务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【A包：深铁珑境花园一期、地铁前海时代广场4号地块、深铁金融科技大厦、深铁置业大厦展示区开放系列活动、现场包装及宣传推广服务】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7"/>
        <w:tblW w:w="14686" w:type="dxa"/>
        <w:jc w:val="center"/>
        <w:tblLayout w:type="fixed"/>
        <w:tblCellMar>
          <w:top w:w="0" w:type="dxa"/>
          <w:left w:w="0" w:type="dxa"/>
          <w:bottom w:w="0" w:type="dxa"/>
          <w:right w:w="0" w:type="dxa"/>
        </w:tblCellMar>
      </w:tblPr>
      <w:tblGrid>
        <w:gridCol w:w="668"/>
        <w:gridCol w:w="3689"/>
        <w:gridCol w:w="2032"/>
        <w:gridCol w:w="2032"/>
        <w:gridCol w:w="2120"/>
        <w:gridCol w:w="1734"/>
        <w:gridCol w:w="2411"/>
      </w:tblGrid>
      <w:tr>
        <w:tblPrEx>
          <w:tblCellMar>
            <w:top w:w="0" w:type="dxa"/>
            <w:left w:w="0" w:type="dxa"/>
            <w:bottom w:w="0" w:type="dxa"/>
            <w:right w:w="0" w:type="dxa"/>
          </w:tblCellMar>
        </w:tblPrEx>
        <w:trPr>
          <w:trHeight w:val="128"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3689"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0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Cn</w:t>
            </w:r>
          </w:p>
          <w:p>
            <w:pPr>
              <w:spacing w:line="360" w:lineRule="auto"/>
              <w:jc w:val="center"/>
              <w:rPr>
                <w:rFonts w:ascii="宋体" w:hAnsi="宋体" w:cs="宋体"/>
                <w:b/>
                <w:bCs/>
                <w:sz w:val="22"/>
                <w:szCs w:val="22"/>
              </w:rPr>
            </w:pPr>
            <w:r>
              <w:rPr>
                <w:rFonts w:hint="eastAsia" w:ascii="宋体" w:hAnsi="宋体" w:cs="宋体"/>
                <w:b/>
                <w:bCs/>
                <w:sz w:val="22"/>
                <w:szCs w:val="22"/>
              </w:rPr>
              <w:t>（资信标得分）</w:t>
            </w:r>
          </w:p>
        </w:tc>
        <w:tc>
          <w:tcPr>
            <w:tcW w:w="2032"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r>
              <w:rPr>
                <w:rFonts w:ascii="宋体" w:hAnsi="宋体" w:cs="宋体"/>
                <w:b/>
                <w:bCs/>
                <w:sz w:val="22"/>
                <w:szCs w:val="22"/>
              </w:rPr>
              <w:t>1</w:t>
            </w:r>
          </w:p>
          <w:p>
            <w:pPr>
              <w:spacing w:line="360" w:lineRule="auto"/>
              <w:jc w:val="center"/>
              <w:rPr>
                <w:rFonts w:ascii="宋体" w:hAnsi="宋体" w:cs="宋体"/>
                <w:b/>
                <w:bCs/>
                <w:sz w:val="22"/>
                <w:szCs w:val="22"/>
              </w:rPr>
            </w:pPr>
            <w:r>
              <w:rPr>
                <w:rFonts w:hint="eastAsia" w:ascii="宋体" w:hAnsi="宋体" w:cs="宋体"/>
                <w:b/>
                <w:bCs/>
                <w:sz w:val="22"/>
                <w:szCs w:val="22"/>
              </w:rPr>
              <w:t>（技术标1得分）</w:t>
            </w:r>
          </w:p>
        </w:tc>
        <w:tc>
          <w:tcPr>
            <w:tcW w:w="2120"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Fn</w:t>
            </w:r>
          </w:p>
          <w:p>
            <w:pPr>
              <w:spacing w:line="360" w:lineRule="auto"/>
              <w:jc w:val="center"/>
              <w:rPr>
                <w:rFonts w:ascii="宋体" w:hAnsi="宋体" w:cs="宋体"/>
                <w:b/>
                <w:bCs/>
                <w:sz w:val="22"/>
                <w:szCs w:val="22"/>
              </w:rPr>
            </w:pPr>
            <w:r>
              <w:rPr>
                <w:rFonts w:hint="eastAsia" w:ascii="宋体" w:hAnsi="宋体" w:cs="宋体"/>
                <w:b/>
                <w:bCs/>
                <w:sz w:val="22"/>
                <w:szCs w:val="22"/>
              </w:rPr>
              <w:t>（商务标得分）</w:t>
            </w: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An</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411"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421"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An=Cn</w:t>
            </w:r>
            <w:r>
              <w:rPr>
                <w:rFonts w:ascii="宋体" w:hAnsi="宋体" w:cs="宋体"/>
                <w:sz w:val="22"/>
                <w:szCs w:val="22"/>
              </w:rPr>
              <w:t>+</w:t>
            </w:r>
            <w:r>
              <w:rPr>
                <w:rFonts w:hint="eastAsia" w:ascii="宋体" w:hAnsi="宋体" w:cs="宋体"/>
                <w:sz w:val="22"/>
                <w:szCs w:val="22"/>
              </w:rPr>
              <w:t>En</w:t>
            </w:r>
            <w:r>
              <w:rPr>
                <w:rFonts w:ascii="宋体" w:hAnsi="宋体" w:cs="宋体"/>
                <w:sz w:val="22"/>
                <w:szCs w:val="22"/>
              </w:rPr>
              <w:t>1</w:t>
            </w:r>
            <w:r>
              <w:rPr>
                <w:rFonts w:hint="eastAsia" w:ascii="宋体" w:hAnsi="宋体" w:cs="宋体"/>
                <w:sz w:val="22"/>
                <w:szCs w:val="22"/>
              </w:rPr>
              <w:t>+Fn</w:t>
            </w:r>
          </w:p>
        </w:tc>
      </w:tr>
      <w:tr>
        <w:tblPrEx>
          <w:tblCellMar>
            <w:top w:w="0" w:type="dxa"/>
            <w:left w:w="0" w:type="dxa"/>
            <w:bottom w:w="0" w:type="dxa"/>
            <w:right w:w="0" w:type="dxa"/>
          </w:tblCellMar>
        </w:tblPrEx>
        <w:trPr>
          <w:trHeight w:val="46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46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46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46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392"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ascii="宋体" w:hAnsi="宋体" w:cs="宋体"/>
                <w:sz w:val="22"/>
                <w:szCs w:val="22"/>
              </w:rPr>
              <w:t>6</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widowControl/>
        <w:spacing w:line="360" w:lineRule="auto"/>
        <w:jc w:val="right"/>
        <w:rPr>
          <w:rFonts w:ascii="宋体" w:hAnsi="宋体" w:cs="宋体"/>
          <w:b/>
          <w:bCs/>
          <w:kern w:val="0"/>
          <w:sz w:val="22"/>
          <w:szCs w:val="22"/>
        </w:rPr>
      </w:pPr>
      <w:r>
        <w:rPr>
          <w:rFonts w:hint="eastAsia" w:ascii="宋体" w:hAnsi="宋体" w:cs="宋体"/>
          <w:b/>
          <w:sz w:val="22"/>
          <w:szCs w:val="22"/>
        </w:rPr>
        <w:t>日期：</w:t>
      </w:r>
      <w:r>
        <w:rPr>
          <w:rFonts w:hint="eastAsia" w:ascii="宋体" w:hAnsi="宋体" w:cs="宋体"/>
          <w:sz w:val="22"/>
          <w:szCs w:val="22"/>
        </w:rPr>
        <w:t xml:space="preserve">     年    月    日</w:t>
      </w:r>
    </w:p>
    <w:p>
      <w:pPr>
        <w:widowControl/>
        <w:spacing w:line="360" w:lineRule="auto"/>
        <w:jc w:val="left"/>
        <w:rPr>
          <w:rFonts w:ascii="宋体" w:hAnsi="宋体" w:cs="宋体"/>
          <w:b/>
          <w:bCs/>
          <w:kern w:val="0"/>
          <w:szCs w:val="21"/>
        </w:rPr>
        <w:sectPr>
          <w:pgSz w:w="16840" w:h="11907" w:orient="landscape"/>
          <w:pgMar w:top="1440" w:right="1440" w:bottom="1134" w:left="1440" w:header="720" w:footer="890" w:gutter="0"/>
          <w:cols w:space="720" w:num="1"/>
        </w:sectPr>
      </w:pPr>
    </w:p>
    <w:p>
      <w:pPr>
        <w:tabs>
          <w:tab w:val="left" w:pos="0"/>
        </w:tabs>
        <w:snapToGrid w:val="0"/>
        <w:spacing w:line="360" w:lineRule="auto"/>
        <w:rPr>
          <w:rFonts w:ascii="宋体" w:hAnsi="宋体"/>
          <w:b/>
          <w:color w:val="0D0D0D" w:themeColor="text1" w:themeTint="F2"/>
          <w:sz w:val="28"/>
          <w:szCs w:val="28"/>
          <w14:textFill>
            <w14:solidFill>
              <w14:schemeClr w14:val="tx1">
                <w14:lumMod w14:val="95000"/>
                <w14:lumOff w14:val="5000"/>
              </w14:schemeClr>
            </w14:solidFill>
          </w14:textFill>
        </w:rPr>
      </w:pPr>
      <w:bookmarkStart w:id="84" w:name="_Toc197404916"/>
      <w:bookmarkStart w:id="85" w:name="_Toc197850644"/>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附件</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15</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：商务标</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B</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深铁置业2022年度拟销售项目展示区开放系列活动、现场包装及宣传推广服务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【B包：深铁璟城一期、深铁懿府三期、深铁赤湾项目一期、深铁瑞城三期、山海漫街项目展示区开放系列活动、现场包装及宣传推广服务】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7"/>
        <w:tblW w:w="0" w:type="auto"/>
        <w:jc w:val="center"/>
        <w:tblLayout w:type="fixed"/>
        <w:tblCellMar>
          <w:top w:w="0" w:type="dxa"/>
          <w:left w:w="108" w:type="dxa"/>
          <w:bottom w:w="0" w:type="dxa"/>
          <w:right w:w="108" w:type="dxa"/>
        </w:tblCellMar>
      </w:tblPr>
      <w:tblGrid>
        <w:gridCol w:w="783"/>
        <w:gridCol w:w="5982"/>
        <w:gridCol w:w="1350"/>
        <w:gridCol w:w="1350"/>
        <w:gridCol w:w="1351"/>
        <w:gridCol w:w="1350"/>
        <w:gridCol w:w="1356"/>
      </w:tblGrid>
      <w:tr>
        <w:tblPrEx>
          <w:tblCellMar>
            <w:top w:w="0" w:type="dxa"/>
            <w:left w:w="108" w:type="dxa"/>
            <w:bottom w:w="0" w:type="dxa"/>
            <w:right w:w="108" w:type="dxa"/>
          </w:tblCellMar>
        </w:tblPrEx>
        <w:trPr>
          <w:trHeight w:val="199" w:hRule="atLeast"/>
          <w:jc w:val="center"/>
        </w:trPr>
        <w:tc>
          <w:tcPr>
            <w:tcW w:w="78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5982"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6757"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718" w:hRule="atLeast"/>
          <w:jc w:val="center"/>
        </w:trPr>
        <w:tc>
          <w:tcPr>
            <w:tcW w:w="7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59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36"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982"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84" w:hRule="atLeast"/>
          <w:jc w:val="center"/>
        </w:trPr>
        <w:tc>
          <w:tcPr>
            <w:tcW w:w="783"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9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35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45" w:hRule="atLeast"/>
          <w:jc w:val="center"/>
        </w:trPr>
        <w:tc>
          <w:tcPr>
            <w:tcW w:w="783"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9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35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908" w:hRule="atLeast"/>
          <w:jc w:val="center"/>
        </w:trPr>
        <w:tc>
          <w:tcPr>
            <w:tcW w:w="783"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9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35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74" w:hRule="atLeast"/>
          <w:jc w:val="center"/>
        </w:trPr>
        <w:tc>
          <w:tcPr>
            <w:tcW w:w="676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3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480" w:lineRule="atLeast"/>
        <w:rPr>
          <w:rFonts w:ascii="宋体" w:hAnsi="宋体" w:cs="宋体"/>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w:t>
      </w:r>
      <w:r>
        <w:rPr>
          <w:rFonts w:ascii="宋体" w:hAnsi="宋体"/>
          <w:b/>
          <w:color w:val="0D0D0D" w:themeColor="text1" w:themeTint="F2"/>
          <w:sz w:val="28"/>
          <w:szCs w:val="21"/>
          <w14:textFill>
            <w14:solidFill>
              <w14:schemeClr w14:val="tx1">
                <w14:lumMod w14:val="95000"/>
                <w14:lumOff w14:val="5000"/>
              </w14:schemeClr>
            </w14:solidFill>
          </w14:textFill>
        </w:rPr>
        <w:t>16：</w:t>
      </w:r>
      <w:r>
        <w:rPr>
          <w:rFonts w:hint="eastAsia" w:ascii="宋体" w:hAnsi="宋体"/>
          <w:b/>
          <w:color w:val="0D0D0D" w:themeColor="text1" w:themeTint="F2"/>
          <w:sz w:val="28"/>
          <w:szCs w:val="21"/>
          <w14:textFill>
            <w14:solidFill>
              <w14:schemeClr w14:val="tx1">
                <w14:lumMod w14:val="95000"/>
                <w14:lumOff w14:val="5000"/>
              </w14:schemeClr>
            </w14:solidFill>
          </w14:textFill>
        </w:rPr>
        <w:t>商务标</w:t>
      </w:r>
      <w:r>
        <w:rPr>
          <w:rFonts w:ascii="宋体" w:hAnsi="宋体" w:cs="宋体"/>
          <w:b/>
          <w:bCs/>
          <w:color w:val="0D0D0D" w:themeColor="text1" w:themeTint="F2"/>
          <w:kern w:val="0"/>
          <w:sz w:val="28"/>
          <w:szCs w:val="28"/>
          <w14:textFill>
            <w14:solidFill>
              <w14:schemeClr w14:val="tx1">
                <w14:lumMod w14:val="95000"/>
                <w14:lumOff w14:val="5000"/>
              </w14:schemeClr>
            </w14:solidFill>
          </w14:textFill>
        </w:rPr>
        <w:t>B</w:t>
      </w:r>
      <w:r>
        <w:rPr>
          <w:rFonts w:hint="eastAsia" w:ascii="宋体" w:hAnsi="宋体" w:cs="宋体"/>
          <w:b/>
          <w:bCs/>
          <w:color w:val="0D0D0D" w:themeColor="text1" w:themeTint="F2"/>
          <w:kern w:val="0"/>
          <w:sz w:val="28"/>
          <w:szCs w:val="28"/>
          <w14:textFill>
            <w14:solidFill>
              <w14:schemeClr w14:val="tx1">
                <w14:lumMod w14:val="95000"/>
                <w14:lumOff w14:val="5000"/>
              </w14:schemeClr>
            </w14:solidFill>
          </w14:textFill>
        </w:rPr>
        <w:t>包</w:t>
      </w:r>
      <w:r>
        <w:rPr>
          <w:rFonts w:hint="eastAsia" w:ascii="宋体" w:hAnsi="宋体"/>
          <w:b/>
          <w:color w:val="0D0D0D" w:themeColor="text1" w:themeTint="F2"/>
          <w:sz w:val="28"/>
          <w:szCs w:val="21"/>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标B包详细评审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深铁置业2022年度拟销售项目展示区开放系列活动、现场包装及宣传推广服务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【B包：深铁璟城一期、深铁懿府三期、深铁赤湾项目一期、深铁瑞城三期、山海漫街项目展示区开放系列活动、现场包装及宣传推广服务】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7"/>
        <w:tblW w:w="15107" w:type="dxa"/>
        <w:jc w:val="center"/>
        <w:tblLayout w:type="fixed"/>
        <w:tblCellMar>
          <w:top w:w="0" w:type="dxa"/>
          <w:left w:w="0" w:type="dxa"/>
          <w:bottom w:w="0" w:type="dxa"/>
          <w:right w:w="0" w:type="dxa"/>
        </w:tblCellMar>
      </w:tblPr>
      <w:tblGrid>
        <w:gridCol w:w="606"/>
        <w:gridCol w:w="1068"/>
        <w:gridCol w:w="5846"/>
        <w:gridCol w:w="987"/>
        <w:gridCol w:w="1320"/>
        <w:gridCol w:w="1320"/>
        <w:gridCol w:w="1320"/>
        <w:gridCol w:w="1320"/>
        <w:gridCol w:w="1320"/>
      </w:tblGrid>
      <w:tr>
        <w:tblPrEx>
          <w:tblCellMar>
            <w:top w:w="0" w:type="dxa"/>
            <w:left w:w="0" w:type="dxa"/>
            <w:bottom w:w="0" w:type="dxa"/>
            <w:right w:w="0" w:type="dxa"/>
          </w:tblCellMar>
        </w:tblPrEx>
        <w:trPr>
          <w:trHeight w:val="653" w:hRule="atLeast"/>
          <w:jc w:val="center"/>
        </w:trPr>
        <w:tc>
          <w:tcPr>
            <w:tcW w:w="606"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序号</w:t>
            </w:r>
          </w:p>
        </w:tc>
        <w:tc>
          <w:tcPr>
            <w:tcW w:w="106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评审内容</w:t>
            </w:r>
          </w:p>
        </w:tc>
        <w:tc>
          <w:tcPr>
            <w:tcW w:w="5846"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评审标准</w:t>
            </w:r>
          </w:p>
        </w:tc>
        <w:tc>
          <w:tcPr>
            <w:tcW w:w="98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基准价</w:t>
            </w:r>
          </w:p>
        </w:tc>
        <w:tc>
          <w:tcPr>
            <w:tcW w:w="6600"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r>
              <w:rPr>
                <w:rFonts w:hint="eastAsia" w:ascii="宋体" w:hAnsi="宋体" w:cs="宋体"/>
                <w:b/>
                <w:bCs/>
                <w:kern w:val="0"/>
                <w:sz w:val="24"/>
                <w:szCs w:val="24"/>
              </w:rPr>
              <w:t>参选人名称</w:t>
            </w:r>
          </w:p>
        </w:tc>
      </w:tr>
      <w:tr>
        <w:tblPrEx>
          <w:tblCellMar>
            <w:top w:w="0" w:type="dxa"/>
            <w:left w:w="0" w:type="dxa"/>
            <w:bottom w:w="0" w:type="dxa"/>
            <w:right w:w="0" w:type="dxa"/>
          </w:tblCellMar>
        </w:tblPrEx>
        <w:trPr>
          <w:trHeight w:val="624" w:hRule="atLeast"/>
          <w:jc w:val="center"/>
        </w:trPr>
        <w:tc>
          <w:tcPr>
            <w:tcW w:w="606"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0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5846"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98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b/>
                <w:bCs/>
                <w:kern w:val="0"/>
                <w:sz w:val="24"/>
                <w:szCs w:val="24"/>
              </w:rPr>
            </w:pPr>
          </w:p>
        </w:tc>
        <w:tc>
          <w:tcPr>
            <w:tcW w:w="13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szCs w:val="24"/>
              </w:rPr>
            </w:pPr>
          </w:p>
        </w:tc>
      </w:tr>
      <w:tr>
        <w:tblPrEx>
          <w:tblCellMar>
            <w:top w:w="0" w:type="dxa"/>
            <w:left w:w="0" w:type="dxa"/>
            <w:bottom w:w="0" w:type="dxa"/>
            <w:right w:w="0" w:type="dxa"/>
          </w:tblCellMar>
        </w:tblPrEx>
        <w:trPr>
          <w:trHeight w:val="2612" w:hRule="atLeast"/>
          <w:jc w:val="center"/>
        </w:trPr>
        <w:tc>
          <w:tcPr>
            <w:tcW w:w="606"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1</w:t>
            </w:r>
          </w:p>
        </w:tc>
        <w:tc>
          <w:tcPr>
            <w:tcW w:w="1068"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报 价</w:t>
            </w:r>
          </w:p>
          <w:p>
            <w:pPr>
              <w:adjustRightInd w:val="0"/>
              <w:snapToGrid w:val="0"/>
              <w:jc w:val="left"/>
              <w:rPr>
                <w:rFonts w:ascii="宋体" w:hAnsi="宋体" w:cs="宋体"/>
                <w:sz w:val="24"/>
                <w:szCs w:val="24"/>
              </w:rPr>
            </w:pPr>
            <w:r>
              <w:rPr>
                <w:rFonts w:hint="eastAsia" w:ascii="宋体" w:hAnsi="宋体" w:cs="宋体"/>
                <w:sz w:val="24"/>
                <w:szCs w:val="24"/>
              </w:rPr>
              <w:t>（万元）</w:t>
            </w:r>
          </w:p>
        </w:tc>
        <w:tc>
          <w:tcPr>
            <w:tcW w:w="5846" w:type="dxa"/>
            <w:vMerge w:val="restart"/>
            <w:tcBorders>
              <w:top w:val="nil"/>
              <w:left w:val="single" w:color="auto" w:sz="4" w:space="0"/>
              <w:bottom w:val="single" w:color="auto" w:sz="4" w:space="0"/>
              <w:right w:val="single" w:color="auto"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（1）商务标根据参选人所报的报价评分。</w:t>
            </w:r>
          </w:p>
          <w:p>
            <w:pPr>
              <w:adjustRightInd w:val="0"/>
              <w:snapToGrid w:val="0"/>
              <w:jc w:val="left"/>
              <w:rPr>
                <w:rFonts w:ascii="宋体" w:hAnsi="宋体" w:cs="宋体"/>
                <w:sz w:val="24"/>
                <w:szCs w:val="24"/>
              </w:rPr>
            </w:pPr>
            <w:r>
              <w:rPr>
                <w:rFonts w:hint="eastAsia" w:ascii="宋体" w:hAnsi="宋体" w:cs="宋体"/>
                <w:sz w:val="24"/>
                <w:szCs w:val="24"/>
              </w:rPr>
              <w:t>（2）商务分的确定：以进入相应包商务标环节的所有参选人所报的服务费次低价为基准价且为满分30分。若次低价同时为最高价，则以最低价为基准价且为满分，按下列公式计算：</w:t>
            </w:r>
          </w:p>
          <w:p>
            <w:pPr>
              <w:adjustRightInd w:val="0"/>
              <w:snapToGrid w:val="0"/>
              <w:jc w:val="left"/>
              <w:rPr>
                <w:rFonts w:ascii="宋体" w:hAnsi="宋体" w:cs="宋体"/>
                <w:sz w:val="24"/>
                <w:szCs w:val="24"/>
              </w:rPr>
            </w:pPr>
            <w:r>
              <w:rPr>
                <w:rFonts w:hint="eastAsia" w:ascii="宋体" w:hAnsi="宋体" w:cs="宋体"/>
                <w:sz w:val="24"/>
                <w:szCs w:val="24"/>
              </w:rPr>
              <w:t xml:space="preserve">Fn=（30-30×│Sn-Sj│/Sj） </w:t>
            </w:r>
          </w:p>
          <w:p>
            <w:pPr>
              <w:adjustRightInd w:val="0"/>
              <w:snapToGrid w:val="0"/>
              <w:jc w:val="left"/>
              <w:rPr>
                <w:rFonts w:ascii="宋体" w:hAnsi="宋体" w:cs="宋体"/>
                <w:sz w:val="24"/>
                <w:szCs w:val="24"/>
              </w:rPr>
            </w:pPr>
            <w:r>
              <w:rPr>
                <w:rFonts w:hint="eastAsia" w:ascii="宋体" w:hAnsi="宋体" w:cs="宋体"/>
                <w:sz w:val="24"/>
                <w:szCs w:val="24"/>
              </w:rPr>
              <w:t>其中：Fn—第n参选人的商务得分（当Fn小于零分时，该参选人的商务得分按零分计）。</w:t>
            </w:r>
          </w:p>
          <w:p>
            <w:pPr>
              <w:adjustRightInd w:val="0"/>
              <w:snapToGrid w:val="0"/>
              <w:jc w:val="left"/>
              <w:rPr>
                <w:rFonts w:ascii="宋体" w:hAnsi="宋体" w:cs="宋体"/>
                <w:sz w:val="24"/>
                <w:szCs w:val="24"/>
              </w:rPr>
            </w:pPr>
            <w:r>
              <w:rPr>
                <w:rFonts w:hint="eastAsia" w:ascii="宋体" w:hAnsi="宋体" w:cs="宋体"/>
                <w:sz w:val="24"/>
                <w:szCs w:val="24"/>
              </w:rPr>
              <w:t>Sn—第n参选人的服务费</w:t>
            </w:r>
          </w:p>
          <w:p>
            <w:pPr>
              <w:adjustRightInd w:val="0"/>
              <w:snapToGrid w:val="0"/>
              <w:jc w:val="left"/>
              <w:rPr>
                <w:rFonts w:ascii="宋体" w:hAnsi="宋体" w:cs="宋体"/>
                <w:sz w:val="24"/>
                <w:szCs w:val="24"/>
              </w:rPr>
            </w:pPr>
            <w:r>
              <w:rPr>
                <w:rFonts w:hint="eastAsia" w:ascii="宋体" w:hAnsi="宋体" w:cs="宋体"/>
                <w:sz w:val="24"/>
                <w:szCs w:val="24"/>
              </w:rPr>
              <w:t>Sj—所有参选人所报的服务费基准价</w:t>
            </w:r>
          </w:p>
        </w:tc>
        <w:tc>
          <w:tcPr>
            <w:tcW w:w="987"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r>
        <w:tblPrEx>
          <w:tblCellMar>
            <w:top w:w="0" w:type="dxa"/>
            <w:left w:w="0" w:type="dxa"/>
            <w:bottom w:w="0" w:type="dxa"/>
            <w:right w:w="0" w:type="dxa"/>
          </w:tblCellMar>
        </w:tblPrEx>
        <w:trPr>
          <w:trHeight w:val="1706" w:hRule="atLeast"/>
          <w:jc w:val="center"/>
        </w:trPr>
        <w:tc>
          <w:tcPr>
            <w:tcW w:w="606" w:type="dxa"/>
            <w:tcBorders>
              <w:top w:val="nil"/>
              <w:left w:val="single" w:color="auto" w:sz="8"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r>
              <w:rPr>
                <w:rFonts w:hint="eastAsia" w:ascii="宋体" w:hAnsi="宋体" w:cs="宋体"/>
                <w:sz w:val="24"/>
                <w:szCs w:val="24"/>
              </w:rPr>
              <w:t>2</w:t>
            </w:r>
          </w:p>
        </w:tc>
        <w:tc>
          <w:tcPr>
            <w:tcW w:w="1068" w:type="dxa"/>
            <w:tcBorders>
              <w:top w:val="nil"/>
              <w:left w:val="single" w:color="auto" w:sz="4" w:space="0"/>
              <w:bottom w:val="single" w:color="auto" w:sz="4" w:space="0"/>
              <w:right w:val="single" w:color="000000" w:sz="4" w:space="0"/>
            </w:tcBorders>
            <w:vAlign w:val="center"/>
          </w:tcPr>
          <w:p>
            <w:pPr>
              <w:adjustRightInd w:val="0"/>
              <w:snapToGrid w:val="0"/>
              <w:jc w:val="left"/>
              <w:rPr>
                <w:rFonts w:ascii="宋体" w:hAnsi="宋体" w:cs="宋体"/>
                <w:sz w:val="24"/>
                <w:szCs w:val="24"/>
              </w:rPr>
            </w:pPr>
            <w:r>
              <w:rPr>
                <w:rFonts w:hint="eastAsia" w:ascii="宋体" w:hAnsi="宋体" w:cs="宋体"/>
                <w:sz w:val="24"/>
                <w:szCs w:val="24"/>
              </w:rPr>
              <w:t>得分</w:t>
            </w:r>
          </w:p>
          <w:p>
            <w:pPr>
              <w:adjustRightInd w:val="0"/>
              <w:snapToGrid w:val="0"/>
              <w:jc w:val="left"/>
              <w:rPr>
                <w:rFonts w:ascii="宋体" w:hAnsi="宋体" w:cs="宋体"/>
                <w:sz w:val="24"/>
                <w:szCs w:val="24"/>
              </w:rPr>
            </w:pPr>
          </w:p>
        </w:tc>
        <w:tc>
          <w:tcPr>
            <w:tcW w:w="584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sz w:val="24"/>
                <w:szCs w:val="24"/>
              </w:rPr>
            </w:pPr>
          </w:p>
        </w:tc>
        <w:tc>
          <w:tcPr>
            <w:tcW w:w="987" w:type="dxa"/>
            <w:tcBorders>
              <w:top w:val="nil"/>
              <w:left w:val="single" w:color="auto" w:sz="4" w:space="0"/>
              <w:bottom w:val="single" w:color="auto" w:sz="4" w:space="0"/>
              <w:right w:val="single" w:color="auto" w:sz="4" w:space="0"/>
            </w:tcBorders>
          </w:tcPr>
          <w:p>
            <w:pPr>
              <w:widowControl/>
              <w:adjustRightInd w:val="0"/>
              <w:snapToGrid w:val="0"/>
              <w:jc w:val="left"/>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宋体" w:hAnsi="宋体" w:cs="宋体"/>
                <w:sz w:val="24"/>
                <w:szCs w:val="24"/>
              </w:rPr>
            </w:pPr>
          </w:p>
        </w:tc>
      </w:tr>
    </w:tbl>
    <w:p>
      <w:pPr>
        <w:adjustRightInd w:val="0"/>
        <w:snapToGrid w:val="0"/>
        <w:spacing w:line="360" w:lineRule="auto"/>
        <w:jc w:val="left"/>
        <w:rPr>
          <w:rFonts w:ascii="宋体" w:hAnsi="宋体" w:cs="宋体"/>
          <w:b/>
          <w:bCs/>
          <w:kern w:val="0"/>
          <w:szCs w:val="21"/>
        </w:rPr>
      </w:pPr>
      <w:r>
        <w:rPr>
          <w:rFonts w:hint="eastAsia" w:ascii="宋体" w:hAnsi="宋体" w:cs="宋体"/>
          <w:szCs w:val="21"/>
        </w:rPr>
        <w:t>注：商务标得分的算术平均值保留小数点后两位数字，且四舍五入。</w:t>
      </w:r>
    </w:p>
    <w:p>
      <w:pPr>
        <w:widowControl/>
        <w:spacing w:line="360" w:lineRule="auto"/>
        <w:rPr>
          <w:rFonts w:ascii="宋体" w:hAnsi="宋体" w:cs="宋体"/>
          <w:b/>
          <w:bCs/>
          <w:kern w:val="0"/>
          <w:szCs w:val="21"/>
        </w:rPr>
      </w:pPr>
      <w:r>
        <w:rPr>
          <w:rFonts w:hint="eastAsia" w:ascii="宋体" w:hAnsi="宋体" w:cs="宋体"/>
          <w:b/>
          <w:szCs w:val="21"/>
        </w:rPr>
        <w:t xml:space="preserve">评委（签名）： </w:t>
      </w:r>
    </w:p>
    <w:p>
      <w:pPr>
        <w:widowControl/>
        <w:spacing w:line="360" w:lineRule="auto"/>
        <w:jc w:val="left"/>
        <w:rPr>
          <w:rFonts w:ascii="宋体" w:hAnsi="宋体"/>
          <w:b/>
          <w:sz w:val="24"/>
          <w:szCs w:val="24"/>
        </w:rPr>
      </w:pPr>
      <w:r>
        <w:rPr>
          <w:rFonts w:hint="eastAsia" w:ascii="宋体" w:hAnsi="宋体" w:cs="宋体"/>
          <w:b/>
          <w:szCs w:val="21"/>
        </w:rPr>
        <w:t>监督（签名）：                                                                             日期：</w:t>
      </w:r>
      <w:r>
        <w:rPr>
          <w:rFonts w:hint="eastAsia" w:ascii="宋体" w:hAnsi="宋体" w:cs="宋体"/>
          <w:szCs w:val="21"/>
        </w:rPr>
        <w:t xml:space="preserve">     年    月    日</w:t>
      </w:r>
    </w:p>
    <w:p>
      <w:pPr>
        <w:widowControl/>
        <w:spacing w:line="360" w:lineRule="auto"/>
        <w:jc w:val="left"/>
        <w:rPr>
          <w:rFonts w:ascii="宋体" w:hAnsi="宋体" w:cs="宋体"/>
          <w:b/>
          <w:bCs/>
          <w:kern w:val="0"/>
          <w:sz w:val="28"/>
          <w:szCs w:val="28"/>
        </w:rPr>
      </w:pPr>
      <w:r>
        <w:rPr>
          <w:rFonts w:hint="eastAsia" w:ascii="宋体" w:hAnsi="宋体"/>
          <w:b/>
          <w:sz w:val="28"/>
          <w:szCs w:val="28"/>
        </w:rPr>
        <w:t>附表</w:t>
      </w:r>
      <w:r>
        <w:rPr>
          <w:rFonts w:ascii="宋体" w:hAnsi="宋体"/>
          <w:b/>
          <w:sz w:val="28"/>
          <w:szCs w:val="28"/>
        </w:rPr>
        <w:t>17</w:t>
      </w:r>
      <w:r>
        <w:rPr>
          <w:rFonts w:hint="eastAsia" w:ascii="宋体" w:hAnsi="宋体"/>
          <w:b/>
          <w:sz w:val="28"/>
          <w:szCs w:val="28"/>
        </w:rPr>
        <w:t>：</w:t>
      </w:r>
      <w:r>
        <w:rPr>
          <w:rFonts w:ascii="宋体" w:hAnsi="宋体"/>
          <w:b/>
          <w:sz w:val="28"/>
          <w:szCs w:val="28"/>
        </w:rPr>
        <w:t>B</w:t>
      </w:r>
      <w:r>
        <w:rPr>
          <w:rFonts w:hint="eastAsia" w:ascii="宋体" w:hAnsi="宋体"/>
          <w:b/>
          <w:sz w:val="28"/>
          <w:szCs w:val="28"/>
        </w:rPr>
        <w:t>包最终得分结果汇总表</w:t>
      </w:r>
    </w:p>
    <w:p>
      <w:pPr>
        <w:widowControl/>
        <w:spacing w:line="360" w:lineRule="auto"/>
        <w:jc w:val="center"/>
        <w:rPr>
          <w:rFonts w:ascii="宋体" w:hAnsi="宋体" w:cs="宋体"/>
          <w:b/>
          <w:bCs/>
          <w:kern w:val="0"/>
          <w:sz w:val="36"/>
          <w:szCs w:val="36"/>
        </w:rPr>
      </w:pPr>
      <w:r>
        <w:rPr>
          <w:rFonts w:ascii="宋体" w:hAnsi="宋体" w:cs="宋体"/>
          <w:b/>
          <w:bCs/>
          <w:kern w:val="0"/>
          <w:sz w:val="36"/>
          <w:szCs w:val="36"/>
        </w:rPr>
        <w:t>B</w:t>
      </w:r>
      <w:r>
        <w:rPr>
          <w:rFonts w:hint="eastAsia" w:ascii="宋体" w:hAnsi="宋体" w:cs="宋体"/>
          <w:b/>
          <w:bCs/>
          <w:kern w:val="0"/>
          <w:sz w:val="36"/>
          <w:szCs w:val="36"/>
        </w:rPr>
        <w:t>包最终得分结果汇总表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深铁置业2022年度拟销售项目展示区开放系列活动、现场包装及宣传推广服务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【B包：深铁璟城一期、深铁懿府三期、深铁赤湾项目一期、深铁瑞城三期、山海漫街项目展示区开放系列活动、现场包装及宣传推广服务】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7"/>
        <w:tblW w:w="14686" w:type="dxa"/>
        <w:jc w:val="center"/>
        <w:tblLayout w:type="fixed"/>
        <w:tblCellMar>
          <w:top w:w="0" w:type="dxa"/>
          <w:left w:w="0" w:type="dxa"/>
          <w:bottom w:w="0" w:type="dxa"/>
          <w:right w:w="0" w:type="dxa"/>
        </w:tblCellMar>
      </w:tblPr>
      <w:tblGrid>
        <w:gridCol w:w="668"/>
        <w:gridCol w:w="3689"/>
        <w:gridCol w:w="2032"/>
        <w:gridCol w:w="2032"/>
        <w:gridCol w:w="2120"/>
        <w:gridCol w:w="1734"/>
        <w:gridCol w:w="2411"/>
      </w:tblGrid>
      <w:tr>
        <w:tblPrEx>
          <w:tblCellMar>
            <w:top w:w="0" w:type="dxa"/>
            <w:left w:w="0" w:type="dxa"/>
            <w:bottom w:w="0" w:type="dxa"/>
            <w:right w:w="0" w:type="dxa"/>
          </w:tblCellMar>
        </w:tblPrEx>
        <w:trPr>
          <w:trHeight w:val="128"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序号</w:t>
            </w:r>
          </w:p>
        </w:tc>
        <w:tc>
          <w:tcPr>
            <w:tcW w:w="3689"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参选人</w:t>
            </w:r>
          </w:p>
        </w:tc>
        <w:tc>
          <w:tcPr>
            <w:tcW w:w="20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Cn</w:t>
            </w:r>
          </w:p>
          <w:p>
            <w:pPr>
              <w:spacing w:line="360" w:lineRule="auto"/>
              <w:jc w:val="center"/>
              <w:rPr>
                <w:rFonts w:ascii="宋体" w:hAnsi="宋体" w:cs="宋体"/>
                <w:b/>
                <w:bCs/>
                <w:sz w:val="22"/>
                <w:szCs w:val="22"/>
              </w:rPr>
            </w:pPr>
            <w:r>
              <w:rPr>
                <w:rFonts w:hint="eastAsia" w:ascii="宋体" w:hAnsi="宋体" w:cs="宋体"/>
                <w:b/>
                <w:bCs/>
                <w:sz w:val="22"/>
                <w:szCs w:val="22"/>
              </w:rPr>
              <w:t>（资信标得分）</w:t>
            </w:r>
          </w:p>
        </w:tc>
        <w:tc>
          <w:tcPr>
            <w:tcW w:w="2032"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En</w:t>
            </w:r>
            <w:r>
              <w:rPr>
                <w:rFonts w:ascii="宋体" w:hAnsi="宋体" w:cs="宋体"/>
                <w:b/>
                <w:bCs/>
                <w:sz w:val="22"/>
                <w:szCs w:val="22"/>
              </w:rPr>
              <w:t>2</w:t>
            </w:r>
          </w:p>
          <w:p>
            <w:pPr>
              <w:spacing w:line="360" w:lineRule="auto"/>
              <w:jc w:val="center"/>
              <w:rPr>
                <w:rFonts w:ascii="宋体" w:hAnsi="宋体" w:cs="宋体"/>
                <w:b/>
                <w:bCs/>
                <w:sz w:val="22"/>
                <w:szCs w:val="22"/>
              </w:rPr>
            </w:pPr>
            <w:r>
              <w:rPr>
                <w:rFonts w:hint="eastAsia" w:ascii="宋体" w:hAnsi="宋体" w:cs="宋体"/>
                <w:b/>
                <w:bCs/>
                <w:sz w:val="22"/>
                <w:szCs w:val="22"/>
              </w:rPr>
              <w:t>（技术标</w:t>
            </w:r>
            <w:r>
              <w:rPr>
                <w:rFonts w:ascii="宋体" w:hAnsi="宋体" w:cs="宋体"/>
                <w:b/>
                <w:bCs/>
                <w:sz w:val="22"/>
                <w:szCs w:val="22"/>
              </w:rPr>
              <w:t>2</w:t>
            </w:r>
            <w:r>
              <w:rPr>
                <w:rFonts w:hint="eastAsia" w:ascii="宋体" w:hAnsi="宋体" w:cs="宋体"/>
                <w:b/>
                <w:bCs/>
                <w:sz w:val="22"/>
                <w:szCs w:val="22"/>
              </w:rPr>
              <w:t>得分）</w:t>
            </w:r>
          </w:p>
        </w:tc>
        <w:tc>
          <w:tcPr>
            <w:tcW w:w="2120"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Fn</w:t>
            </w:r>
          </w:p>
          <w:p>
            <w:pPr>
              <w:spacing w:line="360" w:lineRule="auto"/>
              <w:jc w:val="center"/>
              <w:rPr>
                <w:rFonts w:ascii="宋体" w:hAnsi="宋体" w:cs="宋体"/>
                <w:b/>
                <w:bCs/>
                <w:sz w:val="22"/>
                <w:szCs w:val="22"/>
              </w:rPr>
            </w:pPr>
            <w:r>
              <w:rPr>
                <w:rFonts w:hint="eastAsia" w:ascii="宋体" w:hAnsi="宋体" w:cs="宋体"/>
                <w:b/>
                <w:bCs/>
                <w:sz w:val="22"/>
                <w:szCs w:val="22"/>
              </w:rPr>
              <w:t>（商务标得分）</w:t>
            </w: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An</w:t>
            </w:r>
          </w:p>
          <w:p>
            <w:pPr>
              <w:spacing w:line="360" w:lineRule="auto"/>
              <w:jc w:val="center"/>
              <w:rPr>
                <w:rFonts w:ascii="宋体" w:hAnsi="宋体" w:cs="宋体"/>
                <w:b/>
                <w:bCs/>
                <w:sz w:val="22"/>
                <w:szCs w:val="22"/>
              </w:rPr>
            </w:pPr>
            <w:r>
              <w:rPr>
                <w:rFonts w:hint="eastAsia" w:ascii="宋体" w:hAnsi="宋体" w:cs="宋体"/>
                <w:b/>
                <w:bCs/>
                <w:sz w:val="22"/>
                <w:szCs w:val="22"/>
              </w:rPr>
              <w:t>（最终得分）</w:t>
            </w:r>
          </w:p>
        </w:tc>
        <w:tc>
          <w:tcPr>
            <w:tcW w:w="2411"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 w:val="22"/>
                <w:szCs w:val="22"/>
              </w:rPr>
            </w:pPr>
            <w:r>
              <w:rPr>
                <w:rFonts w:hint="eastAsia" w:ascii="宋体" w:hAnsi="宋体" w:cs="宋体"/>
                <w:b/>
                <w:bCs/>
                <w:sz w:val="22"/>
                <w:szCs w:val="22"/>
              </w:rPr>
              <w:t>备注</w:t>
            </w:r>
          </w:p>
        </w:tc>
      </w:tr>
      <w:tr>
        <w:tblPrEx>
          <w:tblCellMar>
            <w:top w:w="0" w:type="dxa"/>
            <w:left w:w="0" w:type="dxa"/>
            <w:bottom w:w="0" w:type="dxa"/>
            <w:right w:w="0" w:type="dxa"/>
          </w:tblCellMar>
        </w:tblPrEx>
        <w:trPr>
          <w:trHeight w:val="421"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1</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An=Cn</w:t>
            </w:r>
            <w:r>
              <w:rPr>
                <w:rFonts w:ascii="宋体" w:hAnsi="宋体" w:cs="宋体"/>
                <w:sz w:val="22"/>
                <w:szCs w:val="22"/>
              </w:rPr>
              <w:t>+</w:t>
            </w:r>
            <w:r>
              <w:rPr>
                <w:rFonts w:hint="eastAsia" w:ascii="宋体" w:hAnsi="宋体" w:cs="宋体"/>
                <w:sz w:val="22"/>
                <w:szCs w:val="22"/>
              </w:rPr>
              <w:t>En</w:t>
            </w:r>
            <w:r>
              <w:rPr>
                <w:rFonts w:ascii="宋体" w:hAnsi="宋体" w:cs="宋体"/>
                <w:sz w:val="22"/>
                <w:szCs w:val="22"/>
              </w:rPr>
              <w:t>2</w:t>
            </w:r>
            <w:r>
              <w:rPr>
                <w:rFonts w:hint="eastAsia" w:ascii="宋体" w:hAnsi="宋体" w:cs="宋体"/>
                <w:sz w:val="22"/>
                <w:szCs w:val="22"/>
              </w:rPr>
              <w:t>+Fn</w:t>
            </w:r>
          </w:p>
        </w:tc>
      </w:tr>
      <w:tr>
        <w:tblPrEx>
          <w:tblCellMar>
            <w:top w:w="0" w:type="dxa"/>
            <w:left w:w="0" w:type="dxa"/>
            <w:bottom w:w="0" w:type="dxa"/>
            <w:right w:w="0" w:type="dxa"/>
          </w:tblCellMar>
        </w:tblPrEx>
        <w:trPr>
          <w:trHeight w:val="46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2</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rPr>
          <w:trHeight w:val="46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3</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rPr>
          <w:trHeight w:val="46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4</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465"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hint="eastAsia" w:ascii="宋体" w:hAnsi="宋体" w:cs="宋体"/>
                <w:sz w:val="22"/>
                <w:szCs w:val="22"/>
              </w:rPr>
              <w:t>5</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r>
        <w:tblPrEx>
          <w:tblCellMar>
            <w:top w:w="0" w:type="dxa"/>
            <w:left w:w="0" w:type="dxa"/>
            <w:bottom w:w="0" w:type="dxa"/>
            <w:right w:w="0" w:type="dxa"/>
          </w:tblCellMar>
        </w:tblPrEx>
        <w:trPr>
          <w:trHeight w:val="392"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2"/>
                <w:szCs w:val="22"/>
              </w:rPr>
            </w:pPr>
            <w:r>
              <w:rPr>
                <w:rFonts w:ascii="宋体" w:hAnsi="宋体" w:cs="宋体"/>
                <w:sz w:val="22"/>
                <w:szCs w:val="22"/>
              </w:rPr>
              <w:t>6</w:t>
            </w:r>
          </w:p>
        </w:tc>
        <w:tc>
          <w:tcPr>
            <w:tcW w:w="3689"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cs="宋体"/>
                <w:sz w:val="22"/>
                <w:szCs w:val="22"/>
              </w:rPr>
            </w:pPr>
          </w:p>
        </w:tc>
        <w:tc>
          <w:tcPr>
            <w:tcW w:w="2032"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2120"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 w:val="22"/>
                <w:szCs w:val="22"/>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 w:val="22"/>
                <w:szCs w:val="22"/>
              </w:rPr>
            </w:pPr>
          </w:p>
        </w:tc>
        <w:tc>
          <w:tcPr>
            <w:tcW w:w="241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2"/>
                <w:szCs w:val="22"/>
              </w:rPr>
            </w:pPr>
          </w:p>
        </w:tc>
      </w:tr>
    </w:tbl>
    <w:p>
      <w:pPr>
        <w:spacing w:line="360" w:lineRule="auto"/>
        <w:rPr>
          <w:rFonts w:ascii="宋体" w:hAnsi="宋体" w:cs="宋体"/>
          <w:sz w:val="22"/>
          <w:szCs w:val="22"/>
        </w:rPr>
      </w:pPr>
      <w:r>
        <w:rPr>
          <w:rFonts w:hint="eastAsia" w:ascii="宋体" w:hAnsi="宋体" w:cs="宋体"/>
          <w:sz w:val="22"/>
          <w:szCs w:val="22"/>
        </w:rPr>
        <w:t>注：最终得分保留小数点后两位数字，且四舍五入。</w:t>
      </w:r>
    </w:p>
    <w:p>
      <w:pPr>
        <w:spacing w:line="360" w:lineRule="auto"/>
        <w:rPr>
          <w:rFonts w:ascii="宋体" w:hAnsi="宋体" w:cs="宋体"/>
          <w:kern w:val="0"/>
          <w:sz w:val="22"/>
          <w:szCs w:val="22"/>
        </w:rPr>
      </w:pPr>
    </w:p>
    <w:p>
      <w:pPr>
        <w:widowControl/>
        <w:spacing w:line="360" w:lineRule="auto"/>
        <w:rPr>
          <w:rFonts w:ascii="宋体" w:hAnsi="宋体" w:cs="宋体"/>
          <w:b/>
          <w:sz w:val="22"/>
          <w:szCs w:val="22"/>
        </w:rPr>
      </w:pPr>
      <w:r>
        <w:rPr>
          <w:rFonts w:hint="eastAsia" w:ascii="宋体" w:hAnsi="宋体" w:cs="宋体"/>
          <w:b/>
          <w:sz w:val="22"/>
          <w:szCs w:val="22"/>
        </w:rPr>
        <w:t>评委（签名）：</w:t>
      </w:r>
    </w:p>
    <w:p>
      <w:pPr>
        <w:widowControl/>
        <w:spacing w:line="360" w:lineRule="auto"/>
        <w:rPr>
          <w:rFonts w:ascii="宋体" w:hAnsi="宋体" w:cs="宋体"/>
          <w:b/>
          <w:sz w:val="22"/>
          <w:szCs w:val="22"/>
        </w:rPr>
      </w:pPr>
    </w:p>
    <w:p>
      <w:pPr>
        <w:widowControl/>
        <w:spacing w:line="360" w:lineRule="auto"/>
        <w:rPr>
          <w:rFonts w:ascii="宋体" w:hAnsi="宋体" w:cs="宋体"/>
          <w:b/>
          <w:sz w:val="22"/>
          <w:szCs w:val="22"/>
        </w:rPr>
      </w:pPr>
      <w:r>
        <w:rPr>
          <w:rFonts w:hint="eastAsia" w:ascii="宋体" w:hAnsi="宋体" w:cs="宋体"/>
          <w:b/>
          <w:sz w:val="22"/>
          <w:szCs w:val="22"/>
        </w:rPr>
        <w:t>监督（签名）：</w:t>
      </w:r>
    </w:p>
    <w:p>
      <w:pPr>
        <w:widowControl/>
        <w:spacing w:line="360" w:lineRule="auto"/>
        <w:jc w:val="right"/>
        <w:rPr>
          <w:rFonts w:ascii="宋体" w:hAnsi="宋体" w:cs="宋体"/>
          <w:sz w:val="22"/>
          <w:szCs w:val="22"/>
        </w:rPr>
      </w:pPr>
      <w:r>
        <w:rPr>
          <w:rFonts w:hint="eastAsia" w:ascii="宋体" w:hAnsi="宋体" w:cs="宋体"/>
          <w:b/>
          <w:sz w:val="22"/>
          <w:szCs w:val="22"/>
        </w:rPr>
        <w:t>日期：</w:t>
      </w:r>
      <w:r>
        <w:rPr>
          <w:rFonts w:hint="eastAsia" w:ascii="宋体" w:hAnsi="宋体" w:cs="宋体"/>
          <w:sz w:val="22"/>
          <w:szCs w:val="22"/>
        </w:rPr>
        <w:t xml:space="preserve">     年    月    日</w:t>
      </w:r>
    </w:p>
    <w:p>
      <w:pPr>
        <w:pStyle w:val="2"/>
        <w:ind w:firstLine="400"/>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p>
    <w:p>
      <w:pPr>
        <w:widowControl/>
        <w:spacing w:line="480" w:lineRule="atLeast"/>
        <w:jc w:val="left"/>
        <w:rPr>
          <w:rFonts w:ascii="宋体" w:hAnsi="宋体" w:cs="宋体"/>
          <w:b/>
          <w:bCs/>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b/>
          <w:color w:val="0D0D0D" w:themeColor="text1" w:themeTint="F2"/>
          <w:sz w:val="28"/>
          <w:szCs w:val="28"/>
          <w14:textFill>
            <w14:solidFill>
              <w14:schemeClr w14:val="tx1">
                <w14:lumMod w14:val="95000"/>
                <w14:lumOff w14:val="5000"/>
              </w14:schemeClr>
            </w14:solidFill>
          </w14:textFill>
        </w:rPr>
        <w:t>附表</w:t>
      </w:r>
      <w:r>
        <w:rPr>
          <w:rFonts w:ascii="宋体" w:hAnsi="宋体"/>
          <w:b/>
          <w:color w:val="0D0D0D" w:themeColor="text1" w:themeTint="F2"/>
          <w:sz w:val="28"/>
          <w:szCs w:val="28"/>
          <w14:textFill>
            <w14:solidFill>
              <w14:schemeClr w14:val="tx1">
                <w14:lumMod w14:val="95000"/>
                <w14:lumOff w14:val="5000"/>
              </w14:schemeClr>
            </w14:solidFill>
          </w14:textFill>
        </w:rPr>
        <w:t>18</w:t>
      </w:r>
      <w:r>
        <w:rPr>
          <w:rFonts w:hint="eastAsia" w:ascii="宋体" w:hAnsi="宋体"/>
          <w:b/>
          <w:color w:val="0D0D0D" w:themeColor="text1" w:themeTint="F2"/>
          <w:sz w:val="28"/>
          <w:szCs w:val="28"/>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w:t>
      </w:r>
      <w:r>
        <w:rPr>
          <w:rFonts w:hint="eastAsia" w:ascii="宋体" w:hAnsi="宋体"/>
          <w:b/>
          <w:color w:val="0D0D0D" w:themeColor="text1" w:themeTint="F2"/>
          <w:sz w:val="28"/>
          <w:szCs w:val="28"/>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A包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深铁置业2022年度拟销售项目展示区开放系列活动、现场包装及宣传推广服务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【A包：深铁珑境花园一期、地铁前海时代广场4号地块、深铁金融科技大厦、深铁置业大厦展示区开放系列活动、现场包装及宣传推广服务】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7"/>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900"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7"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610"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rPr>
          <w:cantSplit/>
          <w:trHeight w:val="49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7"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381"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p>
    <w:p>
      <w:pPr>
        <w:tabs>
          <w:tab w:val="left" w:pos="1215"/>
        </w:tabs>
        <w:spacing w:line="480" w:lineRule="atLeast"/>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ascii="宋体" w:hAnsi="宋体" w:cs="宋体"/>
          <w:b/>
          <w:bCs/>
          <w:color w:val="0D0D0D" w:themeColor="text1" w:themeTint="F2"/>
          <w:kern w:val="0"/>
          <w:sz w:val="36"/>
          <w:szCs w:val="36"/>
          <w14:textFill>
            <w14:solidFill>
              <w14:schemeClr w14:val="tx1">
                <w14:lumMod w14:val="95000"/>
                <w14:lumOff w14:val="5000"/>
              </w14:schemeClr>
            </w14:solidFill>
          </w14:textFill>
        </w:rPr>
      </w:pPr>
      <w:r>
        <w:rPr>
          <w:rFonts w:hint="eastAsia" w:ascii="宋体" w:hAnsi="宋体"/>
          <w:b/>
          <w:color w:val="0D0D0D" w:themeColor="text1" w:themeTint="F2"/>
          <w:sz w:val="28"/>
          <w:szCs w:val="21"/>
          <w14:textFill>
            <w14:solidFill>
              <w14:schemeClr w14:val="tx1">
                <w14:lumMod w14:val="95000"/>
                <w14:lumOff w14:val="5000"/>
              </w14:schemeClr>
            </w14:solidFill>
          </w14:textFill>
        </w:rPr>
        <w:t>附表</w:t>
      </w:r>
      <w:r>
        <w:rPr>
          <w:rFonts w:ascii="宋体" w:hAnsi="宋体"/>
          <w:b/>
          <w:color w:val="0D0D0D" w:themeColor="text1" w:themeTint="F2"/>
          <w:sz w:val="28"/>
          <w:szCs w:val="21"/>
          <w14:textFill>
            <w14:solidFill>
              <w14:schemeClr w14:val="tx1">
                <w14:lumMod w14:val="95000"/>
                <w14:lumOff w14:val="5000"/>
              </w14:schemeClr>
            </w14:solidFill>
          </w14:textFill>
        </w:rPr>
        <w:t>19</w:t>
      </w:r>
      <w:r>
        <w:rPr>
          <w:rFonts w:hint="eastAsia" w:ascii="宋体" w:hAnsi="宋体"/>
          <w:b/>
          <w:color w:val="0D0D0D" w:themeColor="text1" w:themeTint="F2"/>
          <w:sz w:val="28"/>
          <w:szCs w:val="21"/>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B包</w:t>
      </w:r>
      <w:r>
        <w:rPr>
          <w:rFonts w:hint="eastAsia" w:ascii="宋体" w:hAnsi="宋体"/>
          <w:b/>
          <w:color w:val="0D0D0D" w:themeColor="text1" w:themeTint="F2"/>
          <w:sz w:val="28"/>
          <w:szCs w:val="21"/>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B包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深铁置业2022年度拟销售项目展示区开放系列活动、现场包装及宣传推广服务</w:t>
      </w:r>
    </w:p>
    <w:p>
      <w:pPr>
        <w:spacing w:after="120" w:afterLines="50" w:line="276" w:lineRule="auto"/>
        <w:ind w:right="630"/>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【B包：深铁璟城一期、深铁懿府三期、深铁赤湾项目一期、深铁瑞城三期、山海漫街项目展示区开放系列活动、现场包装及宣传推广服务】</w:t>
      </w: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7"/>
        <w:tblW w:w="9325" w:type="dxa"/>
        <w:tblInd w:w="108" w:type="dxa"/>
        <w:tblLayout w:type="fixed"/>
        <w:tblCellMar>
          <w:top w:w="0" w:type="dxa"/>
          <w:left w:w="0" w:type="dxa"/>
          <w:bottom w:w="0" w:type="dxa"/>
          <w:right w:w="0" w:type="dxa"/>
        </w:tblCellMar>
      </w:tblPr>
      <w:tblGrid>
        <w:gridCol w:w="779"/>
        <w:gridCol w:w="3125"/>
        <w:gridCol w:w="856"/>
        <w:gridCol w:w="1533"/>
        <w:gridCol w:w="3032"/>
      </w:tblGrid>
      <w:tr>
        <w:tblPrEx>
          <w:tblCellMar>
            <w:top w:w="0" w:type="dxa"/>
            <w:left w:w="0" w:type="dxa"/>
            <w:bottom w:w="0" w:type="dxa"/>
            <w:right w:w="0" w:type="dxa"/>
          </w:tblCellMar>
        </w:tblPrEx>
        <w:trPr>
          <w:trHeight w:val="904" w:hRule="atLeast"/>
        </w:trPr>
        <w:tc>
          <w:tcPr>
            <w:tcW w:w="779"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25"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6"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3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31"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613"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97" w:hRule="atLeast"/>
        </w:trPr>
        <w:tc>
          <w:tcPr>
            <w:tcW w:w="779"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2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33"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31"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4402" w:hRule="atLeast"/>
        </w:trPr>
        <w:tc>
          <w:tcPr>
            <w:tcW w:w="9325"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360" w:lineRule="auto"/>
        <w:jc w:val="left"/>
        <w:rPr>
          <w:rFonts w:ascii="宋体" w:hAnsi="宋体" w:cs="宋体"/>
          <w:b/>
          <w:sz w:val="24"/>
          <w:szCs w:val="24"/>
        </w:rPr>
      </w:pPr>
      <w:r>
        <w:rPr>
          <w:rFonts w:hint="eastAsia" w:ascii="宋体" w:hAnsi="宋体" w:cs="宋体"/>
          <w:b/>
          <w:sz w:val="24"/>
          <w:szCs w:val="24"/>
        </w:rPr>
        <w:t>附表</w:t>
      </w:r>
      <w:r>
        <w:rPr>
          <w:rFonts w:ascii="宋体" w:hAnsi="宋体" w:cs="宋体"/>
          <w:b/>
          <w:sz w:val="24"/>
          <w:szCs w:val="24"/>
        </w:rPr>
        <w:t>20</w:t>
      </w:r>
      <w:r>
        <w:rPr>
          <w:rFonts w:hint="eastAsia" w:ascii="宋体" w:hAnsi="宋体" w:cs="宋体"/>
          <w:b/>
          <w:sz w:val="24"/>
          <w:szCs w:val="24"/>
        </w:rPr>
        <w:t>（此表由评委或参选人填写）</w:t>
      </w:r>
    </w:p>
    <w:p>
      <w:pPr>
        <w:jc w:val="center"/>
        <w:rPr>
          <w:rFonts w:ascii="宋体" w:hAnsi="宋体"/>
          <w:b/>
          <w:bCs/>
          <w:snapToGrid w:val="0"/>
          <w:sz w:val="24"/>
          <w:szCs w:val="24"/>
        </w:rPr>
      </w:pPr>
    </w:p>
    <w:p>
      <w:pPr>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jc w:val="center"/>
        <w:rPr>
          <w:rFonts w:ascii="宋体" w:hAnsi="宋体"/>
          <w:b/>
          <w:bCs/>
          <w:snapToGrid w:val="0"/>
          <w:sz w:val="24"/>
          <w:szCs w:val="24"/>
        </w:rPr>
      </w:pPr>
    </w:p>
    <w:p>
      <w:pPr>
        <w:jc w:val="center"/>
        <w:rPr>
          <w:rFonts w:ascii="宋体" w:hAnsi="宋体"/>
          <w:b/>
          <w:bCs/>
          <w:snapToGrid w:val="0"/>
          <w:sz w:val="24"/>
          <w:szCs w:val="24"/>
        </w:rPr>
      </w:pPr>
    </w:p>
    <w:p>
      <w:pPr>
        <w:jc w:val="left"/>
        <w:rPr>
          <w:rFonts w:ascii="宋体" w:hAnsi="宋体"/>
          <w:sz w:val="24"/>
          <w:szCs w:val="24"/>
        </w:rPr>
      </w:pPr>
      <w:r>
        <w:rPr>
          <w:rFonts w:hint="eastAsia" w:ascii="宋体" w:hAnsi="宋体"/>
          <w:sz w:val="24"/>
          <w:szCs w:val="24"/>
        </w:rPr>
        <w:t>项目名称：</w:t>
      </w:r>
    </w:p>
    <w:p>
      <w:pPr>
        <w:jc w:val="left"/>
        <w:rPr>
          <w:rFonts w:ascii="宋体" w:hAnsi="宋体"/>
          <w:sz w:val="24"/>
          <w:szCs w:val="24"/>
        </w:rPr>
      </w:pPr>
      <w:r>
        <w:rPr>
          <w:rFonts w:hint="eastAsia" w:ascii="宋体" w:hAnsi="宋体"/>
          <w:sz w:val="24"/>
          <w:szCs w:val="24"/>
        </w:rPr>
        <w:t>日期：XXXX年XX月XX日</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需要说明的</w:t>
            </w:r>
          </w:p>
          <w:p>
            <w:pPr>
              <w:spacing w:line="560" w:lineRule="exact"/>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p>
            <w:pPr>
              <w:spacing w:line="560" w:lineRule="exac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rPr>
            </w:pPr>
          </w:p>
          <w:p>
            <w:pPr>
              <w:spacing w:line="560" w:lineRule="exact"/>
              <w:jc w:val="center"/>
              <w:rPr>
                <w:rFonts w:ascii="宋体" w:hAnsi="宋体"/>
                <w:sz w:val="24"/>
                <w:szCs w:val="24"/>
              </w:rPr>
            </w:pPr>
            <w:r>
              <w:rPr>
                <w:rFonts w:hint="eastAsia" w:ascii="宋体" w:hAnsi="宋体"/>
                <w:sz w:val="24"/>
                <w:szCs w:val="24"/>
              </w:rPr>
              <w:t>评委签字</w:t>
            </w:r>
          </w:p>
          <w:p>
            <w:pPr>
              <w:spacing w:line="560" w:lineRule="exact"/>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rPr>
            </w:pPr>
          </w:p>
        </w:tc>
      </w:tr>
    </w:tbl>
    <w:p>
      <w:pPr>
        <w:spacing w:line="560" w:lineRule="exact"/>
        <w:rPr>
          <w:rFonts w:ascii="宋体" w:hAnsi="宋体"/>
          <w:sz w:val="24"/>
          <w:szCs w:val="24"/>
        </w:rPr>
      </w:pPr>
    </w:p>
    <w:bookmarkEnd w:id="84"/>
    <w:bookmarkEnd w:id="85"/>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86" w:name="_Toc98264038"/>
      <w:bookmarkStart w:id="87" w:name="_Toc389620241"/>
      <w:bookmarkStart w:id="88" w:name="_Toc497549391"/>
      <w:bookmarkStart w:id="89" w:name="_Toc197404928"/>
      <w:bookmarkStart w:id="90" w:name="_Toc486842341"/>
      <w:bookmarkStart w:id="91" w:name="_Toc385992401"/>
      <w:bookmarkStart w:id="92" w:name="_Toc197850648"/>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二篇  参选文件格式</w:t>
      </w:r>
      <w:bookmarkEnd w:id="86"/>
    </w:p>
    <w:p>
      <w:pPr>
        <w:spacing w:before="60" w:beforeLines="25" w:after="60" w:afterLines="25" w:line="480" w:lineRule="atLeast"/>
        <w:ind w:firstLine="547" w:firstLineChars="228"/>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每一对“[ ]”及其中间的内容，均应由参选人在编制参选文件时根据情况以适当的内容代替。每一对“{ }”及其中间的内容，参选人在编制参选文件时应予以删除。每一对“（ ）”及其中间的内容，请勿删除。在留有的空白或下划线上或…均应由参选人填入适当内容。</w:t>
      </w: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pStyle w:val="24"/>
        <w:spacing w:line="480" w:lineRule="atLeast"/>
      </w:pPr>
      <w:r>
        <w:rPr>
          <w:rFonts w:hAnsi="宋体"/>
          <w:color w:val="0D0D0D" w:themeColor="text1" w:themeTint="F2"/>
          <w14:textFill>
            <w14:solidFill>
              <w14:schemeClr w14:val="tx1">
                <w14:lumMod w14:val="95000"/>
                <w14:lumOff w14:val="5000"/>
              </w14:schemeClr>
            </w14:solidFill>
          </w14:textFill>
        </w:rPr>
        <w:br w:type="page"/>
      </w:r>
    </w:p>
    <w:p>
      <w:pPr>
        <w:pStyle w:val="6"/>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93" w:name="_Toc98264039"/>
      <w:r>
        <w:rPr>
          <w:rFonts w:hint="eastAsia" w:ascii="宋体" w:hAnsi="宋体"/>
          <w:color w:val="0D0D0D" w:themeColor="text1" w:themeTint="F2"/>
          <w:sz w:val="48"/>
          <w:szCs w:val="36"/>
          <w14:textFill>
            <w14:solidFill>
              <w14:schemeClr w14:val="tx1">
                <w14:lumMod w14:val="95000"/>
                <w14:lumOff w14:val="5000"/>
              </w14:schemeClr>
            </w14:solidFill>
          </w14:textFill>
        </w:rPr>
        <w:t>第一章</w:t>
      </w:r>
      <w:bookmarkEnd w:id="93"/>
    </w:p>
    <w:p>
      <w:pPr>
        <w:spacing w:line="480" w:lineRule="atLeast"/>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深铁置业2022年度拟销售项目</w:t>
      </w: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展示区开放系列活动、现场包装及宣传推广服务</w:t>
      </w: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spacing w:line="360" w:lineRule="auto"/>
        <w:jc w:val="center"/>
        <w:rPr>
          <w:rFonts w:hAnsi="宋体"/>
          <w:b/>
          <w:bCs/>
          <w:sz w:val="52"/>
          <w:szCs w:val="52"/>
        </w:rPr>
      </w:pPr>
      <w:r>
        <w:rPr>
          <w:rFonts w:hint="eastAsia" w:hAnsi="宋体"/>
          <w:b/>
          <w:bCs/>
          <w:sz w:val="52"/>
          <w:szCs w:val="52"/>
        </w:rPr>
        <w:t>资信标书</w:t>
      </w: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480" w:lineRule="atLeast"/>
        <w:rPr>
          <w:rFonts w:ascii="宋体" w:hAnsi="宋体"/>
          <w:color w:val="0D0D0D" w:themeColor="text1" w:themeTint="F2"/>
          <w:sz w:val="52"/>
          <w:szCs w:val="52"/>
          <w:u w:val="single"/>
          <w14:textFill>
            <w14:solidFill>
              <w14:schemeClr w14:val="tx1">
                <w14:lumMod w14:val="95000"/>
                <w14:lumOff w14:val="5000"/>
              </w14:schemeClr>
            </w14:solidFill>
          </w14:textFill>
        </w:rPr>
      </w:pPr>
      <w:bookmarkStart w:id="94" w:name="_Toc19191474"/>
    </w:p>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资信标书目录</w:t>
      </w:r>
      <w:bookmarkEnd w:id="94"/>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w:t>
      </w:r>
      <w:bookmarkStart w:id="95" w:name="_Hlk91534435"/>
      <w:r>
        <w:rPr>
          <w:rFonts w:hint="eastAsia" w:ascii="Times New Roman" w:cs="Times New Roman"/>
          <w:b/>
          <w:color w:val="0D0D0D" w:themeColor="text1" w:themeTint="F2"/>
          <w:szCs w:val="28"/>
          <w14:textFill>
            <w14:solidFill>
              <w14:schemeClr w14:val="tx1">
                <w14:lumMod w14:val="95000"/>
                <w14:lumOff w14:val="5000"/>
              </w14:schemeClr>
            </w14:solidFill>
          </w14:textFill>
        </w:rPr>
        <w:t>参选人营业执照复印件、政府网站显示注册资本的信息页</w:t>
      </w:r>
      <w:bookmarkEnd w:id="95"/>
      <w:r>
        <w:rPr>
          <w:rFonts w:hint="eastAsia"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二、法定代表人资格证明书原件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三、法定代表人身份证件复印件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四、法定代表人授权委托书原件（加盖公章）【如递交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五、被授权人身份证件复印件（加盖公章）【如递交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80"/>
        <w:spacing w:before="50" w:line="480" w:lineRule="atLeast"/>
        <w:ind w:firstLine="472" w:firstLineChars="196"/>
        <w:rPr>
          <w:b/>
          <w:color w:val="0D0D0D" w:themeColor="text1" w:themeTint="F2"/>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六、</w:t>
      </w:r>
      <w:r>
        <w:rPr>
          <w:rFonts w:hint="eastAsia"/>
          <w:b/>
          <w:color w:val="0D0D0D" w:themeColor="text1" w:themeTint="F2"/>
          <w14:textFill>
            <w14:solidFill>
              <w14:schemeClr w14:val="tx1">
                <w14:lumMod w14:val="95000"/>
                <w14:lumOff w14:val="5000"/>
              </w14:schemeClr>
            </w14:solidFill>
          </w14:textFill>
        </w:rPr>
        <w:t>参选业绩证明材料（加盖公章）</w:t>
      </w: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pStyle w:val="6"/>
        <w:numPr>
          <w:ilvl w:val="0"/>
          <w:numId w:val="4"/>
        </w:numPr>
        <w:spacing w:line="480" w:lineRule="atLeast"/>
        <w:rPr>
          <w:color w:val="0D0D0D" w:themeColor="text1" w:themeTint="F2"/>
          <w14:textFill>
            <w14:solidFill>
              <w14:schemeClr w14:val="tx1">
                <w14:lumMod w14:val="95000"/>
                <w14:lumOff w14:val="5000"/>
              </w14:schemeClr>
            </w14:solidFill>
          </w14:textFill>
        </w:rPr>
      </w:pPr>
      <w:bookmarkStart w:id="96" w:name="_Toc98264040"/>
      <w:r>
        <w:rPr>
          <w:rFonts w:hint="eastAsia" w:ascii="宋体" w:hAnsi="宋体"/>
          <w:color w:val="0D0D0D" w:themeColor="text1" w:themeTint="F2"/>
          <w:sz w:val="24"/>
          <w14:textFill>
            <w14:solidFill>
              <w14:schemeClr w14:val="tx1">
                <w14:lumMod w14:val="95000"/>
                <w14:lumOff w14:val="5000"/>
              </w14:schemeClr>
            </w14:solidFill>
          </w14:textFill>
        </w:rPr>
        <w:t>参选人营业执照复印件、政府网站显示注册资本的信息页（加盖公章）</w:t>
      </w:r>
      <w:bookmarkEnd w:id="96"/>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6"/>
        <w:numPr>
          <w:ilvl w:val="2"/>
          <w:numId w:val="0"/>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7" w:name="_Toc510187106"/>
      <w:bookmarkStart w:id="98" w:name="_Toc98264041"/>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、法定代表人资格证明书</w:t>
      </w:r>
      <w:bookmarkEnd w:id="97"/>
      <w:bookmarkEnd w:id="98"/>
    </w:p>
    <w:p>
      <w:pPr>
        <w:spacing w:line="480" w:lineRule="atLeast"/>
        <w:ind w:firstLine="5651"/>
        <w:rPr>
          <w:rFonts w:eastAsia="华文中宋"/>
          <w:color w:val="0D0D0D" w:themeColor="text1" w:themeTint="F2"/>
          <w:sz w:val="24"/>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法定代表人资格证明书</w:t>
      </w:r>
    </w:p>
    <w:p>
      <w:pPr>
        <w:pStyle w:val="24"/>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279" w:leftChars="133"/>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单位名称：</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地</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址：</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姓</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名：</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left="279" w:leftChars="133"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w:t>
      </w:r>
    </w:p>
    <w:p>
      <w:pPr>
        <w:pStyle w:val="24"/>
        <w:spacing w:line="480" w:lineRule="atLeast"/>
        <w:ind w:left="359" w:leftChars="171"/>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359" w:leftChars="171"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特此证明。</w:t>
      </w:r>
    </w:p>
    <w:p>
      <w:pPr>
        <w:pStyle w:val="24"/>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4"/>
        <w:spacing w:line="480" w:lineRule="atLeast"/>
        <w:ind w:left="133" w:firstLine="1260" w:firstLineChars="525"/>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p>
    <w:p>
      <w:pPr>
        <w:spacing w:line="480" w:lineRule="atLeast"/>
        <w:ind w:firstLine="480" w:firstLineChars="200"/>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日</w:t>
      </w:r>
    </w:p>
    <w:p>
      <w:pPr>
        <w:widowControl/>
        <w:spacing w:line="480" w:lineRule="atLeast"/>
        <w:jc w:val="lef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9" w:name="_Toc510187107"/>
      <w:bookmarkStart w:id="100" w:name="_Toc98264042"/>
      <w:bookmarkStart w:id="101" w:name="_Toc276575949"/>
      <w:r>
        <w:rPr>
          <w:rFonts w:hint="eastAsia" w:ascii="宋体" w:hAnsi="宋体"/>
          <w:color w:val="0D0D0D" w:themeColor="text1" w:themeTint="F2"/>
          <w:sz w:val="24"/>
          <w14:textFill>
            <w14:solidFill>
              <w14:schemeClr w14:val="tx1">
                <w14:lumMod w14:val="95000"/>
                <w14:lumOff w14:val="5000"/>
              </w14:schemeClr>
            </w14:solidFill>
          </w14:textFill>
        </w:rPr>
        <w:t>三、法定代表人身份证件复印件</w:t>
      </w:r>
      <w:bookmarkEnd w:id="99"/>
      <w:bookmarkEnd w:id="100"/>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102" w:name="_Toc510187108"/>
      <w:bookmarkStart w:id="103" w:name="_Toc98264043"/>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法定代表人授权委托书</w:t>
      </w:r>
      <w:bookmarkEnd w:id="102"/>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w:t>
      </w:r>
      <w:r>
        <w:rPr>
          <w:rFonts w:hint="eastAsia" w:ascii="宋体" w:hAnsi="宋体"/>
          <w:color w:val="0D0D0D" w:themeColor="text1" w:themeTint="F2"/>
          <w:sz w:val="24"/>
          <w14:textFill>
            <w14:solidFill>
              <w14:schemeClr w14:val="tx1">
                <w14:lumMod w14:val="95000"/>
                <w14:lumOff w14:val="5000"/>
              </w14:schemeClr>
            </w14:solidFill>
          </w14:textFill>
        </w:rPr>
        <w:t>文件人不是法定代表人时提供】</w:t>
      </w:r>
      <w:bookmarkEnd w:id="103"/>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pStyle w:val="15"/>
        <w:spacing w:line="480" w:lineRule="atLeast"/>
        <w:rPr>
          <w:color w:val="0D0D0D" w:themeColor="text1" w:themeTint="F2"/>
          <w14:textFill>
            <w14:solidFill>
              <w14:schemeClr w14:val="tx1">
                <w14:lumMod w14:val="95000"/>
                <w14:lumOff w14:val="5000"/>
              </w14:schemeClr>
            </w14:solidFill>
          </w14:textFill>
        </w:rPr>
      </w:pPr>
    </w:p>
    <w:p>
      <w:pPr>
        <w:pStyle w:val="24"/>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法定代表人授</w:t>
      </w:r>
      <w:r>
        <w:rPr>
          <w:rFonts w:ascii="Times New Roman" w:hAnsi="Times New Roman"/>
          <w:color w:val="0D0D0D" w:themeColor="text1" w:themeTint="F2"/>
          <w:sz w:val="44"/>
          <w:szCs w:val="52"/>
          <w14:textFill>
            <w14:solidFill>
              <w14:schemeClr w14:val="tx1">
                <w14:lumMod w14:val="95000"/>
                <w14:lumOff w14:val="5000"/>
              </w14:schemeClr>
            </w14:solidFill>
          </w14:textFill>
        </w:rPr>
        <w:t>权</w:t>
      </w:r>
      <w:r>
        <w:rPr>
          <w:rFonts w:ascii="Times New Roman" w:hAnsi="Times New Roman"/>
          <w:color w:val="0D0D0D" w:themeColor="text1" w:themeTint="F2"/>
          <w:sz w:val="44"/>
          <w14:textFill>
            <w14:solidFill>
              <w14:schemeClr w14:val="tx1">
                <w14:lumMod w14:val="95000"/>
                <w14:lumOff w14:val="5000"/>
              </w14:schemeClr>
            </w14:solidFill>
          </w14:textFill>
        </w:rPr>
        <w:t>委托</w:t>
      </w:r>
      <w:r>
        <w:rPr>
          <w:rFonts w:ascii="Times New Roman" w:hAnsi="Times New Roman"/>
          <w:color w:val="0D0D0D" w:themeColor="text1" w:themeTint="F2"/>
          <w:sz w:val="44"/>
          <w:szCs w:val="52"/>
          <w14:textFill>
            <w14:solidFill>
              <w14:schemeClr w14:val="tx1">
                <w14:lumMod w14:val="95000"/>
                <w14:lumOff w14:val="5000"/>
              </w14:schemeClr>
            </w14:solidFill>
          </w14:textFill>
        </w:rPr>
        <w:t>书</w:t>
      </w:r>
    </w:p>
    <w:p>
      <w:pPr>
        <w:pStyle w:val="24"/>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本授权委托书声明：我</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的法定代表人，现授权委托</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[单位名称]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授权有效期由</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至</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w:t>
      </w:r>
    </w:p>
    <w:p>
      <w:pPr>
        <w:pStyle w:val="24"/>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代理人无转委托权，特此委托。</w:t>
      </w: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年龄：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身份证号码：</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4"/>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4"/>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法定代表人（签字或盖章）：</w:t>
      </w:r>
    </w:p>
    <w:p>
      <w:pPr>
        <w:widowControl/>
        <w:spacing w:line="480" w:lineRule="atLeast"/>
        <w:ind w:firstLine="480" w:firstLineChars="200"/>
        <w:jc w:val="left"/>
        <w:rPr>
          <w:rFonts w:ascii="宋体" w:hAnsi="宋体"/>
          <w:bCs/>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授权委托日期：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日</w:t>
      </w: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pPr>
      <w:bookmarkStart w:id="104" w:name="_Toc510187109"/>
      <w:bookmarkStart w:id="105" w:name="_Toc98264044"/>
      <w:r>
        <w:rPr>
          <w:rFonts w:hint="eastAsia" w:ascii="宋体" w:hAnsi="宋体"/>
          <w:color w:val="0D0D0D" w:themeColor="text1" w:themeTint="F2"/>
          <w:sz w:val="24"/>
          <w14:textFill>
            <w14:solidFill>
              <w14:schemeClr w14:val="tx1">
                <w14:lumMod w14:val="95000"/>
                <w14:lumOff w14:val="5000"/>
              </w14:schemeClr>
            </w14:solidFill>
          </w14:textFill>
        </w:rPr>
        <w:t>五、被授权人身份证件复印件</w:t>
      </w:r>
      <w:bookmarkEnd w:id="104"/>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比选文件</w:t>
      </w:r>
      <w:r>
        <w:rPr>
          <w:rFonts w:hint="eastAsia" w:ascii="宋体" w:hAnsi="宋体"/>
          <w:color w:val="0D0D0D" w:themeColor="text1" w:themeTint="F2"/>
          <w:sz w:val="24"/>
          <w14:textFill>
            <w14:solidFill>
              <w14:schemeClr w14:val="tx1">
                <w14:lumMod w14:val="95000"/>
                <w14:lumOff w14:val="5000"/>
              </w14:schemeClr>
            </w14:solidFill>
          </w14:textFill>
        </w:rPr>
        <w:t>人不是法定代表人时提供】</w:t>
      </w:r>
      <w:bookmarkEnd w:id="105"/>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6"/>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sectPr>
          <w:headerReference r:id="rId4" w:type="default"/>
          <w:pgSz w:w="11907" w:h="16840"/>
          <w:pgMar w:top="1440" w:right="1134" w:bottom="1440" w:left="1440" w:header="720" w:footer="890" w:gutter="0"/>
          <w:cols w:space="720" w:num="1"/>
          <w:titlePg/>
          <w:docGrid w:linePitch="360" w:charSpace="0"/>
        </w:sectPr>
      </w:pPr>
    </w:p>
    <w:p>
      <w:pPr>
        <w:pStyle w:val="6"/>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106" w:name="_Toc98264045"/>
      <w:r>
        <w:rPr>
          <w:rFonts w:hint="eastAsia" w:ascii="宋体" w:hAnsi="宋体"/>
          <w:bCs/>
          <w:color w:val="0D0D0D" w:themeColor="text1" w:themeTint="F2"/>
          <w:kern w:val="2"/>
          <w:sz w:val="24"/>
          <w14:textFill>
            <w14:solidFill>
              <w14:schemeClr w14:val="tx1">
                <w14:lumMod w14:val="95000"/>
                <w14:lumOff w14:val="5000"/>
              </w14:schemeClr>
            </w14:solidFill>
          </w14:textFill>
        </w:rPr>
        <w:t>六、参选业绩证明材料（加盖公章）</w:t>
      </w:r>
      <w:bookmarkEnd w:id="106"/>
    </w:p>
    <w:p>
      <w:pPr>
        <w:widowControl/>
        <w:adjustRightInd w:val="0"/>
        <w:snapToGrid w:val="0"/>
        <w:spacing w:line="240" w:lineRule="atLeast"/>
        <w:jc w:val="left"/>
        <w:rPr>
          <w:rFonts w:ascii="仿宋_GB2312" w:hAnsi="宋体" w:eastAsia="仿宋_GB2312"/>
          <w:color w:val="000000"/>
          <w:sz w:val="22"/>
          <w:szCs w:val="22"/>
        </w:rPr>
      </w:pPr>
      <w:r>
        <w:rPr>
          <w:rFonts w:hint="eastAsia" w:ascii="仿宋_GB2312" w:hAnsi="宋体" w:eastAsia="仿宋_GB2312"/>
          <w:color w:val="000000"/>
          <w:sz w:val="22"/>
          <w:szCs w:val="22"/>
        </w:rPr>
        <w:t>2019年1月1日至今，服务全国50强或深圳20强房地产开发公司品牌（全国50强排名参考2019年-2021年中指研究院或易居克尔瑞数据，深圳20强排名参考2019-2021年深圳房协数据）在北上广深一线城市的项目或品牌的活动，且合同金额在50万元以上的案例。</w:t>
      </w:r>
    </w:p>
    <w:p>
      <w:pPr>
        <w:widowControl/>
        <w:adjustRightInd w:val="0"/>
        <w:snapToGrid w:val="0"/>
        <w:spacing w:line="240" w:lineRule="atLeast"/>
        <w:jc w:val="left"/>
        <w:rPr>
          <w:rFonts w:ascii="仿宋_GB2312" w:hAnsi="宋体" w:eastAsia="仿宋_GB2312"/>
          <w:color w:val="000000"/>
          <w:sz w:val="22"/>
          <w:szCs w:val="22"/>
        </w:rPr>
      </w:pPr>
      <w:r>
        <w:rPr>
          <w:rFonts w:hint="eastAsia" w:ascii="仿宋_GB2312" w:hAnsi="宋体" w:eastAsia="仿宋_GB2312"/>
          <w:color w:val="000000"/>
          <w:sz w:val="22"/>
          <w:szCs w:val="22"/>
        </w:rPr>
        <w:t>2019年1月1日至今，服务全国50强或深圳20强房地产开发公司品牌（全国50强排名参考2019年-2021年中指研究院或易居克尔瑞数据，深圳20强排名参考2019-2021年深圳房协数据）在北上广深一线城市的项目或品牌的美陈或包装服务，且合同金额在50万元以上的案例。</w:t>
      </w:r>
    </w:p>
    <w:p>
      <w:pPr>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备注：</w:t>
      </w:r>
    </w:p>
    <w:p>
      <w:pPr>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a.需提供合同关键页复印件（包括但不限于名称、委托内容、合同价格、委托期限、签订日期、盖章页等）及相关活动现场图片；</w:t>
      </w:r>
    </w:p>
    <w:p>
      <w:pPr>
        <w:adjustRightInd w:val="0"/>
        <w:snapToGrid w:val="0"/>
        <w:spacing w:line="240" w:lineRule="atLeast"/>
        <w:jc w:val="left"/>
        <w:rPr>
          <w:rFonts w:ascii="仿宋_GB2312" w:hAnsi="宋体" w:eastAsia="仿宋_GB2312"/>
          <w:sz w:val="22"/>
          <w:szCs w:val="22"/>
        </w:rPr>
      </w:pPr>
      <w:r>
        <w:rPr>
          <w:rFonts w:hint="eastAsia" w:ascii="仿宋_GB2312" w:hAnsi="宋体" w:eastAsia="仿宋_GB2312"/>
          <w:sz w:val="22"/>
          <w:szCs w:val="22"/>
        </w:rPr>
        <w:t xml:space="preserve">b.合同名称或委托内容需标明具体活动或包装类型； </w:t>
      </w: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rPr>
          <w:rFonts w:ascii="宋体" w:hAnsi="宋体"/>
          <w:color w:val="0D0D0D" w:themeColor="text1" w:themeTint="F2"/>
          <w:sz w:val="24"/>
          <w:szCs w:val="24"/>
          <w14:textFill>
            <w14:solidFill>
              <w14:schemeClr w14:val="tx1">
                <w14:lumMod w14:val="95000"/>
                <w14:lumOff w14:val="5000"/>
              </w14:schemeClr>
            </w14:solidFill>
          </w14:textFill>
        </w:rPr>
      </w:pPr>
    </w:p>
    <w:p>
      <w:pPr>
        <w:pStyle w:val="6"/>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107" w:name="_Toc98264046"/>
      <w:r>
        <w:rPr>
          <w:rFonts w:hint="eastAsia" w:ascii="宋体" w:hAnsi="宋体"/>
          <w:color w:val="0D0D0D" w:themeColor="text1" w:themeTint="F2"/>
          <w:sz w:val="48"/>
          <w:szCs w:val="36"/>
          <w14:textFill>
            <w14:solidFill>
              <w14:schemeClr w14:val="tx1">
                <w14:lumMod w14:val="95000"/>
                <w14:lumOff w14:val="5000"/>
              </w14:schemeClr>
            </w14:solidFill>
          </w14:textFill>
        </w:rPr>
        <w:t>第二章</w:t>
      </w:r>
      <w:bookmarkEnd w:id="107"/>
    </w:p>
    <w:p>
      <w:pPr>
        <w:spacing w:line="480" w:lineRule="atLeast"/>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深铁置业2022年度拟销售项目</w:t>
      </w: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展示区开放系列活动、现场包装及宣传推广服务</w:t>
      </w: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spacing w:line="360" w:lineRule="auto"/>
        <w:jc w:val="center"/>
        <w:rPr>
          <w:rFonts w:hAnsi="宋体"/>
          <w:b/>
          <w:bCs/>
          <w:sz w:val="52"/>
          <w:szCs w:val="52"/>
        </w:rPr>
      </w:pPr>
      <w:r>
        <w:rPr>
          <w:rFonts w:hint="eastAsia" w:hAnsi="宋体"/>
          <w:b/>
          <w:bCs/>
          <w:sz w:val="52"/>
          <w:szCs w:val="52"/>
        </w:rPr>
        <w:t>技术标书</w:t>
      </w: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480" w:lineRule="atLeast"/>
        <w:rPr>
          <w:rFonts w:ascii="宋体" w:hAnsi="宋体"/>
          <w:color w:val="0D0D0D" w:themeColor="text1" w:themeTint="F2"/>
          <w:sz w:val="52"/>
          <w:szCs w:val="52"/>
          <w:u w:val="single"/>
          <w14:textFill>
            <w14:solidFill>
              <w14:schemeClr w14:val="tx1">
                <w14:lumMod w14:val="95000"/>
                <w14:lumOff w14:val="5000"/>
              </w14:schemeClr>
            </w14:solidFill>
          </w14:textFill>
        </w:rPr>
      </w:pPr>
    </w:p>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技术标书目录</w:t>
      </w:r>
    </w:p>
    <w:p>
      <w:pPr>
        <w:pStyle w:val="24"/>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1</w:t>
      </w:r>
      <w:r>
        <w:rPr>
          <w:rFonts w:hAnsi="宋体"/>
          <w:b/>
          <w:bCs/>
          <w:color w:val="0D0D0D" w:themeColor="text1" w:themeTint="F2"/>
          <w:sz w:val="28"/>
          <w:szCs w:val="28"/>
          <w14:textFill>
            <w14:solidFill>
              <w14:schemeClr w14:val="tx1">
                <w14:lumMod w14:val="95000"/>
                <w14:lumOff w14:val="5000"/>
              </w14:schemeClr>
            </w14:solidFill>
          </w14:textFill>
        </w:rPr>
        <w:t>.</w:t>
      </w:r>
      <w:r>
        <w:rPr>
          <w:rFonts w:hint="eastAsia" w:hAnsi="宋体"/>
          <w:b/>
          <w:bCs/>
          <w:color w:val="0D0D0D" w:themeColor="text1" w:themeTint="F2"/>
          <w:sz w:val="28"/>
          <w:szCs w:val="28"/>
          <w14:textFill>
            <w14:solidFill>
              <w14:schemeClr w14:val="tx1">
                <w14:lumMod w14:val="95000"/>
                <w14:lumOff w14:val="5000"/>
              </w14:schemeClr>
            </w14:solidFill>
          </w14:textFill>
        </w:rPr>
        <w:t>技术标1：地铁前海时代营销中心开放活动方案</w:t>
      </w:r>
    </w:p>
    <w:p>
      <w:pPr>
        <w:pStyle w:val="24"/>
        <w:spacing w:before="360" w:beforeLines="150" w:after="360" w:afterLines="150" w:line="480" w:lineRule="atLeast"/>
        <w:rPr>
          <w:rFonts w:hAnsi="宋体"/>
          <w:b/>
          <w:bCs/>
          <w:color w:val="0D0D0D" w:themeColor="text1" w:themeTint="F2"/>
          <w:sz w:val="28"/>
          <w:szCs w:val="28"/>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2</w:t>
      </w:r>
      <w:r>
        <w:rPr>
          <w:rFonts w:hAnsi="宋体"/>
          <w:b/>
          <w:bCs/>
          <w:color w:val="0D0D0D" w:themeColor="text1" w:themeTint="F2"/>
          <w:sz w:val="28"/>
          <w:szCs w:val="28"/>
          <w14:textFill>
            <w14:solidFill>
              <w14:schemeClr w14:val="tx1">
                <w14:lumMod w14:val="95000"/>
                <w14:lumOff w14:val="5000"/>
              </w14:schemeClr>
            </w14:solidFill>
          </w14:textFill>
        </w:rPr>
        <w:t>.</w:t>
      </w:r>
      <w:r>
        <w:rPr>
          <w:rFonts w:hint="eastAsia" w:hAnsi="宋体"/>
          <w:b/>
          <w:bCs/>
          <w:color w:val="0D0D0D" w:themeColor="text1" w:themeTint="F2"/>
          <w:sz w:val="28"/>
          <w:szCs w:val="28"/>
          <w14:textFill>
            <w14:solidFill>
              <w14:schemeClr w14:val="tx1">
                <w14:lumMod w14:val="95000"/>
                <w14:lumOff w14:val="5000"/>
              </w14:schemeClr>
            </w14:solidFill>
          </w14:textFill>
        </w:rPr>
        <w:t>技术标2：深铁璟城营销中心开放活动方案</w:t>
      </w:r>
      <w:r>
        <w:rPr>
          <w:rFonts w:hAnsi="宋体"/>
          <w:b/>
          <w:bCs/>
          <w:color w:val="0D0D0D" w:themeColor="text1" w:themeTint="F2"/>
          <w:sz w:val="28"/>
          <w:szCs w:val="28"/>
          <w14:textFill>
            <w14:solidFill>
              <w14:schemeClr w14:val="tx1">
                <w14:lumMod w14:val="95000"/>
                <w14:lumOff w14:val="5000"/>
              </w14:schemeClr>
            </w14:solidFill>
          </w14:textFill>
        </w:rPr>
        <w:br w:type="page"/>
      </w:r>
    </w:p>
    <w:p>
      <w:pPr>
        <w:pStyle w:val="6"/>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108" w:name="_Toc98264047"/>
      <w:r>
        <w:rPr>
          <w:rFonts w:hint="eastAsia" w:ascii="宋体" w:hAnsi="宋体"/>
          <w:bCs/>
          <w:color w:val="0D0D0D" w:themeColor="text1" w:themeTint="F2"/>
          <w:kern w:val="2"/>
          <w:sz w:val="24"/>
          <w14:textFill>
            <w14:solidFill>
              <w14:schemeClr w14:val="tx1">
                <w14:lumMod w14:val="95000"/>
                <w14:lumOff w14:val="5000"/>
              </w14:schemeClr>
            </w14:solidFill>
          </w14:textFill>
        </w:rPr>
        <w:t>一、技术标1：</w:t>
      </w:r>
      <w:bookmarkEnd w:id="108"/>
      <w:r>
        <w:rPr>
          <w:rFonts w:hint="eastAsia" w:ascii="宋体" w:hAnsi="宋体"/>
          <w:bCs/>
          <w:color w:val="0D0D0D" w:themeColor="text1" w:themeTint="F2"/>
          <w:kern w:val="2"/>
          <w:sz w:val="24"/>
          <w14:textFill>
            <w14:solidFill>
              <w14:schemeClr w14:val="tx1">
                <w14:lumMod w14:val="95000"/>
                <w14:lumOff w14:val="5000"/>
              </w14:schemeClr>
            </w14:solidFill>
          </w14:textFill>
        </w:rPr>
        <w:t>地铁前海时代营销中心开放活动方案</w:t>
      </w:r>
    </w:p>
    <w:p>
      <w:pPr>
        <w:widowControl/>
        <w:jc w:val="left"/>
      </w:pPr>
      <w:r>
        <w:rPr>
          <w:rFonts w:hint="eastAsia" w:ascii="宋体" w:hAnsi="宋体"/>
          <w:color w:val="0D0D0D" w:themeColor="text1" w:themeTint="F2"/>
          <w:sz w:val="24"/>
          <w14:textFill>
            <w14:solidFill>
              <w14:schemeClr w14:val="tx1">
                <w14:lumMod w14:val="95000"/>
                <w14:lumOff w14:val="5000"/>
              </w14:schemeClr>
            </w14:solidFill>
          </w14:textFill>
        </w:rPr>
        <w:t>{</w:t>
      </w:r>
      <w:r>
        <w:rPr>
          <w:rFonts w:hint="eastAsia"/>
        </w:rPr>
        <w:t>参选人应编制完整全面的参选活动方案，描述清晰、内容全面，包括但不限于活动思路、流程安排、活动舞台及物料及包装等各方面的创意、人员安排、嘉宾及主持人建议、工作铺排计划、执行团队等</w:t>
      </w:r>
      <w:r>
        <w:rPr>
          <w:rFonts w:hint="eastAsia" w:ascii="宋体" w:hAnsi="宋体"/>
          <w:color w:val="0D0D0D" w:themeColor="text1" w:themeTint="F2"/>
          <w:sz w:val="24"/>
          <w14:textFill>
            <w14:solidFill>
              <w14:schemeClr w14:val="tx1">
                <w14:lumMod w14:val="95000"/>
                <w14:lumOff w14:val="5000"/>
              </w14:schemeClr>
            </w14:solidFill>
          </w14:textFill>
        </w:rPr>
        <w:t>}</w:t>
      </w:r>
    </w:p>
    <w:p>
      <w:pPr>
        <w:widowControl/>
        <w:jc w:val="left"/>
        <w:rPr>
          <w:rFonts w:ascii="宋体"/>
          <w:color w:val="000000"/>
          <w:kern w:val="0"/>
          <w:sz w:val="20"/>
          <w:szCs w:val="24"/>
        </w:rPr>
      </w:pPr>
      <w:r>
        <w:br w:type="page"/>
      </w:r>
    </w:p>
    <w:p>
      <w:pPr>
        <w:pStyle w:val="2"/>
        <w:ind w:firstLine="400"/>
      </w:pPr>
    </w:p>
    <w:p>
      <w:pPr>
        <w:pStyle w:val="6"/>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109" w:name="_Toc98264048"/>
      <w:r>
        <w:rPr>
          <w:rFonts w:hint="eastAsia" w:ascii="宋体" w:hAnsi="宋体"/>
          <w:bCs/>
          <w:color w:val="0D0D0D" w:themeColor="text1" w:themeTint="F2"/>
          <w:kern w:val="2"/>
          <w:sz w:val="24"/>
          <w14:textFill>
            <w14:solidFill>
              <w14:schemeClr w14:val="tx1">
                <w14:lumMod w14:val="95000"/>
                <w14:lumOff w14:val="5000"/>
              </w14:schemeClr>
            </w14:solidFill>
          </w14:textFill>
        </w:rPr>
        <w:t>二、技术标</w:t>
      </w:r>
      <w:r>
        <w:rPr>
          <w:rFonts w:ascii="宋体" w:hAnsi="宋体"/>
          <w:bCs/>
          <w:color w:val="0D0D0D" w:themeColor="text1" w:themeTint="F2"/>
          <w:kern w:val="2"/>
          <w:sz w:val="24"/>
          <w14:textFill>
            <w14:solidFill>
              <w14:schemeClr w14:val="tx1">
                <w14:lumMod w14:val="95000"/>
                <w14:lumOff w14:val="5000"/>
              </w14:schemeClr>
            </w14:solidFill>
          </w14:textFill>
        </w:rPr>
        <w:t>2</w:t>
      </w:r>
      <w:r>
        <w:rPr>
          <w:rFonts w:hint="eastAsia" w:ascii="宋体" w:hAnsi="宋体"/>
          <w:bCs/>
          <w:color w:val="0D0D0D" w:themeColor="text1" w:themeTint="F2"/>
          <w:kern w:val="2"/>
          <w:sz w:val="24"/>
          <w14:textFill>
            <w14:solidFill>
              <w14:schemeClr w14:val="tx1">
                <w14:lumMod w14:val="95000"/>
                <w14:lumOff w14:val="5000"/>
              </w14:schemeClr>
            </w14:solidFill>
          </w14:textFill>
        </w:rPr>
        <w:t>：深铁璟城营销中心开放活动方案</w:t>
      </w:r>
      <w:bookmarkEnd w:id="109"/>
    </w:p>
    <w:p>
      <w:pPr>
        <w:widowControl/>
        <w:jc w:val="left"/>
      </w:pPr>
      <w:r>
        <w:rPr>
          <w:rFonts w:hint="eastAsia" w:ascii="宋体" w:hAnsi="宋体"/>
          <w:color w:val="0D0D0D" w:themeColor="text1" w:themeTint="F2"/>
          <w:sz w:val="24"/>
          <w14:textFill>
            <w14:solidFill>
              <w14:schemeClr w14:val="tx1">
                <w14:lumMod w14:val="95000"/>
                <w14:lumOff w14:val="5000"/>
              </w14:schemeClr>
            </w14:solidFill>
          </w14:textFill>
        </w:rPr>
        <w:t>{</w:t>
      </w:r>
      <w:r>
        <w:rPr>
          <w:rFonts w:hint="eastAsia"/>
        </w:rPr>
        <w:t>参选人应编制完整全面的参选活动方案，描述清晰、内容全面，包括但不限于活动思路、流程安排、活动舞台及物料及包装等各方面的创意、人员安排、嘉宾及主持人建议、工作铺排计划、执行团队等</w:t>
      </w:r>
      <w:r>
        <w:rPr>
          <w:rFonts w:hint="eastAsia" w:ascii="宋体" w:hAnsi="宋体"/>
          <w:color w:val="0D0D0D" w:themeColor="text1" w:themeTint="F2"/>
          <w:sz w:val="24"/>
          <w14:textFill>
            <w14:solidFill>
              <w14:schemeClr w14:val="tx1">
                <w14:lumMod w14:val="95000"/>
                <w14:lumOff w14:val="5000"/>
              </w14:schemeClr>
            </w14:solidFill>
          </w14:textFill>
        </w:rPr>
        <w:t>}</w:t>
      </w:r>
    </w:p>
    <w:p/>
    <w:p>
      <w:pPr>
        <w:widowControl/>
        <w:jc w:val="left"/>
        <w:rPr>
          <w:rFonts w:ascii="宋体"/>
          <w:color w:val="000000"/>
          <w:kern w:val="0"/>
          <w:sz w:val="20"/>
          <w:szCs w:val="24"/>
        </w:rPr>
      </w:pPr>
      <w:r>
        <w:br w:type="page"/>
      </w:r>
    </w:p>
    <w:p>
      <w:pPr>
        <w:pStyle w:val="6"/>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110" w:name="_Toc98264049"/>
      <w:r>
        <w:rPr>
          <w:rFonts w:hint="eastAsia" w:ascii="宋体" w:hAnsi="宋体"/>
          <w:color w:val="0D0D0D" w:themeColor="text1" w:themeTint="F2"/>
          <w:sz w:val="48"/>
          <w:szCs w:val="36"/>
          <w14:textFill>
            <w14:solidFill>
              <w14:schemeClr w14:val="tx1">
                <w14:lumMod w14:val="95000"/>
                <w14:lumOff w14:val="5000"/>
              </w14:schemeClr>
            </w14:solidFill>
          </w14:textFill>
        </w:rPr>
        <w:t>第三章</w:t>
      </w:r>
      <w:bookmarkEnd w:id="110"/>
    </w:p>
    <w:p>
      <w:pPr>
        <w:ind w:firstLine="1575" w:firstLineChars="750"/>
        <w:rPr>
          <w:color w:val="0D0D0D" w:themeColor="text1" w:themeTint="F2"/>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深铁置业2022年度拟销售项目</w:t>
      </w:r>
    </w:p>
    <w:p>
      <w:pPr>
        <w:spacing w:line="48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展示区开放系列活动、现场包装及宣传推广服务</w:t>
      </w:r>
    </w:p>
    <w:p>
      <w:pPr>
        <w:jc w:val="center"/>
        <w:rPr>
          <w:color w:val="0D0D0D" w:themeColor="text1" w:themeTint="F2"/>
          <w:sz w:val="44"/>
          <w:szCs w:val="44"/>
          <w14:textFill>
            <w14:solidFill>
              <w14:schemeClr w14:val="tx1">
                <w14:lumMod w14:val="95000"/>
                <w14:lumOff w14:val="5000"/>
              </w14:schemeClr>
            </w14:solidFill>
          </w14:textFill>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4"/>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Cs/>
          <w:sz w:val="36"/>
          <w:szCs w:val="36"/>
        </w:rPr>
      </w:pPr>
      <w:r>
        <w:rPr>
          <w:rFonts w:hint="eastAsia" w:asciiTheme="minorEastAsia" w:hAnsiTheme="minorEastAsia"/>
          <w:bCs/>
          <w:sz w:val="36"/>
          <w:szCs w:val="36"/>
        </w:rPr>
        <w:t>深铁置业2022年度拟销售项目</w:t>
      </w:r>
    </w:p>
    <w:p>
      <w:pPr>
        <w:pStyle w:val="24"/>
        <w:spacing w:before="240" w:beforeLines="100" w:after="120" w:afterLines="50" w:line="480" w:lineRule="atLeast"/>
        <w:jc w:val="center"/>
        <w:rPr>
          <w:rFonts w:asciiTheme="minorEastAsia" w:hAnsiTheme="minorEastAsia"/>
          <w:bCs/>
          <w:sz w:val="36"/>
          <w:szCs w:val="36"/>
        </w:rPr>
      </w:pPr>
      <w:r>
        <w:rPr>
          <w:rFonts w:hint="eastAsia" w:asciiTheme="minorEastAsia" w:hAnsiTheme="minorEastAsia"/>
          <w:bCs/>
          <w:sz w:val="36"/>
          <w:szCs w:val="36"/>
        </w:rPr>
        <w:t>展示区开放系列活动、现场包装及宣传推广服务</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
          <w:color w:val="0D0D0D" w:themeColor="text1" w:themeTint="F2"/>
          <w:sz w:val="48"/>
          <w:szCs w:val="48"/>
          <w14:textFill>
            <w14:solidFill>
              <w14:schemeClr w14:val="tx1">
                <w14:lumMod w14:val="95000"/>
                <w14:lumOff w14:val="5000"/>
              </w14:schemeClr>
            </w14:solidFill>
          </w14:textFill>
        </w:rPr>
      </w:pPr>
      <w:r>
        <w:rPr>
          <w:rFonts w:hint="eastAsia" w:hAnsi="宋体"/>
          <w:b/>
          <w:sz w:val="48"/>
          <w:szCs w:val="48"/>
        </w:rPr>
        <w:t>【A包：深铁珑境花园一期、地铁前海时代广场4号地块、深铁金融科技大厦、深铁置业大厦展示区开放系列活动、现场包装及宣传推广服务</w:t>
      </w:r>
      <w:r>
        <w:rPr>
          <w:rFonts w:hint="eastAsia" w:hAnsi="宋体"/>
          <w:b/>
          <w:color w:val="0D0D0D" w:themeColor="text1" w:themeTint="F2"/>
          <w:sz w:val="48"/>
          <w:szCs w:val="48"/>
          <w14:textFill>
            <w14:solidFill>
              <w14:schemeClr w14:val="tx1">
                <w14:lumMod w14:val="95000"/>
                <w14:lumOff w14:val="5000"/>
              </w14:schemeClr>
            </w14:solidFill>
          </w14:textFill>
        </w:rPr>
        <w:t>】</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15"/>
        <w:spacing w:line="520" w:lineRule="exact"/>
        <w:ind w:firstLine="0"/>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bCs/>
          <w:color w:val="0D0D0D" w:themeColor="text1" w:themeTint="F2"/>
          <w:sz w:val="24"/>
          <w:szCs w:val="24"/>
          <w14:textFill>
            <w14:solidFill>
              <w14:schemeClr w14:val="tx1">
                <w14:lumMod w14:val="95000"/>
                <w14:lumOff w14:val="5000"/>
              </w14:schemeClr>
            </w14:solidFill>
          </w14:textFill>
        </w:rPr>
        <w:t>1</w:t>
      </w:r>
      <w:r>
        <w:rPr>
          <w:bCs/>
          <w:color w:val="0D0D0D" w:themeColor="text1" w:themeTint="F2"/>
          <w:sz w:val="24"/>
          <w:szCs w:val="24"/>
          <w14:textFill>
            <w14:solidFill>
              <w14:schemeClr w14:val="tx1">
                <w14:lumMod w14:val="95000"/>
                <w14:lumOff w14:val="5000"/>
              </w14:schemeClr>
            </w14:solidFill>
          </w14:textFill>
        </w:rPr>
        <w:t>.</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A包：深铁珑境花园一期、地铁前海时代广场4号地块、深铁金融科技大厦、深铁置业大厦展示区开放系列活动、现场包装及宣传推广服务报价总览表</w:t>
      </w:r>
    </w:p>
    <w:p>
      <w:pPr>
        <w:pStyle w:val="15"/>
        <w:spacing w:line="520" w:lineRule="exact"/>
        <w:ind w:firstLine="0"/>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2</w:t>
      </w:r>
      <w:r>
        <w:rPr>
          <w:rFonts w:ascii="宋体" w:hAnsi="宋体" w:cs="宋体"/>
          <w:bCs/>
          <w:color w:val="0D0D0D" w:themeColor="text1" w:themeTint="F2"/>
          <w:kern w:val="0"/>
          <w:sz w:val="24"/>
          <w:szCs w:val="24"/>
          <w14:textFill>
            <w14:solidFill>
              <w14:schemeClr w14:val="tx1">
                <w14:lumMod w14:val="95000"/>
                <w14:lumOff w14:val="5000"/>
              </w14:schemeClr>
            </w14:solidFill>
          </w14:textFill>
        </w:rPr>
        <w:t>.</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分项目报价清单、报价明细表</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bookmarkStart w:id="111" w:name="_Toc518494154"/>
      <w:bookmarkStart w:id="112" w:name="_Toc276575955"/>
      <w:bookmarkStart w:id="113" w:name="_Toc19191481"/>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bookmarkEnd w:id="111"/>
      <w:bookmarkEnd w:id="112"/>
      <w:bookmarkEnd w:id="113"/>
    </w:p>
    <w:p>
      <w:pPr>
        <w:pStyle w:val="24"/>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4"/>
        <w:snapToGrid w:val="0"/>
        <w:spacing w:line="336" w:lineRule="auto"/>
        <w:rPr>
          <w:rFonts w:hAnsi="宋体"/>
          <w:sz w:val="22"/>
          <w:szCs w:val="22"/>
        </w:rPr>
      </w:pPr>
      <w:r>
        <w:rPr>
          <w:rFonts w:hAnsi="宋体"/>
          <w:sz w:val="22"/>
          <w:szCs w:val="22"/>
        </w:rPr>
        <w:t>致：</w:t>
      </w:r>
      <w:r>
        <w:rPr>
          <w:rFonts w:hint="eastAsia" w:hAnsi="宋体"/>
          <w:sz w:val="22"/>
          <w:szCs w:val="22"/>
        </w:rPr>
        <w:t>深圳市地铁集团有限公司</w:t>
      </w:r>
    </w:p>
    <w:p>
      <w:pPr>
        <w:adjustRightInd w:val="0"/>
        <w:snapToGrid w:val="0"/>
        <w:spacing w:line="336" w:lineRule="auto"/>
        <w:ind w:firstLine="440" w:firstLineChars="200"/>
        <w:rPr>
          <w:sz w:val="20"/>
          <w:szCs w:val="18"/>
        </w:rPr>
      </w:pPr>
      <w:r>
        <w:rPr>
          <w:rFonts w:ascii="宋体" w:hAnsi="宋体"/>
          <w:sz w:val="22"/>
          <w:szCs w:val="18"/>
        </w:rPr>
        <w:t>1、经分析研究了贵司提供的比选文件，经研究后，我方愿以</w:t>
      </w:r>
      <w:r>
        <w:rPr>
          <w:rFonts w:hint="eastAsia" w:ascii="宋体" w:hAnsi="宋体"/>
          <w:sz w:val="22"/>
          <w:szCs w:val="18"/>
        </w:rPr>
        <w:t>报价</w:t>
      </w:r>
      <w:r>
        <w:rPr>
          <w:rFonts w:ascii="宋体" w:hAnsi="宋体"/>
          <w:sz w:val="22"/>
          <w:szCs w:val="18"/>
          <w:u w:val="single"/>
        </w:rPr>
        <w:t xml:space="preserve">           </w:t>
      </w:r>
      <w:r>
        <w:rPr>
          <w:rFonts w:hint="eastAsia" w:ascii="宋体" w:hAnsi="宋体"/>
          <w:sz w:val="22"/>
          <w:szCs w:val="18"/>
          <w:u w:val="single"/>
        </w:rPr>
        <w:t>元</w:t>
      </w:r>
      <w:r>
        <w:rPr>
          <w:rFonts w:ascii="宋体" w:hAnsi="宋体"/>
          <w:sz w:val="22"/>
          <w:szCs w:val="18"/>
        </w:rPr>
        <w:t>（大写:</w:t>
      </w:r>
      <w:r>
        <w:rPr>
          <w:rFonts w:ascii="宋体" w:hAnsi="宋体"/>
          <w:sz w:val="22"/>
          <w:szCs w:val="18"/>
          <w:u w:val="single"/>
        </w:rPr>
        <w:t xml:space="preserve">                 </w:t>
      </w:r>
      <w:r>
        <w:rPr>
          <w:rFonts w:ascii="宋体" w:hAnsi="宋体"/>
          <w:sz w:val="22"/>
          <w:szCs w:val="18"/>
        </w:rPr>
        <w:t>）作为</w:t>
      </w:r>
      <w:r>
        <w:rPr>
          <w:rFonts w:hint="eastAsia" w:ascii="宋体" w:hAnsi="宋体"/>
          <w:b/>
          <w:bCs/>
          <w:sz w:val="22"/>
          <w:szCs w:val="18"/>
        </w:rPr>
        <w:t>A包：深铁珑境花园一期、地铁前海时代广场4号地块、深铁金融科技大厦、深铁置业大厦展示区开放系列活动、现场包装及宣传推广服务</w:t>
      </w:r>
      <w:r>
        <w:rPr>
          <w:rFonts w:hint="eastAsia" w:ascii="宋体" w:hAnsi="宋体"/>
          <w:sz w:val="22"/>
          <w:szCs w:val="18"/>
        </w:rPr>
        <w:t>的报价，其中：深铁珑境花园一期报价</w:t>
      </w:r>
      <w:r>
        <w:rPr>
          <w:rFonts w:ascii="宋体" w:hAnsi="宋体"/>
          <w:sz w:val="22"/>
          <w:szCs w:val="18"/>
          <w:u w:val="single"/>
        </w:rPr>
        <w:t xml:space="preserve">           </w:t>
      </w:r>
      <w:r>
        <w:rPr>
          <w:rFonts w:hint="eastAsia" w:ascii="宋体" w:hAnsi="宋体"/>
          <w:sz w:val="22"/>
          <w:szCs w:val="18"/>
          <w:u w:val="single"/>
        </w:rPr>
        <w:t>元</w:t>
      </w:r>
      <w:r>
        <w:rPr>
          <w:rFonts w:hint="eastAsia" w:ascii="宋体" w:hAnsi="宋体"/>
          <w:sz w:val="22"/>
          <w:szCs w:val="18"/>
        </w:rPr>
        <w:t>；地铁前海时代广场4号地块报价</w:t>
      </w:r>
      <w:r>
        <w:rPr>
          <w:rFonts w:ascii="宋体" w:hAnsi="宋体"/>
          <w:sz w:val="22"/>
          <w:szCs w:val="18"/>
          <w:u w:val="single"/>
        </w:rPr>
        <w:t xml:space="preserve">           </w:t>
      </w:r>
      <w:r>
        <w:rPr>
          <w:rFonts w:hint="eastAsia" w:ascii="宋体" w:hAnsi="宋体"/>
          <w:sz w:val="22"/>
          <w:szCs w:val="18"/>
          <w:u w:val="single"/>
        </w:rPr>
        <w:t>元</w:t>
      </w:r>
      <w:r>
        <w:rPr>
          <w:rFonts w:hint="eastAsia" w:ascii="宋体" w:hAnsi="宋体"/>
          <w:sz w:val="22"/>
          <w:szCs w:val="18"/>
        </w:rPr>
        <w:t>；深铁金融科技大厦报价</w:t>
      </w:r>
      <w:r>
        <w:rPr>
          <w:rFonts w:ascii="宋体" w:hAnsi="宋体"/>
          <w:sz w:val="22"/>
          <w:szCs w:val="18"/>
          <w:u w:val="single"/>
        </w:rPr>
        <w:t xml:space="preserve">           </w:t>
      </w:r>
      <w:r>
        <w:rPr>
          <w:rFonts w:hint="eastAsia" w:ascii="宋体" w:hAnsi="宋体"/>
          <w:sz w:val="22"/>
          <w:szCs w:val="18"/>
          <w:u w:val="single"/>
        </w:rPr>
        <w:t>元</w:t>
      </w:r>
      <w:r>
        <w:rPr>
          <w:rFonts w:hint="eastAsia" w:ascii="宋体" w:hAnsi="宋体"/>
          <w:sz w:val="22"/>
          <w:szCs w:val="18"/>
        </w:rPr>
        <w:t>；深铁置业大厦报价</w:t>
      </w:r>
      <w:r>
        <w:rPr>
          <w:rFonts w:ascii="宋体" w:hAnsi="宋体"/>
          <w:sz w:val="22"/>
          <w:szCs w:val="18"/>
          <w:u w:val="single"/>
        </w:rPr>
        <w:t xml:space="preserve">           </w:t>
      </w:r>
      <w:r>
        <w:rPr>
          <w:rFonts w:hint="eastAsia" w:ascii="宋体" w:hAnsi="宋体"/>
          <w:sz w:val="22"/>
          <w:szCs w:val="18"/>
          <w:u w:val="single"/>
        </w:rPr>
        <w:t>元。</w:t>
      </w:r>
    </w:p>
    <w:p>
      <w:pPr>
        <w:adjustRightInd w:val="0"/>
        <w:snapToGrid w:val="0"/>
        <w:spacing w:line="336" w:lineRule="auto"/>
        <w:ind w:firstLine="440" w:firstLineChars="200"/>
        <w:rPr>
          <w:rFonts w:ascii="宋体" w:hAnsi="宋体"/>
          <w:sz w:val="22"/>
          <w:szCs w:val="18"/>
        </w:rPr>
      </w:pPr>
      <w:r>
        <w:rPr>
          <w:rFonts w:hint="eastAsia" w:ascii="宋体" w:hAnsi="宋体" w:cs="宋体"/>
          <w:sz w:val="22"/>
          <w:szCs w:val="22"/>
        </w:rPr>
        <w:t>我司将按合同条件、比选文件、参选文件以及国家和地方有关规定的要求，承担并完成本项目的任务</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ascii="宋体" w:hAnsi="宋体"/>
          <w:sz w:val="22"/>
          <w:szCs w:val="18"/>
        </w:rPr>
        <w:t>2、我方对贵司</w:t>
      </w:r>
      <w:r>
        <w:rPr>
          <w:rFonts w:hint="eastAsia" w:ascii="宋体" w:hAnsi="宋体"/>
          <w:sz w:val="22"/>
          <w:szCs w:val="18"/>
        </w:rPr>
        <w:t>比</w:t>
      </w:r>
      <w:r>
        <w:rPr>
          <w:rFonts w:ascii="宋体" w:hAnsi="宋体"/>
          <w:sz w:val="22"/>
          <w:szCs w:val="18"/>
        </w:rPr>
        <w:t>选文件中的合同条件无保留、无条件同意，特此声明及承诺。</w:t>
      </w:r>
    </w:p>
    <w:p>
      <w:pPr>
        <w:adjustRightInd w:val="0"/>
        <w:snapToGrid w:val="0"/>
        <w:spacing w:line="336" w:lineRule="auto"/>
        <w:ind w:left="-15" w:leftChars="-7" w:firstLine="440" w:firstLineChars="200"/>
        <w:rPr>
          <w:rFonts w:ascii="宋体" w:hAnsi="宋体"/>
          <w:sz w:val="22"/>
          <w:szCs w:val="18"/>
        </w:rPr>
      </w:pPr>
      <w:r>
        <w:rPr>
          <w:rFonts w:ascii="宋体" w:hAnsi="宋体"/>
          <w:sz w:val="22"/>
          <w:szCs w:val="18"/>
        </w:rPr>
        <w:t>3、如果贵公司接受我方的参选，我方保证按合同规定的期限完成工作。</w:t>
      </w:r>
    </w:p>
    <w:p>
      <w:pPr>
        <w:adjustRightInd w:val="0"/>
        <w:snapToGrid w:val="0"/>
        <w:spacing w:line="336" w:lineRule="auto"/>
        <w:ind w:firstLine="440" w:firstLineChars="200"/>
        <w:rPr>
          <w:rFonts w:ascii="宋体" w:hAnsi="宋体"/>
          <w:sz w:val="22"/>
          <w:szCs w:val="18"/>
        </w:rPr>
      </w:pPr>
      <w:r>
        <w:rPr>
          <w:rFonts w:ascii="宋体" w:hAnsi="宋体"/>
          <w:sz w:val="22"/>
          <w:szCs w:val="18"/>
        </w:rPr>
        <w:t>4、我方同意在规定的递交参选书截止之日起</w:t>
      </w:r>
      <w:r>
        <w:rPr>
          <w:rFonts w:hint="eastAsia" w:ascii="宋体" w:hAnsi="宋体"/>
          <w:sz w:val="22"/>
          <w:szCs w:val="18"/>
        </w:rPr>
        <w:t>180</w:t>
      </w:r>
      <w:r>
        <w:rPr>
          <w:rFonts w:ascii="宋体" w:hAnsi="宋体"/>
          <w:sz w:val="22"/>
          <w:szCs w:val="18"/>
        </w:rPr>
        <w:t>天内遵守本参选。在该期限期满之前，本报价对我方始终有约束力，并可随时被接受。</w:t>
      </w:r>
    </w:p>
    <w:p>
      <w:pPr>
        <w:adjustRightInd w:val="0"/>
        <w:snapToGrid w:val="0"/>
        <w:spacing w:line="336" w:lineRule="auto"/>
        <w:ind w:firstLine="440" w:firstLineChars="200"/>
        <w:rPr>
          <w:rFonts w:ascii="宋体" w:hAnsi="宋体"/>
          <w:sz w:val="22"/>
          <w:szCs w:val="18"/>
        </w:rPr>
      </w:pPr>
      <w:r>
        <w:rPr>
          <w:rFonts w:ascii="宋体" w:hAnsi="宋体"/>
          <w:sz w:val="22"/>
          <w:szCs w:val="18"/>
        </w:rPr>
        <w:t>5、如果我方中</w:t>
      </w:r>
      <w:r>
        <w:rPr>
          <w:rFonts w:hint="eastAsia" w:ascii="宋体" w:hAnsi="宋体"/>
          <w:sz w:val="22"/>
          <w:szCs w:val="18"/>
        </w:rPr>
        <w:t>选</w:t>
      </w:r>
      <w:r>
        <w:rPr>
          <w:rFonts w:ascii="宋体" w:hAnsi="宋体"/>
          <w:sz w:val="22"/>
          <w:szCs w:val="18"/>
        </w:rPr>
        <w:t>，我方保证在规定的期限内提供相应的服务。</w:t>
      </w:r>
    </w:p>
    <w:p>
      <w:pPr>
        <w:adjustRightInd w:val="0"/>
        <w:snapToGrid w:val="0"/>
        <w:spacing w:line="336" w:lineRule="auto"/>
        <w:ind w:firstLine="440" w:firstLineChars="200"/>
        <w:rPr>
          <w:rFonts w:ascii="宋体" w:hAnsi="宋体"/>
          <w:sz w:val="22"/>
          <w:szCs w:val="18"/>
        </w:rPr>
      </w:pPr>
      <w:r>
        <w:rPr>
          <w:rFonts w:ascii="宋体" w:hAnsi="宋体"/>
          <w:sz w:val="22"/>
          <w:szCs w:val="18"/>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7、若</w:t>
      </w:r>
      <w:r>
        <w:rPr>
          <w:rFonts w:ascii="宋体" w:hAnsi="宋体"/>
          <w:sz w:val="22"/>
          <w:szCs w:val="18"/>
        </w:rPr>
        <w:t>我方中选</w:t>
      </w:r>
      <w:r>
        <w:rPr>
          <w:rFonts w:hint="eastAsia" w:ascii="宋体" w:hAnsi="宋体"/>
          <w:sz w:val="22"/>
          <w:szCs w:val="18"/>
        </w:rPr>
        <w:t>本项目</w:t>
      </w:r>
      <w:r>
        <w:rPr>
          <w:rFonts w:ascii="宋体" w:hAnsi="宋体"/>
          <w:sz w:val="22"/>
          <w:szCs w:val="18"/>
        </w:rPr>
        <w:t>，</w:t>
      </w:r>
      <w:r>
        <w:rPr>
          <w:rFonts w:hint="eastAsia" w:ascii="宋体" w:hAnsi="宋体"/>
          <w:sz w:val="22"/>
          <w:szCs w:val="18"/>
        </w:rPr>
        <w:t>我</w:t>
      </w:r>
      <w:r>
        <w:rPr>
          <w:rFonts w:ascii="宋体" w:hAnsi="宋体"/>
          <w:sz w:val="22"/>
          <w:szCs w:val="18"/>
        </w:rPr>
        <w:t>方承诺本项目</w:t>
      </w:r>
      <w:r>
        <w:rPr>
          <w:rFonts w:hint="eastAsia" w:ascii="宋体" w:hAnsi="宋体"/>
          <w:sz w:val="22"/>
          <w:szCs w:val="18"/>
        </w:rPr>
        <w:t>可</w:t>
      </w:r>
      <w:r>
        <w:rPr>
          <w:rFonts w:ascii="宋体" w:hAnsi="宋体"/>
          <w:sz w:val="22"/>
          <w:szCs w:val="18"/>
        </w:rPr>
        <w:t>开具增值税专用发票</w:t>
      </w:r>
      <w:r>
        <w:rPr>
          <w:rFonts w:hint="eastAsia" w:ascii="宋体" w:hAnsi="宋体"/>
          <w:sz w:val="22"/>
          <w:szCs w:val="18"/>
        </w:rPr>
        <w:t>，按</w:t>
      </w:r>
      <w:r>
        <w:rPr>
          <w:rFonts w:ascii="宋体" w:hAnsi="宋体"/>
          <w:sz w:val="22"/>
          <w:szCs w:val="18"/>
        </w:rPr>
        <w:t>合同约定</w:t>
      </w:r>
      <w:r>
        <w:rPr>
          <w:rFonts w:hint="eastAsia" w:ascii="宋体" w:hAnsi="宋体"/>
          <w:sz w:val="22"/>
          <w:szCs w:val="18"/>
        </w:rPr>
        <w:t>于申请</w:t>
      </w:r>
      <w:r>
        <w:rPr>
          <w:rFonts w:ascii="宋体" w:hAnsi="宋体"/>
          <w:sz w:val="22"/>
          <w:szCs w:val="18"/>
        </w:rPr>
        <w:t>付款前</w:t>
      </w:r>
      <w:r>
        <w:rPr>
          <w:rFonts w:hint="eastAsia" w:ascii="宋体" w:hAnsi="宋体"/>
          <w:sz w:val="22"/>
          <w:szCs w:val="18"/>
        </w:rPr>
        <w:t>向比选</w:t>
      </w:r>
      <w:r>
        <w:rPr>
          <w:rFonts w:ascii="宋体" w:hAnsi="宋体"/>
          <w:sz w:val="22"/>
          <w:szCs w:val="18"/>
        </w:rPr>
        <w:t>人</w:t>
      </w:r>
      <w:r>
        <w:rPr>
          <w:rFonts w:hint="eastAsia" w:ascii="宋体" w:hAnsi="宋体"/>
          <w:sz w:val="22"/>
          <w:szCs w:val="18"/>
        </w:rPr>
        <w:t>提供正式的增值税专用发票，否则比选人有权拒绝付款，且并不因此承担任何违约责任</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9、</w:t>
      </w:r>
      <w:r>
        <w:rPr>
          <w:rFonts w:ascii="宋体" w:hAnsi="宋体"/>
          <w:sz w:val="22"/>
          <w:szCs w:val="18"/>
        </w:rPr>
        <w:t>如果我方中</w:t>
      </w:r>
      <w:r>
        <w:rPr>
          <w:rFonts w:hint="eastAsia" w:ascii="宋体" w:hAnsi="宋体"/>
          <w:sz w:val="22"/>
          <w:szCs w:val="18"/>
        </w:rPr>
        <w:t>选，我司承诺将使用地铁公司的合同模板进行合同签订。</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1</w:t>
      </w:r>
      <w:r>
        <w:rPr>
          <w:rFonts w:ascii="宋体" w:hAnsi="宋体"/>
          <w:sz w:val="22"/>
          <w:szCs w:val="18"/>
        </w:rPr>
        <w:t>0</w:t>
      </w:r>
      <w:r>
        <w:rPr>
          <w:rFonts w:hint="eastAsia" w:ascii="宋体" w:hAnsi="宋体"/>
          <w:sz w:val="22"/>
          <w:szCs w:val="18"/>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40" w:firstLineChars="200"/>
        <w:rPr>
          <w:rFonts w:ascii="宋体" w:hAnsi="宋体"/>
          <w:sz w:val="22"/>
          <w:szCs w:val="18"/>
        </w:rPr>
      </w:pPr>
      <w:r>
        <w:rPr>
          <w:rFonts w:ascii="宋体" w:hAnsi="宋体"/>
          <w:sz w:val="22"/>
          <w:szCs w:val="18"/>
        </w:rPr>
        <w:t>11</w:t>
      </w:r>
      <w:r>
        <w:rPr>
          <w:rFonts w:hint="eastAsia" w:ascii="宋体" w:hAnsi="宋体"/>
          <w:sz w:val="22"/>
          <w:szCs w:val="18"/>
        </w:rPr>
        <w:t>、我方保证，服务期间公司与贵司无法律纠纷，一旦发生，将终止合同。</w:t>
      </w:r>
    </w:p>
    <w:p>
      <w:pPr>
        <w:adjustRightInd w:val="0"/>
        <w:snapToGrid w:val="0"/>
        <w:spacing w:line="336" w:lineRule="auto"/>
        <w:ind w:firstLine="440" w:firstLineChars="200"/>
        <w:rPr>
          <w:rFonts w:ascii="宋体" w:hAnsi="宋体"/>
          <w:sz w:val="22"/>
          <w:szCs w:val="18"/>
        </w:rPr>
      </w:pPr>
    </w:p>
    <w:p>
      <w:pPr>
        <w:adjustRightInd w:val="0"/>
        <w:snapToGrid w:val="0"/>
        <w:spacing w:line="336" w:lineRule="auto"/>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参选人：（盖章）</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法人代表或授权</w:t>
      </w:r>
      <w:r>
        <w:rPr>
          <w:rFonts w:hint="eastAsia" w:ascii="宋体" w:hAnsi="宋体"/>
          <w:color w:val="0D0D0D" w:themeColor="text1" w:themeTint="F2"/>
          <w:sz w:val="22"/>
          <w:szCs w:val="22"/>
          <w14:textFill>
            <w14:solidFill>
              <w14:schemeClr w14:val="tx1">
                <w14:lumMod w14:val="95000"/>
                <w14:lumOff w14:val="5000"/>
              </w14:schemeClr>
            </w14:solidFill>
          </w14:textFill>
        </w:rPr>
        <w:t>委托</w:t>
      </w:r>
      <w:r>
        <w:rPr>
          <w:rFonts w:ascii="宋体" w:hAnsi="宋体"/>
          <w:color w:val="0D0D0D" w:themeColor="text1" w:themeTint="F2"/>
          <w:sz w:val="22"/>
          <w:szCs w:val="22"/>
          <w14:textFill>
            <w14:solidFill>
              <w14:schemeClr w14:val="tx1">
                <w14:lumMod w14:val="95000"/>
                <w14:lumOff w14:val="5000"/>
              </w14:schemeClr>
            </w14:solidFill>
          </w14:textFill>
        </w:rPr>
        <w:t>代理人：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联 系 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电    话：</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传    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日    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年</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月</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5"/>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5"/>
        <w:spacing w:line="520" w:lineRule="exact"/>
        <w:ind w:firstLine="0"/>
        <w:jc w:val="center"/>
        <w:rPr>
          <w:rFonts w:ascii="宋体" w:hAnsi="宋体" w:cs="宋体"/>
          <w:b/>
          <w:bCs/>
          <w:color w:val="0D0D0D" w:themeColor="text1" w:themeTint="F2"/>
          <w:kern w:val="0"/>
          <w:sz w:val="24"/>
          <w:szCs w:val="24"/>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u w:val="single"/>
          <w14:textFill>
            <w14:solidFill>
              <w14:schemeClr w14:val="tx1">
                <w14:lumMod w14:val="95000"/>
                <w14:lumOff w14:val="5000"/>
              </w14:schemeClr>
            </w14:solidFill>
          </w14:textFill>
        </w:rPr>
        <w:t>A包：深铁珑境花园一期、地铁前海时代广场4号地块、深铁金融科技大厦、深铁置业大厦展示区开放系列活动、现场包装及宣传推广服务报价总览表</w:t>
      </w:r>
    </w:p>
    <w:p>
      <w:pPr>
        <w:adjustRightInd w:val="0"/>
        <w:snapToGrid w:val="0"/>
        <w:spacing w:line="336" w:lineRule="auto"/>
        <w:ind w:firstLine="480" w:firstLineChars="200"/>
        <w:rPr>
          <w:rFonts w:ascii="宋体" w:hAnsi="宋体"/>
          <w:sz w:val="24"/>
        </w:rPr>
      </w:pPr>
    </w:p>
    <w:tbl>
      <w:tblPr>
        <w:tblStyle w:val="47"/>
        <w:tblW w:w="10778" w:type="dxa"/>
        <w:tblInd w:w="-5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701"/>
        <w:gridCol w:w="845"/>
        <w:gridCol w:w="844"/>
        <w:gridCol w:w="870"/>
        <w:gridCol w:w="731"/>
        <w:gridCol w:w="419"/>
        <w:gridCol w:w="709"/>
        <w:gridCol w:w="708"/>
        <w:gridCol w:w="567"/>
        <w:gridCol w:w="709"/>
        <w:gridCol w:w="645"/>
        <w:gridCol w:w="565"/>
        <w:gridCol w:w="565"/>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982"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项目</w:t>
            </w:r>
          </w:p>
        </w:tc>
        <w:tc>
          <w:tcPr>
            <w:tcW w:w="701"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类型</w:t>
            </w:r>
          </w:p>
        </w:tc>
        <w:tc>
          <w:tcPr>
            <w:tcW w:w="6402" w:type="dxa"/>
            <w:gridSpan w:val="9"/>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活动类</w:t>
            </w:r>
          </w:p>
        </w:tc>
        <w:tc>
          <w:tcPr>
            <w:tcW w:w="645" w:type="dxa"/>
            <w:vMerge w:val="restart"/>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活动总价</w:t>
            </w:r>
          </w:p>
        </w:tc>
        <w:tc>
          <w:tcPr>
            <w:tcW w:w="0" w:type="auto"/>
            <w:vMerge w:val="restart"/>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现场包装</w:t>
            </w:r>
          </w:p>
        </w:tc>
        <w:tc>
          <w:tcPr>
            <w:tcW w:w="0" w:type="auto"/>
            <w:vMerge w:val="restart"/>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宣传推广</w:t>
            </w:r>
          </w:p>
        </w:tc>
        <w:tc>
          <w:tcPr>
            <w:tcW w:w="918"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982" w:type="dxa"/>
            <w:vMerge w:val="continue"/>
            <w:vAlign w:val="center"/>
          </w:tcPr>
          <w:p>
            <w:pPr>
              <w:widowControl/>
              <w:jc w:val="left"/>
              <w:rPr>
                <w:rFonts w:ascii="宋体" w:hAnsi="宋体" w:cs="宋体"/>
                <w:color w:val="000000"/>
                <w:kern w:val="0"/>
                <w:sz w:val="15"/>
                <w:szCs w:val="15"/>
              </w:rPr>
            </w:pPr>
          </w:p>
        </w:tc>
        <w:tc>
          <w:tcPr>
            <w:tcW w:w="701" w:type="dxa"/>
            <w:vMerge w:val="continue"/>
            <w:vAlign w:val="center"/>
          </w:tcPr>
          <w:p>
            <w:pPr>
              <w:widowControl/>
              <w:jc w:val="left"/>
              <w:rPr>
                <w:rFonts w:ascii="宋体" w:hAnsi="宋体" w:cs="宋体"/>
                <w:color w:val="000000"/>
                <w:kern w:val="0"/>
                <w:sz w:val="15"/>
                <w:szCs w:val="15"/>
              </w:rPr>
            </w:pPr>
          </w:p>
        </w:tc>
        <w:tc>
          <w:tcPr>
            <w:tcW w:w="845"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主开放活动</w:t>
            </w:r>
          </w:p>
        </w:tc>
        <w:tc>
          <w:tcPr>
            <w:tcW w:w="844"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其它开放活动1</w:t>
            </w:r>
          </w:p>
        </w:tc>
        <w:tc>
          <w:tcPr>
            <w:tcW w:w="870"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其它开放活动2</w:t>
            </w:r>
          </w:p>
        </w:tc>
        <w:tc>
          <w:tcPr>
            <w:tcW w:w="1859" w:type="dxa"/>
            <w:gridSpan w:val="3"/>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拓客活动</w:t>
            </w:r>
          </w:p>
        </w:tc>
        <w:tc>
          <w:tcPr>
            <w:tcW w:w="1984" w:type="dxa"/>
            <w:gridSpan w:val="3"/>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暖场活动</w:t>
            </w:r>
          </w:p>
        </w:tc>
        <w:tc>
          <w:tcPr>
            <w:tcW w:w="645" w:type="dxa"/>
            <w:vMerge w:val="continue"/>
            <w:vAlign w:val="center"/>
          </w:tcPr>
          <w:p>
            <w:pPr>
              <w:widowControl/>
              <w:jc w:val="left"/>
              <w:rPr>
                <w:rFonts w:ascii="宋体" w:hAnsi="宋体" w:cs="宋体"/>
                <w:b/>
                <w:bCs/>
                <w:color w:val="000000"/>
                <w:kern w:val="0"/>
                <w:sz w:val="15"/>
                <w:szCs w:val="15"/>
              </w:rPr>
            </w:pPr>
          </w:p>
        </w:tc>
        <w:tc>
          <w:tcPr>
            <w:tcW w:w="0" w:type="auto"/>
            <w:vMerge w:val="continue"/>
            <w:vAlign w:val="center"/>
          </w:tcPr>
          <w:p>
            <w:pPr>
              <w:widowControl/>
              <w:jc w:val="left"/>
              <w:rPr>
                <w:rFonts w:ascii="宋体" w:hAnsi="宋体" w:cs="宋体"/>
                <w:b/>
                <w:bCs/>
                <w:color w:val="000000"/>
                <w:kern w:val="0"/>
                <w:sz w:val="15"/>
                <w:szCs w:val="15"/>
              </w:rPr>
            </w:pPr>
          </w:p>
        </w:tc>
        <w:tc>
          <w:tcPr>
            <w:tcW w:w="0" w:type="auto"/>
            <w:vMerge w:val="continue"/>
            <w:vAlign w:val="center"/>
          </w:tcPr>
          <w:p>
            <w:pPr>
              <w:widowControl/>
              <w:jc w:val="left"/>
              <w:rPr>
                <w:rFonts w:ascii="宋体" w:hAnsi="宋体" w:cs="宋体"/>
                <w:b/>
                <w:bCs/>
                <w:color w:val="000000"/>
                <w:kern w:val="0"/>
                <w:sz w:val="15"/>
                <w:szCs w:val="15"/>
              </w:rPr>
            </w:pPr>
          </w:p>
        </w:tc>
        <w:tc>
          <w:tcPr>
            <w:tcW w:w="918" w:type="dxa"/>
            <w:vMerge w:val="continue"/>
            <w:vAlign w:val="center"/>
          </w:tcPr>
          <w:p>
            <w:pPr>
              <w:widowControl/>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982" w:type="dxa"/>
            <w:vMerge w:val="continue"/>
            <w:vAlign w:val="center"/>
          </w:tcPr>
          <w:p>
            <w:pPr>
              <w:widowControl/>
              <w:jc w:val="left"/>
              <w:rPr>
                <w:rFonts w:ascii="宋体" w:hAnsi="宋体" w:cs="宋体"/>
                <w:color w:val="000000"/>
                <w:kern w:val="0"/>
                <w:sz w:val="15"/>
                <w:szCs w:val="15"/>
              </w:rPr>
            </w:pPr>
          </w:p>
        </w:tc>
        <w:tc>
          <w:tcPr>
            <w:tcW w:w="701" w:type="dxa"/>
            <w:vMerge w:val="continue"/>
            <w:vAlign w:val="center"/>
          </w:tcPr>
          <w:p>
            <w:pPr>
              <w:widowControl/>
              <w:jc w:val="left"/>
              <w:rPr>
                <w:rFonts w:ascii="宋体" w:hAnsi="宋体" w:cs="宋体"/>
                <w:color w:val="000000"/>
                <w:kern w:val="0"/>
                <w:sz w:val="15"/>
                <w:szCs w:val="15"/>
              </w:rPr>
            </w:pPr>
          </w:p>
        </w:tc>
        <w:tc>
          <w:tcPr>
            <w:tcW w:w="845" w:type="dxa"/>
            <w:vMerge w:val="continue"/>
            <w:vAlign w:val="center"/>
          </w:tcPr>
          <w:p>
            <w:pPr>
              <w:widowControl/>
              <w:jc w:val="left"/>
              <w:rPr>
                <w:rFonts w:ascii="宋体" w:hAnsi="宋体" w:cs="宋体"/>
                <w:color w:val="000000"/>
                <w:kern w:val="0"/>
                <w:sz w:val="15"/>
                <w:szCs w:val="15"/>
              </w:rPr>
            </w:pPr>
          </w:p>
        </w:tc>
        <w:tc>
          <w:tcPr>
            <w:tcW w:w="844" w:type="dxa"/>
            <w:vMerge w:val="continue"/>
            <w:vAlign w:val="center"/>
          </w:tcPr>
          <w:p>
            <w:pPr>
              <w:widowControl/>
              <w:jc w:val="left"/>
              <w:rPr>
                <w:rFonts w:ascii="宋体" w:hAnsi="宋体" w:cs="宋体"/>
                <w:color w:val="000000"/>
                <w:kern w:val="0"/>
                <w:sz w:val="15"/>
                <w:szCs w:val="15"/>
              </w:rPr>
            </w:pPr>
          </w:p>
        </w:tc>
        <w:tc>
          <w:tcPr>
            <w:tcW w:w="870" w:type="dxa"/>
            <w:vMerge w:val="continue"/>
            <w:vAlign w:val="center"/>
          </w:tcPr>
          <w:p>
            <w:pPr>
              <w:widowControl/>
              <w:jc w:val="left"/>
              <w:rPr>
                <w:rFonts w:ascii="宋体" w:hAnsi="宋体" w:cs="宋体"/>
                <w:color w:val="000000"/>
                <w:kern w:val="0"/>
                <w:sz w:val="15"/>
                <w:szCs w:val="15"/>
              </w:rPr>
            </w:pPr>
          </w:p>
        </w:tc>
        <w:tc>
          <w:tcPr>
            <w:tcW w:w="731"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单场活动单价</w:t>
            </w:r>
          </w:p>
        </w:tc>
        <w:tc>
          <w:tcPr>
            <w:tcW w:w="419"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场次</w:t>
            </w:r>
          </w:p>
        </w:tc>
        <w:tc>
          <w:tcPr>
            <w:tcW w:w="709"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总价</w:t>
            </w:r>
          </w:p>
        </w:tc>
        <w:tc>
          <w:tcPr>
            <w:tcW w:w="708"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单场活动单价</w:t>
            </w:r>
          </w:p>
        </w:tc>
        <w:tc>
          <w:tcPr>
            <w:tcW w:w="567"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场次</w:t>
            </w:r>
          </w:p>
        </w:tc>
        <w:tc>
          <w:tcPr>
            <w:tcW w:w="709"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总价</w:t>
            </w:r>
          </w:p>
        </w:tc>
        <w:tc>
          <w:tcPr>
            <w:tcW w:w="645" w:type="dxa"/>
            <w:vMerge w:val="continue"/>
            <w:vAlign w:val="center"/>
          </w:tcPr>
          <w:p>
            <w:pPr>
              <w:widowControl/>
              <w:jc w:val="left"/>
              <w:rPr>
                <w:rFonts w:ascii="宋体" w:hAnsi="宋体" w:cs="宋体"/>
                <w:b/>
                <w:bCs/>
                <w:color w:val="000000"/>
                <w:kern w:val="0"/>
                <w:sz w:val="15"/>
                <w:szCs w:val="15"/>
              </w:rPr>
            </w:pPr>
          </w:p>
        </w:tc>
        <w:tc>
          <w:tcPr>
            <w:tcW w:w="0" w:type="auto"/>
            <w:vMerge w:val="continue"/>
            <w:vAlign w:val="center"/>
          </w:tcPr>
          <w:p>
            <w:pPr>
              <w:widowControl/>
              <w:jc w:val="left"/>
              <w:rPr>
                <w:rFonts w:ascii="宋体" w:hAnsi="宋体" w:cs="宋体"/>
                <w:b/>
                <w:bCs/>
                <w:color w:val="000000"/>
                <w:kern w:val="0"/>
                <w:sz w:val="15"/>
                <w:szCs w:val="15"/>
              </w:rPr>
            </w:pPr>
          </w:p>
        </w:tc>
        <w:tc>
          <w:tcPr>
            <w:tcW w:w="0" w:type="auto"/>
            <w:vMerge w:val="continue"/>
            <w:vAlign w:val="center"/>
          </w:tcPr>
          <w:p>
            <w:pPr>
              <w:widowControl/>
              <w:jc w:val="left"/>
              <w:rPr>
                <w:rFonts w:ascii="宋体" w:hAnsi="宋体" w:cs="宋体"/>
                <w:b/>
                <w:bCs/>
                <w:color w:val="000000"/>
                <w:kern w:val="0"/>
                <w:sz w:val="15"/>
                <w:szCs w:val="15"/>
              </w:rPr>
            </w:pPr>
          </w:p>
        </w:tc>
        <w:tc>
          <w:tcPr>
            <w:tcW w:w="918" w:type="dxa"/>
            <w:vMerge w:val="continue"/>
            <w:vAlign w:val="center"/>
          </w:tcPr>
          <w:p>
            <w:pPr>
              <w:widowControl/>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82"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深铁珑境花园一期</w:t>
            </w:r>
          </w:p>
        </w:tc>
        <w:tc>
          <w:tcPr>
            <w:tcW w:w="701"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w:t>
            </w:r>
          </w:p>
        </w:tc>
        <w:tc>
          <w:tcPr>
            <w:tcW w:w="845"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52F展示区开放</w:t>
            </w:r>
          </w:p>
        </w:tc>
        <w:tc>
          <w:tcPr>
            <w:tcW w:w="844"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52F论坛/沙龙</w:t>
            </w:r>
          </w:p>
        </w:tc>
        <w:tc>
          <w:tcPr>
            <w:tcW w:w="870"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1859"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5场</w:t>
            </w:r>
          </w:p>
        </w:tc>
        <w:tc>
          <w:tcPr>
            <w:tcW w:w="1984"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10场</w:t>
            </w:r>
          </w:p>
        </w:tc>
        <w:tc>
          <w:tcPr>
            <w:tcW w:w="645"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918"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982" w:type="dxa"/>
            <w:vMerge w:val="continue"/>
            <w:vAlign w:val="center"/>
          </w:tcPr>
          <w:p>
            <w:pPr>
              <w:widowControl/>
              <w:jc w:val="left"/>
              <w:rPr>
                <w:rFonts w:ascii="宋体" w:hAnsi="宋体" w:cs="宋体"/>
                <w:color w:val="000000"/>
                <w:kern w:val="0"/>
                <w:sz w:val="15"/>
                <w:szCs w:val="15"/>
              </w:rPr>
            </w:pPr>
          </w:p>
        </w:tc>
        <w:tc>
          <w:tcPr>
            <w:tcW w:w="701"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报价</w:t>
            </w:r>
          </w:p>
        </w:tc>
        <w:tc>
          <w:tcPr>
            <w:tcW w:w="845"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44"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70"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731"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419"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5 </w:t>
            </w:r>
          </w:p>
        </w:tc>
        <w:tc>
          <w:tcPr>
            <w:tcW w:w="709"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708"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567"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10 </w:t>
            </w:r>
          </w:p>
        </w:tc>
        <w:tc>
          <w:tcPr>
            <w:tcW w:w="709" w:type="dxa"/>
            <w:shd w:val="clear" w:color="auto" w:fill="auto"/>
            <w:vAlign w:val="center"/>
          </w:tcPr>
          <w:p>
            <w:pPr>
              <w:widowControl/>
              <w:jc w:val="center"/>
              <w:rPr>
                <w:rFonts w:ascii="宋体" w:hAnsi="宋体" w:cs="宋体"/>
                <w:b/>
                <w:bCs/>
                <w:color w:val="FF0000"/>
                <w:kern w:val="0"/>
                <w:sz w:val="15"/>
                <w:szCs w:val="15"/>
              </w:rPr>
            </w:pPr>
            <w:r>
              <w:rPr>
                <w:rFonts w:ascii="宋体" w:hAnsi="宋体" w:cs="宋体"/>
                <w:b/>
                <w:bCs/>
                <w:color w:val="FF0000"/>
                <w:kern w:val="0"/>
                <w:sz w:val="15"/>
                <w:szCs w:val="15"/>
                <w:u w:val="single"/>
              </w:rPr>
              <w:t xml:space="preserve">  </w:t>
            </w: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645" w:type="dxa"/>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918" w:type="dxa"/>
            <w:vMerge w:val="continue"/>
            <w:vAlign w:val="center"/>
          </w:tcPr>
          <w:p>
            <w:pPr>
              <w:widowControl/>
              <w:jc w:val="left"/>
              <w:rPr>
                <w:rFonts w:ascii="宋体" w:hAnsi="宋体" w:cs="宋体"/>
                <w:b/>
                <w:bCs/>
                <w:color w:val="FF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82"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地铁前海时代广场4号地块</w:t>
            </w:r>
          </w:p>
        </w:tc>
        <w:tc>
          <w:tcPr>
            <w:tcW w:w="701"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w:t>
            </w:r>
          </w:p>
        </w:tc>
        <w:tc>
          <w:tcPr>
            <w:tcW w:w="845"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春泉营销中心开放</w:t>
            </w:r>
          </w:p>
        </w:tc>
        <w:tc>
          <w:tcPr>
            <w:tcW w:w="844"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样开</w:t>
            </w:r>
          </w:p>
        </w:tc>
        <w:tc>
          <w:tcPr>
            <w:tcW w:w="870"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临时展点开放</w:t>
            </w:r>
          </w:p>
        </w:tc>
        <w:tc>
          <w:tcPr>
            <w:tcW w:w="1859"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8场</w:t>
            </w:r>
          </w:p>
        </w:tc>
        <w:tc>
          <w:tcPr>
            <w:tcW w:w="1984"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6场</w:t>
            </w:r>
          </w:p>
        </w:tc>
        <w:tc>
          <w:tcPr>
            <w:tcW w:w="645"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918"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982" w:type="dxa"/>
            <w:vMerge w:val="continue"/>
            <w:vAlign w:val="center"/>
          </w:tcPr>
          <w:p>
            <w:pPr>
              <w:widowControl/>
              <w:jc w:val="left"/>
              <w:rPr>
                <w:rFonts w:ascii="宋体" w:hAnsi="宋体" w:cs="宋体"/>
                <w:color w:val="000000"/>
                <w:kern w:val="0"/>
                <w:sz w:val="15"/>
                <w:szCs w:val="15"/>
              </w:rPr>
            </w:pPr>
          </w:p>
        </w:tc>
        <w:tc>
          <w:tcPr>
            <w:tcW w:w="701"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报价</w:t>
            </w:r>
          </w:p>
        </w:tc>
        <w:tc>
          <w:tcPr>
            <w:tcW w:w="845"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44"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70"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731"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419"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8 </w:t>
            </w:r>
          </w:p>
        </w:tc>
        <w:tc>
          <w:tcPr>
            <w:tcW w:w="709"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708"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567"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6 </w:t>
            </w:r>
          </w:p>
        </w:tc>
        <w:tc>
          <w:tcPr>
            <w:tcW w:w="709"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645" w:type="dxa"/>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918" w:type="dxa"/>
            <w:vMerge w:val="continue"/>
            <w:vAlign w:val="center"/>
          </w:tcPr>
          <w:p>
            <w:pPr>
              <w:widowControl/>
              <w:jc w:val="left"/>
              <w:rPr>
                <w:rFonts w:ascii="宋体" w:hAnsi="宋体" w:cs="宋体"/>
                <w:b/>
                <w:bCs/>
                <w:color w:val="FF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82"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深铁金融科技大厦</w:t>
            </w:r>
          </w:p>
        </w:tc>
        <w:tc>
          <w:tcPr>
            <w:tcW w:w="701"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w:t>
            </w:r>
          </w:p>
        </w:tc>
        <w:tc>
          <w:tcPr>
            <w:tcW w:w="845"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发布会</w:t>
            </w:r>
          </w:p>
        </w:tc>
        <w:tc>
          <w:tcPr>
            <w:tcW w:w="844"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答谢活动</w:t>
            </w:r>
          </w:p>
        </w:tc>
        <w:tc>
          <w:tcPr>
            <w:tcW w:w="870"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1859"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6场</w:t>
            </w:r>
          </w:p>
        </w:tc>
        <w:tc>
          <w:tcPr>
            <w:tcW w:w="708"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567"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709"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645"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918"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982" w:type="dxa"/>
            <w:vMerge w:val="continue"/>
            <w:vAlign w:val="center"/>
          </w:tcPr>
          <w:p>
            <w:pPr>
              <w:widowControl/>
              <w:jc w:val="left"/>
              <w:rPr>
                <w:rFonts w:ascii="宋体" w:hAnsi="宋体" w:cs="宋体"/>
                <w:color w:val="000000"/>
                <w:kern w:val="0"/>
                <w:sz w:val="15"/>
                <w:szCs w:val="15"/>
              </w:rPr>
            </w:pPr>
          </w:p>
        </w:tc>
        <w:tc>
          <w:tcPr>
            <w:tcW w:w="701"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报价</w:t>
            </w:r>
          </w:p>
        </w:tc>
        <w:tc>
          <w:tcPr>
            <w:tcW w:w="845"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44"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70" w:type="dxa"/>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731"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419"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6 </w:t>
            </w:r>
          </w:p>
        </w:tc>
        <w:tc>
          <w:tcPr>
            <w:tcW w:w="709"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708" w:type="dxa"/>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567" w:type="dxa"/>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709" w:type="dxa"/>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645" w:type="dxa"/>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918" w:type="dxa"/>
            <w:vMerge w:val="continue"/>
            <w:vAlign w:val="center"/>
          </w:tcPr>
          <w:p>
            <w:pPr>
              <w:widowControl/>
              <w:jc w:val="left"/>
              <w:rPr>
                <w:rFonts w:ascii="宋体" w:hAnsi="宋体" w:cs="宋体"/>
                <w:b/>
                <w:bCs/>
                <w:color w:val="FF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82"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深铁置业大厦</w:t>
            </w:r>
          </w:p>
        </w:tc>
        <w:tc>
          <w:tcPr>
            <w:tcW w:w="701"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w:t>
            </w:r>
          </w:p>
        </w:tc>
        <w:tc>
          <w:tcPr>
            <w:tcW w:w="845"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发布会</w:t>
            </w:r>
          </w:p>
        </w:tc>
        <w:tc>
          <w:tcPr>
            <w:tcW w:w="844"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答谢活动</w:t>
            </w:r>
          </w:p>
        </w:tc>
        <w:tc>
          <w:tcPr>
            <w:tcW w:w="870"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1859"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6场</w:t>
            </w:r>
          </w:p>
        </w:tc>
        <w:tc>
          <w:tcPr>
            <w:tcW w:w="708"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567"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709"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645"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918"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982" w:type="dxa"/>
            <w:vMerge w:val="continue"/>
            <w:vAlign w:val="center"/>
          </w:tcPr>
          <w:p>
            <w:pPr>
              <w:widowControl/>
              <w:jc w:val="left"/>
              <w:rPr>
                <w:rFonts w:ascii="宋体" w:hAnsi="宋体" w:cs="宋体"/>
                <w:color w:val="000000"/>
                <w:kern w:val="0"/>
                <w:sz w:val="15"/>
                <w:szCs w:val="15"/>
              </w:rPr>
            </w:pPr>
          </w:p>
        </w:tc>
        <w:tc>
          <w:tcPr>
            <w:tcW w:w="701"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报价</w:t>
            </w:r>
          </w:p>
        </w:tc>
        <w:tc>
          <w:tcPr>
            <w:tcW w:w="845"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44"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70" w:type="dxa"/>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731"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419"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6 </w:t>
            </w:r>
          </w:p>
        </w:tc>
        <w:tc>
          <w:tcPr>
            <w:tcW w:w="709"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708" w:type="dxa"/>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567" w:type="dxa"/>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　</w:t>
            </w:r>
          </w:p>
        </w:tc>
        <w:tc>
          <w:tcPr>
            <w:tcW w:w="709" w:type="dxa"/>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645" w:type="dxa"/>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918" w:type="dxa"/>
            <w:vMerge w:val="continue"/>
            <w:vAlign w:val="center"/>
          </w:tcPr>
          <w:p>
            <w:pPr>
              <w:widowControl/>
              <w:jc w:val="left"/>
              <w:rPr>
                <w:rFonts w:ascii="宋体" w:hAnsi="宋体" w:cs="宋体"/>
                <w:b/>
                <w:bCs/>
                <w:color w:val="FF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9860" w:type="dxa"/>
            <w:gridSpan w:val="14"/>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A包合计总价</w:t>
            </w:r>
          </w:p>
        </w:tc>
        <w:tc>
          <w:tcPr>
            <w:tcW w:w="918"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项目1：深铁珑境花园一期项目展示区开放系列活动、现场包装及宣传推广服务报价清单</w:t>
      </w:r>
    </w:p>
    <w:tbl>
      <w:tblPr>
        <w:tblStyle w:val="47"/>
        <w:tblW w:w="10165" w:type="dxa"/>
        <w:tblInd w:w="-572" w:type="dxa"/>
        <w:tblLayout w:type="autofit"/>
        <w:tblCellMar>
          <w:top w:w="0" w:type="dxa"/>
          <w:left w:w="108" w:type="dxa"/>
          <w:bottom w:w="0" w:type="dxa"/>
          <w:right w:w="108" w:type="dxa"/>
        </w:tblCellMar>
      </w:tblPr>
      <w:tblGrid>
        <w:gridCol w:w="738"/>
        <w:gridCol w:w="1986"/>
        <w:gridCol w:w="1682"/>
        <w:gridCol w:w="1088"/>
        <w:gridCol w:w="1521"/>
        <w:gridCol w:w="1521"/>
        <w:gridCol w:w="1629"/>
      </w:tblGrid>
      <w:tr>
        <w:tblPrEx>
          <w:tblCellMar>
            <w:top w:w="0" w:type="dxa"/>
            <w:left w:w="108" w:type="dxa"/>
            <w:bottom w:w="0" w:type="dxa"/>
            <w:right w:w="108" w:type="dxa"/>
          </w:tblCellMar>
        </w:tblPrEx>
        <w:trPr>
          <w:trHeight w:val="778" w:hRule="atLeast"/>
        </w:trPr>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98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不含税总价（元）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增值税额（元）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含税总价（元）</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上限价</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含税总价（万元）</w:t>
            </w:r>
          </w:p>
        </w:tc>
      </w:tr>
      <w:tr>
        <w:tblPrEx>
          <w:tblCellMar>
            <w:top w:w="0" w:type="dxa"/>
            <w:left w:w="108" w:type="dxa"/>
            <w:bottom w:w="0" w:type="dxa"/>
            <w:right w:w="108" w:type="dxa"/>
          </w:tblCellMar>
        </w:tblPrEx>
        <w:trPr>
          <w:trHeight w:val="259"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52F展示区开放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60 </w:t>
            </w:r>
          </w:p>
        </w:tc>
      </w:tr>
      <w:tr>
        <w:tblPrEx>
          <w:tblCellMar>
            <w:top w:w="0" w:type="dxa"/>
            <w:left w:w="108" w:type="dxa"/>
            <w:bottom w:w="0" w:type="dxa"/>
            <w:right w:w="108" w:type="dxa"/>
          </w:tblCellMar>
        </w:tblPrEx>
        <w:trPr>
          <w:trHeight w:val="519"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52F论坛/沙龙</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30 </w:t>
            </w:r>
          </w:p>
        </w:tc>
      </w:tr>
      <w:tr>
        <w:tblPrEx>
          <w:tblCellMar>
            <w:top w:w="0" w:type="dxa"/>
            <w:left w:w="108" w:type="dxa"/>
            <w:bottom w:w="0" w:type="dxa"/>
            <w:right w:w="108" w:type="dxa"/>
          </w:tblCellMar>
        </w:tblPrEx>
        <w:trPr>
          <w:trHeight w:val="519" w:hRule="atLeast"/>
        </w:trPr>
        <w:tc>
          <w:tcPr>
            <w:tcW w:w="73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拓客活动单场报价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5.00 </w:t>
            </w:r>
          </w:p>
        </w:tc>
      </w:tr>
      <w:tr>
        <w:tblPrEx>
          <w:tblCellMar>
            <w:top w:w="0" w:type="dxa"/>
            <w:left w:w="108" w:type="dxa"/>
            <w:bottom w:w="0" w:type="dxa"/>
            <w:right w:w="108" w:type="dxa"/>
          </w:tblCellMar>
        </w:tblPrEx>
        <w:trPr>
          <w:trHeight w:val="259" w:hRule="atLeast"/>
        </w:trPr>
        <w:tc>
          <w:tcPr>
            <w:tcW w:w="73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拓客活动总报价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25 </w:t>
            </w:r>
          </w:p>
        </w:tc>
      </w:tr>
      <w:tr>
        <w:tblPrEx>
          <w:tblCellMar>
            <w:top w:w="0" w:type="dxa"/>
            <w:left w:w="108" w:type="dxa"/>
            <w:bottom w:w="0" w:type="dxa"/>
            <w:right w:w="108" w:type="dxa"/>
          </w:tblCellMar>
        </w:tblPrEx>
        <w:trPr>
          <w:trHeight w:val="519" w:hRule="atLeast"/>
        </w:trPr>
        <w:tc>
          <w:tcPr>
            <w:tcW w:w="73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暖场活动单场报价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4.00 </w:t>
            </w:r>
          </w:p>
        </w:tc>
      </w:tr>
      <w:tr>
        <w:tblPrEx>
          <w:tblCellMar>
            <w:top w:w="0" w:type="dxa"/>
            <w:left w:w="108" w:type="dxa"/>
            <w:bottom w:w="0" w:type="dxa"/>
            <w:right w:w="108" w:type="dxa"/>
          </w:tblCellMar>
        </w:tblPrEx>
        <w:trPr>
          <w:trHeight w:val="259" w:hRule="atLeast"/>
        </w:trPr>
        <w:tc>
          <w:tcPr>
            <w:tcW w:w="73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暖场活动总报价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40 </w:t>
            </w:r>
          </w:p>
        </w:tc>
      </w:tr>
      <w:tr>
        <w:tblPrEx>
          <w:tblCellMar>
            <w:top w:w="0" w:type="dxa"/>
            <w:left w:w="108" w:type="dxa"/>
            <w:bottom w:w="0" w:type="dxa"/>
            <w:right w:w="108" w:type="dxa"/>
          </w:tblCellMar>
        </w:tblPrEx>
        <w:trPr>
          <w:trHeight w:val="519"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现场包装服务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40 </w:t>
            </w:r>
          </w:p>
        </w:tc>
      </w:tr>
      <w:tr>
        <w:tblPrEx>
          <w:tblCellMar>
            <w:top w:w="0" w:type="dxa"/>
            <w:left w:w="108" w:type="dxa"/>
            <w:bottom w:w="0" w:type="dxa"/>
            <w:right w:w="108" w:type="dxa"/>
          </w:tblCellMar>
        </w:tblPrEx>
        <w:trPr>
          <w:trHeight w:val="259" w:hRule="atLeast"/>
        </w:trPr>
        <w:tc>
          <w:tcPr>
            <w:tcW w:w="7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9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宣传推广总报价</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172 </w:t>
            </w:r>
          </w:p>
        </w:tc>
      </w:tr>
      <w:tr>
        <w:tblPrEx>
          <w:tblCellMar>
            <w:top w:w="0" w:type="dxa"/>
            <w:left w:w="108" w:type="dxa"/>
            <w:bottom w:w="0" w:type="dxa"/>
            <w:right w:w="108" w:type="dxa"/>
          </w:tblCellMar>
        </w:tblPrEx>
        <w:trPr>
          <w:trHeight w:val="519" w:hRule="atLeast"/>
        </w:trPr>
        <w:tc>
          <w:tcPr>
            <w:tcW w:w="552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367 </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项目</w:t>
      </w:r>
      <w: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t>2</w:t>
      </w: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：地铁前海时代广场4号地块项目展示区开放系列活动、现场包装及宣传推广服务报价清单</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tbl>
      <w:tblPr>
        <w:tblStyle w:val="47"/>
        <w:tblW w:w="10120" w:type="dxa"/>
        <w:tblInd w:w="0" w:type="dxa"/>
        <w:tblLayout w:type="autofit"/>
        <w:tblCellMar>
          <w:top w:w="0" w:type="dxa"/>
          <w:left w:w="108" w:type="dxa"/>
          <w:bottom w:w="0" w:type="dxa"/>
          <w:right w:w="108" w:type="dxa"/>
        </w:tblCellMar>
      </w:tblPr>
      <w:tblGrid>
        <w:gridCol w:w="1020"/>
        <w:gridCol w:w="2280"/>
        <w:gridCol w:w="1580"/>
        <w:gridCol w:w="1400"/>
        <w:gridCol w:w="1380"/>
        <w:gridCol w:w="1124"/>
        <w:gridCol w:w="1336"/>
      </w:tblGrid>
      <w:tr>
        <w:tblPrEx>
          <w:tblCellMar>
            <w:top w:w="0" w:type="dxa"/>
            <w:left w:w="108" w:type="dxa"/>
            <w:bottom w:w="0" w:type="dxa"/>
            <w:right w:w="108" w:type="dxa"/>
          </w:tblCellMar>
        </w:tblPrEx>
        <w:trPr>
          <w:trHeight w:val="1227"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2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5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不含税总价（元）</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3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增值税额（元）</w:t>
            </w:r>
          </w:p>
        </w:tc>
        <w:tc>
          <w:tcPr>
            <w:tcW w:w="11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含税总价（元）</w:t>
            </w:r>
          </w:p>
        </w:tc>
        <w:tc>
          <w:tcPr>
            <w:tcW w:w="13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上限价</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含税总价（万元）</w:t>
            </w:r>
          </w:p>
        </w:tc>
      </w:tr>
      <w:tr>
        <w:tblPrEx>
          <w:tblCellMar>
            <w:top w:w="0" w:type="dxa"/>
            <w:left w:w="108" w:type="dxa"/>
            <w:bottom w:w="0" w:type="dxa"/>
            <w:right w:w="108" w:type="dxa"/>
          </w:tblCellMar>
        </w:tblPrEx>
        <w:trPr>
          <w:trHeight w:val="307"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28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春泉营销中心开放</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90 </w:t>
            </w:r>
          </w:p>
        </w:tc>
      </w:tr>
      <w:tr>
        <w:tblPrEx>
          <w:tblCellMar>
            <w:top w:w="0" w:type="dxa"/>
            <w:left w:w="108" w:type="dxa"/>
            <w:bottom w:w="0" w:type="dxa"/>
            <w:right w:w="108" w:type="dxa"/>
          </w:tblCellMar>
        </w:tblPrEx>
        <w:trPr>
          <w:trHeight w:val="307"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样板房开放</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35 </w:t>
            </w:r>
          </w:p>
        </w:tc>
      </w:tr>
      <w:tr>
        <w:tblPrEx>
          <w:tblCellMar>
            <w:top w:w="0" w:type="dxa"/>
            <w:left w:w="108" w:type="dxa"/>
            <w:bottom w:w="0" w:type="dxa"/>
            <w:right w:w="108" w:type="dxa"/>
          </w:tblCellMar>
        </w:tblPrEx>
        <w:trPr>
          <w:trHeight w:val="614"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临时展点开放</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30 </w:t>
            </w:r>
          </w:p>
        </w:tc>
      </w:tr>
      <w:tr>
        <w:tblPrEx>
          <w:tblCellMar>
            <w:top w:w="0" w:type="dxa"/>
            <w:left w:w="108" w:type="dxa"/>
            <w:bottom w:w="0" w:type="dxa"/>
            <w:right w:w="108" w:type="dxa"/>
          </w:tblCellMar>
        </w:tblPrEx>
        <w:trPr>
          <w:trHeight w:val="307" w:hRule="atLeast"/>
        </w:trPr>
        <w:tc>
          <w:tcPr>
            <w:tcW w:w="10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拓客活动单场报价</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5.00 </w:t>
            </w:r>
          </w:p>
        </w:tc>
      </w:tr>
      <w:tr>
        <w:tblPrEx>
          <w:tblCellMar>
            <w:top w:w="0" w:type="dxa"/>
            <w:left w:w="108" w:type="dxa"/>
            <w:bottom w:w="0" w:type="dxa"/>
            <w:right w:w="108" w:type="dxa"/>
          </w:tblCellMar>
        </w:tblPrEx>
        <w:trPr>
          <w:trHeight w:val="614" w:hRule="atLeast"/>
        </w:trPr>
        <w:tc>
          <w:tcPr>
            <w:tcW w:w="10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拓客活动总报价</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40 </w:t>
            </w:r>
          </w:p>
        </w:tc>
      </w:tr>
      <w:tr>
        <w:tblPrEx>
          <w:tblCellMar>
            <w:top w:w="0" w:type="dxa"/>
            <w:left w:w="108" w:type="dxa"/>
            <w:bottom w:w="0" w:type="dxa"/>
            <w:right w:w="108" w:type="dxa"/>
          </w:tblCellMar>
        </w:tblPrEx>
        <w:trPr>
          <w:trHeight w:val="307" w:hRule="atLeast"/>
        </w:trPr>
        <w:tc>
          <w:tcPr>
            <w:tcW w:w="10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暖场活动单场报价</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4.00 </w:t>
            </w:r>
          </w:p>
        </w:tc>
      </w:tr>
      <w:tr>
        <w:tblPrEx>
          <w:tblCellMar>
            <w:top w:w="0" w:type="dxa"/>
            <w:left w:w="108" w:type="dxa"/>
            <w:bottom w:w="0" w:type="dxa"/>
            <w:right w:w="108" w:type="dxa"/>
          </w:tblCellMar>
        </w:tblPrEx>
        <w:trPr>
          <w:trHeight w:val="307" w:hRule="atLeast"/>
        </w:trPr>
        <w:tc>
          <w:tcPr>
            <w:tcW w:w="10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2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暖场活动总报价</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24 </w:t>
            </w:r>
          </w:p>
        </w:tc>
      </w:tr>
      <w:tr>
        <w:tblPrEx>
          <w:tblCellMar>
            <w:top w:w="0" w:type="dxa"/>
            <w:left w:w="108" w:type="dxa"/>
            <w:bottom w:w="0" w:type="dxa"/>
            <w:right w:w="108" w:type="dxa"/>
          </w:tblCellMar>
        </w:tblPrEx>
        <w:trPr>
          <w:trHeight w:val="307"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2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现场包装服务</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98 </w:t>
            </w:r>
          </w:p>
        </w:tc>
      </w:tr>
      <w:tr>
        <w:tblPrEx>
          <w:tblCellMar>
            <w:top w:w="0" w:type="dxa"/>
            <w:left w:w="108" w:type="dxa"/>
            <w:bottom w:w="0" w:type="dxa"/>
            <w:right w:w="108" w:type="dxa"/>
          </w:tblCellMar>
        </w:tblPrEx>
        <w:trPr>
          <w:trHeight w:val="307"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2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宣传推广总报价</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140 </w:t>
            </w:r>
          </w:p>
        </w:tc>
      </w:tr>
      <w:tr>
        <w:tblPrEx>
          <w:tblCellMar>
            <w:top w:w="0" w:type="dxa"/>
            <w:left w:w="108" w:type="dxa"/>
            <w:bottom w:w="0" w:type="dxa"/>
            <w:right w:w="108" w:type="dxa"/>
          </w:tblCellMar>
        </w:tblPrEx>
        <w:trPr>
          <w:trHeight w:val="307" w:hRule="atLeast"/>
        </w:trPr>
        <w:tc>
          <w:tcPr>
            <w:tcW w:w="62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457 </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项目</w:t>
      </w:r>
      <w: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t>3</w:t>
      </w: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：深铁金融科技大厦项目展示区开放系列活动、现场包装及宣传推广服务报价清单</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tbl>
      <w:tblPr>
        <w:tblStyle w:val="47"/>
        <w:tblW w:w="9931" w:type="dxa"/>
        <w:tblInd w:w="0" w:type="dxa"/>
        <w:tblLayout w:type="autofit"/>
        <w:tblCellMar>
          <w:top w:w="0" w:type="dxa"/>
          <w:left w:w="108" w:type="dxa"/>
          <w:bottom w:w="0" w:type="dxa"/>
          <w:right w:w="108" w:type="dxa"/>
        </w:tblCellMar>
      </w:tblPr>
      <w:tblGrid>
        <w:gridCol w:w="1001"/>
        <w:gridCol w:w="2237"/>
        <w:gridCol w:w="1550"/>
        <w:gridCol w:w="1375"/>
        <w:gridCol w:w="1354"/>
        <w:gridCol w:w="1267"/>
        <w:gridCol w:w="1147"/>
      </w:tblGrid>
      <w:tr>
        <w:tblPrEx>
          <w:tblCellMar>
            <w:top w:w="0" w:type="dxa"/>
            <w:left w:w="108" w:type="dxa"/>
            <w:bottom w:w="0" w:type="dxa"/>
            <w:right w:w="108" w:type="dxa"/>
          </w:tblCellMar>
        </w:tblPrEx>
        <w:trPr>
          <w:trHeight w:val="1564" w:hRule="atLeast"/>
        </w:trPr>
        <w:tc>
          <w:tcPr>
            <w:tcW w:w="10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序号</w:t>
            </w:r>
          </w:p>
        </w:tc>
        <w:tc>
          <w:tcPr>
            <w:tcW w:w="223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w:t>
            </w:r>
          </w:p>
        </w:tc>
        <w:tc>
          <w:tcPr>
            <w:tcW w:w="15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不含税总价（元）</w:t>
            </w:r>
          </w:p>
        </w:tc>
        <w:tc>
          <w:tcPr>
            <w:tcW w:w="13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税率（%）</w:t>
            </w:r>
          </w:p>
        </w:tc>
        <w:tc>
          <w:tcPr>
            <w:tcW w:w="135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增值税额（元）</w:t>
            </w:r>
          </w:p>
        </w:tc>
        <w:tc>
          <w:tcPr>
            <w:tcW w:w="12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含税总价（元）</w:t>
            </w:r>
          </w:p>
        </w:tc>
        <w:tc>
          <w:tcPr>
            <w:tcW w:w="11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上限价</w:t>
            </w:r>
            <w:r>
              <w:rPr>
                <w:rFonts w:hint="eastAsia" w:ascii="宋体" w:hAnsi="宋体" w:cs="宋体"/>
                <w:b/>
                <w:bCs/>
                <w:color w:val="000000"/>
                <w:kern w:val="0"/>
                <w:szCs w:val="21"/>
              </w:rPr>
              <w:br w:type="textWrapping"/>
            </w:r>
            <w:r>
              <w:rPr>
                <w:rFonts w:hint="eastAsia" w:ascii="宋体" w:hAnsi="宋体" w:cs="宋体"/>
                <w:b/>
                <w:bCs/>
                <w:color w:val="000000"/>
                <w:kern w:val="0"/>
                <w:szCs w:val="21"/>
              </w:rPr>
              <w:t>含税总价（万元）</w:t>
            </w:r>
          </w:p>
        </w:tc>
      </w:tr>
      <w:tr>
        <w:tblPrEx>
          <w:tblCellMar>
            <w:top w:w="0" w:type="dxa"/>
            <w:left w:w="108" w:type="dxa"/>
            <w:bottom w:w="0" w:type="dxa"/>
            <w:right w:w="108" w:type="dxa"/>
          </w:tblCellMar>
        </w:tblPrEx>
        <w:trPr>
          <w:trHeight w:val="391" w:hRule="atLeast"/>
        </w:trPr>
        <w:tc>
          <w:tcPr>
            <w:tcW w:w="10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237"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发布会</w:t>
            </w:r>
          </w:p>
        </w:tc>
        <w:tc>
          <w:tcPr>
            <w:tcW w:w="15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xml:space="preserve">30 </w:t>
            </w:r>
          </w:p>
        </w:tc>
      </w:tr>
      <w:tr>
        <w:tblPrEx>
          <w:tblCellMar>
            <w:top w:w="0" w:type="dxa"/>
            <w:left w:w="108" w:type="dxa"/>
            <w:bottom w:w="0" w:type="dxa"/>
            <w:right w:w="108" w:type="dxa"/>
          </w:tblCellMar>
        </w:tblPrEx>
        <w:trPr>
          <w:trHeight w:val="391" w:hRule="atLeast"/>
        </w:trPr>
        <w:tc>
          <w:tcPr>
            <w:tcW w:w="10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237"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答谢活动</w:t>
            </w:r>
          </w:p>
        </w:tc>
        <w:tc>
          <w:tcPr>
            <w:tcW w:w="15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xml:space="preserve">25 </w:t>
            </w:r>
          </w:p>
        </w:tc>
      </w:tr>
      <w:tr>
        <w:tblPrEx>
          <w:tblCellMar>
            <w:top w:w="0" w:type="dxa"/>
            <w:left w:w="108" w:type="dxa"/>
            <w:bottom w:w="0" w:type="dxa"/>
            <w:right w:w="108" w:type="dxa"/>
          </w:tblCellMar>
        </w:tblPrEx>
        <w:trPr>
          <w:trHeight w:val="391" w:hRule="atLeast"/>
        </w:trPr>
        <w:tc>
          <w:tcPr>
            <w:tcW w:w="100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拓客活动单场报价</w:t>
            </w:r>
          </w:p>
        </w:tc>
        <w:tc>
          <w:tcPr>
            <w:tcW w:w="15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xml:space="preserve">4.00 </w:t>
            </w:r>
          </w:p>
        </w:tc>
      </w:tr>
      <w:tr>
        <w:tblPrEx>
          <w:tblCellMar>
            <w:top w:w="0" w:type="dxa"/>
            <w:left w:w="108" w:type="dxa"/>
            <w:bottom w:w="0" w:type="dxa"/>
            <w:right w:w="108" w:type="dxa"/>
          </w:tblCellMar>
        </w:tblPrEx>
        <w:trPr>
          <w:trHeight w:val="391" w:hRule="atLeast"/>
        </w:trPr>
        <w:tc>
          <w:tcPr>
            <w:tcW w:w="10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拓客活动总报价</w:t>
            </w:r>
          </w:p>
        </w:tc>
        <w:tc>
          <w:tcPr>
            <w:tcW w:w="15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xml:space="preserve">24 </w:t>
            </w:r>
          </w:p>
        </w:tc>
      </w:tr>
      <w:tr>
        <w:tblPrEx>
          <w:tblCellMar>
            <w:top w:w="0" w:type="dxa"/>
            <w:left w:w="108" w:type="dxa"/>
            <w:bottom w:w="0" w:type="dxa"/>
            <w:right w:w="108" w:type="dxa"/>
          </w:tblCellMar>
        </w:tblPrEx>
        <w:trPr>
          <w:trHeight w:val="391" w:hRule="atLeast"/>
        </w:trPr>
        <w:tc>
          <w:tcPr>
            <w:tcW w:w="10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现场包装服务</w:t>
            </w:r>
          </w:p>
        </w:tc>
        <w:tc>
          <w:tcPr>
            <w:tcW w:w="15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xml:space="preserve">13 </w:t>
            </w:r>
          </w:p>
        </w:tc>
      </w:tr>
      <w:tr>
        <w:tblPrEx>
          <w:tblCellMar>
            <w:top w:w="0" w:type="dxa"/>
            <w:left w:w="108" w:type="dxa"/>
            <w:bottom w:w="0" w:type="dxa"/>
            <w:right w:w="108" w:type="dxa"/>
          </w:tblCellMar>
        </w:tblPrEx>
        <w:trPr>
          <w:trHeight w:val="391" w:hRule="atLeast"/>
        </w:trPr>
        <w:tc>
          <w:tcPr>
            <w:tcW w:w="10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223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宣传推广总报价</w:t>
            </w:r>
          </w:p>
        </w:tc>
        <w:tc>
          <w:tcPr>
            <w:tcW w:w="15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xml:space="preserve">56 </w:t>
            </w:r>
          </w:p>
        </w:tc>
      </w:tr>
      <w:tr>
        <w:tblPrEx>
          <w:tblCellMar>
            <w:top w:w="0" w:type="dxa"/>
            <w:left w:w="108" w:type="dxa"/>
            <w:bottom w:w="0" w:type="dxa"/>
            <w:right w:w="108" w:type="dxa"/>
          </w:tblCellMar>
        </w:tblPrEx>
        <w:trPr>
          <w:trHeight w:val="391" w:hRule="atLeast"/>
        </w:trPr>
        <w:tc>
          <w:tcPr>
            <w:tcW w:w="616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合计</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4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xml:space="preserve">148 </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15"/>
        <w:spacing w:line="520" w:lineRule="exact"/>
        <w:ind w:firstLine="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 xml:space="preserve">日  </w:t>
      </w:r>
    </w:p>
    <w:p>
      <w:pPr>
        <w:pStyle w:val="15"/>
        <w:spacing w:line="520" w:lineRule="exact"/>
        <w:ind w:firstLine="0"/>
        <w:rPr>
          <w:rFonts w:hAnsi="宋体"/>
          <w:color w:val="0D0D0D" w:themeColor="text1" w:themeTint="F2"/>
          <w:sz w:val="24"/>
          <w14:textFill>
            <w14:solidFill>
              <w14:schemeClr w14:val="tx1">
                <w14:lumMod w14:val="95000"/>
                <w14:lumOff w14:val="5000"/>
              </w14:schemeClr>
            </w14:solidFill>
          </w14:textFill>
        </w:rPr>
      </w:pP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项目</w:t>
      </w:r>
      <w: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t>4</w:t>
      </w: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：深铁置业大厦项目展示区开放系列活动、现场包装及宣传推广服务报价清单</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tbl>
      <w:tblPr>
        <w:tblStyle w:val="47"/>
        <w:tblW w:w="9776" w:type="dxa"/>
        <w:tblInd w:w="0" w:type="dxa"/>
        <w:tblLayout w:type="autofit"/>
        <w:tblCellMar>
          <w:top w:w="0" w:type="dxa"/>
          <w:left w:w="108" w:type="dxa"/>
          <w:bottom w:w="0" w:type="dxa"/>
          <w:right w:w="108" w:type="dxa"/>
        </w:tblCellMar>
      </w:tblPr>
      <w:tblGrid>
        <w:gridCol w:w="960"/>
        <w:gridCol w:w="2147"/>
        <w:gridCol w:w="1488"/>
        <w:gridCol w:w="1320"/>
        <w:gridCol w:w="1299"/>
        <w:gridCol w:w="1356"/>
        <w:gridCol w:w="1206"/>
      </w:tblGrid>
      <w:tr>
        <w:tblPrEx>
          <w:tblCellMar>
            <w:top w:w="0" w:type="dxa"/>
            <w:left w:w="108" w:type="dxa"/>
            <w:bottom w:w="0" w:type="dxa"/>
            <w:right w:w="108" w:type="dxa"/>
          </w:tblCellMar>
        </w:tblPrEx>
        <w:trPr>
          <w:trHeight w:val="1564"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1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4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不含税总价（元）</w:t>
            </w:r>
          </w:p>
        </w:tc>
        <w:tc>
          <w:tcPr>
            <w:tcW w:w="13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2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增值税额（元）</w:t>
            </w:r>
          </w:p>
        </w:tc>
        <w:tc>
          <w:tcPr>
            <w:tcW w:w="13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含税总价（元）</w:t>
            </w:r>
          </w:p>
        </w:tc>
        <w:tc>
          <w:tcPr>
            <w:tcW w:w="12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上限价</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含税总价（万元）</w:t>
            </w:r>
          </w:p>
        </w:tc>
      </w:tr>
      <w:tr>
        <w:tblPrEx>
          <w:tblCellMar>
            <w:top w:w="0" w:type="dxa"/>
            <w:left w:w="108" w:type="dxa"/>
            <w:bottom w:w="0" w:type="dxa"/>
            <w:right w:w="108" w:type="dxa"/>
          </w:tblCellMar>
        </w:tblPrEx>
        <w:trPr>
          <w:trHeight w:val="391" w:hRule="atLeast"/>
        </w:trPr>
        <w:tc>
          <w:tcPr>
            <w:tcW w:w="9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147"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发布会</w:t>
            </w:r>
          </w:p>
        </w:tc>
        <w:tc>
          <w:tcPr>
            <w:tcW w:w="14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30 </w:t>
            </w:r>
          </w:p>
        </w:tc>
      </w:tr>
      <w:tr>
        <w:tblPrEx>
          <w:tblCellMar>
            <w:top w:w="0" w:type="dxa"/>
            <w:left w:w="108" w:type="dxa"/>
            <w:bottom w:w="0" w:type="dxa"/>
            <w:right w:w="108" w:type="dxa"/>
          </w:tblCellMar>
        </w:tblPrEx>
        <w:trPr>
          <w:trHeight w:val="391" w:hRule="atLeast"/>
        </w:trPr>
        <w:tc>
          <w:tcPr>
            <w:tcW w:w="9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147"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答谢活动</w:t>
            </w:r>
          </w:p>
        </w:tc>
        <w:tc>
          <w:tcPr>
            <w:tcW w:w="14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25 </w:t>
            </w:r>
          </w:p>
        </w:tc>
      </w:tr>
      <w:tr>
        <w:tblPrEx>
          <w:tblCellMar>
            <w:top w:w="0" w:type="dxa"/>
            <w:left w:w="108" w:type="dxa"/>
            <w:bottom w:w="0" w:type="dxa"/>
            <w:right w:w="108" w:type="dxa"/>
          </w:tblCellMar>
        </w:tblPrEx>
        <w:trPr>
          <w:trHeight w:val="391" w:hRule="atLeast"/>
        </w:trPr>
        <w:tc>
          <w:tcPr>
            <w:tcW w:w="9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1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拓客活动单场报价</w:t>
            </w:r>
          </w:p>
        </w:tc>
        <w:tc>
          <w:tcPr>
            <w:tcW w:w="14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4.00 </w:t>
            </w:r>
          </w:p>
        </w:tc>
      </w:tr>
      <w:tr>
        <w:tblPrEx>
          <w:tblCellMar>
            <w:top w:w="0" w:type="dxa"/>
            <w:left w:w="108" w:type="dxa"/>
            <w:bottom w:w="0" w:type="dxa"/>
            <w:right w:w="108" w:type="dxa"/>
          </w:tblCellMar>
        </w:tblPrEx>
        <w:trPr>
          <w:trHeight w:val="391" w:hRule="atLeast"/>
        </w:trPr>
        <w:tc>
          <w:tcPr>
            <w:tcW w:w="9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1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拓客活动总报价</w:t>
            </w:r>
          </w:p>
        </w:tc>
        <w:tc>
          <w:tcPr>
            <w:tcW w:w="14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24 </w:t>
            </w:r>
          </w:p>
        </w:tc>
      </w:tr>
      <w:tr>
        <w:tblPrEx>
          <w:tblCellMar>
            <w:top w:w="0" w:type="dxa"/>
            <w:left w:w="108" w:type="dxa"/>
            <w:bottom w:w="0" w:type="dxa"/>
            <w:right w:w="108" w:type="dxa"/>
          </w:tblCellMar>
        </w:tblPrEx>
        <w:trPr>
          <w:trHeight w:val="391" w:hRule="atLeast"/>
        </w:trPr>
        <w:tc>
          <w:tcPr>
            <w:tcW w:w="9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1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现场包装服务</w:t>
            </w:r>
          </w:p>
        </w:tc>
        <w:tc>
          <w:tcPr>
            <w:tcW w:w="14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13 </w:t>
            </w:r>
          </w:p>
        </w:tc>
      </w:tr>
      <w:tr>
        <w:tblPrEx>
          <w:tblCellMar>
            <w:top w:w="0" w:type="dxa"/>
            <w:left w:w="108" w:type="dxa"/>
            <w:bottom w:w="0" w:type="dxa"/>
            <w:right w:w="108" w:type="dxa"/>
          </w:tblCellMar>
        </w:tblPrEx>
        <w:trPr>
          <w:trHeight w:val="391" w:hRule="atLeast"/>
        </w:trPr>
        <w:tc>
          <w:tcPr>
            <w:tcW w:w="9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1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宣传推广总报价</w:t>
            </w:r>
          </w:p>
        </w:tc>
        <w:tc>
          <w:tcPr>
            <w:tcW w:w="148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56 </w:t>
            </w:r>
          </w:p>
        </w:tc>
      </w:tr>
      <w:tr>
        <w:tblPrEx>
          <w:tblCellMar>
            <w:top w:w="0" w:type="dxa"/>
            <w:left w:w="108" w:type="dxa"/>
            <w:bottom w:w="0" w:type="dxa"/>
            <w:right w:w="108" w:type="dxa"/>
          </w:tblCellMar>
        </w:tblPrEx>
        <w:trPr>
          <w:trHeight w:val="391" w:hRule="atLeast"/>
        </w:trPr>
        <w:tc>
          <w:tcPr>
            <w:tcW w:w="591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12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148 </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15"/>
        <w:spacing w:line="520" w:lineRule="exact"/>
        <w:ind w:firstLine="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 xml:space="preserve">日  </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Cs/>
          <w:sz w:val="36"/>
          <w:szCs w:val="36"/>
        </w:rPr>
      </w:pPr>
      <w:r>
        <w:rPr>
          <w:rFonts w:hint="eastAsia" w:asciiTheme="minorEastAsia" w:hAnsiTheme="minorEastAsia"/>
          <w:bCs/>
          <w:sz w:val="36"/>
          <w:szCs w:val="36"/>
        </w:rPr>
        <w:t>深铁置业2022年度拟销售项目</w:t>
      </w:r>
    </w:p>
    <w:p>
      <w:pPr>
        <w:pStyle w:val="24"/>
        <w:spacing w:before="240" w:beforeLines="100" w:after="120" w:afterLines="50" w:line="480" w:lineRule="atLeast"/>
        <w:jc w:val="center"/>
        <w:rPr>
          <w:rFonts w:asciiTheme="minorEastAsia" w:hAnsiTheme="minorEastAsia"/>
          <w:bCs/>
          <w:sz w:val="36"/>
          <w:szCs w:val="36"/>
        </w:rPr>
      </w:pPr>
      <w:r>
        <w:rPr>
          <w:rFonts w:hint="eastAsia" w:asciiTheme="minorEastAsia" w:hAnsiTheme="minorEastAsia"/>
          <w:bCs/>
          <w:sz w:val="36"/>
          <w:szCs w:val="36"/>
        </w:rPr>
        <w:t>展示区开放系列活动、现场包装及宣传推广服务</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
          <w:color w:val="0D0D0D" w:themeColor="text1" w:themeTint="F2"/>
          <w:sz w:val="48"/>
          <w:szCs w:val="48"/>
          <w14:textFill>
            <w14:solidFill>
              <w14:schemeClr w14:val="tx1">
                <w14:lumMod w14:val="95000"/>
                <w14:lumOff w14:val="5000"/>
              </w14:schemeClr>
            </w14:solidFill>
          </w14:textFill>
        </w:rPr>
      </w:pPr>
      <w:r>
        <w:rPr>
          <w:rFonts w:hint="eastAsia" w:hAnsi="宋体"/>
          <w:b/>
          <w:sz w:val="48"/>
          <w:szCs w:val="48"/>
        </w:rPr>
        <w:t>【B包：深铁璟城一期、深铁懿府三期、深铁赤湾项目一期、深铁瑞城三期、山海漫街展示区开放系列活动、现场包装及宣传推广服务</w:t>
      </w:r>
      <w:r>
        <w:rPr>
          <w:rFonts w:hint="eastAsia" w:hAnsi="宋体"/>
          <w:b/>
          <w:color w:val="0D0D0D" w:themeColor="text1" w:themeTint="F2"/>
          <w:sz w:val="48"/>
          <w:szCs w:val="48"/>
          <w14:textFill>
            <w14:solidFill>
              <w14:schemeClr w14:val="tx1">
                <w14:lumMod w14:val="95000"/>
                <w14:lumOff w14:val="5000"/>
              </w14:schemeClr>
            </w14:solidFill>
          </w14:textFill>
        </w:rPr>
        <w:t>】</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80"/>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15"/>
        <w:spacing w:line="520" w:lineRule="exact"/>
        <w:ind w:firstLine="0"/>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bCs/>
          <w:color w:val="0D0D0D" w:themeColor="text1" w:themeTint="F2"/>
          <w:sz w:val="24"/>
          <w:szCs w:val="24"/>
          <w14:textFill>
            <w14:solidFill>
              <w14:schemeClr w14:val="tx1">
                <w14:lumMod w14:val="95000"/>
                <w14:lumOff w14:val="5000"/>
              </w14:schemeClr>
            </w14:solidFill>
          </w14:textFill>
        </w:rPr>
        <w:t>1</w:t>
      </w:r>
      <w:r>
        <w:rPr>
          <w:bCs/>
          <w:color w:val="0D0D0D" w:themeColor="text1" w:themeTint="F2"/>
          <w:sz w:val="24"/>
          <w:szCs w:val="24"/>
          <w14:textFill>
            <w14:solidFill>
              <w14:schemeClr w14:val="tx1">
                <w14:lumMod w14:val="95000"/>
                <w14:lumOff w14:val="5000"/>
              </w14:schemeClr>
            </w14:solidFill>
          </w14:textFill>
        </w:rPr>
        <w:t>.</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B包：深铁璟城一期、深铁懿府三期、深铁赤湾项目一期、深铁瑞城三期、山海漫街展示区开放系列活动、现场包装及宣传推广服务报价总览表</w:t>
      </w:r>
    </w:p>
    <w:p>
      <w:pPr>
        <w:pStyle w:val="15"/>
        <w:spacing w:line="520" w:lineRule="exact"/>
        <w:ind w:firstLine="0"/>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2</w:t>
      </w:r>
      <w:r>
        <w:rPr>
          <w:rFonts w:ascii="宋体" w:hAnsi="宋体" w:cs="宋体"/>
          <w:bCs/>
          <w:color w:val="0D0D0D" w:themeColor="text1" w:themeTint="F2"/>
          <w:kern w:val="0"/>
          <w:sz w:val="24"/>
          <w:szCs w:val="24"/>
          <w14:textFill>
            <w14:solidFill>
              <w14:schemeClr w14:val="tx1">
                <w14:lumMod w14:val="95000"/>
                <w14:lumOff w14:val="5000"/>
              </w14:schemeClr>
            </w14:solidFill>
          </w14:textFill>
        </w:rPr>
        <w:t>.</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分项目报价清单、报价明细表</w:t>
      </w: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80"/>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p>
    <w:p>
      <w:pPr>
        <w:pStyle w:val="24"/>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4"/>
        <w:snapToGrid w:val="0"/>
        <w:spacing w:line="336" w:lineRule="auto"/>
        <w:rPr>
          <w:rFonts w:hAnsi="宋体"/>
          <w:sz w:val="22"/>
          <w:szCs w:val="22"/>
        </w:rPr>
      </w:pPr>
      <w:r>
        <w:rPr>
          <w:rFonts w:hAnsi="宋体"/>
          <w:sz w:val="22"/>
          <w:szCs w:val="22"/>
        </w:rPr>
        <w:t>致：</w:t>
      </w:r>
      <w:r>
        <w:rPr>
          <w:rFonts w:hint="eastAsia" w:hAnsi="宋体"/>
          <w:sz w:val="22"/>
          <w:szCs w:val="22"/>
        </w:rPr>
        <w:t>深圳市地铁集团有限公司</w:t>
      </w:r>
    </w:p>
    <w:p>
      <w:pPr>
        <w:adjustRightInd w:val="0"/>
        <w:snapToGrid w:val="0"/>
        <w:spacing w:line="336" w:lineRule="auto"/>
        <w:ind w:firstLine="440" w:firstLineChars="200"/>
        <w:rPr>
          <w:sz w:val="20"/>
          <w:szCs w:val="18"/>
        </w:rPr>
      </w:pPr>
      <w:r>
        <w:rPr>
          <w:rFonts w:ascii="宋体" w:hAnsi="宋体"/>
          <w:sz w:val="22"/>
          <w:szCs w:val="18"/>
        </w:rPr>
        <w:t>1、经分析研究了贵司提供的比选文件，经研究后，我方愿以</w:t>
      </w:r>
      <w:r>
        <w:rPr>
          <w:rFonts w:hint="eastAsia" w:ascii="宋体" w:hAnsi="宋体"/>
          <w:sz w:val="22"/>
          <w:szCs w:val="18"/>
        </w:rPr>
        <w:t>报价</w:t>
      </w:r>
      <w:r>
        <w:rPr>
          <w:rFonts w:ascii="宋体" w:hAnsi="宋体"/>
          <w:sz w:val="22"/>
          <w:szCs w:val="18"/>
          <w:u w:val="single"/>
        </w:rPr>
        <w:t xml:space="preserve">           </w:t>
      </w:r>
      <w:r>
        <w:rPr>
          <w:rFonts w:hint="eastAsia" w:ascii="宋体" w:hAnsi="宋体"/>
          <w:sz w:val="22"/>
          <w:szCs w:val="18"/>
          <w:u w:val="single"/>
        </w:rPr>
        <w:t>元</w:t>
      </w:r>
      <w:r>
        <w:rPr>
          <w:rFonts w:ascii="宋体" w:hAnsi="宋体"/>
          <w:sz w:val="22"/>
          <w:szCs w:val="18"/>
        </w:rPr>
        <w:t>（大写:</w:t>
      </w:r>
      <w:r>
        <w:rPr>
          <w:rFonts w:ascii="宋体" w:hAnsi="宋体"/>
          <w:sz w:val="22"/>
          <w:szCs w:val="18"/>
          <w:u w:val="single"/>
        </w:rPr>
        <w:t xml:space="preserve">                 </w:t>
      </w:r>
      <w:r>
        <w:rPr>
          <w:rFonts w:ascii="宋体" w:hAnsi="宋体"/>
          <w:sz w:val="22"/>
          <w:szCs w:val="18"/>
        </w:rPr>
        <w:t>）作为</w:t>
      </w:r>
      <w:r>
        <w:rPr>
          <w:rFonts w:hint="eastAsia" w:ascii="宋体" w:hAnsi="宋体"/>
          <w:b/>
          <w:bCs/>
          <w:sz w:val="22"/>
          <w:szCs w:val="18"/>
        </w:rPr>
        <w:t>B包：深铁璟城一期、深铁懿府三期、深铁赤湾项目一期、深铁瑞城三期、山海漫街展示区开放系列活动、现场包装及宣传推广服务</w:t>
      </w:r>
      <w:r>
        <w:rPr>
          <w:rFonts w:hint="eastAsia" w:ascii="宋体" w:hAnsi="宋体"/>
          <w:sz w:val="22"/>
          <w:szCs w:val="18"/>
        </w:rPr>
        <w:t>的报价，其中：深铁璟城一期报价</w:t>
      </w:r>
      <w:r>
        <w:rPr>
          <w:rFonts w:ascii="宋体" w:hAnsi="宋体"/>
          <w:sz w:val="22"/>
          <w:szCs w:val="18"/>
          <w:u w:val="single"/>
        </w:rPr>
        <w:t xml:space="preserve">           </w:t>
      </w:r>
      <w:r>
        <w:rPr>
          <w:rFonts w:hint="eastAsia" w:ascii="宋体" w:hAnsi="宋体"/>
          <w:sz w:val="22"/>
          <w:szCs w:val="18"/>
          <w:u w:val="single"/>
        </w:rPr>
        <w:t>元</w:t>
      </w:r>
      <w:r>
        <w:rPr>
          <w:rFonts w:hint="eastAsia" w:ascii="宋体" w:hAnsi="宋体"/>
          <w:sz w:val="22"/>
          <w:szCs w:val="18"/>
        </w:rPr>
        <w:t>；深铁懿府三期报价</w:t>
      </w:r>
      <w:r>
        <w:rPr>
          <w:rFonts w:ascii="宋体" w:hAnsi="宋体"/>
          <w:sz w:val="22"/>
          <w:szCs w:val="18"/>
          <w:u w:val="single"/>
        </w:rPr>
        <w:t xml:space="preserve">           </w:t>
      </w:r>
      <w:r>
        <w:rPr>
          <w:rFonts w:hint="eastAsia" w:ascii="宋体" w:hAnsi="宋体"/>
          <w:sz w:val="22"/>
          <w:szCs w:val="18"/>
          <w:u w:val="single"/>
        </w:rPr>
        <w:t>元</w:t>
      </w:r>
      <w:r>
        <w:rPr>
          <w:rFonts w:hint="eastAsia" w:ascii="宋体" w:hAnsi="宋体"/>
          <w:sz w:val="22"/>
          <w:szCs w:val="18"/>
        </w:rPr>
        <w:t>；深铁赤湾项目一期报价</w:t>
      </w:r>
      <w:r>
        <w:rPr>
          <w:rFonts w:ascii="宋体" w:hAnsi="宋体"/>
          <w:sz w:val="22"/>
          <w:szCs w:val="18"/>
          <w:u w:val="single"/>
        </w:rPr>
        <w:t xml:space="preserve">           </w:t>
      </w:r>
      <w:r>
        <w:rPr>
          <w:rFonts w:hint="eastAsia" w:ascii="宋体" w:hAnsi="宋体"/>
          <w:sz w:val="22"/>
          <w:szCs w:val="18"/>
          <w:u w:val="single"/>
        </w:rPr>
        <w:t>元</w:t>
      </w:r>
      <w:r>
        <w:rPr>
          <w:rFonts w:hint="eastAsia" w:ascii="宋体" w:hAnsi="宋体"/>
          <w:sz w:val="22"/>
          <w:szCs w:val="18"/>
        </w:rPr>
        <w:t>；深铁瑞城三期报价</w:t>
      </w:r>
      <w:r>
        <w:rPr>
          <w:rFonts w:ascii="宋体" w:hAnsi="宋体"/>
          <w:sz w:val="22"/>
          <w:szCs w:val="18"/>
          <w:u w:val="single"/>
        </w:rPr>
        <w:t xml:space="preserve">           </w:t>
      </w:r>
      <w:r>
        <w:rPr>
          <w:rFonts w:hint="eastAsia" w:ascii="宋体" w:hAnsi="宋体"/>
          <w:sz w:val="22"/>
          <w:szCs w:val="18"/>
          <w:u w:val="single"/>
        </w:rPr>
        <w:t>元；</w:t>
      </w:r>
      <w:r>
        <w:rPr>
          <w:rFonts w:hint="eastAsia" w:ascii="宋体" w:hAnsi="宋体"/>
          <w:sz w:val="22"/>
          <w:szCs w:val="18"/>
        </w:rPr>
        <w:t>山海漫街报价</w:t>
      </w:r>
      <w:r>
        <w:rPr>
          <w:rFonts w:ascii="宋体" w:hAnsi="宋体"/>
          <w:sz w:val="22"/>
          <w:szCs w:val="18"/>
          <w:u w:val="single"/>
        </w:rPr>
        <w:t xml:space="preserve">           </w:t>
      </w:r>
      <w:r>
        <w:rPr>
          <w:rFonts w:hint="eastAsia" w:ascii="宋体" w:hAnsi="宋体"/>
          <w:sz w:val="22"/>
          <w:szCs w:val="18"/>
          <w:u w:val="single"/>
        </w:rPr>
        <w:t>元。</w:t>
      </w:r>
    </w:p>
    <w:p>
      <w:pPr>
        <w:adjustRightInd w:val="0"/>
        <w:snapToGrid w:val="0"/>
        <w:spacing w:line="336" w:lineRule="auto"/>
        <w:ind w:firstLine="440" w:firstLineChars="200"/>
        <w:rPr>
          <w:rFonts w:ascii="宋体" w:hAnsi="宋体"/>
          <w:sz w:val="22"/>
          <w:szCs w:val="18"/>
        </w:rPr>
      </w:pPr>
      <w:r>
        <w:rPr>
          <w:rFonts w:hint="eastAsia" w:ascii="宋体" w:hAnsi="宋体" w:cs="宋体"/>
          <w:sz w:val="22"/>
          <w:szCs w:val="22"/>
        </w:rPr>
        <w:t>我司将按合同条件、比选文件、参选文件以及国家和地方有关规定的要求，承担并完成本项目的任务</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ascii="宋体" w:hAnsi="宋体"/>
          <w:sz w:val="22"/>
          <w:szCs w:val="18"/>
        </w:rPr>
        <w:t>2、我方对贵司</w:t>
      </w:r>
      <w:r>
        <w:rPr>
          <w:rFonts w:hint="eastAsia" w:ascii="宋体" w:hAnsi="宋体"/>
          <w:sz w:val="22"/>
          <w:szCs w:val="18"/>
        </w:rPr>
        <w:t>比</w:t>
      </w:r>
      <w:r>
        <w:rPr>
          <w:rFonts w:ascii="宋体" w:hAnsi="宋体"/>
          <w:sz w:val="22"/>
          <w:szCs w:val="18"/>
        </w:rPr>
        <w:t>选文件中的合同条件无保留、无条件同意，特此声明及承诺。</w:t>
      </w:r>
    </w:p>
    <w:p>
      <w:pPr>
        <w:adjustRightInd w:val="0"/>
        <w:snapToGrid w:val="0"/>
        <w:spacing w:line="336" w:lineRule="auto"/>
        <w:ind w:left="-15" w:leftChars="-7" w:firstLine="440" w:firstLineChars="200"/>
        <w:rPr>
          <w:rFonts w:ascii="宋体" w:hAnsi="宋体"/>
          <w:sz w:val="22"/>
          <w:szCs w:val="18"/>
        </w:rPr>
      </w:pPr>
      <w:r>
        <w:rPr>
          <w:rFonts w:ascii="宋体" w:hAnsi="宋体"/>
          <w:sz w:val="22"/>
          <w:szCs w:val="18"/>
        </w:rPr>
        <w:t>3、如果贵公司接受我方的参选，我方保证按合同规定的期限完成工作。</w:t>
      </w:r>
    </w:p>
    <w:p>
      <w:pPr>
        <w:adjustRightInd w:val="0"/>
        <w:snapToGrid w:val="0"/>
        <w:spacing w:line="336" w:lineRule="auto"/>
        <w:ind w:firstLine="440" w:firstLineChars="200"/>
        <w:rPr>
          <w:rFonts w:ascii="宋体" w:hAnsi="宋体"/>
          <w:sz w:val="22"/>
          <w:szCs w:val="18"/>
        </w:rPr>
      </w:pPr>
      <w:r>
        <w:rPr>
          <w:rFonts w:ascii="宋体" w:hAnsi="宋体"/>
          <w:sz w:val="22"/>
          <w:szCs w:val="18"/>
        </w:rPr>
        <w:t>4、我方同意在规定的递交参选书截止之日起</w:t>
      </w:r>
      <w:r>
        <w:rPr>
          <w:rFonts w:hint="eastAsia" w:ascii="宋体" w:hAnsi="宋体"/>
          <w:sz w:val="22"/>
          <w:szCs w:val="18"/>
        </w:rPr>
        <w:t>180</w:t>
      </w:r>
      <w:r>
        <w:rPr>
          <w:rFonts w:ascii="宋体" w:hAnsi="宋体"/>
          <w:sz w:val="22"/>
          <w:szCs w:val="18"/>
        </w:rPr>
        <w:t>天内遵守本参选。在该期限期满之前，本报价对我方始终有约束力，并可随时被接受。</w:t>
      </w:r>
    </w:p>
    <w:p>
      <w:pPr>
        <w:adjustRightInd w:val="0"/>
        <w:snapToGrid w:val="0"/>
        <w:spacing w:line="336" w:lineRule="auto"/>
        <w:ind w:firstLine="440" w:firstLineChars="200"/>
        <w:rPr>
          <w:rFonts w:ascii="宋体" w:hAnsi="宋体"/>
          <w:sz w:val="22"/>
          <w:szCs w:val="18"/>
        </w:rPr>
      </w:pPr>
      <w:r>
        <w:rPr>
          <w:rFonts w:ascii="宋体" w:hAnsi="宋体"/>
          <w:sz w:val="22"/>
          <w:szCs w:val="18"/>
        </w:rPr>
        <w:t>5、如果我方中</w:t>
      </w:r>
      <w:r>
        <w:rPr>
          <w:rFonts w:hint="eastAsia" w:ascii="宋体" w:hAnsi="宋体"/>
          <w:sz w:val="22"/>
          <w:szCs w:val="18"/>
        </w:rPr>
        <w:t>选</w:t>
      </w:r>
      <w:r>
        <w:rPr>
          <w:rFonts w:ascii="宋体" w:hAnsi="宋体"/>
          <w:sz w:val="22"/>
          <w:szCs w:val="18"/>
        </w:rPr>
        <w:t>，我方保证在规定的期限内提供相应的服务。</w:t>
      </w:r>
    </w:p>
    <w:p>
      <w:pPr>
        <w:adjustRightInd w:val="0"/>
        <w:snapToGrid w:val="0"/>
        <w:spacing w:line="336" w:lineRule="auto"/>
        <w:ind w:firstLine="440" w:firstLineChars="200"/>
        <w:rPr>
          <w:rFonts w:ascii="宋体" w:hAnsi="宋体"/>
          <w:sz w:val="22"/>
          <w:szCs w:val="18"/>
        </w:rPr>
      </w:pPr>
      <w:r>
        <w:rPr>
          <w:rFonts w:ascii="宋体" w:hAnsi="宋体"/>
          <w:sz w:val="22"/>
          <w:szCs w:val="18"/>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7、若</w:t>
      </w:r>
      <w:r>
        <w:rPr>
          <w:rFonts w:ascii="宋体" w:hAnsi="宋体"/>
          <w:sz w:val="22"/>
          <w:szCs w:val="18"/>
        </w:rPr>
        <w:t>我方中选</w:t>
      </w:r>
      <w:r>
        <w:rPr>
          <w:rFonts w:hint="eastAsia" w:ascii="宋体" w:hAnsi="宋体"/>
          <w:sz w:val="22"/>
          <w:szCs w:val="18"/>
        </w:rPr>
        <w:t>本项目</w:t>
      </w:r>
      <w:r>
        <w:rPr>
          <w:rFonts w:ascii="宋体" w:hAnsi="宋体"/>
          <w:sz w:val="22"/>
          <w:szCs w:val="18"/>
        </w:rPr>
        <w:t>，</w:t>
      </w:r>
      <w:r>
        <w:rPr>
          <w:rFonts w:hint="eastAsia" w:ascii="宋体" w:hAnsi="宋体"/>
          <w:sz w:val="22"/>
          <w:szCs w:val="18"/>
        </w:rPr>
        <w:t>我</w:t>
      </w:r>
      <w:r>
        <w:rPr>
          <w:rFonts w:ascii="宋体" w:hAnsi="宋体"/>
          <w:sz w:val="22"/>
          <w:szCs w:val="18"/>
        </w:rPr>
        <w:t>方承诺本项目</w:t>
      </w:r>
      <w:r>
        <w:rPr>
          <w:rFonts w:hint="eastAsia" w:ascii="宋体" w:hAnsi="宋体"/>
          <w:sz w:val="22"/>
          <w:szCs w:val="18"/>
        </w:rPr>
        <w:t>可</w:t>
      </w:r>
      <w:r>
        <w:rPr>
          <w:rFonts w:ascii="宋体" w:hAnsi="宋体"/>
          <w:sz w:val="22"/>
          <w:szCs w:val="18"/>
        </w:rPr>
        <w:t>开具增值税专用发票</w:t>
      </w:r>
      <w:r>
        <w:rPr>
          <w:rFonts w:hint="eastAsia" w:ascii="宋体" w:hAnsi="宋体"/>
          <w:sz w:val="22"/>
          <w:szCs w:val="18"/>
        </w:rPr>
        <w:t>，按</w:t>
      </w:r>
      <w:r>
        <w:rPr>
          <w:rFonts w:ascii="宋体" w:hAnsi="宋体"/>
          <w:sz w:val="22"/>
          <w:szCs w:val="18"/>
        </w:rPr>
        <w:t>合同约定</w:t>
      </w:r>
      <w:r>
        <w:rPr>
          <w:rFonts w:hint="eastAsia" w:ascii="宋体" w:hAnsi="宋体"/>
          <w:sz w:val="22"/>
          <w:szCs w:val="18"/>
        </w:rPr>
        <w:t>于申请</w:t>
      </w:r>
      <w:r>
        <w:rPr>
          <w:rFonts w:ascii="宋体" w:hAnsi="宋体"/>
          <w:sz w:val="22"/>
          <w:szCs w:val="18"/>
        </w:rPr>
        <w:t>付款前</w:t>
      </w:r>
      <w:r>
        <w:rPr>
          <w:rFonts w:hint="eastAsia" w:ascii="宋体" w:hAnsi="宋体"/>
          <w:sz w:val="22"/>
          <w:szCs w:val="18"/>
        </w:rPr>
        <w:t>向比选</w:t>
      </w:r>
      <w:r>
        <w:rPr>
          <w:rFonts w:ascii="宋体" w:hAnsi="宋体"/>
          <w:sz w:val="22"/>
          <w:szCs w:val="18"/>
        </w:rPr>
        <w:t>人</w:t>
      </w:r>
      <w:r>
        <w:rPr>
          <w:rFonts w:hint="eastAsia" w:ascii="宋体" w:hAnsi="宋体"/>
          <w:sz w:val="22"/>
          <w:szCs w:val="18"/>
        </w:rPr>
        <w:t>提供正式的增值税专用发票，否则比选人有权拒绝付款，且并不因此承担任何违约责任</w:t>
      </w:r>
      <w:r>
        <w:rPr>
          <w:rFonts w:ascii="宋体" w:hAnsi="宋体"/>
          <w:sz w:val="22"/>
          <w:szCs w:val="18"/>
        </w:rPr>
        <w:t>。</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9、</w:t>
      </w:r>
      <w:r>
        <w:rPr>
          <w:rFonts w:ascii="宋体" w:hAnsi="宋体"/>
          <w:sz w:val="22"/>
          <w:szCs w:val="18"/>
        </w:rPr>
        <w:t>如果我方中</w:t>
      </w:r>
      <w:r>
        <w:rPr>
          <w:rFonts w:hint="eastAsia" w:ascii="宋体" w:hAnsi="宋体"/>
          <w:sz w:val="22"/>
          <w:szCs w:val="18"/>
        </w:rPr>
        <w:t>选，我司承诺将使用地铁公司的合同模板进行合同签订。</w:t>
      </w:r>
    </w:p>
    <w:p>
      <w:pPr>
        <w:adjustRightInd w:val="0"/>
        <w:snapToGrid w:val="0"/>
        <w:spacing w:line="336" w:lineRule="auto"/>
        <w:ind w:firstLine="440" w:firstLineChars="200"/>
        <w:rPr>
          <w:rFonts w:ascii="宋体" w:hAnsi="宋体"/>
          <w:sz w:val="22"/>
          <w:szCs w:val="18"/>
        </w:rPr>
      </w:pPr>
      <w:r>
        <w:rPr>
          <w:rFonts w:hint="eastAsia" w:ascii="宋体" w:hAnsi="宋体"/>
          <w:sz w:val="22"/>
          <w:szCs w:val="18"/>
        </w:rPr>
        <w:t>1</w:t>
      </w:r>
      <w:r>
        <w:rPr>
          <w:rFonts w:ascii="宋体" w:hAnsi="宋体"/>
          <w:sz w:val="22"/>
          <w:szCs w:val="18"/>
        </w:rPr>
        <w:t>0</w:t>
      </w:r>
      <w:r>
        <w:rPr>
          <w:rFonts w:hint="eastAsia" w:ascii="宋体" w:hAnsi="宋体"/>
          <w:sz w:val="22"/>
          <w:szCs w:val="18"/>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40" w:firstLineChars="200"/>
        <w:rPr>
          <w:rFonts w:ascii="宋体" w:hAnsi="宋体"/>
          <w:sz w:val="22"/>
          <w:szCs w:val="18"/>
        </w:rPr>
      </w:pPr>
      <w:r>
        <w:rPr>
          <w:rFonts w:ascii="宋体" w:hAnsi="宋体"/>
          <w:sz w:val="22"/>
          <w:szCs w:val="18"/>
        </w:rPr>
        <w:t>11</w:t>
      </w:r>
      <w:r>
        <w:rPr>
          <w:rFonts w:hint="eastAsia" w:ascii="宋体" w:hAnsi="宋体"/>
          <w:sz w:val="22"/>
          <w:szCs w:val="18"/>
        </w:rPr>
        <w:t>、我方保证，服务期间公司与贵司无法律纠纷，一旦发生，将终止合同。</w:t>
      </w:r>
    </w:p>
    <w:p>
      <w:pPr>
        <w:adjustRightInd w:val="0"/>
        <w:snapToGrid w:val="0"/>
        <w:spacing w:line="336" w:lineRule="auto"/>
        <w:ind w:firstLine="440" w:firstLineChars="200"/>
        <w:rPr>
          <w:rFonts w:ascii="宋体" w:hAnsi="宋体"/>
          <w:sz w:val="22"/>
          <w:szCs w:val="18"/>
        </w:rPr>
      </w:pPr>
    </w:p>
    <w:p>
      <w:pPr>
        <w:adjustRightInd w:val="0"/>
        <w:snapToGrid w:val="0"/>
        <w:spacing w:line="336" w:lineRule="auto"/>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参选人：（盖章）</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法人代表或授权</w:t>
      </w:r>
      <w:r>
        <w:rPr>
          <w:rFonts w:hint="eastAsia" w:ascii="宋体" w:hAnsi="宋体"/>
          <w:color w:val="0D0D0D" w:themeColor="text1" w:themeTint="F2"/>
          <w:sz w:val="22"/>
          <w:szCs w:val="22"/>
          <w14:textFill>
            <w14:solidFill>
              <w14:schemeClr w14:val="tx1">
                <w14:lumMod w14:val="95000"/>
                <w14:lumOff w14:val="5000"/>
              </w14:schemeClr>
            </w14:solidFill>
          </w14:textFill>
        </w:rPr>
        <w:t>委托</w:t>
      </w:r>
      <w:r>
        <w:rPr>
          <w:rFonts w:ascii="宋体" w:hAnsi="宋体"/>
          <w:color w:val="0D0D0D" w:themeColor="text1" w:themeTint="F2"/>
          <w:sz w:val="22"/>
          <w:szCs w:val="22"/>
          <w14:textFill>
            <w14:solidFill>
              <w14:schemeClr w14:val="tx1">
                <w14:lumMod w14:val="95000"/>
                <w14:lumOff w14:val="5000"/>
              </w14:schemeClr>
            </w14:solidFill>
          </w14:textFill>
        </w:rPr>
        <w:t>代理人：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联 系 人：</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电    话：</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 xml:space="preserve">      传    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2"/>
          <w:szCs w:val="22"/>
          <w:u w:val="single"/>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日    期：</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年</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r>
        <w:rPr>
          <w:rFonts w:ascii="宋体" w:hAnsi="宋体"/>
          <w:color w:val="0D0D0D" w:themeColor="text1" w:themeTint="F2"/>
          <w:sz w:val="22"/>
          <w:szCs w:val="22"/>
          <w14:textFill>
            <w14:solidFill>
              <w14:schemeClr w14:val="tx1">
                <w14:lumMod w14:val="95000"/>
                <w14:lumOff w14:val="5000"/>
              </w14:schemeClr>
            </w14:solidFill>
          </w14:textFill>
        </w:rPr>
        <w:t>月</w:t>
      </w:r>
      <w:r>
        <w:rPr>
          <w:rFonts w:ascii="宋体" w:hAnsi="宋体"/>
          <w:color w:val="0D0D0D" w:themeColor="text1" w:themeTint="F2"/>
          <w:sz w:val="22"/>
          <w:szCs w:val="22"/>
          <w:u w:val="single"/>
          <w14:textFill>
            <w14:solidFill>
              <w14:schemeClr w14:val="tx1">
                <w14:lumMod w14:val="95000"/>
                <w14:lumOff w14:val="5000"/>
              </w14:schemeClr>
            </w14:solidFill>
          </w14:textFill>
        </w:rPr>
        <w:t xml:space="preserve">      </w:t>
      </w:r>
    </w:p>
    <w:p>
      <w:pPr>
        <w:pStyle w:val="24"/>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5"/>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5"/>
        <w:spacing w:line="520" w:lineRule="exact"/>
        <w:ind w:firstLine="0"/>
        <w:jc w:val="center"/>
        <w:rPr>
          <w:rFonts w:ascii="宋体" w:hAnsi="宋体" w:cs="宋体"/>
          <w:b/>
          <w:bCs/>
          <w:color w:val="0D0D0D" w:themeColor="text1" w:themeTint="F2"/>
          <w:kern w:val="0"/>
          <w:sz w:val="24"/>
          <w:szCs w:val="24"/>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u w:val="single"/>
          <w14:textFill>
            <w14:solidFill>
              <w14:schemeClr w14:val="tx1">
                <w14:lumMod w14:val="95000"/>
                <w14:lumOff w14:val="5000"/>
              </w14:schemeClr>
            </w14:solidFill>
          </w14:textFill>
        </w:rPr>
        <w:t>B包：深铁璟城一期、深铁懿府三期、深铁赤湾项目一期、深铁瑞城三期、山海漫街展示区开放系列活动、现场包装及宣传推广服务报价总览表</w:t>
      </w:r>
    </w:p>
    <w:tbl>
      <w:tblPr>
        <w:tblStyle w:val="47"/>
        <w:tblW w:w="1085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564"/>
        <w:gridCol w:w="844"/>
        <w:gridCol w:w="1130"/>
        <w:gridCol w:w="845"/>
        <w:gridCol w:w="782"/>
        <w:gridCol w:w="449"/>
        <w:gridCol w:w="685"/>
        <w:gridCol w:w="675"/>
        <w:gridCol w:w="450"/>
        <w:gridCol w:w="576"/>
        <w:gridCol w:w="618"/>
        <w:gridCol w:w="618"/>
        <w:gridCol w:w="61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127"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项目</w:t>
            </w:r>
          </w:p>
        </w:tc>
        <w:tc>
          <w:tcPr>
            <w:tcW w:w="564"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类型</w:t>
            </w:r>
          </w:p>
        </w:tc>
        <w:tc>
          <w:tcPr>
            <w:tcW w:w="6438" w:type="dxa"/>
            <w:gridSpan w:val="9"/>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活动类</w:t>
            </w:r>
          </w:p>
        </w:tc>
        <w:tc>
          <w:tcPr>
            <w:tcW w:w="0" w:type="auto"/>
            <w:vMerge w:val="restart"/>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活动总价</w:t>
            </w:r>
          </w:p>
        </w:tc>
        <w:tc>
          <w:tcPr>
            <w:tcW w:w="0" w:type="auto"/>
            <w:vMerge w:val="restart"/>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现场包装</w:t>
            </w:r>
          </w:p>
        </w:tc>
        <w:tc>
          <w:tcPr>
            <w:tcW w:w="0" w:type="auto"/>
            <w:vMerge w:val="restart"/>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宣传推广</w:t>
            </w:r>
          </w:p>
        </w:tc>
        <w:tc>
          <w:tcPr>
            <w:tcW w:w="878"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127" w:type="dxa"/>
            <w:vMerge w:val="continue"/>
            <w:vAlign w:val="center"/>
          </w:tcPr>
          <w:p>
            <w:pPr>
              <w:widowControl/>
              <w:jc w:val="left"/>
              <w:rPr>
                <w:rFonts w:ascii="宋体" w:hAnsi="宋体" w:cs="宋体"/>
                <w:color w:val="000000"/>
                <w:kern w:val="0"/>
                <w:sz w:val="15"/>
                <w:szCs w:val="15"/>
              </w:rPr>
            </w:pPr>
          </w:p>
        </w:tc>
        <w:tc>
          <w:tcPr>
            <w:tcW w:w="564" w:type="dxa"/>
            <w:vMerge w:val="continue"/>
            <w:vAlign w:val="center"/>
          </w:tcPr>
          <w:p>
            <w:pPr>
              <w:widowControl/>
              <w:jc w:val="left"/>
              <w:rPr>
                <w:rFonts w:ascii="宋体" w:hAnsi="宋体" w:cs="宋体"/>
                <w:color w:val="000000"/>
                <w:kern w:val="0"/>
                <w:sz w:val="15"/>
                <w:szCs w:val="15"/>
              </w:rPr>
            </w:pPr>
          </w:p>
        </w:tc>
        <w:tc>
          <w:tcPr>
            <w:tcW w:w="844"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主开放活动</w:t>
            </w:r>
          </w:p>
        </w:tc>
        <w:tc>
          <w:tcPr>
            <w:tcW w:w="1130"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其它开放活动1</w:t>
            </w:r>
          </w:p>
        </w:tc>
        <w:tc>
          <w:tcPr>
            <w:tcW w:w="0" w:type="auto"/>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其它开放活动2</w:t>
            </w:r>
          </w:p>
        </w:tc>
        <w:tc>
          <w:tcPr>
            <w:tcW w:w="1916" w:type="dxa"/>
            <w:gridSpan w:val="3"/>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拓客活动</w:t>
            </w:r>
          </w:p>
        </w:tc>
        <w:tc>
          <w:tcPr>
            <w:tcW w:w="1697" w:type="dxa"/>
            <w:gridSpan w:val="3"/>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暖场活动</w:t>
            </w:r>
          </w:p>
        </w:tc>
        <w:tc>
          <w:tcPr>
            <w:tcW w:w="0" w:type="auto"/>
            <w:vMerge w:val="continue"/>
            <w:vAlign w:val="center"/>
          </w:tcPr>
          <w:p>
            <w:pPr>
              <w:widowControl/>
              <w:jc w:val="left"/>
              <w:rPr>
                <w:rFonts w:ascii="宋体" w:hAnsi="宋体" w:cs="宋体"/>
                <w:b/>
                <w:bCs/>
                <w:color w:val="000000"/>
                <w:kern w:val="0"/>
                <w:sz w:val="15"/>
                <w:szCs w:val="15"/>
              </w:rPr>
            </w:pPr>
          </w:p>
        </w:tc>
        <w:tc>
          <w:tcPr>
            <w:tcW w:w="0" w:type="auto"/>
            <w:vMerge w:val="continue"/>
            <w:vAlign w:val="center"/>
          </w:tcPr>
          <w:p>
            <w:pPr>
              <w:widowControl/>
              <w:jc w:val="left"/>
              <w:rPr>
                <w:rFonts w:ascii="宋体" w:hAnsi="宋体" w:cs="宋体"/>
                <w:b/>
                <w:bCs/>
                <w:color w:val="000000"/>
                <w:kern w:val="0"/>
                <w:sz w:val="15"/>
                <w:szCs w:val="15"/>
              </w:rPr>
            </w:pPr>
          </w:p>
        </w:tc>
        <w:tc>
          <w:tcPr>
            <w:tcW w:w="0" w:type="auto"/>
            <w:vMerge w:val="continue"/>
            <w:vAlign w:val="center"/>
          </w:tcPr>
          <w:p>
            <w:pPr>
              <w:widowControl/>
              <w:jc w:val="left"/>
              <w:rPr>
                <w:rFonts w:ascii="宋体" w:hAnsi="宋体" w:cs="宋体"/>
                <w:b/>
                <w:bCs/>
                <w:color w:val="000000"/>
                <w:kern w:val="0"/>
                <w:sz w:val="15"/>
                <w:szCs w:val="15"/>
              </w:rPr>
            </w:pPr>
          </w:p>
        </w:tc>
        <w:tc>
          <w:tcPr>
            <w:tcW w:w="878" w:type="dxa"/>
            <w:vMerge w:val="continue"/>
            <w:vAlign w:val="center"/>
          </w:tcPr>
          <w:p>
            <w:pPr>
              <w:widowControl/>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127" w:type="dxa"/>
            <w:vMerge w:val="continue"/>
            <w:vAlign w:val="center"/>
          </w:tcPr>
          <w:p>
            <w:pPr>
              <w:widowControl/>
              <w:jc w:val="left"/>
              <w:rPr>
                <w:rFonts w:ascii="宋体" w:hAnsi="宋体" w:cs="宋体"/>
                <w:color w:val="000000"/>
                <w:kern w:val="0"/>
                <w:sz w:val="15"/>
                <w:szCs w:val="15"/>
              </w:rPr>
            </w:pPr>
          </w:p>
        </w:tc>
        <w:tc>
          <w:tcPr>
            <w:tcW w:w="564" w:type="dxa"/>
            <w:vMerge w:val="continue"/>
            <w:vAlign w:val="center"/>
          </w:tcPr>
          <w:p>
            <w:pPr>
              <w:widowControl/>
              <w:jc w:val="left"/>
              <w:rPr>
                <w:rFonts w:ascii="宋体" w:hAnsi="宋体" w:cs="宋体"/>
                <w:color w:val="000000"/>
                <w:kern w:val="0"/>
                <w:sz w:val="15"/>
                <w:szCs w:val="15"/>
              </w:rPr>
            </w:pPr>
          </w:p>
        </w:tc>
        <w:tc>
          <w:tcPr>
            <w:tcW w:w="844" w:type="dxa"/>
            <w:vMerge w:val="continue"/>
            <w:vAlign w:val="center"/>
          </w:tcPr>
          <w:p>
            <w:pPr>
              <w:widowControl/>
              <w:jc w:val="left"/>
              <w:rPr>
                <w:rFonts w:ascii="宋体" w:hAnsi="宋体" w:cs="宋体"/>
                <w:color w:val="000000"/>
                <w:kern w:val="0"/>
                <w:sz w:val="15"/>
                <w:szCs w:val="15"/>
              </w:rPr>
            </w:pPr>
          </w:p>
        </w:tc>
        <w:tc>
          <w:tcPr>
            <w:tcW w:w="1130" w:type="dxa"/>
            <w:vMerge w:val="continue"/>
            <w:vAlign w:val="center"/>
          </w:tcPr>
          <w:p>
            <w:pPr>
              <w:widowControl/>
              <w:jc w:val="left"/>
              <w:rPr>
                <w:rFonts w:ascii="宋体" w:hAnsi="宋体" w:cs="宋体"/>
                <w:color w:val="000000"/>
                <w:kern w:val="0"/>
                <w:sz w:val="15"/>
                <w:szCs w:val="15"/>
              </w:rPr>
            </w:pPr>
          </w:p>
        </w:tc>
        <w:tc>
          <w:tcPr>
            <w:tcW w:w="0" w:type="auto"/>
            <w:vMerge w:val="continue"/>
            <w:vAlign w:val="center"/>
          </w:tcPr>
          <w:p>
            <w:pPr>
              <w:widowControl/>
              <w:jc w:val="left"/>
              <w:rPr>
                <w:rFonts w:ascii="宋体" w:hAnsi="宋体" w:cs="宋体"/>
                <w:color w:val="000000"/>
                <w:kern w:val="0"/>
                <w:sz w:val="15"/>
                <w:szCs w:val="15"/>
              </w:rPr>
            </w:pPr>
          </w:p>
        </w:tc>
        <w:tc>
          <w:tcPr>
            <w:tcW w:w="0" w:type="auto"/>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单场活动单价</w:t>
            </w:r>
          </w:p>
        </w:tc>
        <w:tc>
          <w:tcPr>
            <w:tcW w:w="0" w:type="auto"/>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场次</w:t>
            </w:r>
          </w:p>
        </w:tc>
        <w:tc>
          <w:tcPr>
            <w:tcW w:w="685"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总价</w:t>
            </w:r>
          </w:p>
        </w:tc>
        <w:tc>
          <w:tcPr>
            <w:tcW w:w="675"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单场活动单价</w:t>
            </w:r>
          </w:p>
        </w:tc>
        <w:tc>
          <w:tcPr>
            <w:tcW w:w="0" w:type="auto"/>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场次</w:t>
            </w:r>
          </w:p>
        </w:tc>
        <w:tc>
          <w:tcPr>
            <w:tcW w:w="0" w:type="auto"/>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总价</w:t>
            </w:r>
          </w:p>
        </w:tc>
        <w:tc>
          <w:tcPr>
            <w:tcW w:w="0" w:type="auto"/>
            <w:vMerge w:val="continue"/>
            <w:vAlign w:val="center"/>
          </w:tcPr>
          <w:p>
            <w:pPr>
              <w:widowControl/>
              <w:jc w:val="left"/>
              <w:rPr>
                <w:rFonts w:ascii="宋体" w:hAnsi="宋体" w:cs="宋体"/>
                <w:b/>
                <w:bCs/>
                <w:color w:val="000000"/>
                <w:kern w:val="0"/>
                <w:sz w:val="15"/>
                <w:szCs w:val="15"/>
              </w:rPr>
            </w:pPr>
          </w:p>
        </w:tc>
        <w:tc>
          <w:tcPr>
            <w:tcW w:w="0" w:type="auto"/>
            <w:vMerge w:val="continue"/>
            <w:vAlign w:val="center"/>
          </w:tcPr>
          <w:p>
            <w:pPr>
              <w:widowControl/>
              <w:jc w:val="left"/>
              <w:rPr>
                <w:rFonts w:ascii="宋体" w:hAnsi="宋体" w:cs="宋体"/>
                <w:b/>
                <w:bCs/>
                <w:color w:val="000000"/>
                <w:kern w:val="0"/>
                <w:sz w:val="15"/>
                <w:szCs w:val="15"/>
              </w:rPr>
            </w:pPr>
          </w:p>
        </w:tc>
        <w:tc>
          <w:tcPr>
            <w:tcW w:w="0" w:type="auto"/>
            <w:vMerge w:val="continue"/>
            <w:vAlign w:val="center"/>
          </w:tcPr>
          <w:p>
            <w:pPr>
              <w:widowControl/>
              <w:jc w:val="left"/>
              <w:rPr>
                <w:rFonts w:ascii="宋体" w:hAnsi="宋体" w:cs="宋体"/>
                <w:b/>
                <w:bCs/>
                <w:color w:val="000000"/>
                <w:kern w:val="0"/>
                <w:sz w:val="15"/>
                <w:szCs w:val="15"/>
              </w:rPr>
            </w:pPr>
          </w:p>
        </w:tc>
        <w:tc>
          <w:tcPr>
            <w:tcW w:w="878" w:type="dxa"/>
            <w:vMerge w:val="continue"/>
            <w:vAlign w:val="center"/>
          </w:tcPr>
          <w:p>
            <w:pPr>
              <w:widowControl/>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127"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深铁璟城一期</w:t>
            </w:r>
          </w:p>
        </w:tc>
        <w:tc>
          <w:tcPr>
            <w:tcW w:w="564"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w:t>
            </w:r>
          </w:p>
        </w:tc>
        <w:tc>
          <w:tcPr>
            <w:tcW w:w="844"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营销中心开放</w:t>
            </w:r>
          </w:p>
        </w:tc>
        <w:tc>
          <w:tcPr>
            <w:tcW w:w="1130"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1F展厅开放</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1916"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5场</w:t>
            </w:r>
          </w:p>
        </w:tc>
        <w:tc>
          <w:tcPr>
            <w:tcW w:w="1697"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10场</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78"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127" w:type="dxa"/>
            <w:vMerge w:val="continue"/>
            <w:vAlign w:val="center"/>
          </w:tcPr>
          <w:p>
            <w:pPr>
              <w:widowControl/>
              <w:jc w:val="left"/>
              <w:rPr>
                <w:rFonts w:ascii="宋体" w:hAnsi="宋体" w:cs="宋体"/>
                <w:color w:val="000000"/>
                <w:kern w:val="0"/>
                <w:sz w:val="15"/>
                <w:szCs w:val="15"/>
              </w:rPr>
            </w:pPr>
          </w:p>
        </w:tc>
        <w:tc>
          <w:tcPr>
            <w:tcW w:w="564"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报价</w:t>
            </w:r>
          </w:p>
        </w:tc>
        <w:tc>
          <w:tcPr>
            <w:tcW w:w="844"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1130"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0" w:type="auto"/>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5 </w:t>
            </w:r>
          </w:p>
        </w:tc>
        <w:tc>
          <w:tcPr>
            <w:tcW w:w="685"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675"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10 </w:t>
            </w:r>
          </w:p>
        </w:tc>
        <w:tc>
          <w:tcPr>
            <w:tcW w:w="0" w:type="auto"/>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878" w:type="dxa"/>
            <w:vMerge w:val="continue"/>
            <w:vAlign w:val="center"/>
          </w:tcPr>
          <w:p>
            <w:pPr>
              <w:widowControl/>
              <w:jc w:val="left"/>
              <w:rPr>
                <w:rFonts w:ascii="宋体" w:hAnsi="宋体" w:cs="宋体"/>
                <w:b/>
                <w:bCs/>
                <w:color w:val="FF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127"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深铁懿府三期</w:t>
            </w:r>
          </w:p>
        </w:tc>
        <w:tc>
          <w:tcPr>
            <w:tcW w:w="564"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w:t>
            </w:r>
          </w:p>
        </w:tc>
        <w:tc>
          <w:tcPr>
            <w:tcW w:w="844"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营销中心开放</w:t>
            </w:r>
          </w:p>
        </w:tc>
        <w:tc>
          <w:tcPr>
            <w:tcW w:w="1130"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685"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1697"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6场</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78"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127" w:type="dxa"/>
            <w:vMerge w:val="continue"/>
            <w:vAlign w:val="center"/>
          </w:tcPr>
          <w:p>
            <w:pPr>
              <w:widowControl/>
              <w:jc w:val="left"/>
              <w:rPr>
                <w:rFonts w:ascii="宋体" w:hAnsi="宋体" w:cs="宋体"/>
                <w:color w:val="000000"/>
                <w:kern w:val="0"/>
                <w:sz w:val="15"/>
                <w:szCs w:val="15"/>
              </w:rPr>
            </w:pPr>
          </w:p>
        </w:tc>
        <w:tc>
          <w:tcPr>
            <w:tcW w:w="564"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报价</w:t>
            </w:r>
          </w:p>
        </w:tc>
        <w:tc>
          <w:tcPr>
            <w:tcW w:w="844"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1130"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685"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675"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6 </w:t>
            </w:r>
          </w:p>
        </w:tc>
        <w:tc>
          <w:tcPr>
            <w:tcW w:w="0" w:type="auto"/>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878" w:type="dxa"/>
            <w:vMerge w:val="continue"/>
            <w:vAlign w:val="center"/>
          </w:tcPr>
          <w:p>
            <w:pPr>
              <w:widowControl/>
              <w:jc w:val="left"/>
              <w:rPr>
                <w:rFonts w:ascii="宋体" w:hAnsi="宋体" w:cs="宋体"/>
                <w:b/>
                <w:bCs/>
                <w:color w:val="FF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127"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深铁赤湾项目一期</w:t>
            </w:r>
          </w:p>
        </w:tc>
        <w:tc>
          <w:tcPr>
            <w:tcW w:w="564"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w:t>
            </w:r>
          </w:p>
        </w:tc>
        <w:tc>
          <w:tcPr>
            <w:tcW w:w="844"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展厅开放</w:t>
            </w:r>
          </w:p>
        </w:tc>
        <w:tc>
          <w:tcPr>
            <w:tcW w:w="1130"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685"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1697"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5场</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78"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127" w:type="dxa"/>
            <w:vMerge w:val="continue"/>
            <w:vAlign w:val="center"/>
          </w:tcPr>
          <w:p>
            <w:pPr>
              <w:widowControl/>
              <w:jc w:val="left"/>
              <w:rPr>
                <w:rFonts w:ascii="宋体" w:hAnsi="宋体" w:cs="宋体"/>
                <w:color w:val="000000"/>
                <w:kern w:val="0"/>
                <w:sz w:val="15"/>
                <w:szCs w:val="15"/>
              </w:rPr>
            </w:pPr>
          </w:p>
        </w:tc>
        <w:tc>
          <w:tcPr>
            <w:tcW w:w="564"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报价</w:t>
            </w:r>
          </w:p>
        </w:tc>
        <w:tc>
          <w:tcPr>
            <w:tcW w:w="844"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1130"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685"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675"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5 </w:t>
            </w:r>
          </w:p>
        </w:tc>
        <w:tc>
          <w:tcPr>
            <w:tcW w:w="0" w:type="auto"/>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878" w:type="dxa"/>
            <w:vMerge w:val="continue"/>
            <w:vAlign w:val="center"/>
          </w:tcPr>
          <w:p>
            <w:pPr>
              <w:widowControl/>
              <w:jc w:val="left"/>
              <w:rPr>
                <w:rFonts w:ascii="宋体" w:hAnsi="宋体" w:cs="宋体"/>
                <w:b/>
                <w:bCs/>
                <w:color w:val="FF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127"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深铁瑞城三期</w:t>
            </w:r>
          </w:p>
        </w:tc>
        <w:tc>
          <w:tcPr>
            <w:tcW w:w="564"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w:t>
            </w:r>
          </w:p>
        </w:tc>
        <w:tc>
          <w:tcPr>
            <w:tcW w:w="844"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样板房开放</w:t>
            </w:r>
          </w:p>
        </w:tc>
        <w:tc>
          <w:tcPr>
            <w:tcW w:w="1130" w:type="dxa"/>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答谢活动</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1916"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5场</w:t>
            </w:r>
          </w:p>
        </w:tc>
        <w:tc>
          <w:tcPr>
            <w:tcW w:w="1697"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8场</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78"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127" w:type="dxa"/>
            <w:vMerge w:val="continue"/>
            <w:vAlign w:val="center"/>
          </w:tcPr>
          <w:p>
            <w:pPr>
              <w:widowControl/>
              <w:jc w:val="left"/>
              <w:rPr>
                <w:rFonts w:ascii="宋体" w:hAnsi="宋体" w:cs="宋体"/>
                <w:color w:val="000000"/>
                <w:kern w:val="0"/>
                <w:sz w:val="15"/>
                <w:szCs w:val="15"/>
              </w:rPr>
            </w:pPr>
          </w:p>
        </w:tc>
        <w:tc>
          <w:tcPr>
            <w:tcW w:w="564"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报价</w:t>
            </w:r>
          </w:p>
        </w:tc>
        <w:tc>
          <w:tcPr>
            <w:tcW w:w="844"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1130"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w:t>
            </w:r>
          </w:p>
        </w:tc>
        <w:tc>
          <w:tcPr>
            <w:tcW w:w="0" w:type="auto"/>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5 </w:t>
            </w:r>
          </w:p>
        </w:tc>
        <w:tc>
          <w:tcPr>
            <w:tcW w:w="685" w:type="dxa"/>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675"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8 </w:t>
            </w:r>
          </w:p>
        </w:tc>
        <w:tc>
          <w:tcPr>
            <w:tcW w:w="0" w:type="auto"/>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878" w:type="dxa"/>
            <w:vMerge w:val="continue"/>
            <w:vAlign w:val="center"/>
          </w:tcPr>
          <w:p>
            <w:pPr>
              <w:widowControl/>
              <w:jc w:val="left"/>
              <w:rPr>
                <w:rFonts w:ascii="宋体" w:hAnsi="宋体" w:cs="宋体"/>
                <w:b/>
                <w:bCs/>
                <w:color w:val="FF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127" w:type="dxa"/>
            <w:vMerge w:val="restart"/>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山海漫街</w:t>
            </w:r>
          </w:p>
        </w:tc>
        <w:tc>
          <w:tcPr>
            <w:tcW w:w="564"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活动</w:t>
            </w:r>
          </w:p>
        </w:tc>
        <w:tc>
          <w:tcPr>
            <w:tcW w:w="844"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1130" w:type="dxa"/>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0" w:type="auto"/>
            <w:shd w:val="clear" w:color="000000" w:fill="404040"/>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w:t>
            </w:r>
          </w:p>
        </w:tc>
        <w:tc>
          <w:tcPr>
            <w:tcW w:w="1916"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5场</w:t>
            </w:r>
          </w:p>
        </w:tc>
        <w:tc>
          <w:tcPr>
            <w:tcW w:w="1697" w:type="dxa"/>
            <w:gridSpan w:val="3"/>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5场</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878" w:type="dxa"/>
            <w:vMerge w:val="restart"/>
            <w:shd w:val="clear" w:color="auto" w:fill="auto"/>
            <w:vAlign w:val="center"/>
          </w:tcPr>
          <w:p>
            <w:pPr>
              <w:widowControl/>
              <w:jc w:val="right"/>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27" w:type="dxa"/>
            <w:vMerge w:val="continue"/>
            <w:vAlign w:val="center"/>
          </w:tcPr>
          <w:p>
            <w:pPr>
              <w:widowControl/>
              <w:jc w:val="left"/>
              <w:rPr>
                <w:rFonts w:ascii="宋体" w:hAnsi="宋体" w:cs="宋体"/>
                <w:color w:val="000000"/>
                <w:kern w:val="0"/>
                <w:sz w:val="15"/>
                <w:szCs w:val="15"/>
              </w:rPr>
            </w:pPr>
          </w:p>
        </w:tc>
        <w:tc>
          <w:tcPr>
            <w:tcW w:w="564" w:type="dxa"/>
            <w:shd w:val="clear" w:color="auto" w:fill="auto"/>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报价</w:t>
            </w:r>
          </w:p>
        </w:tc>
        <w:tc>
          <w:tcPr>
            <w:tcW w:w="844" w:type="dxa"/>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1130" w:type="dxa"/>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0" w:type="auto"/>
            <w:shd w:val="clear" w:color="000000" w:fill="404040"/>
            <w:vAlign w:val="center"/>
          </w:tcPr>
          <w:p>
            <w:pPr>
              <w:widowControl/>
              <w:jc w:val="center"/>
              <w:rPr>
                <w:rFonts w:ascii="宋体" w:hAnsi="宋体" w:cs="宋体"/>
                <w:color w:val="000000"/>
                <w:kern w:val="0"/>
                <w:sz w:val="15"/>
                <w:szCs w:val="15"/>
              </w:rPr>
            </w:pPr>
            <w:r>
              <w:rPr>
                <w:rFonts w:hint="eastAsia" w:ascii="宋体" w:hAnsi="宋体" w:cs="宋体"/>
                <w:color w:val="000000"/>
                <w:kern w:val="0"/>
                <w:sz w:val="15"/>
                <w:szCs w:val="15"/>
              </w:rPr>
              <w:t>/</w:t>
            </w:r>
          </w:p>
        </w:tc>
        <w:tc>
          <w:tcPr>
            <w:tcW w:w="0" w:type="auto"/>
            <w:shd w:val="clear" w:color="auto" w:fill="auto"/>
            <w:vAlign w:val="center"/>
          </w:tcPr>
          <w:p>
            <w:pPr>
              <w:widowControl/>
              <w:jc w:val="center"/>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5 </w:t>
            </w:r>
          </w:p>
        </w:tc>
        <w:tc>
          <w:tcPr>
            <w:tcW w:w="685"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675" w:type="dxa"/>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shd w:val="clear" w:color="auto" w:fill="auto"/>
            <w:vAlign w:val="center"/>
          </w:tcPr>
          <w:p>
            <w:pPr>
              <w:widowControl/>
              <w:jc w:val="center"/>
              <w:rPr>
                <w:rFonts w:ascii="宋体" w:hAnsi="宋体" w:cs="宋体"/>
                <w:b/>
                <w:bCs/>
                <w:color w:val="000000"/>
                <w:kern w:val="0"/>
                <w:sz w:val="15"/>
                <w:szCs w:val="15"/>
              </w:rPr>
            </w:pPr>
            <w:r>
              <w:rPr>
                <w:rFonts w:hint="eastAsia" w:ascii="宋体" w:hAnsi="宋体" w:cs="宋体"/>
                <w:b/>
                <w:bCs/>
                <w:color w:val="000000"/>
                <w:kern w:val="0"/>
                <w:sz w:val="15"/>
                <w:szCs w:val="15"/>
              </w:rPr>
              <w:t xml:space="preserve">5 </w:t>
            </w:r>
          </w:p>
        </w:tc>
        <w:tc>
          <w:tcPr>
            <w:tcW w:w="0" w:type="auto"/>
            <w:shd w:val="clear" w:color="auto" w:fill="auto"/>
            <w:vAlign w:val="center"/>
          </w:tcPr>
          <w:p>
            <w:pPr>
              <w:widowControl/>
              <w:rPr>
                <w:rFonts w:ascii="宋体" w:hAnsi="宋体" w:cs="宋体"/>
                <w:b/>
                <w:bCs/>
                <w:color w:val="FF0000"/>
                <w:kern w:val="0"/>
                <w:sz w:val="15"/>
                <w:szCs w:val="15"/>
              </w:rPr>
            </w:pPr>
            <w:r>
              <w:rPr>
                <w:rFonts w:hint="eastAsia" w:ascii="宋体" w:hAnsi="宋体" w:cs="宋体"/>
                <w:b/>
                <w:bCs/>
                <w:color w:val="FF0000"/>
                <w:kern w:val="0"/>
                <w:sz w:val="15"/>
                <w:szCs w:val="15"/>
                <w:u w:val="single"/>
              </w:rPr>
              <w:t xml:space="preserve">   </w:t>
            </w:r>
            <w:r>
              <w:rPr>
                <w:rFonts w:hint="eastAsia" w:ascii="宋体" w:hAnsi="宋体" w:cs="宋体"/>
                <w:b/>
                <w:bCs/>
                <w:color w:val="FF0000"/>
                <w:kern w:val="0"/>
                <w:sz w:val="15"/>
                <w:szCs w:val="15"/>
              </w:rPr>
              <w:t>元</w:t>
            </w: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0" w:type="auto"/>
            <w:vMerge w:val="continue"/>
            <w:vAlign w:val="center"/>
          </w:tcPr>
          <w:p>
            <w:pPr>
              <w:widowControl/>
              <w:jc w:val="left"/>
              <w:rPr>
                <w:rFonts w:ascii="宋体" w:hAnsi="宋体" w:cs="宋体"/>
                <w:b/>
                <w:bCs/>
                <w:color w:val="FF0000"/>
                <w:kern w:val="0"/>
                <w:sz w:val="15"/>
                <w:szCs w:val="15"/>
              </w:rPr>
            </w:pPr>
          </w:p>
        </w:tc>
        <w:tc>
          <w:tcPr>
            <w:tcW w:w="878" w:type="dxa"/>
            <w:vMerge w:val="continue"/>
            <w:vAlign w:val="center"/>
          </w:tcPr>
          <w:p>
            <w:pPr>
              <w:widowControl/>
              <w:jc w:val="left"/>
              <w:rPr>
                <w:rFonts w:ascii="宋体" w:hAnsi="宋体" w:cs="宋体"/>
                <w:b/>
                <w:bCs/>
                <w:color w:val="FF0000"/>
                <w:kern w:val="0"/>
                <w:sz w:val="15"/>
                <w:szCs w:val="15"/>
              </w:rPr>
            </w:pPr>
          </w:p>
        </w:tc>
      </w:tr>
    </w:tbl>
    <w:p>
      <w:pPr>
        <w:snapToGrid w:val="0"/>
        <w:spacing w:before="240" w:line="360" w:lineRule="auto"/>
        <w:rPr>
          <w:rFonts w:ascii="宋体" w:hAnsi="宋体"/>
          <w:color w:val="0D0D0D" w:themeColor="text1" w:themeTint="F2"/>
          <w:sz w:val="22"/>
          <w:szCs w:val="18"/>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注：</w:t>
      </w:r>
      <w:r>
        <w:rPr>
          <w:rFonts w:ascii="宋体" w:hAnsi="宋体"/>
          <w:color w:val="0D0D0D" w:themeColor="text1" w:themeTint="F2"/>
          <w:sz w:val="22"/>
          <w:szCs w:val="18"/>
          <w14:textFill>
            <w14:solidFill>
              <w14:schemeClr w14:val="tx1">
                <w14:lumMod w14:val="95000"/>
                <w14:lumOff w14:val="5000"/>
              </w14:schemeClr>
            </w14:solidFill>
          </w14:textFill>
        </w:rPr>
        <w:t>1、</w:t>
      </w:r>
      <w:r>
        <w:rPr>
          <w:rFonts w:hint="eastAsia" w:ascii="宋体" w:hAnsi="宋体"/>
          <w:color w:val="0D0D0D" w:themeColor="text1" w:themeTint="F2"/>
          <w:sz w:val="22"/>
          <w:szCs w:val="18"/>
          <w14:textFill>
            <w14:solidFill>
              <w14:schemeClr w14:val="tx1">
                <w14:lumMod w14:val="95000"/>
                <w14:lumOff w14:val="5000"/>
              </w14:schemeClr>
            </w14:solidFill>
          </w14:textFill>
        </w:rPr>
        <w:t>以上服务费报价</w:t>
      </w:r>
      <w:r>
        <w:rPr>
          <w:rFonts w:hint="eastAsia" w:ascii="宋体" w:hAnsi="宋体"/>
          <w:color w:val="0D0D0D" w:themeColor="text1" w:themeTint="F2"/>
          <w:sz w:val="22"/>
          <w:szCs w:val="22"/>
          <w14:textFill>
            <w14:solidFill>
              <w14:schemeClr w14:val="tx1">
                <w14:lumMod w14:val="95000"/>
                <w14:lumOff w14:val="5000"/>
              </w14:schemeClr>
            </w14:solidFill>
          </w14:textFill>
        </w:rPr>
        <w:t>为人民币，</w:t>
      </w:r>
      <w:r>
        <w:rPr>
          <w:rFonts w:hint="eastAsia" w:ascii="宋体" w:hAnsi="宋体"/>
          <w:color w:val="0D0D0D" w:themeColor="text1" w:themeTint="F2"/>
          <w:sz w:val="22"/>
          <w:szCs w:val="18"/>
          <w14:textFill>
            <w14:solidFill>
              <w14:schemeClr w14:val="tx1">
                <w14:lumMod w14:val="95000"/>
                <w14:lumOff w14:val="5000"/>
              </w14:schemeClr>
            </w14:solidFill>
          </w14:textFill>
        </w:rPr>
        <w:t>取整数，精确到元。</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2</w:t>
      </w:r>
      <w:r>
        <w:rPr>
          <w:rFonts w:hint="eastAsia" w:ascii="宋体" w:hAnsi="宋体"/>
          <w:color w:val="0D0D0D" w:themeColor="text1" w:themeTint="F2"/>
          <w:sz w:val="22"/>
          <w:szCs w:val="22"/>
          <w14:textFill>
            <w14:solidFill>
              <w14:schemeClr w14:val="tx1">
                <w14:lumMod w14:val="95000"/>
                <w14:lumOff w14:val="5000"/>
              </w14:schemeClr>
            </w14:solidFill>
          </w14:textFill>
        </w:rPr>
        <w:t>．</w:t>
      </w:r>
      <w:r>
        <w:rPr>
          <w:rFonts w:hint="eastAsia" w:hAnsi="宋体"/>
          <w:color w:val="0D0D0D" w:themeColor="text1" w:themeTint="F2"/>
          <w:sz w:val="22"/>
          <w:szCs w:val="18"/>
          <w14:textFill>
            <w14:solidFill>
              <w14:schemeClr w14:val="tx1">
                <w14:lumMod w14:val="95000"/>
                <w14:lumOff w14:val="5000"/>
              </w14:schemeClr>
            </w14:solidFill>
          </w14:textFill>
        </w:rPr>
        <w:t>以上服务费</w:t>
      </w:r>
      <w:r>
        <w:rPr>
          <w:rFonts w:hint="eastAsia" w:hAnsi="宋体"/>
          <w:color w:val="0D0D0D" w:themeColor="text1" w:themeTint="F2"/>
          <w:sz w:val="22"/>
          <w:szCs w:val="22"/>
          <w14:textFill>
            <w14:solidFill>
              <w14:schemeClr w14:val="tx1">
                <w14:lumMod w14:val="95000"/>
                <w14:lumOff w14:val="5000"/>
              </w14:schemeClr>
            </w14:solidFill>
          </w14:textFill>
        </w:rPr>
        <w:t>为含税价，</w:t>
      </w:r>
      <w:r>
        <w:rPr>
          <w:rFonts w:hint="eastAsia" w:ascii="宋体" w:hAnsi="宋体"/>
          <w:color w:val="0D0D0D" w:themeColor="text1" w:themeTint="F2"/>
          <w:sz w:val="22"/>
          <w:szCs w:val="22"/>
          <w14:textFill>
            <w14:solidFill>
              <w14:schemeClr w14:val="tx1">
                <w14:lumMod w14:val="95000"/>
                <w14:lumOff w14:val="5000"/>
              </w14:schemeClr>
            </w14:solidFill>
          </w14:textFill>
        </w:rPr>
        <w:t>报价已</w:t>
      </w:r>
      <w:r>
        <w:rPr>
          <w:rFonts w:hint="eastAsia" w:hAnsi="宋体"/>
          <w:color w:val="0D0D0D" w:themeColor="text1" w:themeTint="F2"/>
          <w:sz w:val="22"/>
          <w:szCs w:val="22"/>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2"/>
          <w:szCs w:val="22"/>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2"/>
          <w:szCs w:val="22"/>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2"/>
          <w:szCs w:val="22"/>
          <w14:textFill>
            <w14:solidFill>
              <w14:schemeClr w14:val="tx1">
                <w14:lumMod w14:val="95000"/>
                <w14:lumOff w14:val="5000"/>
              </w14:schemeClr>
            </w14:solidFill>
          </w14:textFill>
        </w:rPr>
        <w:t>。</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hint="eastAsia" w:ascii="宋体" w:hAnsi="宋体"/>
          <w:color w:val="0D0D0D" w:themeColor="text1" w:themeTint="F2"/>
          <w:sz w:val="22"/>
          <w:szCs w:val="22"/>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4</w:t>
      </w:r>
      <w:r>
        <w:rPr>
          <w:rFonts w:hint="eastAsia" w:ascii="宋体" w:hAnsi="宋体"/>
          <w:color w:val="0D0D0D" w:themeColor="text1" w:themeTint="F2"/>
          <w:sz w:val="22"/>
          <w:szCs w:val="22"/>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40" w:firstLineChars="200"/>
        <w:rPr>
          <w:rFonts w:ascii="宋体" w:hAnsi="宋体"/>
          <w:color w:val="0D0D0D" w:themeColor="text1" w:themeTint="F2"/>
          <w:sz w:val="22"/>
          <w:szCs w:val="22"/>
          <w14:textFill>
            <w14:solidFill>
              <w14:schemeClr w14:val="tx1">
                <w14:lumMod w14:val="95000"/>
                <w14:lumOff w14:val="5000"/>
              </w14:schemeClr>
            </w14:solidFill>
          </w14:textFill>
        </w:rPr>
      </w:pPr>
      <w:r>
        <w:rPr>
          <w:rFonts w:ascii="宋体" w:hAnsi="宋体"/>
          <w:color w:val="0D0D0D" w:themeColor="text1" w:themeTint="F2"/>
          <w:sz w:val="22"/>
          <w:szCs w:val="22"/>
          <w14:textFill>
            <w14:solidFill>
              <w14:schemeClr w14:val="tx1">
                <w14:lumMod w14:val="95000"/>
                <w14:lumOff w14:val="5000"/>
              </w14:schemeClr>
            </w14:solidFill>
          </w14:textFill>
        </w:rPr>
        <w:t>5</w:t>
      </w:r>
      <w:r>
        <w:rPr>
          <w:rFonts w:hint="eastAsia" w:ascii="宋体" w:hAnsi="宋体"/>
          <w:color w:val="0D0D0D" w:themeColor="text1" w:themeTint="F2"/>
          <w:sz w:val="22"/>
          <w:szCs w:val="22"/>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2"/>
          <w:szCs w:val="18"/>
          <w14:textFill>
            <w14:solidFill>
              <w14:schemeClr w14:val="tx1">
                <w14:lumMod w14:val="95000"/>
                <w14:lumOff w14:val="5000"/>
              </w14:schemeClr>
            </w14:solidFill>
          </w14:textFill>
        </w:rPr>
      </w:pPr>
      <w:r>
        <w:rPr>
          <w:rFonts w:ascii="宋体" w:hAnsi="宋体"/>
          <w:color w:val="0D0D0D" w:themeColor="text1" w:themeTint="F2"/>
          <w:sz w:val="22"/>
          <w:szCs w:val="18"/>
          <w14:textFill>
            <w14:solidFill>
              <w14:schemeClr w14:val="tx1">
                <w14:lumMod w14:val="95000"/>
                <w14:lumOff w14:val="5000"/>
              </w14:schemeClr>
            </w14:solidFill>
          </w14:textFill>
        </w:rPr>
        <w:t>参选人：（盖章）</w:t>
      </w:r>
      <w:r>
        <w:rPr>
          <w:rFonts w:ascii="宋体" w:hAnsi="宋体"/>
          <w:color w:val="0D0D0D" w:themeColor="text1" w:themeTint="F2"/>
          <w:sz w:val="22"/>
          <w:szCs w:val="18"/>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2"/>
          <w:szCs w:val="18"/>
          <w:u w:val="single"/>
          <w14:textFill>
            <w14:solidFill>
              <w14:schemeClr w14:val="tx1">
                <w14:lumMod w14:val="95000"/>
                <w14:lumOff w14:val="5000"/>
              </w14:schemeClr>
            </w14:solidFill>
          </w14:textFill>
        </w:rPr>
      </w:pPr>
      <w:r>
        <w:rPr>
          <w:rFonts w:ascii="宋体" w:hAnsi="宋体"/>
          <w:color w:val="0D0D0D" w:themeColor="text1" w:themeTint="F2"/>
          <w:sz w:val="22"/>
          <w:szCs w:val="18"/>
          <w14:textFill>
            <w14:solidFill>
              <w14:schemeClr w14:val="tx1">
                <w14:lumMod w14:val="95000"/>
                <w14:lumOff w14:val="5000"/>
              </w14:schemeClr>
            </w14:solidFill>
          </w14:textFill>
        </w:rPr>
        <w:t>法人代表或授权</w:t>
      </w:r>
      <w:r>
        <w:rPr>
          <w:rFonts w:hint="eastAsia" w:ascii="宋体" w:hAnsi="宋体"/>
          <w:color w:val="0D0D0D" w:themeColor="text1" w:themeTint="F2"/>
          <w:sz w:val="22"/>
          <w:szCs w:val="18"/>
          <w14:textFill>
            <w14:solidFill>
              <w14:schemeClr w14:val="tx1">
                <w14:lumMod w14:val="95000"/>
                <w14:lumOff w14:val="5000"/>
              </w14:schemeClr>
            </w14:solidFill>
          </w14:textFill>
        </w:rPr>
        <w:t>委托</w:t>
      </w:r>
      <w:r>
        <w:rPr>
          <w:rFonts w:ascii="宋体" w:hAnsi="宋体"/>
          <w:color w:val="0D0D0D" w:themeColor="text1" w:themeTint="F2"/>
          <w:sz w:val="22"/>
          <w:szCs w:val="18"/>
          <w14:textFill>
            <w14:solidFill>
              <w14:schemeClr w14:val="tx1">
                <w14:lumMod w14:val="95000"/>
                <w14:lumOff w14:val="5000"/>
              </w14:schemeClr>
            </w14:solidFill>
          </w14:textFill>
        </w:rPr>
        <w:t>代理人：</w:t>
      </w:r>
      <w:r>
        <w:rPr>
          <w:rFonts w:ascii="宋体" w:hAnsi="宋体"/>
          <w:color w:val="0D0D0D" w:themeColor="text1" w:themeTint="F2"/>
          <w:sz w:val="22"/>
          <w:szCs w:val="18"/>
          <w:u w:val="single"/>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2"/>
          <w:szCs w:val="18"/>
          <w14:textFill>
            <w14:solidFill>
              <w14:schemeClr w14:val="tx1">
                <w14:lumMod w14:val="95000"/>
                <w14:lumOff w14:val="5000"/>
              </w14:schemeClr>
            </w14:solidFill>
          </w14:textFill>
        </w:rPr>
      </w:pPr>
      <w:r>
        <w:rPr>
          <w:rFonts w:hAnsi="宋体"/>
          <w:color w:val="0D0D0D" w:themeColor="text1" w:themeTint="F2"/>
          <w:kern w:val="2"/>
          <w:sz w:val="22"/>
          <w:szCs w:val="18"/>
          <w14:textFill>
            <w14:solidFill>
              <w14:schemeClr w14:val="tx1">
                <w14:lumMod w14:val="95000"/>
                <w14:lumOff w14:val="5000"/>
              </w14:schemeClr>
            </w14:solidFill>
          </w14:textFill>
        </w:rPr>
        <w:t>日    期：</w:t>
      </w:r>
      <w:r>
        <w:rPr>
          <w:rFonts w:hAnsi="宋体"/>
          <w:color w:val="0D0D0D" w:themeColor="text1" w:themeTint="F2"/>
          <w:kern w:val="2"/>
          <w:sz w:val="22"/>
          <w:szCs w:val="18"/>
          <w:u w:val="single"/>
          <w14:textFill>
            <w14:solidFill>
              <w14:schemeClr w14:val="tx1">
                <w14:lumMod w14:val="95000"/>
                <w14:lumOff w14:val="5000"/>
              </w14:schemeClr>
            </w14:solidFill>
          </w14:textFill>
        </w:rPr>
        <w:t xml:space="preserve">      </w:t>
      </w:r>
      <w:r>
        <w:rPr>
          <w:rFonts w:hAnsi="宋体"/>
          <w:color w:val="0D0D0D" w:themeColor="text1" w:themeTint="F2"/>
          <w:kern w:val="2"/>
          <w:sz w:val="22"/>
          <w:szCs w:val="18"/>
          <w14:textFill>
            <w14:solidFill>
              <w14:schemeClr w14:val="tx1">
                <w14:lumMod w14:val="95000"/>
                <w14:lumOff w14:val="5000"/>
              </w14:schemeClr>
            </w14:solidFill>
          </w14:textFill>
        </w:rPr>
        <w:t>年</w:t>
      </w:r>
      <w:r>
        <w:rPr>
          <w:rFonts w:hAnsi="宋体"/>
          <w:color w:val="0D0D0D" w:themeColor="text1" w:themeTint="F2"/>
          <w:kern w:val="2"/>
          <w:sz w:val="22"/>
          <w:szCs w:val="18"/>
          <w:u w:val="single"/>
          <w14:textFill>
            <w14:solidFill>
              <w14:schemeClr w14:val="tx1">
                <w14:lumMod w14:val="95000"/>
                <w14:lumOff w14:val="5000"/>
              </w14:schemeClr>
            </w14:solidFill>
          </w14:textFill>
        </w:rPr>
        <w:t xml:space="preserve">    </w:t>
      </w:r>
      <w:r>
        <w:rPr>
          <w:rFonts w:hAnsi="宋体"/>
          <w:color w:val="0D0D0D" w:themeColor="text1" w:themeTint="F2"/>
          <w:kern w:val="2"/>
          <w:sz w:val="22"/>
          <w:szCs w:val="18"/>
          <w14:textFill>
            <w14:solidFill>
              <w14:schemeClr w14:val="tx1">
                <w14:lumMod w14:val="95000"/>
                <w14:lumOff w14:val="5000"/>
              </w14:schemeClr>
            </w14:solidFill>
          </w14:textFill>
        </w:rPr>
        <w:t>月</w:t>
      </w:r>
      <w:r>
        <w:rPr>
          <w:rFonts w:hAnsi="宋体"/>
          <w:color w:val="0D0D0D" w:themeColor="text1" w:themeTint="F2"/>
          <w:kern w:val="2"/>
          <w:sz w:val="22"/>
          <w:szCs w:val="18"/>
          <w:u w:val="single"/>
          <w14:textFill>
            <w14:solidFill>
              <w14:schemeClr w14:val="tx1">
                <w14:lumMod w14:val="95000"/>
                <w14:lumOff w14:val="5000"/>
              </w14:schemeClr>
            </w14:solidFill>
          </w14:textFill>
        </w:rPr>
        <w:t xml:space="preserve">    </w:t>
      </w:r>
      <w:r>
        <w:rPr>
          <w:rFonts w:hAnsi="宋体"/>
          <w:color w:val="0D0D0D" w:themeColor="text1" w:themeTint="F2"/>
          <w:kern w:val="2"/>
          <w:sz w:val="22"/>
          <w:szCs w:val="18"/>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2"/>
          <w:szCs w:val="18"/>
          <w14:textFill>
            <w14:solidFill>
              <w14:schemeClr w14:val="tx1">
                <w14:lumMod w14:val="95000"/>
                <w14:lumOff w14:val="5000"/>
              </w14:schemeClr>
            </w14:solidFill>
          </w14:textFill>
        </w:rPr>
        <w:t xml:space="preserve"> </w:t>
      </w:r>
    </w:p>
    <w:p>
      <w:pPr>
        <w:pStyle w:val="24"/>
        <w:tabs>
          <w:tab w:val="left" w:pos="1134"/>
        </w:tabs>
        <w:adjustRightInd/>
        <w:spacing w:before="120" w:beforeLines="50" w:line="460" w:lineRule="exact"/>
        <w:textAlignment w:val="auto"/>
        <w:rPr>
          <w:rFonts w:ascii="Times New Roman" w:hAnsi="Times New Roman"/>
          <w:color w:val="0D0D0D" w:themeColor="text1" w:themeTint="F2"/>
          <w:kern w:val="2"/>
          <w:sz w:val="22"/>
          <w:szCs w:val="18"/>
          <w14:textFill>
            <w14:solidFill>
              <w14:schemeClr w14:val="tx1">
                <w14:lumMod w14:val="95000"/>
                <w14:lumOff w14:val="5000"/>
              </w14:schemeClr>
            </w14:solidFill>
          </w14:textFill>
        </w:rPr>
      </w:pP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项目</w:t>
      </w:r>
      <w: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t>1</w:t>
      </w: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：深铁璟城一期项目展示区开放系列活动、现场包装及宣传推广服务报价清单</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tbl>
      <w:tblPr>
        <w:tblStyle w:val="47"/>
        <w:tblW w:w="9929" w:type="dxa"/>
        <w:tblInd w:w="0" w:type="dxa"/>
        <w:tblLayout w:type="autofit"/>
        <w:tblCellMar>
          <w:top w:w="0" w:type="dxa"/>
          <w:left w:w="108" w:type="dxa"/>
          <w:bottom w:w="0" w:type="dxa"/>
          <w:right w:w="108" w:type="dxa"/>
        </w:tblCellMar>
      </w:tblPr>
      <w:tblGrid>
        <w:gridCol w:w="1000"/>
        <w:gridCol w:w="2236"/>
        <w:gridCol w:w="1549"/>
        <w:gridCol w:w="1378"/>
        <w:gridCol w:w="1353"/>
        <w:gridCol w:w="1268"/>
        <w:gridCol w:w="1145"/>
      </w:tblGrid>
      <w:tr>
        <w:tblPrEx>
          <w:tblCellMar>
            <w:top w:w="0" w:type="dxa"/>
            <w:left w:w="108" w:type="dxa"/>
            <w:bottom w:w="0" w:type="dxa"/>
            <w:right w:w="108" w:type="dxa"/>
          </w:tblCellMar>
        </w:tblPrEx>
        <w:trPr>
          <w:trHeight w:val="1444" w:hRule="atLeast"/>
        </w:trPr>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2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54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不含税总价（元）</w:t>
            </w:r>
          </w:p>
        </w:tc>
        <w:tc>
          <w:tcPr>
            <w:tcW w:w="137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3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增值税额（元）</w:t>
            </w:r>
          </w:p>
        </w:tc>
        <w:tc>
          <w:tcPr>
            <w:tcW w:w="12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含税总价（元）</w:t>
            </w:r>
          </w:p>
        </w:tc>
        <w:tc>
          <w:tcPr>
            <w:tcW w:w="11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上限价</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含税总价（万元）</w:t>
            </w:r>
          </w:p>
        </w:tc>
      </w:tr>
      <w:tr>
        <w:tblPrEx>
          <w:tblCellMar>
            <w:top w:w="0" w:type="dxa"/>
            <w:left w:w="108" w:type="dxa"/>
            <w:bottom w:w="0" w:type="dxa"/>
            <w:right w:w="108" w:type="dxa"/>
          </w:tblCellMar>
        </w:tblPrEx>
        <w:trPr>
          <w:trHeight w:val="361" w:hRule="atLeast"/>
        </w:trPr>
        <w:tc>
          <w:tcPr>
            <w:tcW w:w="10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2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营销中心开放活动</w:t>
            </w:r>
          </w:p>
        </w:tc>
        <w:tc>
          <w:tcPr>
            <w:tcW w:w="154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32 </w:t>
            </w:r>
          </w:p>
        </w:tc>
      </w:tr>
      <w:tr>
        <w:tblPrEx>
          <w:tblCellMar>
            <w:top w:w="0" w:type="dxa"/>
            <w:left w:w="108" w:type="dxa"/>
            <w:bottom w:w="0" w:type="dxa"/>
            <w:right w:w="108" w:type="dxa"/>
          </w:tblCellMar>
        </w:tblPrEx>
        <w:trPr>
          <w:trHeight w:val="361" w:hRule="atLeast"/>
        </w:trPr>
        <w:tc>
          <w:tcPr>
            <w:tcW w:w="10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2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展厅开放活动</w:t>
            </w:r>
          </w:p>
        </w:tc>
        <w:tc>
          <w:tcPr>
            <w:tcW w:w="154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45 </w:t>
            </w:r>
          </w:p>
        </w:tc>
      </w:tr>
      <w:tr>
        <w:tblPrEx>
          <w:tblCellMar>
            <w:top w:w="0" w:type="dxa"/>
            <w:left w:w="108" w:type="dxa"/>
            <w:bottom w:w="0" w:type="dxa"/>
            <w:right w:w="108" w:type="dxa"/>
          </w:tblCellMar>
        </w:tblPrEx>
        <w:trPr>
          <w:trHeight w:val="361" w:hRule="atLeast"/>
        </w:trPr>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2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拓客活动单场报价</w:t>
            </w:r>
          </w:p>
        </w:tc>
        <w:tc>
          <w:tcPr>
            <w:tcW w:w="154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5.00 </w:t>
            </w:r>
          </w:p>
        </w:tc>
      </w:tr>
      <w:tr>
        <w:tblPrEx>
          <w:tblCellMar>
            <w:top w:w="0" w:type="dxa"/>
            <w:left w:w="108" w:type="dxa"/>
            <w:bottom w:w="0" w:type="dxa"/>
            <w:right w:w="108" w:type="dxa"/>
          </w:tblCellMar>
        </w:tblPrEx>
        <w:trPr>
          <w:trHeight w:val="361" w:hRule="atLeast"/>
        </w:trPr>
        <w:tc>
          <w:tcPr>
            <w:tcW w:w="10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2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拓客活动总报价</w:t>
            </w:r>
          </w:p>
        </w:tc>
        <w:tc>
          <w:tcPr>
            <w:tcW w:w="154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25 </w:t>
            </w:r>
          </w:p>
        </w:tc>
      </w:tr>
      <w:tr>
        <w:tblPrEx>
          <w:tblCellMar>
            <w:top w:w="0" w:type="dxa"/>
            <w:left w:w="108" w:type="dxa"/>
            <w:bottom w:w="0" w:type="dxa"/>
            <w:right w:w="108" w:type="dxa"/>
          </w:tblCellMar>
        </w:tblPrEx>
        <w:trPr>
          <w:trHeight w:val="361" w:hRule="atLeast"/>
        </w:trPr>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暖场活动单场报价</w:t>
            </w:r>
          </w:p>
        </w:tc>
        <w:tc>
          <w:tcPr>
            <w:tcW w:w="154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4.00 </w:t>
            </w:r>
          </w:p>
        </w:tc>
      </w:tr>
      <w:tr>
        <w:tblPrEx>
          <w:tblCellMar>
            <w:top w:w="0" w:type="dxa"/>
            <w:left w:w="108" w:type="dxa"/>
            <w:bottom w:w="0" w:type="dxa"/>
            <w:right w:w="108" w:type="dxa"/>
          </w:tblCellMar>
        </w:tblPrEx>
        <w:trPr>
          <w:trHeight w:val="361" w:hRule="atLeast"/>
        </w:trPr>
        <w:tc>
          <w:tcPr>
            <w:tcW w:w="10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2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暖场活动总报价</w:t>
            </w:r>
          </w:p>
        </w:tc>
        <w:tc>
          <w:tcPr>
            <w:tcW w:w="154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40 </w:t>
            </w:r>
          </w:p>
        </w:tc>
      </w:tr>
      <w:tr>
        <w:tblPrEx>
          <w:tblCellMar>
            <w:top w:w="0" w:type="dxa"/>
            <w:left w:w="108" w:type="dxa"/>
            <w:bottom w:w="0" w:type="dxa"/>
            <w:right w:w="108" w:type="dxa"/>
          </w:tblCellMar>
        </w:tblPrEx>
        <w:trPr>
          <w:trHeight w:val="361" w:hRule="atLeast"/>
        </w:trPr>
        <w:tc>
          <w:tcPr>
            <w:tcW w:w="10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2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现场包装服务</w:t>
            </w:r>
          </w:p>
        </w:tc>
        <w:tc>
          <w:tcPr>
            <w:tcW w:w="154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80 </w:t>
            </w:r>
          </w:p>
        </w:tc>
      </w:tr>
      <w:tr>
        <w:tblPrEx>
          <w:tblCellMar>
            <w:top w:w="0" w:type="dxa"/>
            <w:left w:w="108" w:type="dxa"/>
            <w:bottom w:w="0" w:type="dxa"/>
            <w:right w:w="108" w:type="dxa"/>
          </w:tblCellMar>
        </w:tblPrEx>
        <w:trPr>
          <w:trHeight w:val="361" w:hRule="atLeast"/>
        </w:trPr>
        <w:tc>
          <w:tcPr>
            <w:tcW w:w="10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22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宣传推广总报价</w:t>
            </w:r>
          </w:p>
        </w:tc>
        <w:tc>
          <w:tcPr>
            <w:tcW w:w="154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5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170 </w:t>
            </w:r>
          </w:p>
        </w:tc>
      </w:tr>
      <w:tr>
        <w:tblPrEx>
          <w:tblCellMar>
            <w:top w:w="0" w:type="dxa"/>
            <w:left w:w="108" w:type="dxa"/>
            <w:bottom w:w="0" w:type="dxa"/>
            <w:right w:w="108" w:type="dxa"/>
          </w:tblCellMar>
        </w:tblPrEx>
        <w:trPr>
          <w:trHeight w:val="361" w:hRule="atLeast"/>
        </w:trPr>
        <w:tc>
          <w:tcPr>
            <w:tcW w:w="616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135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392 </w:t>
            </w:r>
          </w:p>
        </w:tc>
      </w:tr>
    </w:tbl>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15"/>
        <w:spacing w:line="520" w:lineRule="exact"/>
        <w:ind w:firstLine="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 xml:space="preserve">日  </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项目</w:t>
      </w:r>
      <w: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t>2</w:t>
      </w: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：深铁懿府三期项目展示区开放系列活动、现场包装及宣传推广服务报价清单</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tbl>
      <w:tblPr>
        <w:tblStyle w:val="47"/>
        <w:tblW w:w="9974" w:type="dxa"/>
        <w:tblInd w:w="0" w:type="dxa"/>
        <w:tblLayout w:type="autofit"/>
        <w:tblCellMar>
          <w:top w:w="0" w:type="dxa"/>
          <w:left w:w="108" w:type="dxa"/>
          <w:bottom w:w="0" w:type="dxa"/>
          <w:right w:w="108" w:type="dxa"/>
        </w:tblCellMar>
      </w:tblPr>
      <w:tblGrid>
        <w:gridCol w:w="1005"/>
        <w:gridCol w:w="2247"/>
        <w:gridCol w:w="1557"/>
        <w:gridCol w:w="1381"/>
        <w:gridCol w:w="1360"/>
        <w:gridCol w:w="1234"/>
        <w:gridCol w:w="1190"/>
      </w:tblGrid>
      <w:tr>
        <w:tblPrEx>
          <w:tblCellMar>
            <w:top w:w="0" w:type="dxa"/>
            <w:left w:w="108" w:type="dxa"/>
            <w:bottom w:w="0" w:type="dxa"/>
            <w:right w:w="108" w:type="dxa"/>
          </w:tblCellMar>
        </w:tblPrEx>
        <w:trPr>
          <w:trHeight w:val="1466" w:hRule="atLeast"/>
        </w:trPr>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2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5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不含税总价（元）</w:t>
            </w:r>
          </w:p>
        </w:tc>
        <w:tc>
          <w:tcPr>
            <w:tcW w:w="138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3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增值税额（元）</w:t>
            </w:r>
          </w:p>
        </w:tc>
        <w:tc>
          <w:tcPr>
            <w:tcW w:w="12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含税总价（元）</w:t>
            </w:r>
          </w:p>
        </w:tc>
        <w:tc>
          <w:tcPr>
            <w:tcW w:w="119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上限价</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含税总价（万元）</w:t>
            </w:r>
          </w:p>
        </w:tc>
      </w:tr>
      <w:tr>
        <w:tblPrEx>
          <w:tblCellMar>
            <w:top w:w="0" w:type="dxa"/>
            <w:left w:w="108" w:type="dxa"/>
            <w:bottom w:w="0" w:type="dxa"/>
            <w:right w:w="108" w:type="dxa"/>
          </w:tblCellMar>
        </w:tblPrEx>
        <w:trPr>
          <w:trHeight w:val="366" w:hRule="atLeast"/>
        </w:trPr>
        <w:tc>
          <w:tcPr>
            <w:tcW w:w="100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营销中心开放活动</w:t>
            </w:r>
          </w:p>
        </w:tc>
        <w:tc>
          <w:tcPr>
            <w:tcW w:w="15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52 </w:t>
            </w:r>
          </w:p>
        </w:tc>
      </w:tr>
      <w:tr>
        <w:tblPrEx>
          <w:tblCellMar>
            <w:top w:w="0" w:type="dxa"/>
            <w:left w:w="108" w:type="dxa"/>
            <w:bottom w:w="0" w:type="dxa"/>
            <w:right w:w="108" w:type="dxa"/>
          </w:tblCellMar>
        </w:tblPrEx>
        <w:trPr>
          <w:trHeight w:val="366" w:hRule="atLeast"/>
        </w:trPr>
        <w:tc>
          <w:tcPr>
            <w:tcW w:w="100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暖场活动单场报价</w:t>
            </w:r>
          </w:p>
        </w:tc>
        <w:tc>
          <w:tcPr>
            <w:tcW w:w="15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5.00 </w:t>
            </w:r>
          </w:p>
        </w:tc>
      </w:tr>
      <w:tr>
        <w:tblPrEx>
          <w:tblCellMar>
            <w:top w:w="0" w:type="dxa"/>
            <w:left w:w="108" w:type="dxa"/>
            <w:bottom w:w="0" w:type="dxa"/>
            <w:right w:w="108" w:type="dxa"/>
          </w:tblCellMar>
        </w:tblPrEx>
        <w:trPr>
          <w:trHeight w:val="366" w:hRule="atLeast"/>
        </w:trPr>
        <w:tc>
          <w:tcPr>
            <w:tcW w:w="100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暖场活动总报价</w:t>
            </w:r>
          </w:p>
        </w:tc>
        <w:tc>
          <w:tcPr>
            <w:tcW w:w="15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30 </w:t>
            </w:r>
          </w:p>
        </w:tc>
      </w:tr>
      <w:tr>
        <w:tblPrEx>
          <w:tblCellMar>
            <w:top w:w="0" w:type="dxa"/>
            <w:left w:w="108" w:type="dxa"/>
            <w:bottom w:w="0" w:type="dxa"/>
            <w:right w:w="108" w:type="dxa"/>
          </w:tblCellMar>
        </w:tblPrEx>
        <w:trPr>
          <w:trHeight w:val="366" w:hRule="atLeast"/>
        </w:trPr>
        <w:tc>
          <w:tcPr>
            <w:tcW w:w="100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现场包装服务</w:t>
            </w:r>
          </w:p>
        </w:tc>
        <w:tc>
          <w:tcPr>
            <w:tcW w:w="15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90 </w:t>
            </w:r>
          </w:p>
        </w:tc>
      </w:tr>
      <w:tr>
        <w:tblPrEx>
          <w:tblCellMar>
            <w:top w:w="0" w:type="dxa"/>
            <w:left w:w="108" w:type="dxa"/>
            <w:bottom w:w="0" w:type="dxa"/>
            <w:right w:w="108" w:type="dxa"/>
          </w:tblCellMar>
        </w:tblPrEx>
        <w:trPr>
          <w:trHeight w:val="366" w:hRule="atLeast"/>
        </w:trPr>
        <w:tc>
          <w:tcPr>
            <w:tcW w:w="100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宣传推广总报价</w:t>
            </w:r>
          </w:p>
        </w:tc>
        <w:tc>
          <w:tcPr>
            <w:tcW w:w="15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60 </w:t>
            </w:r>
          </w:p>
        </w:tc>
      </w:tr>
      <w:tr>
        <w:tblPrEx>
          <w:tblCellMar>
            <w:top w:w="0" w:type="dxa"/>
            <w:left w:w="108" w:type="dxa"/>
            <w:bottom w:w="0" w:type="dxa"/>
            <w:right w:w="108" w:type="dxa"/>
          </w:tblCellMar>
        </w:tblPrEx>
        <w:trPr>
          <w:trHeight w:val="366" w:hRule="atLeast"/>
        </w:trPr>
        <w:tc>
          <w:tcPr>
            <w:tcW w:w="619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19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232 </w:t>
            </w:r>
          </w:p>
        </w:tc>
      </w:tr>
    </w:tbl>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15"/>
        <w:spacing w:line="520" w:lineRule="exact"/>
        <w:ind w:firstLine="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 xml:space="preserve">日  </w:t>
      </w:r>
    </w:p>
    <w:p>
      <w:pPr>
        <w:pStyle w:val="15"/>
        <w:spacing w:line="520" w:lineRule="exact"/>
        <w:ind w:firstLine="0"/>
        <w:rPr>
          <w:rFonts w:hAnsi="宋体"/>
          <w:color w:val="0D0D0D" w:themeColor="text1" w:themeTint="F2"/>
          <w:sz w:val="24"/>
          <w14:textFill>
            <w14:solidFill>
              <w14:schemeClr w14:val="tx1">
                <w14:lumMod w14:val="95000"/>
                <w14:lumOff w14:val="5000"/>
              </w14:schemeClr>
            </w14:solidFill>
          </w14:textFill>
        </w:rPr>
      </w:pPr>
    </w:p>
    <w:p>
      <w:pPr>
        <w:pStyle w:val="15"/>
        <w:spacing w:line="520" w:lineRule="exact"/>
        <w:ind w:firstLine="0"/>
        <w:jc w:val="center"/>
        <w:rPr>
          <w:rFonts w:hAnsi="宋体"/>
          <w:color w:val="0D0D0D" w:themeColor="text1" w:themeTint="F2"/>
          <w:sz w:val="24"/>
          <w14:textFill>
            <w14:solidFill>
              <w14:schemeClr w14:val="tx1">
                <w14:lumMod w14:val="95000"/>
                <w14:lumOff w14:val="5000"/>
              </w14:schemeClr>
            </w14:solidFill>
          </w14:textFill>
        </w:rPr>
      </w:pP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项目</w:t>
      </w:r>
      <w: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t>3</w:t>
      </w: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：深铁赤湾项目一期展示区开放系列活动、现场包装及宣传推广服务报价清单</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tbl>
      <w:tblPr>
        <w:tblStyle w:val="47"/>
        <w:tblW w:w="10140" w:type="dxa"/>
        <w:tblInd w:w="0" w:type="dxa"/>
        <w:tblLayout w:type="autofit"/>
        <w:tblCellMar>
          <w:top w:w="0" w:type="dxa"/>
          <w:left w:w="108" w:type="dxa"/>
          <w:bottom w:w="0" w:type="dxa"/>
          <w:right w:w="108" w:type="dxa"/>
        </w:tblCellMar>
      </w:tblPr>
      <w:tblGrid>
        <w:gridCol w:w="1015"/>
        <w:gridCol w:w="2262"/>
        <w:gridCol w:w="1575"/>
        <w:gridCol w:w="1396"/>
        <w:gridCol w:w="1376"/>
        <w:gridCol w:w="876"/>
        <w:gridCol w:w="1640"/>
      </w:tblGrid>
      <w:tr>
        <w:trPr>
          <w:trHeight w:val="1756" w:hRule="atLeast"/>
        </w:trPr>
        <w:tc>
          <w:tcPr>
            <w:tcW w:w="10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2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5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不含税总价（元）</w:t>
            </w:r>
          </w:p>
        </w:tc>
        <w:tc>
          <w:tcPr>
            <w:tcW w:w="14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3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增值税额（元）</w:t>
            </w:r>
          </w:p>
        </w:tc>
        <w:tc>
          <w:tcPr>
            <w:tcW w:w="8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含税总价（元）</w:t>
            </w:r>
          </w:p>
        </w:tc>
        <w:tc>
          <w:tcPr>
            <w:tcW w:w="16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上限价</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含税总价（万元）</w:t>
            </w:r>
          </w:p>
        </w:tc>
      </w:tr>
      <w:tr>
        <w:tblPrEx>
          <w:tblCellMar>
            <w:top w:w="0" w:type="dxa"/>
            <w:left w:w="108" w:type="dxa"/>
            <w:bottom w:w="0" w:type="dxa"/>
            <w:right w:w="108" w:type="dxa"/>
          </w:tblCellMar>
        </w:tblPrEx>
        <w:trPr>
          <w:trHeight w:val="439" w:hRule="atLeast"/>
        </w:trPr>
        <w:tc>
          <w:tcPr>
            <w:tcW w:w="102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2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展厅开放活动</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45 </w:t>
            </w:r>
          </w:p>
        </w:tc>
      </w:tr>
      <w:tr>
        <w:tblPrEx>
          <w:tblCellMar>
            <w:top w:w="0" w:type="dxa"/>
            <w:left w:w="108" w:type="dxa"/>
            <w:bottom w:w="0" w:type="dxa"/>
            <w:right w:w="108" w:type="dxa"/>
          </w:tblCellMar>
        </w:tblPrEx>
        <w:trPr>
          <w:trHeight w:val="439" w:hRule="atLeast"/>
        </w:trPr>
        <w:tc>
          <w:tcPr>
            <w:tcW w:w="102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2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暖场活动单场报价</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3.50 </w:t>
            </w:r>
          </w:p>
        </w:tc>
      </w:tr>
      <w:tr>
        <w:tblPrEx>
          <w:tblCellMar>
            <w:top w:w="0" w:type="dxa"/>
            <w:left w:w="108" w:type="dxa"/>
            <w:bottom w:w="0" w:type="dxa"/>
            <w:right w:w="108" w:type="dxa"/>
          </w:tblCellMar>
        </w:tblPrEx>
        <w:trPr>
          <w:trHeight w:val="439" w:hRule="atLeast"/>
        </w:trPr>
        <w:tc>
          <w:tcPr>
            <w:tcW w:w="102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2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暖场活动总报价</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17.5 </w:t>
            </w:r>
          </w:p>
        </w:tc>
      </w:tr>
      <w:tr>
        <w:tblPrEx>
          <w:tblCellMar>
            <w:top w:w="0" w:type="dxa"/>
            <w:left w:w="108" w:type="dxa"/>
            <w:bottom w:w="0" w:type="dxa"/>
            <w:right w:w="108" w:type="dxa"/>
          </w:tblCellMar>
        </w:tblPrEx>
        <w:trPr>
          <w:trHeight w:val="439" w:hRule="atLeast"/>
        </w:trPr>
        <w:tc>
          <w:tcPr>
            <w:tcW w:w="102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2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现场包装服务</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55 </w:t>
            </w:r>
          </w:p>
        </w:tc>
      </w:tr>
      <w:tr>
        <w:tblPrEx>
          <w:tblCellMar>
            <w:top w:w="0" w:type="dxa"/>
            <w:left w:w="108" w:type="dxa"/>
            <w:bottom w:w="0" w:type="dxa"/>
            <w:right w:w="108" w:type="dxa"/>
          </w:tblCellMar>
        </w:tblPrEx>
        <w:trPr>
          <w:trHeight w:val="439" w:hRule="atLeast"/>
        </w:trPr>
        <w:tc>
          <w:tcPr>
            <w:tcW w:w="102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宣传推广总报价</w:t>
            </w:r>
          </w:p>
        </w:tc>
        <w:tc>
          <w:tcPr>
            <w:tcW w:w="15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32 </w:t>
            </w:r>
          </w:p>
        </w:tc>
      </w:tr>
      <w:tr>
        <w:tblPrEx>
          <w:tblCellMar>
            <w:top w:w="0" w:type="dxa"/>
            <w:left w:w="108" w:type="dxa"/>
            <w:bottom w:w="0" w:type="dxa"/>
            <w:right w:w="108" w:type="dxa"/>
          </w:tblCellMar>
        </w:tblPrEx>
        <w:trPr>
          <w:trHeight w:val="439" w:hRule="atLeast"/>
        </w:trPr>
        <w:tc>
          <w:tcPr>
            <w:tcW w:w="629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13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150 </w:t>
            </w:r>
          </w:p>
        </w:tc>
      </w:tr>
    </w:tbl>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15"/>
        <w:spacing w:line="520" w:lineRule="exact"/>
        <w:ind w:firstLine="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 xml:space="preserve">日 </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项目</w:t>
      </w:r>
      <w: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t>4</w:t>
      </w: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：深铁瑞城三期项目展示区开放系列活动、现场包装及宣传推广服务报价清单</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p>
    <w:tbl>
      <w:tblPr>
        <w:tblStyle w:val="47"/>
        <w:tblW w:w="10129" w:type="dxa"/>
        <w:tblInd w:w="0" w:type="dxa"/>
        <w:tblLayout w:type="autofit"/>
        <w:tblCellMar>
          <w:top w:w="0" w:type="dxa"/>
          <w:left w:w="108" w:type="dxa"/>
          <w:bottom w:w="0" w:type="dxa"/>
          <w:right w:w="108" w:type="dxa"/>
        </w:tblCellMar>
      </w:tblPr>
      <w:tblGrid>
        <w:gridCol w:w="1018"/>
        <w:gridCol w:w="2276"/>
        <w:gridCol w:w="1579"/>
        <w:gridCol w:w="934"/>
        <w:gridCol w:w="1418"/>
        <w:gridCol w:w="1303"/>
        <w:gridCol w:w="1601"/>
      </w:tblGrid>
      <w:tr>
        <w:tblPrEx>
          <w:tblCellMar>
            <w:top w:w="0" w:type="dxa"/>
            <w:left w:w="108" w:type="dxa"/>
            <w:bottom w:w="0" w:type="dxa"/>
            <w:right w:w="108" w:type="dxa"/>
          </w:tblCellMar>
        </w:tblPrEx>
        <w:trPr>
          <w:trHeight w:val="1627" w:hRule="atLeast"/>
        </w:trPr>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57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不含税总价（元）</w:t>
            </w:r>
          </w:p>
        </w:tc>
        <w:tc>
          <w:tcPr>
            <w:tcW w:w="9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增值税额（元）</w:t>
            </w:r>
          </w:p>
        </w:tc>
        <w:tc>
          <w:tcPr>
            <w:tcW w:w="13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含税总价（元）</w:t>
            </w:r>
          </w:p>
        </w:tc>
        <w:tc>
          <w:tcPr>
            <w:tcW w:w="16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上限价</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含税总价（万元）</w:t>
            </w:r>
          </w:p>
        </w:tc>
      </w:tr>
      <w:tr>
        <w:tblPrEx>
          <w:tblCellMar>
            <w:top w:w="0" w:type="dxa"/>
            <w:left w:w="108" w:type="dxa"/>
            <w:bottom w:w="0" w:type="dxa"/>
            <w:right w:w="108" w:type="dxa"/>
          </w:tblCellMar>
        </w:tblPrEx>
        <w:trPr>
          <w:trHeight w:val="407" w:hRule="atLeast"/>
        </w:trPr>
        <w:tc>
          <w:tcPr>
            <w:tcW w:w="10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样板房开放活动</w:t>
            </w:r>
          </w:p>
        </w:tc>
        <w:tc>
          <w:tcPr>
            <w:tcW w:w="15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35 </w:t>
            </w:r>
          </w:p>
        </w:tc>
      </w:tr>
      <w:tr>
        <w:tblPrEx>
          <w:tblCellMar>
            <w:top w:w="0" w:type="dxa"/>
            <w:left w:w="108" w:type="dxa"/>
            <w:bottom w:w="0" w:type="dxa"/>
            <w:right w:w="108" w:type="dxa"/>
          </w:tblCellMar>
        </w:tblPrEx>
        <w:trPr>
          <w:trHeight w:val="407" w:hRule="atLeast"/>
        </w:trPr>
        <w:tc>
          <w:tcPr>
            <w:tcW w:w="10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答谢活动</w:t>
            </w:r>
          </w:p>
        </w:tc>
        <w:tc>
          <w:tcPr>
            <w:tcW w:w="15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38 </w:t>
            </w:r>
          </w:p>
        </w:tc>
      </w:tr>
      <w:tr>
        <w:tblPrEx>
          <w:tblCellMar>
            <w:top w:w="0" w:type="dxa"/>
            <w:left w:w="108" w:type="dxa"/>
            <w:bottom w:w="0" w:type="dxa"/>
            <w:right w:w="108" w:type="dxa"/>
          </w:tblCellMar>
        </w:tblPrEx>
        <w:trPr>
          <w:trHeight w:val="407" w:hRule="atLeast"/>
        </w:trPr>
        <w:tc>
          <w:tcPr>
            <w:tcW w:w="101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拓客活动单场报价</w:t>
            </w:r>
          </w:p>
        </w:tc>
        <w:tc>
          <w:tcPr>
            <w:tcW w:w="15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5.00 </w:t>
            </w:r>
          </w:p>
        </w:tc>
      </w:tr>
      <w:tr>
        <w:tblPrEx>
          <w:tblCellMar>
            <w:top w:w="0" w:type="dxa"/>
            <w:left w:w="108" w:type="dxa"/>
            <w:bottom w:w="0" w:type="dxa"/>
            <w:right w:w="108" w:type="dxa"/>
          </w:tblCellMar>
        </w:tblPrEx>
        <w:trPr>
          <w:trHeight w:val="407" w:hRule="atLeast"/>
        </w:trPr>
        <w:tc>
          <w:tcPr>
            <w:tcW w:w="101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拓客活动总报价</w:t>
            </w:r>
          </w:p>
        </w:tc>
        <w:tc>
          <w:tcPr>
            <w:tcW w:w="15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25 </w:t>
            </w:r>
          </w:p>
        </w:tc>
      </w:tr>
      <w:tr>
        <w:tblPrEx>
          <w:tblCellMar>
            <w:top w:w="0" w:type="dxa"/>
            <w:left w:w="108" w:type="dxa"/>
            <w:bottom w:w="0" w:type="dxa"/>
            <w:right w:w="108" w:type="dxa"/>
          </w:tblCellMar>
        </w:tblPrEx>
        <w:trPr>
          <w:trHeight w:val="407" w:hRule="atLeast"/>
        </w:trPr>
        <w:tc>
          <w:tcPr>
            <w:tcW w:w="101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暖场活动单场报价</w:t>
            </w:r>
          </w:p>
        </w:tc>
        <w:tc>
          <w:tcPr>
            <w:tcW w:w="15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4.00 </w:t>
            </w:r>
          </w:p>
        </w:tc>
      </w:tr>
      <w:tr>
        <w:tblPrEx>
          <w:tblCellMar>
            <w:top w:w="0" w:type="dxa"/>
            <w:left w:w="108" w:type="dxa"/>
            <w:bottom w:w="0" w:type="dxa"/>
            <w:right w:w="108" w:type="dxa"/>
          </w:tblCellMar>
        </w:tblPrEx>
        <w:trPr>
          <w:trHeight w:val="407" w:hRule="atLeast"/>
        </w:trPr>
        <w:tc>
          <w:tcPr>
            <w:tcW w:w="101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暖场活动总报价</w:t>
            </w:r>
          </w:p>
        </w:tc>
        <w:tc>
          <w:tcPr>
            <w:tcW w:w="15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32 </w:t>
            </w:r>
          </w:p>
        </w:tc>
      </w:tr>
      <w:tr>
        <w:tblPrEx>
          <w:tblCellMar>
            <w:top w:w="0" w:type="dxa"/>
            <w:left w:w="108" w:type="dxa"/>
            <w:bottom w:w="0" w:type="dxa"/>
            <w:right w:w="108" w:type="dxa"/>
          </w:tblCellMar>
        </w:tblPrEx>
        <w:trPr>
          <w:trHeight w:val="407" w:hRule="atLeast"/>
        </w:trPr>
        <w:tc>
          <w:tcPr>
            <w:tcW w:w="10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现场包装服务</w:t>
            </w:r>
          </w:p>
        </w:tc>
        <w:tc>
          <w:tcPr>
            <w:tcW w:w="15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38 </w:t>
            </w:r>
          </w:p>
        </w:tc>
      </w:tr>
      <w:tr>
        <w:tblPrEx>
          <w:tblCellMar>
            <w:top w:w="0" w:type="dxa"/>
            <w:left w:w="108" w:type="dxa"/>
            <w:bottom w:w="0" w:type="dxa"/>
            <w:right w:w="108" w:type="dxa"/>
          </w:tblCellMar>
        </w:tblPrEx>
        <w:trPr>
          <w:trHeight w:val="407" w:hRule="atLeast"/>
        </w:trPr>
        <w:tc>
          <w:tcPr>
            <w:tcW w:w="10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2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宣传推广总报价</w:t>
            </w:r>
          </w:p>
        </w:tc>
        <w:tc>
          <w:tcPr>
            <w:tcW w:w="15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101 </w:t>
            </w:r>
          </w:p>
        </w:tc>
      </w:tr>
      <w:tr>
        <w:tblPrEx>
          <w:tblCellMar>
            <w:top w:w="0" w:type="dxa"/>
            <w:left w:w="108" w:type="dxa"/>
            <w:bottom w:w="0" w:type="dxa"/>
            <w:right w:w="108" w:type="dxa"/>
          </w:tblCellMar>
        </w:tblPrEx>
        <w:trPr>
          <w:trHeight w:val="407" w:hRule="atLeast"/>
        </w:trPr>
        <w:tc>
          <w:tcPr>
            <w:tcW w:w="580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269 </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15"/>
        <w:spacing w:line="520" w:lineRule="exact"/>
        <w:ind w:firstLine="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u w:val="single"/>
          <w14:textFill>
            <w14:solidFill>
              <w14:schemeClr w14:val="tx1">
                <w14:lumMod w14:val="95000"/>
                <w14:lumOff w14:val="5000"/>
              </w14:schemeClr>
            </w14:solidFill>
          </w14:textFill>
        </w:rPr>
        <w:t xml:space="preserve">    </w:t>
      </w:r>
      <w:r>
        <w:rPr>
          <w:rFonts w:hAnsi="宋体"/>
          <w:color w:val="0D0D0D" w:themeColor="text1" w:themeTint="F2"/>
          <w:sz w:val="24"/>
          <w14:textFill>
            <w14:solidFill>
              <w14:schemeClr w14:val="tx1">
                <w14:lumMod w14:val="95000"/>
                <w14:lumOff w14:val="5000"/>
              </w14:schemeClr>
            </w14:solidFill>
          </w14:textFill>
        </w:rPr>
        <w:t xml:space="preserve">日  </w:t>
      </w:r>
    </w:p>
    <w:p>
      <w:pPr>
        <w:pStyle w:val="15"/>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项目</w:t>
      </w:r>
      <w: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t>5</w:t>
      </w: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：山海漫街项目展示区开放系列活动、现场包装及宣传推广服务报价清单</w:t>
      </w:r>
    </w:p>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bl>
      <w:tblPr>
        <w:tblStyle w:val="47"/>
        <w:tblW w:w="9742" w:type="dxa"/>
        <w:tblInd w:w="0" w:type="dxa"/>
        <w:tblLayout w:type="autofit"/>
        <w:tblCellMar>
          <w:top w:w="0" w:type="dxa"/>
          <w:left w:w="108" w:type="dxa"/>
          <w:bottom w:w="0" w:type="dxa"/>
          <w:right w:w="108" w:type="dxa"/>
        </w:tblCellMar>
      </w:tblPr>
      <w:tblGrid>
        <w:gridCol w:w="930"/>
        <w:gridCol w:w="2028"/>
        <w:gridCol w:w="1747"/>
        <w:gridCol w:w="766"/>
        <w:gridCol w:w="1218"/>
        <w:gridCol w:w="1244"/>
        <w:gridCol w:w="1809"/>
      </w:tblGrid>
      <w:tr>
        <w:tblPrEx>
          <w:tblCellMar>
            <w:top w:w="0" w:type="dxa"/>
            <w:left w:w="108" w:type="dxa"/>
            <w:bottom w:w="0" w:type="dxa"/>
            <w:right w:w="108" w:type="dxa"/>
          </w:tblCellMar>
        </w:tblPrEx>
        <w:trPr>
          <w:trHeight w:val="1799" w:hRule="atLeast"/>
        </w:trPr>
        <w:tc>
          <w:tcPr>
            <w:tcW w:w="9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1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8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不含税总价（元）</w:t>
            </w:r>
          </w:p>
        </w:tc>
        <w:tc>
          <w:tcPr>
            <w:tcW w:w="45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2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增值税额（元）</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含税总价（元）</w:t>
            </w:r>
          </w:p>
        </w:tc>
        <w:tc>
          <w:tcPr>
            <w:tcW w:w="18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上限价</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含税总价（万元）</w:t>
            </w:r>
          </w:p>
        </w:tc>
      </w:tr>
      <w:tr>
        <w:tblPrEx>
          <w:tblCellMar>
            <w:top w:w="0" w:type="dxa"/>
            <w:left w:w="108" w:type="dxa"/>
            <w:bottom w:w="0" w:type="dxa"/>
            <w:right w:w="108" w:type="dxa"/>
          </w:tblCellMar>
        </w:tblPrEx>
        <w:trPr>
          <w:trHeight w:val="450" w:hRule="atLeast"/>
        </w:trPr>
        <w:tc>
          <w:tcPr>
            <w:tcW w:w="97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拓客活动单场报价</w:t>
            </w:r>
          </w:p>
        </w:tc>
        <w:tc>
          <w:tcPr>
            <w:tcW w:w="182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4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5.00 </w:t>
            </w:r>
          </w:p>
        </w:tc>
      </w:tr>
      <w:tr>
        <w:tblPrEx>
          <w:tblCellMar>
            <w:top w:w="0" w:type="dxa"/>
            <w:left w:w="108" w:type="dxa"/>
            <w:bottom w:w="0" w:type="dxa"/>
            <w:right w:w="108" w:type="dxa"/>
          </w:tblCellMar>
        </w:tblPrEx>
        <w:trPr>
          <w:trHeight w:val="450" w:hRule="atLeast"/>
        </w:trPr>
        <w:tc>
          <w:tcPr>
            <w:tcW w:w="9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拓客活动总报价</w:t>
            </w:r>
          </w:p>
        </w:tc>
        <w:tc>
          <w:tcPr>
            <w:tcW w:w="182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4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25 </w:t>
            </w:r>
          </w:p>
        </w:tc>
      </w:tr>
      <w:tr>
        <w:tblPrEx>
          <w:tblCellMar>
            <w:top w:w="0" w:type="dxa"/>
            <w:left w:w="108" w:type="dxa"/>
            <w:bottom w:w="0" w:type="dxa"/>
            <w:right w:w="108" w:type="dxa"/>
          </w:tblCellMar>
        </w:tblPrEx>
        <w:trPr>
          <w:trHeight w:val="450" w:hRule="atLeast"/>
        </w:trPr>
        <w:tc>
          <w:tcPr>
            <w:tcW w:w="97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暖场活动单场报价</w:t>
            </w:r>
          </w:p>
        </w:tc>
        <w:tc>
          <w:tcPr>
            <w:tcW w:w="182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4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3.00 </w:t>
            </w:r>
          </w:p>
        </w:tc>
      </w:tr>
      <w:tr>
        <w:tblPrEx>
          <w:tblCellMar>
            <w:top w:w="0" w:type="dxa"/>
            <w:left w:w="108" w:type="dxa"/>
            <w:bottom w:w="0" w:type="dxa"/>
            <w:right w:w="108" w:type="dxa"/>
          </w:tblCellMar>
        </w:tblPrEx>
        <w:trPr>
          <w:trHeight w:val="450" w:hRule="atLeast"/>
        </w:trPr>
        <w:tc>
          <w:tcPr>
            <w:tcW w:w="9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2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暖场活动总报价</w:t>
            </w:r>
          </w:p>
        </w:tc>
        <w:tc>
          <w:tcPr>
            <w:tcW w:w="182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4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15 </w:t>
            </w:r>
          </w:p>
        </w:tc>
      </w:tr>
      <w:tr>
        <w:tblPrEx>
          <w:tblCellMar>
            <w:top w:w="0" w:type="dxa"/>
            <w:left w:w="108" w:type="dxa"/>
            <w:bottom w:w="0" w:type="dxa"/>
            <w:right w:w="108" w:type="dxa"/>
          </w:tblCellMar>
        </w:tblPrEx>
        <w:trPr>
          <w:trHeight w:val="450" w:hRule="atLeast"/>
        </w:trPr>
        <w:tc>
          <w:tcPr>
            <w:tcW w:w="97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现场包装服务</w:t>
            </w:r>
          </w:p>
        </w:tc>
        <w:tc>
          <w:tcPr>
            <w:tcW w:w="182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45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12 </w:t>
            </w:r>
          </w:p>
        </w:tc>
      </w:tr>
      <w:tr>
        <w:tblPrEx>
          <w:tblCellMar>
            <w:top w:w="0" w:type="dxa"/>
            <w:left w:w="108" w:type="dxa"/>
            <w:bottom w:w="0" w:type="dxa"/>
            <w:right w:w="108" w:type="dxa"/>
          </w:tblCellMar>
        </w:tblPrEx>
        <w:trPr>
          <w:trHeight w:val="450" w:hRule="atLeast"/>
        </w:trPr>
        <w:tc>
          <w:tcPr>
            <w:tcW w:w="54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52 </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以上服务费报价</w:t>
      </w:r>
      <w:r>
        <w:rPr>
          <w:rFonts w:hint="eastAsia" w:ascii="宋体" w:hAnsi="宋体"/>
          <w:color w:val="0D0D0D" w:themeColor="text1" w:themeTint="F2"/>
          <w:sz w:val="24"/>
          <w:szCs w:val="24"/>
          <w14:textFill>
            <w14:solidFill>
              <w14:schemeClr w14:val="tx1">
                <w14:lumMod w14:val="95000"/>
                <w14:lumOff w14:val="5000"/>
              </w14:schemeClr>
            </w14:solidFill>
          </w14:textFill>
        </w:rPr>
        <w:t>为人民币，</w:t>
      </w:r>
      <w:r>
        <w:rPr>
          <w:rFonts w:hint="eastAsia" w:ascii="宋体" w:hAnsi="宋体"/>
          <w:color w:val="0D0D0D" w:themeColor="text1" w:themeTint="F2"/>
          <w:sz w:val="24"/>
          <w14:textFill>
            <w14:solidFill>
              <w14:schemeClr w14:val="tx1">
                <w14:lumMod w14:val="95000"/>
                <w14:lumOff w14:val="5000"/>
              </w14:schemeClr>
            </w14:solidFill>
          </w14:textFill>
        </w:rPr>
        <w:t>取整数，精确到元。</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14:textFill>
            <w14:solidFill>
              <w14:schemeClr w14:val="tx1">
                <w14:lumMod w14:val="95000"/>
                <w14:lumOff w14:val="5000"/>
              </w14:schemeClr>
            </w14:solidFill>
          </w14:textFill>
        </w:rPr>
        <w:t>以上服务费</w:t>
      </w:r>
      <w:r>
        <w:rPr>
          <w:rFonts w:hint="eastAsia" w:hAnsi="宋体"/>
          <w:color w:val="0D0D0D" w:themeColor="text1" w:themeTint="F2"/>
          <w:sz w:val="24"/>
          <w:szCs w:val="24"/>
          <w14:textFill>
            <w14:solidFill>
              <w14:schemeClr w14:val="tx1">
                <w14:lumMod w14:val="95000"/>
                <w14:lumOff w14:val="5000"/>
              </w14:schemeClr>
            </w14:solidFill>
          </w14:textFill>
        </w:rPr>
        <w:t>为含税价，</w:t>
      </w:r>
      <w:r>
        <w:rPr>
          <w:rFonts w:hint="eastAsia" w:ascii="宋体" w:hAnsi="宋体"/>
          <w:color w:val="0D0D0D" w:themeColor="text1" w:themeTint="F2"/>
          <w:sz w:val="24"/>
          <w:szCs w:val="24"/>
          <w14:textFill>
            <w14:solidFill>
              <w14:schemeClr w14:val="tx1">
                <w14:lumMod w14:val="95000"/>
                <w14:lumOff w14:val="5000"/>
              </w14:schemeClr>
            </w14:solidFill>
          </w14:textFill>
        </w:rPr>
        <w:t>报价已</w:t>
      </w:r>
      <w:r>
        <w:rPr>
          <w:rFonts w:hint="eastAsia" w:hAnsi="宋体"/>
          <w:color w:val="0D0D0D" w:themeColor="text1" w:themeTint="F2"/>
          <w:sz w:val="24"/>
          <w:szCs w:val="24"/>
          <w14:textFill>
            <w14:solidFill>
              <w14:schemeClr w14:val="tx1">
                <w14:lumMod w14:val="95000"/>
                <w14:lumOff w14:val="5000"/>
              </w14:schemeClr>
            </w14:solidFill>
          </w14:textFill>
        </w:rPr>
        <w:t>包含乙方因履行本合同要求的</w:t>
      </w:r>
      <w:r>
        <w:rPr>
          <w:rFonts w:hint="eastAsia" w:ascii="宋体" w:hAnsi="宋体"/>
          <w:color w:val="0D0D0D" w:themeColor="text1" w:themeTint="F2"/>
          <w:sz w:val="24"/>
          <w:szCs w:val="24"/>
          <w14:textFill>
            <w14:solidFill>
              <w14:schemeClr w14:val="tx1">
                <w14:lumMod w14:val="95000"/>
                <w14:lumOff w14:val="5000"/>
              </w14:schemeClr>
            </w14:solidFill>
          </w14:textFill>
        </w:rPr>
        <w:t>所有活动/包装服务过程中发生的策划费、执行费、设计费、制作费、人工费、场地费、交通费、运输费、保险费、政府报批收费、税金、撤场清理费等一切乙方为了履行本协议项下委托事项所产生的费用。</w:t>
      </w:r>
      <w:r>
        <w:rPr>
          <w:rFonts w:hint="eastAsia" w:hAnsi="宋体"/>
          <w:color w:val="0D0D0D" w:themeColor="text1" w:themeTint="F2"/>
          <w:sz w:val="24"/>
          <w:szCs w:val="24"/>
          <w14:textFill>
            <w14:solidFill>
              <w14:schemeClr w14:val="tx1">
                <w14:lumMod w14:val="95000"/>
                <w14:lumOff w14:val="5000"/>
              </w14:schemeClr>
            </w14:solidFill>
          </w14:textFill>
        </w:rPr>
        <w:t>除甲方书面确认的可增加的费用外，不因任何事由上浮，包括但不限于不可抗力、价格上涨等因素</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3、所有供应商必须按采购文件要求逐项报价。如出现缺项、漏项、少报、错报时，相应的费用视为包含在报价的其他项目价格中，合同总价不予增加。</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.报价中的不含税单价在合同执行期间是固定的，不得以任何理由变更。合同的增值税率按照国家税收法规政策变动而调整。</w:t>
      </w:r>
    </w:p>
    <w:p>
      <w:pPr>
        <w:pStyle w:val="3"/>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、附件为服务清单报价明细表，作为合同签订附件。</w:t>
      </w: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4"/>
        <w:spacing w:before="240" w:beforeLines="100" w:after="120" w:afterLines="50" w:line="480" w:lineRule="atLeast"/>
        <w:rPr>
          <w:rFonts w:hAnsi="宋体"/>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asciiTheme="minorEastAsia" w:hAnsiTheme="minorEastAsia"/>
          <w:b/>
          <w:sz w:val="44"/>
          <w:szCs w:val="44"/>
        </w:rPr>
      </w:pPr>
    </w:p>
    <w:p>
      <w:pPr>
        <w:pStyle w:val="24"/>
        <w:spacing w:before="240" w:beforeLines="100" w:after="120" w:afterLines="50" w:line="480" w:lineRule="atLeast"/>
        <w:jc w:val="center"/>
        <w:rPr>
          <w:rFonts w:hAnsi="宋体"/>
          <w:b/>
          <w:sz w:val="48"/>
          <w:szCs w:val="48"/>
        </w:rPr>
      </w:pPr>
      <w:r>
        <w:rPr>
          <w:rFonts w:hint="eastAsia" w:hAnsi="宋体"/>
          <w:b/>
          <w:sz w:val="48"/>
          <w:szCs w:val="48"/>
        </w:rPr>
        <w:t>深铁置业2022年度拟销售项目</w:t>
      </w:r>
    </w:p>
    <w:p>
      <w:pPr>
        <w:pStyle w:val="24"/>
        <w:spacing w:before="240" w:beforeLines="100" w:after="120" w:afterLines="50" w:line="480" w:lineRule="atLeast"/>
        <w:jc w:val="center"/>
        <w:rPr>
          <w:rFonts w:hAnsi="宋体"/>
          <w:b/>
          <w:sz w:val="48"/>
          <w:szCs w:val="48"/>
        </w:rPr>
      </w:pPr>
      <w:r>
        <w:rPr>
          <w:rFonts w:hint="eastAsia" w:hAnsi="宋体"/>
          <w:b/>
          <w:sz w:val="48"/>
          <w:szCs w:val="48"/>
        </w:rPr>
        <w:t>展示区开放系列活动、现场包装及宣传推广服务</w:t>
      </w:r>
    </w:p>
    <w:p>
      <w:pPr>
        <w:pStyle w:val="24"/>
        <w:spacing w:before="240" w:beforeLines="100" w:after="120" w:afterLines="50" w:line="480" w:lineRule="atLeast"/>
        <w:jc w:val="center"/>
        <w:rPr>
          <w:rFonts w:hAnsi="宋体"/>
          <w:b/>
          <w:color w:val="0D0D0D" w:themeColor="text1" w:themeTint="F2"/>
          <w:sz w:val="48"/>
          <w:szCs w:val="48"/>
          <w14:textFill>
            <w14:solidFill>
              <w14:schemeClr w14:val="tx1">
                <w14:lumMod w14:val="95000"/>
                <w14:lumOff w14:val="5000"/>
              </w14:schemeClr>
            </w14:solidFill>
          </w14:textFill>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4"/>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4"/>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（商务标书附件</w:t>
      </w:r>
      <w:r>
        <w:rPr>
          <w:rFonts w:hAnsi="宋体"/>
          <w:b/>
          <w:color w:val="0D0D0D" w:themeColor="text1" w:themeTint="F2"/>
          <w:sz w:val="44"/>
          <w:szCs w:val="44"/>
          <w14:textFill>
            <w14:solidFill>
              <w14:schemeClr w14:val="tx1">
                <w14:lumMod w14:val="95000"/>
                <w14:lumOff w14:val="5000"/>
              </w14:schemeClr>
            </w14:solidFill>
          </w14:textFill>
        </w:rPr>
        <w:t>）</w:t>
      </w:r>
    </w:p>
    <w:p>
      <w:pPr>
        <w:pStyle w:val="24"/>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4"/>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4"/>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24"/>
        <w:spacing w:before="240" w:beforeLines="100" w:after="120" w:afterLines="50" w:line="480" w:lineRule="atLeast"/>
        <w:rPr>
          <w:rFonts w:hAnsi="宋体" w:cs="宋体"/>
          <w:b/>
          <w:bCs/>
          <w:color w:val="0D0D0D" w:themeColor="text1" w:themeTint="F2"/>
          <w:sz w:val="28"/>
          <w:szCs w:val="28"/>
          <w:u w:val="single"/>
          <w14:textFill>
            <w14:solidFill>
              <w14:schemeClr w14:val="tx1">
                <w14:lumMod w14:val="95000"/>
                <w14:lumOff w14:val="5000"/>
              </w14:schemeClr>
            </w14:solidFill>
          </w14:textFill>
        </w:rPr>
      </w:pPr>
    </w:p>
    <w:p>
      <w:pPr>
        <w:pStyle w:val="24"/>
        <w:spacing w:before="240" w:beforeLines="100" w:after="120" w:afterLines="50" w:line="480" w:lineRule="atLeast"/>
        <w:rPr>
          <w:rFonts w:hAnsi="宋体" w:cs="宋体"/>
          <w:b/>
          <w:bCs/>
          <w:color w:val="0D0D0D" w:themeColor="text1" w:themeTint="F2"/>
          <w:sz w:val="28"/>
          <w:szCs w:val="28"/>
          <w:u w:val="single"/>
          <w14:textFill>
            <w14:solidFill>
              <w14:schemeClr w14:val="tx1">
                <w14:lumMod w14:val="95000"/>
                <w14:lumOff w14:val="5000"/>
              </w14:schemeClr>
            </w14:solidFill>
          </w14:textFill>
        </w:rPr>
      </w:pPr>
    </w:p>
    <w:p>
      <w:pPr>
        <w:pStyle w:val="24"/>
        <w:spacing w:before="240" w:beforeLines="100" w:after="120" w:afterLines="50" w:line="480" w:lineRule="atLeast"/>
        <w:rPr>
          <w:rFonts w:hAnsi="宋体" w:cs="宋体"/>
          <w:b/>
          <w:bCs/>
          <w:color w:val="0D0D0D" w:themeColor="text1" w:themeTint="F2"/>
          <w:sz w:val="28"/>
          <w:szCs w:val="28"/>
          <w:u w:val="single"/>
          <w14:textFill>
            <w14:solidFill>
              <w14:schemeClr w14:val="tx1">
                <w14:lumMod w14:val="95000"/>
                <w14:lumOff w14:val="5000"/>
              </w14:schemeClr>
            </w14:solidFill>
          </w14:textFill>
        </w:rPr>
      </w:pPr>
    </w:p>
    <w:p>
      <w:pPr>
        <w:pStyle w:val="24"/>
        <w:numPr>
          <w:ilvl w:val="0"/>
          <w:numId w:val="5"/>
        </w:numPr>
        <w:spacing w:before="240" w:beforeLines="100" w:after="120" w:afterLines="50" w:line="480" w:lineRule="atLeast"/>
        <w:rPr>
          <w:rFonts w:hAnsi="宋体" w:cs="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cs="宋体"/>
          <w:b/>
          <w:bCs/>
          <w:color w:val="0D0D0D" w:themeColor="text1" w:themeTint="F2"/>
          <w:sz w:val="28"/>
          <w:szCs w:val="28"/>
          <w:u w:val="single"/>
          <w14:textFill>
            <w14:solidFill>
              <w14:schemeClr w14:val="tx1">
                <w14:lumMod w14:val="95000"/>
                <w14:lumOff w14:val="5000"/>
              </w14:schemeClr>
            </w14:solidFill>
          </w14:textFill>
        </w:rPr>
        <w:t>深铁置业2022年度拟销售项目展示区开放系列活动、现场包装及宣传推广服务的服务清单报价明细表（共9个项目的完整服务清单报价明细表）</w:t>
      </w:r>
    </w:p>
    <w:p>
      <w:pPr>
        <w:pStyle w:val="24"/>
        <w:spacing w:before="240" w:beforeLines="100" w:after="120" w:afterLines="50" w:line="480" w:lineRule="atLeast"/>
        <w:rPr>
          <w:rFonts w:hAnsi="宋体" w:cs="宋体"/>
          <w:color w:val="0D0D0D" w:themeColor="text1" w:themeTint="F2"/>
          <w:sz w:val="22"/>
          <w:szCs w:val="22"/>
          <w14:textFill>
            <w14:solidFill>
              <w14:schemeClr w14:val="tx1">
                <w14:lumMod w14:val="95000"/>
                <w14:lumOff w14:val="5000"/>
              </w14:schemeClr>
            </w14:solidFill>
          </w14:textFill>
        </w:rPr>
      </w:pPr>
      <w:r>
        <w:rPr>
          <w:rFonts w:hint="eastAsia" w:hAnsi="宋体" w:cs="宋体"/>
          <w:color w:val="0D0D0D" w:themeColor="text1" w:themeTint="F2"/>
          <w:sz w:val="22"/>
          <w:szCs w:val="22"/>
          <w14:textFill>
            <w14:solidFill>
              <w14:schemeClr w14:val="tx1">
                <w14:lumMod w14:val="95000"/>
                <w14:lumOff w14:val="5000"/>
              </w14:schemeClr>
            </w14:solidFill>
          </w14:textFill>
        </w:rPr>
        <w:t>{请在《附件2深铁置业2022年度拟销售项目展示区开放系列活动与现场包装服务清单》的基础上填写形成报价明细表，活动清单为活动执行暂定清单，除了基于已完成技术标的地铁前海时代营销中心开放活动及深铁璟城营销中心开放活动方案的这两个活动报价中，可在原清单基础上增加必要的项及数量外，其余活动、推广、包装等的服务清单相关项及数量原则上不能做修改。}</w:t>
      </w:r>
    </w:p>
    <w:p>
      <w:pPr>
        <w:widowControl/>
        <w:jc w:val="left"/>
        <w:rPr>
          <w:rFonts w:ascii="宋体" w:hAnsi="宋体"/>
          <w:color w:val="0D0D0D" w:themeColor="text1" w:themeTint="F2"/>
          <w:szCs w:val="16"/>
          <w14:textFill>
            <w14:solidFill>
              <w14:schemeClr w14:val="tx1">
                <w14:lumMod w14:val="95000"/>
                <w14:lumOff w14:val="5000"/>
              </w14:schemeClr>
            </w14:solidFill>
          </w14:textFill>
        </w:rPr>
      </w:pPr>
      <w:r>
        <w:rPr>
          <w:rFonts w:hAnsi="宋体"/>
          <w:color w:val="0D0D0D" w:themeColor="text1" w:themeTint="F2"/>
          <w:szCs w:val="16"/>
          <w14:textFill>
            <w14:solidFill>
              <w14:schemeClr w14:val="tx1">
                <w14:lumMod w14:val="95000"/>
                <w14:lumOff w14:val="5000"/>
              </w14:schemeClr>
            </w14:solidFill>
          </w14:textFill>
        </w:rPr>
        <w:br w:type="page"/>
      </w:r>
    </w:p>
    <w:bookmarkEnd w:id="87"/>
    <w:bookmarkEnd w:id="88"/>
    <w:bookmarkEnd w:id="89"/>
    <w:bookmarkEnd w:id="90"/>
    <w:bookmarkEnd w:id="91"/>
    <w:bookmarkEnd w:id="92"/>
    <w:bookmarkEnd w:id="101"/>
    <w:p>
      <w:pPr>
        <w:pStyle w:val="4"/>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114" w:name="_Toc98264050"/>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三篇  合同</w:t>
      </w:r>
      <w:bookmarkEnd w:id="114"/>
    </w:p>
    <w:p>
      <w:pPr>
        <w:rPr>
          <w:rFonts w:ascii="宋体" w:hAnsi="宋体"/>
          <w:b/>
          <w:color w:val="0D0D0D" w:themeColor="text1" w:themeTint="F2"/>
          <w:szCs w:val="21"/>
          <w14:textFill>
            <w14:solidFill>
              <w14:schemeClr w14:val="tx1">
                <w14:lumMod w14:val="95000"/>
                <w14:lumOff w14:val="5000"/>
              </w14:schemeClr>
            </w14:solidFill>
          </w14:textFill>
        </w:rPr>
      </w:pPr>
    </w:p>
    <w:p>
      <w:pPr>
        <w:jc w:val="center"/>
        <w:outlineLvl w:val="0"/>
        <w:rPr>
          <w:rFonts w:ascii="宋体" w:hAnsi="宋体"/>
          <w:b/>
          <w:color w:val="000000"/>
          <w:sz w:val="24"/>
          <w:szCs w:val="24"/>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pStyle w:val="24"/>
        <w:spacing w:line="360" w:lineRule="auto"/>
        <w:jc w:val="center"/>
        <w:rPr>
          <w:rFonts w:ascii="黑体" w:eastAsia="黑体"/>
          <w:b/>
          <w:bCs/>
          <w:spacing w:val="36"/>
          <w:sz w:val="44"/>
          <w:szCs w:val="44"/>
          <w:u w:val="single"/>
        </w:rPr>
      </w:pPr>
      <w:r>
        <w:rPr>
          <w:rFonts w:hint="eastAsia" w:hAnsi="宋体"/>
          <w:b/>
          <w:spacing w:val="10"/>
          <w:sz w:val="48"/>
          <w:szCs w:val="48"/>
        </w:rPr>
        <w:t>XXX项目展示区开放系列活动、现场包装及宣传推广服务</w:t>
      </w:r>
    </w:p>
    <w:p>
      <w:pPr>
        <w:spacing w:line="360" w:lineRule="auto"/>
        <w:jc w:val="center"/>
        <w:rPr>
          <w:rFonts w:ascii="黑体" w:hAnsi="Courier New" w:eastAsia="黑体"/>
          <w:b/>
          <w:bCs/>
          <w:spacing w:val="36"/>
          <w:sz w:val="44"/>
          <w:szCs w:val="44"/>
          <w:u w:val="single"/>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sz w:val="30"/>
          <w:szCs w:val="30"/>
        </w:rPr>
      </w:pPr>
    </w:p>
    <w:p>
      <w:pPr>
        <w:spacing w:line="360" w:lineRule="auto"/>
        <w:rPr>
          <w:sz w:val="30"/>
          <w:szCs w:val="30"/>
        </w:rPr>
      </w:pPr>
    </w:p>
    <w:p>
      <w:pPr>
        <w:spacing w:line="360" w:lineRule="auto"/>
        <w:rPr>
          <w:rFonts w:ascii="宋体" w:hAnsi="宋体"/>
          <w:b/>
          <w:spacing w:val="10"/>
          <w:sz w:val="30"/>
          <w:szCs w:val="30"/>
        </w:rPr>
      </w:pPr>
      <w:r>
        <w:rPr>
          <w:rFonts w:hint="eastAsia" w:ascii="宋体" w:hAnsi="宋体"/>
          <w:b/>
          <w:spacing w:val="10"/>
          <w:sz w:val="30"/>
          <w:szCs w:val="30"/>
        </w:rPr>
        <w:t xml:space="preserve">  甲   方：</w:t>
      </w:r>
    </w:p>
    <w:p>
      <w:pPr>
        <w:spacing w:line="360" w:lineRule="auto"/>
        <w:jc w:val="center"/>
        <w:rPr>
          <w:rFonts w:ascii="宋体" w:hAnsi="宋体"/>
          <w:b/>
          <w:spacing w:val="10"/>
          <w:sz w:val="30"/>
          <w:szCs w:val="30"/>
        </w:rPr>
      </w:pPr>
    </w:p>
    <w:p>
      <w:pPr>
        <w:spacing w:line="360" w:lineRule="auto"/>
        <w:ind w:firstLine="321" w:firstLineChars="100"/>
        <w:jc w:val="left"/>
        <w:rPr>
          <w:rFonts w:ascii="宋体" w:hAnsi="宋体"/>
          <w:b/>
          <w:spacing w:val="10"/>
          <w:sz w:val="30"/>
          <w:szCs w:val="30"/>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 xml:space="preserve">方： </w:t>
      </w:r>
    </w:p>
    <w:p>
      <w:pPr>
        <w:spacing w:line="360" w:lineRule="auto"/>
        <w:ind w:firstLine="1911" w:firstLineChars="595"/>
        <w:jc w:val="left"/>
        <w:rPr>
          <w:rFonts w:ascii="宋体" w:hAnsi="宋体"/>
          <w:b/>
          <w:spacing w:val="10"/>
          <w:sz w:val="30"/>
          <w:szCs w:val="30"/>
        </w:rPr>
      </w:pPr>
      <w:r>
        <w:rPr>
          <w:rFonts w:hint="eastAsia" w:ascii="宋体" w:hAnsi="宋体"/>
          <w:b/>
          <w:spacing w:val="10"/>
          <w:sz w:val="30"/>
          <w:szCs w:val="30"/>
        </w:rPr>
        <w:t xml:space="preserve"> </w:t>
      </w:r>
      <w:r>
        <w:rPr>
          <w:rFonts w:ascii="宋体" w:hAnsi="宋体"/>
          <w:b/>
          <w:spacing w:val="10"/>
          <w:sz w:val="30"/>
          <w:szCs w:val="30"/>
        </w:rPr>
        <w:t xml:space="preserve">     </w:t>
      </w:r>
      <w:r>
        <w:rPr>
          <w:rFonts w:hint="eastAsia" w:ascii="黑体" w:hAnsi="黑体" w:eastAsia="黑体"/>
          <w:sz w:val="44"/>
          <w:szCs w:val="44"/>
        </w:rPr>
        <w:t>第五章  合同</w:t>
      </w:r>
    </w:p>
    <w:p>
      <w:pPr>
        <w:spacing w:line="360" w:lineRule="auto"/>
        <w:rPr>
          <w:rFonts w:ascii="宋体" w:hAnsi="宋体"/>
          <w:sz w:val="24"/>
          <w:szCs w:val="24"/>
        </w:rPr>
      </w:pPr>
    </w:p>
    <w:p>
      <w:pPr>
        <w:spacing w:line="360" w:lineRule="auto"/>
        <w:ind w:firstLine="482" w:firstLineChars="200"/>
        <w:rPr>
          <w:rFonts w:ascii="宋体" w:hAnsi="宋体"/>
          <w:b/>
          <w:sz w:val="24"/>
          <w:szCs w:val="24"/>
        </w:rPr>
      </w:pPr>
      <w:bookmarkStart w:id="115" w:name="_Toc389833583"/>
      <w:r>
        <w:rPr>
          <w:rFonts w:hint="eastAsia" w:ascii="宋体" w:hAnsi="宋体"/>
          <w:b/>
          <w:sz w:val="24"/>
          <w:szCs w:val="24"/>
        </w:rPr>
        <w:t xml:space="preserve">甲方： </w:t>
      </w:r>
      <w:r>
        <w:rPr>
          <w:rFonts w:ascii="宋体" w:hAnsi="宋体"/>
          <w:b/>
          <w:sz w:val="24"/>
          <w:szCs w:val="24"/>
        </w:rPr>
        <w:t xml:space="preserve">                       </w:t>
      </w:r>
      <w:r>
        <w:rPr>
          <w:rFonts w:hint="eastAsia" w:ascii="宋体" w:hAnsi="宋体"/>
          <w:b/>
          <w:sz w:val="24"/>
          <w:szCs w:val="24"/>
        </w:rPr>
        <w:t>（简称“甲方”）</w:t>
      </w:r>
    </w:p>
    <w:p>
      <w:pPr>
        <w:spacing w:line="360" w:lineRule="auto"/>
        <w:ind w:firstLine="482" w:firstLineChars="200"/>
        <w:rPr>
          <w:rFonts w:ascii="宋体" w:hAnsi="宋体"/>
          <w:b/>
          <w:sz w:val="24"/>
          <w:szCs w:val="24"/>
        </w:rPr>
      </w:pPr>
      <w:r>
        <w:rPr>
          <w:rFonts w:hint="eastAsia" w:ascii="宋体" w:hAnsi="宋体"/>
          <w:b/>
          <w:sz w:val="24"/>
          <w:szCs w:val="24"/>
        </w:rPr>
        <w:t xml:space="preserve">乙方：     </w:t>
      </w:r>
      <w:r>
        <w:rPr>
          <w:rFonts w:ascii="宋体" w:hAnsi="宋体"/>
          <w:b/>
          <w:sz w:val="24"/>
          <w:szCs w:val="24"/>
        </w:rPr>
        <w:t xml:space="preserve">                  </w:t>
      </w:r>
      <w:r>
        <w:rPr>
          <w:rFonts w:hint="eastAsia" w:ascii="宋体" w:hAnsi="宋体"/>
          <w:b/>
          <w:sz w:val="24"/>
          <w:szCs w:val="24"/>
        </w:rPr>
        <w:t xml:space="preserve"> （简称“乙方”）</w:t>
      </w:r>
      <w:r>
        <w:rPr>
          <w:rFonts w:ascii="宋体" w:hAnsi="宋体"/>
          <w:b/>
          <w:sz w:val="24"/>
          <w:szCs w:val="24"/>
        </w:rPr>
        <w:t xml:space="preserve"> </w:t>
      </w:r>
    </w:p>
    <w:p>
      <w:pPr>
        <w:pStyle w:val="24"/>
        <w:spacing w:line="360" w:lineRule="auto"/>
        <w:ind w:firstLine="480" w:firstLineChars="200"/>
        <w:rPr>
          <w:rFonts w:hAnsi="宋体"/>
          <w:sz w:val="24"/>
          <w:szCs w:val="24"/>
        </w:rPr>
      </w:pPr>
      <w:r>
        <w:rPr>
          <w:rFonts w:hint="eastAsia" w:hAnsi="宋体"/>
          <w:sz w:val="24"/>
          <w:szCs w:val="24"/>
        </w:rPr>
        <w:t>经比选，甲方确定乙方为XXX项目展示区开放系列活动、现场包装及宣传推广服务单位。乙方已向甲方阐述其拥有承担上述工作所要求的专业技术、人员等资源，并同意按照本合同约定承担该项工作。为明确双方在履约过程中的权利和义务，根据《中华人民共和国民法典》及相关法律、法规的规定，双方本着合法、自愿、诚实信用和友好合作的原则，就甲方委托乙方提供前述服务，达成如下协议：</w:t>
      </w:r>
      <w:bookmarkEnd w:id="115"/>
      <w:bookmarkStart w:id="116" w:name="_Toc389833584"/>
      <w:bookmarkStart w:id="117" w:name="_Toc29995574"/>
    </w:p>
    <w:bookmarkEnd w:id="116"/>
    <w:bookmarkEnd w:id="117"/>
    <w:p>
      <w:pPr>
        <w:adjustRightInd w:val="0"/>
        <w:snapToGrid w:val="0"/>
        <w:spacing w:line="312" w:lineRule="auto"/>
        <w:ind w:firstLine="466" w:firstLineChars="200"/>
        <w:rPr>
          <w:rFonts w:ascii="宋体" w:hAnsi="宋体"/>
          <w:b/>
          <w:spacing w:val="-4"/>
          <w:sz w:val="24"/>
          <w:szCs w:val="24"/>
        </w:rPr>
      </w:pPr>
      <w:r>
        <w:rPr>
          <w:rFonts w:hint="eastAsia" w:ascii="宋体" w:hAnsi="宋体"/>
          <w:b/>
          <w:spacing w:val="-4"/>
          <w:sz w:val="24"/>
          <w:szCs w:val="24"/>
        </w:rPr>
        <w:t>一</w:t>
      </w:r>
      <w:r>
        <w:rPr>
          <w:rFonts w:ascii="宋体" w:hAnsi="宋体"/>
          <w:b/>
          <w:spacing w:val="-4"/>
          <w:sz w:val="24"/>
          <w:szCs w:val="24"/>
        </w:rPr>
        <w:t>、合同范围</w:t>
      </w:r>
    </w:p>
    <w:p>
      <w:pPr>
        <w:adjustRightInd w:val="0"/>
        <w:snapToGrid w:val="0"/>
        <w:spacing w:line="312" w:lineRule="auto"/>
        <w:ind w:firstLine="464" w:firstLineChars="200"/>
        <w:rPr>
          <w:rFonts w:ascii="宋体" w:hAnsi="宋体"/>
          <w:b/>
          <w:spacing w:val="-4"/>
          <w:sz w:val="24"/>
          <w:szCs w:val="24"/>
        </w:rPr>
      </w:pPr>
      <w:r>
        <w:rPr>
          <w:rFonts w:ascii="宋体" w:hAnsi="宋体"/>
          <w:spacing w:val="-4"/>
          <w:sz w:val="24"/>
          <w:szCs w:val="24"/>
        </w:rPr>
        <w:t>甲方委托乙方</w:t>
      </w:r>
      <w:r>
        <w:rPr>
          <w:rFonts w:hint="eastAsia" w:ascii="宋体" w:hAnsi="宋体"/>
          <w:spacing w:val="-4"/>
          <w:sz w:val="24"/>
          <w:szCs w:val="24"/>
        </w:rPr>
        <w:t>承接XXX</w:t>
      </w:r>
      <w:r>
        <w:rPr>
          <w:rFonts w:hint="eastAsia" w:hAnsi="宋体"/>
          <w:sz w:val="24"/>
          <w:szCs w:val="24"/>
        </w:rPr>
        <w:t>项目展示区开放系列活动、现场包装及宣传推广服务</w:t>
      </w:r>
      <w:r>
        <w:rPr>
          <w:rFonts w:ascii="宋体" w:hAnsi="宋体"/>
          <w:spacing w:val="-4"/>
          <w:sz w:val="24"/>
          <w:szCs w:val="24"/>
        </w:rPr>
        <w:t>，负责该项目的</w:t>
      </w:r>
      <w:r>
        <w:rPr>
          <w:rFonts w:hint="eastAsia" w:ascii="宋体" w:hAnsi="宋体"/>
          <w:spacing w:val="-4"/>
          <w:sz w:val="24"/>
          <w:szCs w:val="24"/>
        </w:rPr>
        <w:t>活动执行、展示设计</w:t>
      </w:r>
      <w:r>
        <w:rPr>
          <w:rFonts w:ascii="宋体" w:hAnsi="宋体"/>
          <w:spacing w:val="-4"/>
          <w:sz w:val="24"/>
          <w:szCs w:val="24"/>
        </w:rPr>
        <w:t>、</w:t>
      </w:r>
      <w:r>
        <w:rPr>
          <w:rFonts w:hint="eastAsia" w:ascii="宋体" w:hAnsi="宋体"/>
          <w:spacing w:val="-4"/>
          <w:sz w:val="24"/>
          <w:szCs w:val="24"/>
        </w:rPr>
        <w:t>制作包装、</w:t>
      </w:r>
      <w:r>
        <w:rPr>
          <w:rFonts w:ascii="宋体" w:hAnsi="宋体"/>
          <w:spacing w:val="-4"/>
          <w:sz w:val="24"/>
          <w:szCs w:val="24"/>
        </w:rPr>
        <w:t>物料采购</w:t>
      </w:r>
      <w:r>
        <w:rPr>
          <w:rFonts w:hint="eastAsia" w:ascii="宋体" w:hAnsi="宋体"/>
          <w:spacing w:val="-4"/>
          <w:sz w:val="24"/>
          <w:szCs w:val="24"/>
        </w:rPr>
        <w:t>、包装</w:t>
      </w:r>
      <w:r>
        <w:rPr>
          <w:rFonts w:ascii="宋体" w:hAnsi="宋体"/>
          <w:spacing w:val="-4"/>
          <w:sz w:val="24"/>
          <w:szCs w:val="24"/>
        </w:rPr>
        <w:t>执行、</w:t>
      </w:r>
      <w:r>
        <w:rPr>
          <w:rFonts w:hint="eastAsia" w:ascii="宋体" w:hAnsi="宋体"/>
          <w:spacing w:val="-4"/>
          <w:sz w:val="24"/>
          <w:szCs w:val="24"/>
        </w:rPr>
        <w:t>宣传推广、服务</w:t>
      </w:r>
      <w:r>
        <w:rPr>
          <w:rFonts w:ascii="宋体" w:hAnsi="宋体"/>
          <w:spacing w:val="-4"/>
          <w:sz w:val="24"/>
          <w:szCs w:val="24"/>
        </w:rPr>
        <w:t>人员安排等事宜。</w:t>
      </w:r>
    </w:p>
    <w:p>
      <w:pPr>
        <w:spacing w:line="312" w:lineRule="auto"/>
        <w:ind w:firstLine="466" w:firstLineChars="200"/>
        <w:rPr>
          <w:rFonts w:ascii="宋体" w:hAnsi="宋体"/>
          <w:b/>
          <w:spacing w:val="-4"/>
          <w:sz w:val="24"/>
          <w:szCs w:val="24"/>
        </w:rPr>
      </w:pPr>
      <w:r>
        <w:rPr>
          <w:rFonts w:hint="eastAsia" w:ascii="宋体" w:hAnsi="宋体"/>
          <w:b/>
          <w:spacing w:val="-4"/>
          <w:sz w:val="24"/>
          <w:szCs w:val="24"/>
        </w:rPr>
        <w:t>二、工作内容</w:t>
      </w:r>
    </w:p>
    <w:p>
      <w:pPr>
        <w:adjustRightInd w:val="0"/>
        <w:snapToGrid w:val="0"/>
        <w:spacing w:line="360" w:lineRule="auto"/>
        <w:ind w:firstLine="464" w:firstLineChars="200"/>
        <w:rPr>
          <w:rFonts w:ascii="宋体" w:hAnsi="宋体"/>
          <w:spacing w:val="-4"/>
          <w:sz w:val="24"/>
          <w:szCs w:val="24"/>
        </w:rPr>
      </w:pPr>
      <w:bookmarkStart w:id="118" w:name="_Toc231728422"/>
      <w:r>
        <w:rPr>
          <w:rFonts w:hint="eastAsia" w:ascii="宋体" w:hAnsi="宋体"/>
          <w:spacing w:val="-4"/>
          <w:sz w:val="24"/>
          <w:szCs w:val="24"/>
        </w:rPr>
        <w:t xml:space="preserve">XXX项目展示区开放系列活动、现场包装及宣传推广服务包括但不限于展示区开放活动策划及执行、系列拓客和暖场活动策划及执行、现场包装相关物料采购、设计制作与执行、相关活动的收尾撤场、宣传推广等内容，具体要求如下： </w:t>
      </w:r>
    </w:p>
    <w:p>
      <w:pPr>
        <w:pStyle w:val="114"/>
        <w:numPr>
          <w:ilvl w:val="0"/>
          <w:numId w:val="6"/>
        </w:numPr>
        <w:adjustRightInd w:val="0"/>
        <w:snapToGrid w:val="0"/>
        <w:spacing w:line="560" w:lineRule="exact"/>
        <w:ind w:firstLineChars="0"/>
        <w:rPr>
          <w:rFonts w:ascii="宋体" w:hAnsi="宋体" w:cs="仿宋"/>
          <w:color w:val="000000"/>
          <w:sz w:val="24"/>
          <w:szCs w:val="24"/>
        </w:rPr>
      </w:pPr>
      <w:r>
        <w:rPr>
          <w:rFonts w:hint="eastAsia" w:ascii="宋体" w:hAnsi="宋体" w:cs="仿宋"/>
          <w:color w:val="000000"/>
          <w:sz w:val="24"/>
          <w:szCs w:val="24"/>
        </w:rPr>
        <w:t>活动部分</w:t>
      </w:r>
    </w:p>
    <w:p>
      <w:pPr>
        <w:pStyle w:val="114"/>
        <w:adjustRightInd w:val="0"/>
        <w:snapToGrid w:val="0"/>
        <w:spacing w:line="360" w:lineRule="auto"/>
        <w:ind w:left="640" w:firstLine="0" w:firstLineChars="0"/>
        <w:rPr>
          <w:rFonts w:ascii="宋体" w:hAnsi="宋体" w:cs="仿宋"/>
          <w:color w:val="000000"/>
          <w:sz w:val="24"/>
          <w:szCs w:val="24"/>
        </w:rPr>
      </w:pPr>
      <w:r>
        <w:rPr>
          <w:rFonts w:hint="eastAsia" w:ascii="宋体" w:hAnsi="宋体" w:cs="仿宋"/>
          <w:color w:val="000000"/>
          <w:sz w:val="24"/>
          <w:szCs w:val="24"/>
        </w:rPr>
        <w:t>1</w:t>
      </w:r>
      <w:r>
        <w:rPr>
          <w:rFonts w:ascii="宋体" w:hAnsi="宋体" w:cs="仿宋"/>
          <w:color w:val="000000"/>
          <w:sz w:val="24"/>
          <w:szCs w:val="24"/>
        </w:rPr>
        <w:t>.</w:t>
      </w:r>
      <w:r>
        <w:rPr>
          <w:rFonts w:hint="eastAsia" w:ascii="宋体" w:hAnsi="宋体" w:cs="仿宋"/>
          <w:color w:val="000000"/>
          <w:sz w:val="24"/>
          <w:szCs w:val="24"/>
        </w:rPr>
        <w:t>展示区开放活动</w:t>
      </w:r>
    </w:p>
    <w:p>
      <w:pPr>
        <w:spacing w:line="360" w:lineRule="auto"/>
        <w:ind w:firstLine="480" w:firstLineChars="200"/>
        <w:rPr>
          <w:rFonts w:ascii="宋体" w:hAnsi="宋体" w:cs="仿宋"/>
          <w:color w:val="000000"/>
          <w:sz w:val="24"/>
          <w:szCs w:val="24"/>
        </w:rPr>
      </w:pPr>
      <w:r>
        <w:rPr>
          <w:rFonts w:hint="eastAsia" w:ascii="宋体" w:hAnsi="宋体" w:cs="仿宋"/>
          <w:color w:val="000000"/>
          <w:sz w:val="24"/>
          <w:szCs w:val="24"/>
        </w:rPr>
        <w:t>在项目展示区开放节点，根据具体项目的需求举办富有仪式感及特色的开放活动，主题鲜明、突出项目调性及品质，包括但不限于有：开放仪式、现场暖场表演、媒体互动交流形式及伴手礼、活动氛围营造及包装。</w:t>
      </w:r>
    </w:p>
    <w:p>
      <w:pPr>
        <w:spacing w:line="360" w:lineRule="auto"/>
        <w:ind w:firstLine="480" w:firstLineChars="200"/>
        <w:rPr>
          <w:rFonts w:ascii="宋体" w:hAnsi="宋体" w:cs="仿宋"/>
          <w:color w:val="000000"/>
          <w:sz w:val="24"/>
          <w:szCs w:val="24"/>
        </w:rPr>
      </w:pPr>
      <w:r>
        <w:rPr>
          <w:rFonts w:hint="eastAsia" w:ascii="宋体" w:hAnsi="宋体" w:cs="仿宋"/>
          <w:color w:val="000000"/>
          <w:sz w:val="24"/>
          <w:szCs w:val="24"/>
        </w:rPr>
        <w:t>XXX项目将举办活动为：1</w:t>
      </w:r>
      <w:r>
        <w:rPr>
          <w:rFonts w:ascii="宋体" w:hAnsi="宋体" w:cs="仿宋"/>
          <w:color w:val="000000"/>
          <w:sz w:val="24"/>
          <w:szCs w:val="24"/>
        </w:rPr>
        <w:t>.</w:t>
      </w:r>
      <w:r>
        <w:rPr>
          <w:rFonts w:hint="eastAsia" w:ascii="宋体" w:hAnsi="宋体" w:cs="仿宋"/>
          <w:color w:val="000000"/>
          <w:sz w:val="24"/>
          <w:szCs w:val="24"/>
        </w:rPr>
        <w:t>XXX；2</w:t>
      </w:r>
      <w:r>
        <w:rPr>
          <w:rFonts w:ascii="宋体" w:hAnsi="宋体" w:cs="仿宋"/>
          <w:color w:val="000000"/>
          <w:sz w:val="24"/>
          <w:szCs w:val="24"/>
        </w:rPr>
        <w:t>.</w:t>
      </w:r>
      <w:r>
        <w:rPr>
          <w:rFonts w:hint="eastAsia" w:ascii="宋体" w:hAnsi="宋体" w:cs="仿宋"/>
          <w:color w:val="000000"/>
          <w:sz w:val="24"/>
          <w:szCs w:val="24"/>
        </w:rPr>
        <w:t>XXX。</w:t>
      </w:r>
    </w:p>
    <w:p>
      <w:pPr>
        <w:spacing w:line="360" w:lineRule="auto"/>
        <w:ind w:firstLine="480" w:firstLineChars="200"/>
        <w:rPr>
          <w:rFonts w:ascii="宋体" w:hAnsi="宋体"/>
          <w:sz w:val="24"/>
          <w:szCs w:val="24"/>
        </w:rPr>
      </w:pPr>
      <w:r>
        <w:rPr>
          <w:rFonts w:hint="eastAsia" w:ascii="宋体" w:hAnsi="宋体" w:cs="仿宋"/>
          <w:color w:val="000000"/>
          <w:sz w:val="24"/>
          <w:szCs w:val="24"/>
        </w:rPr>
        <w:t>展示区开放活动要求为：</w:t>
      </w:r>
      <w:r>
        <w:rPr>
          <w:rFonts w:hint="eastAsia" w:ascii="宋体" w:hAnsi="宋体"/>
          <w:sz w:val="24"/>
          <w:szCs w:val="24"/>
        </w:rPr>
        <w:t>XXX</w:t>
      </w:r>
    </w:p>
    <w:p>
      <w:pPr>
        <w:spacing w:line="360" w:lineRule="auto"/>
        <w:ind w:firstLine="480" w:firstLineChars="200"/>
        <w:rPr>
          <w:rFonts w:ascii="宋体" w:hAnsi="宋体" w:cs="仿宋"/>
          <w:color w:val="000000"/>
          <w:sz w:val="24"/>
          <w:szCs w:val="24"/>
        </w:rPr>
      </w:pPr>
      <w:r>
        <w:rPr>
          <w:rFonts w:hint="eastAsia" w:ascii="宋体" w:hAnsi="宋体" w:cs="仿宋"/>
          <w:color w:val="000000"/>
          <w:sz w:val="24"/>
          <w:szCs w:val="24"/>
        </w:rPr>
        <w:t>【具体活动的要求】</w:t>
      </w:r>
    </w:p>
    <w:p>
      <w:pPr>
        <w:pStyle w:val="114"/>
        <w:adjustRightInd w:val="0"/>
        <w:snapToGrid w:val="0"/>
        <w:spacing w:line="360" w:lineRule="auto"/>
        <w:ind w:left="640" w:firstLine="0" w:firstLineChars="0"/>
        <w:rPr>
          <w:rFonts w:ascii="宋体" w:hAnsi="宋体"/>
          <w:sz w:val="24"/>
          <w:szCs w:val="24"/>
        </w:rPr>
      </w:pPr>
      <w:r>
        <w:rPr>
          <w:rFonts w:hint="eastAsia" w:ascii="宋体" w:hAnsi="宋体" w:cs="仿宋"/>
          <w:color w:val="000000"/>
          <w:sz w:val="24"/>
          <w:szCs w:val="24"/>
        </w:rPr>
        <w:t>2</w:t>
      </w:r>
      <w:r>
        <w:rPr>
          <w:rFonts w:ascii="宋体" w:hAnsi="宋体" w:cs="仿宋"/>
          <w:color w:val="000000"/>
          <w:sz w:val="24"/>
          <w:szCs w:val="24"/>
        </w:rPr>
        <w:t>.</w:t>
      </w:r>
      <w:r>
        <w:rPr>
          <w:rFonts w:hint="eastAsia" w:ascii="宋体" w:hAnsi="宋体" w:cs="仿宋"/>
          <w:color w:val="000000"/>
          <w:sz w:val="24"/>
          <w:szCs w:val="24"/>
        </w:rPr>
        <w:t>系列拓客及暖场活动</w:t>
      </w:r>
    </w:p>
    <w:p>
      <w:pPr>
        <w:pStyle w:val="114"/>
        <w:adjustRightInd w:val="0"/>
        <w:snapToGrid w:val="0"/>
        <w:spacing w:line="360" w:lineRule="auto"/>
        <w:ind w:firstLine="480"/>
        <w:rPr>
          <w:rFonts w:ascii="宋体" w:hAnsi="宋体"/>
          <w:sz w:val="24"/>
          <w:szCs w:val="24"/>
        </w:rPr>
      </w:pPr>
      <w:r>
        <w:rPr>
          <w:rFonts w:hint="eastAsia" w:ascii="宋体" w:hAnsi="宋体"/>
          <w:sz w:val="24"/>
          <w:szCs w:val="24"/>
        </w:rPr>
        <w:t>（1）拓客活动：项目结合圈层客户特点，举办有互动性、创意性的拓客活动，包含但不限于：酒会类活动、品鉴类活动、答谢类活动、音乐类活动等，以此撬动目标客户圈层吸引更多客户。</w:t>
      </w:r>
    </w:p>
    <w:p>
      <w:pPr>
        <w:pStyle w:val="114"/>
        <w:adjustRightInd w:val="0"/>
        <w:snapToGrid w:val="0"/>
        <w:spacing w:line="360" w:lineRule="auto"/>
        <w:ind w:firstLine="480"/>
        <w:rPr>
          <w:rFonts w:ascii="宋体" w:hAnsi="宋体"/>
          <w:sz w:val="24"/>
          <w:szCs w:val="24"/>
        </w:rPr>
      </w:pPr>
      <w:r>
        <w:rPr>
          <w:rFonts w:hint="eastAsia" w:ascii="宋体" w:hAnsi="宋体"/>
          <w:sz w:val="24"/>
          <w:szCs w:val="24"/>
        </w:rPr>
        <w:t>XX项目将举办XX场拓客活动，乙方需在活动举办前给出每场活动的主题及创意建议。</w:t>
      </w:r>
    </w:p>
    <w:p>
      <w:pPr>
        <w:pStyle w:val="114"/>
        <w:adjustRightInd w:val="0"/>
        <w:snapToGrid w:val="0"/>
        <w:spacing w:line="360" w:lineRule="auto"/>
        <w:ind w:firstLine="480"/>
        <w:rPr>
          <w:rFonts w:ascii="宋体" w:hAnsi="宋体"/>
          <w:sz w:val="24"/>
          <w:szCs w:val="24"/>
        </w:rPr>
      </w:pPr>
      <w:r>
        <w:rPr>
          <w:rFonts w:hint="eastAsia" w:ascii="宋体" w:hAnsi="宋体"/>
          <w:sz w:val="24"/>
          <w:szCs w:val="24"/>
        </w:rPr>
        <w:t>（2）暖场活动：项目在开放展示区后，为吸引更多客户上门，并增加客户停留时间，拟于项目展示区举行暖场活动，活动内容需符合项目调性，有主题性、趣味性，能吸引客户停留。</w:t>
      </w:r>
    </w:p>
    <w:p>
      <w:pPr>
        <w:ind w:firstLine="720" w:firstLineChars="300"/>
      </w:pPr>
      <w:r>
        <w:rPr>
          <w:rFonts w:hint="eastAsia" w:ascii="宋体" w:hAnsi="宋体"/>
          <w:sz w:val="24"/>
          <w:szCs w:val="24"/>
        </w:rPr>
        <w:t>XX项目将举办XX场暖场活动，乙方需在活动举办前给出每场活动的主题及创意建议。</w:t>
      </w:r>
    </w:p>
    <w:p>
      <w:pPr>
        <w:pStyle w:val="114"/>
        <w:numPr>
          <w:ilvl w:val="0"/>
          <w:numId w:val="6"/>
        </w:numPr>
        <w:adjustRightInd w:val="0"/>
        <w:snapToGrid w:val="0"/>
        <w:spacing w:line="560" w:lineRule="exact"/>
        <w:ind w:firstLineChars="0"/>
        <w:rPr>
          <w:rFonts w:ascii="宋体" w:hAnsi="宋体" w:cs="仿宋"/>
          <w:color w:val="000000"/>
          <w:sz w:val="24"/>
          <w:szCs w:val="24"/>
        </w:rPr>
      </w:pPr>
      <w:r>
        <w:rPr>
          <w:rFonts w:hint="eastAsia" w:ascii="宋体" w:hAnsi="宋体" w:cs="仿宋"/>
          <w:color w:val="000000"/>
          <w:sz w:val="24"/>
          <w:szCs w:val="24"/>
        </w:rPr>
        <w:t>现场包装设计制作部分</w:t>
      </w:r>
    </w:p>
    <w:p>
      <w:pPr>
        <w:pStyle w:val="114"/>
        <w:adjustRightInd w:val="0"/>
        <w:snapToGrid w:val="0"/>
        <w:spacing w:line="360" w:lineRule="auto"/>
        <w:ind w:firstLine="480"/>
        <w:rPr>
          <w:rFonts w:ascii="宋体" w:hAnsi="宋体"/>
          <w:sz w:val="24"/>
          <w:szCs w:val="24"/>
        </w:rPr>
      </w:pPr>
      <w:r>
        <w:rPr>
          <w:rFonts w:hint="eastAsia" w:ascii="宋体" w:hAnsi="宋体"/>
          <w:sz w:val="24"/>
          <w:szCs w:val="24"/>
        </w:rPr>
        <w:t>为展示区达到展示条件，营造营销氛围，对展示区现场进行包装制作，内容包括但不限于展示区外围包装、内部包装、样板房区域包装等。具体清单如下：</w:t>
      </w:r>
    </w:p>
    <w:p>
      <w:pPr>
        <w:spacing w:line="360" w:lineRule="auto"/>
        <w:ind w:firstLine="480" w:firstLineChars="200"/>
        <w:rPr>
          <w:rFonts w:ascii="宋体" w:hAnsi="宋体" w:cs="仿宋"/>
          <w:color w:val="000000"/>
          <w:sz w:val="24"/>
          <w:szCs w:val="24"/>
        </w:rPr>
      </w:pPr>
      <w:r>
        <w:rPr>
          <w:rFonts w:hint="eastAsia" w:ascii="宋体" w:hAnsi="宋体" w:cs="仿宋"/>
          <w:color w:val="000000"/>
          <w:sz w:val="24"/>
          <w:szCs w:val="24"/>
        </w:rPr>
        <w:t>【包装清单列表】</w:t>
      </w:r>
    </w:p>
    <w:p>
      <w:pPr>
        <w:pStyle w:val="114"/>
        <w:numPr>
          <w:ilvl w:val="0"/>
          <w:numId w:val="6"/>
        </w:numPr>
        <w:adjustRightInd w:val="0"/>
        <w:snapToGrid w:val="0"/>
        <w:spacing w:line="360" w:lineRule="auto"/>
        <w:ind w:firstLineChars="0"/>
        <w:rPr>
          <w:rFonts w:ascii="宋体" w:hAnsi="宋体" w:cs="仿宋"/>
          <w:color w:val="000000"/>
          <w:sz w:val="24"/>
          <w:szCs w:val="24"/>
        </w:rPr>
      </w:pPr>
      <w:r>
        <w:rPr>
          <w:rFonts w:hint="eastAsia" w:ascii="宋体" w:hAnsi="宋体" w:cs="仿宋"/>
          <w:color w:val="000000"/>
          <w:sz w:val="24"/>
          <w:szCs w:val="24"/>
        </w:rPr>
        <w:t>宣传推广部分</w:t>
      </w:r>
    </w:p>
    <w:p>
      <w:pPr>
        <w:spacing w:line="360" w:lineRule="auto"/>
        <w:ind w:firstLine="480" w:firstLineChars="200"/>
        <w:rPr>
          <w:rFonts w:ascii="宋体" w:hAnsi="宋体" w:cs="仿宋"/>
          <w:color w:val="000000"/>
          <w:sz w:val="24"/>
          <w:szCs w:val="24"/>
        </w:rPr>
      </w:pPr>
      <w:r>
        <w:rPr>
          <w:rFonts w:hint="eastAsia" w:ascii="宋体" w:hAnsi="宋体" w:cs="仿宋"/>
          <w:color w:val="000000"/>
          <w:sz w:val="24"/>
          <w:szCs w:val="24"/>
        </w:rPr>
        <w:t>根据展示区开放前后，基于项目蓄客需求，进行不同广告渠道的投放。具体渠道如下：</w:t>
      </w:r>
    </w:p>
    <w:p>
      <w:pPr>
        <w:spacing w:line="360" w:lineRule="auto"/>
        <w:ind w:firstLine="480" w:firstLineChars="200"/>
        <w:rPr>
          <w:rFonts w:ascii="宋体" w:hAnsi="宋体" w:cs="仿宋"/>
          <w:color w:val="000000"/>
          <w:sz w:val="24"/>
          <w:szCs w:val="24"/>
        </w:rPr>
      </w:pPr>
      <w:r>
        <w:rPr>
          <w:rFonts w:hint="eastAsia" w:ascii="宋体" w:hAnsi="宋体" w:cs="仿宋"/>
          <w:color w:val="000000"/>
          <w:sz w:val="24"/>
          <w:szCs w:val="24"/>
        </w:rPr>
        <w:t>【宣传清单列表】</w:t>
      </w:r>
    </w:p>
    <w:p>
      <w:pPr>
        <w:rPr>
          <w:rFonts w:ascii="宋体" w:hAnsi="宋体"/>
          <w:color w:val="000000"/>
          <w:sz w:val="32"/>
          <w:szCs w:val="32"/>
        </w:rPr>
      </w:pPr>
    </w:p>
    <w:p>
      <w:pPr>
        <w:tabs>
          <w:tab w:val="left" w:pos="840"/>
        </w:tabs>
        <w:adjustRightInd w:val="0"/>
        <w:snapToGrid w:val="0"/>
        <w:spacing w:line="312" w:lineRule="auto"/>
        <w:ind w:firstLine="466" w:firstLineChars="200"/>
        <w:rPr>
          <w:rFonts w:ascii="宋体" w:hAnsi="宋体"/>
          <w:b/>
          <w:bCs/>
          <w:spacing w:val="-4"/>
          <w:sz w:val="24"/>
          <w:szCs w:val="24"/>
        </w:rPr>
      </w:pPr>
      <w:r>
        <w:rPr>
          <w:rFonts w:hint="eastAsia" w:ascii="宋体" w:hAnsi="宋体"/>
          <w:b/>
          <w:bCs/>
          <w:spacing w:val="-4"/>
          <w:sz w:val="24"/>
          <w:szCs w:val="24"/>
        </w:rPr>
        <w:t>三、服务期限</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本合同签订之日起至2023年12月31日。</w:t>
      </w:r>
    </w:p>
    <w:p>
      <w:pPr>
        <w:spacing w:line="312" w:lineRule="auto"/>
        <w:ind w:firstLine="482" w:firstLineChars="200"/>
        <w:rPr>
          <w:rFonts w:ascii="宋体" w:hAnsi="宋体"/>
          <w:b/>
          <w:sz w:val="24"/>
          <w:szCs w:val="24"/>
        </w:rPr>
      </w:pPr>
      <w:r>
        <w:rPr>
          <w:rFonts w:hint="eastAsia" w:ascii="宋体" w:hAnsi="宋体"/>
          <w:b/>
          <w:sz w:val="24"/>
          <w:szCs w:val="24"/>
        </w:rPr>
        <w:t>四、</w:t>
      </w:r>
      <w:bookmarkEnd w:id="118"/>
      <w:r>
        <w:rPr>
          <w:rFonts w:hint="eastAsia" w:ascii="宋体" w:hAnsi="宋体"/>
          <w:b/>
          <w:sz w:val="24"/>
          <w:szCs w:val="24"/>
        </w:rPr>
        <w:t>双方的权利义务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（一）甲方的权利义务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1、甲方应按本合同约定的金额和时间向乙方支付合同价款。</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2、甲方需向乙方提交服务所需要的基础资料及文件，并在执行前确定所有执行方</w:t>
      </w:r>
      <w:r>
        <w:rPr>
          <w:rFonts w:ascii="宋体" w:hAnsi="宋体"/>
          <w:spacing w:val="-4"/>
          <w:sz w:val="24"/>
          <w:szCs w:val="24"/>
        </w:rPr>
        <w:t>案</w:t>
      </w:r>
      <w:r>
        <w:rPr>
          <w:rFonts w:hint="eastAsia" w:ascii="宋体" w:hAnsi="宋体"/>
          <w:spacing w:val="-4"/>
          <w:sz w:val="24"/>
          <w:szCs w:val="24"/>
        </w:rPr>
        <w:t>，确定后甲方不得随意更改活动内容，如需更改，应提前1天通知乙方。</w:t>
      </w:r>
    </w:p>
    <w:p>
      <w:pPr>
        <w:tabs>
          <w:tab w:val="left" w:pos="840"/>
        </w:tabs>
        <w:spacing w:line="312" w:lineRule="auto"/>
        <w:ind w:firstLine="464" w:firstLineChars="200"/>
        <w:rPr>
          <w:rFonts w:ascii="宋体" w:hAnsi="宋体"/>
          <w:spacing w:val="-4"/>
          <w:sz w:val="24"/>
          <w:szCs w:val="24"/>
        </w:rPr>
      </w:pPr>
      <w:r>
        <w:rPr>
          <w:rFonts w:hint="eastAsia" w:ascii="宋体" w:hAnsi="宋体"/>
          <w:spacing w:val="-4"/>
          <w:sz w:val="24"/>
          <w:szCs w:val="24"/>
        </w:rPr>
        <w:t>3、甲方指定专人与乙方指定人员进行沟通、联系及现场协助。</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（二）乙方的权利义务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1、乙方应按照本合同约定及甲方的要求完成本合同项目的所有工作。</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2、乙方必须按本合同约定的活动内容及要求严格执行，保证按约定完成活动场地</w:t>
      </w:r>
      <w:r>
        <w:rPr>
          <w:rFonts w:ascii="宋体" w:hAnsi="宋体"/>
          <w:spacing w:val="-4"/>
          <w:sz w:val="24"/>
          <w:szCs w:val="24"/>
        </w:rPr>
        <w:t>的档期确定</w:t>
      </w:r>
      <w:r>
        <w:rPr>
          <w:rFonts w:hint="eastAsia" w:ascii="宋体" w:hAnsi="宋体"/>
          <w:spacing w:val="-4"/>
          <w:sz w:val="24"/>
          <w:szCs w:val="24"/>
        </w:rPr>
        <w:t>，同时保证按约定提供活动所需的物料、人员</w:t>
      </w:r>
      <w:r>
        <w:rPr>
          <w:rFonts w:ascii="宋体" w:hAnsi="宋体"/>
          <w:spacing w:val="-4"/>
          <w:sz w:val="24"/>
          <w:szCs w:val="24"/>
        </w:rPr>
        <w:t>。</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3、乙方不得传播、捏造或夸大有关甲方及甲方关联公司的负面或</w:t>
      </w:r>
      <w:r>
        <w:rPr>
          <w:rFonts w:ascii="宋体" w:hAnsi="宋体"/>
          <w:spacing w:val="-4"/>
          <w:sz w:val="24"/>
          <w:szCs w:val="24"/>
        </w:rPr>
        <w:t>影响甲方及甲方关联公司声誉</w:t>
      </w:r>
      <w:r>
        <w:rPr>
          <w:rFonts w:hint="eastAsia" w:ascii="宋体" w:hAnsi="宋体"/>
          <w:spacing w:val="-4"/>
          <w:sz w:val="24"/>
          <w:szCs w:val="24"/>
        </w:rPr>
        <w:t>、</w:t>
      </w:r>
      <w:r>
        <w:rPr>
          <w:rFonts w:ascii="宋体" w:hAnsi="宋体"/>
          <w:spacing w:val="-4"/>
          <w:sz w:val="24"/>
          <w:szCs w:val="24"/>
        </w:rPr>
        <w:t>品牌等</w:t>
      </w:r>
      <w:r>
        <w:rPr>
          <w:rFonts w:hint="eastAsia" w:ascii="宋体" w:hAnsi="宋体"/>
          <w:spacing w:val="-4"/>
          <w:sz w:val="24"/>
          <w:szCs w:val="24"/>
        </w:rPr>
        <w:t>信息；乙方违反本约定，甲方有</w:t>
      </w:r>
      <w:r>
        <w:rPr>
          <w:rFonts w:ascii="宋体" w:hAnsi="宋体"/>
          <w:spacing w:val="-4"/>
          <w:sz w:val="24"/>
          <w:szCs w:val="24"/>
        </w:rPr>
        <w:t>权</w:t>
      </w:r>
      <w:r>
        <w:rPr>
          <w:rFonts w:hint="eastAsia" w:ascii="宋体" w:hAnsi="宋体"/>
          <w:spacing w:val="-4"/>
          <w:sz w:val="24"/>
          <w:szCs w:val="24"/>
        </w:rPr>
        <w:t>解除本合同，并不再支付剩余款项。因该等负面信息造成甲方及关联公司损失的，乙方还应赔偿损失，同时乙方有义务负责消除因负面信息等给甲方及关联公司造成的不利影响。</w:t>
      </w:r>
    </w:p>
    <w:p>
      <w:pPr>
        <w:spacing w:line="312" w:lineRule="auto"/>
        <w:ind w:firstLine="482" w:firstLineChars="200"/>
        <w:rPr>
          <w:rFonts w:ascii="宋体" w:hAnsi="宋体"/>
          <w:b/>
          <w:sz w:val="24"/>
          <w:szCs w:val="24"/>
        </w:rPr>
      </w:pPr>
      <w:r>
        <w:rPr>
          <w:rFonts w:hint="eastAsia" w:ascii="宋体" w:hAnsi="宋体"/>
          <w:b/>
          <w:sz w:val="24"/>
          <w:szCs w:val="24"/>
        </w:rPr>
        <w:t>五、合同价款及付款方式</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（一）计价方法</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合同为综合单价合同。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（二）合同价款组成及支付条款</w:t>
      </w:r>
    </w:p>
    <w:p>
      <w:pPr>
        <w:spacing w:line="360" w:lineRule="auto"/>
        <w:ind w:firstLine="480" w:firstLineChars="200"/>
        <w:rPr>
          <w:rFonts w:ascii="宋体" w:hAnsi="宋体"/>
          <w:color w:val="000000"/>
          <w:sz w:val="24"/>
          <w:szCs w:val="24"/>
        </w:rPr>
      </w:pPr>
      <w:bookmarkStart w:id="119" w:name="_Hlk93925099"/>
      <w:r>
        <w:rPr>
          <w:rFonts w:hint="eastAsia" w:ascii="宋体" w:hAnsi="宋体"/>
          <w:color w:val="000000"/>
          <w:sz w:val="24"/>
          <w:szCs w:val="24"/>
        </w:rPr>
        <w:t>1.合同总价暂定为人民币</w:t>
      </w:r>
      <w:r>
        <w:rPr>
          <w:rFonts w:hint="eastAsia" w:ascii="宋体" w:hAnsi="宋体"/>
          <w:color w:val="000000"/>
          <w:sz w:val="24"/>
          <w:szCs w:val="24"/>
          <w:u w:val="single"/>
        </w:rPr>
        <w:t xml:space="preserve">  </w:t>
      </w:r>
      <w:r>
        <w:rPr>
          <w:rFonts w:hint="eastAsia" w:ascii="宋体" w:hAnsi="宋体"/>
          <w:color w:val="000000"/>
          <w:sz w:val="24"/>
          <w:szCs w:val="24"/>
        </w:rPr>
        <w:t>元整（￥</w:t>
      </w:r>
      <w:r>
        <w:rPr>
          <w:rFonts w:hint="eastAsia" w:ascii="宋体" w:hAnsi="宋体"/>
          <w:color w:val="000000"/>
          <w:sz w:val="24"/>
          <w:szCs w:val="24"/>
          <w:u w:val="single"/>
        </w:rPr>
        <w:t xml:space="preserve">  </w:t>
      </w:r>
      <w:r>
        <w:rPr>
          <w:rFonts w:hint="eastAsia" w:ascii="宋体" w:hAnsi="宋体"/>
          <w:color w:val="000000"/>
          <w:sz w:val="24"/>
          <w:szCs w:val="24"/>
        </w:rPr>
        <w:t>元），其中不含税总价为</w:t>
      </w:r>
      <w:r>
        <w:rPr>
          <w:rFonts w:hint="eastAsia" w:ascii="宋体" w:hAnsi="宋体"/>
          <w:color w:val="000000"/>
          <w:sz w:val="24"/>
          <w:szCs w:val="24"/>
          <w:u w:val="single"/>
        </w:rPr>
        <w:t xml:space="preserve">  </w:t>
      </w:r>
      <w:r>
        <w:rPr>
          <w:rFonts w:hint="eastAsia" w:ascii="宋体" w:hAnsi="宋体"/>
          <w:color w:val="000000"/>
          <w:sz w:val="24"/>
          <w:szCs w:val="24"/>
        </w:rPr>
        <w:t>元，增值税税率为</w:t>
      </w:r>
      <w:r>
        <w:rPr>
          <w:rFonts w:hint="eastAsia" w:ascii="宋体" w:hAnsi="宋体"/>
          <w:color w:val="000000"/>
          <w:sz w:val="24"/>
          <w:szCs w:val="24"/>
          <w:u w:val="single"/>
        </w:rPr>
        <w:t xml:space="preserve">  </w:t>
      </w:r>
      <w:r>
        <w:rPr>
          <w:rFonts w:hint="eastAsia" w:ascii="宋体" w:hAnsi="宋体"/>
          <w:color w:val="000000"/>
          <w:sz w:val="24"/>
          <w:szCs w:val="24"/>
        </w:rPr>
        <w:t>%，税额</w:t>
      </w:r>
      <w:r>
        <w:rPr>
          <w:rFonts w:hint="eastAsia" w:ascii="宋体" w:hAnsi="宋体"/>
          <w:color w:val="000000"/>
          <w:sz w:val="24"/>
          <w:szCs w:val="24"/>
          <w:u w:val="single"/>
        </w:rPr>
        <w:t xml:space="preserve"> </w:t>
      </w:r>
      <w:r>
        <w:rPr>
          <w:rFonts w:ascii="宋体" w:hAnsi="宋体"/>
          <w:color w:val="000000"/>
          <w:sz w:val="24"/>
          <w:szCs w:val="24"/>
          <w:u w:val="single"/>
        </w:rPr>
        <w:t xml:space="preserve"> </w:t>
      </w:r>
      <w:r>
        <w:rPr>
          <w:rFonts w:hint="eastAsia" w:ascii="宋体" w:hAnsi="宋体"/>
          <w:color w:val="000000"/>
          <w:sz w:val="24"/>
          <w:szCs w:val="24"/>
          <w:u w:val="single"/>
        </w:rPr>
        <w:t xml:space="preserve"> </w:t>
      </w:r>
      <w:r>
        <w:rPr>
          <w:rFonts w:hint="eastAsia" w:ascii="宋体" w:hAnsi="宋体"/>
          <w:color w:val="000000"/>
          <w:sz w:val="24"/>
          <w:szCs w:val="24"/>
        </w:rPr>
        <w:t>元。合同的增值税率根据国家税收法规政策变动而调整，不含税价不随增值税率的变化进行调整。其中</w:t>
      </w:r>
      <w:r>
        <w:rPr>
          <w:rFonts w:ascii="宋体" w:hAnsi="宋体"/>
          <w:color w:val="000000"/>
          <w:sz w:val="24"/>
          <w:szCs w:val="24"/>
        </w:rPr>
        <w:t>：</w:t>
      </w:r>
    </w:p>
    <w:p>
      <w:pPr>
        <w:pStyle w:val="114"/>
        <w:numPr>
          <w:ilvl w:val="0"/>
          <w:numId w:val="7"/>
        </w:numPr>
        <w:spacing w:line="360" w:lineRule="auto"/>
        <w:ind w:left="0" w:firstLine="480"/>
        <w:rPr>
          <w:rFonts w:ascii="宋体" w:hAnsi="宋体"/>
          <w:color w:val="000000"/>
          <w:sz w:val="24"/>
          <w:szCs w:val="24"/>
        </w:rPr>
      </w:pPr>
      <w:r>
        <w:rPr>
          <w:rFonts w:hint="eastAsia" w:ascii="宋体" w:hAnsi="宋体"/>
          <w:color w:val="000000"/>
          <w:sz w:val="24"/>
          <w:szCs w:val="24"/>
        </w:rPr>
        <w:t>主开放活动费用暂定为人民币</w:t>
      </w:r>
      <w:r>
        <w:rPr>
          <w:rFonts w:ascii="宋体" w:hAnsi="宋体"/>
          <w:color w:val="000000"/>
          <w:sz w:val="24"/>
          <w:szCs w:val="24"/>
          <w:u w:val="single"/>
        </w:rPr>
        <w:t xml:space="preserve">  </w:t>
      </w:r>
      <w:r>
        <w:rPr>
          <w:rFonts w:hint="eastAsia" w:ascii="宋体" w:hAnsi="宋体"/>
          <w:color w:val="000000"/>
          <w:sz w:val="24"/>
          <w:szCs w:val="24"/>
        </w:rPr>
        <w:t>元整（￥</w:t>
      </w:r>
      <w:r>
        <w:rPr>
          <w:rFonts w:ascii="宋体" w:hAnsi="宋体"/>
          <w:color w:val="000000"/>
          <w:sz w:val="24"/>
          <w:szCs w:val="24"/>
          <w:u w:val="single"/>
        </w:rPr>
        <w:t xml:space="preserve">    </w:t>
      </w:r>
      <w:r>
        <w:rPr>
          <w:rFonts w:hint="eastAsia" w:ascii="宋体" w:hAnsi="宋体"/>
          <w:color w:val="000000"/>
          <w:sz w:val="24"/>
          <w:szCs w:val="24"/>
        </w:rPr>
        <w:t>元）（含税）；</w:t>
      </w:r>
    </w:p>
    <w:p>
      <w:pPr>
        <w:pStyle w:val="114"/>
        <w:numPr>
          <w:ilvl w:val="0"/>
          <w:numId w:val="7"/>
        </w:numPr>
        <w:spacing w:line="360" w:lineRule="auto"/>
        <w:ind w:left="0" w:firstLine="480"/>
        <w:rPr>
          <w:rFonts w:ascii="宋体" w:hAnsi="宋体"/>
          <w:color w:val="000000"/>
          <w:sz w:val="24"/>
          <w:szCs w:val="24"/>
        </w:rPr>
      </w:pPr>
      <w:r>
        <w:rPr>
          <w:rFonts w:hint="eastAsia" w:ascii="宋体" w:hAnsi="宋体"/>
          <w:color w:val="000000"/>
          <w:sz w:val="24"/>
          <w:szCs w:val="24"/>
        </w:rPr>
        <w:t>其它开放活动1费用暂定为人民币</w:t>
      </w:r>
      <w:r>
        <w:rPr>
          <w:rFonts w:ascii="宋体" w:hAnsi="宋体"/>
          <w:color w:val="000000"/>
          <w:sz w:val="24"/>
          <w:szCs w:val="24"/>
          <w:u w:val="single"/>
        </w:rPr>
        <w:t xml:space="preserve">  </w:t>
      </w:r>
      <w:r>
        <w:rPr>
          <w:rFonts w:hint="eastAsia" w:ascii="宋体" w:hAnsi="宋体"/>
          <w:color w:val="000000"/>
          <w:sz w:val="24"/>
          <w:szCs w:val="24"/>
        </w:rPr>
        <w:t>元整（￥</w:t>
      </w:r>
      <w:r>
        <w:rPr>
          <w:rFonts w:ascii="宋体" w:hAnsi="宋体"/>
          <w:color w:val="000000"/>
          <w:sz w:val="24"/>
          <w:szCs w:val="24"/>
          <w:u w:val="single"/>
        </w:rPr>
        <w:t xml:space="preserve">    </w:t>
      </w:r>
      <w:r>
        <w:rPr>
          <w:rFonts w:hint="eastAsia" w:ascii="宋体" w:hAnsi="宋体"/>
          <w:color w:val="000000"/>
          <w:sz w:val="24"/>
          <w:szCs w:val="24"/>
        </w:rPr>
        <w:t>元）（含税）；</w:t>
      </w:r>
    </w:p>
    <w:p>
      <w:pPr>
        <w:pStyle w:val="114"/>
        <w:numPr>
          <w:ilvl w:val="0"/>
          <w:numId w:val="7"/>
        </w:numPr>
        <w:spacing w:line="360" w:lineRule="auto"/>
        <w:ind w:left="0" w:firstLine="480"/>
        <w:rPr>
          <w:rFonts w:ascii="宋体" w:hAnsi="宋体"/>
          <w:color w:val="000000"/>
          <w:sz w:val="24"/>
          <w:szCs w:val="24"/>
        </w:rPr>
      </w:pPr>
      <w:r>
        <w:rPr>
          <w:rFonts w:hint="eastAsia" w:ascii="宋体" w:hAnsi="宋体"/>
          <w:color w:val="000000"/>
          <w:sz w:val="24"/>
          <w:szCs w:val="24"/>
        </w:rPr>
        <w:t>其它开放活动2费用暂定为人民币</w:t>
      </w:r>
      <w:r>
        <w:rPr>
          <w:rFonts w:ascii="宋体" w:hAnsi="宋体"/>
          <w:color w:val="000000"/>
          <w:sz w:val="24"/>
          <w:szCs w:val="24"/>
          <w:u w:val="single"/>
        </w:rPr>
        <w:t xml:space="preserve">  </w:t>
      </w:r>
      <w:r>
        <w:rPr>
          <w:rFonts w:hint="eastAsia" w:ascii="宋体" w:hAnsi="宋体"/>
          <w:color w:val="000000"/>
          <w:sz w:val="24"/>
          <w:szCs w:val="24"/>
        </w:rPr>
        <w:t>元整（￥</w:t>
      </w:r>
      <w:r>
        <w:rPr>
          <w:rFonts w:ascii="宋体" w:hAnsi="宋体"/>
          <w:color w:val="000000"/>
          <w:sz w:val="24"/>
          <w:szCs w:val="24"/>
          <w:u w:val="single"/>
        </w:rPr>
        <w:t xml:space="preserve">    </w:t>
      </w:r>
      <w:r>
        <w:rPr>
          <w:rFonts w:hint="eastAsia" w:ascii="宋体" w:hAnsi="宋体"/>
          <w:color w:val="000000"/>
          <w:sz w:val="24"/>
          <w:szCs w:val="24"/>
        </w:rPr>
        <w:t>元）（含税）；</w:t>
      </w:r>
    </w:p>
    <w:p>
      <w:pPr>
        <w:pStyle w:val="114"/>
        <w:numPr>
          <w:ilvl w:val="0"/>
          <w:numId w:val="7"/>
        </w:numPr>
        <w:spacing w:line="360" w:lineRule="auto"/>
        <w:ind w:left="0" w:firstLine="480"/>
        <w:rPr>
          <w:rFonts w:ascii="宋体" w:hAnsi="宋体"/>
          <w:color w:val="000000"/>
          <w:sz w:val="24"/>
          <w:szCs w:val="24"/>
        </w:rPr>
      </w:pPr>
      <w:r>
        <w:rPr>
          <w:rFonts w:hint="eastAsia" w:ascii="宋体" w:hAnsi="宋体"/>
          <w:color w:val="000000"/>
          <w:sz w:val="24"/>
          <w:szCs w:val="24"/>
        </w:rPr>
        <w:t>系列拓客活动费用：单场活动费用暂定为人民币</w:t>
      </w:r>
      <w:r>
        <w:rPr>
          <w:rFonts w:ascii="宋体" w:hAnsi="宋体"/>
          <w:color w:val="000000"/>
          <w:sz w:val="24"/>
          <w:szCs w:val="24"/>
          <w:u w:val="single"/>
        </w:rPr>
        <w:t xml:space="preserve">  </w:t>
      </w:r>
      <w:r>
        <w:rPr>
          <w:rFonts w:hint="eastAsia" w:ascii="宋体" w:hAnsi="宋体"/>
          <w:color w:val="000000"/>
          <w:sz w:val="24"/>
          <w:szCs w:val="24"/>
        </w:rPr>
        <w:t>元整（￥</w:t>
      </w:r>
      <w:r>
        <w:rPr>
          <w:rFonts w:ascii="宋体" w:hAnsi="宋体"/>
          <w:color w:val="000000"/>
          <w:sz w:val="24"/>
          <w:szCs w:val="24"/>
          <w:u w:val="single"/>
        </w:rPr>
        <w:t xml:space="preserve">    </w:t>
      </w:r>
      <w:r>
        <w:rPr>
          <w:rFonts w:hint="eastAsia" w:ascii="宋体" w:hAnsi="宋体"/>
          <w:color w:val="000000"/>
          <w:sz w:val="24"/>
          <w:szCs w:val="24"/>
        </w:rPr>
        <w:t>元）（含税），暂定</w:t>
      </w:r>
      <w:r>
        <w:rPr>
          <w:rFonts w:ascii="宋体" w:hAnsi="宋体"/>
          <w:color w:val="000000"/>
          <w:sz w:val="24"/>
          <w:szCs w:val="24"/>
          <w:u w:val="single"/>
        </w:rPr>
        <w:t xml:space="preserve">   </w:t>
      </w:r>
      <w:r>
        <w:rPr>
          <w:rFonts w:hint="eastAsia" w:ascii="宋体" w:hAnsi="宋体"/>
          <w:color w:val="000000"/>
          <w:sz w:val="24"/>
          <w:szCs w:val="24"/>
        </w:rPr>
        <w:t>场，故拓客活动暂定总价为人民币</w:t>
      </w:r>
      <w:r>
        <w:rPr>
          <w:rFonts w:ascii="宋体" w:hAnsi="宋体"/>
          <w:color w:val="000000"/>
          <w:sz w:val="24"/>
          <w:szCs w:val="24"/>
          <w:u w:val="single"/>
        </w:rPr>
        <w:t xml:space="preserve">  </w:t>
      </w:r>
      <w:r>
        <w:rPr>
          <w:rFonts w:hint="eastAsia" w:ascii="宋体" w:hAnsi="宋体"/>
          <w:color w:val="000000"/>
          <w:sz w:val="24"/>
          <w:szCs w:val="24"/>
        </w:rPr>
        <w:t>元整（￥</w:t>
      </w:r>
      <w:r>
        <w:rPr>
          <w:rFonts w:ascii="宋体" w:hAnsi="宋体"/>
          <w:color w:val="000000"/>
          <w:sz w:val="24"/>
          <w:szCs w:val="24"/>
          <w:u w:val="single"/>
        </w:rPr>
        <w:t xml:space="preserve">   </w:t>
      </w:r>
      <w:r>
        <w:rPr>
          <w:rFonts w:hint="eastAsia" w:ascii="宋体" w:hAnsi="宋体"/>
          <w:color w:val="000000"/>
          <w:sz w:val="24"/>
          <w:szCs w:val="24"/>
        </w:rPr>
        <w:t>元）（含税）；</w:t>
      </w:r>
    </w:p>
    <w:p>
      <w:pPr>
        <w:pStyle w:val="114"/>
        <w:numPr>
          <w:ilvl w:val="0"/>
          <w:numId w:val="7"/>
        </w:numPr>
        <w:spacing w:line="360" w:lineRule="auto"/>
        <w:ind w:left="0" w:firstLine="480"/>
        <w:rPr>
          <w:rFonts w:ascii="宋体" w:hAnsi="宋体"/>
          <w:color w:val="000000"/>
          <w:sz w:val="24"/>
          <w:szCs w:val="24"/>
        </w:rPr>
      </w:pPr>
      <w:r>
        <w:rPr>
          <w:rFonts w:hint="eastAsia" w:ascii="宋体" w:hAnsi="宋体"/>
          <w:color w:val="000000"/>
          <w:sz w:val="24"/>
          <w:szCs w:val="24"/>
        </w:rPr>
        <w:t>系列暖场活动费用：单场活动费用暂定为人民币</w:t>
      </w:r>
      <w:r>
        <w:rPr>
          <w:rFonts w:ascii="宋体" w:hAnsi="宋体"/>
          <w:color w:val="000000"/>
          <w:sz w:val="24"/>
          <w:szCs w:val="24"/>
          <w:u w:val="single"/>
        </w:rPr>
        <w:t xml:space="preserve">  </w:t>
      </w:r>
      <w:r>
        <w:rPr>
          <w:rFonts w:hint="eastAsia" w:ascii="宋体" w:hAnsi="宋体"/>
          <w:color w:val="000000"/>
          <w:sz w:val="24"/>
          <w:szCs w:val="24"/>
        </w:rPr>
        <w:t>元整（￥</w:t>
      </w:r>
      <w:r>
        <w:rPr>
          <w:rFonts w:ascii="宋体" w:hAnsi="宋体"/>
          <w:color w:val="000000"/>
          <w:sz w:val="24"/>
          <w:szCs w:val="24"/>
          <w:u w:val="single"/>
        </w:rPr>
        <w:t xml:space="preserve">    </w:t>
      </w:r>
      <w:r>
        <w:rPr>
          <w:rFonts w:hint="eastAsia" w:ascii="宋体" w:hAnsi="宋体"/>
          <w:color w:val="000000"/>
          <w:sz w:val="24"/>
          <w:szCs w:val="24"/>
        </w:rPr>
        <w:t>元）（含税），暂定</w:t>
      </w:r>
      <w:r>
        <w:rPr>
          <w:rFonts w:ascii="宋体" w:hAnsi="宋体"/>
          <w:color w:val="000000"/>
          <w:sz w:val="24"/>
          <w:szCs w:val="24"/>
          <w:u w:val="single"/>
        </w:rPr>
        <w:t xml:space="preserve">   </w:t>
      </w:r>
      <w:r>
        <w:rPr>
          <w:rFonts w:hint="eastAsia" w:ascii="宋体" w:hAnsi="宋体"/>
          <w:color w:val="000000"/>
          <w:sz w:val="24"/>
          <w:szCs w:val="24"/>
        </w:rPr>
        <w:t>场，故暖场活动暂定总价为人民币</w:t>
      </w:r>
      <w:r>
        <w:rPr>
          <w:rFonts w:ascii="宋体" w:hAnsi="宋体"/>
          <w:color w:val="000000"/>
          <w:sz w:val="24"/>
          <w:szCs w:val="24"/>
          <w:u w:val="single"/>
        </w:rPr>
        <w:t xml:space="preserve">  </w:t>
      </w:r>
      <w:r>
        <w:rPr>
          <w:rFonts w:hint="eastAsia" w:ascii="宋体" w:hAnsi="宋体"/>
          <w:color w:val="000000"/>
          <w:sz w:val="24"/>
          <w:szCs w:val="24"/>
        </w:rPr>
        <w:t>元整（￥</w:t>
      </w:r>
      <w:r>
        <w:rPr>
          <w:rFonts w:ascii="宋体" w:hAnsi="宋体"/>
          <w:color w:val="000000"/>
          <w:sz w:val="24"/>
          <w:szCs w:val="24"/>
          <w:u w:val="single"/>
        </w:rPr>
        <w:t xml:space="preserve">   </w:t>
      </w:r>
      <w:r>
        <w:rPr>
          <w:rFonts w:hint="eastAsia" w:ascii="宋体" w:hAnsi="宋体"/>
          <w:color w:val="000000"/>
          <w:sz w:val="24"/>
          <w:szCs w:val="24"/>
        </w:rPr>
        <w:t>元）（含税）；</w:t>
      </w:r>
    </w:p>
    <w:p>
      <w:pPr>
        <w:pStyle w:val="114"/>
        <w:numPr>
          <w:ilvl w:val="0"/>
          <w:numId w:val="7"/>
        </w:numPr>
        <w:spacing w:line="360" w:lineRule="auto"/>
        <w:ind w:left="0" w:firstLine="480"/>
        <w:rPr>
          <w:rFonts w:ascii="宋体" w:hAnsi="宋体"/>
          <w:color w:val="000000"/>
          <w:sz w:val="24"/>
          <w:szCs w:val="24"/>
        </w:rPr>
      </w:pPr>
      <w:r>
        <w:rPr>
          <w:rFonts w:hint="eastAsia" w:ascii="宋体" w:hAnsi="宋体"/>
          <w:color w:val="000000"/>
          <w:sz w:val="24"/>
          <w:szCs w:val="24"/>
        </w:rPr>
        <w:t>现场包装费用暂定为人民币</w:t>
      </w:r>
      <w:r>
        <w:rPr>
          <w:rFonts w:ascii="宋体" w:hAnsi="宋体"/>
          <w:color w:val="000000"/>
          <w:sz w:val="24"/>
          <w:szCs w:val="24"/>
          <w:u w:val="single"/>
        </w:rPr>
        <w:t xml:space="preserve">    </w:t>
      </w:r>
      <w:r>
        <w:rPr>
          <w:rFonts w:hint="eastAsia" w:ascii="宋体" w:hAnsi="宋体"/>
          <w:color w:val="000000"/>
          <w:sz w:val="24"/>
          <w:szCs w:val="24"/>
        </w:rPr>
        <w:t>元整（￥</w:t>
      </w:r>
      <w:r>
        <w:rPr>
          <w:rFonts w:ascii="宋体" w:hAnsi="宋体"/>
          <w:color w:val="000000"/>
          <w:sz w:val="24"/>
          <w:szCs w:val="24"/>
          <w:u w:val="single"/>
        </w:rPr>
        <w:t xml:space="preserve">   </w:t>
      </w:r>
      <w:r>
        <w:rPr>
          <w:rFonts w:hint="eastAsia" w:ascii="宋体" w:hAnsi="宋体"/>
          <w:color w:val="000000"/>
          <w:sz w:val="24"/>
          <w:szCs w:val="24"/>
        </w:rPr>
        <w:t>元）（含税）；</w:t>
      </w:r>
    </w:p>
    <w:p>
      <w:pPr>
        <w:pStyle w:val="114"/>
        <w:numPr>
          <w:ilvl w:val="0"/>
          <w:numId w:val="7"/>
        </w:numPr>
        <w:spacing w:line="360" w:lineRule="auto"/>
        <w:ind w:left="0" w:firstLine="480"/>
        <w:rPr>
          <w:rFonts w:ascii="宋体" w:hAnsi="宋体"/>
          <w:color w:val="000000"/>
          <w:sz w:val="24"/>
          <w:szCs w:val="24"/>
        </w:rPr>
      </w:pPr>
      <w:r>
        <w:rPr>
          <w:rFonts w:hint="eastAsia" w:ascii="宋体" w:hAnsi="宋体"/>
          <w:color w:val="000000"/>
          <w:sz w:val="24"/>
          <w:szCs w:val="24"/>
        </w:rPr>
        <w:t>宣传推广费用暂定为人民币</w:t>
      </w:r>
      <w:r>
        <w:rPr>
          <w:rFonts w:ascii="宋体" w:hAnsi="宋体"/>
          <w:color w:val="000000"/>
          <w:sz w:val="24"/>
          <w:szCs w:val="24"/>
          <w:u w:val="single"/>
        </w:rPr>
        <w:t xml:space="preserve">    </w:t>
      </w:r>
      <w:r>
        <w:rPr>
          <w:rFonts w:hint="eastAsia" w:ascii="宋体" w:hAnsi="宋体"/>
          <w:color w:val="000000"/>
          <w:sz w:val="24"/>
          <w:szCs w:val="24"/>
        </w:rPr>
        <w:t>元整（￥</w:t>
      </w:r>
      <w:r>
        <w:rPr>
          <w:rFonts w:ascii="宋体" w:hAnsi="宋体"/>
          <w:color w:val="000000"/>
          <w:sz w:val="24"/>
          <w:szCs w:val="24"/>
          <w:u w:val="single"/>
        </w:rPr>
        <w:t xml:space="preserve">   </w:t>
      </w:r>
      <w:r>
        <w:rPr>
          <w:rFonts w:hint="eastAsia" w:ascii="宋体" w:hAnsi="宋体"/>
          <w:color w:val="000000"/>
          <w:sz w:val="24"/>
          <w:szCs w:val="24"/>
        </w:rPr>
        <w:t>元）（含税）。</w:t>
      </w:r>
    </w:p>
    <w:p>
      <w:pPr>
        <w:pStyle w:val="114"/>
        <w:spacing w:line="360" w:lineRule="auto"/>
        <w:ind w:left="480" w:firstLine="0" w:firstLineChars="0"/>
        <w:rPr>
          <w:rFonts w:ascii="宋体" w:hAnsi="宋体"/>
          <w:color w:val="000000"/>
          <w:sz w:val="24"/>
          <w:szCs w:val="24"/>
        </w:rPr>
      </w:pPr>
      <w:r>
        <w:rPr>
          <w:rFonts w:hint="eastAsia" w:ascii="宋体" w:hAnsi="宋体"/>
          <w:color w:val="000000"/>
          <w:sz w:val="24"/>
          <w:szCs w:val="24"/>
        </w:rPr>
        <w:t>合同价格清单详见附件1《</w:t>
      </w:r>
      <w:r>
        <w:rPr>
          <w:rFonts w:hint="eastAsia" w:ascii="宋体" w:hAnsi="宋体"/>
          <w:spacing w:val="-4"/>
          <w:sz w:val="24"/>
          <w:szCs w:val="24"/>
        </w:rPr>
        <w:t>服务清单价格明细表》</w:t>
      </w:r>
    </w:p>
    <w:p>
      <w:pPr>
        <w:spacing w:line="360" w:lineRule="auto"/>
        <w:ind w:firstLine="480" w:firstLineChars="200"/>
        <w:rPr>
          <w:rFonts w:ascii="宋体" w:hAnsi="宋体"/>
          <w:sz w:val="24"/>
          <w:szCs w:val="36"/>
        </w:rPr>
      </w:pPr>
      <w:r>
        <w:rPr>
          <w:rFonts w:hint="eastAsia" w:ascii="宋体" w:hAnsi="宋体"/>
          <w:sz w:val="24"/>
          <w:szCs w:val="36"/>
        </w:rPr>
        <w:t>2</w:t>
      </w:r>
      <w:r>
        <w:rPr>
          <w:rFonts w:ascii="宋体" w:hAnsi="宋体"/>
          <w:sz w:val="24"/>
          <w:szCs w:val="36"/>
        </w:rPr>
        <w:t>.</w:t>
      </w:r>
      <w:r>
        <w:rPr>
          <w:rFonts w:hint="eastAsia" w:ascii="宋体" w:hAnsi="宋体"/>
          <w:sz w:val="24"/>
          <w:szCs w:val="36"/>
        </w:rPr>
        <w:t>合同价款含本项目所有活动</w:t>
      </w:r>
      <w:r>
        <w:rPr>
          <w:rFonts w:ascii="宋体" w:hAnsi="宋体"/>
          <w:sz w:val="24"/>
          <w:szCs w:val="36"/>
        </w:rPr>
        <w:t>/</w:t>
      </w:r>
      <w:r>
        <w:rPr>
          <w:rFonts w:hint="eastAsia" w:ascii="宋体" w:hAnsi="宋体"/>
          <w:sz w:val="24"/>
          <w:szCs w:val="36"/>
        </w:rPr>
        <w:t>包装服务过程中发生的策划费、执行费、设计费、制作费、人工费、场地费、交通费、运输费、保险费、政府报批收费、税金、撤场清理费等一切乙方为了履行本协议项下委托事项所产生的费用。除甲方书面确认的可增加的费用外，本协议价款不因任何事由上浮，包括但不限于不可抗力、价格上涨等因素。</w:t>
      </w:r>
    </w:p>
    <w:p>
      <w:pPr>
        <w:spacing w:line="360" w:lineRule="auto"/>
        <w:ind w:firstLine="480" w:firstLineChars="200"/>
        <w:rPr>
          <w:rFonts w:ascii="宋体" w:hAnsi="宋体"/>
          <w:sz w:val="24"/>
          <w:szCs w:val="36"/>
        </w:rPr>
      </w:pPr>
      <w:r>
        <w:rPr>
          <w:rFonts w:hint="eastAsia" w:ascii="宋体" w:hAnsi="宋体"/>
          <w:sz w:val="24"/>
          <w:szCs w:val="36"/>
        </w:rPr>
        <w:t>3</w:t>
      </w:r>
      <w:r>
        <w:rPr>
          <w:rFonts w:ascii="宋体" w:hAnsi="宋体"/>
          <w:sz w:val="24"/>
          <w:szCs w:val="36"/>
        </w:rPr>
        <w:t>.</w:t>
      </w:r>
      <w:r>
        <w:rPr>
          <w:rFonts w:hint="eastAsia"/>
        </w:rPr>
        <w:t xml:space="preserve"> </w:t>
      </w:r>
      <w:r>
        <w:rPr>
          <w:rFonts w:hint="eastAsia" w:ascii="宋体" w:hAnsi="宋体"/>
          <w:sz w:val="24"/>
          <w:szCs w:val="36"/>
        </w:rPr>
        <w:t>甲方有权利根据项目实际需求调整活动执行时间或取消相关活动场次/包装/推广，具体执行以《执行确认单》为准，据实结算。。</w:t>
      </w:r>
    </w:p>
    <w:bookmarkEnd w:id="119"/>
    <w:p>
      <w:pPr>
        <w:pStyle w:val="114"/>
        <w:adjustRightInd w:val="0"/>
        <w:snapToGrid w:val="0"/>
        <w:spacing w:line="360" w:lineRule="auto"/>
        <w:ind w:left="640" w:firstLine="0" w:firstLineChars="0"/>
        <w:rPr>
          <w:rFonts w:ascii="宋体" w:hAnsi="宋体"/>
          <w:sz w:val="24"/>
          <w:szCs w:val="24"/>
        </w:rPr>
      </w:pPr>
      <w:r>
        <w:rPr>
          <w:rFonts w:hint="eastAsia" w:ascii="宋体" w:hAnsi="宋体"/>
          <w:sz w:val="24"/>
          <w:szCs w:val="24"/>
        </w:rPr>
        <w:t>4</w:t>
      </w:r>
      <w:r>
        <w:rPr>
          <w:rFonts w:ascii="宋体" w:hAnsi="宋体"/>
          <w:sz w:val="24"/>
          <w:szCs w:val="24"/>
        </w:rPr>
        <w:t>.</w:t>
      </w:r>
      <w:r>
        <w:rPr>
          <w:rFonts w:hint="eastAsia" w:ascii="宋体" w:hAnsi="宋体"/>
          <w:sz w:val="24"/>
          <w:szCs w:val="24"/>
        </w:rPr>
        <w:t>支付方式</w:t>
      </w:r>
    </w:p>
    <w:p>
      <w:pPr>
        <w:adjustRightInd w:val="0"/>
        <w:snapToGrid w:val="0"/>
        <w:spacing w:line="360" w:lineRule="auto"/>
        <w:ind w:firstLine="480" w:firstLineChars="200"/>
        <w:rPr>
          <w:rFonts w:ascii="宋体" w:hAnsi="宋体"/>
          <w:sz w:val="24"/>
          <w:szCs w:val="24"/>
        </w:rPr>
      </w:pPr>
      <w:bookmarkStart w:id="120" w:name="_Hlk93925121"/>
      <w:r>
        <w:rPr>
          <w:rFonts w:hint="eastAsia" w:ascii="宋体" w:hAnsi="宋体"/>
          <w:sz w:val="24"/>
          <w:szCs w:val="24"/>
        </w:rPr>
        <w:t>合同费用原则上根据本项目工作的</w:t>
      </w:r>
      <w:bookmarkStart w:id="121" w:name="_Hlk94195849"/>
      <w:r>
        <w:rPr>
          <w:rFonts w:hint="eastAsia" w:ascii="宋体" w:hAnsi="宋体"/>
          <w:sz w:val="24"/>
          <w:szCs w:val="24"/>
        </w:rPr>
        <w:t>实际完成批次情况</w:t>
      </w:r>
      <w:bookmarkEnd w:id="121"/>
      <w:r>
        <w:rPr>
          <w:rFonts w:hint="eastAsia" w:ascii="宋体" w:hAnsi="宋体"/>
          <w:sz w:val="24"/>
          <w:szCs w:val="24"/>
        </w:rPr>
        <w:t>分阶段按以下比例进行支付。每次付款应由乙方根据合同规定提交付款申请、工作成果及证明文件等验收材料，并提供合法有效的增值税专用发票，经甲方审核通过后</w:t>
      </w:r>
      <w:r>
        <w:rPr>
          <w:rFonts w:ascii="宋体" w:hAnsi="宋体"/>
          <w:sz w:val="24"/>
          <w:szCs w:val="24"/>
        </w:rPr>
        <w:t>15个工作日内支付。</w:t>
      </w:r>
    </w:p>
    <w:p>
      <w:pPr>
        <w:pStyle w:val="114"/>
        <w:numPr>
          <w:ilvl w:val="0"/>
          <w:numId w:val="8"/>
        </w:numPr>
        <w:spacing w:line="360" w:lineRule="auto"/>
        <w:ind w:right="-296" w:rightChars="-141" w:firstLineChars="0"/>
        <w:rPr>
          <w:rFonts w:ascii="宋体" w:hAnsi="宋体"/>
          <w:color w:val="000000"/>
          <w:sz w:val="24"/>
          <w:szCs w:val="24"/>
          <w:u w:val="single"/>
        </w:rPr>
      </w:pPr>
      <w:r>
        <w:rPr>
          <w:rFonts w:hint="eastAsia" w:ascii="宋体" w:hAnsi="宋体"/>
          <w:color w:val="000000"/>
          <w:sz w:val="24"/>
          <w:szCs w:val="24"/>
        </w:rPr>
        <w:t>主开放活动</w:t>
      </w:r>
      <w:r>
        <w:rPr>
          <w:rFonts w:ascii="宋体" w:hAnsi="宋体"/>
          <w:color w:val="000000"/>
          <w:sz w:val="24"/>
          <w:szCs w:val="24"/>
        </w:rPr>
        <w:t>/</w:t>
      </w:r>
      <w:r>
        <w:rPr>
          <w:rFonts w:hint="eastAsia" w:ascii="宋体" w:hAnsi="宋体"/>
          <w:color w:val="000000"/>
          <w:sz w:val="24"/>
          <w:szCs w:val="24"/>
        </w:rPr>
        <w:t>其它开放活动</w:t>
      </w:r>
    </w:p>
    <w:p>
      <w:pPr>
        <w:pStyle w:val="114"/>
        <w:spacing w:line="360" w:lineRule="auto"/>
        <w:ind w:firstLine="480"/>
        <w:rPr>
          <w:rFonts w:ascii="宋体" w:hAnsi="宋体"/>
          <w:color w:val="000000"/>
          <w:sz w:val="24"/>
          <w:szCs w:val="24"/>
        </w:rPr>
      </w:pPr>
      <w:r>
        <w:rPr>
          <w:rFonts w:hint="eastAsia" w:ascii="宋体" w:hAnsi="宋体"/>
          <w:color w:val="000000"/>
          <w:sz w:val="24"/>
          <w:szCs w:val="24"/>
        </w:rPr>
        <w:t>乙方根据甲方要求完成约定的主开放活动/其它开放活动工作，每场活动分以下两阶段支付。</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476"/>
        <w:gridCol w:w="1753"/>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adjustRightInd w:val="0"/>
              <w:snapToGrid w:val="0"/>
              <w:jc w:val="center"/>
              <w:rPr>
                <w:rFonts w:ascii="宋体" w:hAnsi="宋体" w:cs="宋体"/>
                <w:color w:val="000000"/>
                <w:sz w:val="18"/>
                <w:szCs w:val="18"/>
              </w:rPr>
            </w:pPr>
            <w:r>
              <w:rPr>
                <w:rFonts w:hint="eastAsia" w:ascii="宋体" w:hAnsi="宋体" w:cs="宋体"/>
                <w:color w:val="000000"/>
                <w:szCs w:val="21"/>
              </w:rPr>
              <w:t>支付</w:t>
            </w:r>
            <w:r>
              <w:rPr>
                <w:rFonts w:ascii="宋体" w:hAnsi="宋体" w:cs="宋体"/>
                <w:color w:val="000000"/>
                <w:szCs w:val="21"/>
              </w:rPr>
              <w:t>阶段</w:t>
            </w:r>
          </w:p>
        </w:tc>
        <w:tc>
          <w:tcPr>
            <w:tcW w:w="5476" w:type="dxa"/>
            <w:vAlign w:val="center"/>
          </w:tcPr>
          <w:p>
            <w:pPr>
              <w:adjustRightInd w:val="0"/>
              <w:snapToGrid w:val="0"/>
              <w:jc w:val="center"/>
              <w:rPr>
                <w:rFonts w:ascii="宋体" w:hAnsi="宋体" w:cs="宋体"/>
                <w:color w:val="000000"/>
                <w:sz w:val="18"/>
                <w:szCs w:val="18"/>
              </w:rPr>
            </w:pPr>
            <w:r>
              <w:rPr>
                <w:rFonts w:hint="eastAsia" w:ascii="宋体" w:hAnsi="宋体" w:cs="宋体"/>
                <w:color w:val="000000"/>
                <w:szCs w:val="21"/>
              </w:rPr>
              <w:t>支付</w:t>
            </w:r>
            <w:r>
              <w:rPr>
                <w:rFonts w:ascii="宋体" w:hAnsi="宋体" w:cs="宋体"/>
                <w:color w:val="000000"/>
                <w:szCs w:val="21"/>
              </w:rPr>
              <w:t>条件</w:t>
            </w:r>
          </w:p>
        </w:tc>
        <w:tc>
          <w:tcPr>
            <w:tcW w:w="1753" w:type="dxa"/>
            <w:vAlign w:val="center"/>
          </w:tcPr>
          <w:p>
            <w:pPr>
              <w:adjustRightInd w:val="0"/>
              <w:snapToGrid w:val="0"/>
              <w:jc w:val="center"/>
              <w:rPr>
                <w:rFonts w:ascii="宋体" w:hAnsi="宋体" w:cs="宋体"/>
                <w:color w:val="000000"/>
                <w:sz w:val="18"/>
                <w:szCs w:val="18"/>
              </w:rPr>
            </w:pPr>
            <w:r>
              <w:rPr>
                <w:rFonts w:hint="eastAsia" w:ascii="宋体" w:hAnsi="宋体" w:cs="宋体"/>
                <w:color w:val="000000"/>
                <w:szCs w:val="21"/>
              </w:rPr>
              <w:t>支付</w:t>
            </w:r>
            <w:r>
              <w:rPr>
                <w:rFonts w:ascii="宋体" w:hAnsi="宋体" w:cs="宋体"/>
                <w:color w:val="000000"/>
                <w:szCs w:val="21"/>
              </w:rPr>
              <w:t>比例</w:t>
            </w:r>
          </w:p>
        </w:tc>
        <w:tc>
          <w:tcPr>
            <w:tcW w:w="936" w:type="dxa"/>
            <w:vAlign w:val="center"/>
          </w:tcPr>
          <w:p>
            <w:pPr>
              <w:adjustRightInd w:val="0"/>
              <w:snapToGrid w:val="0"/>
              <w:jc w:val="center"/>
              <w:rPr>
                <w:rFonts w:ascii="宋体" w:hAnsi="宋体" w:cs="宋体"/>
                <w:color w:val="000000"/>
                <w:sz w:val="18"/>
                <w:szCs w:val="18"/>
              </w:rPr>
            </w:pPr>
            <w:r>
              <w:rPr>
                <w:rFonts w:hint="eastAsia" w:ascii="宋体" w:hAnsi="宋体" w:cs="宋体"/>
                <w:color w:val="000000"/>
                <w:szCs w:val="21"/>
              </w:rPr>
              <w:t>支付</w:t>
            </w:r>
            <w:r>
              <w:rPr>
                <w:rFonts w:ascii="宋体" w:hAnsi="宋体" w:cs="宋体"/>
                <w:color w:val="000000"/>
                <w:szCs w:val="21"/>
              </w:rPr>
              <w:t>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adjustRightInd w:val="0"/>
              <w:snapToGrid w:val="0"/>
              <w:jc w:val="center"/>
              <w:rPr>
                <w:rFonts w:ascii="宋体" w:hAnsi="宋体" w:cs="宋体"/>
                <w:color w:val="000000"/>
                <w:sz w:val="18"/>
                <w:szCs w:val="18"/>
              </w:rPr>
            </w:pPr>
            <w:r>
              <w:rPr>
                <w:rFonts w:hint="eastAsia" w:ascii="宋体" w:hAnsi="宋体" w:cs="宋体"/>
                <w:color w:val="000000"/>
                <w:szCs w:val="21"/>
              </w:rPr>
              <w:t>第一阶段</w:t>
            </w:r>
          </w:p>
        </w:tc>
        <w:tc>
          <w:tcPr>
            <w:tcW w:w="5476" w:type="dxa"/>
            <w:vAlign w:val="center"/>
          </w:tcPr>
          <w:p>
            <w:pPr>
              <w:autoSpaceDE w:val="0"/>
              <w:autoSpaceDN w:val="0"/>
              <w:adjustRightInd w:val="0"/>
              <w:jc w:val="left"/>
              <w:rPr>
                <w:rFonts w:ascii="宋体" w:hAnsi="宋体" w:cs="宋体"/>
                <w:color w:val="000000"/>
                <w:sz w:val="18"/>
                <w:szCs w:val="18"/>
              </w:rPr>
            </w:pPr>
            <w:r>
              <w:rPr>
                <w:rFonts w:hint="eastAsia" w:ascii="宋体" w:hAnsi="宋体" w:cs="宋体"/>
                <w:kern w:val="0"/>
                <w:szCs w:val="21"/>
              </w:rPr>
              <w:t>乙方向甲方提供《活动策划执行方案》并经甲方书面确认后，由乙方提出付款申请，经甲方批准后</w:t>
            </w:r>
            <w:r>
              <w:rPr>
                <w:rFonts w:ascii="宋体" w:hAnsi="宋体" w:cs="宋体"/>
                <w:kern w:val="0"/>
                <w:szCs w:val="21"/>
              </w:rPr>
              <w:t>15</w:t>
            </w:r>
            <w:r>
              <w:rPr>
                <w:rFonts w:hint="eastAsia" w:ascii="宋体" w:hAnsi="宋体" w:cs="宋体"/>
                <w:kern w:val="0"/>
                <w:szCs w:val="21"/>
              </w:rPr>
              <w:t>个工作日内支付合同暂定的该场活动价款的</w:t>
            </w:r>
            <w:r>
              <w:rPr>
                <w:rFonts w:ascii="宋体" w:hAnsi="宋体" w:cs="宋体"/>
                <w:kern w:val="0"/>
                <w:szCs w:val="21"/>
              </w:rPr>
              <w:t>10%</w:t>
            </w:r>
            <w:r>
              <w:rPr>
                <w:rFonts w:hint="eastAsia" w:ascii="宋体" w:hAnsi="宋体" w:cs="宋体"/>
                <w:kern w:val="0"/>
                <w:szCs w:val="21"/>
              </w:rPr>
              <w:t>。乙方需按合同规定提交付款申请、工作成果及证明文件，并按国家规定税率开具等额的增值税专用发票。</w:t>
            </w:r>
          </w:p>
        </w:tc>
        <w:tc>
          <w:tcPr>
            <w:tcW w:w="1753" w:type="dxa"/>
            <w:vAlign w:val="center"/>
          </w:tcPr>
          <w:p>
            <w:pPr>
              <w:adjustRightInd w:val="0"/>
              <w:snapToGrid w:val="0"/>
              <w:jc w:val="left"/>
              <w:rPr>
                <w:rFonts w:ascii="宋体" w:hAnsi="宋体" w:cs="宋体"/>
                <w:color w:val="000000"/>
                <w:sz w:val="18"/>
                <w:szCs w:val="18"/>
              </w:rPr>
            </w:pPr>
            <w:r>
              <w:rPr>
                <w:rFonts w:hint="eastAsia" w:ascii="宋体" w:hAnsi="宋体" w:cs="宋体"/>
                <w:color w:val="000000"/>
                <w:szCs w:val="21"/>
              </w:rPr>
              <w:t>支付单场开放活动部分费用合同暂定价款</w:t>
            </w:r>
            <w:r>
              <w:rPr>
                <w:rFonts w:ascii="宋体" w:hAnsi="宋体" w:cs="宋体"/>
                <w:color w:val="000000"/>
                <w:szCs w:val="21"/>
              </w:rPr>
              <w:t>的10%</w:t>
            </w:r>
          </w:p>
        </w:tc>
        <w:tc>
          <w:tcPr>
            <w:tcW w:w="936" w:type="dxa"/>
            <w:vAlign w:val="center"/>
          </w:tcPr>
          <w:p>
            <w:pPr>
              <w:adjustRightInd w:val="0"/>
              <w:snapToGrid w:val="0"/>
              <w:jc w:val="center"/>
              <w:rPr>
                <w:rFonts w:ascii="宋体" w:hAnsi="宋体" w:cs="宋体"/>
                <w:color w:val="000000"/>
                <w:sz w:val="18"/>
                <w:szCs w:val="18"/>
              </w:rPr>
            </w:pPr>
            <w:r>
              <w:rPr>
                <w:rFonts w:hint="eastAsia" w:ascii="宋体" w:hAnsi="宋体" w:cs="宋体"/>
                <w:color w:val="000000"/>
                <w:szCs w:val="21"/>
              </w:rPr>
              <w:t>第一阶段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pPr>
              <w:adjustRightInd w:val="0"/>
              <w:snapToGrid w:val="0"/>
              <w:jc w:val="center"/>
              <w:rPr>
                <w:rFonts w:ascii="宋体" w:hAnsi="宋体" w:cs="宋体"/>
                <w:color w:val="000000"/>
                <w:sz w:val="18"/>
                <w:szCs w:val="18"/>
              </w:rPr>
            </w:pPr>
            <w:r>
              <w:rPr>
                <w:rFonts w:hint="eastAsia" w:ascii="宋体" w:hAnsi="宋体" w:cs="宋体"/>
                <w:color w:val="000000"/>
                <w:szCs w:val="21"/>
              </w:rPr>
              <w:t>第二</w:t>
            </w:r>
            <w:r>
              <w:rPr>
                <w:rFonts w:ascii="宋体" w:hAnsi="宋体" w:cs="宋体"/>
                <w:color w:val="000000"/>
                <w:szCs w:val="21"/>
              </w:rPr>
              <w:t>阶段</w:t>
            </w:r>
          </w:p>
        </w:tc>
        <w:tc>
          <w:tcPr>
            <w:tcW w:w="5476" w:type="dxa"/>
            <w:vAlign w:val="center"/>
          </w:tcPr>
          <w:p>
            <w:pPr>
              <w:autoSpaceDE w:val="0"/>
              <w:autoSpaceDN w:val="0"/>
              <w:adjustRightInd w:val="0"/>
              <w:jc w:val="left"/>
              <w:rPr>
                <w:rFonts w:ascii="宋体" w:hAnsi="宋体" w:cs="宋体"/>
                <w:kern w:val="0"/>
                <w:szCs w:val="21"/>
              </w:rPr>
            </w:pPr>
            <w:r>
              <w:rPr>
                <w:rFonts w:hint="eastAsia" w:ascii="宋体" w:hAnsi="宋体" w:cs="宋体"/>
                <w:kern w:val="0"/>
                <w:szCs w:val="21"/>
              </w:rPr>
              <w:t>乙方按甲方工作要求完成约定的全部工作，并向甲方提交工作成果，经甲方书面确认后，由乙方提出付款申请，经甲方批准后</w:t>
            </w:r>
            <w:r>
              <w:rPr>
                <w:rFonts w:ascii="宋体" w:hAnsi="宋体" w:cs="宋体"/>
                <w:kern w:val="0"/>
                <w:szCs w:val="21"/>
              </w:rPr>
              <w:t xml:space="preserve">15 </w:t>
            </w:r>
            <w:r>
              <w:rPr>
                <w:rFonts w:hint="eastAsia" w:ascii="宋体" w:hAnsi="宋体" w:cs="宋体"/>
                <w:kern w:val="0"/>
                <w:szCs w:val="21"/>
              </w:rPr>
              <w:t>个工作日内</w:t>
            </w:r>
          </w:p>
          <w:p>
            <w:pPr>
              <w:autoSpaceDE w:val="0"/>
              <w:autoSpaceDN w:val="0"/>
              <w:adjustRightInd w:val="0"/>
              <w:jc w:val="left"/>
              <w:rPr>
                <w:rFonts w:ascii="宋体" w:hAnsi="宋体" w:cs="宋体"/>
                <w:color w:val="000000"/>
                <w:sz w:val="18"/>
                <w:szCs w:val="18"/>
              </w:rPr>
            </w:pPr>
            <w:r>
              <w:rPr>
                <w:rFonts w:hint="eastAsia" w:ascii="宋体" w:hAnsi="宋体" w:cs="宋体"/>
                <w:kern w:val="0"/>
                <w:szCs w:val="21"/>
              </w:rPr>
              <w:t>支付至该场活动验收结算总价的100%，最高不超过该场活动合同暂定总价，乙方需按合同规定提交付款申请、工作成果及证明文件，并按国家规定税率开具等额的增值税专用发票。</w:t>
            </w:r>
          </w:p>
        </w:tc>
        <w:tc>
          <w:tcPr>
            <w:tcW w:w="1753" w:type="dxa"/>
            <w:vAlign w:val="center"/>
          </w:tcPr>
          <w:p>
            <w:pPr>
              <w:autoSpaceDE w:val="0"/>
              <w:autoSpaceDN w:val="0"/>
              <w:adjustRightInd w:val="0"/>
              <w:jc w:val="left"/>
              <w:rPr>
                <w:rFonts w:ascii="宋体" w:hAnsi="宋体" w:cs="宋体"/>
                <w:color w:val="000000"/>
                <w:sz w:val="18"/>
                <w:szCs w:val="18"/>
              </w:rPr>
            </w:pPr>
            <w:r>
              <w:rPr>
                <w:rFonts w:hint="eastAsia" w:ascii="宋体" w:hAnsi="宋体" w:cs="宋体"/>
                <w:color w:val="000000"/>
                <w:szCs w:val="21"/>
              </w:rPr>
              <w:t>支付至该场活动验收结算总价的</w:t>
            </w:r>
            <w:r>
              <w:rPr>
                <w:rFonts w:ascii="宋体" w:hAnsi="宋体" w:cs="宋体"/>
                <w:color w:val="000000"/>
                <w:szCs w:val="21"/>
              </w:rPr>
              <w:t>100%，最高不超过该场活动</w:t>
            </w:r>
            <w:r>
              <w:rPr>
                <w:rFonts w:hint="eastAsia" w:ascii="宋体" w:hAnsi="宋体" w:cs="宋体"/>
                <w:color w:val="000000"/>
                <w:szCs w:val="21"/>
              </w:rPr>
              <w:t>合同暂定总价</w:t>
            </w:r>
          </w:p>
        </w:tc>
        <w:tc>
          <w:tcPr>
            <w:tcW w:w="936" w:type="dxa"/>
            <w:vAlign w:val="center"/>
          </w:tcPr>
          <w:p>
            <w:pPr>
              <w:adjustRightInd w:val="0"/>
              <w:snapToGrid w:val="0"/>
              <w:jc w:val="center"/>
              <w:rPr>
                <w:rFonts w:ascii="宋体" w:hAnsi="宋体" w:cs="宋体"/>
                <w:color w:val="000000"/>
                <w:sz w:val="18"/>
                <w:szCs w:val="18"/>
              </w:rPr>
            </w:pPr>
            <w:r>
              <w:rPr>
                <w:rFonts w:hint="eastAsia" w:ascii="宋体" w:hAnsi="宋体" w:cs="宋体"/>
                <w:color w:val="000000"/>
                <w:szCs w:val="21"/>
              </w:rPr>
              <w:t>第二</w:t>
            </w:r>
            <w:r>
              <w:rPr>
                <w:rFonts w:ascii="宋体" w:hAnsi="宋体" w:cs="宋体"/>
                <w:color w:val="000000"/>
                <w:szCs w:val="21"/>
              </w:rPr>
              <w:t>阶段</w:t>
            </w:r>
          </w:p>
        </w:tc>
      </w:tr>
    </w:tbl>
    <w:p>
      <w:pPr>
        <w:pStyle w:val="114"/>
        <w:numPr>
          <w:ilvl w:val="0"/>
          <w:numId w:val="8"/>
        </w:numPr>
        <w:spacing w:line="360" w:lineRule="auto"/>
        <w:ind w:right="-296" w:rightChars="-141" w:firstLineChars="0"/>
        <w:rPr>
          <w:rFonts w:ascii="宋体" w:hAnsi="宋体"/>
          <w:color w:val="000000"/>
          <w:sz w:val="24"/>
          <w:szCs w:val="24"/>
        </w:rPr>
      </w:pPr>
      <w:r>
        <w:rPr>
          <w:rFonts w:hint="eastAsia" w:ascii="宋体" w:hAnsi="宋体"/>
          <w:color w:val="000000"/>
          <w:sz w:val="24"/>
          <w:szCs w:val="24"/>
        </w:rPr>
        <w:t>系列拓客及暖场活动</w:t>
      </w:r>
    </w:p>
    <w:p>
      <w:pPr>
        <w:spacing w:line="360" w:lineRule="auto"/>
        <w:ind w:firstLine="480" w:firstLineChars="200"/>
        <w:rPr>
          <w:rFonts w:ascii="宋体" w:hAnsi="宋体"/>
          <w:color w:val="000000"/>
          <w:sz w:val="24"/>
          <w:szCs w:val="24"/>
        </w:rPr>
      </w:pPr>
      <w:r>
        <w:rPr>
          <w:rFonts w:hint="eastAsia" w:ascii="宋体" w:hAnsi="宋体"/>
          <w:color w:val="000000"/>
          <w:sz w:val="24"/>
          <w:szCs w:val="24"/>
        </w:rPr>
        <w:t>乙方按甲方工作要求完成约定的拓客及暖场活动工作，每完成一场拓客活动或暖场活动并向甲方提交工作成果，经甲方书面确认后，由乙方提出付款申请，经甲方批准后15 个工作日内支付至该场活动验收结算总价的100%，最高不超过该场活动合同暂定总价，乙方需按合同规定提交付款申请、工作成果及证明文件，并按国家规定税率开具等额的增值税专用发票。</w:t>
      </w:r>
    </w:p>
    <w:p>
      <w:pPr>
        <w:pStyle w:val="114"/>
        <w:numPr>
          <w:ilvl w:val="0"/>
          <w:numId w:val="8"/>
        </w:numPr>
        <w:spacing w:line="360" w:lineRule="auto"/>
        <w:ind w:right="-296" w:rightChars="-141" w:firstLineChars="0"/>
        <w:rPr>
          <w:rFonts w:ascii="宋体" w:hAnsi="宋体"/>
          <w:color w:val="000000"/>
          <w:sz w:val="24"/>
          <w:szCs w:val="24"/>
        </w:rPr>
      </w:pPr>
      <w:r>
        <w:rPr>
          <w:rFonts w:hint="eastAsia" w:ascii="宋体" w:hAnsi="宋体"/>
          <w:color w:val="000000"/>
          <w:sz w:val="24"/>
          <w:szCs w:val="24"/>
        </w:rPr>
        <w:t>现场包装设计与制作</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4961"/>
        <w:gridCol w:w="1559"/>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adjustRightInd w:val="0"/>
              <w:snapToGrid w:val="0"/>
              <w:spacing w:line="360" w:lineRule="auto"/>
              <w:jc w:val="center"/>
              <w:rPr>
                <w:rFonts w:ascii="宋体" w:hAnsi="宋体"/>
                <w:color w:val="000000"/>
                <w:szCs w:val="21"/>
              </w:rPr>
            </w:pPr>
            <w:r>
              <w:rPr>
                <w:rFonts w:hint="eastAsia" w:ascii="宋体" w:hAnsi="宋体"/>
                <w:color w:val="000000"/>
                <w:szCs w:val="21"/>
              </w:rPr>
              <w:t>支付</w:t>
            </w:r>
            <w:r>
              <w:rPr>
                <w:rFonts w:ascii="宋体" w:hAnsi="宋体"/>
                <w:color w:val="000000"/>
                <w:szCs w:val="21"/>
              </w:rPr>
              <w:t>阶段</w:t>
            </w:r>
          </w:p>
        </w:tc>
        <w:tc>
          <w:tcPr>
            <w:tcW w:w="4961" w:type="dxa"/>
            <w:vAlign w:val="center"/>
          </w:tcPr>
          <w:p>
            <w:pPr>
              <w:adjustRightInd w:val="0"/>
              <w:snapToGrid w:val="0"/>
              <w:spacing w:line="360" w:lineRule="auto"/>
              <w:jc w:val="center"/>
              <w:rPr>
                <w:rFonts w:ascii="宋体" w:hAnsi="宋体"/>
                <w:color w:val="000000"/>
                <w:szCs w:val="21"/>
              </w:rPr>
            </w:pPr>
            <w:r>
              <w:rPr>
                <w:rFonts w:hint="eastAsia" w:ascii="宋体" w:hAnsi="宋体"/>
                <w:color w:val="000000"/>
                <w:szCs w:val="21"/>
              </w:rPr>
              <w:t>支付</w:t>
            </w:r>
            <w:r>
              <w:rPr>
                <w:rFonts w:ascii="宋体" w:hAnsi="宋体"/>
                <w:color w:val="000000"/>
                <w:szCs w:val="21"/>
              </w:rPr>
              <w:t>条件</w:t>
            </w:r>
          </w:p>
        </w:tc>
        <w:tc>
          <w:tcPr>
            <w:tcW w:w="1559" w:type="dxa"/>
            <w:vAlign w:val="center"/>
          </w:tcPr>
          <w:p>
            <w:pPr>
              <w:adjustRightInd w:val="0"/>
              <w:snapToGrid w:val="0"/>
              <w:spacing w:line="360" w:lineRule="auto"/>
              <w:jc w:val="center"/>
              <w:rPr>
                <w:rFonts w:ascii="宋体" w:hAnsi="宋体"/>
                <w:color w:val="000000"/>
                <w:szCs w:val="21"/>
              </w:rPr>
            </w:pPr>
            <w:r>
              <w:rPr>
                <w:rFonts w:hint="eastAsia" w:ascii="宋体" w:hAnsi="宋体"/>
                <w:color w:val="000000"/>
                <w:szCs w:val="21"/>
              </w:rPr>
              <w:t>支付</w:t>
            </w:r>
            <w:r>
              <w:rPr>
                <w:rFonts w:ascii="宋体" w:hAnsi="宋体"/>
                <w:color w:val="000000"/>
                <w:szCs w:val="21"/>
              </w:rPr>
              <w:t>比例</w:t>
            </w:r>
          </w:p>
        </w:tc>
        <w:tc>
          <w:tcPr>
            <w:tcW w:w="1139" w:type="dxa"/>
            <w:vAlign w:val="center"/>
          </w:tcPr>
          <w:p>
            <w:pPr>
              <w:adjustRightInd w:val="0"/>
              <w:snapToGrid w:val="0"/>
              <w:spacing w:line="360" w:lineRule="auto"/>
              <w:jc w:val="center"/>
              <w:rPr>
                <w:rFonts w:ascii="宋体" w:hAnsi="宋体"/>
                <w:color w:val="000000"/>
                <w:szCs w:val="21"/>
              </w:rPr>
            </w:pPr>
            <w:r>
              <w:rPr>
                <w:rFonts w:hint="eastAsia" w:ascii="宋体" w:hAnsi="宋体"/>
                <w:color w:val="000000"/>
                <w:szCs w:val="21"/>
              </w:rPr>
              <w:t>支付</w:t>
            </w:r>
            <w:r>
              <w:rPr>
                <w:rFonts w:ascii="宋体" w:hAnsi="宋体"/>
                <w:color w:val="000000"/>
                <w:szCs w:val="21"/>
              </w:rPr>
              <w:t>金额</w:t>
            </w:r>
            <w:r>
              <w:rPr>
                <w:rFonts w:hint="eastAsia" w:ascii="宋体" w:hAnsi="宋体"/>
                <w:color w:val="00000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adjustRightInd w:val="0"/>
              <w:snapToGrid w:val="0"/>
              <w:spacing w:line="360" w:lineRule="auto"/>
              <w:jc w:val="left"/>
              <w:rPr>
                <w:rFonts w:ascii="宋体" w:hAnsi="宋体"/>
                <w:color w:val="000000"/>
                <w:szCs w:val="21"/>
              </w:rPr>
            </w:pPr>
            <w:r>
              <w:rPr>
                <w:rFonts w:hint="eastAsia" w:ascii="宋体" w:hAnsi="宋体"/>
                <w:color w:val="000000"/>
                <w:szCs w:val="21"/>
              </w:rPr>
              <w:t>第一阶段</w:t>
            </w:r>
          </w:p>
        </w:tc>
        <w:tc>
          <w:tcPr>
            <w:tcW w:w="4961" w:type="dxa"/>
            <w:vAlign w:val="center"/>
          </w:tcPr>
          <w:p>
            <w:pPr>
              <w:adjustRightInd w:val="0"/>
              <w:snapToGrid w:val="0"/>
              <w:spacing w:line="360" w:lineRule="auto"/>
              <w:jc w:val="left"/>
              <w:rPr>
                <w:rFonts w:ascii="宋体" w:hAnsi="宋体"/>
                <w:color w:val="000000"/>
                <w:szCs w:val="21"/>
              </w:rPr>
            </w:pPr>
            <w:r>
              <w:rPr>
                <w:rFonts w:hint="eastAsia" w:ascii="宋体" w:hAnsi="宋体"/>
                <w:color w:val="000000"/>
                <w:szCs w:val="21"/>
              </w:rPr>
              <w:t>乙方向甲方提供《现场包装执行方案》与《工作排期表》并经甲方书面确认后，由乙方提出付款申请，经甲方批准后15个工作日内支付合同</w:t>
            </w:r>
            <w:r>
              <w:rPr>
                <w:rFonts w:ascii="宋体" w:hAnsi="宋体"/>
                <w:color w:val="000000"/>
                <w:szCs w:val="21"/>
              </w:rPr>
              <w:t>暂定</w:t>
            </w:r>
            <w:r>
              <w:rPr>
                <w:rFonts w:hint="eastAsia" w:ascii="宋体" w:hAnsi="宋体"/>
                <w:color w:val="000000"/>
                <w:szCs w:val="21"/>
              </w:rPr>
              <w:t>的现场包装价款的10%。</w:t>
            </w:r>
          </w:p>
        </w:tc>
        <w:tc>
          <w:tcPr>
            <w:tcW w:w="1559" w:type="dxa"/>
            <w:vAlign w:val="center"/>
          </w:tcPr>
          <w:p>
            <w:pPr>
              <w:adjustRightInd w:val="0"/>
              <w:snapToGrid w:val="0"/>
              <w:spacing w:line="360" w:lineRule="auto"/>
              <w:jc w:val="left"/>
              <w:rPr>
                <w:rFonts w:ascii="宋体" w:hAnsi="宋体"/>
                <w:color w:val="000000"/>
                <w:szCs w:val="21"/>
              </w:rPr>
            </w:pPr>
            <w:r>
              <w:rPr>
                <w:rFonts w:hint="eastAsia" w:ascii="宋体" w:hAnsi="宋体"/>
                <w:color w:val="000000"/>
                <w:szCs w:val="21"/>
              </w:rPr>
              <w:t>支付现场包装部分合同</w:t>
            </w:r>
            <w:r>
              <w:rPr>
                <w:rFonts w:ascii="宋体" w:hAnsi="宋体"/>
                <w:color w:val="000000"/>
                <w:szCs w:val="21"/>
              </w:rPr>
              <w:t>暂定</w:t>
            </w:r>
            <w:r>
              <w:rPr>
                <w:rFonts w:hint="eastAsia" w:ascii="宋体" w:hAnsi="宋体"/>
                <w:color w:val="000000"/>
                <w:szCs w:val="21"/>
              </w:rPr>
              <w:t>价款</w:t>
            </w:r>
            <w:r>
              <w:rPr>
                <w:rFonts w:ascii="宋体" w:hAnsi="宋体"/>
                <w:color w:val="000000"/>
                <w:szCs w:val="21"/>
              </w:rPr>
              <w:t>的</w:t>
            </w:r>
            <w:r>
              <w:rPr>
                <w:rFonts w:hint="eastAsia" w:ascii="宋体" w:hAnsi="宋体"/>
                <w:color w:val="000000"/>
                <w:szCs w:val="21"/>
              </w:rPr>
              <w:t>10</w:t>
            </w:r>
            <w:r>
              <w:rPr>
                <w:rFonts w:ascii="宋体" w:hAnsi="宋体"/>
                <w:color w:val="000000"/>
                <w:szCs w:val="21"/>
              </w:rPr>
              <w:t>%</w:t>
            </w:r>
          </w:p>
        </w:tc>
        <w:tc>
          <w:tcPr>
            <w:tcW w:w="1139" w:type="dxa"/>
            <w:vAlign w:val="center"/>
          </w:tcPr>
          <w:p>
            <w:pPr>
              <w:adjustRightInd w:val="0"/>
              <w:snapToGrid w:val="0"/>
              <w:spacing w:line="360" w:lineRule="auto"/>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adjustRightInd w:val="0"/>
              <w:snapToGrid w:val="0"/>
              <w:spacing w:line="360" w:lineRule="auto"/>
              <w:jc w:val="left"/>
              <w:rPr>
                <w:rFonts w:ascii="宋体" w:hAnsi="宋体"/>
                <w:color w:val="000000"/>
                <w:szCs w:val="21"/>
              </w:rPr>
            </w:pPr>
            <w:r>
              <w:rPr>
                <w:rFonts w:hint="eastAsia" w:ascii="宋体" w:hAnsi="宋体"/>
                <w:color w:val="000000"/>
                <w:szCs w:val="21"/>
              </w:rPr>
              <w:t>第二</w:t>
            </w:r>
            <w:r>
              <w:rPr>
                <w:rFonts w:ascii="宋体" w:hAnsi="宋体"/>
                <w:color w:val="000000"/>
                <w:szCs w:val="21"/>
              </w:rPr>
              <w:t>阶段</w:t>
            </w:r>
          </w:p>
        </w:tc>
        <w:tc>
          <w:tcPr>
            <w:tcW w:w="4961" w:type="dxa"/>
            <w:vAlign w:val="center"/>
          </w:tcPr>
          <w:p>
            <w:pPr>
              <w:adjustRightInd w:val="0"/>
              <w:snapToGrid w:val="0"/>
              <w:spacing w:line="360" w:lineRule="auto"/>
              <w:jc w:val="left"/>
              <w:rPr>
                <w:rFonts w:ascii="宋体" w:hAnsi="宋体"/>
                <w:color w:val="000000"/>
                <w:szCs w:val="21"/>
              </w:rPr>
            </w:pPr>
            <w:r>
              <w:rPr>
                <w:rFonts w:hint="eastAsia" w:ascii="宋体" w:hAnsi="宋体"/>
                <w:color w:val="000000"/>
                <w:szCs w:val="21"/>
              </w:rPr>
              <w:t>乙方按甲方工作要求完成约定的全部现场</w:t>
            </w:r>
            <w:r>
              <w:rPr>
                <w:rFonts w:ascii="宋体" w:hAnsi="宋体"/>
                <w:color w:val="000000"/>
                <w:szCs w:val="21"/>
              </w:rPr>
              <w:t>包装</w:t>
            </w:r>
            <w:r>
              <w:rPr>
                <w:rFonts w:hint="eastAsia" w:ascii="宋体" w:hAnsi="宋体"/>
                <w:color w:val="000000"/>
                <w:szCs w:val="21"/>
              </w:rPr>
              <w:t>工作，并向甲方提交工作成果，经甲方书面确认后，由乙方提出付款申请，经甲方批准后15个工作日内支付。</w:t>
            </w:r>
          </w:p>
        </w:tc>
        <w:tc>
          <w:tcPr>
            <w:tcW w:w="1559" w:type="dxa"/>
            <w:vAlign w:val="center"/>
          </w:tcPr>
          <w:p>
            <w:pPr>
              <w:adjustRightInd w:val="0"/>
              <w:snapToGrid w:val="0"/>
              <w:spacing w:line="360" w:lineRule="auto"/>
              <w:jc w:val="left"/>
              <w:rPr>
                <w:rFonts w:ascii="宋体" w:hAnsi="宋体"/>
                <w:color w:val="000000"/>
                <w:szCs w:val="21"/>
              </w:rPr>
            </w:pPr>
            <w:r>
              <w:rPr>
                <w:rFonts w:hint="eastAsia" w:ascii="宋体" w:hAnsi="宋体"/>
                <w:color w:val="000000"/>
                <w:szCs w:val="21"/>
              </w:rPr>
              <w:t>支付至现场包装部分实际验收总价</w:t>
            </w:r>
            <w:r>
              <w:rPr>
                <w:rFonts w:ascii="宋体" w:hAnsi="宋体"/>
                <w:color w:val="000000"/>
                <w:szCs w:val="21"/>
              </w:rPr>
              <w:t>的</w:t>
            </w:r>
            <w:r>
              <w:rPr>
                <w:rFonts w:hint="eastAsia" w:ascii="宋体" w:hAnsi="宋体"/>
                <w:color w:val="000000"/>
                <w:szCs w:val="21"/>
              </w:rPr>
              <w:t>10</w:t>
            </w:r>
            <w:r>
              <w:rPr>
                <w:rFonts w:ascii="宋体" w:hAnsi="宋体"/>
                <w:color w:val="000000"/>
                <w:szCs w:val="21"/>
              </w:rPr>
              <w:t>0%</w:t>
            </w:r>
          </w:p>
        </w:tc>
        <w:tc>
          <w:tcPr>
            <w:tcW w:w="1139" w:type="dxa"/>
            <w:vAlign w:val="center"/>
          </w:tcPr>
          <w:p>
            <w:pPr>
              <w:adjustRightInd w:val="0"/>
              <w:snapToGrid w:val="0"/>
              <w:spacing w:line="360" w:lineRule="auto"/>
              <w:jc w:val="left"/>
              <w:rPr>
                <w:rFonts w:ascii="宋体" w:hAnsi="宋体"/>
                <w:color w:val="000000"/>
                <w:szCs w:val="21"/>
              </w:rPr>
            </w:pPr>
          </w:p>
        </w:tc>
      </w:tr>
    </w:tbl>
    <w:p>
      <w:pPr>
        <w:pStyle w:val="114"/>
        <w:numPr>
          <w:ilvl w:val="0"/>
          <w:numId w:val="8"/>
        </w:numPr>
        <w:spacing w:line="360" w:lineRule="auto"/>
        <w:ind w:right="-296" w:rightChars="-141" w:firstLineChars="0"/>
        <w:rPr>
          <w:rFonts w:ascii="宋体" w:hAnsi="宋体"/>
          <w:color w:val="000000"/>
          <w:sz w:val="24"/>
          <w:szCs w:val="24"/>
        </w:rPr>
      </w:pPr>
      <w:r>
        <w:rPr>
          <w:rFonts w:hint="eastAsia" w:ascii="宋体" w:hAnsi="宋体"/>
          <w:color w:val="000000"/>
          <w:sz w:val="24"/>
          <w:szCs w:val="24"/>
        </w:rPr>
        <w:t xml:space="preserve">  宣传推广</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4909"/>
        <w:gridCol w:w="1583"/>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3" w:type="dxa"/>
            <w:vAlign w:val="center"/>
          </w:tcPr>
          <w:p>
            <w:pPr>
              <w:adjustRightInd w:val="0"/>
              <w:snapToGrid w:val="0"/>
              <w:spacing w:line="360" w:lineRule="auto"/>
              <w:jc w:val="center"/>
              <w:rPr>
                <w:rFonts w:ascii="宋体" w:hAnsi="宋体"/>
                <w:color w:val="000000"/>
                <w:szCs w:val="21"/>
              </w:rPr>
            </w:pPr>
            <w:r>
              <w:rPr>
                <w:rFonts w:hint="eastAsia" w:ascii="宋体" w:hAnsi="宋体"/>
                <w:color w:val="000000"/>
                <w:szCs w:val="21"/>
              </w:rPr>
              <w:t>支付</w:t>
            </w:r>
            <w:r>
              <w:rPr>
                <w:rFonts w:ascii="宋体" w:hAnsi="宋体"/>
                <w:color w:val="000000"/>
                <w:szCs w:val="21"/>
              </w:rPr>
              <w:t>阶段</w:t>
            </w:r>
          </w:p>
        </w:tc>
        <w:tc>
          <w:tcPr>
            <w:tcW w:w="4909" w:type="dxa"/>
            <w:vAlign w:val="center"/>
          </w:tcPr>
          <w:p>
            <w:pPr>
              <w:adjustRightInd w:val="0"/>
              <w:snapToGrid w:val="0"/>
              <w:spacing w:line="360" w:lineRule="auto"/>
              <w:jc w:val="center"/>
              <w:rPr>
                <w:rFonts w:ascii="宋体" w:hAnsi="宋体"/>
                <w:color w:val="000000"/>
                <w:szCs w:val="21"/>
              </w:rPr>
            </w:pPr>
            <w:r>
              <w:rPr>
                <w:rFonts w:hint="eastAsia" w:ascii="宋体" w:hAnsi="宋体"/>
                <w:color w:val="000000"/>
                <w:szCs w:val="21"/>
              </w:rPr>
              <w:t>支付</w:t>
            </w:r>
            <w:r>
              <w:rPr>
                <w:rFonts w:ascii="宋体" w:hAnsi="宋体"/>
                <w:color w:val="000000"/>
                <w:szCs w:val="21"/>
              </w:rPr>
              <w:t>条件</w:t>
            </w:r>
          </w:p>
        </w:tc>
        <w:tc>
          <w:tcPr>
            <w:tcW w:w="1583" w:type="dxa"/>
            <w:vAlign w:val="center"/>
          </w:tcPr>
          <w:p>
            <w:pPr>
              <w:adjustRightInd w:val="0"/>
              <w:snapToGrid w:val="0"/>
              <w:spacing w:line="360" w:lineRule="auto"/>
              <w:jc w:val="center"/>
              <w:rPr>
                <w:rFonts w:ascii="宋体" w:hAnsi="宋体"/>
                <w:color w:val="000000"/>
                <w:szCs w:val="21"/>
              </w:rPr>
            </w:pPr>
            <w:r>
              <w:rPr>
                <w:rFonts w:hint="eastAsia" w:ascii="宋体" w:hAnsi="宋体"/>
                <w:color w:val="000000"/>
                <w:szCs w:val="21"/>
              </w:rPr>
              <w:t>支付</w:t>
            </w:r>
            <w:r>
              <w:rPr>
                <w:rFonts w:ascii="宋体" w:hAnsi="宋体"/>
                <w:color w:val="000000"/>
                <w:szCs w:val="21"/>
              </w:rPr>
              <w:t>比例</w:t>
            </w:r>
          </w:p>
        </w:tc>
        <w:tc>
          <w:tcPr>
            <w:tcW w:w="1041" w:type="dxa"/>
            <w:vAlign w:val="center"/>
          </w:tcPr>
          <w:p>
            <w:pPr>
              <w:adjustRightInd w:val="0"/>
              <w:snapToGrid w:val="0"/>
              <w:spacing w:line="360" w:lineRule="auto"/>
              <w:jc w:val="center"/>
              <w:rPr>
                <w:rFonts w:ascii="宋体" w:hAnsi="宋体"/>
                <w:color w:val="000000"/>
                <w:szCs w:val="21"/>
              </w:rPr>
            </w:pPr>
            <w:r>
              <w:rPr>
                <w:rFonts w:hint="eastAsia" w:ascii="宋体" w:hAnsi="宋体"/>
                <w:color w:val="000000"/>
                <w:szCs w:val="21"/>
              </w:rPr>
              <w:t>支付</w:t>
            </w:r>
            <w:r>
              <w:rPr>
                <w:rFonts w:ascii="宋体" w:hAnsi="宋体"/>
                <w:color w:val="000000"/>
                <w:szCs w:val="21"/>
              </w:rPr>
              <w:t>金额</w:t>
            </w:r>
            <w:r>
              <w:rPr>
                <w:rFonts w:hint="eastAsia" w:ascii="宋体" w:hAnsi="宋体"/>
                <w:color w:val="00000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adjustRightInd w:val="0"/>
              <w:snapToGrid w:val="0"/>
              <w:spacing w:line="360" w:lineRule="auto"/>
              <w:jc w:val="left"/>
              <w:rPr>
                <w:rFonts w:ascii="宋体" w:hAnsi="宋体"/>
                <w:color w:val="000000"/>
                <w:szCs w:val="21"/>
              </w:rPr>
            </w:pPr>
            <w:r>
              <w:rPr>
                <w:rFonts w:hint="eastAsia" w:ascii="宋体" w:hAnsi="宋体"/>
                <w:color w:val="000000"/>
                <w:szCs w:val="21"/>
              </w:rPr>
              <w:t>自媒体大</w:t>
            </w:r>
            <w:r>
              <w:rPr>
                <w:rFonts w:ascii="宋体" w:hAnsi="宋体"/>
                <w:color w:val="000000"/>
                <w:szCs w:val="21"/>
              </w:rPr>
              <w:t>V</w:t>
            </w:r>
          </w:p>
        </w:tc>
        <w:tc>
          <w:tcPr>
            <w:tcW w:w="4909" w:type="dxa"/>
            <w:vAlign w:val="center"/>
          </w:tcPr>
          <w:p>
            <w:pPr>
              <w:adjustRightInd w:val="0"/>
              <w:snapToGrid w:val="0"/>
              <w:spacing w:line="360" w:lineRule="auto"/>
              <w:jc w:val="left"/>
              <w:rPr>
                <w:rFonts w:ascii="宋体" w:hAnsi="宋体"/>
                <w:color w:val="000000"/>
                <w:szCs w:val="21"/>
              </w:rPr>
            </w:pPr>
            <w:r>
              <w:rPr>
                <w:rFonts w:hint="eastAsia" w:ascii="宋体" w:hAnsi="宋体"/>
                <w:szCs w:val="16"/>
              </w:rPr>
              <w:t>按</w:t>
            </w:r>
            <w:r>
              <w:rPr>
                <w:rFonts w:ascii="宋体" w:hAnsi="宋体"/>
                <w:szCs w:val="16"/>
              </w:rPr>
              <w:t>甲方要求，</w:t>
            </w:r>
            <w:r>
              <w:rPr>
                <w:rFonts w:hint="eastAsia" w:ascii="宋体" w:hAnsi="宋体"/>
                <w:szCs w:val="16"/>
              </w:rPr>
              <w:t>每完成一家自媒体大</w:t>
            </w:r>
            <w:r>
              <w:rPr>
                <w:rFonts w:ascii="宋体" w:hAnsi="宋体"/>
                <w:szCs w:val="16"/>
              </w:rPr>
              <w:t>V</w:t>
            </w:r>
            <w:r>
              <w:rPr>
                <w:rFonts w:hint="eastAsia" w:ascii="宋体" w:hAnsi="宋体"/>
                <w:szCs w:val="16"/>
              </w:rPr>
              <w:t>广告发布后，乙方向甲方提交书面付款申请及相关资料（验收材料、《广告发布确认书》），经甲方验收合格进行书面确认后支付该自媒体大</w:t>
            </w:r>
            <w:r>
              <w:rPr>
                <w:rFonts w:ascii="宋体" w:hAnsi="宋体"/>
                <w:szCs w:val="16"/>
              </w:rPr>
              <w:t>V</w:t>
            </w:r>
            <w:r>
              <w:rPr>
                <w:rFonts w:hint="eastAsia" w:ascii="宋体" w:hAnsi="宋体"/>
                <w:szCs w:val="16"/>
              </w:rPr>
              <w:t>对应的推广费用。该部分</w:t>
            </w:r>
            <w:r>
              <w:rPr>
                <w:rFonts w:ascii="宋体" w:hAnsi="宋体"/>
                <w:szCs w:val="16"/>
              </w:rPr>
              <w:t>结算价不超过</w:t>
            </w:r>
            <w:r>
              <w:rPr>
                <w:rFonts w:hint="eastAsia" w:ascii="宋体" w:hAnsi="宋体"/>
                <w:szCs w:val="16"/>
              </w:rPr>
              <w:t>自媒体大</w:t>
            </w:r>
            <w:r>
              <w:rPr>
                <w:rFonts w:ascii="宋体" w:hAnsi="宋体"/>
                <w:szCs w:val="16"/>
              </w:rPr>
              <w:t>V部分的推荐</w:t>
            </w:r>
            <w:r>
              <w:rPr>
                <w:rFonts w:hint="eastAsia" w:ascii="宋体" w:hAnsi="宋体"/>
                <w:szCs w:val="16"/>
              </w:rPr>
              <w:t>组合</w:t>
            </w:r>
            <w:r>
              <w:rPr>
                <w:rFonts w:ascii="宋体" w:hAnsi="宋体"/>
                <w:szCs w:val="16"/>
              </w:rPr>
              <w:t>总价</w:t>
            </w:r>
            <w:r>
              <w:rPr>
                <w:rFonts w:hint="eastAsia" w:ascii="宋体" w:hAnsi="宋体"/>
                <w:szCs w:val="16"/>
              </w:rPr>
              <w:t>。（支付</w:t>
            </w:r>
            <w:r>
              <w:rPr>
                <w:rFonts w:ascii="宋体" w:hAnsi="宋体"/>
                <w:szCs w:val="16"/>
              </w:rPr>
              <w:t>前需</w:t>
            </w:r>
            <w:r>
              <w:rPr>
                <w:rFonts w:hint="eastAsia" w:ascii="宋体" w:hAnsi="宋体"/>
                <w:szCs w:val="16"/>
              </w:rPr>
              <w:t>提供等额有效的增值税专用发票，经甲方审核通过后</w:t>
            </w:r>
            <w:r>
              <w:rPr>
                <w:rFonts w:ascii="宋体" w:hAnsi="宋体"/>
                <w:szCs w:val="16"/>
              </w:rPr>
              <w:t>15个工作日内进行支付）</w:t>
            </w:r>
          </w:p>
        </w:tc>
        <w:tc>
          <w:tcPr>
            <w:tcW w:w="1583" w:type="dxa"/>
            <w:vAlign w:val="center"/>
          </w:tcPr>
          <w:p>
            <w:pPr>
              <w:adjustRightInd w:val="0"/>
              <w:snapToGrid w:val="0"/>
              <w:spacing w:line="360" w:lineRule="auto"/>
              <w:jc w:val="left"/>
              <w:rPr>
                <w:rFonts w:ascii="宋体" w:hAnsi="宋体"/>
                <w:color w:val="000000"/>
                <w:szCs w:val="21"/>
              </w:rPr>
            </w:pPr>
            <w:r>
              <w:rPr>
                <w:rFonts w:hint="eastAsia" w:ascii="宋体" w:hAnsi="宋体"/>
                <w:szCs w:val="21"/>
              </w:rPr>
              <w:t>支付至已完成发布的自媒体大</w:t>
            </w:r>
            <w:r>
              <w:rPr>
                <w:rFonts w:ascii="宋体" w:hAnsi="宋体"/>
                <w:szCs w:val="21"/>
              </w:rPr>
              <w:t>V</w:t>
            </w:r>
            <w:r>
              <w:rPr>
                <w:rFonts w:hint="eastAsia" w:ascii="宋体" w:hAnsi="宋体"/>
                <w:szCs w:val="21"/>
              </w:rPr>
              <w:t>部分合同价款的</w:t>
            </w:r>
            <w:r>
              <w:rPr>
                <w:rFonts w:ascii="宋体" w:hAnsi="宋体"/>
                <w:szCs w:val="21"/>
              </w:rPr>
              <w:t>100%</w:t>
            </w:r>
          </w:p>
        </w:tc>
        <w:tc>
          <w:tcPr>
            <w:tcW w:w="1041" w:type="dxa"/>
            <w:vAlign w:val="center"/>
          </w:tcPr>
          <w:p>
            <w:pPr>
              <w:adjustRightInd w:val="0"/>
              <w:snapToGrid w:val="0"/>
              <w:spacing w:line="360" w:lineRule="auto"/>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adjustRightInd w:val="0"/>
              <w:snapToGrid w:val="0"/>
              <w:spacing w:line="360" w:lineRule="auto"/>
              <w:jc w:val="left"/>
              <w:rPr>
                <w:rFonts w:ascii="宋体" w:hAnsi="宋体"/>
                <w:color w:val="000000"/>
                <w:szCs w:val="21"/>
              </w:rPr>
            </w:pPr>
            <w:r>
              <w:rPr>
                <w:rFonts w:hint="eastAsia" w:ascii="宋体" w:hAnsi="宋体"/>
                <w:color w:val="000000"/>
                <w:szCs w:val="21"/>
              </w:rPr>
              <w:t>渠道推广</w:t>
            </w:r>
          </w:p>
        </w:tc>
        <w:tc>
          <w:tcPr>
            <w:tcW w:w="4909" w:type="dxa"/>
            <w:vAlign w:val="center"/>
          </w:tcPr>
          <w:p>
            <w:pPr>
              <w:adjustRightInd w:val="0"/>
              <w:snapToGrid w:val="0"/>
              <w:spacing w:line="360" w:lineRule="auto"/>
              <w:jc w:val="left"/>
              <w:rPr>
                <w:rFonts w:ascii="宋体" w:hAnsi="宋体"/>
                <w:szCs w:val="16"/>
              </w:rPr>
            </w:pPr>
            <w:r>
              <w:rPr>
                <w:rFonts w:hint="eastAsia" w:ascii="宋体" w:hAnsi="宋体"/>
                <w:szCs w:val="16"/>
              </w:rPr>
              <w:t>按</w:t>
            </w:r>
            <w:r>
              <w:rPr>
                <w:rFonts w:ascii="宋体" w:hAnsi="宋体"/>
                <w:szCs w:val="16"/>
              </w:rPr>
              <w:t>甲方要求，</w:t>
            </w:r>
            <w:r>
              <w:rPr>
                <w:rFonts w:hint="eastAsia" w:ascii="宋体" w:hAnsi="宋体"/>
                <w:szCs w:val="16"/>
              </w:rPr>
              <w:t>每完成一家渠道广告发布后，乙方向甲方提交书面付款申请及相关资料（验收材料、《广告发布确认书》），经甲方验收合格进行书面确认后支付该渠道对应的推广费用。该部分</w:t>
            </w:r>
            <w:r>
              <w:rPr>
                <w:rFonts w:ascii="宋体" w:hAnsi="宋体"/>
                <w:szCs w:val="16"/>
              </w:rPr>
              <w:t>结算价不超过</w:t>
            </w:r>
            <w:r>
              <w:rPr>
                <w:rFonts w:hint="eastAsia" w:ascii="宋体" w:hAnsi="宋体"/>
                <w:szCs w:val="16"/>
              </w:rPr>
              <w:t>渠道推广</w:t>
            </w:r>
            <w:r>
              <w:rPr>
                <w:rFonts w:ascii="宋体" w:hAnsi="宋体"/>
                <w:szCs w:val="16"/>
              </w:rPr>
              <w:t>部分的</w:t>
            </w:r>
            <w:r>
              <w:rPr>
                <w:rFonts w:hint="eastAsia" w:ascii="宋体" w:hAnsi="宋体"/>
                <w:szCs w:val="16"/>
              </w:rPr>
              <w:t>合同暂定</w:t>
            </w:r>
            <w:r>
              <w:rPr>
                <w:rFonts w:ascii="宋体" w:hAnsi="宋体"/>
                <w:szCs w:val="16"/>
              </w:rPr>
              <w:t>总价</w:t>
            </w:r>
            <w:r>
              <w:rPr>
                <w:rFonts w:hint="eastAsia" w:ascii="宋体" w:hAnsi="宋体"/>
                <w:szCs w:val="16"/>
              </w:rPr>
              <w:t>。（支付</w:t>
            </w:r>
            <w:r>
              <w:rPr>
                <w:rFonts w:ascii="宋体" w:hAnsi="宋体"/>
                <w:szCs w:val="16"/>
              </w:rPr>
              <w:t>前需</w:t>
            </w:r>
            <w:r>
              <w:rPr>
                <w:rFonts w:hint="eastAsia" w:ascii="宋体" w:hAnsi="宋体"/>
                <w:szCs w:val="16"/>
              </w:rPr>
              <w:t>提供等额有效的增值税专用发票，经甲方审核通过后</w:t>
            </w:r>
            <w:r>
              <w:rPr>
                <w:rFonts w:ascii="宋体" w:hAnsi="宋体"/>
                <w:szCs w:val="16"/>
              </w:rPr>
              <w:t>15个工作日内进行支付）</w:t>
            </w:r>
            <w:r>
              <w:rPr>
                <w:rFonts w:hint="eastAsia" w:ascii="宋体" w:hAnsi="宋体"/>
                <w:szCs w:val="16"/>
              </w:rPr>
              <w:t>。</w:t>
            </w:r>
          </w:p>
        </w:tc>
        <w:tc>
          <w:tcPr>
            <w:tcW w:w="1583" w:type="dxa"/>
            <w:vAlign w:val="center"/>
          </w:tcPr>
          <w:p>
            <w:pPr>
              <w:adjustRightInd w:val="0"/>
              <w:snapToGrid w:val="0"/>
              <w:spacing w:line="360" w:lineRule="auto"/>
              <w:jc w:val="left"/>
              <w:rPr>
                <w:rFonts w:ascii="宋体" w:hAnsi="宋体"/>
                <w:szCs w:val="21"/>
              </w:rPr>
            </w:pPr>
            <w:r>
              <w:rPr>
                <w:rFonts w:hint="eastAsia" w:ascii="宋体" w:hAnsi="宋体"/>
                <w:szCs w:val="21"/>
              </w:rPr>
              <w:t>支付至已完成发布的渠道推广部分合同价款的</w:t>
            </w:r>
            <w:r>
              <w:rPr>
                <w:rFonts w:ascii="宋体" w:hAnsi="宋体"/>
                <w:szCs w:val="21"/>
              </w:rPr>
              <w:t>100%</w:t>
            </w:r>
          </w:p>
        </w:tc>
        <w:tc>
          <w:tcPr>
            <w:tcW w:w="1041" w:type="dxa"/>
            <w:vAlign w:val="center"/>
          </w:tcPr>
          <w:p>
            <w:pPr>
              <w:adjustRightInd w:val="0"/>
              <w:snapToGrid w:val="0"/>
              <w:spacing w:line="360" w:lineRule="auto"/>
              <w:jc w:val="left"/>
              <w:rPr>
                <w:rFonts w:ascii="宋体" w:hAnsi="宋体"/>
                <w:color w:val="000000"/>
                <w:szCs w:val="21"/>
              </w:rPr>
            </w:pPr>
          </w:p>
        </w:tc>
      </w:tr>
    </w:tbl>
    <w:p>
      <w:pPr>
        <w:adjustRightInd w:val="0"/>
        <w:snapToGrid w:val="0"/>
        <w:spacing w:line="360" w:lineRule="auto"/>
        <w:ind w:firstLine="480" w:firstLineChars="200"/>
        <w:rPr>
          <w:rFonts w:ascii="宋体" w:hAnsi="宋体"/>
          <w:sz w:val="24"/>
          <w:szCs w:val="24"/>
        </w:rPr>
      </w:pPr>
      <w:bookmarkStart w:id="122" w:name="_Hlk94195891"/>
      <w:r>
        <w:rPr>
          <w:rFonts w:hint="eastAsia" w:ascii="宋体" w:hAnsi="宋体"/>
          <w:sz w:val="24"/>
          <w:szCs w:val="24"/>
        </w:rPr>
        <w:t>最后一次支付前需先完成合同结算。</w:t>
      </w:r>
      <w:bookmarkEnd w:id="120"/>
      <w:bookmarkEnd w:id="122"/>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乙方应在甲方付款前，向甲方提供正式的增值税专用发票，否则甲方有权拒绝付款，且并不因此承担任何违约责任，乙方仍应按合同约定履行义务。</w:t>
      </w:r>
    </w:p>
    <w:p>
      <w:pPr>
        <w:tabs>
          <w:tab w:val="left" w:pos="840"/>
        </w:tabs>
        <w:adjustRightInd w:val="0"/>
        <w:snapToGrid w:val="0"/>
        <w:spacing w:line="360" w:lineRule="auto"/>
        <w:ind w:firstLine="464" w:firstLineChars="200"/>
        <w:rPr>
          <w:rFonts w:ascii="宋体" w:hAnsi="宋体"/>
          <w:spacing w:val="-4"/>
          <w:sz w:val="24"/>
          <w:szCs w:val="24"/>
        </w:rPr>
      </w:pPr>
      <w:r>
        <w:rPr>
          <w:rFonts w:hint="eastAsia" w:ascii="宋体" w:hAnsi="宋体"/>
          <w:spacing w:val="-4"/>
          <w:sz w:val="24"/>
          <w:szCs w:val="24"/>
        </w:rPr>
        <w:t>（三）违约条款</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根据项目需要，甲方有权对相关服务的全部或部分项目执行或取消或甲方要求暂停制作或终止本合同，未开始执行的甲方不承担费用，已开始执行的，乙方可要求甲方支付对经甲方确认的乙方已完成的工作量部分费用，乙方不得要求其他补偿或赔偿。</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2、在合同期内，若乙方的工作质量达不到甲方的要求的，累计或连续发生三次以上的，甲方可解除本合同。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3、乙方不能按合同约定之要求及期限或甲方调整后的期限按时完成各项工作，包括乙方未按甲方或合同要求及时、准确提供甲方所需之稿件、电子文件等，或相关方案、策划等或其它迟延提供服务的行为，均视为乙方违约。每逾期1日，甲方有权按违约当次活动总金额的0.5%向乙方收取违约金，并承担因乙方迟延交付工作给甲方造成的全部损失。逾期达10日的，甲方有权解除本合同；除此之外，如乙方所服务内容非因甲方原因发生3次以上迟延交付情况，乙方应当向甲方承担合同总金额5%的违约金，发生5次以上，甲方有权解除本合同；对此给甲方造成的损失，乙方还应赔偿甲方损失。</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4、合同期内，如因乙方原因造成甲方损失或损害甲方商誉的，甲方有权解除本合同。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5</w:t>
      </w:r>
      <w:r>
        <w:rPr>
          <w:rFonts w:ascii="宋体" w:hAnsi="宋体"/>
          <w:sz w:val="24"/>
          <w:szCs w:val="24"/>
        </w:rPr>
        <w:t>.</w:t>
      </w:r>
      <w:r>
        <w:rPr>
          <w:rFonts w:hint="eastAsia" w:ascii="宋体" w:hAnsi="宋体"/>
          <w:sz w:val="24"/>
          <w:szCs w:val="24"/>
        </w:rPr>
        <w:t>如因乙方的原因造成活动取消或不能顺利进行，则视为乙方违约，甲方有权要求乙方向甲方支付相当于该次活动总金额5%的违约金，对此给甲方造成损失的，乙方还应赔偿甲方损失。</w:t>
      </w:r>
    </w:p>
    <w:p>
      <w:pPr>
        <w:adjustRightInd w:val="0"/>
        <w:snapToGrid w:val="0"/>
        <w:spacing w:line="360" w:lineRule="auto"/>
        <w:ind w:firstLine="480" w:firstLineChars="200"/>
        <w:rPr>
          <w:rFonts w:ascii="宋体" w:hAnsi="宋体"/>
          <w:sz w:val="24"/>
          <w:szCs w:val="24"/>
        </w:rPr>
      </w:pPr>
      <w:r>
        <w:rPr>
          <w:rFonts w:ascii="宋体" w:hAnsi="宋体"/>
          <w:sz w:val="24"/>
          <w:szCs w:val="24"/>
        </w:rPr>
        <w:t>6</w:t>
      </w:r>
      <w:r>
        <w:rPr>
          <w:rFonts w:hint="eastAsia" w:ascii="宋体" w:hAnsi="宋体"/>
          <w:sz w:val="24"/>
          <w:szCs w:val="24"/>
        </w:rPr>
        <w:t>．如乙方实际提供的活动内容、流程及组织的人员与合同所约定的活动内容、流程不符，或者未按约定提供活动所需的物料、设施、设备，则甲方有权扣减相应的费用，且乙方必须保证活动能够顺利进行，否则，甲方有权要求乙方按该次活动总金额5%赔偿甲方损失，并由乙方退还已支付的全部款项。乙方应在甲方通知后3日内付清，逾期按应付款的日0.5%计算支付违约金。对此给甲方造成损失的，乙方还应赔偿甲方损失。</w:t>
      </w:r>
    </w:p>
    <w:p>
      <w:pPr>
        <w:adjustRightInd w:val="0"/>
        <w:snapToGrid w:val="0"/>
        <w:spacing w:line="360" w:lineRule="auto"/>
        <w:ind w:firstLine="480" w:firstLineChars="200"/>
        <w:rPr>
          <w:rFonts w:ascii="宋体" w:hAnsi="宋体"/>
          <w:sz w:val="24"/>
          <w:szCs w:val="24"/>
        </w:rPr>
      </w:pPr>
      <w:r>
        <w:rPr>
          <w:rFonts w:ascii="宋体" w:hAnsi="宋体"/>
          <w:sz w:val="24"/>
          <w:szCs w:val="24"/>
        </w:rPr>
        <w:t>7.</w:t>
      </w:r>
      <w:r>
        <w:rPr>
          <w:rFonts w:hint="eastAsia" w:ascii="宋体" w:hAnsi="宋体"/>
          <w:sz w:val="24"/>
          <w:szCs w:val="24"/>
        </w:rPr>
        <w:t>乙方未经甲方许可擅自更改甲方推广内容、形式、平台的，甲方有权选择解除本合同或要求乙方在限定期限内完成推广服务。甲方选择解除本合同的，甲方有权拒绝向乙方支付相应的推广费用，乙方应返还甲方已支付的相关费用（如有），并每次向甲方支付合同总价款5%的违约金。甲方选择要求乙方限期完成推广的，乙方应按期完成；若延期完成推广，每次需承担合同总价款5%的违约金。</w:t>
      </w:r>
    </w:p>
    <w:p>
      <w:pPr>
        <w:adjustRightInd w:val="0"/>
        <w:snapToGrid w:val="0"/>
        <w:spacing w:line="360" w:lineRule="auto"/>
        <w:ind w:firstLine="480" w:firstLineChars="200"/>
        <w:rPr>
          <w:rFonts w:ascii="宋体" w:hAnsi="宋体"/>
          <w:sz w:val="24"/>
          <w:szCs w:val="24"/>
        </w:rPr>
      </w:pPr>
      <w:r>
        <w:rPr>
          <w:rFonts w:ascii="宋体" w:hAnsi="宋体"/>
          <w:sz w:val="24"/>
          <w:szCs w:val="24"/>
        </w:rPr>
        <w:t>8</w:t>
      </w:r>
      <w:r>
        <w:rPr>
          <w:rFonts w:hint="eastAsia" w:ascii="宋体" w:hAnsi="宋体"/>
          <w:sz w:val="24"/>
          <w:szCs w:val="24"/>
        </w:rPr>
        <w:t>．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它损失的，乙方还应赔偿损失，同时乙方有义务负责消除因负面信息给甲方及关联公司造成的不利影响。</w:t>
      </w:r>
    </w:p>
    <w:p>
      <w:pPr>
        <w:adjustRightInd w:val="0"/>
        <w:snapToGrid w:val="0"/>
        <w:spacing w:line="360" w:lineRule="auto"/>
        <w:ind w:firstLine="480" w:firstLineChars="200"/>
        <w:rPr>
          <w:rFonts w:ascii="宋体" w:hAnsi="宋体"/>
          <w:sz w:val="24"/>
          <w:szCs w:val="24"/>
        </w:rPr>
      </w:pPr>
      <w:r>
        <w:rPr>
          <w:rFonts w:ascii="宋体" w:hAnsi="宋体"/>
          <w:sz w:val="24"/>
          <w:szCs w:val="24"/>
        </w:rPr>
        <w:t>9.</w:t>
      </w:r>
      <w:r>
        <w:rPr>
          <w:rFonts w:hint="eastAsia" w:ascii="宋体" w:hAnsi="宋体"/>
          <w:sz w:val="24"/>
          <w:szCs w:val="24"/>
        </w:rPr>
        <w:t>如乙方违反本合同知识产权条款约定的义务，甲方有权解除合同，同时乙方应向甲方支付合同总额的20%的违约金；如造成甲方损失的，乙方还应赔偿甲方损失。</w:t>
      </w:r>
    </w:p>
    <w:p>
      <w:pPr>
        <w:adjustRightInd w:val="0"/>
        <w:snapToGrid w:val="0"/>
        <w:spacing w:line="360" w:lineRule="auto"/>
        <w:ind w:firstLine="480" w:firstLineChars="200"/>
        <w:rPr>
          <w:rFonts w:ascii="宋体" w:hAnsi="宋体"/>
          <w:sz w:val="24"/>
          <w:szCs w:val="24"/>
        </w:rPr>
      </w:pPr>
      <w:r>
        <w:rPr>
          <w:rFonts w:ascii="宋体" w:hAnsi="宋体"/>
          <w:sz w:val="24"/>
          <w:szCs w:val="24"/>
        </w:rPr>
        <w:t>10</w:t>
      </w:r>
      <w:r>
        <w:rPr>
          <w:rFonts w:hint="eastAsia" w:ascii="宋体" w:hAnsi="宋体"/>
          <w:sz w:val="24"/>
          <w:szCs w:val="24"/>
        </w:rPr>
        <w:t>．若乙方违约，乙方除按约定承担违约责任外，还必须承担甲方因追溯乙方责任而产生的合理的调查费用、律师代理费、诉讼费（仲裁费）、业务费、审计费、交通费、餐饮费、住宿费及其它与追溯乙方责任有关的所有费用。</w:t>
      </w:r>
    </w:p>
    <w:p>
      <w:pPr>
        <w:adjustRightInd w:val="0"/>
        <w:snapToGrid w:val="0"/>
        <w:spacing w:line="360" w:lineRule="auto"/>
        <w:ind w:firstLine="480" w:firstLineChars="200"/>
        <w:rPr>
          <w:rFonts w:ascii="宋体" w:hAnsi="宋体"/>
          <w:sz w:val="24"/>
          <w:szCs w:val="24"/>
        </w:rPr>
      </w:pPr>
      <w:r>
        <w:rPr>
          <w:rFonts w:ascii="宋体" w:hAnsi="宋体"/>
          <w:sz w:val="24"/>
          <w:szCs w:val="24"/>
        </w:rPr>
        <w:t>11</w:t>
      </w:r>
      <w:r>
        <w:rPr>
          <w:rFonts w:hint="eastAsia" w:ascii="宋体" w:hAnsi="宋体"/>
          <w:sz w:val="24"/>
          <w:szCs w:val="24"/>
        </w:rPr>
        <w:t>．甲方有权每场开放活动/每两场拓客/每两场暖场活动/包装/推广服务后安排一次履约评价，若上述服务举办期较为密集，则每月安排一次履约评价，最后以甲方实际情况安排为准，如乙方连续两次履约评价评分分值均在80分以下，甲方可无条件单方解除该合同。</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2.</w:t>
      </w:r>
      <w:r>
        <w:rPr>
          <w:rFonts w:hint="eastAsia" w:ascii="宋体" w:hAnsi="宋体"/>
          <w:sz w:val="24"/>
          <w:szCs w:val="24"/>
        </w:rPr>
        <w:t>甲方有权从应支付给乙方的款项中直接扣除乙方应承担的违约金等款项，如不足赔偿甲方的损失的，甲方有权继续向乙方追偿。</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3</w:t>
      </w:r>
      <w:r>
        <w:rPr>
          <w:rFonts w:hint="eastAsia" w:ascii="宋体" w:hAnsi="宋体"/>
          <w:sz w:val="24"/>
          <w:szCs w:val="24"/>
        </w:rPr>
        <w:t>．乙方违反本合同其它约定的，经甲方书面通知限期改正或履行，而期满仍未改正或履行的，甲方有权解除本合同。</w:t>
      </w:r>
    </w:p>
    <w:p>
      <w:pPr>
        <w:tabs>
          <w:tab w:val="left" w:pos="840"/>
        </w:tabs>
        <w:adjustRightInd w:val="0"/>
        <w:snapToGrid w:val="0"/>
        <w:spacing w:line="312" w:lineRule="auto"/>
        <w:ind w:firstLine="464" w:firstLineChars="200"/>
        <w:rPr>
          <w:rFonts w:ascii="宋体" w:hAnsi="宋体"/>
          <w:spacing w:val="-4"/>
          <w:sz w:val="24"/>
          <w:szCs w:val="24"/>
        </w:rPr>
      </w:pPr>
    </w:p>
    <w:p>
      <w:pPr>
        <w:spacing w:line="312" w:lineRule="auto"/>
        <w:ind w:firstLine="482" w:firstLineChars="200"/>
        <w:rPr>
          <w:rFonts w:ascii="宋体" w:hAnsi="宋体"/>
          <w:b/>
          <w:sz w:val="24"/>
          <w:szCs w:val="24"/>
        </w:rPr>
      </w:pPr>
      <w:r>
        <w:rPr>
          <w:rFonts w:hint="eastAsia" w:ascii="宋体" w:hAnsi="宋体"/>
          <w:b/>
          <w:sz w:val="24"/>
          <w:szCs w:val="24"/>
        </w:rPr>
        <w:t>六、保密</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12" w:lineRule="auto"/>
        <w:ind w:firstLine="482" w:firstLineChars="200"/>
        <w:rPr>
          <w:rFonts w:ascii="宋体" w:hAnsi="宋体"/>
          <w:b/>
          <w:sz w:val="24"/>
          <w:szCs w:val="24"/>
        </w:rPr>
      </w:pPr>
      <w:r>
        <w:rPr>
          <w:rFonts w:hint="eastAsia" w:ascii="宋体" w:hAnsi="宋体"/>
          <w:b/>
          <w:sz w:val="24"/>
          <w:szCs w:val="24"/>
        </w:rPr>
        <w:t>七、合同的变更与解除</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1、合同生效后，即具有法律约束力，除本合同有相关约定外，任何一方不得随意变更或解除合同。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2、由于不可抗力的原因，使合同无法完全履行的时候，经双方协商，可以变更或解除合同。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3、本合同的任何修改，由双方协商同意并另行签订补充协议。</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4、如甲方安排乙方从事本项目工作范围以外的项目或其他额外项目，双方应按照本合同的规定进行协商，经协商一致，另行签订补充协议。</w:t>
      </w:r>
    </w:p>
    <w:p>
      <w:pPr>
        <w:spacing w:line="312" w:lineRule="auto"/>
        <w:ind w:firstLine="482" w:firstLineChars="200"/>
        <w:rPr>
          <w:rFonts w:ascii="宋体" w:hAnsi="宋体"/>
          <w:b/>
          <w:sz w:val="24"/>
          <w:szCs w:val="24"/>
        </w:rPr>
      </w:pPr>
      <w:r>
        <w:rPr>
          <w:rFonts w:hint="eastAsia" w:ascii="宋体" w:hAnsi="宋体"/>
          <w:b/>
          <w:sz w:val="24"/>
          <w:szCs w:val="24"/>
        </w:rPr>
        <w:t>八、争议解决</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 xml:space="preserve">在合同履行过程中发生争议，甲乙双方应当协商解决。如协商不成，任何一方均有权将争议提交甲方所在地法院诉讼解决。 </w:t>
      </w:r>
    </w:p>
    <w:p>
      <w:pPr>
        <w:spacing w:line="312" w:lineRule="auto"/>
        <w:ind w:firstLine="482" w:firstLineChars="200"/>
        <w:rPr>
          <w:rFonts w:ascii="宋体" w:hAnsi="宋体"/>
          <w:b/>
          <w:sz w:val="24"/>
          <w:szCs w:val="24"/>
        </w:rPr>
      </w:pPr>
      <w:r>
        <w:rPr>
          <w:rFonts w:hint="eastAsia" w:ascii="宋体" w:hAnsi="宋体"/>
          <w:b/>
          <w:sz w:val="24"/>
          <w:szCs w:val="24"/>
        </w:rPr>
        <w:t>九、其他</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1、本合同经双方法定代表人或授权代表签字，并加盖公章或合同专用章后即为生效。</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2、本合同的任何修改，由双方协商同意并另行签订补充合同。</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3、本合同一式拾份，正本一式贰份，甲乙双方各执壹份，副本一式捌份，甲方柒份，乙方壹份。正本与副本不一致，以正本为准。</w:t>
      </w:r>
    </w:p>
    <w:p>
      <w:pPr>
        <w:tabs>
          <w:tab w:val="left" w:pos="840"/>
        </w:tabs>
        <w:adjustRightInd w:val="0"/>
        <w:snapToGrid w:val="0"/>
        <w:spacing w:line="312" w:lineRule="auto"/>
        <w:ind w:firstLine="464" w:firstLineChars="200"/>
        <w:rPr>
          <w:rFonts w:ascii="宋体" w:hAnsi="宋体"/>
          <w:spacing w:val="-4"/>
          <w:sz w:val="24"/>
          <w:szCs w:val="24"/>
        </w:rPr>
      </w:pP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附件1</w:t>
      </w:r>
      <w:r>
        <w:rPr>
          <w:rFonts w:ascii="宋体" w:hAnsi="宋体"/>
          <w:spacing w:val="-4"/>
          <w:sz w:val="24"/>
          <w:szCs w:val="24"/>
        </w:rPr>
        <w:t>.</w:t>
      </w:r>
      <w:r>
        <w:rPr>
          <w:rFonts w:hint="eastAsia"/>
        </w:rPr>
        <w:t xml:space="preserve"> </w:t>
      </w:r>
      <w:r>
        <w:rPr>
          <w:rFonts w:hint="eastAsia" w:ascii="宋体" w:hAnsi="宋体"/>
          <w:spacing w:val="-4"/>
          <w:sz w:val="24"/>
          <w:szCs w:val="24"/>
        </w:rPr>
        <w:t>服务清单价格明细表</w:t>
      </w:r>
    </w:p>
    <w:p>
      <w:pPr>
        <w:tabs>
          <w:tab w:val="left" w:pos="840"/>
        </w:tabs>
        <w:adjustRightInd w:val="0"/>
        <w:snapToGrid w:val="0"/>
        <w:spacing w:line="312" w:lineRule="auto"/>
        <w:ind w:firstLine="928" w:firstLineChars="400"/>
        <w:rPr>
          <w:rFonts w:ascii="宋体" w:hAnsi="宋体"/>
          <w:spacing w:val="-4"/>
          <w:sz w:val="24"/>
          <w:szCs w:val="24"/>
        </w:rPr>
      </w:pPr>
      <w:r>
        <w:rPr>
          <w:rFonts w:hint="eastAsia" w:ascii="宋体" w:hAnsi="宋体"/>
          <w:spacing w:val="-4"/>
          <w:sz w:val="24"/>
          <w:szCs w:val="24"/>
        </w:rPr>
        <w:t>2</w:t>
      </w:r>
      <w:r>
        <w:rPr>
          <w:rFonts w:ascii="宋体" w:hAnsi="宋体"/>
          <w:spacing w:val="-4"/>
          <w:sz w:val="24"/>
          <w:szCs w:val="24"/>
        </w:rPr>
        <w:t xml:space="preserve">. </w:t>
      </w:r>
      <w:r>
        <w:rPr>
          <w:rFonts w:hint="eastAsia" w:ascii="宋体" w:hAnsi="宋体"/>
          <w:spacing w:val="-4"/>
          <w:sz w:val="24"/>
          <w:szCs w:val="24"/>
        </w:rPr>
        <w:t>合同执行阶段履约评价表</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 xml:space="preserve">    </w:t>
      </w:r>
    </w:p>
    <w:p>
      <w:pPr>
        <w:spacing w:line="312" w:lineRule="auto"/>
        <w:rPr>
          <w:rFonts w:ascii="宋体" w:hAnsi="宋体"/>
          <w:spacing w:val="-4"/>
          <w:sz w:val="24"/>
          <w:szCs w:val="24"/>
        </w:rPr>
      </w:pPr>
    </w:p>
    <w:tbl>
      <w:tblPr>
        <w:tblStyle w:val="47"/>
        <w:tblW w:w="10173" w:type="dxa"/>
        <w:tblInd w:w="-318" w:type="dxa"/>
        <w:tblLayout w:type="fixed"/>
        <w:tblCellMar>
          <w:top w:w="0" w:type="dxa"/>
          <w:left w:w="108" w:type="dxa"/>
          <w:bottom w:w="0" w:type="dxa"/>
          <w:right w:w="108" w:type="dxa"/>
        </w:tblCellMar>
      </w:tblPr>
      <w:tblGrid>
        <w:gridCol w:w="2238"/>
        <w:gridCol w:w="541"/>
        <w:gridCol w:w="2072"/>
        <w:gridCol w:w="166"/>
        <w:gridCol w:w="2072"/>
        <w:gridCol w:w="846"/>
        <w:gridCol w:w="2238"/>
      </w:tblGrid>
      <w:tr>
        <w:tblPrEx>
          <w:tblCellMar>
            <w:top w:w="0" w:type="dxa"/>
            <w:left w:w="108" w:type="dxa"/>
            <w:bottom w:w="0" w:type="dxa"/>
            <w:right w:w="108" w:type="dxa"/>
          </w:tblCellMar>
        </w:tblPrEx>
        <w:trPr>
          <w:trHeight w:val="812" w:hRule="exact"/>
        </w:trPr>
        <w:tc>
          <w:tcPr>
            <w:tcW w:w="2238" w:type="dxa"/>
          </w:tcPr>
          <w:p>
            <w:pPr>
              <w:rPr>
                <w:rFonts w:ascii="宋体" w:hAnsi="宋体"/>
                <w:b/>
                <w:sz w:val="30"/>
                <w:szCs w:val="30"/>
              </w:rPr>
            </w:pPr>
            <w:r>
              <w:rPr>
                <w:rFonts w:hint="eastAsia" w:ascii="宋体" w:hAnsi="宋体"/>
                <w:b/>
                <w:sz w:val="30"/>
                <w:szCs w:val="30"/>
              </w:rPr>
              <w:t>甲方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779" w:type="dxa"/>
            <w:gridSpan w:val="3"/>
          </w:tcPr>
          <w:p>
            <w:pPr>
              <w:spacing w:before="25" w:line="240" w:lineRule="atLeast"/>
              <w:rPr>
                <w:rFonts w:ascii="宋体" w:hAnsi="宋体"/>
                <w:b/>
                <w:sz w:val="28"/>
                <w:szCs w:val="28"/>
              </w:rPr>
            </w:pPr>
          </w:p>
        </w:tc>
        <w:tc>
          <w:tcPr>
            <w:tcW w:w="2072"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852" w:hRule="exact"/>
        </w:trPr>
        <w:tc>
          <w:tcPr>
            <w:tcW w:w="2238" w:type="dxa"/>
          </w:tcPr>
          <w:p>
            <w:pPr>
              <w:rPr>
                <w:rFonts w:ascii="宋体" w:hAnsi="宋体"/>
                <w:sz w:val="24"/>
              </w:rPr>
            </w:pPr>
            <w:r>
              <w:rPr>
                <w:rFonts w:ascii="宋体" w:hAnsi="宋体"/>
                <w:sz w:val="24"/>
              </w:rPr>
              <w:t>住    所：</w:t>
            </w:r>
          </w:p>
        </w:tc>
        <w:tc>
          <w:tcPr>
            <w:tcW w:w="2779" w:type="dxa"/>
            <w:gridSpan w:val="3"/>
          </w:tcPr>
          <w:p>
            <w:pPr>
              <w:rPr>
                <w:rFonts w:ascii="宋体" w:hAnsi="宋体"/>
                <w:sz w:val="24"/>
              </w:rPr>
            </w:pPr>
          </w:p>
        </w:tc>
        <w:tc>
          <w:tcPr>
            <w:tcW w:w="2072" w:type="dxa"/>
          </w:tcPr>
          <w:p>
            <w:pPr>
              <w:rPr>
                <w:rFonts w:ascii="宋体" w:hAnsi="宋体"/>
                <w:sz w:val="24"/>
              </w:rPr>
            </w:pP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566" w:hRule="exact"/>
        </w:trPr>
        <w:tc>
          <w:tcPr>
            <w:tcW w:w="2238" w:type="dxa"/>
          </w:tcPr>
          <w:p>
            <w:pPr>
              <w:rPr>
                <w:rFonts w:ascii="宋体" w:hAnsi="宋体"/>
                <w:sz w:val="24"/>
              </w:rPr>
            </w:pPr>
            <w:r>
              <w:rPr>
                <w:rFonts w:ascii="宋体" w:hAnsi="宋体"/>
                <w:sz w:val="24"/>
              </w:rPr>
              <w:t>电    话：</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传    真：</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716" w:hRule="exact"/>
        </w:trPr>
        <w:tc>
          <w:tcPr>
            <w:tcW w:w="2238" w:type="dxa"/>
          </w:tcPr>
          <w:p>
            <w:pPr>
              <w:rPr>
                <w:rFonts w:ascii="宋体" w:hAnsi="宋体"/>
                <w:sz w:val="24"/>
              </w:rPr>
            </w:pPr>
            <w:r>
              <w:rPr>
                <w:rFonts w:ascii="宋体" w:hAnsi="宋体"/>
                <w:sz w:val="24"/>
              </w:rPr>
              <w:t>开户银行：</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开户全名：</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699" w:hRule="exact"/>
        </w:trPr>
        <w:tc>
          <w:tcPr>
            <w:tcW w:w="2238" w:type="dxa"/>
          </w:tcPr>
          <w:p>
            <w:pPr>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779" w:type="dxa"/>
            <w:gridSpan w:val="3"/>
          </w:tcPr>
          <w:p>
            <w:pPr>
              <w:rPr>
                <w:rFonts w:ascii="宋体" w:hAnsi="宋体"/>
                <w:sz w:val="24"/>
              </w:rPr>
            </w:pPr>
          </w:p>
        </w:tc>
        <w:tc>
          <w:tcPr>
            <w:tcW w:w="2072" w:type="dxa"/>
          </w:tcPr>
          <w:p>
            <w:pPr>
              <w:rPr>
                <w:rFonts w:ascii="宋体" w:hAnsi="宋体"/>
                <w:sz w:val="24"/>
              </w:rPr>
            </w:pPr>
            <w:r>
              <w:rPr>
                <w:rFonts w:ascii="宋体" w:hAnsi="宋体"/>
                <w:sz w:val="24"/>
              </w:rPr>
              <w:t>邮政编码：</w:t>
            </w:r>
          </w:p>
        </w:tc>
        <w:tc>
          <w:tcPr>
            <w:tcW w:w="3084" w:type="dxa"/>
            <w:gridSpan w:val="2"/>
          </w:tcPr>
          <w:p>
            <w:pPr>
              <w:rPr>
                <w:rFonts w:ascii="宋体" w:hAnsi="宋体"/>
                <w:sz w:val="24"/>
              </w:rPr>
            </w:pPr>
          </w:p>
        </w:tc>
      </w:tr>
      <w:tr>
        <w:tblPrEx>
          <w:tblCellMar>
            <w:top w:w="0" w:type="dxa"/>
            <w:left w:w="108" w:type="dxa"/>
            <w:bottom w:w="0" w:type="dxa"/>
            <w:right w:w="108" w:type="dxa"/>
          </w:tblCellMar>
        </w:tblPrEx>
        <w:trPr>
          <w:trHeight w:val="978" w:hRule="exact"/>
        </w:trPr>
        <w:tc>
          <w:tcPr>
            <w:tcW w:w="2238" w:type="dxa"/>
          </w:tcPr>
          <w:p>
            <w:pPr>
              <w:rPr>
                <w:rFonts w:ascii="宋体" w:hAnsi="宋体"/>
                <w:sz w:val="24"/>
              </w:rPr>
            </w:pPr>
            <w:r>
              <w:rPr>
                <w:rFonts w:hint="eastAsia" w:ascii="宋体" w:hAnsi="宋体"/>
                <w:sz w:val="24"/>
              </w:rPr>
              <w:t>项目主管部门经办人及电话：</w:t>
            </w:r>
          </w:p>
        </w:tc>
        <w:tc>
          <w:tcPr>
            <w:tcW w:w="2779" w:type="dxa"/>
            <w:gridSpan w:val="3"/>
          </w:tcPr>
          <w:p>
            <w:pPr>
              <w:rPr>
                <w:rFonts w:ascii="宋体" w:hAnsi="宋体"/>
                <w:szCs w:val="21"/>
              </w:rPr>
            </w:pPr>
          </w:p>
        </w:tc>
        <w:tc>
          <w:tcPr>
            <w:tcW w:w="2072" w:type="dxa"/>
          </w:tcPr>
          <w:p>
            <w:pPr>
              <w:rPr>
                <w:rFonts w:ascii="宋体" w:hAnsi="宋体"/>
                <w:sz w:val="24"/>
              </w:rPr>
            </w:pPr>
            <w:r>
              <w:rPr>
                <w:rFonts w:hint="eastAsia" w:ascii="宋体" w:hAnsi="宋体"/>
                <w:sz w:val="24"/>
              </w:rPr>
              <w:t>项目主管部门审核人：</w:t>
            </w:r>
          </w:p>
        </w:tc>
        <w:tc>
          <w:tcPr>
            <w:tcW w:w="3084" w:type="dxa"/>
            <w:gridSpan w:val="2"/>
          </w:tcPr>
          <w:p>
            <w:pPr>
              <w:rPr>
                <w:rFonts w:ascii="宋体" w:hAnsi="宋体"/>
                <w:szCs w:val="21"/>
              </w:rPr>
            </w:pPr>
          </w:p>
        </w:tc>
      </w:tr>
      <w:tr>
        <w:tblPrEx>
          <w:tblCellMar>
            <w:top w:w="0" w:type="dxa"/>
            <w:left w:w="108" w:type="dxa"/>
            <w:bottom w:w="0" w:type="dxa"/>
            <w:right w:w="108" w:type="dxa"/>
          </w:tblCellMar>
        </w:tblPrEx>
        <w:trPr>
          <w:trHeight w:val="1721" w:hRule="exact"/>
        </w:trPr>
        <w:tc>
          <w:tcPr>
            <w:tcW w:w="2238" w:type="dxa"/>
          </w:tcPr>
          <w:p>
            <w:pPr>
              <w:rPr>
                <w:rFonts w:ascii="宋体" w:hAnsi="宋体"/>
                <w:sz w:val="24"/>
              </w:rPr>
            </w:pPr>
            <w:r>
              <w:rPr>
                <w:rFonts w:hint="eastAsia" w:ascii="宋体" w:hAnsi="宋体"/>
                <w:sz w:val="24"/>
              </w:rPr>
              <w:t>合约部门经办人及电话:</w:t>
            </w:r>
          </w:p>
          <w:p>
            <w:pPr>
              <w:rPr>
                <w:rFonts w:ascii="宋体" w:hAnsi="宋体"/>
                <w:sz w:val="24"/>
              </w:rPr>
            </w:pPr>
          </w:p>
          <w:p>
            <w:pPr>
              <w:rPr>
                <w:rFonts w:ascii="宋体" w:hAnsi="宋体"/>
                <w:sz w:val="24"/>
              </w:rPr>
            </w:pPr>
          </w:p>
        </w:tc>
        <w:tc>
          <w:tcPr>
            <w:tcW w:w="2779" w:type="dxa"/>
            <w:gridSpan w:val="3"/>
          </w:tcPr>
          <w:p>
            <w:pPr>
              <w:rPr>
                <w:rFonts w:ascii="宋体" w:hAnsi="宋体"/>
                <w:szCs w:val="21"/>
              </w:rPr>
            </w:pPr>
          </w:p>
        </w:tc>
        <w:tc>
          <w:tcPr>
            <w:tcW w:w="2072" w:type="dxa"/>
          </w:tcPr>
          <w:p>
            <w:pPr>
              <w:rPr>
                <w:rFonts w:ascii="宋体" w:hAnsi="宋体"/>
                <w:sz w:val="24"/>
              </w:rPr>
            </w:pPr>
            <w:r>
              <w:rPr>
                <w:rFonts w:hint="eastAsia" w:ascii="宋体" w:hAnsi="宋体"/>
                <w:sz w:val="24"/>
              </w:rPr>
              <w:t>合约部门审核人：</w:t>
            </w:r>
          </w:p>
        </w:tc>
        <w:tc>
          <w:tcPr>
            <w:tcW w:w="3084" w:type="dxa"/>
            <w:gridSpan w:val="2"/>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tc>
      </w:tr>
      <w:tr>
        <w:tblPrEx>
          <w:tblCellMar>
            <w:top w:w="0" w:type="dxa"/>
            <w:left w:w="108" w:type="dxa"/>
            <w:bottom w:w="0" w:type="dxa"/>
            <w:right w:w="108" w:type="dxa"/>
          </w:tblCellMar>
        </w:tblPrEx>
        <w:trPr>
          <w:gridAfter w:val="1"/>
          <w:wAfter w:w="2238" w:type="dxa"/>
          <w:trHeight w:val="66" w:hRule="exact"/>
        </w:trPr>
        <w:tc>
          <w:tcPr>
            <w:tcW w:w="2779" w:type="dxa"/>
            <w:gridSpan w:val="2"/>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3"/>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776"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乙方</w:t>
            </w:r>
            <w:r>
              <w:rPr>
                <w:rFonts w:ascii="宋体" w:hAnsi="宋体"/>
                <w:b/>
                <w:sz w:val="24"/>
                <w:szCs w:val="24"/>
              </w:rPr>
              <w:t>(</w:t>
            </w:r>
            <w:r>
              <w:rPr>
                <w:rFonts w:hint="eastAsia" w:ascii="宋体" w:hAnsi="宋体"/>
                <w:b/>
                <w:sz w:val="24"/>
                <w:szCs w:val="24"/>
              </w:rPr>
              <w:t>盖</w:t>
            </w:r>
            <w:r>
              <w:rPr>
                <w:rFonts w:ascii="宋体" w:hAnsi="宋体"/>
                <w:b/>
                <w:sz w:val="24"/>
                <w:szCs w:val="24"/>
              </w:rPr>
              <w:t>章)：</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b/>
                <w:sz w:val="24"/>
                <w:szCs w:val="24"/>
              </w:rPr>
            </w:pPr>
            <w:r>
              <w:rPr>
                <w:rFonts w:ascii="宋体" w:hAnsi="宋体"/>
                <w:b/>
                <w:sz w:val="24"/>
                <w:szCs w:val="24"/>
              </w:rPr>
              <w:t>法定代表人</w:t>
            </w:r>
            <w:r>
              <w:rPr>
                <w:rFonts w:hint="eastAsia" w:ascii="宋体" w:hAnsi="宋体"/>
                <w:b/>
                <w:sz w:val="24"/>
                <w:szCs w:val="24"/>
              </w:rPr>
              <w:t>或授权代表</w:t>
            </w:r>
            <w:r>
              <w:rPr>
                <w:rFonts w:ascii="宋体" w:hAnsi="宋体"/>
                <w:b/>
                <w:sz w:val="24"/>
                <w:szCs w:val="24"/>
              </w:rPr>
              <w:t>：</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709"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住    所：</w:t>
            </w:r>
          </w:p>
        </w:tc>
        <w:tc>
          <w:tcPr>
            <w:tcW w:w="2779" w:type="dxa"/>
            <w:gridSpan w:val="3"/>
          </w:tcPr>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8"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电    话：</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传    真：</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1067"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开户银行：</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开户全名：</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56" w:hRule="exact"/>
        </w:trPr>
        <w:tc>
          <w:tcPr>
            <w:tcW w:w="2238" w:type="dxa"/>
          </w:tcPr>
          <w:p>
            <w:pPr>
              <w:adjustRightInd w:val="0"/>
              <w:snapToGrid w:val="0"/>
              <w:spacing w:line="360" w:lineRule="auto"/>
              <w:rPr>
                <w:rFonts w:ascii="宋体" w:hAnsi="宋体"/>
                <w:sz w:val="24"/>
                <w:szCs w:val="24"/>
              </w:rPr>
            </w:pPr>
            <w:r>
              <w:rPr>
                <w:rFonts w:ascii="宋体" w:hAnsi="宋体"/>
                <w:sz w:val="24"/>
                <w:szCs w:val="24"/>
              </w:rPr>
              <w:t>账    号</w:t>
            </w:r>
            <w:r>
              <w:rPr>
                <w:rFonts w:hint="eastAsia" w:ascii="宋体" w:hAnsi="宋体"/>
                <w:sz w:val="24"/>
                <w:szCs w:val="24"/>
              </w:rPr>
              <w:t>：</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ascii="宋体" w:hAnsi="宋体"/>
                <w:sz w:val="24"/>
                <w:szCs w:val="24"/>
              </w:rPr>
              <w:t>邮政编码：</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2" w:hRule="exact"/>
        </w:trPr>
        <w:tc>
          <w:tcPr>
            <w:tcW w:w="2238" w:type="dxa"/>
          </w:tcPr>
          <w:p>
            <w:pPr>
              <w:adjustRightInd w:val="0"/>
              <w:snapToGrid w:val="0"/>
              <w:spacing w:line="360" w:lineRule="auto"/>
              <w:rPr>
                <w:rFonts w:ascii="宋体" w:hAnsi="宋体"/>
                <w:sz w:val="24"/>
                <w:szCs w:val="24"/>
              </w:rPr>
            </w:pPr>
            <w:r>
              <w:rPr>
                <w:rFonts w:hint="eastAsia" w:ascii="宋体" w:hAnsi="宋体"/>
                <w:sz w:val="24"/>
                <w:szCs w:val="24"/>
              </w:rPr>
              <w:t>乙方经办人：</w:t>
            </w:r>
          </w:p>
        </w:tc>
        <w:tc>
          <w:tcPr>
            <w:tcW w:w="2779" w:type="dxa"/>
            <w:gridSpan w:val="3"/>
          </w:tcPr>
          <w:p>
            <w:pPr>
              <w:adjustRightInd w:val="0"/>
              <w:snapToGrid w:val="0"/>
              <w:spacing w:line="360" w:lineRule="auto"/>
              <w:rPr>
                <w:rFonts w:ascii="宋体" w:hAnsi="宋体"/>
                <w:sz w:val="24"/>
                <w:szCs w:val="24"/>
              </w:rPr>
            </w:pPr>
          </w:p>
        </w:tc>
        <w:tc>
          <w:tcPr>
            <w:tcW w:w="2072" w:type="dxa"/>
          </w:tcPr>
          <w:p>
            <w:pPr>
              <w:adjustRightInd w:val="0"/>
              <w:snapToGrid w:val="0"/>
              <w:spacing w:line="360" w:lineRule="auto"/>
              <w:rPr>
                <w:rFonts w:ascii="宋体" w:hAnsi="宋体"/>
                <w:sz w:val="24"/>
                <w:szCs w:val="24"/>
              </w:rPr>
            </w:pPr>
            <w:r>
              <w:rPr>
                <w:rFonts w:hint="eastAsia" w:ascii="宋体" w:hAnsi="宋体"/>
                <w:sz w:val="24"/>
                <w:szCs w:val="24"/>
              </w:rPr>
              <w:t>乙方经办人电话：</w:t>
            </w: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70"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合同签署地点：</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682" w:hRule="exact"/>
        </w:trPr>
        <w:tc>
          <w:tcPr>
            <w:tcW w:w="2238" w:type="dxa"/>
          </w:tcPr>
          <w:p>
            <w:pPr>
              <w:adjustRightInd w:val="0"/>
              <w:snapToGrid w:val="0"/>
              <w:spacing w:line="360" w:lineRule="auto"/>
              <w:rPr>
                <w:rFonts w:ascii="宋体" w:hAnsi="宋体"/>
                <w:b/>
                <w:sz w:val="24"/>
                <w:szCs w:val="24"/>
              </w:rPr>
            </w:pPr>
            <w:r>
              <w:rPr>
                <w:rFonts w:hint="eastAsia" w:ascii="宋体" w:hAnsi="宋体"/>
                <w:b/>
                <w:sz w:val="24"/>
                <w:szCs w:val="24"/>
              </w:rPr>
              <w:t>时      间：</w:t>
            </w:r>
          </w:p>
        </w:tc>
        <w:tc>
          <w:tcPr>
            <w:tcW w:w="2779" w:type="dxa"/>
            <w:gridSpan w:val="3"/>
          </w:tcPr>
          <w:p>
            <w:pPr>
              <w:adjustRightInd w:val="0"/>
              <w:snapToGrid w:val="0"/>
              <w:spacing w:line="360" w:lineRule="auto"/>
              <w:rPr>
                <w:rFonts w:ascii="宋体" w:hAnsi="宋体"/>
                <w:b/>
                <w:sz w:val="24"/>
                <w:szCs w:val="24"/>
              </w:rPr>
            </w:pPr>
          </w:p>
        </w:tc>
        <w:tc>
          <w:tcPr>
            <w:tcW w:w="2072" w:type="dxa"/>
          </w:tcPr>
          <w:p>
            <w:pPr>
              <w:adjustRightInd w:val="0"/>
              <w:snapToGrid w:val="0"/>
              <w:spacing w:line="360" w:lineRule="auto"/>
              <w:rPr>
                <w:rFonts w:ascii="宋体" w:hAnsi="宋体"/>
                <w:sz w:val="24"/>
                <w:szCs w:val="24"/>
              </w:rPr>
            </w:pPr>
          </w:p>
        </w:tc>
        <w:tc>
          <w:tcPr>
            <w:tcW w:w="3084" w:type="dxa"/>
            <w:gridSpan w:val="2"/>
          </w:tcPr>
          <w:p>
            <w:pPr>
              <w:adjustRightInd w:val="0"/>
              <w:snapToGrid w:val="0"/>
              <w:spacing w:line="360" w:lineRule="auto"/>
              <w:rPr>
                <w:rFonts w:ascii="宋体" w:hAnsi="宋体"/>
                <w:sz w:val="24"/>
                <w:szCs w:val="24"/>
              </w:rPr>
            </w:pPr>
          </w:p>
        </w:tc>
      </w:tr>
    </w:tbl>
    <w:p>
      <w:pPr>
        <w:pStyle w:val="2"/>
        <w:ind w:firstLine="400"/>
      </w:pPr>
    </w:p>
    <w:p>
      <w:pPr>
        <w:widowControl/>
        <w:jc w:val="left"/>
        <w:rPr>
          <w:rFonts w:ascii="宋体" w:hAnsi="宋体"/>
          <w:b/>
          <w:color w:val="0D0D0D" w:themeColor="text1" w:themeTint="F2"/>
          <w:sz w:val="22"/>
          <w:szCs w:val="22"/>
          <w14:textFill>
            <w14:solidFill>
              <w14:schemeClr w14:val="tx1">
                <w14:lumMod w14:val="95000"/>
                <w14:lumOff w14:val="5000"/>
              </w14:schemeClr>
            </w14:solidFill>
          </w14:textFill>
        </w:rPr>
      </w:pPr>
      <w:r>
        <w:rPr>
          <w:rFonts w:ascii="宋体" w:hAnsi="宋体"/>
          <w:b/>
          <w:color w:val="0D0D0D" w:themeColor="text1" w:themeTint="F2"/>
          <w:sz w:val="22"/>
          <w:szCs w:val="22"/>
          <w14:textFill>
            <w14:solidFill>
              <w14:schemeClr w14:val="tx1">
                <w14:lumMod w14:val="95000"/>
                <w14:lumOff w14:val="5000"/>
              </w14:schemeClr>
            </w14:solidFill>
          </w14:textFill>
        </w:rPr>
        <w:br w:type="page"/>
      </w:r>
    </w:p>
    <w:p>
      <w:pPr>
        <w:rPr>
          <w:rFonts w:ascii="宋体" w:hAnsi="宋体"/>
          <w:b/>
          <w:color w:val="0D0D0D" w:themeColor="text1" w:themeTint="F2"/>
          <w:sz w:val="22"/>
          <w:szCs w:val="22"/>
          <w14:textFill>
            <w14:solidFill>
              <w14:schemeClr w14:val="tx1">
                <w14:lumMod w14:val="95000"/>
                <w14:lumOff w14:val="5000"/>
              </w14:schemeClr>
            </w14:solidFill>
          </w14:textFill>
        </w:rPr>
      </w:pPr>
      <w:r>
        <w:rPr>
          <w:rFonts w:hint="eastAsia" w:ascii="宋体" w:hAnsi="宋体"/>
          <w:b/>
          <w:color w:val="0D0D0D" w:themeColor="text1" w:themeTint="F2"/>
          <w:sz w:val="22"/>
          <w:szCs w:val="22"/>
          <w14:textFill>
            <w14:solidFill>
              <w14:schemeClr w14:val="tx1">
                <w14:lumMod w14:val="95000"/>
                <w14:lumOff w14:val="5000"/>
              </w14:schemeClr>
            </w14:solidFill>
          </w14:textFill>
        </w:rPr>
        <w:t>合同附件1：《服务清单价格明细表》</w:t>
      </w:r>
    </w:p>
    <w:p>
      <w:pPr>
        <w:rPr>
          <w:rFonts w:ascii="宋体" w:hAnsi="宋体"/>
          <w:b/>
          <w:color w:val="0D0D0D" w:themeColor="text1" w:themeTint="F2"/>
          <w:sz w:val="22"/>
          <w:szCs w:val="22"/>
          <w14:textFill>
            <w14:solidFill>
              <w14:schemeClr w14:val="tx1">
                <w14:lumMod w14:val="95000"/>
                <w14:lumOff w14:val="5000"/>
              </w14:schemeClr>
            </w14:solidFill>
          </w14:textFill>
        </w:rPr>
      </w:pPr>
      <w:r>
        <w:rPr>
          <w:rFonts w:hint="eastAsia" w:ascii="宋体" w:hAnsi="宋体"/>
          <w:b/>
          <w:color w:val="0D0D0D" w:themeColor="text1" w:themeTint="F2"/>
          <w:sz w:val="22"/>
          <w:szCs w:val="22"/>
          <w14:textFill>
            <w14:solidFill>
              <w14:schemeClr w14:val="tx1">
                <w14:lumMod w14:val="95000"/>
                <w14:lumOff w14:val="5000"/>
              </w14:schemeClr>
            </w14:solidFill>
          </w14:textFill>
        </w:rPr>
        <w:t>合同附件2：《合同执行阶段履约评价表》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合同执行阶段履约评价表</w:t>
      </w:r>
    </w:p>
    <w:tbl>
      <w:tblPr>
        <w:tblStyle w:val="47"/>
        <w:tblW w:w="10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435"/>
        <w:gridCol w:w="1110"/>
        <w:gridCol w:w="701"/>
        <w:gridCol w:w="1480"/>
        <w:gridCol w:w="5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合同单位</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服务项目</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合同名称</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合同编号</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服务期限</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w:t>
            </w:r>
            <w:r>
              <w:rPr>
                <w:rFonts w:cs="宋体" w:asciiTheme="minorEastAsia" w:hAnsiTheme="minorEastAsia" w:eastAsiaTheme="minorEastAsia"/>
                <w:kern w:val="0"/>
                <w:sz w:val="16"/>
                <w:szCs w:val="16"/>
              </w:rPr>
              <w:t xml:space="preserve"> </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评价类型</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xml:space="preserve">□单场活动/包装/推广服务履约评价 </w:t>
            </w:r>
            <w:r>
              <w:rPr>
                <w:rFonts w:cs="宋体" w:asciiTheme="minorEastAsia" w:hAnsiTheme="minorEastAsia" w:eastAsiaTheme="minorEastAsia"/>
                <w:kern w:val="0"/>
                <w:sz w:val="16"/>
                <w:szCs w:val="16"/>
              </w:rPr>
              <w:t xml:space="preserve">  </w:t>
            </w:r>
          </w:p>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 xml:space="preserve">□月度履约评价 </w:t>
            </w:r>
            <w:r>
              <w:rPr>
                <w:rFonts w:cs="宋体" w:asciiTheme="minorEastAsia" w:hAnsiTheme="minorEastAsia" w:eastAsiaTheme="minorEastAsia"/>
                <w:kern w:val="0"/>
                <w:sz w:val="16"/>
                <w:szCs w:val="16"/>
              </w:rPr>
              <w:t xml:space="preserve">     </w:t>
            </w:r>
            <w:r>
              <w:rPr>
                <w:rFonts w:hint="eastAsia" w:cs="宋体" w:asciiTheme="minorEastAsia" w:hAnsiTheme="minorEastAsia" w:eastAsiaTheme="minorEastAsia"/>
                <w:kern w:val="0"/>
                <w:sz w:val="16"/>
                <w:szCs w:val="16"/>
              </w:rPr>
              <w:t>□ 年度履约评价      □合同完毕履约评价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评价期限</w:t>
            </w:r>
          </w:p>
        </w:tc>
        <w:tc>
          <w:tcPr>
            <w:tcW w:w="22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评价具体活动/包装/推广事项</w:t>
            </w: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521" w:type="dxa"/>
            <w:gridSpan w:val="6"/>
            <w:tcBorders>
              <w:top w:val="single" w:color="auto" w:sz="4" w:space="0"/>
              <w:left w:val="single" w:color="auto" w:sz="4" w:space="0"/>
              <w:bottom w:val="single" w:color="auto" w:sz="4" w:space="0"/>
              <w:right w:val="single" w:color="auto" w:sz="4" w:space="0"/>
            </w:tcBorders>
            <w:vAlign w:val="center"/>
          </w:tcPr>
          <w:p>
            <w:pPr>
              <w:widowControl/>
              <w:jc w:val="left"/>
              <w:rPr>
                <w:sz w:val="16"/>
                <w:szCs w:val="16"/>
              </w:rPr>
            </w:pPr>
            <w:r>
              <w:rPr>
                <w:rFonts w:hint="eastAsia" w:cs="宋体" w:asciiTheme="minorEastAsia" w:hAnsiTheme="minorEastAsia" w:eastAsiaTheme="minorEastAsia"/>
                <w:b/>
                <w:bCs/>
                <w:kern w:val="0"/>
                <w:sz w:val="16"/>
                <w:szCs w:val="16"/>
              </w:rPr>
              <w:t>得分说明：</w:t>
            </w:r>
            <w:r>
              <w:rPr>
                <w:rFonts w:hint="eastAsia"/>
                <w:sz w:val="16"/>
                <w:szCs w:val="16"/>
              </w:rPr>
              <w:t>甲方有权每场开放活动/每两场拓客/每两场暖场活动/包装/推广服务后安排一次履约评价，若上述服务举办期较为密集，则每月安排一次履约评价，最后以甲方实际情况安排为准，如乙方连续两次履约评价评分分值均在80分以下，甲方可无条件单方解除该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类别</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分值</w:t>
            </w: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评分</w:t>
            </w: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得分说明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方案特色</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（20分）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出品亮点出彩有创新性方案或技术建议，符合项目调性，具备市场特色</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20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17-20：方案或技术有亮点，非常出彩，非常契合项目调性气质</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13-16：方案或技术有一定的特色，能够符合项目要求</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9-12：方案或技术一般，但能够进行执行</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5-8：方案或技术较弱，需要多次协调更改完成</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0-4：方案或技术较差，不具备可执行性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出品质量</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（50分）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实际效果与提交甲方方案或甲方要求吻合度高</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41-50：实际效果与提交甲方方案完全吻合、甚至超越方案</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31-40：实际效果与提交甲方方案基本吻合，差异在可接受范围</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21-30：实际效果与提交甲方方案吻合度一般，个别差距较大</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11-20：实际效果与提交甲方方案半数以上项目不吻合</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0-10：实际效果与提交甲方方案基本不吻合，给甲方造成实际性损失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团队服务</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（15分）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配合度：相应沟通机制及反馈机制，对甲方需求的理解、配合、调整</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9-10：保持主动、积极配合，沟通、理解能力强，热情服务态度</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7-8：对于需求能尽量满足，能保证活动顺利进行，态度良好</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5-6：配合度一般，沟通有1-2个障碍点，态度一般</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3-4：经常较难沟通协调，沟通不顺畅，服务不积极</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0-2：沟通困难，服务态度差，甚至出现电话关机、无人处理事务的恶劣情况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b/>
                <w:bCs/>
                <w:kern w:val="0"/>
                <w:sz w:val="16"/>
                <w:szCs w:val="16"/>
              </w:rPr>
            </w:pP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服务稳定：核心成员的稳定性</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5：团队稳定性高，沟通主动积极及时顺畅</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4：团队稳定性较高，保持持续顺畅沟通</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3：团队稳定性一般，但能够保证正常对接</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2：团队变更，工作交接，勉强能够推进</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0-1：团队变更频繁，无交接，工作开展不顺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计划管理</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（10分）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工作按照计划按节点提交成果的及时</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10</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9-10：完全按计划进行，过程中每个节点成果均按时提交</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7-8：基本按计划进行，过程中每个节点成果基本按时提交，延误在可接受范围</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5-6：大多数按照计划进行，个别重大节点延误给甲方工作顺利开展造成困扰</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3-4：基本未按计划进行，出现多个重大节点延误，给甲方工作顺利开展造成较大的困扰</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0-2：延迟完成情况较为严重，并给甲方造成实质性的损失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117"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合约管理</w:t>
            </w:r>
            <w:r>
              <w:rPr>
                <w:rFonts w:hint="eastAsia" w:cs="宋体" w:asciiTheme="minorEastAsia" w:hAnsiTheme="minorEastAsia" w:eastAsiaTheme="minorEastAsia"/>
                <w:b/>
                <w:bCs/>
                <w:kern w:val="0"/>
                <w:sz w:val="16"/>
                <w:szCs w:val="16"/>
              </w:rPr>
              <w:br w:type="textWrapping"/>
            </w:r>
            <w:r>
              <w:rPr>
                <w:rFonts w:hint="eastAsia" w:cs="宋体" w:asciiTheme="minorEastAsia" w:hAnsiTheme="minorEastAsia" w:eastAsiaTheme="minorEastAsia"/>
                <w:b/>
                <w:bCs/>
                <w:kern w:val="0"/>
                <w:sz w:val="16"/>
                <w:szCs w:val="16"/>
              </w:rPr>
              <w:t>（5分）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管理情况：严格按照合约完成工作成果，配合付款</w:t>
            </w:r>
          </w:p>
        </w:tc>
        <w:tc>
          <w:tcPr>
            <w:tcW w:w="701"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vAlign w:val="center"/>
          </w:tcPr>
          <w:p>
            <w:pPr>
              <w:widowControl/>
              <w:jc w:val="left"/>
              <w:rPr>
                <w:rFonts w:cs="宋体" w:asciiTheme="minorEastAsia" w:hAnsiTheme="minorEastAsia" w:eastAsiaTheme="minorEastAsia"/>
                <w:kern w:val="0"/>
                <w:sz w:val="16"/>
                <w:szCs w:val="16"/>
              </w:rPr>
            </w:pPr>
            <w:r>
              <w:rPr>
                <w:rFonts w:hint="eastAsia" w:cs="宋体" w:asciiTheme="minorEastAsia" w:hAnsiTheme="minorEastAsia" w:eastAsiaTheme="minorEastAsia"/>
                <w:kern w:val="0"/>
                <w:sz w:val="16"/>
                <w:szCs w:val="16"/>
              </w:rPr>
              <w:t>5：严格按照合约出色完成工作成果，积极配合付款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4：基本按照合约完成工作成果，比较配合付款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3：能按照合约完成工作成果，能配合付款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2：工作成果与合约有偏差，需要不断督促才能配合付款</w:t>
            </w:r>
            <w:r>
              <w:rPr>
                <w:rFonts w:hint="eastAsia" w:cs="宋体" w:asciiTheme="minorEastAsia" w:hAnsiTheme="minorEastAsia" w:eastAsiaTheme="minorEastAsia"/>
                <w:kern w:val="0"/>
                <w:sz w:val="16"/>
                <w:szCs w:val="16"/>
              </w:rPr>
              <w:br w:type="textWrapping"/>
            </w:r>
            <w:r>
              <w:rPr>
                <w:rFonts w:hint="eastAsia" w:cs="宋体" w:asciiTheme="minorEastAsia" w:hAnsiTheme="minorEastAsia" w:eastAsiaTheme="minorEastAsia"/>
                <w:kern w:val="0"/>
                <w:sz w:val="16"/>
                <w:szCs w:val="16"/>
              </w:rPr>
              <w:t>0-1：工作成果与合约相违背，不配合付款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得分合计</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552" w:type="dxa"/>
            <w:gridSpan w:val="2"/>
            <w:vMerge w:val="restart"/>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加减分项</w:t>
            </w:r>
          </w:p>
        </w:tc>
        <w:tc>
          <w:tcPr>
            <w:tcW w:w="1109" w:type="dxa"/>
            <w:tcBorders>
              <w:top w:val="single" w:color="auto" w:sz="4" w:space="0"/>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严重失误</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因出品把控失误造成甲方名誉损失或财务损失，每违反1次扣2-3分，最多不超过5分。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552" w:type="dxa"/>
            <w:gridSpan w:val="2"/>
            <w:vMerge w:val="continue"/>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p>
        </w:tc>
        <w:tc>
          <w:tcPr>
            <w:tcW w:w="1109" w:type="dxa"/>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资源整合</w:t>
            </w:r>
          </w:p>
        </w:tc>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5</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cs="宋体" w:asciiTheme="minorEastAsia" w:hAnsiTheme="minorEastAsia" w:eastAsiaTheme="minorEastAsia"/>
                <w:b/>
                <w:bCs/>
                <w:kern w:val="0"/>
                <w:sz w:val="16"/>
                <w:szCs w:val="16"/>
              </w:rPr>
            </w:pPr>
            <w:r>
              <w:rPr>
                <w:rFonts w:hint="eastAsia" w:cs="宋体" w:asciiTheme="minorEastAsia" w:hAnsiTheme="minorEastAsia" w:eastAsiaTheme="minorEastAsia"/>
                <w:kern w:val="0"/>
                <w:sz w:val="16"/>
                <w:szCs w:val="16"/>
              </w:rPr>
              <w:t>调动公司资源协助活动开展及项目销售，酌情每次加分1-2分，依次类推，最多不超过5分。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r>
              <w:rPr>
                <w:rFonts w:hint="eastAsia" w:cs="宋体" w:asciiTheme="minorEastAsia" w:hAnsiTheme="minorEastAsia" w:eastAsiaTheme="minorEastAsia"/>
                <w:b/>
                <w:bCs/>
                <w:kern w:val="0"/>
                <w:sz w:val="16"/>
                <w:szCs w:val="16"/>
              </w:rPr>
              <w:t>得分汇总</w:t>
            </w:r>
          </w:p>
        </w:tc>
        <w:tc>
          <w:tcPr>
            <w:tcW w:w="70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148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c>
          <w:tcPr>
            <w:tcW w:w="567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整体评价</w:t>
            </w:r>
          </w:p>
        </w:tc>
        <w:tc>
          <w:tcPr>
            <w:tcW w:w="78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2662" w:type="dxa"/>
            <w:gridSpan w:val="3"/>
            <w:tcBorders>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b/>
                <w:bCs/>
                <w:kern w:val="0"/>
                <w:sz w:val="16"/>
                <w:szCs w:val="16"/>
              </w:rPr>
            </w:pPr>
            <w:r>
              <w:rPr>
                <w:rFonts w:hint="eastAsia" w:cs="宋体" w:asciiTheme="minorEastAsia" w:hAnsiTheme="minorEastAsia" w:eastAsiaTheme="minorEastAsia"/>
                <w:b/>
                <w:bCs/>
                <w:kern w:val="0"/>
                <w:sz w:val="16"/>
                <w:szCs w:val="16"/>
              </w:rPr>
              <w:t>评价人（签字）</w:t>
            </w:r>
          </w:p>
        </w:tc>
        <w:tc>
          <w:tcPr>
            <w:tcW w:w="78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eastAsiaTheme="minorEastAsia"/>
                <w:kern w:val="0"/>
                <w:sz w:val="16"/>
                <w:szCs w:val="16"/>
              </w:rPr>
            </w:pPr>
          </w:p>
        </w:tc>
      </w:tr>
    </w:tbl>
    <w:p>
      <w:pPr>
        <w:widowControl/>
        <w:spacing w:line="480" w:lineRule="atLeast"/>
        <w:jc w:val="left"/>
        <w:rPr>
          <w:rFonts w:ascii="宋体" w:hAnsi="宋体"/>
          <w:b/>
          <w:color w:val="0D0D0D" w:themeColor="text1" w:themeTint="F2"/>
          <w:sz w:val="44"/>
          <w:szCs w:val="44"/>
          <w14:textFill>
            <w14:solidFill>
              <w14:schemeClr w14:val="tx1">
                <w14:lumMod w14:val="95000"/>
                <w14:lumOff w14:val="5000"/>
              </w14:schemeClr>
            </w14:solidFill>
          </w14:textFill>
        </w:rPr>
      </w:pPr>
    </w:p>
    <w:sectPr>
      <w:pgSz w:w="11907" w:h="16840"/>
      <w:pgMar w:top="1440" w:right="1134"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Batang">
    <w:altName w:val="Malgun Gothic"/>
    <w:panose1 w:val="02030600000101010101"/>
    <w:charset w:val="81"/>
    <w:family w:val="roman"/>
    <w:pitch w:val="default"/>
    <w:sig w:usb0="00000000" w:usb1="00000000" w:usb2="00000030" w:usb3="00000000" w:csb0="0008009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left" w:pos="5134"/>
        <w:tab w:val="clear" w:pos="4153"/>
        <w:tab w:val="clear" w:pos="8306"/>
      </w:tabs>
      <w:rPr>
        <w:sz w:val="11"/>
        <w:szCs w:val="11"/>
      </w:rPr>
    </w:pPr>
    <w:r>
      <w:rPr>
        <w:sz w:val="11"/>
        <w:szCs w:val="11"/>
      </w:rPr>
      <mc:AlternateContent>
        <mc:Choice Requires="wps">
          <w:drawing>
            <wp:anchor distT="0" distB="0" distL="114300" distR="114300" simplePos="0" relativeHeight="251659264" behindDoc="0" locked="0" layoutInCell="1" allowOverlap="1">
              <wp:simplePos x="0" y="0"/>
              <wp:positionH relativeFrom="margin">
                <wp:posOffset>2905125</wp:posOffset>
              </wp:positionH>
              <wp:positionV relativeFrom="paragraph">
                <wp:posOffset>635</wp:posOffset>
              </wp:positionV>
              <wp:extent cx="247650" cy="200025"/>
              <wp:effectExtent l="0" t="0" r="0" b="9525"/>
              <wp:wrapNone/>
              <wp:docPr id="2" name="文本框 2"/>
              <wp:cNvGraphicFramePr/>
              <a:graphic xmlns:a="http://schemas.openxmlformats.org/drawingml/2006/main">
                <a:graphicData uri="http://schemas.microsoft.com/office/word/2010/wordprocessingShape">
                  <wps:wsp>
                    <wps:cNvSpPr txBox="1"/>
                    <wps:spPr>
                      <a:xfrm>
                        <a:off x="0" y="0"/>
                        <a:ext cx="247650" cy="200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8.75pt;margin-top:0.05pt;height:15.75pt;width:19.5pt;mso-position-horizontal-relative:margin;z-index:251659264;mso-width-relative:page;mso-height-relative:page;" filled="f" stroked="f" coordsize="21600,21600" o:gfxdata="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MBVADUAAAABwEAAA8AAAAAAAAAAQAg&#10;AAAAIgAAAGRycy9kb3ducmV2LnhtbFBLAQIUABQAAAAIAIdO4kCkQR67EgIAAAcEAAAOAAAAAAAA&#10;AAEAIAAAACMBAABkcnMvZTJvRG9jLnhtbFBLBQYAAAAABgAGAFkBAACnBQAAAAA=&#10;">
              <v:fill on="f" focussize="0,0"/>
              <v:stroke on="f" weight="0.5pt"/>
              <v:imagedata o:title=""/>
              <o:lock v:ext="edit" aspectratio="f"/>
              <v:textbox inset="0mm,0mm,0mm,0mm">
                <w:txbxContent>
                  <w:p>
                    <w:pPr>
                      <w:pStyle w:val="30"/>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76A0F"/>
    <w:multiLevelType w:val="multilevel"/>
    <w:tmpl w:val="12D76A0F"/>
    <w:lvl w:ilvl="0" w:tentative="0">
      <w:start w:val="1"/>
      <w:numFmt w:val="decimal"/>
      <w:lvlText w:val="（%1)"/>
      <w:lvlJc w:val="left"/>
      <w:pPr>
        <w:ind w:left="1060" w:hanging="420"/>
      </w:pPr>
      <w:rPr>
        <w:rFonts w:hint="eastAsia"/>
        <w:b w:val="0"/>
        <w:i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A6D706B"/>
    <w:multiLevelType w:val="multilevel"/>
    <w:tmpl w:val="1A6D706B"/>
    <w:lvl w:ilvl="0" w:tentative="0">
      <w:start w:val="1"/>
      <w:numFmt w:val="decimal"/>
      <w:lvlText w:val="(%1)"/>
      <w:lvlJc w:val="left"/>
      <w:pPr>
        <w:ind w:left="987" w:hanging="420"/>
      </w:pPr>
      <w:rPr>
        <w:rFonts w:hint="eastAsia"/>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1CC5723C"/>
    <w:multiLevelType w:val="multilevel"/>
    <w:tmpl w:val="1CC572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3D0223B"/>
    <w:multiLevelType w:val="multilevel"/>
    <w:tmpl w:val="23D0223B"/>
    <w:lvl w:ilvl="0" w:tentative="0">
      <w:start w:val="1"/>
      <w:numFmt w:val="bullet"/>
      <w:lvlText w:val=""/>
      <w:lvlJc w:val="left"/>
      <w:pPr>
        <w:ind w:left="420"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C650FB"/>
    <w:multiLevelType w:val="multilevel"/>
    <w:tmpl w:val="43C650FB"/>
    <w:lvl w:ilvl="0" w:tentative="0">
      <w:start w:val="1"/>
      <w:numFmt w:val="chineseCountingThousand"/>
      <w:pStyle w:val="193"/>
      <w:lvlText w:val="第%1条"/>
      <w:lvlJc w:val="left"/>
      <w:pPr>
        <w:tabs>
          <w:tab w:val="left" w:pos="851"/>
        </w:tabs>
        <w:ind w:left="851" w:hanging="851"/>
      </w:pPr>
      <w:rPr>
        <w:rFonts w:hint="eastAsia"/>
      </w:rPr>
    </w:lvl>
    <w:lvl w:ilvl="1" w:tentative="0">
      <w:start w:val="1"/>
      <w:numFmt w:val="decimal"/>
      <w:pStyle w:val="194"/>
      <w:isLgl/>
      <w:lvlText w:val="%1.%2"/>
      <w:lvlJc w:val="left"/>
      <w:pPr>
        <w:tabs>
          <w:tab w:val="left" w:pos="851"/>
        </w:tabs>
        <w:ind w:left="851" w:hanging="851"/>
      </w:pPr>
      <w:rPr>
        <w:rFonts w:hint="eastAsia"/>
      </w:rPr>
    </w:lvl>
    <w:lvl w:ilvl="2" w:tentative="0">
      <w:start w:val="1"/>
      <w:numFmt w:val="decimal"/>
      <w:pStyle w:val="196"/>
      <w:isLgl/>
      <w:lvlText w:val="%1.%2.%3"/>
      <w:lvlJc w:val="left"/>
      <w:pPr>
        <w:tabs>
          <w:tab w:val="left" w:pos="1985"/>
        </w:tabs>
        <w:ind w:left="1985" w:hanging="1134"/>
      </w:pPr>
      <w:rPr>
        <w:rFonts w:hint="eastAsia"/>
      </w:rPr>
    </w:lvl>
    <w:lvl w:ilvl="3" w:tentative="0">
      <w:start w:val="1"/>
      <w:numFmt w:val="decimal"/>
      <w:pStyle w:val="197"/>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474B5D61"/>
    <w:multiLevelType w:val="multilevel"/>
    <w:tmpl w:val="474B5D61"/>
    <w:lvl w:ilvl="0" w:tentative="0">
      <w:start w:val="1"/>
      <w:numFmt w:val="japaneseCounting"/>
      <w:lvlText w:val="（%1）"/>
      <w:lvlJc w:val="left"/>
      <w:pPr>
        <w:ind w:left="1004" w:hanging="720"/>
      </w:pPr>
      <w:rPr>
        <w:rFonts w:hint="default"/>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6">
    <w:nsid w:val="4EC35305"/>
    <w:multiLevelType w:val="multilevel"/>
    <w:tmpl w:val="4EC35305"/>
    <w:lvl w:ilvl="0" w:tentative="0">
      <w:start w:val="1"/>
      <w:numFmt w:val="chineseCountingThousand"/>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BC6359E"/>
    <w:multiLevelType w:val="multilevel"/>
    <w:tmpl w:val="7BC6359E"/>
    <w:lvl w:ilvl="0" w:tentative="0">
      <w:start w:val="1"/>
      <w:numFmt w:val="chineseCountingThousand"/>
      <w:lvlText w:val="(%1)"/>
      <w:lvlJc w:val="left"/>
    </w:lvl>
    <w:lvl w:ilvl="1" w:tentative="0">
      <w:start w:val="1"/>
      <w:numFmt w:val="lowerLetter"/>
      <w:lvlText w:val="%2)"/>
      <w:lvlJc w:val="left"/>
      <w:pPr>
        <w:ind w:left="1834" w:hanging="420"/>
      </w:pPr>
    </w:lvl>
    <w:lvl w:ilvl="2" w:tentative="0">
      <w:start w:val="1"/>
      <w:numFmt w:val="lowerRoman"/>
      <w:lvlText w:val="%3."/>
      <w:lvlJc w:val="right"/>
      <w:pPr>
        <w:ind w:left="2254" w:hanging="420"/>
      </w:pPr>
    </w:lvl>
    <w:lvl w:ilvl="3" w:tentative="0">
      <w:start w:val="1"/>
      <w:numFmt w:val="decimal"/>
      <w:lvlText w:val="%4."/>
      <w:lvlJc w:val="left"/>
      <w:pPr>
        <w:ind w:left="2674" w:hanging="420"/>
      </w:pPr>
    </w:lvl>
    <w:lvl w:ilvl="4" w:tentative="0">
      <w:start w:val="1"/>
      <w:numFmt w:val="lowerLetter"/>
      <w:lvlText w:val="%5)"/>
      <w:lvlJc w:val="left"/>
      <w:pPr>
        <w:ind w:left="3094" w:hanging="420"/>
      </w:pPr>
    </w:lvl>
    <w:lvl w:ilvl="5" w:tentative="0">
      <w:start w:val="1"/>
      <w:numFmt w:val="lowerRoman"/>
      <w:lvlText w:val="%6."/>
      <w:lvlJc w:val="right"/>
      <w:pPr>
        <w:ind w:left="3514" w:hanging="420"/>
      </w:pPr>
    </w:lvl>
    <w:lvl w:ilvl="6" w:tentative="0">
      <w:start w:val="1"/>
      <w:numFmt w:val="decimal"/>
      <w:lvlText w:val="%7."/>
      <w:lvlJc w:val="left"/>
      <w:pPr>
        <w:ind w:left="3934" w:hanging="420"/>
      </w:pPr>
    </w:lvl>
    <w:lvl w:ilvl="7" w:tentative="0">
      <w:start w:val="1"/>
      <w:numFmt w:val="lowerLetter"/>
      <w:lvlText w:val="%8)"/>
      <w:lvlJc w:val="left"/>
      <w:pPr>
        <w:ind w:left="4354" w:hanging="420"/>
      </w:pPr>
    </w:lvl>
    <w:lvl w:ilvl="8" w:tentative="0">
      <w:start w:val="1"/>
      <w:numFmt w:val="lowerRoman"/>
      <w:lvlText w:val="%9."/>
      <w:lvlJc w:val="right"/>
      <w:pPr>
        <w:ind w:left="4774" w:hanging="420"/>
      </w:pPr>
    </w:lvl>
  </w:abstractNum>
  <w:num w:numId="1">
    <w:abstractNumId w:val="4"/>
  </w:num>
  <w:num w:numId="2">
    <w:abstractNumId w:val="6"/>
  </w:num>
  <w:num w:numId="3">
    <w:abstractNumId w:val="7"/>
  </w:num>
  <w:num w:numId="4">
    <w:abstractNumId w:val="2"/>
  </w:num>
  <w:num w:numId="5">
    <w:abstractNumId w:val="3"/>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0C4D"/>
    <w:rsid w:val="00000CF8"/>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53"/>
    <w:rsid w:val="00017BB8"/>
    <w:rsid w:val="00017E21"/>
    <w:rsid w:val="00021C5F"/>
    <w:rsid w:val="00021C8F"/>
    <w:rsid w:val="00022CB3"/>
    <w:rsid w:val="00022CB7"/>
    <w:rsid w:val="00022D35"/>
    <w:rsid w:val="0002329A"/>
    <w:rsid w:val="00023532"/>
    <w:rsid w:val="00023DAA"/>
    <w:rsid w:val="00024201"/>
    <w:rsid w:val="00024ED4"/>
    <w:rsid w:val="00025A13"/>
    <w:rsid w:val="00026C31"/>
    <w:rsid w:val="0003016A"/>
    <w:rsid w:val="0003078C"/>
    <w:rsid w:val="00031140"/>
    <w:rsid w:val="00031520"/>
    <w:rsid w:val="00031AD3"/>
    <w:rsid w:val="00031F90"/>
    <w:rsid w:val="00031FA6"/>
    <w:rsid w:val="00032313"/>
    <w:rsid w:val="000335B0"/>
    <w:rsid w:val="0003476F"/>
    <w:rsid w:val="00034827"/>
    <w:rsid w:val="00036C9E"/>
    <w:rsid w:val="00036DA2"/>
    <w:rsid w:val="0003798F"/>
    <w:rsid w:val="0004034F"/>
    <w:rsid w:val="000407D0"/>
    <w:rsid w:val="00040F44"/>
    <w:rsid w:val="000417C4"/>
    <w:rsid w:val="00041D3F"/>
    <w:rsid w:val="00042339"/>
    <w:rsid w:val="00042862"/>
    <w:rsid w:val="000430D7"/>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16A"/>
    <w:rsid w:val="000572A6"/>
    <w:rsid w:val="00060899"/>
    <w:rsid w:val="0006342A"/>
    <w:rsid w:val="00063B0B"/>
    <w:rsid w:val="00063D2A"/>
    <w:rsid w:val="00063E9B"/>
    <w:rsid w:val="0006570D"/>
    <w:rsid w:val="00065BE8"/>
    <w:rsid w:val="000669AD"/>
    <w:rsid w:val="00066A53"/>
    <w:rsid w:val="000704E7"/>
    <w:rsid w:val="00070B06"/>
    <w:rsid w:val="00071D7C"/>
    <w:rsid w:val="000720B7"/>
    <w:rsid w:val="000720C0"/>
    <w:rsid w:val="0007307C"/>
    <w:rsid w:val="000733D7"/>
    <w:rsid w:val="0007358D"/>
    <w:rsid w:val="00073864"/>
    <w:rsid w:val="00073BB5"/>
    <w:rsid w:val="0007455E"/>
    <w:rsid w:val="00074BD9"/>
    <w:rsid w:val="00075C81"/>
    <w:rsid w:val="00075E3F"/>
    <w:rsid w:val="00077416"/>
    <w:rsid w:val="000807AA"/>
    <w:rsid w:val="000816C6"/>
    <w:rsid w:val="00081A71"/>
    <w:rsid w:val="0008246F"/>
    <w:rsid w:val="00083576"/>
    <w:rsid w:val="00084BFD"/>
    <w:rsid w:val="00084F0B"/>
    <w:rsid w:val="00084FA4"/>
    <w:rsid w:val="000851DC"/>
    <w:rsid w:val="000857A5"/>
    <w:rsid w:val="000864CD"/>
    <w:rsid w:val="00087AA0"/>
    <w:rsid w:val="00090C35"/>
    <w:rsid w:val="00095D27"/>
    <w:rsid w:val="00095D77"/>
    <w:rsid w:val="0009740B"/>
    <w:rsid w:val="000A0EE3"/>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A6B"/>
    <w:rsid w:val="000B3B11"/>
    <w:rsid w:val="000B3BF1"/>
    <w:rsid w:val="000B42C9"/>
    <w:rsid w:val="000B442B"/>
    <w:rsid w:val="000B4F29"/>
    <w:rsid w:val="000B620E"/>
    <w:rsid w:val="000B67D0"/>
    <w:rsid w:val="000B6CC8"/>
    <w:rsid w:val="000C017F"/>
    <w:rsid w:val="000C09E7"/>
    <w:rsid w:val="000C0A80"/>
    <w:rsid w:val="000C0AAA"/>
    <w:rsid w:val="000C139C"/>
    <w:rsid w:val="000C38A8"/>
    <w:rsid w:val="000C3D09"/>
    <w:rsid w:val="000C4F48"/>
    <w:rsid w:val="000C6905"/>
    <w:rsid w:val="000C700E"/>
    <w:rsid w:val="000C7D67"/>
    <w:rsid w:val="000D07C3"/>
    <w:rsid w:val="000D0D8C"/>
    <w:rsid w:val="000D0FC3"/>
    <w:rsid w:val="000D1685"/>
    <w:rsid w:val="000D375C"/>
    <w:rsid w:val="000D59D7"/>
    <w:rsid w:val="000D5EAA"/>
    <w:rsid w:val="000D643B"/>
    <w:rsid w:val="000D6DAC"/>
    <w:rsid w:val="000D6E6D"/>
    <w:rsid w:val="000D7BCF"/>
    <w:rsid w:val="000E1B23"/>
    <w:rsid w:val="000E1DAD"/>
    <w:rsid w:val="000E4F77"/>
    <w:rsid w:val="000E6685"/>
    <w:rsid w:val="000E6C4F"/>
    <w:rsid w:val="000E6D3B"/>
    <w:rsid w:val="000F017B"/>
    <w:rsid w:val="000F0468"/>
    <w:rsid w:val="000F0CAA"/>
    <w:rsid w:val="000F28E2"/>
    <w:rsid w:val="000F2AE4"/>
    <w:rsid w:val="000F3506"/>
    <w:rsid w:val="000F369C"/>
    <w:rsid w:val="000F3D10"/>
    <w:rsid w:val="000F4391"/>
    <w:rsid w:val="000F5282"/>
    <w:rsid w:val="000F6CE3"/>
    <w:rsid w:val="000F7A77"/>
    <w:rsid w:val="0010094D"/>
    <w:rsid w:val="00101081"/>
    <w:rsid w:val="00103672"/>
    <w:rsid w:val="00103A89"/>
    <w:rsid w:val="00104EE2"/>
    <w:rsid w:val="001052FD"/>
    <w:rsid w:val="00105671"/>
    <w:rsid w:val="00105D40"/>
    <w:rsid w:val="00106547"/>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6348"/>
    <w:rsid w:val="001270F1"/>
    <w:rsid w:val="0013072B"/>
    <w:rsid w:val="00130A97"/>
    <w:rsid w:val="001312B5"/>
    <w:rsid w:val="00131AD2"/>
    <w:rsid w:val="001326A3"/>
    <w:rsid w:val="00132B5D"/>
    <w:rsid w:val="001334CE"/>
    <w:rsid w:val="00134455"/>
    <w:rsid w:val="00135BBA"/>
    <w:rsid w:val="001362CA"/>
    <w:rsid w:val="00136DED"/>
    <w:rsid w:val="00137F90"/>
    <w:rsid w:val="001410ED"/>
    <w:rsid w:val="001420A9"/>
    <w:rsid w:val="001421CA"/>
    <w:rsid w:val="00142DCE"/>
    <w:rsid w:val="001434B3"/>
    <w:rsid w:val="001442F5"/>
    <w:rsid w:val="00144CD2"/>
    <w:rsid w:val="00144D84"/>
    <w:rsid w:val="00144E73"/>
    <w:rsid w:val="00145BCD"/>
    <w:rsid w:val="001469E8"/>
    <w:rsid w:val="00147929"/>
    <w:rsid w:val="00150B16"/>
    <w:rsid w:val="0015142F"/>
    <w:rsid w:val="00152809"/>
    <w:rsid w:val="00152DBA"/>
    <w:rsid w:val="00155F8E"/>
    <w:rsid w:val="00155FF2"/>
    <w:rsid w:val="0015641D"/>
    <w:rsid w:val="0016022A"/>
    <w:rsid w:val="00160686"/>
    <w:rsid w:val="00160AB3"/>
    <w:rsid w:val="00160E1F"/>
    <w:rsid w:val="001613DF"/>
    <w:rsid w:val="00162BA7"/>
    <w:rsid w:val="001630D4"/>
    <w:rsid w:val="00163592"/>
    <w:rsid w:val="0016369B"/>
    <w:rsid w:val="00163B81"/>
    <w:rsid w:val="001649BE"/>
    <w:rsid w:val="001657DD"/>
    <w:rsid w:val="0016622C"/>
    <w:rsid w:val="001663AE"/>
    <w:rsid w:val="001665D0"/>
    <w:rsid w:val="00166874"/>
    <w:rsid w:val="00170C20"/>
    <w:rsid w:val="00170C43"/>
    <w:rsid w:val="0017138A"/>
    <w:rsid w:val="001714DB"/>
    <w:rsid w:val="00171838"/>
    <w:rsid w:val="00172061"/>
    <w:rsid w:val="001723EB"/>
    <w:rsid w:val="00172C13"/>
    <w:rsid w:val="001739EE"/>
    <w:rsid w:val="00173F20"/>
    <w:rsid w:val="001743FA"/>
    <w:rsid w:val="0017454B"/>
    <w:rsid w:val="00175207"/>
    <w:rsid w:val="0017526E"/>
    <w:rsid w:val="001757CB"/>
    <w:rsid w:val="001757F2"/>
    <w:rsid w:val="0017583B"/>
    <w:rsid w:val="0017599C"/>
    <w:rsid w:val="00175B30"/>
    <w:rsid w:val="001763B0"/>
    <w:rsid w:val="00176F0B"/>
    <w:rsid w:val="001775E4"/>
    <w:rsid w:val="00177BBA"/>
    <w:rsid w:val="00181918"/>
    <w:rsid w:val="00181BB4"/>
    <w:rsid w:val="001823AC"/>
    <w:rsid w:val="001828F8"/>
    <w:rsid w:val="00183AFE"/>
    <w:rsid w:val="00183F78"/>
    <w:rsid w:val="0018452D"/>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4377"/>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0E89"/>
    <w:rsid w:val="001C2C06"/>
    <w:rsid w:val="001C327D"/>
    <w:rsid w:val="001C3D2F"/>
    <w:rsid w:val="001C5ECD"/>
    <w:rsid w:val="001C5FCE"/>
    <w:rsid w:val="001C646E"/>
    <w:rsid w:val="001C6A0D"/>
    <w:rsid w:val="001C6C06"/>
    <w:rsid w:val="001C7FD5"/>
    <w:rsid w:val="001D009D"/>
    <w:rsid w:val="001D01F6"/>
    <w:rsid w:val="001D05FC"/>
    <w:rsid w:val="001D0B1F"/>
    <w:rsid w:val="001D13A2"/>
    <w:rsid w:val="001D2D15"/>
    <w:rsid w:val="001D355B"/>
    <w:rsid w:val="001D69CA"/>
    <w:rsid w:val="001D6AE6"/>
    <w:rsid w:val="001D72C2"/>
    <w:rsid w:val="001E12C9"/>
    <w:rsid w:val="001E178B"/>
    <w:rsid w:val="001E1A08"/>
    <w:rsid w:val="001E3A2C"/>
    <w:rsid w:val="001E3FCB"/>
    <w:rsid w:val="001E41C0"/>
    <w:rsid w:val="001E6E27"/>
    <w:rsid w:val="001E7069"/>
    <w:rsid w:val="001F0041"/>
    <w:rsid w:val="001F0AC2"/>
    <w:rsid w:val="001F0C32"/>
    <w:rsid w:val="001F1A29"/>
    <w:rsid w:val="001F2C41"/>
    <w:rsid w:val="001F4AF4"/>
    <w:rsid w:val="001F4C7C"/>
    <w:rsid w:val="001F69A6"/>
    <w:rsid w:val="001F75A1"/>
    <w:rsid w:val="002016B9"/>
    <w:rsid w:val="0020219B"/>
    <w:rsid w:val="00203E6F"/>
    <w:rsid w:val="0020579B"/>
    <w:rsid w:val="00205AAB"/>
    <w:rsid w:val="00206B15"/>
    <w:rsid w:val="00207770"/>
    <w:rsid w:val="0020791A"/>
    <w:rsid w:val="002100B5"/>
    <w:rsid w:val="00210360"/>
    <w:rsid w:val="002103D9"/>
    <w:rsid w:val="00210DB5"/>
    <w:rsid w:val="00211830"/>
    <w:rsid w:val="002126EB"/>
    <w:rsid w:val="002162D7"/>
    <w:rsid w:val="002164D2"/>
    <w:rsid w:val="0022083E"/>
    <w:rsid w:val="00220F92"/>
    <w:rsid w:val="00221141"/>
    <w:rsid w:val="0022395A"/>
    <w:rsid w:val="002245FA"/>
    <w:rsid w:val="00224EDC"/>
    <w:rsid w:val="002253F0"/>
    <w:rsid w:val="002259BA"/>
    <w:rsid w:val="00225EB1"/>
    <w:rsid w:val="002265E9"/>
    <w:rsid w:val="00230341"/>
    <w:rsid w:val="0023044C"/>
    <w:rsid w:val="00230EE6"/>
    <w:rsid w:val="00231369"/>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1702"/>
    <w:rsid w:val="0024244F"/>
    <w:rsid w:val="00243BA6"/>
    <w:rsid w:val="002440A5"/>
    <w:rsid w:val="00244DD5"/>
    <w:rsid w:val="0024503B"/>
    <w:rsid w:val="00245728"/>
    <w:rsid w:val="00245855"/>
    <w:rsid w:val="002471EF"/>
    <w:rsid w:val="0024741D"/>
    <w:rsid w:val="002516C2"/>
    <w:rsid w:val="00252423"/>
    <w:rsid w:val="00254960"/>
    <w:rsid w:val="00255237"/>
    <w:rsid w:val="00255C91"/>
    <w:rsid w:val="002573A4"/>
    <w:rsid w:val="002577A6"/>
    <w:rsid w:val="00257E27"/>
    <w:rsid w:val="002602D2"/>
    <w:rsid w:val="00260EB4"/>
    <w:rsid w:val="00261149"/>
    <w:rsid w:val="0026167C"/>
    <w:rsid w:val="00261E93"/>
    <w:rsid w:val="002622D3"/>
    <w:rsid w:val="00263E6B"/>
    <w:rsid w:val="00263FC3"/>
    <w:rsid w:val="00264955"/>
    <w:rsid w:val="00264D6F"/>
    <w:rsid w:val="0026556D"/>
    <w:rsid w:val="002657D2"/>
    <w:rsid w:val="00265E77"/>
    <w:rsid w:val="002661DB"/>
    <w:rsid w:val="002668D4"/>
    <w:rsid w:val="00266AB1"/>
    <w:rsid w:val="00266D7B"/>
    <w:rsid w:val="00267313"/>
    <w:rsid w:val="002677C2"/>
    <w:rsid w:val="00267A1D"/>
    <w:rsid w:val="00267BD8"/>
    <w:rsid w:val="00267FF1"/>
    <w:rsid w:val="002719A0"/>
    <w:rsid w:val="00273347"/>
    <w:rsid w:val="002734C4"/>
    <w:rsid w:val="0027375C"/>
    <w:rsid w:val="0027388F"/>
    <w:rsid w:val="00274484"/>
    <w:rsid w:val="00275D29"/>
    <w:rsid w:val="002766EC"/>
    <w:rsid w:val="00276820"/>
    <w:rsid w:val="00276D8B"/>
    <w:rsid w:val="0028033E"/>
    <w:rsid w:val="0028116B"/>
    <w:rsid w:val="0028176E"/>
    <w:rsid w:val="0028197C"/>
    <w:rsid w:val="002821AA"/>
    <w:rsid w:val="0028251F"/>
    <w:rsid w:val="002835AF"/>
    <w:rsid w:val="0028401D"/>
    <w:rsid w:val="0028447E"/>
    <w:rsid w:val="0028713C"/>
    <w:rsid w:val="00290052"/>
    <w:rsid w:val="00290B79"/>
    <w:rsid w:val="00290DFD"/>
    <w:rsid w:val="00291532"/>
    <w:rsid w:val="00292125"/>
    <w:rsid w:val="0029306F"/>
    <w:rsid w:val="00293895"/>
    <w:rsid w:val="00293F17"/>
    <w:rsid w:val="00293F9E"/>
    <w:rsid w:val="002945B0"/>
    <w:rsid w:val="002949E6"/>
    <w:rsid w:val="002A2D1D"/>
    <w:rsid w:val="002A3578"/>
    <w:rsid w:val="002A3589"/>
    <w:rsid w:val="002A3B09"/>
    <w:rsid w:val="002A3E1A"/>
    <w:rsid w:val="002A55B3"/>
    <w:rsid w:val="002A5D66"/>
    <w:rsid w:val="002A7AFE"/>
    <w:rsid w:val="002A7E40"/>
    <w:rsid w:val="002A7E7C"/>
    <w:rsid w:val="002B0044"/>
    <w:rsid w:val="002B10CF"/>
    <w:rsid w:val="002B1A1D"/>
    <w:rsid w:val="002B1BD6"/>
    <w:rsid w:val="002B2720"/>
    <w:rsid w:val="002B27A2"/>
    <w:rsid w:val="002B2F6E"/>
    <w:rsid w:val="002B3591"/>
    <w:rsid w:val="002B3ED0"/>
    <w:rsid w:val="002B4273"/>
    <w:rsid w:val="002B50FA"/>
    <w:rsid w:val="002B53E5"/>
    <w:rsid w:val="002B5DE1"/>
    <w:rsid w:val="002B7FF4"/>
    <w:rsid w:val="002C04B1"/>
    <w:rsid w:val="002C0547"/>
    <w:rsid w:val="002C2165"/>
    <w:rsid w:val="002C3A12"/>
    <w:rsid w:val="002C3F62"/>
    <w:rsid w:val="002C400C"/>
    <w:rsid w:val="002C4E6A"/>
    <w:rsid w:val="002C4F2D"/>
    <w:rsid w:val="002C54A4"/>
    <w:rsid w:val="002C77BD"/>
    <w:rsid w:val="002D1116"/>
    <w:rsid w:val="002D13D5"/>
    <w:rsid w:val="002D34B9"/>
    <w:rsid w:val="002D4808"/>
    <w:rsid w:val="002D4E04"/>
    <w:rsid w:val="002D5640"/>
    <w:rsid w:val="002D6248"/>
    <w:rsid w:val="002D67B3"/>
    <w:rsid w:val="002D6B41"/>
    <w:rsid w:val="002D7144"/>
    <w:rsid w:val="002E1F42"/>
    <w:rsid w:val="002E2C6D"/>
    <w:rsid w:val="002E322D"/>
    <w:rsid w:val="002E328C"/>
    <w:rsid w:val="002E4FD3"/>
    <w:rsid w:val="002E5E6B"/>
    <w:rsid w:val="002E5EE1"/>
    <w:rsid w:val="002E60D8"/>
    <w:rsid w:val="002E784D"/>
    <w:rsid w:val="002F0669"/>
    <w:rsid w:val="002F1B22"/>
    <w:rsid w:val="002F27D6"/>
    <w:rsid w:val="002F3CFF"/>
    <w:rsid w:val="002F4672"/>
    <w:rsid w:val="002F5756"/>
    <w:rsid w:val="002F5D0C"/>
    <w:rsid w:val="002F6FFE"/>
    <w:rsid w:val="003005D6"/>
    <w:rsid w:val="00300797"/>
    <w:rsid w:val="00301737"/>
    <w:rsid w:val="003022D8"/>
    <w:rsid w:val="00302508"/>
    <w:rsid w:val="0030389A"/>
    <w:rsid w:val="00303B99"/>
    <w:rsid w:val="00305C30"/>
    <w:rsid w:val="0030670E"/>
    <w:rsid w:val="00306C44"/>
    <w:rsid w:val="00306DE3"/>
    <w:rsid w:val="00307D1F"/>
    <w:rsid w:val="00311B3B"/>
    <w:rsid w:val="00311E3A"/>
    <w:rsid w:val="00313269"/>
    <w:rsid w:val="00314C6E"/>
    <w:rsid w:val="0031554D"/>
    <w:rsid w:val="003165D1"/>
    <w:rsid w:val="00317CC5"/>
    <w:rsid w:val="0032081E"/>
    <w:rsid w:val="0032094F"/>
    <w:rsid w:val="00320A9B"/>
    <w:rsid w:val="00321021"/>
    <w:rsid w:val="003213E1"/>
    <w:rsid w:val="003218E6"/>
    <w:rsid w:val="00321B49"/>
    <w:rsid w:val="00321DDC"/>
    <w:rsid w:val="00322418"/>
    <w:rsid w:val="003239F5"/>
    <w:rsid w:val="0032432B"/>
    <w:rsid w:val="00324860"/>
    <w:rsid w:val="003264DD"/>
    <w:rsid w:val="003274BD"/>
    <w:rsid w:val="003302CF"/>
    <w:rsid w:val="00330912"/>
    <w:rsid w:val="00331018"/>
    <w:rsid w:val="00331435"/>
    <w:rsid w:val="0033231F"/>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98C"/>
    <w:rsid w:val="00342FEC"/>
    <w:rsid w:val="0034335F"/>
    <w:rsid w:val="00344308"/>
    <w:rsid w:val="003449BE"/>
    <w:rsid w:val="00345D11"/>
    <w:rsid w:val="00347EBB"/>
    <w:rsid w:val="003505F5"/>
    <w:rsid w:val="003512B0"/>
    <w:rsid w:val="0035134B"/>
    <w:rsid w:val="00351689"/>
    <w:rsid w:val="00352194"/>
    <w:rsid w:val="003523F3"/>
    <w:rsid w:val="00352E9B"/>
    <w:rsid w:val="0035445D"/>
    <w:rsid w:val="00354923"/>
    <w:rsid w:val="00355DA1"/>
    <w:rsid w:val="00361619"/>
    <w:rsid w:val="00364121"/>
    <w:rsid w:val="00364BD2"/>
    <w:rsid w:val="003650F9"/>
    <w:rsid w:val="00367677"/>
    <w:rsid w:val="00367FCE"/>
    <w:rsid w:val="00370566"/>
    <w:rsid w:val="00370F20"/>
    <w:rsid w:val="00371DE4"/>
    <w:rsid w:val="00373D0F"/>
    <w:rsid w:val="00374371"/>
    <w:rsid w:val="003748EC"/>
    <w:rsid w:val="00374B40"/>
    <w:rsid w:val="0037505A"/>
    <w:rsid w:val="003756E7"/>
    <w:rsid w:val="003758AB"/>
    <w:rsid w:val="00376A56"/>
    <w:rsid w:val="00376F88"/>
    <w:rsid w:val="00377910"/>
    <w:rsid w:val="00380671"/>
    <w:rsid w:val="00381410"/>
    <w:rsid w:val="0038172A"/>
    <w:rsid w:val="00381AE6"/>
    <w:rsid w:val="00383B12"/>
    <w:rsid w:val="00386C06"/>
    <w:rsid w:val="00387E02"/>
    <w:rsid w:val="00392246"/>
    <w:rsid w:val="00392CD5"/>
    <w:rsid w:val="00392E4C"/>
    <w:rsid w:val="00395B49"/>
    <w:rsid w:val="00396250"/>
    <w:rsid w:val="00396306"/>
    <w:rsid w:val="0039793D"/>
    <w:rsid w:val="003A1E60"/>
    <w:rsid w:val="003A2824"/>
    <w:rsid w:val="003A2EBF"/>
    <w:rsid w:val="003A51FC"/>
    <w:rsid w:val="003A5CB1"/>
    <w:rsid w:val="003A5E72"/>
    <w:rsid w:val="003A6345"/>
    <w:rsid w:val="003B08F9"/>
    <w:rsid w:val="003B107A"/>
    <w:rsid w:val="003B1B21"/>
    <w:rsid w:val="003B297F"/>
    <w:rsid w:val="003B2A28"/>
    <w:rsid w:val="003B35B1"/>
    <w:rsid w:val="003B3CF1"/>
    <w:rsid w:val="003B4197"/>
    <w:rsid w:val="003B457F"/>
    <w:rsid w:val="003B4AD8"/>
    <w:rsid w:val="003B5125"/>
    <w:rsid w:val="003B561A"/>
    <w:rsid w:val="003B6021"/>
    <w:rsid w:val="003B632A"/>
    <w:rsid w:val="003B6774"/>
    <w:rsid w:val="003C0A7B"/>
    <w:rsid w:val="003C1012"/>
    <w:rsid w:val="003C18AA"/>
    <w:rsid w:val="003C1E08"/>
    <w:rsid w:val="003C5762"/>
    <w:rsid w:val="003C5851"/>
    <w:rsid w:val="003C77BB"/>
    <w:rsid w:val="003D0514"/>
    <w:rsid w:val="003D0636"/>
    <w:rsid w:val="003D0986"/>
    <w:rsid w:val="003D1DBF"/>
    <w:rsid w:val="003D37ED"/>
    <w:rsid w:val="003D5D0A"/>
    <w:rsid w:val="003D70F1"/>
    <w:rsid w:val="003D75E6"/>
    <w:rsid w:val="003E3891"/>
    <w:rsid w:val="003E41DE"/>
    <w:rsid w:val="003E4FE3"/>
    <w:rsid w:val="003E573C"/>
    <w:rsid w:val="003E6586"/>
    <w:rsid w:val="003E6F62"/>
    <w:rsid w:val="003E7209"/>
    <w:rsid w:val="003E7351"/>
    <w:rsid w:val="003E76E8"/>
    <w:rsid w:val="003F0DD2"/>
    <w:rsid w:val="003F101B"/>
    <w:rsid w:val="003F1063"/>
    <w:rsid w:val="003F135B"/>
    <w:rsid w:val="003F170D"/>
    <w:rsid w:val="003F25D2"/>
    <w:rsid w:val="003F2D6B"/>
    <w:rsid w:val="003F3914"/>
    <w:rsid w:val="003F3F57"/>
    <w:rsid w:val="003F42BD"/>
    <w:rsid w:val="003F4BC1"/>
    <w:rsid w:val="003F546B"/>
    <w:rsid w:val="003F5F55"/>
    <w:rsid w:val="003F7958"/>
    <w:rsid w:val="004011CB"/>
    <w:rsid w:val="004011CE"/>
    <w:rsid w:val="00401438"/>
    <w:rsid w:val="00402674"/>
    <w:rsid w:val="004027A2"/>
    <w:rsid w:val="00402A5B"/>
    <w:rsid w:val="0040323D"/>
    <w:rsid w:val="00403606"/>
    <w:rsid w:val="004048C5"/>
    <w:rsid w:val="004056F3"/>
    <w:rsid w:val="00405DCA"/>
    <w:rsid w:val="0040747B"/>
    <w:rsid w:val="00407EDB"/>
    <w:rsid w:val="00410B62"/>
    <w:rsid w:val="004110E3"/>
    <w:rsid w:val="00413D92"/>
    <w:rsid w:val="0041460E"/>
    <w:rsid w:val="00414A26"/>
    <w:rsid w:val="00414EC6"/>
    <w:rsid w:val="0041616B"/>
    <w:rsid w:val="004162CB"/>
    <w:rsid w:val="00416B87"/>
    <w:rsid w:val="00416D61"/>
    <w:rsid w:val="004179C1"/>
    <w:rsid w:val="00423528"/>
    <w:rsid w:val="0042375F"/>
    <w:rsid w:val="00424CA8"/>
    <w:rsid w:val="0042687C"/>
    <w:rsid w:val="00426F48"/>
    <w:rsid w:val="004305E8"/>
    <w:rsid w:val="00430634"/>
    <w:rsid w:val="0043208D"/>
    <w:rsid w:val="0043232D"/>
    <w:rsid w:val="00433779"/>
    <w:rsid w:val="00433F5B"/>
    <w:rsid w:val="0043451E"/>
    <w:rsid w:val="00435A75"/>
    <w:rsid w:val="00435B01"/>
    <w:rsid w:val="00435D96"/>
    <w:rsid w:val="00436590"/>
    <w:rsid w:val="0044088F"/>
    <w:rsid w:val="004422D0"/>
    <w:rsid w:val="00446BBB"/>
    <w:rsid w:val="00447D52"/>
    <w:rsid w:val="00451F1D"/>
    <w:rsid w:val="00452396"/>
    <w:rsid w:val="00454D28"/>
    <w:rsid w:val="00454E4A"/>
    <w:rsid w:val="00455838"/>
    <w:rsid w:val="0045588E"/>
    <w:rsid w:val="00455C02"/>
    <w:rsid w:val="00456486"/>
    <w:rsid w:val="004565E4"/>
    <w:rsid w:val="004570B5"/>
    <w:rsid w:val="00457F1D"/>
    <w:rsid w:val="00461A5D"/>
    <w:rsid w:val="004620A4"/>
    <w:rsid w:val="00462117"/>
    <w:rsid w:val="0046244A"/>
    <w:rsid w:val="0046278E"/>
    <w:rsid w:val="00463A50"/>
    <w:rsid w:val="00465B1C"/>
    <w:rsid w:val="00467140"/>
    <w:rsid w:val="00467AFF"/>
    <w:rsid w:val="00471C07"/>
    <w:rsid w:val="00473CA9"/>
    <w:rsid w:val="00473E2C"/>
    <w:rsid w:val="00475F10"/>
    <w:rsid w:val="00477B96"/>
    <w:rsid w:val="00480CD9"/>
    <w:rsid w:val="00482E62"/>
    <w:rsid w:val="004833F6"/>
    <w:rsid w:val="00483585"/>
    <w:rsid w:val="00484883"/>
    <w:rsid w:val="00484BCA"/>
    <w:rsid w:val="00485D9F"/>
    <w:rsid w:val="004863DC"/>
    <w:rsid w:val="00486497"/>
    <w:rsid w:val="00486F65"/>
    <w:rsid w:val="004902BB"/>
    <w:rsid w:val="00490600"/>
    <w:rsid w:val="004916E2"/>
    <w:rsid w:val="00491D86"/>
    <w:rsid w:val="00492102"/>
    <w:rsid w:val="00492A22"/>
    <w:rsid w:val="004934C4"/>
    <w:rsid w:val="00493D56"/>
    <w:rsid w:val="00493E41"/>
    <w:rsid w:val="0049418D"/>
    <w:rsid w:val="00494433"/>
    <w:rsid w:val="004953F9"/>
    <w:rsid w:val="00497D07"/>
    <w:rsid w:val="004A0D3B"/>
    <w:rsid w:val="004A140C"/>
    <w:rsid w:val="004A16BE"/>
    <w:rsid w:val="004A19AB"/>
    <w:rsid w:val="004A1F72"/>
    <w:rsid w:val="004A225B"/>
    <w:rsid w:val="004A25A2"/>
    <w:rsid w:val="004A25F4"/>
    <w:rsid w:val="004A5500"/>
    <w:rsid w:val="004A6CDA"/>
    <w:rsid w:val="004B009D"/>
    <w:rsid w:val="004B0255"/>
    <w:rsid w:val="004B16D4"/>
    <w:rsid w:val="004B1C63"/>
    <w:rsid w:val="004B1D84"/>
    <w:rsid w:val="004B2708"/>
    <w:rsid w:val="004B386B"/>
    <w:rsid w:val="004B3EA6"/>
    <w:rsid w:val="004B6951"/>
    <w:rsid w:val="004B7023"/>
    <w:rsid w:val="004B7259"/>
    <w:rsid w:val="004C0C65"/>
    <w:rsid w:val="004C0E63"/>
    <w:rsid w:val="004C11FC"/>
    <w:rsid w:val="004C1B5D"/>
    <w:rsid w:val="004C58D3"/>
    <w:rsid w:val="004C62EA"/>
    <w:rsid w:val="004C63D1"/>
    <w:rsid w:val="004C77C5"/>
    <w:rsid w:val="004C784F"/>
    <w:rsid w:val="004C7F21"/>
    <w:rsid w:val="004C7F68"/>
    <w:rsid w:val="004D06E4"/>
    <w:rsid w:val="004D0B05"/>
    <w:rsid w:val="004D0E2C"/>
    <w:rsid w:val="004D1D87"/>
    <w:rsid w:val="004D1E60"/>
    <w:rsid w:val="004D3456"/>
    <w:rsid w:val="004D48C1"/>
    <w:rsid w:val="004D4C1F"/>
    <w:rsid w:val="004D573E"/>
    <w:rsid w:val="004D5A17"/>
    <w:rsid w:val="004D5E41"/>
    <w:rsid w:val="004D6B1F"/>
    <w:rsid w:val="004E0468"/>
    <w:rsid w:val="004E1918"/>
    <w:rsid w:val="004E199D"/>
    <w:rsid w:val="004E1B15"/>
    <w:rsid w:val="004E1C57"/>
    <w:rsid w:val="004E29B0"/>
    <w:rsid w:val="004E3294"/>
    <w:rsid w:val="004E4552"/>
    <w:rsid w:val="004E46A8"/>
    <w:rsid w:val="004E54B5"/>
    <w:rsid w:val="004E58F9"/>
    <w:rsid w:val="004E6545"/>
    <w:rsid w:val="004E6697"/>
    <w:rsid w:val="004E7D42"/>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1F1D"/>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5990"/>
    <w:rsid w:val="0051614C"/>
    <w:rsid w:val="005172B9"/>
    <w:rsid w:val="00517AA5"/>
    <w:rsid w:val="00517E9C"/>
    <w:rsid w:val="00517EEB"/>
    <w:rsid w:val="005208E9"/>
    <w:rsid w:val="00522E4B"/>
    <w:rsid w:val="00523B7E"/>
    <w:rsid w:val="00524E36"/>
    <w:rsid w:val="00525716"/>
    <w:rsid w:val="00525D5D"/>
    <w:rsid w:val="00527551"/>
    <w:rsid w:val="005277D9"/>
    <w:rsid w:val="0053015A"/>
    <w:rsid w:val="005303E4"/>
    <w:rsid w:val="00530474"/>
    <w:rsid w:val="0053101B"/>
    <w:rsid w:val="0053143F"/>
    <w:rsid w:val="00531F77"/>
    <w:rsid w:val="0053377B"/>
    <w:rsid w:val="00534E60"/>
    <w:rsid w:val="005351F0"/>
    <w:rsid w:val="0053563E"/>
    <w:rsid w:val="005356F8"/>
    <w:rsid w:val="00536968"/>
    <w:rsid w:val="00536C00"/>
    <w:rsid w:val="00537230"/>
    <w:rsid w:val="005376CD"/>
    <w:rsid w:val="00537CB7"/>
    <w:rsid w:val="00540FD3"/>
    <w:rsid w:val="00542257"/>
    <w:rsid w:val="00542ACB"/>
    <w:rsid w:val="00542B7F"/>
    <w:rsid w:val="00542BB1"/>
    <w:rsid w:val="00542D1C"/>
    <w:rsid w:val="005432A7"/>
    <w:rsid w:val="00545159"/>
    <w:rsid w:val="00547092"/>
    <w:rsid w:val="00547480"/>
    <w:rsid w:val="00550288"/>
    <w:rsid w:val="0055094D"/>
    <w:rsid w:val="00550D1C"/>
    <w:rsid w:val="00550F12"/>
    <w:rsid w:val="0055182A"/>
    <w:rsid w:val="00551E88"/>
    <w:rsid w:val="00552098"/>
    <w:rsid w:val="00552193"/>
    <w:rsid w:val="00553168"/>
    <w:rsid w:val="00553987"/>
    <w:rsid w:val="00555433"/>
    <w:rsid w:val="00556770"/>
    <w:rsid w:val="005572D2"/>
    <w:rsid w:val="00557474"/>
    <w:rsid w:val="005575F9"/>
    <w:rsid w:val="00557866"/>
    <w:rsid w:val="00557CAE"/>
    <w:rsid w:val="00560FB1"/>
    <w:rsid w:val="005613F8"/>
    <w:rsid w:val="00562FAE"/>
    <w:rsid w:val="00563746"/>
    <w:rsid w:val="00564A19"/>
    <w:rsid w:val="00564C11"/>
    <w:rsid w:val="00566BB9"/>
    <w:rsid w:val="0056795E"/>
    <w:rsid w:val="00570554"/>
    <w:rsid w:val="005717A4"/>
    <w:rsid w:val="00574527"/>
    <w:rsid w:val="00574D0B"/>
    <w:rsid w:val="00574E89"/>
    <w:rsid w:val="00575165"/>
    <w:rsid w:val="00575C75"/>
    <w:rsid w:val="0057722D"/>
    <w:rsid w:val="005774B8"/>
    <w:rsid w:val="00581568"/>
    <w:rsid w:val="00582998"/>
    <w:rsid w:val="00582C34"/>
    <w:rsid w:val="00584AC0"/>
    <w:rsid w:val="00585884"/>
    <w:rsid w:val="005869E3"/>
    <w:rsid w:val="00587AC3"/>
    <w:rsid w:val="00592019"/>
    <w:rsid w:val="00592CE1"/>
    <w:rsid w:val="00593975"/>
    <w:rsid w:val="00594777"/>
    <w:rsid w:val="00595512"/>
    <w:rsid w:val="00595D1F"/>
    <w:rsid w:val="00596856"/>
    <w:rsid w:val="005A072B"/>
    <w:rsid w:val="005A11C5"/>
    <w:rsid w:val="005A1D0A"/>
    <w:rsid w:val="005A2B3C"/>
    <w:rsid w:val="005A39FB"/>
    <w:rsid w:val="005A3A51"/>
    <w:rsid w:val="005A447F"/>
    <w:rsid w:val="005A486B"/>
    <w:rsid w:val="005A4E46"/>
    <w:rsid w:val="005A520F"/>
    <w:rsid w:val="005A5AEC"/>
    <w:rsid w:val="005A657C"/>
    <w:rsid w:val="005A74F4"/>
    <w:rsid w:val="005A7749"/>
    <w:rsid w:val="005A7C23"/>
    <w:rsid w:val="005B01B6"/>
    <w:rsid w:val="005B0517"/>
    <w:rsid w:val="005B07B9"/>
    <w:rsid w:val="005B0BC6"/>
    <w:rsid w:val="005B195D"/>
    <w:rsid w:val="005B1D88"/>
    <w:rsid w:val="005B3A97"/>
    <w:rsid w:val="005B623B"/>
    <w:rsid w:val="005B6D34"/>
    <w:rsid w:val="005C027F"/>
    <w:rsid w:val="005C077F"/>
    <w:rsid w:val="005C0C29"/>
    <w:rsid w:val="005C2484"/>
    <w:rsid w:val="005C3281"/>
    <w:rsid w:val="005C3A6F"/>
    <w:rsid w:val="005C4020"/>
    <w:rsid w:val="005C4414"/>
    <w:rsid w:val="005C44E1"/>
    <w:rsid w:val="005C46D1"/>
    <w:rsid w:val="005C4A2E"/>
    <w:rsid w:val="005C5D01"/>
    <w:rsid w:val="005C6389"/>
    <w:rsid w:val="005C6F1F"/>
    <w:rsid w:val="005C7115"/>
    <w:rsid w:val="005C7BD9"/>
    <w:rsid w:val="005D0C9E"/>
    <w:rsid w:val="005D0E50"/>
    <w:rsid w:val="005D2168"/>
    <w:rsid w:val="005D31C8"/>
    <w:rsid w:val="005D3D29"/>
    <w:rsid w:val="005D420E"/>
    <w:rsid w:val="005D4D31"/>
    <w:rsid w:val="005D5417"/>
    <w:rsid w:val="005D5513"/>
    <w:rsid w:val="005D7677"/>
    <w:rsid w:val="005E2314"/>
    <w:rsid w:val="005E3BE9"/>
    <w:rsid w:val="005E4484"/>
    <w:rsid w:val="005E4FAB"/>
    <w:rsid w:val="005E500C"/>
    <w:rsid w:val="005E503E"/>
    <w:rsid w:val="005E6B1A"/>
    <w:rsid w:val="005E7908"/>
    <w:rsid w:val="005F04CB"/>
    <w:rsid w:val="005F072C"/>
    <w:rsid w:val="005F1C1D"/>
    <w:rsid w:val="005F1E94"/>
    <w:rsid w:val="005F3589"/>
    <w:rsid w:val="005F3A43"/>
    <w:rsid w:val="005F4586"/>
    <w:rsid w:val="005F5A89"/>
    <w:rsid w:val="005F6D8A"/>
    <w:rsid w:val="005F717F"/>
    <w:rsid w:val="005F71B3"/>
    <w:rsid w:val="00600F1F"/>
    <w:rsid w:val="00603995"/>
    <w:rsid w:val="00605693"/>
    <w:rsid w:val="00605C92"/>
    <w:rsid w:val="00605FCF"/>
    <w:rsid w:val="006061C8"/>
    <w:rsid w:val="00606355"/>
    <w:rsid w:val="00607937"/>
    <w:rsid w:val="006101C4"/>
    <w:rsid w:val="00610605"/>
    <w:rsid w:val="00611CFD"/>
    <w:rsid w:val="006120AE"/>
    <w:rsid w:val="006135DC"/>
    <w:rsid w:val="00613E77"/>
    <w:rsid w:val="0061409F"/>
    <w:rsid w:val="006151A6"/>
    <w:rsid w:val="0061524E"/>
    <w:rsid w:val="00615292"/>
    <w:rsid w:val="00615499"/>
    <w:rsid w:val="006156A4"/>
    <w:rsid w:val="00615D8B"/>
    <w:rsid w:val="00616C7A"/>
    <w:rsid w:val="00620EDC"/>
    <w:rsid w:val="00621B29"/>
    <w:rsid w:val="00622884"/>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2BB3"/>
    <w:rsid w:val="006434D8"/>
    <w:rsid w:val="00643FB6"/>
    <w:rsid w:val="00644090"/>
    <w:rsid w:val="0064454B"/>
    <w:rsid w:val="00644AA0"/>
    <w:rsid w:val="00645856"/>
    <w:rsid w:val="00645BF8"/>
    <w:rsid w:val="0064748A"/>
    <w:rsid w:val="006475D4"/>
    <w:rsid w:val="0065149D"/>
    <w:rsid w:val="00651C24"/>
    <w:rsid w:val="00652506"/>
    <w:rsid w:val="0065279D"/>
    <w:rsid w:val="00652B03"/>
    <w:rsid w:val="006540DB"/>
    <w:rsid w:val="0065427D"/>
    <w:rsid w:val="006549D5"/>
    <w:rsid w:val="006549FC"/>
    <w:rsid w:val="0065696F"/>
    <w:rsid w:val="006607AF"/>
    <w:rsid w:val="00663E46"/>
    <w:rsid w:val="006643C0"/>
    <w:rsid w:val="006652B6"/>
    <w:rsid w:val="00666279"/>
    <w:rsid w:val="00666744"/>
    <w:rsid w:val="00666D8E"/>
    <w:rsid w:val="00667153"/>
    <w:rsid w:val="00670050"/>
    <w:rsid w:val="00670A5B"/>
    <w:rsid w:val="0067116A"/>
    <w:rsid w:val="00671887"/>
    <w:rsid w:val="00671951"/>
    <w:rsid w:val="00671A84"/>
    <w:rsid w:val="006743B9"/>
    <w:rsid w:val="00674A48"/>
    <w:rsid w:val="00674AB7"/>
    <w:rsid w:val="0067503D"/>
    <w:rsid w:val="00675DCF"/>
    <w:rsid w:val="00675E5F"/>
    <w:rsid w:val="006767A4"/>
    <w:rsid w:val="00676EBA"/>
    <w:rsid w:val="00680D1D"/>
    <w:rsid w:val="00681051"/>
    <w:rsid w:val="00681E7F"/>
    <w:rsid w:val="00682E70"/>
    <w:rsid w:val="006830C9"/>
    <w:rsid w:val="0068330A"/>
    <w:rsid w:val="00683B09"/>
    <w:rsid w:val="00683C5F"/>
    <w:rsid w:val="00683D38"/>
    <w:rsid w:val="00684203"/>
    <w:rsid w:val="00684659"/>
    <w:rsid w:val="0068509D"/>
    <w:rsid w:val="0068790B"/>
    <w:rsid w:val="00687F7F"/>
    <w:rsid w:val="0069130D"/>
    <w:rsid w:val="00692855"/>
    <w:rsid w:val="00692CEC"/>
    <w:rsid w:val="00692EA1"/>
    <w:rsid w:val="006935D0"/>
    <w:rsid w:val="00693914"/>
    <w:rsid w:val="00694D48"/>
    <w:rsid w:val="00696A34"/>
    <w:rsid w:val="00697940"/>
    <w:rsid w:val="006A0765"/>
    <w:rsid w:val="006A0D6C"/>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81A"/>
    <w:rsid w:val="006D0C0A"/>
    <w:rsid w:val="006D1511"/>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131E"/>
    <w:rsid w:val="006E24FC"/>
    <w:rsid w:val="006E25A7"/>
    <w:rsid w:val="006E33FF"/>
    <w:rsid w:val="006E3F6D"/>
    <w:rsid w:val="006E4258"/>
    <w:rsid w:val="006E66A7"/>
    <w:rsid w:val="006E717B"/>
    <w:rsid w:val="006F04AF"/>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3BD5"/>
    <w:rsid w:val="00705406"/>
    <w:rsid w:val="007058C7"/>
    <w:rsid w:val="007059E2"/>
    <w:rsid w:val="00707D6F"/>
    <w:rsid w:val="00711503"/>
    <w:rsid w:val="00712DD0"/>
    <w:rsid w:val="00713842"/>
    <w:rsid w:val="0071577D"/>
    <w:rsid w:val="00717356"/>
    <w:rsid w:val="007214DD"/>
    <w:rsid w:val="00721ABD"/>
    <w:rsid w:val="00722955"/>
    <w:rsid w:val="00723DB7"/>
    <w:rsid w:val="00724102"/>
    <w:rsid w:val="0072543D"/>
    <w:rsid w:val="00726CFD"/>
    <w:rsid w:val="00727B2B"/>
    <w:rsid w:val="00730D5E"/>
    <w:rsid w:val="007317B5"/>
    <w:rsid w:val="00732DF0"/>
    <w:rsid w:val="00733172"/>
    <w:rsid w:val="00733784"/>
    <w:rsid w:val="00733E68"/>
    <w:rsid w:val="0073532C"/>
    <w:rsid w:val="00735D64"/>
    <w:rsid w:val="00736133"/>
    <w:rsid w:val="007363E3"/>
    <w:rsid w:val="00736824"/>
    <w:rsid w:val="00736D70"/>
    <w:rsid w:val="00741488"/>
    <w:rsid w:val="00741A0E"/>
    <w:rsid w:val="007427D6"/>
    <w:rsid w:val="0074281F"/>
    <w:rsid w:val="00742F4C"/>
    <w:rsid w:val="007433EF"/>
    <w:rsid w:val="0074357D"/>
    <w:rsid w:val="00743C34"/>
    <w:rsid w:val="00743D6F"/>
    <w:rsid w:val="0074421A"/>
    <w:rsid w:val="0074533E"/>
    <w:rsid w:val="007461A5"/>
    <w:rsid w:val="0074767F"/>
    <w:rsid w:val="00747FC2"/>
    <w:rsid w:val="00747FD0"/>
    <w:rsid w:val="007505A5"/>
    <w:rsid w:val="007511B2"/>
    <w:rsid w:val="00751A60"/>
    <w:rsid w:val="00752EDE"/>
    <w:rsid w:val="00753A2D"/>
    <w:rsid w:val="00753DD3"/>
    <w:rsid w:val="00754D88"/>
    <w:rsid w:val="00754E87"/>
    <w:rsid w:val="0075525B"/>
    <w:rsid w:val="00755851"/>
    <w:rsid w:val="0075636F"/>
    <w:rsid w:val="00756E47"/>
    <w:rsid w:val="00756E9F"/>
    <w:rsid w:val="00757641"/>
    <w:rsid w:val="00757F1B"/>
    <w:rsid w:val="00760786"/>
    <w:rsid w:val="00760C7F"/>
    <w:rsid w:val="00761065"/>
    <w:rsid w:val="00763976"/>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0E9C"/>
    <w:rsid w:val="00781E22"/>
    <w:rsid w:val="00781FF2"/>
    <w:rsid w:val="00782220"/>
    <w:rsid w:val="007823A0"/>
    <w:rsid w:val="007827F4"/>
    <w:rsid w:val="0078313D"/>
    <w:rsid w:val="007832EB"/>
    <w:rsid w:val="00783C0C"/>
    <w:rsid w:val="00784BD7"/>
    <w:rsid w:val="00785555"/>
    <w:rsid w:val="00785D8F"/>
    <w:rsid w:val="0078711F"/>
    <w:rsid w:val="00787878"/>
    <w:rsid w:val="0078792A"/>
    <w:rsid w:val="00787D8F"/>
    <w:rsid w:val="00787E1C"/>
    <w:rsid w:val="007924AB"/>
    <w:rsid w:val="00792608"/>
    <w:rsid w:val="00792805"/>
    <w:rsid w:val="0079386F"/>
    <w:rsid w:val="00795000"/>
    <w:rsid w:val="007956B2"/>
    <w:rsid w:val="00795BB5"/>
    <w:rsid w:val="00796D83"/>
    <w:rsid w:val="00796F3C"/>
    <w:rsid w:val="007971B9"/>
    <w:rsid w:val="007971D2"/>
    <w:rsid w:val="007A069F"/>
    <w:rsid w:val="007A0BA0"/>
    <w:rsid w:val="007A2675"/>
    <w:rsid w:val="007A2ED6"/>
    <w:rsid w:val="007A3123"/>
    <w:rsid w:val="007A3AEF"/>
    <w:rsid w:val="007A487E"/>
    <w:rsid w:val="007A4991"/>
    <w:rsid w:val="007A7B2B"/>
    <w:rsid w:val="007B0073"/>
    <w:rsid w:val="007B0F3B"/>
    <w:rsid w:val="007B1209"/>
    <w:rsid w:val="007B3130"/>
    <w:rsid w:val="007B356A"/>
    <w:rsid w:val="007B4EBA"/>
    <w:rsid w:val="007B7657"/>
    <w:rsid w:val="007C0925"/>
    <w:rsid w:val="007C17DD"/>
    <w:rsid w:val="007C1A3D"/>
    <w:rsid w:val="007C20BB"/>
    <w:rsid w:val="007C3EBC"/>
    <w:rsid w:val="007C4C5D"/>
    <w:rsid w:val="007C5C31"/>
    <w:rsid w:val="007C700A"/>
    <w:rsid w:val="007C702E"/>
    <w:rsid w:val="007C769C"/>
    <w:rsid w:val="007C7EC6"/>
    <w:rsid w:val="007D08F5"/>
    <w:rsid w:val="007D0A77"/>
    <w:rsid w:val="007D19C3"/>
    <w:rsid w:val="007D1EA4"/>
    <w:rsid w:val="007D37A1"/>
    <w:rsid w:val="007D3D16"/>
    <w:rsid w:val="007D4952"/>
    <w:rsid w:val="007D55BB"/>
    <w:rsid w:val="007D6FD8"/>
    <w:rsid w:val="007D7588"/>
    <w:rsid w:val="007D770D"/>
    <w:rsid w:val="007D7811"/>
    <w:rsid w:val="007E0DC0"/>
    <w:rsid w:val="007E17CA"/>
    <w:rsid w:val="007E2366"/>
    <w:rsid w:val="007E23A7"/>
    <w:rsid w:val="007E44C2"/>
    <w:rsid w:val="007E51AE"/>
    <w:rsid w:val="007E5E0E"/>
    <w:rsid w:val="007E621A"/>
    <w:rsid w:val="007E6E4C"/>
    <w:rsid w:val="007E7D19"/>
    <w:rsid w:val="007F096F"/>
    <w:rsid w:val="007F1A97"/>
    <w:rsid w:val="007F2BAE"/>
    <w:rsid w:val="007F3169"/>
    <w:rsid w:val="007F3CD9"/>
    <w:rsid w:val="007F3D9A"/>
    <w:rsid w:val="007F3F1D"/>
    <w:rsid w:val="007F4143"/>
    <w:rsid w:val="007F5470"/>
    <w:rsid w:val="007F54CC"/>
    <w:rsid w:val="007F5B81"/>
    <w:rsid w:val="007F73B1"/>
    <w:rsid w:val="007F7B8F"/>
    <w:rsid w:val="008010AC"/>
    <w:rsid w:val="008011A5"/>
    <w:rsid w:val="00801928"/>
    <w:rsid w:val="00801D57"/>
    <w:rsid w:val="0080204F"/>
    <w:rsid w:val="00802580"/>
    <w:rsid w:val="00803937"/>
    <w:rsid w:val="00803C61"/>
    <w:rsid w:val="00804DDD"/>
    <w:rsid w:val="00805196"/>
    <w:rsid w:val="00805342"/>
    <w:rsid w:val="00805D2E"/>
    <w:rsid w:val="0080645C"/>
    <w:rsid w:val="00806655"/>
    <w:rsid w:val="008076C9"/>
    <w:rsid w:val="0081080A"/>
    <w:rsid w:val="008115C9"/>
    <w:rsid w:val="00812D1F"/>
    <w:rsid w:val="0081345C"/>
    <w:rsid w:val="00814008"/>
    <w:rsid w:val="0081491E"/>
    <w:rsid w:val="00814EB4"/>
    <w:rsid w:val="00815EE1"/>
    <w:rsid w:val="00816646"/>
    <w:rsid w:val="008178FA"/>
    <w:rsid w:val="0082037F"/>
    <w:rsid w:val="00821CE1"/>
    <w:rsid w:val="00821F08"/>
    <w:rsid w:val="00822498"/>
    <w:rsid w:val="008224A2"/>
    <w:rsid w:val="00823D79"/>
    <w:rsid w:val="0082470B"/>
    <w:rsid w:val="008249A8"/>
    <w:rsid w:val="0082633B"/>
    <w:rsid w:val="00826C7A"/>
    <w:rsid w:val="0082736A"/>
    <w:rsid w:val="00827556"/>
    <w:rsid w:val="008277C3"/>
    <w:rsid w:val="00832AE2"/>
    <w:rsid w:val="00832BB1"/>
    <w:rsid w:val="008337F4"/>
    <w:rsid w:val="00833F26"/>
    <w:rsid w:val="0083479F"/>
    <w:rsid w:val="00837442"/>
    <w:rsid w:val="00837C02"/>
    <w:rsid w:val="0084132C"/>
    <w:rsid w:val="00843834"/>
    <w:rsid w:val="008445E4"/>
    <w:rsid w:val="0084460F"/>
    <w:rsid w:val="00844C2A"/>
    <w:rsid w:val="008451B0"/>
    <w:rsid w:val="008459E1"/>
    <w:rsid w:val="00845B31"/>
    <w:rsid w:val="00846DC9"/>
    <w:rsid w:val="00847250"/>
    <w:rsid w:val="008508CE"/>
    <w:rsid w:val="00850D92"/>
    <w:rsid w:val="00850EBB"/>
    <w:rsid w:val="0085184E"/>
    <w:rsid w:val="00851C9A"/>
    <w:rsid w:val="00851DB4"/>
    <w:rsid w:val="00851E6A"/>
    <w:rsid w:val="00852EA0"/>
    <w:rsid w:val="00853F0C"/>
    <w:rsid w:val="00854D0E"/>
    <w:rsid w:val="008551BF"/>
    <w:rsid w:val="00855968"/>
    <w:rsid w:val="00855B0C"/>
    <w:rsid w:val="0085737D"/>
    <w:rsid w:val="00857456"/>
    <w:rsid w:val="0085763B"/>
    <w:rsid w:val="00857AE6"/>
    <w:rsid w:val="00861968"/>
    <w:rsid w:val="00862BC6"/>
    <w:rsid w:val="00863DD6"/>
    <w:rsid w:val="00864527"/>
    <w:rsid w:val="00864FB9"/>
    <w:rsid w:val="00865367"/>
    <w:rsid w:val="008659BD"/>
    <w:rsid w:val="0087174A"/>
    <w:rsid w:val="00872365"/>
    <w:rsid w:val="00873BB2"/>
    <w:rsid w:val="00874DEF"/>
    <w:rsid w:val="0087715F"/>
    <w:rsid w:val="00877210"/>
    <w:rsid w:val="008809E1"/>
    <w:rsid w:val="008815EE"/>
    <w:rsid w:val="00882B88"/>
    <w:rsid w:val="00883267"/>
    <w:rsid w:val="00884C5C"/>
    <w:rsid w:val="00884D00"/>
    <w:rsid w:val="00885031"/>
    <w:rsid w:val="00885261"/>
    <w:rsid w:val="00885733"/>
    <w:rsid w:val="00890038"/>
    <w:rsid w:val="008905A9"/>
    <w:rsid w:val="0089155D"/>
    <w:rsid w:val="008915B9"/>
    <w:rsid w:val="00891741"/>
    <w:rsid w:val="00891812"/>
    <w:rsid w:val="00891CB7"/>
    <w:rsid w:val="008933D6"/>
    <w:rsid w:val="008A0903"/>
    <w:rsid w:val="008A1044"/>
    <w:rsid w:val="008A194D"/>
    <w:rsid w:val="008A1A17"/>
    <w:rsid w:val="008A294B"/>
    <w:rsid w:val="008A56FC"/>
    <w:rsid w:val="008A6623"/>
    <w:rsid w:val="008A6EB2"/>
    <w:rsid w:val="008A79B4"/>
    <w:rsid w:val="008A7C7F"/>
    <w:rsid w:val="008A7D73"/>
    <w:rsid w:val="008A7D7F"/>
    <w:rsid w:val="008B05E6"/>
    <w:rsid w:val="008B1979"/>
    <w:rsid w:val="008B206D"/>
    <w:rsid w:val="008B2860"/>
    <w:rsid w:val="008B2BE5"/>
    <w:rsid w:val="008B3004"/>
    <w:rsid w:val="008B30B6"/>
    <w:rsid w:val="008B3BE5"/>
    <w:rsid w:val="008B3C26"/>
    <w:rsid w:val="008B43D6"/>
    <w:rsid w:val="008B4D0D"/>
    <w:rsid w:val="008B556B"/>
    <w:rsid w:val="008B5BA6"/>
    <w:rsid w:val="008B5C86"/>
    <w:rsid w:val="008B7054"/>
    <w:rsid w:val="008B73B9"/>
    <w:rsid w:val="008B7637"/>
    <w:rsid w:val="008C2642"/>
    <w:rsid w:val="008C36C1"/>
    <w:rsid w:val="008C3A63"/>
    <w:rsid w:val="008C6019"/>
    <w:rsid w:val="008C6192"/>
    <w:rsid w:val="008C7EF6"/>
    <w:rsid w:val="008D0435"/>
    <w:rsid w:val="008D29DC"/>
    <w:rsid w:val="008D2CD6"/>
    <w:rsid w:val="008D456D"/>
    <w:rsid w:val="008D6905"/>
    <w:rsid w:val="008D6A41"/>
    <w:rsid w:val="008D78FE"/>
    <w:rsid w:val="008E04EC"/>
    <w:rsid w:val="008E0673"/>
    <w:rsid w:val="008E0EA7"/>
    <w:rsid w:val="008E19AB"/>
    <w:rsid w:val="008E243A"/>
    <w:rsid w:val="008E3200"/>
    <w:rsid w:val="008E3BD4"/>
    <w:rsid w:val="008E6DCE"/>
    <w:rsid w:val="008E6EB7"/>
    <w:rsid w:val="008E7AFF"/>
    <w:rsid w:val="008F11DC"/>
    <w:rsid w:val="008F17AB"/>
    <w:rsid w:val="008F3033"/>
    <w:rsid w:val="008F323B"/>
    <w:rsid w:val="008F333C"/>
    <w:rsid w:val="008F570D"/>
    <w:rsid w:val="008F6DD0"/>
    <w:rsid w:val="008F71C6"/>
    <w:rsid w:val="008F77D1"/>
    <w:rsid w:val="00900333"/>
    <w:rsid w:val="00900816"/>
    <w:rsid w:val="009009C0"/>
    <w:rsid w:val="009018DB"/>
    <w:rsid w:val="00901FE0"/>
    <w:rsid w:val="00903DAF"/>
    <w:rsid w:val="00905785"/>
    <w:rsid w:val="009057E1"/>
    <w:rsid w:val="009062B5"/>
    <w:rsid w:val="00906F10"/>
    <w:rsid w:val="00911638"/>
    <w:rsid w:val="0091226C"/>
    <w:rsid w:val="009126EC"/>
    <w:rsid w:val="0091284D"/>
    <w:rsid w:val="00912A19"/>
    <w:rsid w:val="00912E39"/>
    <w:rsid w:val="009140A3"/>
    <w:rsid w:val="009145B2"/>
    <w:rsid w:val="00914DE8"/>
    <w:rsid w:val="009165A5"/>
    <w:rsid w:val="009243CB"/>
    <w:rsid w:val="009247B1"/>
    <w:rsid w:val="00924A3E"/>
    <w:rsid w:val="00926B6A"/>
    <w:rsid w:val="00927494"/>
    <w:rsid w:val="009277F9"/>
    <w:rsid w:val="009300BA"/>
    <w:rsid w:val="00931081"/>
    <w:rsid w:val="00931BC1"/>
    <w:rsid w:val="00932211"/>
    <w:rsid w:val="00932C1E"/>
    <w:rsid w:val="00933221"/>
    <w:rsid w:val="00933F66"/>
    <w:rsid w:val="00935C9C"/>
    <w:rsid w:val="00937268"/>
    <w:rsid w:val="009376AF"/>
    <w:rsid w:val="0093787C"/>
    <w:rsid w:val="0094157C"/>
    <w:rsid w:val="00941E85"/>
    <w:rsid w:val="00942E07"/>
    <w:rsid w:val="00943444"/>
    <w:rsid w:val="0094348A"/>
    <w:rsid w:val="009441FB"/>
    <w:rsid w:val="009454A8"/>
    <w:rsid w:val="00945B55"/>
    <w:rsid w:val="0094622B"/>
    <w:rsid w:val="00946637"/>
    <w:rsid w:val="009467D7"/>
    <w:rsid w:val="009479F9"/>
    <w:rsid w:val="00947C81"/>
    <w:rsid w:val="00950ECA"/>
    <w:rsid w:val="009515FE"/>
    <w:rsid w:val="00952723"/>
    <w:rsid w:val="0095283F"/>
    <w:rsid w:val="00952BD9"/>
    <w:rsid w:val="00954047"/>
    <w:rsid w:val="009544A2"/>
    <w:rsid w:val="0095519B"/>
    <w:rsid w:val="00955803"/>
    <w:rsid w:val="00955AA3"/>
    <w:rsid w:val="009560C0"/>
    <w:rsid w:val="00956967"/>
    <w:rsid w:val="00956AE6"/>
    <w:rsid w:val="00956ED1"/>
    <w:rsid w:val="00957F80"/>
    <w:rsid w:val="009613D3"/>
    <w:rsid w:val="00961D3B"/>
    <w:rsid w:val="00962381"/>
    <w:rsid w:val="00962992"/>
    <w:rsid w:val="0096384C"/>
    <w:rsid w:val="00963D9E"/>
    <w:rsid w:val="00964374"/>
    <w:rsid w:val="009647D6"/>
    <w:rsid w:val="00965DBC"/>
    <w:rsid w:val="00967589"/>
    <w:rsid w:val="00967664"/>
    <w:rsid w:val="0097076F"/>
    <w:rsid w:val="00971106"/>
    <w:rsid w:val="00971D01"/>
    <w:rsid w:val="009729F3"/>
    <w:rsid w:val="00972A53"/>
    <w:rsid w:val="00973222"/>
    <w:rsid w:val="00973AE9"/>
    <w:rsid w:val="009756F6"/>
    <w:rsid w:val="00975D73"/>
    <w:rsid w:val="0097611B"/>
    <w:rsid w:val="009762AA"/>
    <w:rsid w:val="0097648B"/>
    <w:rsid w:val="009773CA"/>
    <w:rsid w:val="0097781B"/>
    <w:rsid w:val="0098009E"/>
    <w:rsid w:val="0098027F"/>
    <w:rsid w:val="00981D82"/>
    <w:rsid w:val="00983042"/>
    <w:rsid w:val="009832EB"/>
    <w:rsid w:val="0098347F"/>
    <w:rsid w:val="0098583F"/>
    <w:rsid w:val="00986477"/>
    <w:rsid w:val="0098784C"/>
    <w:rsid w:val="009901E2"/>
    <w:rsid w:val="00990C6A"/>
    <w:rsid w:val="00991371"/>
    <w:rsid w:val="009918B3"/>
    <w:rsid w:val="00991DE5"/>
    <w:rsid w:val="00991F8C"/>
    <w:rsid w:val="00992F80"/>
    <w:rsid w:val="00994A8E"/>
    <w:rsid w:val="009958C4"/>
    <w:rsid w:val="00995CC9"/>
    <w:rsid w:val="00996781"/>
    <w:rsid w:val="00996D0B"/>
    <w:rsid w:val="009972CF"/>
    <w:rsid w:val="0099758C"/>
    <w:rsid w:val="009A02C6"/>
    <w:rsid w:val="009A0378"/>
    <w:rsid w:val="009A08F8"/>
    <w:rsid w:val="009A10CE"/>
    <w:rsid w:val="009A1166"/>
    <w:rsid w:val="009A1756"/>
    <w:rsid w:val="009A20F1"/>
    <w:rsid w:val="009A3ADA"/>
    <w:rsid w:val="009A4E0F"/>
    <w:rsid w:val="009A50C3"/>
    <w:rsid w:val="009A64C2"/>
    <w:rsid w:val="009B0A7F"/>
    <w:rsid w:val="009B0D10"/>
    <w:rsid w:val="009B13CF"/>
    <w:rsid w:val="009B2000"/>
    <w:rsid w:val="009B546A"/>
    <w:rsid w:val="009B590C"/>
    <w:rsid w:val="009B5DD3"/>
    <w:rsid w:val="009B7148"/>
    <w:rsid w:val="009B75A4"/>
    <w:rsid w:val="009B7870"/>
    <w:rsid w:val="009C1C58"/>
    <w:rsid w:val="009C1C70"/>
    <w:rsid w:val="009C2743"/>
    <w:rsid w:val="009C2798"/>
    <w:rsid w:val="009C41B6"/>
    <w:rsid w:val="009C4721"/>
    <w:rsid w:val="009C51EF"/>
    <w:rsid w:val="009C549A"/>
    <w:rsid w:val="009C5BE2"/>
    <w:rsid w:val="009C70DF"/>
    <w:rsid w:val="009C75BF"/>
    <w:rsid w:val="009D0440"/>
    <w:rsid w:val="009D059D"/>
    <w:rsid w:val="009D0E3B"/>
    <w:rsid w:val="009D1435"/>
    <w:rsid w:val="009D22BA"/>
    <w:rsid w:val="009D2C27"/>
    <w:rsid w:val="009D2D8D"/>
    <w:rsid w:val="009D36A6"/>
    <w:rsid w:val="009D421D"/>
    <w:rsid w:val="009D4291"/>
    <w:rsid w:val="009D5225"/>
    <w:rsid w:val="009D69A1"/>
    <w:rsid w:val="009D6A4C"/>
    <w:rsid w:val="009D6D80"/>
    <w:rsid w:val="009D70DC"/>
    <w:rsid w:val="009E0662"/>
    <w:rsid w:val="009E15CA"/>
    <w:rsid w:val="009E27AB"/>
    <w:rsid w:val="009E2BB6"/>
    <w:rsid w:val="009E3B38"/>
    <w:rsid w:val="009E4158"/>
    <w:rsid w:val="009E4477"/>
    <w:rsid w:val="009E4C25"/>
    <w:rsid w:val="009E5054"/>
    <w:rsid w:val="009E535D"/>
    <w:rsid w:val="009E57DD"/>
    <w:rsid w:val="009E654B"/>
    <w:rsid w:val="009E7415"/>
    <w:rsid w:val="009F05A5"/>
    <w:rsid w:val="009F148C"/>
    <w:rsid w:val="009F25A0"/>
    <w:rsid w:val="009F2EFE"/>
    <w:rsid w:val="009F2F79"/>
    <w:rsid w:val="009F43DC"/>
    <w:rsid w:val="009F5621"/>
    <w:rsid w:val="009F5B71"/>
    <w:rsid w:val="009F7FDD"/>
    <w:rsid w:val="00A01572"/>
    <w:rsid w:val="00A01FD7"/>
    <w:rsid w:val="00A045CE"/>
    <w:rsid w:val="00A05BC2"/>
    <w:rsid w:val="00A05E34"/>
    <w:rsid w:val="00A06600"/>
    <w:rsid w:val="00A107A6"/>
    <w:rsid w:val="00A10B13"/>
    <w:rsid w:val="00A11E64"/>
    <w:rsid w:val="00A127B8"/>
    <w:rsid w:val="00A1470E"/>
    <w:rsid w:val="00A147E1"/>
    <w:rsid w:val="00A14F5B"/>
    <w:rsid w:val="00A15247"/>
    <w:rsid w:val="00A15749"/>
    <w:rsid w:val="00A16140"/>
    <w:rsid w:val="00A1626A"/>
    <w:rsid w:val="00A16CCD"/>
    <w:rsid w:val="00A2015A"/>
    <w:rsid w:val="00A20DBD"/>
    <w:rsid w:val="00A20F57"/>
    <w:rsid w:val="00A24A60"/>
    <w:rsid w:val="00A259AC"/>
    <w:rsid w:val="00A26FF5"/>
    <w:rsid w:val="00A304B0"/>
    <w:rsid w:val="00A30AEF"/>
    <w:rsid w:val="00A30BFE"/>
    <w:rsid w:val="00A32984"/>
    <w:rsid w:val="00A33546"/>
    <w:rsid w:val="00A337A0"/>
    <w:rsid w:val="00A35DA3"/>
    <w:rsid w:val="00A36087"/>
    <w:rsid w:val="00A3615C"/>
    <w:rsid w:val="00A36568"/>
    <w:rsid w:val="00A3683B"/>
    <w:rsid w:val="00A43537"/>
    <w:rsid w:val="00A43CF0"/>
    <w:rsid w:val="00A4435C"/>
    <w:rsid w:val="00A449BD"/>
    <w:rsid w:val="00A44D0B"/>
    <w:rsid w:val="00A45293"/>
    <w:rsid w:val="00A458C8"/>
    <w:rsid w:val="00A45AE4"/>
    <w:rsid w:val="00A45D33"/>
    <w:rsid w:val="00A46B17"/>
    <w:rsid w:val="00A46D7B"/>
    <w:rsid w:val="00A46E0F"/>
    <w:rsid w:val="00A4781D"/>
    <w:rsid w:val="00A47E3D"/>
    <w:rsid w:val="00A50D97"/>
    <w:rsid w:val="00A5214B"/>
    <w:rsid w:val="00A5289F"/>
    <w:rsid w:val="00A52A63"/>
    <w:rsid w:val="00A5337A"/>
    <w:rsid w:val="00A53536"/>
    <w:rsid w:val="00A53622"/>
    <w:rsid w:val="00A53C66"/>
    <w:rsid w:val="00A53E5E"/>
    <w:rsid w:val="00A562FA"/>
    <w:rsid w:val="00A5707B"/>
    <w:rsid w:val="00A57387"/>
    <w:rsid w:val="00A57C14"/>
    <w:rsid w:val="00A57F41"/>
    <w:rsid w:val="00A600A2"/>
    <w:rsid w:val="00A60C3F"/>
    <w:rsid w:val="00A61C44"/>
    <w:rsid w:val="00A62A7C"/>
    <w:rsid w:val="00A6346A"/>
    <w:rsid w:val="00A63B94"/>
    <w:rsid w:val="00A64BEB"/>
    <w:rsid w:val="00A6555E"/>
    <w:rsid w:val="00A70026"/>
    <w:rsid w:val="00A70968"/>
    <w:rsid w:val="00A70B1E"/>
    <w:rsid w:val="00A731AC"/>
    <w:rsid w:val="00A74C61"/>
    <w:rsid w:val="00A759EC"/>
    <w:rsid w:val="00A75E6C"/>
    <w:rsid w:val="00A76832"/>
    <w:rsid w:val="00A773F4"/>
    <w:rsid w:val="00A77CB7"/>
    <w:rsid w:val="00A80643"/>
    <w:rsid w:val="00A8283A"/>
    <w:rsid w:val="00A830F5"/>
    <w:rsid w:val="00A83C8B"/>
    <w:rsid w:val="00A84539"/>
    <w:rsid w:val="00A85D60"/>
    <w:rsid w:val="00A8631D"/>
    <w:rsid w:val="00A865F0"/>
    <w:rsid w:val="00A870B9"/>
    <w:rsid w:val="00A877FC"/>
    <w:rsid w:val="00A879AE"/>
    <w:rsid w:val="00A90B1E"/>
    <w:rsid w:val="00A90F16"/>
    <w:rsid w:val="00A90F17"/>
    <w:rsid w:val="00A93234"/>
    <w:rsid w:val="00A96845"/>
    <w:rsid w:val="00A97559"/>
    <w:rsid w:val="00A97F64"/>
    <w:rsid w:val="00AA1E3F"/>
    <w:rsid w:val="00AA1EF2"/>
    <w:rsid w:val="00AA25C7"/>
    <w:rsid w:val="00AA324F"/>
    <w:rsid w:val="00AA3A18"/>
    <w:rsid w:val="00AA4A5F"/>
    <w:rsid w:val="00AA5F26"/>
    <w:rsid w:val="00AA63E3"/>
    <w:rsid w:val="00AB0954"/>
    <w:rsid w:val="00AB0EB2"/>
    <w:rsid w:val="00AB22D5"/>
    <w:rsid w:val="00AB254C"/>
    <w:rsid w:val="00AB25F0"/>
    <w:rsid w:val="00AB67A5"/>
    <w:rsid w:val="00AB7549"/>
    <w:rsid w:val="00AB756D"/>
    <w:rsid w:val="00AC049F"/>
    <w:rsid w:val="00AC130A"/>
    <w:rsid w:val="00AC131E"/>
    <w:rsid w:val="00AC1385"/>
    <w:rsid w:val="00AC16F3"/>
    <w:rsid w:val="00AC338D"/>
    <w:rsid w:val="00AC4BB5"/>
    <w:rsid w:val="00AC5572"/>
    <w:rsid w:val="00AC5C2D"/>
    <w:rsid w:val="00AC6773"/>
    <w:rsid w:val="00AC711F"/>
    <w:rsid w:val="00AC763C"/>
    <w:rsid w:val="00AC76AF"/>
    <w:rsid w:val="00AD082C"/>
    <w:rsid w:val="00AD1E45"/>
    <w:rsid w:val="00AD23A1"/>
    <w:rsid w:val="00AD24D7"/>
    <w:rsid w:val="00AD3A1E"/>
    <w:rsid w:val="00AD3E2C"/>
    <w:rsid w:val="00AD420F"/>
    <w:rsid w:val="00AD547F"/>
    <w:rsid w:val="00AD6656"/>
    <w:rsid w:val="00AD7277"/>
    <w:rsid w:val="00AE05ED"/>
    <w:rsid w:val="00AE07E0"/>
    <w:rsid w:val="00AE0862"/>
    <w:rsid w:val="00AE0A9A"/>
    <w:rsid w:val="00AE148F"/>
    <w:rsid w:val="00AE2615"/>
    <w:rsid w:val="00AE30C4"/>
    <w:rsid w:val="00AE3AA0"/>
    <w:rsid w:val="00AE3F99"/>
    <w:rsid w:val="00AE6738"/>
    <w:rsid w:val="00AE7BAB"/>
    <w:rsid w:val="00AE7D9C"/>
    <w:rsid w:val="00AF00D7"/>
    <w:rsid w:val="00AF4479"/>
    <w:rsid w:val="00AF495B"/>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3BED"/>
    <w:rsid w:val="00B14D06"/>
    <w:rsid w:val="00B16383"/>
    <w:rsid w:val="00B16721"/>
    <w:rsid w:val="00B175CA"/>
    <w:rsid w:val="00B202D6"/>
    <w:rsid w:val="00B20716"/>
    <w:rsid w:val="00B22D0B"/>
    <w:rsid w:val="00B2327C"/>
    <w:rsid w:val="00B24FCC"/>
    <w:rsid w:val="00B256D6"/>
    <w:rsid w:val="00B26AB0"/>
    <w:rsid w:val="00B27E4A"/>
    <w:rsid w:val="00B3135A"/>
    <w:rsid w:val="00B37D3C"/>
    <w:rsid w:val="00B40596"/>
    <w:rsid w:val="00B405DD"/>
    <w:rsid w:val="00B40E3B"/>
    <w:rsid w:val="00B41032"/>
    <w:rsid w:val="00B4157A"/>
    <w:rsid w:val="00B4254C"/>
    <w:rsid w:val="00B44988"/>
    <w:rsid w:val="00B44D4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2D6B"/>
    <w:rsid w:val="00B65640"/>
    <w:rsid w:val="00B65C6B"/>
    <w:rsid w:val="00B66130"/>
    <w:rsid w:val="00B67E27"/>
    <w:rsid w:val="00B700E3"/>
    <w:rsid w:val="00B70983"/>
    <w:rsid w:val="00B71554"/>
    <w:rsid w:val="00B7288E"/>
    <w:rsid w:val="00B73EF1"/>
    <w:rsid w:val="00B763F9"/>
    <w:rsid w:val="00B76A92"/>
    <w:rsid w:val="00B77719"/>
    <w:rsid w:val="00B77EA5"/>
    <w:rsid w:val="00B80FAC"/>
    <w:rsid w:val="00B8141F"/>
    <w:rsid w:val="00B81C1E"/>
    <w:rsid w:val="00B820E6"/>
    <w:rsid w:val="00B833B8"/>
    <w:rsid w:val="00B8381A"/>
    <w:rsid w:val="00B83FF1"/>
    <w:rsid w:val="00B8447D"/>
    <w:rsid w:val="00B8518D"/>
    <w:rsid w:val="00B851FB"/>
    <w:rsid w:val="00B86237"/>
    <w:rsid w:val="00B862FC"/>
    <w:rsid w:val="00B864CD"/>
    <w:rsid w:val="00B86618"/>
    <w:rsid w:val="00B86C8E"/>
    <w:rsid w:val="00B86F6E"/>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774"/>
    <w:rsid w:val="00BA48C7"/>
    <w:rsid w:val="00BA4A49"/>
    <w:rsid w:val="00BA54BB"/>
    <w:rsid w:val="00BA7EF3"/>
    <w:rsid w:val="00BB00A5"/>
    <w:rsid w:val="00BB0977"/>
    <w:rsid w:val="00BB0CAB"/>
    <w:rsid w:val="00BB1628"/>
    <w:rsid w:val="00BB25BA"/>
    <w:rsid w:val="00BB43F7"/>
    <w:rsid w:val="00BB46B5"/>
    <w:rsid w:val="00BB4D70"/>
    <w:rsid w:val="00BB67C6"/>
    <w:rsid w:val="00BB7124"/>
    <w:rsid w:val="00BB7716"/>
    <w:rsid w:val="00BB7DCB"/>
    <w:rsid w:val="00BC0950"/>
    <w:rsid w:val="00BC0A66"/>
    <w:rsid w:val="00BC2C4B"/>
    <w:rsid w:val="00BC38A9"/>
    <w:rsid w:val="00BC3E66"/>
    <w:rsid w:val="00BC4C76"/>
    <w:rsid w:val="00BC4ED1"/>
    <w:rsid w:val="00BC503D"/>
    <w:rsid w:val="00BC7BA8"/>
    <w:rsid w:val="00BD0D24"/>
    <w:rsid w:val="00BD0DF6"/>
    <w:rsid w:val="00BD12F2"/>
    <w:rsid w:val="00BD17F8"/>
    <w:rsid w:val="00BD267E"/>
    <w:rsid w:val="00BD3900"/>
    <w:rsid w:val="00BD3F71"/>
    <w:rsid w:val="00BD6B63"/>
    <w:rsid w:val="00BD6CA8"/>
    <w:rsid w:val="00BD7067"/>
    <w:rsid w:val="00BE0789"/>
    <w:rsid w:val="00BE19B4"/>
    <w:rsid w:val="00BE1EA1"/>
    <w:rsid w:val="00BE274F"/>
    <w:rsid w:val="00BE4A69"/>
    <w:rsid w:val="00BE6465"/>
    <w:rsid w:val="00BE6722"/>
    <w:rsid w:val="00BE6F33"/>
    <w:rsid w:val="00BE74F5"/>
    <w:rsid w:val="00BF0F7E"/>
    <w:rsid w:val="00BF1057"/>
    <w:rsid w:val="00BF224F"/>
    <w:rsid w:val="00BF26E0"/>
    <w:rsid w:val="00BF45A0"/>
    <w:rsid w:val="00BF4B3C"/>
    <w:rsid w:val="00BF5B3C"/>
    <w:rsid w:val="00BF5F7B"/>
    <w:rsid w:val="00BF6C9E"/>
    <w:rsid w:val="00C00600"/>
    <w:rsid w:val="00C0090F"/>
    <w:rsid w:val="00C0280D"/>
    <w:rsid w:val="00C0382D"/>
    <w:rsid w:val="00C03C8F"/>
    <w:rsid w:val="00C048E4"/>
    <w:rsid w:val="00C05E29"/>
    <w:rsid w:val="00C0647D"/>
    <w:rsid w:val="00C06D77"/>
    <w:rsid w:val="00C077ED"/>
    <w:rsid w:val="00C07AC7"/>
    <w:rsid w:val="00C102A8"/>
    <w:rsid w:val="00C10A0E"/>
    <w:rsid w:val="00C119D0"/>
    <w:rsid w:val="00C11A71"/>
    <w:rsid w:val="00C1209C"/>
    <w:rsid w:val="00C12939"/>
    <w:rsid w:val="00C12A29"/>
    <w:rsid w:val="00C13441"/>
    <w:rsid w:val="00C13EA5"/>
    <w:rsid w:val="00C14078"/>
    <w:rsid w:val="00C15674"/>
    <w:rsid w:val="00C16AEB"/>
    <w:rsid w:val="00C16D5E"/>
    <w:rsid w:val="00C178A1"/>
    <w:rsid w:val="00C203D0"/>
    <w:rsid w:val="00C20B49"/>
    <w:rsid w:val="00C22128"/>
    <w:rsid w:val="00C22914"/>
    <w:rsid w:val="00C22E25"/>
    <w:rsid w:val="00C232CC"/>
    <w:rsid w:val="00C254DB"/>
    <w:rsid w:val="00C26165"/>
    <w:rsid w:val="00C3152E"/>
    <w:rsid w:val="00C319BE"/>
    <w:rsid w:val="00C334F1"/>
    <w:rsid w:val="00C33620"/>
    <w:rsid w:val="00C33BBE"/>
    <w:rsid w:val="00C33E45"/>
    <w:rsid w:val="00C34162"/>
    <w:rsid w:val="00C3422F"/>
    <w:rsid w:val="00C3429D"/>
    <w:rsid w:val="00C342FD"/>
    <w:rsid w:val="00C343D9"/>
    <w:rsid w:val="00C3722F"/>
    <w:rsid w:val="00C37525"/>
    <w:rsid w:val="00C40C6F"/>
    <w:rsid w:val="00C41B46"/>
    <w:rsid w:val="00C42230"/>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0A8E"/>
    <w:rsid w:val="00C52DDB"/>
    <w:rsid w:val="00C53254"/>
    <w:rsid w:val="00C53883"/>
    <w:rsid w:val="00C5490B"/>
    <w:rsid w:val="00C55345"/>
    <w:rsid w:val="00C555F4"/>
    <w:rsid w:val="00C57A04"/>
    <w:rsid w:val="00C57AB7"/>
    <w:rsid w:val="00C57BA2"/>
    <w:rsid w:val="00C608C7"/>
    <w:rsid w:val="00C60BF5"/>
    <w:rsid w:val="00C617B1"/>
    <w:rsid w:val="00C62671"/>
    <w:rsid w:val="00C62C41"/>
    <w:rsid w:val="00C6337E"/>
    <w:rsid w:val="00C639A5"/>
    <w:rsid w:val="00C63C61"/>
    <w:rsid w:val="00C64009"/>
    <w:rsid w:val="00C64290"/>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59C0"/>
    <w:rsid w:val="00C767AC"/>
    <w:rsid w:val="00C76E66"/>
    <w:rsid w:val="00C77756"/>
    <w:rsid w:val="00C7799C"/>
    <w:rsid w:val="00C77D71"/>
    <w:rsid w:val="00C80341"/>
    <w:rsid w:val="00C8077F"/>
    <w:rsid w:val="00C8230C"/>
    <w:rsid w:val="00C845FC"/>
    <w:rsid w:val="00C84AD2"/>
    <w:rsid w:val="00C85294"/>
    <w:rsid w:val="00C86977"/>
    <w:rsid w:val="00C86C1B"/>
    <w:rsid w:val="00C87F68"/>
    <w:rsid w:val="00C91572"/>
    <w:rsid w:val="00C9230B"/>
    <w:rsid w:val="00C927E4"/>
    <w:rsid w:val="00C9563D"/>
    <w:rsid w:val="00C95861"/>
    <w:rsid w:val="00C9652B"/>
    <w:rsid w:val="00C96572"/>
    <w:rsid w:val="00C97A3B"/>
    <w:rsid w:val="00CA033D"/>
    <w:rsid w:val="00CA06A2"/>
    <w:rsid w:val="00CA295F"/>
    <w:rsid w:val="00CA2D54"/>
    <w:rsid w:val="00CA32CB"/>
    <w:rsid w:val="00CA3639"/>
    <w:rsid w:val="00CA3CDD"/>
    <w:rsid w:val="00CA538D"/>
    <w:rsid w:val="00CA5426"/>
    <w:rsid w:val="00CA549A"/>
    <w:rsid w:val="00CA59BD"/>
    <w:rsid w:val="00CA63A5"/>
    <w:rsid w:val="00CA665E"/>
    <w:rsid w:val="00CB07EA"/>
    <w:rsid w:val="00CB0A88"/>
    <w:rsid w:val="00CB4421"/>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5561"/>
    <w:rsid w:val="00CD6345"/>
    <w:rsid w:val="00CD638E"/>
    <w:rsid w:val="00CD6DE6"/>
    <w:rsid w:val="00CD7603"/>
    <w:rsid w:val="00CD7B55"/>
    <w:rsid w:val="00CE1168"/>
    <w:rsid w:val="00CE23D0"/>
    <w:rsid w:val="00CE3838"/>
    <w:rsid w:val="00CE6D44"/>
    <w:rsid w:val="00CE6E11"/>
    <w:rsid w:val="00CE736C"/>
    <w:rsid w:val="00CE7F04"/>
    <w:rsid w:val="00CE7FCF"/>
    <w:rsid w:val="00CF0AD3"/>
    <w:rsid w:val="00CF0FE0"/>
    <w:rsid w:val="00CF13FE"/>
    <w:rsid w:val="00CF1875"/>
    <w:rsid w:val="00CF1EB5"/>
    <w:rsid w:val="00CF2746"/>
    <w:rsid w:val="00CF2C66"/>
    <w:rsid w:val="00CF58F1"/>
    <w:rsid w:val="00CF5A58"/>
    <w:rsid w:val="00CF5E7B"/>
    <w:rsid w:val="00CF6008"/>
    <w:rsid w:val="00CF78C0"/>
    <w:rsid w:val="00CF7B17"/>
    <w:rsid w:val="00D0037D"/>
    <w:rsid w:val="00D00406"/>
    <w:rsid w:val="00D010D2"/>
    <w:rsid w:val="00D0174F"/>
    <w:rsid w:val="00D02018"/>
    <w:rsid w:val="00D02410"/>
    <w:rsid w:val="00D02B82"/>
    <w:rsid w:val="00D02BE1"/>
    <w:rsid w:val="00D0338F"/>
    <w:rsid w:val="00D048FE"/>
    <w:rsid w:val="00D05CB2"/>
    <w:rsid w:val="00D06344"/>
    <w:rsid w:val="00D07B1D"/>
    <w:rsid w:val="00D10310"/>
    <w:rsid w:val="00D111B0"/>
    <w:rsid w:val="00D118CA"/>
    <w:rsid w:val="00D128FA"/>
    <w:rsid w:val="00D13683"/>
    <w:rsid w:val="00D13CA9"/>
    <w:rsid w:val="00D13FA7"/>
    <w:rsid w:val="00D14661"/>
    <w:rsid w:val="00D14A6B"/>
    <w:rsid w:val="00D15287"/>
    <w:rsid w:val="00D155E6"/>
    <w:rsid w:val="00D20849"/>
    <w:rsid w:val="00D24115"/>
    <w:rsid w:val="00D241F0"/>
    <w:rsid w:val="00D24495"/>
    <w:rsid w:val="00D25126"/>
    <w:rsid w:val="00D26FBD"/>
    <w:rsid w:val="00D278E7"/>
    <w:rsid w:val="00D27DC9"/>
    <w:rsid w:val="00D27EC1"/>
    <w:rsid w:val="00D30268"/>
    <w:rsid w:val="00D30A2F"/>
    <w:rsid w:val="00D31D9F"/>
    <w:rsid w:val="00D3420F"/>
    <w:rsid w:val="00D34812"/>
    <w:rsid w:val="00D34AB3"/>
    <w:rsid w:val="00D34DA4"/>
    <w:rsid w:val="00D352C7"/>
    <w:rsid w:val="00D355EE"/>
    <w:rsid w:val="00D367AA"/>
    <w:rsid w:val="00D37072"/>
    <w:rsid w:val="00D379EB"/>
    <w:rsid w:val="00D37B3C"/>
    <w:rsid w:val="00D40437"/>
    <w:rsid w:val="00D40CDA"/>
    <w:rsid w:val="00D418D7"/>
    <w:rsid w:val="00D429F5"/>
    <w:rsid w:val="00D42F0F"/>
    <w:rsid w:val="00D4313F"/>
    <w:rsid w:val="00D43359"/>
    <w:rsid w:val="00D43651"/>
    <w:rsid w:val="00D43C1B"/>
    <w:rsid w:val="00D43FE7"/>
    <w:rsid w:val="00D4429E"/>
    <w:rsid w:val="00D455C0"/>
    <w:rsid w:val="00D465E4"/>
    <w:rsid w:val="00D46823"/>
    <w:rsid w:val="00D46B7C"/>
    <w:rsid w:val="00D46BA1"/>
    <w:rsid w:val="00D46BBC"/>
    <w:rsid w:val="00D46FDC"/>
    <w:rsid w:val="00D50608"/>
    <w:rsid w:val="00D5061B"/>
    <w:rsid w:val="00D5089C"/>
    <w:rsid w:val="00D50E0B"/>
    <w:rsid w:val="00D51318"/>
    <w:rsid w:val="00D51BA7"/>
    <w:rsid w:val="00D52AFA"/>
    <w:rsid w:val="00D5322E"/>
    <w:rsid w:val="00D55739"/>
    <w:rsid w:val="00D5707C"/>
    <w:rsid w:val="00D5728E"/>
    <w:rsid w:val="00D6003F"/>
    <w:rsid w:val="00D6173F"/>
    <w:rsid w:val="00D6224E"/>
    <w:rsid w:val="00D622D3"/>
    <w:rsid w:val="00D62594"/>
    <w:rsid w:val="00D63D26"/>
    <w:rsid w:val="00D64D37"/>
    <w:rsid w:val="00D65077"/>
    <w:rsid w:val="00D651E3"/>
    <w:rsid w:val="00D668DC"/>
    <w:rsid w:val="00D675BA"/>
    <w:rsid w:val="00D70707"/>
    <w:rsid w:val="00D70908"/>
    <w:rsid w:val="00D70B23"/>
    <w:rsid w:val="00D71448"/>
    <w:rsid w:val="00D71ACE"/>
    <w:rsid w:val="00D72A41"/>
    <w:rsid w:val="00D7302C"/>
    <w:rsid w:val="00D7378D"/>
    <w:rsid w:val="00D75231"/>
    <w:rsid w:val="00D753D6"/>
    <w:rsid w:val="00D75663"/>
    <w:rsid w:val="00D75F1A"/>
    <w:rsid w:val="00D76B9A"/>
    <w:rsid w:val="00D77610"/>
    <w:rsid w:val="00D80FFE"/>
    <w:rsid w:val="00D8289B"/>
    <w:rsid w:val="00D83AB7"/>
    <w:rsid w:val="00D84396"/>
    <w:rsid w:val="00D84618"/>
    <w:rsid w:val="00D85581"/>
    <w:rsid w:val="00D85966"/>
    <w:rsid w:val="00D8639A"/>
    <w:rsid w:val="00D906BB"/>
    <w:rsid w:val="00D906CD"/>
    <w:rsid w:val="00D90B35"/>
    <w:rsid w:val="00D90CC8"/>
    <w:rsid w:val="00D917F4"/>
    <w:rsid w:val="00D933D8"/>
    <w:rsid w:val="00D95FD6"/>
    <w:rsid w:val="00DA0DCB"/>
    <w:rsid w:val="00DA112D"/>
    <w:rsid w:val="00DA114E"/>
    <w:rsid w:val="00DA1670"/>
    <w:rsid w:val="00DA1DE9"/>
    <w:rsid w:val="00DA238A"/>
    <w:rsid w:val="00DA239A"/>
    <w:rsid w:val="00DA25CE"/>
    <w:rsid w:val="00DA303F"/>
    <w:rsid w:val="00DA3196"/>
    <w:rsid w:val="00DA3956"/>
    <w:rsid w:val="00DA45F9"/>
    <w:rsid w:val="00DA5960"/>
    <w:rsid w:val="00DA6833"/>
    <w:rsid w:val="00DA6A1A"/>
    <w:rsid w:val="00DB03F4"/>
    <w:rsid w:val="00DB0914"/>
    <w:rsid w:val="00DB21AE"/>
    <w:rsid w:val="00DB21B5"/>
    <w:rsid w:val="00DB2546"/>
    <w:rsid w:val="00DB27CE"/>
    <w:rsid w:val="00DB34FE"/>
    <w:rsid w:val="00DB590C"/>
    <w:rsid w:val="00DB5B5C"/>
    <w:rsid w:val="00DB5EC2"/>
    <w:rsid w:val="00DB647B"/>
    <w:rsid w:val="00DB69DD"/>
    <w:rsid w:val="00DC0C30"/>
    <w:rsid w:val="00DC0D10"/>
    <w:rsid w:val="00DC27F2"/>
    <w:rsid w:val="00DC2879"/>
    <w:rsid w:val="00DC3638"/>
    <w:rsid w:val="00DC5387"/>
    <w:rsid w:val="00DC57EF"/>
    <w:rsid w:val="00DC6C9C"/>
    <w:rsid w:val="00DC7615"/>
    <w:rsid w:val="00DC7830"/>
    <w:rsid w:val="00DC7BEF"/>
    <w:rsid w:val="00DD0B79"/>
    <w:rsid w:val="00DD14E4"/>
    <w:rsid w:val="00DD4845"/>
    <w:rsid w:val="00DD54DE"/>
    <w:rsid w:val="00DD5B8F"/>
    <w:rsid w:val="00DD5D1B"/>
    <w:rsid w:val="00DD6D96"/>
    <w:rsid w:val="00DD6F46"/>
    <w:rsid w:val="00DE018D"/>
    <w:rsid w:val="00DE301D"/>
    <w:rsid w:val="00DE3B79"/>
    <w:rsid w:val="00DE4BAD"/>
    <w:rsid w:val="00DE511C"/>
    <w:rsid w:val="00DE5444"/>
    <w:rsid w:val="00DE61D0"/>
    <w:rsid w:val="00DE66DF"/>
    <w:rsid w:val="00DE7C3F"/>
    <w:rsid w:val="00DE7F59"/>
    <w:rsid w:val="00DF15B7"/>
    <w:rsid w:val="00DF23F9"/>
    <w:rsid w:val="00DF35AD"/>
    <w:rsid w:val="00DF47C9"/>
    <w:rsid w:val="00DF4E94"/>
    <w:rsid w:val="00DF5DE0"/>
    <w:rsid w:val="00E0174F"/>
    <w:rsid w:val="00E01A52"/>
    <w:rsid w:val="00E021B8"/>
    <w:rsid w:val="00E02808"/>
    <w:rsid w:val="00E02EBC"/>
    <w:rsid w:val="00E05098"/>
    <w:rsid w:val="00E05B6C"/>
    <w:rsid w:val="00E05C2B"/>
    <w:rsid w:val="00E061E6"/>
    <w:rsid w:val="00E0749E"/>
    <w:rsid w:val="00E075B4"/>
    <w:rsid w:val="00E0793B"/>
    <w:rsid w:val="00E106FE"/>
    <w:rsid w:val="00E10892"/>
    <w:rsid w:val="00E11459"/>
    <w:rsid w:val="00E12737"/>
    <w:rsid w:val="00E12CF7"/>
    <w:rsid w:val="00E12DBC"/>
    <w:rsid w:val="00E13A4C"/>
    <w:rsid w:val="00E149A4"/>
    <w:rsid w:val="00E14C04"/>
    <w:rsid w:val="00E171A0"/>
    <w:rsid w:val="00E174DF"/>
    <w:rsid w:val="00E20D3B"/>
    <w:rsid w:val="00E2160B"/>
    <w:rsid w:val="00E21A7F"/>
    <w:rsid w:val="00E23D4A"/>
    <w:rsid w:val="00E23E07"/>
    <w:rsid w:val="00E251D6"/>
    <w:rsid w:val="00E25C78"/>
    <w:rsid w:val="00E25E3B"/>
    <w:rsid w:val="00E2668A"/>
    <w:rsid w:val="00E26849"/>
    <w:rsid w:val="00E31019"/>
    <w:rsid w:val="00E311D8"/>
    <w:rsid w:val="00E312DE"/>
    <w:rsid w:val="00E31643"/>
    <w:rsid w:val="00E345F2"/>
    <w:rsid w:val="00E34751"/>
    <w:rsid w:val="00E35905"/>
    <w:rsid w:val="00E35F1F"/>
    <w:rsid w:val="00E36160"/>
    <w:rsid w:val="00E362B8"/>
    <w:rsid w:val="00E375AF"/>
    <w:rsid w:val="00E37FB6"/>
    <w:rsid w:val="00E40420"/>
    <w:rsid w:val="00E417C1"/>
    <w:rsid w:val="00E422C5"/>
    <w:rsid w:val="00E425E9"/>
    <w:rsid w:val="00E42F36"/>
    <w:rsid w:val="00E43522"/>
    <w:rsid w:val="00E43DB8"/>
    <w:rsid w:val="00E4444E"/>
    <w:rsid w:val="00E451BE"/>
    <w:rsid w:val="00E453A5"/>
    <w:rsid w:val="00E46EBC"/>
    <w:rsid w:val="00E470E9"/>
    <w:rsid w:val="00E473D9"/>
    <w:rsid w:val="00E47A7B"/>
    <w:rsid w:val="00E50B19"/>
    <w:rsid w:val="00E50F94"/>
    <w:rsid w:val="00E52844"/>
    <w:rsid w:val="00E52FC7"/>
    <w:rsid w:val="00E53382"/>
    <w:rsid w:val="00E53634"/>
    <w:rsid w:val="00E54822"/>
    <w:rsid w:val="00E557EE"/>
    <w:rsid w:val="00E566C3"/>
    <w:rsid w:val="00E568A6"/>
    <w:rsid w:val="00E56975"/>
    <w:rsid w:val="00E56A98"/>
    <w:rsid w:val="00E57768"/>
    <w:rsid w:val="00E57BF9"/>
    <w:rsid w:val="00E603AC"/>
    <w:rsid w:val="00E6094E"/>
    <w:rsid w:val="00E62060"/>
    <w:rsid w:val="00E624BB"/>
    <w:rsid w:val="00E66056"/>
    <w:rsid w:val="00E67603"/>
    <w:rsid w:val="00E67D47"/>
    <w:rsid w:val="00E707D8"/>
    <w:rsid w:val="00E70B6A"/>
    <w:rsid w:val="00E70B96"/>
    <w:rsid w:val="00E72443"/>
    <w:rsid w:val="00E74101"/>
    <w:rsid w:val="00E74351"/>
    <w:rsid w:val="00E7484F"/>
    <w:rsid w:val="00E74D3C"/>
    <w:rsid w:val="00E76C11"/>
    <w:rsid w:val="00E76D24"/>
    <w:rsid w:val="00E7744B"/>
    <w:rsid w:val="00E80E07"/>
    <w:rsid w:val="00E814BF"/>
    <w:rsid w:val="00E817DD"/>
    <w:rsid w:val="00E8198F"/>
    <w:rsid w:val="00E81D46"/>
    <w:rsid w:val="00E82144"/>
    <w:rsid w:val="00E82DD4"/>
    <w:rsid w:val="00E8345A"/>
    <w:rsid w:val="00E83D41"/>
    <w:rsid w:val="00E85E4A"/>
    <w:rsid w:val="00E86AF9"/>
    <w:rsid w:val="00E91795"/>
    <w:rsid w:val="00E91B42"/>
    <w:rsid w:val="00E928B5"/>
    <w:rsid w:val="00E9458C"/>
    <w:rsid w:val="00E9559E"/>
    <w:rsid w:val="00E96C67"/>
    <w:rsid w:val="00E9787E"/>
    <w:rsid w:val="00E97B4E"/>
    <w:rsid w:val="00E97F5E"/>
    <w:rsid w:val="00EA06FC"/>
    <w:rsid w:val="00EA0BBF"/>
    <w:rsid w:val="00EA0BEC"/>
    <w:rsid w:val="00EA155B"/>
    <w:rsid w:val="00EA1616"/>
    <w:rsid w:val="00EA1B44"/>
    <w:rsid w:val="00EA273A"/>
    <w:rsid w:val="00EA2A12"/>
    <w:rsid w:val="00EA3417"/>
    <w:rsid w:val="00EA3E5A"/>
    <w:rsid w:val="00EA5929"/>
    <w:rsid w:val="00EB00FF"/>
    <w:rsid w:val="00EB0932"/>
    <w:rsid w:val="00EB127C"/>
    <w:rsid w:val="00EB19A8"/>
    <w:rsid w:val="00EB1B59"/>
    <w:rsid w:val="00EB2B0D"/>
    <w:rsid w:val="00EB4F2B"/>
    <w:rsid w:val="00EB571B"/>
    <w:rsid w:val="00EB5A36"/>
    <w:rsid w:val="00EB5FA7"/>
    <w:rsid w:val="00EB65AA"/>
    <w:rsid w:val="00EB7876"/>
    <w:rsid w:val="00EB7D2D"/>
    <w:rsid w:val="00EC099B"/>
    <w:rsid w:val="00EC2A77"/>
    <w:rsid w:val="00EC2D26"/>
    <w:rsid w:val="00EC3018"/>
    <w:rsid w:val="00EC314C"/>
    <w:rsid w:val="00EC395D"/>
    <w:rsid w:val="00EC40D2"/>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141"/>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757"/>
    <w:rsid w:val="00EF6CAE"/>
    <w:rsid w:val="00F00C77"/>
    <w:rsid w:val="00F01997"/>
    <w:rsid w:val="00F02BA6"/>
    <w:rsid w:val="00F0318A"/>
    <w:rsid w:val="00F035D7"/>
    <w:rsid w:val="00F03622"/>
    <w:rsid w:val="00F03EB5"/>
    <w:rsid w:val="00F04970"/>
    <w:rsid w:val="00F04A39"/>
    <w:rsid w:val="00F04BFB"/>
    <w:rsid w:val="00F05535"/>
    <w:rsid w:val="00F06685"/>
    <w:rsid w:val="00F069D4"/>
    <w:rsid w:val="00F079B5"/>
    <w:rsid w:val="00F07C4B"/>
    <w:rsid w:val="00F101D7"/>
    <w:rsid w:val="00F10715"/>
    <w:rsid w:val="00F11B84"/>
    <w:rsid w:val="00F12944"/>
    <w:rsid w:val="00F13FBE"/>
    <w:rsid w:val="00F14045"/>
    <w:rsid w:val="00F1542B"/>
    <w:rsid w:val="00F159D6"/>
    <w:rsid w:val="00F16A65"/>
    <w:rsid w:val="00F16E80"/>
    <w:rsid w:val="00F20820"/>
    <w:rsid w:val="00F2346C"/>
    <w:rsid w:val="00F23C05"/>
    <w:rsid w:val="00F23ED2"/>
    <w:rsid w:val="00F247FD"/>
    <w:rsid w:val="00F2537F"/>
    <w:rsid w:val="00F253C9"/>
    <w:rsid w:val="00F259B4"/>
    <w:rsid w:val="00F305A9"/>
    <w:rsid w:val="00F307A4"/>
    <w:rsid w:val="00F308A4"/>
    <w:rsid w:val="00F3221E"/>
    <w:rsid w:val="00F325AB"/>
    <w:rsid w:val="00F332D9"/>
    <w:rsid w:val="00F334D4"/>
    <w:rsid w:val="00F349B7"/>
    <w:rsid w:val="00F34E52"/>
    <w:rsid w:val="00F35388"/>
    <w:rsid w:val="00F362CC"/>
    <w:rsid w:val="00F3740F"/>
    <w:rsid w:val="00F40048"/>
    <w:rsid w:val="00F40EC6"/>
    <w:rsid w:val="00F417E5"/>
    <w:rsid w:val="00F422F1"/>
    <w:rsid w:val="00F43A09"/>
    <w:rsid w:val="00F440BB"/>
    <w:rsid w:val="00F44383"/>
    <w:rsid w:val="00F450C6"/>
    <w:rsid w:val="00F460A2"/>
    <w:rsid w:val="00F46229"/>
    <w:rsid w:val="00F462DB"/>
    <w:rsid w:val="00F50228"/>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69CC"/>
    <w:rsid w:val="00F671BC"/>
    <w:rsid w:val="00F67496"/>
    <w:rsid w:val="00F67F6A"/>
    <w:rsid w:val="00F706B2"/>
    <w:rsid w:val="00F70A3E"/>
    <w:rsid w:val="00F70E47"/>
    <w:rsid w:val="00F71202"/>
    <w:rsid w:val="00F72315"/>
    <w:rsid w:val="00F72637"/>
    <w:rsid w:val="00F7294D"/>
    <w:rsid w:val="00F72A6F"/>
    <w:rsid w:val="00F7373D"/>
    <w:rsid w:val="00F73817"/>
    <w:rsid w:val="00F74038"/>
    <w:rsid w:val="00F74800"/>
    <w:rsid w:val="00F74E6E"/>
    <w:rsid w:val="00F75452"/>
    <w:rsid w:val="00F75AC4"/>
    <w:rsid w:val="00F75E81"/>
    <w:rsid w:val="00F763C6"/>
    <w:rsid w:val="00F77AB6"/>
    <w:rsid w:val="00F80351"/>
    <w:rsid w:val="00F80531"/>
    <w:rsid w:val="00F80728"/>
    <w:rsid w:val="00F80D4B"/>
    <w:rsid w:val="00F8283F"/>
    <w:rsid w:val="00F82C92"/>
    <w:rsid w:val="00F84E5A"/>
    <w:rsid w:val="00F84F4C"/>
    <w:rsid w:val="00F85037"/>
    <w:rsid w:val="00F85AC1"/>
    <w:rsid w:val="00F86110"/>
    <w:rsid w:val="00F862B6"/>
    <w:rsid w:val="00F868AB"/>
    <w:rsid w:val="00F8736F"/>
    <w:rsid w:val="00F8748A"/>
    <w:rsid w:val="00F90A7A"/>
    <w:rsid w:val="00F926D8"/>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33C"/>
    <w:rsid w:val="00FB3EA9"/>
    <w:rsid w:val="00FB4886"/>
    <w:rsid w:val="00FB550A"/>
    <w:rsid w:val="00FB6272"/>
    <w:rsid w:val="00FB7964"/>
    <w:rsid w:val="00FC0848"/>
    <w:rsid w:val="00FC0AC4"/>
    <w:rsid w:val="00FC12B6"/>
    <w:rsid w:val="00FC12FE"/>
    <w:rsid w:val="00FC294E"/>
    <w:rsid w:val="00FC3CB1"/>
    <w:rsid w:val="00FC4965"/>
    <w:rsid w:val="00FC6A65"/>
    <w:rsid w:val="00FD00A0"/>
    <w:rsid w:val="00FD18A8"/>
    <w:rsid w:val="00FD28D1"/>
    <w:rsid w:val="00FD3231"/>
    <w:rsid w:val="00FD3FB4"/>
    <w:rsid w:val="00FD41DA"/>
    <w:rsid w:val="00FD480E"/>
    <w:rsid w:val="00FD4841"/>
    <w:rsid w:val="00FD6066"/>
    <w:rsid w:val="00FD6714"/>
    <w:rsid w:val="00FD7921"/>
    <w:rsid w:val="00FD7ECE"/>
    <w:rsid w:val="00FE0667"/>
    <w:rsid w:val="00FE13EE"/>
    <w:rsid w:val="00FE1BCA"/>
    <w:rsid w:val="00FE1E43"/>
    <w:rsid w:val="00FE1F9C"/>
    <w:rsid w:val="00FE2E31"/>
    <w:rsid w:val="00FE34FB"/>
    <w:rsid w:val="00FE4CC4"/>
    <w:rsid w:val="00FE51F3"/>
    <w:rsid w:val="00FE56EF"/>
    <w:rsid w:val="00FE5BB9"/>
    <w:rsid w:val="00FE7168"/>
    <w:rsid w:val="00FF0B13"/>
    <w:rsid w:val="00FF18D6"/>
    <w:rsid w:val="00FF4209"/>
    <w:rsid w:val="00FF4590"/>
    <w:rsid w:val="00FF5994"/>
    <w:rsid w:val="00FF5D7E"/>
    <w:rsid w:val="00FF5D87"/>
    <w:rsid w:val="00FF64FC"/>
    <w:rsid w:val="00FF7755"/>
    <w:rsid w:val="01480465"/>
    <w:rsid w:val="01E87214"/>
    <w:rsid w:val="048441CD"/>
    <w:rsid w:val="09C92AF8"/>
    <w:rsid w:val="0B422EB0"/>
    <w:rsid w:val="109068B7"/>
    <w:rsid w:val="10C7736C"/>
    <w:rsid w:val="11906838"/>
    <w:rsid w:val="19BA3865"/>
    <w:rsid w:val="1C6A78A5"/>
    <w:rsid w:val="1DB21FDA"/>
    <w:rsid w:val="23235D79"/>
    <w:rsid w:val="24F90806"/>
    <w:rsid w:val="25DA52BB"/>
    <w:rsid w:val="25F20506"/>
    <w:rsid w:val="28181531"/>
    <w:rsid w:val="2B0C7D82"/>
    <w:rsid w:val="2C480C30"/>
    <w:rsid w:val="2DB95B2F"/>
    <w:rsid w:val="31B01B77"/>
    <w:rsid w:val="321E1FE0"/>
    <w:rsid w:val="32BD4F6E"/>
    <w:rsid w:val="32D05422"/>
    <w:rsid w:val="350E6022"/>
    <w:rsid w:val="36784344"/>
    <w:rsid w:val="3834095B"/>
    <w:rsid w:val="39797823"/>
    <w:rsid w:val="42F550D3"/>
    <w:rsid w:val="43505F05"/>
    <w:rsid w:val="43BA4DA4"/>
    <w:rsid w:val="46091031"/>
    <w:rsid w:val="48C13F01"/>
    <w:rsid w:val="49D66406"/>
    <w:rsid w:val="4B756271"/>
    <w:rsid w:val="4BA61376"/>
    <w:rsid w:val="4E4C6ED8"/>
    <w:rsid w:val="4F3C78CA"/>
    <w:rsid w:val="506452EC"/>
    <w:rsid w:val="51024D01"/>
    <w:rsid w:val="5B425A62"/>
    <w:rsid w:val="5D6F4CCD"/>
    <w:rsid w:val="605477B4"/>
    <w:rsid w:val="60D34B6F"/>
    <w:rsid w:val="61B64AEC"/>
    <w:rsid w:val="623C6860"/>
    <w:rsid w:val="62CE2067"/>
    <w:rsid w:val="63A57424"/>
    <w:rsid w:val="65A90B99"/>
    <w:rsid w:val="65D9563A"/>
    <w:rsid w:val="6649236D"/>
    <w:rsid w:val="6B8C0A1A"/>
    <w:rsid w:val="6EE168B2"/>
    <w:rsid w:val="71357A85"/>
    <w:rsid w:val="74DD2E20"/>
    <w:rsid w:val="76B36933"/>
    <w:rsid w:val="7884267F"/>
    <w:rsid w:val="7AB6385A"/>
    <w:rsid w:val="7AD31002"/>
    <w:rsid w:val="7D9A7397"/>
    <w:rsid w:val="7EF04D26"/>
    <w:rsid w:val="7F206E95"/>
    <w:rsid w:val="7F56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7"/>
    <w:qFormat/>
    <w:uiPriority w:val="0"/>
    <w:pPr>
      <w:keepNext/>
      <w:keepLines/>
      <w:adjustRightInd w:val="0"/>
      <w:spacing w:before="340" w:after="330" w:line="578" w:lineRule="atLeast"/>
      <w:jc w:val="center"/>
      <w:textAlignment w:val="baseline"/>
      <w:outlineLvl w:val="0"/>
    </w:pPr>
    <w:rPr>
      <w:b/>
      <w:kern w:val="44"/>
      <w:sz w:val="20"/>
    </w:rPr>
  </w:style>
  <w:style w:type="paragraph" w:styleId="5">
    <w:name w:val="heading 2"/>
    <w:basedOn w:val="1"/>
    <w:next w:val="1"/>
    <w:link w:val="5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6">
    <w:name w:val="heading 3"/>
    <w:basedOn w:val="1"/>
    <w:next w:val="1"/>
    <w:link w:val="59"/>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7">
    <w:name w:val="heading 4"/>
    <w:basedOn w:val="1"/>
    <w:next w:val="1"/>
    <w:link w:val="60"/>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8">
    <w:name w:val="heading 5"/>
    <w:basedOn w:val="1"/>
    <w:next w:val="1"/>
    <w:link w:val="61"/>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62"/>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0">
    <w:name w:val="heading 7"/>
    <w:basedOn w:val="1"/>
    <w:next w:val="1"/>
    <w:link w:val="63"/>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1">
    <w:name w:val="heading 8"/>
    <w:basedOn w:val="1"/>
    <w:next w:val="1"/>
    <w:link w:val="64"/>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2">
    <w:name w:val="heading 9"/>
    <w:basedOn w:val="1"/>
    <w:next w:val="1"/>
    <w:link w:val="65"/>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rFonts w:ascii="宋体"/>
      <w:color w:val="000000"/>
      <w:szCs w:val="24"/>
    </w:rPr>
  </w:style>
  <w:style w:type="paragraph" w:styleId="3">
    <w:name w:val="Body Text Indent"/>
    <w:basedOn w:val="1"/>
    <w:link w:val="70"/>
    <w:qFormat/>
    <w:uiPriority w:val="0"/>
    <w:pPr>
      <w:spacing w:line="360" w:lineRule="auto"/>
      <w:ind w:left="540" w:leftChars="257" w:firstLine="360" w:firstLineChars="150"/>
    </w:pPr>
    <w:rPr>
      <w:kern w:val="0"/>
      <w:sz w:val="20"/>
    </w:rPr>
  </w:style>
  <w:style w:type="paragraph" w:styleId="13">
    <w:name w:val="toc 7"/>
    <w:basedOn w:val="1"/>
    <w:next w:val="1"/>
    <w:qFormat/>
    <w:uiPriority w:val="0"/>
    <w:pPr>
      <w:ind w:left="2520"/>
    </w:pPr>
  </w:style>
  <w:style w:type="paragraph" w:styleId="14">
    <w:name w:val="index 8"/>
    <w:basedOn w:val="1"/>
    <w:next w:val="1"/>
    <w:qFormat/>
    <w:uiPriority w:val="0"/>
    <w:pPr>
      <w:ind w:left="2940"/>
    </w:pPr>
  </w:style>
  <w:style w:type="paragraph" w:styleId="15">
    <w:name w:val="Normal Indent"/>
    <w:basedOn w:val="1"/>
    <w:qFormat/>
    <w:uiPriority w:val="0"/>
    <w:pPr>
      <w:ind w:firstLine="420"/>
    </w:pPr>
  </w:style>
  <w:style w:type="paragraph" w:styleId="16">
    <w:name w:val="index 5"/>
    <w:basedOn w:val="1"/>
    <w:next w:val="1"/>
    <w:qFormat/>
    <w:uiPriority w:val="0"/>
    <w:pPr>
      <w:ind w:left="1680"/>
    </w:pPr>
  </w:style>
  <w:style w:type="paragraph" w:styleId="17">
    <w:name w:val="Document Map"/>
    <w:basedOn w:val="1"/>
    <w:link w:val="68"/>
    <w:qFormat/>
    <w:uiPriority w:val="0"/>
    <w:pPr>
      <w:shd w:val="clear" w:color="auto" w:fill="000080"/>
    </w:pPr>
    <w:rPr>
      <w:kern w:val="0"/>
      <w:sz w:val="20"/>
    </w:rPr>
  </w:style>
  <w:style w:type="paragraph" w:styleId="18">
    <w:name w:val="annotation text"/>
    <w:basedOn w:val="1"/>
    <w:link w:val="66"/>
    <w:unhideWhenUsed/>
    <w:qFormat/>
    <w:uiPriority w:val="99"/>
    <w:pPr>
      <w:jc w:val="left"/>
    </w:pPr>
  </w:style>
  <w:style w:type="paragraph" w:styleId="19">
    <w:name w:val="index 6"/>
    <w:basedOn w:val="1"/>
    <w:next w:val="1"/>
    <w:qFormat/>
    <w:uiPriority w:val="0"/>
    <w:pPr>
      <w:ind w:left="2100"/>
    </w:pPr>
  </w:style>
  <w:style w:type="paragraph" w:styleId="20">
    <w:name w:val="Body Text"/>
    <w:basedOn w:val="1"/>
    <w:link w:val="69"/>
    <w:qFormat/>
    <w:uiPriority w:val="0"/>
    <w:pPr>
      <w:spacing w:line="360" w:lineRule="auto"/>
    </w:pPr>
    <w:rPr>
      <w:kern w:val="0"/>
      <w:sz w:val="20"/>
    </w:rPr>
  </w:style>
  <w:style w:type="paragraph" w:styleId="21">
    <w:name w:val="index 4"/>
    <w:basedOn w:val="1"/>
    <w:next w:val="1"/>
    <w:qFormat/>
    <w:uiPriority w:val="0"/>
    <w:pPr>
      <w:ind w:left="1260"/>
    </w:pPr>
  </w:style>
  <w:style w:type="paragraph" w:styleId="22">
    <w:name w:val="toc 5"/>
    <w:basedOn w:val="1"/>
    <w:next w:val="1"/>
    <w:qFormat/>
    <w:uiPriority w:val="0"/>
    <w:pPr>
      <w:ind w:left="1680"/>
    </w:pPr>
  </w:style>
  <w:style w:type="paragraph" w:styleId="23">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71"/>
    <w:qFormat/>
    <w:uiPriority w:val="0"/>
    <w:pPr>
      <w:adjustRightInd w:val="0"/>
      <w:spacing w:line="312" w:lineRule="atLeast"/>
      <w:textAlignment w:val="baseline"/>
    </w:pPr>
    <w:rPr>
      <w:rFonts w:ascii="宋体" w:hAnsi="Courier New"/>
      <w:kern w:val="0"/>
      <w:sz w:val="20"/>
    </w:rPr>
  </w:style>
  <w:style w:type="paragraph" w:styleId="25">
    <w:name w:val="toc 8"/>
    <w:basedOn w:val="1"/>
    <w:next w:val="1"/>
    <w:qFormat/>
    <w:uiPriority w:val="0"/>
    <w:pPr>
      <w:ind w:left="2940"/>
    </w:pPr>
  </w:style>
  <w:style w:type="paragraph" w:styleId="26">
    <w:name w:val="index 3"/>
    <w:basedOn w:val="1"/>
    <w:next w:val="1"/>
    <w:qFormat/>
    <w:uiPriority w:val="0"/>
    <w:pPr>
      <w:ind w:left="840"/>
    </w:pPr>
  </w:style>
  <w:style w:type="paragraph" w:styleId="27">
    <w:name w:val="Date"/>
    <w:basedOn w:val="1"/>
    <w:next w:val="1"/>
    <w:link w:val="72"/>
    <w:qFormat/>
    <w:uiPriority w:val="0"/>
    <w:rPr>
      <w:kern w:val="0"/>
      <w:sz w:val="28"/>
    </w:rPr>
  </w:style>
  <w:style w:type="paragraph" w:styleId="28">
    <w:name w:val="Body Text Indent 2"/>
    <w:basedOn w:val="1"/>
    <w:link w:val="73"/>
    <w:qFormat/>
    <w:uiPriority w:val="0"/>
    <w:pPr>
      <w:ind w:left="840"/>
    </w:pPr>
    <w:rPr>
      <w:kern w:val="0"/>
      <w:sz w:val="20"/>
    </w:rPr>
  </w:style>
  <w:style w:type="paragraph" w:styleId="29">
    <w:name w:val="Balloon Text"/>
    <w:basedOn w:val="1"/>
    <w:link w:val="74"/>
    <w:qFormat/>
    <w:uiPriority w:val="0"/>
    <w:rPr>
      <w:kern w:val="0"/>
      <w:sz w:val="18"/>
      <w:szCs w:val="18"/>
    </w:rPr>
  </w:style>
  <w:style w:type="paragraph" w:styleId="30">
    <w:name w:val="footer"/>
    <w:basedOn w:val="1"/>
    <w:link w:val="56"/>
    <w:unhideWhenUsed/>
    <w:qFormat/>
    <w:uiPriority w:val="99"/>
    <w:pPr>
      <w:tabs>
        <w:tab w:val="center" w:pos="4153"/>
        <w:tab w:val="right" w:pos="8306"/>
      </w:tabs>
      <w:snapToGrid w:val="0"/>
      <w:jc w:val="left"/>
    </w:pPr>
    <w:rPr>
      <w:sz w:val="18"/>
      <w:szCs w:val="18"/>
    </w:rPr>
  </w:style>
  <w:style w:type="paragraph" w:styleId="31">
    <w:name w:val="header"/>
    <w:basedOn w:val="1"/>
    <w:link w:val="55"/>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3">
    <w:name w:val="toc 4"/>
    <w:basedOn w:val="1"/>
    <w:next w:val="1"/>
    <w:qFormat/>
    <w:uiPriority w:val="0"/>
    <w:pPr>
      <w:ind w:left="1260"/>
    </w:pPr>
  </w:style>
  <w:style w:type="paragraph" w:styleId="34">
    <w:name w:val="index heading"/>
    <w:basedOn w:val="1"/>
    <w:next w:val="35"/>
    <w:qFormat/>
    <w:uiPriority w:val="0"/>
  </w:style>
  <w:style w:type="paragraph" w:styleId="35">
    <w:name w:val="index 1"/>
    <w:basedOn w:val="1"/>
    <w:next w:val="1"/>
    <w:unhideWhenUsed/>
    <w:qFormat/>
    <w:uiPriority w:val="0"/>
  </w:style>
  <w:style w:type="paragraph" w:styleId="36">
    <w:name w:val="toc 6"/>
    <w:basedOn w:val="1"/>
    <w:next w:val="1"/>
    <w:qFormat/>
    <w:uiPriority w:val="0"/>
    <w:pPr>
      <w:ind w:left="2100"/>
    </w:pPr>
  </w:style>
  <w:style w:type="paragraph" w:styleId="37">
    <w:name w:val="Body Text Indent 3"/>
    <w:basedOn w:val="1"/>
    <w:link w:val="75"/>
    <w:qFormat/>
    <w:uiPriority w:val="0"/>
    <w:pPr>
      <w:spacing w:line="400" w:lineRule="atLeast"/>
      <w:ind w:left="360" w:firstLine="410" w:firstLineChars="171"/>
    </w:pPr>
    <w:rPr>
      <w:kern w:val="0"/>
      <w:sz w:val="20"/>
    </w:rPr>
  </w:style>
  <w:style w:type="paragraph" w:styleId="38">
    <w:name w:val="index 7"/>
    <w:basedOn w:val="1"/>
    <w:next w:val="1"/>
    <w:qFormat/>
    <w:uiPriority w:val="0"/>
    <w:pPr>
      <w:ind w:left="2520"/>
    </w:pPr>
  </w:style>
  <w:style w:type="paragraph" w:styleId="39">
    <w:name w:val="index 9"/>
    <w:basedOn w:val="1"/>
    <w:next w:val="1"/>
    <w:qFormat/>
    <w:uiPriority w:val="0"/>
    <w:pPr>
      <w:ind w:left="3360"/>
    </w:pPr>
  </w:style>
  <w:style w:type="paragraph" w:styleId="40">
    <w:name w:val="toc 2"/>
    <w:basedOn w:val="1"/>
    <w:next w:val="1"/>
    <w:qFormat/>
    <w:uiPriority w:val="39"/>
    <w:pPr>
      <w:snapToGrid w:val="0"/>
      <w:spacing w:line="480" w:lineRule="exact"/>
      <w:ind w:firstLine="300" w:firstLineChars="300"/>
    </w:pPr>
    <w:rPr>
      <w:sz w:val="24"/>
      <w:szCs w:val="24"/>
    </w:rPr>
  </w:style>
  <w:style w:type="paragraph" w:styleId="41">
    <w:name w:val="toc 9"/>
    <w:basedOn w:val="1"/>
    <w:next w:val="1"/>
    <w:qFormat/>
    <w:uiPriority w:val="0"/>
    <w:pPr>
      <w:ind w:left="3360"/>
    </w:pPr>
  </w:style>
  <w:style w:type="paragraph" w:styleId="42">
    <w:name w:val="HTML Preformatted"/>
    <w:basedOn w:val="1"/>
    <w:link w:val="7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qFormat/>
    <w:uiPriority w:val="0"/>
    <w:pPr>
      <w:ind w:left="420"/>
    </w:pPr>
  </w:style>
  <w:style w:type="paragraph" w:styleId="45">
    <w:name w:val="Title"/>
    <w:basedOn w:val="1"/>
    <w:link w:val="77"/>
    <w:qFormat/>
    <w:uiPriority w:val="0"/>
    <w:pPr>
      <w:spacing w:before="240" w:after="60" w:line="540" w:lineRule="exact"/>
      <w:outlineLvl w:val="0"/>
    </w:pPr>
    <w:rPr>
      <w:rFonts w:eastAsia="仿宋_GB2312" w:cs="Cambria"/>
      <w:b/>
      <w:bCs/>
      <w:kern w:val="0"/>
      <w:sz w:val="32"/>
      <w:szCs w:val="32"/>
    </w:rPr>
  </w:style>
  <w:style w:type="paragraph" w:styleId="46">
    <w:name w:val="annotation subject"/>
    <w:basedOn w:val="18"/>
    <w:next w:val="18"/>
    <w:link w:val="67"/>
    <w:qFormat/>
    <w:uiPriority w:val="0"/>
    <w:rPr>
      <w:b/>
      <w:bCs/>
      <w:kern w:val="0"/>
      <w:sz w:val="20"/>
    </w:rPr>
  </w:style>
  <w:style w:type="table" w:styleId="48">
    <w:name w:val="Table Grid"/>
    <w:basedOn w:val="4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page number"/>
    <w:qFormat/>
    <w:uiPriority w:val="0"/>
    <w:rPr>
      <w:rFonts w:ascii="Times New Roman" w:hAnsi="Times New Roman" w:eastAsia="宋体" w:cs="Times New Roman"/>
      <w:lang w:val="en-US" w:eastAsia="zh-CN" w:bidi="ar-SA"/>
    </w:rPr>
  </w:style>
  <w:style w:type="character" w:styleId="51">
    <w:name w:val="FollowedHyperlink"/>
    <w:qFormat/>
    <w:uiPriority w:val="0"/>
    <w:rPr>
      <w:rFonts w:ascii="Times New Roman" w:hAnsi="Times New Roman" w:eastAsia="宋体" w:cs="Times New Roman"/>
      <w:color w:val="800080"/>
      <w:u w:val="single"/>
      <w:lang w:val="en-US" w:eastAsia="zh-CN" w:bidi="ar-SA"/>
    </w:rPr>
  </w:style>
  <w:style w:type="character" w:styleId="52">
    <w:name w:val="HTML Typewriter"/>
    <w:qFormat/>
    <w:uiPriority w:val="0"/>
    <w:rPr>
      <w:rFonts w:ascii="Courier New" w:hAnsi="Courier New" w:eastAsia="宋体" w:cs="Courier New"/>
      <w:sz w:val="20"/>
      <w:szCs w:val="20"/>
      <w:lang w:val="en-US" w:eastAsia="zh-CN" w:bidi="ar-SA"/>
    </w:rPr>
  </w:style>
  <w:style w:type="character" w:styleId="53">
    <w:name w:val="Hyperlink"/>
    <w:qFormat/>
    <w:uiPriority w:val="99"/>
    <w:rPr>
      <w:rFonts w:ascii="Times New Roman" w:hAnsi="Times New Roman" w:eastAsia="宋体" w:cs="Times New Roman"/>
      <w:color w:val="0000FF"/>
      <w:u w:val="single"/>
      <w:lang w:val="en-US" w:eastAsia="zh-CN" w:bidi="ar-SA"/>
    </w:rPr>
  </w:style>
  <w:style w:type="character" w:styleId="54">
    <w:name w:val="annotation reference"/>
    <w:qFormat/>
    <w:uiPriority w:val="0"/>
    <w:rPr>
      <w:rFonts w:ascii="Times New Roman" w:hAnsi="Times New Roman" w:eastAsia="宋体" w:cs="Times New Roman"/>
      <w:sz w:val="21"/>
      <w:szCs w:val="21"/>
      <w:lang w:val="en-US" w:eastAsia="zh-CN" w:bidi="ar-SA"/>
    </w:rPr>
  </w:style>
  <w:style w:type="character" w:customStyle="1" w:styleId="55">
    <w:name w:val="页眉 字符"/>
    <w:basedOn w:val="49"/>
    <w:link w:val="31"/>
    <w:qFormat/>
    <w:uiPriority w:val="99"/>
    <w:rPr>
      <w:sz w:val="18"/>
      <w:szCs w:val="18"/>
    </w:rPr>
  </w:style>
  <w:style w:type="character" w:customStyle="1" w:styleId="56">
    <w:name w:val="页脚 字符"/>
    <w:basedOn w:val="49"/>
    <w:link w:val="30"/>
    <w:qFormat/>
    <w:uiPriority w:val="99"/>
    <w:rPr>
      <w:sz w:val="18"/>
      <w:szCs w:val="18"/>
    </w:rPr>
  </w:style>
  <w:style w:type="character" w:customStyle="1" w:styleId="57">
    <w:name w:val="标题 1 字符"/>
    <w:basedOn w:val="49"/>
    <w:link w:val="4"/>
    <w:qFormat/>
    <w:uiPriority w:val="0"/>
    <w:rPr>
      <w:rFonts w:ascii="Times New Roman" w:hAnsi="Times New Roman" w:eastAsia="宋体" w:cs="Times New Roman"/>
      <w:b/>
      <w:kern w:val="44"/>
      <w:sz w:val="20"/>
      <w:szCs w:val="20"/>
    </w:rPr>
  </w:style>
  <w:style w:type="character" w:customStyle="1" w:styleId="58">
    <w:name w:val="标题 2 字符"/>
    <w:basedOn w:val="49"/>
    <w:link w:val="5"/>
    <w:qFormat/>
    <w:uiPriority w:val="0"/>
    <w:rPr>
      <w:rFonts w:ascii="黑体" w:hAnsi="Arial" w:eastAsia="黑体" w:cs="Times New Roman"/>
      <w:kern w:val="0"/>
      <w:sz w:val="28"/>
      <w:szCs w:val="20"/>
    </w:rPr>
  </w:style>
  <w:style w:type="character" w:customStyle="1" w:styleId="59">
    <w:name w:val="标题 3 字符"/>
    <w:basedOn w:val="49"/>
    <w:link w:val="6"/>
    <w:qFormat/>
    <w:uiPriority w:val="0"/>
    <w:rPr>
      <w:rFonts w:ascii="Times New Roman" w:hAnsi="Times New Roman" w:eastAsia="宋体" w:cs="Times New Roman"/>
      <w:b/>
      <w:kern w:val="0"/>
      <w:sz w:val="32"/>
      <w:szCs w:val="20"/>
    </w:rPr>
  </w:style>
  <w:style w:type="character" w:customStyle="1" w:styleId="60">
    <w:name w:val="标题 4 字符"/>
    <w:basedOn w:val="49"/>
    <w:link w:val="7"/>
    <w:qFormat/>
    <w:uiPriority w:val="0"/>
    <w:rPr>
      <w:rFonts w:ascii="Arial" w:hAnsi="Arial" w:eastAsia="黑体" w:cs="Times New Roman"/>
      <w:b/>
      <w:kern w:val="0"/>
      <w:sz w:val="28"/>
      <w:szCs w:val="20"/>
    </w:rPr>
  </w:style>
  <w:style w:type="character" w:customStyle="1" w:styleId="61">
    <w:name w:val="标题 5 字符"/>
    <w:basedOn w:val="49"/>
    <w:link w:val="8"/>
    <w:qFormat/>
    <w:uiPriority w:val="0"/>
    <w:rPr>
      <w:rFonts w:ascii="Times New Roman" w:hAnsi="Times New Roman" w:eastAsia="宋体" w:cs="Times New Roman"/>
      <w:b/>
      <w:kern w:val="0"/>
      <w:sz w:val="28"/>
      <w:szCs w:val="20"/>
    </w:rPr>
  </w:style>
  <w:style w:type="character" w:customStyle="1" w:styleId="62">
    <w:name w:val="标题 6 字符"/>
    <w:basedOn w:val="49"/>
    <w:link w:val="9"/>
    <w:qFormat/>
    <w:uiPriority w:val="0"/>
    <w:rPr>
      <w:rFonts w:ascii="Arial" w:hAnsi="Arial" w:eastAsia="黑体" w:cs="Times New Roman"/>
      <w:b/>
      <w:kern w:val="0"/>
      <w:sz w:val="20"/>
      <w:szCs w:val="20"/>
    </w:rPr>
  </w:style>
  <w:style w:type="character" w:customStyle="1" w:styleId="63">
    <w:name w:val="标题 7 字符"/>
    <w:basedOn w:val="49"/>
    <w:link w:val="10"/>
    <w:qFormat/>
    <w:uiPriority w:val="0"/>
    <w:rPr>
      <w:rFonts w:ascii="Times New Roman" w:hAnsi="Times New Roman" w:eastAsia="宋体" w:cs="Times New Roman"/>
      <w:b/>
      <w:kern w:val="0"/>
      <w:sz w:val="20"/>
      <w:szCs w:val="20"/>
    </w:rPr>
  </w:style>
  <w:style w:type="character" w:customStyle="1" w:styleId="64">
    <w:name w:val="标题 8 字符"/>
    <w:basedOn w:val="49"/>
    <w:link w:val="11"/>
    <w:qFormat/>
    <w:uiPriority w:val="0"/>
    <w:rPr>
      <w:rFonts w:ascii="Arial" w:hAnsi="Arial" w:eastAsia="黑体" w:cs="Times New Roman"/>
      <w:kern w:val="0"/>
      <w:sz w:val="20"/>
      <w:szCs w:val="20"/>
    </w:rPr>
  </w:style>
  <w:style w:type="character" w:customStyle="1" w:styleId="65">
    <w:name w:val="标题 9 字符"/>
    <w:basedOn w:val="49"/>
    <w:link w:val="12"/>
    <w:qFormat/>
    <w:uiPriority w:val="0"/>
    <w:rPr>
      <w:rFonts w:ascii="Arial" w:hAnsi="Arial" w:eastAsia="黑体" w:cs="Times New Roman"/>
      <w:kern w:val="0"/>
      <w:szCs w:val="20"/>
    </w:rPr>
  </w:style>
  <w:style w:type="character" w:customStyle="1" w:styleId="66">
    <w:name w:val="批注文字 字符"/>
    <w:basedOn w:val="49"/>
    <w:link w:val="18"/>
    <w:qFormat/>
    <w:uiPriority w:val="99"/>
    <w:rPr>
      <w:rFonts w:ascii="Times New Roman" w:hAnsi="Times New Roman" w:eastAsia="宋体" w:cs="Times New Roman"/>
      <w:szCs w:val="20"/>
    </w:rPr>
  </w:style>
  <w:style w:type="character" w:customStyle="1" w:styleId="67">
    <w:name w:val="批注主题 字符"/>
    <w:basedOn w:val="66"/>
    <w:link w:val="46"/>
    <w:qFormat/>
    <w:uiPriority w:val="0"/>
    <w:rPr>
      <w:rFonts w:ascii="Times New Roman" w:hAnsi="Times New Roman" w:eastAsia="宋体" w:cs="Times New Roman"/>
      <w:b/>
      <w:bCs/>
      <w:kern w:val="0"/>
      <w:sz w:val="20"/>
      <w:szCs w:val="20"/>
    </w:rPr>
  </w:style>
  <w:style w:type="character" w:customStyle="1" w:styleId="68">
    <w:name w:val="文档结构图 字符"/>
    <w:basedOn w:val="49"/>
    <w:link w:val="17"/>
    <w:qFormat/>
    <w:uiPriority w:val="0"/>
    <w:rPr>
      <w:rFonts w:ascii="Times New Roman" w:hAnsi="Times New Roman" w:eastAsia="宋体" w:cs="Times New Roman"/>
      <w:kern w:val="0"/>
      <w:sz w:val="20"/>
      <w:szCs w:val="20"/>
      <w:shd w:val="clear" w:color="auto" w:fill="000080"/>
    </w:rPr>
  </w:style>
  <w:style w:type="character" w:customStyle="1" w:styleId="69">
    <w:name w:val="正文文本 字符"/>
    <w:basedOn w:val="49"/>
    <w:link w:val="20"/>
    <w:qFormat/>
    <w:uiPriority w:val="0"/>
    <w:rPr>
      <w:rFonts w:ascii="Times New Roman" w:hAnsi="Times New Roman" w:eastAsia="宋体" w:cs="Times New Roman"/>
      <w:kern w:val="0"/>
      <w:sz w:val="20"/>
      <w:szCs w:val="20"/>
    </w:rPr>
  </w:style>
  <w:style w:type="character" w:customStyle="1" w:styleId="70">
    <w:name w:val="正文文本缩进 字符"/>
    <w:basedOn w:val="49"/>
    <w:link w:val="3"/>
    <w:qFormat/>
    <w:uiPriority w:val="0"/>
    <w:rPr>
      <w:rFonts w:ascii="Times New Roman" w:hAnsi="Times New Roman" w:eastAsia="宋体" w:cs="Times New Roman"/>
      <w:kern w:val="0"/>
      <w:sz w:val="20"/>
      <w:szCs w:val="20"/>
    </w:rPr>
  </w:style>
  <w:style w:type="character" w:customStyle="1" w:styleId="71">
    <w:name w:val="纯文本 字符"/>
    <w:basedOn w:val="49"/>
    <w:link w:val="24"/>
    <w:qFormat/>
    <w:uiPriority w:val="0"/>
    <w:rPr>
      <w:rFonts w:ascii="宋体" w:hAnsi="Courier New" w:eastAsia="宋体" w:cs="Times New Roman"/>
      <w:kern w:val="0"/>
      <w:sz w:val="20"/>
      <w:szCs w:val="20"/>
    </w:rPr>
  </w:style>
  <w:style w:type="character" w:customStyle="1" w:styleId="72">
    <w:name w:val="日期 字符"/>
    <w:basedOn w:val="49"/>
    <w:link w:val="27"/>
    <w:qFormat/>
    <w:uiPriority w:val="0"/>
    <w:rPr>
      <w:rFonts w:ascii="Times New Roman" w:hAnsi="Times New Roman" w:eastAsia="宋体" w:cs="Times New Roman"/>
      <w:kern w:val="0"/>
      <w:sz w:val="28"/>
      <w:szCs w:val="20"/>
    </w:rPr>
  </w:style>
  <w:style w:type="character" w:customStyle="1" w:styleId="73">
    <w:name w:val="正文文本缩进 2 字符"/>
    <w:basedOn w:val="49"/>
    <w:link w:val="28"/>
    <w:qFormat/>
    <w:uiPriority w:val="0"/>
    <w:rPr>
      <w:rFonts w:ascii="Times New Roman" w:hAnsi="Times New Roman" w:eastAsia="宋体" w:cs="Times New Roman"/>
      <w:kern w:val="0"/>
      <w:sz w:val="20"/>
      <w:szCs w:val="20"/>
    </w:rPr>
  </w:style>
  <w:style w:type="character" w:customStyle="1" w:styleId="74">
    <w:name w:val="批注框文本 字符"/>
    <w:basedOn w:val="49"/>
    <w:link w:val="29"/>
    <w:qFormat/>
    <w:uiPriority w:val="0"/>
    <w:rPr>
      <w:rFonts w:ascii="Times New Roman" w:hAnsi="Times New Roman" w:eastAsia="宋体" w:cs="Times New Roman"/>
      <w:kern w:val="0"/>
      <w:sz w:val="18"/>
      <w:szCs w:val="18"/>
    </w:rPr>
  </w:style>
  <w:style w:type="character" w:customStyle="1" w:styleId="75">
    <w:name w:val="正文文本缩进 3 字符"/>
    <w:basedOn w:val="49"/>
    <w:link w:val="37"/>
    <w:qFormat/>
    <w:uiPriority w:val="0"/>
    <w:rPr>
      <w:rFonts w:ascii="Times New Roman" w:hAnsi="Times New Roman" w:eastAsia="宋体" w:cs="Times New Roman"/>
      <w:kern w:val="0"/>
      <w:sz w:val="20"/>
      <w:szCs w:val="20"/>
    </w:rPr>
  </w:style>
  <w:style w:type="character" w:customStyle="1" w:styleId="76">
    <w:name w:val="HTML 预设格式 字符"/>
    <w:basedOn w:val="49"/>
    <w:link w:val="42"/>
    <w:qFormat/>
    <w:uiPriority w:val="99"/>
    <w:rPr>
      <w:rFonts w:ascii="宋体" w:hAnsi="宋体" w:eastAsia="宋体" w:cs="Times New Roman"/>
      <w:kern w:val="0"/>
      <w:sz w:val="20"/>
      <w:szCs w:val="20"/>
    </w:rPr>
  </w:style>
  <w:style w:type="character" w:customStyle="1" w:styleId="77">
    <w:name w:val="标题 字符"/>
    <w:basedOn w:val="49"/>
    <w:link w:val="45"/>
    <w:qFormat/>
    <w:uiPriority w:val="0"/>
    <w:rPr>
      <w:rFonts w:ascii="Times New Roman" w:hAnsi="Times New Roman" w:eastAsia="仿宋_GB2312" w:cs="Cambria"/>
      <w:b/>
      <w:bCs/>
      <w:kern w:val="0"/>
      <w:sz w:val="32"/>
      <w:szCs w:val="32"/>
    </w:rPr>
  </w:style>
  <w:style w:type="paragraph" w:customStyle="1" w:styleId="78">
    <w:name w:val="列出段落1"/>
    <w:basedOn w:val="1"/>
    <w:qFormat/>
    <w:uiPriority w:val="34"/>
    <w:pPr>
      <w:ind w:firstLine="420" w:firstLineChars="200"/>
    </w:pPr>
  </w:style>
  <w:style w:type="paragraph" w:customStyle="1" w:styleId="79">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8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1">
    <w:name w:val="合同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8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3">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4">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6">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7">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8">
    <w:name w:val="资料表"/>
    <w:basedOn w:val="85"/>
    <w:qFormat/>
    <w:uiPriority w:val="0"/>
    <w:rPr>
      <w:rFonts w:ascii="Times New Roman"/>
    </w:rPr>
  </w:style>
  <w:style w:type="paragraph" w:customStyle="1" w:styleId="89">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90">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1">
    <w:name w:val="正文文本缩进1"/>
    <w:basedOn w:val="1"/>
    <w:qFormat/>
    <w:uiPriority w:val="0"/>
    <w:pPr>
      <w:spacing w:line="360" w:lineRule="auto"/>
      <w:ind w:left="540" w:leftChars="257" w:firstLine="360" w:firstLineChars="150"/>
    </w:pPr>
    <w:rPr>
      <w:sz w:val="24"/>
    </w:rPr>
  </w:style>
  <w:style w:type="paragraph" w:customStyle="1" w:styleId="92">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3">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4">
    <w:name w:val="样式1"/>
    <w:basedOn w:val="1"/>
    <w:qFormat/>
    <w:uiPriority w:val="0"/>
    <w:pPr>
      <w:adjustRightInd w:val="0"/>
      <w:spacing w:before="120" w:after="120" w:line="120" w:lineRule="exact"/>
    </w:pPr>
    <w:rPr>
      <w:color w:val="FF00FF"/>
      <w:kern w:val="0"/>
      <w:sz w:val="24"/>
    </w:rPr>
  </w:style>
  <w:style w:type="paragraph" w:customStyle="1" w:styleId="95">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7">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8">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9">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0">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1">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2">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3">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5">
    <w:name w:val="_Style 80"/>
    <w:semiHidden/>
    <w:qFormat/>
    <w:uiPriority w:val="99"/>
    <w:rPr>
      <w:rFonts w:ascii="Times New Roman" w:hAnsi="Times New Roman" w:eastAsia="宋体" w:cs="Times New Roman"/>
      <w:kern w:val="2"/>
      <w:sz w:val="21"/>
      <w:lang w:val="en-US" w:eastAsia="zh-CN" w:bidi="ar-SA"/>
    </w:rPr>
  </w:style>
  <w:style w:type="paragraph" w:customStyle="1" w:styleId="106">
    <w:name w:val="字元 字元"/>
    <w:basedOn w:val="1"/>
    <w:qFormat/>
    <w:uiPriority w:val="0"/>
    <w:rPr>
      <w:rFonts w:ascii="仿宋_GB2312" w:eastAsia="仿宋_GB2312"/>
      <w:b/>
      <w:sz w:val="32"/>
      <w:szCs w:val="32"/>
    </w:rPr>
  </w:style>
  <w:style w:type="paragraph" w:customStyle="1" w:styleId="107">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8">
    <w:name w:val="投标书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109">
    <w:name w:val="默认段落字体 Para Char Char Char Char"/>
    <w:basedOn w:val="1"/>
    <w:qFormat/>
    <w:uiPriority w:val="0"/>
    <w:rPr>
      <w:szCs w:val="21"/>
    </w:rPr>
  </w:style>
  <w:style w:type="paragraph" w:customStyle="1" w:styleId="110">
    <w:name w:val="无间距1"/>
    <w:link w:val="144"/>
    <w:qFormat/>
    <w:uiPriority w:val="0"/>
    <w:rPr>
      <w:rFonts w:ascii="Times New Roman" w:hAnsi="Times New Roman" w:eastAsia="宋体" w:cs="Times New Roman"/>
      <w:kern w:val="2"/>
      <w:sz w:val="22"/>
      <w:szCs w:val="22"/>
      <w:lang w:val="en-US" w:eastAsia="zh-CN" w:bidi="ar-SA"/>
    </w:rPr>
  </w:style>
  <w:style w:type="paragraph" w:customStyle="1" w:styleId="111">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3">
    <w:name w:val="font7"/>
    <w:basedOn w:val="1"/>
    <w:qFormat/>
    <w:uiPriority w:val="0"/>
    <w:pPr>
      <w:widowControl/>
      <w:spacing w:before="100" w:beforeAutospacing="1" w:after="100" w:afterAutospacing="1"/>
      <w:jc w:val="left"/>
    </w:pPr>
    <w:rPr>
      <w:b/>
      <w:bCs/>
      <w:kern w:val="0"/>
      <w:sz w:val="32"/>
      <w:szCs w:val="32"/>
    </w:rPr>
  </w:style>
  <w:style w:type="paragraph" w:styleId="114">
    <w:name w:val="List Paragraph"/>
    <w:basedOn w:val="1"/>
    <w:link w:val="199"/>
    <w:qFormat/>
    <w:uiPriority w:val="99"/>
    <w:pPr>
      <w:ind w:firstLine="420" w:firstLineChars="200"/>
    </w:pPr>
  </w:style>
  <w:style w:type="paragraph" w:customStyle="1" w:styleId="115">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6">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8">
    <w:name w:val="修订版本号1"/>
    <w:qFormat/>
    <w:uiPriority w:val="0"/>
    <w:rPr>
      <w:rFonts w:ascii="Times New Roman" w:hAnsi="Times New Roman" w:eastAsia="宋体" w:cs="Times New Roman"/>
      <w:kern w:val="2"/>
      <w:sz w:val="21"/>
      <w:lang w:val="en-US" w:eastAsia="zh-CN" w:bidi="ar-SA"/>
    </w:rPr>
  </w:style>
  <w:style w:type="paragraph" w:customStyle="1" w:styleId="119">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0">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1">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2">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3">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4">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6">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7">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8">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9">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0">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1">
    <w:name w:val="默认段落字体 Para Char Char Char Char Char Char Char"/>
    <w:basedOn w:val="1"/>
    <w:qFormat/>
    <w:uiPriority w:val="0"/>
    <w:rPr>
      <w:rFonts w:ascii="Tahoma" w:hAnsi="Tahoma"/>
      <w:sz w:val="24"/>
    </w:rPr>
  </w:style>
  <w:style w:type="paragraph" w:customStyle="1" w:styleId="132">
    <w:name w:val="Char Char1 Char Char Char Char Char Char Char Char Char Char Char Char"/>
    <w:basedOn w:val="1"/>
    <w:qFormat/>
    <w:uiPriority w:val="0"/>
    <w:rPr>
      <w:szCs w:val="24"/>
    </w:rPr>
  </w:style>
  <w:style w:type="paragraph" w:customStyle="1" w:styleId="133">
    <w:name w:val="Char Char Char Char Char Char Char Char Char Char"/>
    <w:basedOn w:val="1"/>
    <w:qFormat/>
    <w:uiPriority w:val="0"/>
    <w:rPr>
      <w:rFonts w:ascii="Tahoma" w:hAnsi="Tahoma" w:cs="Tahoma"/>
      <w:sz w:val="24"/>
      <w:szCs w:val="24"/>
    </w:rPr>
  </w:style>
  <w:style w:type="paragraph" w:customStyle="1" w:styleId="134">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5">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6">
    <w:name w:val="正文（首行缩进两字）"/>
    <w:basedOn w:val="1"/>
    <w:qFormat/>
    <w:uiPriority w:val="0"/>
  </w:style>
  <w:style w:type="paragraph" w:customStyle="1" w:styleId="13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0">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1">
    <w:name w:val="列出段落2"/>
    <w:basedOn w:val="1"/>
    <w:qFormat/>
    <w:uiPriority w:val="0"/>
    <w:pPr>
      <w:widowControl/>
      <w:ind w:firstLine="420" w:firstLineChars="200"/>
      <w:jc w:val="left"/>
    </w:pPr>
    <w:rPr>
      <w:kern w:val="0"/>
      <w:sz w:val="24"/>
    </w:rPr>
  </w:style>
  <w:style w:type="character" w:customStyle="1" w:styleId="142">
    <w:name w:val="页眉 Char1"/>
    <w:qFormat/>
    <w:uiPriority w:val="0"/>
    <w:rPr>
      <w:rFonts w:ascii="Times New Roman" w:hAnsi="Times New Roman" w:eastAsia="宋体" w:cs="Times New Roman"/>
      <w:kern w:val="2"/>
      <w:sz w:val="18"/>
      <w:szCs w:val="18"/>
      <w:lang w:val="en-US" w:eastAsia="zh-CN" w:bidi="ar-SA"/>
    </w:rPr>
  </w:style>
  <w:style w:type="character" w:customStyle="1" w:styleId="143">
    <w:name w:val="正文文本字符1"/>
    <w:semiHidden/>
    <w:qFormat/>
    <w:uiPriority w:val="99"/>
    <w:rPr>
      <w:rFonts w:ascii="Times New Roman" w:hAnsi="Times New Roman" w:eastAsia="宋体" w:cs="Times New Roman"/>
      <w:sz w:val="21"/>
      <w:szCs w:val="20"/>
    </w:rPr>
  </w:style>
  <w:style w:type="character" w:customStyle="1" w:styleId="144">
    <w:name w:val="无间隔 Char"/>
    <w:link w:val="110"/>
    <w:qFormat/>
    <w:uiPriority w:val="0"/>
    <w:rPr>
      <w:rFonts w:ascii="Times New Roman" w:hAnsi="Times New Roman" w:eastAsia="宋体" w:cs="Times New Roman"/>
      <w:sz w:val="22"/>
    </w:rPr>
  </w:style>
  <w:style w:type="character" w:customStyle="1" w:styleId="145">
    <w:name w:val="正文文本缩进 3字符1"/>
    <w:semiHidden/>
    <w:qFormat/>
    <w:uiPriority w:val="99"/>
    <w:rPr>
      <w:rFonts w:ascii="Times New Roman" w:hAnsi="Times New Roman" w:eastAsia="宋体" w:cs="Times New Roman"/>
      <w:sz w:val="16"/>
      <w:szCs w:val="16"/>
    </w:rPr>
  </w:style>
  <w:style w:type="character" w:customStyle="1" w:styleId="146">
    <w:name w:val="日期 Char1"/>
    <w:qFormat/>
    <w:uiPriority w:val="0"/>
    <w:rPr>
      <w:rFonts w:ascii="Times New Roman" w:hAnsi="Times New Roman" w:eastAsia="宋体" w:cs="Times New Roman"/>
      <w:kern w:val="2"/>
      <w:sz w:val="21"/>
      <w:lang w:val="en-US" w:eastAsia="zh-CN" w:bidi="ar-SA"/>
    </w:rPr>
  </w:style>
  <w:style w:type="character" w:customStyle="1" w:styleId="147">
    <w:name w:val="正文文本 Char1"/>
    <w:qFormat/>
    <w:uiPriority w:val="0"/>
    <w:rPr>
      <w:rFonts w:ascii="Times New Roman" w:hAnsi="Times New Roman" w:eastAsia="宋体" w:cs="Times New Roman"/>
      <w:kern w:val="2"/>
      <w:sz w:val="21"/>
      <w:lang w:val="en-US" w:eastAsia="zh-CN" w:bidi="ar-SA"/>
    </w:rPr>
  </w:style>
  <w:style w:type="character" w:customStyle="1" w:styleId="148">
    <w:name w:val="页脚 Char1"/>
    <w:qFormat/>
    <w:uiPriority w:val="0"/>
    <w:rPr>
      <w:rFonts w:ascii="Times New Roman" w:hAnsi="Times New Roman" w:eastAsia="宋体" w:cs="Times New Roman"/>
      <w:kern w:val="2"/>
      <w:sz w:val="18"/>
      <w:szCs w:val="18"/>
      <w:lang w:val="en-US" w:eastAsia="zh-CN" w:bidi="ar-SA"/>
    </w:rPr>
  </w:style>
  <w:style w:type="character" w:customStyle="1" w:styleId="149">
    <w:name w:val="apple-converted-space"/>
    <w:qFormat/>
    <w:uiPriority w:val="0"/>
    <w:rPr>
      <w:rFonts w:ascii="Times New Roman" w:hAnsi="Times New Roman" w:eastAsia="宋体" w:cs="Times New Roman"/>
      <w:lang w:val="en-US" w:eastAsia="zh-CN" w:bidi="ar-SA"/>
    </w:rPr>
  </w:style>
  <w:style w:type="character" w:customStyle="1" w:styleId="150">
    <w:name w:val="批注主题字符1"/>
    <w:semiHidden/>
    <w:qFormat/>
    <w:uiPriority w:val="99"/>
    <w:rPr>
      <w:rFonts w:ascii="Times New Roman" w:hAnsi="Times New Roman" w:eastAsia="宋体" w:cs="Times New Roman"/>
      <w:b/>
      <w:bCs/>
      <w:sz w:val="21"/>
      <w:szCs w:val="20"/>
    </w:rPr>
  </w:style>
  <w:style w:type="character" w:customStyle="1" w:styleId="151">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2">
    <w:name w:val="页脚字符1"/>
    <w:semiHidden/>
    <w:qFormat/>
    <w:uiPriority w:val="99"/>
    <w:rPr>
      <w:rFonts w:ascii="Times New Roman" w:hAnsi="Times New Roman" w:eastAsia="宋体" w:cs="Times New Roman"/>
      <w:sz w:val="18"/>
      <w:szCs w:val="18"/>
    </w:rPr>
  </w:style>
  <w:style w:type="character" w:customStyle="1" w:styleId="153">
    <w:name w:val="页码1"/>
    <w:qFormat/>
    <w:uiPriority w:val="0"/>
    <w:rPr>
      <w:rFonts w:ascii="Times New Roman" w:hAnsi="Times New Roman" w:eastAsia="宋体" w:cs="Times New Roman"/>
      <w:lang w:val="en-US" w:eastAsia="zh-CN" w:bidi="ar-SA"/>
    </w:rPr>
  </w:style>
  <w:style w:type="character" w:customStyle="1" w:styleId="154">
    <w:name w:val="文档结构图 Char1"/>
    <w:qFormat/>
    <w:uiPriority w:val="0"/>
    <w:rPr>
      <w:rFonts w:ascii="宋体" w:hAnsi="Times New Roman" w:eastAsia="宋体" w:cs="Times New Roman"/>
      <w:kern w:val="2"/>
      <w:sz w:val="18"/>
      <w:szCs w:val="18"/>
      <w:lang w:val="en-US" w:eastAsia="zh-CN" w:bidi="ar-SA"/>
    </w:rPr>
  </w:style>
  <w:style w:type="character" w:customStyle="1" w:styleId="155">
    <w:name w:val="正文文本缩进 2字符1"/>
    <w:semiHidden/>
    <w:qFormat/>
    <w:uiPriority w:val="99"/>
    <w:rPr>
      <w:rFonts w:ascii="Times New Roman" w:hAnsi="Times New Roman" w:eastAsia="宋体" w:cs="Times New Roman"/>
      <w:sz w:val="21"/>
      <w:szCs w:val="20"/>
    </w:rPr>
  </w:style>
  <w:style w:type="character" w:customStyle="1" w:styleId="156">
    <w:name w:val="纯文本字符1"/>
    <w:semiHidden/>
    <w:qFormat/>
    <w:uiPriority w:val="99"/>
    <w:rPr>
      <w:rFonts w:ascii="宋体" w:hAnsi="Courier" w:eastAsia="宋体" w:cs="Times New Roman"/>
    </w:rPr>
  </w:style>
  <w:style w:type="character" w:customStyle="1" w:styleId="157">
    <w:name w:val="批注文字 Char1"/>
    <w:qFormat/>
    <w:uiPriority w:val="0"/>
    <w:rPr>
      <w:rFonts w:ascii="Times New Roman" w:hAnsi="Times New Roman" w:eastAsia="宋体" w:cs="Times New Roman"/>
      <w:sz w:val="21"/>
      <w:szCs w:val="20"/>
    </w:rPr>
  </w:style>
  <w:style w:type="character" w:customStyle="1" w:styleId="158">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9">
    <w:name w:val="批注框文本字符1"/>
    <w:semiHidden/>
    <w:qFormat/>
    <w:uiPriority w:val="99"/>
    <w:rPr>
      <w:rFonts w:ascii="Heiti SC Light" w:hAnsi="Times New Roman" w:eastAsia="Heiti SC Light" w:cs="Times New Roman"/>
      <w:sz w:val="18"/>
      <w:szCs w:val="18"/>
    </w:rPr>
  </w:style>
  <w:style w:type="character" w:customStyle="1" w:styleId="160">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1">
    <w:name w:val="页眉字符1"/>
    <w:semiHidden/>
    <w:qFormat/>
    <w:uiPriority w:val="99"/>
    <w:rPr>
      <w:rFonts w:ascii="Times New Roman" w:hAnsi="Times New Roman" w:eastAsia="宋体" w:cs="Times New Roman"/>
      <w:sz w:val="18"/>
      <w:szCs w:val="18"/>
    </w:rPr>
  </w:style>
  <w:style w:type="character" w:customStyle="1" w:styleId="162">
    <w:name w:val="纯文本 Char1"/>
    <w:qFormat/>
    <w:uiPriority w:val="0"/>
    <w:rPr>
      <w:rFonts w:ascii="宋体" w:hAnsi="Courier New" w:eastAsia="宋体" w:cs="Courier New"/>
      <w:kern w:val="2"/>
      <w:sz w:val="21"/>
      <w:szCs w:val="21"/>
      <w:lang w:val="en-US" w:eastAsia="zh-CN" w:bidi="ar-SA"/>
    </w:rPr>
  </w:style>
  <w:style w:type="character" w:customStyle="1" w:styleId="163">
    <w:name w:val="正文文本缩进 2 Char1"/>
    <w:qFormat/>
    <w:uiPriority w:val="0"/>
    <w:rPr>
      <w:rFonts w:ascii="Times New Roman" w:hAnsi="Times New Roman" w:eastAsia="宋体" w:cs="Times New Roman"/>
      <w:kern w:val="2"/>
      <w:sz w:val="21"/>
      <w:lang w:val="en-US" w:eastAsia="zh-CN" w:bidi="ar-SA"/>
    </w:rPr>
  </w:style>
  <w:style w:type="character" w:customStyle="1" w:styleId="164">
    <w:name w:val="文档结构图 字符1"/>
    <w:semiHidden/>
    <w:qFormat/>
    <w:uiPriority w:val="99"/>
    <w:rPr>
      <w:rFonts w:ascii="Heiti SC Light" w:hAnsi="Times New Roman" w:eastAsia="Heiti SC Light" w:cs="Times New Roman"/>
    </w:rPr>
  </w:style>
  <w:style w:type="character" w:customStyle="1" w:styleId="165">
    <w:name w:val="正文文本缩进 Char1"/>
    <w:qFormat/>
    <w:uiPriority w:val="0"/>
    <w:rPr>
      <w:rFonts w:ascii="Times New Roman" w:hAnsi="Times New Roman" w:eastAsia="宋体" w:cs="Times New Roman"/>
      <w:kern w:val="2"/>
      <w:sz w:val="21"/>
      <w:lang w:val="en-US" w:eastAsia="zh-CN" w:bidi="ar-SA"/>
    </w:rPr>
  </w:style>
  <w:style w:type="character" w:customStyle="1" w:styleId="166">
    <w:name w:val="正文文本缩进字符1"/>
    <w:semiHidden/>
    <w:qFormat/>
    <w:uiPriority w:val="99"/>
    <w:rPr>
      <w:rFonts w:ascii="Times New Roman" w:hAnsi="Times New Roman" w:eastAsia="宋体" w:cs="Times New Roman"/>
      <w:sz w:val="21"/>
      <w:szCs w:val="20"/>
    </w:rPr>
  </w:style>
  <w:style w:type="character" w:customStyle="1" w:styleId="167">
    <w:name w:val="日期字符1"/>
    <w:semiHidden/>
    <w:qFormat/>
    <w:uiPriority w:val="99"/>
    <w:rPr>
      <w:rFonts w:ascii="Times New Roman" w:hAnsi="Times New Roman" w:eastAsia="宋体" w:cs="Times New Roman"/>
      <w:sz w:val="21"/>
      <w:szCs w:val="20"/>
    </w:rPr>
  </w:style>
  <w:style w:type="table" w:customStyle="1" w:styleId="168">
    <w:name w:val="网格表 1 浅色1"/>
    <w:basedOn w:val="47"/>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9">
    <w:name w:val="纯文本 字符1"/>
    <w:semiHidden/>
    <w:qFormat/>
    <w:locked/>
    <w:uiPriority w:val="0"/>
    <w:rPr>
      <w:rFonts w:ascii="宋体" w:hAnsi="Courier New"/>
    </w:rPr>
  </w:style>
  <w:style w:type="character" w:customStyle="1" w:styleId="170">
    <w:name w:val="Header or footer|1_"/>
    <w:qFormat/>
    <w:uiPriority w:val="0"/>
    <w:rPr>
      <w:rFonts w:ascii="PMingLiU" w:hAnsi="PMingLiU" w:eastAsia="PMingLiU" w:cs="PMingLiU"/>
      <w:sz w:val="17"/>
      <w:szCs w:val="17"/>
      <w:u w:val="none"/>
    </w:rPr>
  </w:style>
  <w:style w:type="character" w:customStyle="1" w:styleId="171">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2">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3">
    <w:name w:val="Body text|3 Exact"/>
    <w:link w:val="174"/>
    <w:qFormat/>
    <w:uiPriority w:val="0"/>
    <w:rPr>
      <w:rFonts w:ascii="PMingLiU" w:hAnsi="PMingLiU" w:eastAsia="PMingLiU" w:cs="PMingLiU"/>
      <w:w w:val="350"/>
      <w:sz w:val="32"/>
      <w:szCs w:val="32"/>
      <w:shd w:val="clear" w:color="auto" w:fill="FFFFFF"/>
      <w:lang w:eastAsia="en-US" w:bidi="en-US"/>
    </w:rPr>
  </w:style>
  <w:style w:type="paragraph" w:customStyle="1" w:styleId="174">
    <w:name w:val="Body text|3"/>
    <w:basedOn w:val="1"/>
    <w:link w:val="173"/>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5">
    <w:name w:val="Body text|2_"/>
    <w:link w:val="176"/>
    <w:qFormat/>
    <w:uiPriority w:val="0"/>
    <w:rPr>
      <w:rFonts w:ascii="PMingLiU" w:hAnsi="PMingLiU" w:eastAsia="PMingLiU" w:cs="PMingLiU"/>
      <w:sz w:val="22"/>
      <w:shd w:val="clear" w:color="auto" w:fill="FFFFFF"/>
    </w:rPr>
  </w:style>
  <w:style w:type="paragraph" w:customStyle="1" w:styleId="176">
    <w:name w:val="Body text|2"/>
    <w:basedOn w:val="1"/>
    <w:link w:val="175"/>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7">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8">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9">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80">
    <w:name w:val="Heading #2|1_"/>
    <w:link w:val="181"/>
    <w:qFormat/>
    <w:uiPriority w:val="0"/>
    <w:rPr>
      <w:rFonts w:ascii="PMingLiU" w:hAnsi="PMingLiU" w:eastAsia="PMingLiU" w:cs="PMingLiU"/>
      <w:b/>
      <w:bCs/>
      <w:spacing w:val="20"/>
      <w:sz w:val="23"/>
      <w:szCs w:val="23"/>
      <w:shd w:val="clear" w:color="auto" w:fill="FFFFFF"/>
    </w:rPr>
  </w:style>
  <w:style w:type="paragraph" w:customStyle="1" w:styleId="181">
    <w:name w:val="Heading #2|1"/>
    <w:basedOn w:val="1"/>
    <w:link w:val="180"/>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2">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3">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4">
    <w:name w:val="Body text|4_"/>
    <w:link w:val="185"/>
    <w:qFormat/>
    <w:uiPriority w:val="0"/>
    <w:rPr>
      <w:rFonts w:ascii="PMingLiU" w:hAnsi="PMingLiU" w:eastAsia="PMingLiU" w:cs="PMingLiU"/>
      <w:sz w:val="19"/>
      <w:szCs w:val="19"/>
      <w:shd w:val="clear" w:color="auto" w:fill="FFFFFF"/>
    </w:rPr>
  </w:style>
  <w:style w:type="paragraph" w:customStyle="1" w:styleId="185">
    <w:name w:val="Body text|4"/>
    <w:basedOn w:val="1"/>
    <w:link w:val="184"/>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6">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7">
    <w:name w:val="Body text|5_"/>
    <w:link w:val="188"/>
    <w:qFormat/>
    <w:uiPriority w:val="0"/>
    <w:rPr>
      <w:sz w:val="8"/>
      <w:szCs w:val="8"/>
      <w:shd w:val="clear" w:color="auto" w:fill="FFFFFF"/>
      <w:lang w:eastAsia="en-US" w:bidi="en-US"/>
    </w:rPr>
  </w:style>
  <w:style w:type="paragraph" w:customStyle="1" w:styleId="188">
    <w:name w:val="Body text|5"/>
    <w:basedOn w:val="1"/>
    <w:link w:val="187"/>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9">
    <w:name w:val="font11"/>
    <w:qFormat/>
    <w:uiPriority w:val="0"/>
    <w:rPr>
      <w:rFonts w:hint="eastAsia" w:ascii="宋体" w:hAnsi="宋体" w:eastAsia="宋体" w:cs="宋体"/>
      <w:color w:val="000000"/>
      <w:sz w:val="22"/>
      <w:szCs w:val="22"/>
      <w:u w:val="none"/>
    </w:rPr>
  </w:style>
  <w:style w:type="character" w:customStyle="1" w:styleId="190">
    <w:name w:val="font01"/>
    <w:qFormat/>
    <w:uiPriority w:val="0"/>
    <w:rPr>
      <w:rFonts w:ascii="font-weight : 400" w:hAnsi="font-weight : 400" w:eastAsia="font-weight : 400" w:cs="font-weight : 400"/>
      <w:color w:val="000000"/>
      <w:sz w:val="22"/>
      <w:szCs w:val="22"/>
      <w:u w:val="none"/>
    </w:rPr>
  </w:style>
  <w:style w:type="paragraph" w:customStyle="1" w:styleId="191">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2">
    <w:name w:val="Placeholder Text"/>
    <w:basedOn w:val="49"/>
    <w:semiHidden/>
    <w:qFormat/>
    <w:uiPriority w:val="99"/>
    <w:rPr>
      <w:color w:val="808080"/>
    </w:rPr>
  </w:style>
  <w:style w:type="paragraph" w:customStyle="1" w:styleId="193">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4">
    <w:name w:val="B1二级标题"/>
    <w:basedOn w:val="1"/>
    <w:link w:val="195"/>
    <w:qFormat/>
    <w:uiPriority w:val="99"/>
    <w:pPr>
      <w:widowControl/>
      <w:numPr>
        <w:ilvl w:val="1"/>
        <w:numId w:val="1"/>
      </w:numPr>
      <w:spacing w:before="156" w:beforeLines="50" w:after="156" w:line="360" w:lineRule="auto"/>
      <w:jc w:val="left"/>
      <w:outlineLvl w:val="1"/>
    </w:pPr>
    <w:rPr>
      <w:sz w:val="24"/>
      <w:szCs w:val="24"/>
    </w:rPr>
  </w:style>
  <w:style w:type="character" w:customStyle="1" w:styleId="195">
    <w:name w:val="B1二级标题 Char"/>
    <w:link w:val="194"/>
    <w:qFormat/>
    <w:uiPriority w:val="99"/>
    <w:rPr>
      <w:rFonts w:ascii="Times New Roman" w:hAnsi="Times New Roman" w:eastAsia="宋体" w:cs="Times New Roman"/>
      <w:sz w:val="24"/>
      <w:szCs w:val="24"/>
    </w:rPr>
  </w:style>
  <w:style w:type="paragraph" w:customStyle="1" w:styleId="196">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7">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8">
    <w:name w:val="网格型1"/>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9">
    <w:name w:val="列表段落 字符"/>
    <w:link w:val="114"/>
    <w:qFormat/>
    <w:uiPriority w:val="99"/>
    <w:rPr>
      <w:rFonts w:ascii="Times New Roman" w:hAnsi="Times New Roman"/>
      <w:kern w:val="2"/>
      <w:sz w:val="21"/>
    </w:rPr>
  </w:style>
  <w:style w:type="paragraph" w:customStyle="1" w:styleId="200">
    <w:name w:val="修订1"/>
    <w:hidden/>
    <w:semiHidden/>
    <w:qFormat/>
    <w:uiPriority w:val="99"/>
    <w:rPr>
      <w:rFonts w:ascii="Times New Roman" w:hAnsi="Times New Roman" w:eastAsia="宋体" w:cs="Times New Roman"/>
      <w:kern w:val="2"/>
      <w:sz w:val="21"/>
      <w:lang w:val="en-US" w:eastAsia="zh-CN" w:bidi="ar-SA"/>
    </w:rPr>
  </w:style>
  <w:style w:type="character" w:customStyle="1" w:styleId="201">
    <w:name w:val="纯文本 Char"/>
    <w:qFormat/>
    <w:uiPriority w:val="0"/>
    <w:rPr>
      <w:rFonts w:ascii="宋体" w:hAnsi="Courier New" w:eastAsia="宋体" w:cs="Times New Roman"/>
    </w:rPr>
  </w:style>
  <w:style w:type="paragraph" w:customStyle="1" w:styleId="202">
    <w:name w:val="_Style 200"/>
    <w:basedOn w:val="1"/>
    <w:next w:val="114"/>
    <w:link w:val="203"/>
    <w:qFormat/>
    <w:uiPriority w:val="34"/>
    <w:pPr>
      <w:ind w:firstLine="420" w:firstLineChars="200"/>
    </w:pPr>
  </w:style>
  <w:style w:type="character" w:customStyle="1" w:styleId="203">
    <w:name w:val="列出段落 Char"/>
    <w:link w:val="202"/>
    <w:qFormat/>
    <w:uiPriority w:val="34"/>
    <w:rPr>
      <w:rFonts w:ascii="Times New Roman" w:hAnsi="Times New Roman"/>
      <w:kern w:val="2"/>
      <w:sz w:val="21"/>
    </w:rPr>
  </w:style>
  <w:style w:type="paragraph" w:customStyle="1" w:styleId="204">
    <w:name w:val="彩色列表 - 着色 11"/>
    <w:basedOn w:val="1"/>
    <w:qFormat/>
    <w:uiPriority w:val="99"/>
    <w:pPr>
      <w:ind w:firstLine="420" w:firstLineChars="200"/>
    </w:pPr>
  </w:style>
  <w:style w:type="character" w:customStyle="1" w:styleId="205">
    <w:name w:val="font21"/>
    <w:qFormat/>
    <w:uiPriority w:val="0"/>
    <w:rPr>
      <w:rFonts w:hint="eastAsia" w:ascii="微软雅黑" w:hAnsi="微软雅黑" w:eastAsia="微软雅黑" w:cs="微软雅黑"/>
      <w:color w:val="000000"/>
      <w:sz w:val="18"/>
      <w:szCs w:val="18"/>
      <w:u w:val="none"/>
    </w:rPr>
  </w:style>
  <w:style w:type="paragraph" w:customStyle="1" w:styleId="206">
    <w:name w:val="Revision"/>
    <w:hidden/>
    <w:semiHidden/>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C8241A-B525-43D4-AFC0-EFCD45C43E4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96</Pages>
  <Words>8717</Words>
  <Characters>49688</Characters>
  <Lines>414</Lines>
  <Paragraphs>116</Paragraphs>
  <TotalTime>169</TotalTime>
  <ScaleCrop>false</ScaleCrop>
  <LinksUpToDate>false</LinksUpToDate>
  <CharactersWithSpaces>58289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2022-03-14T09:24:00Z</dcterms:created>
  <dc:creator>郑晓伟</dc:creator>
  <cp:lastModifiedBy>NTKO</cp:lastModifiedBy>
  <cp:lastPrinted>2022-03-18T13:03:00Z</cp:lastPrinted>
  <dcterms:modified xsi:type="dcterms:W3CDTF">2022-03-24T09:45:47Z</dcterms:modified>
  <dc:title>前海时代项目定位及物业发展建议研究服务项目比选文件</dc:title>
  <cp:revision>302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0FF2B8BD3CFC4E9084BCE872D4AE70C0</vt:lpwstr>
  </property>
</Properties>
</file>