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bookmarkStart w:id="0" w:name="_Toc98264004"/>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bookmarkEnd w:id="0"/>
    </w:p>
    <w:p/>
    <w:p>
      <w:pPr>
        <w:adjustRightInd w:val="0"/>
        <w:snapToGrid w:val="0"/>
        <w:spacing w:line="336"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r>
        <w:rPr>
          <w:rFonts w:hint="eastAsia" w:ascii="宋体" w:hAnsi="宋体"/>
          <w:bCs/>
          <w:color w:val="0D0D0D" w:themeColor="text1" w:themeTint="F2"/>
          <w:kern w:val="0"/>
          <w:sz w:val="24"/>
          <w:szCs w:val="22"/>
          <w14:textFill>
            <w14:solidFill>
              <w14:schemeClr w14:val="tx1">
                <w14:lumMod w14:val="95000"/>
                <w14:lumOff w14:val="5000"/>
              </w14:schemeClr>
            </w14:solidFill>
          </w14:textFill>
        </w:rPr>
        <w:t>拟对</w:t>
      </w:r>
      <w:r>
        <w:rPr>
          <w:rFonts w:hint="eastAsia" w:hAnsi="宋体"/>
          <w:b/>
          <w:bCs/>
          <w:color w:val="0D0D0D" w:themeColor="text1" w:themeTint="F2"/>
          <w:sz w:val="24"/>
          <w:szCs w:val="22"/>
          <w:u w:val="single"/>
          <w14:textFill>
            <w14:solidFill>
              <w14:schemeClr w14:val="tx1">
                <w14:lumMod w14:val="95000"/>
                <w14:lumOff w14:val="5000"/>
              </w14:schemeClr>
            </w14:solidFill>
          </w14:textFill>
        </w:rPr>
        <w:t>深铁置业2022年度拟销售项目展示区开放系列活动、现场包装及宣传推广服务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5"/>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深铁置业2022年度拟销售项目展示区开放系列活动、现场包装及宣传推广服务</w:t>
      </w:r>
    </w:p>
    <w:p>
      <w:pPr>
        <w:pStyle w:val="5"/>
        <w:snapToGrid w:val="0"/>
        <w:spacing w:line="336" w:lineRule="auto"/>
        <w:ind w:firstLine="482" w:firstLineChars="200"/>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tbl>
      <w:tblPr>
        <w:tblStyle w:val="7"/>
        <w:tblW w:w="50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984"/>
        <w:gridCol w:w="5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序号</w:t>
            </w:r>
          </w:p>
        </w:tc>
        <w:tc>
          <w:tcPr>
            <w:tcW w:w="1155"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项目名称</w:t>
            </w:r>
          </w:p>
        </w:tc>
        <w:tc>
          <w:tcPr>
            <w:tcW w:w="3485"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1</w:t>
            </w:r>
          </w:p>
        </w:tc>
        <w:tc>
          <w:tcPr>
            <w:tcW w:w="115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深铁珑境花园</w:t>
            </w:r>
          </w:p>
        </w:tc>
        <w:tc>
          <w:tcPr>
            <w:tcW w:w="348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深铁珑境花园位于深圳市龙华区大浪街道布龙路与和平路交汇处，接驳地铁4号线龙胜站。项目为深铁置业在龙华首献作品，住宅首批主推建面约180</w:t>
            </w:r>
            <w:r>
              <w:rPr>
                <w:rFonts w:hint="eastAsia" w:ascii="宋体" w:hAnsi="宋体" w:cs="Segoe UI Symbol"/>
                <w:kern w:val="0"/>
                <w:sz w:val="22"/>
                <w:szCs w:val="22"/>
              </w:rPr>
              <w:t>㎡</w:t>
            </w:r>
            <w:r>
              <w:rPr>
                <w:rFonts w:hint="eastAsia" w:ascii="宋体" w:hAnsi="宋体" w:cs="仿宋_GB2312"/>
                <w:kern w:val="0"/>
                <w:sz w:val="22"/>
                <w:szCs w:val="22"/>
              </w:rPr>
              <w:t>复式</w:t>
            </w:r>
            <w:r>
              <w:rPr>
                <w:rFonts w:hint="eastAsia" w:ascii="宋体" w:hAnsi="宋体"/>
                <w:kern w:val="0"/>
                <w:sz w:val="22"/>
                <w:szCs w:val="22"/>
              </w:rPr>
              <w:t>和10</w:t>
            </w:r>
            <w:r>
              <w:rPr>
                <w:rFonts w:ascii="宋体" w:hAnsi="宋体"/>
                <w:kern w:val="0"/>
                <w:sz w:val="22"/>
                <w:szCs w:val="22"/>
              </w:rPr>
              <w:t>7</w:t>
            </w:r>
            <w:r>
              <w:rPr>
                <w:rFonts w:hint="eastAsia" w:ascii="宋体" w:hAnsi="宋体"/>
                <w:kern w:val="0"/>
                <w:sz w:val="22"/>
                <w:szCs w:val="22"/>
              </w:rPr>
              <w:t>-143</w:t>
            </w:r>
            <w:r>
              <w:rPr>
                <w:rFonts w:hint="eastAsia" w:ascii="宋体" w:hAnsi="宋体" w:cs="Segoe UI Symbol"/>
                <w:kern w:val="0"/>
                <w:sz w:val="22"/>
                <w:szCs w:val="22"/>
              </w:rPr>
              <w:t>㎡</w:t>
            </w:r>
            <w:r>
              <w:rPr>
                <w:rFonts w:hint="eastAsia" w:ascii="宋体" w:hAnsi="宋体" w:cs="仿宋_GB2312"/>
                <w:kern w:val="0"/>
                <w:sz w:val="22"/>
                <w:szCs w:val="22"/>
              </w:rPr>
              <w:t>洋</w:t>
            </w:r>
            <w:r>
              <w:rPr>
                <w:rFonts w:hint="eastAsia" w:ascii="宋体" w:hAnsi="宋体"/>
                <w:kern w:val="0"/>
                <w:sz w:val="22"/>
                <w:szCs w:val="22"/>
              </w:rPr>
              <w:t>房，是集高端住宅、缤纷商业、生态景观、自带学府约28万</w:t>
            </w:r>
            <w:r>
              <w:rPr>
                <w:rFonts w:hint="eastAsia" w:ascii="宋体" w:hAnsi="宋体" w:cs="Segoe UI Symbol"/>
                <w:kern w:val="0"/>
                <w:sz w:val="22"/>
                <w:szCs w:val="22"/>
              </w:rPr>
              <w:t>㎡</w:t>
            </w:r>
            <w:r>
              <w:rPr>
                <w:rFonts w:hint="eastAsia" w:ascii="宋体" w:hAnsi="宋体" w:cs="仿宋_GB2312"/>
                <w:kern w:val="0"/>
                <w:sz w:val="22"/>
                <w:szCs w:val="22"/>
              </w:rPr>
              <w:t>纯居大型综合体，以超低密度、低容积率定义舒居生活</w:t>
            </w:r>
            <w:r>
              <w:rPr>
                <w:rFonts w:hint="eastAsia" w:ascii="宋体" w:hAnsi="宋体"/>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2</w:t>
            </w:r>
          </w:p>
        </w:tc>
        <w:tc>
          <w:tcPr>
            <w:tcW w:w="115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深铁璟城</w:t>
            </w:r>
          </w:p>
        </w:tc>
        <w:tc>
          <w:tcPr>
            <w:tcW w:w="348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深铁璟城位于深圳市宝安区松岗片区地铁11号线终点站碧头站上盖，东宝河南侧，松福大道以北。项目总占地约33万</w:t>
            </w:r>
            <w:r>
              <w:rPr>
                <w:rFonts w:hint="eastAsia" w:ascii="宋体" w:hAnsi="宋体" w:cs="Segoe UI Symbol"/>
                <w:kern w:val="0"/>
                <w:sz w:val="22"/>
                <w:szCs w:val="22"/>
              </w:rPr>
              <w:t>㎡</w:t>
            </w:r>
            <w:r>
              <w:rPr>
                <w:rFonts w:hint="eastAsia" w:ascii="宋体" w:hAnsi="宋体" w:cs="仿宋_GB2312"/>
                <w:kern w:val="0"/>
                <w:sz w:val="22"/>
                <w:szCs w:val="22"/>
              </w:rPr>
              <w:t>，建筑面积约</w:t>
            </w:r>
            <w:r>
              <w:rPr>
                <w:rFonts w:hint="eastAsia" w:ascii="宋体" w:hAnsi="宋体"/>
                <w:kern w:val="0"/>
                <w:sz w:val="22"/>
                <w:szCs w:val="22"/>
              </w:rPr>
              <w:t>70万</w:t>
            </w:r>
            <w:r>
              <w:rPr>
                <w:rFonts w:hint="eastAsia" w:ascii="宋体" w:hAnsi="宋体" w:cs="Segoe UI Symbol"/>
                <w:kern w:val="0"/>
                <w:sz w:val="22"/>
                <w:szCs w:val="22"/>
              </w:rPr>
              <w:t>㎡</w:t>
            </w:r>
            <w:r>
              <w:rPr>
                <w:rFonts w:hint="eastAsia" w:ascii="宋体" w:hAnsi="宋体" w:cs="仿宋_GB2312"/>
                <w:kern w:val="0"/>
                <w:sz w:val="22"/>
                <w:szCs w:val="22"/>
              </w:rPr>
              <w:t>，是集高端住宅、缤纷商业、运动公园、九年教育配套于一体的大型生态综合体，其中首批推出北区盖上</w:t>
            </w:r>
            <w:r>
              <w:rPr>
                <w:rFonts w:hint="eastAsia" w:ascii="宋体" w:hAnsi="宋体"/>
                <w:kern w:val="0"/>
                <w:sz w:val="22"/>
                <w:szCs w:val="22"/>
              </w:rPr>
              <w:t>1244套75-148平2-4房的低密住宅产品。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3</w:t>
            </w:r>
          </w:p>
        </w:tc>
        <w:tc>
          <w:tcPr>
            <w:tcW w:w="115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深铁懿府</w:t>
            </w:r>
          </w:p>
        </w:tc>
        <w:tc>
          <w:tcPr>
            <w:tcW w:w="348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深铁懿府位于深圳南山华侨城北片区，安托山西侧，深云路以东，广深高速以北。项目总建设用地面积约</w:t>
            </w:r>
            <w:r>
              <w:rPr>
                <w:rFonts w:ascii="宋体" w:hAnsi="宋体"/>
                <w:kern w:val="0"/>
                <w:sz w:val="22"/>
                <w:szCs w:val="22"/>
              </w:rPr>
              <w:t>21万㎡，总建筑面积约75万㎡</w:t>
            </w:r>
            <w:r>
              <w:rPr>
                <w:rFonts w:hint="eastAsia" w:ascii="宋体" w:hAnsi="宋体"/>
                <w:kern w:val="0"/>
                <w:sz w:val="22"/>
                <w:szCs w:val="22"/>
              </w:rPr>
              <w:t>，</w:t>
            </w:r>
            <w:r>
              <w:rPr>
                <w:rFonts w:ascii="宋体" w:hAnsi="宋体"/>
                <w:kern w:val="0"/>
                <w:sz w:val="22"/>
                <w:szCs w:val="22"/>
              </w:rPr>
              <w:t>是集住宅、商务公寓、写字楼、商业、教育配套、体育公园于一体的“复合人文生态综合体”。深铁懿府三期可售总面积约 68400㎡，可售套数约282套，主力户型为建筑面积约240㎡5房</w:t>
            </w:r>
            <w:r>
              <w:rPr>
                <w:rFonts w:hint="eastAsia" w:ascii="宋体" w:hAnsi="宋体"/>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4</w:t>
            </w:r>
          </w:p>
        </w:tc>
        <w:tc>
          <w:tcPr>
            <w:tcW w:w="115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地铁前海时代广场</w:t>
            </w:r>
            <w:r>
              <w:rPr>
                <w:rFonts w:ascii="宋体" w:hAnsi="宋体"/>
                <w:kern w:val="0"/>
                <w:sz w:val="22"/>
                <w:szCs w:val="22"/>
              </w:rPr>
              <w:t>4号地块</w:t>
            </w:r>
          </w:p>
        </w:tc>
        <w:tc>
          <w:tcPr>
            <w:tcW w:w="348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地铁前海时代广场位于深圳南山前海桂湾片区，梦海大道以东，怡海大道以西，桂湾四路以南，滨海大道以北。项目总建设用地面积约</w:t>
            </w:r>
            <w:r>
              <w:rPr>
                <w:rFonts w:ascii="宋体" w:hAnsi="宋体"/>
                <w:kern w:val="0"/>
                <w:sz w:val="22"/>
                <w:szCs w:val="22"/>
              </w:rPr>
              <w:t>33.6万㎡，总建筑面积约131万㎡</w:t>
            </w:r>
            <w:r>
              <w:rPr>
                <w:rFonts w:hint="eastAsia" w:ascii="宋体" w:hAnsi="宋体"/>
                <w:kern w:val="0"/>
                <w:sz w:val="22"/>
                <w:szCs w:val="22"/>
              </w:rPr>
              <w:t>，</w:t>
            </w:r>
            <w:r>
              <w:rPr>
                <w:rFonts w:ascii="宋体" w:hAnsi="宋体"/>
                <w:kern w:val="0"/>
                <w:sz w:val="22"/>
                <w:szCs w:val="22"/>
              </w:rPr>
              <w:t>是集住宅、商务公寓、写字楼、商业、酒店、教育配套、保障性住房于一体的“全业态综合体项目”。其中4号地块总面积为234451㎡，主要为办公、公寓及商业，定位全能商务综合体旗舰</w:t>
            </w:r>
            <w:r>
              <w:rPr>
                <w:rFonts w:hint="eastAsia" w:ascii="宋体" w:hAnsi="宋体"/>
                <w:kern w:val="0"/>
                <w:sz w:val="22"/>
                <w:szCs w:val="22"/>
              </w:rPr>
              <w:t>，</w:t>
            </w:r>
            <w:r>
              <w:rPr>
                <w:rFonts w:ascii="宋体" w:hAnsi="宋体"/>
                <w:kern w:val="0"/>
                <w:sz w:val="22"/>
                <w:szCs w:val="22"/>
              </w:rPr>
              <w:t>办公总面积为169350㎡</w:t>
            </w:r>
            <w:r>
              <w:rPr>
                <w:rFonts w:hint="eastAsia" w:ascii="宋体" w:hAnsi="宋体"/>
                <w:kern w:val="0"/>
                <w:sz w:val="22"/>
                <w:szCs w:val="22"/>
              </w:rPr>
              <w:t>，</w:t>
            </w:r>
            <w:r>
              <w:rPr>
                <w:rFonts w:ascii="宋体" w:hAnsi="宋体"/>
                <w:kern w:val="0"/>
                <w:sz w:val="22"/>
                <w:szCs w:val="22"/>
              </w:rPr>
              <w:t>公寓销售产品共计27200㎡。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5</w:t>
            </w:r>
          </w:p>
        </w:tc>
        <w:tc>
          <w:tcPr>
            <w:tcW w:w="1155" w:type="pct"/>
            <w:vAlign w:val="center"/>
          </w:tcPr>
          <w:p>
            <w:pPr>
              <w:adjustRightInd w:val="0"/>
              <w:snapToGrid w:val="0"/>
              <w:spacing w:line="276" w:lineRule="auto"/>
              <w:rPr>
                <w:rFonts w:ascii="宋体" w:hAnsi="宋体"/>
                <w:kern w:val="0"/>
                <w:sz w:val="22"/>
                <w:szCs w:val="22"/>
              </w:rPr>
            </w:pPr>
            <w:bookmarkStart w:id="1" w:name="_Hlk93996622"/>
            <w:r>
              <w:rPr>
                <w:rFonts w:hint="eastAsia" w:ascii="宋体" w:hAnsi="宋体"/>
                <w:kern w:val="0"/>
                <w:sz w:val="22"/>
                <w:szCs w:val="22"/>
              </w:rPr>
              <w:t>深铁赤湾项目</w:t>
            </w:r>
            <w:bookmarkEnd w:id="1"/>
          </w:p>
        </w:tc>
        <w:tc>
          <w:tcPr>
            <w:tcW w:w="348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深铁赤湾项目位于赤湾山以南，</w:t>
            </w:r>
            <w:r>
              <w:rPr>
                <w:rFonts w:ascii="宋体" w:hAnsi="宋体"/>
                <w:kern w:val="0"/>
                <w:sz w:val="22"/>
                <w:szCs w:val="22"/>
              </w:rPr>
              <w:t>12号线左炮台站，为地铁停车场开发物业</w:t>
            </w:r>
            <w:r>
              <w:rPr>
                <w:rFonts w:hint="eastAsia" w:ascii="宋体" w:hAnsi="宋体"/>
                <w:kern w:val="0"/>
                <w:sz w:val="22"/>
                <w:szCs w:val="22"/>
              </w:rPr>
              <w:t>。项目总</w:t>
            </w:r>
            <w:r>
              <w:rPr>
                <w:rFonts w:ascii="宋体" w:hAnsi="宋体"/>
                <w:kern w:val="0"/>
                <w:sz w:val="22"/>
                <w:szCs w:val="22"/>
              </w:rPr>
              <w:t>占地14.5万㎡，由商品房、可售型人才房、商业、幼儿园、九年一贯制学校、公共配套等组成。基于本项目自贸双核、倚山瞰海、生态景观、国际化人文环境的价值优势，整体定位为“自贸滨海中心·高端山海大境”，打造绿色、瞰海、国际、私享的高端豪宅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6</w:t>
            </w:r>
          </w:p>
        </w:tc>
        <w:tc>
          <w:tcPr>
            <w:tcW w:w="115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深铁瑞城项目</w:t>
            </w:r>
          </w:p>
        </w:tc>
        <w:tc>
          <w:tcPr>
            <w:tcW w:w="348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瑞城项目位于长圳车辆段，用地位于光侨路以北，科裕路以西，东长大道以东。项目用地面积188520㎡，总建筑面积633143㎡，总房源4776套。项目是集住宅、商业、教育配套、体育公园于一体的“复合人文生态综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7</w:t>
            </w:r>
          </w:p>
        </w:tc>
        <w:tc>
          <w:tcPr>
            <w:tcW w:w="1155" w:type="pct"/>
            <w:vAlign w:val="center"/>
          </w:tcPr>
          <w:p>
            <w:pPr>
              <w:adjustRightInd w:val="0"/>
              <w:snapToGrid w:val="0"/>
              <w:spacing w:line="276" w:lineRule="auto"/>
              <w:rPr>
                <w:rFonts w:ascii="宋体" w:hAnsi="宋体"/>
                <w:kern w:val="0"/>
                <w:sz w:val="22"/>
                <w:szCs w:val="22"/>
              </w:rPr>
            </w:pPr>
            <w:r>
              <w:rPr>
                <w:rFonts w:hint="eastAsia" w:ascii="宋体" w:hAnsi="宋体"/>
                <w:color w:val="000000"/>
                <w:kern w:val="0"/>
                <w:sz w:val="22"/>
                <w:szCs w:val="22"/>
              </w:rPr>
              <w:t>山海漫街</w:t>
            </w:r>
          </w:p>
        </w:tc>
        <w:tc>
          <w:tcPr>
            <w:tcW w:w="3485" w:type="pct"/>
            <w:vAlign w:val="center"/>
          </w:tcPr>
          <w:p>
            <w:pPr>
              <w:adjustRightInd w:val="0"/>
              <w:snapToGrid w:val="0"/>
              <w:spacing w:line="276" w:lineRule="auto"/>
              <w:rPr>
                <w:rFonts w:ascii="宋体" w:hAnsi="宋体"/>
                <w:kern w:val="0"/>
                <w:sz w:val="22"/>
                <w:szCs w:val="22"/>
              </w:rPr>
            </w:pPr>
            <w:r>
              <w:rPr>
                <w:rFonts w:hint="eastAsia" w:ascii="宋体" w:hAnsi="宋体"/>
                <w:color w:val="000000"/>
                <w:kern w:val="0"/>
                <w:sz w:val="22"/>
                <w:szCs w:val="22"/>
              </w:rPr>
              <w:t>山海漫街商业项目为南山蛇口西龙瑞</w:t>
            </w:r>
            <w:r>
              <w:rPr>
                <w:rFonts w:ascii="宋体" w:hAnsi="宋体"/>
                <w:color w:val="000000"/>
                <w:kern w:val="0"/>
                <w:sz w:val="22"/>
                <w:szCs w:val="22"/>
              </w:rPr>
              <w:t>佳园商业裙楼</w:t>
            </w:r>
            <w:r>
              <w:rPr>
                <w:rFonts w:hint="eastAsia" w:ascii="宋体" w:hAnsi="宋体"/>
                <w:color w:val="000000"/>
                <w:kern w:val="0"/>
                <w:sz w:val="22"/>
                <w:szCs w:val="22"/>
              </w:rPr>
              <w:t>，面积约</w:t>
            </w:r>
            <w:r>
              <w:rPr>
                <w:rFonts w:ascii="宋体" w:hAnsi="宋体"/>
                <w:color w:val="000000"/>
                <w:kern w:val="0"/>
                <w:sz w:val="22"/>
                <w:szCs w:val="22"/>
              </w:rPr>
              <w:t>5192</w:t>
            </w:r>
            <w:r>
              <w:rPr>
                <w:rFonts w:hint="eastAsia" w:ascii="宋体" w:hAnsi="宋体" w:cs="Batang"/>
                <w:color w:val="000000"/>
                <w:kern w:val="0"/>
                <w:sz w:val="22"/>
                <w:szCs w:val="22"/>
              </w:rPr>
              <w:t>㎡</w:t>
            </w:r>
            <w:r>
              <w:rPr>
                <w:rFonts w:hint="eastAsia" w:ascii="宋体" w:hAnsi="宋体"/>
                <w:color w:val="000000"/>
                <w:kern w:val="0"/>
                <w:sz w:val="22"/>
                <w:szCs w:val="22"/>
              </w:rPr>
              <w:t>，共31套商铺，面积约33-</w:t>
            </w:r>
            <w:r>
              <w:rPr>
                <w:rFonts w:ascii="宋体" w:hAnsi="宋体"/>
                <w:color w:val="000000"/>
                <w:kern w:val="0"/>
                <w:sz w:val="22"/>
                <w:szCs w:val="22"/>
              </w:rPr>
              <w:t>304</w:t>
            </w:r>
            <w:r>
              <w:rPr>
                <w:rFonts w:hint="eastAsia" w:ascii="宋体" w:hAnsi="宋体" w:cs="Batang"/>
                <w:color w:val="000000"/>
                <w:kern w:val="0"/>
                <w:sz w:val="22"/>
                <w:szCs w:val="22"/>
              </w:rPr>
              <w:t>㎡</w:t>
            </w:r>
            <w:r>
              <w:rPr>
                <w:rFonts w:hint="eastAsia" w:ascii="宋体" w:hAnsi="宋体" w:cs="仿宋_GB2312"/>
                <w:color w:val="000000"/>
                <w:kern w:val="0"/>
                <w:sz w:val="22"/>
                <w:szCs w:val="22"/>
              </w:rPr>
              <w:t>不等</w:t>
            </w:r>
            <w:r>
              <w:rPr>
                <w:rFonts w:hint="eastAsia" w:ascii="宋体" w:hAnsi="宋体"/>
                <w:color w:val="000000"/>
                <w:kern w:val="0"/>
                <w:sz w:val="22"/>
                <w:szCs w:val="22"/>
              </w:rPr>
              <w:t>。商业集中于架空层</w:t>
            </w:r>
            <w:r>
              <w:rPr>
                <w:rFonts w:ascii="宋体" w:hAnsi="宋体"/>
                <w:color w:val="000000"/>
                <w:kern w:val="0"/>
                <w:sz w:val="22"/>
                <w:szCs w:val="22"/>
              </w:rPr>
              <w:t>10</w:t>
            </w:r>
            <w:r>
              <w:rPr>
                <w:rFonts w:hint="eastAsia" w:ascii="宋体" w:hAnsi="宋体"/>
                <w:color w:val="000000"/>
                <w:kern w:val="0"/>
                <w:sz w:val="22"/>
                <w:szCs w:val="22"/>
              </w:rPr>
              <w:t>米平台，社区型围合式商业。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8</w:t>
            </w:r>
          </w:p>
        </w:tc>
        <w:tc>
          <w:tcPr>
            <w:tcW w:w="115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深铁金融科技大厦</w:t>
            </w:r>
          </w:p>
        </w:tc>
        <w:tc>
          <w:tcPr>
            <w:tcW w:w="348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深铁金融科技大厦地处科技园核心位置，两条地铁线接驳，南山区地标性建筑之一，片区商务氛围成熟，总部办公企业居多，主要以高新技术企业为主，承租能力强。项目占地约</w:t>
            </w:r>
            <w:r>
              <w:rPr>
                <w:rFonts w:ascii="宋体" w:hAnsi="宋体"/>
                <w:kern w:val="0"/>
                <w:sz w:val="22"/>
                <w:szCs w:val="22"/>
              </w:rPr>
              <w:t>9800㎡，建筑面积约97760㎡，集甲级办公、酒店、商业、片区交通枢纽为一体的超高层综合体，其中办公建筑面积约42487㎡</w:t>
            </w:r>
            <w:r>
              <w:rPr>
                <w:rFonts w:hint="eastAsia" w:ascii="宋体" w:hAnsi="宋体"/>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9</w:t>
            </w:r>
          </w:p>
        </w:tc>
        <w:tc>
          <w:tcPr>
            <w:tcW w:w="115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深铁置业大厦</w:t>
            </w:r>
          </w:p>
        </w:tc>
        <w:tc>
          <w:tcPr>
            <w:tcW w:w="3485"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深铁置业大厦位于车公庙商务区，四条地铁线接驳，与绿景</w:t>
            </w:r>
            <w:r>
              <w:rPr>
                <w:rFonts w:ascii="宋体" w:hAnsi="宋体"/>
                <w:kern w:val="0"/>
                <w:sz w:val="22"/>
                <w:szCs w:val="22"/>
              </w:rPr>
              <w:t>NEO大厦呈香蜜湖路两侧双子楼</w:t>
            </w:r>
            <w:r>
              <w:rPr>
                <w:rFonts w:hint="eastAsia" w:ascii="宋体" w:hAnsi="宋体"/>
                <w:kern w:val="0"/>
                <w:sz w:val="22"/>
                <w:szCs w:val="22"/>
              </w:rPr>
              <w:t>，</w:t>
            </w:r>
            <w:r>
              <w:rPr>
                <w:rFonts w:ascii="宋体" w:hAnsi="宋体"/>
                <w:kern w:val="0"/>
                <w:sz w:val="22"/>
                <w:szCs w:val="22"/>
              </w:rPr>
              <w:t>项目占地约6559.5㎡，建筑高度249米，计容建筑面积约11.6万㎡，涵盖写字楼和配套商业，其中1-4层为商业面积约1.2万㎡</w:t>
            </w:r>
            <w:r>
              <w:rPr>
                <w:rFonts w:hint="eastAsia" w:ascii="宋体" w:hAnsi="宋体"/>
                <w:kern w:val="0"/>
                <w:sz w:val="22"/>
                <w:szCs w:val="22"/>
              </w:rPr>
              <w:t>，</w:t>
            </w:r>
            <w:r>
              <w:rPr>
                <w:rFonts w:ascii="宋体" w:hAnsi="宋体"/>
                <w:kern w:val="0"/>
                <w:sz w:val="22"/>
                <w:szCs w:val="22"/>
              </w:rPr>
              <w:t>办公设置在5-55层面积约10.3万㎡</w:t>
            </w:r>
            <w:r>
              <w:rPr>
                <w:rFonts w:hint="eastAsia" w:ascii="宋体" w:hAnsi="宋体"/>
                <w:kern w:val="0"/>
                <w:sz w:val="22"/>
                <w:szCs w:val="22"/>
              </w:rPr>
              <w:t>，是</w:t>
            </w:r>
            <w:r>
              <w:rPr>
                <w:rFonts w:ascii="宋体" w:hAnsi="宋体"/>
                <w:kern w:val="0"/>
                <w:sz w:val="22"/>
                <w:szCs w:val="22"/>
              </w:rPr>
              <w:t>集写字楼、商业、片区大型交通枢纽为一体的超高层综合体建筑。</w:t>
            </w:r>
          </w:p>
        </w:tc>
      </w:tr>
    </w:tbl>
    <w:p>
      <w:pPr>
        <w:pStyle w:val="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5"/>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本次开展深铁置业2022年度拟销售项目展示区开放系列活动、现场包装及宣传推广服务</w:t>
      </w:r>
      <w:r>
        <w:rPr>
          <w:rFonts w:hint="eastAsia" w:hAnsi="宋体"/>
          <w:bCs/>
          <w:color w:val="0D0D0D" w:themeColor="text1" w:themeTint="F2"/>
          <w:sz w:val="24"/>
          <w:szCs w:val="22"/>
          <w14:textFill>
            <w14:solidFill>
              <w14:schemeClr w14:val="tx1">
                <w14:lumMod w14:val="95000"/>
                <w14:lumOff w14:val="5000"/>
              </w14:schemeClr>
            </w14:solidFill>
          </w14:textFill>
        </w:rPr>
        <w:t>公司的公开比选，采用“一标两包”的形式，共产生两个中选人，并分别签订合同。</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铁置业2022年度拟销售项目展示区开放系列活动、现场包装及宣传推广服务为深铁珑境花园一期、深铁璟城一期、深铁懿府三期、地铁前海时代广场4号地块、深铁赤湾项目一期、深铁瑞城三期、山海漫街、深铁置业大厦、深铁科技金融大厦共9个项目包括但不限于展示区开放活动策划及执行、系列拓客和暖场活动策划及执行、现场包装相关物料采购、设计制作与执行、相关活动的收尾撤场、宣传推广等内容，具体要求如下：</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（一）活动部分</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展示区开放活动</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在项目展示区开放节点，根据具体项目的需求举办富有仪式感及特色的开放活动，主题鲜明、突出项目调性及品质，包括但不限于有：开放仪式、现场暖场表演、媒体互动交流形式及伴手礼、活动氛围营造及包装。</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其中展示区开放活动根据各项目展示区的不同分为：项目现场展示区开放活动、异地展示区开放活动、现场论坛活动等。</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系列拓客及暖场活动</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（1）拓客活动：项目结合圈层客户特点，举办有互动性、创意性的拓客活动，包含但不限于：酒会类活动、品鉴类活动、答谢类活动、音乐类活动等，以此撬动目标客户圈层吸引更多客户。</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（2）暖场活动：项目在开放展示区后，为吸引更多客户上门，并增加客户停留时间，拟于项目展示区举行暖场活动，活动内容需符合项目调性，有主题性、趣味性，能吸引客户停留。</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各项目活动铺排如下：</w:t>
      </w:r>
    </w:p>
    <w:tbl>
      <w:tblPr>
        <w:tblStyle w:val="6"/>
        <w:tblW w:w="9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6"/>
        <w:gridCol w:w="1776"/>
        <w:gridCol w:w="1305"/>
        <w:gridCol w:w="1446"/>
        <w:gridCol w:w="1569"/>
        <w:gridCol w:w="1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w:t>
            </w:r>
          </w:p>
        </w:tc>
        <w:tc>
          <w:tcPr>
            <w:tcW w:w="1776"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主开放活动</w:t>
            </w:r>
          </w:p>
        </w:tc>
        <w:tc>
          <w:tcPr>
            <w:tcW w:w="1305"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其它开放活动1</w:t>
            </w:r>
          </w:p>
        </w:tc>
        <w:tc>
          <w:tcPr>
            <w:tcW w:w="1446"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其它开放活动2</w:t>
            </w:r>
          </w:p>
        </w:tc>
        <w:tc>
          <w:tcPr>
            <w:tcW w:w="1569"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拓客活动</w:t>
            </w:r>
          </w:p>
        </w:tc>
        <w:tc>
          <w:tcPr>
            <w:tcW w:w="1454"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暖场活动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1876" w:type="dxa"/>
            <w:vMerge w:val="continue"/>
            <w:vAlign w:val="center"/>
          </w:tcPr>
          <w:p>
            <w:pPr>
              <w:widowControl/>
              <w:jc w:val="left"/>
              <w:rPr>
                <w:rFonts w:ascii="宋体" w:hAnsi="宋体" w:cs="宋体"/>
                <w:color w:val="000000"/>
                <w:kern w:val="0"/>
                <w:sz w:val="18"/>
                <w:szCs w:val="18"/>
              </w:rPr>
            </w:pPr>
          </w:p>
        </w:tc>
        <w:tc>
          <w:tcPr>
            <w:tcW w:w="1776" w:type="dxa"/>
            <w:vMerge w:val="continue"/>
            <w:vAlign w:val="center"/>
          </w:tcPr>
          <w:p>
            <w:pPr>
              <w:widowControl/>
              <w:jc w:val="left"/>
              <w:rPr>
                <w:rFonts w:ascii="宋体" w:hAnsi="宋体" w:cs="宋体"/>
                <w:color w:val="000000"/>
                <w:kern w:val="0"/>
                <w:sz w:val="18"/>
                <w:szCs w:val="18"/>
              </w:rPr>
            </w:pPr>
          </w:p>
        </w:tc>
        <w:tc>
          <w:tcPr>
            <w:tcW w:w="1305" w:type="dxa"/>
            <w:vMerge w:val="continue"/>
            <w:vAlign w:val="center"/>
          </w:tcPr>
          <w:p>
            <w:pPr>
              <w:widowControl/>
              <w:jc w:val="left"/>
              <w:rPr>
                <w:rFonts w:ascii="宋体" w:hAnsi="宋体" w:cs="宋体"/>
                <w:color w:val="000000"/>
                <w:kern w:val="0"/>
                <w:sz w:val="18"/>
                <w:szCs w:val="18"/>
              </w:rPr>
            </w:pPr>
          </w:p>
        </w:tc>
        <w:tc>
          <w:tcPr>
            <w:tcW w:w="1446" w:type="dxa"/>
            <w:vMerge w:val="continue"/>
            <w:vAlign w:val="center"/>
          </w:tcPr>
          <w:p>
            <w:pPr>
              <w:widowControl/>
              <w:jc w:val="left"/>
              <w:rPr>
                <w:rFonts w:ascii="宋体" w:hAnsi="宋体" w:cs="宋体"/>
                <w:color w:val="000000"/>
                <w:kern w:val="0"/>
                <w:sz w:val="18"/>
                <w:szCs w:val="18"/>
              </w:rPr>
            </w:pPr>
          </w:p>
        </w:tc>
        <w:tc>
          <w:tcPr>
            <w:tcW w:w="1569"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c>
          <w:tcPr>
            <w:tcW w:w="1454"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深铁珑境花园一期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52F展示区开放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52F论坛/沙龙</w:t>
            </w:r>
          </w:p>
        </w:tc>
        <w:tc>
          <w:tcPr>
            <w:tcW w:w="1446" w:type="dxa"/>
            <w:shd w:val="clear" w:color="auto" w:fill="404040"/>
            <w:vAlign w:val="center"/>
          </w:tcPr>
          <w:p>
            <w:pPr>
              <w:widowControl/>
              <w:jc w:val="center"/>
              <w:rPr>
                <w:rFonts w:ascii="宋体" w:hAnsi="宋体" w:cs="宋体"/>
                <w:b/>
                <w:bCs/>
                <w:color w:val="000000"/>
                <w:kern w:val="0"/>
                <w:sz w:val="18"/>
                <w:szCs w:val="18"/>
              </w:rPr>
            </w:pP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深铁璟城一期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1F展厅开放</w:t>
            </w:r>
          </w:p>
        </w:tc>
        <w:tc>
          <w:tcPr>
            <w:tcW w:w="1446" w:type="dxa"/>
            <w:shd w:val="clear" w:color="auto"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深铁懿府三期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1305"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地铁前海时代广场4号地块</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春泉营销中心开放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144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临时展点开放</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深铁赤湾项目一期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展厅开放</w:t>
            </w:r>
          </w:p>
        </w:tc>
        <w:tc>
          <w:tcPr>
            <w:tcW w:w="1305"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深铁瑞城三期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山海漫街</w:t>
            </w:r>
          </w:p>
        </w:tc>
        <w:tc>
          <w:tcPr>
            <w:tcW w:w="177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305"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深铁金融科技大厦</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1454"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深铁置业大厦</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1454"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bl>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（二）现场包装设计制作部分</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为展示区达到展示条件，营造营销氛围，对展示区现场进行包装制作，内容包括但不限于展示区外围包装、内部包装、样板房区域包装等。</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（三）宣传推广部分</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根据展示区开放前后，基于项目蓄客需求，进行不同线上推广渠道的投放。</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5"/>
        <w:snapToGrid w:val="0"/>
        <w:spacing w:line="336" w:lineRule="auto"/>
        <w:ind w:firstLine="480" w:firstLineChars="200"/>
        <w:rPr>
          <w:rFonts w:hAnsi="宋体"/>
          <w:kern w:val="2"/>
          <w:sz w:val="24"/>
          <w:szCs w:val="24"/>
        </w:rPr>
      </w:pPr>
      <w:r>
        <w:rPr>
          <w:rFonts w:hint="eastAsia" w:hAnsi="宋体"/>
          <w:kern w:val="2"/>
          <w:sz w:val="24"/>
          <w:szCs w:val="24"/>
        </w:rPr>
        <w:t>具体分项目要求详见附件1《深铁置业2022年度拟销售项目展示区开放系列活动、现场包装及宣传推广服务分项目内容》。</w:t>
      </w:r>
    </w:p>
    <w:p>
      <w:pPr>
        <w:pStyle w:val="5"/>
        <w:snapToGrid w:val="0"/>
        <w:spacing w:line="336" w:lineRule="auto"/>
        <w:ind w:firstLine="480" w:firstLineChars="200"/>
        <w:rPr>
          <w:rFonts w:hAnsi="宋体"/>
          <w:kern w:val="2"/>
          <w:sz w:val="24"/>
          <w:szCs w:val="24"/>
        </w:rPr>
      </w:pPr>
      <w:r>
        <w:rPr>
          <w:rFonts w:hint="eastAsia" w:hAnsi="宋体"/>
          <w:kern w:val="2"/>
          <w:sz w:val="24"/>
          <w:szCs w:val="24"/>
        </w:rPr>
        <w:t>分项目服务内容清单详见附件2《深铁置业2022年度拟销售项目展示区开放系列活动、现场包装及宣传推广服务清单》。</w:t>
      </w:r>
    </w:p>
    <w:p>
      <w:pPr>
        <w:pStyle w:val="5"/>
        <w:snapToGrid w:val="0"/>
        <w:spacing w:line="336"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pStyle w:val="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w:t>
      </w:r>
      <w:r>
        <w:rPr>
          <w:rFonts w:hAnsi="宋体"/>
          <w:color w:val="0D0D0D" w:themeColor="text1" w:themeTint="F2"/>
          <w:sz w:val="24"/>
          <w:szCs w:val="24"/>
          <w14:textFill>
            <w14:solidFill>
              <w14:schemeClr w14:val="tx1">
                <w14:lumMod w14:val="95000"/>
                <w14:lumOff w14:val="5000"/>
              </w14:schemeClr>
            </w14:solidFill>
          </w14:textFill>
        </w:rPr>
        <w:t>2215</w:t>
      </w:r>
      <w:r>
        <w:rPr>
          <w:rFonts w:hint="eastAsia" w:hAnsi="宋体"/>
          <w:color w:val="0D0D0D" w:themeColor="text1" w:themeTint="F2"/>
          <w:sz w:val="24"/>
          <w:szCs w:val="24"/>
          <w14:textFill>
            <w14:solidFill>
              <w14:schemeClr w14:val="tx1">
                <w14:lumMod w14:val="95000"/>
                <w14:lumOff w14:val="5000"/>
              </w14:schemeClr>
            </w14:solidFill>
          </w14:textFill>
        </w:rPr>
        <w:t>万元（含税），参选人需对2个标包共9个项目分别报价，报价不能超过本次比选总上限价、项目所在标包的总上限价及每个项目最高限价、具体细项最高限价。</w:t>
      </w:r>
      <w:r>
        <w:rPr>
          <w:rFonts w:hAnsi="宋体"/>
          <w:color w:val="0D0D0D" w:themeColor="text1" w:themeTint="F2"/>
          <w:sz w:val="24"/>
          <w:szCs w:val="24"/>
          <w14:textFill>
            <w14:solidFill>
              <w14:schemeClr w14:val="tx1">
                <w14:lumMod w14:val="95000"/>
                <w14:lumOff w14:val="5000"/>
              </w14:schemeClr>
            </w14:solidFill>
          </w14:textFill>
        </w:rPr>
        <w:t xml:space="preserve"> </w:t>
      </w:r>
    </w:p>
    <w:p>
      <w:pPr>
        <w:pStyle w:val="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各标包及项目分别最高限价如下：</w:t>
      </w:r>
    </w:p>
    <w:p>
      <w:pPr>
        <w:pStyle w:val="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bookmarkStart w:id="2" w:name="_Hlk98185401"/>
      <w:r>
        <w:rPr>
          <w:rFonts w:hAnsi="宋体"/>
          <w:color w:val="0D0D0D" w:themeColor="text1" w:themeTint="F2"/>
          <w:sz w:val="24"/>
          <w:szCs w:val="24"/>
          <w14:textFill>
            <w14:solidFill>
              <w14:schemeClr w14:val="tx1">
                <w14:lumMod w14:val="95000"/>
                <w14:lumOff w14:val="5000"/>
              </w14:schemeClr>
            </w14:solidFill>
          </w14:textFill>
        </w:rPr>
        <w:t>1.A包：</w:t>
      </w:r>
      <w:r>
        <w:rPr>
          <w:rFonts w:hint="eastAsia" w:hAnsi="宋体"/>
          <w:color w:val="0D0D0D" w:themeColor="text1" w:themeTint="F2"/>
          <w:sz w:val="24"/>
          <w:szCs w:val="24"/>
          <w14:textFill>
            <w14:solidFill>
              <w14:schemeClr w14:val="tx1">
                <w14:lumMod w14:val="95000"/>
                <w14:lumOff w14:val="5000"/>
              </w14:schemeClr>
            </w14:solidFill>
          </w14:textFill>
        </w:rPr>
        <w:t>深铁珑境花园一期、地铁前海时代广场</w:t>
      </w:r>
      <w:r>
        <w:rPr>
          <w:rFonts w:hAnsi="宋体"/>
          <w:color w:val="0D0D0D" w:themeColor="text1" w:themeTint="F2"/>
          <w:sz w:val="24"/>
          <w:szCs w:val="24"/>
          <w14:textFill>
            <w14:solidFill>
              <w14:schemeClr w14:val="tx1">
                <w14:lumMod w14:val="95000"/>
                <w14:lumOff w14:val="5000"/>
              </w14:schemeClr>
            </w14:solidFill>
          </w14:textFill>
        </w:rPr>
        <w:t>4号地块、深</w:t>
      </w:r>
      <w:r>
        <w:rPr>
          <w:rFonts w:hint="eastAsia" w:hAnsi="宋体"/>
          <w:color w:val="0D0D0D" w:themeColor="text1" w:themeTint="F2"/>
          <w:sz w:val="24"/>
          <w:szCs w:val="24"/>
          <w14:textFill>
            <w14:solidFill>
              <w14:schemeClr w14:val="tx1">
                <w14:lumMod w14:val="95000"/>
                <w14:lumOff w14:val="5000"/>
              </w14:schemeClr>
            </w14:solidFill>
          </w14:textFill>
        </w:rPr>
        <w:t>铁金融科技大厦、深铁置业大厦展示区开放系列活动、现场包装及宣传推广服务总最高限价为</w:t>
      </w:r>
      <w:r>
        <w:rPr>
          <w:rFonts w:hAnsi="宋体"/>
          <w:color w:val="0D0D0D" w:themeColor="text1" w:themeTint="F2"/>
          <w:sz w:val="24"/>
          <w:szCs w:val="24"/>
          <w14:textFill>
            <w14:solidFill>
              <w14:schemeClr w14:val="tx1">
                <w14:lumMod w14:val="95000"/>
                <w14:lumOff w14:val="5000"/>
              </w14:schemeClr>
            </w14:solidFill>
          </w14:textFill>
        </w:rPr>
        <w:t>1,120</w:t>
      </w:r>
      <w:r>
        <w:rPr>
          <w:rFonts w:hint="eastAsia" w:hAnsi="宋体"/>
          <w:color w:val="0D0D0D" w:themeColor="text1" w:themeTint="F2"/>
          <w:sz w:val="24"/>
          <w:szCs w:val="24"/>
          <w14:textFill>
            <w14:solidFill>
              <w14:schemeClr w14:val="tx1">
                <w14:lumMod w14:val="95000"/>
                <w14:lumOff w14:val="5000"/>
              </w14:schemeClr>
            </w14:solidFill>
          </w14:textFill>
        </w:rPr>
        <w:t>万元（含税）。其中：深铁珑境花园一期最高限价为</w:t>
      </w:r>
      <w:r>
        <w:rPr>
          <w:rFonts w:hAnsi="宋体"/>
          <w:color w:val="0D0D0D" w:themeColor="text1" w:themeTint="F2"/>
          <w:sz w:val="24"/>
          <w:szCs w:val="24"/>
          <w14:textFill>
            <w14:solidFill>
              <w14:schemeClr w14:val="tx1">
                <w14:lumMod w14:val="95000"/>
                <w14:lumOff w14:val="5000"/>
              </w14:schemeClr>
            </w14:solidFill>
          </w14:textFill>
        </w:rPr>
        <w:t>367</w:t>
      </w:r>
      <w:r>
        <w:rPr>
          <w:rFonts w:hint="eastAsia" w:hAnsi="宋体"/>
          <w:color w:val="0D0D0D" w:themeColor="text1" w:themeTint="F2"/>
          <w:sz w:val="24"/>
          <w:szCs w:val="24"/>
          <w14:textFill>
            <w14:solidFill>
              <w14:schemeClr w14:val="tx1">
                <w14:lumMod w14:val="95000"/>
                <w14:lumOff w14:val="5000"/>
              </w14:schemeClr>
            </w14:solidFill>
          </w14:textFill>
        </w:rPr>
        <w:t>万元（含税）；地铁前海时代广场</w:t>
      </w:r>
      <w:r>
        <w:rPr>
          <w:rFonts w:hAnsi="宋体"/>
          <w:color w:val="0D0D0D" w:themeColor="text1" w:themeTint="F2"/>
          <w:sz w:val="24"/>
          <w:szCs w:val="24"/>
          <w14:textFill>
            <w14:solidFill>
              <w14:schemeClr w14:val="tx1">
                <w14:lumMod w14:val="95000"/>
                <w14:lumOff w14:val="5000"/>
              </w14:schemeClr>
            </w14:solidFill>
          </w14:textFill>
        </w:rPr>
        <w:t>4号地块</w:t>
      </w:r>
      <w:r>
        <w:rPr>
          <w:rFonts w:hint="eastAsia" w:hAnsi="宋体"/>
          <w:color w:val="0D0D0D" w:themeColor="text1" w:themeTint="F2"/>
          <w:sz w:val="24"/>
          <w:szCs w:val="24"/>
          <w14:textFill>
            <w14:solidFill>
              <w14:schemeClr w14:val="tx1">
                <w14:lumMod w14:val="95000"/>
                <w14:lumOff w14:val="5000"/>
              </w14:schemeClr>
            </w14:solidFill>
          </w14:textFill>
        </w:rPr>
        <w:t>最高限价为</w:t>
      </w:r>
      <w:r>
        <w:rPr>
          <w:rFonts w:hAnsi="宋体"/>
          <w:color w:val="0D0D0D" w:themeColor="text1" w:themeTint="F2"/>
          <w:sz w:val="24"/>
          <w:szCs w:val="24"/>
          <w14:textFill>
            <w14:solidFill>
              <w14:schemeClr w14:val="tx1">
                <w14:lumMod w14:val="95000"/>
                <w14:lumOff w14:val="5000"/>
              </w14:schemeClr>
            </w14:solidFill>
          </w14:textFill>
        </w:rPr>
        <w:t>457</w:t>
      </w:r>
      <w:r>
        <w:rPr>
          <w:rFonts w:hint="eastAsia" w:hAnsi="宋体"/>
          <w:color w:val="0D0D0D" w:themeColor="text1" w:themeTint="F2"/>
          <w:sz w:val="24"/>
          <w:szCs w:val="24"/>
          <w14:textFill>
            <w14:solidFill>
              <w14:schemeClr w14:val="tx1">
                <w14:lumMod w14:val="95000"/>
                <w14:lumOff w14:val="5000"/>
              </w14:schemeClr>
            </w14:solidFill>
          </w14:textFill>
        </w:rPr>
        <w:t>万元（含税）；深铁金融科技大厦最高限价为</w:t>
      </w:r>
      <w:r>
        <w:rPr>
          <w:rFonts w:hAnsi="宋体"/>
          <w:color w:val="0D0D0D" w:themeColor="text1" w:themeTint="F2"/>
          <w:sz w:val="24"/>
          <w:szCs w:val="24"/>
          <w14:textFill>
            <w14:solidFill>
              <w14:schemeClr w14:val="tx1">
                <w14:lumMod w14:val="95000"/>
                <w14:lumOff w14:val="5000"/>
              </w14:schemeClr>
            </w14:solidFill>
          </w14:textFill>
        </w:rPr>
        <w:t>148</w:t>
      </w:r>
      <w:r>
        <w:rPr>
          <w:rFonts w:hint="eastAsia" w:hAnsi="宋体"/>
          <w:color w:val="0D0D0D" w:themeColor="text1" w:themeTint="F2"/>
          <w:sz w:val="24"/>
          <w:szCs w:val="24"/>
          <w14:textFill>
            <w14:solidFill>
              <w14:schemeClr w14:val="tx1">
                <w14:lumMod w14:val="95000"/>
                <w14:lumOff w14:val="5000"/>
              </w14:schemeClr>
            </w14:solidFill>
          </w14:textFill>
        </w:rPr>
        <w:t>万元（含税）；深铁置业大厦最高限价为</w:t>
      </w:r>
      <w:r>
        <w:rPr>
          <w:rFonts w:hAnsi="宋体"/>
          <w:color w:val="0D0D0D" w:themeColor="text1" w:themeTint="F2"/>
          <w:sz w:val="24"/>
          <w:szCs w:val="24"/>
          <w14:textFill>
            <w14:solidFill>
              <w14:schemeClr w14:val="tx1">
                <w14:lumMod w14:val="95000"/>
                <w14:lumOff w14:val="5000"/>
              </w14:schemeClr>
            </w14:solidFill>
          </w14:textFill>
        </w:rPr>
        <w:t>148</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p>
    <w:p>
      <w:pPr>
        <w:pStyle w:val="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2.B</w:t>
      </w:r>
      <w:r>
        <w:rPr>
          <w:rFonts w:hint="eastAsia" w:hAnsi="宋体"/>
          <w:color w:val="0D0D0D" w:themeColor="text1" w:themeTint="F2"/>
          <w:sz w:val="24"/>
          <w:szCs w:val="24"/>
          <w14:textFill>
            <w14:solidFill>
              <w14:schemeClr w14:val="tx1">
                <w14:lumMod w14:val="95000"/>
                <w14:lumOff w14:val="5000"/>
              </w14:schemeClr>
            </w14:solidFill>
          </w14:textFill>
        </w:rPr>
        <w:t>包：深铁璟城一期、深铁懿府三期、深铁赤湾项目一期、深铁瑞城三期、山海漫街展示区开放系列活动、现场包装及宣传推广服务</w:t>
      </w:r>
      <w:bookmarkEnd w:id="2"/>
      <w:r>
        <w:rPr>
          <w:rFonts w:hint="eastAsia" w:hAnsi="宋体"/>
          <w:color w:val="0D0D0D" w:themeColor="text1" w:themeTint="F2"/>
          <w:sz w:val="24"/>
          <w:szCs w:val="24"/>
          <w14:textFill>
            <w14:solidFill>
              <w14:schemeClr w14:val="tx1">
                <w14:lumMod w14:val="95000"/>
                <w14:lumOff w14:val="5000"/>
              </w14:schemeClr>
            </w14:solidFill>
          </w14:textFill>
        </w:rPr>
        <w:t>总最高限价为</w:t>
      </w:r>
      <w:r>
        <w:rPr>
          <w:rFonts w:hAnsi="宋体"/>
          <w:color w:val="0D0D0D" w:themeColor="text1" w:themeTint="F2"/>
          <w:sz w:val="24"/>
          <w:szCs w:val="24"/>
          <w14:textFill>
            <w14:solidFill>
              <w14:schemeClr w14:val="tx1">
                <w14:lumMod w14:val="95000"/>
                <w14:lumOff w14:val="5000"/>
              </w14:schemeClr>
            </w14:solidFill>
          </w14:textFill>
        </w:rPr>
        <w:t>1,095</w:t>
      </w:r>
      <w:r>
        <w:rPr>
          <w:rFonts w:hint="eastAsia" w:hAnsi="宋体"/>
          <w:color w:val="0D0D0D" w:themeColor="text1" w:themeTint="F2"/>
          <w:sz w:val="24"/>
          <w:szCs w:val="24"/>
          <w14:textFill>
            <w14:solidFill>
              <w14:schemeClr w14:val="tx1">
                <w14:lumMod w14:val="95000"/>
                <w14:lumOff w14:val="5000"/>
              </w14:schemeClr>
            </w14:solidFill>
          </w14:textFill>
        </w:rPr>
        <w:t>万元（含税）。其中：深铁璟城一期最高限价为</w:t>
      </w:r>
      <w:r>
        <w:rPr>
          <w:rFonts w:hAnsi="宋体"/>
          <w:color w:val="0D0D0D" w:themeColor="text1" w:themeTint="F2"/>
          <w:sz w:val="24"/>
          <w:szCs w:val="24"/>
          <w14:textFill>
            <w14:solidFill>
              <w14:schemeClr w14:val="tx1">
                <w14:lumMod w14:val="95000"/>
                <w14:lumOff w14:val="5000"/>
              </w14:schemeClr>
            </w14:solidFill>
          </w14:textFill>
        </w:rPr>
        <w:t>392</w:t>
      </w:r>
      <w:r>
        <w:rPr>
          <w:rFonts w:hint="eastAsia" w:hAnsi="宋体"/>
          <w:color w:val="0D0D0D" w:themeColor="text1" w:themeTint="F2"/>
          <w:sz w:val="24"/>
          <w:szCs w:val="24"/>
          <w14:textFill>
            <w14:solidFill>
              <w14:schemeClr w14:val="tx1">
                <w14:lumMod w14:val="95000"/>
                <w14:lumOff w14:val="5000"/>
              </w14:schemeClr>
            </w14:solidFill>
          </w14:textFill>
        </w:rPr>
        <w:t>万元（含税）；深铁懿府三期最高限价为</w:t>
      </w:r>
      <w:r>
        <w:rPr>
          <w:rFonts w:hAnsi="宋体"/>
          <w:color w:val="0D0D0D" w:themeColor="text1" w:themeTint="F2"/>
          <w:sz w:val="24"/>
          <w:szCs w:val="24"/>
          <w14:textFill>
            <w14:solidFill>
              <w14:schemeClr w14:val="tx1">
                <w14:lumMod w14:val="95000"/>
                <w14:lumOff w14:val="5000"/>
              </w14:schemeClr>
            </w14:solidFill>
          </w14:textFill>
        </w:rPr>
        <w:t>232</w:t>
      </w:r>
      <w:r>
        <w:rPr>
          <w:rFonts w:hint="eastAsia" w:hAnsi="宋体"/>
          <w:color w:val="0D0D0D" w:themeColor="text1" w:themeTint="F2"/>
          <w:sz w:val="24"/>
          <w:szCs w:val="24"/>
          <w14:textFill>
            <w14:solidFill>
              <w14:schemeClr w14:val="tx1">
                <w14:lumMod w14:val="95000"/>
                <w14:lumOff w14:val="5000"/>
              </w14:schemeClr>
            </w14:solidFill>
          </w14:textFill>
        </w:rPr>
        <w:t>万元（含税）；深铁赤湾项目一期最高限价为</w:t>
      </w:r>
      <w:r>
        <w:rPr>
          <w:rFonts w:hAnsi="宋体"/>
          <w:color w:val="0D0D0D" w:themeColor="text1" w:themeTint="F2"/>
          <w:sz w:val="24"/>
          <w:szCs w:val="24"/>
          <w14:textFill>
            <w14:solidFill>
              <w14:schemeClr w14:val="tx1">
                <w14:lumMod w14:val="95000"/>
                <w14:lumOff w14:val="5000"/>
              </w14:schemeClr>
            </w14:solidFill>
          </w14:textFill>
        </w:rPr>
        <w:t>150</w:t>
      </w:r>
      <w:r>
        <w:rPr>
          <w:rFonts w:hint="eastAsia" w:hAnsi="宋体"/>
          <w:color w:val="0D0D0D" w:themeColor="text1" w:themeTint="F2"/>
          <w:sz w:val="24"/>
          <w:szCs w:val="24"/>
          <w14:textFill>
            <w14:solidFill>
              <w14:schemeClr w14:val="tx1">
                <w14:lumMod w14:val="95000"/>
                <w14:lumOff w14:val="5000"/>
              </w14:schemeClr>
            </w14:solidFill>
          </w14:textFill>
        </w:rPr>
        <w:t>万元（含税）；深铁瑞城三期最高限价为</w:t>
      </w:r>
      <w:r>
        <w:rPr>
          <w:rFonts w:hAnsi="宋体"/>
          <w:color w:val="0D0D0D" w:themeColor="text1" w:themeTint="F2"/>
          <w:sz w:val="24"/>
          <w:szCs w:val="24"/>
          <w14:textFill>
            <w14:solidFill>
              <w14:schemeClr w14:val="tx1">
                <w14:lumMod w14:val="95000"/>
                <w14:lumOff w14:val="5000"/>
              </w14:schemeClr>
            </w14:solidFill>
          </w14:textFill>
        </w:rPr>
        <w:t>269</w:t>
      </w:r>
      <w:r>
        <w:rPr>
          <w:rFonts w:hint="eastAsia" w:hAnsi="宋体"/>
          <w:color w:val="0D0D0D" w:themeColor="text1" w:themeTint="F2"/>
          <w:sz w:val="24"/>
          <w:szCs w:val="24"/>
          <w14:textFill>
            <w14:solidFill>
              <w14:schemeClr w14:val="tx1">
                <w14:lumMod w14:val="95000"/>
                <w14:lumOff w14:val="5000"/>
              </w14:schemeClr>
            </w14:solidFill>
          </w14:textFill>
        </w:rPr>
        <w:t>万元（含税）；山海漫街最高限价为</w:t>
      </w:r>
      <w:r>
        <w:rPr>
          <w:rFonts w:hAnsi="宋体"/>
          <w:color w:val="0D0D0D" w:themeColor="text1" w:themeTint="F2"/>
          <w:sz w:val="24"/>
          <w:szCs w:val="24"/>
          <w14:textFill>
            <w14:solidFill>
              <w14:schemeClr w14:val="tx1">
                <w14:lumMod w14:val="95000"/>
                <w14:lumOff w14:val="5000"/>
              </w14:schemeClr>
            </w14:solidFill>
          </w14:textFill>
        </w:rPr>
        <w:t>52</w:t>
      </w:r>
      <w:r>
        <w:rPr>
          <w:rFonts w:hint="eastAsia" w:hAnsi="宋体"/>
          <w:color w:val="0D0D0D" w:themeColor="text1" w:themeTint="F2"/>
          <w:sz w:val="24"/>
          <w:szCs w:val="24"/>
          <w14:textFill>
            <w14:solidFill>
              <w14:schemeClr w14:val="tx1">
                <w14:lumMod w14:val="95000"/>
                <w14:lumOff w14:val="5000"/>
              </w14:schemeClr>
            </w14:solidFill>
          </w14:textFill>
        </w:rPr>
        <w:t>万元（含税）。</w:t>
      </w:r>
    </w:p>
    <w:p>
      <w:pPr>
        <w:pStyle w:val="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具体细项最高限价详见下表（万元，含税）：</w:t>
      </w:r>
    </w:p>
    <w:p>
      <w:pPr>
        <w:pStyle w:val="5"/>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【注：各项具体细项的最终报价均不能超过以下细项最高限价】</w:t>
      </w:r>
    </w:p>
    <w:tbl>
      <w:tblPr>
        <w:tblStyle w:val="6"/>
        <w:tblW w:w="10915" w:type="dxa"/>
        <w:tblInd w:w="-1026" w:type="dxa"/>
        <w:tblLayout w:type="autofit"/>
        <w:tblCellMar>
          <w:top w:w="0" w:type="dxa"/>
          <w:left w:w="108" w:type="dxa"/>
          <w:bottom w:w="0" w:type="dxa"/>
          <w:right w:w="108" w:type="dxa"/>
        </w:tblCellMar>
      </w:tblPr>
      <w:tblGrid>
        <w:gridCol w:w="992"/>
        <w:gridCol w:w="993"/>
        <w:gridCol w:w="993"/>
        <w:gridCol w:w="887"/>
        <w:gridCol w:w="696"/>
        <w:gridCol w:w="425"/>
        <w:gridCol w:w="427"/>
        <w:gridCol w:w="696"/>
        <w:gridCol w:w="427"/>
        <w:gridCol w:w="579"/>
        <w:gridCol w:w="682"/>
        <w:gridCol w:w="708"/>
        <w:gridCol w:w="709"/>
        <w:gridCol w:w="567"/>
        <w:gridCol w:w="464"/>
        <w:gridCol w:w="670"/>
      </w:tblGrid>
      <w:tr>
        <w:tblPrEx>
          <w:tblCellMar>
            <w:top w:w="0" w:type="dxa"/>
            <w:left w:w="108" w:type="dxa"/>
            <w:bottom w:w="0" w:type="dxa"/>
            <w:right w:w="108" w:type="dxa"/>
          </w:tblCellMar>
        </w:tblPrEx>
        <w:trPr>
          <w:trHeight w:val="480" w:hRule="atLeast"/>
        </w:trPr>
        <w:tc>
          <w:tcPr>
            <w:tcW w:w="992" w:type="dxa"/>
            <w:vMerge w:val="restart"/>
            <w:tcBorders>
              <w:top w:val="single" w:color="auto" w:sz="8" w:space="0"/>
              <w:left w:val="single" w:color="auto" w:sz="8" w:space="0"/>
              <w:bottom w:val="single" w:color="auto" w:sz="4" w:space="0"/>
              <w:right w:val="nil"/>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w:t>
            </w:r>
          </w:p>
        </w:tc>
        <w:tc>
          <w:tcPr>
            <w:tcW w:w="6123" w:type="dxa"/>
            <w:gridSpan w:val="9"/>
            <w:tcBorders>
              <w:top w:val="single" w:color="auto" w:sz="8" w:space="0"/>
              <w:left w:val="single" w:color="auto" w:sz="8" w:space="0"/>
              <w:bottom w:val="single" w:color="auto" w:sz="4" w:space="0"/>
              <w:right w:val="single" w:color="000000"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活动类</w:t>
            </w:r>
          </w:p>
        </w:tc>
        <w:tc>
          <w:tcPr>
            <w:tcW w:w="682" w:type="dxa"/>
            <w:vMerge w:val="restart"/>
            <w:tcBorders>
              <w:top w:val="single" w:color="auto" w:sz="8" w:space="0"/>
              <w:left w:val="nil"/>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活动总价</w:t>
            </w:r>
          </w:p>
        </w:tc>
        <w:tc>
          <w:tcPr>
            <w:tcW w:w="708" w:type="dxa"/>
            <w:vMerge w:val="restart"/>
            <w:tcBorders>
              <w:top w:val="single" w:color="auto" w:sz="8" w:space="0"/>
              <w:left w:val="single" w:color="auto" w:sz="8" w:space="0"/>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现场包装</w:t>
            </w:r>
          </w:p>
        </w:tc>
        <w:tc>
          <w:tcPr>
            <w:tcW w:w="709" w:type="dxa"/>
            <w:vMerge w:val="restart"/>
            <w:tcBorders>
              <w:top w:val="single" w:color="auto" w:sz="8" w:space="0"/>
              <w:left w:val="single" w:color="auto" w:sz="8" w:space="0"/>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宣传推广</w:t>
            </w:r>
          </w:p>
        </w:tc>
        <w:tc>
          <w:tcPr>
            <w:tcW w:w="567" w:type="dxa"/>
            <w:vMerge w:val="restart"/>
            <w:tcBorders>
              <w:top w:val="single" w:color="auto" w:sz="8" w:space="0"/>
              <w:left w:val="single" w:color="auto" w:sz="8" w:space="0"/>
              <w:bottom w:val="single" w:color="auto" w:sz="4" w:space="0"/>
              <w:right w:val="nil"/>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464" w:type="dxa"/>
            <w:vMerge w:val="restart"/>
            <w:tcBorders>
              <w:top w:val="single" w:color="auto" w:sz="8" w:space="0"/>
              <w:left w:val="single" w:color="auto" w:sz="8" w:space="0"/>
              <w:bottom w:val="single" w:color="auto" w:sz="4" w:space="0"/>
              <w:right w:val="single" w:color="auto" w:sz="8"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分包</w:t>
            </w:r>
          </w:p>
        </w:tc>
        <w:tc>
          <w:tcPr>
            <w:tcW w:w="670" w:type="dxa"/>
            <w:vMerge w:val="restart"/>
            <w:tcBorders>
              <w:top w:val="single" w:color="auto" w:sz="8" w:space="0"/>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r>
      <w:tr>
        <w:tblPrEx>
          <w:tblCellMar>
            <w:top w:w="0" w:type="dxa"/>
            <w:left w:w="108" w:type="dxa"/>
            <w:bottom w:w="0" w:type="dxa"/>
            <w:right w:w="108" w:type="dxa"/>
          </w:tblCellMar>
        </w:tblPrEx>
        <w:trPr>
          <w:trHeight w:val="480" w:hRule="atLeast"/>
        </w:trPr>
        <w:tc>
          <w:tcPr>
            <w:tcW w:w="992"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vMerge w:val="restart"/>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主开放活动</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其它开放活动1</w:t>
            </w:r>
          </w:p>
        </w:tc>
        <w:tc>
          <w:tcPr>
            <w:tcW w:w="88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其它开放活动2</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拓客活动</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暖场活动</w:t>
            </w:r>
          </w:p>
        </w:tc>
        <w:tc>
          <w:tcPr>
            <w:tcW w:w="682" w:type="dxa"/>
            <w:vMerge w:val="continue"/>
            <w:tcBorders>
              <w:top w:val="single" w:color="auto" w:sz="8" w:space="0"/>
              <w:left w:val="nil"/>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8"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9"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567"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464"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vMerge w:val="continue"/>
            <w:tcBorders>
              <w:top w:val="nil"/>
              <w:left w:val="single" w:color="auto" w:sz="8"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9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88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场次</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682" w:type="dxa"/>
            <w:vMerge w:val="continue"/>
            <w:tcBorders>
              <w:top w:val="single" w:color="auto" w:sz="8" w:space="0"/>
              <w:left w:val="nil"/>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8"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9"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567"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464"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4C6E7"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深铁珑境花园一期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52F展示区开放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52F论坛/沙龙</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155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172 </w:t>
            </w:r>
          </w:p>
        </w:tc>
        <w:tc>
          <w:tcPr>
            <w:tcW w:w="567" w:type="dxa"/>
            <w:vMerge w:val="restart"/>
            <w:tcBorders>
              <w:top w:val="nil"/>
              <w:left w:val="single" w:color="auto" w:sz="8" w:space="0"/>
              <w:bottom w:val="single" w:color="000000" w:sz="4" w:space="0"/>
              <w:right w:val="nil"/>
            </w:tcBorders>
            <w:shd w:val="clear" w:color="auto" w:fill="B4C6E7"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367 </w:t>
            </w:r>
          </w:p>
        </w:tc>
        <w:tc>
          <w:tcPr>
            <w:tcW w:w="464" w:type="dxa"/>
            <w:vMerge w:val="restart"/>
            <w:tcBorders>
              <w:top w:val="nil"/>
              <w:left w:val="single" w:color="auto" w:sz="8" w:space="0"/>
              <w:bottom w:val="single" w:color="auto" w:sz="4" w:space="0"/>
              <w:right w:val="single" w:color="auto" w:sz="8" w:space="0"/>
            </w:tcBorders>
            <w:shd w:val="clear" w:color="auto" w:fill="B4C6E7"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cs="宋体"/>
                <w:b/>
                <w:bCs/>
                <w:color w:val="000000"/>
                <w:kern w:val="0"/>
                <w:sz w:val="18"/>
                <w:szCs w:val="18"/>
              </w:rPr>
            </w:pPr>
            <w:r>
              <w:rPr>
                <w:rFonts w:ascii="宋体" w:hAnsi="宋体" w:cs="宋体"/>
                <w:b/>
                <w:bCs/>
                <w:color w:val="000000"/>
                <w:kern w:val="0"/>
                <w:sz w:val="18"/>
                <w:szCs w:val="18"/>
              </w:rPr>
              <w:t>2,215</w:t>
            </w: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4C6E7"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10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4C6E7"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4C6E7"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4C6E7"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地铁前海时代广场4号地块</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春泉营销中心开放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8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临时展点开放</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219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98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140 </w:t>
            </w:r>
          </w:p>
        </w:tc>
        <w:tc>
          <w:tcPr>
            <w:tcW w:w="567" w:type="dxa"/>
            <w:vMerge w:val="restart"/>
            <w:tcBorders>
              <w:top w:val="nil"/>
              <w:left w:val="single" w:color="auto" w:sz="8" w:space="0"/>
              <w:bottom w:val="single" w:color="000000" w:sz="4" w:space="0"/>
              <w:right w:val="nil"/>
            </w:tcBorders>
            <w:shd w:val="clear" w:color="auto" w:fill="B4C6E7"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457 </w:t>
            </w:r>
          </w:p>
        </w:tc>
        <w:tc>
          <w:tcPr>
            <w:tcW w:w="464" w:type="dxa"/>
            <w:vMerge w:val="restart"/>
            <w:tcBorders>
              <w:top w:val="nil"/>
              <w:left w:val="single" w:color="auto" w:sz="8" w:space="0"/>
              <w:bottom w:val="single" w:color="auto" w:sz="4" w:space="0"/>
              <w:right w:val="single" w:color="auto" w:sz="8" w:space="0"/>
            </w:tcBorders>
            <w:shd w:val="clear" w:color="auto" w:fill="B4C6E7"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4C6E7"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 </w:t>
            </w:r>
          </w:p>
        </w:tc>
        <w:tc>
          <w:tcPr>
            <w:tcW w:w="8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8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4C6E7"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4C6E7"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4C6E7"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深铁金融科技大厦</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79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56 </w:t>
            </w:r>
          </w:p>
        </w:tc>
        <w:tc>
          <w:tcPr>
            <w:tcW w:w="567" w:type="dxa"/>
            <w:vMerge w:val="restart"/>
            <w:tcBorders>
              <w:top w:val="nil"/>
              <w:left w:val="single" w:color="auto" w:sz="8" w:space="0"/>
              <w:bottom w:val="single" w:color="000000" w:sz="4" w:space="0"/>
              <w:right w:val="nil"/>
            </w:tcBorders>
            <w:shd w:val="clear" w:color="auto" w:fill="B4C6E7"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148 </w:t>
            </w:r>
          </w:p>
        </w:tc>
        <w:tc>
          <w:tcPr>
            <w:tcW w:w="464" w:type="dxa"/>
            <w:vMerge w:val="restart"/>
            <w:tcBorders>
              <w:top w:val="nil"/>
              <w:left w:val="single" w:color="auto" w:sz="8" w:space="0"/>
              <w:bottom w:val="single" w:color="auto" w:sz="4" w:space="0"/>
              <w:right w:val="single" w:color="auto" w:sz="8" w:space="0"/>
            </w:tcBorders>
            <w:shd w:val="clear" w:color="auto" w:fill="B4C6E7"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4C6E7"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4C6E7"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4C6E7"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14" w:hRule="atLeast"/>
        </w:trPr>
        <w:tc>
          <w:tcPr>
            <w:tcW w:w="992" w:type="dxa"/>
            <w:vMerge w:val="restart"/>
            <w:tcBorders>
              <w:top w:val="nil"/>
              <w:left w:val="single" w:color="auto" w:sz="8" w:space="0"/>
              <w:bottom w:val="single" w:color="auto" w:sz="4" w:space="0"/>
              <w:right w:val="nil"/>
            </w:tcBorders>
            <w:shd w:val="clear" w:color="auto" w:fill="B4C6E7"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深铁置业大厦</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79 </w:t>
            </w:r>
          </w:p>
        </w:tc>
        <w:tc>
          <w:tcPr>
            <w:tcW w:w="708" w:type="dxa"/>
            <w:vMerge w:val="restart"/>
            <w:tcBorders>
              <w:top w:val="nil"/>
              <w:left w:val="single" w:color="auto" w:sz="8" w:space="0"/>
              <w:bottom w:val="single" w:color="000000" w:sz="8"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 </w:t>
            </w:r>
          </w:p>
        </w:tc>
        <w:tc>
          <w:tcPr>
            <w:tcW w:w="709" w:type="dxa"/>
            <w:vMerge w:val="restart"/>
            <w:tcBorders>
              <w:top w:val="nil"/>
              <w:left w:val="single" w:color="auto" w:sz="8" w:space="0"/>
              <w:bottom w:val="single" w:color="000000" w:sz="8"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56 </w:t>
            </w:r>
          </w:p>
        </w:tc>
        <w:tc>
          <w:tcPr>
            <w:tcW w:w="567" w:type="dxa"/>
            <w:vMerge w:val="restart"/>
            <w:tcBorders>
              <w:top w:val="nil"/>
              <w:left w:val="single" w:color="auto" w:sz="8" w:space="0"/>
              <w:bottom w:val="single" w:color="000000" w:sz="8" w:space="0"/>
              <w:right w:val="nil"/>
            </w:tcBorders>
            <w:shd w:val="clear" w:color="auto" w:fill="B4C6E7"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148 </w:t>
            </w:r>
          </w:p>
        </w:tc>
        <w:tc>
          <w:tcPr>
            <w:tcW w:w="464" w:type="dxa"/>
            <w:vMerge w:val="restart"/>
            <w:tcBorders>
              <w:top w:val="nil"/>
              <w:left w:val="single" w:color="auto" w:sz="8" w:space="0"/>
              <w:bottom w:val="single" w:color="auto" w:sz="4" w:space="0"/>
              <w:right w:val="single" w:color="auto" w:sz="8" w:space="0"/>
            </w:tcBorders>
            <w:shd w:val="clear" w:color="auto" w:fill="B4C6E7"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20" w:hRule="atLeast"/>
        </w:trPr>
        <w:tc>
          <w:tcPr>
            <w:tcW w:w="992" w:type="dxa"/>
            <w:vMerge w:val="continue"/>
            <w:tcBorders>
              <w:top w:val="nil"/>
              <w:left w:val="single" w:color="auto" w:sz="8" w:space="0"/>
              <w:bottom w:val="single" w:color="auto" w:sz="4" w:space="0"/>
              <w:right w:val="nil"/>
            </w:tcBorders>
            <w:shd w:val="clear" w:color="auto" w:fill="B4C6E7"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993" w:type="dxa"/>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887" w:type="dxa"/>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0" w:type="auto"/>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0" w:type="auto"/>
            <w:tcBorders>
              <w:top w:val="nil"/>
              <w:left w:val="nil"/>
              <w:bottom w:val="single" w:color="auto" w:sz="8" w:space="0"/>
              <w:right w:val="single" w:color="auto" w:sz="8"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8" w:space="0"/>
              <w:right w:val="nil"/>
            </w:tcBorders>
            <w:shd w:val="clear" w:color="auto" w:fill="B4C6E7"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4C6E7"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rPr>
          <w:trHeight w:val="414"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深铁璟城一期</w:t>
            </w:r>
          </w:p>
        </w:tc>
        <w:tc>
          <w:tcPr>
            <w:tcW w:w="99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1F展厅开放</w:t>
            </w:r>
          </w:p>
        </w:tc>
        <w:tc>
          <w:tcPr>
            <w:tcW w:w="887" w:type="dxa"/>
            <w:tcBorders>
              <w:top w:val="single" w:color="auto" w:sz="4" w:space="0"/>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c>
          <w:tcPr>
            <w:tcW w:w="682" w:type="dxa"/>
            <w:vMerge w:val="restart"/>
            <w:tcBorders>
              <w:top w:val="single" w:color="auto" w:sz="4" w:space="0"/>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142 </w:t>
            </w:r>
          </w:p>
        </w:tc>
        <w:tc>
          <w:tcPr>
            <w:tcW w:w="708" w:type="dxa"/>
            <w:vMerge w:val="restart"/>
            <w:tcBorders>
              <w:top w:val="single" w:color="auto" w:sz="4" w:space="0"/>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80 </w:t>
            </w:r>
          </w:p>
        </w:tc>
        <w:tc>
          <w:tcPr>
            <w:tcW w:w="709" w:type="dxa"/>
            <w:vMerge w:val="restart"/>
            <w:tcBorders>
              <w:top w:val="single" w:color="auto" w:sz="4" w:space="0"/>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170 </w:t>
            </w:r>
          </w:p>
        </w:tc>
        <w:tc>
          <w:tcPr>
            <w:tcW w:w="567" w:type="dxa"/>
            <w:vMerge w:val="restart"/>
            <w:tcBorders>
              <w:top w:val="single" w:color="auto" w:sz="4" w:space="0"/>
              <w:left w:val="single" w:color="auto" w:sz="8" w:space="0"/>
              <w:bottom w:val="single" w:color="000000" w:sz="4" w:space="0"/>
              <w:right w:val="nil"/>
            </w:tcBorders>
            <w:shd w:val="clear" w:color="000000" w:fill="9BC2E6"/>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392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60"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45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10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682" w:type="dxa"/>
            <w:vMerge w:val="continue"/>
            <w:tcBorders>
              <w:top w:val="single" w:color="auto" w:sz="4" w:space="0"/>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single" w:color="auto" w:sz="4" w:space="0"/>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single" w:color="auto" w:sz="4" w:space="0"/>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single" w:color="auto" w:sz="4" w:space="0"/>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深铁懿府三期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82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90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60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232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52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285"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深铁赤湾项目一期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展厅开放</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63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55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150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285"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45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17.5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深铁瑞城三期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130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38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101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269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720"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38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8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65"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山海漫街</w:t>
            </w:r>
          </w:p>
        </w:tc>
        <w:tc>
          <w:tcPr>
            <w:tcW w:w="993" w:type="dxa"/>
            <w:tcBorders>
              <w:top w:val="nil"/>
              <w:left w:val="single" w:color="auto" w:sz="8" w:space="0"/>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12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52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14"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15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bl>
    <w:p>
      <w:pPr>
        <w:pStyle w:val="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pStyle w:val="12"/>
        <w:numPr>
          <w:ilvl w:val="0"/>
          <w:numId w:val="1"/>
        </w:numPr>
        <w:adjustRightInd w:val="0"/>
        <w:snapToGrid w:val="0"/>
        <w:spacing w:line="336" w:lineRule="auto"/>
        <w:ind w:firstLine="480"/>
        <w:rPr>
          <w:rFonts w:ascii="宋体" w:hAnsi="宋体"/>
          <w:sz w:val="24"/>
          <w:szCs w:val="24"/>
        </w:rPr>
      </w:pPr>
      <w:bookmarkStart w:id="3" w:name="baidusnap0"/>
      <w:bookmarkEnd w:id="3"/>
      <w:bookmarkStart w:id="4" w:name="baidusnap1"/>
      <w:bookmarkEnd w:id="4"/>
      <w:bookmarkStart w:id="5" w:name="baidusnap7"/>
      <w:bookmarkEnd w:id="5"/>
      <w:bookmarkStart w:id="6" w:name="baidusnap4"/>
      <w:bookmarkEnd w:id="6"/>
      <w:r>
        <w:rPr>
          <w:rFonts w:hint="eastAsia" w:ascii="宋体" w:hAnsi="宋体"/>
          <w:sz w:val="24"/>
          <w:szCs w:val="24"/>
        </w:rPr>
        <w:t>公司资质：</w:t>
      </w:r>
      <w:r>
        <w:rPr>
          <w:rFonts w:hint="eastAsia" w:ascii="宋体" w:hAnsi="宋体" w:cs="仿宋_GB2312"/>
          <w:sz w:val="24"/>
          <w:szCs w:val="24"/>
        </w:rPr>
        <w:t>参选人必须是中华人民共和国境内注册的法人或非法人组织，注册成立时间不得晚于201</w:t>
      </w:r>
      <w:r>
        <w:rPr>
          <w:rFonts w:ascii="宋体" w:hAnsi="宋体" w:cs="仿宋_GB2312"/>
          <w:sz w:val="24"/>
          <w:szCs w:val="24"/>
        </w:rPr>
        <w:t>8</w:t>
      </w:r>
      <w:r>
        <w:rPr>
          <w:rFonts w:hint="eastAsia" w:ascii="宋体" w:hAnsi="宋体" w:cs="仿宋_GB2312"/>
          <w:sz w:val="24"/>
          <w:szCs w:val="24"/>
        </w:rPr>
        <w:t>年1月1日。</w:t>
      </w:r>
    </w:p>
    <w:p>
      <w:pPr>
        <w:pStyle w:val="12"/>
        <w:numPr>
          <w:ilvl w:val="0"/>
          <w:numId w:val="1"/>
        </w:numPr>
        <w:adjustRightInd w:val="0"/>
        <w:snapToGrid w:val="0"/>
        <w:spacing w:line="336" w:lineRule="auto"/>
        <w:ind w:firstLine="480"/>
        <w:rPr>
          <w:rFonts w:ascii="宋体" w:hAnsi="宋体"/>
          <w:sz w:val="24"/>
          <w:szCs w:val="24"/>
        </w:rPr>
      </w:pPr>
      <w:bookmarkStart w:id="7" w:name="_Hlk94176291"/>
      <w:r>
        <w:rPr>
          <w:rFonts w:hint="eastAsia" w:ascii="宋体" w:hAnsi="宋体"/>
          <w:sz w:val="24"/>
          <w:szCs w:val="24"/>
        </w:rPr>
        <w:t>公司业绩</w:t>
      </w:r>
      <w:bookmarkEnd w:id="7"/>
      <w:r>
        <w:rPr>
          <w:rFonts w:hint="eastAsia" w:ascii="宋体" w:hAnsi="宋体"/>
          <w:sz w:val="24"/>
          <w:szCs w:val="24"/>
        </w:rPr>
        <w:t>：</w:t>
      </w:r>
      <w:r>
        <w:rPr>
          <w:rFonts w:hint="eastAsia" w:ascii="宋体" w:hAnsi="宋体"/>
          <w:color w:val="000000"/>
          <w:sz w:val="24"/>
          <w:szCs w:val="24"/>
        </w:rPr>
        <w:t>2019年1月1日至今，服务全国50强或深圳20强房地产开发公司品牌</w:t>
      </w:r>
      <w:r>
        <w:rPr>
          <w:rFonts w:hint="eastAsia" w:ascii="宋体" w:hAnsi="宋体"/>
          <w:color w:val="0D0D0D"/>
          <w:sz w:val="24"/>
          <w:szCs w:val="24"/>
        </w:rPr>
        <w:t>（全国50强排名参考2019年-2021年中指研究院或易居克尔瑞数据，深圳20强排名参考2019-2021年深圳房协数据）</w:t>
      </w:r>
      <w:r>
        <w:rPr>
          <w:rFonts w:hint="eastAsia" w:ascii="宋体" w:hAnsi="宋体"/>
          <w:color w:val="000000"/>
          <w:sz w:val="24"/>
          <w:szCs w:val="24"/>
        </w:rPr>
        <w:t>在北上广深一线城市的项目或品牌的活动或包装或美陈，且合同金额在50万以上的案例</w:t>
      </w:r>
      <w:r>
        <w:rPr>
          <w:rFonts w:hint="eastAsia" w:ascii="宋体" w:hAnsi="宋体"/>
          <w:kern w:val="0"/>
          <w:sz w:val="24"/>
          <w:szCs w:val="24"/>
        </w:rPr>
        <w:t>不少于</w:t>
      </w:r>
      <w:r>
        <w:rPr>
          <w:rFonts w:ascii="宋体" w:hAnsi="宋体"/>
          <w:kern w:val="0"/>
          <w:sz w:val="24"/>
          <w:szCs w:val="24"/>
          <w:u w:val="single"/>
        </w:rPr>
        <w:t>2</w:t>
      </w:r>
      <w:r>
        <w:rPr>
          <w:rFonts w:hint="eastAsia" w:ascii="宋体" w:hAnsi="宋体"/>
          <w:kern w:val="0"/>
          <w:sz w:val="24"/>
          <w:szCs w:val="24"/>
          <w:u w:val="single"/>
        </w:rPr>
        <w:t>个</w:t>
      </w:r>
      <w:r>
        <w:rPr>
          <w:rFonts w:hint="eastAsia" w:ascii="宋体" w:hAnsi="宋体"/>
          <w:kern w:val="0"/>
          <w:sz w:val="24"/>
          <w:szCs w:val="24"/>
        </w:rPr>
        <w:t>。</w:t>
      </w:r>
    </w:p>
    <w:p>
      <w:pPr>
        <w:pStyle w:val="12"/>
        <w:numPr>
          <w:ilvl w:val="0"/>
          <w:numId w:val="1"/>
        </w:numPr>
        <w:adjustRightInd w:val="0"/>
        <w:snapToGrid w:val="0"/>
        <w:spacing w:line="336" w:lineRule="auto"/>
        <w:ind w:firstLine="480"/>
        <w:rPr>
          <w:rFonts w:ascii="宋体" w:hAnsi="宋体"/>
          <w:sz w:val="24"/>
          <w:szCs w:val="24"/>
        </w:rPr>
      </w:pPr>
      <w:r>
        <w:rPr>
          <w:rFonts w:hint="eastAsia" w:ascii="宋体" w:hAnsi="宋体"/>
          <w:color w:val="0D0D0D"/>
          <w:sz w:val="24"/>
          <w:szCs w:val="24"/>
        </w:rPr>
        <w:t>2</w:t>
      </w:r>
      <w:r>
        <w:rPr>
          <w:rFonts w:ascii="宋体" w:hAnsi="宋体"/>
          <w:color w:val="0D0D0D"/>
          <w:sz w:val="24"/>
          <w:szCs w:val="24"/>
        </w:rPr>
        <w:t>019</w:t>
      </w:r>
      <w:r>
        <w:rPr>
          <w:rFonts w:hint="eastAsia" w:ascii="宋体" w:hAnsi="宋体"/>
          <w:color w:val="0D0D0D"/>
          <w:sz w:val="24"/>
          <w:szCs w:val="24"/>
        </w:rPr>
        <w:t>年</w:t>
      </w:r>
      <w:r>
        <w:rPr>
          <w:rFonts w:ascii="宋体" w:hAnsi="宋体"/>
          <w:color w:val="0D0D0D"/>
          <w:sz w:val="24"/>
          <w:szCs w:val="24"/>
        </w:rPr>
        <w:t>1月1日以来，有串通参选不良行为记录或涉嫌串通参选，并正在接受城市主管部门调查的参选申请人不得参选</w:t>
      </w:r>
      <w:r>
        <w:rPr>
          <w:rFonts w:hint="eastAsia" w:ascii="宋体" w:hAnsi="宋体"/>
          <w:color w:val="0D0D0D"/>
          <w:sz w:val="24"/>
          <w:szCs w:val="24"/>
        </w:rPr>
        <w:t>。</w:t>
      </w:r>
    </w:p>
    <w:p>
      <w:pPr>
        <w:pStyle w:val="12"/>
        <w:numPr>
          <w:ilvl w:val="0"/>
          <w:numId w:val="1"/>
        </w:numPr>
        <w:adjustRightInd w:val="0"/>
        <w:snapToGrid w:val="0"/>
        <w:spacing w:line="336" w:lineRule="auto"/>
        <w:ind w:firstLine="480"/>
        <w:rPr>
          <w:rFonts w:ascii="宋体" w:hAnsi="宋体"/>
          <w:sz w:val="24"/>
          <w:szCs w:val="24"/>
        </w:rPr>
      </w:pPr>
      <w:r>
        <w:rPr>
          <w:rFonts w:hint="eastAsia" w:ascii="宋体" w:hAnsi="宋体"/>
          <w:color w:val="0D0D0D"/>
          <w:sz w:val="24"/>
          <w:szCs w:val="24"/>
        </w:rPr>
        <w:t>201</w:t>
      </w:r>
      <w:r>
        <w:rPr>
          <w:rFonts w:ascii="宋体" w:hAnsi="宋体"/>
          <w:color w:val="0D0D0D"/>
          <w:sz w:val="24"/>
          <w:szCs w:val="24"/>
        </w:rPr>
        <w:t>9</w:t>
      </w:r>
      <w:r>
        <w:rPr>
          <w:rFonts w:hint="eastAsia" w:ascii="宋体" w:hAnsi="宋体"/>
          <w:color w:val="0D0D0D"/>
          <w:sz w:val="24"/>
          <w:szCs w:val="24"/>
        </w:rPr>
        <w:t>年1月1日以来，</w:t>
      </w:r>
      <w:bookmarkStart w:id="8" w:name="_Hlk93843371"/>
      <w:r>
        <w:rPr>
          <w:rFonts w:hint="eastAsia" w:ascii="宋体" w:hAnsi="宋体"/>
          <w:sz w:val="24"/>
          <w:szCs w:val="24"/>
        </w:rPr>
        <w:t>在深圳市地铁集团有限公司或下属单位</w:t>
      </w:r>
      <w:r>
        <w:rPr>
          <w:rFonts w:ascii="宋体" w:hAnsi="宋体"/>
          <w:sz w:val="24"/>
          <w:szCs w:val="24"/>
        </w:rPr>
        <w:t>合同履约评价考核</w:t>
      </w:r>
      <w:r>
        <w:rPr>
          <w:rFonts w:hint="eastAsia" w:ascii="宋体" w:hAnsi="宋体"/>
          <w:sz w:val="24"/>
          <w:szCs w:val="24"/>
        </w:rPr>
        <w:t>等级不合格</w:t>
      </w:r>
      <w:bookmarkEnd w:id="8"/>
      <w:r>
        <w:rPr>
          <w:rFonts w:hint="eastAsia" w:ascii="宋体" w:hAnsi="宋体"/>
          <w:sz w:val="24"/>
          <w:szCs w:val="24"/>
        </w:rPr>
        <w:t>的参选申请人不得参选。</w:t>
      </w:r>
    </w:p>
    <w:p>
      <w:pPr>
        <w:pStyle w:val="12"/>
        <w:numPr>
          <w:ilvl w:val="0"/>
          <w:numId w:val="1"/>
        </w:numPr>
        <w:adjustRightInd w:val="0"/>
        <w:snapToGrid w:val="0"/>
        <w:spacing w:line="336" w:lineRule="auto"/>
        <w:ind w:firstLine="480"/>
        <w:rPr>
          <w:rFonts w:ascii="宋体" w:hAnsi="宋体"/>
          <w:sz w:val="24"/>
          <w:szCs w:val="24"/>
        </w:rPr>
      </w:pPr>
      <w:r>
        <w:rPr>
          <w:rFonts w:hint="eastAsia" w:ascii="宋体" w:hAnsi="宋体"/>
          <w:sz w:val="24"/>
          <w:szCs w:val="24"/>
        </w:rPr>
        <w:t>不接受联合体投标。</w:t>
      </w:r>
    </w:p>
    <w:p>
      <w:pPr>
        <w:suppressAutoHyphens/>
        <w:topLinePunct/>
        <w:adjustRightInd w:val="0"/>
        <w:snapToGrid w:val="0"/>
        <w:spacing w:line="336"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6"/>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102"/>
        <w:gridCol w:w="2382"/>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3月</w:t>
            </w:r>
            <w:r>
              <w:rPr>
                <w:rFonts w:ascii="宋体" w:hAnsi="宋体"/>
                <w:bCs/>
                <w:color w:val="0D0D0D" w:themeColor="text1" w:themeTint="F2"/>
                <w:sz w:val="18"/>
                <w:szCs w:val="18"/>
                <w14:textFill>
                  <w14:solidFill>
                    <w14:schemeClr w14:val="tx1">
                      <w14:lumMod w14:val="95000"/>
                      <w14:lumOff w14:val="5000"/>
                    </w14:schemeClr>
                  </w14:solidFill>
                </w14:textFill>
              </w:rPr>
              <w:t>25</w:t>
            </w:r>
            <w:r>
              <w:rPr>
                <w:rFonts w:hint="eastAsia" w:ascii="宋体" w:hAnsi="宋体"/>
                <w:bCs/>
                <w:color w:val="0D0D0D" w:themeColor="text1" w:themeTint="F2"/>
                <w:sz w:val="18"/>
                <w:szCs w:val="18"/>
                <w14:textFill>
                  <w14:solidFill>
                    <w14:schemeClr w14:val="tx1">
                      <w14:lumMod w14:val="95000"/>
                      <w14:lumOff w14:val="5000"/>
                    </w14:schemeClr>
                  </w14:solidFill>
                </w14:textFill>
              </w:rPr>
              <w:t>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日上午9:30</w:t>
            </w:r>
          </w:p>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 w:val="18"/>
                <w:szCs w:val="18"/>
              </w:rPr>
              <w:t>（按各参选单位递交纸质参选文件的时间为准。）</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4</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cs="宋体"/>
                <w:bCs/>
                <w:color w:val="000000"/>
                <w:kern w:val="2"/>
                <w:sz w:val="21"/>
                <w:szCs w:val="21"/>
              </w:rPr>
              <w:t>评标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8</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地点：地铁大厦智能评定标中心会议室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bl>
    <w:p>
      <w:pPr>
        <w:pStyle w:val="5"/>
        <w:snapToGrid w:val="0"/>
        <w:spacing w:line="336" w:lineRule="auto"/>
        <w:ind w:firstLine="480" w:firstLineChars="200"/>
        <w:rPr>
          <w:rFonts w:hAnsi="宋体"/>
          <w:bCs/>
          <w:color w:val="0D0D0D" w:themeColor="text1" w:themeTint="F2"/>
          <w:sz w:val="24"/>
          <w:szCs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备注：若参选人的纸质版参选文件与电子版参选文件提交的时间或内容相冲突，以提交的纸质版参选文件的时间或内容为准。</w:t>
      </w:r>
    </w:p>
    <w:p>
      <w:pPr>
        <w:pStyle w:val="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5"/>
        <w:snapToGrid w:val="0"/>
        <w:spacing w:line="336"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5"/>
        <w:snapToGrid w:val="0"/>
        <w:spacing w:line="336"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不是法定代表人，除携带本人身份证复印件外，还需携带法定代表人证明书和法定代表人身份证件复印件及授权委托书。</w:t>
      </w:r>
    </w:p>
    <w:p>
      <w:pPr>
        <w:pStyle w:val="5"/>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5"/>
        <w:snapToGrid w:val="0"/>
        <w:spacing w:line="336"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联系人：郭</w:t>
      </w:r>
      <w:r>
        <w:rPr>
          <w:rFonts w:hint="eastAsia" w:hAnsi="宋体"/>
          <w:color w:val="0D0D0D" w:themeColor="text1" w:themeTint="F2"/>
          <w:sz w:val="24"/>
          <w14:textFill>
            <w14:solidFill>
              <w14:schemeClr w14:val="tx1">
                <w14:lumMod w14:val="95000"/>
                <w14:lumOff w14:val="5000"/>
              </w14:schemeClr>
            </w14:solidFill>
          </w14:textFill>
        </w:rPr>
        <w:t>小姐</w:t>
      </w:r>
    </w:p>
    <w:p>
      <w:pPr>
        <w:pStyle w:val="5"/>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0755-89986525/13411196142</w:t>
      </w:r>
    </w:p>
    <w:p>
      <w:pPr>
        <w:pStyle w:val="5"/>
        <w:snapToGrid w:val="0"/>
        <w:spacing w:line="336"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5"/>
        <w:snapToGrid w:val="0"/>
        <w:spacing w:line="336" w:lineRule="auto"/>
        <w:ind w:firstLine="480" w:firstLineChars="200"/>
        <w:jc w:val="right"/>
        <w:rPr>
          <w:rFonts w:hint="default" w:hAnsi="宋体" w:eastAsia="宋体" w:cs="宋体"/>
          <w:color w:val="0D0D0D" w:themeColor="text1" w:themeTint="F2"/>
          <w:sz w:val="24"/>
          <w:szCs w:val="24"/>
          <w:lang w:val="en-US" w:eastAsia="zh-CN"/>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2022</w:t>
      </w:r>
      <w:r>
        <w:rPr>
          <w:rFonts w:hAnsi="宋体"/>
          <w:color w:val="0D0D0D" w:themeColor="text1" w:themeTint="F2"/>
          <w:sz w:val="24"/>
          <w14:textFill>
            <w14:solidFill>
              <w14:schemeClr w14:val="tx1">
                <w14:lumMod w14:val="95000"/>
                <w14:lumOff w14:val="5000"/>
              </w14:schemeClr>
            </w14:solidFill>
          </w14:textFill>
        </w:rPr>
        <w:t>年 3</w:t>
      </w:r>
      <w:r>
        <w:rPr>
          <w:rFonts w:hint="eastAsia" w:hAnsi="宋体"/>
          <w:color w:val="0D0D0D" w:themeColor="text1" w:themeTint="F2"/>
          <w:sz w:val="24"/>
          <w14:textFill>
            <w14:solidFill>
              <w14:schemeClr w14:val="tx1">
                <w14:lumMod w14:val="95000"/>
                <w14:lumOff w14:val="5000"/>
              </w14:schemeClr>
            </w14:solidFill>
          </w14:textFill>
        </w:rPr>
        <w:t>月</w:t>
      </w:r>
      <w:r>
        <w:rPr>
          <w:rFonts w:hint="eastAsia" w:hAnsi="宋体"/>
          <w:color w:val="0D0D0D" w:themeColor="text1" w:themeTint="F2"/>
          <w:sz w:val="24"/>
          <w:lang w:val="en-US" w:eastAsia="zh-CN"/>
          <w14:textFill>
            <w14:solidFill>
              <w14:schemeClr w14:val="tx1">
                <w14:lumMod w14:val="95000"/>
                <w14:lumOff w14:val="5000"/>
              </w14:schemeClr>
            </w14:solidFill>
          </w14:textFill>
        </w:rPr>
        <w:t>25日</w:t>
      </w:r>
      <w:bookmarkStart w:id="9" w:name="_GoBack"/>
      <w:bookmarkEnd w:id="9"/>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Segoe UI Symbol">
    <w:panose1 w:val="020B0502040204020203"/>
    <w:charset w:val="00"/>
    <w:family w:val="swiss"/>
    <w:pitch w:val="default"/>
    <w:sig w:usb0="800001E3" w:usb1="1200FFEF" w:usb2="00040000" w:usb3="04000000" w:csb0="00000001" w:csb1="40000000"/>
  </w:font>
  <w:font w:name="仿宋_GB2312">
    <w:panose1 w:val="02010609030101010101"/>
    <w:charset w:val="86"/>
    <w:family w:val="modern"/>
    <w:pitch w:val="default"/>
    <w:sig w:usb0="00000001" w:usb1="080E0000" w:usb2="00000000" w:usb3="00000000" w:csb0="00040000" w:csb1="00000000"/>
  </w:font>
  <w:font w:name="Batang">
    <w:altName w:val="Malgun Gothic"/>
    <w:panose1 w:val="02030600000101010101"/>
    <w:charset w:val="81"/>
    <w:family w:val="roman"/>
    <w:pitch w:val="default"/>
    <w:sig w:usb0="00000000" w:usb1="00000000"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35305"/>
    <w:multiLevelType w:val="multilevel"/>
    <w:tmpl w:val="4EC35305"/>
    <w:lvl w:ilvl="0" w:tentative="0">
      <w:start w:val="1"/>
      <w:numFmt w:val="chineseCountingThousand"/>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3FA"/>
    <w:rsid w:val="00007EC4"/>
    <w:rsid w:val="00024E58"/>
    <w:rsid w:val="000361A9"/>
    <w:rsid w:val="0008270E"/>
    <w:rsid w:val="000D7107"/>
    <w:rsid w:val="000E0D6E"/>
    <w:rsid w:val="000E66B4"/>
    <w:rsid w:val="0018336D"/>
    <w:rsid w:val="001D2969"/>
    <w:rsid w:val="00203539"/>
    <w:rsid w:val="00236854"/>
    <w:rsid w:val="00241734"/>
    <w:rsid w:val="002569A5"/>
    <w:rsid w:val="00277076"/>
    <w:rsid w:val="00285474"/>
    <w:rsid w:val="002C1C3B"/>
    <w:rsid w:val="002E4933"/>
    <w:rsid w:val="003565D5"/>
    <w:rsid w:val="00374C06"/>
    <w:rsid w:val="003A127F"/>
    <w:rsid w:val="003B4AE6"/>
    <w:rsid w:val="003C5320"/>
    <w:rsid w:val="003C54B1"/>
    <w:rsid w:val="003C63C6"/>
    <w:rsid w:val="003D6266"/>
    <w:rsid w:val="003E23FA"/>
    <w:rsid w:val="00407913"/>
    <w:rsid w:val="00420217"/>
    <w:rsid w:val="004A1DC4"/>
    <w:rsid w:val="00503FCC"/>
    <w:rsid w:val="0051013B"/>
    <w:rsid w:val="00512A78"/>
    <w:rsid w:val="005204C8"/>
    <w:rsid w:val="00534476"/>
    <w:rsid w:val="00562E3D"/>
    <w:rsid w:val="005857C8"/>
    <w:rsid w:val="00592377"/>
    <w:rsid w:val="005A1CA7"/>
    <w:rsid w:val="005B705D"/>
    <w:rsid w:val="0062302F"/>
    <w:rsid w:val="006248F0"/>
    <w:rsid w:val="00625F5C"/>
    <w:rsid w:val="006451CD"/>
    <w:rsid w:val="006504AD"/>
    <w:rsid w:val="00666E4A"/>
    <w:rsid w:val="0068657F"/>
    <w:rsid w:val="006B0596"/>
    <w:rsid w:val="006D2A9F"/>
    <w:rsid w:val="006F7DC8"/>
    <w:rsid w:val="007206AB"/>
    <w:rsid w:val="00751FBC"/>
    <w:rsid w:val="0079673A"/>
    <w:rsid w:val="007A78B4"/>
    <w:rsid w:val="008344FB"/>
    <w:rsid w:val="0084106D"/>
    <w:rsid w:val="00861651"/>
    <w:rsid w:val="00897840"/>
    <w:rsid w:val="008B42C4"/>
    <w:rsid w:val="009304ED"/>
    <w:rsid w:val="009344BB"/>
    <w:rsid w:val="00944FD2"/>
    <w:rsid w:val="00957C7A"/>
    <w:rsid w:val="00974F39"/>
    <w:rsid w:val="00984B25"/>
    <w:rsid w:val="009A1944"/>
    <w:rsid w:val="009A2A93"/>
    <w:rsid w:val="009C2E48"/>
    <w:rsid w:val="009F474A"/>
    <w:rsid w:val="00A13839"/>
    <w:rsid w:val="00A47DAF"/>
    <w:rsid w:val="00A57AD3"/>
    <w:rsid w:val="00A71749"/>
    <w:rsid w:val="00A765A5"/>
    <w:rsid w:val="00AE1A86"/>
    <w:rsid w:val="00AF2C36"/>
    <w:rsid w:val="00AF4305"/>
    <w:rsid w:val="00B1197A"/>
    <w:rsid w:val="00B162FC"/>
    <w:rsid w:val="00B216F3"/>
    <w:rsid w:val="00B2406C"/>
    <w:rsid w:val="00B26496"/>
    <w:rsid w:val="00B366A1"/>
    <w:rsid w:val="00B4296A"/>
    <w:rsid w:val="00B52D7C"/>
    <w:rsid w:val="00BF31F2"/>
    <w:rsid w:val="00C33C88"/>
    <w:rsid w:val="00C4360E"/>
    <w:rsid w:val="00C72A44"/>
    <w:rsid w:val="00CC7559"/>
    <w:rsid w:val="00CD372A"/>
    <w:rsid w:val="00CF11B3"/>
    <w:rsid w:val="00D12BB3"/>
    <w:rsid w:val="00D147F4"/>
    <w:rsid w:val="00D2738A"/>
    <w:rsid w:val="00D32C24"/>
    <w:rsid w:val="00D52B38"/>
    <w:rsid w:val="00D559E1"/>
    <w:rsid w:val="00D75572"/>
    <w:rsid w:val="00DB70C5"/>
    <w:rsid w:val="00DC76C7"/>
    <w:rsid w:val="00DE7C7D"/>
    <w:rsid w:val="00E15CC7"/>
    <w:rsid w:val="00E52B9C"/>
    <w:rsid w:val="00E62905"/>
    <w:rsid w:val="00E73D1D"/>
    <w:rsid w:val="00E959F7"/>
    <w:rsid w:val="00F17D85"/>
    <w:rsid w:val="00F2626E"/>
    <w:rsid w:val="00F30474"/>
    <w:rsid w:val="00F93006"/>
    <w:rsid w:val="00F95C17"/>
    <w:rsid w:val="00FE344E"/>
    <w:rsid w:val="00FF49CB"/>
    <w:rsid w:val="7AE54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9"/>
    <w:qFormat/>
    <w:uiPriority w:val="0"/>
    <w:pPr>
      <w:keepNext/>
      <w:keepLines/>
      <w:adjustRightInd w:val="0"/>
      <w:spacing w:before="340" w:after="330" w:line="578" w:lineRule="atLeast"/>
      <w:jc w:val="center"/>
      <w:textAlignment w:val="baseline"/>
      <w:outlineLvl w:val="0"/>
    </w:pPr>
    <w:rPr>
      <w:b/>
      <w:kern w:val="44"/>
      <w:sz w:val="20"/>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14"/>
    <w:semiHidden/>
    <w:unhideWhenUsed/>
    <w:uiPriority w:val="99"/>
    <w:pPr>
      <w:spacing w:after="120" w:line="240" w:lineRule="auto"/>
      <w:ind w:left="420" w:leftChars="200" w:firstLine="420" w:firstLineChars="200"/>
    </w:pPr>
    <w:rPr>
      <w:kern w:val="2"/>
      <w:sz w:val="21"/>
    </w:rPr>
  </w:style>
  <w:style w:type="paragraph" w:styleId="3">
    <w:name w:val="Body Text Indent"/>
    <w:basedOn w:val="1"/>
    <w:link w:val="10"/>
    <w:qFormat/>
    <w:uiPriority w:val="0"/>
    <w:pPr>
      <w:spacing w:line="360" w:lineRule="auto"/>
      <w:ind w:left="540" w:leftChars="257" w:firstLine="360" w:firstLineChars="150"/>
    </w:pPr>
    <w:rPr>
      <w:kern w:val="0"/>
      <w:sz w:val="20"/>
    </w:rPr>
  </w:style>
  <w:style w:type="paragraph" w:styleId="5">
    <w:name w:val="Plain Text"/>
    <w:basedOn w:val="1"/>
    <w:link w:val="11"/>
    <w:qFormat/>
    <w:uiPriority w:val="0"/>
    <w:pPr>
      <w:adjustRightInd w:val="0"/>
      <w:spacing w:line="312" w:lineRule="atLeast"/>
      <w:textAlignment w:val="baseline"/>
    </w:pPr>
    <w:rPr>
      <w:rFonts w:ascii="宋体" w:hAnsi="Courier New"/>
      <w:kern w:val="0"/>
      <w:sz w:val="20"/>
    </w:rPr>
  </w:style>
  <w:style w:type="table" w:styleId="7">
    <w:name w:val="Table Grid"/>
    <w:basedOn w:val="6"/>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basedOn w:val="8"/>
    <w:link w:val="4"/>
    <w:qFormat/>
    <w:uiPriority w:val="0"/>
    <w:rPr>
      <w:rFonts w:ascii="Times New Roman" w:hAnsi="Times New Roman" w:eastAsia="宋体" w:cs="Times New Roman"/>
      <w:b/>
      <w:kern w:val="44"/>
      <w:sz w:val="20"/>
      <w:szCs w:val="20"/>
    </w:rPr>
  </w:style>
  <w:style w:type="character" w:customStyle="1" w:styleId="10">
    <w:name w:val="正文文本缩进 字符"/>
    <w:basedOn w:val="8"/>
    <w:link w:val="3"/>
    <w:qFormat/>
    <w:uiPriority w:val="0"/>
    <w:rPr>
      <w:rFonts w:ascii="Times New Roman" w:hAnsi="Times New Roman" w:eastAsia="宋体" w:cs="Times New Roman"/>
      <w:kern w:val="0"/>
      <w:sz w:val="20"/>
      <w:szCs w:val="20"/>
    </w:rPr>
  </w:style>
  <w:style w:type="character" w:customStyle="1" w:styleId="11">
    <w:name w:val="纯文本 字符"/>
    <w:basedOn w:val="8"/>
    <w:link w:val="5"/>
    <w:qFormat/>
    <w:uiPriority w:val="0"/>
    <w:rPr>
      <w:rFonts w:ascii="宋体" w:hAnsi="Courier New" w:eastAsia="宋体" w:cs="Times New Roman"/>
      <w:kern w:val="0"/>
      <w:sz w:val="20"/>
      <w:szCs w:val="20"/>
    </w:rPr>
  </w:style>
  <w:style w:type="paragraph" w:styleId="12">
    <w:name w:val="List Paragraph"/>
    <w:basedOn w:val="1"/>
    <w:link w:val="13"/>
    <w:qFormat/>
    <w:uiPriority w:val="99"/>
    <w:pPr>
      <w:ind w:firstLine="420" w:firstLineChars="200"/>
    </w:pPr>
  </w:style>
  <w:style w:type="character" w:customStyle="1" w:styleId="13">
    <w:name w:val="列表段落 字符"/>
    <w:link w:val="12"/>
    <w:qFormat/>
    <w:uiPriority w:val="99"/>
    <w:rPr>
      <w:rFonts w:ascii="Times New Roman" w:hAnsi="Times New Roman" w:eastAsia="宋体" w:cs="Times New Roman"/>
      <w:szCs w:val="20"/>
    </w:rPr>
  </w:style>
  <w:style w:type="character" w:customStyle="1" w:styleId="14">
    <w:name w:val="正文文本首行缩进 2 字符"/>
    <w:basedOn w:val="10"/>
    <w:link w:val="2"/>
    <w:semiHidden/>
    <w:uiPriority w:val="99"/>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766</Words>
  <Characters>4371</Characters>
  <Lines>36</Lines>
  <Paragraphs>10</Paragraphs>
  <TotalTime>0</TotalTime>
  <ScaleCrop>false</ScaleCrop>
  <LinksUpToDate>false</LinksUpToDate>
  <CharactersWithSpaces>5127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2022-03-24T08:27:00Z</dcterms:created>
  <dc:creator>郭利珊</dc:creator>
  <cp:lastModifiedBy>NTKO</cp:lastModifiedBy>
  <dcterms:modified xsi:type="dcterms:W3CDTF">2022-03-24T09:41:31Z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