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r>
        <w:rPr>
          <w:rFonts w:hint="eastAsia" w:ascii="宋体" w:hAnsi="宋体"/>
          <w:b/>
          <w:bCs/>
          <w:color w:val="0D0D0D" w:themeColor="text1" w:themeTint="F2"/>
          <w:spacing w:val="36"/>
          <w:sz w:val="44"/>
          <w:szCs w:val="44"/>
          <w14:textFill>
            <w14:solidFill>
              <w14:schemeClr w14:val="tx1">
                <w14:lumMod w14:val="95000"/>
                <w14:lumOff w14:val="5000"/>
              </w14:schemeClr>
            </w14:solidFill>
          </w14:textFill>
        </w:rPr>
        <w:t xml:space="preserve"> </w:t>
      </w: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0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深铁珑境、深铁璟城巡展活动服务</w:t>
      </w:r>
    </w:p>
    <w:p>
      <w:pPr>
        <w:spacing w:line="480" w:lineRule="atLeast"/>
        <w:jc w:val="center"/>
        <w:rPr>
          <w:rFonts w:ascii="宋体" w:hAnsi="宋体"/>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hAnsi="宋体"/>
          <w:b/>
          <w:bCs/>
          <w:color w:val="0D0D0D" w:themeColor="text1" w:themeTint="F2"/>
          <w:spacing w:val="70"/>
          <w:sz w:val="32"/>
          <w:szCs w:val="32"/>
          <w:u w:val="single"/>
          <w14:textFill>
            <w14:solidFill>
              <w14:schemeClr w14:val="tx1">
                <w14:lumMod w14:val="95000"/>
                <w14:lumOff w14:val="5000"/>
              </w14:schemeClr>
            </w14:solidFill>
          </w14:textFill>
        </w:rPr>
        <w:t xml:space="preserve"> </w:t>
      </w:r>
      <w:bookmarkStart w:id="0" w:name="_Hlk88673277"/>
      <w:r>
        <w:rPr>
          <w:rFonts w:hint="eastAsia" w:hAnsi="宋体"/>
          <w:b/>
          <w:bCs/>
          <w:color w:val="0D0D0D" w:themeColor="text1" w:themeTint="F2"/>
          <w:sz w:val="32"/>
          <w:szCs w:val="32"/>
          <w:u w:val="single"/>
          <w14:textFill>
            <w14:solidFill>
              <w14:schemeClr w14:val="tx1">
                <w14:lumMod w14:val="95000"/>
                <w14:lumOff w14:val="5000"/>
              </w14:schemeClr>
            </w14:solidFill>
          </w14:textFill>
        </w:rPr>
        <w:t>深圳市地铁集团有限公司</w:t>
      </w:r>
      <w:bookmarkEnd w:id="0"/>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pStyle w:val="24"/>
        <w:snapToGrid w:val="0"/>
        <w:spacing w:line="480" w:lineRule="atLeast"/>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1"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李武雄           </w:t>
      </w:r>
    </w:p>
    <w:p>
      <w:pPr>
        <w:spacing w:line="480" w:lineRule="atLeast"/>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二〇二二年三月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2" w:name="_Toc188623169"/>
      <w:bookmarkStart w:id="3" w:name="_Toc385992323"/>
      <w:bookmarkStart w:id="4" w:name="_Toc497549383"/>
      <w:bookmarkStart w:id="5" w:name="_Toc389620163"/>
    </w:p>
    <w:p>
      <w:pPr>
        <w:pStyle w:val="33"/>
        <w:tabs>
          <w:tab w:val="right" w:leader="dot" w:pos="9323"/>
        </w:tabs>
        <w:ind w:firstLine="560"/>
        <w:rPr>
          <w:rFonts w:asciiTheme="minorHAnsi" w:hAnsiTheme="minorHAnsi" w:eastAsiaTheme="minorEastAsia" w:cstheme="minorBidi"/>
          <w:color w:val="auto"/>
          <w:sz w:val="21"/>
          <w:szCs w:val="22"/>
        </w:rPr>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1"/>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"_Toc88680677" </w:instrText>
      </w:r>
      <w:r>
        <w:fldChar w:fldCharType="separate"/>
      </w:r>
      <w:r>
        <w:rPr>
          <w:rStyle w:val="54"/>
          <w:rFonts w:ascii="宋体" w:hAnsi="宋体"/>
        </w:rPr>
        <w:t>致参选人</w:t>
      </w:r>
      <w:r>
        <w:tab/>
      </w:r>
      <w:r>
        <w:fldChar w:fldCharType="begin"/>
      </w:r>
      <w:r>
        <w:instrText xml:space="preserve"> PAGEREF _Toc88680677 \h </w:instrText>
      </w:r>
      <w:r>
        <w:fldChar w:fldCharType="separate"/>
      </w:r>
      <w:r>
        <w:t>4</w:t>
      </w:r>
      <w:r>
        <w:fldChar w:fldCharType="end"/>
      </w:r>
      <w:r>
        <w:fldChar w:fldCharType="end"/>
      </w:r>
    </w:p>
    <w:p>
      <w:pPr>
        <w:pStyle w:val="33"/>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"_Toc88680678" </w:instrText>
      </w:r>
      <w:r>
        <w:fldChar w:fldCharType="separate"/>
      </w:r>
      <w:r>
        <w:rPr>
          <w:rStyle w:val="54"/>
          <w:rFonts w:ascii="宋体" w:hAnsi="宋体"/>
        </w:rPr>
        <w:t>参选文件无效和废标的情形摘要</w:t>
      </w:r>
      <w:r>
        <w:tab/>
      </w:r>
      <w:r>
        <w:fldChar w:fldCharType="begin"/>
      </w:r>
      <w:r>
        <w:instrText xml:space="preserve"> PAGEREF _Toc88680678 \h </w:instrText>
      </w:r>
      <w:r>
        <w:fldChar w:fldCharType="separate"/>
      </w:r>
      <w:r>
        <w:t>5</w:t>
      </w:r>
      <w:r>
        <w:fldChar w:fldCharType="end"/>
      </w:r>
      <w:r>
        <w:fldChar w:fldCharType="end"/>
      </w:r>
    </w:p>
    <w:p>
      <w:pPr>
        <w:pStyle w:val="33"/>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"_Toc88680679" </w:instrText>
      </w:r>
      <w:r>
        <w:fldChar w:fldCharType="separate"/>
      </w:r>
      <w:r>
        <w:rPr>
          <w:rStyle w:val="54"/>
          <w:rFonts w:ascii="宋体" w:hAnsi="宋体"/>
        </w:rPr>
        <w:t>比选公告</w:t>
      </w:r>
      <w:r>
        <w:tab/>
      </w:r>
      <w:r>
        <w:fldChar w:fldCharType="begin"/>
      </w:r>
      <w:r>
        <w:instrText xml:space="preserve"> PAGEREF _Toc88680679 \h </w:instrText>
      </w:r>
      <w:r>
        <w:fldChar w:fldCharType="separate"/>
      </w:r>
      <w:r>
        <w:t>7</w:t>
      </w:r>
      <w:r>
        <w:fldChar w:fldCharType="end"/>
      </w:r>
      <w:r>
        <w:fldChar w:fldCharType="end"/>
      </w:r>
    </w:p>
    <w:p>
      <w:pPr>
        <w:pStyle w:val="33"/>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"_Toc88680680" </w:instrText>
      </w:r>
      <w:r>
        <w:fldChar w:fldCharType="separate"/>
      </w:r>
      <w:r>
        <w:rPr>
          <w:rStyle w:val="54"/>
          <w:rFonts w:ascii="宋体" w:hAnsi="宋体"/>
        </w:rPr>
        <w:t>比选须知</w:t>
      </w:r>
      <w:r>
        <w:tab/>
      </w:r>
      <w:r>
        <w:fldChar w:fldCharType="begin"/>
      </w:r>
      <w:r>
        <w:instrText xml:space="preserve"> PAGEREF _Toc88680680 \h </w:instrText>
      </w:r>
      <w:r>
        <w:fldChar w:fldCharType="separate"/>
      </w:r>
      <w:r>
        <w:t>14</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"_Toc88680681" </w:instrText>
      </w:r>
      <w:r>
        <w:fldChar w:fldCharType="separate"/>
      </w:r>
      <w:r>
        <w:rPr>
          <w:rStyle w:val="54"/>
          <w:rFonts w:ascii="宋体" w:hAnsi="宋体"/>
          <w:b/>
          <w:bCs/>
        </w:rPr>
        <w:t>第一章 总则</w:t>
      </w:r>
      <w:r>
        <w:tab/>
      </w:r>
      <w:r>
        <w:fldChar w:fldCharType="begin"/>
      </w:r>
      <w:r>
        <w:instrText xml:space="preserve"> PAGEREF _Toc88680681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"_Toc88680682" </w:instrText>
      </w:r>
      <w:r>
        <w:fldChar w:fldCharType="separate"/>
      </w:r>
      <w:r>
        <w:rPr>
          <w:rStyle w:val="54"/>
          <w:rFonts w:ascii="宋体" w:hAnsi="宋体"/>
          <w:bCs/>
        </w:rPr>
        <w:t>一、项目概况</w:t>
      </w:r>
      <w:r>
        <w:tab/>
      </w:r>
      <w:r>
        <w:fldChar w:fldCharType="begin"/>
      </w:r>
      <w:r>
        <w:instrText xml:space="preserve"> PAGEREF _Toc88680682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"_Toc88680683" </w:instrText>
      </w:r>
      <w:r>
        <w:fldChar w:fldCharType="separate"/>
      </w:r>
      <w:r>
        <w:rPr>
          <w:rStyle w:val="54"/>
          <w:rFonts w:ascii="宋体" w:hAnsi="宋体"/>
          <w:bCs/>
        </w:rPr>
        <w:t>二、服务内容</w:t>
      </w:r>
      <w:r>
        <w:tab/>
      </w:r>
      <w:r>
        <w:fldChar w:fldCharType="begin"/>
      </w:r>
      <w:r>
        <w:instrText xml:space="preserve"> PAGEREF _Toc88680683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"_Toc88680684" </w:instrText>
      </w:r>
      <w:r>
        <w:fldChar w:fldCharType="separate"/>
      </w:r>
      <w:r>
        <w:rPr>
          <w:rStyle w:val="54"/>
          <w:rFonts w:ascii="宋体" w:hAnsi="宋体"/>
          <w:bCs/>
        </w:rPr>
        <w:t>二、工作方式及服务期限</w:t>
      </w:r>
      <w:r>
        <w:tab/>
      </w:r>
      <w:r>
        <w:fldChar w:fldCharType="begin"/>
      </w:r>
      <w:r>
        <w:instrText xml:space="preserve"> PAGEREF _Toc88680684 \h </w:instrText>
      </w:r>
      <w:r>
        <w:fldChar w:fldCharType="separate"/>
      </w:r>
      <w:r>
        <w:t>20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"_Toc88680685" </w:instrText>
      </w:r>
      <w:r>
        <w:fldChar w:fldCharType="separate"/>
      </w:r>
      <w:r>
        <w:rPr>
          <w:rStyle w:val="54"/>
          <w:rFonts w:ascii="宋体" w:hAnsi="宋体"/>
          <w:bCs/>
        </w:rPr>
        <w:t>三、参选人资格条件</w:t>
      </w:r>
      <w:r>
        <w:tab/>
      </w:r>
      <w:r>
        <w:fldChar w:fldCharType="begin"/>
      </w:r>
      <w:r>
        <w:instrText xml:space="preserve"> PAGEREF _Toc88680685 \h </w:instrText>
      </w:r>
      <w:r>
        <w:fldChar w:fldCharType="separate"/>
      </w:r>
      <w:r>
        <w:t>20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"_Toc88680686" </w:instrText>
      </w:r>
      <w:r>
        <w:fldChar w:fldCharType="separate"/>
      </w:r>
      <w:r>
        <w:rPr>
          <w:rStyle w:val="54"/>
          <w:rFonts w:ascii="宋体" w:hAnsi="宋体"/>
          <w:bCs/>
        </w:rPr>
        <w:t>四、比选的时间安排</w:t>
      </w:r>
      <w:r>
        <w:tab/>
      </w:r>
      <w:r>
        <w:fldChar w:fldCharType="begin"/>
      </w:r>
      <w:r>
        <w:instrText xml:space="preserve"> PAGEREF _Toc88680686 \h </w:instrText>
      </w:r>
      <w:r>
        <w:fldChar w:fldCharType="separate"/>
      </w:r>
      <w:r>
        <w:t>20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"_Toc88680687" </w:instrText>
      </w:r>
      <w:r>
        <w:fldChar w:fldCharType="separate"/>
      </w:r>
      <w:r>
        <w:rPr>
          <w:rStyle w:val="54"/>
          <w:rFonts w:ascii="宋体" w:hAnsi="宋体"/>
          <w:bCs/>
        </w:rPr>
        <w:t>五、参选费用</w:t>
      </w:r>
      <w:r>
        <w:tab/>
      </w:r>
      <w:r>
        <w:fldChar w:fldCharType="begin"/>
      </w:r>
      <w:r>
        <w:instrText xml:space="preserve"> PAGEREF _Toc88680687 \h </w:instrText>
      </w:r>
      <w:r>
        <w:fldChar w:fldCharType="separate"/>
      </w:r>
      <w:r>
        <w:t>21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"_Toc88680688" </w:instrText>
      </w:r>
      <w:r>
        <w:fldChar w:fldCharType="separate"/>
      </w:r>
      <w:r>
        <w:rPr>
          <w:rStyle w:val="54"/>
          <w:rFonts w:ascii="宋体" w:hAnsi="宋体"/>
          <w:bCs/>
        </w:rPr>
        <w:t>六、参选报价限价</w:t>
      </w:r>
      <w:r>
        <w:tab/>
      </w:r>
      <w:r>
        <w:fldChar w:fldCharType="begin"/>
      </w:r>
      <w:r>
        <w:instrText xml:space="preserve"> PAGEREF _Toc88680688 \h </w:instrText>
      </w:r>
      <w:r>
        <w:fldChar w:fldCharType="separate"/>
      </w:r>
      <w:r>
        <w:t>21</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"_Toc88680689" </w:instrText>
      </w:r>
      <w:r>
        <w:fldChar w:fldCharType="separate"/>
      </w:r>
      <w:r>
        <w:rPr>
          <w:rStyle w:val="54"/>
          <w:rFonts w:ascii="宋体" w:hAnsi="宋体"/>
          <w:b/>
          <w:bCs/>
        </w:rPr>
        <w:t>第二章 比选文件</w:t>
      </w:r>
      <w:r>
        <w:tab/>
      </w:r>
      <w:r>
        <w:fldChar w:fldCharType="begin"/>
      </w:r>
      <w:r>
        <w:instrText xml:space="preserve"> PAGEREF _Toc88680689 \h </w:instrText>
      </w:r>
      <w:r>
        <w:fldChar w:fldCharType="separate"/>
      </w:r>
      <w:r>
        <w:t>21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"_Toc88680690" </w:instrText>
      </w:r>
      <w:r>
        <w:fldChar w:fldCharType="separate"/>
      </w:r>
      <w:r>
        <w:rPr>
          <w:rStyle w:val="54"/>
          <w:rFonts w:ascii="宋体" w:hAnsi="宋体"/>
          <w:bCs/>
        </w:rPr>
        <w:t>一、比选文件的构成</w:t>
      </w:r>
      <w:r>
        <w:tab/>
      </w:r>
      <w:r>
        <w:fldChar w:fldCharType="begin"/>
      </w:r>
      <w:r>
        <w:instrText xml:space="preserve"> PAGEREF _Toc88680690 \h </w:instrText>
      </w:r>
      <w:r>
        <w:fldChar w:fldCharType="separate"/>
      </w:r>
      <w:r>
        <w:t>21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"_Toc88680691" </w:instrText>
      </w:r>
      <w:r>
        <w:fldChar w:fldCharType="separate"/>
      </w:r>
      <w:r>
        <w:rPr>
          <w:rStyle w:val="54"/>
          <w:rFonts w:ascii="宋体" w:hAnsi="宋体"/>
          <w:bCs/>
        </w:rPr>
        <w:t>二、比选文件的补遗、澄清、修改</w:t>
      </w:r>
      <w:r>
        <w:tab/>
      </w:r>
      <w:r>
        <w:fldChar w:fldCharType="begin"/>
      </w:r>
      <w:r>
        <w:instrText xml:space="preserve"> PAGEREF _Toc88680691 \h </w:instrText>
      </w:r>
      <w:r>
        <w:fldChar w:fldCharType="separate"/>
      </w:r>
      <w:r>
        <w:t>22</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"_Toc88680692" </w:instrText>
      </w:r>
      <w:r>
        <w:fldChar w:fldCharType="separate"/>
      </w:r>
      <w:r>
        <w:rPr>
          <w:rStyle w:val="54"/>
          <w:rFonts w:ascii="宋体" w:hAnsi="宋体"/>
          <w:b/>
          <w:bCs/>
        </w:rPr>
        <w:t>第三章  参选文件的编写</w:t>
      </w:r>
      <w:r>
        <w:tab/>
      </w:r>
      <w:r>
        <w:fldChar w:fldCharType="begin"/>
      </w:r>
      <w:r>
        <w:instrText xml:space="preserve"> PAGEREF _Toc88680692 \h </w:instrText>
      </w:r>
      <w:r>
        <w:fldChar w:fldCharType="separate"/>
      </w:r>
      <w:r>
        <w:t>22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"_Toc88680693" </w:instrText>
      </w:r>
      <w:r>
        <w:fldChar w:fldCharType="separate"/>
      </w:r>
      <w:r>
        <w:rPr>
          <w:rStyle w:val="54"/>
          <w:rFonts w:ascii="宋体" w:hAnsi="宋体"/>
          <w:bCs/>
        </w:rPr>
        <w:t>一、参选文件的组成及要求</w:t>
      </w:r>
      <w:r>
        <w:tab/>
      </w:r>
      <w:r>
        <w:fldChar w:fldCharType="begin"/>
      </w:r>
      <w:r>
        <w:instrText xml:space="preserve"> PAGEREF _Toc88680693 \h </w:instrText>
      </w:r>
      <w:r>
        <w:fldChar w:fldCharType="separate"/>
      </w:r>
      <w:r>
        <w:t>22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"_Toc88680694" </w:instrText>
      </w:r>
      <w:r>
        <w:fldChar w:fldCharType="separate"/>
      </w:r>
      <w:r>
        <w:rPr>
          <w:rStyle w:val="54"/>
          <w:rFonts w:ascii="宋体" w:hAnsi="宋体"/>
          <w:bCs/>
        </w:rPr>
        <w:t>二、参选文件内容编写要求</w:t>
      </w:r>
      <w:r>
        <w:tab/>
      </w:r>
      <w:r>
        <w:fldChar w:fldCharType="begin"/>
      </w:r>
      <w:r>
        <w:instrText xml:space="preserve"> PAGEREF _Toc88680694 \h </w:instrText>
      </w:r>
      <w:r>
        <w:fldChar w:fldCharType="separate"/>
      </w:r>
      <w:r>
        <w:t>23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"_Toc88680695" </w:instrText>
      </w:r>
      <w:r>
        <w:fldChar w:fldCharType="separate"/>
      </w:r>
      <w:r>
        <w:rPr>
          <w:rStyle w:val="54"/>
          <w:rFonts w:ascii="宋体" w:hAnsi="宋体"/>
          <w:bCs/>
        </w:rPr>
        <w:t>三、参选人的承诺</w:t>
      </w:r>
      <w:r>
        <w:tab/>
      </w:r>
      <w:r>
        <w:fldChar w:fldCharType="begin"/>
      </w:r>
      <w:r>
        <w:instrText xml:space="preserve"> PAGEREF _Toc88680695 \h </w:instrText>
      </w:r>
      <w:r>
        <w:fldChar w:fldCharType="separate"/>
      </w:r>
      <w:r>
        <w:t>24</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"_Toc88680696" </w:instrText>
      </w:r>
      <w:r>
        <w:fldChar w:fldCharType="separate"/>
      </w:r>
      <w:r>
        <w:rPr>
          <w:rStyle w:val="54"/>
          <w:rFonts w:ascii="宋体" w:hAnsi="宋体"/>
          <w:b/>
          <w:bCs/>
        </w:rPr>
        <w:t>第四章 参选文件的签章及封装要求</w:t>
      </w:r>
      <w:r>
        <w:tab/>
      </w:r>
      <w:r>
        <w:fldChar w:fldCharType="begin"/>
      </w:r>
      <w:r>
        <w:instrText xml:space="preserve"> PAGEREF _Toc88680696 \h </w:instrText>
      </w:r>
      <w:r>
        <w:fldChar w:fldCharType="separate"/>
      </w:r>
      <w:r>
        <w:t>25</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"_Toc88680697" </w:instrText>
      </w:r>
      <w:r>
        <w:fldChar w:fldCharType="separate"/>
      </w:r>
      <w:r>
        <w:rPr>
          <w:rStyle w:val="54"/>
          <w:rFonts w:ascii="宋体" w:hAnsi="宋体"/>
          <w:b/>
          <w:bCs/>
        </w:rPr>
        <w:t>第五章 参选文件递交</w:t>
      </w:r>
      <w:r>
        <w:tab/>
      </w:r>
      <w:r>
        <w:fldChar w:fldCharType="begin"/>
      </w:r>
      <w:r>
        <w:instrText xml:space="preserve"> PAGEREF _Toc88680697 \h </w:instrText>
      </w:r>
      <w:r>
        <w:fldChar w:fldCharType="separate"/>
      </w:r>
      <w:r>
        <w:t>26</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"_Toc88680698" </w:instrText>
      </w:r>
      <w:r>
        <w:fldChar w:fldCharType="separate"/>
      </w:r>
      <w:r>
        <w:rPr>
          <w:rStyle w:val="54"/>
          <w:rFonts w:ascii="宋体" w:hAnsi="宋体"/>
          <w:b/>
          <w:bCs/>
        </w:rPr>
        <w:t>第六章  参选有效期</w:t>
      </w:r>
      <w:r>
        <w:tab/>
      </w:r>
      <w:r>
        <w:fldChar w:fldCharType="begin"/>
      </w:r>
      <w:r>
        <w:instrText xml:space="preserve"> PAGEREF _Toc88680698 \h </w:instrText>
      </w:r>
      <w:r>
        <w:fldChar w:fldCharType="separate"/>
      </w:r>
      <w:r>
        <w:t>26</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"_Toc88680699" </w:instrText>
      </w:r>
      <w:r>
        <w:fldChar w:fldCharType="separate"/>
      </w:r>
      <w:r>
        <w:rPr>
          <w:rStyle w:val="54"/>
          <w:rFonts w:ascii="宋体" w:hAnsi="宋体"/>
          <w:b/>
          <w:bCs/>
        </w:rPr>
        <w:t>第七章  开标</w:t>
      </w:r>
      <w:r>
        <w:tab/>
      </w:r>
      <w:r>
        <w:fldChar w:fldCharType="begin"/>
      </w:r>
      <w:r>
        <w:instrText xml:space="preserve"> PAGEREF _Toc88680699 \h </w:instrText>
      </w:r>
      <w:r>
        <w:fldChar w:fldCharType="separate"/>
      </w:r>
      <w:r>
        <w:t>27</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"_Toc88680700" </w:instrText>
      </w:r>
      <w:r>
        <w:fldChar w:fldCharType="separate"/>
      </w:r>
      <w:r>
        <w:rPr>
          <w:rStyle w:val="54"/>
          <w:rFonts w:ascii="宋体" w:hAnsi="宋体"/>
          <w:b/>
          <w:bCs/>
        </w:rPr>
        <w:t>第八章 评标</w:t>
      </w:r>
      <w:r>
        <w:tab/>
      </w:r>
      <w:r>
        <w:fldChar w:fldCharType="begin"/>
      </w:r>
      <w:r>
        <w:instrText xml:space="preserve"> PAGEREF _Toc88680700 \h </w:instrText>
      </w:r>
      <w:r>
        <w:fldChar w:fldCharType="separate"/>
      </w:r>
      <w:r>
        <w:t>27</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"_Toc88680701" </w:instrText>
      </w:r>
      <w:r>
        <w:fldChar w:fldCharType="separate"/>
      </w:r>
      <w:r>
        <w:rPr>
          <w:rStyle w:val="54"/>
          <w:rFonts w:ascii="宋体" w:hAnsi="宋体"/>
          <w:b/>
          <w:bCs/>
        </w:rPr>
        <w:t>第九章  确定中选人</w:t>
      </w:r>
      <w:r>
        <w:tab/>
      </w:r>
      <w:r>
        <w:fldChar w:fldCharType="begin"/>
      </w:r>
      <w:r>
        <w:instrText xml:space="preserve"> PAGEREF _Toc88680701 \h </w:instrText>
      </w:r>
      <w:r>
        <w:fldChar w:fldCharType="separate"/>
      </w:r>
      <w:r>
        <w:t>27</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"_Toc88680702" </w:instrText>
      </w:r>
      <w:r>
        <w:fldChar w:fldCharType="separate"/>
      </w:r>
      <w:r>
        <w:rPr>
          <w:rStyle w:val="54"/>
          <w:rFonts w:ascii="宋体" w:hAnsi="宋体"/>
          <w:b/>
          <w:bCs/>
        </w:rPr>
        <w:t>第十章  合同的授予</w:t>
      </w:r>
      <w:r>
        <w:tab/>
      </w:r>
      <w:r>
        <w:fldChar w:fldCharType="begin"/>
      </w:r>
      <w:r>
        <w:instrText xml:space="preserve"> PAGEREF _Toc88680702 \h </w:instrText>
      </w:r>
      <w:r>
        <w:fldChar w:fldCharType="separate"/>
      </w:r>
      <w:r>
        <w:t>30</w:t>
      </w:r>
      <w:r>
        <w:fldChar w:fldCharType="end"/>
      </w:r>
      <w:r>
        <w:fldChar w:fldCharType="end"/>
      </w:r>
    </w:p>
    <w:p>
      <w:pPr>
        <w:pStyle w:val="41"/>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"_Toc88680703" </w:instrText>
      </w:r>
      <w:r>
        <w:fldChar w:fldCharType="separate"/>
      </w:r>
      <w:r>
        <w:rPr>
          <w:rStyle w:val="54"/>
          <w:rFonts w:ascii="宋体" w:hAnsi="宋体"/>
          <w:b/>
          <w:bCs/>
        </w:rPr>
        <w:t>附件</w:t>
      </w:r>
      <w:r>
        <w:tab/>
      </w:r>
      <w:r>
        <w:fldChar w:fldCharType="begin"/>
      </w:r>
      <w:r>
        <w:instrText xml:space="preserve"> PAGEREF _Toc88680703 \h </w:instrText>
      </w:r>
      <w:r>
        <w:fldChar w:fldCharType="separate"/>
      </w:r>
      <w:r>
        <w:t>30</w:t>
      </w:r>
      <w:r>
        <w:fldChar w:fldCharType="end"/>
      </w:r>
      <w:r>
        <w:fldChar w:fldCharType="end"/>
      </w:r>
    </w:p>
    <w:p>
      <w:pPr>
        <w:pStyle w:val="33"/>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"_Toc88680704" </w:instrText>
      </w:r>
      <w:r>
        <w:fldChar w:fldCharType="separate"/>
      </w:r>
      <w:r>
        <w:rPr>
          <w:rStyle w:val="54"/>
          <w:rFonts w:ascii="宋体" w:hAnsi="宋体"/>
        </w:rPr>
        <w:t>第一篇 评标办法</w:t>
      </w:r>
      <w:r>
        <w:tab/>
      </w:r>
      <w:r>
        <w:fldChar w:fldCharType="begin"/>
      </w:r>
      <w:r>
        <w:instrText xml:space="preserve"> PAGEREF _Toc88680704 \h </w:instrText>
      </w:r>
      <w:r>
        <w:fldChar w:fldCharType="separate"/>
      </w:r>
      <w:r>
        <w:t>30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"_Toc88680705" </w:instrText>
      </w:r>
      <w:r>
        <w:fldChar w:fldCharType="separate"/>
      </w:r>
      <w:r>
        <w:rPr>
          <w:rStyle w:val="54"/>
          <w:rFonts w:ascii="宋体" w:hAnsi="宋体"/>
          <w:bCs/>
        </w:rPr>
        <w:t>一、总则</w:t>
      </w:r>
      <w:r>
        <w:tab/>
      </w:r>
      <w:r>
        <w:fldChar w:fldCharType="begin"/>
      </w:r>
      <w:r>
        <w:instrText xml:space="preserve"> PAGEREF _Toc88680705 \h </w:instrText>
      </w:r>
      <w:r>
        <w:fldChar w:fldCharType="separate"/>
      </w:r>
      <w:r>
        <w:t>30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"_Toc88680706" </w:instrText>
      </w:r>
      <w:r>
        <w:fldChar w:fldCharType="separate"/>
      </w:r>
      <w:r>
        <w:rPr>
          <w:rStyle w:val="54"/>
          <w:rFonts w:ascii="宋体" w:hAnsi="宋体"/>
          <w:bCs/>
        </w:rPr>
        <w:t>二、评定标组织</w:t>
      </w:r>
      <w:r>
        <w:tab/>
      </w:r>
      <w:r>
        <w:fldChar w:fldCharType="begin"/>
      </w:r>
      <w:r>
        <w:instrText xml:space="preserve"> PAGEREF _Toc88680706 \h </w:instrText>
      </w:r>
      <w:r>
        <w:fldChar w:fldCharType="separate"/>
      </w:r>
      <w:r>
        <w:t>31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"_Toc88680707" </w:instrText>
      </w:r>
      <w:r>
        <w:fldChar w:fldCharType="separate"/>
      </w:r>
      <w:r>
        <w:rPr>
          <w:rStyle w:val="54"/>
          <w:rFonts w:ascii="宋体" w:hAnsi="宋体"/>
          <w:bCs/>
        </w:rPr>
        <w:t>三、评标方法与程序</w:t>
      </w:r>
      <w:r>
        <w:tab/>
      </w:r>
      <w:r>
        <w:fldChar w:fldCharType="begin"/>
      </w:r>
      <w:r>
        <w:instrText xml:space="preserve"> PAGEREF _Toc88680707 \h </w:instrText>
      </w:r>
      <w:r>
        <w:fldChar w:fldCharType="separate"/>
      </w:r>
      <w:r>
        <w:t>31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"_Toc88680708" </w:instrText>
      </w:r>
      <w:r>
        <w:fldChar w:fldCharType="separate"/>
      </w:r>
      <w:r>
        <w:rPr>
          <w:rStyle w:val="54"/>
          <w:rFonts w:ascii="宋体" w:hAnsi="宋体"/>
          <w:bCs/>
        </w:rPr>
        <w:t>四、评审标准</w:t>
      </w:r>
      <w:r>
        <w:tab/>
      </w:r>
      <w:r>
        <w:fldChar w:fldCharType="begin"/>
      </w:r>
      <w:r>
        <w:instrText xml:space="preserve"> PAGEREF _Toc88680708 \h </w:instrText>
      </w:r>
      <w:r>
        <w:fldChar w:fldCharType="separate"/>
      </w:r>
      <w:r>
        <w:t>33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"_Toc88680709" </w:instrText>
      </w:r>
      <w:r>
        <w:fldChar w:fldCharType="separate"/>
      </w:r>
      <w:r>
        <w:rPr>
          <w:rStyle w:val="54"/>
          <w:rFonts w:ascii="宋体" w:hAnsi="宋体"/>
          <w:bCs/>
        </w:rPr>
        <w:t>五、中选价确定原则</w:t>
      </w:r>
      <w:r>
        <w:tab/>
      </w:r>
      <w:r>
        <w:fldChar w:fldCharType="begin"/>
      </w:r>
      <w:r>
        <w:instrText xml:space="preserve"> PAGEREF _Toc88680709 \h </w:instrText>
      </w:r>
      <w:r>
        <w:fldChar w:fldCharType="separate"/>
      </w:r>
      <w:r>
        <w:t>33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"_Toc88680710" </w:instrText>
      </w:r>
      <w:r>
        <w:fldChar w:fldCharType="separate"/>
      </w:r>
      <w:r>
        <w:rPr>
          <w:rStyle w:val="54"/>
          <w:rFonts w:ascii="宋体" w:hAnsi="宋体"/>
          <w:bCs/>
        </w:rPr>
        <w:t>六、定标</w:t>
      </w:r>
      <w:r>
        <w:tab/>
      </w:r>
      <w:r>
        <w:fldChar w:fldCharType="begin"/>
      </w:r>
      <w:r>
        <w:instrText xml:space="preserve"> PAGEREF _Toc88680710 \h </w:instrText>
      </w:r>
      <w:r>
        <w:fldChar w:fldCharType="separate"/>
      </w:r>
      <w:r>
        <w:t>33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"_Toc88680711" </w:instrText>
      </w:r>
      <w:r>
        <w:fldChar w:fldCharType="separate"/>
      </w:r>
      <w:r>
        <w:rPr>
          <w:rStyle w:val="54"/>
          <w:rFonts w:ascii="宋体" w:hAnsi="宋体"/>
          <w:bCs/>
        </w:rPr>
        <w:t>七、评标守则</w:t>
      </w:r>
      <w:r>
        <w:tab/>
      </w:r>
      <w:r>
        <w:fldChar w:fldCharType="begin"/>
      </w:r>
      <w:r>
        <w:instrText xml:space="preserve"> PAGEREF _Toc88680711 \h </w:instrText>
      </w:r>
      <w:r>
        <w:fldChar w:fldCharType="separate"/>
      </w:r>
      <w:r>
        <w:t>33</w:t>
      </w:r>
      <w:r>
        <w:fldChar w:fldCharType="end"/>
      </w:r>
      <w:r>
        <w:fldChar w:fldCharType="end"/>
      </w:r>
    </w:p>
    <w:p>
      <w:pPr>
        <w:pStyle w:val="33"/>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"_Toc88680712" </w:instrText>
      </w:r>
      <w:r>
        <w:fldChar w:fldCharType="separate"/>
      </w:r>
      <w:r>
        <w:rPr>
          <w:rStyle w:val="54"/>
          <w:rFonts w:ascii="宋体" w:hAnsi="宋体"/>
        </w:rPr>
        <w:t>第二篇  参选文件格式</w:t>
      </w:r>
      <w:r>
        <w:tab/>
      </w:r>
      <w:r>
        <w:fldChar w:fldCharType="begin"/>
      </w:r>
      <w:r>
        <w:instrText xml:space="preserve"> PAGEREF _Toc88680712 \h </w:instrText>
      </w:r>
      <w:r>
        <w:fldChar w:fldCharType="separate"/>
      </w:r>
      <w:r>
        <w:t>50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"_Toc88680713" </w:instrText>
      </w:r>
      <w:r>
        <w:fldChar w:fldCharType="separate"/>
      </w:r>
      <w:r>
        <w:rPr>
          <w:rStyle w:val="54"/>
          <w:rFonts w:ascii="宋体" w:hAnsi="宋体"/>
        </w:rPr>
        <w:t>第一章</w:t>
      </w:r>
      <w:r>
        <w:tab/>
      </w:r>
      <w:r>
        <w:fldChar w:fldCharType="begin"/>
      </w:r>
      <w:r>
        <w:instrText xml:space="preserve"> PAGEREF _Toc88680713 \h </w:instrText>
      </w:r>
      <w:r>
        <w:fldChar w:fldCharType="separate"/>
      </w:r>
      <w:r>
        <w:t>51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"_Toc88680714" </w:instrText>
      </w:r>
      <w:r>
        <w:fldChar w:fldCharType="separate"/>
      </w:r>
      <w:r>
        <w:rPr>
          <w:rStyle w:val="54"/>
          <w:rFonts w:ascii="宋体" w:hAnsi="宋体"/>
        </w:rPr>
        <w:t>一、</w:t>
      </w:r>
      <w:r>
        <w:rPr>
          <w:rFonts w:asciiTheme="minorHAnsi" w:hAnsiTheme="minorHAnsi" w:eastAsiaTheme="minorEastAsia" w:cstheme="minorBidi"/>
          <w:sz w:val="21"/>
          <w:szCs w:val="22"/>
        </w:rPr>
        <w:tab/>
      </w:r>
      <w:r>
        <w:rPr>
          <w:rStyle w:val="54"/>
          <w:rFonts w:ascii="宋体" w:hAnsi="宋体"/>
        </w:rPr>
        <w:t>参选人营业执照复印件（加盖公章）</w:t>
      </w:r>
      <w:r>
        <w:tab/>
      </w:r>
      <w:r>
        <w:fldChar w:fldCharType="begin"/>
      </w:r>
      <w:r>
        <w:instrText xml:space="preserve"> PAGEREF _Toc88680714 \h </w:instrText>
      </w:r>
      <w:r>
        <w:fldChar w:fldCharType="separate"/>
      </w:r>
      <w:r>
        <w:t>53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"_Toc88680715" </w:instrText>
      </w:r>
      <w:r>
        <w:fldChar w:fldCharType="separate"/>
      </w:r>
      <w:r>
        <w:rPr>
          <w:rStyle w:val="54"/>
          <w:rFonts w:ascii="宋体" w:hAnsi="宋体"/>
        </w:rPr>
        <w:t>二、法定代表人资格证明书</w:t>
      </w:r>
      <w:r>
        <w:tab/>
      </w:r>
      <w:r>
        <w:fldChar w:fldCharType="begin"/>
      </w:r>
      <w:r>
        <w:instrText xml:space="preserve"> PAGEREF _Toc88680715 \h </w:instrText>
      </w:r>
      <w:r>
        <w:fldChar w:fldCharType="separate"/>
      </w:r>
      <w:r>
        <w:t>54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"_Toc88680716" </w:instrText>
      </w:r>
      <w:r>
        <w:fldChar w:fldCharType="separate"/>
      </w:r>
      <w:r>
        <w:rPr>
          <w:rStyle w:val="54"/>
          <w:rFonts w:ascii="宋体" w:hAnsi="宋体"/>
        </w:rPr>
        <w:t>三、法定代表人身份证复印件</w:t>
      </w:r>
      <w:r>
        <w:tab/>
      </w:r>
      <w:r>
        <w:fldChar w:fldCharType="begin"/>
      </w:r>
      <w:r>
        <w:instrText xml:space="preserve"> PAGEREF _Toc88680716 \h </w:instrText>
      </w:r>
      <w:r>
        <w:fldChar w:fldCharType="separate"/>
      </w:r>
      <w:r>
        <w:t>55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"_Toc88680717" </w:instrText>
      </w:r>
      <w:r>
        <w:fldChar w:fldCharType="separate"/>
      </w:r>
      <w:r>
        <w:rPr>
          <w:rStyle w:val="54"/>
          <w:rFonts w:ascii="宋体" w:hAnsi="宋体"/>
        </w:rPr>
        <w:t>四、法定代表人授权委托书【如递交比选文件人不是法定代表人时提供】</w:t>
      </w:r>
      <w:r>
        <w:tab/>
      </w:r>
      <w:r>
        <w:fldChar w:fldCharType="begin"/>
      </w:r>
      <w:r>
        <w:instrText xml:space="preserve"> PAGEREF _Toc88680717 \h </w:instrText>
      </w:r>
      <w:r>
        <w:fldChar w:fldCharType="separate"/>
      </w:r>
      <w:r>
        <w:t>56</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"_Toc88680718" </w:instrText>
      </w:r>
      <w:r>
        <w:fldChar w:fldCharType="separate"/>
      </w:r>
      <w:r>
        <w:rPr>
          <w:rStyle w:val="54"/>
          <w:rFonts w:ascii="宋体" w:hAnsi="宋体"/>
        </w:rPr>
        <w:t>五、被授权人身份证复印件【如递交比选文件人不是法定代表人时提供】</w:t>
      </w:r>
      <w:r>
        <w:tab/>
      </w:r>
      <w:r>
        <w:fldChar w:fldCharType="begin"/>
      </w:r>
      <w:r>
        <w:instrText xml:space="preserve"> PAGEREF _Toc88680718 \h </w:instrText>
      </w:r>
      <w:r>
        <w:fldChar w:fldCharType="separate"/>
      </w:r>
      <w:r>
        <w:t>57</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"_Toc88680719" </w:instrText>
      </w:r>
      <w:r>
        <w:fldChar w:fldCharType="separate"/>
      </w:r>
      <w:r>
        <w:rPr>
          <w:rStyle w:val="54"/>
          <w:rFonts w:ascii="宋体" w:hAnsi="宋体"/>
          <w:bCs/>
        </w:rPr>
        <w:t>六、参选业绩证明材料（加盖公章）</w:t>
      </w:r>
      <w:r>
        <w:tab/>
      </w:r>
      <w:r>
        <w:fldChar w:fldCharType="begin"/>
      </w:r>
      <w:r>
        <w:instrText xml:space="preserve"> PAGEREF _Toc88680719 \h </w:instrText>
      </w:r>
      <w:r>
        <w:fldChar w:fldCharType="separate"/>
      </w:r>
      <w:r>
        <w:t>58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"_Toc88680720" </w:instrText>
      </w:r>
      <w:r>
        <w:fldChar w:fldCharType="separate"/>
      </w:r>
      <w:r>
        <w:rPr>
          <w:rStyle w:val="54"/>
          <w:rFonts w:ascii="宋体" w:hAnsi="宋体"/>
        </w:rPr>
        <w:t>第二章</w:t>
      </w:r>
      <w:r>
        <w:tab/>
      </w:r>
      <w:r>
        <w:fldChar w:fldCharType="begin"/>
      </w:r>
      <w:r>
        <w:instrText xml:space="preserve"> PAGEREF _Toc88680720 \h </w:instrText>
      </w:r>
      <w:r>
        <w:fldChar w:fldCharType="separate"/>
      </w:r>
      <w:r>
        <w:t>60</w:t>
      </w:r>
      <w:r>
        <w:fldChar w:fldCharType="end"/>
      </w:r>
      <w:r>
        <w:fldChar w:fldCharType="end"/>
      </w:r>
    </w:p>
    <w:p>
      <w:pPr>
        <w:pStyle w:val="33"/>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"_Toc88680721" </w:instrText>
      </w:r>
      <w:r>
        <w:fldChar w:fldCharType="separate"/>
      </w:r>
      <w:r>
        <w:rPr>
          <w:rStyle w:val="54"/>
          <w:rFonts w:ascii="宋体" w:hAnsi="宋体"/>
        </w:rPr>
        <w:t>第三篇  合同</w:t>
      </w:r>
      <w:r>
        <w:tab/>
      </w:r>
      <w:r>
        <w:fldChar w:fldCharType="begin"/>
      </w:r>
      <w:r>
        <w:instrText xml:space="preserve"> PAGEREF _Toc88680721 \h </w:instrText>
      </w:r>
      <w:r>
        <w:fldChar w:fldCharType="separate"/>
      </w:r>
      <w:r>
        <w:t>75</w:t>
      </w:r>
      <w:r>
        <w:fldChar w:fldCharType="end"/>
      </w:r>
      <w:r>
        <w:fldChar w:fldCharType="end"/>
      </w:r>
    </w:p>
    <w:p>
      <w:pPr>
        <w:pStyle w:val="33"/>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
    <w:p/>
    <w:p/>
    <w:bookmarkEnd w:id="2"/>
    <w:p>
      <w:pPr>
        <w:pStyle w:val="4"/>
        <w:spacing w:before="240" w:line="480" w:lineRule="atLeast"/>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6" w:name="_Toc88680677"/>
      <w:bookmarkStart w:id="7" w:name="_Toc434234570"/>
      <w:bookmarkStart w:id="8"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6"/>
    </w:p>
    <w:p>
      <w:pPr>
        <w:pStyle w:val="24"/>
        <w:spacing w:before="240" w:beforeLines="100" w:after="120" w:afterLines="50" w:line="480" w:lineRule="atLeast"/>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b/>
          <w:bCs/>
          <w:color w:val="0D0D0D" w:themeColor="text1" w:themeTint="F2"/>
          <w:sz w:val="24"/>
          <w:u w:val="single"/>
          <w14:textFill>
            <w14:solidFill>
              <w14:schemeClr w14:val="tx1">
                <w14:lumMod w14:val="95000"/>
                <w14:lumOff w14:val="5000"/>
              </w14:schemeClr>
            </w14:solidFill>
          </w14:textFill>
        </w:rPr>
        <w:t>深铁珑境、深铁璟城巡展活动服务</w:t>
      </w:r>
      <w:r>
        <w:rPr>
          <w:rFonts w:hint="eastAsia" w:hAnsi="宋体"/>
          <w:color w:val="0D0D0D" w:themeColor="text1" w:themeTint="F2"/>
          <w:sz w:val="24"/>
          <w14:textFill>
            <w14:solidFill>
              <w14:schemeClr w14:val="tx1">
                <w14:lumMod w14:val="95000"/>
                <w14:lumOff w14:val="5000"/>
              </w14:schemeClr>
            </w14:solidFill>
          </w14:textFill>
        </w:rPr>
        <w:t>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480" w:lineRule="atLeast"/>
        <w:ind w:firstLine="480" w:firstLineChars="200"/>
        <w:jc w:val="left"/>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u w:val="single"/>
          <w14:textFill>
            <w14:solidFill>
              <w14:schemeClr w14:val="tx1">
                <w14:lumMod w14:val="95000"/>
                <w14:lumOff w14:val="5000"/>
              </w14:schemeClr>
            </w14:solidFill>
          </w14:textFill>
        </w:rPr>
        <w:t>领取了本比选文件的</w:t>
      </w:r>
      <w:r>
        <w:rPr>
          <w:rFonts w:hAnsi="宋体"/>
          <w:color w:val="0D0D0D" w:themeColor="text1" w:themeTint="F2"/>
          <w:sz w:val="24"/>
          <w:u w:val="single"/>
          <w14:textFill>
            <w14:solidFill>
              <w14:schemeClr w14:val="tx1">
                <w14:lumMod w14:val="95000"/>
                <w14:lumOff w14:val="5000"/>
              </w14:schemeClr>
            </w14:solidFill>
          </w14:textFill>
        </w:rPr>
        <w:t>参选人</w:t>
      </w:r>
      <w:r>
        <w:rPr>
          <w:rFonts w:hint="eastAsia" w:hAnsi="宋体"/>
          <w:color w:val="0D0D0D" w:themeColor="text1" w:themeTint="F2"/>
          <w:sz w:val="24"/>
          <w:u w:val="single"/>
          <w14:textFill>
            <w14:solidFill>
              <w14:schemeClr w14:val="tx1">
                <w14:lumMod w14:val="95000"/>
                <w14:lumOff w14:val="5000"/>
              </w14:schemeClr>
            </w14:solidFill>
          </w14:textFill>
        </w:rPr>
        <w:t>，请</w:t>
      </w:r>
      <w:r>
        <w:rPr>
          <w:rFonts w:hAnsi="宋体"/>
          <w:color w:val="0D0D0D" w:themeColor="text1" w:themeTint="F2"/>
          <w:sz w:val="24"/>
          <w:u w:val="single"/>
          <w14:textFill>
            <w14:solidFill>
              <w14:schemeClr w14:val="tx1">
                <w14:lumMod w14:val="95000"/>
                <w14:lumOff w14:val="5000"/>
              </w14:schemeClr>
            </w14:solidFill>
          </w14:textFill>
        </w:rPr>
        <w:t>随时查看“深圳地铁</w:t>
      </w:r>
      <w:r>
        <w:rPr>
          <w:rFonts w:hint="eastAsia" w:hAnsi="宋体"/>
          <w:color w:val="0D0D0D" w:themeColor="text1" w:themeTint="F2"/>
          <w:sz w:val="24"/>
          <w:u w:val="single"/>
          <w14:textFill>
            <w14:solidFill>
              <w14:schemeClr w14:val="tx1">
                <w14:lumMod w14:val="95000"/>
                <w14:lumOff w14:val="5000"/>
              </w14:schemeClr>
            </w14:solidFill>
          </w14:textFill>
        </w:rPr>
        <w:t>官</w:t>
      </w:r>
      <w:r>
        <w:rPr>
          <w:rFonts w:hAnsi="宋体"/>
          <w:color w:val="0D0D0D" w:themeColor="text1" w:themeTint="F2"/>
          <w:sz w:val="24"/>
          <w:u w:val="single"/>
          <w14:textFill>
            <w14:solidFill>
              <w14:schemeClr w14:val="tx1">
                <w14:lumMod w14:val="95000"/>
                <w14:lumOff w14:val="5000"/>
              </w14:schemeClr>
            </w14:solidFill>
          </w14:textFill>
        </w:rPr>
        <w:t>网”</w:t>
      </w:r>
      <w:r>
        <w:rPr>
          <w:rFonts w:hint="eastAsia" w:hAnsi="宋体"/>
          <w:color w:val="0D0D0D" w:themeColor="text1" w:themeTint="F2"/>
          <w:sz w:val="24"/>
          <w:u w:val="single"/>
          <w14:textFill>
            <w14:solidFill>
              <w14:schemeClr w14:val="tx1">
                <w14:lumMod w14:val="95000"/>
                <w14:lumOff w14:val="5000"/>
              </w14:schemeClr>
            </w14:solidFill>
          </w14:textFill>
        </w:rPr>
        <w:t>、“深铁招采网”、“</w:t>
      </w:r>
      <w:r>
        <w:rPr>
          <w:rFonts w:hAnsi="宋体"/>
          <w:color w:val="0D0D0D" w:themeColor="text1" w:themeTint="F2"/>
          <w:sz w:val="24"/>
          <w:u w:val="single"/>
          <w14:textFill>
            <w14:solidFill>
              <w14:schemeClr w14:val="tx1">
                <w14:lumMod w14:val="95000"/>
                <w14:lumOff w14:val="5000"/>
              </w14:schemeClr>
            </w14:solidFill>
          </w14:textFill>
        </w:rPr>
        <w:t>国资委阳光采购平台</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深铁置业</w:t>
      </w:r>
      <w:r>
        <w:rPr>
          <w:rFonts w:hint="eastAsia" w:hAnsi="宋体"/>
          <w:color w:val="0D0D0D" w:themeColor="text1" w:themeTint="F2"/>
          <w:sz w:val="24"/>
          <w:u w:val="single"/>
          <w14:textFill>
            <w14:solidFill>
              <w14:schemeClr w14:val="tx1">
                <w14:lumMod w14:val="95000"/>
                <w14:lumOff w14:val="5000"/>
              </w14:schemeClr>
            </w14:solidFill>
          </w14:textFill>
        </w:rPr>
        <w:t>微信订阅</w:t>
      </w:r>
      <w:r>
        <w:rPr>
          <w:rFonts w:hAnsi="宋体"/>
          <w:color w:val="0D0D0D" w:themeColor="text1" w:themeTint="F2"/>
          <w:sz w:val="24"/>
          <w:u w:val="single"/>
          <w14:textFill>
            <w14:solidFill>
              <w14:schemeClr w14:val="tx1">
                <w14:lumMod w14:val="95000"/>
                <w14:lumOff w14:val="5000"/>
              </w14:schemeClr>
            </w14:solidFill>
          </w14:textFill>
        </w:rPr>
        <w:t>号</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中有关该项目</w:t>
      </w:r>
      <w:r>
        <w:rPr>
          <w:rFonts w:hint="eastAsia" w:hAnsi="宋体"/>
          <w:color w:val="0D0D0D" w:themeColor="text1" w:themeTint="F2"/>
          <w:sz w:val="24"/>
          <w:u w:val="single"/>
          <w14:textFill>
            <w14:solidFill>
              <w14:schemeClr w14:val="tx1">
                <w14:lumMod w14:val="95000"/>
                <w14:lumOff w14:val="5000"/>
              </w14:schemeClr>
            </w14:solidFill>
          </w14:textFill>
        </w:rPr>
        <w:t>补遗</w:t>
      </w:r>
      <w:r>
        <w:rPr>
          <w:rFonts w:hAnsi="宋体"/>
          <w:color w:val="0D0D0D" w:themeColor="text1" w:themeTint="F2"/>
          <w:sz w:val="24"/>
          <w:u w:val="single"/>
          <w14:textFill>
            <w14:solidFill>
              <w14:schemeClr w14:val="tx1">
                <w14:lumMod w14:val="95000"/>
                <w14:lumOff w14:val="5000"/>
              </w14:schemeClr>
            </w14:solidFill>
          </w14:textFill>
        </w:rPr>
        <w:t>文件的信息。</w:t>
      </w:r>
      <w:r>
        <w:rPr>
          <w:rFonts w:hint="eastAsia" w:hAnsi="宋体"/>
          <w:color w:val="0D0D0D" w:themeColor="text1" w:themeTint="F2"/>
          <w:sz w:val="24"/>
          <w:u w:val="single"/>
          <w14:textFill>
            <w14:solidFill>
              <w14:schemeClr w14:val="tx1">
                <w14:lumMod w14:val="95000"/>
                <w14:lumOff w14:val="5000"/>
              </w14:schemeClr>
            </w14:solidFill>
          </w14:textFill>
        </w:rPr>
        <w:t>否则，</w:t>
      </w:r>
      <w:r>
        <w:rPr>
          <w:rFonts w:hAnsi="宋体"/>
          <w:color w:val="0D0D0D" w:themeColor="text1" w:themeTint="F2"/>
          <w:sz w:val="24"/>
          <w:u w:val="single"/>
          <w14:textFill>
            <w14:solidFill>
              <w14:schemeClr w14:val="tx1">
                <w14:lumMod w14:val="95000"/>
                <w14:lumOff w14:val="5000"/>
              </w14:schemeClr>
            </w14:solidFill>
          </w14:textFill>
        </w:rPr>
        <w:t>由此导致的不利后果由参选人自负。</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w:t>
      </w:r>
      <w:r>
        <w:rPr>
          <w:rFonts w:hint="eastAsia" w:hAnsi="宋体"/>
          <w:color w:val="0D0D0D" w:themeColor="text1" w:themeTint="F2"/>
          <w:sz w:val="24"/>
          <w14:textFill>
            <w14:solidFill>
              <w14:schemeClr w14:val="tx1">
                <w14:lumMod w14:val="95000"/>
                <w14:lumOff w14:val="5000"/>
              </w14:schemeClr>
            </w14:solidFill>
          </w14:textFill>
        </w:rPr>
        <w:t>深圳市福田区地铁大厦</w:t>
      </w:r>
    </w:p>
    <w:p>
      <w:pPr>
        <w:pStyle w:val="24"/>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14:textFill>
            <w14:solidFill>
              <w14:schemeClr w14:val="tx1">
                <w14:lumMod w14:val="95000"/>
                <w14:lumOff w14:val="5000"/>
              </w14:schemeClr>
            </w14:solidFill>
          </w14:textFill>
        </w:rPr>
        <w:t>区小姐</w:t>
      </w:r>
    </w:p>
    <w:p>
      <w:pPr>
        <w:pStyle w:val="24"/>
        <w:spacing w:line="360" w:lineRule="auto"/>
        <w:ind w:firstLine="420" w:firstLineChars="175"/>
        <w:rPr>
          <w:rFonts w:hAnsi="宋体" w:cs="宋体"/>
          <w:sz w:val="24"/>
          <w:szCs w:val="24"/>
        </w:rPr>
      </w:pPr>
      <w:r>
        <w:rPr>
          <w:rFonts w:hAnsi="宋体"/>
          <w:color w:val="0D0D0D" w:themeColor="text1" w:themeTint="F2"/>
          <w:sz w:val="24"/>
          <w14:textFill>
            <w14:solidFill>
              <w14:schemeClr w14:val="tx1">
                <w14:lumMod w14:val="95000"/>
                <w14:lumOff w14:val="5000"/>
              </w14:schemeClr>
            </w14:solidFill>
          </w14:textFill>
        </w:rPr>
        <w:t>联系电话：0755-</w:t>
      </w:r>
      <w:r>
        <w:rPr>
          <w:rFonts w:hAnsi="宋体" w:cs="宋体"/>
          <w:sz w:val="24"/>
          <w:szCs w:val="24"/>
        </w:rPr>
        <w:t>89986593</w:t>
      </w:r>
    </w:p>
    <w:p>
      <w:pPr>
        <w:pStyle w:val="24"/>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邮：252224607@qq.com</w:t>
      </w:r>
    </w:p>
    <w:p>
      <w:pPr>
        <w:pStyle w:val="24"/>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w:t>
      </w:r>
      <w:r>
        <w:rPr>
          <w:rFonts w:hint="eastAsia" w:hAnsi="宋体"/>
          <w:color w:val="0D0D0D" w:themeColor="text1" w:themeTint="F2"/>
          <w:sz w:val="24"/>
          <w14:textFill>
            <w14:solidFill>
              <w14:schemeClr w14:val="tx1">
                <w14:lumMod w14:val="95000"/>
                <w14:lumOff w14:val="5000"/>
              </w14:schemeClr>
            </w14:solidFill>
          </w14:textFill>
        </w:rPr>
        <w:t>2年</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3</w:t>
      </w:r>
      <w:r>
        <w:rPr>
          <w:rFonts w:hint="eastAsia"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22</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日</w:t>
      </w:r>
    </w:p>
    <w:p>
      <w:pPr>
        <w:pStyle w:val="24"/>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4"/>
        <w:spacing w:before="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9" w:name="_Toc372555579"/>
      <w:bookmarkStart w:id="10" w:name="_Toc88680678"/>
      <w:bookmarkStart w:id="11" w:name="_Toc188439083"/>
      <w:bookmarkStart w:id="12" w:name="_Toc191203192"/>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3"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3"/>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9"/>
      <w:bookmarkEnd w:id="10"/>
      <w:bookmarkEnd w:id="11"/>
      <w:bookmarkEnd w:id="12"/>
    </w:p>
    <w:p>
      <w:pPr>
        <w:pStyle w:val="24"/>
        <w:snapToGrid w:val="0"/>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4" w:name="_Toc188439084"/>
      <w:bookmarkStart w:id="15" w:name="_Toc191203193"/>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4"/>
      <w:bookmarkEnd w:id="15"/>
    </w:p>
    <w:p>
      <w:pPr>
        <w:adjustRightInd w:val="0"/>
        <w:snapToGrid w:val="0"/>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adjustRightInd w:val="0"/>
        <w:snapToGrid w:val="0"/>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adjustRightInd w:val="0"/>
        <w:snapToGrid w:val="0"/>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4．《参选函》</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sz w:val="24"/>
        </w:rPr>
        <w:t>参选人的报价超出本项目参选上限价或分项价格上限的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r>
        <w:rPr>
          <w:rFonts w:hint="eastAsia" w:ascii="宋体" w:hAnsi="宋体"/>
          <w:sz w:val="24"/>
        </w:rPr>
        <w:t>（包括但不限于线上递交参选文件的CPU序号、硬盘序列号、MAC地址、IP地址等）</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sz w:val="24"/>
        </w:rPr>
        <w:t>不同参选人的参选报价或者报价组成异常一致或者呈规律性变化的；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sz w:val="24"/>
        </w:rPr>
        <w:t>不同参选人的参选文件载明的项目负责人与主要技术人员出现同一人的；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8</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9</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spacing w:line="360" w:lineRule="auto"/>
        <w:ind w:left="480" w:firstLine="480" w:firstLineChars="200"/>
        <w:rPr>
          <w:rFonts w:ascii="宋体" w:hAnsi="宋体"/>
          <w:sz w:val="24"/>
          <w:szCs w:val="24"/>
        </w:rPr>
      </w:pPr>
      <w:r>
        <w:rPr>
          <w:rFonts w:hint="eastAsia" w:ascii="宋体" w:hAnsi="宋体"/>
          <w:sz w:val="24"/>
          <w:szCs w:val="24"/>
        </w:rPr>
        <w:t>当参选人出现上述</w:t>
      </w:r>
      <w:r>
        <w:rPr>
          <w:rFonts w:ascii="宋体" w:hAnsi="宋体"/>
          <w:sz w:val="24"/>
          <w:szCs w:val="24"/>
        </w:rPr>
        <w:t>9</w:t>
      </w:r>
      <w:r>
        <w:rPr>
          <w:rFonts w:hint="eastAsia" w:ascii="宋体" w:hAnsi="宋体"/>
          <w:sz w:val="24"/>
          <w:szCs w:val="24"/>
        </w:rPr>
        <w:t>条的情形时，比选人将该参选人列入比选人不良诚信行为名录，并保留对外公示的权利。</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2017</w:t>
      </w:r>
      <w:r>
        <w:rPr>
          <w:rFonts w:hint="eastAsia" w:ascii="宋体" w:hAnsi="宋体"/>
          <w:color w:val="0D0D0D" w:themeColor="text1" w:themeTint="F2"/>
          <w:sz w:val="24"/>
          <w14:textFill>
            <w14:solidFill>
              <w14:schemeClr w14:val="tx1">
                <w14:lumMod w14:val="95000"/>
                <w14:lumOff w14:val="5000"/>
              </w14:schemeClr>
            </w14:solidFill>
          </w14:textFill>
        </w:rPr>
        <w:t>年</w:t>
      </w:r>
      <w:r>
        <w:rPr>
          <w:rFonts w:ascii="宋体" w:hAnsi="宋体"/>
          <w:color w:val="0D0D0D" w:themeColor="text1" w:themeTint="F2"/>
          <w:sz w:val="24"/>
          <w14:textFill>
            <w14:solidFill>
              <w14:schemeClr w14:val="tx1">
                <w14:lumMod w14:val="95000"/>
                <w14:lumOff w14:val="5000"/>
              </w14:schemeClr>
            </w14:solidFill>
          </w14:textFill>
        </w:rPr>
        <w:t>1月1日以来，有串通参选不良行为记录或涉嫌串通参选，并正在接受城市主管部门调查的参选申请人；</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2</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16" w:name="_Toc88680679"/>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p>
    <w:p>
      <w:pPr>
        <w:pStyle w:val="4"/>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bookmarkEnd w:id="7"/>
    <w:bookmarkEnd w:id="16"/>
    <w:p>
      <w:pPr>
        <w:adjustRightInd w:val="0"/>
        <w:snapToGrid w:val="0"/>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hAnsi="宋体"/>
          <w:b/>
          <w:bCs/>
          <w:color w:val="0D0D0D" w:themeColor="text1" w:themeTint="F2"/>
          <w:sz w:val="24"/>
          <w:u w:val="single"/>
          <w14:textFill>
            <w14:solidFill>
              <w14:schemeClr w14:val="tx1">
                <w14:lumMod w14:val="95000"/>
                <w14:lumOff w14:val="5000"/>
              </w14:schemeClr>
            </w14:solidFill>
          </w14:textFill>
        </w:rPr>
        <w:t>深铁珑境、深铁璟城巡展活动服务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4"/>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4"/>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深铁珑境、深铁璟城巡展活动服务</w:t>
      </w:r>
    </w:p>
    <w:p>
      <w:pPr>
        <w:pStyle w:val="24"/>
        <w:snapToGrid w:val="0"/>
        <w:spacing w:line="360"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24"/>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1.深铁珑境位于深圳市龙华区大浪街道布龙路与和平路交汇处（地铁4号线龙胜站）。本项目二类居住用地面积约9.35万㎡，二类居住用地建筑面积约28.96万㎡；商品住宅约24.27万㎡，其中盖上住宅约5.8万㎡，产品涵盖建筑面积107-180㎡四房，白地住宅约18.47万㎡；商业约4500㎡。</w:t>
      </w:r>
    </w:p>
    <w:p>
      <w:pPr>
        <w:pStyle w:val="24"/>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2.深铁璟城位于深圳市宝安区松岗片区地铁11号线终点站碧头站上盖，东宝河南侧，松福大道以北。项目总占地约33万㎡，建筑面积约70万㎡。集高端住宅、缤纷商业、运动公园、九年教育配套于一体的大型生态综合体。其中首批推出北区盖上1244套75-148平2-4房的低密住宅产品。</w:t>
      </w:r>
    </w:p>
    <w:p>
      <w:pPr>
        <w:pStyle w:val="24"/>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24"/>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本次开展深铁珑境、深铁璟城巡展活动服务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公司的公开比选，采用“一标二包”的形式，共产生两个中选人，并分别签订合同。</w:t>
      </w:r>
    </w:p>
    <w:p>
      <w:pPr>
        <w:adjustRightInd w:val="0"/>
        <w:snapToGrid w:val="0"/>
        <w:spacing w:line="312" w:lineRule="auto"/>
        <w:ind w:firstLine="480" w:firstLineChars="200"/>
        <w:rPr>
          <w:rFonts w:ascii="宋体" w:hAnsi="宋体" w:cs="宋体"/>
          <w:color w:val="0D0D0D"/>
          <w:sz w:val="24"/>
          <w:szCs w:val="24"/>
        </w:rPr>
      </w:pPr>
      <w:r>
        <w:rPr>
          <w:rFonts w:hint="eastAsia" w:ascii="宋体" w:hAnsi="宋体" w:cs="宋体"/>
          <w:sz w:val="24"/>
          <w:szCs w:val="24"/>
        </w:rPr>
        <w:t>根据深铁珑境及深铁璟城巡展活动项目需求</w:t>
      </w:r>
      <w:r>
        <w:rPr>
          <w:rFonts w:hint="eastAsia" w:ascii="宋体" w:hAnsi="宋体" w:cs="宋体"/>
          <w:color w:val="0D0D0D"/>
          <w:sz w:val="24"/>
          <w:szCs w:val="24"/>
        </w:rPr>
        <w:t>开展巡展</w:t>
      </w:r>
      <w:r>
        <w:rPr>
          <w:rFonts w:hint="eastAsia" w:ascii="宋体" w:hAnsi="宋体" w:cs="宋体"/>
          <w:color w:val="0D0D0D"/>
          <w:sz w:val="24"/>
          <w:szCs w:val="24"/>
          <w:lang w:val="en-US" w:eastAsia="zh-CN"/>
        </w:rPr>
        <w:t>活动服务</w:t>
      </w:r>
      <w:r>
        <w:rPr>
          <w:rFonts w:hint="eastAsia" w:ascii="宋体" w:hAnsi="宋体" w:cs="宋体"/>
          <w:color w:val="0D0D0D"/>
          <w:sz w:val="24"/>
          <w:szCs w:val="24"/>
        </w:rPr>
        <w:t>工作，具体工作内容包含但不限于：</w:t>
      </w:r>
    </w:p>
    <w:p>
      <w:pPr>
        <w:adjustRightInd w:val="0"/>
        <w:snapToGrid w:val="0"/>
        <w:spacing w:line="312" w:lineRule="auto"/>
        <w:ind w:firstLine="482" w:firstLineChars="200"/>
        <w:rPr>
          <w:rFonts w:ascii="宋体" w:hAnsi="宋体" w:cs="宋体"/>
          <w:b/>
          <w:bCs/>
          <w:color w:val="0D0D0D"/>
          <w:sz w:val="24"/>
          <w:szCs w:val="24"/>
        </w:rPr>
      </w:pPr>
      <w:r>
        <w:rPr>
          <w:rFonts w:hint="eastAsia" w:ascii="宋体" w:hAnsi="宋体" w:cs="宋体"/>
          <w:b/>
          <w:bCs/>
          <w:color w:val="0D0D0D"/>
          <w:sz w:val="24"/>
          <w:szCs w:val="24"/>
        </w:rPr>
        <w:t>（一）深铁珑境</w:t>
      </w:r>
    </w:p>
    <w:p>
      <w:pPr>
        <w:adjustRightInd w:val="0"/>
        <w:snapToGrid w:val="0"/>
        <w:spacing w:line="312"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1.活动场地</w:t>
      </w:r>
      <w:r>
        <w:rPr>
          <w:rFonts w:hint="eastAsia" w:ascii="宋体" w:hAnsi="宋体" w:cs="宋体"/>
          <w:sz w:val="24"/>
          <w:szCs w:val="24"/>
          <w:lang w:val="en-US" w:eastAsia="zh-CN"/>
        </w:rPr>
        <w:t>费用</w:t>
      </w:r>
    </w:p>
    <w:p>
      <w:pPr>
        <w:pStyle w:val="115"/>
        <w:adjustRightInd w:val="0"/>
        <w:snapToGrid w:val="0"/>
        <w:spacing w:line="312" w:lineRule="auto"/>
        <w:ind w:firstLine="480"/>
        <w:jc w:val="left"/>
        <w:rPr>
          <w:rFonts w:ascii="宋体" w:hAnsi="宋体" w:cs="宋体"/>
          <w:sz w:val="24"/>
          <w:szCs w:val="24"/>
        </w:rPr>
      </w:pPr>
      <w:r>
        <w:rPr>
          <w:rFonts w:hint="eastAsia" w:ascii="宋体" w:hAnsi="宋体" w:cs="宋体"/>
          <w:sz w:val="24"/>
          <w:szCs w:val="24"/>
        </w:rPr>
        <w:t>根据巡展需求，预计巡展周期为一个半月（预计2022年5月-6月），场地如下表：</w:t>
      </w:r>
    </w:p>
    <w:tbl>
      <w:tblPr>
        <w:tblStyle w:val="48"/>
        <w:tblW w:w="8538" w:type="dxa"/>
        <w:tblInd w:w="93" w:type="dxa"/>
        <w:tblLayout w:type="fixed"/>
        <w:tblCellMar>
          <w:top w:w="0" w:type="dxa"/>
          <w:left w:w="108" w:type="dxa"/>
          <w:bottom w:w="0" w:type="dxa"/>
          <w:right w:w="108" w:type="dxa"/>
        </w:tblCellMar>
      </w:tblPr>
      <w:tblGrid>
        <w:gridCol w:w="483"/>
        <w:gridCol w:w="2515"/>
        <w:gridCol w:w="2875"/>
        <w:gridCol w:w="2665"/>
      </w:tblGrid>
      <w:tr>
        <w:tblPrEx>
          <w:tblCellMar>
            <w:top w:w="0" w:type="dxa"/>
            <w:left w:w="108" w:type="dxa"/>
            <w:bottom w:w="0" w:type="dxa"/>
            <w:right w:w="108" w:type="dxa"/>
          </w:tblCellMar>
        </w:tblPrEx>
        <w:trPr>
          <w:trHeight w:val="593"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编号</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项目</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场地示意图</w:t>
            </w:r>
          </w:p>
        </w:tc>
        <w:tc>
          <w:tcPr>
            <w:tcW w:w="2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期限</w:t>
            </w:r>
          </w:p>
        </w:tc>
      </w:tr>
      <w:tr>
        <w:tblPrEx>
          <w:tblCellMar>
            <w:top w:w="0" w:type="dxa"/>
            <w:left w:w="108" w:type="dxa"/>
            <w:bottom w:w="0" w:type="dxa"/>
            <w:right w:w="108" w:type="dxa"/>
          </w:tblCellMar>
        </w:tblPrEx>
        <w:trPr>
          <w:trHeight w:val="2056"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龙华中心区天虹中庭场地（约100㎡）</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drawing>
                <wp:anchor distT="0" distB="0" distL="114300" distR="114300" simplePos="0" relativeHeight="251660288" behindDoc="0" locked="0" layoutInCell="1" allowOverlap="1">
                  <wp:simplePos x="0" y="0"/>
                  <wp:positionH relativeFrom="column">
                    <wp:posOffset>238125</wp:posOffset>
                  </wp:positionH>
                  <wp:positionV relativeFrom="paragraph">
                    <wp:posOffset>145415</wp:posOffset>
                  </wp:positionV>
                  <wp:extent cx="1506220" cy="1083310"/>
                  <wp:effectExtent l="0" t="0" r="17780" b="2540"/>
                  <wp:wrapNone/>
                  <wp:docPr id="10" name="图片 2" descr="164275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1642752151(1)"/>
                          <pic:cNvPicPr>
                            <a:picLocks noChangeAspect="1"/>
                          </pic:cNvPicPr>
                        </pic:nvPicPr>
                        <pic:blipFill>
                          <a:blip r:embed="rId10"/>
                          <a:stretch>
                            <a:fillRect/>
                          </a:stretch>
                        </pic:blipFill>
                        <pic:spPr>
                          <a:xfrm>
                            <a:off x="0" y="0"/>
                            <a:ext cx="1506220" cy="1083310"/>
                          </a:xfrm>
                          <a:prstGeom prst="rect">
                            <a:avLst/>
                          </a:prstGeom>
                          <a:noFill/>
                          <a:ln>
                            <a:noFill/>
                          </a:ln>
                        </pic:spPr>
                      </pic:pic>
                    </a:graphicData>
                  </a:graphic>
                </wp:anchor>
              </w:drawing>
            </w:r>
          </w:p>
        </w:tc>
        <w:tc>
          <w:tcPr>
            <w:tcW w:w="2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color w:val="000000"/>
                <w:kern w:val="0"/>
                <w:sz w:val="24"/>
                <w:szCs w:val="24"/>
                <w:lang w:bidi="ar"/>
              </w:rPr>
              <w:t>45天（暂定2022.5.9-2022.6.23）</w:t>
            </w:r>
          </w:p>
        </w:tc>
      </w:tr>
    </w:tbl>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2.活动展位设计制作及活动</w:t>
      </w:r>
    </w:p>
    <w:p>
      <w:pPr>
        <w:adjustRightInd w:val="0"/>
        <w:snapToGrid w:val="0"/>
        <w:spacing w:before="120" w:beforeLines="50" w:after="120" w:afterLines="50" w:line="312" w:lineRule="auto"/>
        <w:ind w:firstLine="480" w:firstLineChars="200"/>
        <w:rPr>
          <w:rFonts w:ascii="宋体" w:hAnsi="宋体" w:cs="宋体"/>
          <w:sz w:val="24"/>
          <w:szCs w:val="24"/>
        </w:rPr>
      </w:pPr>
      <w:r>
        <w:rPr>
          <w:rFonts w:hint="eastAsia" w:ascii="宋体" w:hAnsi="宋体" w:cs="宋体"/>
          <w:sz w:val="24"/>
          <w:szCs w:val="24"/>
        </w:rPr>
        <w:t>项目定位较为高端，首次亮相需保证项目整体品质感，需求创新、美观、大气，展厅需具备销售接待功能、形象展示功能、吸引人气功能，需求包含但不限于如下物料：</w:t>
      </w:r>
    </w:p>
    <w:tbl>
      <w:tblPr>
        <w:tblStyle w:val="48"/>
        <w:tblW w:w="9456" w:type="dxa"/>
        <w:tblInd w:w="93" w:type="dxa"/>
        <w:tblLayout w:type="autofit"/>
        <w:tblCellMar>
          <w:top w:w="0" w:type="dxa"/>
          <w:left w:w="108" w:type="dxa"/>
          <w:bottom w:w="0" w:type="dxa"/>
          <w:right w:w="108" w:type="dxa"/>
        </w:tblCellMar>
      </w:tblPr>
      <w:tblGrid>
        <w:gridCol w:w="465"/>
        <w:gridCol w:w="1162"/>
        <w:gridCol w:w="1607"/>
        <w:gridCol w:w="1544"/>
        <w:gridCol w:w="3516"/>
        <w:gridCol w:w="487"/>
        <w:gridCol w:w="675"/>
      </w:tblGrid>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编号</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项目</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品类名称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示意图</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工艺/材料/尺寸</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单位</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数量</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（1）特装展位主体部分</w:t>
            </w:r>
          </w:p>
        </w:tc>
      </w:tr>
      <w:tr>
        <w:tblPrEx>
          <w:tblCellMar>
            <w:top w:w="0" w:type="dxa"/>
            <w:left w:w="108" w:type="dxa"/>
            <w:bottom w:w="0" w:type="dxa"/>
            <w:right w:w="108" w:type="dxa"/>
          </w:tblCellMar>
        </w:tblPrEx>
        <w:trPr>
          <w:trHeight w:val="215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木地台</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搭建5-10cm高地台，金属龙骨铺15mm厚木工板尺寸：（根据场地情况调整）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100</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地板胶</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铺设地板胶，不锈钢包边</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100</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地台LED灯带</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地苔周边装LED发光灯带</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展厅外墙形象</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展厅主体结构</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金属龙骨架结构支撑</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异型外墙设计</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外墙灯箱</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展厅内墙形象</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异型内墙设计</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墙面互动装置</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墙面灯光电互动装置，网红拍照打卡点</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超薄液晶电视</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75寸以上液晶电视</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价值展示灯箱</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202"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洽谈桌椅</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高档洽谈桌椅 ，需体现档次感，一桌四椅</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r>
      <w:tr>
        <w:tblPrEx>
          <w:tblCellMar>
            <w:top w:w="0" w:type="dxa"/>
            <w:left w:w="108" w:type="dxa"/>
            <w:bottom w:w="0" w:type="dxa"/>
            <w:right w:w="108" w:type="dxa"/>
          </w:tblCellMar>
        </w:tblPrEx>
        <w:trPr>
          <w:trHeight w:val="1202"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接待区背景造型，项目LOGO不锈钢发光字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917"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16</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定制接待台，后面做抽屉和柜子，带储物功能，镶嵌LED发光灯带</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15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17</w:t>
            </w:r>
          </w:p>
        </w:tc>
        <w:tc>
          <w:tcPr>
            <w:tcW w:w="109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互动部分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礼盒装置</w:t>
            </w:r>
          </w:p>
        </w:tc>
        <w:tc>
          <w:tcPr>
            <w:tcW w:w="1456"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drawing>
                <wp:anchor distT="0" distB="0" distL="114300" distR="114300" simplePos="0" relativeHeight="251664384" behindDoc="0" locked="0" layoutInCell="1" allowOverlap="1">
                  <wp:simplePos x="0" y="0"/>
                  <wp:positionH relativeFrom="column">
                    <wp:posOffset>76200</wp:posOffset>
                  </wp:positionH>
                  <wp:positionV relativeFrom="paragraph">
                    <wp:posOffset>105410</wp:posOffset>
                  </wp:positionV>
                  <wp:extent cx="895985" cy="729615"/>
                  <wp:effectExtent l="0" t="0" r="18415" b="13335"/>
                  <wp:wrapNone/>
                  <wp:docPr id="8" name="图片_1"/>
                  <wp:cNvGraphicFramePr/>
                  <a:graphic xmlns:a="http://schemas.openxmlformats.org/drawingml/2006/main">
                    <a:graphicData uri="http://schemas.openxmlformats.org/drawingml/2006/picture">
                      <pic:pic xmlns:pic="http://schemas.openxmlformats.org/drawingml/2006/picture">
                        <pic:nvPicPr>
                          <pic:cNvPr id="8" name="图片_1"/>
                          <pic:cNvPicPr/>
                        </pic:nvPicPr>
                        <pic:blipFill>
                          <a:blip r:embed="rId11"/>
                          <a:stretch>
                            <a:fillRect/>
                          </a:stretch>
                        </pic:blipFill>
                        <pic:spPr>
                          <a:xfrm>
                            <a:off x="0" y="0"/>
                            <a:ext cx="895985" cy="729615"/>
                          </a:xfrm>
                          <a:prstGeom prst="rect">
                            <a:avLst/>
                          </a:prstGeom>
                          <a:noFill/>
                          <a:ln>
                            <a:noFill/>
                          </a:ln>
                        </pic:spPr>
                      </pic:pic>
                    </a:graphicData>
                  </a:graphic>
                </wp:anchor>
              </w:drawing>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每位客户扫码关注订阅号并留联系方式，每天设置礼品</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展示部分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资料架</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不锈钢落地资料架</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广告机</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55寸广告机</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72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21</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展架/画架</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木质展架0.8*1.2（h）m</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绿植/装饰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仿真花艺/盆栽（根据现场效果布置）</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落地项目LOGO</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木质基座，不锈钢立体发光字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照明系统</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符合展位照明需求</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电线/漏电开关</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国标电线，漏电开关，插座等</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26</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现场维护</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物料维修</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期间物料维护及画面更换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27</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运输安装</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运输费</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物料运输（含撤展）</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28</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安装费</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人工安装费用（含撤展）</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（2）展位互动部分</w:t>
            </w:r>
          </w:p>
        </w:tc>
      </w:tr>
      <w:tr>
        <w:tblPrEx>
          <w:tblCellMar>
            <w:top w:w="0" w:type="dxa"/>
            <w:left w:w="108" w:type="dxa"/>
            <w:bottom w:w="0" w:type="dxa"/>
            <w:right w:w="108" w:type="dxa"/>
          </w:tblCellMar>
        </w:tblPrEx>
        <w:trPr>
          <w:trHeight w:val="1679"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演艺</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小型表演（茶艺/魔术），表演内容需符合项目高端调性</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每周周六及周日，上午及下午时间定时表演吸引客户，合计12天；</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天</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72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兼职</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PT（兼职）费用</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4个周末共12天，每天2人，含定制logo工作服</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饮用水</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景田支装水</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24支一箱</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箱子</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144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饮水机</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美的饮水机，冰热两用，含5L桶装水10桶，含定制纸杯3000个</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（3）礼品部分</w:t>
            </w:r>
          </w:p>
        </w:tc>
      </w:tr>
      <w:tr>
        <w:tblPrEx>
          <w:tblCellMar>
            <w:top w:w="0" w:type="dxa"/>
            <w:left w:w="108" w:type="dxa"/>
            <w:bottom w:w="0" w:type="dxa"/>
            <w:right w:w="108" w:type="dxa"/>
          </w:tblCellMar>
        </w:tblPrEx>
        <w:trPr>
          <w:trHeight w:val="1689" w:hRule="atLeast"/>
        </w:trPr>
        <w:tc>
          <w:tcPr>
            <w:tcW w:w="439"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礼品定制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每天设置礼品约50份，礼品可提供建议，单份礼品上限30元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份</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2250</w:t>
            </w:r>
          </w:p>
        </w:tc>
      </w:tr>
    </w:tbl>
    <w:p>
      <w:pPr>
        <w:pStyle w:val="115"/>
        <w:adjustRightInd w:val="0"/>
        <w:snapToGrid w:val="0"/>
        <w:spacing w:line="312" w:lineRule="auto"/>
        <w:ind w:firstLine="0" w:firstLineChars="0"/>
        <w:jc w:val="left"/>
        <w:rPr>
          <w:rFonts w:ascii="宋体" w:hAnsi="宋体" w:cs="宋体"/>
          <w:sz w:val="24"/>
          <w:szCs w:val="24"/>
          <w:highlight w:val="yellow"/>
        </w:rPr>
      </w:pPr>
    </w:p>
    <w:p>
      <w:pPr>
        <w:pStyle w:val="24"/>
        <w:numPr>
          <w:ilvl w:val="0"/>
          <w:numId w:val="2"/>
        </w:numPr>
        <w:snapToGrid w:val="0"/>
        <w:spacing w:line="360" w:lineRule="auto"/>
        <w:ind w:firstLine="480" w:firstLineChars="200"/>
        <w:rPr>
          <w:rFonts w:hAnsi="宋体" w:cs="宋体"/>
          <w:sz w:val="24"/>
          <w:szCs w:val="24"/>
        </w:rPr>
      </w:pPr>
      <w:r>
        <w:rPr>
          <w:rFonts w:hint="eastAsia" w:hAnsi="宋体" w:cs="宋体"/>
          <w:sz w:val="24"/>
          <w:szCs w:val="24"/>
        </w:rPr>
        <w:t>其他：需提供制作、安装等流程的工期排布及相关运输、安装、撤场（含废弃模型等物料的处置）、物料看管服务。</w:t>
      </w:r>
    </w:p>
    <w:p>
      <w:pPr>
        <w:adjustRightInd w:val="0"/>
        <w:snapToGrid w:val="0"/>
        <w:spacing w:line="312" w:lineRule="auto"/>
        <w:ind w:firstLine="482" w:firstLineChars="200"/>
        <w:rPr>
          <w:rFonts w:ascii="宋体" w:hAnsi="宋体" w:cs="宋体"/>
          <w:b/>
          <w:bCs/>
          <w:color w:val="0D0D0D"/>
          <w:sz w:val="24"/>
          <w:szCs w:val="24"/>
        </w:rPr>
      </w:pPr>
      <w:r>
        <w:rPr>
          <w:rFonts w:hint="eastAsia" w:ascii="宋体" w:hAnsi="宋体" w:cs="宋体"/>
          <w:b/>
          <w:bCs/>
          <w:color w:val="0D0D0D"/>
          <w:sz w:val="24"/>
          <w:szCs w:val="24"/>
        </w:rPr>
        <w:t>深铁璟城</w:t>
      </w:r>
    </w:p>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1.活动场地</w:t>
      </w:r>
      <w:r>
        <w:rPr>
          <w:rFonts w:hint="eastAsia" w:ascii="宋体" w:hAnsi="宋体" w:cs="宋体"/>
          <w:sz w:val="24"/>
          <w:szCs w:val="24"/>
          <w:lang w:val="en-US" w:eastAsia="zh-CN"/>
        </w:rPr>
        <w:t>费用</w:t>
      </w:r>
    </w:p>
    <w:p>
      <w:pPr>
        <w:pStyle w:val="115"/>
        <w:adjustRightInd w:val="0"/>
        <w:snapToGrid w:val="0"/>
        <w:spacing w:before="120" w:beforeLines="50" w:after="120" w:afterLines="50" w:line="312" w:lineRule="auto"/>
        <w:ind w:firstLine="480"/>
        <w:rPr>
          <w:rFonts w:ascii="宋体" w:hAnsi="宋体" w:cs="宋体"/>
          <w:sz w:val="24"/>
          <w:szCs w:val="24"/>
        </w:rPr>
      </w:pPr>
      <w:r>
        <w:rPr>
          <w:rFonts w:hint="eastAsia" w:ascii="宋体" w:hAnsi="宋体" w:cs="宋体"/>
          <w:sz w:val="24"/>
          <w:szCs w:val="24"/>
        </w:rPr>
        <w:t>根据巡展需求，预计巡展周期为一个月（预计2022年4月-5月），场地如下表：</w:t>
      </w:r>
    </w:p>
    <w:tbl>
      <w:tblPr>
        <w:tblStyle w:val="48"/>
        <w:tblW w:w="8698" w:type="dxa"/>
        <w:tblInd w:w="93" w:type="dxa"/>
        <w:tblLayout w:type="fixed"/>
        <w:tblCellMar>
          <w:top w:w="0" w:type="dxa"/>
          <w:left w:w="108" w:type="dxa"/>
          <w:bottom w:w="0" w:type="dxa"/>
          <w:right w:w="108" w:type="dxa"/>
        </w:tblCellMar>
      </w:tblPr>
      <w:tblGrid>
        <w:gridCol w:w="511"/>
        <w:gridCol w:w="1124"/>
        <w:gridCol w:w="4238"/>
        <w:gridCol w:w="2825"/>
      </w:tblGrid>
      <w:tr>
        <w:tblPrEx>
          <w:tblCellMar>
            <w:top w:w="0" w:type="dxa"/>
            <w:left w:w="108" w:type="dxa"/>
            <w:bottom w:w="0" w:type="dxa"/>
            <w:right w:w="108" w:type="dxa"/>
          </w:tblCellMar>
        </w:tblPrEx>
        <w:trPr>
          <w:trHeight w:val="609" w:hRule="atLeast"/>
        </w:trPr>
        <w:tc>
          <w:tcPr>
            <w:tcW w:w="51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编号</w:t>
            </w:r>
          </w:p>
        </w:tc>
        <w:tc>
          <w:tcPr>
            <w:tcW w:w="112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项目</w:t>
            </w:r>
          </w:p>
        </w:tc>
        <w:tc>
          <w:tcPr>
            <w:tcW w:w="42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场地示意图</w:t>
            </w:r>
          </w:p>
        </w:tc>
        <w:tc>
          <w:tcPr>
            <w:tcW w:w="28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期限</w:t>
            </w:r>
          </w:p>
        </w:tc>
      </w:tr>
      <w:tr>
        <w:tblPrEx>
          <w:tblCellMar>
            <w:top w:w="0" w:type="dxa"/>
            <w:left w:w="108" w:type="dxa"/>
            <w:bottom w:w="0" w:type="dxa"/>
            <w:right w:w="108" w:type="dxa"/>
          </w:tblCellMar>
        </w:tblPrEx>
        <w:trPr>
          <w:trHeight w:val="1817" w:hRule="atLeast"/>
        </w:trPr>
        <w:tc>
          <w:tcPr>
            <w:tcW w:w="51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1</w:t>
            </w:r>
          </w:p>
        </w:tc>
        <w:tc>
          <w:tcPr>
            <w:tcW w:w="11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新沙天虹中庭场地（约120㎡）</w:t>
            </w:r>
          </w:p>
        </w:tc>
        <w:tc>
          <w:tcPr>
            <w:tcW w:w="4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rPr>
              <w:drawing>
                <wp:inline distT="0" distB="0" distL="114300" distR="114300">
                  <wp:extent cx="2096135" cy="1572260"/>
                  <wp:effectExtent l="0" t="0" r="18415" b="8890"/>
                  <wp:docPr id="18" name="图片 18" descr="1b964fe1c6198ee019f48cd941f49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b964fe1c6198ee019f48cd941f49e2"/>
                          <pic:cNvPicPr>
                            <a:picLocks noChangeAspect="1"/>
                          </pic:cNvPicPr>
                        </pic:nvPicPr>
                        <pic:blipFill>
                          <a:blip r:embed="rId12"/>
                          <a:stretch>
                            <a:fillRect/>
                          </a:stretch>
                        </pic:blipFill>
                        <pic:spPr>
                          <a:xfrm>
                            <a:off x="0" y="0"/>
                            <a:ext cx="2096135" cy="1572260"/>
                          </a:xfrm>
                          <a:prstGeom prst="rect">
                            <a:avLst/>
                          </a:prstGeom>
                        </pic:spPr>
                      </pic:pic>
                    </a:graphicData>
                  </a:graphic>
                </wp:inline>
              </w:drawing>
            </w:r>
          </w:p>
        </w:tc>
        <w:tc>
          <w:tcPr>
            <w:tcW w:w="28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color w:val="000000"/>
                <w:kern w:val="0"/>
                <w:sz w:val="24"/>
                <w:szCs w:val="24"/>
                <w:lang w:bidi="ar"/>
              </w:rPr>
              <w:t>30天（暂定2022.4.29-2022.5.28）</w:t>
            </w:r>
          </w:p>
        </w:tc>
      </w:tr>
    </w:tbl>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2.活动展位设计制作及活动</w:t>
      </w:r>
    </w:p>
    <w:p>
      <w:pPr>
        <w:adjustRightInd w:val="0"/>
        <w:snapToGrid w:val="0"/>
        <w:spacing w:before="120" w:beforeLines="50" w:after="120" w:afterLines="50" w:line="312" w:lineRule="auto"/>
        <w:ind w:firstLine="480" w:firstLineChars="200"/>
        <w:rPr>
          <w:rFonts w:hint="eastAsia" w:ascii="宋体" w:hAnsi="宋体" w:cs="宋体"/>
          <w:sz w:val="24"/>
          <w:szCs w:val="24"/>
        </w:rPr>
      </w:pPr>
      <w:r>
        <w:rPr>
          <w:rFonts w:hint="eastAsia" w:ascii="宋体" w:hAnsi="宋体" w:cs="宋体"/>
          <w:sz w:val="24"/>
          <w:szCs w:val="24"/>
        </w:rPr>
        <w:t>项目定位为活力大城，首次亮相需保证项目整体品质感，需求创新、美观、大气，需求包含但不限于如下物料：</w:t>
      </w:r>
    </w:p>
    <w:tbl>
      <w:tblPr>
        <w:tblStyle w:val="48"/>
        <w:tblW w:w="8898" w:type="dxa"/>
        <w:tblInd w:w="93" w:type="dxa"/>
        <w:tblLayout w:type="autofit"/>
        <w:tblCellMar>
          <w:top w:w="0" w:type="dxa"/>
          <w:left w:w="108" w:type="dxa"/>
          <w:bottom w:w="0" w:type="dxa"/>
          <w:right w:w="108" w:type="dxa"/>
        </w:tblCellMar>
      </w:tblPr>
      <w:tblGrid>
        <w:gridCol w:w="445"/>
        <w:gridCol w:w="1098"/>
        <w:gridCol w:w="1515"/>
        <w:gridCol w:w="1232"/>
        <w:gridCol w:w="3481"/>
        <w:gridCol w:w="463"/>
        <w:gridCol w:w="664"/>
      </w:tblGrid>
      <w:tr>
        <w:tblPrEx>
          <w:tblCellMar>
            <w:top w:w="0" w:type="dxa"/>
            <w:left w:w="108" w:type="dxa"/>
            <w:bottom w:w="0" w:type="dxa"/>
            <w:right w:w="108" w:type="dxa"/>
          </w:tblCellMar>
        </w:tblPrEx>
        <w:trPr>
          <w:trHeight w:val="5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编号</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项目</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品类名称</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示意图</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工艺/材料/尺寸</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单位</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数量</w:t>
            </w:r>
          </w:p>
        </w:tc>
      </w:tr>
      <w:tr>
        <w:tblPrEx>
          <w:tblCellMar>
            <w:top w:w="0" w:type="dxa"/>
            <w:left w:w="108" w:type="dxa"/>
            <w:bottom w:w="0" w:type="dxa"/>
            <w:right w:w="108" w:type="dxa"/>
          </w:tblCellMar>
        </w:tblPrEx>
        <w:trPr>
          <w:trHeight w:val="9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木地台</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搭建5-10cm高地台，金属龙骨铺15mm厚木工板尺寸：（根据场地情况调整）</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120</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地板胶</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铺设地板胶，不锈钢包边</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120</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地台LED灯带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地台周边装LED发光灯带</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展厅外墙形象</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展厅主体结构</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金属龙骨架结构支撑</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异型外墙设计</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外墙灯箱</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展厅内墙形象</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异型内墙设计</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墙面互动装置</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墙面灯光电互动装置，网红拍照打卡点</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超薄液晶电视</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75寸以上液晶电视</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台</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价值展示灯箱</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20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接待部分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洽谈桌椅</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高档洽谈桌椅 ，需体现档次感，一桌四椅</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r>
      <w:tr>
        <w:tblPrEx>
          <w:tblCellMar>
            <w:top w:w="0" w:type="dxa"/>
            <w:left w:w="108" w:type="dxa"/>
            <w:bottom w:w="0" w:type="dxa"/>
            <w:right w:w="108" w:type="dxa"/>
          </w:tblCellMar>
        </w:tblPrEx>
        <w:trPr>
          <w:trHeight w:val="120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接待区背景造型，项目LOGO不锈钢发光字</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92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16</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接待台</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定制接待台，后面做抽屉和柜子，带储物功能，镶嵌LED发光灯带</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1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17</w:t>
            </w:r>
          </w:p>
        </w:tc>
        <w:tc>
          <w:tcPr>
            <w:tcW w:w="105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互动部分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礼盒装置</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每位客户扫码关注订阅号并留联系方式，每天设置礼品约60份，合计1800份</w:t>
            </w:r>
          </w:p>
        </w:tc>
        <w:tc>
          <w:tcPr>
            <w:tcW w:w="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个</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展示部分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资料架</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不锈钢落地资料架</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广告机</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55寸广告机</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72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21</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展架/画架</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木质展架0.8*1.2（h）m</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绿植/装饰</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仿真花艺/盆栽（根据现场效果布置）</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23</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落地项目LOGO</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木质基座，不锈钢立体发光字</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照明系统</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符合展位照明需求</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25</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电线/漏电开关</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国标电线，漏电开关，插座等</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26</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现场维护</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物料维修</w:t>
            </w:r>
          </w:p>
        </w:tc>
        <w:tc>
          <w:tcPr>
            <w:tcW w:w="4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期间物料维护及画面更换</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27</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运输安装</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运输费</w:t>
            </w:r>
          </w:p>
        </w:tc>
        <w:tc>
          <w:tcPr>
            <w:tcW w:w="4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物料运输（含撤展）</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28</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安装费</w:t>
            </w:r>
          </w:p>
        </w:tc>
        <w:tc>
          <w:tcPr>
            <w:tcW w:w="4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人工安装费用（含撤展）</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285" w:hRule="atLeast"/>
        </w:trPr>
        <w:tc>
          <w:tcPr>
            <w:tcW w:w="848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（2）展位互动部分</w:t>
            </w:r>
          </w:p>
        </w:tc>
      </w:tr>
      <w:tr>
        <w:tblPrEx>
          <w:tblCellMar>
            <w:top w:w="0" w:type="dxa"/>
            <w:left w:w="108" w:type="dxa"/>
            <w:bottom w:w="0" w:type="dxa"/>
            <w:right w:w="108" w:type="dxa"/>
          </w:tblCellMar>
        </w:tblPrEx>
        <w:trPr>
          <w:trHeight w:val="16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演艺</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小型表演（茶艺/魔术），表演内容需符合项目高端调性</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周末+五一假期，上午及下午时间定时表演吸引客户，合计10天；</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天</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r>
      <w:tr>
        <w:tblPrEx>
          <w:tblCellMar>
            <w:top w:w="0" w:type="dxa"/>
            <w:left w:w="108" w:type="dxa"/>
            <w:bottom w:w="0" w:type="dxa"/>
            <w:right w:w="108" w:type="dxa"/>
          </w:tblCellMar>
        </w:tblPrEx>
        <w:trPr>
          <w:trHeight w:val="9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兼职</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PT（兼职）费用</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周末+五一假期共10天，每天2人</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r>
      <w:tr>
        <w:tblPrEx>
          <w:tblCellMar>
            <w:top w:w="0" w:type="dxa"/>
            <w:left w:w="108" w:type="dxa"/>
            <w:bottom w:w="0" w:type="dxa"/>
            <w:right w:w="108" w:type="dxa"/>
          </w:tblCellMar>
        </w:tblPrEx>
        <w:trPr>
          <w:trHeight w:val="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饮用水</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景田支装水</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24支一箱</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箱子</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14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饮水机</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美的饮水机，冰热两用，含5L桶装水10桶，含定制纸杯3000个</w:t>
            </w:r>
          </w:p>
        </w:tc>
        <w:tc>
          <w:tcPr>
            <w:tcW w:w="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848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（3）礼品部分</w:t>
            </w:r>
          </w:p>
        </w:tc>
      </w:tr>
      <w:tr>
        <w:tblPrEx>
          <w:tblCellMar>
            <w:top w:w="0" w:type="dxa"/>
            <w:left w:w="108" w:type="dxa"/>
            <w:bottom w:w="0" w:type="dxa"/>
            <w:right w:w="108" w:type="dxa"/>
          </w:tblCellMar>
        </w:tblPrEx>
        <w:trPr>
          <w:trHeight w:val="1680" w:hRule="atLeast"/>
        </w:trPr>
        <w:tc>
          <w:tcPr>
            <w:tcW w:w="426"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礼品定制</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每天设置礼品约50份，礼品可提供建议，单份礼品上限30元</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份</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1500</w:t>
            </w:r>
          </w:p>
        </w:tc>
      </w:tr>
    </w:tbl>
    <w:p>
      <w:pPr>
        <w:pStyle w:val="2"/>
        <w:rPr>
          <w:rFonts w:hint="eastAsia" w:hAnsi="宋体" w:cs="宋体"/>
          <w:sz w:val="21"/>
          <w:szCs w:val="21"/>
        </w:rPr>
      </w:pPr>
    </w:p>
    <w:p>
      <w:pPr>
        <w:pStyle w:val="115"/>
        <w:adjustRightInd w:val="0"/>
        <w:snapToGrid w:val="0"/>
        <w:spacing w:before="120" w:beforeLines="50" w:after="120" w:afterLines="50" w:line="312" w:lineRule="auto"/>
        <w:ind w:left="710" w:firstLine="480"/>
        <w:rPr>
          <w:rFonts w:ascii="宋体" w:hAnsi="宋体" w:cs="宋体"/>
          <w:sz w:val="24"/>
          <w:szCs w:val="24"/>
        </w:rPr>
      </w:pPr>
      <w:r>
        <w:rPr>
          <w:rFonts w:hint="eastAsia" w:ascii="宋体" w:hAnsi="宋体" w:cs="宋体"/>
          <w:sz w:val="24"/>
          <w:szCs w:val="24"/>
        </w:rPr>
        <w:t>3.其他：需提供制作、安装等流程的工期排布及相关运输、安装、撤场（含废弃模型等物料的处置）、物料看管服务。</w:t>
      </w:r>
    </w:p>
    <w:p>
      <w:pPr>
        <w:pStyle w:val="24"/>
        <w:snapToGrid w:val="0"/>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24"/>
        <w:snapToGrid w:val="0"/>
        <w:spacing w:line="360"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24"/>
        <w:tabs>
          <w:tab w:val="right" w:pos="9026"/>
        </w:tabs>
        <w:spacing w:line="360"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本次比选报价总费用最高限价为人民币</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276.4</w:t>
      </w:r>
      <w:r>
        <w:rPr>
          <w:rFonts w:hint="eastAsia" w:hAnsi="宋体"/>
          <w:color w:val="0D0D0D" w:themeColor="text1" w:themeTint="F2"/>
          <w:sz w:val="24"/>
          <w:szCs w:val="24"/>
          <w:highlight w:val="none"/>
          <w14:textFill>
            <w14:solidFill>
              <w14:schemeClr w14:val="tx1">
                <w14:lumMod w14:val="95000"/>
                <w14:lumOff w14:val="5000"/>
              </w14:schemeClr>
            </w14:solidFill>
          </w14:textFill>
        </w:rPr>
        <w:t>万元（含税），各项目分别最高限价如下：</w:t>
      </w:r>
    </w:p>
    <w:p>
      <w:pPr>
        <w:pStyle w:val="24"/>
        <w:snapToGrid w:val="0"/>
        <w:spacing w:line="360" w:lineRule="auto"/>
        <w:ind w:firstLine="480" w:firstLineChars="200"/>
        <w:rPr>
          <w:rFonts w:hint="eastAsia" w:hAnsi="宋体"/>
          <w:b w:val="0"/>
          <w:bCs/>
          <w:color w:val="0D0D0D" w:themeColor="text1" w:themeTint="F2"/>
          <w:sz w:val="24"/>
          <w:szCs w:val="24"/>
          <w14:textFill>
            <w14:solidFill>
              <w14:schemeClr w14:val="tx1">
                <w14:lumMod w14:val="95000"/>
                <w14:lumOff w14:val="5000"/>
              </w14:schemeClr>
            </w14:solidFill>
          </w14:textFill>
        </w:rPr>
      </w:pPr>
      <w:r>
        <w:rPr>
          <w:rFonts w:hint="eastAsia" w:hAnsi="宋体"/>
          <w:b w:val="0"/>
          <w:bCs/>
          <w:color w:val="0D0D0D" w:themeColor="text1" w:themeTint="F2"/>
          <w:sz w:val="24"/>
          <w:szCs w:val="24"/>
          <w:lang w:val="en-US" w:eastAsia="zh-CN"/>
          <w14:textFill>
            <w14:solidFill>
              <w14:schemeClr w14:val="tx1">
                <w14:lumMod w14:val="95000"/>
                <w14:lumOff w14:val="5000"/>
              </w14:schemeClr>
            </w14:solidFill>
          </w14:textFill>
        </w:rPr>
        <w:t>1.</w:t>
      </w:r>
      <w:r>
        <w:rPr>
          <w:rFonts w:hint="eastAsia" w:hAnsi="宋体"/>
          <w:b w:val="0"/>
          <w:bCs/>
          <w:color w:val="0D0D0D" w:themeColor="text1" w:themeTint="F2"/>
          <w:sz w:val="24"/>
          <w:szCs w:val="24"/>
          <w14:textFill>
            <w14:solidFill>
              <w14:schemeClr w14:val="tx1">
                <w14:lumMod w14:val="95000"/>
                <w14:lumOff w14:val="5000"/>
              </w14:schemeClr>
            </w14:solidFill>
          </w14:textFill>
        </w:rPr>
        <w:t xml:space="preserve">A包：深铁珑境巡展活动服务总控制价为154.8万元（含税），其中场地费用控制价为91.8万元（含税），展位设计制作及活动费控制价为63万元（含税）。 </w:t>
      </w:r>
    </w:p>
    <w:p>
      <w:pPr>
        <w:pStyle w:val="24"/>
        <w:snapToGrid w:val="0"/>
        <w:spacing w:line="360" w:lineRule="auto"/>
        <w:ind w:firstLine="480" w:firstLineChars="200"/>
        <w:rPr>
          <w:rFonts w:hint="eastAsia" w:hAnsi="宋体"/>
          <w:b w:val="0"/>
          <w:bCs/>
          <w:color w:val="0D0D0D" w:themeColor="text1" w:themeTint="F2"/>
          <w:sz w:val="24"/>
          <w:szCs w:val="24"/>
          <w14:textFill>
            <w14:solidFill>
              <w14:schemeClr w14:val="tx1">
                <w14:lumMod w14:val="95000"/>
                <w14:lumOff w14:val="5000"/>
              </w14:schemeClr>
            </w14:solidFill>
          </w14:textFill>
        </w:rPr>
      </w:pPr>
      <w:r>
        <w:rPr>
          <w:rFonts w:hint="eastAsia" w:hAnsi="宋体"/>
          <w:b w:val="0"/>
          <w:bCs/>
          <w:color w:val="0D0D0D" w:themeColor="text1" w:themeTint="F2"/>
          <w:sz w:val="24"/>
          <w:szCs w:val="24"/>
          <w:lang w:val="en-US" w:eastAsia="zh-CN"/>
          <w14:textFill>
            <w14:solidFill>
              <w14:schemeClr w14:val="tx1">
                <w14:lumMod w14:val="95000"/>
                <w14:lumOff w14:val="5000"/>
              </w14:schemeClr>
            </w14:solidFill>
          </w14:textFill>
        </w:rPr>
        <w:t>2.</w:t>
      </w:r>
      <w:r>
        <w:rPr>
          <w:rFonts w:hint="eastAsia" w:hAnsi="宋体"/>
          <w:b w:val="0"/>
          <w:bCs/>
          <w:color w:val="0D0D0D" w:themeColor="text1" w:themeTint="F2"/>
          <w:sz w:val="24"/>
          <w:szCs w:val="24"/>
          <w14:textFill>
            <w14:solidFill>
              <w14:schemeClr w14:val="tx1">
                <w14:lumMod w14:val="95000"/>
                <w14:lumOff w14:val="5000"/>
              </w14:schemeClr>
            </w14:solidFill>
          </w14:textFill>
        </w:rPr>
        <w:t>B包：深铁璟城巡展活动服务总控制价为121.6万元（含税），其中场地费用控制价为60万元（含税），展位设计制作及活动费控制价为61.6万元（含税）。</w:t>
      </w:r>
    </w:p>
    <w:p>
      <w:pPr>
        <w:pStyle w:val="24"/>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bookmarkStart w:id="17" w:name="baidusnap0"/>
      <w:bookmarkEnd w:id="17"/>
      <w:bookmarkStart w:id="18" w:name="baidusnap4"/>
      <w:bookmarkEnd w:id="18"/>
      <w:bookmarkStart w:id="19" w:name="baidusnap7"/>
      <w:bookmarkEnd w:id="19"/>
      <w:bookmarkStart w:id="20" w:name="baidusnap1"/>
      <w:bookmarkEnd w:id="20"/>
      <w:r>
        <w:rPr>
          <w:rFonts w:hint="eastAsia" w:hAnsi="宋体"/>
          <w:color w:val="0D0D0D" w:themeColor="text1" w:themeTint="F2"/>
          <w:sz w:val="24"/>
          <w:szCs w:val="24"/>
          <w14:textFill>
            <w14:solidFill>
              <w14:schemeClr w14:val="tx1">
                <w14:lumMod w14:val="95000"/>
                <w14:lumOff w14:val="5000"/>
              </w14:schemeClr>
            </w14:solidFill>
          </w14:textFill>
        </w:rPr>
        <w:t>1.在中华人民共和国境内注册的公司法人，公司注册成立时间不晚于2018年12月31日。</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2.2019年1月1日至今，服务过全国50强或深圳20强房地产开发品牌（全国50强排名参考2019年-2021年中指研究院或易居克尔瑞数据，深圳20强排名参考2019-2021年深圳房协数据）在深圳的房产项目巡展活动或展厅包装案例至少两个。</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备注：以上业绩证明材料需提供相关合同关键页复印件，日期以合同签约日期为准（加盖公章）。</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3.公司注册资金不得低于200万。</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4.在比选投标活动中，有串通投标不良行为记录或涉嫌串通投标，并正在接受我市主管部门调查的投标申请人，将不被接受。</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5.不接受以联合体形式参加投标。</w:t>
      </w:r>
    </w:p>
    <w:p>
      <w:pPr>
        <w:suppressAutoHyphens/>
        <w:topLinePunct/>
        <w:adjustRightInd w:val="0"/>
        <w:snapToGrid w:val="0"/>
        <w:spacing w:line="360"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8"/>
        <w:tblW w:w="93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2"/>
        <w:gridCol w:w="1757"/>
        <w:gridCol w:w="2354"/>
        <w:gridCol w:w="44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1"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序号</w:t>
            </w:r>
          </w:p>
        </w:tc>
        <w:tc>
          <w:tcPr>
            <w:tcW w:w="1757"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内  容</w:t>
            </w:r>
          </w:p>
        </w:tc>
        <w:tc>
          <w:tcPr>
            <w:tcW w:w="2354"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时间安排</w:t>
            </w:r>
          </w:p>
        </w:tc>
        <w:tc>
          <w:tcPr>
            <w:tcW w:w="4497"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highlight w:val="yellow"/>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6"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3月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22</w:t>
            </w:r>
            <w:r>
              <w:rPr>
                <w:rFonts w:ascii="宋体" w:hAnsi="宋体"/>
                <w:bCs/>
                <w:color w:val="0D0D0D" w:themeColor="text1" w:themeTint="F2"/>
                <w:sz w:val="18"/>
                <w:szCs w:val="18"/>
                <w14:textFill>
                  <w14:solidFill>
                    <w14:schemeClr w14:val="tx1">
                      <w14:lumMod w14:val="95000"/>
                      <w14:lumOff w14:val="5000"/>
                    </w14:schemeClr>
                  </w14:solidFill>
                </w14:textFill>
              </w:rPr>
              <w:t>日</w:t>
            </w:r>
          </w:p>
        </w:tc>
        <w:tc>
          <w:tcPr>
            <w:tcW w:w="44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428" w:leftChars="44" w:hanging="336" w:hangingChars="187"/>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ascii="宋体" w:hAnsi="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上午10:00</w:t>
            </w:r>
          </w:p>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Cs w:val="21"/>
              </w:rPr>
              <w:t>（按各参选单位递交纸质参选文件的时间为准。）</w:t>
            </w:r>
          </w:p>
        </w:tc>
        <w:tc>
          <w:tcPr>
            <w:tcW w:w="44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1.纸质版参选文件递交地点：地铁大厦智能评定中心</w:t>
            </w:r>
          </w:p>
          <w:p>
            <w:pPr>
              <w:pStyle w:val="3"/>
              <w:adjustRightInd w:val="0"/>
              <w:snapToGrid w:val="0"/>
              <w:ind w:left="0" w:leftChars="0" w:firstLine="0" w:firstLineChars="0"/>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240" w:lineRule="auto"/>
              <w:ind w:left="141" w:leftChars="67"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开标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ascii="宋体" w:hAnsi="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上午10:00</w:t>
            </w:r>
          </w:p>
        </w:tc>
        <w:tc>
          <w:tcPr>
            <w:tcW w:w="44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28" w:firstLineChars="16"/>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开标地点：地铁大厦智能评定中心</w:t>
            </w:r>
          </w:p>
        </w:tc>
      </w:tr>
    </w:tbl>
    <w:p>
      <w:pPr>
        <w:pStyle w:val="24"/>
        <w:snapToGrid w:val="0"/>
        <w:spacing w:line="360"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24"/>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4"/>
        <w:snapToGrid w:val="0"/>
        <w:spacing w:line="360"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4"/>
        <w:snapToGrid w:val="0"/>
        <w:spacing w:line="360"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不是法定代表人，除携带本人身份证复印件外，还需携带法定代表人证明书和法定代表人身份证复印件及授权委托书。</w:t>
      </w:r>
    </w:p>
    <w:p>
      <w:pPr>
        <w:pStyle w:val="24"/>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4"/>
        <w:snapToGrid w:val="0"/>
        <w:spacing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联系人：区小</w:t>
      </w:r>
      <w:r>
        <w:rPr>
          <w:rFonts w:hint="eastAsia" w:hAnsi="宋体"/>
          <w:color w:val="0D0D0D" w:themeColor="text1" w:themeTint="F2"/>
          <w:sz w:val="24"/>
          <w14:textFill>
            <w14:solidFill>
              <w14:schemeClr w14:val="tx1">
                <w14:lumMod w14:val="95000"/>
                <w14:lumOff w14:val="5000"/>
              </w14:schemeClr>
            </w14:solidFill>
          </w14:textFill>
        </w:rPr>
        <w:t>姐</w:t>
      </w:r>
    </w:p>
    <w:p>
      <w:pPr>
        <w:pStyle w:val="24"/>
        <w:snapToGrid w:val="0"/>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w:t>
      </w:r>
      <w:r>
        <w:rPr>
          <w:rFonts w:hAnsi="宋体" w:cs="宋体"/>
          <w:sz w:val="24"/>
          <w:szCs w:val="24"/>
        </w:rPr>
        <w:t>89986593</w:t>
      </w:r>
    </w:p>
    <w:p>
      <w:pPr>
        <w:pStyle w:val="24"/>
        <w:snapToGrid w:val="0"/>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4"/>
        <w:snapToGrid w:val="0"/>
        <w:spacing w:line="360" w:lineRule="auto"/>
        <w:ind w:firstLine="480" w:firstLineChars="200"/>
        <w:jc w:val="right"/>
        <w:rPr>
          <w:rFonts w:hAnsi="宋体" w:cs="宋体"/>
          <w:color w:val="0D0D0D" w:themeColor="text1" w:themeTint="F2"/>
          <w:sz w:val="24"/>
          <w:szCs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w:t>
      </w:r>
      <w:r>
        <w:rPr>
          <w:rFonts w:hint="eastAsia" w:hAnsi="宋体" w:cs="宋体"/>
          <w:color w:val="0D0D0D" w:themeColor="text1" w:themeTint="F2"/>
          <w:sz w:val="24"/>
          <w:szCs w:val="24"/>
          <w14:textFill>
            <w14:solidFill>
              <w14:schemeClr w14:val="tx1">
                <w14:lumMod w14:val="95000"/>
                <w14:lumOff w14:val="5000"/>
              </w14:schemeClr>
            </w14:solidFill>
          </w14:textFill>
        </w:rPr>
        <w:t>2</w:t>
      </w:r>
      <w:r>
        <w:rPr>
          <w:rFonts w:hAnsi="宋体"/>
          <w:color w:val="0D0D0D" w:themeColor="text1" w:themeTint="F2"/>
          <w:sz w:val="24"/>
          <w14:textFill>
            <w14:solidFill>
              <w14:schemeClr w14:val="tx1">
                <w14:lumMod w14:val="95000"/>
                <w14:lumOff w14:val="5000"/>
              </w14:schemeClr>
            </w14:solidFill>
          </w14:textFill>
        </w:rPr>
        <w:t>年</w:t>
      </w:r>
      <w:r>
        <w:rPr>
          <w:rFonts w:hint="eastAsia" w:hAnsi="宋体"/>
          <w:color w:val="0D0D0D" w:themeColor="text1" w:themeTint="F2"/>
          <w:sz w:val="24"/>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3</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 xml:space="preserve">月 </w:t>
      </w:r>
      <w:r>
        <w:rPr>
          <w:rFonts w:hint="eastAsia" w:hAnsi="宋体"/>
          <w:color w:val="0D0D0D" w:themeColor="text1" w:themeTint="F2"/>
          <w:sz w:val="24"/>
          <w:lang w:val="en-US" w:eastAsia="zh-CN"/>
          <w14:textFill>
            <w14:solidFill>
              <w14:schemeClr w14:val="tx1">
                <w14:lumMod w14:val="95000"/>
                <w14:lumOff w14:val="5000"/>
              </w14:schemeClr>
            </w14:solidFill>
          </w14:textFill>
        </w:rPr>
        <w:t>22</w:t>
      </w:r>
      <w:bookmarkStart w:id="105" w:name="_GoBack"/>
      <w:bookmarkEnd w:id="105"/>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日</w:t>
      </w:r>
      <w:r>
        <w:rPr>
          <w:rFonts w:hint="eastAsia" w:hAnsi="宋体" w:cs="宋体"/>
          <w:color w:val="0D0D0D" w:themeColor="text1" w:themeTint="F2"/>
          <w:sz w:val="24"/>
          <w:szCs w:val="24"/>
          <w14:textFill>
            <w14:solidFill>
              <w14:schemeClr w14:val="tx1">
                <w14:lumMod w14:val="95000"/>
                <w14:lumOff w14:val="5000"/>
              </w14:schemeClr>
            </w14:solidFill>
          </w14:textFill>
        </w:rPr>
        <w:t> </w:t>
      </w:r>
    </w:p>
    <w:p>
      <w:pPr>
        <w:pStyle w:val="4"/>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bookmarkStart w:id="21" w:name="_Toc88680680"/>
    </w:p>
    <w:p>
      <w:pPr>
        <w:pStyle w:val="4"/>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1"/>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2" w:name="_Toc88680681"/>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2"/>
    </w:p>
    <w:p>
      <w:pPr>
        <w:pStyle w:val="6"/>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3" w:name="_Toc88680682"/>
      <w:r>
        <w:rPr>
          <w:rFonts w:hint="eastAsia" w:ascii="宋体" w:hAnsi="宋体"/>
          <w:bCs/>
          <w:color w:val="0D0D0D" w:themeColor="text1" w:themeTint="F2"/>
          <w:sz w:val="24"/>
          <w:szCs w:val="24"/>
          <w14:textFill>
            <w14:solidFill>
              <w14:schemeClr w14:val="tx1">
                <w14:lumMod w14:val="95000"/>
                <w14:lumOff w14:val="5000"/>
              </w14:schemeClr>
            </w14:solidFill>
          </w14:textFill>
        </w:rPr>
        <w:t>一、项目概况</w:t>
      </w:r>
      <w:bookmarkEnd w:id="23"/>
    </w:p>
    <w:p>
      <w:pPr>
        <w:pStyle w:val="115"/>
        <w:spacing w:line="360" w:lineRule="auto"/>
        <w:ind w:firstLine="48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1.深铁珑境位于深圳市龙华区大浪街道布龙路与和平路交汇处（地铁4号线龙胜站）。本项目二类居住用地面积约9.35万㎡，二类居住用地建筑面积约28.96万㎡；商品住宅约24.27万㎡，其中盖上住宅约5.8万㎡，产品涵盖建筑面积107-180㎡四房，白地住宅约18.47万㎡；商业约4500㎡。</w:t>
      </w:r>
    </w:p>
    <w:p>
      <w:pPr>
        <w:pStyle w:val="115"/>
        <w:spacing w:line="360" w:lineRule="auto"/>
        <w:ind w:firstLine="48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2.深铁璟城位于深圳市宝安区松岗片区地铁11号线终点站碧头站上盖，东宝河南侧，松福大道以北。项目总占地约33万㎡，建筑面积约70万㎡。集高端住宅、缤纷商业、运动公园、九年教育配套于一体的大型生态综合体。其中首批推出北区盖上1244套75-148平2-4房的低密住宅产品。</w:t>
      </w:r>
      <w:bookmarkStart w:id="24" w:name="_Toc88680683"/>
    </w:p>
    <w:p>
      <w:pPr>
        <w:pStyle w:val="115"/>
        <w:spacing w:line="360" w:lineRule="auto"/>
        <w:ind w:firstLine="482"/>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二、服务内容</w:t>
      </w:r>
      <w:bookmarkEnd w:id="24"/>
    </w:p>
    <w:p>
      <w:pPr>
        <w:adjustRightInd w:val="0"/>
        <w:snapToGrid w:val="0"/>
        <w:spacing w:line="312" w:lineRule="auto"/>
        <w:ind w:firstLine="480" w:firstLineChars="200"/>
        <w:rPr>
          <w:rFonts w:ascii="宋体" w:hAnsi="宋体" w:cs="宋体"/>
          <w:color w:val="0D0D0D"/>
          <w:sz w:val="24"/>
          <w:szCs w:val="24"/>
        </w:rPr>
      </w:pPr>
      <w:r>
        <w:rPr>
          <w:rFonts w:hint="eastAsia" w:ascii="宋体" w:hAnsi="宋体" w:cs="宋体"/>
          <w:sz w:val="24"/>
          <w:szCs w:val="24"/>
        </w:rPr>
        <w:t>根据深铁珑境及深铁璟城巡展活动项目需求</w:t>
      </w:r>
      <w:r>
        <w:rPr>
          <w:rFonts w:hint="eastAsia" w:ascii="宋体" w:hAnsi="宋体" w:cs="宋体"/>
          <w:color w:val="0D0D0D"/>
          <w:sz w:val="24"/>
          <w:szCs w:val="24"/>
        </w:rPr>
        <w:t>开展巡展</w:t>
      </w:r>
      <w:r>
        <w:rPr>
          <w:rFonts w:hint="eastAsia" w:ascii="宋体" w:hAnsi="宋体" w:cs="宋体"/>
          <w:color w:val="0D0D0D"/>
          <w:sz w:val="24"/>
          <w:szCs w:val="24"/>
          <w:lang w:val="en-US" w:eastAsia="zh-CN"/>
        </w:rPr>
        <w:t>活动服务</w:t>
      </w:r>
      <w:r>
        <w:rPr>
          <w:rFonts w:hint="eastAsia" w:ascii="宋体" w:hAnsi="宋体" w:cs="宋体"/>
          <w:color w:val="0D0D0D"/>
          <w:sz w:val="24"/>
          <w:szCs w:val="24"/>
        </w:rPr>
        <w:t>等工作，具体工作内容包含但不限于：</w:t>
      </w:r>
    </w:p>
    <w:p>
      <w:pPr>
        <w:adjustRightInd w:val="0"/>
        <w:snapToGrid w:val="0"/>
        <w:spacing w:line="312" w:lineRule="auto"/>
        <w:ind w:firstLine="482" w:firstLineChars="200"/>
        <w:rPr>
          <w:rFonts w:ascii="宋体" w:hAnsi="宋体" w:cs="宋体"/>
          <w:b/>
          <w:bCs/>
          <w:color w:val="0D0D0D"/>
          <w:sz w:val="24"/>
          <w:szCs w:val="24"/>
        </w:rPr>
      </w:pPr>
      <w:r>
        <w:rPr>
          <w:rFonts w:hint="eastAsia" w:ascii="宋体" w:hAnsi="宋体" w:cs="宋体"/>
          <w:b/>
          <w:bCs/>
          <w:color w:val="0D0D0D"/>
          <w:sz w:val="24"/>
          <w:szCs w:val="24"/>
        </w:rPr>
        <w:t>（一）深铁珑境</w:t>
      </w:r>
    </w:p>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1.活动场地</w:t>
      </w:r>
      <w:r>
        <w:rPr>
          <w:rFonts w:hint="eastAsia" w:ascii="宋体" w:hAnsi="宋体" w:cs="宋体"/>
          <w:sz w:val="24"/>
          <w:szCs w:val="24"/>
          <w:lang w:val="en-US" w:eastAsia="zh-CN"/>
        </w:rPr>
        <w:t>费用</w:t>
      </w:r>
    </w:p>
    <w:p>
      <w:pPr>
        <w:pStyle w:val="115"/>
        <w:adjustRightInd w:val="0"/>
        <w:snapToGrid w:val="0"/>
        <w:spacing w:line="312" w:lineRule="auto"/>
        <w:ind w:firstLine="480"/>
        <w:jc w:val="left"/>
        <w:rPr>
          <w:rFonts w:ascii="宋体" w:hAnsi="宋体" w:cs="宋体"/>
          <w:sz w:val="24"/>
          <w:szCs w:val="24"/>
        </w:rPr>
      </w:pPr>
      <w:r>
        <w:rPr>
          <w:rFonts w:hint="eastAsia" w:ascii="宋体" w:hAnsi="宋体" w:cs="宋体"/>
          <w:sz w:val="24"/>
          <w:szCs w:val="24"/>
        </w:rPr>
        <w:t>根据巡展需求，预计巡展周期为一个半月（预计2022年5月-6月），场地如下表：</w:t>
      </w:r>
    </w:p>
    <w:tbl>
      <w:tblPr>
        <w:tblStyle w:val="48"/>
        <w:tblW w:w="8538" w:type="dxa"/>
        <w:tblInd w:w="93" w:type="dxa"/>
        <w:tblLayout w:type="fixed"/>
        <w:tblCellMar>
          <w:top w:w="0" w:type="dxa"/>
          <w:left w:w="108" w:type="dxa"/>
          <w:bottom w:w="0" w:type="dxa"/>
          <w:right w:w="108" w:type="dxa"/>
        </w:tblCellMar>
      </w:tblPr>
      <w:tblGrid>
        <w:gridCol w:w="483"/>
        <w:gridCol w:w="2515"/>
        <w:gridCol w:w="2875"/>
        <w:gridCol w:w="2665"/>
      </w:tblGrid>
      <w:tr>
        <w:tblPrEx>
          <w:tblCellMar>
            <w:top w:w="0" w:type="dxa"/>
            <w:left w:w="108" w:type="dxa"/>
            <w:bottom w:w="0" w:type="dxa"/>
            <w:right w:w="108" w:type="dxa"/>
          </w:tblCellMar>
        </w:tblPrEx>
        <w:trPr>
          <w:trHeight w:val="593"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编号</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项目</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场地示意图</w:t>
            </w:r>
          </w:p>
        </w:tc>
        <w:tc>
          <w:tcPr>
            <w:tcW w:w="2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期限</w:t>
            </w:r>
          </w:p>
        </w:tc>
      </w:tr>
      <w:tr>
        <w:tblPrEx>
          <w:tblCellMar>
            <w:top w:w="0" w:type="dxa"/>
            <w:left w:w="108" w:type="dxa"/>
            <w:bottom w:w="0" w:type="dxa"/>
            <w:right w:w="108" w:type="dxa"/>
          </w:tblCellMar>
        </w:tblPrEx>
        <w:trPr>
          <w:trHeight w:val="2056"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龙华中心区天虹中庭场地（约100㎡）</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drawing>
                <wp:anchor distT="0" distB="0" distL="114300" distR="114300" simplePos="0" relativeHeight="251661312" behindDoc="0" locked="0" layoutInCell="1" allowOverlap="1">
                  <wp:simplePos x="0" y="0"/>
                  <wp:positionH relativeFrom="column">
                    <wp:posOffset>238125</wp:posOffset>
                  </wp:positionH>
                  <wp:positionV relativeFrom="paragraph">
                    <wp:posOffset>145415</wp:posOffset>
                  </wp:positionV>
                  <wp:extent cx="1506220" cy="1083310"/>
                  <wp:effectExtent l="0" t="0" r="17780" b="2540"/>
                  <wp:wrapNone/>
                  <wp:docPr id="1" name="图片 2" descr="164275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642752151(1)"/>
                          <pic:cNvPicPr>
                            <a:picLocks noChangeAspect="1"/>
                          </pic:cNvPicPr>
                        </pic:nvPicPr>
                        <pic:blipFill>
                          <a:blip r:embed="rId10"/>
                          <a:stretch>
                            <a:fillRect/>
                          </a:stretch>
                        </pic:blipFill>
                        <pic:spPr>
                          <a:xfrm>
                            <a:off x="0" y="0"/>
                            <a:ext cx="1506220" cy="1083310"/>
                          </a:xfrm>
                          <a:prstGeom prst="rect">
                            <a:avLst/>
                          </a:prstGeom>
                          <a:noFill/>
                          <a:ln>
                            <a:noFill/>
                          </a:ln>
                        </pic:spPr>
                      </pic:pic>
                    </a:graphicData>
                  </a:graphic>
                </wp:anchor>
              </w:drawing>
            </w:r>
          </w:p>
        </w:tc>
        <w:tc>
          <w:tcPr>
            <w:tcW w:w="2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szCs w:val="24"/>
              </w:rPr>
            </w:pPr>
            <w:r>
              <w:rPr>
                <w:rFonts w:hint="eastAsia" w:ascii="宋体" w:hAnsi="宋体" w:cs="宋体"/>
                <w:color w:val="000000"/>
                <w:kern w:val="0"/>
                <w:sz w:val="24"/>
                <w:szCs w:val="24"/>
                <w:lang w:bidi="ar"/>
              </w:rPr>
              <w:t>45天（暂定2022.5.9-2022.6.23）</w:t>
            </w:r>
          </w:p>
        </w:tc>
      </w:tr>
    </w:tbl>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2.活动展位设计制作及活动</w:t>
      </w:r>
    </w:p>
    <w:p>
      <w:pPr>
        <w:adjustRightInd w:val="0"/>
        <w:snapToGrid w:val="0"/>
        <w:spacing w:before="120" w:beforeLines="50" w:after="120" w:afterLines="50" w:line="312" w:lineRule="auto"/>
        <w:ind w:firstLine="480" w:firstLineChars="200"/>
        <w:rPr>
          <w:rFonts w:hint="eastAsia" w:ascii="宋体" w:hAnsi="宋体" w:cs="宋体"/>
          <w:sz w:val="24"/>
          <w:szCs w:val="24"/>
        </w:rPr>
      </w:pPr>
      <w:r>
        <w:rPr>
          <w:rFonts w:hint="eastAsia" w:ascii="宋体" w:hAnsi="宋体" w:cs="宋体"/>
          <w:sz w:val="24"/>
          <w:szCs w:val="24"/>
        </w:rPr>
        <w:t>项目定位较为高端，首次亮相需保证项目整体品质感，需求创新、美观、大气，展厅需具备销售接待功能、形象展示功能、吸引人气功能，需求包含但不限于如下物料：</w:t>
      </w:r>
    </w:p>
    <w:tbl>
      <w:tblPr>
        <w:tblStyle w:val="48"/>
        <w:tblW w:w="9456" w:type="dxa"/>
        <w:tblInd w:w="93" w:type="dxa"/>
        <w:tblLayout w:type="autofit"/>
        <w:tblCellMar>
          <w:top w:w="0" w:type="dxa"/>
          <w:left w:w="108" w:type="dxa"/>
          <w:bottom w:w="0" w:type="dxa"/>
          <w:right w:w="108" w:type="dxa"/>
        </w:tblCellMar>
      </w:tblPr>
      <w:tblGrid>
        <w:gridCol w:w="465"/>
        <w:gridCol w:w="1162"/>
        <w:gridCol w:w="1607"/>
        <w:gridCol w:w="1544"/>
        <w:gridCol w:w="3516"/>
        <w:gridCol w:w="487"/>
        <w:gridCol w:w="675"/>
      </w:tblGrid>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编号</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项目</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品类名称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示意图</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工艺/材料/尺寸</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单位</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数量</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（1）特装展位主体部分</w:t>
            </w:r>
          </w:p>
        </w:tc>
      </w:tr>
      <w:tr>
        <w:tblPrEx>
          <w:tblCellMar>
            <w:top w:w="0" w:type="dxa"/>
            <w:left w:w="108" w:type="dxa"/>
            <w:bottom w:w="0" w:type="dxa"/>
            <w:right w:w="108" w:type="dxa"/>
          </w:tblCellMar>
        </w:tblPrEx>
        <w:trPr>
          <w:trHeight w:val="215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木地台</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搭建5-10cm高地台，金属龙骨铺15mm厚木工板尺寸：（根据场地情况调整）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100</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地板胶</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铺设地板胶，不锈钢包边</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100</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地台LED灯带</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地苔周边装LED发光灯带</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展厅外墙形象</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展厅主体结构</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金属龙骨架结构支撑</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异型外墙设计</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外墙灯箱</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展厅内墙形象</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异型内墙设计</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墙面互动装置</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墙面灯光电互动装置，网红拍照打卡点</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超薄液晶电视</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75寸以上液晶电视</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价值展示灯箱</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202"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洽谈桌椅</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高档洽谈桌椅 ，需体现档次感，一桌四椅</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r>
      <w:tr>
        <w:tblPrEx>
          <w:tblCellMar>
            <w:top w:w="0" w:type="dxa"/>
            <w:left w:w="108" w:type="dxa"/>
            <w:bottom w:w="0" w:type="dxa"/>
            <w:right w:w="108" w:type="dxa"/>
          </w:tblCellMar>
        </w:tblPrEx>
        <w:trPr>
          <w:trHeight w:val="1202"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接待区背景造型，项目LOGO不锈钢发光字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917"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16</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定制接待台，后面做抽屉和柜子，带储物功能，镶嵌LED发光灯带</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15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17</w:t>
            </w:r>
          </w:p>
        </w:tc>
        <w:tc>
          <w:tcPr>
            <w:tcW w:w="109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互动部分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礼盒装置</w:t>
            </w:r>
          </w:p>
        </w:tc>
        <w:tc>
          <w:tcPr>
            <w:tcW w:w="1456"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drawing>
                <wp:anchor distT="0" distB="0" distL="114300" distR="114300" simplePos="0" relativeHeight="251665408" behindDoc="0" locked="0" layoutInCell="1" allowOverlap="1">
                  <wp:simplePos x="0" y="0"/>
                  <wp:positionH relativeFrom="column">
                    <wp:posOffset>76200</wp:posOffset>
                  </wp:positionH>
                  <wp:positionV relativeFrom="paragraph">
                    <wp:posOffset>105410</wp:posOffset>
                  </wp:positionV>
                  <wp:extent cx="895985" cy="729615"/>
                  <wp:effectExtent l="0" t="0" r="18415" b="13335"/>
                  <wp:wrapNone/>
                  <wp:docPr id="9" name="图片_1"/>
                  <wp:cNvGraphicFramePr/>
                  <a:graphic xmlns:a="http://schemas.openxmlformats.org/drawingml/2006/main">
                    <a:graphicData uri="http://schemas.openxmlformats.org/drawingml/2006/picture">
                      <pic:pic xmlns:pic="http://schemas.openxmlformats.org/drawingml/2006/picture">
                        <pic:nvPicPr>
                          <pic:cNvPr id="9" name="图片_1"/>
                          <pic:cNvPicPr/>
                        </pic:nvPicPr>
                        <pic:blipFill>
                          <a:blip r:embed="rId11"/>
                          <a:stretch>
                            <a:fillRect/>
                          </a:stretch>
                        </pic:blipFill>
                        <pic:spPr>
                          <a:xfrm>
                            <a:off x="0" y="0"/>
                            <a:ext cx="895985" cy="729615"/>
                          </a:xfrm>
                          <a:prstGeom prst="rect">
                            <a:avLst/>
                          </a:prstGeom>
                          <a:noFill/>
                          <a:ln>
                            <a:noFill/>
                          </a:ln>
                        </pic:spPr>
                      </pic:pic>
                    </a:graphicData>
                  </a:graphic>
                </wp:anchor>
              </w:drawing>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每位客户扫码关注订阅号并留联系方式，每天设置礼品</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展示部分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资料架</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不锈钢落地资料架</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广告机</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55寸广告机</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72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21</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展架/画架</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木质展架0.8*1.2（h）m</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绿植/装饰</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仿真花艺/盆栽（根据现场效果布置）</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4"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落地项目LOGO</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木质基座，不锈钢立体发光字</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照明系统</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符合展位照明需求</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电线/漏电开关</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国标电线，漏电开关，插座等</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26</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现场维护</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物料维修</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期间物料维护及画面更换</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27</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运输安装</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运输费</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物料运输（含撤展）</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32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28</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安装费</w:t>
            </w:r>
          </w:p>
        </w:tc>
        <w:tc>
          <w:tcPr>
            <w:tcW w:w="4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人工安装费用（含撤展）</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（2）展位互动部分</w:t>
            </w:r>
          </w:p>
        </w:tc>
      </w:tr>
      <w:tr>
        <w:tblPrEx>
          <w:tblCellMar>
            <w:top w:w="0" w:type="dxa"/>
            <w:left w:w="108" w:type="dxa"/>
            <w:bottom w:w="0" w:type="dxa"/>
            <w:right w:w="108" w:type="dxa"/>
          </w:tblCellMar>
        </w:tblPrEx>
        <w:trPr>
          <w:trHeight w:val="1679"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演艺</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小型表演（茶艺/魔术），表演内容需符合项目高端调性</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每周周六及周日，上午及下午时间定时表演吸引客户，合计12天；</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天</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725"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兼职</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PT（兼职）费用</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4个周末共12天，每天2人，含定制logo工作服</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r>
      <w:tr>
        <w:tblPrEx>
          <w:tblCellMar>
            <w:top w:w="0" w:type="dxa"/>
            <w:left w:w="108" w:type="dxa"/>
            <w:bottom w:w="0" w:type="dxa"/>
            <w:right w:w="108" w:type="dxa"/>
          </w:tblCellMar>
        </w:tblPrEx>
        <w:trPr>
          <w:trHeight w:val="63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饮用水</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景田支装水</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24支一箱</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箱子</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1440"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饮水机</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美的饮水机，冰热两用，含5L桶装水10桶，含定制纸杯3000个</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320" w:hRule="atLeast"/>
        </w:trPr>
        <w:tc>
          <w:tcPr>
            <w:tcW w:w="8898" w:type="dxa"/>
            <w:gridSpan w:val="7"/>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（3）礼品部分</w:t>
            </w:r>
          </w:p>
        </w:tc>
      </w:tr>
      <w:tr>
        <w:tblPrEx>
          <w:tblCellMar>
            <w:top w:w="0" w:type="dxa"/>
            <w:left w:w="108" w:type="dxa"/>
            <w:bottom w:w="0" w:type="dxa"/>
            <w:right w:w="108" w:type="dxa"/>
          </w:tblCellMar>
        </w:tblPrEx>
        <w:trPr>
          <w:trHeight w:val="1689" w:hRule="atLeast"/>
        </w:trPr>
        <w:tc>
          <w:tcPr>
            <w:tcW w:w="439"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礼品定制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每天设置礼品约50份，礼品可提供建议，单份礼品上限30元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份</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2250</w:t>
            </w:r>
          </w:p>
        </w:tc>
      </w:tr>
    </w:tbl>
    <w:p>
      <w:pPr>
        <w:pStyle w:val="2"/>
      </w:pPr>
    </w:p>
    <w:p>
      <w:pPr>
        <w:pStyle w:val="115"/>
        <w:adjustRightInd w:val="0"/>
        <w:snapToGrid w:val="0"/>
        <w:spacing w:line="312" w:lineRule="auto"/>
        <w:ind w:firstLine="0" w:firstLineChars="0"/>
        <w:jc w:val="left"/>
        <w:rPr>
          <w:rFonts w:ascii="宋体" w:hAnsi="宋体" w:cs="宋体"/>
          <w:sz w:val="24"/>
          <w:szCs w:val="24"/>
          <w:highlight w:val="yellow"/>
        </w:rPr>
      </w:pPr>
    </w:p>
    <w:p>
      <w:pPr>
        <w:pStyle w:val="24"/>
        <w:numPr>
          <w:ilvl w:val="-1"/>
          <w:numId w:val="0"/>
        </w:numPr>
        <w:snapToGrid w:val="0"/>
        <w:spacing w:line="360" w:lineRule="auto"/>
        <w:ind w:firstLine="240" w:firstLineChars="100"/>
        <w:rPr>
          <w:rFonts w:hAnsi="宋体" w:cs="宋体"/>
          <w:sz w:val="24"/>
          <w:szCs w:val="24"/>
        </w:rPr>
      </w:pPr>
      <w:r>
        <w:rPr>
          <w:rFonts w:hint="eastAsia" w:hAnsi="宋体" w:cs="宋体"/>
          <w:sz w:val="24"/>
          <w:szCs w:val="24"/>
          <w:lang w:val="en-US" w:eastAsia="zh-CN"/>
        </w:rPr>
        <w:t>3.</w:t>
      </w:r>
      <w:r>
        <w:rPr>
          <w:rFonts w:hint="eastAsia" w:hAnsi="宋体" w:cs="宋体"/>
          <w:sz w:val="24"/>
          <w:szCs w:val="24"/>
        </w:rPr>
        <w:t>其他：需提供制作、安装等流程的工期排布及相关运输、安装、撤场（含废弃模型等物料的处置）、物料看管服务。</w:t>
      </w:r>
    </w:p>
    <w:p>
      <w:pPr>
        <w:adjustRightInd w:val="0"/>
        <w:snapToGrid w:val="0"/>
        <w:spacing w:line="312" w:lineRule="auto"/>
        <w:ind w:firstLine="482" w:firstLineChars="200"/>
        <w:rPr>
          <w:rFonts w:ascii="宋体" w:hAnsi="宋体" w:cs="宋体"/>
          <w:b/>
          <w:bCs/>
          <w:color w:val="0D0D0D"/>
          <w:sz w:val="24"/>
          <w:szCs w:val="24"/>
        </w:rPr>
      </w:pPr>
      <w:r>
        <w:rPr>
          <w:rFonts w:hint="eastAsia" w:ascii="宋体" w:hAnsi="宋体" w:cs="宋体"/>
          <w:b/>
          <w:bCs/>
          <w:color w:val="0D0D0D"/>
          <w:sz w:val="24"/>
          <w:szCs w:val="24"/>
        </w:rPr>
        <w:t>（二）深铁璟城</w:t>
      </w:r>
    </w:p>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1.活动场地</w:t>
      </w:r>
      <w:r>
        <w:rPr>
          <w:rFonts w:hint="eastAsia" w:ascii="宋体" w:hAnsi="宋体" w:cs="宋体"/>
          <w:sz w:val="24"/>
          <w:szCs w:val="24"/>
          <w:lang w:val="en-US" w:eastAsia="zh-CN"/>
        </w:rPr>
        <w:t>费用</w:t>
      </w:r>
    </w:p>
    <w:p>
      <w:pPr>
        <w:pStyle w:val="115"/>
        <w:adjustRightInd w:val="0"/>
        <w:snapToGrid w:val="0"/>
        <w:spacing w:before="120" w:beforeLines="50" w:after="120" w:afterLines="50" w:line="312" w:lineRule="auto"/>
        <w:ind w:firstLine="480"/>
        <w:rPr>
          <w:rFonts w:ascii="宋体" w:hAnsi="宋体" w:cs="宋体"/>
          <w:sz w:val="24"/>
          <w:szCs w:val="24"/>
        </w:rPr>
      </w:pPr>
      <w:r>
        <w:rPr>
          <w:rFonts w:hint="eastAsia" w:ascii="宋体" w:hAnsi="宋体" w:cs="宋体"/>
          <w:sz w:val="24"/>
          <w:szCs w:val="24"/>
        </w:rPr>
        <w:t>根据巡展需求，预计巡展周期为一个月（预计2022年4月-5月），场地如下表：</w:t>
      </w:r>
    </w:p>
    <w:tbl>
      <w:tblPr>
        <w:tblStyle w:val="48"/>
        <w:tblW w:w="8698" w:type="dxa"/>
        <w:tblInd w:w="93" w:type="dxa"/>
        <w:tblLayout w:type="fixed"/>
        <w:tblCellMar>
          <w:top w:w="0" w:type="dxa"/>
          <w:left w:w="108" w:type="dxa"/>
          <w:bottom w:w="0" w:type="dxa"/>
          <w:right w:w="108" w:type="dxa"/>
        </w:tblCellMar>
      </w:tblPr>
      <w:tblGrid>
        <w:gridCol w:w="511"/>
        <w:gridCol w:w="1124"/>
        <w:gridCol w:w="4238"/>
        <w:gridCol w:w="2825"/>
      </w:tblGrid>
      <w:tr>
        <w:tblPrEx>
          <w:tblCellMar>
            <w:top w:w="0" w:type="dxa"/>
            <w:left w:w="108" w:type="dxa"/>
            <w:bottom w:w="0" w:type="dxa"/>
            <w:right w:w="108" w:type="dxa"/>
          </w:tblCellMar>
        </w:tblPrEx>
        <w:trPr>
          <w:trHeight w:val="609" w:hRule="atLeast"/>
        </w:trPr>
        <w:tc>
          <w:tcPr>
            <w:tcW w:w="51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编号</w:t>
            </w:r>
          </w:p>
        </w:tc>
        <w:tc>
          <w:tcPr>
            <w:tcW w:w="112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项目</w:t>
            </w:r>
          </w:p>
        </w:tc>
        <w:tc>
          <w:tcPr>
            <w:tcW w:w="42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场地示意图</w:t>
            </w:r>
          </w:p>
        </w:tc>
        <w:tc>
          <w:tcPr>
            <w:tcW w:w="28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期限</w:t>
            </w:r>
          </w:p>
        </w:tc>
      </w:tr>
      <w:tr>
        <w:tblPrEx>
          <w:tblCellMar>
            <w:top w:w="0" w:type="dxa"/>
            <w:left w:w="108" w:type="dxa"/>
            <w:bottom w:w="0" w:type="dxa"/>
            <w:right w:w="108" w:type="dxa"/>
          </w:tblCellMar>
        </w:tblPrEx>
        <w:trPr>
          <w:trHeight w:val="1817" w:hRule="atLeast"/>
        </w:trPr>
        <w:tc>
          <w:tcPr>
            <w:tcW w:w="51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1</w:t>
            </w:r>
          </w:p>
        </w:tc>
        <w:tc>
          <w:tcPr>
            <w:tcW w:w="11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新沙天虹中庭场地（约120㎡）</w:t>
            </w:r>
          </w:p>
        </w:tc>
        <w:tc>
          <w:tcPr>
            <w:tcW w:w="4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rPr>
              <w:drawing>
                <wp:inline distT="0" distB="0" distL="114300" distR="114300">
                  <wp:extent cx="2096135" cy="1572260"/>
                  <wp:effectExtent l="0" t="0" r="18415" b="8890"/>
                  <wp:docPr id="4" name="图片 4" descr="1b964fe1c6198ee019f48cd941f49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b964fe1c6198ee019f48cd941f49e2"/>
                          <pic:cNvPicPr>
                            <a:picLocks noChangeAspect="1"/>
                          </pic:cNvPicPr>
                        </pic:nvPicPr>
                        <pic:blipFill>
                          <a:blip r:embed="rId12"/>
                          <a:stretch>
                            <a:fillRect/>
                          </a:stretch>
                        </pic:blipFill>
                        <pic:spPr>
                          <a:xfrm>
                            <a:off x="0" y="0"/>
                            <a:ext cx="2096135" cy="1572260"/>
                          </a:xfrm>
                          <a:prstGeom prst="rect">
                            <a:avLst/>
                          </a:prstGeom>
                        </pic:spPr>
                      </pic:pic>
                    </a:graphicData>
                  </a:graphic>
                </wp:inline>
              </w:drawing>
            </w:r>
          </w:p>
        </w:tc>
        <w:tc>
          <w:tcPr>
            <w:tcW w:w="28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color w:val="000000"/>
                <w:kern w:val="0"/>
                <w:sz w:val="24"/>
                <w:szCs w:val="24"/>
                <w:lang w:bidi="ar"/>
              </w:rPr>
              <w:t>30天（暂定2022.4.29-2022.5.28）</w:t>
            </w:r>
          </w:p>
        </w:tc>
      </w:tr>
    </w:tbl>
    <w:p>
      <w:pPr>
        <w:pStyle w:val="115"/>
        <w:adjustRightInd w:val="0"/>
        <w:snapToGrid w:val="0"/>
        <w:spacing w:line="312" w:lineRule="auto"/>
        <w:ind w:firstLine="480"/>
        <w:jc w:val="left"/>
        <w:rPr>
          <w:rFonts w:ascii="宋体" w:hAnsi="宋体" w:cs="宋体"/>
          <w:sz w:val="24"/>
          <w:szCs w:val="24"/>
        </w:rPr>
      </w:pPr>
    </w:p>
    <w:p>
      <w:pPr>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2.活动展位设计制作及活动</w:t>
      </w:r>
    </w:p>
    <w:p>
      <w:pPr>
        <w:adjustRightInd w:val="0"/>
        <w:snapToGrid w:val="0"/>
        <w:spacing w:before="120" w:beforeLines="50" w:after="120" w:afterLines="50" w:line="312" w:lineRule="auto"/>
        <w:ind w:firstLine="480" w:firstLineChars="200"/>
        <w:rPr>
          <w:rFonts w:ascii="宋体" w:hAnsi="宋体" w:cs="宋体"/>
          <w:sz w:val="24"/>
          <w:szCs w:val="24"/>
        </w:rPr>
      </w:pPr>
      <w:r>
        <w:rPr>
          <w:rFonts w:hint="eastAsia" w:ascii="宋体" w:hAnsi="宋体" w:cs="宋体"/>
          <w:sz w:val="24"/>
          <w:szCs w:val="24"/>
        </w:rPr>
        <w:t>项目定位为活力大城，首次亮相需保证项目整体品质感，需求创新、美观、大气，需求包含但不限于如下物料：</w:t>
      </w:r>
    </w:p>
    <w:tbl>
      <w:tblPr>
        <w:tblStyle w:val="48"/>
        <w:tblW w:w="8898" w:type="dxa"/>
        <w:tblInd w:w="93" w:type="dxa"/>
        <w:tblLayout w:type="autofit"/>
        <w:tblCellMar>
          <w:top w:w="0" w:type="dxa"/>
          <w:left w:w="108" w:type="dxa"/>
          <w:bottom w:w="0" w:type="dxa"/>
          <w:right w:w="108" w:type="dxa"/>
        </w:tblCellMar>
      </w:tblPr>
      <w:tblGrid>
        <w:gridCol w:w="455"/>
        <w:gridCol w:w="1097"/>
        <w:gridCol w:w="1515"/>
        <w:gridCol w:w="1232"/>
        <w:gridCol w:w="3480"/>
        <w:gridCol w:w="476"/>
        <w:gridCol w:w="643"/>
      </w:tblGrid>
      <w:tr>
        <w:tblPrEx>
          <w:tblCellMar>
            <w:top w:w="0" w:type="dxa"/>
            <w:left w:w="108" w:type="dxa"/>
            <w:bottom w:w="0" w:type="dxa"/>
            <w:right w:w="108" w:type="dxa"/>
          </w:tblCellMar>
        </w:tblPrEx>
        <w:trPr>
          <w:trHeight w:val="54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编号</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项目</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品类名称</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示意图</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工艺/材料/尺寸</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单位</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数量</w:t>
            </w:r>
          </w:p>
        </w:tc>
      </w:tr>
      <w:tr>
        <w:tblPrEx>
          <w:tblCellMar>
            <w:top w:w="0" w:type="dxa"/>
            <w:left w:w="108" w:type="dxa"/>
            <w:bottom w:w="0" w:type="dxa"/>
            <w:right w:w="108" w:type="dxa"/>
          </w:tblCellMar>
        </w:tblPrEx>
        <w:trPr>
          <w:trHeight w:val="94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木地台</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搭建5-10cm高地台，金属龙骨铺15mm厚木工板尺寸：（根据场地情况调整）</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120</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地板胶</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铺设地板胶，不锈钢包边</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120</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地台LED灯带</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地台周边装LED发光灯带</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展厅外墙形象</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展厅主体结构</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金属龙骨架结构支撑</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异型外墙设计</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外墙灯箱</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展厅内墙形象</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异型内墙设计</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异形木质油漆板，LED发光灯带装饰</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墙面互动装置</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墙面灯光电互动装置，网红拍照打卡点</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超薄液晶电视</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75寸以上液晶电视</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台</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价值展示灯箱</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超薄发光灯箱，封UV软膜写真画面</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不锈钢发光字</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项目LOGO和项目价值语发光字</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20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接待部分</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洽谈桌椅</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highlight w:val="none"/>
                <w:lang w:val="en-US" w:eastAsia="zh-CN" w:bidi="ar"/>
              </w:rPr>
              <w:t>租赁</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高档洽谈桌椅 ，需体现档次感，一桌四椅</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r>
      <w:tr>
        <w:tblPrEx>
          <w:tblCellMar>
            <w:top w:w="0" w:type="dxa"/>
            <w:left w:w="108" w:type="dxa"/>
            <w:bottom w:w="0" w:type="dxa"/>
            <w:right w:w="108" w:type="dxa"/>
          </w:tblCellMar>
        </w:tblPrEx>
        <w:trPr>
          <w:trHeight w:val="120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接待区背景造型，项目LOGO不锈钢发光字</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192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16</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接待台</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定制接待台，后面做抽屉和柜子，带储物功能，镶嵌LED发光灯带</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16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17</w:t>
            </w:r>
          </w:p>
        </w:tc>
        <w:tc>
          <w:tcPr>
            <w:tcW w:w="109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互动部分</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礼盒装置</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每位客户扫码关注订阅号并留联系方式，每天设置礼品约60份，合计1800份</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个</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展示部分</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资料架</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租赁</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不锈钢落地资料架</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广告机</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55寸广告机</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72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21</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展架/画架</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租赁</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木质展架0.8*1.2（h）m</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r>
      <w:tr>
        <w:tblPrEx>
          <w:tblCellMar>
            <w:top w:w="0" w:type="dxa"/>
            <w:left w:w="108" w:type="dxa"/>
            <w:bottom w:w="0" w:type="dxa"/>
            <w:right w:w="108" w:type="dxa"/>
          </w:tblCellMar>
        </w:tblPrEx>
        <w:trPr>
          <w:trHeight w:val="96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绿植/装饰</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仿真花艺/盆栽（根据现场效果布置）</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96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23</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落地项目LOGO</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木质基座，不锈钢立体发光字</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48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照明系统</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符合展位照明需求</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25</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电线/漏电开关</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国标电线，漏电开关，插座等</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26</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现场维护</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物料维修</w:t>
            </w:r>
          </w:p>
        </w:tc>
        <w:tc>
          <w:tcPr>
            <w:tcW w:w="4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期间物料维护及画面更换</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27</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运输安装</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运输费</w:t>
            </w:r>
          </w:p>
        </w:tc>
        <w:tc>
          <w:tcPr>
            <w:tcW w:w="4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物料运输（含撤展）</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285"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28</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安装费</w:t>
            </w:r>
          </w:p>
        </w:tc>
        <w:tc>
          <w:tcPr>
            <w:tcW w:w="4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人工安装费用（含撤展）</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r>
      <w:tr>
        <w:tblPrEx>
          <w:tblCellMar>
            <w:top w:w="0" w:type="dxa"/>
            <w:left w:w="108" w:type="dxa"/>
            <w:bottom w:w="0" w:type="dxa"/>
            <w:right w:w="108" w:type="dxa"/>
          </w:tblCellMar>
        </w:tblPrEx>
        <w:trPr>
          <w:trHeight w:val="285" w:hRule="atLeast"/>
        </w:trPr>
        <w:tc>
          <w:tcPr>
            <w:tcW w:w="88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（2）展位互动部分</w:t>
            </w:r>
          </w:p>
        </w:tc>
      </w:tr>
      <w:tr>
        <w:tblPrEx>
          <w:tblCellMar>
            <w:top w:w="0" w:type="dxa"/>
            <w:left w:w="108" w:type="dxa"/>
            <w:bottom w:w="0" w:type="dxa"/>
            <w:right w:w="108" w:type="dxa"/>
          </w:tblCellMar>
        </w:tblPrEx>
        <w:trPr>
          <w:trHeight w:val="168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演艺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小型表演（茶艺/魔术），表演内容需符合项目高端调性</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周末+五一假期，上午及下午时间定时表演吸引客户，合计10天；</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天</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r>
      <w:tr>
        <w:trPr>
          <w:trHeight w:val="96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兼职</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PT（兼职）费用</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1"/>
                <w:szCs w:val="21"/>
              </w:rPr>
            </w:pP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周末+五一假期共10天，每天2人</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人</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r>
      <w:tr>
        <w:trPr>
          <w:trHeight w:val="48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饮用水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景田支装水</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24支一箱</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箱子</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r>
      <w:tr>
        <w:tblPrEx>
          <w:tblCellMar>
            <w:top w:w="0" w:type="dxa"/>
            <w:left w:w="108" w:type="dxa"/>
            <w:bottom w:w="0" w:type="dxa"/>
            <w:right w:w="108" w:type="dxa"/>
          </w:tblCellMar>
        </w:tblPrEx>
        <w:trPr>
          <w:trHeight w:val="1440" w:hRule="atLeast"/>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饮水机</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1"/>
                <w:szCs w:val="21"/>
              </w:rPr>
            </w:pP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美的饮水机，冰热两用，含5L桶装水10桶，含定制纸杯3000个</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r>
      <w:tr>
        <w:tblPrEx>
          <w:tblCellMar>
            <w:top w:w="0" w:type="dxa"/>
            <w:left w:w="108" w:type="dxa"/>
            <w:bottom w:w="0" w:type="dxa"/>
            <w:right w:w="108" w:type="dxa"/>
          </w:tblCellMar>
        </w:tblPrEx>
        <w:trPr>
          <w:trHeight w:val="285" w:hRule="atLeast"/>
        </w:trPr>
        <w:tc>
          <w:tcPr>
            <w:tcW w:w="88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（3）礼品部分</w:t>
            </w:r>
          </w:p>
        </w:tc>
      </w:tr>
      <w:tr>
        <w:tblPrEx>
          <w:tblCellMar>
            <w:top w:w="0" w:type="dxa"/>
            <w:left w:w="108" w:type="dxa"/>
            <w:bottom w:w="0" w:type="dxa"/>
            <w:right w:w="108" w:type="dxa"/>
          </w:tblCellMar>
        </w:tblPrEx>
        <w:trPr>
          <w:trHeight w:val="1680" w:hRule="atLeast"/>
        </w:trPr>
        <w:tc>
          <w:tcPr>
            <w:tcW w:w="45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礼品定制</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礼品</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定制</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每天设置礼品约50份，礼品可提供建议，单份礼品上限30元</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份</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1500</w:t>
            </w:r>
          </w:p>
        </w:tc>
      </w:tr>
    </w:tbl>
    <w:p>
      <w:pPr>
        <w:pStyle w:val="115"/>
        <w:spacing w:line="360" w:lineRule="auto"/>
        <w:ind w:firstLine="480"/>
        <w:rPr>
          <w:rFonts w:ascii="宋体" w:hAnsi="宋体"/>
          <w:b/>
          <w:bCs/>
          <w:color w:val="0D0D0D" w:themeColor="text1" w:themeTint="F2"/>
          <w:kern w:val="0"/>
          <w:sz w:val="24"/>
          <w:szCs w:val="24"/>
          <w:highlight w:val="yellow"/>
          <w14:textFill>
            <w14:solidFill>
              <w14:schemeClr w14:val="tx1">
                <w14:lumMod w14:val="95000"/>
                <w14:lumOff w14:val="5000"/>
              </w14:schemeClr>
            </w14:solidFill>
          </w14:textFill>
        </w:rPr>
      </w:pPr>
      <w:r>
        <w:rPr>
          <w:rFonts w:hint="eastAsia" w:ascii="宋体" w:hAnsi="宋体" w:cs="宋体"/>
          <w:sz w:val="24"/>
          <w:szCs w:val="24"/>
        </w:rPr>
        <w:t>3.其他：需提供制作、安装等流程的工期排布及相关运输、安装、撤场（含废弃模型等物料的处置）、物料看管服务。</w:t>
      </w:r>
    </w:p>
    <w:p>
      <w:pPr>
        <w:pStyle w:val="6"/>
        <w:numPr>
          <w:ilvl w:val="2"/>
          <w:numId w:val="0"/>
        </w:numPr>
        <w:spacing w:before="240" w:beforeLines="100" w:after="120" w:afterLines="50" w:line="480" w:lineRule="atLeast"/>
        <w:ind w:left="315" w:leftChars="150" w:firstLine="120" w:firstLineChars="50"/>
        <w:rPr>
          <w:rFonts w:ascii="宋体" w:hAnsi="宋体"/>
          <w:color w:val="0D0D0D" w:themeColor="text1" w:themeTint="F2"/>
          <w:sz w:val="24"/>
          <w:szCs w:val="24"/>
          <w14:textFill>
            <w14:solidFill>
              <w14:schemeClr w14:val="tx1">
                <w14:lumMod w14:val="95000"/>
                <w14:lumOff w14:val="5000"/>
              </w14:schemeClr>
            </w14:solidFill>
          </w14:textFill>
        </w:rPr>
      </w:pPr>
      <w:bookmarkStart w:id="25" w:name="_Toc88680684"/>
      <w:r>
        <w:rPr>
          <w:rFonts w:hint="eastAsia" w:ascii="宋体" w:hAnsi="宋体"/>
          <w:bCs/>
          <w:color w:val="0D0D0D" w:themeColor="text1" w:themeTint="F2"/>
          <w:sz w:val="24"/>
          <w:szCs w:val="24"/>
          <w14:textFill>
            <w14:solidFill>
              <w14:schemeClr w14:val="tx1">
                <w14:lumMod w14:val="95000"/>
                <w14:lumOff w14:val="5000"/>
              </w14:schemeClr>
            </w14:solidFill>
          </w14:textFill>
        </w:rPr>
        <w:t>二、工作方式及服务期限</w:t>
      </w:r>
      <w:bookmarkEnd w:id="2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合同采用清单定价的形式，报价应包含乙方因履行本次服务要求的所有工作任务而投入的一切成本费用，且不随通货膨胀的影响而变化。包括但不限于服务过程中发生的场地费、策划费、执行费、设计费、制作费、人工费、交通费、政府报批收费、税金、撤场清理费、物料看管费、报批费等一切乙方为了履行本次服务所产生的费用。</w:t>
      </w:r>
    </w:p>
    <w:p>
      <w:pPr>
        <w:pStyle w:val="24"/>
        <w:tabs>
          <w:tab w:val="left" w:pos="1134"/>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、服务期限：本合同签订之日起至2023年12月31日。</w:t>
      </w:r>
    </w:p>
    <w:p>
      <w:pPr>
        <w:pStyle w:val="6"/>
        <w:numPr>
          <w:ilvl w:val="2"/>
          <w:numId w:val="0"/>
        </w:numPr>
        <w:spacing w:before="240" w:beforeLines="100" w:after="120" w:afterLines="50" w:line="480" w:lineRule="atLeast"/>
        <w:ind w:left="315" w:leftChars="150" w:firstLine="120" w:firstLineChars="50"/>
        <w:rPr>
          <w:rFonts w:ascii="宋体" w:hAnsi="宋体"/>
          <w:bCs/>
          <w:color w:val="0D0D0D" w:themeColor="text1" w:themeTint="F2"/>
          <w:sz w:val="24"/>
          <w:szCs w:val="24"/>
          <w14:textFill>
            <w14:solidFill>
              <w14:schemeClr w14:val="tx1">
                <w14:lumMod w14:val="95000"/>
                <w14:lumOff w14:val="5000"/>
              </w14:schemeClr>
            </w14:solidFill>
          </w14:textFill>
        </w:rPr>
      </w:pPr>
      <w:bookmarkStart w:id="26" w:name="_Toc88680685"/>
      <w:r>
        <w:rPr>
          <w:rFonts w:hint="eastAsia" w:ascii="宋体" w:hAnsi="宋体"/>
          <w:bCs/>
          <w:color w:val="0D0D0D" w:themeColor="text1" w:themeTint="F2"/>
          <w:sz w:val="24"/>
          <w:szCs w:val="24"/>
          <w14:textFill>
            <w14:solidFill>
              <w14:schemeClr w14:val="tx1">
                <w14:lumMod w14:val="95000"/>
                <w14:lumOff w14:val="5000"/>
              </w14:schemeClr>
            </w14:solidFill>
          </w14:textFill>
        </w:rPr>
        <w:t>三、参选人资格条件</w:t>
      </w:r>
      <w:bookmarkEnd w:id="26"/>
    </w:p>
    <w:p>
      <w:pPr>
        <w:pStyle w:val="79"/>
        <w:adjustRightInd w:val="0"/>
        <w:snapToGrid w:val="0"/>
        <w:spacing w:line="360" w:lineRule="auto"/>
        <w:ind w:left="105" w:leftChars="50" w:firstLine="360" w:firstLineChars="150"/>
        <w:rPr>
          <w:rFonts w:asciiTheme="minorEastAsia" w:hAnsiTheme="minorEastAsia" w:eastAsiaTheme="minorEastAsia" w:cstheme="minorEastAsia"/>
          <w:color w:val="0D0D0D"/>
          <w:sz w:val="24"/>
          <w:szCs w:val="24"/>
        </w:rPr>
      </w:pPr>
      <w:bookmarkStart w:id="27" w:name="_Toc88680686"/>
      <w:r>
        <w:rPr>
          <w:rFonts w:hint="eastAsia" w:asciiTheme="minorEastAsia" w:hAnsiTheme="minorEastAsia" w:eastAsiaTheme="minorEastAsia" w:cstheme="minorEastAsia"/>
          <w:color w:val="0D0D0D"/>
          <w:sz w:val="24"/>
          <w:szCs w:val="24"/>
        </w:rPr>
        <w:t>1.在中华人民共和国境内注册的公司法人，公司注册成立时间不晚于2018年12月31日。</w:t>
      </w:r>
    </w:p>
    <w:p>
      <w:pPr>
        <w:pStyle w:val="79"/>
        <w:adjustRightInd w:val="0"/>
        <w:snapToGrid w:val="0"/>
        <w:spacing w:line="360" w:lineRule="auto"/>
        <w:ind w:firstLine="632" w:firstLineChars="0"/>
        <w:rPr>
          <w:rFonts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rPr>
        <w:t>2.2019年1月1日至今，服务过全国50强或深圳20强房地产开发品牌（全国50强排名参考2019年-2021年中指研究院或易居克尔瑞数据，深圳20强排名参考2019-2021年深圳房协数据）在深圳的房产项目巡展活动或展厅包装案例至少两个。</w:t>
      </w:r>
    </w:p>
    <w:p>
      <w:pPr>
        <w:pStyle w:val="79"/>
        <w:adjustRightInd w:val="0"/>
        <w:snapToGrid w:val="0"/>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备注：以上业绩证明材料需提供相关合同关键页复印件，日期以合同签约日期为准（加盖公章）。</w:t>
      </w:r>
    </w:p>
    <w:p>
      <w:pPr>
        <w:pStyle w:val="79"/>
        <w:adjustRightInd w:val="0"/>
        <w:snapToGrid w:val="0"/>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3.公司注册资金不得低于200万。</w:t>
      </w:r>
    </w:p>
    <w:p>
      <w:pPr>
        <w:pStyle w:val="79"/>
        <w:adjustRightInd w:val="0"/>
        <w:snapToGrid w:val="0"/>
        <w:spacing w:line="360" w:lineRule="auto"/>
        <w:ind w:left="105" w:leftChars="50" w:firstLine="360" w:firstLineChars="150"/>
        <w:rPr>
          <w:rFonts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rPr>
        <w:t>4.在比选投标活动中，有串通投标不良行为记录或涉嫌串通投标，并正在接受我市主管部门调查的投标申请人，将不被接受。</w:t>
      </w:r>
    </w:p>
    <w:p>
      <w:pPr>
        <w:pStyle w:val="79"/>
        <w:adjustRightInd w:val="0"/>
        <w:snapToGrid w:val="0"/>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5.不接受以联合体形式参加投标。</w:t>
      </w:r>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四、比选的时间安排</w:t>
      </w:r>
      <w:bookmarkEnd w:id="27"/>
    </w:p>
    <w:tbl>
      <w:tblPr>
        <w:tblStyle w:val="48"/>
        <w:tblW w:w="93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2"/>
        <w:gridCol w:w="1757"/>
        <w:gridCol w:w="2354"/>
        <w:gridCol w:w="44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1"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序号</w:t>
            </w:r>
          </w:p>
        </w:tc>
        <w:tc>
          <w:tcPr>
            <w:tcW w:w="1757"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内  容</w:t>
            </w:r>
          </w:p>
        </w:tc>
        <w:tc>
          <w:tcPr>
            <w:tcW w:w="2354"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时间安排</w:t>
            </w:r>
          </w:p>
        </w:tc>
        <w:tc>
          <w:tcPr>
            <w:tcW w:w="4497"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highlight w:val="yellow"/>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6"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3月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22</w:t>
            </w:r>
            <w:r>
              <w:rPr>
                <w:rFonts w:ascii="宋体" w:hAnsi="宋体"/>
                <w:bCs/>
                <w:color w:val="0D0D0D" w:themeColor="text1" w:themeTint="F2"/>
                <w:sz w:val="18"/>
                <w:szCs w:val="18"/>
                <w14:textFill>
                  <w14:solidFill>
                    <w14:schemeClr w14:val="tx1">
                      <w14:lumMod w14:val="95000"/>
                      <w14:lumOff w14:val="5000"/>
                    </w14:schemeClr>
                  </w14:solidFill>
                </w14:textFill>
              </w:rPr>
              <w:t>日</w:t>
            </w:r>
          </w:p>
        </w:tc>
        <w:tc>
          <w:tcPr>
            <w:tcW w:w="44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428" w:leftChars="44" w:hanging="336" w:hangingChars="187"/>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ascii="宋体" w:hAnsi="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上午10:00</w:t>
            </w:r>
          </w:p>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Cs w:val="21"/>
              </w:rPr>
              <w:t>（按各参选单位递交纸质参选文件的时间为准。）</w:t>
            </w:r>
          </w:p>
        </w:tc>
        <w:tc>
          <w:tcPr>
            <w:tcW w:w="44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1.纸质版参选文件递交地点：地铁大厦智能评定中心</w:t>
            </w:r>
          </w:p>
          <w:p>
            <w:pPr>
              <w:pStyle w:val="3"/>
              <w:adjustRightInd w:val="0"/>
              <w:snapToGrid w:val="0"/>
              <w:ind w:left="0" w:leftChars="0" w:firstLine="0" w:firstLineChars="0"/>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240" w:lineRule="auto"/>
              <w:ind w:left="141" w:leftChars="67"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75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开标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ascii="宋体" w:hAnsi="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上午10:00</w:t>
            </w:r>
          </w:p>
        </w:tc>
        <w:tc>
          <w:tcPr>
            <w:tcW w:w="44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28" w:firstLineChars="16"/>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开标地点：地铁大厦智能评定中心</w:t>
            </w:r>
          </w:p>
        </w:tc>
      </w:tr>
    </w:tbl>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88680687"/>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28"/>
    </w:p>
    <w:p>
      <w:pPr>
        <w:pStyle w:val="24"/>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6"/>
        <w:numPr>
          <w:ilvl w:val="2"/>
          <w:numId w:val="0"/>
        </w:numPr>
        <w:spacing w:before="240" w:beforeLines="100" w:after="120" w:afterLines="50" w:line="560" w:lineRule="exac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9" w:name="_Toc88680688"/>
      <w:bookmarkStart w:id="30" w:name="_Toc518494124"/>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29"/>
      <w:bookmarkEnd w:id="30"/>
    </w:p>
    <w:p>
      <w:pPr>
        <w:pStyle w:val="24"/>
        <w:tabs>
          <w:tab w:val="right" w:pos="9026"/>
        </w:tabs>
        <w:spacing w:line="360"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本次比选报价总费用最高限价为人民币</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276.4</w:t>
      </w:r>
      <w:r>
        <w:rPr>
          <w:rFonts w:hint="eastAsia" w:hAnsi="宋体"/>
          <w:color w:val="0D0D0D" w:themeColor="text1" w:themeTint="F2"/>
          <w:sz w:val="24"/>
          <w:szCs w:val="24"/>
          <w:highlight w:val="none"/>
          <w14:textFill>
            <w14:solidFill>
              <w14:schemeClr w14:val="tx1">
                <w14:lumMod w14:val="95000"/>
                <w14:lumOff w14:val="5000"/>
              </w14:schemeClr>
            </w14:solidFill>
          </w14:textFill>
        </w:rPr>
        <w:t>万元（含税），各项目分别最高限价如下：</w:t>
      </w:r>
    </w:p>
    <w:p>
      <w:pPr>
        <w:pStyle w:val="24"/>
        <w:snapToGrid w:val="0"/>
        <w:spacing w:line="360" w:lineRule="auto"/>
        <w:ind w:firstLine="480" w:firstLineChars="200"/>
        <w:rPr>
          <w:rFonts w:hint="eastAsia" w:hAnsi="宋体"/>
          <w:b w:val="0"/>
          <w:bCs/>
          <w:color w:val="0D0D0D" w:themeColor="text1" w:themeTint="F2"/>
          <w:sz w:val="24"/>
          <w:szCs w:val="24"/>
          <w14:textFill>
            <w14:solidFill>
              <w14:schemeClr w14:val="tx1">
                <w14:lumMod w14:val="95000"/>
                <w14:lumOff w14:val="5000"/>
              </w14:schemeClr>
            </w14:solidFill>
          </w14:textFill>
        </w:rPr>
      </w:pPr>
      <w:r>
        <w:rPr>
          <w:rFonts w:hint="eastAsia" w:hAnsi="宋体"/>
          <w:b w:val="0"/>
          <w:bCs/>
          <w:color w:val="0D0D0D" w:themeColor="text1" w:themeTint="F2"/>
          <w:sz w:val="24"/>
          <w:szCs w:val="24"/>
          <w:lang w:val="en-US" w:eastAsia="zh-CN"/>
          <w14:textFill>
            <w14:solidFill>
              <w14:schemeClr w14:val="tx1">
                <w14:lumMod w14:val="95000"/>
                <w14:lumOff w14:val="5000"/>
              </w14:schemeClr>
            </w14:solidFill>
          </w14:textFill>
        </w:rPr>
        <w:t>1.</w:t>
      </w:r>
      <w:r>
        <w:rPr>
          <w:rFonts w:hint="eastAsia" w:hAnsi="宋体"/>
          <w:b w:val="0"/>
          <w:bCs/>
          <w:color w:val="0D0D0D" w:themeColor="text1" w:themeTint="F2"/>
          <w:sz w:val="24"/>
          <w:szCs w:val="24"/>
          <w14:textFill>
            <w14:solidFill>
              <w14:schemeClr w14:val="tx1">
                <w14:lumMod w14:val="95000"/>
                <w14:lumOff w14:val="5000"/>
              </w14:schemeClr>
            </w14:solidFill>
          </w14:textFill>
        </w:rPr>
        <w:t xml:space="preserve">A包：深铁珑境巡展活动服务总控制价为154.8万元（含税），其中场地费用控制价为91.8万元（含税），展位设计制作及活动费控制价为63万元（含税）。 </w:t>
      </w:r>
    </w:p>
    <w:p>
      <w:pPr>
        <w:pStyle w:val="24"/>
        <w:snapToGrid w:val="0"/>
        <w:spacing w:line="360" w:lineRule="auto"/>
        <w:ind w:firstLine="480" w:firstLineChars="200"/>
        <w:rPr>
          <w:rFonts w:hint="eastAsia" w:hAnsi="宋体"/>
          <w:b w:val="0"/>
          <w:bCs/>
          <w:color w:val="0D0D0D" w:themeColor="text1" w:themeTint="F2"/>
          <w:sz w:val="24"/>
          <w:szCs w:val="24"/>
          <w14:textFill>
            <w14:solidFill>
              <w14:schemeClr w14:val="tx1">
                <w14:lumMod w14:val="95000"/>
                <w14:lumOff w14:val="5000"/>
              </w14:schemeClr>
            </w14:solidFill>
          </w14:textFill>
        </w:rPr>
      </w:pPr>
      <w:r>
        <w:rPr>
          <w:rFonts w:hint="eastAsia" w:hAnsi="宋体"/>
          <w:b w:val="0"/>
          <w:bCs/>
          <w:color w:val="0D0D0D" w:themeColor="text1" w:themeTint="F2"/>
          <w:sz w:val="24"/>
          <w:szCs w:val="24"/>
          <w:lang w:val="en-US" w:eastAsia="zh-CN"/>
          <w14:textFill>
            <w14:solidFill>
              <w14:schemeClr w14:val="tx1">
                <w14:lumMod w14:val="95000"/>
                <w14:lumOff w14:val="5000"/>
              </w14:schemeClr>
            </w14:solidFill>
          </w14:textFill>
        </w:rPr>
        <w:t>2.</w:t>
      </w:r>
      <w:r>
        <w:rPr>
          <w:rFonts w:hint="eastAsia" w:hAnsi="宋体"/>
          <w:b w:val="0"/>
          <w:bCs/>
          <w:color w:val="0D0D0D" w:themeColor="text1" w:themeTint="F2"/>
          <w:sz w:val="24"/>
          <w:szCs w:val="24"/>
          <w14:textFill>
            <w14:solidFill>
              <w14:schemeClr w14:val="tx1">
                <w14:lumMod w14:val="95000"/>
                <w14:lumOff w14:val="5000"/>
              </w14:schemeClr>
            </w14:solidFill>
          </w14:textFill>
        </w:rPr>
        <w:t>B包：深铁璟城巡展活动服务总控制价为121.6万元（含税），其中场地费用控制价为60万元（含税），展位设计制作及活动费控制价为61.6万元（含税）。</w:t>
      </w:r>
    </w:p>
    <w:p>
      <w:pPr>
        <w:pStyle w:val="24"/>
        <w:tabs>
          <w:tab w:val="right" w:pos="9026"/>
        </w:tabs>
        <w:spacing w:line="480" w:lineRule="atLeast"/>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1" w:name="_Toc88680689"/>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1"/>
    </w:p>
    <w:p>
      <w:pPr>
        <w:pStyle w:val="6"/>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2" w:name="_Toc88680690"/>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2"/>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比选文件用以阐明所需（1）参选须知；（2）评定标程序；（3）深铁珑境、深铁璟城巡展活动服务工作任务及要求；（4）合同条款等，比选文件由下述部分组成：</w:t>
      </w:r>
    </w:p>
    <w:p>
      <w:pPr>
        <w:pStyle w:val="3"/>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6"/>
        <w:numPr>
          <w:ilvl w:val="2"/>
          <w:numId w:val="0"/>
        </w:numPr>
        <w:spacing w:before="240" w:beforeLines="100" w:after="120" w:afterLines="50" w:line="480" w:lineRule="atLeast"/>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3" w:name="_Toc88680691"/>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3"/>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w:t>
      </w:r>
      <w:r>
        <w:rPr>
          <w:rFonts w:ascii="宋体" w:hAnsi="宋体"/>
          <w:color w:val="0D0D0D" w:themeColor="text1" w:themeTint="F2"/>
          <w:sz w:val="24"/>
          <w:szCs w:val="24"/>
          <w14:textFill>
            <w14:solidFill>
              <w14:schemeClr w14:val="tx1">
                <w14:lumMod w14:val="95000"/>
                <w14:lumOff w14:val="5000"/>
              </w14:schemeClr>
            </w14:solidFill>
          </w14:textFill>
        </w:rPr>
        <w:t>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480" w:lineRule="atLeast"/>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480" w:lineRule="atLeast"/>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5"/>
        <w:spacing w:line="480" w:lineRule="atLeast"/>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4" w:name="_Toc88680692"/>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4"/>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5" w:name="_Toc88680693"/>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5"/>
    </w:p>
    <w:p>
      <w:pPr>
        <w:pStyle w:val="3"/>
        <w:tabs>
          <w:tab w:val="left" w:pos="945"/>
          <w:tab w:val="left" w:pos="1275"/>
        </w:tabs>
        <w:snapToGrid w:val="0"/>
        <w:spacing w:line="480" w:lineRule="atLeast"/>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3"/>
        <w:tabs>
          <w:tab w:val="left" w:pos="945"/>
          <w:tab w:val="left" w:pos="1275"/>
        </w:tabs>
        <w:snapToGrid w:val="0"/>
        <w:spacing w:line="480" w:lineRule="atLeast"/>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：参选文件采用中文编写，A4纸印刷并</w:t>
      </w:r>
      <w:r>
        <w:rPr>
          <w:rFonts w:hint="eastAsia" w:ascii="宋体" w:hAnsi="宋体"/>
          <w:color w:val="0D0D0D" w:themeColor="text1" w:themeTint="F2"/>
          <w:sz w:val="24"/>
          <w:szCs w:val="21"/>
          <w14:textFill>
            <w14:solidFill>
              <w14:schemeClr w14:val="tx1">
                <w14:lumMod w14:val="95000"/>
                <w14:lumOff w14:val="5000"/>
              </w14:schemeClr>
            </w14:solidFill>
          </w14:textFill>
        </w:rPr>
        <w:t>装订成册</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6"/>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6" w:name="_Toc88680694"/>
      <w:r>
        <w:rPr>
          <w:rFonts w:hint="eastAsia" w:ascii="宋体" w:hAnsi="宋体"/>
          <w:bCs/>
          <w:color w:val="0D0D0D" w:themeColor="text1" w:themeTint="F2"/>
          <w:sz w:val="24"/>
          <w14:textFill>
            <w14:solidFill>
              <w14:schemeClr w14:val="tx1">
                <w14:lumMod w14:val="95000"/>
                <w14:lumOff w14:val="5000"/>
              </w14:schemeClr>
            </w14:solidFill>
          </w14:textFill>
        </w:rPr>
        <w:t>参选文件按照“技术标书”、“商务标”分别装订成册，密封包装。</w:t>
      </w:r>
    </w:p>
    <w:p>
      <w:pPr>
        <w:pStyle w:val="6"/>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36"/>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“技术标书”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w:t>
      </w:r>
      <w:r>
        <w:rPr>
          <w:rFonts w:hint="eastAsia" w:ascii="宋体" w:hAnsi="宋体"/>
          <w:b/>
          <w:bCs/>
          <w:sz w:val="24"/>
          <w:szCs w:val="24"/>
          <w:lang w:val="zh-CN"/>
        </w:rPr>
        <w:t>技术标书部分的要求编写技术标</w:t>
      </w:r>
      <w:r>
        <w:rPr>
          <w:rFonts w:hint="eastAsia" w:ascii="宋体" w:hAnsi="宋体"/>
          <w:b/>
          <w:bCs/>
          <w:sz w:val="24"/>
          <w:lang w:val="zh-CN"/>
        </w:rPr>
        <w:t>书</w:t>
      </w:r>
      <w:r>
        <w:rPr>
          <w:rFonts w:hint="eastAsia" w:ascii="宋体" w:hAnsi="宋体"/>
          <w:sz w:val="24"/>
          <w:lang w:val="zh-CN"/>
        </w:rPr>
        <w:t>。</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技术标书应包括以下几个主要内容：</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bookmarkStart w:id="37" w:name="_Hlk73001981"/>
      <w:r>
        <w:rPr>
          <w:rFonts w:hint="eastAsia" w:ascii="宋体" w:hAnsi="宋体"/>
          <w:color w:val="0D0D0D" w:themeColor="text1" w:themeTint="F2"/>
          <w:sz w:val="24"/>
          <w:szCs w:val="24"/>
          <w14:textFill>
            <w14:solidFill>
              <w14:schemeClr w14:val="tx1">
                <w14:lumMod w14:val="95000"/>
                <w14:lumOff w14:val="5000"/>
              </w14:schemeClr>
            </w14:solidFill>
          </w14:textFill>
        </w:rPr>
        <w:t>1.参选人营业执照复印件（加盖公章）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.法定代表人资格证明书原件</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加</w:t>
      </w:r>
      <w:r>
        <w:rPr>
          <w:rFonts w:ascii="宋体" w:hAnsi="宋体"/>
          <w:color w:val="0D0D0D" w:themeColor="text1" w:themeTint="F2"/>
          <w:sz w:val="24"/>
          <w:szCs w:val="24"/>
          <w14:textFill>
            <w14:solidFill>
              <w14:schemeClr w14:val="tx1">
                <w14:lumMod w14:val="95000"/>
                <w14:lumOff w14:val="5000"/>
              </w14:schemeClr>
            </w14:solidFill>
          </w14:textFill>
        </w:rPr>
        <w:t>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.法定代表人授权委托书原件（加盖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.被授权人身份证复印件（加盖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bookmarkEnd w:id="8"/>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bookmarkStart w:id="38" w:name="_Toc197404907"/>
      <w:r>
        <w:rPr>
          <w:rFonts w:ascii="宋体" w:hAnsi="宋体"/>
          <w:color w:val="0D0D0D" w:themeColor="text1" w:themeTint="F2"/>
          <w:sz w:val="24"/>
          <w:szCs w:val="24"/>
          <w14:textFill>
            <w14:solidFill>
              <w14:schemeClr w14:val="tx1">
                <w14:lumMod w14:val="95000"/>
                <w14:lumOff w14:val="5000"/>
              </w14:schemeClr>
            </w14:solidFill>
          </w14:textFill>
        </w:rPr>
        <w:t>6.</w:t>
      </w:r>
      <w:r>
        <w:rPr>
          <w:rFonts w:hint="eastAsia" w:ascii="宋体" w:hAnsi="宋体"/>
          <w:color w:val="0D0D0D" w:themeColor="text1" w:themeTint="F2"/>
          <w:sz w:val="24"/>
          <w:szCs w:val="24"/>
          <w14:textFill>
            <w14:solidFill>
              <w14:schemeClr w14:val="tx1">
                <w14:lumMod w14:val="95000"/>
                <w14:lumOff w14:val="5000"/>
              </w14:schemeClr>
            </w14:solidFill>
          </w14:textFill>
        </w:rPr>
        <w:t>业绩证明材料（加盖公章）</w:t>
      </w:r>
    </w:p>
    <w:p>
      <w:pPr>
        <w:pStyle w:val="3"/>
        <w:snapToGrid w:val="0"/>
        <w:ind w:left="0" w:leftChars="0" w:firstLine="480" w:firstLineChars="200"/>
        <w:rPr>
          <w:rFonts w:hAnsi="宋体"/>
          <w:sz w:val="24"/>
          <w:szCs w:val="24"/>
        </w:rPr>
      </w:pPr>
      <w:r>
        <w:rPr>
          <w:rFonts w:hint="eastAsia" w:hAnsi="宋体"/>
          <w:sz w:val="24"/>
          <w:szCs w:val="24"/>
        </w:rPr>
        <w:t>（1）资格证明要求所需的业绩证明文件</w:t>
      </w:r>
    </w:p>
    <w:p>
      <w:pPr>
        <w:pStyle w:val="3"/>
        <w:snapToGrid w:val="0"/>
        <w:ind w:left="0" w:leftChars="0" w:firstLine="480" w:firstLineChars="200"/>
        <w:rPr>
          <w:rFonts w:hAnsi="宋体"/>
          <w:sz w:val="24"/>
          <w:szCs w:val="24"/>
        </w:rPr>
      </w:pPr>
      <w:r>
        <w:rPr>
          <w:rFonts w:hint="eastAsia" w:hAnsi="宋体"/>
          <w:sz w:val="24"/>
          <w:szCs w:val="24"/>
        </w:rPr>
        <w:t>2019年1月1日至今，服务过全国50强或深圳20强房地产开发品牌（全国50强排名参考2019年-2021年中指研究院或易居克尔瑞数据，深圳20强排名参考2019-2021年深圳房协数据）在深圳的房产项目巡展活动或展厅包装案例至少两个。</w:t>
      </w:r>
    </w:p>
    <w:p>
      <w:pPr>
        <w:pStyle w:val="3"/>
        <w:snapToGrid w:val="0"/>
        <w:ind w:left="0" w:leftChars="0" w:firstLine="0" w:firstLineChars="0"/>
        <w:rPr>
          <w:rFonts w:hAnsi="宋体"/>
          <w:sz w:val="24"/>
          <w:szCs w:val="24"/>
        </w:rPr>
      </w:pPr>
      <w:r>
        <w:rPr>
          <w:rFonts w:hint="eastAsia" w:hAnsi="宋体"/>
          <w:sz w:val="24"/>
          <w:szCs w:val="24"/>
        </w:rPr>
        <w:t>备注：以上业绩证明材料需提供相关合同关键页复印件，日期以合同签约日期为准（加盖公章）。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技术标评审所需业绩证明文件</w:t>
      </w:r>
    </w:p>
    <w:p>
      <w:pPr>
        <w:pStyle w:val="3"/>
        <w:snapToGrid w:val="0"/>
        <w:ind w:left="0" w:leftChars="0" w:firstLine="480" w:firstLineChars="200"/>
        <w:rPr>
          <w:rFonts w:hAnsi="宋体"/>
          <w:sz w:val="24"/>
          <w:szCs w:val="24"/>
        </w:rPr>
      </w:pPr>
      <w:r>
        <w:rPr>
          <w:rFonts w:hint="eastAsia" w:hAnsi="宋体"/>
          <w:sz w:val="24"/>
          <w:szCs w:val="24"/>
        </w:rPr>
        <w:t>2019年1月1日至今，服务全国50强或深圳20强房地产开发公司（全国50强排名参考2019-2021年中指研究院或易居克而瑞数据，深圳20强排名参考2019-2021年深圳房协数据）在北上深三个一线城市落地的巡展案例，每个案例1分，最高10分，特装效果案例且合同金额20万以上（不含场地租赁）案例每个1分，最高10分。以上均需提供服务合同关键页复印件</w:t>
      </w:r>
      <w:r>
        <w:rPr>
          <w:rFonts w:hint="eastAsia" w:hAnsi="宋体"/>
          <w:sz w:val="24"/>
          <w:szCs w:val="24"/>
          <w:lang w:eastAsia="zh-CN"/>
        </w:rPr>
        <w:t>，</w:t>
      </w:r>
      <w:r>
        <w:rPr>
          <w:rFonts w:hint="eastAsia" w:hAnsi="宋体"/>
          <w:sz w:val="24"/>
          <w:szCs w:val="24"/>
          <w:lang w:val="en-US" w:eastAsia="zh-CN"/>
        </w:rPr>
        <w:t>以上两项案例得分可累计</w:t>
      </w:r>
      <w:r>
        <w:rPr>
          <w:rFonts w:hint="eastAsia" w:hAnsi="宋体"/>
          <w:sz w:val="24"/>
          <w:szCs w:val="24"/>
        </w:rPr>
        <w:t>。（本项最高20分）</w:t>
      </w:r>
    </w:p>
    <w:p>
      <w:pPr>
        <w:pStyle w:val="3"/>
        <w:snapToGrid w:val="0"/>
        <w:ind w:left="0" w:leftChars="0" w:firstLine="0" w:firstLineChars="0"/>
        <w:rPr>
          <w:rFonts w:hAnsi="宋体"/>
          <w:sz w:val="24"/>
          <w:szCs w:val="24"/>
        </w:rPr>
      </w:pPr>
      <w:r>
        <w:rPr>
          <w:rFonts w:hint="eastAsia" w:hAnsi="宋体"/>
          <w:sz w:val="24"/>
          <w:szCs w:val="24"/>
        </w:rPr>
        <w:t xml:space="preserve">    备注：</w:t>
      </w:r>
      <w:r>
        <w:rPr>
          <w:rFonts w:hint="eastAsia" w:ascii="仿宋_GB2312" w:hAnsi="宋体" w:eastAsia="仿宋_GB2312" w:cs="宋体"/>
          <w:sz w:val="24"/>
          <w:szCs w:val="24"/>
        </w:rPr>
        <w:t>以上均需提供服务合同关键页复印件。</w:t>
      </w:r>
    </w:p>
    <w:p>
      <w:pPr>
        <w:pStyle w:val="3"/>
        <w:snapToGrid w:val="0"/>
        <w:ind w:left="0" w:leftChars="0" w:firstLine="0" w:firstLineChars="0"/>
        <w:rPr>
          <w:rFonts w:hAnsi="宋体"/>
          <w:sz w:val="24"/>
          <w:szCs w:val="24"/>
        </w:rPr>
      </w:pPr>
      <w:r>
        <w:rPr>
          <w:rFonts w:hint="eastAsia" w:hAnsi="宋体"/>
          <w:sz w:val="24"/>
          <w:szCs w:val="24"/>
        </w:rPr>
        <w:t xml:space="preserve">    7.公司注册资金证明文件</w:t>
      </w:r>
    </w:p>
    <w:bookmarkEnd w:id="37"/>
    <w:p>
      <w:pPr>
        <w:pStyle w:val="3"/>
        <w:snapToGrid w:val="0"/>
        <w:ind w:left="0" w:leftChars="0" w:firstLine="480" w:firstLineChars="200"/>
        <w:rPr>
          <w:rFonts w:ascii="宋体" w:hAnsi="宋体"/>
          <w:sz w:val="24"/>
          <w:szCs w:val="24"/>
        </w:rPr>
      </w:pPr>
      <w:r>
        <w:rPr>
          <w:rFonts w:hint="eastAsia" w:ascii="宋体" w:hAnsi="宋体"/>
          <w:sz w:val="24"/>
          <w:szCs w:val="24"/>
        </w:rPr>
        <w:t>8.</w:t>
      </w:r>
      <w:r>
        <w:rPr>
          <w:rFonts w:ascii="宋体" w:hAnsi="宋体"/>
          <w:sz w:val="24"/>
          <w:szCs w:val="24"/>
        </w:rPr>
        <w:t>巡展活动方案</w:t>
      </w:r>
      <w:r>
        <w:rPr>
          <w:rFonts w:hint="eastAsia" w:ascii="宋体" w:hAnsi="宋体"/>
          <w:sz w:val="24"/>
          <w:szCs w:val="24"/>
        </w:rPr>
        <w:t>。</w:t>
      </w:r>
    </w:p>
    <w:p>
      <w:pPr>
        <w:pStyle w:val="3"/>
        <w:snapToGrid w:val="0"/>
        <w:ind w:left="0" w:leftChars="0" w:firstLine="482"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b/>
          <w:color w:val="0D0D0D" w:themeColor="text1" w:themeTint="F2"/>
          <w:sz w:val="24"/>
          <w:szCs w:val="21"/>
          <w:u w:val="single"/>
          <w14:textFill>
            <w14:solidFill>
              <w14:schemeClr w14:val="tx1">
                <w14:lumMod w14:val="95000"/>
                <w14:lumOff w14:val="5000"/>
              </w14:schemeClr>
            </w14:solidFill>
          </w14:textFill>
        </w:rPr>
        <w:t>（</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二</w:t>
      </w:r>
      <w:r>
        <w:rPr>
          <w:rFonts w:ascii="宋体" w:hAnsi="宋体"/>
          <w:b/>
          <w:color w:val="0D0D0D" w:themeColor="text1" w:themeTint="F2"/>
          <w:sz w:val="24"/>
          <w:szCs w:val="21"/>
          <w:u w:val="single"/>
          <w14:textFill>
            <w14:solidFill>
              <w14:schemeClr w14:val="tx1">
                <w14:lumMod w14:val="95000"/>
                <w14:lumOff w14:val="5000"/>
              </w14:schemeClr>
            </w14:solidFill>
          </w14:textFill>
        </w:rPr>
        <w:t>）</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1．参选人应按照比选文件第二篇“参选文件格式”中商务标书部分的要求编写商务标。商务标书共</w:t>
      </w:r>
      <w:r>
        <w:rPr>
          <w:rFonts w:ascii="宋体" w:hAnsi="宋体"/>
          <w:color w:val="0D0D0D" w:themeColor="text1" w:themeTint="F2"/>
          <w:sz w:val="24"/>
          <w:szCs w:val="24"/>
          <w14:textFill>
            <w14:solidFill>
              <w14:schemeClr w14:val="tx1">
                <w14:lumMod w14:val="95000"/>
                <w14:lumOff w14:val="5000"/>
              </w14:schemeClr>
            </w14:solidFill>
          </w14:textFill>
        </w:rPr>
        <w:t>分</w:t>
      </w:r>
      <w:r>
        <w:rPr>
          <w:rFonts w:hint="eastAsia" w:ascii="宋体" w:hAnsi="宋体"/>
          <w:color w:val="0D0D0D" w:themeColor="text1" w:themeTint="F2"/>
          <w:sz w:val="24"/>
          <w:szCs w:val="24"/>
          <w14:textFill>
            <w14:solidFill>
              <w14:schemeClr w14:val="tx1">
                <w14:lumMod w14:val="95000"/>
                <w14:lumOff w14:val="5000"/>
              </w14:schemeClr>
            </w14:solidFill>
          </w14:textFill>
        </w:rPr>
        <w:t>A、B两个独立</w:t>
      </w:r>
      <w:r>
        <w:rPr>
          <w:rFonts w:ascii="宋体" w:hAnsi="宋体"/>
          <w:color w:val="0D0D0D" w:themeColor="text1" w:themeTint="F2"/>
          <w:sz w:val="24"/>
          <w:szCs w:val="24"/>
          <w14:textFill>
            <w14:solidFill>
              <w14:schemeClr w14:val="tx1">
                <w14:lumMod w14:val="95000"/>
                <w14:lumOff w14:val="5000"/>
              </w14:schemeClr>
            </w14:solidFill>
          </w14:textFill>
        </w:rPr>
        <w:t>封包，</w:t>
      </w:r>
      <w:r>
        <w:rPr>
          <w:rFonts w:hint="eastAsia" w:ascii="宋体" w:hAnsi="宋体"/>
          <w:color w:val="0D0D0D" w:themeColor="text1" w:themeTint="F2"/>
          <w:sz w:val="24"/>
          <w:szCs w:val="24"/>
          <w14:textFill>
            <w14:solidFill>
              <w14:schemeClr w14:val="tx1">
                <w14:lumMod w14:val="95000"/>
                <w14:lumOff w14:val="5000"/>
              </w14:schemeClr>
            </w14:solidFill>
          </w14:textFill>
        </w:rPr>
        <w:t>分别应包括以下几个主要内容：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 xml:space="preserve">1.1 </w:t>
      </w:r>
      <w:r>
        <w:rPr>
          <w:rFonts w:hint="eastAsia" w:ascii="宋体" w:hAnsi="宋体"/>
          <w:b/>
          <w:bCs/>
          <w:color w:val="0D0D0D" w:themeColor="text1" w:themeTint="F2"/>
          <w:sz w:val="24"/>
          <w:szCs w:val="24"/>
          <w14:textFill>
            <w14:solidFill>
              <w14:schemeClr w14:val="tx1">
                <w14:lumMod w14:val="95000"/>
                <w14:lumOff w14:val="5000"/>
              </w14:schemeClr>
            </w14:solidFill>
          </w14:textFill>
        </w:rPr>
        <w:t>A包：深铁珑境巡展活动服务商务标书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1.2</w:t>
      </w:r>
      <w:r>
        <w:rPr>
          <w:rFonts w:ascii="宋体" w:hAnsi="宋体"/>
          <w:b/>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 w:val="24"/>
          <w:szCs w:val="24"/>
          <w14:textFill>
            <w14:solidFill>
              <w14:schemeClr w14:val="tx1">
                <w14:lumMod w14:val="95000"/>
                <w14:lumOff w14:val="5000"/>
              </w14:schemeClr>
            </w14:solidFill>
          </w14:textFill>
        </w:rPr>
        <w:t>B包：深铁璟城巡展活动服务商务标书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比选人认为参选人报价已包含了乙方因履行本次服务过程中发生的场地费、策划费、执行费、设计费、制作费、人工费、交通费、政府报批收费、税金、撤场清理费、物料看管费、报批费等一切乙方为了履行本次服务下委托事项所产生的费用等。</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4．比选人认为</w:t>
      </w:r>
      <w:r>
        <w:rPr>
          <w:rFonts w:hint="eastAsia" w:ascii="宋体" w:hAnsi="宋体"/>
          <w:color w:val="0D0D0D" w:themeColor="text1" w:themeTint="F2"/>
          <w:sz w:val="24"/>
          <w:szCs w:val="24"/>
          <w14:textFill>
            <w14:solidFill>
              <w14:schemeClr w14:val="tx1">
                <w14:lumMod w14:val="95000"/>
                <w14:lumOff w14:val="5000"/>
              </w14:schemeClr>
            </w14:solidFill>
          </w14:textFill>
        </w:rPr>
        <w:t>参选人为履行本合同而提供的产品和相关服务的知识产权、版权费等第三者费用、根据法律由乙方支付的税费、保险费、合同文本、研究成果等资料的印刷费等已包含在参选人的投标报价中。</w:t>
      </w:r>
    </w:p>
    <w:p>
      <w:pPr>
        <w:pStyle w:val="24"/>
        <w:tabs>
          <w:tab w:val="right" w:pos="9026"/>
        </w:tabs>
        <w:spacing w:line="360"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ascii="宋体" w:hAnsi="宋体"/>
          <w:color w:val="0D0D0D" w:themeColor="text1" w:themeTint="F2"/>
          <w:sz w:val="24"/>
          <w:szCs w:val="24"/>
          <w:highlight w:val="none"/>
          <w14:textFill>
            <w14:solidFill>
              <w14:schemeClr w14:val="tx1">
                <w14:lumMod w14:val="95000"/>
                <w14:lumOff w14:val="5000"/>
              </w14:schemeClr>
            </w14:solidFill>
          </w14:textFill>
        </w:rPr>
        <w:t>5</w:t>
      </w:r>
      <w:r>
        <w:rPr>
          <w:rFonts w:hint="eastAsia" w:ascii="宋体" w:hAnsi="宋体"/>
          <w:color w:val="0D0D0D" w:themeColor="text1" w:themeTint="F2"/>
          <w:sz w:val="24"/>
          <w:szCs w:val="24"/>
          <w:highlight w:val="none"/>
          <w14:textFill>
            <w14:solidFill>
              <w14:schemeClr w14:val="tx1">
                <w14:lumMod w14:val="95000"/>
                <w14:lumOff w14:val="5000"/>
              </w14:schemeClr>
            </w14:solidFill>
          </w14:textFill>
        </w:rPr>
        <w:t>．</w:t>
      </w:r>
      <w:r>
        <w:rPr>
          <w:rFonts w:hint="eastAsia" w:hAnsi="宋体"/>
          <w:color w:val="0D0D0D" w:themeColor="text1" w:themeTint="F2"/>
          <w:sz w:val="24"/>
          <w:szCs w:val="24"/>
          <w:highlight w:val="none"/>
          <w14:textFill>
            <w14:solidFill>
              <w14:schemeClr w14:val="tx1">
                <w14:lumMod w14:val="95000"/>
                <w14:lumOff w14:val="5000"/>
              </w14:schemeClr>
            </w14:solidFill>
          </w14:textFill>
        </w:rPr>
        <w:t>本次比选报价总费用最高限价为人民币</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276.4</w:t>
      </w:r>
      <w:r>
        <w:rPr>
          <w:rFonts w:hint="eastAsia" w:hAnsi="宋体"/>
          <w:color w:val="0D0D0D" w:themeColor="text1" w:themeTint="F2"/>
          <w:sz w:val="24"/>
          <w:szCs w:val="24"/>
          <w:highlight w:val="none"/>
          <w14:textFill>
            <w14:solidFill>
              <w14:schemeClr w14:val="tx1">
                <w14:lumMod w14:val="95000"/>
                <w14:lumOff w14:val="5000"/>
              </w14:schemeClr>
            </w14:solidFill>
          </w14:textFill>
        </w:rPr>
        <w:t>万元（含税），各项目分别最高限价如下：</w:t>
      </w:r>
    </w:p>
    <w:p>
      <w:pPr>
        <w:pStyle w:val="24"/>
        <w:snapToGrid w:val="0"/>
        <w:spacing w:line="360" w:lineRule="auto"/>
        <w:ind w:firstLine="480" w:firstLineChars="200"/>
        <w:rPr>
          <w:rFonts w:hint="eastAsia" w:hAnsi="宋体"/>
          <w:b w:val="0"/>
          <w:bCs/>
          <w:color w:val="0D0D0D" w:themeColor="text1" w:themeTint="F2"/>
          <w:sz w:val="24"/>
          <w:szCs w:val="24"/>
          <w14:textFill>
            <w14:solidFill>
              <w14:schemeClr w14:val="tx1">
                <w14:lumMod w14:val="95000"/>
                <w14:lumOff w14:val="5000"/>
              </w14:schemeClr>
            </w14:solidFill>
          </w14:textFill>
        </w:rPr>
      </w:pPr>
      <w:r>
        <w:rPr>
          <w:rFonts w:hint="eastAsia" w:hAnsi="宋体"/>
          <w:b w:val="0"/>
          <w:bCs/>
          <w:color w:val="0D0D0D" w:themeColor="text1" w:themeTint="F2"/>
          <w:sz w:val="24"/>
          <w:szCs w:val="24"/>
          <w14:textFill>
            <w14:solidFill>
              <w14:schemeClr w14:val="tx1">
                <w14:lumMod w14:val="95000"/>
                <w14:lumOff w14:val="5000"/>
              </w14:schemeClr>
            </w14:solidFill>
          </w14:textFill>
        </w:rPr>
        <w:t xml:space="preserve">A包：深铁珑境巡展活动服务总控制价为154.8万元（含税），其中场地费用控制价为91.8万元（含税），展位设计制作及活动费控制价为63万元（含税）。 </w:t>
      </w:r>
    </w:p>
    <w:p>
      <w:pPr>
        <w:pStyle w:val="24"/>
        <w:snapToGrid w:val="0"/>
        <w:spacing w:line="360" w:lineRule="auto"/>
        <w:ind w:firstLine="480" w:firstLineChars="200"/>
        <w:rPr>
          <w:rFonts w:hint="eastAsia" w:hAnsi="宋体"/>
          <w:b w:val="0"/>
          <w:bCs/>
          <w:color w:val="0D0D0D" w:themeColor="text1" w:themeTint="F2"/>
          <w:sz w:val="24"/>
          <w:szCs w:val="24"/>
          <w14:textFill>
            <w14:solidFill>
              <w14:schemeClr w14:val="tx1">
                <w14:lumMod w14:val="95000"/>
                <w14:lumOff w14:val="5000"/>
              </w14:schemeClr>
            </w14:solidFill>
          </w14:textFill>
        </w:rPr>
      </w:pPr>
      <w:r>
        <w:rPr>
          <w:rFonts w:hint="eastAsia" w:hAnsi="宋体"/>
          <w:b w:val="0"/>
          <w:bCs/>
          <w:color w:val="0D0D0D" w:themeColor="text1" w:themeTint="F2"/>
          <w:sz w:val="24"/>
          <w:szCs w:val="24"/>
          <w14:textFill>
            <w14:solidFill>
              <w14:schemeClr w14:val="tx1">
                <w14:lumMod w14:val="95000"/>
                <w14:lumOff w14:val="5000"/>
              </w14:schemeClr>
            </w14:solidFill>
          </w14:textFill>
        </w:rPr>
        <w:t>B包：深铁璟城巡展活动服务总控制价为121.6万元（含税），其中场地费用控制价为60万元（含税），展位设计制作及活动费控制价为61.6万元（含税）。</w:t>
      </w:r>
    </w:p>
    <w:p>
      <w:pPr>
        <w:pStyle w:val="24"/>
        <w:numPr>
          <w:ilvl w:val="-1"/>
          <w:numId w:val="0"/>
        </w:numPr>
        <w:snapToGrid w:val="0"/>
        <w:spacing w:line="360" w:lineRule="auto"/>
        <w:ind w:firstLine="480" w:firstLineChars="200"/>
        <w:rPr>
          <w:rFonts w:hAnsi="宋体" w:cs="宋体"/>
          <w:sz w:val="24"/>
          <w:szCs w:val="24"/>
          <w:highlight w:val="none"/>
        </w:rPr>
      </w:pPr>
    </w:p>
    <w:p>
      <w:pPr>
        <w:pStyle w:val="3"/>
        <w:snapToGrid w:val="0"/>
        <w:ind w:left="0" w:leftChars="0" w:firstLine="480" w:firstLineChars="200"/>
        <w:rPr>
          <w:rFonts w:hint="eastAsia" w:hAnsi="宋体"/>
          <w:color w:val="0D0D0D" w:themeColor="text1" w:themeTint="F2"/>
          <w:sz w:val="24"/>
          <w:szCs w:val="24"/>
          <w:highlight w:val="none"/>
          <w14:textFill>
            <w14:solidFill>
              <w14:schemeClr w14:val="tx1">
                <w14:lumMod w14:val="95000"/>
                <w14:lumOff w14:val="5000"/>
              </w14:schemeClr>
            </w14:solidFill>
          </w14:textFill>
        </w:rPr>
      </w:pPr>
    </w:p>
    <w:p>
      <w:pPr>
        <w:pStyle w:val="3"/>
        <w:snapToGrid w:val="0"/>
        <w:ind w:left="0" w:leftChars="0"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参选人报价精确到元。报价高于最高限价的将作为无效标处理。</w:t>
      </w:r>
    </w:p>
    <w:p>
      <w:pPr>
        <w:pStyle w:val="6"/>
        <w:numPr>
          <w:ilvl w:val="2"/>
          <w:numId w:val="0"/>
        </w:numPr>
        <w:spacing w:before="240" w:beforeLines="100" w:after="120" w:afterLines="50" w:line="560" w:lineRule="exac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9" w:name="_Toc88680695"/>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39"/>
    </w:p>
    <w:bookmarkEnd w:id="38"/>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所委派的工作人员在中选后不得随意更改，如确需变更，需经比选人认可同意，如未经比选人同意，参选人自行变更参选文件中委派的主要人员（项目总监、项目经理、项目主策、项目组主要人员），比选人有权对参选人予以相应违约处理或终止履行合同。</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3"/>
        <w:spacing w:line="480" w:lineRule="atLeast"/>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5"/>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0" w:name="_Toc197404908"/>
      <w:bookmarkStart w:id="41" w:name="_Toc88680696"/>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40"/>
      <w:bookmarkEnd w:id="41"/>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3"/>
        <w:snapToGrid w:val="0"/>
        <w:ind w:left="0" w:leftChars="0" w:firstLine="480" w:firstLineChars="200"/>
        <w:rPr>
          <w:rFonts w:ascii="宋体" w:hAnsi="宋体"/>
          <w:sz w:val="24"/>
          <w:szCs w:val="24"/>
        </w:rPr>
      </w:pPr>
      <w:r>
        <w:rPr>
          <w:rFonts w:hint="eastAsia" w:ascii="宋体" w:hAnsi="宋体"/>
          <w:sz w:val="24"/>
          <w:szCs w:val="24"/>
        </w:rPr>
        <w:t>参选人应提交参选文件，即技术标参选文件、商务标参选文件，每套参选文件包含正本1册、副本6册。技术标书和商务标书分别封装。在每一册参选文件上要明确注明“正本”和“副本”，正本和副本有差异时，以正本为准。</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2"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2"/>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参选文件共</w:t>
      </w:r>
      <w:r>
        <w:rPr>
          <w:rFonts w:ascii="宋体" w:hAnsi="宋体"/>
          <w:bCs/>
          <w:color w:val="0D0D0D" w:themeColor="text1" w:themeTint="F2"/>
          <w:sz w:val="24"/>
          <w14:textFill>
            <w14:solidFill>
              <w14:schemeClr w14:val="tx1">
                <w14:lumMod w14:val="95000"/>
                <w14:lumOff w14:val="5000"/>
              </w14:schemeClr>
            </w14:solidFill>
          </w14:textFill>
        </w:rPr>
        <w:t>包含</w:t>
      </w:r>
      <w:r>
        <w:rPr>
          <w:rFonts w:hint="eastAsia" w:ascii="宋体" w:hAnsi="宋体"/>
          <w:bCs/>
          <w:color w:val="0D0D0D" w:themeColor="text1" w:themeTint="F2"/>
          <w:sz w:val="24"/>
          <w14:textFill>
            <w14:solidFill>
              <w14:schemeClr w14:val="tx1">
                <w14:lumMod w14:val="95000"/>
                <w14:lumOff w14:val="5000"/>
              </w14:schemeClr>
            </w14:solidFill>
          </w14:textFill>
        </w:rPr>
        <w:t>三</w:t>
      </w:r>
      <w:r>
        <w:rPr>
          <w:rFonts w:ascii="宋体" w:hAnsi="宋体"/>
          <w:bCs/>
          <w:color w:val="0D0D0D" w:themeColor="text1" w:themeTint="F2"/>
          <w:sz w:val="24"/>
          <w14:textFill>
            <w14:solidFill>
              <w14:schemeClr w14:val="tx1">
                <w14:lumMod w14:val="95000"/>
                <w14:lumOff w14:val="5000"/>
              </w14:schemeClr>
            </w14:solidFill>
          </w14:textFill>
        </w:rPr>
        <w:t>份分别</w:t>
      </w:r>
      <w:r>
        <w:rPr>
          <w:rFonts w:hint="eastAsia" w:ascii="宋体" w:hAnsi="宋体"/>
          <w:bCs/>
          <w:color w:val="0D0D0D" w:themeColor="text1" w:themeTint="F2"/>
          <w:sz w:val="24"/>
          <w14:textFill>
            <w14:solidFill>
              <w14:schemeClr w14:val="tx1">
                <w14:lumMod w14:val="95000"/>
                <w14:lumOff w14:val="5000"/>
              </w14:schemeClr>
            </w14:solidFill>
          </w14:textFill>
        </w:rPr>
        <w:t>独立</w:t>
      </w:r>
      <w:r>
        <w:rPr>
          <w:rFonts w:ascii="宋体" w:hAnsi="宋体"/>
          <w:bCs/>
          <w:color w:val="0D0D0D" w:themeColor="text1" w:themeTint="F2"/>
          <w:sz w:val="24"/>
          <w14:textFill>
            <w14:solidFill>
              <w14:schemeClr w14:val="tx1">
                <w14:lumMod w14:val="95000"/>
                <w14:lumOff w14:val="5000"/>
              </w14:schemeClr>
            </w14:solidFill>
          </w14:textFill>
        </w:rPr>
        <w:t>密封包装的文件：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1</w:t>
      </w:r>
      <w:r>
        <w:rPr>
          <w:rFonts w:hint="eastAsia" w:ascii="宋体" w:hAnsi="宋体"/>
          <w:bCs/>
          <w:color w:val="0D0D0D" w:themeColor="text1" w:themeTint="F2"/>
          <w:sz w:val="24"/>
          <w14:textFill>
            <w14:solidFill>
              <w14:schemeClr w14:val="tx1">
                <w14:lumMod w14:val="95000"/>
                <w14:lumOff w14:val="5000"/>
              </w14:schemeClr>
            </w14:solidFill>
          </w14:textFill>
        </w:rPr>
        <w:t>、“技术标</w:t>
      </w:r>
      <w:r>
        <w:rPr>
          <w:rFonts w:ascii="宋体" w:hAnsi="宋体"/>
          <w:bCs/>
          <w:color w:val="0D0D0D" w:themeColor="text1" w:themeTint="F2"/>
          <w:sz w:val="24"/>
          <w14:textFill>
            <w14:solidFill>
              <w14:schemeClr w14:val="tx1">
                <w14:lumMod w14:val="95000"/>
                <w14:lumOff w14:val="5000"/>
              </w14:schemeClr>
            </w14:solidFill>
          </w14:textFill>
        </w:rPr>
        <w:t>文件</w:t>
      </w:r>
      <w:r>
        <w:rPr>
          <w:rFonts w:hint="eastAsia" w:ascii="宋体" w:hAnsi="宋体"/>
          <w:bCs/>
          <w:color w:val="0D0D0D" w:themeColor="text1" w:themeTint="F2"/>
          <w:sz w:val="24"/>
          <w14:textFill>
            <w14:solidFill>
              <w14:schemeClr w14:val="tx1">
                <w14:lumMod w14:val="95000"/>
                <w14:lumOff w14:val="5000"/>
              </w14:schemeClr>
            </w14:solidFill>
          </w14:textFill>
        </w:rPr>
        <w:t>”封成一个单独包；</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2</w:t>
      </w:r>
      <w:r>
        <w:rPr>
          <w:rFonts w:hint="eastAsia" w:ascii="宋体" w:hAnsi="宋体"/>
          <w:bCs/>
          <w:color w:val="0D0D0D" w:themeColor="text1" w:themeTint="F2"/>
          <w:sz w:val="24"/>
          <w14:textFill>
            <w14:solidFill>
              <w14:schemeClr w14:val="tx1">
                <w14:lumMod w14:val="95000"/>
                <w14:lumOff w14:val="5000"/>
              </w14:schemeClr>
            </w14:solidFill>
          </w14:textFill>
        </w:rPr>
        <w:t>、A包商务标文件</w:t>
      </w:r>
      <w:r>
        <w:rPr>
          <w:rFonts w:hint="eastAsia" w:hAnsi="宋体"/>
          <w:bCs/>
          <w:color w:val="0D0D0D" w:themeColor="text1" w:themeTint="F2"/>
          <w:sz w:val="24"/>
          <w14:textFill>
            <w14:solidFill>
              <w14:schemeClr w14:val="tx1">
                <w14:lumMod w14:val="95000"/>
                <w14:lumOff w14:val="5000"/>
              </w14:schemeClr>
            </w14:solidFill>
          </w14:textFill>
        </w:rPr>
        <w:t>：</w:t>
      </w:r>
      <w:r>
        <w:rPr>
          <w:rFonts w:hint="eastAsia" w:hAnsi="宋体"/>
          <w:b/>
          <w:bCs/>
          <w:color w:val="0D0D0D" w:themeColor="text1" w:themeTint="F2"/>
          <w:sz w:val="24"/>
          <w:u w:val="single"/>
          <w14:textFill>
            <w14:solidFill>
              <w14:schemeClr w14:val="tx1">
                <w14:lumMod w14:val="95000"/>
                <w14:lumOff w14:val="5000"/>
              </w14:schemeClr>
            </w14:solidFill>
          </w14:textFill>
        </w:rPr>
        <w:t>深铁珑境巡展活动服务</w:t>
      </w:r>
      <w:r>
        <w:rPr>
          <w:rFonts w:hint="eastAsia" w:ascii="宋体" w:hAnsi="宋体"/>
          <w:bCs/>
          <w:color w:val="0D0D0D" w:themeColor="text1" w:themeTint="F2"/>
          <w:sz w:val="24"/>
          <w14:textFill>
            <w14:solidFill>
              <w14:schemeClr w14:val="tx1">
                <w14:lumMod w14:val="95000"/>
                <w14:lumOff w14:val="5000"/>
              </w14:schemeClr>
            </w14:solidFill>
          </w14:textFill>
        </w:rPr>
        <w:t>（分正本及副本）封成一个单独包</w:t>
      </w:r>
      <w:r>
        <w:rPr>
          <w:rFonts w:ascii="宋体" w:hAnsi="宋体"/>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3</w:t>
      </w:r>
      <w:r>
        <w:rPr>
          <w:rFonts w:hint="eastAsia" w:ascii="宋体" w:hAnsi="宋体"/>
          <w:bCs/>
          <w:color w:val="0D0D0D" w:themeColor="text1" w:themeTint="F2"/>
          <w:sz w:val="24"/>
          <w14:textFill>
            <w14:solidFill>
              <w14:schemeClr w14:val="tx1">
                <w14:lumMod w14:val="95000"/>
                <w14:lumOff w14:val="5000"/>
              </w14:schemeClr>
            </w14:solidFill>
          </w14:textFill>
        </w:rPr>
        <w:t>、B包商务标文件</w:t>
      </w:r>
      <w:r>
        <w:rPr>
          <w:rFonts w:hint="eastAsia" w:hAnsi="宋体"/>
          <w:bCs/>
          <w:color w:val="0D0D0D" w:themeColor="text1" w:themeTint="F2"/>
          <w:sz w:val="24"/>
          <w14:textFill>
            <w14:solidFill>
              <w14:schemeClr w14:val="tx1">
                <w14:lumMod w14:val="95000"/>
                <w14:lumOff w14:val="5000"/>
              </w14:schemeClr>
            </w14:solidFill>
          </w14:textFill>
        </w:rPr>
        <w:t>：</w:t>
      </w:r>
      <w:r>
        <w:rPr>
          <w:rFonts w:hint="eastAsia" w:hAnsi="宋体"/>
          <w:b/>
          <w:bCs/>
          <w:color w:val="0D0D0D" w:themeColor="text1" w:themeTint="F2"/>
          <w:sz w:val="24"/>
          <w:u w:val="single"/>
          <w14:textFill>
            <w14:solidFill>
              <w14:schemeClr w14:val="tx1">
                <w14:lumMod w14:val="95000"/>
                <w14:lumOff w14:val="5000"/>
              </w14:schemeClr>
            </w14:solidFill>
          </w14:textFill>
        </w:rPr>
        <w:t>深铁璟城巡展活动服务</w:t>
      </w:r>
      <w:r>
        <w:rPr>
          <w:rFonts w:hint="eastAsia" w:ascii="宋体" w:hAnsi="宋体"/>
          <w:bCs/>
          <w:color w:val="0D0D0D" w:themeColor="text1" w:themeTint="F2"/>
          <w:sz w:val="24"/>
          <w14:textFill>
            <w14:solidFill>
              <w14:schemeClr w14:val="tx1">
                <w14:lumMod w14:val="95000"/>
                <w14:lumOff w14:val="5000"/>
              </w14:schemeClr>
            </w14:solidFill>
          </w14:textFill>
        </w:rPr>
        <w:t xml:space="preserve"> （分正本及副本）封成一个单独包；</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上述独立</w:t>
      </w:r>
      <w:r>
        <w:rPr>
          <w:rFonts w:ascii="宋体" w:hAnsi="宋体"/>
          <w:bCs/>
          <w:color w:val="0D0D0D" w:themeColor="text1" w:themeTint="F2"/>
          <w:sz w:val="24"/>
          <w14:textFill>
            <w14:solidFill>
              <w14:schemeClr w14:val="tx1">
                <w14:lumMod w14:val="95000"/>
                <w14:lumOff w14:val="5000"/>
              </w14:schemeClr>
            </w14:solidFill>
          </w14:textFill>
        </w:rPr>
        <w:t>封包的文件</w:t>
      </w:r>
      <w:r>
        <w:rPr>
          <w:rFonts w:hint="eastAsia" w:ascii="宋体" w:hAnsi="宋体"/>
          <w:bCs/>
          <w:color w:val="0D0D0D" w:themeColor="text1" w:themeTint="F2"/>
          <w:sz w:val="24"/>
          <w14:textFill>
            <w14:solidFill>
              <w14:schemeClr w14:val="tx1">
                <w14:lumMod w14:val="95000"/>
                <w14:lumOff w14:val="5000"/>
              </w14:schemeClr>
            </w14:solidFill>
          </w14:textFill>
        </w:rPr>
        <w:t>再统一封装成一大包，密封加盖参选人公章。封面上应注明以下相应标识：</w:t>
      </w:r>
    </w:p>
    <w:p>
      <w:pPr>
        <w:pStyle w:val="24"/>
        <w:tabs>
          <w:tab w:val="right" w:pos="9026"/>
        </w:tabs>
        <w:spacing w:line="360" w:lineRule="auto"/>
        <w:ind w:firstLine="482" w:firstLineChars="200"/>
        <w:rPr>
          <w:rFonts w:hAnsi="宋体"/>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w:t>
      </w:r>
      <w:r>
        <w:rPr>
          <w:rFonts w:hint="eastAsia" w:hAnsi="宋体"/>
          <w:b/>
          <w:bCs/>
          <w:color w:val="0D0D0D" w:themeColor="text1" w:themeTint="F2"/>
          <w:sz w:val="24"/>
          <w:u w:val="single"/>
          <w14:textFill>
            <w14:solidFill>
              <w14:schemeClr w14:val="tx1">
                <w14:lumMod w14:val="95000"/>
                <w14:lumOff w14:val="5000"/>
              </w14:schemeClr>
            </w14:solidFill>
          </w14:textFill>
        </w:rPr>
        <w:t>深铁珑境、深铁璟城巡展活动服务</w:t>
      </w:r>
      <w:r>
        <w:rPr>
          <w:rFonts w:hint="eastAsia" w:hAnsi="宋体"/>
          <w:b/>
          <w:bCs/>
          <w:color w:val="0D0D0D" w:themeColor="text1" w:themeTint="F2"/>
          <w:sz w:val="24"/>
          <w14:textFill>
            <w14:solidFill>
              <w14:schemeClr w14:val="tx1">
                <w14:lumMod w14:val="95000"/>
                <w14:lumOff w14:val="5000"/>
              </w14:schemeClr>
            </w14:solidFill>
          </w14:textFill>
        </w:rPr>
        <w:t>参选</w:t>
      </w:r>
      <w:r>
        <w:rPr>
          <w:rFonts w:hAnsi="宋体"/>
          <w:b/>
          <w:bCs/>
          <w:color w:val="0D0D0D" w:themeColor="text1" w:themeTint="F2"/>
          <w:sz w:val="24"/>
          <w14:textFill>
            <w14:solidFill>
              <w14:schemeClr w14:val="tx1">
                <w14:lumMod w14:val="95000"/>
                <w14:lumOff w14:val="5000"/>
              </w14:schemeClr>
            </w14:solidFill>
          </w14:textFill>
        </w:rPr>
        <w:t>文件</w:t>
      </w:r>
      <w:r>
        <w:rPr>
          <w:rFonts w:hint="eastAsia" w:hAnsi="宋体"/>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3" w:name="_Toc36527859"/>
      <w:bookmarkStart w:id="44" w:name="_Toc197404909"/>
      <w:bookmarkStart w:id="45" w:name="_Toc88680697"/>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3"/>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4"/>
      <w:bookmarkEnd w:id="45"/>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1.纸质版参选文件递交地点：地铁大厦智能评定中心</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2.电子版参选文件递交平台：深圳地铁智能招采系统</w:t>
      </w:r>
      <w:r>
        <w:rPr>
          <w:rFonts w:ascii="宋体" w:hAnsi="宋体"/>
          <w:color w:val="0D0D0D" w:themeColor="text1" w:themeTint="F2"/>
          <w:sz w:val="24"/>
          <w14:textFill>
            <w14:solidFill>
              <w14:schemeClr w14:val="tx1">
                <w14:lumMod w14:val="95000"/>
                <w14:lumOff w14:val="5000"/>
              </w14:schemeClr>
            </w14:solidFill>
          </w14:textFill>
        </w:rPr>
        <w:t>https://cg.shenzhenmc.com/szmccg/ananymous/jyzt/zc/gyszc</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纸质版</w:t>
      </w: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46" w:name="_Toc36527860"/>
    </w:p>
    <w:p>
      <w:pPr>
        <w:spacing w:line="480" w:lineRule="atLeast"/>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bookmarkEnd w:id="46"/>
    </w:p>
    <w:p>
      <w:pPr>
        <w:snapToGrid w:val="0"/>
        <w:spacing w:line="480" w:lineRule="atLeast"/>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rPr>
        <w:t>参选人在递交参选文件时应遵照工作人员的安排有秩序地进行。</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7" w:name="_Toc197404910"/>
      <w:bookmarkStart w:id="48" w:name="_Toc88680698"/>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47"/>
      <w:bookmarkEnd w:id="48"/>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9" w:name="_Toc197404911"/>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0" w:name="_Toc88680699"/>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49"/>
      <w:bookmarkEnd w:id="50"/>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五、经确认无误后，由比选人当众拆封参选文件，宣读参选人名称及价格等。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pStyle w:val="5"/>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51" w:name="_Toc88680700"/>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八</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51"/>
    </w:p>
    <w:p>
      <w:pPr>
        <w:spacing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52" w:name="_Toc197404913"/>
      <w:bookmarkStart w:id="53" w:name="_Toc434234592"/>
      <w:bookmarkStart w:id="54" w:name="_Toc88680701"/>
      <w:bookmarkStart w:id="55" w:name="_Toc290560899"/>
      <w:bookmarkStart w:id="56" w:name="_Toc388259588"/>
      <w:bookmarkStart w:id="57" w:name="_Toc197404912"/>
      <w:r>
        <w:rPr>
          <w:rFonts w:hint="eastAsia" w:ascii="宋体" w:hAnsi="宋体"/>
          <w:b/>
          <w:bCs/>
          <w:color w:val="0D0D0D" w:themeColor="text1" w:themeTint="F2"/>
          <w:sz w:val="24"/>
          <w:szCs w:val="24"/>
          <w14:textFill>
            <w14:solidFill>
              <w14:schemeClr w14:val="tx1">
                <w14:lumMod w14:val="95000"/>
                <w14:lumOff w14:val="5000"/>
              </w14:schemeClr>
            </w14:solidFill>
          </w14:textFill>
        </w:rPr>
        <w:t>一、开标完成结束后，进入评标环节。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评标委员会由比选人组建，采用“综合评估法”，先评技术标，再评商务标，满分为100分，其中：技术标70分，商务标30分。评标方法及评分标准详见附件《评标办法》。</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pStyle w:val="115"/>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评标分2个阶段进行，先评技术标，再评商务标。</w:t>
      </w:r>
    </w:p>
    <w:p>
      <w:pPr>
        <w:pStyle w:val="115"/>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bCs/>
          <w:sz w:val="24"/>
          <w:szCs w:val="24"/>
        </w:rPr>
        <w:t>技术标初步审查完成后，参选人对参选人的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技术标书进行详细评审，完成技术标详细评审表（详见评标附表）。</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经评审后，技术标得分前</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名的有效参选人进入下一阶段商务标的评审（若出现得分并列导致大于</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家的情况，则并列的有效参选人共同进入下一阶段商务标的评审）。</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 w:val="24"/>
          <w:szCs w:val="24"/>
        </w:rPr>
        <w:t>技术标评审结束后，</w:t>
      </w:r>
      <w:r>
        <w:rPr>
          <w:rFonts w:hint="eastAsia" w:ascii="宋体" w:hAnsi="宋体"/>
          <w:color w:val="0D0D0D" w:themeColor="text1" w:themeTint="F2"/>
          <w:sz w:val="24"/>
          <w:szCs w:val="24"/>
          <w14:textFill>
            <w14:solidFill>
              <w14:schemeClr w14:val="tx1">
                <w14:lumMod w14:val="95000"/>
                <w14:lumOff w14:val="5000"/>
              </w14:schemeClr>
            </w14:solidFill>
          </w14:textFill>
        </w:rPr>
        <w:t>将商务标书移交评标委员会，评标委员会按深铁珑境—深铁璟城的评审顺序进行商务标评审，汇总各包各参选人技术标及商务标分值。</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评标委员会对A包的商务标部分进行初步评审（有效性审查），只有通过初步评审的商务标文件才有资格进入下一步的详细评审。经A包商务标初步审查，评标委员会作出无效标或者废标处理，致有效参选人不足3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A包商务标分数计算完毕后，汇总各参选人技术标及商务标分值，评委按照参选人的最终得分值由高到低排列名次。推荐排名第一的参选人为A包的中选候选人。</w:t>
      </w:r>
    </w:p>
    <w:p>
      <w:pPr>
        <w:tabs>
          <w:tab w:val="left" w:pos="993"/>
        </w:tabs>
        <w:spacing w:line="360" w:lineRule="auto"/>
        <w:ind w:firstLine="480" w:firstLineChars="200"/>
        <w:rPr>
          <w:rFonts w:ascii="宋体" w:hAnsi="宋体"/>
          <w:color w:val="0D0D0D" w:themeColor="text1" w:themeTint="F2"/>
          <w:sz w:val="24"/>
          <w:szCs w:val="24"/>
          <w:highlight w:val="yellow"/>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评标委员会对B包的商务标部分进行初步评审（有效性审查），A包的中选候选人不再参与B包的商务标评审。只有通过初步评审的商务标文件才有资格进入下一步的详细评审。经B包商务标初步审查，若B包商务标初步评审后参选人不足三家，则根据技术标得分，从排名第5名的参选人起由高至低进行商务标递补，若递补后仍然不足3家，则比选人宣布本次B包比选失败（A包结果仍有效），重新组织B包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详细评审环节：评标委员会对参选人的商务标进行评审，按照商务标计算公式，完成商务标分数计算。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若各参选人的报价，如出现税率不一致的情况，则以不含税总价作为参选人的报价进行计算；若税率一致，则以含税总价作为参选人的报价进行计算。</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最终，评委针对各包分别推荐一名中选候选人，共2名中选候选人，并形成评标报告。</w:t>
      </w:r>
    </w:p>
    <w:p>
      <w:pPr>
        <w:pStyle w:val="205"/>
        <w:tabs>
          <w:tab w:val="left" w:pos="993"/>
        </w:tabs>
        <w:spacing w:line="360" w:lineRule="auto"/>
        <w:ind w:firstLine="424" w:firstLineChars="177"/>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p>
    <w:p>
      <w:pP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52"/>
      <w:bookmarkEnd w:id="53"/>
      <w:bookmarkEnd w:id="54"/>
      <w:bookmarkEnd w:id="55"/>
      <w:bookmarkEnd w:id="56"/>
    </w:p>
    <w:p>
      <w:pPr>
        <w:pStyle w:val="24"/>
        <w:adjustRightInd/>
        <w:snapToGrid w:val="0"/>
        <w:spacing w:line="480" w:lineRule="atLeast"/>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8" w:name="_Toc88680702"/>
      <w:r>
        <w:rPr>
          <w:rFonts w:hint="eastAsia" w:ascii="宋体" w:hAnsi="宋体" w:eastAsia="宋体"/>
          <w:b/>
          <w:bCs/>
          <w:color w:val="0D0D0D" w:themeColor="text1" w:themeTint="F2"/>
          <w14:textFill>
            <w14:solidFill>
              <w14:schemeClr w14:val="tx1">
                <w14:lumMod w14:val="95000"/>
                <w14:lumOff w14:val="5000"/>
              </w14:schemeClr>
            </w14:solidFill>
          </w14:textFill>
        </w:rPr>
        <w:t>第十章  合同的授予</w:t>
      </w:r>
      <w:bookmarkEnd w:id="58"/>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三、中选人如不按规定与比选人签订合同</w:t>
      </w:r>
      <w:r>
        <w:rPr>
          <w:rFonts w:ascii="宋体" w:hAnsi="宋体"/>
          <w:color w:val="0D0D0D" w:themeColor="text1" w:themeTint="F2"/>
          <w:sz w:val="24"/>
          <w14:textFill>
            <w14:solidFill>
              <w14:schemeClr w14:val="tx1">
                <w14:lumMod w14:val="95000"/>
                <w14:lumOff w14:val="5000"/>
              </w14:schemeClr>
            </w14:solidFill>
          </w14:textFill>
        </w:rPr>
        <w:t>，或在合同履行过程中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w:t>
      </w:r>
      <w:r>
        <w:rPr>
          <w:rFonts w:hint="eastAsia" w:ascii="宋体" w:hAnsi="宋体"/>
          <w:color w:val="0D0D0D" w:themeColor="text1" w:themeTint="F2"/>
          <w:sz w:val="24"/>
          <w14:textFill>
            <w14:solidFill>
              <w14:schemeClr w14:val="tx1">
                <w14:lumMod w14:val="95000"/>
                <w14:lumOff w14:val="5000"/>
              </w14:schemeClr>
            </w14:solidFill>
          </w14:textFill>
        </w:rPr>
        <w:t>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、本项目</w:t>
      </w:r>
      <w:r>
        <w:rPr>
          <w:rFonts w:hint="eastAsia" w:ascii="宋体" w:hAnsi="宋体"/>
          <w:color w:val="0D0D0D" w:themeColor="text1" w:themeTint="F2"/>
          <w:sz w:val="24"/>
          <w14:textFill>
            <w14:solidFill>
              <w14:schemeClr w14:val="tx1">
                <w14:lumMod w14:val="95000"/>
                <w14:lumOff w14:val="5000"/>
              </w14:schemeClr>
            </w14:solidFill>
          </w14:textFill>
        </w:rPr>
        <w:t>根据</w:t>
      </w:r>
      <w:r>
        <w:rPr>
          <w:rFonts w:ascii="宋体" w:hAnsi="宋体"/>
          <w:color w:val="0D0D0D" w:themeColor="text1" w:themeTint="F2"/>
          <w:sz w:val="24"/>
          <w14:textFill>
            <w14:solidFill>
              <w14:schemeClr w14:val="tx1">
                <w14:lumMod w14:val="95000"/>
                <w14:lumOff w14:val="5000"/>
              </w14:schemeClr>
            </w14:solidFill>
          </w14:textFill>
        </w:rPr>
        <w:t>项目不同，分</w:t>
      </w:r>
      <w:r>
        <w:rPr>
          <w:rFonts w:hint="eastAsia" w:ascii="宋体" w:hAnsi="宋体"/>
          <w:color w:val="0D0D0D" w:themeColor="text1" w:themeTint="F2"/>
          <w:sz w:val="24"/>
          <w14:textFill>
            <w14:solidFill>
              <w14:schemeClr w14:val="tx1">
                <w14:lumMod w14:val="95000"/>
                <w14:lumOff w14:val="5000"/>
              </w14:schemeClr>
            </w14:solidFill>
          </w14:textFill>
        </w:rPr>
        <w:t>项目分别</w:t>
      </w:r>
      <w:r>
        <w:rPr>
          <w:rFonts w:ascii="宋体" w:hAnsi="宋体"/>
          <w:color w:val="0D0D0D" w:themeColor="text1" w:themeTint="F2"/>
          <w:sz w:val="24"/>
          <w14:textFill>
            <w14:solidFill>
              <w14:schemeClr w14:val="tx1">
                <w14:lumMod w14:val="95000"/>
                <w14:lumOff w14:val="5000"/>
              </w14:schemeClr>
            </w14:solidFill>
          </w14:textFill>
        </w:rPr>
        <w:t>签订合同。</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sz w:val="40"/>
          <w:szCs w:val="24"/>
          <w14:textFill>
            <w14:solidFill>
              <w14:schemeClr w14:val="tx1">
                <w14:lumMod w14:val="95000"/>
                <w14:lumOff w14:val="5000"/>
              </w14:schemeClr>
            </w14:solidFill>
          </w14:textFill>
        </w:rPr>
      </w:pPr>
      <w:bookmarkStart w:id="59" w:name="_Toc88680703"/>
      <w:bookmarkStart w:id="60" w:name="_Toc399494429"/>
      <w:r>
        <w:rPr>
          <w:rFonts w:hint="eastAsia" w:ascii="宋体" w:hAnsi="宋体" w:eastAsia="宋体"/>
          <w:b/>
          <w:bCs/>
          <w:color w:val="0D0D0D" w:themeColor="text1" w:themeTint="F2"/>
          <w:sz w:val="40"/>
          <w:szCs w:val="24"/>
          <w14:textFill>
            <w14:solidFill>
              <w14:schemeClr w14:val="tx1">
                <w14:lumMod w14:val="95000"/>
                <w14:lumOff w14:val="5000"/>
              </w14:schemeClr>
            </w14:solidFill>
          </w14:textFill>
        </w:rPr>
        <w:t>附件</w:t>
      </w:r>
      <w:bookmarkEnd w:id="59"/>
    </w:p>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61" w:name="_Toc88680704"/>
      <w:r>
        <w:rPr>
          <w:rFonts w:hint="eastAsia" w:ascii="宋体" w:hAnsi="宋体"/>
          <w:b w:val="0"/>
          <w:color w:val="0D0D0D" w:themeColor="text1" w:themeTint="F2"/>
          <w:sz w:val="44"/>
          <w:szCs w:val="44"/>
          <w14:textFill>
            <w14:solidFill>
              <w14:schemeClr w14:val="tx1">
                <w14:lumMod w14:val="95000"/>
                <w14:lumOff w14:val="5000"/>
              </w14:schemeClr>
            </w14:solidFill>
          </w14:textFill>
        </w:rPr>
        <w:t>第一篇 评标</w:t>
      </w:r>
      <w:bookmarkEnd w:id="60"/>
      <w:r>
        <w:rPr>
          <w:rFonts w:hint="eastAsia" w:ascii="宋体" w:hAnsi="宋体"/>
          <w:b w:val="0"/>
          <w:color w:val="0D0D0D" w:themeColor="text1" w:themeTint="F2"/>
          <w:sz w:val="44"/>
          <w:szCs w:val="44"/>
          <w14:textFill>
            <w14:solidFill>
              <w14:schemeClr w14:val="tx1">
                <w14:lumMod w14:val="95000"/>
                <w14:lumOff w14:val="5000"/>
              </w14:schemeClr>
            </w14:solidFill>
          </w14:textFill>
        </w:rPr>
        <w:t>办法</w:t>
      </w:r>
      <w:bookmarkEnd w:id="61"/>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2" w:name="_Toc88680705"/>
      <w:bookmarkStart w:id="63" w:name="_Toc276575939"/>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62"/>
      <w:bookmarkEnd w:id="63"/>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4" w:name="_Toc88680706"/>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64"/>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评标委员会由7</w:t>
      </w:r>
      <w:r>
        <w:rPr>
          <w:rFonts w:ascii="宋体" w:hAnsi="宋体"/>
          <w:color w:val="0D0D0D" w:themeColor="text1" w:themeTint="F2"/>
          <w:sz w:val="24"/>
          <w14:textFill>
            <w14:solidFill>
              <w14:schemeClr w14:val="tx1">
                <w14:lumMod w14:val="95000"/>
                <w14:lumOff w14:val="5000"/>
              </w14:schemeClr>
            </w14:solidFill>
          </w14:textFill>
        </w:rPr>
        <w:t>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5" w:name="_Toc88680707"/>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65"/>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（一）本次评标采用“综合评估法”</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sz w:val="24"/>
          <w:szCs w:val="24"/>
        </w:rPr>
        <w:t>先评技术标，再评商务标，满分为100分，其中：技术标70分，商务标30分。</w:t>
      </w:r>
    </w:p>
    <w:p>
      <w:pPr>
        <w:spacing w:line="360" w:lineRule="auto"/>
        <w:ind w:firstLine="480" w:firstLineChars="200"/>
        <w:rPr>
          <w:rFonts w:ascii="宋体" w:hAnsi="宋体"/>
          <w:sz w:val="24"/>
        </w:rPr>
      </w:pPr>
      <w:r>
        <w:rPr>
          <w:rFonts w:hint="eastAsia" w:ascii="宋体" w:hAnsi="宋体"/>
          <w:sz w:val="24"/>
        </w:rPr>
        <w:t>本项目“一标两包”（A包和B包）</w:t>
      </w:r>
    </w:p>
    <w:p>
      <w:pPr>
        <w:spacing w:line="360" w:lineRule="auto"/>
        <w:ind w:firstLine="480" w:firstLineChars="200"/>
        <w:rPr>
          <w:rFonts w:ascii="宋体" w:hAnsi="宋体"/>
          <w:bCs/>
          <w:color w:val="0D0D0D" w:themeColor="text1" w:themeTint="F2"/>
          <w:kern w:val="0"/>
          <w:sz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14:textFill>
            <w14:solidFill>
              <w14:schemeClr w14:val="tx1">
                <w14:lumMod w14:val="95000"/>
                <w14:lumOff w14:val="5000"/>
              </w14:schemeClr>
            </w14:solidFill>
          </w14:textFill>
        </w:rPr>
        <w:t xml:space="preserve">A包：深铁珑境巡展活动服务； </w:t>
      </w:r>
    </w:p>
    <w:p>
      <w:pPr>
        <w:spacing w:line="360" w:lineRule="auto"/>
        <w:ind w:firstLine="480" w:firstLineChars="200"/>
        <w:rPr>
          <w:rFonts w:ascii="宋体" w:hAnsi="宋体"/>
          <w:bCs/>
          <w:color w:val="0D0D0D" w:themeColor="text1" w:themeTint="F2"/>
          <w:kern w:val="0"/>
          <w:sz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14:textFill>
            <w14:solidFill>
              <w14:schemeClr w14:val="tx1">
                <w14:lumMod w14:val="95000"/>
                <w14:lumOff w14:val="5000"/>
              </w14:schemeClr>
            </w14:solidFill>
          </w14:textFill>
        </w:rPr>
        <w:t xml:space="preserve">B包：深铁璟城巡展活动服务； </w:t>
      </w:r>
    </w:p>
    <w:p>
      <w:pPr>
        <w:spacing w:line="360" w:lineRule="auto"/>
        <w:ind w:firstLine="480" w:firstLineChars="200"/>
        <w:rPr>
          <w:rFonts w:ascii="宋体" w:hAnsi="宋体"/>
          <w:bCs/>
          <w:sz w:val="24"/>
          <w:szCs w:val="24"/>
        </w:rPr>
      </w:pPr>
      <w:r>
        <w:rPr>
          <w:rFonts w:hint="eastAsia" w:ascii="宋体" w:hAnsi="宋体"/>
          <w:sz w:val="24"/>
          <w:szCs w:val="24"/>
        </w:rPr>
        <w:t>评标委员会先</w:t>
      </w:r>
      <w:r>
        <w:rPr>
          <w:rFonts w:hint="eastAsia" w:ascii="宋体" w:hAnsi="宋体"/>
          <w:b/>
          <w:sz w:val="24"/>
          <w:szCs w:val="24"/>
        </w:rPr>
        <w:t>按照技术标评分标准对各参选人技术文件进行打分，各评委评分的算术平均值为该参选人技术标得分。</w:t>
      </w:r>
    </w:p>
    <w:p>
      <w:pPr>
        <w:spacing w:line="360" w:lineRule="auto"/>
        <w:ind w:firstLine="480" w:firstLineChars="200"/>
        <w:rPr>
          <w:rFonts w:ascii="宋体" w:hAnsi="宋体"/>
          <w:sz w:val="24"/>
          <w:szCs w:val="24"/>
        </w:rPr>
      </w:pPr>
      <w:r>
        <w:rPr>
          <w:rFonts w:hint="eastAsia" w:ascii="宋体" w:hAnsi="宋体"/>
          <w:sz w:val="24"/>
          <w:szCs w:val="24"/>
        </w:rPr>
        <w:t>然</w:t>
      </w:r>
      <w:r>
        <w:rPr>
          <w:rFonts w:hint="eastAsia" w:ascii="宋体" w:hAnsi="宋体"/>
          <w:b/>
          <w:sz w:val="24"/>
          <w:szCs w:val="24"/>
        </w:rPr>
        <w:t>后技术标得分前4名进入商务标评审环节。评标委员会按A包-B包的顺序，按照商务标计算公式对各参选人商务报价进行评分，最后按顺序汇总各包参选人技术及商务标得分，</w:t>
      </w:r>
      <w:r>
        <w:rPr>
          <w:rFonts w:hint="eastAsia" w:ascii="宋体" w:hAnsi="宋体"/>
          <w:sz w:val="24"/>
          <w:szCs w:val="24"/>
        </w:rPr>
        <w:t>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最终，评委针对两个标包分别推荐一名中选候选人，共2名中选候选人。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pStyle w:val="115"/>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评标分2阶段进行，先评技术标，再评商务标。</w:t>
      </w:r>
    </w:p>
    <w:p>
      <w:pPr>
        <w:pStyle w:val="115"/>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若合格参选人少于4家，</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bCs/>
          <w:sz w:val="24"/>
          <w:szCs w:val="24"/>
        </w:rPr>
        <w:t>技术标初步审查完成后，参选人对参选人的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技术标书进行详细评审，完成技术标详细评审表（详见评标附表）。</w:t>
      </w:r>
    </w:p>
    <w:p>
      <w:pPr>
        <w:pStyle w:val="115"/>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经评审后，技术标得分前4名的有效参选人进入下一阶段商务标的评审（若出现得分并列导致大于4家的情况，则并列的有效参选人共同进入下一阶段商务标的评审）。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 w:val="24"/>
          <w:szCs w:val="24"/>
        </w:rPr>
        <w:t>技术标评审结束后，</w:t>
      </w:r>
      <w:r>
        <w:rPr>
          <w:rFonts w:hint="eastAsia" w:ascii="宋体" w:hAnsi="宋体"/>
          <w:color w:val="0D0D0D" w:themeColor="text1" w:themeTint="F2"/>
          <w:sz w:val="24"/>
          <w:szCs w:val="24"/>
          <w14:textFill>
            <w14:solidFill>
              <w14:schemeClr w14:val="tx1">
                <w14:lumMod w14:val="95000"/>
                <w14:lumOff w14:val="5000"/>
              </w14:schemeClr>
            </w14:solidFill>
          </w14:textFill>
        </w:rPr>
        <w:t>将商务标书移交评标委员会，评标委员会按A包深铁珑境—B包深铁璟城的评审顺序进行商务标评审，汇总各包各参选人技术标及商务标分值。</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评标委员会对A包的商务标部分进行初步评审（有效性审查），只有通过初步评审的商务标文件才有资格进入下一步的详细评审。经A包商务标初步审查，评标委员会作出无效标或者废标处理，致有效参选人不足3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A包商务标分数计算完毕后，汇总各参选人技术标及商务标分值，评委按照参选人的最终得分值由高到低排列名次。推荐排名第一的参选人为A包的中选候选人。</w:t>
      </w:r>
    </w:p>
    <w:p>
      <w:pPr>
        <w:tabs>
          <w:tab w:val="left" w:pos="993"/>
        </w:tabs>
        <w:spacing w:line="360" w:lineRule="auto"/>
        <w:ind w:firstLine="480" w:firstLineChars="200"/>
        <w:rPr>
          <w:rFonts w:ascii="宋体" w:hAnsi="宋体"/>
          <w:color w:val="0D0D0D" w:themeColor="text1" w:themeTint="F2"/>
          <w:sz w:val="24"/>
          <w:szCs w:val="24"/>
          <w:highlight w:val="yellow"/>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评标委员会对B包的商务标部分进行初步评审（有效性审查），A包的中选候选人不再参与B包的商务标评审。只有通过初步评审的商务标文件才有资格进入下一步的详细评审。经B包商务标初步审查，若B包商务标初步评审后参选人不足三家，则根据技术标得分，从排名第5名的参选人起由高至低进行商务标递补，若递补后仍然不足3家，则比选人宣布本次B包比选失败（A包结果仍有效），重新组织B包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详细评审环节：评标委员会对参选人的商务标进行评审，按照商务标计算公式，完成商务标分数计算。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若各参选人的报价，如出现税率不一致的情况，则以不含税总价作为参选人的报价进行计算；若税率一致，则以含税总价作为参选人的报价进行计算。</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最终，评委针对各包分别推荐一名中选候选人，共2名中选候选人，并形成评标报告。</w:t>
      </w:r>
    </w:p>
    <w:p>
      <w:pPr>
        <w:pStyle w:val="205"/>
        <w:numPr>
          <w:ilvl w:val="0"/>
          <w:numId w:val="3"/>
        </w:numPr>
        <w:tabs>
          <w:tab w:val="left" w:pos="993"/>
        </w:tabs>
        <w:spacing w:line="360" w:lineRule="auto"/>
        <w:ind w:left="537" w:hanging="58" w:firstLineChars="0"/>
        <w:rPr>
          <w:rFonts w:ascii="宋体" w:hAnsi="宋体"/>
          <w:sz w:val="24"/>
          <w:szCs w:val="24"/>
        </w:rPr>
      </w:pP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p>
    <w:p>
      <w:pPr>
        <w:pStyle w:val="205"/>
        <w:tabs>
          <w:tab w:val="left" w:pos="993"/>
        </w:tabs>
        <w:spacing w:line="360" w:lineRule="auto"/>
        <w:ind w:left="536" w:firstLine="0" w:firstLineChars="0"/>
        <w:rPr>
          <w:rFonts w:ascii="宋体" w:hAnsi="宋体"/>
          <w:sz w:val="24"/>
          <w:szCs w:val="24"/>
        </w:rPr>
      </w:pPr>
      <w:r>
        <w:rPr>
          <w:rFonts w:ascii="宋体" w:hAnsi="宋体"/>
          <w:sz w:val="24"/>
          <w:szCs w:val="24"/>
        </w:rPr>
        <w:t>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p>
    <w:p>
      <w:pPr>
        <w:spacing w:line="360" w:lineRule="auto"/>
        <w:ind w:firstLine="480" w:firstLineChars="200"/>
        <w:rPr>
          <w:rFonts w:ascii="宋体" w:hAnsi="宋体"/>
          <w:sz w:val="24"/>
          <w:szCs w:val="24"/>
        </w:rPr>
      </w:pPr>
      <w:r>
        <w:rPr>
          <w:rFonts w:hint="eastAsia" w:ascii="宋体" w:hAnsi="宋体"/>
          <w:sz w:val="24"/>
          <w:szCs w:val="24"/>
        </w:rPr>
        <w:t>商务标初步审查后，评标委员会按照商务标计算公式，完成商务标分数计算。</w:t>
      </w:r>
    </w:p>
    <w:p>
      <w:pPr>
        <w:spacing w:line="360" w:lineRule="auto"/>
        <w:ind w:firstLine="520" w:firstLineChars="217"/>
        <w:rPr>
          <w:rFonts w:ascii="宋体" w:hAnsi="宋体" w:cs="宋体"/>
          <w:kern w:val="0"/>
          <w:sz w:val="24"/>
          <w:szCs w:val="24"/>
        </w:rPr>
      </w:pPr>
      <w:r>
        <w:rPr>
          <w:rFonts w:hint="eastAsia" w:ascii="宋体" w:hAnsi="宋体" w:cs="宋体"/>
          <w:kern w:val="0"/>
          <w:sz w:val="24"/>
          <w:szCs w:val="24"/>
        </w:rPr>
        <w:t>若各参选人的报价，如出现税率不一致的情况，则以不含税总价作为参选人的报价进</w:t>
      </w:r>
    </w:p>
    <w:p>
      <w:pPr>
        <w:spacing w:line="360" w:lineRule="auto"/>
        <w:ind w:firstLine="520" w:firstLineChars="217"/>
        <w:rPr>
          <w:rFonts w:ascii="宋体" w:hAnsi="宋体" w:cs="宋体"/>
          <w:kern w:val="0"/>
          <w:sz w:val="24"/>
          <w:szCs w:val="24"/>
        </w:rPr>
      </w:pPr>
      <w:r>
        <w:rPr>
          <w:rFonts w:hint="eastAsia" w:ascii="宋体" w:hAnsi="宋体" w:cs="宋体"/>
          <w:kern w:val="0"/>
          <w:sz w:val="24"/>
          <w:szCs w:val="24"/>
        </w:rPr>
        <w:t>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hint="eastAsia" w:ascii="宋体" w:hAnsi="宋体"/>
          <w:sz w:val="24"/>
          <w:szCs w:val="24"/>
        </w:rPr>
        <w:t>其他情况均按照价格审核计算后，以不利于参选人的原则予以调整。</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6" w:name="_Toc88680708"/>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66"/>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资格评审</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s="Arial"/>
          <w:snapToGrid w:val="0"/>
          <w:kern w:val="0"/>
          <w:sz w:val="24"/>
          <w:szCs w:val="24"/>
        </w:rPr>
        <w:t>技术标及商务标初步评审及详细标准详见附件</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7" w:name="_Toc88680709"/>
      <w:r>
        <w:rPr>
          <w:rFonts w:hint="eastAsia" w:ascii="宋体" w:hAnsi="宋体"/>
          <w:bCs/>
          <w:color w:val="0D0D0D" w:themeColor="text1" w:themeTint="F2"/>
          <w:sz w:val="24"/>
          <w14:textFill>
            <w14:solidFill>
              <w14:schemeClr w14:val="tx1">
                <w14:lumMod w14:val="95000"/>
                <w14:lumOff w14:val="5000"/>
              </w14:schemeClr>
            </w14:solidFill>
          </w14:textFill>
        </w:rPr>
        <w:t>五、中选价确定原则</w:t>
      </w:r>
      <w:bookmarkEnd w:id="67"/>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 xml:space="preserve"> 中选人针对相应包的总报价即为该包的中选价。</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8" w:name="_Toc88680710"/>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68"/>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比选人在评标工作结束后，将根据评标委员会提交的评标报告，对推荐的中选候选人进行参选文件审核，确定各包的中选人。</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9" w:name="_Toc88680711"/>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69"/>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70" w:name="_Toc399494430"/>
      <w:bookmarkStart w:id="71" w:name="_Toc17781"/>
      <w:bookmarkStart w:id="72" w:name="_Toc5323"/>
      <w:bookmarkStart w:id="73" w:name="_Toc16508"/>
    </w:p>
    <w:p>
      <w:pPr>
        <w:spacing w:line="360" w:lineRule="auto"/>
        <w:ind w:firstLine="600" w:firstLineChars="249"/>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3"/>
      <w:bookmarkEnd w:id="4"/>
      <w:bookmarkEnd w:id="5"/>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57"/>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74" w:name="_Toc399494431"/>
      <w:r>
        <w:rPr>
          <w:rFonts w:hint="eastAsia" w:ascii="宋体" w:hAnsi="宋体"/>
          <w:b/>
          <w:color w:val="0D0D0D" w:themeColor="text1" w:themeTint="F2"/>
          <w:sz w:val="24"/>
          <w14:textFill>
            <w14:solidFill>
              <w14:schemeClr w14:val="tx1">
                <w14:lumMod w14:val="95000"/>
                <w14:lumOff w14:val="5000"/>
              </w14:schemeClr>
            </w14:solidFill>
          </w14:textFill>
        </w:rPr>
        <w:t>附表1：</w:t>
      </w:r>
      <w:bookmarkEnd w:id="70"/>
      <w:bookmarkEnd w:id="71"/>
      <w:bookmarkEnd w:id="72"/>
      <w:bookmarkEnd w:id="73"/>
      <w:bookmarkEnd w:id="74"/>
      <w:r>
        <w:rPr>
          <w:rFonts w:hint="eastAsia" w:ascii="宋体" w:hAnsi="宋体"/>
          <w:b/>
          <w:bCs/>
          <w:color w:val="0D0D0D" w:themeColor="text1" w:themeTint="F2"/>
          <w:sz w:val="24"/>
          <w14:textFill>
            <w14:solidFill>
              <w14:schemeClr w14:val="tx1">
                <w14:lumMod w14:val="95000"/>
                <w14:lumOff w14:val="5000"/>
              </w14:schemeClr>
            </w14:solidFill>
          </w14:textFill>
        </w:rPr>
        <w:t>参选人签到表</w:t>
      </w:r>
    </w:p>
    <w:p>
      <w:pPr>
        <w:spacing w:line="480" w:lineRule="atLeast"/>
        <w:ind w:firstLine="597" w:firstLineChars="249"/>
        <w:rPr>
          <w:rFonts w:ascii="宋体" w:hAnsi="宋体"/>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480" w:lineRule="atLeast"/>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8"/>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sectPr>
          <w:headerReference r:id="rId3" w:type="default"/>
          <w:footerReference r:id="rId4" w:type="default"/>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比选项目名称：深铁珑境、深铁璟城巡展活动服务</w:t>
      </w:r>
    </w:p>
    <w:tbl>
      <w:tblPr>
        <w:tblStyle w:val="48"/>
        <w:tblpPr w:leftFromText="180" w:rightFromText="180" w:vertAnchor="text" w:horzAnchor="page" w:tblpX="1626" w:tblpY="2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3783"/>
        <w:gridCol w:w="1046"/>
        <w:gridCol w:w="2377"/>
        <w:gridCol w:w="2236"/>
        <w:gridCol w:w="2097"/>
        <w:gridCol w:w="1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0" w:type="dxa"/>
            <w:vMerge w:val="restart"/>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序号</w:t>
            </w:r>
          </w:p>
        </w:tc>
        <w:tc>
          <w:tcPr>
            <w:tcW w:w="3783" w:type="dxa"/>
            <w:vMerge w:val="restart"/>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项目</w:t>
            </w:r>
          </w:p>
        </w:tc>
        <w:tc>
          <w:tcPr>
            <w:tcW w:w="9725" w:type="dxa"/>
            <w:gridSpan w:val="5"/>
            <w:shd w:val="clear" w:color="auto" w:fill="auto"/>
            <w:vAlign w:val="center"/>
          </w:tcPr>
          <w:p>
            <w:pPr>
              <w:widowControl/>
              <w:jc w:val="center"/>
              <w:rPr>
                <w:color w:val="0D0D0D" w:themeColor="text1" w:themeTint="F2"/>
                <w:sz w:val="16"/>
                <w:szCs w:val="15"/>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参选</w:t>
            </w:r>
            <w:r>
              <w:rPr>
                <w:rFonts w:ascii="宋体" w:hAnsi="宋体" w:cs="宋体"/>
                <w:b/>
                <w:color w:val="0D0D0D" w:themeColor="text1" w:themeTint="F2"/>
                <w:kern w:val="0"/>
                <w:sz w:val="20"/>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0" w:type="dxa"/>
            <w:vMerge w:val="continue"/>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3783" w:type="dxa"/>
            <w:vMerge w:val="continue"/>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046" w:type="dxa"/>
            <w:vAlign w:val="center"/>
          </w:tcPr>
          <w:p>
            <w:pPr>
              <w:widowControl/>
              <w:jc w:val="center"/>
              <w:rPr>
                <w:rFonts w:ascii="宋体" w:hAnsi="宋体" w:cs="宋体"/>
                <w:b/>
                <w:bCs/>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0"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1</w:t>
            </w:r>
          </w:p>
        </w:tc>
        <w:tc>
          <w:tcPr>
            <w:tcW w:w="3783"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r>
              <w:rPr>
                <w:rFonts w:hint="eastAsia" w:ascii="宋体" w:hAnsi="宋体"/>
                <w:color w:val="0D0D0D" w:themeColor="text1" w:themeTint="F2"/>
                <w:sz w:val="20"/>
                <w14:textFill>
                  <w14:solidFill>
                    <w14:schemeClr w14:val="tx1">
                      <w14:lumMod w14:val="95000"/>
                      <w14:lumOff w14:val="5000"/>
                    </w14:schemeClr>
                  </w14:solidFill>
                </w14:textFill>
              </w:rPr>
              <w:t>参选文件在截止时间前送达指定地点</w:t>
            </w:r>
          </w:p>
        </w:tc>
        <w:tc>
          <w:tcPr>
            <w:tcW w:w="1046"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0"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2</w:t>
            </w:r>
          </w:p>
        </w:tc>
        <w:tc>
          <w:tcPr>
            <w:tcW w:w="3783" w:type="dxa"/>
            <w:vAlign w:val="center"/>
          </w:tcPr>
          <w:p>
            <w:pPr>
              <w:widowControl/>
              <w:jc w:val="center"/>
              <w:rPr>
                <w:rFonts w:ascii="宋体" w:hAnsi="宋体"/>
                <w:bCs/>
                <w:color w:val="0D0D0D" w:themeColor="text1" w:themeTint="F2"/>
                <w:sz w:val="16"/>
                <w14:textFill>
                  <w14:solidFill>
                    <w14:schemeClr w14:val="tx1">
                      <w14:lumMod w14:val="95000"/>
                      <w14:lumOff w14:val="5000"/>
                    </w14:schemeClr>
                  </w14:solidFill>
                </w14:textFill>
              </w:rPr>
            </w:pPr>
            <w:r>
              <w:rPr>
                <w:rFonts w:hint="eastAsia" w:ascii="宋体" w:hAnsi="宋体"/>
                <w:bCs/>
                <w:color w:val="0D0D0D" w:themeColor="text1" w:themeTint="F2"/>
                <w:sz w:val="20"/>
                <w14:textFill>
                  <w14:solidFill>
                    <w14:schemeClr w14:val="tx1">
                      <w14:lumMod w14:val="95000"/>
                      <w14:lumOff w14:val="5000"/>
                    </w14:schemeClr>
                  </w14:solidFill>
                </w14:textFill>
              </w:rPr>
              <w:t>参选文件按规定密封</w:t>
            </w:r>
          </w:p>
        </w:tc>
        <w:tc>
          <w:tcPr>
            <w:tcW w:w="104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50" w:type="dxa"/>
            <w:vMerge w:val="restart"/>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ascii="宋体" w:hAnsi="宋体" w:cs="宋体"/>
                <w:b/>
                <w:color w:val="0D0D0D" w:themeColor="text1" w:themeTint="F2"/>
                <w:kern w:val="0"/>
                <w:sz w:val="20"/>
                <w14:textFill>
                  <w14:solidFill>
                    <w14:schemeClr w14:val="tx1">
                      <w14:lumMod w14:val="95000"/>
                      <w14:lumOff w14:val="5000"/>
                    </w14:schemeClr>
                  </w14:solidFill>
                </w14:textFill>
              </w:rPr>
              <w:t>3</w:t>
            </w:r>
          </w:p>
        </w:tc>
        <w:tc>
          <w:tcPr>
            <w:tcW w:w="3783" w:type="dxa"/>
            <w:vAlign w:val="center"/>
          </w:tcPr>
          <w:p>
            <w:pPr>
              <w:rPr>
                <w:rFonts w:hint="default" w:ascii="宋体" w:hAnsi="宋体" w:eastAsia="宋体"/>
                <w:sz w:val="20"/>
                <w:highlight w:val="none"/>
                <w:lang w:val="en-US" w:eastAsia="zh-CN"/>
              </w:rPr>
            </w:pPr>
            <w:r>
              <w:rPr>
                <w:rFonts w:hint="eastAsia" w:ascii="宋体" w:hAnsi="宋体"/>
                <w:sz w:val="20"/>
                <w:highlight w:val="none"/>
                <w:lang w:val="en-US" w:eastAsia="zh-CN"/>
              </w:rPr>
              <w:t>A包：深铁珑境场地价格</w:t>
            </w:r>
          </w:p>
        </w:tc>
        <w:tc>
          <w:tcPr>
            <w:tcW w:w="104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50"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783" w:type="dxa"/>
            <w:vAlign w:val="center"/>
          </w:tcPr>
          <w:p>
            <w:pPr>
              <w:rPr>
                <w:rFonts w:hint="default" w:ascii="宋体" w:hAnsi="宋体"/>
                <w:sz w:val="20"/>
                <w:highlight w:val="none"/>
                <w:lang w:val="en-US" w:eastAsia="zh-CN"/>
              </w:rPr>
            </w:pPr>
            <w:r>
              <w:rPr>
                <w:rFonts w:hint="eastAsia" w:ascii="宋体" w:hAnsi="宋体"/>
                <w:sz w:val="20"/>
                <w:highlight w:val="none"/>
                <w:lang w:val="en-US" w:eastAsia="zh-CN"/>
              </w:rPr>
              <w:t>A包：展位设计制作及活动费</w:t>
            </w:r>
          </w:p>
        </w:tc>
        <w:tc>
          <w:tcPr>
            <w:tcW w:w="104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50"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783" w:type="dxa"/>
            <w:vAlign w:val="center"/>
          </w:tcPr>
          <w:p>
            <w:pPr>
              <w:rPr>
                <w:rFonts w:ascii="宋体" w:hAnsi="宋体"/>
                <w:bCs/>
                <w:color w:val="0D0D0D" w:themeColor="text1" w:themeTint="F2"/>
                <w:sz w:val="20"/>
                <w14:textFill>
                  <w14:solidFill>
                    <w14:schemeClr w14:val="tx1">
                      <w14:lumMod w14:val="95000"/>
                      <w14:lumOff w14:val="5000"/>
                    </w14:schemeClr>
                  </w14:solidFill>
                </w14:textFill>
              </w:rPr>
            </w:pPr>
            <w:r>
              <w:rPr>
                <w:rFonts w:hint="eastAsia" w:ascii="宋体" w:hAnsi="宋体"/>
                <w:sz w:val="20"/>
              </w:rPr>
              <w:t>A包：深铁珑境巡展活动服务价格</w:t>
            </w:r>
          </w:p>
        </w:tc>
        <w:tc>
          <w:tcPr>
            <w:tcW w:w="104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50"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783" w:type="dxa"/>
            <w:vAlign w:val="center"/>
          </w:tcPr>
          <w:p>
            <w:pPr>
              <w:rPr>
                <w:rFonts w:hint="default" w:ascii="宋体" w:hAnsi="宋体" w:eastAsia="宋体"/>
                <w:sz w:val="20"/>
                <w:highlight w:val="none"/>
                <w:lang w:val="en-US" w:eastAsia="zh-CN"/>
              </w:rPr>
            </w:pPr>
            <w:r>
              <w:rPr>
                <w:rFonts w:hint="eastAsia" w:ascii="宋体" w:hAnsi="宋体"/>
                <w:sz w:val="20"/>
                <w:highlight w:val="none"/>
                <w:lang w:val="en-US" w:eastAsia="zh-CN"/>
              </w:rPr>
              <w:t>B包：深铁璟城场地价格</w:t>
            </w:r>
          </w:p>
        </w:tc>
        <w:tc>
          <w:tcPr>
            <w:tcW w:w="104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50"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783" w:type="dxa"/>
            <w:vAlign w:val="center"/>
          </w:tcPr>
          <w:p>
            <w:pPr>
              <w:rPr>
                <w:rFonts w:hint="default" w:ascii="宋体" w:hAnsi="宋体"/>
                <w:sz w:val="20"/>
                <w:highlight w:val="none"/>
                <w:lang w:val="en-US" w:eastAsia="zh-CN"/>
              </w:rPr>
            </w:pPr>
            <w:r>
              <w:rPr>
                <w:rFonts w:hint="eastAsia" w:ascii="宋体" w:hAnsi="宋体"/>
                <w:sz w:val="20"/>
                <w:highlight w:val="none"/>
                <w:lang w:val="en-US" w:eastAsia="zh-CN"/>
              </w:rPr>
              <w:t>B包：展位设计制作及活动费</w:t>
            </w:r>
          </w:p>
        </w:tc>
        <w:tc>
          <w:tcPr>
            <w:tcW w:w="104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650"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783" w:type="dxa"/>
            <w:vAlign w:val="center"/>
          </w:tcPr>
          <w:p>
            <w:pPr>
              <w:rPr>
                <w:rFonts w:ascii="宋体" w:hAnsi="宋体"/>
                <w:sz w:val="20"/>
              </w:rPr>
            </w:pPr>
            <w:r>
              <w:rPr>
                <w:rFonts w:hint="eastAsia" w:ascii="宋体" w:hAnsi="宋体"/>
                <w:sz w:val="20"/>
              </w:rPr>
              <w:t>B包：深铁璟城巡展活动服务价格</w:t>
            </w:r>
          </w:p>
        </w:tc>
        <w:tc>
          <w:tcPr>
            <w:tcW w:w="104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50" w:type="dxa"/>
            <w:vMerge w:val="continue"/>
            <w:vAlign w:val="center"/>
          </w:tcPr>
          <w:p>
            <w:pPr>
              <w:widowControl/>
              <w:jc w:val="center"/>
              <w:rPr>
                <w:rFonts w:ascii="宋体" w:hAnsi="宋体" w:cs="宋体"/>
                <w:bCs/>
                <w:color w:val="0D0D0D" w:themeColor="text1" w:themeTint="F2"/>
                <w:kern w:val="0"/>
                <w:sz w:val="20"/>
                <w14:textFill>
                  <w14:solidFill>
                    <w14:schemeClr w14:val="tx1">
                      <w14:lumMod w14:val="95000"/>
                      <w14:lumOff w14:val="5000"/>
                    </w14:schemeClr>
                  </w14:solidFill>
                </w14:textFill>
              </w:rPr>
            </w:pPr>
          </w:p>
        </w:tc>
        <w:tc>
          <w:tcPr>
            <w:tcW w:w="3783" w:type="dxa"/>
            <w:vAlign w:val="center"/>
          </w:tcPr>
          <w:p>
            <w:pPr>
              <w:widowControl/>
              <w:jc w:val="center"/>
              <w:rPr>
                <w:rFonts w:ascii="宋体" w:hAnsi="宋体"/>
                <w:sz w:val="20"/>
              </w:rPr>
            </w:pPr>
            <w:r>
              <w:rPr>
                <w:rFonts w:hint="eastAsia" w:ascii="宋体" w:hAnsi="宋体"/>
                <w:sz w:val="20"/>
              </w:rPr>
              <w:t>深铁珑境、深铁璟城巡展活动服务总价格</w:t>
            </w:r>
          </w:p>
        </w:tc>
        <w:tc>
          <w:tcPr>
            <w:tcW w:w="104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433" w:type="dxa"/>
            <w:gridSpan w:val="2"/>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r>
              <w:rPr>
                <w:rFonts w:hint="eastAsia" w:ascii="宋体" w:hAnsi="宋体" w:cs="宋体"/>
                <w:color w:val="0D0D0D" w:themeColor="text1" w:themeTint="F2"/>
                <w:kern w:val="0"/>
                <w:sz w:val="20"/>
                <w14:textFill>
                  <w14:solidFill>
                    <w14:schemeClr w14:val="tx1">
                      <w14:lumMod w14:val="95000"/>
                      <w14:lumOff w14:val="5000"/>
                    </w14:schemeClr>
                  </w14:solidFill>
                </w14:textFill>
              </w:rPr>
              <w:t>参选人签名确认</w:t>
            </w:r>
          </w:p>
        </w:tc>
        <w:tc>
          <w:tcPr>
            <w:tcW w:w="1046"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2377"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2236"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2097"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96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bl>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3"/>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480" w:lineRule="atLeast"/>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附表3</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技术标初步评审表</w:t>
      </w:r>
    </w:p>
    <w:p>
      <w:pPr>
        <w:spacing w:after="120" w:afterLines="50" w:line="480" w:lineRule="atLeast"/>
        <w:ind w:right="350"/>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技术标初步评审表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比选项目名称：深铁珑境、深铁璟城巡展活动服务</w:t>
      </w:r>
    </w:p>
    <w:tbl>
      <w:tblPr>
        <w:tblStyle w:val="48"/>
        <w:tblW w:w="14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5"/>
        <w:gridCol w:w="7268"/>
        <w:gridCol w:w="974"/>
        <w:gridCol w:w="1493"/>
        <w:gridCol w:w="1343"/>
        <w:gridCol w:w="1195"/>
        <w:gridCol w:w="1196"/>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865" w:type="dxa"/>
            <w:vMerge w:val="restart"/>
            <w:vAlign w:val="center"/>
          </w:tcPr>
          <w:p>
            <w:pPr>
              <w:spacing w:line="480" w:lineRule="atLeast"/>
              <w:jc w:val="center"/>
              <w:rPr>
                <w:rFonts w:hint="eastAsia" w:ascii="宋体" w:hAnsi="宋体" w:cs="宋体"/>
                <w:b/>
                <w:bCs/>
                <w:color w:val="0D0D0D" w:themeColor="text1" w:themeTint="F2"/>
                <w:szCs w:val="24"/>
                <w14:textFill>
                  <w14:solidFill>
                    <w14:schemeClr w14:val="tx1">
                      <w14:lumMod w14:val="95000"/>
                      <w14:lumOff w14:val="5000"/>
                    </w14:schemeClr>
                  </w14:solidFill>
                </w14:textFill>
              </w:rPr>
            </w:pPr>
            <w:r>
              <w:rPr>
                <w:rFonts w:hint="eastAsia" w:ascii="宋体" w:hAnsi="宋体" w:cs="宋体"/>
                <w:b/>
                <w:bCs/>
                <w:color w:val="0D0D0D" w:themeColor="text1" w:themeTint="F2"/>
                <w:sz w:val="24"/>
                <w:szCs w:val="24"/>
                <w14:textFill>
                  <w14:solidFill>
                    <w14:schemeClr w14:val="tx1">
                      <w14:lumMod w14:val="95000"/>
                      <w14:lumOff w14:val="5000"/>
                    </w14:schemeClr>
                  </w14:solidFill>
                </w14:textFill>
              </w:rPr>
              <w:t>序号</w:t>
            </w:r>
          </w:p>
        </w:tc>
        <w:tc>
          <w:tcPr>
            <w:tcW w:w="7268" w:type="dxa"/>
            <w:vMerge w:val="restart"/>
            <w:tcBorders>
              <w:tl2br w:val="single" w:color="auto" w:sz="4" w:space="0"/>
            </w:tcBorders>
            <w:vAlign w:val="center"/>
          </w:tcPr>
          <w:p>
            <w:pPr>
              <w:spacing w:line="480" w:lineRule="atLeast"/>
              <w:rPr>
                <w:rFonts w:hint="eastAsia" w:ascii="宋体" w:hAnsi="宋体" w:cs="宋体"/>
                <w:b/>
                <w:bCs/>
                <w:color w:val="0D0D0D" w:themeColor="text1" w:themeTint="F2"/>
                <w:szCs w:val="24"/>
                <w14:textFill>
                  <w14:solidFill>
                    <w14:schemeClr w14:val="tx1">
                      <w14:lumMod w14:val="95000"/>
                      <w14:lumOff w14:val="5000"/>
                    </w14:schemeClr>
                  </w14:solidFill>
                </w14:textFill>
              </w:rPr>
            </w:pPr>
            <w:r>
              <w:rPr>
                <w:rFonts w:hint="eastAsia" w:ascii="宋体" w:hAnsi="宋体" w:cs="宋体"/>
                <w:b/>
                <w:bCs/>
                <w:color w:val="0D0D0D" w:themeColor="text1" w:themeTint="F2"/>
                <w:szCs w:val="24"/>
                <w14:textFill>
                  <w14:solidFill>
                    <w14:schemeClr w14:val="tx1">
                      <w14:lumMod w14:val="95000"/>
                      <w14:lumOff w14:val="5000"/>
                    </w14:schemeClr>
                  </w14:solidFill>
                </w14:textFill>
              </w:rPr>
              <w:t xml:space="preserve">   评审项目                                          参选人</w:t>
            </w:r>
          </w:p>
        </w:tc>
        <w:tc>
          <w:tcPr>
            <w:tcW w:w="6216" w:type="dxa"/>
            <w:gridSpan w:val="6"/>
            <w:shd w:val="clear" w:color="auto" w:fill="auto"/>
          </w:tcPr>
          <w:p>
            <w:pPr>
              <w:widowControl/>
              <w:spacing w:line="480" w:lineRule="atLeast"/>
              <w:jc w:val="left"/>
              <w:rPr>
                <w:rFonts w:hint="eastAsia" w:ascii="宋体" w:hAnsi="宋体" w:cs="宋体"/>
                <w:b/>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 xml:space="preserve">                        </w:t>
            </w:r>
            <w:r>
              <w:rPr>
                <w:rFonts w:hint="eastAsia" w:ascii="宋体" w:hAnsi="宋体" w:cs="宋体"/>
                <w:b/>
                <w:color w:val="0D0D0D" w:themeColor="text1" w:themeTint="F2"/>
                <w14:textFill>
                  <w14:solidFill>
                    <w14:schemeClr w14:val="tx1">
                      <w14:lumMod w14:val="95000"/>
                      <w14:lumOff w14:val="5000"/>
                    </w14:schemeClr>
                  </w14:solidFill>
                </w14:textFill>
              </w:rPr>
              <w:t xml:space="preserve">   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65" w:type="dxa"/>
            <w:vMerge w:val="continue"/>
            <w:vAlign w:val="center"/>
          </w:tcPr>
          <w:p>
            <w:pPr>
              <w:spacing w:line="480" w:lineRule="atLeast"/>
              <w:jc w:val="center"/>
              <w:rPr>
                <w:rFonts w:hint="eastAsia" w:ascii="宋体" w:hAnsi="宋体" w:cs="宋体"/>
                <w:b/>
                <w:bCs/>
                <w:color w:val="0D0D0D" w:themeColor="text1" w:themeTint="F2"/>
                <w:szCs w:val="24"/>
                <w14:textFill>
                  <w14:solidFill>
                    <w14:schemeClr w14:val="tx1">
                      <w14:lumMod w14:val="95000"/>
                      <w14:lumOff w14:val="5000"/>
                    </w14:schemeClr>
                  </w14:solidFill>
                </w14:textFill>
              </w:rPr>
            </w:pPr>
          </w:p>
        </w:tc>
        <w:tc>
          <w:tcPr>
            <w:tcW w:w="7268" w:type="dxa"/>
            <w:vMerge w:val="continue"/>
            <w:vAlign w:val="center"/>
          </w:tcPr>
          <w:p>
            <w:pPr>
              <w:spacing w:line="480" w:lineRule="atLeast"/>
              <w:jc w:val="center"/>
              <w:rPr>
                <w:rFonts w:hint="eastAsia" w:ascii="宋体" w:hAnsi="宋体" w:cs="宋体"/>
                <w:b/>
                <w:bCs/>
                <w:color w:val="0D0D0D" w:themeColor="text1" w:themeTint="F2"/>
                <w:szCs w:val="24"/>
                <w14:textFill>
                  <w14:solidFill>
                    <w14:schemeClr w14:val="tx1">
                      <w14:lumMod w14:val="95000"/>
                      <w14:lumOff w14:val="5000"/>
                    </w14:schemeClr>
                  </w14:solidFill>
                </w14:textFill>
              </w:rPr>
            </w:pPr>
          </w:p>
        </w:tc>
        <w:tc>
          <w:tcPr>
            <w:tcW w:w="974" w:type="dxa"/>
            <w:vAlign w:val="center"/>
          </w:tcPr>
          <w:p>
            <w:pPr>
              <w:widowControl/>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9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34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5"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6" w:type="dxa"/>
            <w:vAlign w:val="center"/>
          </w:tcPr>
          <w:p>
            <w:pPr>
              <w:widowControl/>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1</w:t>
            </w:r>
          </w:p>
        </w:tc>
        <w:tc>
          <w:tcPr>
            <w:tcW w:w="7268" w:type="dxa"/>
            <w:vAlign w:val="center"/>
          </w:tcPr>
          <w:p>
            <w:pPr>
              <w:adjustRightInd w:val="0"/>
              <w:snapToGrid w:val="0"/>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974"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2</w:t>
            </w:r>
          </w:p>
        </w:tc>
        <w:tc>
          <w:tcPr>
            <w:tcW w:w="7268" w:type="dxa"/>
            <w:vAlign w:val="center"/>
          </w:tcPr>
          <w:p>
            <w:pPr>
              <w:adjustRightInd w:val="0"/>
              <w:snapToGrid w:val="0"/>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974"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3</w:t>
            </w:r>
          </w:p>
        </w:tc>
        <w:tc>
          <w:tcPr>
            <w:tcW w:w="7268" w:type="dxa"/>
            <w:vAlign w:val="center"/>
          </w:tcPr>
          <w:p>
            <w:pPr>
              <w:adjustRightInd w:val="0"/>
              <w:snapToGrid w:val="0"/>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参选人成立时间：2018年12月31日之前成立；</w:t>
            </w:r>
          </w:p>
        </w:tc>
        <w:tc>
          <w:tcPr>
            <w:tcW w:w="974"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90" w:hRule="atLeast"/>
          <w:jc w:val="center"/>
        </w:trPr>
        <w:tc>
          <w:tcPr>
            <w:tcW w:w="865" w:type="dxa"/>
            <w:vAlign w:val="center"/>
          </w:tcPr>
          <w:p>
            <w:pPr>
              <w:jc w:val="cente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4</w:t>
            </w:r>
          </w:p>
        </w:tc>
        <w:tc>
          <w:tcPr>
            <w:tcW w:w="7268" w:type="dxa"/>
            <w:vAlign w:val="center"/>
          </w:tcPr>
          <w:p>
            <w:pPr>
              <w:adjustRightInd w:val="0"/>
              <w:snapToGrid w:val="0"/>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公司注册资金不得低于200万</w:t>
            </w:r>
          </w:p>
        </w:tc>
        <w:tc>
          <w:tcPr>
            <w:tcW w:w="974"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1" w:hRule="atLeast"/>
          <w:jc w:val="center"/>
        </w:trPr>
        <w:tc>
          <w:tcPr>
            <w:tcW w:w="865" w:type="dxa"/>
            <w:vAlign w:val="center"/>
          </w:tcPr>
          <w:p>
            <w:pPr>
              <w:jc w:val="cente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5</w:t>
            </w:r>
          </w:p>
        </w:tc>
        <w:tc>
          <w:tcPr>
            <w:tcW w:w="7268" w:type="dxa"/>
            <w:vAlign w:val="center"/>
          </w:tcPr>
          <w:p>
            <w:pPr>
              <w:adjustRightInd w:val="0"/>
              <w:snapToGrid w:val="0"/>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2019年1月1日至今，服务过全国50强或深圳20强房地产开发品牌（全国50强排名参考2019年-2021年中指研究院或易居克尔瑞数据，深圳20强排名参考2019-2021年深圳房协数据）在深圳的房产项目巡展活动或展厅包装案例至少两个。</w:t>
            </w:r>
          </w:p>
          <w:p>
            <w:pPr>
              <w:adjustRightInd w:val="0"/>
              <w:snapToGrid w:val="0"/>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备注：以上业绩证明材料需提供相关合同关键页复印件，日期以合同签约日期为准（加盖公章）</w:t>
            </w:r>
          </w:p>
        </w:tc>
        <w:tc>
          <w:tcPr>
            <w:tcW w:w="974"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133" w:type="dxa"/>
            <w:gridSpan w:val="2"/>
            <w:vAlign w:val="center"/>
          </w:tcPr>
          <w:p>
            <w:pPr>
              <w:rPr>
                <w:rFonts w:hint="eastAsia" w:ascii="宋体" w:hAnsi="宋体" w:cs="宋体"/>
                <w:color w:val="0D0D0D" w:themeColor="text1" w:themeTint="F2"/>
                <w:szCs w:val="24"/>
                <w14:textFill>
                  <w14:solidFill>
                    <w14:schemeClr w14:val="tx1">
                      <w14:lumMod w14:val="95000"/>
                      <w14:lumOff w14:val="5000"/>
                    </w14:schemeClr>
                  </w14:solidFill>
                </w14:textFill>
              </w:rPr>
            </w:pPr>
            <w:r>
              <w:rPr>
                <w:rFonts w:hint="eastAsia" w:ascii="宋体" w:hAnsi="宋体" w:cs="宋体"/>
                <w:b/>
                <w:bCs/>
                <w:color w:val="0D0D0D" w:themeColor="text1" w:themeTint="F2"/>
                <w:sz w:val="24"/>
                <w:szCs w:val="24"/>
                <w14:textFill>
                  <w14:solidFill>
                    <w14:schemeClr w14:val="tx1">
                      <w14:lumMod w14:val="95000"/>
                      <w14:lumOff w14:val="5000"/>
                    </w14:schemeClr>
                  </w14:solidFill>
                </w14:textFill>
              </w:rPr>
              <w:t>评审结论：</w:t>
            </w:r>
          </w:p>
        </w:tc>
        <w:tc>
          <w:tcPr>
            <w:tcW w:w="974" w:type="dxa"/>
            <w:vAlign w:val="center"/>
          </w:tcPr>
          <w:p>
            <w:pPr>
              <w:rPr>
                <w:rFonts w:hint="eastAsia" w:ascii="宋体" w:hAnsi="宋体" w:cs="宋体"/>
                <w:color w:val="0D0D0D" w:themeColor="text1" w:themeTint="F2"/>
                <w:szCs w:val="24"/>
                <w14:textFill>
                  <w14:solidFill>
                    <w14:schemeClr w14:val="tx1">
                      <w14:lumMod w14:val="95000"/>
                      <w14:lumOff w14:val="5000"/>
                    </w14:schemeClr>
                  </w14:solidFill>
                </w14:textFill>
              </w:rPr>
            </w:pPr>
          </w:p>
        </w:tc>
        <w:tc>
          <w:tcPr>
            <w:tcW w:w="1493" w:type="dxa"/>
            <w:vAlign w:val="center"/>
          </w:tcPr>
          <w:p>
            <w:pPr>
              <w:rPr>
                <w:rFonts w:hint="eastAsia" w:ascii="宋体" w:hAnsi="宋体" w:cs="宋体"/>
                <w:color w:val="0D0D0D" w:themeColor="text1" w:themeTint="F2"/>
                <w:szCs w:val="24"/>
                <w14:textFill>
                  <w14:solidFill>
                    <w14:schemeClr w14:val="tx1">
                      <w14:lumMod w14:val="95000"/>
                      <w14:lumOff w14:val="5000"/>
                    </w14:schemeClr>
                  </w14:solidFill>
                </w14:textFill>
              </w:rPr>
            </w:pPr>
          </w:p>
        </w:tc>
        <w:tc>
          <w:tcPr>
            <w:tcW w:w="1343" w:type="dxa"/>
            <w:vAlign w:val="center"/>
          </w:tcPr>
          <w:p>
            <w:pPr>
              <w:rPr>
                <w:rFonts w:hint="eastAsia" w:ascii="宋体" w:hAnsi="宋体" w:cs="宋体"/>
                <w:color w:val="0D0D0D" w:themeColor="text1" w:themeTint="F2"/>
                <w:szCs w:val="24"/>
                <w14:textFill>
                  <w14:solidFill>
                    <w14:schemeClr w14:val="tx1">
                      <w14:lumMod w14:val="95000"/>
                      <w14:lumOff w14:val="5000"/>
                    </w14:schemeClr>
                  </w14:solidFill>
                </w14:textFill>
              </w:rPr>
            </w:pPr>
          </w:p>
        </w:tc>
        <w:tc>
          <w:tcPr>
            <w:tcW w:w="1195" w:type="dxa"/>
            <w:vAlign w:val="center"/>
          </w:tcPr>
          <w:p>
            <w:pPr>
              <w:rPr>
                <w:rFonts w:hint="eastAsia" w:ascii="宋体" w:hAnsi="宋体" w:cs="宋体"/>
                <w:color w:val="0D0D0D" w:themeColor="text1" w:themeTint="F2"/>
                <w:szCs w:val="24"/>
                <w14:textFill>
                  <w14:solidFill>
                    <w14:schemeClr w14:val="tx1">
                      <w14:lumMod w14:val="95000"/>
                      <w14:lumOff w14:val="5000"/>
                    </w14:schemeClr>
                  </w14:solidFill>
                </w14:textFill>
              </w:rPr>
            </w:pPr>
          </w:p>
        </w:tc>
        <w:tc>
          <w:tcPr>
            <w:tcW w:w="1196" w:type="dxa"/>
            <w:vAlign w:val="center"/>
          </w:tcPr>
          <w:p>
            <w:pPr>
              <w:rPr>
                <w:rFonts w:hint="eastAsia" w:ascii="宋体" w:hAnsi="宋体" w:cs="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480" w:lineRule="atLeast"/>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p>
    <w:p>
      <w:pPr>
        <w:pStyle w:val="2"/>
        <w:ind w:firstLine="482"/>
        <w:rPr>
          <w:rFonts w:hAnsi="宋体"/>
          <w:b/>
          <w:color w:val="0D0D0D" w:themeColor="text1" w:themeTint="F2"/>
          <w:sz w:val="24"/>
          <w14:textFill>
            <w14:solidFill>
              <w14:schemeClr w14:val="tx1">
                <w14:lumMod w14:val="95000"/>
                <w14:lumOff w14:val="5000"/>
              </w14:schemeClr>
            </w14:solidFill>
          </w14:textFill>
        </w:rPr>
      </w:pPr>
    </w:p>
    <w:p>
      <w:pPr>
        <w:spacing w:line="360" w:lineRule="auto"/>
        <w:jc w:val="left"/>
        <w:rPr>
          <w:rFonts w:ascii="宋体" w:hAnsi="宋体"/>
          <w:b/>
          <w:bCs/>
          <w:snapToGrid w:val="0"/>
          <w:sz w:val="28"/>
          <w:szCs w:val="28"/>
        </w:rPr>
      </w:pPr>
      <w:r>
        <w:rPr>
          <w:rFonts w:hint="eastAsia" w:ascii="宋体" w:hAnsi="宋体"/>
          <w:b/>
          <w:snapToGrid w:val="0"/>
          <w:sz w:val="28"/>
          <w:szCs w:val="28"/>
        </w:rPr>
        <w:t>附表4：技术标详细评审表</w:t>
      </w:r>
    </w:p>
    <w:p>
      <w:pPr>
        <w:spacing w:line="360" w:lineRule="auto"/>
        <w:jc w:val="center"/>
        <w:rPr>
          <w:rFonts w:ascii="宋体" w:hAnsi="宋体"/>
          <w:b/>
          <w:bCs/>
          <w:snapToGrid w:val="0"/>
          <w:sz w:val="28"/>
          <w:szCs w:val="28"/>
        </w:rPr>
      </w:pPr>
      <w:r>
        <w:rPr>
          <w:rFonts w:hint="eastAsia" w:ascii="宋体" w:hAnsi="宋体"/>
          <w:b/>
          <w:bCs/>
          <w:snapToGrid w:val="0"/>
          <w:sz w:val="28"/>
          <w:szCs w:val="28"/>
        </w:rPr>
        <w:t>技术标详细评审表（</w:t>
      </w:r>
      <w:r>
        <w:rPr>
          <w:rFonts w:hint="eastAsia" w:ascii="宋体" w:hAnsi="宋体"/>
          <w:b/>
          <w:bCs/>
          <w:snapToGrid w:val="0"/>
          <w:sz w:val="28"/>
          <w:szCs w:val="28"/>
          <w:lang w:val="en-US" w:eastAsia="zh-CN"/>
        </w:rPr>
        <w:t>7</w:t>
      </w:r>
      <w:r>
        <w:rPr>
          <w:rFonts w:hint="eastAsia" w:ascii="宋体" w:hAnsi="宋体"/>
          <w:b/>
          <w:bCs/>
          <w:snapToGrid w:val="0"/>
          <w:sz w:val="28"/>
          <w:szCs w:val="28"/>
        </w:rPr>
        <w:t>0分）</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比选项目名称：深铁珑境、深铁璟城巡展活动服务</w:t>
      </w:r>
    </w:p>
    <w:tbl>
      <w:tblPr>
        <w:tblStyle w:val="48"/>
        <w:tblW w:w="1349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6"/>
        <w:gridCol w:w="731"/>
        <w:gridCol w:w="7364"/>
        <w:gridCol w:w="713"/>
        <w:gridCol w:w="990"/>
        <w:gridCol w:w="990"/>
        <w:gridCol w:w="990"/>
        <w:gridCol w:w="99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726" w:type="dxa"/>
            <w:vMerge w:val="restart"/>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编号</w:t>
            </w:r>
          </w:p>
        </w:tc>
        <w:tc>
          <w:tcPr>
            <w:tcW w:w="731" w:type="dxa"/>
            <w:vMerge w:val="restart"/>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评审项目</w:t>
            </w:r>
          </w:p>
        </w:tc>
        <w:tc>
          <w:tcPr>
            <w:tcW w:w="7364" w:type="dxa"/>
            <w:vMerge w:val="restart"/>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评分标准</w:t>
            </w:r>
          </w:p>
        </w:tc>
        <w:tc>
          <w:tcPr>
            <w:tcW w:w="713" w:type="dxa"/>
            <w:vMerge w:val="restart"/>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满分值</w:t>
            </w:r>
          </w:p>
        </w:tc>
        <w:tc>
          <w:tcPr>
            <w:tcW w:w="3963" w:type="dxa"/>
            <w:gridSpan w:val="4"/>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参选人得分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726" w:type="dxa"/>
            <w:vMerge w:val="continue"/>
            <w:shd w:val="clear" w:color="auto" w:fill="auto"/>
            <w:noWrap/>
            <w:vAlign w:val="center"/>
          </w:tcPr>
          <w:p>
            <w:pPr>
              <w:jc w:val="center"/>
              <w:rPr>
                <w:rFonts w:hint="eastAsia" w:ascii="宋体" w:hAnsi="宋体" w:eastAsia="宋体" w:cs="宋体"/>
                <w:color w:val="000000"/>
                <w:sz w:val="24"/>
                <w:szCs w:val="24"/>
              </w:rPr>
            </w:pPr>
          </w:p>
        </w:tc>
        <w:tc>
          <w:tcPr>
            <w:tcW w:w="731" w:type="dxa"/>
            <w:vMerge w:val="continue"/>
            <w:shd w:val="clear" w:color="auto" w:fill="auto"/>
            <w:noWrap/>
            <w:vAlign w:val="center"/>
          </w:tcPr>
          <w:p>
            <w:pPr>
              <w:jc w:val="center"/>
              <w:rPr>
                <w:rFonts w:hint="eastAsia" w:ascii="宋体" w:hAnsi="宋体" w:eastAsia="宋体" w:cs="宋体"/>
                <w:color w:val="000000"/>
                <w:sz w:val="24"/>
                <w:szCs w:val="24"/>
              </w:rPr>
            </w:pPr>
          </w:p>
        </w:tc>
        <w:tc>
          <w:tcPr>
            <w:tcW w:w="7364" w:type="dxa"/>
            <w:vMerge w:val="continue"/>
            <w:shd w:val="clear" w:color="auto" w:fill="auto"/>
            <w:noWrap/>
            <w:vAlign w:val="center"/>
          </w:tcPr>
          <w:p>
            <w:pPr>
              <w:jc w:val="center"/>
              <w:rPr>
                <w:rFonts w:hint="eastAsia" w:ascii="宋体" w:hAnsi="宋体" w:eastAsia="宋体" w:cs="宋体"/>
                <w:color w:val="000000"/>
                <w:sz w:val="24"/>
                <w:szCs w:val="24"/>
              </w:rPr>
            </w:pPr>
          </w:p>
        </w:tc>
        <w:tc>
          <w:tcPr>
            <w:tcW w:w="713" w:type="dxa"/>
            <w:vMerge w:val="continue"/>
            <w:shd w:val="clear" w:color="auto" w:fill="auto"/>
            <w:noWrap/>
            <w:vAlign w:val="center"/>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3" w:type="dxa"/>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6"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731" w:type="dxa"/>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kern w:val="0"/>
              </w:rPr>
              <w:t>现场布置方案</w:t>
            </w:r>
          </w:p>
        </w:tc>
        <w:tc>
          <w:tcPr>
            <w:tcW w:w="7364" w:type="dxa"/>
            <w:shd w:val="clear" w:color="auto" w:fill="auto"/>
            <w:vAlign w:val="center"/>
          </w:tcPr>
          <w:p>
            <w:pPr>
              <w:widowControl/>
              <w:adjustRightInd w:val="0"/>
              <w:snapToGrid w:val="0"/>
              <w:spacing w:line="312" w:lineRule="auto"/>
              <w:jc w:val="left"/>
              <w:rPr>
                <w:rFonts w:hint="eastAsia" w:ascii="宋体" w:hAnsi="宋体" w:eastAsia="宋体" w:cs="宋体"/>
                <w:kern w:val="0"/>
                <w:sz w:val="24"/>
                <w:szCs w:val="24"/>
              </w:rPr>
            </w:pPr>
            <w:r>
              <w:rPr>
                <w:rFonts w:hint="eastAsia" w:ascii="宋体" w:hAnsi="宋体" w:eastAsia="宋体" w:cs="宋体"/>
                <w:kern w:val="0"/>
                <w:sz w:val="24"/>
                <w:szCs w:val="24"/>
              </w:rPr>
              <w:t>（1）特装展设计的定制深化方案需符合项目形象需求，符合项目营销展示及接待洽谈需求，价值展示面充足，工艺材质等横向比较，可落地执行性强（20分）</w:t>
            </w:r>
          </w:p>
          <w:p>
            <w:pPr>
              <w:tabs>
                <w:tab w:val="left" w:pos="487"/>
              </w:tabs>
              <w:spacing w:line="300" w:lineRule="exact"/>
              <w:jc w:val="left"/>
              <w:rPr>
                <w:rFonts w:hint="eastAsia" w:ascii="宋体" w:hAnsi="宋体" w:eastAsia="宋体" w:cs="宋体"/>
                <w:color w:val="000000"/>
                <w:kern w:val="0"/>
                <w:sz w:val="24"/>
                <w:szCs w:val="24"/>
              </w:rPr>
            </w:pPr>
            <w:r>
              <w:rPr>
                <w:rFonts w:hint="eastAsia" w:ascii="宋体" w:hAnsi="宋体" w:eastAsia="宋体" w:cs="宋体"/>
                <w:kern w:val="0"/>
                <w:sz w:val="24"/>
                <w:szCs w:val="24"/>
              </w:rPr>
              <w:t>（2）特装展设计方案创新有亮点，具备一定特色，客流吸引的有效性横向比较（20分）</w:t>
            </w:r>
          </w:p>
        </w:tc>
        <w:tc>
          <w:tcPr>
            <w:tcW w:w="713"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rPr>
              <w:t>40</w:t>
            </w: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3" w:type="dxa"/>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6"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731" w:type="dxa"/>
            <w:shd w:val="clear" w:color="auto" w:fill="auto"/>
            <w:noWrap/>
            <w:vAlign w:val="center"/>
          </w:tcPr>
          <w:p>
            <w:pPr>
              <w:jc w:val="center"/>
              <w:rPr>
                <w:rFonts w:ascii="宋体" w:hAnsi="宋体" w:cs="宋体"/>
                <w:kern w:val="0"/>
                <w:lang w:val="zh-TW" w:eastAsia="zh-TW"/>
              </w:rPr>
            </w:pPr>
          </w:p>
          <w:p>
            <w:pPr>
              <w:jc w:val="center"/>
              <w:rPr>
                <w:rFonts w:hint="eastAsia" w:ascii="宋体" w:hAnsi="宋体" w:eastAsia="宋体" w:cs="宋体"/>
                <w:color w:val="000000"/>
                <w:sz w:val="24"/>
                <w:szCs w:val="24"/>
              </w:rPr>
            </w:pPr>
            <w:r>
              <w:rPr>
                <w:rFonts w:hint="eastAsia" w:ascii="宋体" w:hAnsi="宋体" w:eastAsia="宋体" w:cs="宋体"/>
                <w:kern w:val="0"/>
              </w:rPr>
              <w:t>互动表演</w:t>
            </w:r>
          </w:p>
        </w:tc>
        <w:tc>
          <w:tcPr>
            <w:tcW w:w="7364" w:type="dxa"/>
            <w:shd w:val="clear" w:color="auto" w:fill="auto"/>
            <w:vAlign w:val="center"/>
          </w:tcPr>
          <w:p>
            <w:pPr>
              <w:adjustRightInd w:val="0"/>
              <w:snapToGrid w:val="0"/>
              <w:spacing w:line="312" w:lineRule="auto"/>
              <w:jc w:val="left"/>
              <w:textAlignment w:val="baseline"/>
              <w:rPr>
                <w:rFonts w:hint="eastAsia" w:ascii="宋体" w:hAnsi="宋体" w:eastAsia="宋体" w:cs="宋体"/>
                <w:color w:val="000000"/>
                <w:kern w:val="0"/>
                <w:sz w:val="24"/>
                <w:szCs w:val="24"/>
              </w:rPr>
            </w:pPr>
            <w:r>
              <w:rPr>
                <w:rFonts w:hint="eastAsia" w:ascii="宋体" w:hAnsi="宋体" w:eastAsia="宋体" w:cs="宋体"/>
                <w:kern w:val="0"/>
                <w:sz w:val="24"/>
                <w:szCs w:val="24"/>
              </w:rPr>
              <w:t>互动表演、礼品的设置可有效聚集人气，方案亮点等横向比较（5分）</w:t>
            </w:r>
          </w:p>
        </w:tc>
        <w:tc>
          <w:tcPr>
            <w:tcW w:w="713"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3" w:type="dxa"/>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6"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731"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kern w:val="0"/>
              </w:rPr>
              <w:t>公司业绩</w:t>
            </w:r>
          </w:p>
        </w:tc>
        <w:tc>
          <w:tcPr>
            <w:tcW w:w="7364" w:type="dxa"/>
            <w:shd w:val="clear" w:color="auto" w:fill="auto"/>
            <w:vAlign w:val="center"/>
          </w:tcPr>
          <w:p>
            <w:pPr>
              <w:tabs>
                <w:tab w:val="left" w:pos="487"/>
              </w:tabs>
              <w:spacing w:line="300" w:lineRule="exact"/>
              <w:jc w:val="left"/>
              <w:rPr>
                <w:rFonts w:ascii="宋体" w:hAnsi="宋体" w:cs="宋体"/>
              </w:rPr>
            </w:pPr>
            <w:r>
              <w:rPr>
                <w:rFonts w:hint="eastAsia" w:ascii="宋体" w:hAnsi="宋体" w:eastAsia="宋体" w:cs="宋体"/>
                <w:kern w:val="0"/>
                <w:sz w:val="24"/>
                <w:szCs w:val="24"/>
              </w:rPr>
              <w:t>1.2019年1月1日至今，服务全国50强或深圳20强房地产开发公司（全国50强排名参考2019-2021年中指研究院或易居克而瑞数据，深圳20强排名参考2019-2021年深圳房协数据）在北上深三个一线城市落地的巡展案例，每个案例1分，最高10分，特装效果案例且合同金额20万以上（不含场地租赁）案例每个1分，最高10分。以上均需提供服务合同关键页复印件，以上两项评分标准可同一案例累计得分。（本项最高20分）</w:t>
            </w:r>
          </w:p>
        </w:tc>
        <w:tc>
          <w:tcPr>
            <w:tcW w:w="713"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w:t>
            </w: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3" w:type="dxa"/>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6"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731"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rPr>
              <w:t>陈述答辩</w:t>
            </w:r>
          </w:p>
        </w:tc>
        <w:tc>
          <w:tcPr>
            <w:tcW w:w="7364" w:type="dxa"/>
            <w:shd w:val="clear" w:color="auto" w:fill="auto"/>
            <w:vAlign w:val="center"/>
          </w:tcPr>
          <w:p>
            <w:pPr>
              <w:adjustRightInd w:val="0"/>
              <w:snapToGrid w:val="0"/>
              <w:spacing w:line="312" w:lineRule="auto"/>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（1）对巡展活动工作思路清晰，有独特见解，所讲解的方案具有可操作性，以及运输计划、物料存储等，横向比较（2分）</w:t>
            </w:r>
          </w:p>
          <w:p>
            <w:pPr>
              <w:tabs>
                <w:tab w:val="left" w:pos="487"/>
              </w:tabs>
              <w:spacing w:line="300" w:lineRule="exact"/>
              <w:jc w:val="left"/>
              <w:rPr>
                <w:rFonts w:hint="eastAsia" w:ascii="宋体" w:hAnsi="宋体" w:eastAsia="宋体" w:cs="宋体"/>
                <w:color w:val="000000"/>
                <w:kern w:val="0"/>
                <w:sz w:val="24"/>
                <w:szCs w:val="24"/>
              </w:rPr>
            </w:pPr>
            <w:r>
              <w:rPr>
                <w:rFonts w:hint="eastAsia" w:ascii="宋体" w:hAnsi="宋体" w:eastAsia="宋体" w:cs="宋体"/>
                <w:kern w:val="0"/>
                <w:sz w:val="24"/>
                <w:szCs w:val="24"/>
              </w:rPr>
              <w:t>（2）回答问题思路清晰、逻辑性强、能充分体现自身的组织能力、管理水平和丰富经验，横向比较（3分）</w:t>
            </w:r>
          </w:p>
        </w:tc>
        <w:tc>
          <w:tcPr>
            <w:tcW w:w="713"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0" w:type="dxa"/>
          </w:tcPr>
          <w:p>
            <w:pPr>
              <w:jc w:val="center"/>
              <w:rPr>
                <w:rFonts w:hint="eastAsia" w:ascii="宋体" w:hAnsi="宋体" w:eastAsia="宋体" w:cs="宋体"/>
                <w:color w:val="000000"/>
                <w:sz w:val="24"/>
                <w:szCs w:val="24"/>
              </w:rPr>
            </w:pPr>
          </w:p>
        </w:tc>
        <w:tc>
          <w:tcPr>
            <w:tcW w:w="993" w:type="dxa"/>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6"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8095" w:type="dxa"/>
            <w:gridSpan w:val="2"/>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小计</w:t>
            </w:r>
          </w:p>
        </w:tc>
        <w:tc>
          <w:tcPr>
            <w:tcW w:w="713" w:type="dxa"/>
            <w:shd w:val="clear" w:color="auto" w:fill="auto"/>
            <w:noWrap/>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70</w:t>
            </w:r>
          </w:p>
        </w:tc>
        <w:tc>
          <w:tcPr>
            <w:tcW w:w="990" w:type="dxa"/>
          </w:tcPr>
          <w:p>
            <w:pPr>
              <w:jc w:val="center"/>
              <w:rPr>
                <w:rFonts w:hint="eastAsia" w:ascii="宋体" w:hAnsi="宋体" w:eastAsia="宋体" w:cs="宋体"/>
                <w:color w:val="000000"/>
                <w:kern w:val="0"/>
                <w:sz w:val="24"/>
                <w:szCs w:val="24"/>
              </w:rPr>
            </w:pPr>
          </w:p>
        </w:tc>
        <w:tc>
          <w:tcPr>
            <w:tcW w:w="990" w:type="dxa"/>
          </w:tcPr>
          <w:p>
            <w:pPr>
              <w:jc w:val="center"/>
              <w:rPr>
                <w:rFonts w:hint="eastAsia" w:ascii="宋体" w:hAnsi="宋体" w:eastAsia="宋体" w:cs="宋体"/>
                <w:color w:val="000000"/>
                <w:kern w:val="0"/>
                <w:sz w:val="24"/>
                <w:szCs w:val="24"/>
              </w:rPr>
            </w:pPr>
          </w:p>
        </w:tc>
        <w:tc>
          <w:tcPr>
            <w:tcW w:w="990" w:type="dxa"/>
          </w:tcPr>
          <w:p>
            <w:pPr>
              <w:jc w:val="center"/>
              <w:rPr>
                <w:rFonts w:hint="eastAsia" w:ascii="宋体" w:hAnsi="宋体" w:eastAsia="宋体" w:cs="宋体"/>
                <w:color w:val="000000"/>
                <w:kern w:val="0"/>
                <w:sz w:val="24"/>
                <w:szCs w:val="24"/>
              </w:rPr>
            </w:pPr>
          </w:p>
        </w:tc>
        <w:tc>
          <w:tcPr>
            <w:tcW w:w="993" w:type="dxa"/>
          </w:tcPr>
          <w:p>
            <w:pPr>
              <w:jc w:val="center"/>
              <w:rPr>
                <w:rFonts w:hint="eastAsia" w:ascii="宋体" w:hAnsi="宋体" w:eastAsia="宋体" w:cs="宋体"/>
                <w:color w:val="000000"/>
                <w:kern w:val="0"/>
                <w:sz w:val="24"/>
                <w:szCs w:val="24"/>
              </w:rPr>
            </w:pPr>
          </w:p>
        </w:tc>
      </w:tr>
    </w:tbl>
    <w:p>
      <w:pPr>
        <w:widowControl/>
        <w:spacing w:line="360" w:lineRule="auto"/>
        <w:jc w:val="left"/>
        <w:rPr>
          <w:rFonts w:ascii="宋体" w:hAnsi="宋体"/>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pStyle w:val="2"/>
        <w:ind w:firstLine="400"/>
      </w:pPr>
    </w:p>
    <w:p>
      <w:pPr>
        <w:tabs>
          <w:tab w:val="left" w:pos="0"/>
        </w:tabs>
        <w:snapToGrid w:val="0"/>
        <w:spacing w:line="360" w:lineRule="auto"/>
        <w:ind w:firstLine="422" w:firstLineChars="200"/>
        <w:jc w:val="right"/>
        <w:rPr>
          <w:rFonts w:ascii="宋体" w:hAnsi="宋体" w:cs="宋体"/>
          <w:b/>
          <w:sz w:val="28"/>
          <w:szCs w:val="28"/>
        </w:rPr>
      </w:pPr>
      <w:r>
        <w:rPr>
          <w:rFonts w:hint="eastAsia" w:ascii="宋体" w:hAnsi="宋体" w:cs="宋体"/>
          <w:b/>
          <w:szCs w:val="21"/>
        </w:rPr>
        <w:t xml:space="preserve">日期：   </w:t>
      </w:r>
      <w:r>
        <w:rPr>
          <w:rFonts w:hint="eastAsia" w:ascii="宋体" w:hAnsi="宋体" w:cs="宋体"/>
          <w:szCs w:val="21"/>
        </w:rPr>
        <w:t xml:space="preserve">年   月  </w:t>
      </w:r>
    </w:p>
    <w:p>
      <w:pPr>
        <w:spacing w:line="360" w:lineRule="auto"/>
        <w:rPr>
          <w:rFonts w:ascii="宋体" w:hAnsi="宋体" w:cs="宋体"/>
          <w:b/>
          <w:bCs/>
          <w:kern w:val="0"/>
          <w:sz w:val="28"/>
          <w:szCs w:val="28"/>
        </w:rPr>
      </w:pPr>
      <w:r>
        <w:rPr>
          <w:rFonts w:hint="eastAsia" w:ascii="宋体" w:hAnsi="宋体" w:cs="宋体"/>
          <w:b/>
          <w:sz w:val="28"/>
          <w:szCs w:val="28"/>
        </w:rPr>
        <w:t>附表5：技术标详细评审结果汇总表</w:t>
      </w: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技术标详细评审结果汇总表</w:t>
      </w:r>
    </w:p>
    <w:p>
      <w:pPr>
        <w:spacing w:line="360" w:lineRule="auto"/>
        <w:jc w:val="center"/>
        <w:rPr>
          <w:rFonts w:ascii="宋体" w:hAnsi="宋体" w:cs="宋体"/>
          <w:bCs/>
          <w:snapToGrid w:val="0"/>
          <w:sz w:val="24"/>
          <w:szCs w:val="24"/>
        </w:rPr>
      </w:pP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比选项目名称：深铁珑境、深铁璟城巡展活动服务</w:t>
      </w:r>
    </w:p>
    <w:tbl>
      <w:tblPr>
        <w:tblStyle w:val="48"/>
        <w:tblW w:w="13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5"/>
        <w:gridCol w:w="3851"/>
        <w:gridCol w:w="964"/>
        <w:gridCol w:w="965"/>
        <w:gridCol w:w="964"/>
        <w:gridCol w:w="965"/>
        <w:gridCol w:w="965"/>
        <w:gridCol w:w="964"/>
        <w:gridCol w:w="965"/>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1"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序号</w:t>
            </w:r>
          </w:p>
        </w:tc>
        <w:tc>
          <w:tcPr>
            <w:tcW w:w="3851"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w:t>
            </w:r>
          </w:p>
          <w:p>
            <w:pPr>
              <w:spacing w:line="360" w:lineRule="auto"/>
              <w:jc w:val="left"/>
              <w:rPr>
                <w:rFonts w:ascii="宋体" w:hAnsi="宋体" w:cs="宋体"/>
                <w:b/>
                <w:bCs/>
                <w:kern w:val="0"/>
                <w:sz w:val="24"/>
                <w:szCs w:val="24"/>
              </w:rPr>
            </w:pPr>
            <w:r>
              <w:rPr>
                <w:rFonts w:hint="eastAsia" w:ascii="宋体" w:hAnsi="宋体" w:cs="宋体"/>
                <w:b/>
                <w:bCs/>
                <w:kern w:val="0"/>
                <w:sz w:val="24"/>
                <w:szCs w:val="24"/>
              </w:rPr>
              <w:t>参选人</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评委1</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评委2</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评委3</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评委4</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评委5</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评委6</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评委7</w:t>
            </w: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技术标得分</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2</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4</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5</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6</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bl>
    <w:p>
      <w:pPr>
        <w:spacing w:line="360" w:lineRule="auto"/>
        <w:jc w:val="left"/>
        <w:rPr>
          <w:rFonts w:ascii="宋体" w:hAnsi="宋体" w:cs="宋体"/>
          <w:sz w:val="24"/>
          <w:szCs w:val="24"/>
        </w:rPr>
      </w:pPr>
      <w:r>
        <w:rPr>
          <w:rFonts w:hint="eastAsia" w:ascii="宋体" w:hAnsi="宋体" w:cs="宋体"/>
          <w:sz w:val="24"/>
          <w:szCs w:val="24"/>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 w:val="24"/>
          <w:szCs w:val="24"/>
        </w:rPr>
      </w:pPr>
      <w:r>
        <w:rPr>
          <w:rFonts w:hint="eastAsia" w:ascii="宋体" w:hAnsi="宋体" w:cs="宋体"/>
          <w:sz w:val="24"/>
          <w:szCs w:val="24"/>
        </w:rPr>
        <w:t xml:space="preserve">       2、技术标得分的算术平均值保留小数点后两位数字，且四舍五入。</w:t>
      </w:r>
    </w:p>
    <w:p>
      <w:pPr>
        <w:pStyle w:val="20"/>
        <w:snapToGrid w:val="0"/>
        <w:rPr>
          <w:rFonts w:ascii="宋体" w:hAnsi="宋体" w:cs="宋体"/>
          <w:sz w:val="24"/>
          <w:szCs w:val="24"/>
        </w:rPr>
      </w:pPr>
    </w:p>
    <w:p>
      <w:pPr>
        <w:tabs>
          <w:tab w:val="left" w:pos="0"/>
        </w:tabs>
        <w:snapToGrid w:val="0"/>
        <w:spacing w:line="360" w:lineRule="auto"/>
        <w:rPr>
          <w:rFonts w:ascii="宋体" w:hAnsi="宋体" w:cs="宋体"/>
          <w:b/>
          <w:sz w:val="24"/>
          <w:szCs w:val="24"/>
        </w:rPr>
      </w:pPr>
      <w:r>
        <w:rPr>
          <w:rFonts w:hint="eastAsia" w:ascii="宋体" w:hAnsi="宋体" w:cs="宋体"/>
          <w:b/>
          <w:sz w:val="24"/>
          <w:szCs w:val="24"/>
        </w:rPr>
        <w:t>评委(签名)：</w:t>
      </w:r>
    </w:p>
    <w:p>
      <w:pPr>
        <w:widowControl/>
        <w:spacing w:line="360" w:lineRule="auto"/>
        <w:rPr>
          <w:rFonts w:ascii="宋体" w:hAnsi="宋体" w:cs="宋体"/>
          <w:b/>
          <w:sz w:val="24"/>
          <w:szCs w:val="24"/>
        </w:rPr>
      </w:pPr>
      <w:r>
        <w:rPr>
          <w:rFonts w:hint="eastAsia" w:ascii="宋体" w:hAnsi="宋体" w:cs="宋体"/>
          <w:b/>
          <w:sz w:val="24"/>
          <w:szCs w:val="24"/>
        </w:rPr>
        <w:t xml:space="preserve">监督（签名）：日期：  </w:t>
      </w:r>
      <w:r>
        <w:rPr>
          <w:rFonts w:hint="eastAsia" w:ascii="宋体" w:hAnsi="宋体" w:cs="宋体"/>
          <w:sz w:val="24"/>
          <w:szCs w:val="24"/>
        </w:rPr>
        <w:t>年  月   日</w:t>
      </w:r>
    </w:p>
    <w:p>
      <w:pPr>
        <w:tabs>
          <w:tab w:val="left" w:pos="0"/>
        </w:tabs>
        <w:snapToGrid w:val="0"/>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附件6：商务标A包初步评审表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A</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line="360" w:lineRule="auto"/>
        <w:rPr>
          <w:rFonts w:ascii="宋体" w:hAnsi="宋体" w:cs="宋体"/>
          <w:b/>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深铁珑境、深铁璟城巡展活动服务</w:t>
      </w:r>
    </w:p>
    <w:p>
      <w:pPr>
        <w:spacing w:after="120" w:afterLines="50" w:line="276" w:lineRule="auto"/>
        <w:ind w:right="630"/>
        <w:rPr>
          <w:rFonts w:ascii="宋体" w:hAnsi="宋体" w:cs="宋体"/>
          <w:b/>
          <w:color w:val="0D0D0D" w:themeColor="text1" w:themeTint="F2"/>
          <w:kern w:val="0"/>
          <w:sz w:val="22"/>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【A包：</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深铁珑境巡展活动服务</w:t>
      </w: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w:t>
      </w:r>
      <w:r>
        <w:rPr>
          <w:rFonts w:ascii="宋体" w:hAnsi="宋体" w:cs="宋体"/>
          <w:b/>
          <w:color w:val="0D0D0D" w:themeColor="text1" w:themeTint="F2"/>
          <w:kern w:val="0"/>
          <w:sz w:val="22"/>
          <w:szCs w:val="24"/>
          <w14:textFill>
            <w14:solidFill>
              <w14:schemeClr w14:val="tx1">
                <w14:lumMod w14:val="95000"/>
                <w14:lumOff w14:val="5000"/>
              </w14:schemeClr>
            </w14:solidFill>
          </w14:textFill>
        </w:rPr>
        <w:t xml:space="preserve"> </w:t>
      </w:r>
    </w:p>
    <w:tbl>
      <w:tblPr>
        <w:tblStyle w:val="48"/>
        <w:tblW w:w="14179" w:type="dxa"/>
        <w:jc w:val="center"/>
        <w:tblLayout w:type="fixed"/>
        <w:tblCellMar>
          <w:top w:w="0" w:type="dxa"/>
          <w:left w:w="108" w:type="dxa"/>
          <w:bottom w:w="0" w:type="dxa"/>
          <w:right w:w="108" w:type="dxa"/>
        </w:tblCellMar>
      </w:tblPr>
      <w:tblGrid>
        <w:gridCol w:w="784"/>
        <w:gridCol w:w="5988"/>
        <w:gridCol w:w="1115"/>
        <w:gridCol w:w="1258"/>
        <w:gridCol w:w="1258"/>
        <w:gridCol w:w="1258"/>
        <w:gridCol w:w="1258"/>
        <w:gridCol w:w="1260"/>
      </w:tblGrid>
      <w:tr>
        <w:tblPrEx>
          <w:tblCellMar>
            <w:top w:w="0" w:type="dxa"/>
            <w:left w:w="108" w:type="dxa"/>
            <w:bottom w:w="0" w:type="dxa"/>
            <w:right w:w="108" w:type="dxa"/>
          </w:tblCellMar>
        </w:tblPrEx>
        <w:trPr>
          <w:trHeight w:val="361"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8"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407"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756"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7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8"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16"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361"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的报价不高于总控制价及分项控制价</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950"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27" w:hRule="atLeast"/>
          <w:jc w:val="center"/>
        </w:trPr>
        <w:tc>
          <w:tcPr>
            <w:tcW w:w="677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附表7</w:t>
      </w:r>
      <w:r>
        <w:rPr>
          <w:rFonts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b/>
          <w:color w:val="0D0D0D" w:themeColor="text1" w:themeTint="F2"/>
          <w:sz w:val="24"/>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A包</w:t>
      </w:r>
      <w:r>
        <w:rPr>
          <w:rFonts w:hint="eastAsia" w:ascii="宋体" w:hAnsi="宋体"/>
          <w:b/>
          <w:color w:val="0D0D0D" w:themeColor="text1" w:themeTint="F2"/>
          <w:sz w:val="24"/>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标A包详细评审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line="360" w:lineRule="auto"/>
        <w:rPr>
          <w:rFonts w:ascii="宋体" w:hAnsi="宋体" w:cs="宋体"/>
          <w:b/>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深铁珑境、深铁璟城巡展活动服务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【A包：</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深铁珑境巡展活动服务</w:t>
      </w: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8"/>
        <w:tblW w:w="15176" w:type="dxa"/>
        <w:jc w:val="center"/>
        <w:tblLayout w:type="fixed"/>
        <w:tblCellMar>
          <w:top w:w="0" w:type="dxa"/>
          <w:left w:w="0" w:type="dxa"/>
          <w:bottom w:w="0" w:type="dxa"/>
          <w:right w:w="0" w:type="dxa"/>
        </w:tblCellMar>
      </w:tblPr>
      <w:tblGrid>
        <w:gridCol w:w="609"/>
        <w:gridCol w:w="1073"/>
        <w:gridCol w:w="5872"/>
        <w:gridCol w:w="992"/>
        <w:gridCol w:w="1326"/>
        <w:gridCol w:w="1326"/>
        <w:gridCol w:w="1326"/>
        <w:gridCol w:w="1326"/>
        <w:gridCol w:w="1326"/>
      </w:tblGrid>
      <w:tr>
        <w:trPr>
          <w:trHeight w:val="553" w:hRule="atLeast"/>
          <w:jc w:val="center"/>
        </w:trPr>
        <w:tc>
          <w:tcPr>
            <w:tcW w:w="609"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87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9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3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528" w:hRule="atLeast"/>
          <w:jc w:val="center"/>
        </w:trPr>
        <w:tc>
          <w:tcPr>
            <w:tcW w:w="609"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87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9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2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209" w:hRule="atLeast"/>
          <w:jc w:val="center"/>
        </w:trPr>
        <w:tc>
          <w:tcPr>
            <w:tcW w:w="609"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73"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872"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商务标环节的所有参选人所报的服务费次低价为基准价且为满分30分，以进入商务标环节的所有参选人所报的服务费次低价为基准价且为满分30分。若次低价同时为最高价，则以最低价为基准价且为满分。按下列公式计算：</w:t>
            </w:r>
          </w:p>
          <w:p>
            <w:pPr>
              <w:adjustRightInd w:val="0"/>
              <w:snapToGrid w:val="0"/>
              <w:jc w:val="left"/>
              <w:rPr>
                <w:rFonts w:ascii="宋体" w:hAnsi="宋体" w:cs="宋体"/>
                <w:sz w:val="24"/>
                <w:szCs w:val="24"/>
              </w:rPr>
            </w:pPr>
            <w:r>
              <w:rPr>
                <w:rFonts w:hint="eastAsia" w:ascii="宋体" w:hAnsi="宋体" w:cs="宋体"/>
                <w:sz w:val="24"/>
                <w:szCs w:val="24"/>
              </w:rPr>
              <w:t>Fn=（30-30×│Sn-Sj│/Sj）</w:t>
            </w:r>
          </w:p>
          <w:p>
            <w:pPr>
              <w:adjustRightInd w:val="0"/>
              <w:snapToGrid w:val="0"/>
              <w:jc w:val="left"/>
              <w:rPr>
                <w:rFonts w:ascii="宋体" w:hAnsi="宋体" w:cs="宋体"/>
                <w:sz w:val="24"/>
                <w:szCs w:val="24"/>
              </w:rPr>
            </w:pPr>
            <w:r>
              <w:rPr>
                <w:rFonts w:hint="eastAsia" w:ascii="宋体" w:hAnsi="宋体" w:cs="宋体"/>
                <w:sz w:val="24"/>
                <w:szCs w:val="24"/>
              </w:rPr>
              <w:t>其中：Fn—第n参选人的商务得分（</w:t>
            </w:r>
            <w:r>
              <w:rPr>
                <w:rFonts w:hint="eastAsia" w:ascii="宋体" w:hAnsi="宋体"/>
                <w:sz w:val="24"/>
                <w:szCs w:val="24"/>
              </w:rPr>
              <w:t>若计算所得</w:t>
            </w:r>
            <w:r>
              <w:rPr>
                <w:rFonts w:ascii="宋体" w:hAnsi="宋体"/>
                <w:sz w:val="24"/>
                <w:szCs w:val="24"/>
              </w:rPr>
              <w:t>Fn ≤0</w:t>
            </w:r>
            <w:r>
              <w:rPr>
                <w:rFonts w:hint="eastAsia" w:ascii="宋体" w:hAnsi="宋体"/>
                <w:sz w:val="24"/>
                <w:szCs w:val="24"/>
              </w:rPr>
              <w:t>，则该参选人的商务得分定为</w:t>
            </w:r>
            <w:r>
              <w:rPr>
                <w:rFonts w:ascii="宋体" w:hAnsi="宋体"/>
                <w:sz w:val="24"/>
                <w:szCs w:val="24"/>
              </w:rPr>
              <w:t>0</w:t>
            </w:r>
            <w:r>
              <w:rPr>
                <w:rFonts w:hint="eastAsia" w:ascii="宋体" w:hAnsi="宋体"/>
                <w:sz w:val="24"/>
                <w:szCs w:val="24"/>
              </w:rPr>
              <w:t>分</w:t>
            </w:r>
            <w:r>
              <w:rPr>
                <w:rFonts w:hint="eastAsia" w:ascii="宋体" w:hAnsi="宋体" w:cs="宋体"/>
                <w:sz w:val="24"/>
                <w:szCs w:val="24"/>
              </w:rPr>
              <w:t>）</w:t>
            </w:r>
          </w:p>
          <w:p>
            <w:pPr>
              <w:adjustRightInd w:val="0"/>
              <w:snapToGrid w:val="0"/>
              <w:jc w:val="left"/>
              <w:rPr>
                <w:rFonts w:ascii="宋体" w:hAnsi="宋体" w:cs="宋体"/>
                <w:sz w:val="24"/>
                <w:szCs w:val="24"/>
              </w:rPr>
            </w:pPr>
            <w:r>
              <w:rPr>
                <w:rFonts w:hint="eastAsia" w:ascii="宋体" w:hAnsi="宋体" w:cs="宋体"/>
                <w:sz w:val="24"/>
                <w:szCs w:val="24"/>
              </w:rPr>
              <w:t>Sn—第n 参选人的服务费报价</w:t>
            </w:r>
          </w:p>
          <w:p>
            <w:pPr>
              <w:adjustRightInd w:val="0"/>
              <w:snapToGrid w:val="0"/>
              <w:jc w:val="left"/>
              <w:rPr>
                <w:rFonts w:ascii="宋体" w:hAnsi="宋体" w:cs="宋体"/>
                <w:sz w:val="24"/>
                <w:szCs w:val="24"/>
              </w:rPr>
            </w:pPr>
            <w:r>
              <w:rPr>
                <w:rFonts w:hint="eastAsia" w:ascii="宋体" w:hAnsi="宋体" w:cs="宋体"/>
                <w:sz w:val="24"/>
                <w:szCs w:val="24"/>
              </w:rPr>
              <w:t>Sj—所有参选人所报的服务费报价基准价</w:t>
            </w:r>
          </w:p>
        </w:tc>
        <w:tc>
          <w:tcPr>
            <w:tcW w:w="992"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blPrEx>
          <w:tblCellMar>
            <w:top w:w="0" w:type="dxa"/>
            <w:left w:w="0" w:type="dxa"/>
            <w:bottom w:w="0" w:type="dxa"/>
            <w:right w:w="0" w:type="dxa"/>
          </w:tblCellMar>
        </w:tblPrEx>
        <w:trPr>
          <w:trHeight w:val="1443" w:hRule="atLeast"/>
          <w:jc w:val="center"/>
        </w:trPr>
        <w:tc>
          <w:tcPr>
            <w:tcW w:w="609"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73"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8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92"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tabs>
          <w:tab w:val="left" w:pos="0"/>
        </w:tabs>
        <w:snapToGrid w:val="0"/>
        <w:spacing w:line="360" w:lineRule="auto"/>
        <w:rPr>
          <w:rFonts w:ascii="宋体" w:hAnsi="宋体"/>
          <w:b/>
          <w:color w:val="0D0D0D" w:themeColor="text1" w:themeTint="F2"/>
          <w:kern w:val="0"/>
          <w:sz w:val="20"/>
          <w:szCs w:val="21"/>
          <w14:textFill>
            <w14:solidFill>
              <w14:schemeClr w14:val="tx1">
                <w14:lumMod w14:val="95000"/>
                <w14:lumOff w14:val="5000"/>
              </w14:schemeClr>
            </w14:solidFill>
          </w14:textFill>
        </w:rPr>
      </w:pPr>
    </w:p>
    <w:p>
      <w:pPr>
        <w:tabs>
          <w:tab w:val="left" w:pos="0"/>
        </w:tabs>
        <w:snapToGrid w:val="0"/>
        <w:spacing w:line="360" w:lineRule="auto"/>
        <w:rPr>
          <w:rFonts w:ascii="宋体" w:hAnsi="宋体"/>
          <w:b/>
          <w:color w:val="0D0D0D" w:themeColor="text1" w:themeTint="F2"/>
          <w:kern w:val="0"/>
          <w:sz w:val="20"/>
          <w:szCs w:val="21"/>
          <w14:textFill>
            <w14:solidFill>
              <w14:schemeClr w14:val="tx1">
                <w14:lumMod w14:val="95000"/>
                <w14:lumOff w14:val="5000"/>
              </w14:schemeClr>
            </w14:solidFill>
          </w14:textFill>
        </w:rPr>
      </w:pPr>
    </w:p>
    <w:p>
      <w:pPr>
        <w:pStyle w:val="2"/>
        <w:ind w:firstLine="402"/>
        <w:rPr>
          <w:rFonts w:hAnsi="宋体"/>
          <w:b/>
          <w:color w:val="0D0D0D" w:themeColor="text1" w:themeTint="F2"/>
          <w:szCs w:val="21"/>
          <w14:textFill>
            <w14:solidFill>
              <w14:schemeClr w14:val="tx1">
                <w14:lumMod w14:val="95000"/>
                <w14:lumOff w14:val="5000"/>
              </w14:schemeClr>
            </w14:solidFill>
          </w14:textFill>
        </w:rPr>
      </w:pPr>
    </w:p>
    <w:p>
      <w:pPr>
        <w:pStyle w:val="2"/>
        <w:ind w:firstLine="402"/>
        <w:rPr>
          <w:rFonts w:hAnsi="宋体"/>
          <w:b/>
          <w:color w:val="0D0D0D" w:themeColor="text1" w:themeTint="F2"/>
          <w:szCs w:val="21"/>
          <w14:textFill>
            <w14:solidFill>
              <w14:schemeClr w14:val="tx1">
                <w14:lumMod w14:val="95000"/>
                <w14:lumOff w14:val="5000"/>
              </w14:schemeClr>
            </w14:solidFill>
          </w14:textFill>
        </w:rPr>
      </w:pPr>
    </w:p>
    <w:p>
      <w:pPr>
        <w:pStyle w:val="2"/>
        <w:ind w:firstLine="402"/>
        <w:rPr>
          <w:rFonts w:hAnsi="宋体"/>
          <w:b/>
          <w:color w:val="0D0D0D" w:themeColor="text1" w:themeTint="F2"/>
          <w:szCs w:val="21"/>
          <w14:textFill>
            <w14:solidFill>
              <w14:schemeClr w14:val="tx1">
                <w14:lumMod w14:val="95000"/>
                <w14:lumOff w14:val="5000"/>
              </w14:schemeClr>
            </w14:solidFill>
          </w14:textFill>
        </w:rPr>
      </w:pP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附件8：商务标B包初步评审表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深铁珑境、深铁璟城巡展活动服务</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【B包：</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深铁璟城巡展活动服务</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w:t>
      </w:r>
    </w:p>
    <w:tbl>
      <w:tblPr>
        <w:tblStyle w:val="48"/>
        <w:tblW w:w="0" w:type="auto"/>
        <w:jc w:val="center"/>
        <w:tblLayout w:type="fixed"/>
        <w:tblCellMar>
          <w:top w:w="0" w:type="dxa"/>
          <w:left w:w="108" w:type="dxa"/>
          <w:bottom w:w="0" w:type="dxa"/>
          <w:right w:w="108" w:type="dxa"/>
        </w:tblCellMar>
      </w:tblPr>
      <w:tblGrid>
        <w:gridCol w:w="784"/>
        <w:gridCol w:w="5987"/>
        <w:gridCol w:w="1115"/>
        <w:gridCol w:w="1258"/>
        <w:gridCol w:w="1258"/>
        <w:gridCol w:w="1258"/>
        <w:gridCol w:w="1258"/>
        <w:gridCol w:w="1258"/>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7"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405"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807"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0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7"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4"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13"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的报价不高于总控制价及分项控制价</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1020"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52" w:hRule="atLeast"/>
          <w:jc w:val="center"/>
        </w:trPr>
        <w:tc>
          <w:tcPr>
            <w:tcW w:w="67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附表9</w:t>
      </w:r>
      <w:r>
        <w:rPr>
          <w:rFonts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b/>
          <w:color w:val="0D0D0D" w:themeColor="text1" w:themeTint="F2"/>
          <w:sz w:val="24"/>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B包</w:t>
      </w:r>
      <w:r>
        <w:rPr>
          <w:rFonts w:hint="eastAsia" w:ascii="宋体" w:hAnsi="宋体"/>
          <w:b/>
          <w:color w:val="0D0D0D" w:themeColor="text1" w:themeTint="F2"/>
          <w:sz w:val="24"/>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标B包详细评审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276"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深铁珑境、深铁璟城巡展活动服务</w:t>
      </w:r>
    </w:p>
    <w:p>
      <w:pPr>
        <w:spacing w:after="120" w:afterLines="50" w:line="276"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【B包：</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深铁璟城巡展活动服务</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w:t>
      </w:r>
    </w:p>
    <w:tbl>
      <w:tblPr>
        <w:tblStyle w:val="48"/>
        <w:tblW w:w="15176" w:type="dxa"/>
        <w:jc w:val="center"/>
        <w:tblLayout w:type="fixed"/>
        <w:tblCellMar>
          <w:top w:w="0" w:type="dxa"/>
          <w:left w:w="0" w:type="dxa"/>
          <w:bottom w:w="0" w:type="dxa"/>
          <w:right w:w="0" w:type="dxa"/>
        </w:tblCellMar>
      </w:tblPr>
      <w:tblGrid>
        <w:gridCol w:w="609"/>
        <w:gridCol w:w="1073"/>
        <w:gridCol w:w="5872"/>
        <w:gridCol w:w="992"/>
        <w:gridCol w:w="1326"/>
        <w:gridCol w:w="1326"/>
        <w:gridCol w:w="1326"/>
        <w:gridCol w:w="1326"/>
        <w:gridCol w:w="1326"/>
      </w:tblGrid>
      <w:tr>
        <w:tblPrEx>
          <w:tblCellMar>
            <w:top w:w="0" w:type="dxa"/>
            <w:left w:w="0" w:type="dxa"/>
            <w:bottom w:w="0" w:type="dxa"/>
            <w:right w:w="0" w:type="dxa"/>
          </w:tblCellMar>
        </w:tblPrEx>
        <w:trPr>
          <w:trHeight w:val="553" w:hRule="atLeast"/>
          <w:jc w:val="center"/>
        </w:trPr>
        <w:tc>
          <w:tcPr>
            <w:tcW w:w="609"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87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9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3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528" w:hRule="atLeast"/>
          <w:jc w:val="center"/>
        </w:trPr>
        <w:tc>
          <w:tcPr>
            <w:tcW w:w="609"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87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9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2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209" w:hRule="atLeast"/>
          <w:jc w:val="center"/>
        </w:trPr>
        <w:tc>
          <w:tcPr>
            <w:tcW w:w="609"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73"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872"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（2）商务分的确定：以进入商务标环节的所有参选人所报的服务费次低价为基准价且为满分30分。若次低价同时为最高价，则以最低价为基准价且为满分。按下列公式计算：</w:t>
            </w:r>
          </w:p>
          <w:p>
            <w:pPr>
              <w:adjustRightInd w:val="0"/>
              <w:snapToGrid w:val="0"/>
              <w:jc w:val="left"/>
              <w:rPr>
                <w:rFonts w:ascii="宋体" w:hAnsi="宋体" w:cs="宋体"/>
                <w:sz w:val="24"/>
                <w:szCs w:val="24"/>
              </w:rPr>
            </w:pPr>
            <w:r>
              <w:rPr>
                <w:rFonts w:hint="eastAsia" w:ascii="宋体" w:hAnsi="宋体" w:cs="宋体"/>
                <w:sz w:val="24"/>
                <w:szCs w:val="24"/>
              </w:rPr>
              <w:t>Fn=（30-30×│Sn-Sj│/Sj）</w:t>
            </w:r>
          </w:p>
          <w:p>
            <w:pPr>
              <w:adjustRightInd w:val="0"/>
              <w:snapToGrid w:val="0"/>
              <w:jc w:val="left"/>
              <w:rPr>
                <w:rFonts w:ascii="宋体" w:hAnsi="宋体" w:cs="宋体"/>
                <w:sz w:val="24"/>
                <w:szCs w:val="24"/>
              </w:rPr>
            </w:pPr>
            <w:r>
              <w:rPr>
                <w:rFonts w:hint="eastAsia" w:ascii="宋体" w:hAnsi="宋体" w:cs="宋体"/>
                <w:sz w:val="24"/>
                <w:szCs w:val="24"/>
              </w:rPr>
              <w:t>其中：Fn—第n参选人的商务得分（</w:t>
            </w:r>
            <w:r>
              <w:rPr>
                <w:rFonts w:hint="eastAsia" w:ascii="宋体" w:hAnsi="宋体"/>
                <w:sz w:val="24"/>
                <w:szCs w:val="24"/>
              </w:rPr>
              <w:t>若计算所得</w:t>
            </w:r>
            <w:r>
              <w:rPr>
                <w:rFonts w:ascii="宋体" w:hAnsi="宋体"/>
                <w:sz w:val="24"/>
                <w:szCs w:val="24"/>
              </w:rPr>
              <w:t>Fn ≤0</w:t>
            </w:r>
            <w:r>
              <w:rPr>
                <w:rFonts w:hint="eastAsia" w:ascii="宋体" w:hAnsi="宋体"/>
                <w:sz w:val="24"/>
                <w:szCs w:val="24"/>
              </w:rPr>
              <w:t>，则该参选人的商务得分定为</w:t>
            </w:r>
            <w:r>
              <w:rPr>
                <w:rFonts w:ascii="宋体" w:hAnsi="宋体"/>
                <w:sz w:val="24"/>
                <w:szCs w:val="24"/>
              </w:rPr>
              <w:t>0</w:t>
            </w:r>
            <w:r>
              <w:rPr>
                <w:rFonts w:hint="eastAsia" w:ascii="宋体" w:hAnsi="宋体"/>
                <w:sz w:val="24"/>
                <w:szCs w:val="24"/>
              </w:rPr>
              <w:t>分</w:t>
            </w:r>
            <w:r>
              <w:rPr>
                <w:rFonts w:hint="eastAsia" w:ascii="宋体" w:hAnsi="宋体" w:cs="宋体"/>
                <w:sz w:val="24"/>
                <w:szCs w:val="24"/>
              </w:rPr>
              <w:t>）</w:t>
            </w:r>
          </w:p>
          <w:p>
            <w:pPr>
              <w:adjustRightInd w:val="0"/>
              <w:snapToGrid w:val="0"/>
              <w:jc w:val="left"/>
              <w:rPr>
                <w:rFonts w:ascii="宋体" w:hAnsi="宋体" w:cs="宋体"/>
                <w:sz w:val="24"/>
                <w:szCs w:val="24"/>
              </w:rPr>
            </w:pPr>
            <w:r>
              <w:rPr>
                <w:rFonts w:hint="eastAsia" w:ascii="宋体" w:hAnsi="宋体" w:cs="宋体"/>
                <w:sz w:val="24"/>
                <w:szCs w:val="24"/>
              </w:rPr>
              <w:t>Sn—第n 参选人的服务费报价</w:t>
            </w:r>
          </w:p>
          <w:p>
            <w:pPr>
              <w:adjustRightInd w:val="0"/>
              <w:snapToGrid w:val="0"/>
              <w:jc w:val="left"/>
              <w:rPr>
                <w:rFonts w:ascii="宋体" w:hAnsi="宋体" w:cs="宋体"/>
                <w:sz w:val="24"/>
                <w:szCs w:val="24"/>
              </w:rPr>
            </w:pPr>
            <w:r>
              <w:rPr>
                <w:rFonts w:hint="eastAsia" w:ascii="宋体" w:hAnsi="宋体" w:cs="宋体"/>
                <w:sz w:val="24"/>
                <w:szCs w:val="24"/>
              </w:rPr>
              <w:t>Sj—所有参选人所报的服务费报价基准价</w:t>
            </w:r>
          </w:p>
        </w:tc>
        <w:tc>
          <w:tcPr>
            <w:tcW w:w="992"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blPrEx>
          <w:tblCellMar>
            <w:top w:w="0" w:type="dxa"/>
            <w:left w:w="0" w:type="dxa"/>
            <w:bottom w:w="0" w:type="dxa"/>
            <w:right w:w="0" w:type="dxa"/>
          </w:tblCellMar>
        </w:tblPrEx>
        <w:trPr>
          <w:trHeight w:val="1443" w:hRule="atLeast"/>
          <w:jc w:val="center"/>
        </w:trPr>
        <w:tc>
          <w:tcPr>
            <w:tcW w:w="609"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73"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8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92"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rPr>
          <w:rFonts w:ascii="宋体" w:hAnsi="宋体" w:cs="宋体"/>
          <w:b/>
          <w:bCs/>
          <w:color w:val="0D0D0D" w:themeColor="text1" w:themeTint="F2"/>
          <w:kern w:val="0"/>
          <w:sz w:val="32"/>
          <w:szCs w:val="32"/>
          <w14:textFill>
            <w14:solidFill>
              <w14:schemeClr w14:val="tx1">
                <w14:lumMod w14:val="95000"/>
                <w14:lumOff w14:val="5000"/>
              </w14:schemeClr>
            </w14:solidFill>
          </w14:textFill>
        </w:rPr>
        <w:sectPr>
          <w:headerReference r:id="rId5" w:type="default"/>
          <w:footerReference r:id="rId6" w:type="default"/>
          <w:pgSz w:w="16840" w:h="11907" w:orient="landscape"/>
          <w:pgMar w:top="1440" w:right="1440" w:bottom="1134" w:left="1440" w:header="720" w:footer="890" w:gutter="0"/>
          <w:cols w:space="720" w:num="1"/>
          <w:docGrid w:linePitch="312" w:charSpace="0"/>
        </w:sectPr>
      </w:pP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10</w:t>
      </w:r>
      <w:r>
        <w:rPr>
          <w:rFonts w:hint="eastAsia"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w:t>
      </w:r>
      <w:r>
        <w:rPr>
          <w:rFonts w:hint="eastAsia" w:ascii="宋体" w:hAnsi="宋体"/>
          <w:b/>
          <w:color w:val="0D0D0D" w:themeColor="text1" w:themeTint="F2"/>
          <w:sz w:val="24"/>
          <w14:textFill>
            <w14:solidFill>
              <w14:schemeClr w14:val="tx1">
                <w14:lumMod w14:val="95000"/>
                <w14:lumOff w14:val="5000"/>
              </w14:schemeClr>
            </w14:solidFill>
          </w14:textFill>
        </w:rPr>
        <w:t>参选人最终得分表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kern w:val="0"/>
          <w:sz w:val="36"/>
          <w:szCs w:val="36"/>
        </w:rPr>
      </w:pPr>
      <w:r>
        <w:rPr>
          <w:rFonts w:hint="eastAsia" w:ascii="宋体" w:hAnsi="宋体" w:cs="宋体"/>
          <w:b/>
          <w:bCs/>
          <w:kern w:val="0"/>
          <w:sz w:val="36"/>
          <w:szCs w:val="36"/>
        </w:rPr>
        <w:t>A包参选人最终得分结果汇总表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深铁珑境巡展活动服务</w:t>
      </w:r>
    </w:p>
    <w:tbl>
      <w:tblPr>
        <w:tblStyle w:val="48"/>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47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An=En+Fn</w:t>
            </w: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45"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b/>
          <w:bCs/>
          <w:kern w:val="0"/>
          <w:sz w:val="22"/>
          <w:szCs w:val="22"/>
        </w:rPr>
      </w:pPr>
      <w:r>
        <w:rPr>
          <w:rFonts w:hint="eastAsia" w:ascii="宋体" w:hAnsi="宋体" w:cs="宋体"/>
          <w:b/>
          <w:sz w:val="22"/>
          <w:szCs w:val="22"/>
        </w:rPr>
        <w:t>日期：</w:t>
      </w:r>
      <w:r>
        <w:rPr>
          <w:rFonts w:hint="eastAsia" w:ascii="宋体" w:hAnsi="宋体" w:cs="宋体"/>
          <w:sz w:val="22"/>
          <w:szCs w:val="22"/>
        </w:rPr>
        <w:t>年月日</w:t>
      </w:r>
    </w:p>
    <w:p>
      <w:pPr>
        <w:widowControl/>
        <w:spacing w:line="360" w:lineRule="auto"/>
        <w:jc w:val="left"/>
        <w:rPr>
          <w:rFonts w:ascii="宋体" w:hAnsi="宋体" w:cs="宋体"/>
          <w:b/>
          <w:bCs/>
          <w:kern w:val="0"/>
          <w:szCs w:val="21"/>
        </w:rPr>
      </w:pPr>
    </w:p>
    <w:p>
      <w:pPr>
        <w:pStyle w:val="2"/>
        <w:ind w:firstLine="402"/>
        <w:rPr>
          <w:rFonts w:hAnsi="宋体" w:cs="宋体"/>
          <w:b/>
          <w:bCs/>
          <w:szCs w:val="21"/>
        </w:rPr>
      </w:pPr>
    </w:p>
    <w:p>
      <w:pPr>
        <w:pStyle w:val="2"/>
        <w:ind w:firstLine="402"/>
        <w:rPr>
          <w:rFonts w:hAnsi="宋体" w:cs="宋体"/>
          <w:b/>
          <w:bCs/>
          <w:szCs w:val="21"/>
        </w:rPr>
      </w:pP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w:t>
      </w:r>
      <w:r>
        <w:rPr>
          <w:rFonts w:hint="eastAsia" w:ascii="宋体" w:hAnsi="宋体"/>
          <w:b/>
          <w:color w:val="0D0D0D" w:themeColor="text1" w:themeTint="F2"/>
          <w:sz w:val="24"/>
          <w14:textFill>
            <w14:solidFill>
              <w14:schemeClr w14:val="tx1">
                <w14:lumMod w14:val="95000"/>
                <w14:lumOff w14:val="5000"/>
              </w14:schemeClr>
            </w14:solidFill>
          </w14:textFill>
        </w:rPr>
        <w:t>1：</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w:t>
      </w:r>
      <w:r>
        <w:rPr>
          <w:rFonts w:hint="eastAsia" w:ascii="宋体" w:hAnsi="宋体"/>
          <w:b/>
          <w:color w:val="0D0D0D" w:themeColor="text1" w:themeTint="F2"/>
          <w:sz w:val="24"/>
          <w14:textFill>
            <w14:solidFill>
              <w14:schemeClr w14:val="tx1">
                <w14:lumMod w14:val="95000"/>
                <w14:lumOff w14:val="5000"/>
              </w14:schemeClr>
            </w14:solidFill>
          </w14:textFill>
        </w:rPr>
        <w:t>参选人最终得分表</w:t>
      </w: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kern w:val="0"/>
          <w:sz w:val="36"/>
          <w:szCs w:val="36"/>
        </w:rPr>
      </w:pPr>
      <w:r>
        <w:rPr>
          <w:rFonts w:hint="eastAsia" w:ascii="宋体" w:hAnsi="宋体" w:cs="宋体"/>
          <w:b/>
          <w:bCs/>
          <w:kern w:val="0"/>
          <w:sz w:val="36"/>
          <w:szCs w:val="36"/>
        </w:rPr>
        <w:t>B包参选人最终得分结果汇总表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深铁璟城巡展活动服务</w:t>
      </w:r>
    </w:p>
    <w:tbl>
      <w:tblPr>
        <w:tblStyle w:val="48"/>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47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An=En+Fn</w:t>
            </w: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45"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rPr>
          <w:rFonts w:ascii="宋体" w:hAnsi="宋体" w:cs="宋体"/>
          <w:b/>
          <w:sz w:val="22"/>
          <w:szCs w:val="22"/>
        </w:rPr>
      </w:pPr>
      <w:r>
        <w:rPr>
          <w:rFonts w:hint="eastAsia" w:ascii="宋体" w:hAnsi="宋体" w:cs="宋体"/>
          <w:b/>
          <w:sz w:val="22"/>
          <w:szCs w:val="22"/>
        </w:rPr>
        <w:br w:type="page"/>
      </w:r>
    </w:p>
    <w:p>
      <w:pPr>
        <w:pStyle w:val="2"/>
        <w:ind w:firstLine="400"/>
        <w:sectPr>
          <w:pgSz w:w="16840" w:h="11907" w:orient="landscape"/>
          <w:pgMar w:top="1440" w:right="1440" w:bottom="1134" w:left="1440" w:header="720" w:footer="890" w:gutter="0"/>
          <w:cols w:space="720" w:num="1"/>
        </w:sectPr>
      </w:pP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w:t>
      </w:r>
      <w:r>
        <w:rPr>
          <w:rFonts w:hint="eastAsia" w:ascii="宋体" w:hAnsi="宋体"/>
          <w:b/>
          <w:color w:val="0D0D0D" w:themeColor="text1" w:themeTint="F2"/>
          <w:sz w:val="24"/>
          <w14:textFill>
            <w14:solidFill>
              <w14:schemeClr w14:val="tx1">
                <w14:lumMod w14:val="95000"/>
                <w14:lumOff w14:val="5000"/>
              </w14:schemeClr>
            </w14:solidFill>
          </w14:textFill>
        </w:rPr>
        <w:t>2：A包参选人最终排序表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A</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比选项目名称：深铁珑境、深铁璟城巡展活动服务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【A包：</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深铁珑境巡展活动服务</w:t>
      </w: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8"/>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808"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4"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548"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32"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w:t>
      </w:r>
      <w:r>
        <w:rPr>
          <w:rFonts w:hint="eastAsia" w:ascii="宋体" w:hAnsi="宋体"/>
          <w:b/>
          <w:color w:val="0D0D0D" w:themeColor="text1" w:themeTint="F2"/>
          <w:sz w:val="24"/>
          <w14:textFill>
            <w14:solidFill>
              <w14:schemeClr w14:val="tx1">
                <w14:lumMod w14:val="95000"/>
                <w14:lumOff w14:val="5000"/>
              </w14:schemeClr>
            </w14:solidFill>
          </w14:textFill>
        </w:rPr>
        <w:t>2：B包参选人最终排序表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B</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比选项目名称：深铁珑境、深铁璟城巡展活动服务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【B包：</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深铁璟城巡展活动服务</w:t>
      </w: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8"/>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808"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4"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548"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32"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0"/>
        </w:tabs>
        <w:snapToGrid w:val="0"/>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p>
      <w:pPr>
        <w:tabs>
          <w:tab w:val="left" w:pos="0"/>
        </w:tabs>
        <w:snapToGrid w:val="0"/>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bookmarkStart w:id="75" w:name="_Toc197404916"/>
      <w:bookmarkStart w:id="76" w:name="_Toc197850644"/>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360" w:lineRule="auto"/>
        <w:jc w:val="left"/>
        <w:rPr>
          <w:rFonts w:ascii="宋体" w:hAnsi="宋体" w:cs="宋体"/>
          <w:b/>
          <w:sz w:val="24"/>
          <w:szCs w:val="24"/>
        </w:rPr>
      </w:pPr>
      <w:r>
        <w:rPr>
          <w:rFonts w:hint="eastAsia" w:ascii="宋体" w:hAnsi="宋体" w:cs="宋体"/>
          <w:b/>
          <w:sz w:val="24"/>
          <w:szCs w:val="24"/>
        </w:rPr>
        <w:t>附表</w:t>
      </w:r>
      <w:r>
        <w:rPr>
          <w:rFonts w:ascii="宋体" w:hAnsi="宋体" w:cs="宋体"/>
          <w:b/>
          <w:sz w:val="24"/>
          <w:szCs w:val="24"/>
        </w:rPr>
        <w:t>13</w:t>
      </w:r>
      <w:r>
        <w:rPr>
          <w:rFonts w:hint="eastAsia" w:ascii="宋体" w:hAnsi="宋体" w:cs="宋体"/>
          <w:b/>
          <w:sz w:val="24"/>
          <w:szCs w:val="24"/>
        </w:rPr>
        <w:t>：（此表由评委或参选人填写）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w:t>
      </w:r>
    </w:p>
    <w:p>
      <w:pPr>
        <w:jc w:val="left"/>
        <w:rPr>
          <w:rFonts w:ascii="宋体" w:hAnsi="宋体"/>
          <w:sz w:val="24"/>
          <w:szCs w:val="24"/>
        </w:rPr>
      </w:pPr>
      <w:r>
        <w:rPr>
          <w:rFonts w:hint="eastAsia" w:ascii="宋体" w:hAnsi="宋体"/>
          <w:sz w:val="24"/>
          <w:szCs w:val="24"/>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bl>
    <w:p>
      <w:pPr>
        <w:spacing w:line="560" w:lineRule="exact"/>
        <w:rPr>
          <w:rFonts w:ascii="宋体" w:hAnsi="宋体"/>
          <w:sz w:val="24"/>
          <w:szCs w:val="24"/>
        </w:rPr>
      </w:pPr>
    </w:p>
    <w:bookmarkEnd w:id="75"/>
    <w:bookmarkEnd w:id="76"/>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77" w:name="_Toc88680712"/>
      <w:bookmarkStart w:id="78" w:name="_Toc497549391"/>
      <w:bookmarkStart w:id="79" w:name="_Toc385992401"/>
      <w:bookmarkStart w:id="80" w:name="_Toc197850648"/>
      <w:bookmarkStart w:id="81" w:name="_Toc389620241"/>
      <w:bookmarkStart w:id="82" w:name="_Toc197404928"/>
      <w:bookmarkStart w:id="83" w:name="_Toc486842341"/>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77"/>
    </w:p>
    <w:p>
      <w:pPr>
        <w:spacing w:before="60" w:beforeLines="25" w:after="60" w:afterLines="25" w:line="480" w:lineRule="atLeast"/>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pStyle w:val="24"/>
        <w:spacing w:line="480" w:lineRule="atLeast"/>
      </w:pPr>
      <w:r>
        <w:rPr>
          <w:rFonts w:hAnsi="宋体"/>
          <w:color w:val="0D0D0D" w:themeColor="text1" w:themeTint="F2"/>
          <w14:textFill>
            <w14:solidFill>
              <w14:schemeClr w14:val="tx1">
                <w14:lumMod w14:val="95000"/>
                <w14:lumOff w14:val="5000"/>
              </w14:schemeClr>
            </w14:solidFill>
          </w14:textFill>
        </w:rPr>
        <w:br w:type="page"/>
      </w: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84" w:name="_Toc88680713"/>
      <w:r>
        <w:rPr>
          <w:rFonts w:hint="eastAsia" w:ascii="宋体" w:hAnsi="宋体"/>
          <w:color w:val="0D0D0D" w:themeColor="text1" w:themeTint="F2"/>
          <w:sz w:val="48"/>
          <w:szCs w:val="36"/>
          <w14:textFill>
            <w14:solidFill>
              <w14:schemeClr w14:val="tx1">
                <w14:lumMod w14:val="95000"/>
                <w14:lumOff w14:val="5000"/>
              </w14:schemeClr>
            </w14:solidFill>
          </w14:textFill>
        </w:rPr>
        <w:t>第一章</w:t>
      </w:r>
      <w:bookmarkEnd w:id="84"/>
    </w:p>
    <w:p>
      <w:pPr>
        <w:spacing w:line="480" w:lineRule="atLeast"/>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hAnsi="宋体"/>
          <w:b/>
          <w:bCs/>
          <w:color w:val="0D0D0D" w:themeColor="text1" w:themeTint="F2"/>
          <w:spacing w:val="-20"/>
          <w:sz w:val="52"/>
          <w:szCs w:val="52"/>
          <w14:textFill>
            <w14:solidFill>
              <w14:schemeClr w14:val="tx1">
                <w14:lumMod w14:val="95000"/>
                <w14:lumOff w14:val="5000"/>
              </w14:schemeClr>
            </w14:solidFill>
          </w14:textFill>
        </w:rPr>
        <w:t>深铁珑境、深铁璟城巡展活动服务</w:t>
      </w: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（技术标书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rPr>
          <w:rFonts w:ascii="宋体" w:hAnsi="宋体"/>
          <w:color w:val="0D0D0D" w:themeColor="text1" w:themeTint="F2"/>
          <w:sz w:val="52"/>
          <w:szCs w:val="52"/>
          <w:u w:val="single"/>
          <w14:textFill>
            <w14:solidFill>
              <w14:schemeClr w14:val="tx1">
                <w14:lumMod w14:val="95000"/>
                <w14:lumOff w14:val="5000"/>
              </w14:schemeClr>
            </w14:solidFill>
          </w14:textFill>
        </w:rPr>
      </w:pPr>
      <w:bookmarkStart w:id="85" w:name="_Toc19191474"/>
    </w:p>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提供材料的目录</w:t>
      </w:r>
      <w:bookmarkEnd w:id="85"/>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一、参选人营业执照复印件（加盖公章）</w:t>
      </w: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五、被授权人身份证复印件（加盖公章）【如递交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1"/>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w:t>
      </w:r>
      <w:r>
        <w:rPr>
          <w:rFonts w:hint="eastAsia"/>
          <w:b/>
          <w:color w:val="0D0D0D" w:themeColor="text1" w:themeTint="F2"/>
          <w14:textFill>
            <w14:solidFill>
              <w14:schemeClr w14:val="tx1">
                <w14:lumMod w14:val="95000"/>
                <w14:lumOff w14:val="5000"/>
              </w14:schemeClr>
            </w14:solidFill>
          </w14:textFill>
        </w:rPr>
        <w:t>业绩证明材料（加盖公章）</w:t>
      </w:r>
    </w:p>
    <w:p>
      <w:pPr>
        <w:pStyle w:val="81"/>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r>
        <w:rPr>
          <w:rFonts w:hint="eastAsia"/>
          <w:b/>
          <w:color w:val="0D0D0D" w:themeColor="text1" w:themeTint="F2"/>
          <w14:textFill>
            <w14:solidFill>
              <w14:schemeClr w14:val="tx1">
                <w14:lumMod w14:val="95000"/>
                <w14:lumOff w14:val="5000"/>
              </w14:schemeClr>
            </w14:solidFill>
          </w14:textFill>
        </w:rPr>
        <w:t>七、公司注册资金证明材料</w:t>
      </w:r>
    </w:p>
    <w:p>
      <w:pPr>
        <w:pStyle w:val="81"/>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r>
        <w:rPr>
          <w:rFonts w:hint="eastAsia"/>
          <w:b/>
          <w:color w:val="0D0D0D" w:themeColor="text1" w:themeTint="F2"/>
          <w14:textFill>
            <w14:solidFill>
              <w14:schemeClr w14:val="tx1">
                <w14:lumMod w14:val="95000"/>
                <w14:lumOff w14:val="5000"/>
              </w14:schemeClr>
            </w14:solidFill>
          </w14:textFill>
        </w:rPr>
        <w:t>八、巡展活动方案</w:t>
      </w:r>
    </w:p>
    <w:p>
      <w:pPr>
        <w:pStyle w:val="81"/>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6"/>
        <w:numPr>
          <w:ilvl w:val="0"/>
          <w:numId w:val="4"/>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86" w:name="_Toc88680714"/>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参选人营业执照复印件（加盖公章）</w:t>
      </w:r>
      <w:bookmarkEnd w:id="86"/>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6"/>
        <w:numPr>
          <w:ilvl w:val="2"/>
          <w:numId w:val="0"/>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87" w:name="_Toc88680715"/>
      <w:bookmarkStart w:id="88" w:name="_Toc510187106"/>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87"/>
      <w:bookmarkEnd w:id="88"/>
    </w:p>
    <w:p>
      <w:pPr>
        <w:spacing w:line="480" w:lineRule="atLeast"/>
        <w:ind w:firstLine="5651"/>
        <w:rPr>
          <w:rFonts w:eastAsia="华文中宋"/>
          <w:color w:val="0D0D0D" w:themeColor="text1" w:themeTint="F2"/>
          <w:sz w:val="2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4"/>
        <w:spacing w:line="480" w:lineRule="atLeast"/>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480" w:lineRule="atLeast"/>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480" w:lineRule="atLeast"/>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89" w:name="_Toc510187107"/>
      <w:bookmarkStart w:id="90" w:name="_Toc88680716"/>
      <w:bookmarkStart w:id="91" w:name="_Toc276575949"/>
      <w:r>
        <w:rPr>
          <w:rFonts w:hint="eastAsia" w:ascii="宋体" w:hAnsi="宋体"/>
          <w:color w:val="0D0D0D" w:themeColor="text1" w:themeTint="F2"/>
          <w:sz w:val="24"/>
          <w14:textFill>
            <w14:solidFill>
              <w14:schemeClr w14:val="tx1">
                <w14:lumMod w14:val="95000"/>
                <w14:lumOff w14:val="5000"/>
              </w14:schemeClr>
            </w14:solidFill>
          </w14:textFill>
        </w:rPr>
        <w:t>三、法定代表人身份证复印件</w:t>
      </w:r>
      <w:bookmarkEnd w:id="89"/>
      <w:bookmarkEnd w:id="90"/>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2" w:name="_Toc510187108"/>
      <w:bookmarkStart w:id="93" w:name="_Toc88680717"/>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bookmarkEnd w:id="92"/>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w:t>
      </w:r>
      <w:r>
        <w:rPr>
          <w:rFonts w:hint="eastAsia" w:ascii="宋体" w:hAnsi="宋体"/>
          <w:color w:val="0D0D0D" w:themeColor="text1" w:themeTint="F2"/>
          <w:sz w:val="24"/>
          <w14:textFill>
            <w14:solidFill>
              <w14:schemeClr w14:val="tx1">
                <w14:lumMod w14:val="95000"/>
                <w14:lumOff w14:val="5000"/>
              </w14:schemeClr>
            </w14:solidFill>
          </w14:textFill>
        </w:rPr>
        <w:t>文件人不是法定代表人时提供】</w:t>
      </w:r>
      <w:bookmarkEnd w:id="93"/>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pStyle w:val="15"/>
        <w:spacing w:line="480" w:lineRule="atLeast"/>
        <w:rPr>
          <w:color w:val="0D0D0D" w:themeColor="text1" w:themeTint="F2"/>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480" w:lineRule="atLeast"/>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pPr>
      <w:bookmarkStart w:id="94" w:name="_Toc510187109"/>
      <w:bookmarkStart w:id="95" w:name="_Toc88680718"/>
      <w:r>
        <w:rPr>
          <w:rFonts w:hint="eastAsia" w:ascii="宋体" w:hAnsi="宋体"/>
          <w:color w:val="0D0D0D" w:themeColor="text1" w:themeTint="F2"/>
          <w:sz w:val="24"/>
          <w14:textFill>
            <w14:solidFill>
              <w14:schemeClr w14:val="tx1">
                <w14:lumMod w14:val="95000"/>
                <w14:lumOff w14:val="5000"/>
              </w14:schemeClr>
            </w14:solidFill>
          </w14:textFill>
        </w:rPr>
        <w:t>五、被授权人身份证复印件</w:t>
      </w:r>
      <w:bookmarkEnd w:id="94"/>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比选文件</w:t>
      </w:r>
      <w:r>
        <w:rPr>
          <w:rFonts w:hint="eastAsia" w:ascii="宋体" w:hAnsi="宋体"/>
          <w:color w:val="0D0D0D" w:themeColor="text1" w:themeTint="F2"/>
          <w:sz w:val="24"/>
          <w14:textFill>
            <w14:solidFill>
              <w14:schemeClr w14:val="tx1">
                <w14:lumMod w14:val="95000"/>
                <w14:lumOff w14:val="5000"/>
              </w14:schemeClr>
            </w14:solidFill>
          </w14:textFill>
        </w:rPr>
        <w:t>人不是法定代表人时提供】</w:t>
      </w:r>
      <w:bookmarkEnd w:id="95"/>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headerReference r:id="rId7" w:type="default"/>
          <w:pgSz w:w="11907" w:h="16840"/>
          <w:pgMar w:top="1440" w:right="1134" w:bottom="1440" w:left="1440" w:header="720" w:footer="890" w:gutter="0"/>
          <w:cols w:space="720" w:num="1"/>
          <w:titlePg/>
          <w:docGrid w:linePitch="360" w:charSpace="0"/>
        </w:sectPr>
      </w:pP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96" w:name="_Toc88680719"/>
      <w:r>
        <w:rPr>
          <w:rFonts w:hint="eastAsia" w:ascii="宋体" w:hAnsi="宋体"/>
          <w:bCs/>
          <w:color w:val="0D0D0D" w:themeColor="text1" w:themeTint="F2"/>
          <w:kern w:val="2"/>
          <w:sz w:val="24"/>
          <w14:textFill>
            <w14:solidFill>
              <w14:schemeClr w14:val="tx1">
                <w14:lumMod w14:val="95000"/>
                <w14:lumOff w14:val="5000"/>
              </w14:schemeClr>
            </w14:solidFill>
          </w14:textFill>
        </w:rPr>
        <w:t>六、参选业绩证明材料（加盖公章）</w:t>
      </w:r>
      <w:bookmarkEnd w:id="96"/>
    </w:p>
    <w:p>
      <w:pPr>
        <w:pStyle w:val="3"/>
        <w:snapToGrid w:val="0"/>
        <w:ind w:left="0" w:leftChars="0" w:firstLine="480" w:firstLineChars="200"/>
        <w:rPr>
          <w:rFonts w:hAnsi="宋体"/>
          <w:sz w:val="24"/>
          <w:szCs w:val="24"/>
        </w:rPr>
      </w:pPr>
      <w:r>
        <w:rPr>
          <w:rFonts w:hint="eastAsia" w:hAnsi="宋体"/>
          <w:sz w:val="24"/>
          <w:szCs w:val="24"/>
        </w:rPr>
        <w:t>（1）资格证明要求所需的业绩证明文件</w:t>
      </w:r>
    </w:p>
    <w:p>
      <w:pPr>
        <w:pStyle w:val="3"/>
        <w:snapToGrid w:val="0"/>
        <w:ind w:left="0" w:leftChars="0" w:firstLine="480" w:firstLineChars="200"/>
        <w:rPr>
          <w:rFonts w:hAnsi="宋体"/>
          <w:sz w:val="24"/>
          <w:szCs w:val="24"/>
        </w:rPr>
      </w:pPr>
      <w:r>
        <w:rPr>
          <w:rFonts w:hint="eastAsia" w:hAnsi="宋体"/>
          <w:sz w:val="24"/>
          <w:szCs w:val="24"/>
        </w:rPr>
        <w:t>2019年1月1日至今，服务过全国50强或深圳20强房地产开发品牌（全国50强排名参考2019年-2021年中指研究院或易居克尔瑞数据，深圳20强排名参考2019-2021年深圳房协数据）在深圳的</w:t>
      </w:r>
      <w:r>
        <w:rPr>
          <w:rFonts w:hint="eastAsia" w:ascii="Times New Roman" w:hAnsi="宋体" w:eastAsia="宋体"/>
          <w:color w:val="auto"/>
          <w:sz w:val="24"/>
          <w:szCs w:val="24"/>
        </w:rPr>
        <w:t>房产项目巡展活动或展厅包装</w:t>
      </w:r>
      <w:r>
        <w:rPr>
          <w:rFonts w:hint="eastAsia" w:hAnsi="宋体"/>
          <w:sz w:val="24"/>
          <w:szCs w:val="24"/>
        </w:rPr>
        <w:t>案例至少两个。</w:t>
      </w:r>
    </w:p>
    <w:p>
      <w:pPr>
        <w:pStyle w:val="3"/>
        <w:snapToGrid w:val="0"/>
        <w:ind w:left="0" w:leftChars="0" w:firstLine="0" w:firstLineChars="0"/>
        <w:rPr>
          <w:rFonts w:hAnsi="宋体"/>
          <w:sz w:val="24"/>
          <w:szCs w:val="24"/>
        </w:rPr>
      </w:pPr>
      <w:r>
        <w:rPr>
          <w:rFonts w:hint="eastAsia" w:hAnsi="宋体"/>
          <w:sz w:val="24"/>
          <w:szCs w:val="24"/>
        </w:rPr>
        <w:t>备注：以上业绩证明材料需提供相关合同关键页复印件，日期以合同签约日期为准（加盖公章）。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技术标评审所需业绩证明文件</w:t>
      </w:r>
    </w:p>
    <w:p>
      <w:pPr>
        <w:pStyle w:val="3"/>
        <w:snapToGrid w:val="0"/>
        <w:ind w:left="0" w:leftChars="0" w:firstLine="480" w:firstLineChars="200"/>
        <w:rPr>
          <w:rFonts w:hAnsi="宋体"/>
          <w:sz w:val="24"/>
          <w:szCs w:val="24"/>
        </w:rPr>
      </w:pPr>
      <w:r>
        <w:rPr>
          <w:rFonts w:hint="eastAsia" w:hAnsi="宋体"/>
          <w:sz w:val="24"/>
          <w:szCs w:val="24"/>
        </w:rPr>
        <w:t>2019年1月1日至今，服务全国50强或深圳20强房地产开发公司（全国50强排名参考2019-2021年中指研究院或易居克而瑞数据，深圳20强排名参考2019-2021年深圳房协数据）在北上深三个一线城市落地的巡展案例，每个案例1分，最高10分，特装效果案例且合同金额20万以上（不含场地租赁）案例每个1分，最高10分。以上均需提供服务合同关键页复印件</w:t>
      </w:r>
      <w:r>
        <w:rPr>
          <w:rFonts w:hint="eastAsia" w:hAnsi="宋体"/>
          <w:sz w:val="24"/>
          <w:szCs w:val="24"/>
          <w:lang w:eastAsia="zh-CN"/>
        </w:rPr>
        <w:t>，</w:t>
      </w:r>
      <w:r>
        <w:rPr>
          <w:rFonts w:hint="eastAsia" w:hAnsi="宋体"/>
          <w:sz w:val="24"/>
          <w:szCs w:val="24"/>
          <w:lang w:val="en-US" w:eastAsia="zh-CN"/>
        </w:rPr>
        <w:t>以上两项案例得分可累计</w:t>
      </w:r>
      <w:r>
        <w:rPr>
          <w:rFonts w:hint="eastAsia" w:hAnsi="宋体"/>
          <w:sz w:val="24"/>
          <w:szCs w:val="24"/>
        </w:rPr>
        <w:t>。（本项最高20分）</w:t>
      </w:r>
    </w:p>
    <w:p>
      <w:pP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hAnsi="宋体"/>
          <w:sz w:val="24"/>
          <w:szCs w:val="24"/>
        </w:rPr>
        <w:t xml:space="preserve">    </w:t>
      </w:r>
      <w:r>
        <w:rPr>
          <w:rFonts w:hint="eastAsia" w:hAnsi="宋体"/>
          <w:kern w:val="0"/>
          <w:sz w:val="24"/>
          <w:szCs w:val="24"/>
        </w:rPr>
        <w:t>备注：</w:t>
      </w:r>
      <w:r>
        <w:rPr>
          <w:rFonts w:hint="eastAsia" w:ascii="Times New Roman" w:hAnsi="宋体" w:eastAsia="宋体" w:cs="Times New Roman"/>
          <w:kern w:val="0"/>
          <w:sz w:val="24"/>
          <w:szCs w:val="24"/>
        </w:rPr>
        <w:t>以上均需提供服务合同关键页复印件。</w:t>
      </w:r>
      <w:r>
        <w:rPr>
          <w:rFonts w:hint="eastAsia" w:ascii="宋体" w:hAnsi="宋体"/>
          <w:color w:val="0D0D0D" w:themeColor="text1" w:themeTint="F2"/>
          <w:sz w:val="24"/>
          <w:szCs w:val="24"/>
          <w14:textFill>
            <w14:solidFill>
              <w14:schemeClr w14:val="tx1">
                <w14:lumMod w14:val="95000"/>
                <w14:lumOff w14:val="5000"/>
              </w14:schemeClr>
            </w14:solidFill>
          </w14:textFill>
        </w:rPr>
        <w:br w:type="page"/>
      </w: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14:textFill>
            <w14:solidFill>
              <w14:schemeClr w14:val="tx1">
                <w14:lumMod w14:val="95000"/>
                <w14:lumOff w14:val="5000"/>
              </w14:schemeClr>
            </w14:solidFill>
          </w14:textFill>
        </w:rPr>
        <w:t>七、公司注册资金证明文件</w:t>
      </w:r>
    </w:p>
    <w:p>
      <w:pPr>
        <w:pStyle w:val="2"/>
        <w:ind w:firstLine="400"/>
      </w:pPr>
    </w:p>
    <w:p>
      <w:pPr>
        <w:pStyle w:val="2"/>
        <w:ind w:firstLine="400"/>
      </w:pPr>
    </w:p>
    <w:p>
      <w:pPr>
        <w:pStyle w:val="2"/>
        <w:ind w:firstLine="400"/>
        <w:sectPr>
          <w:pgSz w:w="11907" w:h="16840"/>
          <w:pgMar w:top="1440" w:right="1134" w:bottom="1440" w:left="1440" w:header="720" w:footer="890" w:gutter="0"/>
          <w:cols w:space="720" w:num="1"/>
          <w:titlePg/>
          <w:docGrid w:linePitch="360" w:charSpace="0"/>
        </w:sect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bookmarkStart w:id="97" w:name="_Toc88680720"/>
    </w:p>
    <w:p>
      <w:pPr>
        <w:pStyle w:val="81"/>
        <w:spacing w:before="50" w:line="480" w:lineRule="atLeast"/>
        <w:rPr>
          <w:b/>
          <w:color w:val="0D0D0D" w:themeColor="text1" w:themeTint="F2"/>
          <w14:textFill>
            <w14:solidFill>
              <w14:schemeClr w14:val="tx1">
                <w14:lumMod w14:val="95000"/>
                <w14:lumOff w14:val="5000"/>
              </w14:schemeClr>
            </w14:solidFill>
          </w14:textFill>
        </w:rPr>
      </w:pPr>
      <w:r>
        <w:rPr>
          <w:rFonts w:hint="eastAsia"/>
          <w:b/>
          <w:color w:val="0D0D0D" w:themeColor="text1" w:themeTint="F2"/>
          <w14:textFill>
            <w14:solidFill>
              <w14:schemeClr w14:val="tx1">
                <w14:lumMod w14:val="95000"/>
                <w14:lumOff w14:val="5000"/>
              </w14:schemeClr>
            </w14:solidFill>
          </w14:textFill>
        </w:rPr>
        <w:t>八、深铁珑境、深铁璟城巡展活动服务方案</w:t>
      </w: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p>
    <w:p>
      <w:pPr>
        <w:rPr>
          <w:rFonts w:ascii="宋体" w:hAnsi="宋体"/>
          <w:color w:val="0D0D0D" w:themeColor="text1" w:themeTint="F2"/>
          <w:sz w:val="48"/>
          <w:szCs w:val="36"/>
          <w14:textFill>
            <w14:solidFill>
              <w14:schemeClr w14:val="tx1">
                <w14:lumMod w14:val="95000"/>
                <w14:lumOff w14:val="5000"/>
              </w14:schemeClr>
            </w14:solidFill>
          </w14:textFill>
        </w:rPr>
      </w:pPr>
      <w:r>
        <w:rPr>
          <w:rFonts w:hint="eastAsia" w:ascii="宋体" w:hAnsi="宋体"/>
          <w:color w:val="0D0D0D" w:themeColor="text1" w:themeTint="F2"/>
          <w:sz w:val="48"/>
          <w:szCs w:val="36"/>
          <w14:textFill>
            <w14:solidFill>
              <w14:schemeClr w14:val="tx1">
                <w14:lumMod w14:val="95000"/>
                <w14:lumOff w14:val="5000"/>
              </w14:schemeClr>
            </w14:solidFill>
          </w14:textFill>
        </w:rPr>
        <w:br w:type="page"/>
      </w: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r>
        <w:rPr>
          <w:rFonts w:hint="eastAsia" w:ascii="宋体" w:hAnsi="宋体"/>
          <w:color w:val="0D0D0D" w:themeColor="text1" w:themeTint="F2"/>
          <w:sz w:val="48"/>
          <w:szCs w:val="36"/>
          <w14:textFill>
            <w14:solidFill>
              <w14:schemeClr w14:val="tx1">
                <w14:lumMod w14:val="95000"/>
                <w14:lumOff w14:val="5000"/>
              </w14:schemeClr>
            </w14:solidFill>
          </w14:textFill>
        </w:rPr>
        <w:t>第三章</w:t>
      </w:r>
      <w:bookmarkEnd w:id="97"/>
    </w:p>
    <w:p>
      <w:pPr>
        <w:ind w:firstLine="1575" w:firstLineChars="750"/>
        <w:rPr>
          <w:color w:val="0D0D0D" w:themeColor="text1" w:themeTint="F2"/>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hAnsi="宋体"/>
          <w:b/>
          <w:bCs/>
          <w:color w:val="0D0D0D" w:themeColor="text1" w:themeTint="F2"/>
          <w:spacing w:val="-20"/>
          <w:sz w:val="52"/>
          <w:szCs w:val="52"/>
          <w14:textFill>
            <w14:solidFill>
              <w14:schemeClr w14:val="tx1">
                <w14:lumMod w14:val="95000"/>
                <w14:lumOff w14:val="5000"/>
              </w14:schemeClr>
            </w14:solidFill>
          </w14:textFill>
        </w:rPr>
        <w:t>深铁珑境、深铁璟城巡展活动服务</w:t>
      </w:r>
    </w:p>
    <w:p>
      <w:pPr>
        <w:jc w:val="center"/>
        <w:rPr>
          <w:color w:val="0D0D0D" w:themeColor="text1" w:themeTint="F2"/>
          <w:sz w:val="44"/>
          <w:szCs w:val="44"/>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r>
        <w:rPr>
          <w:rFonts w:hint="eastAsia" w:hAnsi="宋体"/>
          <w:bCs/>
          <w:color w:val="0D0D0D" w:themeColor="text1" w:themeTint="F2"/>
          <w:spacing w:val="-20"/>
          <w:sz w:val="44"/>
          <w:szCs w:val="44"/>
          <w14:textFill>
            <w14:solidFill>
              <w14:schemeClr w14:val="tx1">
                <w14:lumMod w14:val="95000"/>
                <w14:lumOff w14:val="5000"/>
              </w14:schemeClr>
            </w14:solidFill>
          </w14:textFill>
        </w:rPr>
        <w:t>深铁珑境、深铁璟城巡展活动服务</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【A包：深铁珑境巡展活动服务</w:t>
      </w:r>
      <w:r>
        <w:rPr>
          <w:rFonts w:hint="eastAsia" w:hAnsi="宋体"/>
          <w:b/>
          <w:color w:val="0D0D0D" w:themeColor="text1" w:themeTint="F2"/>
          <w:sz w:val="56"/>
          <w:szCs w:val="56"/>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bookmarkStart w:id="98" w:name="_Toc518494154"/>
      <w:bookmarkStart w:id="99" w:name="_Toc19191481"/>
      <w:bookmarkStart w:id="100" w:name="_Toc276575955"/>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bookmarkEnd w:id="98"/>
      <w:bookmarkEnd w:id="99"/>
      <w:bookmarkEnd w:id="100"/>
    </w:p>
    <w:p>
      <w:pPr>
        <w:pStyle w:val="24"/>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Ansi="宋体"/>
          <w:sz w:val="24"/>
          <w:szCs w:val="24"/>
        </w:rPr>
      </w:pPr>
      <w:r>
        <w:rPr>
          <w:rFonts w:hAnsi="宋体"/>
          <w:sz w:val="24"/>
          <w:szCs w:val="24"/>
        </w:rPr>
        <w:t>致：</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adjustRightInd w:val="0"/>
        <w:snapToGrid w:val="0"/>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ascii="宋体" w:hAnsi="宋体"/>
          <w:sz w:val="24"/>
          <w:u w:val="single"/>
        </w:rPr>
        <w:t xml:space="preserve">                 </w:t>
      </w:r>
      <w:r>
        <w:rPr>
          <w:rFonts w:ascii="宋体" w:hAnsi="宋体"/>
          <w:sz w:val="24"/>
        </w:rPr>
        <w:t>）作为</w:t>
      </w:r>
      <w:r>
        <w:rPr>
          <w:rFonts w:hint="eastAsia" w:ascii="宋体" w:hAnsi="宋体"/>
          <w:b/>
          <w:bCs/>
          <w:sz w:val="24"/>
        </w:rPr>
        <w:t>深铁珑境巡展活动服务的报价；</w:t>
      </w:r>
      <w:r>
        <w:rPr>
          <w:rFonts w:ascii="宋体" w:hAnsi="宋体"/>
          <w:sz w:val="24"/>
        </w:rPr>
        <w:t>并按合同条件以及国家和地方有关规定的要求，承担并完成本项目的任务。</w:t>
      </w:r>
    </w:p>
    <w:p>
      <w:pPr>
        <w:adjustRightInd w:val="0"/>
        <w:snapToGrid w:val="0"/>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adjustRightInd w:val="0"/>
        <w:snapToGrid w:val="0"/>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adjustRightInd w:val="0"/>
        <w:snapToGrid w:val="0"/>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adjustRightInd w:val="0"/>
        <w:snapToGrid w:val="0"/>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adjustRightInd w:val="0"/>
        <w:snapToGrid w:val="0"/>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adjustRightInd w:val="0"/>
        <w:snapToGrid w:val="0"/>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adjustRightInd w:val="0"/>
        <w:snapToGrid w:val="0"/>
        <w:spacing w:line="336" w:lineRule="auto"/>
        <w:ind w:firstLine="480" w:firstLineChars="200"/>
        <w:rPr>
          <w:rFonts w:ascii="宋体" w:hAnsi="宋体"/>
          <w:sz w:val="24"/>
        </w:rPr>
      </w:pPr>
    </w:p>
    <w:p>
      <w:pPr>
        <w:adjustRightInd w:val="0"/>
        <w:snapToGrid w:val="0"/>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深铁珑境巡展活动服务价格清单</w:t>
      </w:r>
    </w:p>
    <w:p>
      <w:pPr>
        <w:pStyle w:val="15"/>
        <w:spacing w:line="520" w:lineRule="exact"/>
        <w:ind w:firstLine="0"/>
        <w:jc w:val="center"/>
        <w:rPr>
          <w:rFonts w:ascii="宋体" w:hAnsi="宋体"/>
          <w:b/>
          <w:bCs/>
          <w:color w:val="0D0D0D" w:themeColor="text1" w:themeTint="F2"/>
          <w:sz w:val="24"/>
          <w:szCs w:val="24"/>
          <w14:textFill>
            <w14:solidFill>
              <w14:schemeClr w14:val="tx1">
                <w14:lumMod w14:val="95000"/>
                <w14:lumOff w14:val="5000"/>
              </w14:schemeClr>
            </w14:solidFill>
          </w14:textFill>
        </w:rPr>
      </w:pPr>
    </w:p>
    <w:tbl>
      <w:tblPr>
        <w:tblStyle w:val="48"/>
        <w:tblW w:w="9471" w:type="dxa"/>
        <w:tblInd w:w="93" w:type="dxa"/>
        <w:tblLayout w:type="fixed"/>
        <w:tblCellMar>
          <w:top w:w="0" w:type="dxa"/>
          <w:left w:w="108" w:type="dxa"/>
          <w:bottom w:w="0" w:type="dxa"/>
          <w:right w:w="108" w:type="dxa"/>
        </w:tblCellMar>
      </w:tblPr>
      <w:tblGrid>
        <w:gridCol w:w="363"/>
        <w:gridCol w:w="1636"/>
        <w:gridCol w:w="2414"/>
        <w:gridCol w:w="2002"/>
        <w:gridCol w:w="1629"/>
        <w:gridCol w:w="1427"/>
      </w:tblGrid>
      <w:tr>
        <w:trPr>
          <w:trHeight w:val="534" w:hRule="atLeast"/>
        </w:trPr>
        <w:tc>
          <w:tcPr>
            <w:tcW w:w="36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编号</w:t>
            </w:r>
          </w:p>
        </w:tc>
        <w:tc>
          <w:tcPr>
            <w:tcW w:w="163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项目</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场地示意图</w:t>
            </w:r>
          </w:p>
        </w:tc>
        <w:tc>
          <w:tcPr>
            <w:tcW w:w="200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期限</w:t>
            </w:r>
          </w:p>
        </w:tc>
        <w:tc>
          <w:tcPr>
            <w:tcW w:w="16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kern w:val="0"/>
                <w:sz w:val="24"/>
                <w:szCs w:val="24"/>
                <w:lang w:bidi="ar"/>
              </w:rPr>
            </w:pPr>
            <w:r>
              <w:rPr>
                <w:rFonts w:hint="eastAsia" w:ascii="宋体" w:hAnsi="宋体" w:cs="宋体"/>
                <w:b/>
                <w:bCs/>
                <w:color w:val="000000"/>
                <w:kern w:val="0"/>
                <w:sz w:val="24"/>
                <w:szCs w:val="24"/>
                <w:lang w:bidi="ar"/>
              </w:rPr>
              <w:t>单价</w:t>
            </w:r>
          </w:p>
        </w:tc>
        <w:tc>
          <w:tcPr>
            <w:tcW w:w="14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kern w:val="0"/>
                <w:sz w:val="24"/>
                <w:szCs w:val="24"/>
                <w:lang w:bidi="ar"/>
              </w:rPr>
            </w:pPr>
            <w:r>
              <w:rPr>
                <w:rFonts w:hint="eastAsia" w:ascii="宋体" w:hAnsi="宋体" w:cs="宋体"/>
                <w:b/>
                <w:bCs/>
                <w:color w:val="000000"/>
                <w:kern w:val="0"/>
                <w:sz w:val="24"/>
                <w:szCs w:val="24"/>
                <w:lang w:bidi="ar"/>
              </w:rPr>
              <w:t>总价</w:t>
            </w:r>
          </w:p>
        </w:tc>
      </w:tr>
      <w:tr>
        <w:tblPrEx>
          <w:tblCellMar>
            <w:top w:w="0" w:type="dxa"/>
            <w:left w:w="108" w:type="dxa"/>
            <w:bottom w:w="0" w:type="dxa"/>
            <w:right w:w="108" w:type="dxa"/>
          </w:tblCellMar>
        </w:tblPrEx>
        <w:trPr>
          <w:trHeight w:val="1738" w:hRule="atLeast"/>
        </w:trPr>
        <w:tc>
          <w:tcPr>
            <w:tcW w:w="36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1</w:t>
            </w:r>
          </w:p>
        </w:tc>
        <w:tc>
          <w:tcPr>
            <w:tcW w:w="16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龙华天虹中庭场地（约</w:t>
            </w:r>
            <w:r>
              <w:rPr>
                <w:rFonts w:hint="eastAsia" w:ascii="宋体" w:hAnsi="宋体" w:cs="宋体"/>
                <w:color w:val="000000"/>
                <w:kern w:val="0"/>
                <w:sz w:val="24"/>
                <w:szCs w:val="24"/>
                <w:lang w:val="en-US" w:eastAsia="zh-CN" w:bidi="ar"/>
              </w:rPr>
              <w:t>100</w:t>
            </w:r>
            <w:r>
              <w:rPr>
                <w:rFonts w:hint="eastAsia" w:ascii="宋体" w:hAnsi="宋体" w:cs="宋体"/>
                <w:color w:val="000000"/>
                <w:kern w:val="0"/>
                <w:sz w:val="24"/>
                <w:szCs w:val="24"/>
                <w:lang w:bidi="ar"/>
              </w:rPr>
              <w:t>㎡）</w:t>
            </w:r>
          </w:p>
        </w:tc>
        <w:tc>
          <w:tcPr>
            <w:tcW w:w="24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4"/>
                <w:szCs w:val="24"/>
              </w:rPr>
            </w:pPr>
            <w:r>
              <w:rPr>
                <w:rFonts w:ascii="仿宋_GB2312" w:hAnsi="宋体" w:eastAsia="仿宋_GB2312" w:cs="宋体"/>
                <w:color w:val="000000"/>
                <w:kern w:val="0"/>
                <w:sz w:val="22"/>
              </w:rPr>
              <w:drawing>
                <wp:anchor distT="0" distB="0" distL="114300" distR="114300" simplePos="0" relativeHeight="251663360" behindDoc="0" locked="0" layoutInCell="1" allowOverlap="1">
                  <wp:simplePos x="0" y="0"/>
                  <wp:positionH relativeFrom="column">
                    <wp:posOffset>-8255</wp:posOffset>
                  </wp:positionH>
                  <wp:positionV relativeFrom="paragraph">
                    <wp:posOffset>50165</wp:posOffset>
                  </wp:positionV>
                  <wp:extent cx="1292225" cy="929640"/>
                  <wp:effectExtent l="0" t="0" r="3175" b="3810"/>
                  <wp:wrapNone/>
                  <wp:docPr id="6" name="图片 2" descr="164275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1642752151(1)"/>
                          <pic:cNvPicPr>
                            <a:picLocks noChangeAspect="1"/>
                          </pic:cNvPicPr>
                        </pic:nvPicPr>
                        <pic:blipFill>
                          <a:blip r:embed="rId10"/>
                          <a:stretch>
                            <a:fillRect/>
                          </a:stretch>
                        </pic:blipFill>
                        <pic:spPr>
                          <a:xfrm>
                            <a:off x="0" y="0"/>
                            <a:ext cx="1292225" cy="929640"/>
                          </a:xfrm>
                          <a:prstGeom prst="rect">
                            <a:avLst/>
                          </a:prstGeom>
                          <a:noFill/>
                          <a:ln>
                            <a:noFill/>
                          </a:ln>
                        </pic:spPr>
                      </pic:pic>
                    </a:graphicData>
                  </a:graphic>
                </wp:anchor>
              </w:drawing>
            </w:r>
          </w:p>
        </w:tc>
        <w:tc>
          <w:tcPr>
            <w:tcW w:w="200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color w:val="000000"/>
                <w:kern w:val="0"/>
                <w:sz w:val="24"/>
                <w:szCs w:val="24"/>
                <w:lang w:bidi="ar"/>
              </w:rPr>
              <w:t>45天（暂定2022.5.9-2022.6.23）</w:t>
            </w:r>
          </w:p>
        </w:tc>
        <w:tc>
          <w:tcPr>
            <w:tcW w:w="16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4"/>
                <w:szCs w:val="24"/>
                <w:lang w:bidi="ar"/>
              </w:rPr>
            </w:pPr>
          </w:p>
        </w:tc>
        <w:tc>
          <w:tcPr>
            <w:tcW w:w="14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4"/>
                <w:szCs w:val="24"/>
                <w:lang w:bidi="ar"/>
              </w:rPr>
            </w:pPr>
          </w:p>
        </w:tc>
      </w:tr>
      <w:tr>
        <w:tblPrEx>
          <w:tblCellMar>
            <w:top w:w="0" w:type="dxa"/>
            <w:left w:w="108" w:type="dxa"/>
            <w:bottom w:w="0" w:type="dxa"/>
            <w:right w:w="108" w:type="dxa"/>
          </w:tblCellMar>
        </w:tblPrEx>
        <w:trPr>
          <w:trHeight w:val="579" w:hRule="atLeast"/>
        </w:trPr>
        <w:tc>
          <w:tcPr>
            <w:tcW w:w="641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4"/>
                <w:szCs w:val="24"/>
                <w:lang w:bidi="ar"/>
              </w:rPr>
            </w:pPr>
            <w:r>
              <w:rPr>
                <w:rFonts w:hint="eastAsia" w:ascii="仿宋_GB2312" w:hAnsi="宋体" w:eastAsia="仿宋_GB2312" w:cs="宋体"/>
                <w:color w:val="000000"/>
                <w:kern w:val="0"/>
                <w:sz w:val="22"/>
              </w:rPr>
              <w:t>合计（万元 不含税）</w:t>
            </w:r>
          </w:p>
        </w:tc>
        <w:tc>
          <w:tcPr>
            <w:tcW w:w="3056"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4"/>
                <w:szCs w:val="24"/>
                <w:lang w:bidi="ar"/>
              </w:rPr>
            </w:pPr>
          </w:p>
        </w:tc>
      </w:tr>
      <w:tr>
        <w:tblPrEx>
          <w:tblCellMar>
            <w:top w:w="0" w:type="dxa"/>
            <w:left w:w="108" w:type="dxa"/>
            <w:bottom w:w="0" w:type="dxa"/>
            <w:right w:w="108" w:type="dxa"/>
          </w:tblCellMar>
        </w:tblPrEx>
        <w:trPr>
          <w:trHeight w:val="579" w:hRule="atLeast"/>
        </w:trPr>
        <w:tc>
          <w:tcPr>
            <w:tcW w:w="641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税率</w:t>
            </w:r>
          </w:p>
        </w:tc>
        <w:tc>
          <w:tcPr>
            <w:tcW w:w="3056"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4"/>
                <w:szCs w:val="24"/>
                <w:lang w:bidi="ar"/>
              </w:rPr>
            </w:pPr>
          </w:p>
        </w:tc>
      </w:tr>
      <w:tr>
        <w:tblPrEx>
          <w:tblCellMar>
            <w:top w:w="0" w:type="dxa"/>
            <w:left w:w="108" w:type="dxa"/>
            <w:bottom w:w="0" w:type="dxa"/>
            <w:right w:w="108" w:type="dxa"/>
          </w:tblCellMar>
        </w:tblPrEx>
        <w:trPr>
          <w:trHeight w:val="579" w:hRule="atLeast"/>
        </w:trPr>
        <w:tc>
          <w:tcPr>
            <w:tcW w:w="641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合计（含税）</w:t>
            </w:r>
          </w:p>
        </w:tc>
        <w:tc>
          <w:tcPr>
            <w:tcW w:w="3056"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4"/>
                <w:szCs w:val="24"/>
                <w:lang w:bidi="ar"/>
              </w:rPr>
            </w:pPr>
          </w:p>
        </w:tc>
      </w:tr>
    </w:tbl>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8"/>
        <w:tblW w:w="9375" w:type="dxa"/>
        <w:tblInd w:w="93" w:type="dxa"/>
        <w:tblLayout w:type="autofit"/>
        <w:tblCellMar>
          <w:top w:w="0" w:type="dxa"/>
          <w:left w:w="108" w:type="dxa"/>
          <w:bottom w:w="0" w:type="dxa"/>
          <w:right w:w="108" w:type="dxa"/>
        </w:tblCellMar>
      </w:tblPr>
      <w:tblGrid>
        <w:gridCol w:w="610"/>
        <w:gridCol w:w="994"/>
        <w:gridCol w:w="1373"/>
        <w:gridCol w:w="603"/>
        <w:gridCol w:w="2990"/>
        <w:gridCol w:w="456"/>
        <w:gridCol w:w="616"/>
        <w:gridCol w:w="879"/>
        <w:gridCol w:w="879"/>
      </w:tblGrid>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编号</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项目</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品类名称</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示意图</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工艺/材料/尺寸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单位</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数量</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val="en-US" w:eastAsia="zh-CN" w:bidi="ar"/>
              </w:rPr>
              <w:t>单价（元）</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val="en-US" w:eastAsia="zh-CN" w:bidi="ar"/>
              </w:rPr>
              <w:t>总价（元）</w:t>
            </w:r>
          </w:p>
        </w:tc>
      </w:tr>
      <w:tr>
        <w:tblPrEx>
          <w:tblCellMar>
            <w:top w:w="0" w:type="dxa"/>
            <w:left w:w="108" w:type="dxa"/>
            <w:bottom w:w="0" w:type="dxa"/>
            <w:right w:w="108" w:type="dxa"/>
          </w:tblCellMar>
        </w:tblPrEx>
        <w:trPr>
          <w:trHeight w:val="90" w:hRule="atLeast"/>
        </w:trPr>
        <w:tc>
          <w:tcPr>
            <w:tcW w:w="937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kern w:val="0"/>
                <w:sz w:val="22"/>
                <w:lang w:bidi="ar"/>
              </w:rPr>
            </w:pPr>
            <w:r>
              <w:rPr>
                <w:rFonts w:hint="eastAsia" w:ascii="宋体" w:hAnsi="宋体" w:eastAsia="宋体" w:cs="宋体"/>
                <w:b/>
                <w:bCs/>
                <w:color w:val="000000"/>
                <w:kern w:val="0"/>
                <w:sz w:val="22"/>
                <w:lang w:bidi="ar"/>
              </w:rPr>
              <w:t>（1）特装展位主体部分</w:t>
            </w: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地台</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木地台</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搭建5-10cm高地台，金属龙骨铺15mm厚木工板尺寸：（根据场地情况调整）</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100</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地板胶</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铺设地板胶，不锈钢包边</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100</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地台LED灯带</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地苔周边装LED发光灯带</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展厅外墙形象</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展厅主体结构</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金属龙骨架结构支撑</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异型外墙设计</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异形木质油漆板，LED发光灯带装饰</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外墙灯箱</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超薄发光灯箱，封UV软膜写真画面</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不锈钢发光字</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项目LOGO和项目价值语发光字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9</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展厅内墙形象</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异型内墙设计</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异形木质油漆板，LED发光灯带装饰</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10</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墙面互动装置</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墙面灯光电互动装置，网红拍照打卡点</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超薄液晶电视</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highlight w:val="none"/>
                <w:lang w:val="en-US" w:eastAsia="zh-CN" w:bidi="ar"/>
              </w:rPr>
              <w:t>租赁</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75寸以上液晶电视</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台</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11</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价值展示灯箱</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超薄发光灯箱，封UV软膜写真画面</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13</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不锈钢发光字</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项目LOGO和项目价值语发光字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14</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接待部分</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洽谈桌椅</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highlight w:val="none"/>
                <w:lang w:val="en-US" w:eastAsia="zh-CN" w:bidi="ar"/>
              </w:rPr>
              <w:t>租赁</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高档洽谈桌椅 ，需体现档次感，一桌四椅</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接待区背景</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接待区背景造型，项目LOGO不锈钢发光字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16</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接待台</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定制接待台，后面做抽屉和柜子，带储物功能，镶嵌LED发光灯带</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17</w:t>
            </w:r>
          </w:p>
        </w:tc>
        <w:tc>
          <w:tcPr>
            <w:tcW w:w="99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互动部分</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礼盒装置</w:t>
            </w:r>
          </w:p>
        </w:tc>
        <w:tc>
          <w:tcPr>
            <w:tcW w:w="60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szCs w:val="24"/>
              </w:rPr>
            </w:pP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每位客户扫码关注订阅号并留联系方式，每天设置礼品</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个</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szCs w:val="24"/>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19</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展示部分</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资料架</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kern w:val="0"/>
                <w:sz w:val="20"/>
                <w:szCs w:val="20"/>
                <w:highlight w:val="none"/>
                <w:lang w:val="en-US" w:eastAsia="zh-CN" w:bidi="ar"/>
              </w:rPr>
              <w:t>租赁</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不锈钢落地资料架</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20</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广告机</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租赁</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55寸广告机</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21</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展架/画架</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租赁</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木质展架0.8*1.2（h）m</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22</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其他</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绿植/装饰</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仿真花艺/盆栽（根据现场效果布置）</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23</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落地项目LOGO</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木质基座，不锈钢立体发光字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24</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照明系统</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符合展位照明需求</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25</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电线/漏电开关</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国标电线，漏电开关，插座等</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szCs w:val="24"/>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26</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现场维护</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物料维修</w:t>
            </w:r>
          </w:p>
        </w:tc>
        <w:tc>
          <w:tcPr>
            <w:tcW w:w="3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期间物料维护及画面更换</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27</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运输安装</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运输费</w:t>
            </w:r>
          </w:p>
        </w:tc>
        <w:tc>
          <w:tcPr>
            <w:tcW w:w="3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物料运输（含撤展）</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28</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安装费</w:t>
            </w:r>
          </w:p>
        </w:tc>
        <w:tc>
          <w:tcPr>
            <w:tcW w:w="3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人工安装费用（含撤展）</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9375" w:type="dxa"/>
            <w:gridSpan w:val="9"/>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kern w:val="0"/>
                <w:sz w:val="22"/>
                <w:lang w:bidi="ar"/>
              </w:rPr>
            </w:pPr>
            <w:r>
              <w:rPr>
                <w:rFonts w:hint="eastAsia" w:ascii="宋体" w:hAnsi="宋体" w:eastAsia="宋体" w:cs="宋体"/>
                <w:b/>
                <w:bCs/>
                <w:color w:val="000000"/>
                <w:kern w:val="0"/>
                <w:sz w:val="22"/>
                <w:lang w:bidi="ar"/>
              </w:rPr>
              <w:t>（2）展位互动部分</w:t>
            </w: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演艺</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小型表演（茶艺/魔术），表演内容需符合项目高端调性</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每周周六及周日，上午及下午时间定时表演吸引客户，合计12天；</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天</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兼职</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PT（兼职）费用</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4个周末共12天，每天2人，含定制logo工作服</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人</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24</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0"/>
                <w:szCs w:val="20"/>
                <w:lang w:bidi="ar"/>
              </w:rPr>
              <w:t>饮用水</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景田支装水</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szCs w:val="24"/>
              </w:rPr>
            </w:pPr>
          </w:p>
        </w:tc>
        <w:tc>
          <w:tcPr>
            <w:tcW w:w="2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24支一箱</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箱子</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szCs w:val="24"/>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饮水机</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0"/>
                <w:szCs w:val="20"/>
              </w:rPr>
            </w:pP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美的饮水机，冰热两用，含5L桶装水10桶，含定制纸杯3000个</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9375" w:type="dxa"/>
            <w:gridSpan w:val="9"/>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kern w:val="0"/>
                <w:sz w:val="22"/>
                <w:lang w:bidi="ar"/>
              </w:rPr>
            </w:pPr>
            <w:r>
              <w:rPr>
                <w:rFonts w:hint="eastAsia" w:ascii="宋体" w:hAnsi="宋体" w:eastAsia="宋体" w:cs="宋体"/>
                <w:b/>
                <w:bCs/>
                <w:color w:val="000000"/>
                <w:kern w:val="0"/>
                <w:sz w:val="22"/>
                <w:lang w:bidi="ar"/>
              </w:rPr>
              <w:t>（3）礼品部分</w:t>
            </w:r>
          </w:p>
        </w:tc>
      </w:tr>
      <w:tr>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礼品定制</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礼品</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每天设置礼品约50份，礼品可提供建议，单份礼品上限30元</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份</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2250</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76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lang w:bidi="ar"/>
              </w:rPr>
              <w:t>合计（不含税）</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76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lang w:bidi="ar"/>
              </w:rPr>
              <w:t>税率</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90" w:hRule="atLeast"/>
        </w:trPr>
        <w:tc>
          <w:tcPr>
            <w:tcW w:w="76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lang w:bidi="ar"/>
              </w:rPr>
              <w:t>合计（含税）</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bl>
    <w:p>
      <w:pPr>
        <w:pStyle w:val="2"/>
        <w:ind w:firstLine="400"/>
      </w:pPr>
    </w:p>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9"/>
        <w:tblW w:w="9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8"/>
        <w:gridCol w:w="2571"/>
        <w:gridCol w:w="225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248"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项目</w:t>
            </w:r>
          </w:p>
        </w:tc>
        <w:tc>
          <w:tcPr>
            <w:tcW w:w="2571" w:type="dxa"/>
          </w:tcPr>
          <w:p>
            <w:pPr>
              <w:snapToGrid w:val="0"/>
              <w:spacing w:before="240"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不含税报价（万元）</w:t>
            </w:r>
          </w:p>
        </w:tc>
        <w:tc>
          <w:tcPr>
            <w:tcW w:w="2250" w:type="dxa"/>
          </w:tcPr>
          <w:p>
            <w:pPr>
              <w:snapToGrid w:val="0"/>
              <w:spacing w:before="240"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税率</w:t>
            </w:r>
          </w:p>
        </w:tc>
        <w:tc>
          <w:tcPr>
            <w:tcW w:w="2250" w:type="dxa"/>
          </w:tcPr>
          <w:p>
            <w:pPr>
              <w:snapToGrid w:val="0"/>
              <w:spacing w:before="240"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含税总价（万元）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248"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场地</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费用</w:t>
            </w:r>
          </w:p>
        </w:tc>
        <w:tc>
          <w:tcPr>
            <w:tcW w:w="2571"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248"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展位包装及活动</w:t>
            </w:r>
          </w:p>
        </w:tc>
        <w:tc>
          <w:tcPr>
            <w:tcW w:w="2571"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248"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场地、展位包装及活动总报价</w:t>
            </w:r>
          </w:p>
        </w:tc>
        <w:tc>
          <w:tcPr>
            <w:tcW w:w="2571"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vAlign w:val="center"/>
          </w:tcPr>
          <w:p>
            <w:pPr>
              <w:snapToGrid w:val="0"/>
              <w:spacing w:before="240"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r>
    </w:tbl>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hint="eastAsia" w:ascii="宋体" w:hAnsi="宋体"/>
          <w:color w:val="0D0D0D" w:themeColor="text1" w:themeTint="F2"/>
          <w:sz w:val="24"/>
          <w:szCs w:val="24"/>
          <w14:textFill>
            <w14:solidFill>
              <w14:schemeClr w14:val="tx1">
                <w14:lumMod w14:val="95000"/>
                <w14:lumOff w14:val="5000"/>
              </w14:schemeClr>
            </w14:solidFill>
          </w14:textFill>
        </w:rPr>
        <w:t>1、以上展位包装及活动明细表报价需包含但不限于如上内容，各供应商可根据方案新增物料。</w:t>
      </w:r>
    </w:p>
    <w:p>
      <w:pPr>
        <w:snapToGrid w:val="0"/>
        <w:spacing w:before="240"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3、服务费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价款含本项目服务过程中发生的场地费、策划费、执行费、设计费、制作费、人工费、交通费、政府报批收费、税金、撤场清理费、物料看管费、报批费等一切乙方为了履行本服务所产生的费用。</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asciiTheme="minorEastAsia" w:hAnsiTheme="minorEastAsia"/>
          <w:bCs/>
          <w:sz w:val="36"/>
          <w:szCs w:val="36"/>
        </w:rPr>
      </w:pPr>
    </w:p>
    <w:p>
      <w:pPr>
        <w:pStyle w:val="24"/>
        <w:spacing w:before="240" w:beforeLines="100" w:after="120" w:afterLines="50" w:line="480" w:lineRule="atLeast"/>
        <w:jc w:val="center"/>
        <w:rPr>
          <w:rFonts w:asciiTheme="minorEastAsia" w:hAnsiTheme="minorEastAsia"/>
          <w:b/>
          <w:sz w:val="44"/>
          <w:szCs w:val="44"/>
        </w:rPr>
      </w:pPr>
      <w:r>
        <w:rPr>
          <w:rFonts w:hint="eastAsia" w:asciiTheme="minorEastAsia" w:hAnsiTheme="minorEastAsia"/>
          <w:b/>
          <w:sz w:val="44"/>
          <w:szCs w:val="44"/>
        </w:rPr>
        <w:t>深铁珑境、深铁璟城巡展活动服务</w:t>
      </w:r>
    </w:p>
    <w:p>
      <w:pPr>
        <w:pStyle w:val="24"/>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w:t>
      </w:r>
      <w:r>
        <w:rPr>
          <w:rFonts w:hAnsi="宋体"/>
          <w:b/>
          <w:sz w:val="56"/>
          <w:szCs w:val="56"/>
        </w:rPr>
        <w:t>B</w:t>
      </w:r>
      <w:r>
        <w:rPr>
          <w:rFonts w:hint="eastAsia" w:hAnsi="宋体"/>
          <w:b/>
          <w:sz w:val="56"/>
          <w:szCs w:val="56"/>
        </w:rPr>
        <w:t>包：深铁璟城巡展活动服务</w:t>
      </w:r>
      <w:r>
        <w:rPr>
          <w:rFonts w:hint="eastAsia" w:hAnsi="宋体"/>
          <w:b/>
          <w:color w:val="0D0D0D" w:themeColor="text1" w:themeTint="F2"/>
          <w:sz w:val="56"/>
          <w:szCs w:val="56"/>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napToGrid w:val="0"/>
        <w:spacing w:line="36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p>
    <w:p>
      <w:pPr>
        <w:pStyle w:val="24"/>
        <w:snapToGrid w:val="0"/>
        <w:spacing w:line="360"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Ansi="宋体"/>
          <w:sz w:val="24"/>
          <w:szCs w:val="24"/>
        </w:rPr>
      </w:pPr>
      <w:r>
        <w:rPr>
          <w:rFonts w:hAnsi="宋体"/>
          <w:sz w:val="24"/>
          <w:szCs w:val="24"/>
        </w:rPr>
        <w:t>致：</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adjustRightInd w:val="0"/>
        <w:snapToGrid w:val="0"/>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hint="eastAsia" w:ascii="宋体" w:hAnsi="宋体"/>
          <w:sz w:val="24"/>
        </w:rPr>
        <w:t>：</w:t>
      </w:r>
      <w:r>
        <w:rPr>
          <w:rFonts w:ascii="宋体" w:hAnsi="宋体"/>
          <w:sz w:val="24"/>
          <w:u w:val="single"/>
        </w:rPr>
        <w:t xml:space="preserve">                 </w:t>
      </w:r>
      <w:r>
        <w:rPr>
          <w:rFonts w:ascii="宋体" w:hAnsi="宋体"/>
          <w:sz w:val="24"/>
        </w:rPr>
        <w:t>）作为</w:t>
      </w:r>
      <w:r>
        <w:rPr>
          <w:rFonts w:hint="eastAsia" w:ascii="宋体" w:hAnsi="宋体"/>
          <w:b/>
          <w:bCs/>
          <w:sz w:val="24"/>
        </w:rPr>
        <w:t>深铁璟城巡展活动服务的报价</w:t>
      </w:r>
      <w:r>
        <w:rPr>
          <w:rFonts w:hint="eastAsia" w:ascii="宋体" w:hAnsi="宋体"/>
          <w:sz w:val="24"/>
        </w:rPr>
        <w:t>；</w:t>
      </w:r>
      <w:r>
        <w:rPr>
          <w:rFonts w:ascii="宋体" w:hAnsi="宋体"/>
          <w:sz w:val="24"/>
        </w:rPr>
        <w:t>并按合同条件以及国家和地方有关规定的要求，承担并完成本项目的任务。</w:t>
      </w:r>
    </w:p>
    <w:p>
      <w:pPr>
        <w:adjustRightInd w:val="0"/>
        <w:snapToGrid w:val="0"/>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adjustRightInd w:val="0"/>
        <w:snapToGrid w:val="0"/>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adjustRightInd w:val="0"/>
        <w:snapToGrid w:val="0"/>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adjustRightInd w:val="0"/>
        <w:snapToGrid w:val="0"/>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adjustRightInd w:val="0"/>
        <w:snapToGrid w:val="0"/>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adjustRightInd w:val="0"/>
        <w:snapToGrid w:val="0"/>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adjustRightInd w:val="0"/>
        <w:snapToGrid w:val="0"/>
        <w:spacing w:line="336" w:lineRule="auto"/>
        <w:ind w:firstLine="480" w:firstLineChars="200"/>
        <w:rPr>
          <w:rFonts w:ascii="宋体" w:hAnsi="宋体"/>
          <w:sz w:val="24"/>
        </w:rPr>
      </w:pPr>
    </w:p>
    <w:p>
      <w:pPr>
        <w:adjustRightInd w:val="0"/>
        <w:snapToGrid w:val="0"/>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深铁璟城巡展活动服务价格清单</w:t>
      </w:r>
    </w:p>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8"/>
        <w:tblW w:w="9666" w:type="dxa"/>
        <w:tblInd w:w="93" w:type="dxa"/>
        <w:tblLayout w:type="fixed"/>
        <w:tblCellMar>
          <w:top w:w="0" w:type="dxa"/>
          <w:left w:w="108" w:type="dxa"/>
          <w:bottom w:w="0" w:type="dxa"/>
          <w:right w:w="108" w:type="dxa"/>
        </w:tblCellMar>
      </w:tblPr>
      <w:tblGrid>
        <w:gridCol w:w="437"/>
        <w:gridCol w:w="962"/>
        <w:gridCol w:w="1176"/>
        <w:gridCol w:w="4865"/>
        <w:gridCol w:w="1159"/>
        <w:gridCol w:w="1067"/>
      </w:tblGrid>
      <w:tr>
        <w:tblPrEx>
          <w:tblCellMar>
            <w:top w:w="0" w:type="dxa"/>
            <w:left w:w="108" w:type="dxa"/>
            <w:bottom w:w="0" w:type="dxa"/>
            <w:right w:w="108" w:type="dxa"/>
          </w:tblCellMar>
        </w:tblPrEx>
        <w:trPr>
          <w:trHeight w:val="600" w:hRule="atLeast"/>
        </w:trPr>
        <w:tc>
          <w:tcPr>
            <w:tcW w:w="43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编号</w:t>
            </w:r>
          </w:p>
        </w:tc>
        <w:tc>
          <w:tcPr>
            <w:tcW w:w="9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项目</w:t>
            </w:r>
          </w:p>
        </w:tc>
        <w:tc>
          <w:tcPr>
            <w:tcW w:w="11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品类名称</w:t>
            </w:r>
          </w:p>
        </w:tc>
        <w:tc>
          <w:tcPr>
            <w:tcW w:w="48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期限</w:t>
            </w:r>
          </w:p>
        </w:tc>
        <w:tc>
          <w:tcPr>
            <w:tcW w:w="115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单价（元/天）</w:t>
            </w:r>
          </w:p>
        </w:tc>
        <w:tc>
          <w:tcPr>
            <w:tcW w:w="10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总价</w:t>
            </w:r>
          </w:p>
        </w:tc>
      </w:tr>
      <w:tr>
        <w:tblPrEx>
          <w:tblCellMar>
            <w:top w:w="0" w:type="dxa"/>
            <w:left w:w="108" w:type="dxa"/>
            <w:bottom w:w="0" w:type="dxa"/>
            <w:right w:w="108" w:type="dxa"/>
          </w:tblCellMar>
        </w:tblPrEx>
        <w:trPr>
          <w:trHeight w:val="1484" w:hRule="atLeast"/>
        </w:trPr>
        <w:tc>
          <w:tcPr>
            <w:tcW w:w="43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1</w:t>
            </w:r>
          </w:p>
        </w:tc>
        <w:tc>
          <w:tcPr>
            <w:tcW w:w="9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新沙天虹中庭场地（约120㎡）</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场地</w:t>
            </w:r>
            <w:r>
              <w:rPr>
                <w:rFonts w:hint="eastAsia" w:ascii="宋体" w:hAnsi="宋体" w:cs="宋体"/>
                <w:color w:val="000000"/>
                <w:kern w:val="0"/>
                <w:sz w:val="24"/>
                <w:szCs w:val="24"/>
                <w:lang w:val="en-US" w:eastAsia="zh-CN" w:bidi="ar"/>
              </w:rPr>
              <w:t>费用</w:t>
            </w:r>
          </w:p>
        </w:tc>
        <w:tc>
          <w:tcPr>
            <w:tcW w:w="48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30天（暂定2022.4.29-2022.5.28）</w:t>
            </w:r>
          </w:p>
        </w:tc>
        <w:tc>
          <w:tcPr>
            <w:tcW w:w="1159"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b/>
                <w:bCs/>
                <w:color w:val="000000"/>
                <w:sz w:val="24"/>
                <w:szCs w:val="24"/>
              </w:rPr>
            </w:pPr>
          </w:p>
        </w:tc>
        <w:tc>
          <w:tcPr>
            <w:tcW w:w="10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b/>
                <w:bCs/>
                <w:color w:val="000000"/>
                <w:sz w:val="24"/>
                <w:szCs w:val="24"/>
              </w:rPr>
            </w:pPr>
          </w:p>
        </w:tc>
      </w:tr>
      <w:tr>
        <w:tblPrEx>
          <w:tblCellMar>
            <w:top w:w="0" w:type="dxa"/>
            <w:left w:w="108" w:type="dxa"/>
            <w:bottom w:w="0" w:type="dxa"/>
            <w:right w:w="108" w:type="dxa"/>
          </w:tblCellMar>
        </w:tblPrEx>
        <w:trPr>
          <w:trHeight w:val="305" w:hRule="atLeast"/>
        </w:trPr>
        <w:tc>
          <w:tcPr>
            <w:tcW w:w="7440"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小计（万元 不含税）</w:t>
            </w:r>
          </w:p>
        </w:tc>
        <w:tc>
          <w:tcPr>
            <w:tcW w:w="2226"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b/>
                <w:bCs/>
                <w:color w:val="000000"/>
                <w:sz w:val="24"/>
                <w:szCs w:val="24"/>
              </w:rPr>
            </w:pPr>
          </w:p>
        </w:tc>
      </w:tr>
      <w:tr>
        <w:tblPrEx>
          <w:tblCellMar>
            <w:top w:w="0" w:type="dxa"/>
            <w:left w:w="108" w:type="dxa"/>
            <w:bottom w:w="0" w:type="dxa"/>
            <w:right w:w="108" w:type="dxa"/>
          </w:tblCellMar>
        </w:tblPrEx>
        <w:trPr>
          <w:trHeight w:val="305" w:hRule="atLeast"/>
        </w:trPr>
        <w:tc>
          <w:tcPr>
            <w:tcW w:w="7440"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税率</w:t>
            </w:r>
          </w:p>
        </w:tc>
        <w:tc>
          <w:tcPr>
            <w:tcW w:w="2226"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b/>
                <w:bCs/>
                <w:color w:val="000000"/>
                <w:sz w:val="24"/>
                <w:szCs w:val="24"/>
              </w:rPr>
            </w:pPr>
          </w:p>
        </w:tc>
      </w:tr>
      <w:tr>
        <w:tblPrEx>
          <w:tblCellMar>
            <w:top w:w="0" w:type="dxa"/>
            <w:left w:w="108" w:type="dxa"/>
            <w:bottom w:w="0" w:type="dxa"/>
            <w:right w:w="108" w:type="dxa"/>
          </w:tblCellMar>
        </w:tblPrEx>
        <w:trPr>
          <w:trHeight w:val="314" w:hRule="atLeast"/>
        </w:trPr>
        <w:tc>
          <w:tcPr>
            <w:tcW w:w="7440"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小计（含税）</w:t>
            </w:r>
          </w:p>
        </w:tc>
        <w:tc>
          <w:tcPr>
            <w:tcW w:w="2226"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b/>
                <w:bCs/>
                <w:color w:val="000000"/>
                <w:sz w:val="24"/>
                <w:szCs w:val="24"/>
              </w:rPr>
            </w:pPr>
          </w:p>
        </w:tc>
      </w:tr>
    </w:tbl>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8"/>
        <w:tblW w:w="9616" w:type="dxa"/>
        <w:tblInd w:w="93" w:type="dxa"/>
        <w:tblLayout w:type="fixed"/>
        <w:tblCellMar>
          <w:top w:w="0" w:type="dxa"/>
          <w:left w:w="108" w:type="dxa"/>
          <w:bottom w:w="0" w:type="dxa"/>
          <w:right w:w="108" w:type="dxa"/>
        </w:tblCellMar>
      </w:tblPr>
      <w:tblGrid>
        <w:gridCol w:w="423"/>
        <w:gridCol w:w="1045"/>
        <w:gridCol w:w="1443"/>
        <w:gridCol w:w="1173"/>
        <w:gridCol w:w="2702"/>
        <w:gridCol w:w="625"/>
        <w:gridCol w:w="521"/>
        <w:gridCol w:w="820"/>
        <w:gridCol w:w="864"/>
      </w:tblGrid>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编号</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项目</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品类名称</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示意图</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工艺/材料/尺寸</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单位</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数量</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val="en-US" w:eastAsia="zh-CN" w:bidi="ar"/>
              </w:rPr>
              <w:t>单价（元）</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val="en-US" w:eastAsia="zh-CN" w:bidi="ar"/>
              </w:rPr>
              <w:t>总价（元）</w:t>
            </w:r>
          </w:p>
        </w:tc>
      </w:tr>
      <w:tr>
        <w:tblPrEx>
          <w:tblCellMar>
            <w:top w:w="0" w:type="dxa"/>
            <w:left w:w="108" w:type="dxa"/>
            <w:bottom w:w="0" w:type="dxa"/>
            <w:right w:w="108" w:type="dxa"/>
          </w:tblCellMar>
        </w:tblPrEx>
        <w:trPr>
          <w:trHeight w:val="428"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地台</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木地台</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搭建5-10cm高地台，金属龙骨铺15mm厚木工板尺寸：（根据场地情况调整）</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160"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地板胶</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铺设地板胶，不锈钢包边</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160"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地台LED灯带</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地台周边装LED发光灯带</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160"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展厅外墙形象</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展厅主体结构</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金属龙骨架结构支撑</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7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异型外墙设计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异形木质油漆板，LED发光灯带装饰</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287"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外墙灯箱</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超薄发光灯箱，封UV软膜写真画面</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287"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不锈钢发光字</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项目LOGO和项目价值语发光字</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rPr>
          <w:trHeight w:val="37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9</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展厅内墙形象</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异型内墙设计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异形木质油漆板，LED发光灯带装饰</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7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10</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墙面互动装置</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墙面灯光电互动装置，网红拍照打卡点</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160"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超薄液晶电视</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highlight w:val="none"/>
                <w:lang w:val="en-US" w:eastAsia="zh-CN" w:bidi="ar"/>
              </w:rPr>
              <w:t>租赁</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75寸以上液晶电视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11</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价值展示灯箱</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超薄发光灯箱，封UV软膜写真画面</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13</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不锈钢发光字</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项目LOGO和项目价值语发光字</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46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14</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接待部分</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洽谈桌椅</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highlight w:val="none"/>
                <w:lang w:val="en-US" w:eastAsia="zh-CN" w:bidi="ar"/>
              </w:rPr>
              <w:t>租赁</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高档洽谈桌椅 ，需体现档次感，一桌四椅</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46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接待区背景</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接待区背景造型，项目LOGO不锈钢发光字</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732"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16</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接待台</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定制接待台，后面做抽屉和柜子，带储物功能，镶嵌LED发光灯带</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822"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17</w:t>
            </w:r>
          </w:p>
        </w:tc>
        <w:tc>
          <w:tcPr>
            <w:tcW w:w="104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互动部分</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礼盒装置</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每位客户扫码关注订阅号并留联系方式，每天设置礼品约60份，合计1800份</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个</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szCs w:val="24"/>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szCs w:val="24"/>
                <w:lang w:bidi="ar"/>
              </w:rPr>
            </w:pPr>
          </w:p>
        </w:tc>
      </w:tr>
      <w:tr>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19</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展示部分</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资料架</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highlight w:val="none"/>
                <w:lang w:eastAsia="zh-CN"/>
              </w:rPr>
            </w:pPr>
            <w:r>
              <w:rPr>
                <w:rFonts w:hint="eastAsia" w:ascii="宋体" w:hAnsi="宋体" w:eastAsia="宋体" w:cs="宋体"/>
                <w:color w:val="000000"/>
                <w:kern w:val="0"/>
                <w:sz w:val="20"/>
                <w:szCs w:val="20"/>
                <w:highlight w:val="none"/>
                <w:lang w:val="en-US" w:eastAsia="zh-CN" w:bidi="ar"/>
              </w:rPr>
              <w:t>租赁</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不锈钢落地资料架</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20</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广告机</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租赁</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55寸广告机</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21</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展架/画架</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租赁</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木质展架0.8*1.2（h）m</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7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22</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其他</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绿植/装饰</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仿真花艺/盆栽（根据现场效果布置）</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7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23</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落地项目LOGO</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木质基座，不锈钢立体发光字</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24</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照明系统</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符合展位照明需求</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25</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电线/漏电开关</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国标电线，漏电开关，插座等</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szCs w:val="24"/>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26</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现场维护</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物料维修</w:t>
            </w:r>
          </w:p>
        </w:tc>
        <w:tc>
          <w:tcPr>
            <w:tcW w:w="3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期间物料维护及画面更换</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27</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运输安装</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运输费</w:t>
            </w:r>
          </w:p>
        </w:tc>
        <w:tc>
          <w:tcPr>
            <w:tcW w:w="3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物料运输（含撤展）</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28</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安装费</w:t>
            </w:r>
          </w:p>
        </w:tc>
        <w:tc>
          <w:tcPr>
            <w:tcW w:w="3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人工安装费用（含撤展）</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160" w:hRule="atLeast"/>
        </w:trPr>
        <w:tc>
          <w:tcPr>
            <w:tcW w:w="96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kern w:val="0"/>
                <w:sz w:val="22"/>
                <w:lang w:bidi="ar"/>
              </w:rPr>
            </w:pPr>
            <w:r>
              <w:rPr>
                <w:rFonts w:hint="eastAsia" w:ascii="宋体" w:hAnsi="宋体" w:eastAsia="宋体" w:cs="宋体"/>
                <w:b/>
                <w:bCs/>
                <w:color w:val="000000"/>
                <w:kern w:val="0"/>
                <w:sz w:val="22"/>
                <w:lang w:bidi="ar"/>
              </w:rPr>
              <w:t>（2）展位互动部分</w:t>
            </w:r>
          </w:p>
        </w:tc>
      </w:tr>
      <w:tr>
        <w:tblPrEx>
          <w:tblCellMar>
            <w:top w:w="0" w:type="dxa"/>
            <w:left w:w="108" w:type="dxa"/>
            <w:bottom w:w="0" w:type="dxa"/>
            <w:right w:w="108" w:type="dxa"/>
          </w:tblCellMar>
        </w:tblPrEx>
        <w:trPr>
          <w:trHeight w:val="642"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演艺</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小型表演（茶艺/魔术），表演内容需符合项目高端调性</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周末+五一假期，上午及下午时间定时表演吸引客户，合计10天；</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天</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rPr>
          <w:trHeight w:val="37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兼职</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PT（兼职）费用</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周末+五一假期共10天，每天2人</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人</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191"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0"/>
                <w:szCs w:val="20"/>
                <w:lang w:bidi="ar"/>
              </w:rPr>
              <w:t>饮用水</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景田支装水</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szCs w:val="24"/>
              </w:rPr>
            </w:pPr>
          </w:p>
        </w:tc>
        <w:tc>
          <w:tcPr>
            <w:tcW w:w="2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24支一箱</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箱子</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552"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szCs w:val="24"/>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饮水机</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0"/>
                <w:szCs w:val="20"/>
              </w:rPr>
            </w:pP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美的饮水机，冰热两用，含5L桶装水10桶，含定制纸杯3000个</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160" w:hRule="atLeast"/>
        </w:trPr>
        <w:tc>
          <w:tcPr>
            <w:tcW w:w="96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kern w:val="0"/>
                <w:sz w:val="22"/>
                <w:lang w:bidi="ar"/>
              </w:rPr>
            </w:pPr>
            <w:r>
              <w:rPr>
                <w:rFonts w:hint="eastAsia" w:ascii="宋体" w:hAnsi="宋体" w:eastAsia="宋体" w:cs="宋体"/>
                <w:b/>
                <w:bCs/>
                <w:color w:val="000000"/>
                <w:kern w:val="0"/>
                <w:sz w:val="22"/>
                <w:lang w:bidi="ar"/>
              </w:rPr>
              <w:t>（3）礼品部分</w:t>
            </w:r>
          </w:p>
        </w:tc>
      </w:tr>
      <w:tr>
        <w:tblPrEx>
          <w:tblCellMar>
            <w:top w:w="0" w:type="dxa"/>
            <w:left w:w="108" w:type="dxa"/>
            <w:bottom w:w="0" w:type="dxa"/>
            <w:right w:w="108" w:type="dxa"/>
          </w:tblCellMar>
        </w:tblPrEx>
        <w:trPr>
          <w:trHeight w:val="642" w:hRule="atLeast"/>
        </w:trPr>
        <w:tc>
          <w:tcPr>
            <w:tcW w:w="423"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礼品定制</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礼品</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定制</w:t>
            </w:r>
          </w:p>
        </w:tc>
        <w:tc>
          <w:tcPr>
            <w:tcW w:w="2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每天设置礼品约50份，礼品可提供建议，单份礼品上限30元</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份</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1500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642" w:hRule="atLeast"/>
        </w:trPr>
        <w:tc>
          <w:tcPr>
            <w:tcW w:w="79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lang w:bidi="ar"/>
              </w:rPr>
              <w:t>合计（不含税）</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642" w:hRule="atLeast"/>
        </w:trPr>
        <w:tc>
          <w:tcPr>
            <w:tcW w:w="79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lang w:bidi="ar"/>
              </w:rPr>
              <w:t>税率</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651" w:hRule="atLeast"/>
        </w:trPr>
        <w:tc>
          <w:tcPr>
            <w:tcW w:w="79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lang w:bidi="ar"/>
              </w:rPr>
              <w:t>合计（含税）</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bidi="ar"/>
              </w:rPr>
            </w:pPr>
          </w:p>
        </w:tc>
      </w:tr>
    </w:tbl>
    <w:p>
      <w:pPr>
        <w:pStyle w:val="2"/>
      </w:pPr>
    </w:p>
    <w:p>
      <w:pPr>
        <w:pStyle w:val="2"/>
        <w:ind w:firstLine="400"/>
      </w:pPr>
    </w:p>
    <w:tbl>
      <w:tblPr>
        <w:tblStyle w:val="49"/>
        <w:tblW w:w="9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8"/>
        <w:gridCol w:w="2571"/>
        <w:gridCol w:w="225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248"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项目</w:t>
            </w:r>
          </w:p>
        </w:tc>
        <w:tc>
          <w:tcPr>
            <w:tcW w:w="2571" w:type="dxa"/>
          </w:tcPr>
          <w:p>
            <w:pPr>
              <w:snapToGrid w:val="0"/>
              <w:spacing w:before="240"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不含税报价（万元）</w:t>
            </w:r>
          </w:p>
        </w:tc>
        <w:tc>
          <w:tcPr>
            <w:tcW w:w="2250" w:type="dxa"/>
          </w:tcPr>
          <w:p>
            <w:pPr>
              <w:snapToGrid w:val="0"/>
              <w:spacing w:before="240"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税率</w:t>
            </w:r>
          </w:p>
        </w:tc>
        <w:tc>
          <w:tcPr>
            <w:tcW w:w="2250" w:type="dxa"/>
          </w:tcPr>
          <w:p>
            <w:pPr>
              <w:snapToGrid w:val="0"/>
              <w:spacing w:before="240"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含税总价（万元）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2248"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场地</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费用</w:t>
            </w:r>
          </w:p>
        </w:tc>
        <w:tc>
          <w:tcPr>
            <w:tcW w:w="2571"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248"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展位包装及活动</w:t>
            </w:r>
          </w:p>
        </w:tc>
        <w:tc>
          <w:tcPr>
            <w:tcW w:w="2571"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248"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场地</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费用</w:t>
            </w:r>
            <w:r>
              <w:rPr>
                <w:rFonts w:hint="eastAsia" w:ascii="宋体" w:hAnsi="宋体"/>
                <w:color w:val="0D0D0D" w:themeColor="text1" w:themeTint="F2"/>
                <w:sz w:val="24"/>
                <w:szCs w:val="24"/>
                <w14:textFill>
                  <w14:solidFill>
                    <w14:schemeClr w14:val="tx1">
                      <w14:lumMod w14:val="95000"/>
                      <w14:lumOff w14:val="5000"/>
                    </w14:schemeClr>
                  </w14:solidFill>
                </w14:textFill>
              </w:rPr>
              <w:t>、展位包装及活动总报价</w:t>
            </w:r>
          </w:p>
        </w:tc>
        <w:tc>
          <w:tcPr>
            <w:tcW w:w="2571"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2250" w:type="dxa"/>
            <w:vAlign w:val="center"/>
          </w:tcPr>
          <w:p>
            <w:pPr>
              <w:snapToGrid w:val="0"/>
              <w:spacing w:before="240"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p>
        </w:tc>
        <w:tc>
          <w:tcPr>
            <w:tcW w:w="2250" w:type="dxa"/>
          </w:tcPr>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r>
    </w:tbl>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hint="eastAsia" w:ascii="宋体" w:hAnsi="宋体"/>
          <w:color w:val="0D0D0D" w:themeColor="text1" w:themeTint="F2"/>
          <w:sz w:val="24"/>
          <w:szCs w:val="24"/>
          <w14:textFill>
            <w14:solidFill>
              <w14:schemeClr w14:val="tx1">
                <w14:lumMod w14:val="95000"/>
                <w14:lumOff w14:val="5000"/>
              </w14:schemeClr>
            </w14:solidFill>
          </w14:textFill>
        </w:rPr>
        <w:t>1、以上展位包装及活动明细表报价需包含但不限于如上内容，各供应商可根据方案新增物料。</w:t>
      </w:r>
    </w:p>
    <w:p>
      <w:pPr>
        <w:snapToGrid w:val="0"/>
        <w:spacing w:before="240"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3、服务费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价款含本项目服务过程中发生的场地费、策划费、执行费、设计费、制作费、人工费、交通费、政府报批收费、税金、撤场清理费、物料看管费、报批费等一切乙方为了履行本服务所产生的费用。</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asciiTheme="minorEastAsia" w:hAnsiTheme="minorEastAsia"/>
          <w:bCs/>
          <w:sz w:val="36"/>
          <w:szCs w:val="36"/>
        </w:rPr>
      </w:pPr>
    </w:p>
    <w:p>
      <w:pPr>
        <w:pStyle w:val="24"/>
        <w:spacing w:before="240" w:beforeLines="100" w:after="120" w:afterLines="50" w:line="480" w:lineRule="atLeast"/>
        <w:jc w:val="center"/>
        <w:rPr>
          <w:rFonts w:asciiTheme="minorEastAsia" w:hAnsiTheme="minorEastAsia"/>
          <w:bCs/>
          <w:sz w:val="36"/>
          <w:szCs w:val="36"/>
        </w:rPr>
      </w:pPr>
    </w:p>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r>
        <w:rPr>
          <w:rFonts w:ascii="宋体" w:hAnsi="宋体"/>
          <w:color w:val="0D0D0D" w:themeColor="text1" w:themeTint="F2"/>
          <w:sz w:val="44"/>
          <w:szCs w:val="44"/>
          <w14:textFill>
            <w14:solidFill>
              <w14:schemeClr w14:val="tx1">
                <w14:lumMod w14:val="95000"/>
                <w14:lumOff w14:val="5000"/>
              </w14:schemeClr>
            </w14:solidFill>
          </w14:textFill>
        </w:rPr>
        <w:br w:type="page"/>
      </w:r>
      <w:bookmarkEnd w:id="78"/>
      <w:bookmarkEnd w:id="79"/>
      <w:bookmarkEnd w:id="80"/>
      <w:bookmarkEnd w:id="81"/>
      <w:bookmarkEnd w:id="82"/>
      <w:bookmarkEnd w:id="83"/>
      <w:bookmarkEnd w:id="91"/>
      <w:bookmarkStart w:id="101" w:name="_Toc88680721"/>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三篇  合同</w:t>
      </w:r>
      <w:bookmarkEnd w:id="101"/>
    </w:p>
    <w:p>
      <w:pPr>
        <w:rPr>
          <w:rFonts w:ascii="宋体" w:hAnsi="宋体"/>
          <w:b/>
          <w:color w:val="0D0D0D" w:themeColor="text1" w:themeTint="F2"/>
          <w:szCs w:val="21"/>
          <w14:textFill>
            <w14:solidFill>
              <w14:schemeClr w14:val="tx1">
                <w14:lumMod w14:val="95000"/>
                <w14:lumOff w14:val="5000"/>
              </w14:schemeClr>
            </w14:solidFill>
          </w14:textFill>
        </w:rPr>
      </w:pPr>
    </w:p>
    <w:p>
      <w:pPr>
        <w:jc w:val="center"/>
        <w:outlineLvl w:val="0"/>
        <w:rPr>
          <w:rFonts w:ascii="宋体" w:hAnsi="宋体"/>
          <w:b/>
          <w:color w:val="000000"/>
          <w:sz w:val="24"/>
          <w:szCs w:val="24"/>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pStyle w:val="24"/>
        <w:spacing w:line="360" w:lineRule="auto"/>
        <w:jc w:val="center"/>
        <w:rPr>
          <w:rFonts w:hAnsi="宋体"/>
          <w:b/>
          <w:spacing w:val="10"/>
          <w:sz w:val="48"/>
          <w:szCs w:val="48"/>
        </w:rPr>
      </w:pPr>
      <w:r>
        <w:rPr>
          <w:rFonts w:hint="eastAsia" w:hAnsi="宋体"/>
          <w:b/>
          <w:spacing w:val="10"/>
          <w:sz w:val="48"/>
          <w:szCs w:val="48"/>
        </w:rPr>
        <w:t>XXX项目巡展活动服务</w:t>
      </w:r>
      <w:r>
        <w:rPr>
          <w:rFonts w:hAnsi="宋体"/>
          <w:b/>
          <w:spacing w:val="10"/>
          <w:sz w:val="48"/>
          <w:szCs w:val="48"/>
        </w:rPr>
        <w:t>合同</w:t>
      </w:r>
    </w:p>
    <w:p>
      <w:pPr>
        <w:spacing w:line="360" w:lineRule="auto"/>
        <w:jc w:val="center"/>
        <w:rPr>
          <w:rFonts w:ascii="黑体" w:hAnsi="Courier New" w:eastAsia="黑体"/>
          <w:b/>
          <w:bCs/>
          <w:spacing w:val="36"/>
          <w:sz w:val="44"/>
          <w:szCs w:val="44"/>
          <w:u w:val="single"/>
        </w:rPr>
      </w:pPr>
    </w:p>
    <w:p>
      <w:pPr>
        <w:spacing w:line="360" w:lineRule="auto"/>
        <w:jc w:val="center"/>
        <w:rPr>
          <w:rFonts w:ascii="黑体" w:hAnsi="Courier New" w:eastAsia="黑体"/>
          <w:b/>
          <w:bCs/>
          <w:spacing w:val="36"/>
          <w:sz w:val="44"/>
          <w:szCs w:val="44"/>
          <w:u w:val="single"/>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sz w:val="30"/>
          <w:szCs w:val="30"/>
        </w:rPr>
      </w:pPr>
    </w:p>
    <w:p>
      <w:pPr>
        <w:spacing w:line="360" w:lineRule="auto"/>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 xml:space="preserve">  甲   方：</w:t>
      </w:r>
    </w:p>
    <w:p>
      <w:pPr>
        <w:spacing w:line="360" w:lineRule="auto"/>
        <w:jc w:val="center"/>
        <w:rPr>
          <w:rFonts w:ascii="宋体" w:hAnsi="宋体"/>
          <w:b/>
          <w:spacing w:val="10"/>
          <w:sz w:val="30"/>
          <w:szCs w:val="30"/>
        </w:rPr>
      </w:pPr>
    </w:p>
    <w:p>
      <w:pPr>
        <w:spacing w:line="360" w:lineRule="auto"/>
        <w:ind w:firstLine="321" w:firstLineChars="100"/>
        <w:jc w:val="left"/>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 xml:space="preserve">方： </w:t>
      </w:r>
    </w:p>
    <w:p>
      <w:pPr>
        <w:spacing w:line="360" w:lineRule="auto"/>
        <w:ind w:firstLine="1911" w:firstLineChars="595"/>
        <w:jc w:val="left"/>
        <w:rPr>
          <w:rFonts w:ascii="宋体" w:hAnsi="宋体"/>
          <w:b/>
          <w:spacing w:val="10"/>
          <w:sz w:val="30"/>
          <w:szCs w:val="30"/>
        </w:rPr>
      </w:pPr>
      <w:r>
        <w:rPr>
          <w:rFonts w:hint="eastAsia" w:ascii="宋体" w:hAnsi="宋体"/>
          <w:b/>
          <w:spacing w:val="10"/>
          <w:sz w:val="30"/>
          <w:szCs w:val="30"/>
        </w:rPr>
        <w:t xml:space="preserve"> </w:t>
      </w:r>
      <w:r>
        <w:rPr>
          <w:rFonts w:ascii="宋体" w:hAnsi="宋体"/>
          <w:b/>
          <w:spacing w:val="10"/>
          <w:sz w:val="30"/>
          <w:szCs w:val="30"/>
        </w:rPr>
        <w:t xml:space="preserve">     </w:t>
      </w:r>
      <w:r>
        <w:rPr>
          <w:rFonts w:hint="eastAsia" w:ascii="黑体" w:hAnsi="黑体" w:eastAsia="黑体"/>
          <w:sz w:val="44"/>
          <w:szCs w:val="44"/>
        </w:rPr>
        <w:t>第五章  合同</w:t>
      </w:r>
    </w:p>
    <w:p>
      <w:pPr>
        <w:spacing w:line="360" w:lineRule="auto"/>
        <w:rPr>
          <w:rFonts w:ascii="宋体" w:hAnsi="宋体"/>
          <w:sz w:val="24"/>
          <w:szCs w:val="24"/>
        </w:rPr>
      </w:pPr>
    </w:p>
    <w:p>
      <w:pPr>
        <w:spacing w:line="360" w:lineRule="auto"/>
        <w:ind w:firstLine="482" w:firstLineChars="200"/>
        <w:rPr>
          <w:rFonts w:ascii="宋体" w:hAnsi="宋体"/>
          <w:b/>
          <w:sz w:val="24"/>
          <w:szCs w:val="24"/>
        </w:rPr>
      </w:pPr>
      <w:bookmarkStart w:id="102" w:name="_Toc389833583"/>
      <w:r>
        <w:rPr>
          <w:rFonts w:hint="eastAsia" w:ascii="宋体" w:hAnsi="宋体"/>
          <w:b/>
          <w:sz w:val="24"/>
          <w:szCs w:val="24"/>
        </w:rPr>
        <w:t xml:space="preserve">甲方： </w:t>
      </w:r>
      <w:r>
        <w:rPr>
          <w:rFonts w:ascii="宋体" w:hAnsi="宋体"/>
          <w:b/>
          <w:sz w:val="24"/>
          <w:szCs w:val="24"/>
        </w:rPr>
        <w:t xml:space="preserve">                       </w:t>
      </w:r>
      <w:r>
        <w:rPr>
          <w:rFonts w:hint="eastAsia" w:ascii="宋体" w:hAnsi="宋体"/>
          <w:b/>
          <w:sz w:val="24"/>
          <w:szCs w:val="24"/>
        </w:rPr>
        <w:t>（简称“甲方”）</w:t>
      </w:r>
    </w:p>
    <w:p>
      <w:pPr>
        <w:spacing w:line="360" w:lineRule="auto"/>
        <w:ind w:firstLine="482" w:firstLineChars="200"/>
        <w:rPr>
          <w:rFonts w:ascii="宋体" w:hAnsi="宋体"/>
          <w:b/>
          <w:sz w:val="24"/>
          <w:szCs w:val="24"/>
        </w:rPr>
      </w:pPr>
      <w:r>
        <w:rPr>
          <w:rFonts w:hint="eastAsia" w:ascii="宋体" w:hAnsi="宋体"/>
          <w:b/>
          <w:sz w:val="24"/>
          <w:szCs w:val="24"/>
        </w:rPr>
        <w:t xml:space="preserve">乙方：     </w:t>
      </w:r>
      <w:r>
        <w:rPr>
          <w:rFonts w:ascii="宋体" w:hAnsi="宋体"/>
          <w:b/>
          <w:sz w:val="24"/>
          <w:szCs w:val="24"/>
        </w:rPr>
        <w:t xml:space="preserve">                  </w:t>
      </w:r>
      <w:r>
        <w:rPr>
          <w:rFonts w:hint="eastAsia" w:ascii="宋体" w:hAnsi="宋体"/>
          <w:b/>
          <w:sz w:val="24"/>
          <w:szCs w:val="24"/>
        </w:rPr>
        <w:t xml:space="preserve"> （简称“乙方”）</w:t>
      </w:r>
      <w:r>
        <w:rPr>
          <w:rFonts w:ascii="宋体" w:hAnsi="宋体"/>
          <w:b/>
          <w:sz w:val="24"/>
          <w:szCs w:val="24"/>
        </w:rPr>
        <w:t xml:space="preserve"> </w:t>
      </w:r>
    </w:p>
    <w:bookmarkEnd w:id="102"/>
    <w:p>
      <w:pPr>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委托方（甲方）：深圳市地铁集团有限公司</w:t>
      </w:r>
    </w:p>
    <w:p>
      <w:pPr>
        <w:autoSpaceDE w:val="0"/>
        <w:autoSpaceDN w:val="0"/>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受托方（乙方）：</w:t>
      </w:r>
      <w:r>
        <w:rPr>
          <w:rFonts w:ascii="宋体" w:hAnsi="宋体"/>
          <w:b/>
          <w:spacing w:val="-4"/>
          <w:sz w:val="24"/>
          <w:szCs w:val="24"/>
        </w:rPr>
        <w:t xml:space="preserve"> </w:t>
      </w:r>
    </w:p>
    <w:p>
      <w:pPr>
        <w:adjustRightInd w:val="0"/>
        <w:snapToGrid w:val="0"/>
        <w:spacing w:line="360" w:lineRule="auto"/>
        <w:ind w:firstLine="464" w:firstLineChars="200"/>
        <w:rPr>
          <w:rFonts w:ascii="宋体" w:hAnsi="宋体"/>
          <w:spacing w:val="-4"/>
          <w:sz w:val="24"/>
          <w:szCs w:val="24"/>
        </w:rPr>
      </w:pPr>
      <w:bookmarkStart w:id="103" w:name="_Toc231728416"/>
      <w:r>
        <w:rPr>
          <w:rFonts w:hint="eastAsia" w:ascii="宋体" w:hAnsi="宋体"/>
          <w:spacing w:val="-4"/>
          <w:sz w:val="24"/>
          <w:szCs w:val="24"/>
        </w:rPr>
        <w:t>经比选，甲方确定乙方为XX项目巡展活动服务项目承接单位，并已接受乙方就此提出的报价文件。根据《中华人民共和国民典法》及有关法律、法规的规定，双方本着合法、自愿、诚实信用和友好合作的原则，就甲方委托乙方提供</w:t>
      </w:r>
      <w:r>
        <w:rPr>
          <w:rFonts w:hint="eastAsia" w:ascii="宋体" w:hAnsi="宋体"/>
          <w:spacing w:val="-4"/>
          <w:sz w:val="24"/>
          <w:szCs w:val="24"/>
          <w:lang w:val="en-US" w:eastAsia="zh-CN"/>
        </w:rPr>
        <w:t>XX项目</w:t>
      </w:r>
      <w:r>
        <w:rPr>
          <w:rFonts w:hint="eastAsia" w:ascii="宋体" w:hAnsi="宋体"/>
          <w:spacing w:val="-4"/>
          <w:sz w:val="24"/>
          <w:szCs w:val="24"/>
        </w:rPr>
        <w:t>巡展活动服务，达成本合同，双方恪守信用，共同执行本合同所有条款。</w:t>
      </w:r>
    </w:p>
    <w:p>
      <w:pPr>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一</w:t>
      </w:r>
      <w:r>
        <w:rPr>
          <w:rFonts w:ascii="宋体" w:hAnsi="宋体"/>
          <w:b/>
          <w:spacing w:val="-4"/>
          <w:sz w:val="24"/>
          <w:szCs w:val="24"/>
        </w:rPr>
        <w:t>、合同范围</w:t>
      </w:r>
    </w:p>
    <w:p>
      <w:pPr>
        <w:adjustRightInd w:val="0"/>
        <w:snapToGrid w:val="0"/>
        <w:spacing w:line="360" w:lineRule="auto"/>
        <w:ind w:firstLine="464" w:firstLineChars="200"/>
        <w:rPr>
          <w:rFonts w:ascii="宋体" w:hAnsi="宋体"/>
          <w:b/>
          <w:spacing w:val="-4"/>
          <w:sz w:val="24"/>
          <w:szCs w:val="24"/>
        </w:rPr>
      </w:pPr>
      <w:r>
        <w:rPr>
          <w:rFonts w:ascii="宋体" w:hAnsi="宋体"/>
          <w:spacing w:val="-4"/>
          <w:sz w:val="24"/>
          <w:szCs w:val="24"/>
        </w:rPr>
        <w:t>甲方委托乙方</w:t>
      </w:r>
      <w:r>
        <w:rPr>
          <w:rFonts w:hint="eastAsia" w:ascii="宋体" w:hAnsi="宋体"/>
          <w:spacing w:val="-4"/>
          <w:sz w:val="24"/>
          <w:szCs w:val="24"/>
        </w:rPr>
        <w:t>承接XX巡展活动服务项目(</w:t>
      </w:r>
      <w:r>
        <w:rPr>
          <w:rFonts w:ascii="宋体" w:hAnsi="宋体"/>
          <w:spacing w:val="-4"/>
          <w:sz w:val="24"/>
          <w:szCs w:val="24"/>
        </w:rPr>
        <w:t>以下简称“本项目”</w:t>
      </w:r>
      <w:r>
        <w:rPr>
          <w:rFonts w:hint="eastAsia" w:ascii="宋体" w:hAnsi="宋体"/>
          <w:spacing w:val="-4"/>
          <w:sz w:val="24"/>
          <w:szCs w:val="24"/>
        </w:rPr>
        <w:t>)</w:t>
      </w:r>
      <w:r>
        <w:rPr>
          <w:rFonts w:ascii="宋体" w:hAnsi="宋体"/>
          <w:spacing w:val="-4"/>
          <w:sz w:val="24"/>
          <w:szCs w:val="24"/>
        </w:rPr>
        <w:t>，负责该项目的</w:t>
      </w:r>
      <w:r>
        <w:rPr>
          <w:rFonts w:hint="eastAsia" w:ascii="宋体" w:hAnsi="宋体"/>
          <w:spacing w:val="-4"/>
          <w:sz w:val="24"/>
          <w:szCs w:val="24"/>
        </w:rPr>
        <w:t>活动场地</w:t>
      </w:r>
      <w:r>
        <w:rPr>
          <w:rFonts w:hint="eastAsia" w:ascii="宋体" w:hAnsi="宋体"/>
          <w:spacing w:val="-4"/>
          <w:sz w:val="24"/>
          <w:szCs w:val="24"/>
          <w:lang w:eastAsia="zh-CN"/>
        </w:rPr>
        <w:t>、</w:t>
      </w:r>
      <w:r>
        <w:rPr>
          <w:rFonts w:hint="eastAsia" w:ascii="宋体" w:hAnsi="宋体"/>
          <w:spacing w:val="-4"/>
          <w:sz w:val="24"/>
          <w:szCs w:val="24"/>
        </w:rPr>
        <w:t>特装展位包装、展位活动、物料运输等工作。</w:t>
      </w:r>
    </w:p>
    <w:p>
      <w:pPr>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二、</w:t>
      </w:r>
      <w:bookmarkEnd w:id="103"/>
      <w:r>
        <w:rPr>
          <w:rFonts w:hint="eastAsia" w:ascii="宋体" w:hAnsi="宋体"/>
          <w:b/>
          <w:spacing w:val="-4"/>
          <w:sz w:val="24"/>
          <w:szCs w:val="24"/>
        </w:rPr>
        <w:t>工作内容</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（一）活动场地</w:t>
      </w:r>
    </w:p>
    <w:p>
      <w:pPr>
        <w:pStyle w:val="115"/>
        <w:adjustRightInd w:val="0"/>
        <w:snapToGrid w:val="0"/>
        <w:spacing w:line="360" w:lineRule="auto"/>
        <w:ind w:firstLine="480"/>
        <w:jc w:val="left"/>
        <w:rPr>
          <w:rFonts w:ascii="宋体" w:hAnsi="宋体"/>
          <w:sz w:val="24"/>
          <w:szCs w:val="24"/>
        </w:rPr>
      </w:pPr>
      <w:r>
        <w:rPr>
          <w:rFonts w:hint="eastAsia" w:ascii="宋体" w:hAnsi="宋体"/>
          <w:sz w:val="24"/>
          <w:szCs w:val="24"/>
        </w:rPr>
        <w:t>根据巡展需求，预计巡展周期为XX月（X年X月X日-X年X月X日，</w:t>
      </w:r>
      <w:r>
        <w:rPr>
          <w:rFonts w:ascii="宋体" w:hAnsi="宋体"/>
          <w:sz w:val="24"/>
          <w:szCs w:val="24"/>
        </w:rPr>
        <w:t>排期</w:t>
      </w:r>
      <w:r>
        <w:rPr>
          <w:rFonts w:hint="eastAsia" w:ascii="宋体" w:hAnsi="宋体"/>
          <w:sz w:val="24"/>
          <w:szCs w:val="24"/>
        </w:rPr>
        <w:t>计划</w:t>
      </w:r>
      <w:r>
        <w:rPr>
          <w:rFonts w:ascii="宋体" w:hAnsi="宋体"/>
          <w:sz w:val="24"/>
          <w:szCs w:val="24"/>
        </w:rPr>
        <w:t>详见附件</w:t>
      </w:r>
      <w:r>
        <w:rPr>
          <w:rFonts w:hint="eastAsia" w:ascii="宋体" w:hAnsi="宋体"/>
          <w:sz w:val="24"/>
          <w:szCs w:val="24"/>
        </w:rPr>
        <w:t>），场地</w:t>
      </w:r>
      <w:r>
        <w:rPr>
          <w:rFonts w:hint="eastAsia" w:ascii="宋体" w:hAnsi="宋体"/>
          <w:sz w:val="24"/>
          <w:szCs w:val="24"/>
          <w:lang w:val="en-US" w:eastAsia="zh-CN"/>
        </w:rPr>
        <w:t>费用</w:t>
      </w:r>
      <w:r>
        <w:rPr>
          <w:rFonts w:hint="eastAsia" w:ascii="宋体" w:hAnsi="宋体"/>
          <w:sz w:val="24"/>
          <w:szCs w:val="24"/>
        </w:rPr>
        <w:t>报价详见附件；</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（二）活动展位设计制作及安装</w:t>
      </w:r>
    </w:p>
    <w:p>
      <w:pPr>
        <w:adjustRightInd w:val="0"/>
        <w:snapToGrid w:val="0"/>
        <w:spacing w:before="120" w:beforeLines="50" w:after="120" w:afterLines="50" w:line="360" w:lineRule="auto"/>
        <w:ind w:firstLine="480" w:firstLineChars="200"/>
        <w:rPr>
          <w:rFonts w:ascii="宋体" w:hAnsi="宋体"/>
          <w:sz w:val="24"/>
          <w:szCs w:val="24"/>
        </w:rPr>
      </w:pPr>
      <w:r>
        <w:rPr>
          <w:rFonts w:hint="eastAsia" w:ascii="宋体" w:hAnsi="宋体"/>
          <w:sz w:val="24"/>
          <w:szCs w:val="24"/>
        </w:rPr>
        <w:t>首次亮相需保证项目整体品质感。展位包装、活动服务清单详见附件：</w:t>
      </w:r>
    </w:p>
    <w:p>
      <w:pPr>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三、服务期限</w:t>
      </w:r>
    </w:p>
    <w:p>
      <w:pPr>
        <w:adjustRightInd w:val="0"/>
        <w:snapToGrid w:val="0"/>
        <w:spacing w:line="360" w:lineRule="auto"/>
        <w:ind w:firstLine="464" w:firstLineChars="200"/>
        <w:rPr>
          <w:rFonts w:ascii="宋体" w:hAnsi="宋体"/>
          <w:spacing w:val="-4"/>
          <w:sz w:val="24"/>
          <w:szCs w:val="24"/>
        </w:rPr>
      </w:pPr>
      <w:bookmarkStart w:id="104" w:name="_Toc231728422"/>
      <w:r>
        <w:rPr>
          <w:rFonts w:hint="eastAsia" w:ascii="宋体" w:hAnsi="宋体"/>
          <w:spacing w:val="-4"/>
          <w:sz w:val="24"/>
          <w:szCs w:val="24"/>
        </w:rPr>
        <w:t>本合同签订之日起至2023年12月31日。</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四、</w:t>
      </w:r>
      <w:bookmarkEnd w:id="104"/>
      <w:r>
        <w:rPr>
          <w:rFonts w:hint="eastAsia" w:ascii="宋体" w:hAnsi="宋体"/>
          <w:b/>
          <w:sz w:val="24"/>
          <w:szCs w:val="24"/>
        </w:rPr>
        <w:t>双方的权利义务</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（一）甲方的权利义务</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1、甲方应按本合同约定的金额和时间向乙方支付合同价款。</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2、甲方需向乙方提交活动所需要的基础资料及文件，并在活动执行前确定所有执行细节，确定后甲方不得随意更改活动内容，如需更改，应提前1天通知乙方。</w:t>
      </w:r>
    </w:p>
    <w:p>
      <w:pPr>
        <w:tabs>
          <w:tab w:val="left" w:pos="840"/>
        </w:tabs>
        <w:adjustRightInd w:val="0"/>
        <w:snapToGrid w:val="0"/>
        <w:spacing w:line="360" w:lineRule="auto"/>
        <w:ind w:firstLine="464" w:firstLineChars="200"/>
        <w:rPr>
          <w:rFonts w:hint="eastAsia" w:ascii="宋体" w:hAnsi="宋体"/>
          <w:spacing w:val="-4"/>
          <w:sz w:val="24"/>
          <w:szCs w:val="24"/>
        </w:rPr>
      </w:pPr>
      <w:r>
        <w:rPr>
          <w:rFonts w:hint="eastAsia" w:ascii="宋体" w:hAnsi="宋体"/>
          <w:spacing w:val="-4"/>
          <w:sz w:val="24"/>
          <w:szCs w:val="24"/>
        </w:rPr>
        <w:t>3、甲方指定专人与乙方指定人员进行沟通、联系及现场协助。</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（二）乙方的权利义务</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1、乙方应按照本合同约定及甲方的合理要求完成本合同项目的所有工作。</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2、乙方必须按本合同约定的活动内容及要求严格执行，保证按约定完成活动，同时保证按约定提供活动所需的物料、设施、设备，并在每场巡展活动开始前1天完成</w:t>
      </w:r>
      <w:r>
        <w:rPr>
          <w:rFonts w:ascii="宋体" w:hAnsi="宋体"/>
          <w:spacing w:val="-4"/>
          <w:sz w:val="24"/>
          <w:szCs w:val="24"/>
        </w:rPr>
        <w:t>场地的展位</w:t>
      </w:r>
      <w:r>
        <w:rPr>
          <w:rFonts w:hint="eastAsia" w:ascii="宋体" w:hAnsi="宋体"/>
          <w:spacing w:val="-4"/>
          <w:sz w:val="24"/>
          <w:szCs w:val="24"/>
        </w:rPr>
        <w:t>安装，确保设施、设备能够正常使用；每场巡展活动结束后由乙方负责设施、设备及物料的拆除、撤场，现场还原成场地原状。</w:t>
      </w:r>
    </w:p>
    <w:p>
      <w:pPr>
        <w:tabs>
          <w:tab w:val="left" w:pos="840"/>
        </w:tabs>
        <w:adjustRightInd w:val="0"/>
        <w:snapToGrid w:val="0"/>
        <w:spacing w:line="360" w:lineRule="auto"/>
        <w:ind w:firstLine="464" w:firstLineChars="200"/>
        <w:rPr>
          <w:rFonts w:ascii="宋体" w:hAnsi="宋体"/>
          <w:spacing w:val="-4"/>
          <w:sz w:val="24"/>
          <w:szCs w:val="24"/>
        </w:rPr>
      </w:pPr>
      <w:r>
        <w:rPr>
          <w:rFonts w:ascii="宋体" w:hAnsi="宋体"/>
          <w:spacing w:val="-4"/>
          <w:sz w:val="24"/>
          <w:szCs w:val="24"/>
        </w:rPr>
        <w:t>3</w:t>
      </w:r>
      <w:r>
        <w:rPr>
          <w:rFonts w:hint="eastAsia" w:ascii="宋体" w:hAnsi="宋体"/>
          <w:spacing w:val="-4"/>
          <w:sz w:val="24"/>
          <w:szCs w:val="24"/>
        </w:rPr>
        <w:t>、乙方负责本次活动相关人员</w:t>
      </w:r>
      <w:r>
        <w:rPr>
          <w:rFonts w:hint="eastAsia" w:ascii="宋体" w:hAnsi="宋体"/>
          <w:spacing w:val="-4"/>
          <w:sz w:val="24"/>
          <w:szCs w:val="24"/>
          <w:lang w:val="en-US" w:eastAsia="zh-CN"/>
        </w:rPr>
        <w:t>安全</w:t>
      </w:r>
      <w:r>
        <w:rPr>
          <w:rFonts w:hint="eastAsia" w:ascii="宋体" w:hAnsi="宋体"/>
          <w:spacing w:val="-4"/>
          <w:sz w:val="24"/>
          <w:szCs w:val="24"/>
        </w:rPr>
        <w:t>及设备、设施的安全</w:t>
      </w:r>
      <w:r>
        <w:rPr>
          <w:rFonts w:hint="eastAsia" w:ascii="宋体" w:hAnsi="宋体"/>
          <w:spacing w:val="-4"/>
          <w:sz w:val="24"/>
          <w:szCs w:val="24"/>
          <w:lang w:eastAsia="zh-CN"/>
        </w:rPr>
        <w:t>、</w:t>
      </w:r>
      <w:r>
        <w:rPr>
          <w:rFonts w:hint="eastAsia" w:ascii="宋体" w:hAnsi="宋体"/>
          <w:spacing w:val="-4"/>
          <w:sz w:val="24"/>
          <w:szCs w:val="24"/>
          <w:lang w:val="en-US" w:eastAsia="zh-CN"/>
        </w:rPr>
        <w:t>保管及维护</w:t>
      </w:r>
      <w:r>
        <w:rPr>
          <w:rFonts w:hint="eastAsia" w:ascii="宋体" w:hAnsi="宋体"/>
          <w:spacing w:val="-4"/>
          <w:sz w:val="24"/>
          <w:szCs w:val="24"/>
        </w:rPr>
        <w:t>，如在活动过程中发生安全事故的</w:t>
      </w:r>
      <w:r>
        <w:rPr>
          <w:rFonts w:hint="eastAsia" w:ascii="宋体" w:hAnsi="宋体"/>
          <w:spacing w:val="-4"/>
          <w:sz w:val="24"/>
          <w:szCs w:val="24"/>
          <w:lang w:val="en-US" w:eastAsia="zh-CN"/>
        </w:rPr>
        <w:t>或活动中发生物料损坏</w:t>
      </w:r>
      <w:r>
        <w:rPr>
          <w:rFonts w:hint="eastAsia" w:ascii="宋体" w:hAnsi="宋体"/>
          <w:spacing w:val="-4"/>
          <w:sz w:val="24"/>
          <w:szCs w:val="24"/>
        </w:rPr>
        <w:t>由乙方承担全部责任和赔偿，</w:t>
      </w:r>
      <w:r>
        <w:rPr>
          <w:rFonts w:ascii="宋体" w:hAnsi="宋体" w:eastAsia="宋体" w:cs="宋体"/>
          <w:sz w:val="24"/>
          <w:szCs w:val="24"/>
        </w:rPr>
        <w:t>如前述情况是第三者造成的</w:t>
      </w:r>
      <w:r>
        <w:rPr>
          <w:rFonts w:hint="eastAsia" w:ascii="宋体" w:hAnsi="宋体"/>
          <w:spacing w:val="-4"/>
          <w:sz w:val="24"/>
          <w:szCs w:val="24"/>
        </w:rPr>
        <w:t>，由乙方和第三方按照相关法律、法规规定承担责任。</w:t>
      </w:r>
    </w:p>
    <w:p>
      <w:pPr>
        <w:tabs>
          <w:tab w:val="left" w:pos="840"/>
        </w:tabs>
        <w:adjustRightInd w:val="0"/>
        <w:snapToGrid w:val="0"/>
        <w:spacing w:line="360" w:lineRule="auto"/>
        <w:ind w:firstLine="464" w:firstLineChars="200"/>
        <w:rPr>
          <w:rFonts w:hint="eastAsia" w:ascii="宋体" w:hAnsi="宋体" w:cs="宋体"/>
          <w:spacing w:val="-4"/>
          <w:sz w:val="24"/>
          <w:szCs w:val="24"/>
        </w:rPr>
      </w:pPr>
      <w:r>
        <w:rPr>
          <w:rFonts w:ascii="宋体" w:hAnsi="宋体"/>
          <w:spacing w:val="-4"/>
          <w:sz w:val="24"/>
          <w:szCs w:val="24"/>
        </w:rPr>
        <w:t>4</w:t>
      </w:r>
      <w:r>
        <w:rPr>
          <w:rFonts w:hint="eastAsia" w:ascii="宋体" w:hAnsi="宋体"/>
          <w:spacing w:val="-4"/>
          <w:sz w:val="24"/>
          <w:szCs w:val="24"/>
        </w:rPr>
        <w:t>、乙方不得传播、捏造或夸大有关甲方及甲方关联公司的负面信息；乙方违反本约定，甲方可以解除本合同，并停止支付剩余款项。因该负面信息造成甲方及关联公司其他损失的，乙方还应赔偿损失，同时乙方有义</w:t>
      </w:r>
      <w:r>
        <w:rPr>
          <w:rFonts w:hint="eastAsia" w:ascii="宋体" w:hAnsi="宋体" w:cs="宋体"/>
          <w:spacing w:val="-4"/>
          <w:sz w:val="24"/>
          <w:szCs w:val="24"/>
        </w:rPr>
        <w:t>务负责消除因负面信息给甲方及关联公司造成的不利影响。</w:t>
      </w:r>
    </w:p>
    <w:p>
      <w:pPr>
        <w:pStyle w:val="2"/>
        <w:ind w:left="0" w:leftChars="0" w:firstLine="464" w:firstLineChars="200"/>
        <w:jc w:val="left"/>
        <w:rPr>
          <w:rFonts w:hint="eastAsia" w:hAnsi="宋体" w:eastAsia="宋体"/>
          <w:color w:val="auto"/>
          <w:spacing w:val="-4"/>
          <w:kern w:val="2"/>
          <w:sz w:val="24"/>
          <w:lang w:val="en-US" w:eastAsia="zh-CN"/>
        </w:rPr>
      </w:pPr>
      <w:r>
        <w:rPr>
          <w:rFonts w:hint="eastAsia" w:hAnsi="宋体"/>
          <w:color w:val="auto"/>
          <w:spacing w:val="-4"/>
          <w:kern w:val="2"/>
          <w:sz w:val="24"/>
          <w:lang w:val="en-US" w:eastAsia="zh-CN"/>
        </w:rPr>
        <w:t>5、如受特殊因素影响，如疫情影响，甲方有权调整场地使用期限，乙方需无条件配合。</w:t>
      </w:r>
    </w:p>
    <w:p>
      <w:pPr>
        <w:pStyle w:val="2"/>
      </w:pPr>
    </w:p>
    <w:p>
      <w:pPr>
        <w:tabs>
          <w:tab w:val="left" w:pos="840"/>
        </w:tabs>
        <w:adjustRightInd w:val="0"/>
        <w:snapToGrid w:val="0"/>
        <w:spacing w:line="360" w:lineRule="auto"/>
        <w:ind w:firstLine="466" w:firstLineChars="200"/>
        <w:rPr>
          <w:rFonts w:ascii="宋体" w:hAnsi="宋体" w:cs="宋体"/>
          <w:spacing w:val="-4"/>
          <w:sz w:val="24"/>
          <w:szCs w:val="24"/>
        </w:rPr>
      </w:pPr>
      <w:r>
        <w:rPr>
          <w:rFonts w:hint="eastAsia" w:ascii="宋体" w:hAnsi="宋体" w:cs="宋体"/>
          <w:b/>
          <w:spacing w:val="-4"/>
          <w:sz w:val="24"/>
          <w:szCs w:val="24"/>
        </w:rPr>
        <w:t>五、合同价款及付款方式</w:t>
      </w:r>
    </w:p>
    <w:p>
      <w:pPr>
        <w:adjustRightInd w:val="0"/>
        <w:snapToGrid w:val="0"/>
        <w:spacing w:line="312" w:lineRule="auto"/>
        <w:ind w:firstLine="480" w:firstLineChars="200"/>
        <w:textAlignment w:val="baseline"/>
        <w:rPr>
          <w:rFonts w:ascii="宋体" w:hAnsi="宋体" w:cs="宋体"/>
          <w:sz w:val="24"/>
          <w:szCs w:val="24"/>
        </w:rPr>
      </w:pPr>
      <w:r>
        <w:rPr>
          <w:rFonts w:hint="eastAsia" w:ascii="宋体" w:hAnsi="宋体" w:cs="宋体"/>
          <w:sz w:val="24"/>
          <w:szCs w:val="24"/>
        </w:rPr>
        <w:t>（一）计价方式</w:t>
      </w:r>
    </w:p>
    <w:p>
      <w:pPr>
        <w:adjustRightInd w:val="0"/>
        <w:snapToGrid w:val="0"/>
        <w:spacing w:line="312" w:lineRule="auto"/>
        <w:ind w:firstLine="480" w:firstLineChars="200"/>
        <w:textAlignment w:val="baseline"/>
        <w:rPr>
          <w:rFonts w:ascii="宋体" w:hAnsi="宋体" w:cs="宋体"/>
          <w:sz w:val="24"/>
          <w:szCs w:val="24"/>
        </w:rPr>
      </w:pPr>
      <w:r>
        <w:rPr>
          <w:rFonts w:hint="eastAsia" w:ascii="宋体" w:hAnsi="宋体" w:cs="宋体"/>
          <w:sz w:val="24"/>
          <w:szCs w:val="24"/>
        </w:rPr>
        <w:t>本合同为综合单价合同</w:t>
      </w:r>
    </w:p>
    <w:p>
      <w:pPr>
        <w:adjustRightInd w:val="0"/>
        <w:snapToGrid w:val="0"/>
        <w:spacing w:line="312" w:lineRule="auto"/>
        <w:ind w:firstLine="480" w:firstLineChars="200"/>
        <w:textAlignment w:val="baseline"/>
        <w:rPr>
          <w:rFonts w:ascii="宋体" w:hAnsi="宋体" w:cs="宋体"/>
          <w:sz w:val="24"/>
          <w:szCs w:val="24"/>
        </w:rPr>
      </w:pPr>
      <w:r>
        <w:rPr>
          <w:rFonts w:hint="eastAsia" w:ascii="宋体" w:hAnsi="宋体" w:cs="宋体"/>
          <w:sz w:val="24"/>
          <w:szCs w:val="24"/>
        </w:rPr>
        <w:t>（二）合同价款及付款方式</w:t>
      </w:r>
    </w:p>
    <w:p>
      <w:pPr>
        <w:adjustRightInd w:val="0"/>
        <w:snapToGrid w:val="0"/>
        <w:spacing w:line="312" w:lineRule="auto"/>
        <w:ind w:firstLine="480" w:firstLineChars="200"/>
        <w:rPr>
          <w:rFonts w:ascii="宋体" w:hAnsi="宋体" w:cs="宋体"/>
          <w:bCs/>
          <w:sz w:val="24"/>
          <w:szCs w:val="24"/>
        </w:rPr>
      </w:pPr>
      <w:r>
        <w:rPr>
          <w:rFonts w:hint="eastAsia" w:ascii="宋体" w:hAnsi="宋体" w:cs="宋体"/>
          <w:sz w:val="24"/>
          <w:szCs w:val="24"/>
        </w:rPr>
        <w:t>1．合同暂定含税总额为人民币</w:t>
      </w:r>
      <w:r>
        <w:rPr>
          <w:rFonts w:hint="eastAsia" w:ascii="宋体" w:hAnsi="宋体" w:cs="宋体"/>
          <w:sz w:val="24"/>
          <w:szCs w:val="24"/>
          <w:u w:val="single"/>
        </w:rPr>
        <w:t xml:space="preserve">        </w:t>
      </w:r>
      <w:r>
        <w:rPr>
          <w:rFonts w:hint="eastAsia" w:ascii="宋体" w:hAnsi="宋体" w:cs="宋体"/>
          <w:sz w:val="24"/>
          <w:szCs w:val="24"/>
        </w:rPr>
        <w:t>元（大写：   元整），不含税总价为</w:t>
      </w:r>
      <w:r>
        <w:rPr>
          <w:rFonts w:hint="eastAsia" w:ascii="宋体" w:hAnsi="宋体" w:cs="宋体"/>
          <w:sz w:val="24"/>
          <w:szCs w:val="24"/>
          <w:u w:val="single"/>
        </w:rPr>
        <w:t xml:space="preserve">        </w:t>
      </w:r>
      <w:r>
        <w:rPr>
          <w:rFonts w:hint="eastAsia" w:ascii="宋体" w:hAnsi="宋体" w:cs="宋体"/>
          <w:sz w:val="24"/>
          <w:szCs w:val="24"/>
        </w:rPr>
        <w:t>元，增值税率为</w:t>
      </w:r>
      <w:r>
        <w:rPr>
          <w:rFonts w:hint="eastAsia" w:ascii="宋体" w:hAnsi="宋体" w:cs="宋体"/>
          <w:sz w:val="24"/>
          <w:szCs w:val="24"/>
          <w:u w:val="single"/>
        </w:rPr>
        <w:t xml:space="preserve">      </w:t>
      </w:r>
      <w:r>
        <w:rPr>
          <w:rFonts w:hint="eastAsia" w:ascii="宋体" w:hAnsi="宋体" w:cs="宋体"/>
          <w:sz w:val="24"/>
          <w:szCs w:val="24"/>
        </w:rPr>
        <w:t>，税额</w:t>
      </w:r>
      <w:r>
        <w:rPr>
          <w:rFonts w:hint="eastAsia" w:ascii="宋体" w:hAnsi="宋体" w:cs="宋体"/>
          <w:sz w:val="24"/>
          <w:szCs w:val="24"/>
          <w:u w:val="single"/>
        </w:rPr>
        <w:t xml:space="preserve">        </w:t>
      </w:r>
      <w:r>
        <w:rPr>
          <w:rFonts w:hint="eastAsia" w:ascii="宋体" w:hAnsi="宋体" w:cs="宋体"/>
          <w:sz w:val="24"/>
          <w:szCs w:val="24"/>
        </w:rPr>
        <w:t>元</w:t>
      </w:r>
      <w:r>
        <w:rPr>
          <w:rFonts w:hint="eastAsia" w:ascii="宋体" w:hAnsi="宋体" w:cs="宋体"/>
          <w:sz w:val="24"/>
          <w:szCs w:val="24"/>
          <w:u w:val="single"/>
        </w:rPr>
        <w:t>。</w:t>
      </w:r>
      <w:r>
        <w:rPr>
          <w:rFonts w:hint="eastAsia" w:ascii="宋体" w:hAnsi="宋体" w:cs="宋体"/>
          <w:bCs w:val="0"/>
          <w:sz w:val="24"/>
          <w:szCs w:val="24"/>
          <w:u w:val="single"/>
        </w:rPr>
        <w:t>其中，</w:t>
      </w:r>
      <w:r>
        <w:rPr>
          <w:rFonts w:hint="eastAsia" w:ascii="宋体" w:hAnsi="宋体" w:eastAsia="宋体" w:cs="宋体"/>
          <w:color w:val="auto"/>
          <w:sz w:val="24"/>
          <w:szCs w:val="24"/>
          <w:u w:val="single"/>
        </w:rPr>
        <w:t>场地</w:t>
      </w:r>
      <w:r>
        <w:rPr>
          <w:rFonts w:hint="eastAsia" w:ascii="宋体" w:hAnsi="宋体" w:cs="宋体"/>
          <w:color w:val="auto"/>
          <w:sz w:val="24"/>
          <w:szCs w:val="24"/>
          <w:u w:val="single"/>
          <w:lang w:val="en-US" w:eastAsia="zh-CN"/>
        </w:rPr>
        <w:t>费用</w:t>
      </w:r>
      <w:r>
        <w:rPr>
          <w:rFonts w:hint="eastAsia" w:ascii="宋体" w:hAnsi="宋体" w:eastAsia="宋体" w:cs="宋体"/>
          <w:color w:val="auto"/>
          <w:sz w:val="24"/>
          <w:szCs w:val="24"/>
          <w:u w:val="single"/>
        </w:rPr>
        <w:t>部分含税价为</w:t>
      </w:r>
      <w:r>
        <w:rPr>
          <w:rFonts w:hint="eastAsia" w:ascii="宋体" w:hAnsi="宋体" w:eastAsia="宋体" w:cs="宋体"/>
          <w:bCs w:val="0"/>
          <w:sz w:val="24"/>
          <w:szCs w:val="24"/>
          <w:u w:val="single"/>
        </w:rPr>
        <w:t xml:space="preserve">      元，不含税价     元</w:t>
      </w:r>
      <w:r>
        <w:rPr>
          <w:rFonts w:hint="eastAsia" w:ascii="宋体" w:hAnsi="宋体" w:eastAsia="宋体" w:cs="宋体"/>
          <w:color w:val="auto"/>
          <w:sz w:val="24"/>
          <w:szCs w:val="24"/>
          <w:u w:val="single"/>
        </w:rPr>
        <w:t>，</w:t>
      </w:r>
      <w:r>
        <w:rPr>
          <w:rFonts w:hint="eastAsia" w:ascii="宋体" w:hAnsi="宋体" w:eastAsia="宋体" w:cs="宋体"/>
          <w:bCs w:val="0"/>
          <w:sz w:val="24"/>
          <w:szCs w:val="24"/>
          <w:u w:val="single"/>
        </w:rPr>
        <w:t>增值税税额         元；</w:t>
      </w:r>
      <w:r>
        <w:rPr>
          <w:rFonts w:hint="eastAsia" w:ascii="宋体" w:hAnsi="宋体" w:eastAsia="宋体" w:cs="宋体"/>
          <w:color w:val="auto"/>
          <w:sz w:val="24"/>
          <w:szCs w:val="24"/>
          <w:u w:val="single"/>
        </w:rPr>
        <w:t>展位设计制作及活动</w:t>
      </w:r>
      <w:r>
        <w:rPr>
          <w:rFonts w:hint="eastAsia" w:ascii="宋体" w:hAnsi="宋体" w:eastAsia="宋体" w:cs="宋体"/>
          <w:kern w:val="2"/>
          <w:sz w:val="24"/>
          <w:szCs w:val="24"/>
          <w:u w:val="single"/>
          <w:lang w:val="en-US"/>
        </w:rPr>
        <w:t>部分</w:t>
      </w:r>
      <w:r>
        <w:rPr>
          <w:rFonts w:hint="eastAsia" w:ascii="宋体" w:hAnsi="宋体" w:eastAsia="宋体" w:cs="宋体"/>
          <w:sz w:val="24"/>
          <w:szCs w:val="24"/>
          <w:u w:val="single"/>
        </w:rPr>
        <w:t>暂定含税</w:t>
      </w:r>
      <w:r>
        <w:rPr>
          <w:rFonts w:hint="eastAsia" w:ascii="宋体" w:hAnsi="宋体" w:eastAsia="宋体" w:cs="宋体"/>
          <w:bCs w:val="0"/>
          <w:sz w:val="24"/>
          <w:szCs w:val="24"/>
          <w:u w:val="single"/>
        </w:rPr>
        <w:t>总价为      元，不含税价     元，增值税税额         元（              ），税率   ；</w:t>
      </w:r>
      <w:r>
        <w:rPr>
          <w:rFonts w:hint="eastAsia" w:ascii="宋体" w:hAnsi="宋体" w:cs="宋体"/>
          <w:bCs/>
          <w:sz w:val="24"/>
          <w:szCs w:val="24"/>
        </w:rPr>
        <w:t>；</w:t>
      </w:r>
    </w:p>
    <w:p>
      <w:pPr>
        <w:adjustRightInd w:val="0"/>
        <w:snapToGrid w:val="0"/>
        <w:spacing w:line="312" w:lineRule="auto"/>
        <w:ind w:firstLine="480" w:firstLineChars="200"/>
        <w:jc w:val="left"/>
        <w:rPr>
          <w:rFonts w:ascii="宋体" w:hAnsi="宋体" w:cs="宋体"/>
          <w:sz w:val="24"/>
          <w:szCs w:val="24"/>
        </w:rPr>
      </w:pPr>
      <w:r>
        <w:rPr>
          <w:rFonts w:hint="eastAsia" w:ascii="宋体" w:hAnsi="宋体" w:cs="宋体"/>
          <w:sz w:val="24"/>
          <w:szCs w:val="24"/>
        </w:rPr>
        <w:t>合同的增值税率根据国家税收法规政策变动而调整，不含税总价不随增值税率的变化进行调整。</w:t>
      </w:r>
    </w:p>
    <w:p>
      <w:pPr>
        <w:adjustRightInd w:val="0"/>
        <w:snapToGrid w:val="0"/>
        <w:spacing w:line="312" w:lineRule="auto"/>
        <w:ind w:firstLine="480" w:firstLineChars="200"/>
        <w:jc w:val="left"/>
        <w:rPr>
          <w:rFonts w:ascii="宋体" w:hAnsi="宋体" w:cs="宋体"/>
          <w:kern w:val="0"/>
          <w:sz w:val="24"/>
          <w:szCs w:val="24"/>
        </w:rPr>
      </w:pPr>
      <w:r>
        <w:rPr>
          <w:rFonts w:hint="eastAsia" w:ascii="宋体" w:hAnsi="宋体" w:cs="宋体"/>
          <w:sz w:val="24"/>
          <w:szCs w:val="24"/>
        </w:rPr>
        <w:t>2.合同价款</w:t>
      </w:r>
      <w:r>
        <w:rPr>
          <w:rFonts w:hint="eastAsia" w:ascii="宋体" w:hAnsi="宋体" w:cs="宋体"/>
          <w:kern w:val="0"/>
          <w:sz w:val="24"/>
          <w:szCs w:val="24"/>
        </w:rPr>
        <w:t>含本项目服务过程中发生的场地费、策划费、执行费、设计费、制作费、人工费、交通费、政府报批收费、税金、撤场清理费、物料看管费、报批费</w:t>
      </w:r>
      <w:r>
        <w:rPr>
          <w:rFonts w:hint="eastAsia" w:ascii="宋体" w:hAnsi="宋体" w:cs="宋体"/>
          <w:kern w:val="0"/>
          <w:sz w:val="24"/>
          <w:szCs w:val="24"/>
          <w:lang w:eastAsia="zh-CN"/>
        </w:rPr>
        <w:t>、</w:t>
      </w:r>
      <w:r>
        <w:rPr>
          <w:rFonts w:hint="eastAsia" w:ascii="宋体" w:hAnsi="宋体" w:cs="宋体"/>
          <w:kern w:val="0"/>
          <w:sz w:val="24"/>
          <w:szCs w:val="24"/>
          <w:lang w:val="en-US" w:eastAsia="zh-CN"/>
        </w:rPr>
        <w:t>设备租赁、保管及维护</w:t>
      </w:r>
      <w:r>
        <w:rPr>
          <w:rFonts w:hint="eastAsia" w:ascii="宋体" w:hAnsi="宋体" w:cs="宋体"/>
          <w:kern w:val="0"/>
          <w:sz w:val="24"/>
          <w:szCs w:val="24"/>
        </w:rPr>
        <w:t>等一切乙方为了履行本协议项下委托事项所产生的费用。除甲方书面确认的可增加的费用外，本合同价款不因任何事由上浮，包括但不限于不可抗力、价格上涨等因素。</w:t>
      </w:r>
    </w:p>
    <w:p>
      <w:pPr>
        <w:adjustRightInd w:val="0"/>
        <w:snapToGrid w:val="0"/>
        <w:spacing w:line="312" w:lineRule="auto"/>
        <w:ind w:firstLine="480" w:firstLineChars="200"/>
        <w:jc w:val="left"/>
        <w:rPr>
          <w:rFonts w:ascii="宋体" w:hAnsi="宋体" w:cs="宋体"/>
          <w:kern w:val="0"/>
          <w:sz w:val="24"/>
          <w:szCs w:val="24"/>
        </w:rPr>
      </w:pPr>
      <w:r>
        <w:rPr>
          <w:rFonts w:hint="eastAsia" w:ascii="宋体" w:hAnsi="宋体" w:cs="宋体"/>
          <w:kern w:val="0"/>
          <w:sz w:val="24"/>
          <w:szCs w:val="24"/>
        </w:rPr>
        <w:t>3.付款方式</w:t>
      </w:r>
    </w:p>
    <w:p>
      <w:pPr>
        <w:ind w:firstLine="480" w:firstLineChars="200"/>
        <w:rPr>
          <w:rFonts w:ascii="宋体" w:hAnsi="宋体" w:cs="宋体"/>
          <w:color w:val="auto"/>
          <w:kern w:val="0"/>
          <w:sz w:val="24"/>
          <w:szCs w:val="24"/>
          <w:highlight w:val="none"/>
        </w:rPr>
      </w:pPr>
      <w:r>
        <w:rPr>
          <w:rFonts w:hint="eastAsia" w:ascii="宋体" w:hAnsi="宋体" w:cs="宋体"/>
          <w:kern w:val="0"/>
          <w:sz w:val="24"/>
          <w:szCs w:val="24"/>
        </w:rPr>
        <w:t>合同费用根据本项目工作的实际完成进度情况分阶段按以下比例进行支付；当项目实际巡展场地数量或</w:t>
      </w:r>
      <w:r>
        <w:rPr>
          <w:rFonts w:hint="eastAsia" w:ascii="宋体" w:hAnsi="宋体" w:cs="宋体"/>
          <w:kern w:val="0"/>
          <w:sz w:val="24"/>
          <w:szCs w:val="24"/>
          <w:lang w:val="en-US" w:eastAsia="zh-CN"/>
        </w:rPr>
        <w:t>使用</w:t>
      </w:r>
      <w:r>
        <w:rPr>
          <w:rFonts w:hint="eastAsia" w:ascii="宋体" w:hAnsi="宋体" w:cs="宋体"/>
          <w:kern w:val="0"/>
          <w:sz w:val="24"/>
          <w:szCs w:val="24"/>
        </w:rPr>
        <w:t>期限出现调整，支付费用按实际工作成果据实结算，结算价不超过合同暂定总价，除此外，甲方不承担任何责任。每次付款应由乙方根据合同规定提交付款申请、工作成果及证明文件，并提供等值金额的合法有效增值税专用发票，经甲方审核通过后15个工作日内支付。</w:t>
      </w:r>
    </w:p>
    <w:p>
      <w:pPr>
        <w:adjustRightInd w:val="0"/>
        <w:snapToGrid w:val="0"/>
        <w:spacing w:line="312" w:lineRule="auto"/>
        <w:jc w:val="left"/>
        <w:rPr>
          <w:rFonts w:ascii="宋体" w:hAnsi="宋体" w:cs="宋体"/>
          <w:sz w:val="24"/>
          <w:szCs w:val="24"/>
        </w:rPr>
      </w:pPr>
    </w:p>
    <w:p>
      <w:pPr>
        <w:adjustRightInd w:val="0"/>
        <w:snapToGrid w:val="0"/>
        <w:spacing w:line="312" w:lineRule="auto"/>
        <w:ind w:firstLine="480" w:firstLineChars="200"/>
        <w:jc w:val="left"/>
        <w:rPr>
          <w:rFonts w:ascii="宋体" w:hAnsi="宋体" w:cs="宋体"/>
          <w:sz w:val="24"/>
          <w:szCs w:val="24"/>
        </w:rPr>
      </w:pPr>
      <w:r>
        <w:rPr>
          <w:rFonts w:hint="eastAsia" w:ascii="宋体" w:hAnsi="宋体" w:cs="宋体"/>
          <w:sz w:val="24"/>
          <w:szCs w:val="24"/>
        </w:rPr>
        <w:t>相关支付进度：</w:t>
      </w:r>
    </w:p>
    <w:tbl>
      <w:tblPr>
        <w:tblStyle w:val="49"/>
        <w:tblW w:w="9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6"/>
        <w:gridCol w:w="4050"/>
        <w:gridCol w:w="3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96" w:type="dxa"/>
          </w:tcPr>
          <w:p>
            <w:pPr>
              <w:pStyle w:val="206"/>
              <w:adjustRightInd w:val="0"/>
              <w:snapToGrid w:val="0"/>
              <w:spacing w:line="312" w:lineRule="auto"/>
              <w:jc w:val="center"/>
              <w:rPr>
                <w:rFonts w:ascii="宋体" w:hAnsi="宋体" w:eastAsia="宋体" w:cs="宋体"/>
                <w:kern w:val="0"/>
                <w:sz w:val="24"/>
                <w:szCs w:val="24"/>
                <w:lang w:val="zh-TW"/>
              </w:rPr>
            </w:pPr>
            <w:r>
              <w:rPr>
                <w:rFonts w:hint="eastAsia" w:ascii="宋体" w:hAnsi="宋体" w:eastAsia="宋体" w:cs="宋体"/>
                <w:kern w:val="0"/>
                <w:sz w:val="24"/>
                <w:szCs w:val="24"/>
                <w:lang w:val="zh-TW"/>
              </w:rPr>
              <w:t>付款期次</w:t>
            </w:r>
          </w:p>
        </w:tc>
        <w:tc>
          <w:tcPr>
            <w:tcW w:w="4050" w:type="dxa"/>
            <w:shd w:val="clear" w:color="auto" w:fill="auto"/>
            <w:vAlign w:val="center"/>
          </w:tcPr>
          <w:p>
            <w:pPr>
              <w:pStyle w:val="206"/>
              <w:adjustRightInd w:val="0"/>
              <w:snapToGrid w:val="0"/>
              <w:spacing w:line="312" w:lineRule="auto"/>
              <w:jc w:val="center"/>
              <w:rPr>
                <w:rFonts w:ascii="宋体" w:hAnsi="宋体" w:eastAsia="宋体" w:cs="宋体"/>
                <w:kern w:val="0"/>
                <w:sz w:val="24"/>
                <w:szCs w:val="24"/>
                <w:lang w:val="zh-TW"/>
              </w:rPr>
            </w:pPr>
            <w:r>
              <w:rPr>
                <w:rFonts w:hint="eastAsia" w:ascii="宋体" w:hAnsi="宋体" w:eastAsia="宋体" w:cs="宋体"/>
                <w:kern w:val="0"/>
                <w:sz w:val="24"/>
                <w:szCs w:val="24"/>
                <w:lang w:val="zh-TW"/>
              </w:rPr>
              <w:t>付款节点</w:t>
            </w:r>
          </w:p>
        </w:tc>
        <w:tc>
          <w:tcPr>
            <w:tcW w:w="3506" w:type="dxa"/>
            <w:shd w:val="clear" w:color="auto" w:fill="auto"/>
            <w:vAlign w:val="center"/>
          </w:tcPr>
          <w:p>
            <w:pPr>
              <w:pStyle w:val="206"/>
              <w:adjustRightInd w:val="0"/>
              <w:snapToGrid w:val="0"/>
              <w:spacing w:line="312" w:lineRule="auto"/>
              <w:jc w:val="center"/>
              <w:rPr>
                <w:rFonts w:ascii="宋体" w:hAnsi="宋体" w:eastAsia="宋体" w:cs="宋体"/>
                <w:kern w:val="0"/>
                <w:sz w:val="24"/>
                <w:szCs w:val="24"/>
                <w:lang w:val="zh-TW"/>
              </w:rPr>
            </w:pPr>
            <w:r>
              <w:rPr>
                <w:rFonts w:hint="eastAsia" w:ascii="宋体" w:hAnsi="宋体" w:eastAsia="宋体" w:cs="宋体"/>
                <w:kern w:val="0"/>
                <w:sz w:val="24"/>
                <w:szCs w:val="24"/>
                <w:lang w:val="zh-TW"/>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496" w:type="dxa"/>
            <w:vAlign w:val="center"/>
          </w:tcPr>
          <w:p>
            <w:pPr>
              <w:pStyle w:val="206"/>
              <w:adjustRightInd w:val="0"/>
              <w:snapToGrid w:val="0"/>
              <w:spacing w:line="312" w:lineRule="auto"/>
              <w:jc w:val="center"/>
              <w:rPr>
                <w:rFonts w:ascii="宋体" w:hAnsi="宋体" w:eastAsia="宋体" w:cs="宋体"/>
                <w:kern w:val="0"/>
                <w:sz w:val="24"/>
                <w:szCs w:val="24"/>
                <w:lang w:val="zh-TW"/>
              </w:rPr>
            </w:pPr>
            <w:r>
              <w:rPr>
                <w:rFonts w:hint="eastAsia" w:ascii="宋体" w:hAnsi="宋体" w:eastAsia="宋体" w:cs="宋体"/>
                <w:kern w:val="0"/>
                <w:sz w:val="24"/>
                <w:szCs w:val="24"/>
                <w:lang w:val="zh-TW"/>
              </w:rPr>
              <w:t>第一次付款</w:t>
            </w:r>
          </w:p>
        </w:tc>
        <w:tc>
          <w:tcPr>
            <w:tcW w:w="4050" w:type="dxa"/>
            <w:shd w:val="clear" w:color="auto" w:fill="auto"/>
            <w:vAlign w:val="center"/>
          </w:tcPr>
          <w:p>
            <w:pPr>
              <w:pStyle w:val="206"/>
              <w:adjustRightInd w:val="0"/>
              <w:snapToGrid w:val="0"/>
              <w:spacing w:line="312" w:lineRule="auto"/>
              <w:rPr>
                <w:rFonts w:ascii="宋体" w:hAnsi="宋体" w:eastAsia="宋体" w:cs="宋体"/>
                <w:kern w:val="0"/>
                <w:sz w:val="24"/>
                <w:szCs w:val="24"/>
                <w:lang w:val="zh-TW"/>
              </w:rPr>
            </w:pPr>
            <w:r>
              <w:rPr>
                <w:rFonts w:hint="eastAsia" w:ascii="宋体" w:hAnsi="宋体" w:eastAsia="宋体" w:cs="宋体"/>
                <w:kern w:val="0"/>
                <w:sz w:val="24"/>
                <w:szCs w:val="24"/>
                <w:lang w:val="zh-TW"/>
              </w:rPr>
              <w:t>甲方启动巡展活动服务项目，乙方根据甲方</w:t>
            </w:r>
            <w:r>
              <w:rPr>
                <w:rFonts w:hint="eastAsia" w:ascii="宋体" w:hAnsi="宋体" w:eastAsia="宋体" w:cs="宋体"/>
                <w:kern w:val="0"/>
                <w:sz w:val="24"/>
                <w:szCs w:val="24"/>
              </w:rPr>
              <w:t>要求</w:t>
            </w:r>
            <w:r>
              <w:rPr>
                <w:rFonts w:hint="eastAsia" w:ascii="宋体" w:hAnsi="宋体" w:eastAsia="宋体" w:cs="宋体"/>
                <w:kern w:val="0"/>
                <w:sz w:val="24"/>
                <w:szCs w:val="24"/>
                <w:lang w:val="zh-TW"/>
              </w:rPr>
              <w:t>提供《</w:t>
            </w:r>
            <w:r>
              <w:rPr>
                <w:rFonts w:hint="eastAsia" w:ascii="宋体" w:hAnsi="宋体" w:eastAsia="宋体" w:cs="宋体"/>
                <w:kern w:val="0"/>
                <w:sz w:val="24"/>
                <w:szCs w:val="24"/>
              </w:rPr>
              <w:t>巡展活动</w:t>
            </w:r>
            <w:r>
              <w:rPr>
                <w:rFonts w:hint="eastAsia" w:ascii="宋体" w:hAnsi="宋体" w:eastAsia="宋体" w:cs="宋体"/>
                <w:kern w:val="0"/>
                <w:sz w:val="24"/>
                <w:szCs w:val="24"/>
                <w:lang w:val="zh-TW"/>
              </w:rPr>
              <w:t>服务方案及工作排期表》后</w:t>
            </w:r>
          </w:p>
        </w:tc>
        <w:tc>
          <w:tcPr>
            <w:tcW w:w="3506" w:type="dxa"/>
            <w:shd w:val="clear" w:color="auto" w:fill="auto"/>
            <w:vAlign w:val="center"/>
          </w:tcPr>
          <w:p>
            <w:pPr>
              <w:pStyle w:val="206"/>
              <w:adjustRightInd w:val="0"/>
              <w:snapToGrid w:val="0"/>
              <w:spacing w:line="312" w:lineRule="auto"/>
              <w:jc w:val="left"/>
              <w:rPr>
                <w:rFonts w:ascii="宋体" w:hAnsi="宋体" w:eastAsia="宋体" w:cs="宋体"/>
                <w:kern w:val="0"/>
                <w:sz w:val="24"/>
                <w:szCs w:val="24"/>
                <w:lang w:val="zh-TW" w:eastAsia="zh-TW"/>
              </w:rPr>
            </w:pPr>
            <w:r>
              <w:rPr>
                <w:rFonts w:hint="eastAsia" w:ascii="宋体" w:hAnsi="宋体" w:eastAsia="宋体" w:cs="宋体"/>
                <w:kern w:val="0"/>
                <w:sz w:val="24"/>
                <w:szCs w:val="24"/>
                <w:lang w:val="zh-TW"/>
              </w:rPr>
              <w:t>支付暂定合同价的</w:t>
            </w:r>
            <w:r>
              <w:rPr>
                <w:rFonts w:hint="eastAsia" w:ascii="宋体" w:hAnsi="宋体" w:eastAsia="宋体" w:cs="宋体"/>
                <w:kern w:val="0"/>
                <w:sz w:val="24"/>
                <w:szCs w:val="24"/>
              </w:rPr>
              <w:t>1</w:t>
            </w:r>
            <w:r>
              <w:rPr>
                <w:rFonts w:hint="eastAsia" w:ascii="宋体" w:hAnsi="宋体" w:eastAsia="宋体" w:cs="宋体"/>
                <w:kern w:val="0"/>
                <w:sz w:val="24"/>
                <w:szCs w:val="24"/>
                <w:lang w:val="zh-TW"/>
              </w:rPr>
              <w:t>0%，即人民币大写____万元整（RMB_____元）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496" w:type="dxa"/>
            <w:vAlign w:val="center"/>
          </w:tcPr>
          <w:p>
            <w:pPr>
              <w:pStyle w:val="206"/>
              <w:adjustRightInd w:val="0"/>
              <w:snapToGrid w:val="0"/>
              <w:spacing w:line="312" w:lineRule="auto"/>
              <w:jc w:val="center"/>
              <w:rPr>
                <w:rFonts w:ascii="宋体" w:hAnsi="宋体" w:eastAsia="宋体" w:cs="宋体"/>
                <w:kern w:val="0"/>
                <w:sz w:val="24"/>
                <w:szCs w:val="24"/>
              </w:rPr>
            </w:pPr>
            <w:r>
              <w:rPr>
                <w:rFonts w:hint="eastAsia" w:ascii="宋体" w:hAnsi="宋体" w:eastAsia="宋体" w:cs="宋体"/>
                <w:kern w:val="0"/>
                <w:sz w:val="24"/>
                <w:szCs w:val="24"/>
              </w:rPr>
              <w:t>第二次付款</w:t>
            </w:r>
          </w:p>
        </w:tc>
        <w:tc>
          <w:tcPr>
            <w:tcW w:w="4050" w:type="dxa"/>
            <w:shd w:val="clear" w:color="auto" w:fill="auto"/>
            <w:vAlign w:val="center"/>
          </w:tcPr>
          <w:p>
            <w:pPr>
              <w:pStyle w:val="206"/>
              <w:adjustRightInd w:val="0"/>
              <w:snapToGrid w:val="0"/>
              <w:spacing w:line="312" w:lineRule="auto"/>
              <w:rPr>
                <w:rFonts w:ascii="宋体" w:hAnsi="宋体" w:eastAsia="宋体" w:cs="宋体"/>
                <w:kern w:val="0"/>
                <w:sz w:val="24"/>
                <w:szCs w:val="24"/>
              </w:rPr>
            </w:pPr>
            <w:r>
              <w:rPr>
                <w:rFonts w:hint="eastAsia" w:ascii="宋体" w:hAnsi="宋体" w:eastAsia="宋体" w:cs="宋体"/>
                <w:kern w:val="0"/>
                <w:sz w:val="24"/>
                <w:szCs w:val="24"/>
              </w:rPr>
              <w:t>乙方完成特装展位进场包装并经甲方验收确认后</w:t>
            </w:r>
          </w:p>
        </w:tc>
        <w:tc>
          <w:tcPr>
            <w:tcW w:w="3506" w:type="dxa"/>
            <w:shd w:val="clear" w:color="auto" w:fill="auto"/>
            <w:vAlign w:val="center"/>
          </w:tcPr>
          <w:p>
            <w:pPr>
              <w:pStyle w:val="206"/>
              <w:adjustRightInd w:val="0"/>
              <w:snapToGrid w:val="0"/>
              <w:spacing w:line="312" w:lineRule="auto"/>
              <w:jc w:val="left"/>
              <w:rPr>
                <w:rFonts w:ascii="宋体" w:hAnsi="宋体" w:eastAsia="宋体" w:cs="宋体"/>
                <w:kern w:val="0"/>
                <w:sz w:val="24"/>
                <w:szCs w:val="24"/>
                <w:lang w:val="zh-TW"/>
              </w:rPr>
            </w:pPr>
            <w:r>
              <w:rPr>
                <w:rFonts w:hint="eastAsia" w:ascii="宋体" w:hAnsi="宋体" w:eastAsia="宋体" w:cs="宋体"/>
                <w:kern w:val="0"/>
                <w:sz w:val="24"/>
                <w:szCs w:val="24"/>
                <w:lang w:val="zh-TW"/>
              </w:rPr>
              <w:t>支付</w:t>
            </w:r>
            <w:r>
              <w:rPr>
                <w:rFonts w:hint="eastAsia" w:ascii="宋体" w:hAnsi="宋体" w:eastAsia="宋体" w:cs="宋体"/>
                <w:kern w:val="0"/>
                <w:sz w:val="24"/>
                <w:szCs w:val="24"/>
              </w:rPr>
              <w:t>至</w:t>
            </w:r>
            <w:r>
              <w:rPr>
                <w:rFonts w:hint="eastAsia" w:ascii="宋体" w:hAnsi="宋体" w:eastAsia="宋体" w:cs="宋体"/>
                <w:kern w:val="0"/>
                <w:sz w:val="24"/>
                <w:szCs w:val="24"/>
                <w:lang w:val="zh-TW"/>
              </w:rPr>
              <w:t>暂定合同价的</w:t>
            </w:r>
            <w:r>
              <w:rPr>
                <w:rFonts w:hint="eastAsia" w:ascii="宋体" w:hAnsi="宋体" w:eastAsia="宋体" w:cs="宋体"/>
                <w:kern w:val="0"/>
                <w:sz w:val="24"/>
                <w:szCs w:val="24"/>
              </w:rPr>
              <w:t>4</w:t>
            </w:r>
            <w:r>
              <w:rPr>
                <w:rFonts w:hint="eastAsia" w:ascii="宋体" w:hAnsi="宋体" w:eastAsia="宋体" w:cs="宋体"/>
                <w:kern w:val="0"/>
                <w:sz w:val="24"/>
                <w:szCs w:val="24"/>
                <w:lang w:val="zh-TW"/>
              </w:rPr>
              <w:t>0%，即人民币大写____万元整（RMB_____元）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496" w:type="dxa"/>
            <w:vAlign w:val="center"/>
          </w:tcPr>
          <w:p>
            <w:pPr>
              <w:pStyle w:val="206"/>
              <w:adjustRightInd w:val="0"/>
              <w:snapToGrid w:val="0"/>
              <w:spacing w:line="312" w:lineRule="auto"/>
              <w:jc w:val="center"/>
              <w:rPr>
                <w:rFonts w:ascii="宋体" w:hAnsi="宋体" w:eastAsia="宋体" w:cs="宋体"/>
                <w:kern w:val="0"/>
                <w:sz w:val="24"/>
                <w:szCs w:val="24"/>
                <w:lang w:val="zh-TW"/>
              </w:rPr>
            </w:pPr>
            <w:r>
              <w:rPr>
                <w:rFonts w:hint="eastAsia" w:ascii="宋体" w:hAnsi="宋体" w:eastAsia="宋体" w:cs="宋体"/>
                <w:kern w:val="0"/>
                <w:sz w:val="24"/>
                <w:szCs w:val="24"/>
                <w:lang w:val="zh-TW"/>
              </w:rPr>
              <w:t>第二次付款</w:t>
            </w:r>
          </w:p>
        </w:tc>
        <w:tc>
          <w:tcPr>
            <w:tcW w:w="4050" w:type="dxa"/>
            <w:shd w:val="clear" w:color="auto" w:fill="auto"/>
            <w:vAlign w:val="center"/>
          </w:tcPr>
          <w:p>
            <w:pPr>
              <w:pStyle w:val="206"/>
              <w:adjustRightInd w:val="0"/>
              <w:snapToGrid w:val="0"/>
              <w:spacing w:line="312" w:lineRule="auto"/>
              <w:rPr>
                <w:rFonts w:ascii="宋体" w:hAnsi="宋体" w:eastAsia="宋体" w:cs="宋体"/>
                <w:kern w:val="0"/>
                <w:sz w:val="24"/>
                <w:szCs w:val="24"/>
                <w:lang w:val="zh-TW"/>
              </w:rPr>
            </w:pPr>
            <w:r>
              <w:rPr>
                <w:rFonts w:hint="eastAsia" w:ascii="宋体" w:hAnsi="宋体" w:eastAsia="宋体" w:cs="宋体"/>
                <w:kern w:val="0"/>
                <w:sz w:val="24"/>
                <w:szCs w:val="24"/>
                <w:lang w:val="zh-TW"/>
              </w:rPr>
              <w:t>乙</w:t>
            </w:r>
            <w:r>
              <w:rPr>
                <w:rFonts w:hint="eastAsia" w:ascii="宋体" w:hAnsi="宋体" w:eastAsia="宋体" w:cs="宋体"/>
                <w:kern w:val="0"/>
                <w:sz w:val="24"/>
                <w:szCs w:val="24"/>
              </w:rPr>
              <w:t>方按甲方工作要求完成商超特装展，并</w:t>
            </w:r>
            <w:r>
              <w:rPr>
                <w:rFonts w:hint="eastAsia" w:ascii="宋体" w:hAnsi="宋体" w:eastAsia="宋体" w:cs="宋体"/>
                <w:kern w:val="0"/>
                <w:sz w:val="24"/>
                <w:szCs w:val="24"/>
                <w:lang w:val="zh-TW"/>
              </w:rPr>
              <w:t xml:space="preserve">向甲方提交工作成果，经甲方书面验收确认后 </w:t>
            </w:r>
          </w:p>
        </w:tc>
        <w:tc>
          <w:tcPr>
            <w:tcW w:w="3506" w:type="dxa"/>
            <w:shd w:val="clear" w:color="auto" w:fill="auto"/>
            <w:vAlign w:val="center"/>
          </w:tcPr>
          <w:p>
            <w:pPr>
              <w:pStyle w:val="206"/>
              <w:adjustRightInd w:val="0"/>
              <w:snapToGrid w:val="0"/>
              <w:spacing w:line="312" w:lineRule="auto"/>
              <w:jc w:val="left"/>
              <w:rPr>
                <w:rFonts w:ascii="宋体" w:hAnsi="宋体" w:eastAsia="宋体" w:cs="宋体"/>
                <w:kern w:val="0"/>
                <w:sz w:val="24"/>
                <w:szCs w:val="24"/>
                <w:lang w:val="zh-TW"/>
              </w:rPr>
            </w:pPr>
            <w:r>
              <w:rPr>
                <w:rFonts w:hint="eastAsia" w:ascii="宋体" w:hAnsi="宋体" w:eastAsia="宋体" w:cs="宋体"/>
                <w:kern w:val="0"/>
                <w:sz w:val="24"/>
                <w:szCs w:val="24"/>
                <w:lang w:val="zh-TW"/>
              </w:rPr>
              <w:t>据实结算，支付至</w:t>
            </w:r>
            <w:r>
              <w:rPr>
                <w:rFonts w:hint="eastAsia" w:ascii="宋体" w:hAnsi="宋体" w:eastAsia="宋体" w:cs="宋体"/>
                <w:kern w:val="0"/>
                <w:sz w:val="24"/>
                <w:szCs w:val="24"/>
              </w:rPr>
              <w:t>巡展活动</w:t>
            </w:r>
            <w:r>
              <w:rPr>
                <w:rFonts w:hint="eastAsia" w:ascii="宋体" w:hAnsi="宋体" w:eastAsia="宋体" w:cs="宋体"/>
                <w:kern w:val="0"/>
                <w:sz w:val="24"/>
                <w:szCs w:val="24"/>
                <w:lang w:val="zh-TW"/>
              </w:rPr>
              <w:t>甲方验收结算金额的10</w:t>
            </w:r>
            <w:r>
              <w:rPr>
                <w:rFonts w:hint="eastAsia" w:ascii="宋体" w:hAnsi="宋体" w:eastAsia="宋体" w:cs="宋体"/>
                <w:kern w:val="0"/>
                <w:sz w:val="24"/>
                <w:szCs w:val="24"/>
                <w:lang w:val="zh-TW" w:eastAsia="zh-TW"/>
              </w:rPr>
              <w:t>0</w:t>
            </w:r>
            <w:r>
              <w:rPr>
                <w:rFonts w:hint="eastAsia" w:ascii="宋体" w:hAnsi="宋体" w:eastAsia="宋体" w:cs="宋体"/>
                <w:kern w:val="0"/>
                <w:sz w:val="24"/>
                <w:szCs w:val="24"/>
                <w:lang w:val="zh-TW"/>
              </w:rPr>
              <w:t xml:space="preserve">% </w:t>
            </w:r>
          </w:p>
        </w:tc>
      </w:tr>
    </w:tbl>
    <w:p>
      <w:pPr>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六、知识产权</w:t>
      </w:r>
    </w:p>
    <w:p>
      <w:pPr>
        <w:adjustRightInd w:val="0"/>
        <w:snapToGrid w:val="0"/>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2</w:t>
      </w:r>
      <w:r>
        <w:rPr>
          <w:rFonts w:hint="eastAsia" w:ascii="宋体" w:hAnsi="宋体" w:cs="宋体"/>
          <w:spacing w:val="-4"/>
          <w:sz w:val="24"/>
          <w:szCs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3</w:t>
      </w:r>
      <w:r>
        <w:rPr>
          <w:rFonts w:hint="eastAsia" w:ascii="宋体" w:hAnsi="宋体" w:cs="宋体"/>
          <w:spacing w:val="-4"/>
          <w:sz w:val="24"/>
          <w:szCs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4</w:t>
      </w:r>
      <w:r>
        <w:rPr>
          <w:rFonts w:hint="eastAsia" w:ascii="宋体" w:hAnsi="宋体" w:cs="宋体"/>
          <w:spacing w:val="-4"/>
          <w:sz w:val="24"/>
          <w:szCs w:val="24"/>
        </w:rPr>
        <w:t>、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5</w:t>
      </w:r>
      <w:r>
        <w:rPr>
          <w:rFonts w:hint="eastAsia" w:ascii="宋体" w:hAnsi="宋体" w:cs="宋体"/>
          <w:spacing w:val="-4"/>
          <w:sz w:val="24"/>
          <w:szCs w:val="24"/>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6</w:t>
      </w:r>
      <w:r>
        <w:rPr>
          <w:rFonts w:hint="eastAsia" w:ascii="宋体" w:hAnsi="宋体" w:cs="宋体"/>
          <w:spacing w:val="-4"/>
          <w:sz w:val="24"/>
          <w:szCs w:val="24"/>
        </w:rPr>
        <w:t>、乙方违反上述条款有关约定的，单次违约应当向甲方支付合同价款</w:t>
      </w:r>
      <w:r>
        <w:rPr>
          <w:rFonts w:hint="eastAsia" w:ascii="宋体" w:hAnsi="宋体"/>
          <w:spacing w:val="-4"/>
          <w:sz w:val="24"/>
          <w:szCs w:val="24"/>
        </w:rPr>
        <w:t>20%</w:t>
      </w:r>
      <w:r>
        <w:rPr>
          <w:rFonts w:hint="eastAsia" w:ascii="宋体" w:hAnsi="宋体" w:cs="宋体"/>
          <w:spacing w:val="-4"/>
          <w:sz w:val="24"/>
          <w:szCs w:val="24"/>
        </w:rPr>
        <w:t>的违约金。</w:t>
      </w:r>
    </w:p>
    <w:p>
      <w:pPr>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七、违约责任</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1.除不可抗力原因或本合同另有约定外，甲、乙双方应严格遵守本合同的条款，否则，违约方须承担违约责任。</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2.在合同期内，若乙方的工作质量达不到甲方的要求的，累计三次以上或连续发生两次以上的，甲方可解除本合同。</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不能按合同约定之要求及期限或甲方调整后的期限按时完成各项工作，包括乙方未按甲方或合同要求及时、准确提供甲方所需之稿件、电子文件等，或未按约定完成活动开放等迟延提供服务的行为，均视为乙方违约。每逾期1日，甲方有权按违约当次活动总金额的0.5%向乙方收取违约金，并承担因乙方迟延交付工作给甲方造成的全部损失。逾期达10日或出现三次以上迟延完成的，甲方有权解除本合同。</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4.如因乙方的原因造成活动取消或不能顺利进行，则视为乙方违约，甲方有权要求乙方向甲方支付相当于当次活动总金额 5%的违约金，因此给甲方造成损失的，乙方还应赔偿损失。</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如乙方实际提供的活动内容与合同所约定的活动内容不符，或者未按约定提供活动所需的物料等，则甲方有权扣减相应的费用，且乙方必须保证活动能够顺利进行，否则，甲方有权要求乙方按当次活动总金额5%向甲方支付违约约，并由乙方退还已支付的全部款项；乙方应在甲方通知后3日内付清，逾期按应付款的日万分之二计算支付违约金。</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6.乙方违反本合同其它约定的，经甲方书面通知限期改正或履行，而期满仍未改正或履行的，甲方有权解除本合同。</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7.合同期内，如因乙方原因造成甲方损失或损害甲方商誉的，甲方有权解除本合同。</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8.除本合同另有约定之外，因乙方原因解除本合同的，乙方应向甲方支付本合同总价款5％的违约金，对因此给甲方造成的损失，乙方应承担赔偿责任。</w:t>
      </w:r>
    </w:p>
    <w:p>
      <w:pPr>
        <w:adjustRightInd w:val="0"/>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9.甲方有权从应支付给乙方的款项中直接扣除乙方应承担的违约赔偿金等款项，如不足赔偿甲方的损失的，甲方有权继续向乙方追偿。</w:t>
      </w:r>
    </w:p>
    <w:p>
      <w:pPr>
        <w:adjustRightInd w:val="0"/>
        <w:snapToGrid w:val="0"/>
        <w:spacing w:line="360" w:lineRule="auto"/>
        <w:ind w:firstLine="480" w:firstLineChars="200"/>
        <w:jc w:val="left"/>
        <w:rPr>
          <w:rFonts w:ascii="宋体" w:hAnsi="宋体" w:cs="宋体"/>
          <w:spacing w:val="-4"/>
          <w:sz w:val="24"/>
          <w:szCs w:val="24"/>
        </w:rPr>
      </w:pPr>
      <w:r>
        <w:rPr>
          <w:rFonts w:hint="eastAsia" w:asciiTheme="minorEastAsia" w:hAnsiTheme="minorEastAsia" w:eastAsiaTheme="minorEastAsia" w:cstheme="minorEastAsia"/>
          <w:sz w:val="24"/>
          <w:szCs w:val="24"/>
        </w:rPr>
        <w:t>10.若乙方违约，乙方除按约定承担违约责任外，还必须承担甲方因追溯乙方责任而产生的合理的调查费用、律师代理费、业务费、审计费、交通费、餐饮费、住宿费及其他与追溯乙方责任有关的所有费用。</w:t>
      </w:r>
    </w:p>
    <w:p>
      <w:pPr>
        <w:adjustRightInd w:val="0"/>
        <w:snapToGrid w:val="0"/>
        <w:spacing w:line="360" w:lineRule="auto"/>
        <w:ind w:firstLine="466" w:firstLineChars="200"/>
        <w:outlineLvl w:val="0"/>
        <w:rPr>
          <w:rFonts w:ascii="宋体" w:hAnsi="宋体"/>
          <w:b/>
          <w:spacing w:val="-4"/>
          <w:sz w:val="24"/>
          <w:szCs w:val="24"/>
        </w:rPr>
      </w:pPr>
      <w:r>
        <w:rPr>
          <w:rFonts w:hint="eastAsia" w:ascii="宋体" w:hAnsi="宋体"/>
          <w:b/>
          <w:spacing w:val="-4"/>
          <w:sz w:val="24"/>
          <w:szCs w:val="24"/>
        </w:rPr>
        <w:t>八、保密</w:t>
      </w:r>
    </w:p>
    <w:p>
      <w:pPr>
        <w:tabs>
          <w:tab w:val="left" w:pos="90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tabs>
          <w:tab w:val="left" w:pos="900"/>
        </w:tabs>
        <w:adjustRightInd w:val="0"/>
        <w:snapToGrid w:val="0"/>
        <w:spacing w:line="360" w:lineRule="auto"/>
        <w:ind w:firstLine="482" w:firstLineChars="200"/>
        <w:rPr>
          <w:rFonts w:ascii="宋体" w:hAnsi="宋体"/>
          <w:b/>
          <w:sz w:val="24"/>
          <w:szCs w:val="24"/>
        </w:rPr>
      </w:pPr>
      <w:r>
        <w:rPr>
          <w:rFonts w:hint="eastAsia" w:ascii="宋体" w:hAnsi="宋体"/>
          <w:b/>
          <w:sz w:val="24"/>
          <w:szCs w:val="24"/>
        </w:rPr>
        <w:t>九、</w:t>
      </w:r>
      <w:r>
        <w:rPr>
          <w:rFonts w:ascii="宋体" w:hAnsi="宋体"/>
          <w:b/>
          <w:sz w:val="24"/>
          <w:szCs w:val="24"/>
        </w:rPr>
        <w:t>合同的变更与解除</w:t>
      </w:r>
    </w:p>
    <w:p>
      <w:pPr>
        <w:tabs>
          <w:tab w:val="left" w:pos="900"/>
        </w:tabs>
        <w:adjustRightInd w:val="0"/>
        <w:snapToGrid w:val="0"/>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合同生效后，即具有法律约束力，除本合同有相关约定外，任何一方不得随意变更或解除合同。</w:t>
      </w:r>
    </w:p>
    <w:p>
      <w:pPr>
        <w:tabs>
          <w:tab w:val="left" w:pos="900"/>
        </w:tabs>
        <w:adjustRightInd w:val="0"/>
        <w:snapToGrid w:val="0"/>
        <w:spacing w:line="360" w:lineRule="auto"/>
        <w:ind w:firstLine="480" w:firstLineChars="200"/>
        <w:rPr>
          <w:rFonts w:ascii="宋体" w:hAnsi="宋体"/>
          <w:sz w:val="24"/>
          <w:szCs w:val="24"/>
        </w:rPr>
      </w:pPr>
      <w:r>
        <w:rPr>
          <w:rFonts w:hint="eastAsia" w:ascii="宋体" w:hAnsi="宋体"/>
          <w:sz w:val="24"/>
          <w:szCs w:val="24"/>
        </w:rPr>
        <w:t>2、由于不可抗力的原因，使合同无法完全履行的时候，经双方协商，可以变更或</w:t>
      </w:r>
      <w:r>
        <w:rPr>
          <w:rFonts w:ascii="宋体" w:hAnsi="宋体"/>
          <w:sz w:val="24"/>
          <w:szCs w:val="24"/>
        </w:rPr>
        <w:t>解除</w:t>
      </w:r>
      <w:r>
        <w:rPr>
          <w:rFonts w:hint="eastAsia" w:ascii="宋体" w:hAnsi="宋体"/>
          <w:sz w:val="24"/>
          <w:szCs w:val="24"/>
        </w:rPr>
        <w:t>合同。</w:t>
      </w:r>
    </w:p>
    <w:p>
      <w:pPr>
        <w:tabs>
          <w:tab w:val="left" w:pos="900"/>
        </w:tabs>
        <w:adjustRightInd w:val="0"/>
        <w:snapToGrid w:val="0"/>
        <w:spacing w:line="360" w:lineRule="auto"/>
        <w:ind w:firstLine="480" w:firstLineChars="200"/>
        <w:rPr>
          <w:rFonts w:ascii="宋体" w:hAnsi="宋体"/>
          <w:sz w:val="24"/>
          <w:szCs w:val="24"/>
        </w:rPr>
      </w:pPr>
      <w:r>
        <w:rPr>
          <w:rFonts w:hint="eastAsia" w:ascii="宋体" w:hAnsi="宋体"/>
          <w:sz w:val="24"/>
          <w:szCs w:val="24"/>
        </w:rPr>
        <w:t>3、本合同的任何修改，由双方协商同意并另行签订补充协议。</w:t>
      </w:r>
    </w:p>
    <w:p>
      <w:pPr>
        <w:tabs>
          <w:tab w:val="left" w:pos="900"/>
        </w:tabs>
        <w:adjustRightInd w:val="0"/>
        <w:snapToGrid w:val="0"/>
        <w:spacing w:line="360" w:lineRule="auto"/>
        <w:ind w:firstLine="480" w:firstLineChars="200"/>
        <w:rPr>
          <w:rFonts w:ascii="宋体" w:hAnsi="宋体"/>
          <w:sz w:val="24"/>
          <w:szCs w:val="24"/>
        </w:rPr>
      </w:pPr>
      <w:r>
        <w:rPr>
          <w:rFonts w:hint="eastAsia" w:ascii="宋体" w:hAnsi="宋体"/>
          <w:sz w:val="24"/>
          <w:szCs w:val="24"/>
        </w:rPr>
        <w:t>4、</w:t>
      </w:r>
      <w:r>
        <w:rPr>
          <w:rFonts w:ascii="宋体" w:hAnsi="宋体"/>
          <w:sz w:val="24"/>
          <w:szCs w:val="24"/>
        </w:rPr>
        <w:t>如甲方安排乙方从事本项目工作范围以外的项目或其他额外项目，双方应按照本合同的规定进行协商，经协商一致，另行签订补充协议。</w:t>
      </w:r>
    </w:p>
    <w:p>
      <w:pPr>
        <w:adjustRightInd w:val="0"/>
        <w:snapToGrid w:val="0"/>
        <w:spacing w:line="360" w:lineRule="auto"/>
        <w:ind w:firstLine="466" w:firstLineChars="200"/>
        <w:outlineLvl w:val="0"/>
        <w:rPr>
          <w:rFonts w:ascii="宋体" w:hAnsi="宋体"/>
          <w:b/>
          <w:spacing w:val="-4"/>
          <w:sz w:val="24"/>
          <w:szCs w:val="24"/>
        </w:rPr>
      </w:pPr>
      <w:r>
        <w:rPr>
          <w:rFonts w:hint="eastAsia" w:ascii="宋体" w:hAnsi="宋体"/>
          <w:b/>
          <w:spacing w:val="-4"/>
          <w:sz w:val="24"/>
          <w:szCs w:val="24"/>
        </w:rPr>
        <w:t>十、争议解决</w:t>
      </w:r>
    </w:p>
    <w:p>
      <w:pPr>
        <w:autoSpaceDE w:val="0"/>
        <w:autoSpaceDN w:val="0"/>
        <w:adjustRightInd w:val="0"/>
        <w:snapToGrid w:val="0"/>
        <w:spacing w:line="360" w:lineRule="auto"/>
        <w:ind w:firstLine="464" w:firstLineChars="200"/>
        <w:jc w:val="left"/>
        <w:rPr>
          <w:rFonts w:ascii="宋体" w:hAnsi="宋体"/>
          <w:spacing w:val="-4"/>
          <w:sz w:val="24"/>
          <w:szCs w:val="24"/>
        </w:rPr>
      </w:pPr>
      <w:r>
        <w:rPr>
          <w:rFonts w:hint="eastAsia" w:ascii="宋体" w:hAnsi="宋体"/>
          <w:spacing w:val="-4"/>
          <w:sz w:val="24"/>
          <w:szCs w:val="24"/>
        </w:rPr>
        <w:t>在合同履行过程中发生争议，甲乙双方应当协商解决。如</w:t>
      </w:r>
      <w:r>
        <w:rPr>
          <w:rFonts w:ascii="宋体" w:hAnsi="宋体"/>
          <w:spacing w:val="-4"/>
          <w:sz w:val="24"/>
          <w:szCs w:val="24"/>
        </w:rPr>
        <w:t>协商不成，任何一方均有权将争议提交甲方所在</w:t>
      </w:r>
      <w:r>
        <w:rPr>
          <w:rFonts w:hint="eastAsia" w:ascii="宋体" w:hAnsi="宋体"/>
          <w:spacing w:val="-4"/>
          <w:sz w:val="24"/>
          <w:szCs w:val="24"/>
        </w:rPr>
        <w:t>地</w:t>
      </w:r>
      <w:r>
        <w:rPr>
          <w:rFonts w:ascii="宋体" w:hAnsi="宋体"/>
          <w:spacing w:val="-4"/>
          <w:sz w:val="24"/>
          <w:szCs w:val="24"/>
        </w:rPr>
        <w:t xml:space="preserve">法院诉讼解决。 </w:t>
      </w:r>
    </w:p>
    <w:p>
      <w:pPr>
        <w:adjustRightInd w:val="0"/>
        <w:snapToGrid w:val="0"/>
        <w:spacing w:line="360" w:lineRule="auto"/>
        <w:ind w:firstLine="466" w:firstLineChars="200"/>
        <w:outlineLvl w:val="0"/>
        <w:rPr>
          <w:rFonts w:ascii="宋体" w:hAnsi="宋体"/>
          <w:b/>
          <w:spacing w:val="-4"/>
          <w:sz w:val="24"/>
          <w:szCs w:val="24"/>
        </w:rPr>
      </w:pPr>
      <w:r>
        <w:rPr>
          <w:rFonts w:hint="eastAsia" w:ascii="宋体" w:hAnsi="宋体"/>
          <w:b/>
          <w:spacing w:val="-4"/>
          <w:sz w:val="24"/>
          <w:szCs w:val="24"/>
        </w:rPr>
        <w:t>十一、其他</w:t>
      </w:r>
    </w:p>
    <w:p>
      <w:pPr>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1、本合同经双方法定代表人或授权代表签字，并由</w:t>
      </w:r>
      <w:r>
        <w:rPr>
          <w:rFonts w:ascii="宋体" w:hAnsi="宋体"/>
          <w:spacing w:val="-4"/>
          <w:sz w:val="24"/>
          <w:szCs w:val="24"/>
        </w:rPr>
        <w:t>双方盖章</w:t>
      </w:r>
      <w:r>
        <w:rPr>
          <w:rFonts w:hint="eastAsia" w:ascii="宋体" w:hAnsi="宋体"/>
          <w:spacing w:val="-4"/>
          <w:sz w:val="24"/>
          <w:szCs w:val="24"/>
        </w:rPr>
        <w:t>后即为生效。</w:t>
      </w:r>
    </w:p>
    <w:p>
      <w:pPr>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2、本合同的任何修改，由双方协商同意并另行签订补充合同。</w:t>
      </w:r>
    </w:p>
    <w:p>
      <w:pPr>
        <w:autoSpaceDE w:val="0"/>
        <w:autoSpaceDN w:val="0"/>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3、本合同一式拾份，正本一式贰份，甲乙双方各执壹份，副本一式捌份，甲方柒份，乙方壹份。正本与副本不一致，以正本为准。</w:t>
      </w:r>
    </w:p>
    <w:p>
      <w:pPr>
        <w:autoSpaceDE w:val="0"/>
        <w:autoSpaceDN w:val="0"/>
        <w:adjustRightInd w:val="0"/>
        <w:snapToGrid w:val="0"/>
        <w:spacing w:line="360" w:lineRule="auto"/>
        <w:ind w:firstLine="464" w:firstLineChars="200"/>
        <w:rPr>
          <w:rFonts w:ascii="宋体" w:hAnsi="宋体"/>
          <w:spacing w:val="-4"/>
          <w:sz w:val="24"/>
          <w:szCs w:val="24"/>
        </w:rPr>
      </w:pPr>
    </w:p>
    <w:p>
      <w:pPr>
        <w:adjustRightInd w:val="0"/>
        <w:snapToGrid w:val="0"/>
        <w:spacing w:line="360" w:lineRule="auto"/>
        <w:jc w:val="left"/>
        <w:rPr>
          <w:rFonts w:ascii="宋体" w:hAnsi="宋体"/>
          <w:spacing w:val="-4"/>
          <w:sz w:val="24"/>
          <w:szCs w:val="24"/>
        </w:rPr>
      </w:pPr>
      <w:r>
        <w:rPr>
          <w:rFonts w:hint="eastAsia" w:ascii="宋体" w:hAnsi="宋体"/>
          <w:spacing w:val="-4"/>
          <w:sz w:val="24"/>
          <w:szCs w:val="24"/>
        </w:rPr>
        <w:t>附件：1、XX巡展活动方案及工作计划表</w:t>
      </w:r>
    </w:p>
    <w:p>
      <w:pPr>
        <w:pStyle w:val="2"/>
        <w:numPr>
          <w:ilvl w:val="0"/>
          <w:numId w:val="5"/>
        </w:numPr>
        <w:ind w:left="0" w:leftChars="0" w:firstLine="696" w:firstLineChars="300"/>
        <w:rPr>
          <w:rFonts w:hAnsi="宋体"/>
          <w:spacing w:val="-4"/>
          <w:sz w:val="24"/>
        </w:rPr>
      </w:pPr>
      <w:r>
        <w:rPr>
          <w:rFonts w:hint="eastAsia" w:hAnsi="宋体"/>
          <w:spacing w:val="-4"/>
          <w:sz w:val="24"/>
        </w:rPr>
        <w:t>XX巡展活动服务场地报价单</w:t>
      </w:r>
    </w:p>
    <w:p>
      <w:pPr>
        <w:pStyle w:val="2"/>
        <w:numPr>
          <w:ilvl w:val="0"/>
          <w:numId w:val="5"/>
        </w:numPr>
        <w:ind w:left="0" w:leftChars="0" w:firstLine="696" w:firstLineChars="300"/>
        <w:rPr>
          <w:rFonts w:hAnsi="宋体"/>
          <w:spacing w:val="-4"/>
          <w:sz w:val="24"/>
        </w:rPr>
      </w:pPr>
      <w:r>
        <w:rPr>
          <w:rFonts w:hint="eastAsia" w:hAnsi="宋体"/>
          <w:spacing w:val="-4"/>
          <w:sz w:val="24"/>
        </w:rPr>
        <w:t>XX巡展活动服务展位包装及服务报价单</w:t>
      </w:r>
    </w:p>
    <w:p>
      <w:pPr>
        <w:pStyle w:val="2"/>
        <w:ind w:firstLine="400"/>
      </w:pPr>
    </w:p>
    <w:p>
      <w:pPr>
        <w:adjustRightInd w:val="0"/>
        <w:snapToGrid w:val="0"/>
        <w:spacing w:line="360" w:lineRule="auto"/>
        <w:rPr>
          <w:rFonts w:ascii="宋体" w:hAnsi="宋体"/>
          <w:spacing w:val="-4"/>
          <w:sz w:val="24"/>
          <w:szCs w:val="24"/>
        </w:rPr>
      </w:pPr>
      <w:r>
        <w:rPr>
          <w:rFonts w:hint="eastAsia" w:ascii="宋体" w:hAnsi="宋体"/>
          <w:spacing w:val="-4"/>
          <w:sz w:val="24"/>
          <w:szCs w:val="24"/>
        </w:rPr>
        <w:t xml:space="preserve">    </w:t>
      </w:r>
    </w:p>
    <w:p>
      <w:pPr>
        <w:adjustRightInd w:val="0"/>
        <w:snapToGrid w:val="0"/>
        <w:spacing w:line="360" w:lineRule="auto"/>
        <w:rPr>
          <w:rFonts w:ascii="宋体" w:hAnsi="宋体"/>
          <w:spacing w:val="-4"/>
          <w:sz w:val="24"/>
          <w:szCs w:val="24"/>
        </w:rPr>
      </w:pPr>
    </w:p>
    <w:tbl>
      <w:tblPr>
        <w:tblStyle w:val="48"/>
        <w:tblW w:w="10173" w:type="dxa"/>
        <w:tblInd w:w="-318" w:type="dxa"/>
        <w:tblLayout w:type="fixed"/>
        <w:tblCellMar>
          <w:top w:w="0" w:type="dxa"/>
          <w:left w:w="108" w:type="dxa"/>
          <w:bottom w:w="0" w:type="dxa"/>
          <w:right w:w="108" w:type="dxa"/>
        </w:tblCellMar>
      </w:tblPr>
      <w:tblGrid>
        <w:gridCol w:w="2238"/>
        <w:gridCol w:w="541"/>
        <w:gridCol w:w="2072"/>
        <w:gridCol w:w="166"/>
        <w:gridCol w:w="2072"/>
        <w:gridCol w:w="846"/>
        <w:gridCol w:w="2238"/>
      </w:tblGrid>
      <w:tr>
        <w:tblPrEx>
          <w:tblCellMar>
            <w:top w:w="0" w:type="dxa"/>
            <w:left w:w="108" w:type="dxa"/>
            <w:bottom w:w="0" w:type="dxa"/>
            <w:right w:w="108" w:type="dxa"/>
          </w:tblCellMar>
        </w:tblPrEx>
        <w:trPr>
          <w:trHeight w:val="812"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甲方</w:t>
            </w:r>
            <w:r>
              <w:rPr>
                <w:rFonts w:ascii="宋体" w:hAnsi="宋体"/>
                <w:b/>
                <w:sz w:val="24"/>
                <w:szCs w:val="24"/>
              </w:rPr>
              <w:t>(</w:t>
            </w:r>
            <w:r>
              <w:rPr>
                <w:rFonts w:hint="eastAsia" w:ascii="宋体" w:hAnsi="宋体"/>
                <w:b/>
                <w:sz w:val="24"/>
                <w:szCs w:val="24"/>
              </w:rPr>
              <w:t>盖</w:t>
            </w:r>
            <w:r>
              <w:rPr>
                <w:rFonts w:ascii="宋体" w:hAnsi="宋体"/>
                <w:b/>
                <w:sz w:val="24"/>
                <w:szCs w:val="24"/>
              </w:rPr>
              <w:t>章)：</w:t>
            </w:r>
          </w:p>
        </w:tc>
        <w:tc>
          <w:tcPr>
            <w:tcW w:w="2779" w:type="dxa"/>
            <w:gridSpan w:val="3"/>
          </w:tcPr>
          <w:p>
            <w:pPr>
              <w:adjustRightInd w:val="0"/>
              <w:snapToGrid w:val="0"/>
              <w:spacing w:before="25" w:line="360" w:lineRule="auto"/>
              <w:rPr>
                <w:rFonts w:ascii="宋体" w:hAnsi="宋体"/>
                <w:b/>
                <w:sz w:val="24"/>
                <w:szCs w:val="24"/>
              </w:rPr>
            </w:pPr>
            <w:r>
              <w:rPr>
                <w:rFonts w:ascii="宋体" w:hAnsi="宋体"/>
                <w:b/>
                <w:sz w:val="24"/>
                <w:szCs w:val="24"/>
              </w:rPr>
              <w:t>深圳</w:t>
            </w:r>
            <w:r>
              <w:rPr>
                <w:rFonts w:hint="eastAsia" w:ascii="宋体" w:hAnsi="宋体"/>
                <w:b/>
                <w:sz w:val="24"/>
                <w:szCs w:val="24"/>
              </w:rPr>
              <w:t>市</w:t>
            </w:r>
            <w:r>
              <w:rPr>
                <w:rFonts w:ascii="宋体" w:hAnsi="宋体"/>
                <w:b/>
                <w:sz w:val="24"/>
                <w:szCs w:val="24"/>
              </w:rPr>
              <w:t>地铁</w:t>
            </w:r>
            <w:r>
              <w:rPr>
                <w:rFonts w:hint="eastAsia" w:ascii="宋体" w:hAnsi="宋体"/>
                <w:b/>
                <w:sz w:val="24"/>
                <w:szCs w:val="24"/>
              </w:rPr>
              <w:t>集团</w:t>
            </w:r>
            <w:r>
              <w:rPr>
                <w:rFonts w:ascii="宋体" w:hAnsi="宋体"/>
                <w:b/>
                <w:sz w:val="24"/>
                <w:szCs w:val="24"/>
              </w:rPr>
              <w:t>有限公司</w:t>
            </w:r>
          </w:p>
        </w:tc>
        <w:tc>
          <w:tcPr>
            <w:tcW w:w="2072" w:type="dxa"/>
          </w:tcPr>
          <w:p>
            <w:pPr>
              <w:adjustRightInd w:val="0"/>
              <w:snapToGrid w:val="0"/>
              <w:spacing w:line="360" w:lineRule="auto"/>
              <w:rPr>
                <w:rFonts w:ascii="宋体" w:hAnsi="宋体"/>
                <w:b/>
                <w:sz w:val="24"/>
                <w:szCs w:val="24"/>
              </w:rPr>
            </w:pPr>
            <w:r>
              <w:rPr>
                <w:rFonts w:ascii="宋体" w:hAnsi="宋体"/>
                <w:b/>
                <w:sz w:val="24"/>
                <w:szCs w:val="24"/>
              </w:rPr>
              <w:t>法定代表人</w:t>
            </w:r>
            <w:r>
              <w:rPr>
                <w:rFonts w:hint="eastAsia" w:ascii="宋体" w:hAnsi="宋体"/>
                <w:b/>
                <w:sz w:val="24"/>
                <w:szCs w:val="24"/>
              </w:rPr>
              <w:t>或授权代表</w:t>
            </w:r>
            <w:r>
              <w:rPr>
                <w:rFonts w:ascii="宋体" w:hAnsi="宋体"/>
                <w:b/>
                <w:sz w:val="24"/>
                <w:szCs w:val="24"/>
              </w:rPr>
              <w:t>：</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852"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住    所：</w:t>
            </w:r>
          </w:p>
        </w:tc>
        <w:tc>
          <w:tcPr>
            <w:tcW w:w="2779" w:type="dxa"/>
            <w:gridSpan w:val="3"/>
          </w:tcPr>
          <w:p>
            <w:pPr>
              <w:adjustRightInd w:val="0"/>
              <w:snapToGrid w:val="0"/>
              <w:spacing w:line="360" w:lineRule="auto"/>
              <w:rPr>
                <w:rFonts w:ascii="宋体" w:hAnsi="宋体"/>
                <w:sz w:val="24"/>
                <w:szCs w:val="24"/>
              </w:rPr>
            </w:pPr>
            <w:r>
              <w:rPr>
                <w:rFonts w:ascii="宋体" w:hAnsi="宋体"/>
                <w:sz w:val="24"/>
                <w:szCs w:val="24"/>
              </w:rPr>
              <w:t>深圳市福田区福中一路1016号地铁大厦</w:t>
            </w: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6"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电    话：</w:t>
            </w:r>
          </w:p>
        </w:tc>
        <w:tc>
          <w:tcPr>
            <w:tcW w:w="2779" w:type="dxa"/>
            <w:gridSpan w:val="3"/>
          </w:tcPr>
          <w:p>
            <w:pPr>
              <w:adjustRightInd w:val="0"/>
              <w:snapToGrid w:val="0"/>
              <w:spacing w:line="360" w:lineRule="auto"/>
              <w:rPr>
                <w:rFonts w:ascii="宋体" w:hAnsi="宋体"/>
                <w:sz w:val="24"/>
                <w:szCs w:val="24"/>
              </w:rPr>
            </w:pPr>
            <w:r>
              <w:rPr>
                <w:rFonts w:hint="eastAsia" w:ascii="宋体" w:hAnsi="宋体"/>
                <w:sz w:val="24"/>
                <w:szCs w:val="24"/>
              </w:rPr>
              <w:t>0755-23992600</w:t>
            </w:r>
          </w:p>
        </w:tc>
        <w:tc>
          <w:tcPr>
            <w:tcW w:w="2072" w:type="dxa"/>
          </w:tcPr>
          <w:p>
            <w:pPr>
              <w:adjustRightInd w:val="0"/>
              <w:snapToGrid w:val="0"/>
              <w:spacing w:line="360" w:lineRule="auto"/>
              <w:rPr>
                <w:rFonts w:ascii="宋体" w:hAnsi="宋体"/>
                <w:sz w:val="24"/>
                <w:szCs w:val="24"/>
              </w:rPr>
            </w:pPr>
            <w:r>
              <w:rPr>
                <w:rFonts w:ascii="宋体" w:hAnsi="宋体"/>
                <w:sz w:val="24"/>
                <w:szCs w:val="24"/>
              </w:rPr>
              <w:t>传    真：</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16"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开户银行：</w:t>
            </w:r>
          </w:p>
        </w:tc>
        <w:tc>
          <w:tcPr>
            <w:tcW w:w="2779" w:type="dxa"/>
            <w:gridSpan w:val="3"/>
          </w:tcPr>
          <w:p>
            <w:pPr>
              <w:adjustRightInd w:val="0"/>
              <w:snapToGrid w:val="0"/>
              <w:spacing w:line="360" w:lineRule="auto"/>
              <w:rPr>
                <w:rFonts w:ascii="宋体" w:hAnsi="宋体"/>
                <w:sz w:val="24"/>
                <w:szCs w:val="24"/>
              </w:rPr>
            </w:pPr>
            <w:r>
              <w:rPr>
                <w:rFonts w:hint="eastAsia" w:ascii="宋体" w:hAnsi="宋体"/>
                <w:sz w:val="24"/>
                <w:szCs w:val="24"/>
              </w:rPr>
              <w:t>招商银行深圳分行益田支行</w:t>
            </w:r>
          </w:p>
        </w:tc>
        <w:tc>
          <w:tcPr>
            <w:tcW w:w="2072" w:type="dxa"/>
          </w:tcPr>
          <w:p>
            <w:pPr>
              <w:adjustRightInd w:val="0"/>
              <w:snapToGrid w:val="0"/>
              <w:spacing w:line="360" w:lineRule="auto"/>
              <w:rPr>
                <w:rFonts w:ascii="宋体" w:hAnsi="宋体"/>
                <w:sz w:val="24"/>
                <w:szCs w:val="24"/>
              </w:rPr>
            </w:pPr>
            <w:r>
              <w:rPr>
                <w:rFonts w:ascii="宋体" w:hAnsi="宋体"/>
                <w:sz w:val="24"/>
                <w:szCs w:val="24"/>
              </w:rPr>
              <w:t>开户全名：</w:t>
            </w:r>
          </w:p>
        </w:tc>
        <w:tc>
          <w:tcPr>
            <w:tcW w:w="3084" w:type="dxa"/>
            <w:gridSpan w:val="2"/>
          </w:tcPr>
          <w:p>
            <w:pPr>
              <w:adjustRightInd w:val="0"/>
              <w:snapToGrid w:val="0"/>
              <w:spacing w:line="360" w:lineRule="auto"/>
              <w:rPr>
                <w:rFonts w:ascii="宋体" w:hAnsi="宋体"/>
                <w:sz w:val="24"/>
                <w:szCs w:val="24"/>
              </w:rPr>
            </w:pPr>
            <w:r>
              <w:rPr>
                <w:rFonts w:ascii="宋体" w:hAnsi="宋体"/>
                <w:sz w:val="24"/>
                <w:szCs w:val="24"/>
              </w:rPr>
              <w:t>深圳市地铁集团有限公司</w:t>
            </w:r>
          </w:p>
        </w:tc>
      </w:tr>
      <w:tr>
        <w:tblPrEx>
          <w:tblCellMar>
            <w:top w:w="0" w:type="dxa"/>
            <w:left w:w="108" w:type="dxa"/>
            <w:bottom w:w="0" w:type="dxa"/>
            <w:right w:w="108" w:type="dxa"/>
          </w:tblCellMar>
        </w:tblPrEx>
        <w:trPr>
          <w:trHeight w:val="699" w:hRule="exact"/>
        </w:trPr>
        <w:tc>
          <w:tcPr>
            <w:tcW w:w="2238" w:type="dxa"/>
          </w:tcPr>
          <w:p>
            <w:pPr>
              <w:adjustRightInd w:val="0"/>
              <w:snapToGrid w:val="0"/>
              <w:spacing w:line="360" w:lineRule="auto"/>
              <w:jc w:val="left"/>
              <w:rPr>
                <w:rFonts w:ascii="宋体" w:hAnsi="宋体"/>
                <w:sz w:val="24"/>
                <w:szCs w:val="24"/>
              </w:rPr>
            </w:pPr>
            <w:r>
              <w:rPr>
                <w:rFonts w:ascii="宋体" w:hAnsi="宋体"/>
                <w:sz w:val="24"/>
                <w:szCs w:val="24"/>
              </w:rPr>
              <w:t xml:space="preserve">账  </w:t>
            </w:r>
            <w:r>
              <w:rPr>
                <w:rFonts w:hint="eastAsia" w:ascii="宋体" w:hAnsi="宋体"/>
                <w:sz w:val="24"/>
                <w:szCs w:val="24"/>
              </w:rPr>
              <w:t xml:space="preserve"> </w:t>
            </w:r>
            <w:r>
              <w:rPr>
                <w:rFonts w:ascii="宋体" w:hAnsi="宋体"/>
                <w:sz w:val="24"/>
                <w:szCs w:val="24"/>
              </w:rPr>
              <w:t xml:space="preserve"> 号</w:t>
            </w:r>
            <w:r>
              <w:rPr>
                <w:rFonts w:hint="eastAsia" w:ascii="宋体" w:hAnsi="宋体"/>
                <w:sz w:val="24"/>
                <w:szCs w:val="24"/>
              </w:rPr>
              <w:t>：</w:t>
            </w:r>
          </w:p>
        </w:tc>
        <w:tc>
          <w:tcPr>
            <w:tcW w:w="2779" w:type="dxa"/>
            <w:gridSpan w:val="3"/>
          </w:tcPr>
          <w:p>
            <w:pPr>
              <w:adjustRightInd w:val="0"/>
              <w:snapToGrid w:val="0"/>
              <w:spacing w:line="360" w:lineRule="auto"/>
              <w:rPr>
                <w:rFonts w:ascii="宋体" w:hAnsi="宋体"/>
                <w:sz w:val="24"/>
                <w:szCs w:val="24"/>
              </w:rPr>
            </w:pPr>
            <w:r>
              <w:rPr>
                <w:rFonts w:hint="eastAsia" w:ascii="宋体" w:hAnsi="宋体"/>
                <w:sz w:val="24"/>
                <w:szCs w:val="24"/>
              </w:rPr>
              <w:t>755904924410506</w:t>
            </w:r>
          </w:p>
        </w:tc>
        <w:tc>
          <w:tcPr>
            <w:tcW w:w="2072" w:type="dxa"/>
          </w:tcPr>
          <w:p>
            <w:pPr>
              <w:adjustRightInd w:val="0"/>
              <w:snapToGrid w:val="0"/>
              <w:spacing w:line="360" w:lineRule="auto"/>
              <w:rPr>
                <w:rFonts w:ascii="宋体" w:hAnsi="宋体"/>
                <w:sz w:val="24"/>
                <w:szCs w:val="24"/>
              </w:rPr>
            </w:pPr>
            <w:r>
              <w:rPr>
                <w:rFonts w:ascii="宋体" w:hAnsi="宋体"/>
                <w:sz w:val="24"/>
                <w:szCs w:val="24"/>
              </w:rPr>
              <w:t>邮政编码：</w:t>
            </w:r>
          </w:p>
        </w:tc>
        <w:tc>
          <w:tcPr>
            <w:tcW w:w="3084" w:type="dxa"/>
            <w:gridSpan w:val="2"/>
          </w:tcPr>
          <w:p>
            <w:pPr>
              <w:adjustRightInd w:val="0"/>
              <w:snapToGrid w:val="0"/>
              <w:spacing w:line="360" w:lineRule="auto"/>
              <w:rPr>
                <w:rFonts w:ascii="宋体" w:hAnsi="宋体"/>
                <w:sz w:val="24"/>
                <w:szCs w:val="24"/>
              </w:rPr>
            </w:pPr>
            <w:r>
              <w:rPr>
                <w:rFonts w:ascii="宋体" w:hAnsi="宋体"/>
                <w:sz w:val="24"/>
                <w:szCs w:val="24"/>
              </w:rPr>
              <w:t>518026</w:t>
            </w:r>
          </w:p>
        </w:tc>
      </w:tr>
      <w:tr>
        <w:tblPrEx>
          <w:tblCellMar>
            <w:top w:w="0" w:type="dxa"/>
            <w:left w:w="108" w:type="dxa"/>
            <w:bottom w:w="0" w:type="dxa"/>
            <w:right w:w="108" w:type="dxa"/>
          </w:tblCellMar>
        </w:tblPrEx>
        <w:trPr>
          <w:trHeight w:val="978" w:hRule="exact"/>
        </w:trPr>
        <w:tc>
          <w:tcPr>
            <w:tcW w:w="2238" w:type="dxa"/>
          </w:tcPr>
          <w:p>
            <w:pPr>
              <w:adjustRightInd w:val="0"/>
              <w:snapToGrid w:val="0"/>
              <w:spacing w:line="360" w:lineRule="auto"/>
              <w:rPr>
                <w:rFonts w:ascii="宋体" w:hAnsi="宋体"/>
                <w:sz w:val="24"/>
                <w:szCs w:val="24"/>
              </w:rPr>
            </w:pPr>
            <w:r>
              <w:rPr>
                <w:rFonts w:hint="eastAsia" w:ascii="宋体" w:hAnsi="宋体"/>
                <w:sz w:val="24"/>
                <w:szCs w:val="24"/>
              </w:rPr>
              <w:t>项目主管部门经办人及电话：</w:t>
            </w:r>
          </w:p>
        </w:tc>
        <w:tc>
          <w:tcPr>
            <w:tcW w:w="2779" w:type="dxa"/>
            <w:gridSpan w:val="3"/>
          </w:tcPr>
          <w:p>
            <w:pPr>
              <w:adjustRightInd w:val="0"/>
              <w:snapToGrid w:val="0"/>
              <w:spacing w:line="360" w:lineRule="auto"/>
              <w:rPr>
                <w:rFonts w:ascii="宋体" w:hAnsi="宋体"/>
                <w:sz w:val="24"/>
                <w:szCs w:val="24"/>
              </w:rPr>
            </w:pPr>
            <w:r>
              <w:rPr>
                <w:rFonts w:hint="eastAsia" w:ascii="宋体" w:hAnsi="宋体"/>
                <w:sz w:val="24"/>
                <w:szCs w:val="24"/>
              </w:rPr>
              <w:t>区靖 15818535591</w:t>
            </w:r>
          </w:p>
        </w:tc>
        <w:tc>
          <w:tcPr>
            <w:tcW w:w="2072" w:type="dxa"/>
          </w:tcPr>
          <w:p>
            <w:pPr>
              <w:adjustRightInd w:val="0"/>
              <w:snapToGrid w:val="0"/>
              <w:spacing w:line="360" w:lineRule="auto"/>
              <w:rPr>
                <w:rFonts w:ascii="宋体" w:hAnsi="宋体"/>
                <w:sz w:val="24"/>
                <w:szCs w:val="24"/>
              </w:rPr>
            </w:pPr>
            <w:r>
              <w:rPr>
                <w:rFonts w:hint="eastAsia" w:ascii="宋体" w:hAnsi="宋体"/>
                <w:sz w:val="24"/>
                <w:szCs w:val="24"/>
              </w:rPr>
              <w:t>项目主管部门审核人：</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1721" w:hRule="exact"/>
        </w:trPr>
        <w:tc>
          <w:tcPr>
            <w:tcW w:w="2238" w:type="dxa"/>
          </w:tcPr>
          <w:p>
            <w:pPr>
              <w:adjustRightInd w:val="0"/>
              <w:snapToGrid w:val="0"/>
              <w:spacing w:line="360" w:lineRule="auto"/>
              <w:rPr>
                <w:rFonts w:ascii="宋体" w:hAnsi="宋体"/>
                <w:sz w:val="24"/>
                <w:szCs w:val="24"/>
              </w:rPr>
            </w:pPr>
            <w:r>
              <w:rPr>
                <w:rFonts w:hint="eastAsia" w:ascii="宋体" w:hAnsi="宋体"/>
                <w:sz w:val="24"/>
                <w:szCs w:val="24"/>
              </w:rPr>
              <w:t>合约部门经办人及电话:</w:t>
            </w:r>
          </w:p>
          <w:p>
            <w:pPr>
              <w:adjustRightInd w:val="0"/>
              <w:snapToGrid w:val="0"/>
              <w:spacing w:line="360" w:lineRule="auto"/>
              <w:rPr>
                <w:rFonts w:ascii="宋体" w:hAnsi="宋体"/>
                <w:sz w:val="24"/>
                <w:szCs w:val="24"/>
              </w:rPr>
            </w:pPr>
          </w:p>
        </w:tc>
        <w:tc>
          <w:tcPr>
            <w:tcW w:w="2779" w:type="dxa"/>
            <w:gridSpan w:val="3"/>
          </w:tcPr>
          <w:p>
            <w:pPr>
              <w:adjustRightInd w:val="0"/>
              <w:snapToGrid w:val="0"/>
              <w:spacing w:line="360" w:lineRule="auto"/>
              <w:rPr>
                <w:rFonts w:ascii="宋体" w:hAnsi="宋体"/>
                <w:sz w:val="24"/>
                <w:szCs w:val="24"/>
              </w:rPr>
            </w:pPr>
            <w:r>
              <w:rPr>
                <w:rFonts w:hint="eastAsia" w:ascii="宋体" w:hAnsi="宋体"/>
                <w:sz w:val="24"/>
                <w:szCs w:val="24"/>
              </w:rPr>
              <w:t>蒋  烨 0755-23882725</w:t>
            </w:r>
          </w:p>
        </w:tc>
        <w:tc>
          <w:tcPr>
            <w:tcW w:w="2072" w:type="dxa"/>
          </w:tcPr>
          <w:p>
            <w:pPr>
              <w:adjustRightInd w:val="0"/>
              <w:snapToGrid w:val="0"/>
              <w:spacing w:line="360" w:lineRule="auto"/>
              <w:rPr>
                <w:rFonts w:ascii="宋体" w:hAnsi="宋体"/>
                <w:sz w:val="24"/>
                <w:szCs w:val="24"/>
              </w:rPr>
            </w:pPr>
            <w:r>
              <w:rPr>
                <w:rFonts w:hint="eastAsia" w:ascii="宋体" w:hAnsi="宋体"/>
                <w:sz w:val="24"/>
                <w:szCs w:val="24"/>
              </w:rPr>
              <w:t>合约部门审核人：</w:t>
            </w:r>
          </w:p>
        </w:tc>
        <w:tc>
          <w:tcPr>
            <w:tcW w:w="3084" w:type="dxa"/>
            <w:gridSpan w:val="2"/>
          </w:tcPr>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gridAfter w:val="1"/>
          <w:wAfter w:w="2238" w:type="dxa"/>
          <w:trHeight w:val="66" w:hRule="exact"/>
        </w:trPr>
        <w:tc>
          <w:tcPr>
            <w:tcW w:w="2779" w:type="dxa"/>
            <w:gridSpan w:val="2"/>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3"/>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76"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乙方</w:t>
            </w:r>
            <w:r>
              <w:rPr>
                <w:rFonts w:ascii="宋体" w:hAnsi="宋体"/>
                <w:b/>
                <w:sz w:val="24"/>
                <w:szCs w:val="24"/>
              </w:rPr>
              <w:t>(</w:t>
            </w:r>
            <w:r>
              <w:rPr>
                <w:rFonts w:hint="eastAsia" w:ascii="宋体" w:hAnsi="宋体"/>
                <w:b/>
                <w:sz w:val="24"/>
                <w:szCs w:val="24"/>
              </w:rPr>
              <w:t>盖</w:t>
            </w:r>
            <w:r>
              <w:rPr>
                <w:rFonts w:ascii="宋体" w:hAnsi="宋体"/>
                <w:b/>
                <w:sz w:val="24"/>
                <w:szCs w:val="24"/>
              </w:rPr>
              <w:t>章)：</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b/>
                <w:sz w:val="24"/>
                <w:szCs w:val="24"/>
              </w:rPr>
            </w:pPr>
            <w:r>
              <w:rPr>
                <w:rFonts w:ascii="宋体" w:hAnsi="宋体"/>
                <w:b/>
                <w:sz w:val="24"/>
                <w:szCs w:val="24"/>
              </w:rPr>
              <w:t>法定代表人</w:t>
            </w:r>
            <w:r>
              <w:rPr>
                <w:rFonts w:hint="eastAsia" w:ascii="宋体" w:hAnsi="宋体"/>
                <w:b/>
                <w:sz w:val="24"/>
                <w:szCs w:val="24"/>
              </w:rPr>
              <w:t>或授权代表</w:t>
            </w:r>
            <w:r>
              <w:rPr>
                <w:rFonts w:ascii="宋体" w:hAnsi="宋体"/>
                <w:b/>
                <w:sz w:val="24"/>
                <w:szCs w:val="24"/>
              </w:rPr>
              <w:t>：</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09"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住    所：</w:t>
            </w:r>
          </w:p>
        </w:tc>
        <w:tc>
          <w:tcPr>
            <w:tcW w:w="2779" w:type="dxa"/>
            <w:gridSpan w:val="3"/>
          </w:tcPr>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8"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电    话：</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传    真：</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79"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开户银行：</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开户全名：</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56"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账    号</w:t>
            </w:r>
            <w:r>
              <w:rPr>
                <w:rFonts w:hint="eastAsia" w:ascii="宋体" w:hAnsi="宋体"/>
                <w:sz w:val="24"/>
                <w:szCs w:val="24"/>
              </w:rPr>
              <w:t>：</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邮政编码：</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2" w:hRule="exact"/>
        </w:trPr>
        <w:tc>
          <w:tcPr>
            <w:tcW w:w="2238" w:type="dxa"/>
          </w:tcPr>
          <w:p>
            <w:pPr>
              <w:adjustRightInd w:val="0"/>
              <w:snapToGrid w:val="0"/>
              <w:spacing w:line="360" w:lineRule="auto"/>
              <w:rPr>
                <w:rFonts w:ascii="宋体" w:hAnsi="宋体"/>
                <w:sz w:val="24"/>
                <w:szCs w:val="24"/>
              </w:rPr>
            </w:pPr>
            <w:r>
              <w:rPr>
                <w:rFonts w:hint="eastAsia" w:ascii="宋体" w:hAnsi="宋体"/>
                <w:sz w:val="24"/>
                <w:szCs w:val="24"/>
              </w:rPr>
              <w:t>乙方经办人：</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hint="eastAsia" w:ascii="宋体" w:hAnsi="宋体"/>
                <w:sz w:val="24"/>
                <w:szCs w:val="24"/>
              </w:rPr>
              <w:t>乙方经办人电话：</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70"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合同签署地点：</w:t>
            </w:r>
          </w:p>
        </w:tc>
        <w:tc>
          <w:tcPr>
            <w:tcW w:w="2779" w:type="dxa"/>
            <w:gridSpan w:val="3"/>
          </w:tcPr>
          <w:p>
            <w:pPr>
              <w:adjustRightInd w:val="0"/>
              <w:snapToGrid w:val="0"/>
              <w:spacing w:line="360" w:lineRule="auto"/>
              <w:rPr>
                <w:rFonts w:ascii="宋体" w:hAnsi="宋体"/>
                <w:b/>
                <w:sz w:val="24"/>
                <w:szCs w:val="24"/>
              </w:rPr>
            </w:pPr>
            <w:r>
              <w:rPr>
                <w:rFonts w:hint="eastAsia" w:ascii="宋体" w:hAnsi="宋体"/>
                <w:b/>
                <w:sz w:val="24"/>
                <w:szCs w:val="24"/>
              </w:rPr>
              <w:t>深  圳</w:t>
            </w: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682"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时      间：</w:t>
            </w:r>
          </w:p>
        </w:tc>
        <w:tc>
          <w:tcPr>
            <w:tcW w:w="2779" w:type="dxa"/>
            <w:gridSpan w:val="3"/>
          </w:tcPr>
          <w:p>
            <w:pPr>
              <w:adjustRightInd w:val="0"/>
              <w:snapToGrid w:val="0"/>
              <w:spacing w:line="360" w:lineRule="auto"/>
              <w:rPr>
                <w:rFonts w:ascii="宋体" w:hAnsi="宋体"/>
                <w:b/>
                <w:sz w:val="24"/>
                <w:szCs w:val="24"/>
              </w:rPr>
            </w:pPr>
            <w:r>
              <w:rPr>
                <w:rFonts w:hint="eastAsia" w:ascii="宋体" w:hAnsi="宋体"/>
                <w:b/>
                <w:sz w:val="24"/>
                <w:szCs w:val="24"/>
              </w:rPr>
              <w:t>2022年   月    日</w:t>
            </w: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bl>
    <w:p>
      <w:pPr>
        <w:rPr>
          <w:rFonts w:ascii="宋体" w:hAnsi="宋体"/>
          <w:color w:val="0D0D0D" w:themeColor="text1" w:themeTint="F2"/>
          <w:sz w:val="44"/>
          <w:szCs w:val="44"/>
          <w14:textFill>
            <w14:solidFill>
              <w14:schemeClr w14:val="tx1">
                <w14:lumMod w14:val="95000"/>
                <w14:lumOff w14:val="5000"/>
              </w14:schemeClr>
            </w14:solidFill>
          </w14:textFill>
        </w:rPr>
        <w:sectPr>
          <w:headerReference r:id="rId8" w:type="default"/>
          <w:pgSz w:w="11907" w:h="16840"/>
          <w:pgMar w:top="1440" w:right="1134" w:bottom="1440" w:left="1440" w:header="720" w:footer="890" w:gutter="0"/>
          <w:cols w:space="720" w:num="1"/>
          <w:titlePg/>
          <w:docGrid w:linePitch="360" w:charSpace="0"/>
        </w:sectPr>
      </w:pPr>
    </w:p>
    <w:p>
      <w:pPr>
        <w:jc w:val="center"/>
        <w:rPr>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sz w:val="44"/>
          <w:szCs w:val="44"/>
          <w14:textFill>
            <w14:solidFill>
              <w14:schemeClr w14:val="tx1">
                <w14:lumMod w14:val="95000"/>
                <w14:lumOff w14:val="5000"/>
              </w14:schemeClr>
            </w14:solidFill>
          </w14:textFill>
        </w:rPr>
        <w:t>中</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选</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通</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知</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书</w:t>
      </w:r>
    </w:p>
    <w:p>
      <w:pPr>
        <w:spacing w:line="360" w:lineRule="auto"/>
        <w:jc w:val="center"/>
        <w:rPr>
          <w:rFonts w:ascii="宋体" w:hAnsi="宋体"/>
          <w:b/>
          <w:color w:val="0D0D0D" w:themeColor="text1" w:themeTint="F2"/>
          <w:sz w:val="30"/>
          <w:szCs w:val="30"/>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z w:val="30"/>
          <w:szCs w:val="30"/>
          <w14:textFill>
            <w14:solidFill>
              <w14:schemeClr w14:val="tx1">
                <w14:lumMod w14:val="95000"/>
                <w14:lumOff w14:val="5000"/>
              </w14:schemeClr>
            </w14:solidFill>
          </w14:textFill>
        </w:rPr>
      </w:pPr>
    </w:p>
    <w:p>
      <w:pPr>
        <w:spacing w:line="360" w:lineRule="auto"/>
        <w:rPr>
          <w:rFonts w:ascii="宋体" w:hAnsi="宋体"/>
          <w:b/>
          <w:color w:val="0D0D0D" w:themeColor="text1" w:themeTint="F2"/>
          <w:sz w:val="30"/>
          <w:szCs w:val="30"/>
          <w:u w:val="single"/>
          <w14:textFill>
            <w14:solidFill>
              <w14:schemeClr w14:val="tx1">
                <w14:lumMod w14:val="95000"/>
                <w14:lumOff w14:val="5000"/>
              </w14:schemeClr>
            </w14:solidFill>
          </w14:textFill>
        </w:rPr>
      </w:pPr>
      <w:r>
        <w:rPr>
          <w:rFonts w:hint="eastAsia" w:ascii="宋体" w:hAnsi="宋体"/>
          <w:b/>
          <w:color w:val="0D0D0D" w:themeColor="text1" w:themeTint="F2"/>
          <w:sz w:val="30"/>
          <w:szCs w:val="30"/>
          <w14:textFill>
            <w14:solidFill>
              <w14:schemeClr w14:val="tx1">
                <w14:lumMod w14:val="95000"/>
                <w14:lumOff w14:val="5000"/>
              </w14:schemeClr>
            </w14:solidFill>
          </w14:textFill>
        </w:rPr>
        <w:t>致参选人</w:t>
      </w:r>
      <w:r>
        <w:rPr>
          <w:rFonts w:hint="eastAsia" w:ascii="宋体" w:hAnsi="宋体"/>
          <w:color w:val="0D0D0D" w:themeColor="text1" w:themeTint="F2"/>
          <w:sz w:val="30"/>
          <w:szCs w:val="30"/>
          <w14:textFill>
            <w14:solidFill>
              <w14:schemeClr w14:val="tx1">
                <w14:lumMod w14:val="95000"/>
                <w14:lumOff w14:val="5000"/>
              </w14:schemeClr>
            </w14:solidFill>
          </w14:textFill>
        </w:rPr>
        <w:t>：</w:t>
      </w:r>
      <w:r>
        <w:rPr>
          <w:rFonts w:hint="eastAsia" w:ascii="宋体" w:hAnsi="宋体"/>
          <w:b/>
          <w:color w:val="0D0D0D" w:themeColor="text1" w:themeTint="F2"/>
          <w:spacing w:val="-12"/>
          <w:sz w:val="30"/>
          <w:szCs w:val="30"/>
          <w:u w:val="single"/>
          <w14:textFill>
            <w14:solidFill>
              <w14:schemeClr w14:val="tx1">
                <w14:lumMod w14:val="95000"/>
                <w14:lumOff w14:val="5000"/>
              </w14:schemeClr>
            </w14:solidFill>
          </w14:textFill>
        </w:rPr>
        <w:t xml:space="preserve">                                          </w:t>
      </w:r>
    </w:p>
    <w:p>
      <w:pPr>
        <w:spacing w:after="100" w:afterAutospacing="1" w:line="360" w:lineRule="auto"/>
        <w:ind w:left="1506" w:hanging="1506" w:hangingChars="500"/>
        <w:rPr>
          <w:rFonts w:ascii="宋体" w:hAnsi="宋体"/>
          <w:color w:val="0D0D0D" w:themeColor="text1" w:themeTint="F2"/>
          <w:sz w:val="30"/>
          <w:szCs w:val="30"/>
          <w:u w:val="single"/>
          <w14:textFill>
            <w14:solidFill>
              <w14:schemeClr w14:val="tx1">
                <w14:lumMod w14:val="95000"/>
                <w14:lumOff w14:val="5000"/>
              </w14:schemeClr>
            </w14:solidFill>
          </w14:textFill>
        </w:rPr>
      </w:pPr>
      <w:r>
        <w:rPr>
          <w:rFonts w:hint="eastAsia" w:ascii="宋体" w:hAnsi="宋体"/>
          <w:b/>
          <w:color w:val="0D0D0D" w:themeColor="text1" w:themeTint="F2"/>
          <w:sz w:val="30"/>
          <w:szCs w:val="30"/>
          <w14:textFill>
            <w14:solidFill>
              <w14:schemeClr w14:val="tx1">
                <w14:lumMod w14:val="95000"/>
                <w14:lumOff w14:val="5000"/>
              </w14:schemeClr>
            </w14:solidFill>
          </w14:textFill>
        </w:rPr>
        <w:t>承担项目：</w:t>
      </w:r>
      <w:r>
        <w:rPr>
          <w:rFonts w:hint="eastAsia" w:hAnsi="宋体"/>
          <w:color w:val="0D0D0D" w:themeColor="text1" w:themeTint="F2"/>
          <w:sz w:val="30"/>
          <w:szCs w:val="30"/>
          <w:u w:val="single"/>
          <w14:textFill>
            <w14:solidFill>
              <w14:schemeClr w14:val="tx1">
                <w14:lumMod w14:val="95000"/>
                <w14:lumOff w14:val="5000"/>
              </w14:schemeClr>
            </w14:solidFill>
          </w14:textFill>
        </w:rPr>
        <w:t>X</w:t>
      </w:r>
      <w:r>
        <w:rPr>
          <w:rFonts w:hAnsi="宋体"/>
          <w:color w:val="0D0D0D" w:themeColor="text1" w:themeTint="F2"/>
          <w:sz w:val="30"/>
          <w:szCs w:val="30"/>
          <w:u w:val="single"/>
          <w14:textFill>
            <w14:solidFill>
              <w14:schemeClr w14:val="tx1">
                <w14:lumMod w14:val="95000"/>
                <w14:lumOff w14:val="5000"/>
              </w14:schemeClr>
            </w14:solidFill>
          </w14:textFill>
        </w:rPr>
        <w:t>X</w:t>
      </w:r>
      <w:r>
        <w:rPr>
          <w:rFonts w:hint="eastAsia" w:hAnsi="宋体"/>
          <w:color w:val="0D0D0D" w:themeColor="text1" w:themeTint="F2"/>
          <w:sz w:val="30"/>
          <w:szCs w:val="30"/>
          <w:u w:val="single"/>
          <w14:textFill>
            <w14:solidFill>
              <w14:schemeClr w14:val="tx1">
                <w14:lumMod w14:val="95000"/>
                <w14:lumOff w14:val="5000"/>
              </w14:schemeClr>
            </w14:solidFill>
          </w14:textFill>
        </w:rPr>
        <w:t xml:space="preserve">巡展活动服务 </w:t>
      </w:r>
      <w:r>
        <w:rPr>
          <w:rFonts w:hint="eastAsia" w:hAnsi="宋体"/>
          <w:color w:val="0D0D0D" w:themeColor="text1" w:themeTint="F2"/>
          <w:sz w:val="24"/>
          <w:szCs w:val="24"/>
          <w:u w:val="single"/>
          <w14:textFill>
            <w14:solidFill>
              <w14:schemeClr w14:val="tx1">
                <w14:lumMod w14:val="95000"/>
                <w14:lumOff w14:val="5000"/>
              </w14:schemeClr>
            </w14:solidFill>
          </w14:textFill>
        </w:rPr>
        <w:t xml:space="preserve">     </w:t>
      </w:r>
    </w:p>
    <w:p>
      <w:pPr>
        <w:spacing w:after="100" w:afterAutospacing="1" w:line="360" w:lineRule="auto"/>
        <w:ind w:firstLine="567" w:firstLineChars="189"/>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贵司于</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年</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月</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日提交了上述项目的参选文件，依照《中华人民共和国比选参选法》和《</w:t>
      </w:r>
      <w:r>
        <w:rPr>
          <w:rFonts w:hint="eastAsia" w:ascii="仿宋_GB2312" w:hAnsi="宋体" w:eastAsia="仿宋_GB2312" w:cs="宋体"/>
          <w:color w:val="0D0D0D"/>
          <w:kern w:val="0"/>
          <w:sz w:val="32"/>
          <w:szCs w:val="32"/>
        </w:rPr>
        <w:t>深铁珑境、深铁璟城巡展活动</w:t>
      </w:r>
      <w:r>
        <w:rPr>
          <w:rFonts w:hint="eastAsia" w:ascii="宋体" w:hAnsi="宋体"/>
          <w:color w:val="0D0D0D" w:themeColor="text1" w:themeTint="F2"/>
          <w:sz w:val="30"/>
          <w:szCs w:val="30"/>
          <w14:textFill>
            <w14:solidFill>
              <w14:schemeClr w14:val="tx1">
                <w14:lumMod w14:val="95000"/>
                <w14:lumOff w14:val="5000"/>
              </w14:schemeClr>
            </w14:solidFill>
          </w14:textFill>
        </w:rPr>
        <w:t>服务》比选文件，经资格审查和评定标程序，并报我公司批准，贵司的参选文件已被我公司接受，中选合同总价为人民币</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（小写：</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元）。确定贵司为</w:t>
      </w:r>
      <w:r>
        <w:rPr>
          <w:rFonts w:hint="eastAsia" w:hAnsi="宋体"/>
          <w:color w:val="0D0D0D" w:themeColor="text1" w:themeTint="F2"/>
          <w:sz w:val="30"/>
          <w:szCs w:val="30"/>
          <w:u w:val="single"/>
          <w14:textFill>
            <w14:solidFill>
              <w14:schemeClr w14:val="tx1">
                <w14:lumMod w14:val="95000"/>
                <w14:lumOff w14:val="5000"/>
              </w14:schemeClr>
            </w14:solidFill>
          </w14:textFill>
        </w:rPr>
        <w:t>X</w:t>
      </w:r>
      <w:r>
        <w:rPr>
          <w:rFonts w:hAnsi="宋体"/>
          <w:color w:val="0D0D0D" w:themeColor="text1" w:themeTint="F2"/>
          <w:sz w:val="30"/>
          <w:szCs w:val="30"/>
          <w:u w:val="single"/>
          <w14:textFill>
            <w14:solidFill>
              <w14:schemeClr w14:val="tx1">
                <w14:lumMod w14:val="95000"/>
                <w14:lumOff w14:val="5000"/>
              </w14:schemeClr>
            </w14:solidFill>
          </w14:textFill>
        </w:rPr>
        <w:t>X</w:t>
      </w:r>
      <w:r>
        <w:rPr>
          <w:rFonts w:hint="eastAsia" w:hAnsi="宋体"/>
          <w:color w:val="0D0D0D" w:themeColor="text1" w:themeTint="F2"/>
          <w:sz w:val="30"/>
          <w:szCs w:val="30"/>
          <w:u w:val="single"/>
          <w14:textFill>
            <w14:solidFill>
              <w14:schemeClr w14:val="tx1">
                <w14:lumMod w14:val="95000"/>
                <w14:lumOff w14:val="5000"/>
              </w14:schemeClr>
            </w14:solidFill>
          </w14:textFill>
        </w:rPr>
        <w:t>项目巡展活动服务</w:t>
      </w:r>
      <w:r>
        <w:rPr>
          <w:rFonts w:hint="eastAsia" w:ascii="宋体" w:hAnsi="宋体"/>
          <w:color w:val="0D0D0D" w:themeColor="text1" w:themeTint="F2"/>
          <w:sz w:val="30"/>
          <w:szCs w:val="30"/>
          <w14:textFill>
            <w14:solidFill>
              <w14:schemeClr w14:val="tx1">
                <w14:lumMod w14:val="95000"/>
                <w14:lumOff w14:val="5000"/>
              </w14:schemeClr>
            </w14:solidFill>
          </w14:textFill>
        </w:rPr>
        <w:t>中选单位。</w:t>
      </w:r>
    </w:p>
    <w:p>
      <w:pPr>
        <w:spacing w:line="360" w:lineRule="auto"/>
        <w:ind w:firstLine="612"/>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请做好签署合同的准备。</w:t>
      </w:r>
    </w:p>
    <w:p>
      <w:pPr>
        <w:spacing w:line="360" w:lineRule="auto"/>
        <w:ind w:firstLine="612"/>
        <w:rPr>
          <w:rFonts w:ascii="宋体" w:hAnsi="宋体"/>
          <w:color w:val="0D0D0D" w:themeColor="text1" w:themeTint="F2"/>
          <w:sz w:val="30"/>
          <w:szCs w:val="30"/>
          <w14:textFill>
            <w14:solidFill>
              <w14:schemeClr w14:val="tx1">
                <w14:lumMod w14:val="95000"/>
                <w14:lumOff w14:val="5000"/>
              </w14:schemeClr>
            </w14:solidFill>
          </w14:textFill>
        </w:rPr>
      </w:pPr>
    </w:p>
    <w:p>
      <w:pPr>
        <w:spacing w:line="360" w:lineRule="auto"/>
        <w:ind w:firstLine="612"/>
        <w:jc w:val="center"/>
        <w:rPr>
          <w:rFonts w:ascii="宋体" w:hAnsi="宋体"/>
          <w:color w:val="0D0D0D" w:themeColor="text1" w:themeTint="F2"/>
          <w:sz w:val="30"/>
          <w:szCs w:val="30"/>
          <w14:textFill>
            <w14:solidFill>
              <w14:schemeClr w14:val="tx1">
                <w14:lumMod w14:val="95000"/>
                <w14:lumOff w14:val="5000"/>
              </w14:schemeClr>
            </w14:solidFill>
          </w14:textFill>
        </w:rPr>
      </w:pPr>
      <w:r>
        <w:rPr>
          <w:rFonts w:ascii="宋体" w:hAnsi="宋体"/>
          <w:color w:val="0D0D0D" w:themeColor="text1" w:themeTint="F2"/>
          <w:sz w:val="30"/>
          <w:szCs w:val="30"/>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深圳市地铁集团有限公司</w:t>
      </w:r>
    </w:p>
    <w:p>
      <w:pPr>
        <w:spacing w:line="360" w:lineRule="auto"/>
        <w:ind w:firstLine="612"/>
        <w:jc w:val="center"/>
        <w:rPr>
          <w:rFonts w:ascii="宋体" w:hAnsi="宋体"/>
          <w:color w:val="0D0D0D" w:themeColor="text1" w:themeTint="F2"/>
          <w:sz w:val="30"/>
          <w:szCs w:val="30"/>
          <w14:textFill>
            <w14:solidFill>
              <w14:schemeClr w14:val="tx1">
                <w14:lumMod w14:val="95000"/>
                <w14:lumOff w14:val="5000"/>
              </w14:schemeClr>
            </w14:solidFill>
          </w14:textFill>
        </w:rPr>
      </w:pPr>
    </w:p>
    <w:p>
      <w:pPr>
        <w:spacing w:line="360" w:lineRule="auto"/>
        <w:jc w:val="right"/>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法定代表人（或授权代表）：</w:t>
      </w:r>
    </w:p>
    <w:p>
      <w:pPr>
        <w:spacing w:line="360" w:lineRule="auto"/>
        <w:jc w:val="center"/>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 xml:space="preserve">                                      年   月   日</w:t>
      </w:r>
    </w:p>
    <w:p>
      <w:pPr>
        <w:adjustRightInd w:val="0"/>
        <w:snapToGrid w:val="0"/>
        <w:spacing w:line="360" w:lineRule="auto"/>
        <w:ind w:firstLine="480" w:firstLineChars="200"/>
        <w:jc w:val="left"/>
        <w:rPr>
          <w:color w:val="0D0D0D" w:themeColor="text1" w:themeTint="F2"/>
          <w:sz w:val="24"/>
          <w14:textFill>
            <w14:solidFill>
              <w14:schemeClr w14:val="tx1">
                <w14:lumMod w14:val="95000"/>
                <w14:lumOff w14:val="5000"/>
              </w14:schemeClr>
            </w14:solidFill>
          </w14:textFill>
        </w:rPr>
      </w:pPr>
    </w:p>
    <w:p>
      <w:pPr>
        <w:pStyle w:val="177"/>
        <w:shd w:val="clear" w:color="auto" w:fill="auto"/>
        <w:tabs>
          <w:tab w:val="left" w:pos="830"/>
        </w:tabs>
        <w:spacing w:after="120" w:line="360" w:lineRule="auto"/>
        <w:ind w:firstLine="0"/>
        <w:jc w:val="left"/>
        <w:rPr>
          <w:rFonts w:ascii="宋体" w:hAnsi="宋体" w:eastAsia="宋体"/>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488C16"/>
    <w:multiLevelType w:val="singleLevel"/>
    <w:tmpl w:val="A3488C16"/>
    <w:lvl w:ilvl="0" w:tentative="0">
      <w:start w:val="1"/>
      <w:numFmt w:val="decimal"/>
      <w:lvlText w:val="%1."/>
      <w:lvlJc w:val="left"/>
      <w:pPr>
        <w:tabs>
          <w:tab w:val="left" w:pos="312"/>
        </w:tabs>
      </w:pPr>
    </w:lvl>
  </w:abstractNum>
  <w:abstractNum w:abstractNumId="1">
    <w:nsid w:val="A4BE910C"/>
    <w:multiLevelType w:val="singleLevel"/>
    <w:tmpl w:val="A4BE910C"/>
    <w:lvl w:ilvl="0" w:tentative="0">
      <w:start w:val="3"/>
      <w:numFmt w:val="decimal"/>
      <w:lvlText w:val="%1."/>
      <w:lvlJc w:val="left"/>
      <w:pPr>
        <w:tabs>
          <w:tab w:val="left" w:pos="312"/>
        </w:tabs>
      </w:pPr>
    </w:lvl>
  </w:abstractNum>
  <w:abstractNum w:abstractNumId="2">
    <w:nsid w:val="F818721D"/>
    <w:multiLevelType w:val="singleLevel"/>
    <w:tmpl w:val="F818721D"/>
    <w:lvl w:ilvl="0" w:tentative="0">
      <w:start w:val="2"/>
      <w:numFmt w:val="decimal"/>
      <w:suff w:val="nothing"/>
      <w:lvlText w:val="%1、"/>
      <w:lvlJc w:val="left"/>
    </w:lvl>
  </w:abstractNum>
  <w:abstractNum w:abstractNumId="3">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C650FB"/>
    <w:multiLevelType w:val="multilevel"/>
    <w:tmpl w:val="43C650FB"/>
    <w:lvl w:ilvl="0" w:tentative="0">
      <w:start w:val="1"/>
      <w:numFmt w:val="chineseCountingThousand"/>
      <w:pStyle w:val="194"/>
      <w:lvlText w:val="第%1条"/>
      <w:lvlJc w:val="left"/>
      <w:pPr>
        <w:tabs>
          <w:tab w:val="left" w:pos="851"/>
        </w:tabs>
        <w:ind w:left="851" w:hanging="851"/>
      </w:pPr>
      <w:rPr>
        <w:rFonts w:hint="eastAsia"/>
      </w:rPr>
    </w:lvl>
    <w:lvl w:ilvl="1" w:tentative="0">
      <w:start w:val="1"/>
      <w:numFmt w:val="decimal"/>
      <w:pStyle w:val="195"/>
      <w:isLgl/>
      <w:lvlText w:val="%1.%2"/>
      <w:lvlJc w:val="left"/>
      <w:pPr>
        <w:tabs>
          <w:tab w:val="left" w:pos="851"/>
        </w:tabs>
        <w:ind w:left="851" w:hanging="851"/>
      </w:pPr>
      <w:rPr>
        <w:rFonts w:hint="eastAsia"/>
      </w:rPr>
    </w:lvl>
    <w:lvl w:ilvl="2" w:tentative="0">
      <w:start w:val="1"/>
      <w:numFmt w:val="decimal"/>
      <w:pStyle w:val="197"/>
      <w:isLgl/>
      <w:lvlText w:val="%1.%2.%3"/>
      <w:lvlJc w:val="left"/>
      <w:pPr>
        <w:tabs>
          <w:tab w:val="left" w:pos="1985"/>
        </w:tabs>
        <w:ind w:left="1985" w:hanging="1134"/>
      </w:pPr>
      <w:rPr>
        <w:rFonts w:hint="eastAsia"/>
      </w:rPr>
    </w:lvl>
    <w:lvl w:ilvl="3" w:tentative="0">
      <w:start w:val="1"/>
      <w:numFmt w:val="decimal"/>
      <w:pStyle w:val="198"/>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43"/>
    <w:rsid w:val="00000C4D"/>
    <w:rsid w:val="00000CF8"/>
    <w:rsid w:val="00002AB0"/>
    <w:rsid w:val="000033BF"/>
    <w:rsid w:val="0000410C"/>
    <w:rsid w:val="000041A6"/>
    <w:rsid w:val="00005DC2"/>
    <w:rsid w:val="00007253"/>
    <w:rsid w:val="0000744D"/>
    <w:rsid w:val="00007A3F"/>
    <w:rsid w:val="00007D57"/>
    <w:rsid w:val="000101EA"/>
    <w:rsid w:val="00010304"/>
    <w:rsid w:val="00010AC6"/>
    <w:rsid w:val="0001114A"/>
    <w:rsid w:val="000139F6"/>
    <w:rsid w:val="0001685F"/>
    <w:rsid w:val="00016EED"/>
    <w:rsid w:val="000176A0"/>
    <w:rsid w:val="00017BB8"/>
    <w:rsid w:val="00017E21"/>
    <w:rsid w:val="00020B77"/>
    <w:rsid w:val="00021C5F"/>
    <w:rsid w:val="00021C8F"/>
    <w:rsid w:val="00022CB3"/>
    <w:rsid w:val="00022CB7"/>
    <w:rsid w:val="00022D35"/>
    <w:rsid w:val="0002329A"/>
    <w:rsid w:val="00024201"/>
    <w:rsid w:val="00024ED4"/>
    <w:rsid w:val="00026C31"/>
    <w:rsid w:val="0003016A"/>
    <w:rsid w:val="0003078C"/>
    <w:rsid w:val="00031140"/>
    <w:rsid w:val="00031520"/>
    <w:rsid w:val="00031F90"/>
    <w:rsid w:val="00031FA6"/>
    <w:rsid w:val="00032313"/>
    <w:rsid w:val="00034827"/>
    <w:rsid w:val="00036C9E"/>
    <w:rsid w:val="00036DA2"/>
    <w:rsid w:val="0003798F"/>
    <w:rsid w:val="0004034F"/>
    <w:rsid w:val="000407D0"/>
    <w:rsid w:val="000417C4"/>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2A6"/>
    <w:rsid w:val="00060899"/>
    <w:rsid w:val="0006342A"/>
    <w:rsid w:val="00063B0B"/>
    <w:rsid w:val="00063D2A"/>
    <w:rsid w:val="00063E9B"/>
    <w:rsid w:val="0006570D"/>
    <w:rsid w:val="00065BE8"/>
    <w:rsid w:val="000669AD"/>
    <w:rsid w:val="000704E7"/>
    <w:rsid w:val="00070B06"/>
    <w:rsid w:val="000720B7"/>
    <w:rsid w:val="000720C0"/>
    <w:rsid w:val="000733D7"/>
    <w:rsid w:val="0007358D"/>
    <w:rsid w:val="00073864"/>
    <w:rsid w:val="00073BB5"/>
    <w:rsid w:val="00075C81"/>
    <w:rsid w:val="00075E3F"/>
    <w:rsid w:val="00077416"/>
    <w:rsid w:val="000807AA"/>
    <w:rsid w:val="000816C6"/>
    <w:rsid w:val="00081A71"/>
    <w:rsid w:val="0008246F"/>
    <w:rsid w:val="00083576"/>
    <w:rsid w:val="00084BFD"/>
    <w:rsid w:val="000851DC"/>
    <w:rsid w:val="000864CD"/>
    <w:rsid w:val="00087AA0"/>
    <w:rsid w:val="00090C35"/>
    <w:rsid w:val="00095D27"/>
    <w:rsid w:val="00095D77"/>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B11"/>
    <w:rsid w:val="000B3BF1"/>
    <w:rsid w:val="000B442B"/>
    <w:rsid w:val="000B4F29"/>
    <w:rsid w:val="000B620E"/>
    <w:rsid w:val="000B67D0"/>
    <w:rsid w:val="000B6CC8"/>
    <w:rsid w:val="000C017F"/>
    <w:rsid w:val="000C09E7"/>
    <w:rsid w:val="000C0AAA"/>
    <w:rsid w:val="000C139C"/>
    <w:rsid w:val="000C38A8"/>
    <w:rsid w:val="000C3D09"/>
    <w:rsid w:val="000C4F48"/>
    <w:rsid w:val="000C6905"/>
    <w:rsid w:val="000C700E"/>
    <w:rsid w:val="000D07C3"/>
    <w:rsid w:val="000D0D8C"/>
    <w:rsid w:val="000D375C"/>
    <w:rsid w:val="000D59D7"/>
    <w:rsid w:val="000D5EAA"/>
    <w:rsid w:val="000D643B"/>
    <w:rsid w:val="000D6E6D"/>
    <w:rsid w:val="000D7BCF"/>
    <w:rsid w:val="000E1B23"/>
    <w:rsid w:val="000E1DAD"/>
    <w:rsid w:val="000E4F77"/>
    <w:rsid w:val="000E6685"/>
    <w:rsid w:val="000E6C4F"/>
    <w:rsid w:val="000E6D3B"/>
    <w:rsid w:val="000F017B"/>
    <w:rsid w:val="000F0468"/>
    <w:rsid w:val="000F0CAA"/>
    <w:rsid w:val="000F28E2"/>
    <w:rsid w:val="000F2AE4"/>
    <w:rsid w:val="000F369C"/>
    <w:rsid w:val="000F3D10"/>
    <w:rsid w:val="000F4391"/>
    <w:rsid w:val="000F5282"/>
    <w:rsid w:val="000F6CE3"/>
    <w:rsid w:val="000F7A77"/>
    <w:rsid w:val="0010094D"/>
    <w:rsid w:val="00101081"/>
    <w:rsid w:val="00103672"/>
    <w:rsid w:val="00103A89"/>
    <w:rsid w:val="001052FD"/>
    <w:rsid w:val="00105671"/>
    <w:rsid w:val="00105D40"/>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70F1"/>
    <w:rsid w:val="0013072B"/>
    <w:rsid w:val="00130A97"/>
    <w:rsid w:val="00131AD2"/>
    <w:rsid w:val="001326A3"/>
    <w:rsid w:val="00132B5D"/>
    <w:rsid w:val="00134455"/>
    <w:rsid w:val="00135BBA"/>
    <w:rsid w:val="00136DED"/>
    <w:rsid w:val="00137F90"/>
    <w:rsid w:val="001410ED"/>
    <w:rsid w:val="001420A9"/>
    <w:rsid w:val="001421CA"/>
    <w:rsid w:val="001434B3"/>
    <w:rsid w:val="001442F5"/>
    <w:rsid w:val="00144D84"/>
    <w:rsid w:val="00144E73"/>
    <w:rsid w:val="00145BCD"/>
    <w:rsid w:val="001469E8"/>
    <w:rsid w:val="00147929"/>
    <w:rsid w:val="00150B16"/>
    <w:rsid w:val="0015142F"/>
    <w:rsid w:val="00152809"/>
    <w:rsid w:val="00155F8E"/>
    <w:rsid w:val="00155FF2"/>
    <w:rsid w:val="0015641D"/>
    <w:rsid w:val="0016022A"/>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2061"/>
    <w:rsid w:val="001723EB"/>
    <w:rsid w:val="00172C13"/>
    <w:rsid w:val="001739EE"/>
    <w:rsid w:val="0017454B"/>
    <w:rsid w:val="00175207"/>
    <w:rsid w:val="0017526E"/>
    <w:rsid w:val="001757CB"/>
    <w:rsid w:val="001757F2"/>
    <w:rsid w:val="0017599C"/>
    <w:rsid w:val="00175B30"/>
    <w:rsid w:val="001763B0"/>
    <w:rsid w:val="00176F0B"/>
    <w:rsid w:val="00177BBA"/>
    <w:rsid w:val="00181918"/>
    <w:rsid w:val="00181BB4"/>
    <w:rsid w:val="001828F8"/>
    <w:rsid w:val="00183AFE"/>
    <w:rsid w:val="00183F78"/>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2C06"/>
    <w:rsid w:val="001C327D"/>
    <w:rsid w:val="001C3D2F"/>
    <w:rsid w:val="001C46BC"/>
    <w:rsid w:val="001C5FCE"/>
    <w:rsid w:val="001C646E"/>
    <w:rsid w:val="001C6C06"/>
    <w:rsid w:val="001C7FD5"/>
    <w:rsid w:val="001D009D"/>
    <w:rsid w:val="001D01F6"/>
    <w:rsid w:val="001D05FC"/>
    <w:rsid w:val="001D0B1F"/>
    <w:rsid w:val="001D13A2"/>
    <w:rsid w:val="001D2D15"/>
    <w:rsid w:val="001D355B"/>
    <w:rsid w:val="001D69CA"/>
    <w:rsid w:val="001D6AE6"/>
    <w:rsid w:val="001D72C2"/>
    <w:rsid w:val="001E178B"/>
    <w:rsid w:val="001E1A08"/>
    <w:rsid w:val="001E3A2C"/>
    <w:rsid w:val="001E41C0"/>
    <w:rsid w:val="001E6E27"/>
    <w:rsid w:val="001F0041"/>
    <w:rsid w:val="001F0AC2"/>
    <w:rsid w:val="001F0C32"/>
    <w:rsid w:val="001F1A29"/>
    <w:rsid w:val="001F2C41"/>
    <w:rsid w:val="001F4AF4"/>
    <w:rsid w:val="001F4C7C"/>
    <w:rsid w:val="001F54D7"/>
    <w:rsid w:val="001F69A6"/>
    <w:rsid w:val="001F75A1"/>
    <w:rsid w:val="002016B9"/>
    <w:rsid w:val="0020219B"/>
    <w:rsid w:val="00203E6F"/>
    <w:rsid w:val="0020579B"/>
    <w:rsid w:val="00205AAB"/>
    <w:rsid w:val="00206B15"/>
    <w:rsid w:val="00207770"/>
    <w:rsid w:val="0020791A"/>
    <w:rsid w:val="00210360"/>
    <w:rsid w:val="002103D9"/>
    <w:rsid w:val="00210DB5"/>
    <w:rsid w:val="00211830"/>
    <w:rsid w:val="002126EB"/>
    <w:rsid w:val="0022083E"/>
    <w:rsid w:val="00221141"/>
    <w:rsid w:val="0022395A"/>
    <w:rsid w:val="00224EDC"/>
    <w:rsid w:val="002253F0"/>
    <w:rsid w:val="002259BA"/>
    <w:rsid w:val="00225EB1"/>
    <w:rsid w:val="002265E9"/>
    <w:rsid w:val="00230341"/>
    <w:rsid w:val="0023044C"/>
    <w:rsid w:val="00230EE6"/>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244F"/>
    <w:rsid w:val="00243BA6"/>
    <w:rsid w:val="002440A5"/>
    <w:rsid w:val="00244DD5"/>
    <w:rsid w:val="0024503B"/>
    <w:rsid w:val="00245728"/>
    <w:rsid w:val="00245855"/>
    <w:rsid w:val="002471EF"/>
    <w:rsid w:val="0024741D"/>
    <w:rsid w:val="002516C2"/>
    <w:rsid w:val="00252423"/>
    <w:rsid w:val="00255237"/>
    <w:rsid w:val="00255C91"/>
    <w:rsid w:val="002573A4"/>
    <w:rsid w:val="002577A6"/>
    <w:rsid w:val="00257E27"/>
    <w:rsid w:val="002602D2"/>
    <w:rsid w:val="00260EB4"/>
    <w:rsid w:val="00261149"/>
    <w:rsid w:val="00261E93"/>
    <w:rsid w:val="002622D3"/>
    <w:rsid w:val="002626BA"/>
    <w:rsid w:val="00263E6B"/>
    <w:rsid w:val="00263FC3"/>
    <w:rsid w:val="00264955"/>
    <w:rsid w:val="00264D6F"/>
    <w:rsid w:val="002657D2"/>
    <w:rsid w:val="002661DB"/>
    <w:rsid w:val="002668D4"/>
    <w:rsid w:val="00266AB1"/>
    <w:rsid w:val="00266D7B"/>
    <w:rsid w:val="00267313"/>
    <w:rsid w:val="002677C2"/>
    <w:rsid w:val="00267BD8"/>
    <w:rsid w:val="00267FF1"/>
    <w:rsid w:val="002719A0"/>
    <w:rsid w:val="00273347"/>
    <w:rsid w:val="002734C4"/>
    <w:rsid w:val="0027375C"/>
    <w:rsid w:val="00274484"/>
    <w:rsid w:val="00275D29"/>
    <w:rsid w:val="002766EC"/>
    <w:rsid w:val="00276820"/>
    <w:rsid w:val="00276D8B"/>
    <w:rsid w:val="0028033E"/>
    <w:rsid w:val="0028176E"/>
    <w:rsid w:val="0028197C"/>
    <w:rsid w:val="002821AA"/>
    <w:rsid w:val="0028251F"/>
    <w:rsid w:val="0028401D"/>
    <w:rsid w:val="00285E66"/>
    <w:rsid w:val="0028713C"/>
    <w:rsid w:val="00290052"/>
    <w:rsid w:val="00290B79"/>
    <w:rsid w:val="00290DFD"/>
    <w:rsid w:val="00291532"/>
    <w:rsid w:val="00292125"/>
    <w:rsid w:val="0029306F"/>
    <w:rsid w:val="00293895"/>
    <w:rsid w:val="00293F17"/>
    <w:rsid w:val="00293F9E"/>
    <w:rsid w:val="002945B0"/>
    <w:rsid w:val="002A2D1D"/>
    <w:rsid w:val="002A3578"/>
    <w:rsid w:val="002A3589"/>
    <w:rsid w:val="002A3B09"/>
    <w:rsid w:val="002A3E1A"/>
    <w:rsid w:val="002A55B3"/>
    <w:rsid w:val="002A5D66"/>
    <w:rsid w:val="002A7AFE"/>
    <w:rsid w:val="002B0044"/>
    <w:rsid w:val="002B10CF"/>
    <w:rsid w:val="002B1A1D"/>
    <w:rsid w:val="002B1BD6"/>
    <w:rsid w:val="002B2720"/>
    <w:rsid w:val="002B2F6E"/>
    <w:rsid w:val="002B3591"/>
    <w:rsid w:val="002B3ED0"/>
    <w:rsid w:val="002B4273"/>
    <w:rsid w:val="002B50FA"/>
    <w:rsid w:val="002C04B1"/>
    <w:rsid w:val="002C0547"/>
    <w:rsid w:val="002C2165"/>
    <w:rsid w:val="002C3A12"/>
    <w:rsid w:val="002C3F62"/>
    <w:rsid w:val="002C400C"/>
    <w:rsid w:val="002C4E6A"/>
    <w:rsid w:val="002C4F2D"/>
    <w:rsid w:val="002C54A4"/>
    <w:rsid w:val="002D1116"/>
    <w:rsid w:val="002D13D5"/>
    <w:rsid w:val="002D34B9"/>
    <w:rsid w:val="002D4808"/>
    <w:rsid w:val="002D4E04"/>
    <w:rsid w:val="002D6248"/>
    <w:rsid w:val="002D6B41"/>
    <w:rsid w:val="002D7144"/>
    <w:rsid w:val="002E1F42"/>
    <w:rsid w:val="002E2C6D"/>
    <w:rsid w:val="002E322D"/>
    <w:rsid w:val="002E328C"/>
    <w:rsid w:val="002E39CE"/>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670E"/>
    <w:rsid w:val="00306DE3"/>
    <w:rsid w:val="00307D1F"/>
    <w:rsid w:val="00311B3B"/>
    <w:rsid w:val="00311E3A"/>
    <w:rsid w:val="00313269"/>
    <w:rsid w:val="00314C6E"/>
    <w:rsid w:val="0031554D"/>
    <w:rsid w:val="003165D1"/>
    <w:rsid w:val="0032081E"/>
    <w:rsid w:val="0032094F"/>
    <w:rsid w:val="00321021"/>
    <w:rsid w:val="003218E6"/>
    <w:rsid w:val="00321B49"/>
    <w:rsid w:val="00321DDC"/>
    <w:rsid w:val="00322418"/>
    <w:rsid w:val="0032432B"/>
    <w:rsid w:val="00324860"/>
    <w:rsid w:val="003264DD"/>
    <w:rsid w:val="003274BD"/>
    <w:rsid w:val="003302CF"/>
    <w:rsid w:val="00330912"/>
    <w:rsid w:val="00331435"/>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FEC"/>
    <w:rsid w:val="0034335F"/>
    <w:rsid w:val="00344308"/>
    <w:rsid w:val="003449BE"/>
    <w:rsid w:val="00345D11"/>
    <w:rsid w:val="00347EBB"/>
    <w:rsid w:val="003505F5"/>
    <w:rsid w:val="003512B0"/>
    <w:rsid w:val="00351689"/>
    <w:rsid w:val="00352194"/>
    <w:rsid w:val="00352E9B"/>
    <w:rsid w:val="0035445D"/>
    <w:rsid w:val="00354923"/>
    <w:rsid w:val="00355DA1"/>
    <w:rsid w:val="00361619"/>
    <w:rsid w:val="00364BD2"/>
    <w:rsid w:val="00367677"/>
    <w:rsid w:val="00367FCE"/>
    <w:rsid w:val="00370566"/>
    <w:rsid w:val="00370F20"/>
    <w:rsid w:val="00371DE4"/>
    <w:rsid w:val="00373D0F"/>
    <w:rsid w:val="00374371"/>
    <w:rsid w:val="003748EC"/>
    <w:rsid w:val="003756E7"/>
    <w:rsid w:val="003758AB"/>
    <w:rsid w:val="00376F88"/>
    <w:rsid w:val="00377910"/>
    <w:rsid w:val="00381410"/>
    <w:rsid w:val="0038172A"/>
    <w:rsid w:val="00381AE6"/>
    <w:rsid w:val="00386C06"/>
    <w:rsid w:val="00387E02"/>
    <w:rsid w:val="00392246"/>
    <w:rsid w:val="00392CD5"/>
    <w:rsid w:val="00392E4C"/>
    <w:rsid w:val="00395B49"/>
    <w:rsid w:val="00396250"/>
    <w:rsid w:val="00396306"/>
    <w:rsid w:val="003A1E60"/>
    <w:rsid w:val="003A2824"/>
    <w:rsid w:val="003A51FC"/>
    <w:rsid w:val="003A5CB1"/>
    <w:rsid w:val="003A5E72"/>
    <w:rsid w:val="003A6345"/>
    <w:rsid w:val="003B08F9"/>
    <w:rsid w:val="003B107A"/>
    <w:rsid w:val="003B297F"/>
    <w:rsid w:val="003B2A28"/>
    <w:rsid w:val="003B35B1"/>
    <w:rsid w:val="003B3CF1"/>
    <w:rsid w:val="003B4197"/>
    <w:rsid w:val="003B457F"/>
    <w:rsid w:val="003B4AD8"/>
    <w:rsid w:val="003B6021"/>
    <w:rsid w:val="003B632A"/>
    <w:rsid w:val="003C0A7B"/>
    <w:rsid w:val="003C1012"/>
    <w:rsid w:val="003C18AA"/>
    <w:rsid w:val="003C5762"/>
    <w:rsid w:val="003C5851"/>
    <w:rsid w:val="003C77BB"/>
    <w:rsid w:val="003D0514"/>
    <w:rsid w:val="003D0636"/>
    <w:rsid w:val="003D0986"/>
    <w:rsid w:val="003D37ED"/>
    <w:rsid w:val="003D5D0A"/>
    <w:rsid w:val="003D70F1"/>
    <w:rsid w:val="003E3891"/>
    <w:rsid w:val="003E41DE"/>
    <w:rsid w:val="003E4FE3"/>
    <w:rsid w:val="003E6586"/>
    <w:rsid w:val="003E6F62"/>
    <w:rsid w:val="003E7209"/>
    <w:rsid w:val="003E7351"/>
    <w:rsid w:val="003F0DD2"/>
    <w:rsid w:val="003F101B"/>
    <w:rsid w:val="003F1063"/>
    <w:rsid w:val="003F135B"/>
    <w:rsid w:val="003F170D"/>
    <w:rsid w:val="003F25D2"/>
    <w:rsid w:val="003F3914"/>
    <w:rsid w:val="003F42BD"/>
    <w:rsid w:val="003F4BC1"/>
    <w:rsid w:val="003F5F55"/>
    <w:rsid w:val="004011CB"/>
    <w:rsid w:val="004011CE"/>
    <w:rsid w:val="004027A2"/>
    <w:rsid w:val="00402A5B"/>
    <w:rsid w:val="0040323D"/>
    <w:rsid w:val="00403606"/>
    <w:rsid w:val="004048C5"/>
    <w:rsid w:val="00405DCA"/>
    <w:rsid w:val="0040747B"/>
    <w:rsid w:val="00407EDB"/>
    <w:rsid w:val="00410B62"/>
    <w:rsid w:val="004110E3"/>
    <w:rsid w:val="0041460E"/>
    <w:rsid w:val="00414A26"/>
    <w:rsid w:val="0041616B"/>
    <w:rsid w:val="004162CB"/>
    <w:rsid w:val="00416D61"/>
    <w:rsid w:val="004179C1"/>
    <w:rsid w:val="00423528"/>
    <w:rsid w:val="0042375F"/>
    <w:rsid w:val="00424CA8"/>
    <w:rsid w:val="0042687C"/>
    <w:rsid w:val="00426F48"/>
    <w:rsid w:val="00430634"/>
    <w:rsid w:val="0043208D"/>
    <w:rsid w:val="0043232D"/>
    <w:rsid w:val="00433779"/>
    <w:rsid w:val="00433F5B"/>
    <w:rsid w:val="0043451E"/>
    <w:rsid w:val="00435A75"/>
    <w:rsid w:val="00435B01"/>
    <w:rsid w:val="00435D96"/>
    <w:rsid w:val="0044088F"/>
    <w:rsid w:val="004422D0"/>
    <w:rsid w:val="00446BBB"/>
    <w:rsid w:val="00447D52"/>
    <w:rsid w:val="00452396"/>
    <w:rsid w:val="00454D28"/>
    <w:rsid w:val="00454E4A"/>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80CD9"/>
    <w:rsid w:val="00482E62"/>
    <w:rsid w:val="004833F6"/>
    <w:rsid w:val="00483585"/>
    <w:rsid w:val="00485D9F"/>
    <w:rsid w:val="004863DC"/>
    <w:rsid w:val="00486497"/>
    <w:rsid w:val="00486F65"/>
    <w:rsid w:val="004902BB"/>
    <w:rsid w:val="00490600"/>
    <w:rsid w:val="004916E2"/>
    <w:rsid w:val="00492102"/>
    <w:rsid w:val="00492A22"/>
    <w:rsid w:val="004934C4"/>
    <w:rsid w:val="00493D56"/>
    <w:rsid w:val="00493E41"/>
    <w:rsid w:val="0049418D"/>
    <w:rsid w:val="00494433"/>
    <w:rsid w:val="004953F9"/>
    <w:rsid w:val="00497D07"/>
    <w:rsid w:val="004A0D3B"/>
    <w:rsid w:val="004A16BE"/>
    <w:rsid w:val="004A19AB"/>
    <w:rsid w:val="004A25A2"/>
    <w:rsid w:val="004A6CDA"/>
    <w:rsid w:val="004B009D"/>
    <w:rsid w:val="004B16D4"/>
    <w:rsid w:val="004B1C63"/>
    <w:rsid w:val="004B1D84"/>
    <w:rsid w:val="004B2708"/>
    <w:rsid w:val="004B386B"/>
    <w:rsid w:val="004B6951"/>
    <w:rsid w:val="004B7023"/>
    <w:rsid w:val="004B7259"/>
    <w:rsid w:val="004C0E63"/>
    <w:rsid w:val="004C11FC"/>
    <w:rsid w:val="004C1B5D"/>
    <w:rsid w:val="004C58D3"/>
    <w:rsid w:val="004C62EA"/>
    <w:rsid w:val="004C63D1"/>
    <w:rsid w:val="004C7F21"/>
    <w:rsid w:val="004C7F68"/>
    <w:rsid w:val="004D06E4"/>
    <w:rsid w:val="004D0B05"/>
    <w:rsid w:val="004D1D87"/>
    <w:rsid w:val="004D48C1"/>
    <w:rsid w:val="004D573E"/>
    <w:rsid w:val="004D5A17"/>
    <w:rsid w:val="004D5E41"/>
    <w:rsid w:val="004D6B1F"/>
    <w:rsid w:val="004E1918"/>
    <w:rsid w:val="004E199D"/>
    <w:rsid w:val="004E1C57"/>
    <w:rsid w:val="004E29B0"/>
    <w:rsid w:val="004E3294"/>
    <w:rsid w:val="004E4552"/>
    <w:rsid w:val="004E46A8"/>
    <w:rsid w:val="004E54B5"/>
    <w:rsid w:val="004E58F9"/>
    <w:rsid w:val="004E6545"/>
    <w:rsid w:val="004E6697"/>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72B9"/>
    <w:rsid w:val="00517AA5"/>
    <w:rsid w:val="00517EEB"/>
    <w:rsid w:val="005208E9"/>
    <w:rsid w:val="00522E4B"/>
    <w:rsid w:val="00523B7E"/>
    <w:rsid w:val="00524E36"/>
    <w:rsid w:val="00525D5D"/>
    <w:rsid w:val="00527551"/>
    <w:rsid w:val="005277D9"/>
    <w:rsid w:val="005303E4"/>
    <w:rsid w:val="0053101B"/>
    <w:rsid w:val="0053143F"/>
    <w:rsid w:val="00531F77"/>
    <w:rsid w:val="0053377B"/>
    <w:rsid w:val="00534E60"/>
    <w:rsid w:val="005351F0"/>
    <w:rsid w:val="0053563E"/>
    <w:rsid w:val="00536968"/>
    <w:rsid w:val="00536C00"/>
    <w:rsid w:val="005376CD"/>
    <w:rsid w:val="00537CB7"/>
    <w:rsid w:val="00540FD3"/>
    <w:rsid w:val="00542257"/>
    <w:rsid w:val="00542B7F"/>
    <w:rsid w:val="00542BB1"/>
    <w:rsid w:val="00545159"/>
    <w:rsid w:val="00547092"/>
    <w:rsid w:val="00547480"/>
    <w:rsid w:val="00550288"/>
    <w:rsid w:val="00550D1C"/>
    <w:rsid w:val="00550F12"/>
    <w:rsid w:val="0055182A"/>
    <w:rsid w:val="00551E88"/>
    <w:rsid w:val="00552098"/>
    <w:rsid w:val="00552193"/>
    <w:rsid w:val="00553168"/>
    <w:rsid w:val="00553987"/>
    <w:rsid w:val="00555433"/>
    <w:rsid w:val="005572D2"/>
    <w:rsid w:val="00557474"/>
    <w:rsid w:val="005575F9"/>
    <w:rsid w:val="00557866"/>
    <w:rsid w:val="00557CAE"/>
    <w:rsid w:val="00560FB1"/>
    <w:rsid w:val="005613F8"/>
    <w:rsid w:val="00563746"/>
    <w:rsid w:val="00564A19"/>
    <w:rsid w:val="00564C11"/>
    <w:rsid w:val="00566BB9"/>
    <w:rsid w:val="0056795E"/>
    <w:rsid w:val="00570554"/>
    <w:rsid w:val="005717A4"/>
    <w:rsid w:val="00574527"/>
    <w:rsid w:val="00574D0B"/>
    <w:rsid w:val="00574E89"/>
    <w:rsid w:val="00575C75"/>
    <w:rsid w:val="005774B8"/>
    <w:rsid w:val="00581568"/>
    <w:rsid w:val="00582998"/>
    <w:rsid w:val="00582C34"/>
    <w:rsid w:val="00584AC0"/>
    <w:rsid w:val="00585884"/>
    <w:rsid w:val="005869E3"/>
    <w:rsid w:val="00587AC3"/>
    <w:rsid w:val="00592019"/>
    <w:rsid w:val="00592CE1"/>
    <w:rsid w:val="00594777"/>
    <w:rsid w:val="00595512"/>
    <w:rsid w:val="00595D1F"/>
    <w:rsid w:val="00596856"/>
    <w:rsid w:val="005A072B"/>
    <w:rsid w:val="005A1D0A"/>
    <w:rsid w:val="005A2B3C"/>
    <w:rsid w:val="005A39FB"/>
    <w:rsid w:val="005A3A51"/>
    <w:rsid w:val="005A447F"/>
    <w:rsid w:val="005A4E46"/>
    <w:rsid w:val="005A520F"/>
    <w:rsid w:val="005A5AEC"/>
    <w:rsid w:val="005A657C"/>
    <w:rsid w:val="005A7749"/>
    <w:rsid w:val="005B01B6"/>
    <w:rsid w:val="005B0BC6"/>
    <w:rsid w:val="005B195D"/>
    <w:rsid w:val="005B1D88"/>
    <w:rsid w:val="005B3A97"/>
    <w:rsid w:val="005B623B"/>
    <w:rsid w:val="005B6D34"/>
    <w:rsid w:val="005C027F"/>
    <w:rsid w:val="005C077F"/>
    <w:rsid w:val="005C0C29"/>
    <w:rsid w:val="005C2484"/>
    <w:rsid w:val="005C3281"/>
    <w:rsid w:val="005C3A6F"/>
    <w:rsid w:val="005C44E1"/>
    <w:rsid w:val="005C46D1"/>
    <w:rsid w:val="005C4A2E"/>
    <w:rsid w:val="005C5D01"/>
    <w:rsid w:val="005C6389"/>
    <w:rsid w:val="005C6F1F"/>
    <w:rsid w:val="005C7115"/>
    <w:rsid w:val="005C7BD9"/>
    <w:rsid w:val="005D0E50"/>
    <w:rsid w:val="005D31C8"/>
    <w:rsid w:val="005D5417"/>
    <w:rsid w:val="005D5513"/>
    <w:rsid w:val="005D7677"/>
    <w:rsid w:val="005E2314"/>
    <w:rsid w:val="005E3BE9"/>
    <w:rsid w:val="005E4484"/>
    <w:rsid w:val="005E4FAB"/>
    <w:rsid w:val="005E500C"/>
    <w:rsid w:val="005E503E"/>
    <w:rsid w:val="005E7908"/>
    <w:rsid w:val="005F04CB"/>
    <w:rsid w:val="005F1C1D"/>
    <w:rsid w:val="005F1E94"/>
    <w:rsid w:val="005F3A43"/>
    <w:rsid w:val="005F5A89"/>
    <w:rsid w:val="005F6D8A"/>
    <w:rsid w:val="005F717F"/>
    <w:rsid w:val="00600F1F"/>
    <w:rsid w:val="00605693"/>
    <w:rsid w:val="00605C92"/>
    <w:rsid w:val="00605FCF"/>
    <w:rsid w:val="006061C8"/>
    <w:rsid w:val="00606355"/>
    <w:rsid w:val="00607937"/>
    <w:rsid w:val="006101C4"/>
    <w:rsid w:val="00610605"/>
    <w:rsid w:val="00611CFD"/>
    <w:rsid w:val="006120AE"/>
    <w:rsid w:val="00613E77"/>
    <w:rsid w:val="0061409F"/>
    <w:rsid w:val="00615292"/>
    <w:rsid w:val="00615D8B"/>
    <w:rsid w:val="00616C7A"/>
    <w:rsid w:val="00620EDC"/>
    <w:rsid w:val="00621B29"/>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34D8"/>
    <w:rsid w:val="00644090"/>
    <w:rsid w:val="00644AA0"/>
    <w:rsid w:val="00645856"/>
    <w:rsid w:val="00645BF8"/>
    <w:rsid w:val="006475D4"/>
    <w:rsid w:val="0065149D"/>
    <w:rsid w:val="00651C24"/>
    <w:rsid w:val="00652506"/>
    <w:rsid w:val="00652B03"/>
    <w:rsid w:val="006540DB"/>
    <w:rsid w:val="0065427D"/>
    <w:rsid w:val="006549D5"/>
    <w:rsid w:val="0065696F"/>
    <w:rsid w:val="00663E46"/>
    <w:rsid w:val="006643C0"/>
    <w:rsid w:val="006652B6"/>
    <w:rsid w:val="00666279"/>
    <w:rsid w:val="00666744"/>
    <w:rsid w:val="00666D8E"/>
    <w:rsid w:val="00667153"/>
    <w:rsid w:val="00670050"/>
    <w:rsid w:val="00670A5B"/>
    <w:rsid w:val="0067116A"/>
    <w:rsid w:val="00671951"/>
    <w:rsid w:val="00671A84"/>
    <w:rsid w:val="006743B9"/>
    <w:rsid w:val="0067503D"/>
    <w:rsid w:val="00675DCF"/>
    <w:rsid w:val="006767A4"/>
    <w:rsid w:val="00676EBA"/>
    <w:rsid w:val="00680D1D"/>
    <w:rsid w:val="00681051"/>
    <w:rsid w:val="00681E7F"/>
    <w:rsid w:val="00682E70"/>
    <w:rsid w:val="006830C9"/>
    <w:rsid w:val="0068330A"/>
    <w:rsid w:val="00683B09"/>
    <w:rsid w:val="00683C5F"/>
    <w:rsid w:val="00683D38"/>
    <w:rsid w:val="00684203"/>
    <w:rsid w:val="0068790B"/>
    <w:rsid w:val="0069130D"/>
    <w:rsid w:val="00692855"/>
    <w:rsid w:val="00692CEC"/>
    <w:rsid w:val="006935D0"/>
    <w:rsid w:val="00694D48"/>
    <w:rsid w:val="00696A34"/>
    <w:rsid w:val="00697940"/>
    <w:rsid w:val="006A0765"/>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C0A"/>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24FC"/>
    <w:rsid w:val="006E25A7"/>
    <w:rsid w:val="006E33FF"/>
    <w:rsid w:val="006E4258"/>
    <w:rsid w:val="006E66A7"/>
    <w:rsid w:val="006E717B"/>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5406"/>
    <w:rsid w:val="007058C7"/>
    <w:rsid w:val="00707D6F"/>
    <w:rsid w:val="00711503"/>
    <w:rsid w:val="00712DD0"/>
    <w:rsid w:val="00713842"/>
    <w:rsid w:val="0071577D"/>
    <w:rsid w:val="007214DD"/>
    <w:rsid w:val="00721ABD"/>
    <w:rsid w:val="00722955"/>
    <w:rsid w:val="00723DB7"/>
    <w:rsid w:val="00724102"/>
    <w:rsid w:val="0072543D"/>
    <w:rsid w:val="00726CFD"/>
    <w:rsid w:val="00727B2B"/>
    <w:rsid w:val="00730D5E"/>
    <w:rsid w:val="007317B5"/>
    <w:rsid w:val="00732DF0"/>
    <w:rsid w:val="00733172"/>
    <w:rsid w:val="00733E68"/>
    <w:rsid w:val="0073532C"/>
    <w:rsid w:val="00735D64"/>
    <w:rsid w:val="00736133"/>
    <w:rsid w:val="007363E3"/>
    <w:rsid w:val="00736824"/>
    <w:rsid w:val="00741488"/>
    <w:rsid w:val="00741A0E"/>
    <w:rsid w:val="007427D6"/>
    <w:rsid w:val="0074281F"/>
    <w:rsid w:val="00742F4C"/>
    <w:rsid w:val="007433EF"/>
    <w:rsid w:val="0074357D"/>
    <w:rsid w:val="0074421A"/>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F1B"/>
    <w:rsid w:val="00760786"/>
    <w:rsid w:val="00760C7F"/>
    <w:rsid w:val="00761065"/>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1E22"/>
    <w:rsid w:val="00781FF2"/>
    <w:rsid w:val="00782220"/>
    <w:rsid w:val="007823A0"/>
    <w:rsid w:val="007827F4"/>
    <w:rsid w:val="007832EB"/>
    <w:rsid w:val="00783C0C"/>
    <w:rsid w:val="00784BD7"/>
    <w:rsid w:val="00785555"/>
    <w:rsid w:val="00785D8F"/>
    <w:rsid w:val="00787878"/>
    <w:rsid w:val="0078792A"/>
    <w:rsid w:val="00787D8F"/>
    <w:rsid w:val="00792608"/>
    <w:rsid w:val="0079386F"/>
    <w:rsid w:val="00795BB5"/>
    <w:rsid w:val="00796D83"/>
    <w:rsid w:val="00796F3C"/>
    <w:rsid w:val="007971B9"/>
    <w:rsid w:val="007971D2"/>
    <w:rsid w:val="007A069F"/>
    <w:rsid w:val="007A2675"/>
    <w:rsid w:val="007A2ED6"/>
    <w:rsid w:val="007A3123"/>
    <w:rsid w:val="007A487E"/>
    <w:rsid w:val="007A7B2B"/>
    <w:rsid w:val="007B0073"/>
    <w:rsid w:val="007B3130"/>
    <w:rsid w:val="007B356A"/>
    <w:rsid w:val="007B4EBA"/>
    <w:rsid w:val="007B7657"/>
    <w:rsid w:val="007C0925"/>
    <w:rsid w:val="007C17DD"/>
    <w:rsid w:val="007C1A3D"/>
    <w:rsid w:val="007C1B74"/>
    <w:rsid w:val="007C20BB"/>
    <w:rsid w:val="007C4C5D"/>
    <w:rsid w:val="007C5C31"/>
    <w:rsid w:val="007C702E"/>
    <w:rsid w:val="007C7EC6"/>
    <w:rsid w:val="007D08F5"/>
    <w:rsid w:val="007D0A77"/>
    <w:rsid w:val="007D19C3"/>
    <w:rsid w:val="007D1EA4"/>
    <w:rsid w:val="007D37A1"/>
    <w:rsid w:val="007D3D16"/>
    <w:rsid w:val="007D4952"/>
    <w:rsid w:val="007D55BB"/>
    <w:rsid w:val="007D770D"/>
    <w:rsid w:val="007D7811"/>
    <w:rsid w:val="007E0DC0"/>
    <w:rsid w:val="007E17CA"/>
    <w:rsid w:val="007E23A7"/>
    <w:rsid w:val="007E51AE"/>
    <w:rsid w:val="007E5E0E"/>
    <w:rsid w:val="007E621A"/>
    <w:rsid w:val="007E6E4C"/>
    <w:rsid w:val="007E7D19"/>
    <w:rsid w:val="007F096F"/>
    <w:rsid w:val="007F1A97"/>
    <w:rsid w:val="007F2BAE"/>
    <w:rsid w:val="007F3CD9"/>
    <w:rsid w:val="007F3D9A"/>
    <w:rsid w:val="007F3F1D"/>
    <w:rsid w:val="007F5470"/>
    <w:rsid w:val="007F54CC"/>
    <w:rsid w:val="007F5B81"/>
    <w:rsid w:val="007F7B8F"/>
    <w:rsid w:val="008010AC"/>
    <w:rsid w:val="008011A5"/>
    <w:rsid w:val="00801928"/>
    <w:rsid w:val="00801D57"/>
    <w:rsid w:val="0080204F"/>
    <w:rsid w:val="00802580"/>
    <w:rsid w:val="00803C61"/>
    <w:rsid w:val="00804DDD"/>
    <w:rsid w:val="00805196"/>
    <w:rsid w:val="00805342"/>
    <w:rsid w:val="00805D2E"/>
    <w:rsid w:val="0080645C"/>
    <w:rsid w:val="00806655"/>
    <w:rsid w:val="008076C9"/>
    <w:rsid w:val="0081080A"/>
    <w:rsid w:val="008115C9"/>
    <w:rsid w:val="0081345C"/>
    <w:rsid w:val="00814EB4"/>
    <w:rsid w:val="00815EE1"/>
    <w:rsid w:val="00816646"/>
    <w:rsid w:val="008178FA"/>
    <w:rsid w:val="0082037F"/>
    <w:rsid w:val="00821CE1"/>
    <w:rsid w:val="00821F08"/>
    <w:rsid w:val="00822498"/>
    <w:rsid w:val="008224A2"/>
    <w:rsid w:val="00823D79"/>
    <w:rsid w:val="0082470B"/>
    <w:rsid w:val="008249A8"/>
    <w:rsid w:val="00826C7A"/>
    <w:rsid w:val="00827556"/>
    <w:rsid w:val="008277C3"/>
    <w:rsid w:val="00832AE2"/>
    <w:rsid w:val="00832BB1"/>
    <w:rsid w:val="008337F4"/>
    <w:rsid w:val="00833F26"/>
    <w:rsid w:val="0083479F"/>
    <w:rsid w:val="00837442"/>
    <w:rsid w:val="00837C02"/>
    <w:rsid w:val="0084132C"/>
    <w:rsid w:val="0084460F"/>
    <w:rsid w:val="00844C2A"/>
    <w:rsid w:val="008451B0"/>
    <w:rsid w:val="008459E1"/>
    <w:rsid w:val="00845B31"/>
    <w:rsid w:val="00847250"/>
    <w:rsid w:val="00850D92"/>
    <w:rsid w:val="00850EBB"/>
    <w:rsid w:val="0085184E"/>
    <w:rsid w:val="00851E6A"/>
    <w:rsid w:val="00853F0C"/>
    <w:rsid w:val="008551BF"/>
    <w:rsid w:val="00855B0C"/>
    <w:rsid w:val="0085737D"/>
    <w:rsid w:val="00857456"/>
    <w:rsid w:val="0085763B"/>
    <w:rsid w:val="00857AE6"/>
    <w:rsid w:val="00861968"/>
    <w:rsid w:val="00862BC6"/>
    <w:rsid w:val="00863DD6"/>
    <w:rsid w:val="00864FB9"/>
    <w:rsid w:val="00865367"/>
    <w:rsid w:val="00872365"/>
    <w:rsid w:val="00873BB2"/>
    <w:rsid w:val="00874DEF"/>
    <w:rsid w:val="00877210"/>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96AE3"/>
    <w:rsid w:val="008A0903"/>
    <w:rsid w:val="008A1044"/>
    <w:rsid w:val="008A1A17"/>
    <w:rsid w:val="008A56FC"/>
    <w:rsid w:val="008A6623"/>
    <w:rsid w:val="008A79B4"/>
    <w:rsid w:val="008A7C7F"/>
    <w:rsid w:val="008A7D73"/>
    <w:rsid w:val="008A7D7F"/>
    <w:rsid w:val="008B05E6"/>
    <w:rsid w:val="008B1979"/>
    <w:rsid w:val="008B206D"/>
    <w:rsid w:val="008B2860"/>
    <w:rsid w:val="008B2BE5"/>
    <w:rsid w:val="008B2F50"/>
    <w:rsid w:val="008B30B6"/>
    <w:rsid w:val="008B3BE5"/>
    <w:rsid w:val="008B3C26"/>
    <w:rsid w:val="008B43D6"/>
    <w:rsid w:val="008B4D0D"/>
    <w:rsid w:val="008B556B"/>
    <w:rsid w:val="008B5BA6"/>
    <w:rsid w:val="008B5C86"/>
    <w:rsid w:val="008B7054"/>
    <w:rsid w:val="008B73B9"/>
    <w:rsid w:val="008B7637"/>
    <w:rsid w:val="008C2642"/>
    <w:rsid w:val="008C36C1"/>
    <w:rsid w:val="008C5178"/>
    <w:rsid w:val="008C6019"/>
    <w:rsid w:val="008C6192"/>
    <w:rsid w:val="008C7EF6"/>
    <w:rsid w:val="008D0435"/>
    <w:rsid w:val="008D29DC"/>
    <w:rsid w:val="008D2CD6"/>
    <w:rsid w:val="008D456D"/>
    <w:rsid w:val="008D6905"/>
    <w:rsid w:val="008D6A41"/>
    <w:rsid w:val="008D78FE"/>
    <w:rsid w:val="008E04EC"/>
    <w:rsid w:val="008E0EA7"/>
    <w:rsid w:val="008E243A"/>
    <w:rsid w:val="008E3200"/>
    <w:rsid w:val="008E3BD4"/>
    <w:rsid w:val="008E6DCE"/>
    <w:rsid w:val="008E6EB7"/>
    <w:rsid w:val="008E7AFF"/>
    <w:rsid w:val="008F3033"/>
    <w:rsid w:val="008F333C"/>
    <w:rsid w:val="008F570D"/>
    <w:rsid w:val="008F6DD0"/>
    <w:rsid w:val="008F71C6"/>
    <w:rsid w:val="008F77D1"/>
    <w:rsid w:val="00900816"/>
    <w:rsid w:val="009009C0"/>
    <w:rsid w:val="00901FE0"/>
    <w:rsid w:val="00903DAF"/>
    <w:rsid w:val="00905785"/>
    <w:rsid w:val="009057E1"/>
    <w:rsid w:val="009062B5"/>
    <w:rsid w:val="00906F10"/>
    <w:rsid w:val="00911638"/>
    <w:rsid w:val="009126EC"/>
    <w:rsid w:val="0091284D"/>
    <w:rsid w:val="00912A19"/>
    <w:rsid w:val="00914DE8"/>
    <w:rsid w:val="009243CB"/>
    <w:rsid w:val="009247B1"/>
    <w:rsid w:val="00924A3E"/>
    <w:rsid w:val="00926661"/>
    <w:rsid w:val="00926B6A"/>
    <w:rsid w:val="00927494"/>
    <w:rsid w:val="009277F9"/>
    <w:rsid w:val="009300BA"/>
    <w:rsid w:val="00931081"/>
    <w:rsid w:val="00931BC1"/>
    <w:rsid w:val="00932211"/>
    <w:rsid w:val="00932C1E"/>
    <w:rsid w:val="00933221"/>
    <w:rsid w:val="00933F66"/>
    <w:rsid w:val="00937268"/>
    <w:rsid w:val="0093787C"/>
    <w:rsid w:val="0094157C"/>
    <w:rsid w:val="00941E85"/>
    <w:rsid w:val="00942E07"/>
    <w:rsid w:val="00943444"/>
    <w:rsid w:val="0094348A"/>
    <w:rsid w:val="009441FB"/>
    <w:rsid w:val="009454A8"/>
    <w:rsid w:val="0094622B"/>
    <w:rsid w:val="00946637"/>
    <w:rsid w:val="009467D7"/>
    <w:rsid w:val="0094769F"/>
    <w:rsid w:val="009479F9"/>
    <w:rsid w:val="00947C81"/>
    <w:rsid w:val="00950ECA"/>
    <w:rsid w:val="00952723"/>
    <w:rsid w:val="0095283F"/>
    <w:rsid w:val="00952BD9"/>
    <w:rsid w:val="009544A2"/>
    <w:rsid w:val="0095519B"/>
    <w:rsid w:val="00955803"/>
    <w:rsid w:val="00956967"/>
    <w:rsid w:val="00956AE6"/>
    <w:rsid w:val="00961D3B"/>
    <w:rsid w:val="00962381"/>
    <w:rsid w:val="00962992"/>
    <w:rsid w:val="0096384C"/>
    <w:rsid w:val="00963D9E"/>
    <w:rsid w:val="00964374"/>
    <w:rsid w:val="009647D6"/>
    <w:rsid w:val="00964ABC"/>
    <w:rsid w:val="00965DBC"/>
    <w:rsid w:val="00967589"/>
    <w:rsid w:val="00967664"/>
    <w:rsid w:val="0097076F"/>
    <w:rsid w:val="00971106"/>
    <w:rsid w:val="00971D01"/>
    <w:rsid w:val="00972A53"/>
    <w:rsid w:val="00973222"/>
    <w:rsid w:val="00973AE9"/>
    <w:rsid w:val="009756F6"/>
    <w:rsid w:val="0097611B"/>
    <w:rsid w:val="00976267"/>
    <w:rsid w:val="009762AA"/>
    <w:rsid w:val="0097648B"/>
    <w:rsid w:val="009773CA"/>
    <w:rsid w:val="0097781B"/>
    <w:rsid w:val="0098009E"/>
    <w:rsid w:val="0098027F"/>
    <w:rsid w:val="00981D82"/>
    <w:rsid w:val="00983042"/>
    <w:rsid w:val="0098347F"/>
    <w:rsid w:val="0098583F"/>
    <w:rsid w:val="00986477"/>
    <w:rsid w:val="00990C6A"/>
    <w:rsid w:val="009918B3"/>
    <w:rsid w:val="00991DE5"/>
    <w:rsid w:val="00991F8C"/>
    <w:rsid w:val="00992F80"/>
    <w:rsid w:val="009958C4"/>
    <w:rsid w:val="00996781"/>
    <w:rsid w:val="00996D0B"/>
    <w:rsid w:val="009972CF"/>
    <w:rsid w:val="0099758C"/>
    <w:rsid w:val="009A02C6"/>
    <w:rsid w:val="009A0378"/>
    <w:rsid w:val="009A08F8"/>
    <w:rsid w:val="009A1166"/>
    <w:rsid w:val="009A1756"/>
    <w:rsid w:val="009A20F1"/>
    <w:rsid w:val="009A3ADA"/>
    <w:rsid w:val="009A4E0F"/>
    <w:rsid w:val="009A50C3"/>
    <w:rsid w:val="009A64C2"/>
    <w:rsid w:val="009B0A7F"/>
    <w:rsid w:val="009B0D10"/>
    <w:rsid w:val="009B2000"/>
    <w:rsid w:val="009B590C"/>
    <w:rsid w:val="009B7148"/>
    <w:rsid w:val="009B75A4"/>
    <w:rsid w:val="009B7870"/>
    <w:rsid w:val="009C1C58"/>
    <w:rsid w:val="009C2743"/>
    <w:rsid w:val="009C2798"/>
    <w:rsid w:val="009C41B6"/>
    <w:rsid w:val="009C4721"/>
    <w:rsid w:val="009C51EF"/>
    <w:rsid w:val="009C549A"/>
    <w:rsid w:val="009C5BE2"/>
    <w:rsid w:val="009C70DF"/>
    <w:rsid w:val="009C75BF"/>
    <w:rsid w:val="009D0440"/>
    <w:rsid w:val="009D0E3B"/>
    <w:rsid w:val="009D1435"/>
    <w:rsid w:val="009D22BA"/>
    <w:rsid w:val="009D2D8D"/>
    <w:rsid w:val="009D36A6"/>
    <w:rsid w:val="009D421D"/>
    <w:rsid w:val="009D4291"/>
    <w:rsid w:val="009D5225"/>
    <w:rsid w:val="009D69A1"/>
    <w:rsid w:val="009D6D80"/>
    <w:rsid w:val="009D70DC"/>
    <w:rsid w:val="009E15CA"/>
    <w:rsid w:val="009E27AB"/>
    <w:rsid w:val="009E2BB6"/>
    <w:rsid w:val="009E3B38"/>
    <w:rsid w:val="009E4477"/>
    <w:rsid w:val="009E4C25"/>
    <w:rsid w:val="009E5054"/>
    <w:rsid w:val="009E535D"/>
    <w:rsid w:val="009E654B"/>
    <w:rsid w:val="009F05A5"/>
    <w:rsid w:val="009F148C"/>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27B8"/>
    <w:rsid w:val="00A147E1"/>
    <w:rsid w:val="00A14F5B"/>
    <w:rsid w:val="00A15247"/>
    <w:rsid w:val="00A15749"/>
    <w:rsid w:val="00A16140"/>
    <w:rsid w:val="00A1626A"/>
    <w:rsid w:val="00A16CCD"/>
    <w:rsid w:val="00A2015A"/>
    <w:rsid w:val="00A20F57"/>
    <w:rsid w:val="00A24A60"/>
    <w:rsid w:val="00A259AC"/>
    <w:rsid w:val="00A26FF5"/>
    <w:rsid w:val="00A304B0"/>
    <w:rsid w:val="00A30AEF"/>
    <w:rsid w:val="00A32984"/>
    <w:rsid w:val="00A33546"/>
    <w:rsid w:val="00A337A0"/>
    <w:rsid w:val="00A35DA3"/>
    <w:rsid w:val="00A36087"/>
    <w:rsid w:val="00A3615C"/>
    <w:rsid w:val="00A3683B"/>
    <w:rsid w:val="00A43537"/>
    <w:rsid w:val="00A43CF0"/>
    <w:rsid w:val="00A4435C"/>
    <w:rsid w:val="00A449BD"/>
    <w:rsid w:val="00A45293"/>
    <w:rsid w:val="00A458C8"/>
    <w:rsid w:val="00A45AE4"/>
    <w:rsid w:val="00A45D33"/>
    <w:rsid w:val="00A46B17"/>
    <w:rsid w:val="00A46D7B"/>
    <w:rsid w:val="00A46E0F"/>
    <w:rsid w:val="00A4781D"/>
    <w:rsid w:val="00A50D97"/>
    <w:rsid w:val="00A5214B"/>
    <w:rsid w:val="00A5289F"/>
    <w:rsid w:val="00A52A63"/>
    <w:rsid w:val="00A5337A"/>
    <w:rsid w:val="00A53622"/>
    <w:rsid w:val="00A53C66"/>
    <w:rsid w:val="00A53E5E"/>
    <w:rsid w:val="00A562FA"/>
    <w:rsid w:val="00A5707B"/>
    <w:rsid w:val="00A57387"/>
    <w:rsid w:val="00A57F41"/>
    <w:rsid w:val="00A600A2"/>
    <w:rsid w:val="00A61C44"/>
    <w:rsid w:val="00A6346A"/>
    <w:rsid w:val="00A63B94"/>
    <w:rsid w:val="00A64BEB"/>
    <w:rsid w:val="00A6555E"/>
    <w:rsid w:val="00A70026"/>
    <w:rsid w:val="00A70968"/>
    <w:rsid w:val="00A731AC"/>
    <w:rsid w:val="00A74C61"/>
    <w:rsid w:val="00A759EC"/>
    <w:rsid w:val="00A75E6C"/>
    <w:rsid w:val="00A76832"/>
    <w:rsid w:val="00A77CB7"/>
    <w:rsid w:val="00A80643"/>
    <w:rsid w:val="00A8283A"/>
    <w:rsid w:val="00A830F5"/>
    <w:rsid w:val="00A84539"/>
    <w:rsid w:val="00A8631D"/>
    <w:rsid w:val="00A865F0"/>
    <w:rsid w:val="00A870B9"/>
    <w:rsid w:val="00A877FC"/>
    <w:rsid w:val="00A879AE"/>
    <w:rsid w:val="00A90B1E"/>
    <w:rsid w:val="00A90F16"/>
    <w:rsid w:val="00A90F17"/>
    <w:rsid w:val="00A96845"/>
    <w:rsid w:val="00A97559"/>
    <w:rsid w:val="00A97F64"/>
    <w:rsid w:val="00AA1E3F"/>
    <w:rsid w:val="00AA1EF2"/>
    <w:rsid w:val="00AA25C7"/>
    <w:rsid w:val="00AA324F"/>
    <w:rsid w:val="00AA3A18"/>
    <w:rsid w:val="00AA4A5F"/>
    <w:rsid w:val="00AA5F26"/>
    <w:rsid w:val="00AB0954"/>
    <w:rsid w:val="00AB0EB2"/>
    <w:rsid w:val="00AB22D5"/>
    <w:rsid w:val="00AB254C"/>
    <w:rsid w:val="00AB25F0"/>
    <w:rsid w:val="00AB67A5"/>
    <w:rsid w:val="00AB7549"/>
    <w:rsid w:val="00AB756D"/>
    <w:rsid w:val="00AC049F"/>
    <w:rsid w:val="00AC130A"/>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E2C"/>
    <w:rsid w:val="00AD420F"/>
    <w:rsid w:val="00AD547F"/>
    <w:rsid w:val="00AD7277"/>
    <w:rsid w:val="00AE05ED"/>
    <w:rsid w:val="00AE07E0"/>
    <w:rsid w:val="00AE0862"/>
    <w:rsid w:val="00AE0A9A"/>
    <w:rsid w:val="00AE148F"/>
    <w:rsid w:val="00AE2615"/>
    <w:rsid w:val="00AE6738"/>
    <w:rsid w:val="00AE7BAB"/>
    <w:rsid w:val="00AE7D9C"/>
    <w:rsid w:val="00AF00D7"/>
    <w:rsid w:val="00AF4479"/>
    <w:rsid w:val="00AF495B"/>
    <w:rsid w:val="00AF5D0A"/>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4D06"/>
    <w:rsid w:val="00B16383"/>
    <w:rsid w:val="00B16721"/>
    <w:rsid w:val="00B175CA"/>
    <w:rsid w:val="00B202D6"/>
    <w:rsid w:val="00B22D0B"/>
    <w:rsid w:val="00B2327C"/>
    <w:rsid w:val="00B24FCC"/>
    <w:rsid w:val="00B256D6"/>
    <w:rsid w:val="00B26AB0"/>
    <w:rsid w:val="00B27E4A"/>
    <w:rsid w:val="00B3135A"/>
    <w:rsid w:val="00B37D3C"/>
    <w:rsid w:val="00B40596"/>
    <w:rsid w:val="00B405DD"/>
    <w:rsid w:val="00B41032"/>
    <w:rsid w:val="00B4157A"/>
    <w:rsid w:val="00B4254C"/>
    <w:rsid w:val="00B4498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5640"/>
    <w:rsid w:val="00B65C6B"/>
    <w:rsid w:val="00B66130"/>
    <w:rsid w:val="00B67E27"/>
    <w:rsid w:val="00B700E3"/>
    <w:rsid w:val="00B70983"/>
    <w:rsid w:val="00B71554"/>
    <w:rsid w:val="00B7288E"/>
    <w:rsid w:val="00B73EF1"/>
    <w:rsid w:val="00B763F9"/>
    <w:rsid w:val="00B76A92"/>
    <w:rsid w:val="00B77719"/>
    <w:rsid w:val="00B77EA5"/>
    <w:rsid w:val="00B80FAC"/>
    <w:rsid w:val="00B8141F"/>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8C7"/>
    <w:rsid w:val="00BA4A49"/>
    <w:rsid w:val="00BA54BB"/>
    <w:rsid w:val="00BA7EF3"/>
    <w:rsid w:val="00BB00A5"/>
    <w:rsid w:val="00BB0977"/>
    <w:rsid w:val="00BB0CAB"/>
    <w:rsid w:val="00BB1628"/>
    <w:rsid w:val="00BB43F7"/>
    <w:rsid w:val="00BB46B5"/>
    <w:rsid w:val="00BB4D70"/>
    <w:rsid w:val="00BB67C6"/>
    <w:rsid w:val="00BB7124"/>
    <w:rsid w:val="00BB7716"/>
    <w:rsid w:val="00BB7DCB"/>
    <w:rsid w:val="00BC0950"/>
    <w:rsid w:val="00BC0A66"/>
    <w:rsid w:val="00BC38A9"/>
    <w:rsid w:val="00BC3E66"/>
    <w:rsid w:val="00BC4C76"/>
    <w:rsid w:val="00BC4ED1"/>
    <w:rsid w:val="00BC503D"/>
    <w:rsid w:val="00BC7BA8"/>
    <w:rsid w:val="00BD0D24"/>
    <w:rsid w:val="00BD0DF6"/>
    <w:rsid w:val="00BD12F2"/>
    <w:rsid w:val="00BD17F8"/>
    <w:rsid w:val="00BD267E"/>
    <w:rsid w:val="00BD3F71"/>
    <w:rsid w:val="00BD6B63"/>
    <w:rsid w:val="00BD6CA8"/>
    <w:rsid w:val="00BD7067"/>
    <w:rsid w:val="00BE0789"/>
    <w:rsid w:val="00BE19B4"/>
    <w:rsid w:val="00BE1EA1"/>
    <w:rsid w:val="00BE274F"/>
    <w:rsid w:val="00BE4A69"/>
    <w:rsid w:val="00BE6722"/>
    <w:rsid w:val="00BE6F33"/>
    <w:rsid w:val="00BF0F7E"/>
    <w:rsid w:val="00BF1057"/>
    <w:rsid w:val="00BF224F"/>
    <w:rsid w:val="00BF26E0"/>
    <w:rsid w:val="00BF45A0"/>
    <w:rsid w:val="00BF5B3C"/>
    <w:rsid w:val="00BF5F7B"/>
    <w:rsid w:val="00BF6C9E"/>
    <w:rsid w:val="00C00600"/>
    <w:rsid w:val="00C0090F"/>
    <w:rsid w:val="00C00CB5"/>
    <w:rsid w:val="00C0280D"/>
    <w:rsid w:val="00C0382D"/>
    <w:rsid w:val="00C048E4"/>
    <w:rsid w:val="00C05E29"/>
    <w:rsid w:val="00C0647D"/>
    <w:rsid w:val="00C06D77"/>
    <w:rsid w:val="00C077ED"/>
    <w:rsid w:val="00C102A8"/>
    <w:rsid w:val="00C10A0E"/>
    <w:rsid w:val="00C1209C"/>
    <w:rsid w:val="00C12939"/>
    <w:rsid w:val="00C12A29"/>
    <w:rsid w:val="00C13441"/>
    <w:rsid w:val="00C14078"/>
    <w:rsid w:val="00C14A63"/>
    <w:rsid w:val="00C16AEB"/>
    <w:rsid w:val="00C16D5E"/>
    <w:rsid w:val="00C178A1"/>
    <w:rsid w:val="00C203D0"/>
    <w:rsid w:val="00C22128"/>
    <w:rsid w:val="00C22E25"/>
    <w:rsid w:val="00C232CC"/>
    <w:rsid w:val="00C26165"/>
    <w:rsid w:val="00C3152E"/>
    <w:rsid w:val="00C334F1"/>
    <w:rsid w:val="00C33620"/>
    <w:rsid w:val="00C33BBE"/>
    <w:rsid w:val="00C33E45"/>
    <w:rsid w:val="00C34162"/>
    <w:rsid w:val="00C3429D"/>
    <w:rsid w:val="00C342FD"/>
    <w:rsid w:val="00C343D9"/>
    <w:rsid w:val="00C3722F"/>
    <w:rsid w:val="00C37525"/>
    <w:rsid w:val="00C40C6F"/>
    <w:rsid w:val="00C41B46"/>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1F4"/>
    <w:rsid w:val="00C7799C"/>
    <w:rsid w:val="00C77D71"/>
    <w:rsid w:val="00C80341"/>
    <w:rsid w:val="00C8077F"/>
    <w:rsid w:val="00C8230C"/>
    <w:rsid w:val="00C84AD2"/>
    <w:rsid w:val="00C85294"/>
    <w:rsid w:val="00C86977"/>
    <w:rsid w:val="00C87F68"/>
    <w:rsid w:val="00C91572"/>
    <w:rsid w:val="00C9230B"/>
    <w:rsid w:val="00C9563D"/>
    <w:rsid w:val="00C95861"/>
    <w:rsid w:val="00C9652B"/>
    <w:rsid w:val="00C96572"/>
    <w:rsid w:val="00C97A3B"/>
    <w:rsid w:val="00CA033D"/>
    <w:rsid w:val="00CA06A2"/>
    <w:rsid w:val="00CA295F"/>
    <w:rsid w:val="00CA32CB"/>
    <w:rsid w:val="00CA3639"/>
    <w:rsid w:val="00CA3CDD"/>
    <w:rsid w:val="00CA538D"/>
    <w:rsid w:val="00CA5426"/>
    <w:rsid w:val="00CA549A"/>
    <w:rsid w:val="00CA63A5"/>
    <w:rsid w:val="00CA665E"/>
    <w:rsid w:val="00CB07EA"/>
    <w:rsid w:val="00CB0A88"/>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6345"/>
    <w:rsid w:val="00CD638E"/>
    <w:rsid w:val="00CD6DE6"/>
    <w:rsid w:val="00CD7603"/>
    <w:rsid w:val="00CD7B55"/>
    <w:rsid w:val="00CE1168"/>
    <w:rsid w:val="00CE23D0"/>
    <w:rsid w:val="00CE3838"/>
    <w:rsid w:val="00CE6E11"/>
    <w:rsid w:val="00CE736C"/>
    <w:rsid w:val="00CE7F04"/>
    <w:rsid w:val="00CE7FCF"/>
    <w:rsid w:val="00CF0AD3"/>
    <w:rsid w:val="00CF0FE0"/>
    <w:rsid w:val="00CF13FE"/>
    <w:rsid w:val="00CF1875"/>
    <w:rsid w:val="00CF1EB5"/>
    <w:rsid w:val="00CF2746"/>
    <w:rsid w:val="00CF2C66"/>
    <w:rsid w:val="00CF58F1"/>
    <w:rsid w:val="00CF5E7B"/>
    <w:rsid w:val="00CF78C0"/>
    <w:rsid w:val="00CF7B17"/>
    <w:rsid w:val="00D00406"/>
    <w:rsid w:val="00D010D2"/>
    <w:rsid w:val="00D0174F"/>
    <w:rsid w:val="00D02018"/>
    <w:rsid w:val="00D02410"/>
    <w:rsid w:val="00D02B82"/>
    <w:rsid w:val="00D0338F"/>
    <w:rsid w:val="00D05CB2"/>
    <w:rsid w:val="00D06344"/>
    <w:rsid w:val="00D10310"/>
    <w:rsid w:val="00D111B0"/>
    <w:rsid w:val="00D118CA"/>
    <w:rsid w:val="00D128FA"/>
    <w:rsid w:val="00D13683"/>
    <w:rsid w:val="00D13CA9"/>
    <w:rsid w:val="00D14A6B"/>
    <w:rsid w:val="00D15287"/>
    <w:rsid w:val="00D155E6"/>
    <w:rsid w:val="00D24115"/>
    <w:rsid w:val="00D241F0"/>
    <w:rsid w:val="00D24495"/>
    <w:rsid w:val="00D26FBD"/>
    <w:rsid w:val="00D278E7"/>
    <w:rsid w:val="00D27DC9"/>
    <w:rsid w:val="00D27EC1"/>
    <w:rsid w:val="00D30A2F"/>
    <w:rsid w:val="00D3420F"/>
    <w:rsid w:val="00D34812"/>
    <w:rsid w:val="00D34AB3"/>
    <w:rsid w:val="00D34DA4"/>
    <w:rsid w:val="00D352C7"/>
    <w:rsid w:val="00D367AA"/>
    <w:rsid w:val="00D37072"/>
    <w:rsid w:val="00D379EB"/>
    <w:rsid w:val="00D37B3C"/>
    <w:rsid w:val="00D40437"/>
    <w:rsid w:val="00D40CDA"/>
    <w:rsid w:val="00D418D7"/>
    <w:rsid w:val="00D429F5"/>
    <w:rsid w:val="00D42F0F"/>
    <w:rsid w:val="00D4313F"/>
    <w:rsid w:val="00D43359"/>
    <w:rsid w:val="00D43651"/>
    <w:rsid w:val="00D43C1B"/>
    <w:rsid w:val="00D4429E"/>
    <w:rsid w:val="00D455C0"/>
    <w:rsid w:val="00D465E4"/>
    <w:rsid w:val="00D46823"/>
    <w:rsid w:val="00D46BA1"/>
    <w:rsid w:val="00D46BBC"/>
    <w:rsid w:val="00D46FDC"/>
    <w:rsid w:val="00D50608"/>
    <w:rsid w:val="00D5061B"/>
    <w:rsid w:val="00D5089C"/>
    <w:rsid w:val="00D50E0B"/>
    <w:rsid w:val="00D51318"/>
    <w:rsid w:val="00D51BA7"/>
    <w:rsid w:val="00D52AFA"/>
    <w:rsid w:val="00D5322E"/>
    <w:rsid w:val="00D55739"/>
    <w:rsid w:val="00D5728E"/>
    <w:rsid w:val="00D6003F"/>
    <w:rsid w:val="00D6224E"/>
    <w:rsid w:val="00D622D3"/>
    <w:rsid w:val="00D62594"/>
    <w:rsid w:val="00D63D26"/>
    <w:rsid w:val="00D64D37"/>
    <w:rsid w:val="00D65077"/>
    <w:rsid w:val="00D651E3"/>
    <w:rsid w:val="00D668DC"/>
    <w:rsid w:val="00D70707"/>
    <w:rsid w:val="00D70B23"/>
    <w:rsid w:val="00D71448"/>
    <w:rsid w:val="00D71ACE"/>
    <w:rsid w:val="00D72A41"/>
    <w:rsid w:val="00D7302C"/>
    <w:rsid w:val="00D7378D"/>
    <w:rsid w:val="00D75231"/>
    <w:rsid w:val="00D753D6"/>
    <w:rsid w:val="00D75663"/>
    <w:rsid w:val="00D75F1A"/>
    <w:rsid w:val="00D76B9A"/>
    <w:rsid w:val="00D77610"/>
    <w:rsid w:val="00D80FFE"/>
    <w:rsid w:val="00D83AB7"/>
    <w:rsid w:val="00D84396"/>
    <w:rsid w:val="00D84618"/>
    <w:rsid w:val="00D85966"/>
    <w:rsid w:val="00D8639A"/>
    <w:rsid w:val="00D906BB"/>
    <w:rsid w:val="00D906CD"/>
    <w:rsid w:val="00D90B35"/>
    <w:rsid w:val="00D90CC8"/>
    <w:rsid w:val="00D933D8"/>
    <w:rsid w:val="00D95FD6"/>
    <w:rsid w:val="00DA112D"/>
    <w:rsid w:val="00DA1670"/>
    <w:rsid w:val="00DA1DE9"/>
    <w:rsid w:val="00DA238A"/>
    <w:rsid w:val="00DA239A"/>
    <w:rsid w:val="00DA25CE"/>
    <w:rsid w:val="00DA303F"/>
    <w:rsid w:val="00DA3196"/>
    <w:rsid w:val="00DA3956"/>
    <w:rsid w:val="00DA45F9"/>
    <w:rsid w:val="00DA6833"/>
    <w:rsid w:val="00DB03F4"/>
    <w:rsid w:val="00DB0914"/>
    <w:rsid w:val="00DB21B5"/>
    <w:rsid w:val="00DB27CE"/>
    <w:rsid w:val="00DB34FE"/>
    <w:rsid w:val="00DB590C"/>
    <w:rsid w:val="00DB5B5C"/>
    <w:rsid w:val="00DB5EC2"/>
    <w:rsid w:val="00DB647B"/>
    <w:rsid w:val="00DB69DD"/>
    <w:rsid w:val="00DC0C30"/>
    <w:rsid w:val="00DC0D10"/>
    <w:rsid w:val="00DC2879"/>
    <w:rsid w:val="00DC5387"/>
    <w:rsid w:val="00DC6C9C"/>
    <w:rsid w:val="00DC7615"/>
    <w:rsid w:val="00DC7BEF"/>
    <w:rsid w:val="00DD0B79"/>
    <w:rsid w:val="00DD14E4"/>
    <w:rsid w:val="00DD4845"/>
    <w:rsid w:val="00DD54DE"/>
    <w:rsid w:val="00DD5B8F"/>
    <w:rsid w:val="00DD5D1B"/>
    <w:rsid w:val="00DD6D96"/>
    <w:rsid w:val="00DE301D"/>
    <w:rsid w:val="00DE3B79"/>
    <w:rsid w:val="00DE4BAD"/>
    <w:rsid w:val="00DE511C"/>
    <w:rsid w:val="00DE5444"/>
    <w:rsid w:val="00DE61D0"/>
    <w:rsid w:val="00DE66DF"/>
    <w:rsid w:val="00DE7C3F"/>
    <w:rsid w:val="00DE7F59"/>
    <w:rsid w:val="00DF15B7"/>
    <w:rsid w:val="00DF23F9"/>
    <w:rsid w:val="00DF35AD"/>
    <w:rsid w:val="00E00905"/>
    <w:rsid w:val="00E0174F"/>
    <w:rsid w:val="00E021B8"/>
    <w:rsid w:val="00E02808"/>
    <w:rsid w:val="00E02EBC"/>
    <w:rsid w:val="00E05B6C"/>
    <w:rsid w:val="00E05C2B"/>
    <w:rsid w:val="00E061E6"/>
    <w:rsid w:val="00E0749E"/>
    <w:rsid w:val="00E0793B"/>
    <w:rsid w:val="00E106FE"/>
    <w:rsid w:val="00E10892"/>
    <w:rsid w:val="00E12737"/>
    <w:rsid w:val="00E12DBC"/>
    <w:rsid w:val="00E13A4C"/>
    <w:rsid w:val="00E149A4"/>
    <w:rsid w:val="00E14C04"/>
    <w:rsid w:val="00E171A0"/>
    <w:rsid w:val="00E20D3B"/>
    <w:rsid w:val="00E2160B"/>
    <w:rsid w:val="00E23D4A"/>
    <w:rsid w:val="00E23E07"/>
    <w:rsid w:val="00E25C78"/>
    <w:rsid w:val="00E2668A"/>
    <w:rsid w:val="00E26849"/>
    <w:rsid w:val="00E31019"/>
    <w:rsid w:val="00E312DE"/>
    <w:rsid w:val="00E31643"/>
    <w:rsid w:val="00E345F2"/>
    <w:rsid w:val="00E34751"/>
    <w:rsid w:val="00E35905"/>
    <w:rsid w:val="00E35F1F"/>
    <w:rsid w:val="00E36160"/>
    <w:rsid w:val="00E362B8"/>
    <w:rsid w:val="00E375AF"/>
    <w:rsid w:val="00E37FB6"/>
    <w:rsid w:val="00E40420"/>
    <w:rsid w:val="00E422C5"/>
    <w:rsid w:val="00E425E9"/>
    <w:rsid w:val="00E42F36"/>
    <w:rsid w:val="00E43522"/>
    <w:rsid w:val="00E43DB8"/>
    <w:rsid w:val="00E4444E"/>
    <w:rsid w:val="00E451BE"/>
    <w:rsid w:val="00E453A5"/>
    <w:rsid w:val="00E46EBC"/>
    <w:rsid w:val="00E470E9"/>
    <w:rsid w:val="00E473D9"/>
    <w:rsid w:val="00E50B19"/>
    <w:rsid w:val="00E50F94"/>
    <w:rsid w:val="00E52844"/>
    <w:rsid w:val="00E52FC7"/>
    <w:rsid w:val="00E53382"/>
    <w:rsid w:val="00E53634"/>
    <w:rsid w:val="00E557EE"/>
    <w:rsid w:val="00E566C3"/>
    <w:rsid w:val="00E568A6"/>
    <w:rsid w:val="00E56975"/>
    <w:rsid w:val="00E56A98"/>
    <w:rsid w:val="00E57BF9"/>
    <w:rsid w:val="00E6094E"/>
    <w:rsid w:val="00E624BB"/>
    <w:rsid w:val="00E66056"/>
    <w:rsid w:val="00E67603"/>
    <w:rsid w:val="00E67D47"/>
    <w:rsid w:val="00E707D8"/>
    <w:rsid w:val="00E70B6A"/>
    <w:rsid w:val="00E72443"/>
    <w:rsid w:val="00E74101"/>
    <w:rsid w:val="00E74351"/>
    <w:rsid w:val="00E7484F"/>
    <w:rsid w:val="00E76C11"/>
    <w:rsid w:val="00E76D24"/>
    <w:rsid w:val="00E7744B"/>
    <w:rsid w:val="00E80E07"/>
    <w:rsid w:val="00E814BF"/>
    <w:rsid w:val="00E817DD"/>
    <w:rsid w:val="00E8198F"/>
    <w:rsid w:val="00E81D46"/>
    <w:rsid w:val="00E82144"/>
    <w:rsid w:val="00E82DD4"/>
    <w:rsid w:val="00E83D41"/>
    <w:rsid w:val="00E85E4A"/>
    <w:rsid w:val="00E86AF9"/>
    <w:rsid w:val="00E91795"/>
    <w:rsid w:val="00E9559E"/>
    <w:rsid w:val="00E96C67"/>
    <w:rsid w:val="00E9787E"/>
    <w:rsid w:val="00E97B4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B59"/>
    <w:rsid w:val="00EB2B0D"/>
    <w:rsid w:val="00EB4F2B"/>
    <w:rsid w:val="00EB571B"/>
    <w:rsid w:val="00EB5A36"/>
    <w:rsid w:val="00EB5FA7"/>
    <w:rsid w:val="00EB65AA"/>
    <w:rsid w:val="00EB7D2D"/>
    <w:rsid w:val="00EC099B"/>
    <w:rsid w:val="00EC2A77"/>
    <w:rsid w:val="00EC2D26"/>
    <w:rsid w:val="00EC3018"/>
    <w:rsid w:val="00EC314C"/>
    <w:rsid w:val="00EC395D"/>
    <w:rsid w:val="00EC40D2"/>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CAE"/>
    <w:rsid w:val="00F00C77"/>
    <w:rsid w:val="00F01997"/>
    <w:rsid w:val="00F0318A"/>
    <w:rsid w:val="00F035D7"/>
    <w:rsid w:val="00F03622"/>
    <w:rsid w:val="00F03EB5"/>
    <w:rsid w:val="00F04970"/>
    <w:rsid w:val="00F04A39"/>
    <w:rsid w:val="00F05535"/>
    <w:rsid w:val="00F06685"/>
    <w:rsid w:val="00F069D4"/>
    <w:rsid w:val="00F079B5"/>
    <w:rsid w:val="00F07C4B"/>
    <w:rsid w:val="00F101D7"/>
    <w:rsid w:val="00F10715"/>
    <w:rsid w:val="00F12236"/>
    <w:rsid w:val="00F12944"/>
    <w:rsid w:val="00F14045"/>
    <w:rsid w:val="00F1542B"/>
    <w:rsid w:val="00F159D6"/>
    <w:rsid w:val="00F16A65"/>
    <w:rsid w:val="00F16E80"/>
    <w:rsid w:val="00F20820"/>
    <w:rsid w:val="00F2346C"/>
    <w:rsid w:val="00F23C05"/>
    <w:rsid w:val="00F247FD"/>
    <w:rsid w:val="00F2537F"/>
    <w:rsid w:val="00F259B4"/>
    <w:rsid w:val="00F305A9"/>
    <w:rsid w:val="00F307A4"/>
    <w:rsid w:val="00F308A4"/>
    <w:rsid w:val="00F3221E"/>
    <w:rsid w:val="00F325AB"/>
    <w:rsid w:val="00F332D9"/>
    <w:rsid w:val="00F334D4"/>
    <w:rsid w:val="00F349B7"/>
    <w:rsid w:val="00F34E52"/>
    <w:rsid w:val="00F3740F"/>
    <w:rsid w:val="00F40048"/>
    <w:rsid w:val="00F40EC6"/>
    <w:rsid w:val="00F417E5"/>
    <w:rsid w:val="00F422F1"/>
    <w:rsid w:val="00F43A09"/>
    <w:rsid w:val="00F440BB"/>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7496"/>
    <w:rsid w:val="00F706B2"/>
    <w:rsid w:val="00F70A3E"/>
    <w:rsid w:val="00F70E47"/>
    <w:rsid w:val="00F71202"/>
    <w:rsid w:val="00F72315"/>
    <w:rsid w:val="00F72637"/>
    <w:rsid w:val="00F72A6F"/>
    <w:rsid w:val="00F7373D"/>
    <w:rsid w:val="00F73817"/>
    <w:rsid w:val="00F74038"/>
    <w:rsid w:val="00F74800"/>
    <w:rsid w:val="00F74E6E"/>
    <w:rsid w:val="00F75AC4"/>
    <w:rsid w:val="00F75E81"/>
    <w:rsid w:val="00F763C6"/>
    <w:rsid w:val="00F77AB6"/>
    <w:rsid w:val="00F80531"/>
    <w:rsid w:val="00F80D4B"/>
    <w:rsid w:val="00F8283F"/>
    <w:rsid w:val="00F82C92"/>
    <w:rsid w:val="00F84E5A"/>
    <w:rsid w:val="00F84F4C"/>
    <w:rsid w:val="00F86110"/>
    <w:rsid w:val="00F862B6"/>
    <w:rsid w:val="00F868AB"/>
    <w:rsid w:val="00F8736F"/>
    <w:rsid w:val="00F8748A"/>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EA9"/>
    <w:rsid w:val="00FB4886"/>
    <w:rsid w:val="00FB6272"/>
    <w:rsid w:val="00FC0848"/>
    <w:rsid w:val="00FC0AC4"/>
    <w:rsid w:val="00FC12FE"/>
    <w:rsid w:val="00FC294E"/>
    <w:rsid w:val="00FC4965"/>
    <w:rsid w:val="00FC6A65"/>
    <w:rsid w:val="00FD00A0"/>
    <w:rsid w:val="00FD18A8"/>
    <w:rsid w:val="00FD28D1"/>
    <w:rsid w:val="00FD3231"/>
    <w:rsid w:val="00FD3FB4"/>
    <w:rsid w:val="00FD480E"/>
    <w:rsid w:val="00FD6066"/>
    <w:rsid w:val="00FD6714"/>
    <w:rsid w:val="00FD7ECE"/>
    <w:rsid w:val="00FE0667"/>
    <w:rsid w:val="00FE13EE"/>
    <w:rsid w:val="00FE1BCA"/>
    <w:rsid w:val="00FE1E43"/>
    <w:rsid w:val="00FE1F9C"/>
    <w:rsid w:val="00FE34FB"/>
    <w:rsid w:val="00FE4CC4"/>
    <w:rsid w:val="00FE51F3"/>
    <w:rsid w:val="00FE5BB9"/>
    <w:rsid w:val="00FE7168"/>
    <w:rsid w:val="00FF0B13"/>
    <w:rsid w:val="00FF18D6"/>
    <w:rsid w:val="00FF5994"/>
    <w:rsid w:val="00FF5D7E"/>
    <w:rsid w:val="00FF5D87"/>
    <w:rsid w:val="00FF64FC"/>
    <w:rsid w:val="00FF7755"/>
    <w:rsid w:val="01333EF6"/>
    <w:rsid w:val="01480465"/>
    <w:rsid w:val="01E87214"/>
    <w:rsid w:val="02975DCD"/>
    <w:rsid w:val="08ED15E9"/>
    <w:rsid w:val="09C92AF8"/>
    <w:rsid w:val="0B422EB0"/>
    <w:rsid w:val="0B922442"/>
    <w:rsid w:val="0C80232E"/>
    <w:rsid w:val="0EE5028A"/>
    <w:rsid w:val="109068B7"/>
    <w:rsid w:val="11906838"/>
    <w:rsid w:val="134578DD"/>
    <w:rsid w:val="17B20960"/>
    <w:rsid w:val="17DC32C6"/>
    <w:rsid w:val="1C6A78A5"/>
    <w:rsid w:val="1DB93C4C"/>
    <w:rsid w:val="1DFB4249"/>
    <w:rsid w:val="214F1C0A"/>
    <w:rsid w:val="23235D79"/>
    <w:rsid w:val="24F90806"/>
    <w:rsid w:val="25DA52BB"/>
    <w:rsid w:val="25F20506"/>
    <w:rsid w:val="29405709"/>
    <w:rsid w:val="2A313FEB"/>
    <w:rsid w:val="2B0C7D82"/>
    <w:rsid w:val="2C132A3D"/>
    <w:rsid w:val="2C480C30"/>
    <w:rsid w:val="31B01B77"/>
    <w:rsid w:val="321E1FE0"/>
    <w:rsid w:val="32BD4F6E"/>
    <w:rsid w:val="32D05422"/>
    <w:rsid w:val="350E6022"/>
    <w:rsid w:val="36290A29"/>
    <w:rsid w:val="36784344"/>
    <w:rsid w:val="3834095B"/>
    <w:rsid w:val="39486CCC"/>
    <w:rsid w:val="39797823"/>
    <w:rsid w:val="3DC634E7"/>
    <w:rsid w:val="42F550D3"/>
    <w:rsid w:val="43BA4DA4"/>
    <w:rsid w:val="46091031"/>
    <w:rsid w:val="48C13F01"/>
    <w:rsid w:val="49082268"/>
    <w:rsid w:val="4E4C6ED8"/>
    <w:rsid w:val="4F3C78CA"/>
    <w:rsid w:val="506452EC"/>
    <w:rsid w:val="50D22158"/>
    <w:rsid w:val="50F3341E"/>
    <w:rsid w:val="51024D01"/>
    <w:rsid w:val="56B54140"/>
    <w:rsid w:val="57AE6E9A"/>
    <w:rsid w:val="5B425A62"/>
    <w:rsid w:val="5C967CB5"/>
    <w:rsid w:val="5D6F4CCD"/>
    <w:rsid w:val="5E714D52"/>
    <w:rsid w:val="5EBC6100"/>
    <w:rsid w:val="5FFB279E"/>
    <w:rsid w:val="605477B4"/>
    <w:rsid w:val="60D34B6F"/>
    <w:rsid w:val="61B64AEC"/>
    <w:rsid w:val="621B31BB"/>
    <w:rsid w:val="623C6860"/>
    <w:rsid w:val="62CE2067"/>
    <w:rsid w:val="63A57424"/>
    <w:rsid w:val="65D9563A"/>
    <w:rsid w:val="6649236D"/>
    <w:rsid w:val="6978434A"/>
    <w:rsid w:val="6A7A768A"/>
    <w:rsid w:val="6B8C0A1A"/>
    <w:rsid w:val="6C603ADD"/>
    <w:rsid w:val="6E630963"/>
    <w:rsid w:val="6ECE5B9D"/>
    <w:rsid w:val="6EE168B2"/>
    <w:rsid w:val="71357A85"/>
    <w:rsid w:val="74D55BD8"/>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8"/>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2"/>
    <w:basedOn w:val="1"/>
    <w:next w:val="1"/>
    <w:link w:val="59"/>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60"/>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61"/>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62"/>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6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0">
    <w:name w:val="heading 7"/>
    <w:basedOn w:val="1"/>
    <w:next w:val="1"/>
    <w:link w:val="64"/>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1">
    <w:name w:val="heading 8"/>
    <w:basedOn w:val="1"/>
    <w:next w:val="1"/>
    <w:link w:val="65"/>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2">
    <w:name w:val="heading 9"/>
    <w:basedOn w:val="1"/>
    <w:next w:val="1"/>
    <w:link w:val="66"/>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link w:val="71"/>
    <w:qFormat/>
    <w:uiPriority w:val="0"/>
    <w:pPr>
      <w:spacing w:line="360" w:lineRule="auto"/>
      <w:ind w:left="540" w:leftChars="257" w:firstLine="360" w:firstLineChars="150"/>
    </w:pPr>
    <w:rPr>
      <w:kern w:val="0"/>
      <w:sz w:val="20"/>
    </w:rPr>
  </w:style>
  <w:style w:type="paragraph" w:styleId="13">
    <w:name w:val="toc 7"/>
    <w:basedOn w:val="1"/>
    <w:next w:val="1"/>
    <w:qFormat/>
    <w:uiPriority w:val="0"/>
    <w:pPr>
      <w:ind w:left="2520"/>
    </w:pPr>
  </w:style>
  <w:style w:type="paragraph" w:styleId="14">
    <w:name w:val="index 8"/>
    <w:basedOn w:val="1"/>
    <w:next w:val="1"/>
    <w:qFormat/>
    <w:uiPriority w:val="0"/>
    <w:pPr>
      <w:ind w:left="2940"/>
    </w:pPr>
  </w:style>
  <w:style w:type="paragraph" w:styleId="15">
    <w:name w:val="Normal Indent"/>
    <w:basedOn w:val="1"/>
    <w:qFormat/>
    <w:uiPriority w:val="0"/>
    <w:pPr>
      <w:ind w:firstLine="420"/>
    </w:pPr>
  </w:style>
  <w:style w:type="paragraph" w:styleId="16">
    <w:name w:val="index 5"/>
    <w:basedOn w:val="1"/>
    <w:next w:val="1"/>
    <w:qFormat/>
    <w:uiPriority w:val="0"/>
    <w:pPr>
      <w:ind w:left="1680"/>
    </w:pPr>
  </w:style>
  <w:style w:type="paragraph" w:styleId="17">
    <w:name w:val="Document Map"/>
    <w:basedOn w:val="1"/>
    <w:link w:val="69"/>
    <w:qFormat/>
    <w:uiPriority w:val="0"/>
    <w:pPr>
      <w:shd w:val="clear" w:color="auto" w:fill="000080"/>
    </w:pPr>
    <w:rPr>
      <w:kern w:val="0"/>
      <w:sz w:val="20"/>
    </w:rPr>
  </w:style>
  <w:style w:type="paragraph" w:styleId="18">
    <w:name w:val="annotation text"/>
    <w:basedOn w:val="1"/>
    <w:link w:val="67"/>
    <w:unhideWhenUsed/>
    <w:qFormat/>
    <w:uiPriority w:val="99"/>
    <w:pPr>
      <w:jc w:val="left"/>
    </w:pPr>
  </w:style>
  <w:style w:type="paragraph" w:styleId="19">
    <w:name w:val="index 6"/>
    <w:basedOn w:val="1"/>
    <w:next w:val="1"/>
    <w:qFormat/>
    <w:uiPriority w:val="0"/>
    <w:pPr>
      <w:ind w:left="2100"/>
    </w:pPr>
  </w:style>
  <w:style w:type="paragraph" w:styleId="20">
    <w:name w:val="Body Text"/>
    <w:basedOn w:val="1"/>
    <w:link w:val="70"/>
    <w:qFormat/>
    <w:uiPriority w:val="0"/>
    <w:pPr>
      <w:spacing w:line="360" w:lineRule="auto"/>
    </w:pPr>
    <w:rPr>
      <w:kern w:val="0"/>
      <w:sz w:val="20"/>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2"/>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73"/>
    <w:qFormat/>
    <w:uiPriority w:val="0"/>
    <w:rPr>
      <w:kern w:val="0"/>
      <w:sz w:val="28"/>
    </w:rPr>
  </w:style>
  <w:style w:type="paragraph" w:styleId="28">
    <w:name w:val="Body Text Indent 2"/>
    <w:basedOn w:val="1"/>
    <w:link w:val="74"/>
    <w:qFormat/>
    <w:uiPriority w:val="0"/>
    <w:pPr>
      <w:ind w:left="840"/>
    </w:pPr>
    <w:rPr>
      <w:kern w:val="0"/>
      <w:sz w:val="20"/>
    </w:rPr>
  </w:style>
  <w:style w:type="paragraph" w:styleId="29">
    <w:name w:val="Balloon Text"/>
    <w:basedOn w:val="1"/>
    <w:link w:val="75"/>
    <w:qFormat/>
    <w:uiPriority w:val="0"/>
    <w:rPr>
      <w:kern w:val="0"/>
      <w:sz w:val="18"/>
      <w:szCs w:val="18"/>
    </w:rPr>
  </w:style>
  <w:style w:type="paragraph" w:styleId="30">
    <w:name w:val="footer"/>
    <w:basedOn w:val="1"/>
    <w:link w:val="57"/>
    <w:unhideWhenUsed/>
    <w:qFormat/>
    <w:uiPriority w:val="99"/>
    <w:pPr>
      <w:tabs>
        <w:tab w:val="center" w:pos="4153"/>
        <w:tab w:val="right" w:pos="8306"/>
      </w:tabs>
      <w:snapToGrid w:val="0"/>
      <w:jc w:val="left"/>
    </w:pPr>
    <w:rPr>
      <w:sz w:val="18"/>
      <w:szCs w:val="18"/>
    </w:rPr>
  </w:style>
  <w:style w:type="paragraph" w:styleId="31">
    <w:name w:val="envelope return"/>
    <w:basedOn w:val="1"/>
    <w:qFormat/>
    <w:uiPriority w:val="0"/>
    <w:pPr>
      <w:snapToGrid w:val="0"/>
    </w:pPr>
    <w:rPr>
      <w:rFonts w:ascii="Arial" w:hAnsi="Arial"/>
      <w:szCs w:val="22"/>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qFormat/>
    <w:uiPriority w:val="0"/>
    <w:pPr>
      <w:ind w:left="1260"/>
    </w:pPr>
  </w:style>
  <w:style w:type="paragraph" w:styleId="35">
    <w:name w:val="index heading"/>
    <w:basedOn w:val="1"/>
    <w:next w:val="36"/>
    <w:qFormat/>
    <w:uiPriority w:val="0"/>
  </w:style>
  <w:style w:type="paragraph" w:styleId="36">
    <w:name w:val="index 1"/>
    <w:basedOn w:val="1"/>
    <w:next w:val="1"/>
    <w:unhideWhenUsed/>
    <w:qFormat/>
    <w:uiPriority w:val="0"/>
  </w:style>
  <w:style w:type="paragraph" w:styleId="37">
    <w:name w:val="toc 6"/>
    <w:basedOn w:val="1"/>
    <w:next w:val="1"/>
    <w:qFormat/>
    <w:uiPriority w:val="0"/>
    <w:pPr>
      <w:ind w:left="2100"/>
    </w:pPr>
  </w:style>
  <w:style w:type="paragraph" w:styleId="38">
    <w:name w:val="Body Text Indent 3"/>
    <w:basedOn w:val="1"/>
    <w:link w:val="76"/>
    <w:qFormat/>
    <w:uiPriority w:val="0"/>
    <w:pPr>
      <w:spacing w:line="400" w:lineRule="atLeast"/>
      <w:ind w:left="360" w:firstLine="410" w:firstLineChars="171"/>
    </w:pPr>
    <w:rPr>
      <w:kern w:val="0"/>
      <w:sz w:val="20"/>
    </w:rPr>
  </w:style>
  <w:style w:type="paragraph" w:styleId="39">
    <w:name w:val="index 7"/>
    <w:basedOn w:val="1"/>
    <w:next w:val="1"/>
    <w:qFormat/>
    <w:uiPriority w:val="0"/>
    <w:pPr>
      <w:ind w:left="2520"/>
    </w:pPr>
  </w:style>
  <w:style w:type="paragraph" w:styleId="40">
    <w:name w:val="index 9"/>
    <w:basedOn w:val="1"/>
    <w:next w:val="1"/>
    <w:qFormat/>
    <w:uiPriority w:val="0"/>
    <w:pPr>
      <w:ind w:left="3360"/>
    </w:pPr>
  </w:style>
  <w:style w:type="paragraph" w:styleId="41">
    <w:name w:val="toc 2"/>
    <w:basedOn w:val="1"/>
    <w:next w:val="1"/>
    <w:qFormat/>
    <w:uiPriority w:val="39"/>
    <w:pPr>
      <w:snapToGrid w:val="0"/>
      <w:spacing w:line="480" w:lineRule="exact"/>
      <w:ind w:firstLine="300" w:firstLineChars="300"/>
    </w:pPr>
    <w:rPr>
      <w:sz w:val="24"/>
      <w:szCs w:val="24"/>
    </w:rPr>
  </w:style>
  <w:style w:type="paragraph" w:styleId="42">
    <w:name w:val="toc 9"/>
    <w:basedOn w:val="1"/>
    <w:next w:val="1"/>
    <w:qFormat/>
    <w:uiPriority w:val="0"/>
    <w:pPr>
      <w:ind w:left="3360"/>
    </w:pPr>
  </w:style>
  <w:style w:type="paragraph" w:styleId="43">
    <w:name w:val="HTML Preformatted"/>
    <w:basedOn w:val="1"/>
    <w:link w:val="7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5">
    <w:name w:val="index 2"/>
    <w:basedOn w:val="1"/>
    <w:next w:val="1"/>
    <w:qFormat/>
    <w:uiPriority w:val="0"/>
    <w:pPr>
      <w:ind w:left="420"/>
    </w:pPr>
  </w:style>
  <w:style w:type="paragraph" w:styleId="46">
    <w:name w:val="Title"/>
    <w:basedOn w:val="1"/>
    <w:link w:val="78"/>
    <w:qFormat/>
    <w:uiPriority w:val="0"/>
    <w:pPr>
      <w:spacing w:before="240" w:after="60" w:line="540" w:lineRule="exact"/>
      <w:outlineLvl w:val="0"/>
    </w:pPr>
    <w:rPr>
      <w:rFonts w:eastAsia="仿宋_GB2312" w:cs="Cambria"/>
      <w:b/>
      <w:bCs/>
      <w:kern w:val="0"/>
      <w:sz w:val="32"/>
      <w:szCs w:val="32"/>
    </w:rPr>
  </w:style>
  <w:style w:type="paragraph" w:styleId="47">
    <w:name w:val="annotation subject"/>
    <w:basedOn w:val="18"/>
    <w:next w:val="18"/>
    <w:link w:val="68"/>
    <w:qFormat/>
    <w:uiPriority w:val="0"/>
    <w:rPr>
      <w:b/>
      <w:bCs/>
      <w:kern w:val="0"/>
      <w:sz w:val="20"/>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0"/>
    <w:rPr>
      <w:rFonts w:ascii="Times New Roman" w:hAnsi="Times New Roman" w:eastAsia="宋体" w:cs="Times New Roman"/>
      <w:sz w:val="21"/>
      <w:szCs w:val="21"/>
      <w:lang w:val="en-US" w:eastAsia="zh-CN" w:bidi="ar-SA"/>
    </w:rPr>
  </w:style>
  <w:style w:type="character" w:customStyle="1" w:styleId="56">
    <w:name w:val="页眉 字符"/>
    <w:basedOn w:val="50"/>
    <w:link w:val="32"/>
    <w:qFormat/>
    <w:uiPriority w:val="99"/>
    <w:rPr>
      <w:sz w:val="18"/>
      <w:szCs w:val="18"/>
    </w:rPr>
  </w:style>
  <w:style w:type="character" w:customStyle="1" w:styleId="57">
    <w:name w:val="页脚 字符"/>
    <w:basedOn w:val="50"/>
    <w:link w:val="30"/>
    <w:qFormat/>
    <w:uiPriority w:val="99"/>
    <w:rPr>
      <w:sz w:val="18"/>
      <w:szCs w:val="18"/>
    </w:rPr>
  </w:style>
  <w:style w:type="character" w:customStyle="1" w:styleId="58">
    <w:name w:val="标题 1 字符"/>
    <w:basedOn w:val="50"/>
    <w:link w:val="4"/>
    <w:qFormat/>
    <w:uiPriority w:val="0"/>
    <w:rPr>
      <w:rFonts w:ascii="Times New Roman" w:hAnsi="Times New Roman" w:eastAsia="宋体" w:cs="Times New Roman"/>
      <w:b/>
      <w:kern w:val="44"/>
      <w:sz w:val="20"/>
      <w:szCs w:val="20"/>
    </w:rPr>
  </w:style>
  <w:style w:type="character" w:customStyle="1" w:styleId="59">
    <w:name w:val="标题 2 字符"/>
    <w:basedOn w:val="50"/>
    <w:link w:val="5"/>
    <w:qFormat/>
    <w:uiPriority w:val="0"/>
    <w:rPr>
      <w:rFonts w:ascii="黑体" w:hAnsi="Arial" w:eastAsia="黑体" w:cs="Times New Roman"/>
      <w:kern w:val="0"/>
      <w:sz w:val="28"/>
      <w:szCs w:val="20"/>
    </w:rPr>
  </w:style>
  <w:style w:type="character" w:customStyle="1" w:styleId="60">
    <w:name w:val="标题 3 字符"/>
    <w:basedOn w:val="50"/>
    <w:link w:val="6"/>
    <w:qFormat/>
    <w:uiPriority w:val="0"/>
    <w:rPr>
      <w:rFonts w:ascii="Times New Roman" w:hAnsi="Times New Roman" w:eastAsia="宋体" w:cs="Times New Roman"/>
      <w:b/>
      <w:kern w:val="0"/>
      <w:sz w:val="32"/>
      <w:szCs w:val="20"/>
    </w:rPr>
  </w:style>
  <w:style w:type="character" w:customStyle="1" w:styleId="61">
    <w:name w:val="标题 4 字符"/>
    <w:basedOn w:val="50"/>
    <w:link w:val="7"/>
    <w:qFormat/>
    <w:uiPriority w:val="0"/>
    <w:rPr>
      <w:rFonts w:ascii="Arial" w:hAnsi="Arial" w:eastAsia="黑体" w:cs="Times New Roman"/>
      <w:b/>
      <w:kern w:val="0"/>
      <w:sz w:val="28"/>
      <w:szCs w:val="20"/>
    </w:rPr>
  </w:style>
  <w:style w:type="character" w:customStyle="1" w:styleId="62">
    <w:name w:val="标题 5 字符"/>
    <w:basedOn w:val="50"/>
    <w:link w:val="8"/>
    <w:qFormat/>
    <w:uiPriority w:val="0"/>
    <w:rPr>
      <w:rFonts w:ascii="Times New Roman" w:hAnsi="Times New Roman" w:eastAsia="宋体" w:cs="Times New Roman"/>
      <w:b/>
      <w:kern w:val="0"/>
      <w:sz w:val="28"/>
      <w:szCs w:val="20"/>
    </w:rPr>
  </w:style>
  <w:style w:type="character" w:customStyle="1" w:styleId="63">
    <w:name w:val="标题 6 字符"/>
    <w:basedOn w:val="50"/>
    <w:link w:val="9"/>
    <w:qFormat/>
    <w:uiPriority w:val="0"/>
    <w:rPr>
      <w:rFonts w:ascii="Arial" w:hAnsi="Arial" w:eastAsia="黑体" w:cs="Times New Roman"/>
      <w:b/>
      <w:kern w:val="0"/>
      <w:sz w:val="20"/>
      <w:szCs w:val="20"/>
    </w:rPr>
  </w:style>
  <w:style w:type="character" w:customStyle="1" w:styleId="64">
    <w:name w:val="标题 7 字符"/>
    <w:basedOn w:val="50"/>
    <w:link w:val="10"/>
    <w:qFormat/>
    <w:uiPriority w:val="0"/>
    <w:rPr>
      <w:rFonts w:ascii="Times New Roman" w:hAnsi="Times New Roman" w:eastAsia="宋体" w:cs="Times New Roman"/>
      <w:b/>
      <w:kern w:val="0"/>
      <w:sz w:val="20"/>
      <w:szCs w:val="20"/>
    </w:rPr>
  </w:style>
  <w:style w:type="character" w:customStyle="1" w:styleId="65">
    <w:name w:val="标题 8 字符"/>
    <w:basedOn w:val="50"/>
    <w:link w:val="11"/>
    <w:qFormat/>
    <w:uiPriority w:val="0"/>
    <w:rPr>
      <w:rFonts w:ascii="Arial" w:hAnsi="Arial" w:eastAsia="黑体" w:cs="Times New Roman"/>
      <w:kern w:val="0"/>
      <w:sz w:val="20"/>
      <w:szCs w:val="20"/>
    </w:rPr>
  </w:style>
  <w:style w:type="character" w:customStyle="1" w:styleId="66">
    <w:name w:val="标题 9 字符"/>
    <w:basedOn w:val="50"/>
    <w:link w:val="12"/>
    <w:qFormat/>
    <w:uiPriority w:val="0"/>
    <w:rPr>
      <w:rFonts w:ascii="Arial" w:hAnsi="Arial" w:eastAsia="黑体" w:cs="Times New Roman"/>
      <w:kern w:val="0"/>
      <w:szCs w:val="20"/>
    </w:rPr>
  </w:style>
  <w:style w:type="character" w:customStyle="1" w:styleId="67">
    <w:name w:val="批注文字 字符"/>
    <w:basedOn w:val="50"/>
    <w:link w:val="18"/>
    <w:qFormat/>
    <w:uiPriority w:val="99"/>
    <w:rPr>
      <w:rFonts w:ascii="Times New Roman" w:hAnsi="Times New Roman" w:eastAsia="宋体" w:cs="Times New Roman"/>
      <w:szCs w:val="20"/>
    </w:rPr>
  </w:style>
  <w:style w:type="character" w:customStyle="1" w:styleId="68">
    <w:name w:val="批注主题 字符"/>
    <w:basedOn w:val="67"/>
    <w:link w:val="47"/>
    <w:qFormat/>
    <w:uiPriority w:val="0"/>
    <w:rPr>
      <w:rFonts w:ascii="Times New Roman" w:hAnsi="Times New Roman" w:eastAsia="宋体" w:cs="Times New Roman"/>
      <w:b/>
      <w:bCs/>
      <w:kern w:val="0"/>
      <w:sz w:val="20"/>
      <w:szCs w:val="20"/>
    </w:rPr>
  </w:style>
  <w:style w:type="character" w:customStyle="1" w:styleId="69">
    <w:name w:val="文档结构图 字符"/>
    <w:basedOn w:val="50"/>
    <w:link w:val="17"/>
    <w:qFormat/>
    <w:uiPriority w:val="0"/>
    <w:rPr>
      <w:rFonts w:ascii="Times New Roman" w:hAnsi="Times New Roman" w:eastAsia="宋体" w:cs="Times New Roman"/>
      <w:kern w:val="0"/>
      <w:sz w:val="20"/>
      <w:szCs w:val="20"/>
      <w:shd w:val="clear" w:color="auto" w:fill="000080"/>
    </w:rPr>
  </w:style>
  <w:style w:type="character" w:customStyle="1" w:styleId="70">
    <w:name w:val="正文文本 字符"/>
    <w:basedOn w:val="50"/>
    <w:link w:val="20"/>
    <w:qFormat/>
    <w:uiPriority w:val="0"/>
    <w:rPr>
      <w:rFonts w:ascii="Times New Roman" w:hAnsi="Times New Roman" w:eastAsia="宋体" w:cs="Times New Roman"/>
      <w:kern w:val="0"/>
      <w:sz w:val="20"/>
      <w:szCs w:val="20"/>
    </w:rPr>
  </w:style>
  <w:style w:type="character" w:customStyle="1" w:styleId="71">
    <w:name w:val="正文文本缩进 字符"/>
    <w:basedOn w:val="50"/>
    <w:link w:val="3"/>
    <w:qFormat/>
    <w:uiPriority w:val="0"/>
    <w:rPr>
      <w:rFonts w:ascii="Times New Roman" w:hAnsi="Times New Roman" w:eastAsia="宋体" w:cs="Times New Roman"/>
      <w:kern w:val="0"/>
      <w:sz w:val="20"/>
      <w:szCs w:val="20"/>
    </w:rPr>
  </w:style>
  <w:style w:type="character" w:customStyle="1" w:styleId="72">
    <w:name w:val="纯文本 字符"/>
    <w:basedOn w:val="50"/>
    <w:link w:val="24"/>
    <w:qFormat/>
    <w:uiPriority w:val="0"/>
    <w:rPr>
      <w:rFonts w:ascii="宋体" w:hAnsi="Courier New" w:eastAsia="宋体" w:cs="Times New Roman"/>
      <w:kern w:val="0"/>
      <w:sz w:val="20"/>
      <w:szCs w:val="20"/>
    </w:rPr>
  </w:style>
  <w:style w:type="character" w:customStyle="1" w:styleId="73">
    <w:name w:val="日期 字符"/>
    <w:basedOn w:val="50"/>
    <w:link w:val="27"/>
    <w:qFormat/>
    <w:uiPriority w:val="0"/>
    <w:rPr>
      <w:rFonts w:ascii="Times New Roman" w:hAnsi="Times New Roman" w:eastAsia="宋体" w:cs="Times New Roman"/>
      <w:kern w:val="0"/>
      <w:sz w:val="28"/>
      <w:szCs w:val="20"/>
    </w:rPr>
  </w:style>
  <w:style w:type="character" w:customStyle="1" w:styleId="74">
    <w:name w:val="正文文本缩进 2 字符"/>
    <w:basedOn w:val="50"/>
    <w:link w:val="28"/>
    <w:qFormat/>
    <w:uiPriority w:val="0"/>
    <w:rPr>
      <w:rFonts w:ascii="Times New Roman" w:hAnsi="Times New Roman" w:eastAsia="宋体" w:cs="Times New Roman"/>
      <w:kern w:val="0"/>
      <w:sz w:val="20"/>
      <w:szCs w:val="20"/>
    </w:rPr>
  </w:style>
  <w:style w:type="character" w:customStyle="1" w:styleId="75">
    <w:name w:val="批注框文本 字符"/>
    <w:basedOn w:val="50"/>
    <w:link w:val="29"/>
    <w:qFormat/>
    <w:uiPriority w:val="0"/>
    <w:rPr>
      <w:rFonts w:ascii="Times New Roman" w:hAnsi="Times New Roman" w:eastAsia="宋体" w:cs="Times New Roman"/>
      <w:kern w:val="0"/>
      <w:sz w:val="18"/>
      <w:szCs w:val="18"/>
    </w:rPr>
  </w:style>
  <w:style w:type="character" w:customStyle="1" w:styleId="76">
    <w:name w:val="正文文本缩进 3 字符"/>
    <w:basedOn w:val="50"/>
    <w:link w:val="38"/>
    <w:qFormat/>
    <w:uiPriority w:val="0"/>
    <w:rPr>
      <w:rFonts w:ascii="Times New Roman" w:hAnsi="Times New Roman" w:eastAsia="宋体" w:cs="Times New Roman"/>
      <w:kern w:val="0"/>
      <w:sz w:val="20"/>
      <w:szCs w:val="20"/>
    </w:rPr>
  </w:style>
  <w:style w:type="character" w:customStyle="1" w:styleId="77">
    <w:name w:val="HTML 预设格式 字符"/>
    <w:basedOn w:val="50"/>
    <w:link w:val="43"/>
    <w:qFormat/>
    <w:uiPriority w:val="99"/>
    <w:rPr>
      <w:rFonts w:ascii="宋体" w:hAnsi="宋体" w:eastAsia="宋体" w:cs="Times New Roman"/>
      <w:kern w:val="0"/>
      <w:sz w:val="20"/>
      <w:szCs w:val="20"/>
    </w:rPr>
  </w:style>
  <w:style w:type="character" w:customStyle="1" w:styleId="78">
    <w:name w:val="标题 字符"/>
    <w:basedOn w:val="50"/>
    <w:link w:val="46"/>
    <w:qFormat/>
    <w:uiPriority w:val="0"/>
    <w:rPr>
      <w:rFonts w:ascii="Times New Roman" w:hAnsi="Times New Roman" w:eastAsia="仿宋_GB2312" w:cs="Cambria"/>
      <w:b/>
      <w:bCs/>
      <w:kern w:val="0"/>
      <w:sz w:val="32"/>
      <w:szCs w:val="32"/>
    </w:rPr>
  </w:style>
  <w:style w:type="paragraph" w:customStyle="1" w:styleId="79">
    <w:name w:val="列出段落1"/>
    <w:basedOn w:val="1"/>
    <w:qFormat/>
    <w:uiPriority w:val="34"/>
    <w:pPr>
      <w:ind w:firstLine="420" w:firstLineChars="200"/>
    </w:pPr>
  </w:style>
  <w:style w:type="paragraph" w:customStyle="1" w:styleId="8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2">
    <w:name w:val="合同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8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4">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5">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7">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8">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
    <w:name w:val="资料表"/>
    <w:basedOn w:val="86"/>
    <w:qFormat/>
    <w:uiPriority w:val="0"/>
    <w:rPr>
      <w:rFonts w:ascii="Times New Roman"/>
    </w:rPr>
  </w:style>
  <w:style w:type="paragraph" w:customStyle="1" w:styleId="90">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1">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2">
    <w:name w:val="正文文本缩进1"/>
    <w:basedOn w:val="1"/>
    <w:qFormat/>
    <w:uiPriority w:val="0"/>
    <w:pPr>
      <w:spacing w:line="360" w:lineRule="auto"/>
      <w:ind w:left="540" w:leftChars="257" w:firstLine="360" w:firstLineChars="150"/>
    </w:pPr>
    <w:rPr>
      <w:sz w:val="24"/>
    </w:rPr>
  </w:style>
  <w:style w:type="paragraph" w:customStyle="1" w:styleId="93">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4">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5">
    <w:name w:val="样式1"/>
    <w:basedOn w:val="1"/>
    <w:qFormat/>
    <w:uiPriority w:val="0"/>
    <w:pPr>
      <w:adjustRightInd w:val="0"/>
      <w:spacing w:before="120" w:after="120" w:line="120" w:lineRule="exact"/>
    </w:pPr>
    <w:rPr>
      <w:color w:val="FF00FF"/>
      <w:kern w:val="0"/>
      <w:sz w:val="24"/>
    </w:rPr>
  </w:style>
  <w:style w:type="paragraph" w:customStyle="1" w:styleId="96">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8">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9">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00">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1">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2">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3">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4">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6">
    <w:name w:val="_Style 80"/>
    <w:semiHidden/>
    <w:qFormat/>
    <w:uiPriority w:val="99"/>
    <w:rPr>
      <w:rFonts w:ascii="Times New Roman" w:hAnsi="Times New Roman" w:eastAsia="宋体" w:cs="Times New Roman"/>
      <w:kern w:val="2"/>
      <w:sz w:val="21"/>
      <w:lang w:val="en-US" w:eastAsia="zh-CN" w:bidi="ar-SA"/>
    </w:rPr>
  </w:style>
  <w:style w:type="paragraph" w:customStyle="1" w:styleId="107">
    <w:name w:val="字元 字元"/>
    <w:basedOn w:val="1"/>
    <w:qFormat/>
    <w:uiPriority w:val="0"/>
    <w:rPr>
      <w:rFonts w:ascii="仿宋_GB2312" w:eastAsia="仿宋_GB2312"/>
      <w:b/>
      <w:sz w:val="32"/>
      <w:szCs w:val="32"/>
    </w:rPr>
  </w:style>
  <w:style w:type="paragraph" w:customStyle="1" w:styleId="108">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9">
    <w:name w:val="投标书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10">
    <w:name w:val="默认段落字体 Para Char Char Char Char"/>
    <w:basedOn w:val="1"/>
    <w:qFormat/>
    <w:uiPriority w:val="0"/>
    <w:rPr>
      <w:szCs w:val="21"/>
    </w:rPr>
  </w:style>
  <w:style w:type="paragraph" w:customStyle="1" w:styleId="111">
    <w:name w:val="无间距1"/>
    <w:link w:val="145"/>
    <w:qFormat/>
    <w:uiPriority w:val="0"/>
    <w:rPr>
      <w:rFonts w:ascii="Times New Roman" w:hAnsi="Times New Roman" w:eastAsia="宋体" w:cs="Times New Roman"/>
      <w:kern w:val="2"/>
      <w:sz w:val="22"/>
      <w:szCs w:val="22"/>
      <w:lang w:val="en-US" w:eastAsia="zh-CN" w:bidi="ar-SA"/>
    </w:rPr>
  </w:style>
  <w:style w:type="paragraph" w:customStyle="1" w:styleId="112">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b/>
      <w:bCs/>
      <w:kern w:val="0"/>
      <w:sz w:val="32"/>
      <w:szCs w:val="32"/>
    </w:rPr>
  </w:style>
  <w:style w:type="paragraph" w:styleId="115">
    <w:name w:val="List Paragraph"/>
    <w:basedOn w:val="1"/>
    <w:link w:val="200"/>
    <w:qFormat/>
    <w:uiPriority w:val="34"/>
    <w:pPr>
      <w:ind w:firstLine="420" w:firstLineChars="200"/>
    </w:pPr>
  </w:style>
  <w:style w:type="paragraph" w:customStyle="1" w:styleId="116">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7">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修订版本号1"/>
    <w:qFormat/>
    <w:uiPriority w:val="0"/>
    <w:rPr>
      <w:rFonts w:ascii="Times New Roman" w:hAnsi="Times New Roman" w:eastAsia="宋体" w:cs="Times New Roman"/>
      <w:kern w:val="2"/>
      <w:sz w:val="21"/>
      <w:lang w:val="en-US" w:eastAsia="zh-CN" w:bidi="ar-SA"/>
    </w:rPr>
  </w:style>
  <w:style w:type="paragraph" w:customStyle="1" w:styleId="120">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1">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2">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3">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5">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7">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8">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9">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30">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2">
    <w:name w:val="默认段落字体 Para Char Char Char Char Char Char Char"/>
    <w:basedOn w:val="1"/>
    <w:qFormat/>
    <w:uiPriority w:val="0"/>
    <w:rPr>
      <w:rFonts w:ascii="Tahoma" w:hAnsi="Tahoma"/>
      <w:sz w:val="24"/>
    </w:rPr>
  </w:style>
  <w:style w:type="paragraph" w:customStyle="1" w:styleId="133">
    <w:name w:val="Char Char1 Char Char Char Char Char Char Char Char Char Char Char Char"/>
    <w:basedOn w:val="1"/>
    <w:qFormat/>
    <w:uiPriority w:val="0"/>
    <w:rPr>
      <w:szCs w:val="24"/>
    </w:rPr>
  </w:style>
  <w:style w:type="paragraph" w:customStyle="1" w:styleId="134">
    <w:name w:val="Char Char Char Char Char Char Char Char Char Char"/>
    <w:basedOn w:val="1"/>
    <w:qFormat/>
    <w:uiPriority w:val="0"/>
    <w:rPr>
      <w:rFonts w:ascii="Tahoma" w:hAnsi="Tahoma" w:cs="Tahoma"/>
      <w:sz w:val="24"/>
      <w:szCs w:val="24"/>
    </w:rPr>
  </w:style>
  <w:style w:type="paragraph" w:customStyle="1" w:styleId="135">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6">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7">
    <w:name w:val="正文（首行缩进两字）"/>
    <w:basedOn w:val="1"/>
    <w:qFormat/>
    <w:uiPriority w:val="0"/>
  </w:style>
  <w:style w:type="paragraph" w:customStyle="1" w:styleId="1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0">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1">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2">
    <w:name w:val="列出段落2"/>
    <w:basedOn w:val="1"/>
    <w:qFormat/>
    <w:uiPriority w:val="0"/>
    <w:pPr>
      <w:widowControl/>
      <w:ind w:firstLine="420" w:firstLineChars="200"/>
      <w:jc w:val="left"/>
    </w:pPr>
    <w:rPr>
      <w:kern w:val="0"/>
      <w:sz w:val="24"/>
    </w:rPr>
  </w:style>
  <w:style w:type="character" w:customStyle="1" w:styleId="143">
    <w:name w:val="页眉 Char1"/>
    <w:qFormat/>
    <w:uiPriority w:val="0"/>
    <w:rPr>
      <w:rFonts w:ascii="Times New Roman" w:hAnsi="Times New Roman" w:eastAsia="宋体" w:cs="Times New Roman"/>
      <w:kern w:val="2"/>
      <w:sz w:val="18"/>
      <w:szCs w:val="18"/>
      <w:lang w:val="en-US" w:eastAsia="zh-CN" w:bidi="ar-SA"/>
    </w:rPr>
  </w:style>
  <w:style w:type="character" w:customStyle="1" w:styleId="144">
    <w:name w:val="正文文本字符1"/>
    <w:semiHidden/>
    <w:qFormat/>
    <w:uiPriority w:val="99"/>
    <w:rPr>
      <w:rFonts w:ascii="Times New Roman" w:hAnsi="Times New Roman" w:eastAsia="宋体" w:cs="Times New Roman"/>
      <w:sz w:val="21"/>
      <w:szCs w:val="20"/>
    </w:rPr>
  </w:style>
  <w:style w:type="character" w:customStyle="1" w:styleId="145">
    <w:name w:val="无间隔 Char"/>
    <w:link w:val="111"/>
    <w:qFormat/>
    <w:uiPriority w:val="0"/>
    <w:rPr>
      <w:rFonts w:ascii="Times New Roman" w:hAnsi="Times New Roman" w:eastAsia="宋体" w:cs="Times New Roman"/>
      <w:sz w:val="22"/>
    </w:rPr>
  </w:style>
  <w:style w:type="character" w:customStyle="1" w:styleId="146">
    <w:name w:val="正文文本缩进 3字符1"/>
    <w:semiHidden/>
    <w:qFormat/>
    <w:uiPriority w:val="99"/>
    <w:rPr>
      <w:rFonts w:ascii="Times New Roman" w:hAnsi="Times New Roman" w:eastAsia="宋体" w:cs="Times New Roman"/>
      <w:sz w:val="16"/>
      <w:szCs w:val="16"/>
    </w:rPr>
  </w:style>
  <w:style w:type="character" w:customStyle="1" w:styleId="147">
    <w:name w:val="日期 Char1"/>
    <w:qFormat/>
    <w:uiPriority w:val="0"/>
    <w:rPr>
      <w:rFonts w:ascii="Times New Roman" w:hAnsi="Times New Roman" w:eastAsia="宋体" w:cs="Times New Roman"/>
      <w:kern w:val="2"/>
      <w:sz w:val="21"/>
      <w:lang w:val="en-US" w:eastAsia="zh-CN" w:bidi="ar-SA"/>
    </w:rPr>
  </w:style>
  <w:style w:type="character" w:customStyle="1" w:styleId="148">
    <w:name w:val="正文文本 Char1"/>
    <w:qFormat/>
    <w:uiPriority w:val="0"/>
    <w:rPr>
      <w:rFonts w:ascii="Times New Roman" w:hAnsi="Times New Roman" w:eastAsia="宋体" w:cs="Times New Roman"/>
      <w:kern w:val="2"/>
      <w:sz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apple-converted-space"/>
    <w:qFormat/>
    <w:uiPriority w:val="0"/>
    <w:rPr>
      <w:rFonts w:ascii="Times New Roman" w:hAnsi="Times New Roman" w:eastAsia="宋体" w:cs="Times New Roman"/>
      <w:lang w:val="en-US" w:eastAsia="zh-CN" w:bidi="ar-SA"/>
    </w:rPr>
  </w:style>
  <w:style w:type="character" w:customStyle="1" w:styleId="151">
    <w:name w:val="批注主题字符1"/>
    <w:semiHidden/>
    <w:qFormat/>
    <w:uiPriority w:val="99"/>
    <w:rPr>
      <w:rFonts w:ascii="Times New Roman" w:hAnsi="Times New Roman" w:eastAsia="宋体" w:cs="Times New Roman"/>
      <w:b/>
      <w:bCs/>
      <w:sz w:val="21"/>
      <w:szCs w:val="20"/>
    </w:rPr>
  </w:style>
  <w:style w:type="character" w:customStyle="1" w:styleId="152">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3">
    <w:name w:val="页脚字符1"/>
    <w:semiHidden/>
    <w:qFormat/>
    <w:uiPriority w:val="99"/>
    <w:rPr>
      <w:rFonts w:ascii="Times New Roman" w:hAnsi="Times New Roman" w:eastAsia="宋体" w:cs="Times New Roman"/>
      <w:sz w:val="18"/>
      <w:szCs w:val="18"/>
    </w:rPr>
  </w:style>
  <w:style w:type="character" w:customStyle="1" w:styleId="154">
    <w:name w:val="页码1"/>
    <w:qFormat/>
    <w:uiPriority w:val="0"/>
    <w:rPr>
      <w:rFonts w:ascii="Times New Roman" w:hAnsi="Times New Roman" w:eastAsia="宋体" w:cs="Times New Roman"/>
      <w:lang w:val="en-US" w:eastAsia="zh-CN" w:bidi="ar-SA"/>
    </w:rPr>
  </w:style>
  <w:style w:type="character" w:customStyle="1" w:styleId="155">
    <w:name w:val="文档结构图 Char1"/>
    <w:qFormat/>
    <w:uiPriority w:val="0"/>
    <w:rPr>
      <w:rFonts w:ascii="宋体" w:hAnsi="Times New Roman" w:eastAsia="宋体" w:cs="Times New Roman"/>
      <w:kern w:val="2"/>
      <w:sz w:val="18"/>
      <w:szCs w:val="18"/>
      <w:lang w:val="en-US" w:eastAsia="zh-CN" w:bidi="ar-SA"/>
    </w:rPr>
  </w:style>
  <w:style w:type="character" w:customStyle="1" w:styleId="156">
    <w:name w:val="正文文本缩进 2字符1"/>
    <w:semiHidden/>
    <w:qFormat/>
    <w:uiPriority w:val="99"/>
    <w:rPr>
      <w:rFonts w:ascii="Times New Roman" w:hAnsi="Times New Roman" w:eastAsia="宋体" w:cs="Times New Roman"/>
      <w:sz w:val="21"/>
      <w:szCs w:val="20"/>
    </w:rPr>
  </w:style>
  <w:style w:type="character" w:customStyle="1" w:styleId="157">
    <w:name w:val="纯文本字符1"/>
    <w:semiHidden/>
    <w:qFormat/>
    <w:uiPriority w:val="99"/>
    <w:rPr>
      <w:rFonts w:ascii="宋体" w:hAnsi="Courier" w:eastAsia="宋体" w:cs="Times New Roman"/>
    </w:rPr>
  </w:style>
  <w:style w:type="character" w:customStyle="1" w:styleId="158">
    <w:name w:val="批注文字 Char1"/>
    <w:qFormat/>
    <w:uiPriority w:val="0"/>
    <w:rPr>
      <w:rFonts w:ascii="Times New Roman" w:hAnsi="Times New Roman" w:eastAsia="宋体" w:cs="Times New Roman"/>
      <w:sz w:val="21"/>
      <w:szCs w:val="20"/>
    </w:rPr>
  </w:style>
  <w:style w:type="character" w:customStyle="1" w:styleId="15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60">
    <w:name w:val="批注框文本字符1"/>
    <w:semiHidden/>
    <w:qFormat/>
    <w:uiPriority w:val="99"/>
    <w:rPr>
      <w:rFonts w:ascii="Heiti SC Light" w:hAnsi="Times New Roman" w:eastAsia="Heiti SC Light" w:cs="Times New Roman"/>
      <w:sz w:val="18"/>
      <w:szCs w:val="18"/>
    </w:rPr>
  </w:style>
  <w:style w:type="character" w:customStyle="1" w:styleId="16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2">
    <w:name w:val="页眉字符1"/>
    <w:semiHidden/>
    <w:qFormat/>
    <w:uiPriority w:val="99"/>
    <w:rPr>
      <w:rFonts w:ascii="Times New Roman" w:hAnsi="Times New Roman" w:eastAsia="宋体" w:cs="Times New Roman"/>
      <w:sz w:val="18"/>
      <w:szCs w:val="18"/>
    </w:rPr>
  </w:style>
  <w:style w:type="character" w:customStyle="1" w:styleId="163">
    <w:name w:val="纯文本 Char1"/>
    <w:qFormat/>
    <w:uiPriority w:val="0"/>
    <w:rPr>
      <w:rFonts w:ascii="宋体" w:hAnsi="Courier New" w:eastAsia="宋体" w:cs="Courier New"/>
      <w:kern w:val="2"/>
      <w:sz w:val="21"/>
      <w:szCs w:val="21"/>
      <w:lang w:val="en-US" w:eastAsia="zh-CN" w:bidi="ar-SA"/>
    </w:rPr>
  </w:style>
  <w:style w:type="character" w:customStyle="1" w:styleId="164">
    <w:name w:val="正文文本缩进 2 Char1"/>
    <w:qFormat/>
    <w:uiPriority w:val="0"/>
    <w:rPr>
      <w:rFonts w:ascii="Times New Roman" w:hAnsi="Times New Roman" w:eastAsia="宋体" w:cs="Times New Roman"/>
      <w:kern w:val="2"/>
      <w:sz w:val="21"/>
      <w:lang w:val="en-US" w:eastAsia="zh-CN" w:bidi="ar-SA"/>
    </w:rPr>
  </w:style>
  <w:style w:type="character" w:customStyle="1" w:styleId="165">
    <w:name w:val="文档结构图 字符1"/>
    <w:semiHidden/>
    <w:qFormat/>
    <w:uiPriority w:val="99"/>
    <w:rPr>
      <w:rFonts w:ascii="Heiti SC Light" w:hAnsi="Times New Roman" w:eastAsia="Heiti SC Light" w:cs="Times New Roman"/>
    </w:rPr>
  </w:style>
  <w:style w:type="character" w:customStyle="1" w:styleId="166">
    <w:name w:val="正文文本缩进 Char1"/>
    <w:qFormat/>
    <w:uiPriority w:val="0"/>
    <w:rPr>
      <w:rFonts w:ascii="Times New Roman" w:hAnsi="Times New Roman" w:eastAsia="宋体" w:cs="Times New Roman"/>
      <w:kern w:val="2"/>
      <w:sz w:val="21"/>
      <w:lang w:val="en-US" w:eastAsia="zh-CN" w:bidi="ar-SA"/>
    </w:rPr>
  </w:style>
  <w:style w:type="character" w:customStyle="1" w:styleId="167">
    <w:name w:val="正文文本缩进字符1"/>
    <w:semiHidden/>
    <w:qFormat/>
    <w:uiPriority w:val="99"/>
    <w:rPr>
      <w:rFonts w:ascii="Times New Roman" w:hAnsi="Times New Roman" w:eastAsia="宋体" w:cs="Times New Roman"/>
      <w:sz w:val="21"/>
      <w:szCs w:val="20"/>
    </w:rPr>
  </w:style>
  <w:style w:type="character" w:customStyle="1" w:styleId="168">
    <w:name w:val="日期字符1"/>
    <w:semiHidden/>
    <w:qFormat/>
    <w:uiPriority w:val="99"/>
    <w:rPr>
      <w:rFonts w:ascii="Times New Roman" w:hAnsi="Times New Roman" w:eastAsia="宋体" w:cs="Times New Roman"/>
      <w:sz w:val="21"/>
      <w:szCs w:val="20"/>
    </w:rPr>
  </w:style>
  <w:style w:type="table" w:customStyle="1" w:styleId="169">
    <w:name w:val="网格表 1 浅色1"/>
    <w:basedOn w:val="48"/>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70">
    <w:name w:val="纯文本 字符1"/>
    <w:semiHidden/>
    <w:qFormat/>
    <w:locked/>
    <w:uiPriority w:val="0"/>
    <w:rPr>
      <w:rFonts w:ascii="宋体" w:hAnsi="Courier New"/>
    </w:rPr>
  </w:style>
  <w:style w:type="character" w:customStyle="1" w:styleId="171">
    <w:name w:val="Header or footer|1_"/>
    <w:qFormat/>
    <w:uiPriority w:val="0"/>
    <w:rPr>
      <w:rFonts w:ascii="PMingLiU" w:hAnsi="PMingLiU" w:eastAsia="PMingLiU" w:cs="PMingLiU"/>
      <w:sz w:val="17"/>
      <w:szCs w:val="17"/>
      <w:u w:val="none"/>
    </w:rPr>
  </w:style>
  <w:style w:type="character" w:customStyle="1" w:styleId="172">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3">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4">
    <w:name w:val="Body text|3 Exact"/>
    <w:link w:val="175"/>
    <w:qFormat/>
    <w:uiPriority w:val="0"/>
    <w:rPr>
      <w:rFonts w:ascii="PMingLiU" w:hAnsi="PMingLiU" w:eastAsia="PMingLiU" w:cs="PMingLiU"/>
      <w:w w:val="350"/>
      <w:sz w:val="32"/>
      <w:szCs w:val="32"/>
      <w:shd w:val="clear" w:color="auto" w:fill="FFFFFF"/>
      <w:lang w:eastAsia="en-US" w:bidi="en-US"/>
    </w:rPr>
  </w:style>
  <w:style w:type="paragraph" w:customStyle="1" w:styleId="175">
    <w:name w:val="Body text|3"/>
    <w:basedOn w:val="1"/>
    <w:link w:val="174"/>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6">
    <w:name w:val="Body text|2_"/>
    <w:link w:val="177"/>
    <w:qFormat/>
    <w:uiPriority w:val="0"/>
    <w:rPr>
      <w:rFonts w:ascii="PMingLiU" w:hAnsi="PMingLiU" w:eastAsia="PMingLiU" w:cs="PMingLiU"/>
      <w:sz w:val="22"/>
      <w:shd w:val="clear" w:color="auto" w:fill="FFFFFF"/>
    </w:rPr>
  </w:style>
  <w:style w:type="paragraph" w:customStyle="1" w:styleId="177">
    <w:name w:val="Body text|2"/>
    <w:basedOn w:val="1"/>
    <w:link w:val="176"/>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8">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9">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80">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1">
    <w:name w:val="Heading #2|1_"/>
    <w:link w:val="182"/>
    <w:qFormat/>
    <w:uiPriority w:val="0"/>
    <w:rPr>
      <w:rFonts w:ascii="PMingLiU" w:hAnsi="PMingLiU" w:eastAsia="PMingLiU" w:cs="PMingLiU"/>
      <w:b/>
      <w:bCs/>
      <w:spacing w:val="20"/>
      <w:sz w:val="23"/>
      <w:szCs w:val="23"/>
      <w:shd w:val="clear" w:color="auto" w:fill="FFFFFF"/>
    </w:rPr>
  </w:style>
  <w:style w:type="paragraph" w:customStyle="1" w:styleId="182">
    <w:name w:val="Heading #2|1"/>
    <w:basedOn w:val="1"/>
    <w:link w:val="181"/>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3">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4">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5">
    <w:name w:val="Body text|4_"/>
    <w:link w:val="186"/>
    <w:qFormat/>
    <w:uiPriority w:val="0"/>
    <w:rPr>
      <w:rFonts w:ascii="PMingLiU" w:hAnsi="PMingLiU" w:eastAsia="PMingLiU" w:cs="PMingLiU"/>
      <w:sz w:val="19"/>
      <w:szCs w:val="19"/>
      <w:shd w:val="clear" w:color="auto" w:fill="FFFFFF"/>
    </w:rPr>
  </w:style>
  <w:style w:type="paragraph" w:customStyle="1" w:styleId="186">
    <w:name w:val="Body text|4"/>
    <w:basedOn w:val="1"/>
    <w:link w:val="185"/>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7">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8">
    <w:name w:val="Body text|5_"/>
    <w:link w:val="189"/>
    <w:qFormat/>
    <w:uiPriority w:val="0"/>
    <w:rPr>
      <w:sz w:val="8"/>
      <w:szCs w:val="8"/>
      <w:shd w:val="clear" w:color="auto" w:fill="FFFFFF"/>
      <w:lang w:eastAsia="en-US" w:bidi="en-US"/>
    </w:rPr>
  </w:style>
  <w:style w:type="paragraph" w:customStyle="1" w:styleId="189">
    <w:name w:val="Body text|5"/>
    <w:basedOn w:val="1"/>
    <w:link w:val="188"/>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90">
    <w:name w:val="font11"/>
    <w:qFormat/>
    <w:uiPriority w:val="0"/>
    <w:rPr>
      <w:rFonts w:hint="eastAsia" w:ascii="宋体" w:hAnsi="宋体" w:eastAsia="宋体" w:cs="宋体"/>
      <w:color w:val="000000"/>
      <w:sz w:val="22"/>
      <w:szCs w:val="22"/>
      <w:u w:val="none"/>
    </w:rPr>
  </w:style>
  <w:style w:type="character" w:customStyle="1" w:styleId="191">
    <w:name w:val="font01"/>
    <w:qFormat/>
    <w:uiPriority w:val="0"/>
    <w:rPr>
      <w:rFonts w:ascii="font-weight : 400" w:hAnsi="font-weight : 400" w:eastAsia="font-weight : 400" w:cs="font-weight : 400"/>
      <w:color w:val="000000"/>
      <w:sz w:val="22"/>
      <w:szCs w:val="22"/>
      <w:u w:val="none"/>
    </w:rPr>
  </w:style>
  <w:style w:type="paragraph" w:customStyle="1" w:styleId="192">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3">
    <w:name w:val="Placeholder Text"/>
    <w:basedOn w:val="50"/>
    <w:semiHidden/>
    <w:qFormat/>
    <w:uiPriority w:val="99"/>
    <w:rPr>
      <w:color w:val="808080"/>
    </w:rPr>
  </w:style>
  <w:style w:type="paragraph" w:customStyle="1" w:styleId="194">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5">
    <w:name w:val="B1二级标题"/>
    <w:basedOn w:val="1"/>
    <w:link w:val="196"/>
    <w:qFormat/>
    <w:uiPriority w:val="99"/>
    <w:pPr>
      <w:widowControl/>
      <w:numPr>
        <w:ilvl w:val="1"/>
        <w:numId w:val="1"/>
      </w:numPr>
      <w:spacing w:before="156" w:beforeLines="50" w:after="156" w:line="360" w:lineRule="auto"/>
      <w:jc w:val="left"/>
      <w:outlineLvl w:val="1"/>
    </w:pPr>
    <w:rPr>
      <w:sz w:val="24"/>
      <w:szCs w:val="24"/>
    </w:rPr>
  </w:style>
  <w:style w:type="character" w:customStyle="1" w:styleId="196">
    <w:name w:val="B1二级标题 Char"/>
    <w:link w:val="195"/>
    <w:qFormat/>
    <w:uiPriority w:val="99"/>
    <w:rPr>
      <w:rFonts w:ascii="Times New Roman" w:hAnsi="Times New Roman" w:eastAsia="宋体" w:cs="Times New Roman"/>
      <w:sz w:val="24"/>
      <w:szCs w:val="24"/>
    </w:rPr>
  </w:style>
  <w:style w:type="paragraph" w:customStyle="1" w:styleId="197">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8">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9">
    <w:name w:val="网格型1"/>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0">
    <w:name w:val="列表段落 字符"/>
    <w:link w:val="115"/>
    <w:qFormat/>
    <w:uiPriority w:val="34"/>
    <w:rPr>
      <w:rFonts w:ascii="Times New Roman" w:hAnsi="Times New Roman"/>
      <w:kern w:val="2"/>
      <w:sz w:val="21"/>
    </w:rPr>
  </w:style>
  <w:style w:type="paragraph" w:customStyle="1" w:styleId="201">
    <w:name w:val="修订1"/>
    <w:hidden/>
    <w:semiHidden/>
    <w:qFormat/>
    <w:uiPriority w:val="99"/>
    <w:rPr>
      <w:rFonts w:ascii="Times New Roman" w:hAnsi="Times New Roman" w:eastAsia="宋体" w:cs="Times New Roman"/>
      <w:kern w:val="2"/>
      <w:sz w:val="21"/>
      <w:lang w:val="en-US" w:eastAsia="zh-CN" w:bidi="ar-SA"/>
    </w:rPr>
  </w:style>
  <w:style w:type="character" w:customStyle="1" w:styleId="202">
    <w:name w:val="纯文本 Char"/>
    <w:qFormat/>
    <w:uiPriority w:val="0"/>
    <w:rPr>
      <w:rFonts w:ascii="宋体" w:hAnsi="Courier New" w:eastAsia="宋体" w:cs="Times New Roman"/>
    </w:rPr>
  </w:style>
  <w:style w:type="paragraph" w:customStyle="1" w:styleId="203">
    <w:name w:val="_Style 200"/>
    <w:basedOn w:val="1"/>
    <w:next w:val="115"/>
    <w:link w:val="204"/>
    <w:qFormat/>
    <w:uiPriority w:val="34"/>
    <w:pPr>
      <w:ind w:firstLine="420" w:firstLineChars="200"/>
    </w:pPr>
  </w:style>
  <w:style w:type="character" w:customStyle="1" w:styleId="204">
    <w:name w:val="列出段落 Char"/>
    <w:link w:val="203"/>
    <w:qFormat/>
    <w:uiPriority w:val="34"/>
    <w:rPr>
      <w:rFonts w:ascii="Times New Roman" w:hAnsi="Times New Roman"/>
      <w:kern w:val="2"/>
      <w:sz w:val="21"/>
    </w:rPr>
  </w:style>
  <w:style w:type="paragraph" w:customStyle="1" w:styleId="205">
    <w:name w:val="彩色列表 - 着色 11"/>
    <w:basedOn w:val="1"/>
    <w:qFormat/>
    <w:uiPriority w:val="99"/>
    <w:pPr>
      <w:ind w:firstLine="420" w:firstLineChars="200"/>
    </w:pPr>
  </w:style>
  <w:style w:type="paragraph" w:styleId="206">
    <w:name w:val="No Spacing"/>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207">
    <w:name w:val="修订2"/>
    <w:hidden/>
    <w:semiHidden/>
    <w:qFormat/>
    <w:uiPriority w:val="99"/>
    <w:rPr>
      <w:rFonts w:ascii="Times New Roman" w:hAnsi="Times New Roman" w:eastAsia="宋体" w:cs="Times New Roman"/>
      <w:kern w:val="2"/>
      <w:sz w:val="21"/>
      <w:lang w:val="en-US" w:eastAsia="zh-CN" w:bidi="ar-SA"/>
    </w:rPr>
  </w:style>
  <w:style w:type="paragraph" w:customStyle="1" w:styleId="208">
    <w:name w:val="修订3"/>
    <w:hidden/>
    <w:semiHidden/>
    <w:qFormat/>
    <w:uiPriority w:val="99"/>
    <w:rPr>
      <w:rFonts w:ascii="Times New Roman" w:hAnsi="Times New Roman" w:eastAsia="宋体" w:cs="Times New Roman"/>
      <w:kern w:val="2"/>
      <w:sz w:val="21"/>
      <w:lang w:val="en-US" w:eastAsia="zh-CN" w:bidi="ar-SA"/>
    </w:rPr>
  </w:style>
  <w:style w:type="paragraph" w:customStyle="1" w:styleId="209">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E031F0-128A-4A29-8609-35060D7190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82</Pages>
  <Words>30099</Words>
  <Characters>31663</Characters>
  <Lines>289</Lines>
  <Paragraphs>81</Paragraphs>
  <TotalTime>4376</TotalTime>
  <ScaleCrop>false</ScaleCrop>
  <LinksUpToDate>false</LinksUpToDate>
  <CharactersWithSpaces>34389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2020-09-03T08:35:00Z</dcterms:created>
  <dc:creator>郑晓伟</dc:creator>
  <cp:lastModifiedBy>NTKO</cp:lastModifiedBy>
  <cp:lastPrinted>2020-04-24T02:05:00Z</cp:lastPrinted>
  <dcterms:modified xsi:type="dcterms:W3CDTF">2022-03-21T07:09:52Z</dcterms:modified>
  <dc:title>前海时代项目定位及物业发展建议研究服务项目比选文件</dc:title>
  <cp:revision>287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