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sz w:val="44"/>
        </w:rPr>
      </w:pPr>
      <w:r>
        <w:rPr>
          <w:rFonts w:hint="eastAsia"/>
          <w:sz w:val="44"/>
          <w:lang w:val="en-US" w:eastAsia="zh-CN"/>
        </w:rPr>
        <w:t xml:space="preserve"> </w:t>
      </w:r>
      <w:r>
        <w:rPr>
          <w:rFonts w:hint="eastAsia"/>
          <w:sz w:val="44"/>
        </w:rPr>
        <w:t>比选公告</w:t>
      </w:r>
    </w:p>
    <w:p>
      <w:pPr>
        <w:spacing w:line="360" w:lineRule="auto"/>
        <w:ind w:firstLine="480" w:firstLineChars="200"/>
        <w:jc w:val="left"/>
        <w:rPr>
          <w:rFonts w:hAnsi="宋体"/>
          <w:sz w:val="24"/>
          <w:szCs w:val="24"/>
        </w:rPr>
      </w:pPr>
      <w:r>
        <w:rPr>
          <w:rFonts w:hint="eastAsia" w:hAnsi="宋体"/>
          <w:sz w:val="24"/>
          <w:szCs w:val="24"/>
          <w:lang w:eastAsia="zh-CN"/>
        </w:rPr>
        <w:t>深圳地铁置业集团有限公司工会委员会</w:t>
      </w:r>
      <w:r>
        <w:rPr>
          <w:rFonts w:hint="eastAsia" w:hAnsi="宋体"/>
          <w:sz w:val="24"/>
          <w:szCs w:val="24"/>
        </w:rPr>
        <w:t>拟对</w:t>
      </w:r>
      <w:r>
        <w:rPr>
          <w:rFonts w:hint="eastAsia" w:hAnsi="宋体"/>
          <w:b/>
          <w:bCs/>
          <w:sz w:val="24"/>
          <w:szCs w:val="24"/>
          <w:u w:val="single"/>
          <w:lang w:eastAsia="zh-CN"/>
        </w:rPr>
        <w:t>“</w:t>
      </w:r>
      <w:r>
        <w:rPr>
          <w:rFonts w:hint="eastAsia" w:ascii="宋体" w:hAnsi="宋体" w:eastAsia="宋体" w:cs="宋体"/>
          <w:b/>
          <w:bCs/>
          <w:sz w:val="24"/>
          <w:szCs w:val="24"/>
          <w:u w:val="single"/>
          <w:lang w:eastAsia="zh-CN"/>
        </w:rPr>
        <w:t>深铁置业工会2022年度员工福利采购项目</w:t>
      </w:r>
      <w:r>
        <w:rPr>
          <w:rFonts w:hint="eastAsia" w:hAnsi="宋体"/>
          <w:b/>
          <w:bCs/>
          <w:sz w:val="24"/>
          <w:szCs w:val="24"/>
          <w:u w:val="single"/>
          <w:lang w:eastAsia="zh-CN"/>
        </w:rPr>
        <w:t>”</w:t>
      </w:r>
      <w:r>
        <w:rPr>
          <w:rFonts w:hint="eastAsia" w:hAnsi="宋体"/>
          <w:b/>
          <w:sz w:val="24"/>
          <w:szCs w:val="24"/>
        </w:rPr>
        <w:t>（以下</w:t>
      </w:r>
      <w:r>
        <w:rPr>
          <w:rFonts w:hAnsi="宋体"/>
          <w:b/>
          <w:sz w:val="24"/>
          <w:szCs w:val="24"/>
        </w:rPr>
        <w:t>简称“本项目”）</w:t>
      </w:r>
      <w:r>
        <w:rPr>
          <w:rFonts w:hint="eastAsia" w:hAnsi="宋体"/>
          <w:sz w:val="24"/>
          <w:szCs w:val="24"/>
        </w:rPr>
        <w:t>进行</w:t>
      </w:r>
      <w:r>
        <w:rPr>
          <w:rFonts w:hint="eastAsia" w:hAnsi="宋体"/>
          <w:sz w:val="24"/>
          <w:szCs w:val="24"/>
          <w:lang w:val="en-US" w:eastAsia="zh-CN"/>
        </w:rPr>
        <w:t>邀请</w:t>
      </w:r>
      <w:r>
        <w:rPr>
          <w:rFonts w:hint="eastAsia" w:hAnsi="宋体"/>
          <w:sz w:val="24"/>
          <w:szCs w:val="24"/>
        </w:rPr>
        <w:t>比选，欢迎符合本比选公告资格要求的参选人参加比选。</w:t>
      </w:r>
    </w:p>
    <w:p>
      <w:pPr>
        <w:keepLines/>
        <w:tabs>
          <w:tab w:val="left" w:pos="1260"/>
        </w:tabs>
        <w:snapToGrid w:val="0"/>
        <w:spacing w:line="360" w:lineRule="auto"/>
        <w:ind w:firstLine="482" w:firstLineChars="200"/>
        <w:textAlignment w:val="baseline"/>
        <w:outlineLvl w:val="1"/>
        <w:rPr>
          <w:rFonts w:ascii="宋体" w:hAnsi="宋体"/>
          <w:b/>
          <w:kern w:val="0"/>
          <w:sz w:val="24"/>
          <w:szCs w:val="24"/>
        </w:rPr>
      </w:pPr>
      <w:bookmarkStart w:id="0" w:name="_Toc8716"/>
      <w:bookmarkStart w:id="1" w:name="_Toc29280"/>
      <w:bookmarkStart w:id="2" w:name="_Toc26220"/>
      <w:r>
        <w:rPr>
          <w:rFonts w:hint="eastAsia" w:ascii="宋体" w:hAnsi="宋体"/>
          <w:b/>
          <w:kern w:val="0"/>
          <w:sz w:val="24"/>
          <w:szCs w:val="24"/>
        </w:rPr>
        <w:t>一、项目名称</w:t>
      </w:r>
      <w:bookmarkEnd w:id="0"/>
      <w:bookmarkEnd w:id="1"/>
      <w:bookmarkEnd w:id="2"/>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3" w:name="_Toc19904"/>
      <w:bookmarkStart w:id="4" w:name="_Toc8969"/>
      <w:bookmarkStart w:id="5" w:name="_Toc22274"/>
      <w:bookmarkStart w:id="6" w:name="_Toc27825"/>
      <w:r>
        <w:rPr>
          <w:rFonts w:hint="eastAsia" w:ascii="宋体" w:hAnsi="宋体" w:eastAsia="宋体" w:cs="Times New Roman"/>
          <w:b w:val="0"/>
          <w:bCs/>
          <w:kern w:val="0"/>
          <w:sz w:val="24"/>
          <w:szCs w:val="24"/>
          <w:lang w:val="en-US" w:eastAsia="zh-CN"/>
        </w:rPr>
        <w:t>深铁置业工会2022年度员工福利采购项目</w:t>
      </w:r>
      <w:bookmarkEnd w:id="3"/>
      <w:bookmarkEnd w:id="4"/>
    </w:p>
    <w:p>
      <w:pPr>
        <w:numPr>
          <w:ilvl w:val="0"/>
          <w:numId w:val="0"/>
        </w:numPr>
        <w:snapToGrid w:val="0"/>
        <w:spacing w:line="360" w:lineRule="auto"/>
        <w:ind w:firstLine="640" w:firstLineChars="200"/>
        <w:textAlignment w:val="baseline"/>
        <w:outlineLvl w:val="1"/>
        <w:rPr>
          <w:rFonts w:hint="eastAsia" w:ascii="宋体" w:hAnsi="宋体"/>
          <w:b/>
          <w:kern w:val="0"/>
          <w:sz w:val="24"/>
          <w:szCs w:val="24"/>
        </w:rPr>
      </w:pPr>
      <w:bookmarkStart w:id="7" w:name="_Toc19611"/>
      <w:r>
        <w:rPr>
          <w:rFonts w:hint="eastAsia" w:ascii="仿宋_GB2312" w:hAnsi="仿宋_GB2312" w:eastAsia="仿宋_GB2312" w:cs="仿宋_GB2312"/>
          <w:kern w:val="0"/>
          <w:sz w:val="32"/>
          <w:szCs w:val="32"/>
          <w:lang w:val="en-US" w:eastAsia="zh-CN"/>
        </w:rPr>
        <w:t>二、</w:t>
      </w:r>
      <w:r>
        <w:rPr>
          <w:rFonts w:hint="eastAsia" w:ascii="宋体" w:hAnsi="宋体"/>
          <w:b/>
          <w:kern w:val="0"/>
          <w:sz w:val="24"/>
          <w:szCs w:val="24"/>
        </w:rPr>
        <w:t>比选内容</w:t>
      </w:r>
      <w:bookmarkEnd w:id="5"/>
      <w:bookmarkEnd w:id="6"/>
      <w:bookmarkEnd w:id="7"/>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8" w:name="_Toc20802"/>
      <w:bookmarkStart w:id="9" w:name="_Toc11190"/>
      <w:bookmarkStart w:id="10" w:name="_Toc602"/>
      <w:bookmarkStart w:id="11" w:name="_Toc15959"/>
      <w:r>
        <w:rPr>
          <w:rFonts w:hint="eastAsia" w:ascii="宋体" w:hAnsi="宋体" w:eastAsia="宋体" w:cs="Times New Roman"/>
          <w:b w:val="0"/>
          <w:bCs/>
          <w:kern w:val="0"/>
          <w:sz w:val="24"/>
          <w:szCs w:val="24"/>
          <w:lang w:val="en-US" w:eastAsia="zh-CN"/>
        </w:rPr>
        <w:t>（一）2022年度员工福利物资采购项目</w:t>
      </w:r>
      <w:bookmarkEnd w:id="8"/>
      <w:bookmarkEnd w:id="9"/>
    </w:p>
    <w:tbl>
      <w:tblPr>
        <w:tblStyle w:val="6"/>
        <w:tblW w:w="85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11"/>
        <w:gridCol w:w="1286"/>
        <w:gridCol w:w="843"/>
        <w:gridCol w:w="938"/>
        <w:gridCol w:w="759"/>
        <w:gridCol w:w="1085"/>
        <w:gridCol w:w="1064"/>
        <w:gridCol w:w="19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8"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1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采购时间</w:t>
            </w: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人数</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预算标准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（元/人）</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3" w:hRule="atLeast"/>
        </w:trPr>
        <w:tc>
          <w:tcPr>
            <w:tcW w:w="61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29"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员工生日慰问物资采购项目</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每月</w:t>
            </w: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400</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180000</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9" w:hRule="atLeast"/>
        </w:trPr>
        <w:tc>
          <w:tcPr>
            <w:tcW w:w="61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2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传统节日慰问物资采购项目</w:t>
            </w:r>
          </w:p>
        </w:tc>
        <w:tc>
          <w:tcPr>
            <w:tcW w:w="93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5月-10月</w:t>
            </w: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202500</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每个节日150元/人，暂定3个（五一、端午、中秋）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3" w:hRule="atLeast"/>
        </w:trPr>
        <w:tc>
          <w:tcPr>
            <w:tcW w:w="61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2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夏季防暑降温慰问项目</w:t>
            </w:r>
          </w:p>
        </w:tc>
        <w:tc>
          <w:tcPr>
            <w:tcW w:w="93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7月</w:t>
            </w: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135000</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3" w:hRule="atLeast"/>
        </w:trPr>
        <w:tc>
          <w:tcPr>
            <w:tcW w:w="61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9"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防寒保暖用品慰问项目</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12月</w:t>
            </w: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135000</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1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活动纪念品</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每季度</w:t>
            </w: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720</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324000</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每季度两场活动，活动纪念品90元/人/次，四个季度共720元/人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3"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8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84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2170</w:t>
            </w:r>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976500</w:t>
            </w:r>
          </w:p>
        </w:tc>
        <w:tc>
          <w:tcPr>
            <w:tcW w:w="19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keepNext w:val="0"/>
        <w:keepLines w:val="0"/>
        <w:widowControl/>
        <w:numPr>
          <w:ilvl w:val="0"/>
          <w:numId w:val="0"/>
        </w:numPr>
        <w:suppressLineNumbers w:val="0"/>
        <w:ind w:right="-296" w:rightChars="-141" w:firstLine="480" w:firstLineChars="200"/>
        <w:jc w:val="left"/>
        <w:textAlignment w:val="auto"/>
        <w:rPr>
          <w:rFonts w:hint="eastAsia" w:ascii="仿宋_GB2312" w:hAnsi="宋体" w:eastAsia="仿宋_GB2312" w:cs="Times New Roman"/>
          <w:i w:val="0"/>
          <w:iCs w:val="0"/>
          <w:color w:val="000000"/>
          <w:kern w:val="2"/>
          <w:sz w:val="24"/>
          <w:szCs w:val="24"/>
          <w:highlight w:val="none"/>
          <w:u w:val="none"/>
          <w:lang w:val="en-US" w:eastAsia="zh-CN" w:bidi="ar"/>
        </w:rPr>
      </w:pPr>
    </w:p>
    <w:p>
      <w:pPr>
        <w:keepNext w:val="0"/>
        <w:keepLines w:val="0"/>
        <w:widowControl/>
        <w:numPr>
          <w:ilvl w:val="0"/>
          <w:numId w:val="0"/>
        </w:numPr>
        <w:suppressLineNumbers w:val="0"/>
        <w:ind w:right="-296" w:rightChars="-141"/>
        <w:jc w:val="left"/>
        <w:textAlignment w:val="auto"/>
        <w:rPr>
          <w:rFonts w:hint="eastAsia" w:ascii="仿宋_GB2312" w:hAnsi="宋体" w:eastAsia="仿宋_GB2312" w:cs="Times New Roman"/>
          <w:i w:val="0"/>
          <w:iCs w:val="0"/>
          <w:color w:val="000000"/>
          <w:kern w:val="2"/>
          <w:sz w:val="24"/>
          <w:szCs w:val="24"/>
          <w:highlight w:val="none"/>
          <w:u w:val="none"/>
          <w:lang w:val="en-US" w:eastAsia="zh-CN" w:bidi="ar"/>
        </w:rPr>
      </w:pPr>
    </w:p>
    <w:p>
      <w:pPr>
        <w:keepNext w:val="0"/>
        <w:keepLines w:val="0"/>
        <w:widowControl/>
        <w:numPr>
          <w:ilvl w:val="0"/>
          <w:numId w:val="0"/>
        </w:numPr>
        <w:suppressLineNumbers w:val="0"/>
        <w:ind w:right="-296" w:rightChars="-141" w:firstLine="480" w:firstLineChars="200"/>
        <w:jc w:val="left"/>
        <w:textAlignment w:val="auto"/>
        <w:rPr>
          <w:rFonts w:hint="eastAsia" w:ascii="仿宋_GB2312" w:hAnsi="宋体" w:eastAsia="仿宋_GB2312" w:cs="Times New Roman"/>
          <w:i w:val="0"/>
          <w:iCs w:val="0"/>
          <w:color w:val="000000"/>
          <w:kern w:val="2"/>
          <w:sz w:val="24"/>
          <w:szCs w:val="24"/>
          <w:highlight w:val="none"/>
          <w:u w:val="none"/>
          <w:lang w:val="en-US" w:eastAsia="zh-CN" w:bidi="ar"/>
        </w:rPr>
      </w:pPr>
      <w:r>
        <w:rPr>
          <w:rFonts w:hint="eastAsia" w:ascii="仿宋_GB2312" w:hAnsi="宋体" w:eastAsia="仿宋_GB2312" w:cs="Times New Roman"/>
          <w:i w:val="0"/>
          <w:iCs w:val="0"/>
          <w:color w:val="000000"/>
          <w:kern w:val="2"/>
          <w:sz w:val="24"/>
          <w:szCs w:val="24"/>
          <w:highlight w:val="none"/>
          <w:u w:val="none"/>
          <w:lang w:val="en-US" w:eastAsia="zh-CN" w:bidi="ar"/>
        </w:rPr>
        <w:t>备注：各采购项目按实际需求时间分批次使用，乙方在协议约定的服务期间内依照甲方指示供货。</w:t>
      </w:r>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12" w:name="_Toc5787"/>
      <w:bookmarkStart w:id="13" w:name="_Toc29940"/>
      <w:r>
        <w:rPr>
          <w:rFonts w:hint="eastAsia" w:ascii="宋体" w:hAnsi="宋体" w:eastAsia="宋体" w:cs="Times New Roman"/>
          <w:b w:val="0"/>
          <w:bCs/>
          <w:kern w:val="0"/>
          <w:sz w:val="24"/>
          <w:szCs w:val="24"/>
          <w:lang w:val="en-US" w:eastAsia="zh-CN"/>
        </w:rPr>
        <w:t>每位员工固定配发标准如上，发放范围为深铁置业缴纳工会会费的会员，共计约450人（不含退休员工、外派员工、自销团队员工）。员工凭项目兑换券从员工福利服务平台内自由选择兑换指定价值的商品（超出员工配发金额标准的部分，供应商与员工另行结算），如兑换实物商品，乙方须提供快递到家服务。</w:t>
      </w:r>
      <w:bookmarkEnd w:id="12"/>
      <w:bookmarkEnd w:id="13"/>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14" w:name="_Toc10810"/>
      <w:bookmarkStart w:id="15" w:name="_Toc5351"/>
      <w:r>
        <w:rPr>
          <w:rFonts w:hint="eastAsia" w:ascii="宋体" w:hAnsi="宋体" w:eastAsia="宋体" w:cs="Times New Roman"/>
          <w:b w:val="0"/>
          <w:bCs/>
          <w:kern w:val="0"/>
          <w:sz w:val="24"/>
          <w:szCs w:val="24"/>
          <w:lang w:val="en-US" w:eastAsia="zh-CN"/>
        </w:rPr>
        <w:t>（二）福利服务平台工作内容</w:t>
      </w:r>
      <w:bookmarkEnd w:id="14"/>
      <w:bookmarkEnd w:id="15"/>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16" w:name="_Toc27561"/>
      <w:bookmarkStart w:id="17" w:name="_Toc613"/>
      <w:r>
        <w:rPr>
          <w:rFonts w:hint="eastAsia" w:ascii="宋体" w:hAnsi="宋体" w:eastAsia="宋体" w:cs="Times New Roman"/>
          <w:b w:val="0"/>
          <w:bCs/>
          <w:kern w:val="0"/>
          <w:sz w:val="24"/>
          <w:szCs w:val="24"/>
          <w:lang w:val="en-US" w:eastAsia="zh-CN"/>
        </w:rPr>
        <w:t>1、搭建企业专属的员工福利服务平台，实现移动端和PC端功能同步（定制内容包括但不限于：定制企业专属员工福利商城（节日礼包、生日汇、电影、娱乐演出、旅游游玩、外卖、打车、买菜）；企业员工信息管理；配置员工福利关怀，员工福利发放管理；员工生日祝福、入党及入司祝福；企业弹性福利场景设置；企业文化活动信息管理、公告管理；员工线上活动板块、互动交流平台；弹性福利数据动态统计等；并完成合同期限内的日常运营维护服务。</w:t>
      </w:r>
      <w:bookmarkEnd w:id="16"/>
      <w:bookmarkEnd w:id="17"/>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18" w:name="_Toc18076"/>
      <w:bookmarkStart w:id="19" w:name="_Toc1773"/>
      <w:r>
        <w:rPr>
          <w:rFonts w:hint="eastAsia" w:ascii="宋体" w:hAnsi="宋体" w:eastAsia="宋体" w:cs="Times New Roman"/>
          <w:b w:val="0"/>
          <w:bCs/>
          <w:kern w:val="0"/>
          <w:sz w:val="24"/>
          <w:szCs w:val="24"/>
          <w:lang w:val="en-US" w:eastAsia="zh-CN"/>
        </w:rPr>
        <w:t>2、通过资源整合、信息技术、购销代理等多种手段为客户企业提供员工福利相关整体服务解决方案。乙方提供给甲方的企业专属员工福利服务平台中销售商品的价格不高于市场价，且大部分平台有价格优势。</w:t>
      </w:r>
      <w:bookmarkEnd w:id="18"/>
      <w:bookmarkEnd w:id="19"/>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20" w:name="_Toc22814"/>
      <w:bookmarkStart w:id="21" w:name="_Toc13783"/>
      <w:r>
        <w:rPr>
          <w:rFonts w:hint="eastAsia" w:ascii="宋体" w:hAnsi="宋体" w:eastAsia="宋体" w:cs="Times New Roman"/>
          <w:b w:val="0"/>
          <w:bCs/>
          <w:kern w:val="0"/>
          <w:sz w:val="24"/>
          <w:szCs w:val="24"/>
          <w:lang w:val="en-US" w:eastAsia="zh-CN"/>
        </w:rPr>
        <w:t>3.培训客户企业相关人员学习使用平台并提供员工使用手册等相关资料供客户企业员工便捷使用平台，发票内容符合客户企业要求；</w:t>
      </w:r>
      <w:bookmarkEnd w:id="20"/>
      <w:bookmarkEnd w:id="21"/>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22" w:name="_Toc28291"/>
      <w:bookmarkStart w:id="23" w:name="_Toc20146"/>
      <w:r>
        <w:rPr>
          <w:rFonts w:hint="eastAsia" w:ascii="宋体" w:hAnsi="宋体" w:eastAsia="宋体" w:cs="Times New Roman"/>
          <w:b w:val="0"/>
          <w:bCs/>
          <w:kern w:val="0"/>
          <w:sz w:val="24"/>
          <w:szCs w:val="24"/>
          <w:lang w:val="en-US" w:eastAsia="zh-CN"/>
        </w:rPr>
        <w:t>4.保证通过平台提供的第三方服务、物品或者资料的及时配送；</w:t>
      </w:r>
      <w:bookmarkEnd w:id="22"/>
      <w:bookmarkEnd w:id="23"/>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24" w:name="_Toc16873"/>
      <w:bookmarkStart w:id="25" w:name="_Toc25243"/>
      <w:r>
        <w:rPr>
          <w:rFonts w:hint="eastAsia" w:ascii="宋体" w:hAnsi="宋体" w:eastAsia="宋体" w:cs="Times New Roman"/>
          <w:b w:val="0"/>
          <w:bCs/>
          <w:kern w:val="0"/>
          <w:sz w:val="24"/>
          <w:szCs w:val="24"/>
          <w:lang w:val="en-US" w:eastAsia="zh-CN"/>
        </w:rPr>
        <w:t>5.平台保障商品质量，平台可完成因质量问题产生的退换货服务及平台操作指导等售后服务；</w:t>
      </w:r>
      <w:bookmarkEnd w:id="24"/>
      <w:bookmarkEnd w:id="25"/>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26" w:name="_Toc6813"/>
      <w:bookmarkStart w:id="27" w:name="_Toc8428"/>
      <w:r>
        <w:rPr>
          <w:rFonts w:hint="eastAsia" w:ascii="宋体" w:hAnsi="宋体" w:eastAsia="宋体" w:cs="Times New Roman"/>
          <w:b w:val="0"/>
          <w:bCs/>
          <w:kern w:val="0"/>
          <w:sz w:val="24"/>
          <w:szCs w:val="24"/>
          <w:lang w:val="en-US" w:eastAsia="zh-CN"/>
        </w:rPr>
        <w:t>6.保证及时解决客户企业及客户企业员工在使用平台过程中遇到的问题；</w:t>
      </w:r>
      <w:bookmarkEnd w:id="26"/>
      <w:bookmarkEnd w:id="27"/>
    </w:p>
    <w:p>
      <w:pPr>
        <w:numPr>
          <w:ilvl w:val="0"/>
          <w:numId w:val="0"/>
        </w:numPr>
        <w:snapToGrid w:val="0"/>
        <w:spacing w:line="360" w:lineRule="auto"/>
        <w:ind w:firstLine="480" w:firstLineChars="200"/>
        <w:textAlignment w:val="baseline"/>
        <w:outlineLvl w:val="1"/>
        <w:rPr>
          <w:rFonts w:hint="eastAsia" w:ascii="宋体" w:hAnsi="宋体"/>
          <w:b/>
          <w:kern w:val="0"/>
          <w:sz w:val="24"/>
          <w:szCs w:val="24"/>
        </w:rPr>
      </w:pPr>
      <w:bookmarkStart w:id="28" w:name="_Toc12250"/>
      <w:bookmarkStart w:id="29" w:name="_Toc30306"/>
      <w:r>
        <w:rPr>
          <w:rFonts w:hint="eastAsia" w:ascii="宋体" w:hAnsi="宋体" w:eastAsia="宋体" w:cs="Times New Roman"/>
          <w:b w:val="0"/>
          <w:bCs/>
          <w:kern w:val="0"/>
          <w:sz w:val="24"/>
          <w:szCs w:val="24"/>
          <w:lang w:val="en-US" w:eastAsia="zh-CN"/>
        </w:rPr>
        <w:t>7.平台对客户企业及客户企业员工信息遵守保密义务。</w:t>
      </w:r>
      <w:bookmarkEnd w:id="28"/>
      <w:bookmarkEnd w:id="29"/>
    </w:p>
    <w:p>
      <w:pPr>
        <w:keepLines/>
        <w:tabs>
          <w:tab w:val="left" w:pos="1260"/>
        </w:tabs>
        <w:snapToGrid w:val="0"/>
        <w:spacing w:line="360" w:lineRule="auto"/>
        <w:ind w:firstLine="482" w:firstLineChars="200"/>
        <w:textAlignment w:val="baseline"/>
        <w:outlineLvl w:val="1"/>
        <w:rPr>
          <w:rFonts w:ascii="宋体" w:hAnsi="宋体"/>
          <w:b/>
          <w:kern w:val="0"/>
          <w:sz w:val="24"/>
          <w:szCs w:val="24"/>
        </w:rPr>
      </w:pPr>
      <w:bookmarkStart w:id="30" w:name="_Toc6240"/>
      <w:r>
        <w:rPr>
          <w:rFonts w:hint="eastAsia" w:ascii="宋体" w:hAnsi="宋体"/>
          <w:b/>
          <w:kern w:val="0"/>
          <w:sz w:val="24"/>
          <w:szCs w:val="24"/>
        </w:rPr>
        <w:t>三、比选控制价格</w:t>
      </w:r>
      <w:bookmarkEnd w:id="10"/>
      <w:bookmarkEnd w:id="11"/>
      <w:bookmarkEnd w:id="30"/>
    </w:p>
    <w:p>
      <w:pPr>
        <w:numPr>
          <w:ilvl w:val="0"/>
          <w:numId w:val="0"/>
        </w:numPr>
        <w:snapToGrid w:val="0"/>
        <w:spacing w:line="360" w:lineRule="auto"/>
        <w:ind w:firstLine="480" w:firstLineChars="200"/>
        <w:textAlignment w:val="baseline"/>
        <w:outlineLvl w:val="1"/>
        <w:rPr>
          <w:rFonts w:hint="eastAsia" w:ascii="Times New Roman" w:hAnsi="宋体" w:eastAsia="宋体" w:cs="Times New Roman"/>
          <w:bCs/>
          <w:sz w:val="24"/>
          <w:szCs w:val="24"/>
          <w:u w:val="none"/>
          <w:lang w:val="en-US" w:eastAsia="zh-CN"/>
        </w:rPr>
      </w:pPr>
      <w:bookmarkStart w:id="31" w:name="_Toc2981"/>
      <w:bookmarkStart w:id="32" w:name="_Toc1550"/>
      <w:bookmarkStart w:id="33" w:name="_Toc5066"/>
      <w:bookmarkStart w:id="34" w:name="_Toc28986"/>
      <w:r>
        <w:rPr>
          <w:rFonts w:hint="eastAsia" w:ascii="宋体" w:hAnsi="宋体" w:eastAsia="宋体" w:cs="Times New Roman"/>
          <w:b w:val="0"/>
          <w:bCs/>
          <w:kern w:val="0"/>
          <w:sz w:val="24"/>
          <w:szCs w:val="24"/>
          <w:lang w:val="en-US" w:eastAsia="zh-CN"/>
        </w:rPr>
        <w:t>本项目总上限价拟控制为97.65万元（含税），具体金额根据实际发放数量所产生费用据实结算。</w:t>
      </w:r>
      <w:bookmarkEnd w:id="31"/>
      <w:bookmarkEnd w:id="32"/>
    </w:p>
    <w:p>
      <w:pPr>
        <w:keepLines/>
        <w:tabs>
          <w:tab w:val="left" w:pos="1260"/>
        </w:tabs>
        <w:snapToGrid w:val="0"/>
        <w:spacing w:line="360" w:lineRule="auto"/>
        <w:ind w:firstLine="482" w:firstLineChars="200"/>
        <w:textAlignment w:val="baseline"/>
        <w:outlineLvl w:val="1"/>
        <w:rPr>
          <w:rFonts w:ascii="宋体" w:hAnsi="宋体"/>
          <w:b/>
          <w:kern w:val="0"/>
          <w:sz w:val="24"/>
          <w:szCs w:val="24"/>
        </w:rPr>
      </w:pPr>
      <w:bookmarkStart w:id="35" w:name="_Toc20915"/>
      <w:r>
        <w:rPr>
          <w:rFonts w:hint="eastAsia" w:ascii="宋体" w:hAnsi="宋体"/>
          <w:b/>
          <w:kern w:val="0"/>
          <w:sz w:val="24"/>
          <w:szCs w:val="24"/>
        </w:rPr>
        <w:t>四、参选人资格要求</w:t>
      </w:r>
      <w:bookmarkEnd w:id="33"/>
      <w:bookmarkEnd w:id="34"/>
      <w:bookmarkEnd w:id="35"/>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36" w:name="_Toc23227"/>
      <w:bookmarkStart w:id="37" w:name="_Toc20837"/>
      <w:bookmarkStart w:id="38" w:name="_Toc8575"/>
      <w:bookmarkStart w:id="39" w:name="_Toc1928"/>
      <w:r>
        <w:rPr>
          <w:rFonts w:hint="eastAsia" w:ascii="宋体" w:hAnsi="宋体" w:eastAsia="宋体" w:cs="Times New Roman"/>
          <w:b w:val="0"/>
          <w:bCs/>
          <w:kern w:val="0"/>
          <w:sz w:val="24"/>
          <w:szCs w:val="24"/>
          <w:lang w:val="en-US" w:eastAsia="zh-CN"/>
        </w:rPr>
        <w:t>（一）参选人必须是在中华人民共和国依法注册的具备独立法人资格的企业（需提供营业执照复印件）。</w:t>
      </w:r>
      <w:bookmarkEnd w:id="36"/>
      <w:bookmarkEnd w:id="37"/>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40" w:name="_Toc5461"/>
      <w:bookmarkStart w:id="41" w:name="_Toc2147"/>
      <w:r>
        <w:rPr>
          <w:rFonts w:hint="eastAsia" w:ascii="宋体" w:hAnsi="宋体" w:eastAsia="宋体" w:cs="Times New Roman"/>
          <w:b w:val="0"/>
          <w:bCs/>
          <w:kern w:val="0"/>
          <w:sz w:val="24"/>
          <w:szCs w:val="24"/>
          <w:lang w:val="en-US" w:eastAsia="zh-CN"/>
        </w:rPr>
        <w:t>（二）经营范围至少包含下列内容中任意一项：日用百货、办公用品、食品零售、技术开发、技术服务、软件开发、软件设计、电子资信等。</w:t>
      </w:r>
      <w:bookmarkEnd w:id="40"/>
      <w:bookmarkEnd w:id="41"/>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42" w:name="_Toc26462"/>
      <w:bookmarkStart w:id="43" w:name="_Toc28310"/>
      <w:r>
        <w:rPr>
          <w:rFonts w:hint="eastAsia" w:ascii="宋体" w:hAnsi="宋体" w:eastAsia="宋体" w:cs="Times New Roman"/>
          <w:b w:val="0"/>
          <w:bCs/>
          <w:kern w:val="0"/>
          <w:sz w:val="24"/>
          <w:szCs w:val="24"/>
          <w:lang w:val="en-US" w:eastAsia="zh-CN"/>
        </w:rPr>
        <w:t>（三）本项目不接受联合体报价，同一集团公司的母、子公司、控股公司及参股公司，只允许一家参与参选。同一法定代表人的公司，只接受一家参选。单位负责人为同一人或存在控股、管理关系的不同单位，不得参加同一标段参选或者未划分标段的同一采购项目参选。</w:t>
      </w:r>
      <w:bookmarkEnd w:id="42"/>
      <w:bookmarkEnd w:id="43"/>
    </w:p>
    <w:p>
      <w:pPr>
        <w:numPr>
          <w:ilvl w:val="0"/>
          <w:numId w:val="0"/>
        </w:numPr>
        <w:snapToGrid w:val="0"/>
        <w:spacing w:line="360" w:lineRule="auto"/>
        <w:ind w:firstLine="480" w:firstLineChars="200"/>
        <w:textAlignment w:val="baseline"/>
        <w:outlineLvl w:val="1"/>
        <w:rPr>
          <w:rFonts w:hint="eastAsia" w:ascii="宋体" w:hAnsi="宋体" w:eastAsia="宋体" w:cs="Times New Roman"/>
          <w:b w:val="0"/>
          <w:bCs/>
          <w:kern w:val="0"/>
          <w:sz w:val="24"/>
          <w:szCs w:val="24"/>
          <w:lang w:val="en-US" w:eastAsia="zh-CN"/>
        </w:rPr>
      </w:pPr>
      <w:bookmarkStart w:id="44" w:name="_Toc3071"/>
      <w:bookmarkStart w:id="45" w:name="_Toc12630"/>
      <w:r>
        <w:rPr>
          <w:rFonts w:hint="eastAsia" w:ascii="宋体" w:hAnsi="宋体" w:eastAsia="宋体" w:cs="Times New Roman"/>
          <w:b w:val="0"/>
          <w:bCs/>
          <w:kern w:val="0"/>
          <w:sz w:val="24"/>
          <w:szCs w:val="24"/>
          <w:lang w:val="en-US" w:eastAsia="zh-CN"/>
        </w:rPr>
        <w:t>（四）必须遵守国家有关的法律、法规，需提供三年之内（2019年1月至响应截止前）在经营活动中没有重大违法记录的声明，并由法定代表人或被授权人签字，须加盖本单位公章。</w:t>
      </w:r>
      <w:bookmarkEnd w:id="44"/>
      <w:bookmarkEnd w:id="45"/>
    </w:p>
    <w:p>
      <w:pPr>
        <w:keepLines/>
        <w:tabs>
          <w:tab w:val="left" w:pos="1260"/>
        </w:tabs>
        <w:snapToGrid w:val="0"/>
        <w:spacing w:line="360" w:lineRule="auto"/>
        <w:ind w:firstLine="482" w:firstLineChars="200"/>
        <w:textAlignment w:val="baseline"/>
        <w:outlineLvl w:val="1"/>
        <w:rPr>
          <w:rFonts w:ascii="宋体" w:hAnsi="宋体"/>
          <w:b/>
          <w:kern w:val="0"/>
          <w:sz w:val="24"/>
          <w:szCs w:val="24"/>
        </w:rPr>
      </w:pPr>
      <w:bookmarkStart w:id="46" w:name="_Toc12565"/>
      <w:r>
        <w:rPr>
          <w:rFonts w:hint="eastAsia" w:ascii="宋体" w:hAnsi="宋体"/>
          <w:b/>
          <w:kern w:val="0"/>
          <w:sz w:val="24"/>
          <w:szCs w:val="24"/>
        </w:rPr>
        <w:t>五、参选时间、</w:t>
      </w:r>
      <w:r>
        <w:rPr>
          <w:rFonts w:ascii="宋体" w:hAnsi="宋体"/>
          <w:b/>
          <w:kern w:val="0"/>
          <w:sz w:val="24"/>
          <w:szCs w:val="24"/>
        </w:rPr>
        <w:t>地点</w:t>
      </w:r>
      <w:bookmarkEnd w:id="38"/>
      <w:bookmarkEnd w:id="39"/>
      <w:bookmarkEnd w:id="46"/>
    </w:p>
    <w:tbl>
      <w:tblPr>
        <w:tblStyle w:val="6"/>
        <w:tblW w:w="86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62"/>
        <w:gridCol w:w="1374"/>
        <w:gridCol w:w="1603"/>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left"/>
              <w:rPr>
                <w:rFonts w:cs="宋体"/>
                <w:bCs/>
                <w:szCs w:val="21"/>
              </w:rPr>
            </w:pPr>
            <w:r>
              <w:rPr>
                <w:rFonts w:hint="eastAsia" w:cs="宋体"/>
                <w:bCs/>
                <w:szCs w:val="21"/>
              </w:rPr>
              <w:t>序号</w:t>
            </w:r>
          </w:p>
        </w:tc>
        <w:tc>
          <w:tcPr>
            <w:tcW w:w="1374"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firstLine="0" w:firstLineChars="0"/>
              <w:jc w:val="left"/>
              <w:rPr>
                <w:rFonts w:cs="宋体"/>
                <w:bCs/>
                <w:szCs w:val="21"/>
              </w:rPr>
            </w:pPr>
            <w:r>
              <w:rPr>
                <w:rFonts w:hint="eastAsia" w:cs="宋体"/>
                <w:bCs/>
                <w:szCs w:val="21"/>
              </w:rPr>
              <w:t>内  容</w:t>
            </w:r>
          </w:p>
        </w:tc>
        <w:tc>
          <w:tcPr>
            <w:tcW w:w="1603"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firstLine="0" w:firstLineChars="0"/>
              <w:jc w:val="left"/>
              <w:rPr>
                <w:rFonts w:cs="宋体"/>
                <w:bCs/>
                <w:szCs w:val="21"/>
              </w:rPr>
            </w:pPr>
            <w:r>
              <w:rPr>
                <w:rFonts w:hint="eastAsia" w:cs="宋体"/>
                <w:bCs/>
                <w:szCs w:val="21"/>
              </w:rPr>
              <w:t>时间安排</w:t>
            </w:r>
          </w:p>
        </w:tc>
        <w:tc>
          <w:tcPr>
            <w:tcW w:w="5103"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firstLine="0" w:firstLineChars="0"/>
              <w:jc w:val="left"/>
              <w:rPr>
                <w:rFonts w:cs="宋体"/>
                <w:bCs/>
                <w:szCs w:val="21"/>
              </w:rPr>
            </w:pPr>
            <w:r>
              <w:rPr>
                <w:rFonts w:hint="eastAsia" w:cs="宋体"/>
                <w:bCs/>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56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cs="宋体"/>
                <w:bCs/>
                <w:szCs w:val="21"/>
              </w:rPr>
            </w:pPr>
            <w:r>
              <w:rPr>
                <w:rFonts w:hint="eastAsia" w:cs="宋体"/>
                <w:bCs/>
                <w:szCs w:val="21"/>
              </w:rPr>
              <w:t>1</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left"/>
              <w:rPr>
                <w:rFonts w:cs="宋体"/>
                <w:bCs/>
                <w:szCs w:val="21"/>
              </w:rPr>
            </w:pPr>
            <w:r>
              <w:rPr>
                <w:rFonts w:hint="eastAsia" w:cs="宋体"/>
                <w:bCs/>
                <w:szCs w:val="21"/>
              </w:rPr>
              <w:t>发布比选公告</w:t>
            </w:r>
          </w:p>
          <w:p>
            <w:pPr>
              <w:pStyle w:val="3"/>
              <w:adjustRightInd w:val="0"/>
              <w:snapToGrid w:val="0"/>
              <w:spacing w:line="240" w:lineRule="auto"/>
              <w:ind w:left="536" w:leftChars="85" w:hanging="358" w:hangingChars="179"/>
              <w:jc w:val="left"/>
              <w:rPr>
                <w:rFonts w:cs="宋体"/>
                <w:bCs/>
                <w:szCs w:val="21"/>
              </w:rPr>
            </w:pPr>
            <w:r>
              <w:rPr>
                <w:rFonts w:hint="eastAsia" w:cs="宋体"/>
                <w:bCs/>
                <w:szCs w:val="21"/>
              </w:rPr>
              <w:t>（发标）</w:t>
            </w:r>
          </w:p>
        </w:tc>
        <w:tc>
          <w:tcPr>
            <w:tcW w:w="16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宋体" w:hAnsi="宋体" w:cs="宋体"/>
                <w:bCs/>
                <w:szCs w:val="21"/>
              </w:rPr>
            </w:pPr>
            <w:r>
              <w:rPr>
                <w:rFonts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年</w:t>
            </w:r>
            <w:r>
              <w:rPr>
                <w:rFonts w:hint="eastAsia" w:ascii="宋体" w:hAnsi="宋体" w:cs="宋体"/>
                <w:bCs/>
                <w:szCs w:val="21"/>
                <w:lang w:val="en-US" w:eastAsia="zh-CN"/>
              </w:rPr>
              <w:t>2</w:t>
            </w:r>
            <w:r>
              <w:rPr>
                <w:rFonts w:hint="eastAsia" w:ascii="宋体" w:hAnsi="宋体" w:cs="宋体"/>
                <w:bCs/>
                <w:szCs w:val="21"/>
              </w:rPr>
              <w:t xml:space="preserve">月 </w:t>
            </w:r>
            <w:r>
              <w:rPr>
                <w:rFonts w:hint="eastAsia" w:ascii="宋体" w:hAnsi="宋体" w:cs="宋体"/>
                <w:bCs/>
                <w:szCs w:val="21"/>
                <w:lang w:val="en-US" w:eastAsia="zh-CN"/>
              </w:rPr>
              <w:t>25</w:t>
            </w:r>
            <w:r>
              <w:rPr>
                <w:rFonts w:hint="eastAsia" w:ascii="宋体" w:hAnsi="宋体" w:cs="宋体"/>
                <w:bCs/>
                <w:szCs w:val="21"/>
              </w:rPr>
              <w:t>日</w:t>
            </w:r>
          </w:p>
          <w:p>
            <w:pPr>
              <w:adjustRightInd w:val="0"/>
              <w:snapToGrid w:val="0"/>
              <w:jc w:val="left"/>
              <w:rPr>
                <w:rFonts w:ascii="宋体" w:hAnsi="宋体" w:cs="宋体"/>
                <w:bCs/>
                <w:szCs w:val="21"/>
              </w:rPr>
            </w:pPr>
          </w:p>
        </w:tc>
        <w:tc>
          <w:tcPr>
            <w:tcW w:w="5103"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466" w:leftChars="44" w:hanging="374" w:hangingChars="187"/>
              <w:jc w:val="left"/>
              <w:rPr>
                <w:rFonts w:hint="default" w:eastAsia="宋体" w:cs="宋体"/>
                <w:bCs/>
                <w:szCs w:val="21"/>
                <w:lang w:val="en-US" w:eastAsia="zh-CN"/>
              </w:rPr>
            </w:pPr>
            <w:r>
              <w:rPr>
                <w:rFonts w:hint="eastAsia" w:cs="宋体"/>
                <w:bCs/>
                <w:szCs w:val="21"/>
                <w:lang w:eastAsia="zh-CN"/>
              </w:rPr>
              <w:t>深圳地铁</w:t>
            </w:r>
            <w:r>
              <w:rPr>
                <w:rFonts w:hint="eastAsia" w:cs="宋体"/>
                <w:bCs/>
                <w:szCs w:val="21"/>
                <w:lang w:val="en-US" w:eastAsia="zh-CN"/>
              </w:rPr>
              <w:t>集团公司</w:t>
            </w:r>
            <w:r>
              <w:rPr>
                <w:rFonts w:hint="eastAsia" w:cs="宋体"/>
                <w:bCs/>
                <w:szCs w:val="21"/>
              </w:rPr>
              <w:t>外网</w:t>
            </w:r>
            <w:r>
              <w:rPr>
                <w:rFonts w:hint="eastAsia" w:cs="宋体"/>
                <w:szCs w:val="21"/>
              </w:rPr>
              <w:t>、</w:t>
            </w:r>
            <w:r>
              <w:rPr>
                <w:rFonts w:hint="eastAsia" w:cs="宋体"/>
                <w:bCs/>
                <w:szCs w:val="21"/>
              </w:rPr>
              <w:t>国资委阳光采购平台</w:t>
            </w:r>
            <w:r>
              <w:rPr>
                <w:rFonts w:hint="eastAsia" w:cs="宋体"/>
                <w:bCs/>
                <w:szCs w:val="21"/>
                <w:lang w:eastAsia="zh-CN"/>
              </w:rPr>
              <w:t>、</w:t>
            </w:r>
            <w:r>
              <w:rPr>
                <w:rFonts w:hint="eastAsia" w:cs="宋体"/>
                <w:bCs/>
                <w:szCs w:val="21"/>
                <w:lang w:val="en-US" w:eastAsia="zh-CN"/>
              </w:rPr>
              <w:t>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56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cs="宋体"/>
                <w:bCs/>
                <w:szCs w:val="21"/>
              </w:rPr>
            </w:pPr>
            <w:r>
              <w:rPr>
                <w:rFonts w:hint="eastAsia" w:cs="宋体"/>
                <w:bCs/>
                <w:szCs w:val="21"/>
              </w:rPr>
              <w:t>2</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536" w:leftChars="85" w:hanging="358" w:hangingChars="179"/>
              <w:jc w:val="left"/>
              <w:rPr>
                <w:rFonts w:cs="宋体"/>
                <w:bCs/>
                <w:szCs w:val="21"/>
              </w:rPr>
            </w:pPr>
            <w:r>
              <w:rPr>
                <w:rFonts w:hint="eastAsia" w:cs="宋体"/>
                <w:bCs/>
                <w:szCs w:val="21"/>
              </w:rPr>
              <w:t>截标</w:t>
            </w:r>
          </w:p>
        </w:tc>
        <w:tc>
          <w:tcPr>
            <w:tcW w:w="16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szCs w:val="21"/>
              </w:rPr>
            </w:pPr>
            <w:r>
              <w:rPr>
                <w:rFonts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 xml:space="preserve">年 </w:t>
            </w:r>
            <w:r>
              <w:rPr>
                <w:rFonts w:hint="eastAsia" w:ascii="宋体" w:hAnsi="宋体" w:cs="宋体"/>
                <w:bCs/>
                <w:szCs w:val="21"/>
                <w:lang w:val="en-US" w:eastAsia="zh-CN"/>
              </w:rPr>
              <w:t>3</w:t>
            </w:r>
            <w:r>
              <w:rPr>
                <w:szCs w:val="21"/>
              </w:rPr>
              <w:t>月</w:t>
            </w:r>
            <w:r>
              <w:rPr>
                <w:rFonts w:hint="eastAsia"/>
                <w:szCs w:val="21"/>
              </w:rPr>
              <w:t xml:space="preserve"> </w:t>
            </w:r>
            <w:r>
              <w:rPr>
                <w:rFonts w:hint="eastAsia"/>
                <w:szCs w:val="21"/>
                <w:lang w:val="en-US" w:eastAsia="zh-CN"/>
              </w:rPr>
              <w:t>9</w:t>
            </w:r>
            <w:r>
              <w:rPr>
                <w:szCs w:val="21"/>
              </w:rPr>
              <w:t>日</w:t>
            </w:r>
          </w:p>
          <w:p>
            <w:pPr>
              <w:adjustRightInd w:val="0"/>
              <w:snapToGrid w:val="0"/>
              <w:jc w:val="left"/>
              <w:rPr>
                <w:rFonts w:ascii="宋体" w:hAnsi="宋体" w:cs="宋体"/>
                <w:bCs/>
                <w:szCs w:val="21"/>
              </w:rPr>
            </w:pPr>
            <w:r>
              <w:rPr>
                <w:rFonts w:hint="eastAsia" w:ascii="宋体" w:hAnsi="宋体" w:cs="宋体"/>
                <w:bCs/>
                <w:szCs w:val="21"/>
              </w:rPr>
              <w:t>上午09:30</w:t>
            </w:r>
          </w:p>
        </w:tc>
        <w:tc>
          <w:tcPr>
            <w:tcW w:w="5103"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272" w:leftChars="44" w:hanging="180" w:hangingChars="90"/>
              <w:jc w:val="left"/>
              <w:rPr>
                <w:rFonts w:cs="宋体"/>
                <w:bCs/>
                <w:szCs w:val="21"/>
              </w:rPr>
            </w:pPr>
            <w:r>
              <w:rPr>
                <w:rFonts w:hint="eastAsia" w:cs="宋体"/>
                <w:bCs/>
                <w:szCs w:val="21"/>
              </w:rPr>
              <w:t>1.纸质版参选文件递交地点：</w:t>
            </w:r>
            <w:r>
              <w:rPr>
                <w:rFonts w:hint="eastAsia" w:cs="宋体"/>
                <w:bCs/>
                <w:szCs w:val="21"/>
                <w:lang w:val="en-US" w:eastAsia="zh-CN"/>
              </w:rPr>
              <w:t>地铁大厦1楼评定标中心会议室</w:t>
            </w:r>
          </w:p>
          <w:p>
            <w:pPr>
              <w:pStyle w:val="3"/>
              <w:adjustRightInd w:val="0"/>
              <w:snapToGrid w:val="0"/>
              <w:spacing w:line="240" w:lineRule="auto"/>
              <w:ind w:left="466" w:leftChars="44" w:hanging="374" w:hangingChars="187"/>
              <w:jc w:val="left"/>
              <w:rPr>
                <w:rFonts w:cs="宋体"/>
                <w:bCs/>
                <w:szCs w:val="21"/>
              </w:rPr>
            </w:pPr>
            <w:r>
              <w:rPr>
                <w:rFonts w:hint="eastAsia" w:cs="宋体"/>
                <w:bCs/>
                <w:szCs w:val="21"/>
              </w:rPr>
              <w:t>2.电子版参选文件递交平台：深圳地铁智能招采系统</w:t>
            </w:r>
          </w:p>
          <w:p>
            <w:pPr>
              <w:pStyle w:val="3"/>
              <w:adjustRightInd w:val="0"/>
              <w:snapToGrid w:val="0"/>
              <w:spacing w:line="240" w:lineRule="auto"/>
              <w:ind w:left="272" w:leftChars="44" w:hanging="180" w:hangingChars="90"/>
              <w:jc w:val="left"/>
              <w:rPr>
                <w:rFonts w:cs="宋体"/>
                <w:bCs/>
                <w:szCs w:val="21"/>
              </w:rPr>
            </w:pPr>
            <w:r>
              <w:rPr>
                <w:rFonts w:hint="eastAsia" w:cs="宋体"/>
                <w:bCs/>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56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cs="宋体"/>
                <w:bCs/>
                <w:szCs w:val="21"/>
              </w:rPr>
            </w:pPr>
            <w:r>
              <w:rPr>
                <w:rFonts w:hint="eastAsia" w:cs="宋体"/>
                <w:bCs/>
                <w:szCs w:val="21"/>
              </w:rPr>
              <w:t>3</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374" w:leftChars="85" w:hanging="196" w:hangingChars="98"/>
              <w:jc w:val="left"/>
              <w:rPr>
                <w:rFonts w:hint="default" w:eastAsia="宋体" w:cs="宋体"/>
                <w:bCs/>
                <w:szCs w:val="21"/>
                <w:lang w:val="en-US" w:eastAsia="zh-CN"/>
              </w:rPr>
            </w:pPr>
            <w:r>
              <w:rPr>
                <w:rFonts w:hint="eastAsia" w:cs="宋体"/>
                <w:bCs/>
                <w:szCs w:val="21"/>
              </w:rPr>
              <w:t>开标</w:t>
            </w:r>
            <w:r>
              <w:rPr>
                <w:rFonts w:hint="eastAsia" w:cs="宋体"/>
                <w:bCs/>
                <w:szCs w:val="21"/>
                <w:lang w:eastAsia="zh-CN"/>
              </w:rPr>
              <w:t>、</w:t>
            </w:r>
            <w:r>
              <w:rPr>
                <w:rFonts w:hint="eastAsia" w:cs="宋体"/>
                <w:bCs/>
                <w:szCs w:val="21"/>
                <w:lang w:val="en-US" w:eastAsia="zh-CN"/>
              </w:rPr>
              <w:t>评标</w:t>
            </w:r>
          </w:p>
        </w:tc>
        <w:tc>
          <w:tcPr>
            <w:tcW w:w="16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szCs w:val="21"/>
              </w:rPr>
            </w:pPr>
            <w:r>
              <w:rPr>
                <w:rFonts w:hint="eastAsia"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 xml:space="preserve">年 </w:t>
            </w:r>
            <w:r>
              <w:rPr>
                <w:rFonts w:hint="eastAsia" w:ascii="宋体" w:hAnsi="宋体" w:cs="宋体"/>
                <w:bCs/>
                <w:szCs w:val="21"/>
                <w:lang w:val="en-US" w:eastAsia="zh-CN"/>
              </w:rPr>
              <w:t>3</w:t>
            </w:r>
            <w:r>
              <w:rPr>
                <w:szCs w:val="21"/>
              </w:rPr>
              <w:t xml:space="preserve">月 </w:t>
            </w:r>
            <w:r>
              <w:rPr>
                <w:rFonts w:hint="eastAsia"/>
                <w:szCs w:val="21"/>
                <w:lang w:val="en-US" w:eastAsia="zh-CN"/>
              </w:rPr>
              <w:t>9</w:t>
            </w:r>
            <w:r>
              <w:rPr>
                <w:szCs w:val="21"/>
              </w:rPr>
              <w:t>日</w:t>
            </w:r>
          </w:p>
          <w:p>
            <w:pPr>
              <w:adjustRightInd w:val="0"/>
              <w:snapToGrid w:val="0"/>
              <w:jc w:val="left"/>
              <w:rPr>
                <w:rFonts w:ascii="宋体" w:hAnsi="宋体" w:cs="宋体"/>
                <w:bCs/>
                <w:szCs w:val="21"/>
              </w:rPr>
            </w:pPr>
            <w:r>
              <w:rPr>
                <w:rFonts w:hint="eastAsia" w:ascii="宋体" w:hAnsi="宋体" w:cs="宋体"/>
                <w:bCs/>
                <w:szCs w:val="21"/>
              </w:rPr>
              <w:t>上午</w:t>
            </w:r>
            <w:r>
              <w:rPr>
                <w:rFonts w:hint="eastAsia" w:ascii="宋体" w:hAnsi="宋体" w:cs="宋体"/>
                <w:bCs/>
                <w:szCs w:val="21"/>
                <w:lang w:val="en-US" w:eastAsia="zh-CN"/>
              </w:rPr>
              <w:t>09</w:t>
            </w:r>
            <w:r>
              <w:rPr>
                <w:rFonts w:hint="eastAsia" w:ascii="宋体" w:hAnsi="宋体" w:cs="宋体"/>
                <w:bCs/>
                <w:szCs w:val="21"/>
              </w:rPr>
              <w:t>:</w:t>
            </w:r>
            <w:r>
              <w:rPr>
                <w:rFonts w:hint="eastAsia" w:ascii="宋体" w:hAnsi="宋体" w:cs="宋体"/>
                <w:bCs/>
                <w:szCs w:val="21"/>
                <w:lang w:val="en-US" w:eastAsia="zh-CN"/>
              </w:rPr>
              <w:t>3</w:t>
            </w:r>
            <w:r>
              <w:rPr>
                <w:rFonts w:hint="eastAsia" w:ascii="宋体" w:hAnsi="宋体" w:cs="宋体"/>
                <w:bCs/>
                <w:szCs w:val="21"/>
              </w:rPr>
              <w:t>0</w:t>
            </w:r>
          </w:p>
        </w:tc>
        <w:tc>
          <w:tcPr>
            <w:tcW w:w="5103"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3" w:leftChars="68" w:firstLine="32" w:firstLineChars="16"/>
              <w:jc w:val="left"/>
              <w:rPr>
                <w:rFonts w:hint="default" w:eastAsia="宋体" w:cs="宋体"/>
                <w:bCs/>
                <w:szCs w:val="21"/>
                <w:lang w:val="en-US" w:eastAsia="zh-CN"/>
              </w:rPr>
            </w:pPr>
            <w:r>
              <w:rPr>
                <w:rFonts w:hint="eastAsia" w:cs="宋体"/>
                <w:bCs/>
                <w:szCs w:val="21"/>
              </w:rPr>
              <w:t>地点：</w:t>
            </w:r>
            <w:r>
              <w:rPr>
                <w:rFonts w:hint="eastAsia" w:cs="宋体"/>
                <w:bCs/>
                <w:szCs w:val="21"/>
                <w:lang w:val="en-US" w:eastAsia="zh-CN"/>
              </w:rPr>
              <w:t>地铁大厦1楼评定标中心会议室</w:t>
            </w:r>
          </w:p>
        </w:tc>
      </w:tr>
    </w:tbl>
    <w:p>
      <w:pPr>
        <w:keepLines/>
        <w:tabs>
          <w:tab w:val="left" w:pos="1260"/>
        </w:tabs>
        <w:snapToGrid w:val="0"/>
        <w:spacing w:line="360" w:lineRule="auto"/>
        <w:ind w:firstLine="480" w:firstLineChars="200"/>
        <w:textAlignment w:val="baseline"/>
        <w:rPr>
          <w:rFonts w:ascii="宋体" w:hAnsi="宋体"/>
          <w:b/>
          <w:kern w:val="0"/>
          <w:sz w:val="24"/>
          <w:szCs w:val="24"/>
        </w:rPr>
      </w:pPr>
      <w:r>
        <w:rPr>
          <w:rFonts w:hint="eastAsia" w:ascii="宋体" w:hAnsi="宋体"/>
          <w:sz w:val="24"/>
          <w:szCs w:val="24"/>
        </w:rPr>
        <w:t>备注</w:t>
      </w:r>
      <w:r>
        <w:rPr>
          <w:rFonts w:ascii="宋体" w:hAnsi="宋体"/>
          <w:sz w:val="24"/>
          <w:szCs w:val="24"/>
        </w:rPr>
        <w:t>：若参选人的纸质版参选文件</w:t>
      </w:r>
      <w:r>
        <w:rPr>
          <w:rFonts w:hint="eastAsia" w:ascii="宋体" w:hAnsi="宋体"/>
          <w:sz w:val="24"/>
          <w:szCs w:val="24"/>
        </w:rPr>
        <w:t>与电子版</w:t>
      </w:r>
      <w:r>
        <w:rPr>
          <w:rFonts w:ascii="宋体" w:hAnsi="宋体"/>
          <w:sz w:val="24"/>
          <w:szCs w:val="24"/>
        </w:rPr>
        <w:t>参选文件提交的时间或内容冲突，以提交的纸质版参选文件</w:t>
      </w:r>
      <w:r>
        <w:rPr>
          <w:rFonts w:hint="eastAsia" w:ascii="宋体" w:hAnsi="宋体"/>
          <w:sz w:val="24"/>
          <w:szCs w:val="24"/>
        </w:rPr>
        <w:t>的</w:t>
      </w:r>
      <w:r>
        <w:rPr>
          <w:rFonts w:ascii="宋体" w:hAnsi="宋体"/>
          <w:sz w:val="24"/>
          <w:szCs w:val="24"/>
        </w:rPr>
        <w:t>时间或内容</w:t>
      </w:r>
      <w:r>
        <w:rPr>
          <w:rFonts w:hint="eastAsia" w:ascii="宋体" w:hAnsi="宋体"/>
          <w:sz w:val="24"/>
          <w:szCs w:val="24"/>
        </w:rPr>
        <w:t>为准</w:t>
      </w:r>
      <w:r>
        <w:rPr>
          <w:rFonts w:ascii="宋体" w:hAnsi="宋体"/>
          <w:sz w:val="24"/>
          <w:szCs w:val="24"/>
        </w:rPr>
        <w:t>。</w:t>
      </w:r>
    </w:p>
    <w:p>
      <w:pPr>
        <w:keepLines/>
        <w:tabs>
          <w:tab w:val="left" w:pos="1260"/>
        </w:tabs>
        <w:snapToGrid w:val="0"/>
        <w:spacing w:line="360" w:lineRule="auto"/>
        <w:ind w:firstLine="482" w:firstLineChars="200"/>
        <w:textAlignment w:val="baseline"/>
        <w:outlineLvl w:val="1"/>
        <w:rPr>
          <w:rFonts w:ascii="宋体" w:hAnsi="宋体"/>
          <w:b/>
          <w:kern w:val="0"/>
          <w:sz w:val="24"/>
          <w:szCs w:val="24"/>
        </w:rPr>
      </w:pPr>
      <w:bookmarkStart w:id="47" w:name="_Toc13457"/>
      <w:bookmarkStart w:id="48" w:name="_Toc19665"/>
      <w:bookmarkStart w:id="49" w:name="_Toc16854"/>
      <w:r>
        <w:rPr>
          <w:rFonts w:hint="eastAsia" w:ascii="宋体" w:hAnsi="宋体"/>
          <w:b/>
          <w:kern w:val="0"/>
          <w:sz w:val="24"/>
          <w:szCs w:val="24"/>
        </w:rPr>
        <w:t>六、参选所需材料</w:t>
      </w:r>
      <w:bookmarkEnd w:id="47"/>
      <w:bookmarkEnd w:id="48"/>
      <w:bookmarkEnd w:id="49"/>
    </w:p>
    <w:p>
      <w:pPr>
        <w:tabs>
          <w:tab w:val="center" w:pos="5059"/>
        </w:tabs>
        <w:snapToGrid w:val="0"/>
        <w:spacing w:line="360" w:lineRule="auto"/>
        <w:ind w:firstLine="480" w:firstLineChars="200"/>
        <w:textAlignment w:val="baseline"/>
        <w:rPr>
          <w:rFonts w:ascii="宋体" w:hAnsi="宋体"/>
          <w:kern w:val="0"/>
          <w:sz w:val="24"/>
          <w:szCs w:val="24"/>
        </w:rPr>
      </w:pPr>
      <w:r>
        <w:rPr>
          <w:rFonts w:hint="eastAsia" w:ascii="宋体" w:hAnsi="宋体"/>
          <w:kern w:val="0"/>
          <w:sz w:val="24"/>
          <w:szCs w:val="24"/>
        </w:rPr>
        <w:t>根据比选</w:t>
      </w:r>
      <w:r>
        <w:rPr>
          <w:rFonts w:ascii="宋体" w:hAnsi="宋体"/>
          <w:kern w:val="0"/>
          <w:sz w:val="24"/>
          <w:szCs w:val="24"/>
        </w:rPr>
        <w:t>文件编制的参选文件</w:t>
      </w:r>
      <w:r>
        <w:rPr>
          <w:rFonts w:hint="eastAsia" w:ascii="宋体" w:hAnsi="宋体"/>
          <w:kern w:val="0"/>
          <w:sz w:val="24"/>
          <w:szCs w:val="24"/>
        </w:rPr>
        <w:t>。</w:t>
      </w:r>
      <w:r>
        <w:rPr>
          <w:rFonts w:ascii="宋体" w:hAnsi="宋体"/>
          <w:kern w:val="0"/>
          <w:sz w:val="24"/>
          <w:szCs w:val="24"/>
        </w:rPr>
        <w:tab/>
      </w:r>
      <w:r>
        <w:rPr>
          <w:rFonts w:hint="eastAsia" w:ascii="宋体" w:hAnsi="宋体"/>
          <w:kern w:val="0"/>
          <w:sz w:val="24"/>
          <w:szCs w:val="24"/>
        </w:rPr>
        <w:t>如递交</w:t>
      </w:r>
      <w:r>
        <w:rPr>
          <w:rFonts w:ascii="宋体" w:hAnsi="宋体"/>
          <w:kern w:val="0"/>
          <w:sz w:val="24"/>
          <w:szCs w:val="24"/>
        </w:rPr>
        <w:t>参选文件</w:t>
      </w:r>
      <w:r>
        <w:rPr>
          <w:rFonts w:hint="eastAsia" w:ascii="宋体" w:hAnsi="宋体"/>
          <w:kern w:val="0"/>
          <w:sz w:val="24"/>
          <w:szCs w:val="24"/>
        </w:rPr>
        <w:t>为参选人的法定代表人，须携带法定代表人证明书及本人身份证原件和复印件；如递交</w:t>
      </w:r>
      <w:r>
        <w:rPr>
          <w:rFonts w:ascii="宋体" w:hAnsi="宋体"/>
          <w:kern w:val="0"/>
          <w:sz w:val="24"/>
          <w:szCs w:val="24"/>
        </w:rPr>
        <w:t>参选文件</w:t>
      </w:r>
      <w:r>
        <w:rPr>
          <w:rFonts w:hint="eastAsia" w:ascii="宋体" w:hAnsi="宋体"/>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keepLines/>
        <w:tabs>
          <w:tab w:val="left" w:pos="1260"/>
        </w:tabs>
        <w:snapToGrid w:val="0"/>
        <w:spacing w:line="360" w:lineRule="auto"/>
        <w:ind w:firstLine="482" w:firstLineChars="200"/>
        <w:textAlignment w:val="baseline"/>
        <w:outlineLvl w:val="1"/>
        <w:rPr>
          <w:rFonts w:ascii="宋体" w:hAnsi="宋体"/>
          <w:b/>
          <w:kern w:val="0"/>
          <w:sz w:val="24"/>
          <w:szCs w:val="24"/>
        </w:rPr>
      </w:pPr>
      <w:bookmarkStart w:id="50" w:name="_Toc4439"/>
      <w:bookmarkStart w:id="51" w:name="_Toc9400"/>
      <w:bookmarkStart w:id="52" w:name="_Toc21418"/>
      <w:r>
        <w:rPr>
          <w:rFonts w:hint="eastAsia" w:ascii="宋体" w:hAnsi="宋体"/>
          <w:b/>
          <w:kern w:val="0"/>
          <w:sz w:val="24"/>
          <w:szCs w:val="24"/>
        </w:rPr>
        <w:t>七、参选联系人</w:t>
      </w:r>
      <w:bookmarkEnd w:id="50"/>
      <w:bookmarkEnd w:id="51"/>
      <w:bookmarkEnd w:id="52"/>
    </w:p>
    <w:p>
      <w:pPr>
        <w:pStyle w:val="4"/>
        <w:snapToGrid w:val="0"/>
        <w:spacing w:line="360" w:lineRule="auto"/>
        <w:ind w:firstLine="480" w:firstLineChars="200"/>
        <w:textAlignment w:val="baseline"/>
        <w:rPr>
          <w:rFonts w:hint="eastAsia" w:hAnsi="宋体" w:eastAsia="宋体"/>
          <w:sz w:val="24"/>
          <w:lang w:eastAsia="zh-CN"/>
        </w:rPr>
      </w:pPr>
      <w:r>
        <w:rPr>
          <w:rFonts w:hint="eastAsia" w:hAnsi="宋体"/>
          <w:sz w:val="24"/>
          <w:szCs w:val="24"/>
        </w:rPr>
        <w:t>联系人：</w:t>
      </w:r>
      <w:r>
        <w:rPr>
          <w:rFonts w:hint="eastAsia" w:hAnsi="宋体"/>
          <w:sz w:val="24"/>
          <w:lang w:val="en-US" w:eastAsia="zh-CN"/>
        </w:rPr>
        <w:t>陈小姐</w:t>
      </w:r>
    </w:p>
    <w:p>
      <w:pPr>
        <w:pStyle w:val="4"/>
        <w:snapToGrid w:val="0"/>
        <w:spacing w:line="360" w:lineRule="auto"/>
        <w:ind w:firstLine="480" w:firstLineChars="200"/>
        <w:textAlignment w:val="baseline"/>
        <w:rPr>
          <w:rFonts w:hint="eastAsia" w:hAnsi="宋体"/>
          <w:sz w:val="24"/>
          <w:szCs w:val="24"/>
          <w:lang w:val="en-US" w:eastAsia="zh-CN"/>
        </w:rPr>
      </w:pPr>
      <w:r>
        <w:rPr>
          <w:rFonts w:hint="eastAsia" w:hAnsi="宋体"/>
          <w:sz w:val="24"/>
          <w:szCs w:val="24"/>
        </w:rPr>
        <w:t>联系电话：</w:t>
      </w:r>
      <w:r>
        <w:rPr>
          <w:rFonts w:hAnsi="宋体"/>
          <w:sz w:val="24"/>
          <w:szCs w:val="24"/>
        </w:rPr>
        <w:t>1</w:t>
      </w:r>
      <w:r>
        <w:rPr>
          <w:rFonts w:hint="eastAsia" w:hAnsi="宋体"/>
          <w:sz w:val="24"/>
          <w:szCs w:val="24"/>
          <w:lang w:val="en-US" w:eastAsia="zh-CN"/>
        </w:rPr>
        <w:t>3798585965</w:t>
      </w:r>
    </w:p>
    <w:p>
      <w:pPr>
        <w:pStyle w:val="4"/>
        <w:snapToGrid w:val="0"/>
        <w:spacing w:line="360" w:lineRule="auto"/>
        <w:ind w:firstLine="480" w:firstLineChars="200"/>
        <w:textAlignment w:val="baseline"/>
        <w:rPr>
          <w:rFonts w:hint="eastAsia" w:hAnsi="宋体"/>
          <w:sz w:val="24"/>
          <w:szCs w:val="24"/>
          <w:lang w:val="en-US" w:eastAsia="zh-CN"/>
        </w:rPr>
      </w:pPr>
    </w:p>
    <w:p>
      <w:pPr>
        <w:pStyle w:val="4"/>
        <w:snapToGrid w:val="0"/>
        <w:spacing w:line="360" w:lineRule="auto"/>
        <w:ind w:firstLine="480" w:firstLineChars="200"/>
        <w:textAlignment w:val="baseline"/>
        <w:rPr>
          <w:rFonts w:hint="eastAsia" w:hAnsi="宋体"/>
          <w:sz w:val="24"/>
          <w:szCs w:val="24"/>
          <w:lang w:val="en-US" w:eastAsia="zh-CN"/>
        </w:rPr>
      </w:pPr>
    </w:p>
    <w:p>
      <w:pPr>
        <w:pStyle w:val="4"/>
        <w:snapToGrid w:val="0"/>
        <w:spacing w:line="360" w:lineRule="auto"/>
        <w:ind w:firstLine="480" w:firstLineChars="200"/>
        <w:jc w:val="right"/>
        <w:textAlignment w:val="baseline"/>
        <w:rPr>
          <w:rFonts w:hAnsi="宋体"/>
          <w:sz w:val="24"/>
          <w:szCs w:val="24"/>
        </w:rPr>
      </w:pPr>
    </w:p>
    <w:p>
      <w:pPr>
        <w:pStyle w:val="4"/>
        <w:snapToGrid w:val="0"/>
        <w:spacing w:line="360" w:lineRule="auto"/>
        <w:ind w:firstLine="480" w:firstLineChars="200"/>
        <w:jc w:val="right"/>
        <w:textAlignment w:val="baseline"/>
        <w:rPr>
          <w:rFonts w:hint="eastAsia" w:hAnsi="宋体" w:eastAsia="宋体"/>
          <w:sz w:val="24"/>
          <w:szCs w:val="24"/>
          <w:lang w:eastAsia="zh-CN"/>
        </w:rPr>
      </w:pPr>
      <w:r>
        <w:rPr>
          <w:rFonts w:hint="eastAsia" w:hAnsi="宋体"/>
          <w:sz w:val="24"/>
          <w:szCs w:val="24"/>
          <w:lang w:eastAsia="zh-CN"/>
        </w:rPr>
        <w:t>深圳地铁置业集团有限公司工会委员会</w:t>
      </w:r>
    </w:p>
    <w:p>
      <w:pPr>
        <w:pStyle w:val="4"/>
        <w:snapToGrid w:val="0"/>
        <w:spacing w:line="360" w:lineRule="auto"/>
        <w:ind w:right="480" w:firstLine="480" w:firstLineChars="200"/>
        <w:jc w:val="right"/>
        <w:textAlignment w:val="baseline"/>
        <w:rPr>
          <w:rFonts w:hint="eastAsia" w:ascii="黑体" w:hAnsi="黑体" w:eastAsia="黑体"/>
          <w:b/>
          <w:snapToGrid w:val="0"/>
          <w:sz w:val="36"/>
          <w:szCs w:val="36"/>
          <w:lang w:val="en-US" w:eastAsia="zh-CN"/>
        </w:rPr>
      </w:pPr>
      <w:r>
        <w:rPr>
          <w:rFonts w:hint="eastAsia" w:hAnsi="宋体"/>
          <w:sz w:val="24"/>
          <w:szCs w:val="24"/>
        </w:rPr>
        <w:t>202</w:t>
      </w:r>
      <w:r>
        <w:rPr>
          <w:rFonts w:hint="eastAsia" w:hAnsi="宋体"/>
          <w:sz w:val="24"/>
          <w:szCs w:val="24"/>
          <w:lang w:val="en-US" w:eastAsia="zh-CN"/>
        </w:rPr>
        <w:t>2</w:t>
      </w:r>
      <w:r>
        <w:rPr>
          <w:rFonts w:hint="eastAsia" w:hAnsi="宋体"/>
          <w:sz w:val="24"/>
          <w:szCs w:val="24"/>
        </w:rPr>
        <w:t xml:space="preserve">年 </w:t>
      </w:r>
      <w:r>
        <w:rPr>
          <w:rFonts w:hint="eastAsia" w:hAnsi="宋体"/>
          <w:sz w:val="24"/>
          <w:szCs w:val="24"/>
          <w:lang w:val="en-US" w:eastAsia="zh-CN"/>
        </w:rPr>
        <w:t>2</w:t>
      </w:r>
      <w:r>
        <w:rPr>
          <w:rFonts w:hint="eastAsia" w:hAnsi="宋体"/>
          <w:sz w:val="24"/>
          <w:szCs w:val="24"/>
        </w:rPr>
        <w:t xml:space="preserve"> 月 </w:t>
      </w:r>
      <w:r>
        <w:rPr>
          <w:rFonts w:hint="eastAsia" w:hAnsi="宋体"/>
          <w:sz w:val="24"/>
          <w:szCs w:val="24"/>
          <w:lang w:val="en-US" w:eastAsia="zh-CN"/>
        </w:rPr>
        <w:t>25</w:t>
      </w:r>
      <w:bookmarkStart w:id="53" w:name="_GoBack"/>
      <w:bookmarkEnd w:id="53"/>
      <w:r>
        <w:rPr>
          <w:rFonts w:hint="eastAsia" w:hAnsi="宋体"/>
          <w:sz w:val="24"/>
          <w:szCs w:val="24"/>
        </w:rPr>
        <w:t>日</w:t>
      </w:r>
    </w:p>
    <w:p>
      <w:pPr>
        <w:snapToGrid w:val="0"/>
        <w:spacing w:line="360" w:lineRule="auto"/>
        <w:jc w:val="center"/>
        <w:rPr>
          <w:rFonts w:hint="eastAsia" w:ascii="宋体" w:hAnsi="宋体" w:eastAsia="宋体" w:cs="宋体"/>
          <w:b/>
          <w:snapToGrid w:val="0"/>
          <w:sz w:val="32"/>
          <w:szCs w:val="32"/>
          <w:lang w:val="en-US" w:eastAsia="zh-CN"/>
        </w:rPr>
      </w:pPr>
    </w:p>
    <w:p>
      <w:pPr>
        <w:pStyle w:val="5"/>
        <w:rPr>
          <w:rFonts w:hint="eastAsia" w:ascii="宋体" w:hAnsi="宋体" w:eastAsia="宋体" w:cs="宋体"/>
          <w:b/>
          <w:snapToGrid w:val="0"/>
          <w:sz w:val="32"/>
          <w:szCs w:val="32"/>
          <w:lang w:val="en-US" w:eastAsia="zh-CN"/>
        </w:rPr>
      </w:pPr>
    </w:p>
    <w:p>
      <w:pPr>
        <w:pStyle w:val="5"/>
        <w:rPr>
          <w:rFonts w:hint="eastAsia" w:ascii="宋体" w:hAnsi="宋体" w:eastAsia="宋体" w:cs="宋体"/>
          <w:b/>
          <w:snapToGrid w:val="0"/>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9F2824"/>
    <w:rsid w:val="38BB49DD"/>
    <w:rsid w:val="773B4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4">
    <w:name w:val="Plain Text"/>
    <w:basedOn w:val="1"/>
    <w:qFormat/>
    <w:uiPriority w:val="0"/>
    <w:pPr>
      <w:adjustRightInd w:val="0"/>
      <w:spacing w:line="312" w:lineRule="atLeast"/>
      <w:textAlignment w:val="baseline"/>
    </w:pPr>
    <w:rPr>
      <w:rFonts w:ascii="宋体" w:hAnsi="Courier New"/>
      <w:kern w:val="0"/>
      <w:sz w:val="20"/>
    </w:rPr>
  </w:style>
  <w:style w:type="paragraph" w:styleId="5">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2022-02-23T09:27:00Z</dcterms:created>
  <dc:creator>DELL</dc:creator>
  <cp:lastModifiedBy>NTKO</cp:lastModifiedBy>
  <dcterms:modified xsi:type="dcterms:W3CDTF">2022-02-24T02:44:59Z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