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560" w:lineRule="exact"/>
        <w:jc w:val="center"/>
        <w:rPr>
          <w:rFonts w:hint="eastAsia" w:cs="Times New Roman" w:asciiTheme="majorEastAsia" w:hAnsiTheme="majorEastAsia" w:eastAsiaTheme="majorEastAsia"/>
          <w:sz w:val="44"/>
          <w:szCs w:val="44"/>
        </w:rPr>
      </w:pPr>
      <w:r>
        <w:rPr>
          <w:rFonts w:hint="eastAsia" w:cs="Times New Roman" w:asciiTheme="majorEastAsia" w:hAnsiTheme="majorEastAsia" w:eastAsiaTheme="majorEastAsia"/>
          <w:sz w:val="44"/>
          <w:szCs w:val="44"/>
        </w:rPr>
        <w:t>深圳地铁开发项目2022年度营销策划及研究报告（前期策划、价格研究）集中采购比选</w:t>
      </w:r>
    </w:p>
    <w:p>
      <w:pPr>
        <w:pStyle w:val="5"/>
        <w:spacing w:after="240" w:line="560" w:lineRule="exact"/>
        <w:jc w:val="center"/>
        <w:rPr>
          <w:rFonts w:hAnsi="宋体" w:eastAsia="宋体" w:cs="Times New Roman"/>
          <w:sz w:val="44"/>
          <w:szCs w:val="44"/>
        </w:rPr>
      </w:pPr>
      <w:r>
        <w:rPr>
          <w:rFonts w:hint="eastAsia" w:cs="Times New Roman" w:asciiTheme="majorEastAsia" w:hAnsiTheme="majorEastAsia" w:eastAsiaTheme="majorEastAsia"/>
          <w:sz w:val="44"/>
          <w:szCs w:val="44"/>
        </w:rPr>
        <w:t>答疑补遗</w:t>
      </w:r>
      <w:r>
        <w:rPr>
          <w:rFonts w:hint="eastAsia" w:hAnsi="宋体" w:eastAsia="宋体" w:cs="Times New Roman"/>
          <w:sz w:val="44"/>
          <w:szCs w:val="44"/>
        </w:rPr>
        <w:t>文件</w:t>
      </w:r>
      <w:bookmarkStart w:id="1" w:name="_GoBack"/>
      <w:bookmarkEnd w:id="1"/>
    </w:p>
    <w:p>
      <w:pPr>
        <w:pStyle w:val="5"/>
        <w:spacing w:line="560" w:lineRule="exact"/>
        <w:rPr>
          <w:rFonts w:ascii="仿宋_GB2312" w:hAnsi="宋体" w:eastAsia="仿宋_GB2312"/>
          <w:sz w:val="32"/>
          <w:szCs w:val="32"/>
        </w:rPr>
      </w:pPr>
      <w:r>
        <w:rPr>
          <w:rFonts w:hint="eastAsia" w:ascii="仿宋_GB2312" w:hAnsi="宋体" w:eastAsia="仿宋_GB2312"/>
          <w:sz w:val="32"/>
          <w:szCs w:val="32"/>
        </w:rPr>
        <w:t>各参选人</w:t>
      </w:r>
      <w:r>
        <w:rPr>
          <w:rFonts w:hint="eastAsia" w:ascii="仿宋_GB2312" w:hAnsi="Times New Roman" w:eastAsia="仿宋_GB2312"/>
          <w:bCs/>
          <w:sz w:val="32"/>
          <w:szCs w:val="32"/>
        </w:rPr>
        <w:t>：</w:t>
      </w:r>
    </w:p>
    <w:p>
      <w:pPr>
        <w:pStyle w:val="5"/>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现对2022年1月1</w:t>
      </w:r>
      <w:r>
        <w:rPr>
          <w:rFonts w:hint="eastAsia" w:ascii="仿宋_GB2312" w:hAnsi="仿宋_GB2312" w:eastAsia="仿宋_GB2312"/>
          <w:sz w:val="32"/>
          <w:szCs w:val="32"/>
          <w:lang w:val="en-US" w:eastAsia="zh-CN"/>
        </w:rPr>
        <w:t>9</w:t>
      </w:r>
      <w:r>
        <w:rPr>
          <w:rFonts w:hint="eastAsia" w:ascii="仿宋_GB2312" w:hAnsi="仿宋_GB2312" w:eastAsia="仿宋_GB2312"/>
          <w:sz w:val="32"/>
          <w:szCs w:val="32"/>
        </w:rPr>
        <w:t>日发标的深圳地铁开发项目2022年度营销策划及研究报告（前期策划、价格研究）集中采购项目</w:t>
      </w:r>
      <w:r>
        <w:rPr>
          <w:rFonts w:hint="eastAsia" w:ascii="仿宋_GB2312" w:hAnsi="宋体" w:eastAsia="仿宋_GB2312"/>
          <w:color w:val="000000" w:themeColor="text1"/>
          <w:sz w:val="32"/>
          <w:szCs w:val="32"/>
          <w14:textFill>
            <w14:solidFill>
              <w14:schemeClr w14:val="tx1"/>
            </w14:solidFill>
          </w14:textFill>
        </w:rPr>
        <w:t>比选文件进行补遗，本补遗文件与原比选文件有矛盾之处，以本补遗文件为准，原比选文件的其他部分仍然有效。请参选人按照本补遗文件和原比选文件的规定，提交比选文件。</w:t>
      </w:r>
      <w:r>
        <w:rPr>
          <w:rFonts w:hint="eastAsia" w:ascii="仿宋_GB2312" w:hAnsi="仿宋_GB2312" w:eastAsia="仿宋_GB2312"/>
          <w:sz w:val="32"/>
          <w:szCs w:val="32"/>
        </w:rPr>
        <w:t>补遗内容如下：</w:t>
      </w:r>
    </w:p>
    <w:p>
      <w:pPr>
        <w:pStyle w:val="13"/>
        <w:numPr>
          <w:ilvl w:val="0"/>
          <w:numId w:val="1"/>
        </w:numPr>
        <w:adjustRightInd w:val="0"/>
        <w:snapToGrid w:val="0"/>
        <w:spacing w:line="560" w:lineRule="exact"/>
        <w:ind w:firstLineChars="0"/>
        <w:rPr>
          <w:rFonts w:ascii="黑体" w:hAnsi="黑体" w:eastAsia="黑体" w:cs="仿宋_GB2312"/>
          <w:sz w:val="32"/>
          <w:szCs w:val="32"/>
        </w:rPr>
      </w:pPr>
      <w:r>
        <w:rPr>
          <w:rFonts w:hint="eastAsia" w:ascii="黑体" w:hAnsi="黑体" w:eastAsia="黑体" w:cs="仿宋_GB2312"/>
          <w:sz w:val="32"/>
          <w:szCs w:val="32"/>
          <w:lang w:eastAsia="zh-CN"/>
        </w:rPr>
        <w:t>业绩要求</w:t>
      </w:r>
    </w:p>
    <w:p>
      <w:pPr>
        <w:pStyle w:val="5"/>
        <w:numPr>
          <w:ilvl w:val="0"/>
          <w:numId w:val="2"/>
        </w:numPr>
        <w:spacing w:line="560" w:lineRule="exact"/>
        <w:ind w:left="0" w:leftChars="0" w:firstLine="640" w:firstLineChars="200"/>
        <w:rPr>
          <w:rFonts w:ascii="黑体" w:hAnsi="黑体" w:eastAsia="黑体"/>
          <w:sz w:val="32"/>
          <w:szCs w:val="32"/>
        </w:rPr>
      </w:pPr>
      <w:bookmarkStart w:id="0" w:name="_Toc87428512"/>
      <w:r>
        <w:rPr>
          <w:rFonts w:hint="eastAsia" w:ascii="仿宋_GB2312" w:hAnsi="仿宋_GB2312" w:eastAsia="仿宋_GB2312"/>
          <w:sz w:val="32"/>
          <w:szCs w:val="32"/>
          <w:highlight w:val="none"/>
          <w:lang w:val="en-US" w:eastAsia="zh-CN"/>
        </w:rPr>
        <w:t>原技术标详细评审表中第5-7项合并为“团队业绩与经验”，具体如下：</w:t>
      </w:r>
    </w:p>
    <w:tbl>
      <w:tblPr>
        <w:tblStyle w:val="8"/>
        <w:tblW w:w="11292" w:type="dxa"/>
        <w:jc w:val="center"/>
        <w:tblLayout w:type="autofit"/>
        <w:tblCellMar>
          <w:top w:w="0" w:type="dxa"/>
          <w:left w:w="108" w:type="dxa"/>
          <w:bottom w:w="0" w:type="dxa"/>
          <w:right w:w="108" w:type="dxa"/>
        </w:tblCellMar>
      </w:tblPr>
      <w:tblGrid>
        <w:gridCol w:w="744"/>
        <w:gridCol w:w="1178"/>
        <w:gridCol w:w="1178"/>
        <w:gridCol w:w="7258"/>
        <w:gridCol w:w="934"/>
      </w:tblGrid>
      <w:tr>
        <w:tblPrEx>
          <w:tblCellMar>
            <w:top w:w="0" w:type="dxa"/>
            <w:left w:w="108" w:type="dxa"/>
            <w:bottom w:w="0" w:type="dxa"/>
            <w:right w:w="108" w:type="dxa"/>
          </w:tblCellMar>
        </w:tblPrEx>
        <w:trPr>
          <w:trHeight w:val="285" w:hRule="atLeast"/>
          <w:jc w:val="center"/>
        </w:trPr>
        <w:tc>
          <w:tcPr>
            <w:tcW w:w="744"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编号</w:t>
            </w:r>
          </w:p>
        </w:tc>
        <w:tc>
          <w:tcPr>
            <w:tcW w:w="2356" w:type="dxa"/>
            <w:gridSpan w:val="2"/>
            <w:tcBorders>
              <w:top w:val="single" w:color="auto" w:sz="4" w:space="0"/>
              <w:left w:val="nil"/>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评审项目</w:t>
            </w:r>
          </w:p>
        </w:tc>
        <w:tc>
          <w:tcPr>
            <w:tcW w:w="7258" w:type="dxa"/>
            <w:tcBorders>
              <w:top w:val="single" w:color="auto" w:sz="4" w:space="0"/>
              <w:left w:val="nil"/>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评分标准</w:t>
            </w:r>
          </w:p>
        </w:tc>
        <w:tc>
          <w:tcPr>
            <w:tcW w:w="934" w:type="dxa"/>
            <w:tcBorders>
              <w:top w:val="single" w:color="auto" w:sz="4" w:space="0"/>
              <w:left w:val="nil"/>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满分值</w:t>
            </w:r>
          </w:p>
        </w:tc>
      </w:tr>
      <w:tr>
        <w:tblPrEx>
          <w:tblCellMar>
            <w:top w:w="0" w:type="dxa"/>
            <w:left w:w="108" w:type="dxa"/>
            <w:bottom w:w="0" w:type="dxa"/>
            <w:right w:w="108" w:type="dxa"/>
          </w:tblCellMar>
        </w:tblPrEx>
        <w:trPr>
          <w:trHeight w:val="285" w:hRule="atLeast"/>
          <w:jc w:val="center"/>
        </w:trPr>
        <w:tc>
          <w:tcPr>
            <w:tcW w:w="744" w:type="dxa"/>
            <w:vMerge w:val="restart"/>
            <w:tcBorders>
              <w:top w:val="nil"/>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1</w:t>
            </w:r>
          </w:p>
        </w:tc>
        <w:tc>
          <w:tcPr>
            <w:tcW w:w="2356" w:type="dxa"/>
            <w:gridSpan w:val="2"/>
            <w:vMerge w:val="restart"/>
            <w:tcBorders>
              <w:top w:val="nil"/>
              <w:left w:val="single" w:color="auto" w:sz="4" w:space="0"/>
              <w:right w:val="single" w:color="auto" w:sz="4" w:space="0"/>
            </w:tcBorders>
            <w:noWrap w:val="0"/>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项目分析</w:t>
            </w: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①项目定位及价值分析准确度，横向比较（0-1分）</w:t>
            </w:r>
          </w:p>
        </w:tc>
        <w:tc>
          <w:tcPr>
            <w:tcW w:w="934" w:type="dxa"/>
            <w:vMerge w:val="restart"/>
            <w:tcBorders>
              <w:top w:val="nil"/>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4</w:t>
            </w:r>
          </w:p>
        </w:tc>
      </w:tr>
      <w:tr>
        <w:tblPrEx>
          <w:tblCellMar>
            <w:top w:w="0" w:type="dxa"/>
            <w:left w:w="108" w:type="dxa"/>
            <w:bottom w:w="0" w:type="dxa"/>
            <w:right w:w="108" w:type="dxa"/>
          </w:tblCellMar>
        </w:tblPrEx>
        <w:trPr>
          <w:trHeight w:val="285" w:hRule="atLeast"/>
          <w:jc w:val="center"/>
        </w:trPr>
        <w:tc>
          <w:tcPr>
            <w:tcW w:w="74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2356" w:type="dxa"/>
            <w:gridSpan w:val="2"/>
            <w:vMerge w:val="continue"/>
            <w:tcBorders>
              <w:left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②项目SWOT分析准确度，横向比较（0-1分）</w:t>
            </w:r>
          </w:p>
        </w:tc>
        <w:tc>
          <w:tcPr>
            <w:tcW w:w="93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r>
      <w:tr>
        <w:tblPrEx>
          <w:tblCellMar>
            <w:top w:w="0" w:type="dxa"/>
            <w:left w:w="108" w:type="dxa"/>
            <w:bottom w:w="0" w:type="dxa"/>
            <w:right w:w="108" w:type="dxa"/>
          </w:tblCellMar>
        </w:tblPrEx>
        <w:trPr>
          <w:trHeight w:val="285" w:hRule="atLeast"/>
          <w:jc w:val="center"/>
        </w:trPr>
        <w:tc>
          <w:tcPr>
            <w:tcW w:w="74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2356" w:type="dxa"/>
            <w:gridSpan w:val="2"/>
            <w:vMerge w:val="continue"/>
            <w:tcBorders>
              <w:left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③项目竞品分析准确度，横向比较（0-1分）</w:t>
            </w:r>
          </w:p>
        </w:tc>
        <w:tc>
          <w:tcPr>
            <w:tcW w:w="93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r>
      <w:tr>
        <w:tblPrEx>
          <w:tblCellMar>
            <w:top w:w="0" w:type="dxa"/>
            <w:left w:w="108" w:type="dxa"/>
            <w:bottom w:w="0" w:type="dxa"/>
            <w:right w:w="108" w:type="dxa"/>
          </w:tblCellMar>
        </w:tblPrEx>
        <w:trPr>
          <w:trHeight w:val="285" w:hRule="atLeast"/>
          <w:jc w:val="center"/>
        </w:trPr>
        <w:tc>
          <w:tcPr>
            <w:tcW w:w="74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2356" w:type="dxa"/>
            <w:gridSpan w:val="2"/>
            <w:vMerge w:val="continue"/>
            <w:tcBorders>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④项目客户分析准确度，横向比较（0-1分）</w:t>
            </w:r>
          </w:p>
        </w:tc>
        <w:tc>
          <w:tcPr>
            <w:tcW w:w="93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r>
      <w:tr>
        <w:tblPrEx>
          <w:tblCellMar>
            <w:top w:w="0" w:type="dxa"/>
            <w:left w:w="108" w:type="dxa"/>
            <w:bottom w:w="0" w:type="dxa"/>
            <w:right w:w="108" w:type="dxa"/>
          </w:tblCellMar>
        </w:tblPrEx>
        <w:trPr>
          <w:trHeight w:val="285" w:hRule="atLeast"/>
          <w:jc w:val="center"/>
        </w:trPr>
        <w:tc>
          <w:tcPr>
            <w:tcW w:w="744" w:type="dxa"/>
            <w:vMerge w:val="restart"/>
            <w:tcBorders>
              <w:top w:val="nil"/>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2</w:t>
            </w:r>
          </w:p>
        </w:tc>
        <w:tc>
          <w:tcPr>
            <w:tcW w:w="2356" w:type="dxa"/>
            <w:gridSpan w:val="2"/>
            <w:vMerge w:val="restart"/>
            <w:tcBorders>
              <w:top w:val="nil"/>
              <w:left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推广及活动策略</w:t>
            </w: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①根据项目分析制定的推广及活动策略，编制工作计划及费用合理度，横向比较（0-4分）</w:t>
            </w:r>
          </w:p>
        </w:tc>
        <w:tc>
          <w:tcPr>
            <w:tcW w:w="934" w:type="dxa"/>
            <w:vMerge w:val="restart"/>
            <w:tcBorders>
              <w:top w:val="nil"/>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12</w:t>
            </w:r>
          </w:p>
        </w:tc>
      </w:tr>
      <w:tr>
        <w:tblPrEx>
          <w:tblCellMar>
            <w:top w:w="0" w:type="dxa"/>
            <w:left w:w="108" w:type="dxa"/>
            <w:bottom w:w="0" w:type="dxa"/>
            <w:right w:w="108" w:type="dxa"/>
          </w:tblCellMar>
        </w:tblPrEx>
        <w:trPr>
          <w:trHeight w:val="285" w:hRule="atLeast"/>
          <w:jc w:val="center"/>
        </w:trPr>
        <w:tc>
          <w:tcPr>
            <w:tcW w:w="74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2356" w:type="dxa"/>
            <w:gridSpan w:val="2"/>
            <w:vMerge w:val="continue"/>
            <w:tcBorders>
              <w:left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②推广及活动主题鲜明，符合项目特征，可执行性强，横向比较(0-3分)</w:t>
            </w:r>
          </w:p>
        </w:tc>
        <w:tc>
          <w:tcPr>
            <w:tcW w:w="93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r>
      <w:tr>
        <w:tblPrEx>
          <w:tblCellMar>
            <w:top w:w="0" w:type="dxa"/>
            <w:left w:w="108" w:type="dxa"/>
            <w:bottom w:w="0" w:type="dxa"/>
            <w:right w:w="108" w:type="dxa"/>
          </w:tblCellMar>
        </w:tblPrEx>
        <w:trPr>
          <w:trHeight w:val="285" w:hRule="atLeast"/>
          <w:jc w:val="center"/>
        </w:trPr>
        <w:tc>
          <w:tcPr>
            <w:tcW w:w="74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2356" w:type="dxa"/>
            <w:gridSpan w:val="2"/>
            <w:vMerge w:val="continue"/>
            <w:tcBorders>
              <w:left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③推广渠道精准，覆盖目标客户的生活轨迹，横向比较(0-3分)</w:t>
            </w:r>
          </w:p>
        </w:tc>
        <w:tc>
          <w:tcPr>
            <w:tcW w:w="93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r>
      <w:tr>
        <w:tblPrEx>
          <w:tblCellMar>
            <w:top w:w="0" w:type="dxa"/>
            <w:left w:w="108" w:type="dxa"/>
            <w:bottom w:w="0" w:type="dxa"/>
            <w:right w:w="108" w:type="dxa"/>
          </w:tblCellMar>
        </w:tblPrEx>
        <w:trPr>
          <w:trHeight w:val="285" w:hRule="atLeast"/>
          <w:jc w:val="center"/>
        </w:trPr>
        <w:tc>
          <w:tcPr>
            <w:tcW w:w="74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2356" w:type="dxa"/>
            <w:gridSpan w:val="2"/>
            <w:vMerge w:val="continue"/>
            <w:tcBorders>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④推广注重提高项目市场认知度及打造置业集团品牌，横向比较（0-2分）</w:t>
            </w:r>
          </w:p>
        </w:tc>
        <w:tc>
          <w:tcPr>
            <w:tcW w:w="93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r>
      <w:tr>
        <w:tblPrEx>
          <w:tblCellMar>
            <w:top w:w="0" w:type="dxa"/>
            <w:left w:w="108" w:type="dxa"/>
            <w:bottom w:w="0" w:type="dxa"/>
            <w:right w:w="108" w:type="dxa"/>
          </w:tblCellMar>
        </w:tblPrEx>
        <w:trPr>
          <w:trHeight w:val="285" w:hRule="atLeast"/>
          <w:jc w:val="center"/>
        </w:trPr>
        <w:tc>
          <w:tcPr>
            <w:tcW w:w="744" w:type="dxa"/>
            <w:vMerge w:val="restart"/>
            <w:tcBorders>
              <w:top w:val="nil"/>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3</w:t>
            </w:r>
          </w:p>
        </w:tc>
        <w:tc>
          <w:tcPr>
            <w:tcW w:w="2356" w:type="dxa"/>
            <w:gridSpan w:val="2"/>
            <w:vMerge w:val="restart"/>
            <w:tcBorders>
              <w:top w:val="nil"/>
              <w:left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蓄客策略</w:t>
            </w: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①根据项目客户分析制定的蓄客策略，编制蓄客计划合理度，横向比较（0-4分）</w:t>
            </w:r>
          </w:p>
        </w:tc>
        <w:tc>
          <w:tcPr>
            <w:tcW w:w="934" w:type="dxa"/>
            <w:vMerge w:val="restart"/>
            <w:tcBorders>
              <w:top w:val="nil"/>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10</w:t>
            </w:r>
          </w:p>
        </w:tc>
      </w:tr>
      <w:tr>
        <w:tblPrEx>
          <w:tblCellMar>
            <w:top w:w="0" w:type="dxa"/>
            <w:left w:w="108" w:type="dxa"/>
            <w:bottom w:w="0" w:type="dxa"/>
            <w:right w:w="108" w:type="dxa"/>
          </w:tblCellMar>
        </w:tblPrEx>
        <w:trPr>
          <w:trHeight w:val="285" w:hRule="atLeast"/>
          <w:jc w:val="center"/>
        </w:trPr>
        <w:tc>
          <w:tcPr>
            <w:tcW w:w="74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2356" w:type="dxa"/>
            <w:gridSpan w:val="2"/>
            <w:vMerge w:val="continue"/>
            <w:tcBorders>
              <w:left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②不同阶段制定目标客户的蓄客渠道和方法合理度，横向比较（0-3分）</w:t>
            </w:r>
          </w:p>
        </w:tc>
        <w:tc>
          <w:tcPr>
            <w:tcW w:w="93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r>
      <w:tr>
        <w:tblPrEx>
          <w:tblCellMar>
            <w:top w:w="0" w:type="dxa"/>
            <w:left w:w="108" w:type="dxa"/>
            <w:bottom w:w="0" w:type="dxa"/>
            <w:right w:w="108" w:type="dxa"/>
          </w:tblCellMar>
        </w:tblPrEx>
        <w:trPr>
          <w:trHeight w:val="285" w:hRule="atLeast"/>
          <w:jc w:val="center"/>
        </w:trPr>
        <w:tc>
          <w:tcPr>
            <w:tcW w:w="74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2356" w:type="dxa"/>
            <w:gridSpan w:val="2"/>
            <w:vMerge w:val="continue"/>
            <w:tcBorders>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③蓄客计划及销售进度计划的匹配度及合理度（含蓄客数量或比例），横向比较（0-3分）</w:t>
            </w:r>
          </w:p>
        </w:tc>
        <w:tc>
          <w:tcPr>
            <w:tcW w:w="934"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ascii="仿宋" w:hAnsi="仿宋" w:eastAsia="仿宋" w:cs="仿宋"/>
                <w:color w:val="000000"/>
                <w:kern w:val="0"/>
                <w:szCs w:val="21"/>
              </w:rPr>
            </w:pPr>
          </w:p>
        </w:tc>
      </w:tr>
      <w:tr>
        <w:tblPrEx>
          <w:tblCellMar>
            <w:top w:w="0" w:type="dxa"/>
            <w:left w:w="108" w:type="dxa"/>
            <w:bottom w:w="0" w:type="dxa"/>
            <w:right w:w="108" w:type="dxa"/>
          </w:tblCellMar>
        </w:tblPrEx>
        <w:trPr>
          <w:trHeight w:val="570" w:hRule="atLeast"/>
          <w:jc w:val="center"/>
        </w:trPr>
        <w:tc>
          <w:tcPr>
            <w:tcW w:w="744"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4</w:t>
            </w:r>
          </w:p>
        </w:tc>
        <w:tc>
          <w:tcPr>
            <w:tcW w:w="2356" w:type="dxa"/>
            <w:gridSpan w:val="2"/>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销售策略</w:t>
            </w: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销售价格方案合理度，分析方法、理由及推导过程（包括市场环境、政策、竞品分析等），横向比较（0-5分）</w:t>
            </w:r>
          </w:p>
        </w:tc>
        <w:tc>
          <w:tcPr>
            <w:tcW w:w="934"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5</w:t>
            </w:r>
          </w:p>
        </w:tc>
      </w:tr>
      <w:tr>
        <w:tblPrEx>
          <w:tblCellMar>
            <w:top w:w="0" w:type="dxa"/>
            <w:left w:w="108" w:type="dxa"/>
            <w:bottom w:w="0" w:type="dxa"/>
            <w:right w:w="108" w:type="dxa"/>
          </w:tblCellMar>
        </w:tblPrEx>
        <w:trPr>
          <w:trHeight w:val="70" w:hRule="atLeast"/>
          <w:jc w:val="center"/>
        </w:trPr>
        <w:tc>
          <w:tcPr>
            <w:tcW w:w="744"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5</w:t>
            </w:r>
          </w:p>
        </w:tc>
        <w:tc>
          <w:tcPr>
            <w:tcW w:w="1178" w:type="dxa"/>
            <w:vMerge w:val="restart"/>
            <w:tcBorders>
              <w:top w:val="nil"/>
              <w:left w:val="single" w:color="auto" w:sz="4" w:space="0"/>
              <w:right w:val="single" w:color="auto" w:sz="4" w:space="0"/>
            </w:tcBorders>
            <w:noWrap w:val="0"/>
            <w:vAlign w:val="center"/>
          </w:tcPr>
          <w:p>
            <w:pPr>
              <w:widowControl/>
              <w:adjustRightInd w:val="0"/>
              <w:snapToGrid w:val="0"/>
              <w:spacing w:line="360" w:lineRule="auto"/>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eastAsia="zh-CN"/>
              </w:rPr>
              <w:t>团队业绩与经验</w:t>
            </w:r>
          </w:p>
        </w:tc>
        <w:tc>
          <w:tcPr>
            <w:tcW w:w="1178" w:type="dxa"/>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lang w:eastAsia="zh-CN"/>
              </w:rPr>
              <w:t>团队</w:t>
            </w:r>
            <w:r>
              <w:rPr>
                <w:rFonts w:hint="eastAsia" w:ascii="仿宋" w:hAnsi="仿宋" w:eastAsia="仿宋" w:cs="仿宋"/>
                <w:color w:val="000000"/>
                <w:kern w:val="0"/>
                <w:szCs w:val="21"/>
              </w:rPr>
              <w:t>业绩</w:t>
            </w:r>
          </w:p>
        </w:tc>
        <w:tc>
          <w:tcPr>
            <w:tcW w:w="7258"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ascii="仿宋" w:hAnsi="仿宋" w:eastAsia="仿宋" w:cs="仿宋"/>
                <w:color w:val="000000"/>
                <w:kern w:val="0"/>
                <w:szCs w:val="21"/>
              </w:rPr>
            </w:pPr>
            <w:r>
              <w:rPr>
                <w:rFonts w:hint="eastAsia" w:ascii="仿宋" w:hAnsi="仿宋" w:eastAsia="仿宋" w:cs="仿宋"/>
                <w:color w:val="000000"/>
                <w:kern w:val="0"/>
                <w:szCs w:val="21"/>
              </w:rPr>
              <w:t>拟销售项目的项目总监</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策划经理在福田、南山、龙华、宝安承担过规模在5万㎡以上住宅/公寓营销策划项目，且项目在2014年1月1日后开盘的，每一个得1分（</w:t>
            </w:r>
            <w:r>
              <w:rPr>
                <w:rFonts w:hint="eastAsia" w:ascii="仿宋" w:hAnsi="仿宋" w:eastAsia="仿宋" w:cs="仿宋"/>
                <w:color w:val="000000"/>
                <w:kern w:val="0"/>
                <w:szCs w:val="21"/>
                <w:lang w:eastAsia="zh-CN"/>
              </w:rPr>
              <w:t>提供的合同关键页需符合关键字的相关要求，</w:t>
            </w:r>
            <w:r>
              <w:rPr>
                <w:rFonts w:hint="eastAsia" w:ascii="仿宋" w:hAnsi="仿宋" w:eastAsia="仿宋" w:cs="仿宋"/>
                <w:color w:val="000000"/>
                <w:kern w:val="0"/>
                <w:szCs w:val="21"/>
              </w:rPr>
              <w:t>合同有注明联合销售或独家代理等都算1分），满分10分 (10分)</w:t>
            </w:r>
          </w:p>
        </w:tc>
        <w:tc>
          <w:tcPr>
            <w:tcW w:w="934"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10</w:t>
            </w:r>
          </w:p>
        </w:tc>
      </w:tr>
      <w:tr>
        <w:tblPrEx>
          <w:tblCellMar>
            <w:top w:w="0" w:type="dxa"/>
            <w:left w:w="108" w:type="dxa"/>
            <w:bottom w:w="0" w:type="dxa"/>
            <w:right w:w="108" w:type="dxa"/>
          </w:tblCellMar>
        </w:tblPrEx>
        <w:trPr>
          <w:trHeight w:val="285" w:hRule="atLeast"/>
          <w:jc w:val="center"/>
        </w:trPr>
        <w:tc>
          <w:tcPr>
            <w:tcW w:w="744" w:type="dxa"/>
            <w:vMerge w:val="restart"/>
            <w:tcBorders>
              <w:top w:val="nil"/>
              <w:left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6</w:t>
            </w:r>
          </w:p>
        </w:tc>
        <w:tc>
          <w:tcPr>
            <w:tcW w:w="1178" w:type="dxa"/>
            <w:vMerge w:val="continue"/>
            <w:tcBorders>
              <w:left w:val="single" w:color="auto" w:sz="4" w:space="0"/>
              <w:right w:val="single" w:color="auto" w:sz="4" w:space="0"/>
            </w:tcBorders>
            <w:noWrap w:val="0"/>
            <w:vAlign w:val="center"/>
          </w:tcPr>
          <w:p>
            <w:pPr>
              <w:widowControl/>
              <w:adjustRightInd w:val="0"/>
              <w:snapToGrid w:val="0"/>
              <w:spacing w:line="360" w:lineRule="auto"/>
              <w:jc w:val="center"/>
              <w:rPr>
                <w:rFonts w:hint="eastAsia" w:ascii="仿宋" w:hAnsi="仿宋" w:eastAsia="仿宋" w:cs="仿宋"/>
                <w:color w:val="000000"/>
                <w:kern w:val="0"/>
                <w:szCs w:val="21"/>
              </w:rPr>
            </w:pPr>
          </w:p>
        </w:tc>
        <w:tc>
          <w:tcPr>
            <w:tcW w:w="1178" w:type="dxa"/>
            <w:vMerge w:val="restart"/>
            <w:tcBorders>
              <w:top w:val="nil"/>
              <w:left w:val="single" w:color="auto" w:sz="4" w:space="0"/>
              <w:right w:val="single" w:color="auto" w:sz="4" w:space="0"/>
            </w:tcBorders>
            <w:noWrap w:val="0"/>
            <w:vAlign w:val="center"/>
          </w:tcPr>
          <w:p>
            <w:pPr>
              <w:widowControl/>
              <w:adjustRightInd w:val="0"/>
              <w:snapToGrid w:val="0"/>
              <w:spacing w:line="360" w:lineRule="auto"/>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拟任拟销售项目的项目总监</w:t>
            </w:r>
          </w:p>
        </w:tc>
        <w:tc>
          <w:tcPr>
            <w:tcW w:w="7258" w:type="dxa"/>
            <w:tcBorders>
              <w:top w:val="nil"/>
              <w:left w:val="nil"/>
              <w:bottom w:val="single" w:color="auto" w:sz="4" w:space="0"/>
              <w:right w:val="single" w:color="auto" w:sz="4" w:space="0"/>
            </w:tcBorders>
            <w:noWrap w:val="0"/>
            <w:vAlign w:val="center"/>
          </w:tcPr>
          <w:p>
            <w:pPr>
              <w:pStyle w:val="13"/>
              <w:widowControl/>
              <w:numPr>
                <w:ilvl w:val="0"/>
                <w:numId w:val="3"/>
              </w:numPr>
              <w:adjustRightInd w:val="0"/>
              <w:snapToGrid w:val="0"/>
              <w:spacing w:line="360" w:lineRule="auto"/>
              <w:ind w:left="360" w:leftChars="0" w:hanging="360" w:firstLineChars="0"/>
              <w:rPr>
                <w:rFonts w:ascii="仿宋" w:hAnsi="仿宋" w:eastAsia="仿宋" w:cs="仿宋"/>
                <w:color w:val="000000"/>
                <w:kern w:val="0"/>
                <w:szCs w:val="21"/>
              </w:rPr>
            </w:pPr>
            <w:r>
              <w:rPr>
                <w:rFonts w:hint="eastAsia" w:ascii="仿宋" w:hAnsi="仿宋" w:eastAsia="仿宋" w:cs="仿宋"/>
                <w:color w:val="000000"/>
                <w:kern w:val="0"/>
                <w:szCs w:val="21"/>
              </w:rPr>
              <w:t>房地产策划、销售相关工作经验：年限≥10年得1分， 8年≤年限＜10年得0.5分，年限＜8年不得分，满分1分 (1分)</w:t>
            </w:r>
          </w:p>
        </w:tc>
        <w:tc>
          <w:tcPr>
            <w:tcW w:w="934" w:type="dxa"/>
            <w:vMerge w:val="restart"/>
            <w:tcBorders>
              <w:top w:val="nil"/>
              <w:left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3</w:t>
            </w:r>
          </w:p>
        </w:tc>
      </w:tr>
      <w:tr>
        <w:tblPrEx>
          <w:tblCellMar>
            <w:top w:w="0" w:type="dxa"/>
            <w:left w:w="108" w:type="dxa"/>
            <w:bottom w:w="0" w:type="dxa"/>
            <w:right w:w="108" w:type="dxa"/>
          </w:tblCellMar>
        </w:tblPrEx>
        <w:trPr>
          <w:trHeight w:val="285" w:hRule="atLeast"/>
          <w:jc w:val="center"/>
        </w:trPr>
        <w:tc>
          <w:tcPr>
            <w:tcW w:w="744" w:type="dxa"/>
            <w:vMerge w:val="continue"/>
            <w:tcBorders>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p>
        </w:tc>
        <w:tc>
          <w:tcPr>
            <w:tcW w:w="1178" w:type="dxa"/>
            <w:vMerge w:val="continue"/>
            <w:tcBorders>
              <w:left w:val="single" w:color="auto" w:sz="4" w:space="0"/>
              <w:right w:val="single" w:color="auto" w:sz="4" w:space="0"/>
            </w:tcBorders>
            <w:noWrap w:val="0"/>
            <w:vAlign w:val="center"/>
          </w:tcPr>
          <w:p>
            <w:pPr>
              <w:widowControl/>
              <w:adjustRightInd w:val="0"/>
              <w:snapToGrid w:val="0"/>
              <w:spacing w:line="360" w:lineRule="auto"/>
              <w:jc w:val="center"/>
              <w:rPr>
                <w:rFonts w:ascii="仿宋" w:hAnsi="仿宋" w:eastAsia="仿宋" w:cs="仿宋"/>
                <w:color w:val="000000"/>
                <w:kern w:val="0"/>
                <w:szCs w:val="21"/>
              </w:rPr>
            </w:pPr>
          </w:p>
        </w:tc>
        <w:tc>
          <w:tcPr>
            <w:tcW w:w="1178"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rFonts w:ascii="仿宋" w:hAnsi="仿宋" w:eastAsia="仿宋" w:cs="仿宋"/>
                <w:color w:val="000000"/>
                <w:kern w:val="0"/>
                <w:szCs w:val="21"/>
              </w:rPr>
            </w:pPr>
          </w:p>
        </w:tc>
        <w:tc>
          <w:tcPr>
            <w:tcW w:w="7258" w:type="dxa"/>
            <w:tcBorders>
              <w:top w:val="nil"/>
              <w:left w:val="nil"/>
              <w:bottom w:val="single" w:color="auto" w:sz="4" w:space="0"/>
              <w:right w:val="single" w:color="auto" w:sz="4" w:space="0"/>
            </w:tcBorders>
            <w:noWrap w:val="0"/>
            <w:vAlign w:val="center"/>
          </w:tcPr>
          <w:p>
            <w:pPr>
              <w:pStyle w:val="13"/>
              <w:widowControl/>
              <w:numPr>
                <w:ilvl w:val="0"/>
                <w:numId w:val="3"/>
              </w:numPr>
              <w:adjustRightInd w:val="0"/>
              <w:snapToGrid w:val="0"/>
              <w:spacing w:line="360" w:lineRule="auto"/>
              <w:ind w:left="360" w:leftChars="0" w:hanging="360" w:firstLineChars="0"/>
              <w:rPr>
                <w:rFonts w:ascii="仿宋" w:hAnsi="仿宋" w:eastAsia="仿宋" w:cs="仿宋"/>
                <w:color w:val="000000"/>
                <w:kern w:val="0"/>
                <w:szCs w:val="21"/>
              </w:rPr>
            </w:pPr>
            <w:r>
              <w:rPr>
                <w:rFonts w:hint="eastAsia" w:ascii="仿宋" w:hAnsi="仿宋" w:eastAsia="仿宋" w:cs="仿宋"/>
                <w:color w:val="000000"/>
                <w:kern w:val="0"/>
                <w:szCs w:val="21"/>
              </w:rPr>
              <w:t>现场答辩表现，横向比较（0-2分）</w:t>
            </w:r>
          </w:p>
        </w:tc>
        <w:tc>
          <w:tcPr>
            <w:tcW w:w="934" w:type="dxa"/>
            <w:vMerge w:val="continue"/>
            <w:tcBorders>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p>
        </w:tc>
      </w:tr>
      <w:tr>
        <w:tblPrEx>
          <w:tblCellMar>
            <w:top w:w="0" w:type="dxa"/>
            <w:left w:w="108" w:type="dxa"/>
            <w:bottom w:w="0" w:type="dxa"/>
            <w:right w:w="108" w:type="dxa"/>
          </w:tblCellMar>
        </w:tblPrEx>
        <w:trPr>
          <w:trHeight w:val="285" w:hRule="atLeast"/>
          <w:jc w:val="center"/>
        </w:trPr>
        <w:tc>
          <w:tcPr>
            <w:tcW w:w="744" w:type="dxa"/>
            <w:vMerge w:val="restart"/>
            <w:tcBorders>
              <w:top w:val="nil"/>
              <w:left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7</w:t>
            </w:r>
          </w:p>
        </w:tc>
        <w:tc>
          <w:tcPr>
            <w:tcW w:w="1178" w:type="dxa"/>
            <w:vMerge w:val="continue"/>
            <w:tcBorders>
              <w:left w:val="single" w:color="auto" w:sz="4" w:space="0"/>
              <w:right w:val="single" w:color="auto" w:sz="4" w:space="0"/>
            </w:tcBorders>
            <w:noWrap w:val="0"/>
            <w:vAlign w:val="center"/>
          </w:tcPr>
          <w:p>
            <w:pPr>
              <w:widowControl/>
              <w:adjustRightInd w:val="0"/>
              <w:snapToGrid w:val="0"/>
              <w:spacing w:line="360" w:lineRule="auto"/>
              <w:jc w:val="center"/>
              <w:rPr>
                <w:rFonts w:hint="eastAsia" w:ascii="仿宋" w:hAnsi="仿宋" w:eastAsia="仿宋" w:cs="仿宋"/>
                <w:color w:val="000000"/>
                <w:kern w:val="0"/>
                <w:szCs w:val="21"/>
              </w:rPr>
            </w:pPr>
          </w:p>
        </w:tc>
        <w:tc>
          <w:tcPr>
            <w:tcW w:w="1178" w:type="dxa"/>
            <w:vMerge w:val="restart"/>
            <w:tcBorders>
              <w:top w:val="nil"/>
              <w:left w:val="single" w:color="auto" w:sz="4" w:space="0"/>
              <w:right w:val="single" w:color="auto" w:sz="4" w:space="0"/>
            </w:tcBorders>
            <w:noWrap w:val="0"/>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拟任拟销售项目的策划经理</w:t>
            </w:r>
          </w:p>
        </w:tc>
        <w:tc>
          <w:tcPr>
            <w:tcW w:w="7258" w:type="dxa"/>
            <w:tcBorders>
              <w:top w:val="nil"/>
              <w:left w:val="nil"/>
              <w:bottom w:val="single" w:color="auto" w:sz="4" w:space="0"/>
              <w:right w:val="single" w:color="auto" w:sz="4" w:space="0"/>
            </w:tcBorders>
            <w:noWrap w:val="0"/>
            <w:vAlign w:val="center"/>
          </w:tcPr>
          <w:p>
            <w:pPr>
              <w:pStyle w:val="13"/>
              <w:widowControl/>
              <w:numPr>
                <w:ilvl w:val="0"/>
                <w:numId w:val="4"/>
              </w:numPr>
              <w:adjustRightInd w:val="0"/>
              <w:snapToGrid w:val="0"/>
              <w:spacing w:line="360" w:lineRule="auto"/>
              <w:ind w:left="360" w:leftChars="0" w:hanging="360" w:firstLineChars="0"/>
              <w:rPr>
                <w:rFonts w:ascii="仿宋" w:hAnsi="仿宋" w:eastAsia="仿宋" w:cs="仿宋"/>
                <w:color w:val="000000"/>
                <w:kern w:val="0"/>
                <w:szCs w:val="21"/>
              </w:rPr>
            </w:pPr>
            <w:r>
              <w:rPr>
                <w:rFonts w:hint="eastAsia" w:ascii="仿宋" w:hAnsi="仿宋" w:eastAsia="仿宋" w:cs="仿宋"/>
                <w:color w:val="000000"/>
                <w:kern w:val="0"/>
                <w:szCs w:val="21"/>
              </w:rPr>
              <w:t>房地产策划相关工作经验：年限≥8年得2分， 5年≤年限＜8年得1分，年限＜5年不得分，满分2分 (2分)</w:t>
            </w:r>
          </w:p>
        </w:tc>
        <w:tc>
          <w:tcPr>
            <w:tcW w:w="934" w:type="dxa"/>
            <w:vMerge w:val="restart"/>
            <w:tcBorders>
              <w:top w:val="nil"/>
              <w:left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6</w:t>
            </w:r>
          </w:p>
        </w:tc>
      </w:tr>
      <w:tr>
        <w:tblPrEx>
          <w:tblCellMar>
            <w:top w:w="0" w:type="dxa"/>
            <w:left w:w="108" w:type="dxa"/>
            <w:bottom w:w="0" w:type="dxa"/>
            <w:right w:w="108" w:type="dxa"/>
          </w:tblCellMar>
        </w:tblPrEx>
        <w:trPr>
          <w:trHeight w:val="285" w:hRule="atLeast"/>
          <w:jc w:val="center"/>
        </w:trPr>
        <w:tc>
          <w:tcPr>
            <w:tcW w:w="744" w:type="dxa"/>
            <w:vMerge w:val="continue"/>
            <w:tcBorders>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p>
        </w:tc>
        <w:tc>
          <w:tcPr>
            <w:tcW w:w="1178"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rFonts w:ascii="仿宋" w:hAnsi="仿宋" w:eastAsia="仿宋" w:cs="仿宋"/>
                <w:color w:val="000000"/>
                <w:kern w:val="0"/>
                <w:szCs w:val="21"/>
              </w:rPr>
            </w:pPr>
          </w:p>
        </w:tc>
        <w:tc>
          <w:tcPr>
            <w:tcW w:w="1178"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rFonts w:ascii="仿宋" w:hAnsi="仿宋" w:eastAsia="仿宋" w:cs="仿宋"/>
                <w:color w:val="000000"/>
                <w:kern w:val="0"/>
                <w:szCs w:val="21"/>
              </w:rPr>
            </w:pPr>
          </w:p>
        </w:tc>
        <w:tc>
          <w:tcPr>
            <w:tcW w:w="7258" w:type="dxa"/>
            <w:tcBorders>
              <w:top w:val="nil"/>
              <w:left w:val="nil"/>
              <w:bottom w:val="single" w:color="auto" w:sz="4" w:space="0"/>
              <w:right w:val="single" w:color="auto" w:sz="4" w:space="0"/>
            </w:tcBorders>
            <w:noWrap w:val="0"/>
            <w:vAlign w:val="center"/>
          </w:tcPr>
          <w:p>
            <w:pPr>
              <w:pStyle w:val="13"/>
              <w:widowControl/>
              <w:numPr>
                <w:ilvl w:val="0"/>
                <w:numId w:val="4"/>
              </w:numPr>
              <w:adjustRightInd w:val="0"/>
              <w:snapToGrid w:val="0"/>
              <w:spacing w:line="360" w:lineRule="auto"/>
              <w:ind w:left="360" w:leftChars="0" w:hanging="360" w:firstLineChars="0"/>
              <w:rPr>
                <w:rFonts w:ascii="仿宋" w:hAnsi="仿宋" w:eastAsia="仿宋" w:cs="仿宋"/>
                <w:color w:val="000000"/>
                <w:kern w:val="0"/>
                <w:szCs w:val="21"/>
              </w:rPr>
            </w:pPr>
            <w:r>
              <w:rPr>
                <w:rFonts w:hint="eastAsia" w:ascii="仿宋" w:hAnsi="仿宋" w:eastAsia="仿宋" w:cs="仿宋"/>
                <w:color w:val="000000"/>
                <w:kern w:val="0"/>
                <w:szCs w:val="21"/>
              </w:rPr>
              <w:t>现场答辩表现，横向比较（0-4分）</w:t>
            </w:r>
          </w:p>
        </w:tc>
        <w:tc>
          <w:tcPr>
            <w:tcW w:w="934" w:type="dxa"/>
            <w:vMerge w:val="continue"/>
            <w:tcBorders>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p>
        </w:tc>
      </w:tr>
      <w:tr>
        <w:tblPrEx>
          <w:tblCellMar>
            <w:top w:w="0" w:type="dxa"/>
            <w:left w:w="108" w:type="dxa"/>
            <w:bottom w:w="0" w:type="dxa"/>
            <w:right w:w="108" w:type="dxa"/>
          </w:tblCellMar>
        </w:tblPrEx>
        <w:trPr>
          <w:trHeight w:val="285" w:hRule="atLeast"/>
          <w:jc w:val="center"/>
        </w:trPr>
        <w:tc>
          <w:tcPr>
            <w:tcW w:w="744"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8</w:t>
            </w:r>
          </w:p>
        </w:tc>
        <w:tc>
          <w:tcPr>
            <w:tcW w:w="117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60" w:lineRule="auto"/>
              <w:jc w:val="center"/>
              <w:rPr>
                <w:rFonts w:hint="eastAsia" w:ascii="仿宋" w:hAnsi="仿宋" w:eastAsia="仿宋" w:cs="仿宋"/>
                <w:color w:val="000000"/>
                <w:kern w:val="0"/>
                <w:szCs w:val="21"/>
              </w:rPr>
            </w:pPr>
          </w:p>
        </w:tc>
        <w:tc>
          <w:tcPr>
            <w:tcW w:w="8436" w:type="dxa"/>
            <w:gridSpan w:val="2"/>
            <w:tcBorders>
              <w:top w:val="single" w:color="auto" w:sz="4" w:space="0"/>
              <w:left w:val="nil"/>
              <w:bottom w:val="single" w:color="auto" w:sz="4" w:space="0"/>
              <w:right w:val="single" w:color="auto" w:sz="4" w:space="0"/>
            </w:tcBorders>
            <w:noWrap w:val="0"/>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小计</w:t>
            </w:r>
          </w:p>
        </w:tc>
        <w:tc>
          <w:tcPr>
            <w:tcW w:w="934" w:type="dxa"/>
            <w:tcBorders>
              <w:top w:val="nil"/>
              <w:left w:val="nil"/>
              <w:bottom w:val="single" w:color="auto" w:sz="4" w:space="0"/>
              <w:right w:val="single" w:color="auto" w:sz="4" w:space="0"/>
            </w:tcBorders>
            <w:noWrap/>
            <w:vAlign w:val="center"/>
          </w:tcPr>
          <w:p>
            <w:pPr>
              <w:widowControl/>
              <w:adjustRightInd w:val="0"/>
              <w:snapToGrid w:val="0"/>
              <w:spacing w:line="360" w:lineRule="auto"/>
              <w:jc w:val="center"/>
              <w:rPr>
                <w:rFonts w:ascii="仿宋" w:hAnsi="仿宋" w:eastAsia="仿宋" w:cs="仿宋"/>
                <w:color w:val="000000"/>
                <w:kern w:val="0"/>
                <w:szCs w:val="21"/>
              </w:rPr>
            </w:pPr>
            <w:r>
              <w:rPr>
                <w:rFonts w:hint="eastAsia" w:ascii="仿宋" w:hAnsi="仿宋" w:eastAsia="仿宋" w:cs="仿宋"/>
                <w:color w:val="000000"/>
                <w:kern w:val="0"/>
                <w:szCs w:val="21"/>
              </w:rPr>
              <w:t>50</w:t>
            </w:r>
          </w:p>
        </w:tc>
      </w:tr>
    </w:tbl>
    <w:p>
      <w:pPr>
        <w:widowControl/>
        <w:adjustRightInd w:val="0"/>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备注：</w:t>
      </w:r>
    </w:p>
    <w:p>
      <w:pPr>
        <w:tabs>
          <w:tab w:val="left" w:pos="0"/>
        </w:tabs>
        <w:snapToGrid w:val="0"/>
        <w:spacing w:line="360" w:lineRule="auto"/>
        <w:rPr>
          <w:rFonts w:hint="eastAsia" w:ascii="宋体" w:hAnsi="宋体" w:eastAsia="仿宋" w:cs="宋体"/>
          <w:bCs/>
          <w:szCs w:val="21"/>
          <w:highlight w:val="none"/>
          <w:lang w:val="en-US" w:eastAsia="zh-CN"/>
        </w:rPr>
      </w:pPr>
      <w:r>
        <w:rPr>
          <w:rFonts w:hint="eastAsia" w:ascii="宋体" w:hAnsi="宋体" w:cs="宋体"/>
          <w:bCs/>
          <w:szCs w:val="21"/>
        </w:rPr>
        <w:t>1）</w:t>
      </w:r>
      <w:r>
        <w:rPr>
          <w:rFonts w:hint="eastAsia" w:ascii="宋体" w:hAnsi="宋体" w:cs="宋体"/>
          <w:bCs/>
          <w:szCs w:val="21"/>
          <w:lang w:eastAsia="zh-CN"/>
        </w:rPr>
        <w:t>团队业绩与经验的</w:t>
      </w:r>
      <w:r>
        <w:rPr>
          <w:rFonts w:hint="eastAsia" w:ascii="宋体" w:hAnsi="宋体" w:cs="宋体"/>
          <w:bCs/>
          <w:szCs w:val="21"/>
        </w:rPr>
        <w:t>证明材料</w:t>
      </w:r>
      <w:r>
        <w:rPr>
          <w:rFonts w:hint="eastAsia" w:ascii="宋体" w:hAnsi="宋体" w:cs="宋体"/>
          <w:bCs/>
          <w:szCs w:val="21"/>
          <w:lang w:eastAsia="zh-CN"/>
        </w:rPr>
        <w:t>以</w:t>
      </w:r>
      <w:r>
        <w:rPr>
          <w:rFonts w:hint="eastAsia" w:ascii="宋体" w:hAnsi="宋体" w:cs="宋体"/>
          <w:bCs/>
          <w:szCs w:val="21"/>
          <w:lang w:val="en-US" w:eastAsia="zh-CN"/>
        </w:rPr>
        <w:t>《项目组工作人员一览表》中的个人代表业绩为准</w:t>
      </w:r>
      <w:r>
        <w:rPr>
          <w:rFonts w:hint="eastAsia" w:ascii="宋体" w:hAnsi="宋体" w:cs="宋体"/>
          <w:bCs/>
          <w:szCs w:val="21"/>
        </w:rPr>
        <w:t>：a.需提供签约合同的关键页，包括但不限于名称、委托内容（合同名称或合同内容含有“策划”</w:t>
      </w:r>
      <w:r>
        <w:rPr>
          <w:rFonts w:hint="eastAsia" w:ascii="宋体" w:hAnsi="宋体" w:cs="宋体"/>
          <w:bCs/>
          <w:szCs w:val="21"/>
          <w:lang w:eastAsia="zh-CN"/>
        </w:rPr>
        <w:t>或“营销”</w:t>
      </w:r>
      <w:r>
        <w:rPr>
          <w:rFonts w:hint="eastAsia" w:ascii="宋体" w:hAnsi="宋体" w:cs="宋体"/>
          <w:bCs/>
          <w:szCs w:val="21"/>
        </w:rPr>
        <w:t>关键</w:t>
      </w:r>
      <w:r>
        <w:rPr>
          <w:rFonts w:hint="eastAsia" w:ascii="宋体" w:hAnsi="宋体" w:cs="宋体"/>
          <w:bCs/>
          <w:szCs w:val="21"/>
          <w:highlight w:val="none"/>
        </w:rPr>
        <w:t>字）、委托面积、委托期限、签订日期、盖章页等；b.需提供开盘时间的证明材料；c.面积以合同签约面积为准，若合同上无面积，需另外提供面积证明材料</w:t>
      </w:r>
      <w:r>
        <w:rPr>
          <w:rFonts w:hint="eastAsia" w:ascii="宋体" w:hAnsi="宋体" w:cs="宋体"/>
          <w:bCs/>
          <w:szCs w:val="21"/>
          <w:highlight w:val="none"/>
          <w:lang w:eastAsia="zh-CN"/>
        </w:rPr>
        <w:t>；</w:t>
      </w:r>
      <w:r>
        <w:rPr>
          <w:rFonts w:hint="eastAsia" w:ascii="宋体" w:hAnsi="宋体" w:cs="宋体"/>
          <w:bCs/>
          <w:szCs w:val="21"/>
          <w:highlight w:val="none"/>
          <w:lang w:val="en-US" w:eastAsia="zh-CN"/>
        </w:rPr>
        <w:t>d.</w:t>
      </w:r>
      <w:r>
        <w:rPr>
          <w:rFonts w:hint="eastAsia" w:ascii="宋体" w:hAnsi="宋体" w:cs="宋体"/>
          <w:bCs/>
          <w:szCs w:val="21"/>
          <w:highlight w:val="none"/>
        </w:rPr>
        <w:t>项目总监</w:t>
      </w:r>
      <w:r>
        <w:rPr>
          <w:rFonts w:hint="eastAsia" w:ascii="宋体" w:hAnsi="宋体" w:cs="宋体"/>
          <w:bCs/>
          <w:szCs w:val="21"/>
          <w:highlight w:val="none"/>
          <w:lang w:eastAsia="zh-CN"/>
        </w:rPr>
        <w:t>、</w:t>
      </w:r>
      <w:r>
        <w:rPr>
          <w:rFonts w:hint="eastAsia" w:ascii="宋体" w:hAnsi="宋体" w:cs="宋体"/>
          <w:bCs/>
          <w:szCs w:val="21"/>
          <w:highlight w:val="none"/>
        </w:rPr>
        <w:t>策划经理</w:t>
      </w:r>
      <w:r>
        <w:rPr>
          <w:rFonts w:hint="eastAsia" w:ascii="宋体" w:hAnsi="宋体" w:cs="宋体"/>
          <w:bCs/>
          <w:szCs w:val="21"/>
          <w:highlight w:val="none"/>
          <w:lang w:eastAsia="zh-CN"/>
        </w:rPr>
        <w:t>的</w:t>
      </w:r>
      <w:r>
        <w:rPr>
          <w:rFonts w:hint="eastAsia" w:ascii="宋体" w:hAnsi="宋体" w:cs="宋体"/>
          <w:bCs/>
          <w:szCs w:val="21"/>
          <w:highlight w:val="none"/>
          <w:lang w:val="en-US" w:eastAsia="zh-CN"/>
        </w:rPr>
        <w:t>个人代表业绩不可重复计算。</w:t>
      </w:r>
    </w:p>
    <w:p>
      <w:pPr>
        <w:tabs>
          <w:tab w:val="left" w:pos="0"/>
        </w:tabs>
        <w:snapToGrid w:val="0"/>
        <w:spacing w:line="360" w:lineRule="auto"/>
        <w:rPr>
          <w:rFonts w:hint="eastAsia" w:ascii="宋体" w:hAnsi="宋体" w:cs="宋体"/>
          <w:bCs/>
          <w:szCs w:val="21"/>
          <w:highlight w:val="none"/>
        </w:rPr>
      </w:pPr>
      <w:r>
        <w:rPr>
          <w:rFonts w:hint="eastAsia" w:ascii="宋体" w:hAnsi="宋体" w:cs="宋体"/>
          <w:bCs/>
          <w:szCs w:val="21"/>
          <w:highlight w:val="none"/>
        </w:rPr>
        <w:t>2）工作年限需以公司盖章的</w:t>
      </w:r>
      <w:r>
        <w:rPr>
          <w:rFonts w:hint="eastAsia" w:ascii="宋体" w:hAnsi="宋体" w:cs="宋体"/>
          <w:bCs/>
          <w:szCs w:val="21"/>
          <w:highlight w:val="none"/>
          <w:lang w:eastAsia="zh-CN"/>
        </w:rPr>
        <w:t>证明文件</w:t>
      </w:r>
      <w:r>
        <w:rPr>
          <w:rFonts w:hint="eastAsia" w:ascii="宋体" w:hAnsi="宋体" w:cs="宋体"/>
          <w:bCs/>
          <w:szCs w:val="21"/>
          <w:highlight w:val="none"/>
        </w:rPr>
        <w:t>为准，从事房地产公司或代理公司起至评标当日累计满的相应年限为判断依据。</w:t>
      </w:r>
    </w:p>
    <w:p>
      <w:pPr>
        <w:pStyle w:val="18"/>
        <w:spacing w:before="50" w:line="360" w:lineRule="auto"/>
        <w:rPr>
          <w:rFonts w:hint="default" w:ascii="仿宋_GB2312" w:hAnsi="仿宋_GB2312" w:eastAsia="仿宋_GB2312"/>
          <w:sz w:val="32"/>
          <w:szCs w:val="32"/>
          <w:lang w:val="en-US" w:eastAsia="zh-CN"/>
        </w:rPr>
      </w:pPr>
      <w:r>
        <w:rPr>
          <w:rFonts w:hint="eastAsia" w:ascii="宋体" w:hAnsi="宋体" w:eastAsia="宋体" w:cs="宋体"/>
          <w:bCs/>
          <w:color w:val="auto"/>
          <w:kern w:val="2"/>
          <w:sz w:val="21"/>
          <w:szCs w:val="21"/>
          <w:highlight w:val="none"/>
          <w:lang w:val="en-US" w:eastAsia="zh-CN" w:bidi="ar-SA"/>
        </w:rPr>
        <w:t>3）参选人业绩证明资料及拟任人员的工作经验材料真实性由参选人负责，并加盖公章。若比选人查实上述信息不真实，参选人将负全责。</w:t>
      </w:r>
    </w:p>
    <w:bookmarkEnd w:id="0"/>
    <w:p>
      <w:pPr>
        <w:pStyle w:val="5"/>
        <w:numPr>
          <w:ilvl w:val="0"/>
          <w:numId w:val="2"/>
        </w:numPr>
        <w:spacing w:line="560" w:lineRule="exact"/>
        <w:ind w:left="0" w:leftChars="0" w:firstLine="640" w:firstLineChars="200"/>
        <w:rPr>
          <w:rFonts w:hint="eastAsia" w:ascii="仿宋_GB2312" w:hAnsi="仿宋_GB2312" w:eastAsia="仿宋_GB2312"/>
          <w:sz w:val="32"/>
          <w:szCs w:val="32"/>
          <w:highlight w:val="none"/>
          <w:lang w:val="en-US" w:eastAsia="zh-CN"/>
        </w:rPr>
      </w:pPr>
      <w:r>
        <w:rPr>
          <w:rFonts w:hint="eastAsia" w:ascii="仿宋_GB2312" w:hAnsi="仿宋_GB2312" w:eastAsia="仿宋_GB2312"/>
          <w:sz w:val="32"/>
          <w:szCs w:val="32"/>
          <w:highlight w:val="none"/>
          <w:lang w:val="en-US" w:eastAsia="zh-CN"/>
        </w:rPr>
        <w:t>技术标参选文件中第二篇第一章第七部分“公司简介及业绩证明”的相关备注，修正为：需提供签约合同的关键页，包括但不限于名称、委托内容（合同名称或合同内容含有“策划”或“营销”关键字）、委托面积、委托期限、签订日期、盖章页等；b.需提供开盘时间的证明材料；c.面积以合同签约面积为准，若合同上无面积，需另外提供面积证明材料。</w:t>
      </w:r>
    </w:p>
    <w:p>
      <w:pPr>
        <w:pStyle w:val="13"/>
        <w:numPr>
          <w:ilvl w:val="0"/>
          <w:numId w:val="1"/>
        </w:numPr>
        <w:adjustRightInd w:val="0"/>
        <w:snapToGrid w:val="0"/>
        <w:spacing w:line="560" w:lineRule="exact"/>
        <w:ind w:firstLineChars="0"/>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商务标文字描述</w:t>
      </w:r>
    </w:p>
    <w:p>
      <w:pPr>
        <w:adjustRightInd w:val="0"/>
        <w:snapToGrid w:val="0"/>
        <w:spacing w:line="560" w:lineRule="exact"/>
        <w:ind w:firstLine="640" w:firstLineChars="200"/>
        <w:jc w:val="left"/>
        <w:rPr>
          <w:rFonts w:hint="eastAsia" w:ascii="仿宋_GB2312" w:hAnsi="仿宋_GB2312" w:eastAsia="仿宋_GB2312"/>
          <w:sz w:val="32"/>
          <w:szCs w:val="32"/>
          <w:highlight w:val="none"/>
          <w:lang w:val="en-US" w:eastAsia="zh-CN"/>
        </w:rPr>
      </w:pPr>
      <w:r>
        <w:rPr>
          <w:rFonts w:hint="eastAsia" w:ascii="仿宋_GB2312" w:hAnsi="仿宋_GB2312" w:eastAsia="仿宋_GB2312"/>
          <w:sz w:val="32"/>
          <w:szCs w:val="32"/>
          <w:highlight w:val="none"/>
          <w:lang w:val="en-US" w:eastAsia="zh-CN"/>
        </w:rPr>
        <w:t>商务标取值的文字描述中“次低价同时为次高价或最高价，则以最低价为基准价且为满分”的相关描述修正为“若次低价同时为最高价，则以最低价为基准价且为满分”。</w:t>
      </w:r>
    </w:p>
    <w:p>
      <w:pPr>
        <w:pStyle w:val="2"/>
        <w:ind w:left="0" w:leftChars="0" w:firstLine="640" w:firstLineChars="200"/>
        <w:rPr>
          <w:rFonts w:hint="eastAsia" w:ascii="黑体" w:hAnsi="黑体" w:eastAsia="黑体" w:cs="仿宋_GB2312"/>
          <w:color w:val="auto"/>
          <w:kern w:val="2"/>
          <w:sz w:val="32"/>
          <w:szCs w:val="32"/>
          <w:lang w:val="en-US" w:eastAsia="zh-CN" w:bidi="ar-SA"/>
        </w:rPr>
      </w:pPr>
      <w:r>
        <w:rPr>
          <w:rFonts w:hint="eastAsia" w:ascii="黑体" w:hAnsi="黑体" w:eastAsia="黑体" w:cs="仿宋_GB2312"/>
          <w:color w:val="auto"/>
          <w:kern w:val="2"/>
          <w:sz w:val="32"/>
          <w:szCs w:val="32"/>
          <w:lang w:val="en-US" w:eastAsia="zh-CN" w:bidi="ar-SA"/>
        </w:rPr>
        <w:t>三、</w:t>
      </w:r>
      <w:r>
        <w:rPr>
          <w:rFonts w:hint="eastAsia" w:ascii="黑体" w:hAnsi="黑体" w:eastAsia="黑体" w:cs="仿宋_GB2312"/>
          <w:color w:val="auto"/>
          <w:kern w:val="2"/>
          <w:sz w:val="32"/>
          <w:szCs w:val="32"/>
          <w:lang w:val="zh-CN" w:eastAsia="zh-CN" w:bidi="ar-SA"/>
        </w:rPr>
        <w:t>深铁珑境项目的基础资料（详见附件）</w:t>
      </w:r>
    </w:p>
    <w:p>
      <w:pPr>
        <w:adjustRightInd w:val="0"/>
        <w:snapToGrid w:val="0"/>
        <w:spacing w:line="560" w:lineRule="exact"/>
        <w:jc w:val="right"/>
        <w:rPr>
          <w:rFonts w:hint="eastAsia" w:ascii="仿宋_GB2312" w:hAnsi="仿宋_GB2312" w:eastAsia="仿宋_GB2312"/>
          <w:sz w:val="32"/>
          <w:szCs w:val="32"/>
          <w:highlight w:val="none"/>
          <w:lang w:val="en-US" w:eastAsia="zh-CN"/>
        </w:rPr>
      </w:pPr>
    </w:p>
    <w:p>
      <w:pPr>
        <w:adjustRightInd w:val="0"/>
        <w:snapToGrid w:val="0"/>
        <w:spacing w:line="560" w:lineRule="exact"/>
        <w:jc w:val="right"/>
        <w:rPr>
          <w:rFonts w:hint="eastAsia" w:ascii="仿宋_GB2312" w:hAnsi="仿宋_GB2312" w:eastAsia="仿宋_GB2312"/>
          <w:sz w:val="32"/>
          <w:szCs w:val="32"/>
          <w:highlight w:val="none"/>
          <w:lang w:val="en-US" w:eastAsia="zh-CN"/>
        </w:rPr>
      </w:pPr>
    </w:p>
    <w:p>
      <w:pPr>
        <w:adjustRightInd w:val="0"/>
        <w:snapToGrid w:val="0"/>
        <w:spacing w:line="560" w:lineRule="exact"/>
        <w:jc w:val="right"/>
        <w:rPr>
          <w:rFonts w:ascii="仿宋_GB2312" w:hAnsi="宋体" w:eastAsia="仿宋_GB2312"/>
          <w:sz w:val="32"/>
          <w:szCs w:val="32"/>
        </w:rPr>
      </w:pPr>
      <w:r>
        <w:rPr>
          <w:rFonts w:hint="eastAsia" w:ascii="仿宋_GB2312" w:hAnsi="宋体" w:eastAsia="仿宋_GB2312"/>
          <w:sz w:val="32"/>
          <w:szCs w:val="32"/>
        </w:rPr>
        <w:t>深圳地铁置业集团有限公司</w:t>
      </w:r>
    </w:p>
    <w:p>
      <w:pPr>
        <w:wordWrap w:val="0"/>
        <w:adjustRightInd w:val="0"/>
        <w:snapToGrid w:val="0"/>
        <w:spacing w:line="560" w:lineRule="exact"/>
        <w:jc w:val="right"/>
        <w:rPr>
          <w:rFonts w:ascii="仿宋_GB2312" w:hAnsi="宋体" w:eastAsia="仿宋_GB2312"/>
          <w:sz w:val="32"/>
          <w:szCs w:val="32"/>
        </w:rPr>
      </w:pPr>
      <w:r>
        <w:rPr>
          <w:rFonts w:hint="eastAsia" w:ascii="仿宋_GB2312" w:hAnsi="宋体" w:eastAsia="仿宋_GB2312"/>
          <w:sz w:val="32"/>
          <w:szCs w:val="32"/>
        </w:rPr>
        <w:t>2</w:t>
      </w:r>
      <w:r>
        <w:rPr>
          <w:rFonts w:ascii="仿宋_GB2312" w:hAnsi="宋体" w:eastAsia="仿宋_GB2312"/>
          <w:sz w:val="32"/>
          <w:szCs w:val="32"/>
        </w:rPr>
        <w:t>022</w:t>
      </w:r>
      <w:r>
        <w:rPr>
          <w:rFonts w:hint="eastAsia" w:ascii="仿宋_GB2312" w:hAnsi="宋体" w:eastAsia="仿宋_GB2312"/>
          <w:sz w:val="32"/>
          <w:szCs w:val="32"/>
        </w:rPr>
        <w:t>年</w:t>
      </w:r>
      <w:r>
        <w:rPr>
          <w:rFonts w:hint="eastAsia" w:ascii="仿宋_GB2312" w:hAnsi="宋体" w:eastAsia="仿宋_GB2312"/>
          <w:sz w:val="32"/>
          <w:szCs w:val="32"/>
          <w:lang w:val="en-US" w:eastAsia="zh-CN"/>
        </w:rPr>
        <w:t>2</w:t>
      </w:r>
      <w:r>
        <w:rPr>
          <w:rFonts w:hint="eastAsia" w:ascii="仿宋_GB2312" w:hAnsi="宋体" w:eastAsia="仿宋_GB2312"/>
          <w:sz w:val="32"/>
          <w:szCs w:val="32"/>
        </w:rPr>
        <w:t>月</w:t>
      </w:r>
      <w:r>
        <w:rPr>
          <w:rFonts w:hint="eastAsia" w:ascii="仿宋_GB2312" w:hAnsi="宋体" w:eastAsia="仿宋_GB2312"/>
          <w:sz w:val="32"/>
          <w:szCs w:val="32"/>
          <w:lang w:val="en-US" w:eastAsia="zh-CN"/>
        </w:rPr>
        <w:t>18</w:t>
      </w:r>
      <w:r>
        <w:rPr>
          <w:rFonts w:hint="eastAsia" w:ascii="仿宋_GB2312" w:hAnsi="宋体" w:eastAsia="仿宋_GB2312"/>
          <w:sz w:val="32"/>
          <w:szCs w:val="32"/>
        </w:rPr>
        <w:t xml:space="preserve">日 </w:t>
      </w:r>
      <w:r>
        <w:rPr>
          <w:rFonts w:ascii="仿宋_GB2312" w:hAnsi="宋体" w:eastAsia="仿宋_GB2312"/>
          <w:sz w:val="32"/>
          <w:szCs w:val="32"/>
        </w:rPr>
        <w:t xml:space="preserve">   </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FC87B"/>
    <w:multiLevelType w:val="singleLevel"/>
    <w:tmpl w:val="817FC87B"/>
    <w:lvl w:ilvl="0" w:tentative="0">
      <w:start w:val="1"/>
      <w:numFmt w:val="chineseCounting"/>
      <w:suff w:val="nothing"/>
      <w:lvlText w:val="（%1）"/>
      <w:lvlJc w:val="left"/>
      <w:pPr>
        <w:ind w:left="0" w:firstLine="420"/>
      </w:pPr>
      <w:rPr>
        <w:rFonts w:hint="eastAsia"/>
        <w:b w:val="0"/>
        <w:bCs w:val="0"/>
      </w:rPr>
    </w:lvl>
  </w:abstractNum>
  <w:abstractNum w:abstractNumId="1">
    <w:nsid w:val="F6E62C59"/>
    <w:multiLevelType w:val="multilevel"/>
    <w:tmpl w:val="F6E62C59"/>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862419B"/>
    <w:multiLevelType w:val="multilevel"/>
    <w:tmpl w:val="1862419B"/>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A29272E"/>
    <w:multiLevelType w:val="multilevel"/>
    <w:tmpl w:val="2A29272E"/>
    <w:lvl w:ilvl="0" w:tentative="0">
      <w:start w:val="1"/>
      <w:numFmt w:val="chineseCountingThousand"/>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45E"/>
    <w:rsid w:val="00034C3F"/>
    <w:rsid w:val="000535BB"/>
    <w:rsid w:val="00090596"/>
    <w:rsid w:val="000F142D"/>
    <w:rsid w:val="0015395F"/>
    <w:rsid w:val="0018543E"/>
    <w:rsid w:val="001E4499"/>
    <w:rsid w:val="00214ACC"/>
    <w:rsid w:val="00244472"/>
    <w:rsid w:val="002557BF"/>
    <w:rsid w:val="00266814"/>
    <w:rsid w:val="00274266"/>
    <w:rsid w:val="002747BF"/>
    <w:rsid w:val="002B65F4"/>
    <w:rsid w:val="002B74D8"/>
    <w:rsid w:val="002D602E"/>
    <w:rsid w:val="002F6E61"/>
    <w:rsid w:val="003356B5"/>
    <w:rsid w:val="00341D8A"/>
    <w:rsid w:val="003521C6"/>
    <w:rsid w:val="00367488"/>
    <w:rsid w:val="003C0598"/>
    <w:rsid w:val="004B47AB"/>
    <w:rsid w:val="004C45CB"/>
    <w:rsid w:val="00537FF9"/>
    <w:rsid w:val="005417C1"/>
    <w:rsid w:val="005636A0"/>
    <w:rsid w:val="005D4B07"/>
    <w:rsid w:val="005E7478"/>
    <w:rsid w:val="00602BEA"/>
    <w:rsid w:val="006116E9"/>
    <w:rsid w:val="006322A3"/>
    <w:rsid w:val="00632FB2"/>
    <w:rsid w:val="00684F0C"/>
    <w:rsid w:val="006F3CF5"/>
    <w:rsid w:val="00743454"/>
    <w:rsid w:val="007C2232"/>
    <w:rsid w:val="007C5239"/>
    <w:rsid w:val="007C5C00"/>
    <w:rsid w:val="0080723F"/>
    <w:rsid w:val="00827ED5"/>
    <w:rsid w:val="00846550"/>
    <w:rsid w:val="008E5170"/>
    <w:rsid w:val="008E71AF"/>
    <w:rsid w:val="008F50BA"/>
    <w:rsid w:val="00930943"/>
    <w:rsid w:val="009B735F"/>
    <w:rsid w:val="00AC15E4"/>
    <w:rsid w:val="00B149FB"/>
    <w:rsid w:val="00BD682A"/>
    <w:rsid w:val="00BF11F7"/>
    <w:rsid w:val="00BF6B16"/>
    <w:rsid w:val="00C040A9"/>
    <w:rsid w:val="00C26758"/>
    <w:rsid w:val="00C82C1F"/>
    <w:rsid w:val="00CB445E"/>
    <w:rsid w:val="00D00785"/>
    <w:rsid w:val="00D03C03"/>
    <w:rsid w:val="00D42E80"/>
    <w:rsid w:val="00D90508"/>
    <w:rsid w:val="00E265B6"/>
    <w:rsid w:val="00E454B4"/>
    <w:rsid w:val="00E525D0"/>
    <w:rsid w:val="00E56B85"/>
    <w:rsid w:val="00E83173"/>
    <w:rsid w:val="00E91983"/>
    <w:rsid w:val="00F447C1"/>
    <w:rsid w:val="00F573DF"/>
    <w:rsid w:val="00F64502"/>
    <w:rsid w:val="00FC6C8F"/>
    <w:rsid w:val="01140CEA"/>
    <w:rsid w:val="05421F72"/>
    <w:rsid w:val="08F644CD"/>
    <w:rsid w:val="096A0514"/>
    <w:rsid w:val="0C4A72E1"/>
    <w:rsid w:val="0C8C3722"/>
    <w:rsid w:val="15EF2487"/>
    <w:rsid w:val="34E42727"/>
    <w:rsid w:val="3E4D1207"/>
    <w:rsid w:val="420C32E7"/>
    <w:rsid w:val="47252323"/>
    <w:rsid w:val="49CF11E4"/>
    <w:rsid w:val="4B210FAA"/>
    <w:rsid w:val="69057BFC"/>
    <w:rsid w:val="6A6A17D5"/>
    <w:rsid w:val="7FBA3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widowControl w:val="0"/>
      <w:overflowPunct/>
      <w:autoSpaceDE/>
      <w:autoSpaceDN/>
      <w:adjustRightInd/>
      <w:spacing w:line="240" w:lineRule="auto"/>
      <w:ind w:firstLine="420" w:firstLineChars="200"/>
      <w:textAlignment w:val="auto"/>
    </w:pPr>
    <w:rPr>
      <w:rFonts w:ascii="宋体" w:cs="Times New Roman"/>
      <w:color w:val="000000"/>
      <w:sz w:val="20"/>
      <w:szCs w:val="24"/>
    </w:r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4">
    <w:name w:val="annotation text"/>
    <w:basedOn w:val="1"/>
    <w:uiPriority w:val="99"/>
    <w:pPr>
      <w:jc w:val="left"/>
    </w:pPr>
    <w:rPr>
      <w:kern w:val="0"/>
    </w:rPr>
  </w:style>
  <w:style w:type="paragraph" w:styleId="5">
    <w:name w:val="Plain Text"/>
    <w:basedOn w:val="1"/>
    <w:link w:val="11"/>
    <w:qFormat/>
    <w:uiPriority w:val="0"/>
    <w:rPr>
      <w:rFonts w:ascii="宋体" w:hAnsi="Courier New" w:eastAsiaTheme="minorEastAsia" w:cstheme="minorBidi"/>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纯文本 字符"/>
    <w:link w:val="5"/>
    <w:qFormat/>
    <w:uiPriority w:val="0"/>
    <w:rPr>
      <w:rFonts w:ascii="宋体" w:hAnsi="Courier New"/>
    </w:rPr>
  </w:style>
  <w:style w:type="character" w:customStyle="1" w:styleId="12">
    <w:name w:val="纯文本 Char1"/>
    <w:basedOn w:val="10"/>
    <w:semiHidden/>
    <w:qFormat/>
    <w:uiPriority w:val="99"/>
    <w:rPr>
      <w:rFonts w:ascii="宋体" w:hAnsi="Courier New" w:eastAsia="宋体" w:cs="Courier New"/>
      <w:szCs w:val="21"/>
    </w:rPr>
  </w:style>
  <w:style w:type="paragraph" w:styleId="13">
    <w:name w:val="List Paragraph"/>
    <w:basedOn w:val="1"/>
    <w:link w:val="16"/>
    <w:qFormat/>
    <w:uiPriority w:val="34"/>
    <w:pPr>
      <w:ind w:firstLine="420" w:firstLineChars="200"/>
    </w:pPr>
  </w:style>
  <w:style w:type="character" w:customStyle="1" w:styleId="14">
    <w:name w:val="页眉 字符"/>
    <w:basedOn w:val="10"/>
    <w:link w:val="7"/>
    <w:qFormat/>
    <w:uiPriority w:val="99"/>
    <w:rPr>
      <w:rFonts w:ascii="Calibri" w:hAnsi="Calibri" w:eastAsia="宋体" w:cs="Times New Roman"/>
      <w:sz w:val="18"/>
      <w:szCs w:val="18"/>
    </w:rPr>
  </w:style>
  <w:style w:type="character" w:customStyle="1" w:styleId="15">
    <w:name w:val="页脚 字符"/>
    <w:basedOn w:val="10"/>
    <w:link w:val="6"/>
    <w:qFormat/>
    <w:uiPriority w:val="99"/>
    <w:rPr>
      <w:rFonts w:ascii="Calibri" w:hAnsi="Calibri" w:eastAsia="宋体" w:cs="Times New Roman"/>
      <w:sz w:val="18"/>
      <w:szCs w:val="18"/>
    </w:rPr>
  </w:style>
  <w:style w:type="character" w:customStyle="1" w:styleId="16">
    <w:name w:val="列表段落 字符"/>
    <w:basedOn w:val="10"/>
    <w:link w:val="13"/>
    <w:qFormat/>
    <w:locked/>
    <w:uiPriority w:val="0"/>
    <w:rPr>
      <w:rFonts w:ascii="Calibri" w:hAnsi="Calibri" w:eastAsia="宋体" w:cs="Times New Roman"/>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9DBD68-4E62-4550-AB3D-D3738B6844B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130</Words>
  <Characters>234</Characters>
  <Lines>26</Lines>
  <Paragraphs>19</Paragraphs>
  <TotalTime>0</TotalTime>
  <ScaleCrop>false</ScaleCrop>
  <LinksUpToDate>false</LinksUpToDate>
  <CharactersWithSpaces>345</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2022-01-17T02:54:00Z</dcterms:created>
  <dc:creator>崔跃飞</dc:creator>
  <cp:lastModifiedBy>沈荣娟</cp:lastModifiedBy>
  <cp:lastPrinted>2022-01-14T08:08:00Z</cp:lastPrinted>
  <dcterms:modified xsi:type="dcterms:W3CDTF">2022-02-18T02:03:15Z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