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360" w:lineRule="auto"/>
        <w:rPr>
          <w:rFonts w:hint="eastAsia" w:ascii="宋体" w:hAnsi="宋体" w:eastAsia="宋体"/>
          <w:b/>
          <w:sz w:val="44"/>
          <w:szCs w:val="44"/>
        </w:rPr>
      </w:pPr>
      <w:bookmarkStart w:id="0" w:name="_Toc31442"/>
      <w:r>
        <w:rPr>
          <w:rFonts w:hint="eastAsia" w:ascii="宋体" w:hAnsi="宋体" w:eastAsia="宋体"/>
          <w:b/>
          <w:sz w:val="44"/>
          <w:szCs w:val="44"/>
        </w:rPr>
        <w:t>比选公告</w:t>
      </w:r>
      <w:bookmarkEnd w:id="0"/>
    </w:p>
    <w:p>
      <w:pPr>
        <w:pStyle w:val="6"/>
        <w:spacing w:line="360" w:lineRule="auto"/>
        <w:ind w:firstLine="480" w:firstLineChars="200"/>
        <w:jc w:val="left"/>
        <w:rPr>
          <w:rFonts w:hAnsi="宋体"/>
          <w:kern w:val="2"/>
          <w:sz w:val="24"/>
          <w:szCs w:val="24"/>
        </w:rPr>
      </w:pPr>
      <w:r>
        <w:rPr>
          <w:rFonts w:hint="eastAsia" w:hAnsi="宋体"/>
          <w:sz w:val="24"/>
          <w:szCs w:val="24"/>
        </w:rPr>
        <w:t>深圳市地铁集团有限公司拟对</w:t>
      </w:r>
      <w:r>
        <w:rPr>
          <w:rFonts w:hint="eastAsia" w:hAnsi="宋体"/>
          <w:b/>
          <w:bCs/>
          <w:sz w:val="24"/>
          <w:u w:val="single"/>
        </w:rPr>
        <w:t>深圳市地铁集团有限公司开发项目2</w:t>
      </w:r>
      <w:r>
        <w:rPr>
          <w:rFonts w:hAnsi="宋体"/>
          <w:b/>
          <w:bCs/>
          <w:sz w:val="24"/>
          <w:u w:val="single"/>
        </w:rPr>
        <w:t>022</w:t>
      </w:r>
      <w:r>
        <w:rPr>
          <w:rFonts w:hint="eastAsia" w:hAnsi="宋体"/>
          <w:b/>
          <w:bCs/>
          <w:sz w:val="24"/>
          <w:u w:val="single"/>
        </w:rPr>
        <w:t>年度营销策划及研究报告（前期策划、价格研究）集中采购</w:t>
      </w:r>
      <w:r>
        <w:rPr>
          <w:rFonts w:hint="eastAsia" w:hAnsi="宋体"/>
          <w:b/>
          <w:sz w:val="24"/>
          <w:szCs w:val="24"/>
        </w:rPr>
        <w:t>（以下</w:t>
      </w:r>
      <w:r>
        <w:rPr>
          <w:rFonts w:hAnsi="宋体"/>
          <w:b/>
          <w:sz w:val="24"/>
          <w:szCs w:val="24"/>
        </w:rPr>
        <w:t>简称“本项目”）</w:t>
      </w:r>
      <w:r>
        <w:rPr>
          <w:rFonts w:hint="eastAsia" w:hAnsi="宋体"/>
          <w:sz w:val="24"/>
          <w:szCs w:val="24"/>
        </w:rPr>
        <w:t>进行公开比选，欢迎符合本比选公告公布资质要求的公司参加比选。</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1" w:name="_Toc1369"/>
      <w:bookmarkStart w:id="2" w:name="_Toc7794"/>
      <w:r>
        <w:rPr>
          <w:rFonts w:hint="eastAsia" w:ascii="宋体" w:hAnsi="宋体"/>
          <w:b/>
          <w:kern w:val="0"/>
          <w:sz w:val="24"/>
          <w:szCs w:val="24"/>
        </w:rPr>
        <w:t>一、项目名称</w:t>
      </w:r>
      <w:bookmarkEnd w:id="1"/>
      <w:bookmarkEnd w:id="2"/>
    </w:p>
    <w:p>
      <w:pPr>
        <w:spacing w:line="360" w:lineRule="auto"/>
        <w:ind w:left="479" w:leftChars="228"/>
        <w:rPr>
          <w:rFonts w:hint="eastAsia" w:hAnsi="宋体"/>
          <w:b/>
          <w:bCs/>
          <w:sz w:val="24"/>
          <w:u w:val="single"/>
        </w:rPr>
      </w:pPr>
      <w:r>
        <w:rPr>
          <w:rFonts w:hint="eastAsia" w:hAnsi="宋体"/>
          <w:b/>
          <w:bCs/>
          <w:sz w:val="24"/>
          <w:u w:val="single"/>
        </w:rPr>
        <w:t>深圳市地铁集团有限公司开发项目2</w:t>
      </w:r>
      <w:r>
        <w:rPr>
          <w:rFonts w:hAnsi="宋体"/>
          <w:b/>
          <w:bCs/>
          <w:sz w:val="24"/>
          <w:u w:val="single"/>
        </w:rPr>
        <w:t>022</w:t>
      </w:r>
      <w:r>
        <w:rPr>
          <w:rFonts w:hint="eastAsia" w:hAnsi="宋体"/>
          <w:b/>
          <w:bCs/>
          <w:sz w:val="24"/>
          <w:u w:val="single"/>
        </w:rPr>
        <w:t>年度营销策划及研究报告（前期策划、价格研究）集中采购</w:t>
      </w:r>
    </w:p>
    <w:p>
      <w:pPr>
        <w:spacing w:line="360" w:lineRule="auto"/>
        <w:ind w:left="479" w:leftChars="228"/>
        <w:rPr>
          <w:rFonts w:hint="eastAsia" w:ascii="宋体" w:hAnsi="宋体"/>
          <w:b/>
          <w:kern w:val="0"/>
          <w:sz w:val="24"/>
          <w:szCs w:val="24"/>
        </w:rPr>
      </w:pPr>
      <w:r>
        <w:rPr>
          <w:rFonts w:hint="eastAsia" w:ascii="宋体" w:hAnsi="宋体"/>
          <w:b/>
          <w:kern w:val="0"/>
          <w:sz w:val="24"/>
          <w:szCs w:val="24"/>
        </w:rPr>
        <w:t>二、比选内容</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组成专项工作小组参与项目营销工作，对拟销售项目提供营销策划服务，提供前期项目前期策划服务、价格研究报告等研究报告服务。</w:t>
      </w:r>
    </w:p>
    <w:p>
      <w:pPr>
        <w:numPr>
          <w:ilvl w:val="0"/>
          <w:numId w:val="1"/>
        </w:numPr>
        <w:adjustRightInd w:val="0"/>
        <w:snapToGrid w:val="0"/>
        <w:spacing w:line="360" w:lineRule="auto"/>
        <w:ind w:left="420" w:firstLine="289"/>
        <w:rPr>
          <w:rFonts w:hint="eastAsia" w:ascii="宋体" w:hAnsi="宋体" w:cs="宋体"/>
          <w:b/>
          <w:bCs/>
          <w:sz w:val="24"/>
          <w:szCs w:val="24"/>
        </w:rPr>
      </w:pPr>
      <w:r>
        <w:rPr>
          <w:rFonts w:hint="eastAsia" w:ascii="宋体" w:hAnsi="宋体" w:cs="宋体"/>
          <w:b/>
          <w:bCs/>
          <w:sz w:val="24"/>
          <w:szCs w:val="24"/>
        </w:rPr>
        <w:t>拟销售项目的营销策划服务</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具体工作内容包括但不限于：</w:t>
      </w:r>
    </w:p>
    <w:p>
      <w:pPr>
        <w:numPr>
          <w:ilvl w:val="0"/>
          <w:numId w:val="2"/>
        </w:numPr>
        <w:adjustRightInd w:val="0"/>
        <w:snapToGrid w:val="0"/>
        <w:spacing w:line="360" w:lineRule="auto"/>
        <w:ind w:left="0" w:firstLine="482" w:firstLineChars="200"/>
        <w:rPr>
          <w:rFonts w:hint="eastAsia" w:ascii="宋体" w:hAnsi="宋体" w:cs="宋体"/>
          <w:b/>
          <w:bCs/>
          <w:sz w:val="24"/>
          <w:szCs w:val="24"/>
        </w:rPr>
      </w:pPr>
      <w:r>
        <w:rPr>
          <w:rFonts w:hint="eastAsia" w:ascii="宋体" w:hAnsi="宋体" w:cs="宋体"/>
          <w:b/>
          <w:bCs/>
          <w:sz w:val="24"/>
          <w:szCs w:val="24"/>
        </w:rPr>
        <w:t>总体策略及阶段策略</w:t>
      </w:r>
    </w:p>
    <w:p>
      <w:pPr>
        <w:pStyle w:val="21"/>
        <w:numPr>
          <w:ilvl w:val="0"/>
          <w:numId w:val="3"/>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产品优化建议</w:t>
      </w:r>
    </w:p>
    <w:p>
      <w:pPr>
        <w:pStyle w:val="21"/>
        <w:numPr>
          <w:ilvl w:val="0"/>
          <w:numId w:val="3"/>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项目总体营销方案</w:t>
      </w:r>
    </w:p>
    <w:p>
      <w:pPr>
        <w:pStyle w:val="21"/>
        <w:numPr>
          <w:ilvl w:val="0"/>
          <w:numId w:val="3"/>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项目阶段性营销策略方案及计划</w:t>
      </w:r>
    </w:p>
    <w:p>
      <w:pPr>
        <w:pStyle w:val="21"/>
        <w:numPr>
          <w:ilvl w:val="0"/>
          <w:numId w:val="3"/>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项目分批推出的战术部署及促销手段建议</w:t>
      </w:r>
    </w:p>
    <w:p>
      <w:pPr>
        <w:pStyle w:val="21"/>
        <w:numPr>
          <w:ilvl w:val="0"/>
          <w:numId w:val="3"/>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定期市场情况汇报及应对策略</w:t>
      </w:r>
    </w:p>
    <w:p>
      <w:pPr>
        <w:pStyle w:val="21"/>
        <w:numPr>
          <w:ilvl w:val="0"/>
          <w:numId w:val="3"/>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价格报告的撰写、价格表的制作</w:t>
      </w:r>
    </w:p>
    <w:p>
      <w:pPr>
        <w:numPr>
          <w:ilvl w:val="0"/>
          <w:numId w:val="2"/>
        </w:numPr>
        <w:adjustRightInd w:val="0"/>
        <w:snapToGrid w:val="0"/>
        <w:spacing w:line="360" w:lineRule="auto"/>
        <w:ind w:left="0" w:firstLine="482" w:firstLineChars="200"/>
        <w:rPr>
          <w:rFonts w:hint="eastAsia" w:ascii="宋体" w:hAnsi="宋体" w:cs="宋体"/>
          <w:b/>
          <w:bCs/>
          <w:sz w:val="24"/>
          <w:szCs w:val="24"/>
        </w:rPr>
      </w:pPr>
      <w:r>
        <w:rPr>
          <w:rFonts w:hint="eastAsia" w:ascii="宋体" w:hAnsi="宋体" w:cs="宋体"/>
          <w:b/>
          <w:bCs/>
          <w:sz w:val="24"/>
          <w:szCs w:val="24"/>
        </w:rPr>
        <w:t>推广、活动策略及执行</w:t>
      </w:r>
    </w:p>
    <w:p>
      <w:pPr>
        <w:pStyle w:val="21"/>
        <w:numPr>
          <w:ilvl w:val="0"/>
          <w:numId w:val="4"/>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营销推广执行方案</w:t>
      </w:r>
    </w:p>
    <w:p>
      <w:pPr>
        <w:pStyle w:val="21"/>
        <w:numPr>
          <w:ilvl w:val="0"/>
          <w:numId w:val="4"/>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协助实施广告设计、宣传制作等工作</w:t>
      </w:r>
    </w:p>
    <w:p>
      <w:pPr>
        <w:pStyle w:val="21"/>
        <w:numPr>
          <w:ilvl w:val="0"/>
          <w:numId w:val="4"/>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项目价值点文章撰写</w:t>
      </w:r>
    </w:p>
    <w:p>
      <w:pPr>
        <w:pStyle w:val="21"/>
        <w:numPr>
          <w:ilvl w:val="0"/>
          <w:numId w:val="4"/>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媒体广告宣传配合</w:t>
      </w:r>
    </w:p>
    <w:p>
      <w:pPr>
        <w:pStyle w:val="21"/>
        <w:numPr>
          <w:ilvl w:val="0"/>
          <w:numId w:val="4"/>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阶段性活动策划及执行</w:t>
      </w:r>
    </w:p>
    <w:p>
      <w:pPr>
        <w:pStyle w:val="21"/>
        <w:numPr>
          <w:ilvl w:val="0"/>
          <w:numId w:val="4"/>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阶段性推广、活动总结</w:t>
      </w:r>
    </w:p>
    <w:p>
      <w:pPr>
        <w:numPr>
          <w:ilvl w:val="0"/>
          <w:numId w:val="2"/>
        </w:numPr>
        <w:adjustRightInd w:val="0"/>
        <w:snapToGrid w:val="0"/>
        <w:spacing w:line="360" w:lineRule="auto"/>
        <w:ind w:left="0" w:firstLine="482" w:firstLineChars="200"/>
        <w:rPr>
          <w:rFonts w:hint="eastAsia" w:ascii="宋体" w:hAnsi="宋体" w:cs="宋体"/>
          <w:b/>
          <w:bCs/>
          <w:sz w:val="24"/>
          <w:szCs w:val="24"/>
        </w:rPr>
      </w:pPr>
      <w:r>
        <w:rPr>
          <w:rFonts w:hint="eastAsia" w:ascii="宋体" w:hAnsi="宋体" w:cs="宋体"/>
          <w:b/>
          <w:bCs/>
          <w:sz w:val="24"/>
          <w:szCs w:val="24"/>
        </w:rPr>
        <w:t>展示及物料</w:t>
      </w:r>
    </w:p>
    <w:p>
      <w:pPr>
        <w:pStyle w:val="21"/>
        <w:numPr>
          <w:ilvl w:val="0"/>
          <w:numId w:val="5"/>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展示区包装方案及实施</w:t>
      </w:r>
    </w:p>
    <w:p>
      <w:pPr>
        <w:pStyle w:val="21"/>
        <w:numPr>
          <w:ilvl w:val="0"/>
          <w:numId w:val="5"/>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销售物料筹备</w:t>
      </w:r>
    </w:p>
    <w:p>
      <w:pPr>
        <w:numPr>
          <w:ilvl w:val="0"/>
          <w:numId w:val="2"/>
        </w:numPr>
        <w:adjustRightInd w:val="0"/>
        <w:snapToGrid w:val="0"/>
        <w:spacing w:line="360" w:lineRule="auto"/>
        <w:ind w:left="0" w:firstLine="482" w:firstLineChars="200"/>
        <w:rPr>
          <w:rFonts w:hint="eastAsia" w:ascii="宋体" w:hAnsi="宋体" w:cs="宋体"/>
          <w:b/>
          <w:bCs/>
          <w:sz w:val="24"/>
          <w:szCs w:val="24"/>
        </w:rPr>
      </w:pPr>
      <w:r>
        <w:rPr>
          <w:rFonts w:hint="eastAsia" w:ascii="宋体" w:hAnsi="宋体" w:cs="宋体"/>
          <w:b/>
          <w:bCs/>
          <w:sz w:val="24"/>
          <w:szCs w:val="24"/>
        </w:rPr>
        <w:t>销售配合</w:t>
      </w:r>
    </w:p>
    <w:p>
      <w:pPr>
        <w:pStyle w:val="21"/>
        <w:numPr>
          <w:ilvl w:val="0"/>
          <w:numId w:val="6"/>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项目价值梳理</w:t>
      </w:r>
    </w:p>
    <w:p>
      <w:pPr>
        <w:pStyle w:val="21"/>
        <w:numPr>
          <w:ilvl w:val="0"/>
          <w:numId w:val="6"/>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销售说辞拟定</w:t>
      </w:r>
    </w:p>
    <w:p>
      <w:pPr>
        <w:pStyle w:val="21"/>
        <w:numPr>
          <w:ilvl w:val="0"/>
          <w:numId w:val="6"/>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销售培训文件准备</w:t>
      </w:r>
    </w:p>
    <w:p>
      <w:pPr>
        <w:pStyle w:val="21"/>
        <w:numPr>
          <w:ilvl w:val="0"/>
          <w:numId w:val="6"/>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销售培训</w:t>
      </w:r>
    </w:p>
    <w:p>
      <w:pPr>
        <w:pStyle w:val="21"/>
        <w:numPr>
          <w:ilvl w:val="0"/>
          <w:numId w:val="6"/>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客户访谈</w:t>
      </w:r>
    </w:p>
    <w:p>
      <w:pPr>
        <w:pStyle w:val="21"/>
        <w:numPr>
          <w:ilvl w:val="0"/>
          <w:numId w:val="6"/>
        </w:numPr>
        <w:adjustRightInd w:val="0"/>
        <w:snapToGrid w:val="0"/>
        <w:spacing w:line="360" w:lineRule="auto"/>
        <w:ind w:left="1052" w:hanging="420" w:firstLineChars="0"/>
        <w:rPr>
          <w:rFonts w:hint="eastAsia" w:ascii="宋体" w:hAnsi="宋体" w:cs="宋体"/>
          <w:sz w:val="24"/>
          <w:szCs w:val="24"/>
        </w:rPr>
      </w:pPr>
      <w:r>
        <w:rPr>
          <w:rFonts w:hint="eastAsia" w:ascii="宋体" w:hAnsi="宋体" w:cs="宋体"/>
          <w:sz w:val="24"/>
          <w:szCs w:val="24"/>
        </w:rPr>
        <w:t>协助进行销售文件的准备</w:t>
      </w:r>
    </w:p>
    <w:p>
      <w:pPr>
        <w:numPr>
          <w:ilvl w:val="0"/>
          <w:numId w:val="1"/>
        </w:numPr>
        <w:adjustRightInd w:val="0"/>
        <w:snapToGrid w:val="0"/>
        <w:spacing w:line="360" w:lineRule="auto"/>
        <w:ind w:left="420" w:firstLine="289"/>
        <w:rPr>
          <w:rFonts w:hint="eastAsia" w:ascii="宋体" w:hAnsi="宋体" w:cs="宋体"/>
          <w:b/>
          <w:bCs/>
          <w:sz w:val="24"/>
          <w:szCs w:val="24"/>
        </w:rPr>
      </w:pPr>
      <w:r>
        <w:rPr>
          <w:rFonts w:hint="eastAsia" w:ascii="宋体" w:hAnsi="宋体" w:cs="宋体"/>
          <w:b/>
          <w:bCs/>
          <w:sz w:val="24"/>
          <w:szCs w:val="24"/>
        </w:rPr>
        <w:t>研究报告服务</w:t>
      </w:r>
    </w:p>
    <w:p>
      <w:pPr>
        <w:pStyle w:val="21"/>
        <w:numPr>
          <w:ilvl w:val="0"/>
          <w:numId w:val="7"/>
        </w:numPr>
        <w:adjustRightInd w:val="0"/>
        <w:snapToGrid w:val="0"/>
        <w:spacing w:line="360" w:lineRule="auto"/>
        <w:ind w:firstLine="491" w:firstLineChars="0"/>
        <w:rPr>
          <w:rFonts w:hint="eastAsia" w:ascii="宋体" w:hAnsi="宋体" w:cs="宋体"/>
          <w:b/>
          <w:bCs/>
          <w:sz w:val="24"/>
          <w:szCs w:val="24"/>
        </w:rPr>
      </w:pPr>
      <w:r>
        <w:rPr>
          <w:rFonts w:hint="eastAsia" w:ascii="宋体" w:hAnsi="宋体" w:cs="宋体"/>
          <w:b/>
          <w:bCs/>
          <w:sz w:val="24"/>
          <w:szCs w:val="24"/>
        </w:rPr>
        <w:t>前期项目前期策划服务</w:t>
      </w:r>
    </w:p>
    <w:p>
      <w:pPr>
        <w:pStyle w:val="21"/>
        <w:numPr>
          <w:ilvl w:val="0"/>
          <w:numId w:val="8"/>
        </w:numPr>
        <w:adjustRightInd w:val="0"/>
        <w:snapToGrid w:val="0"/>
        <w:spacing w:line="360" w:lineRule="auto"/>
        <w:ind w:left="412" w:leftChars="196" w:firstLine="123" w:firstLineChars="51"/>
        <w:rPr>
          <w:rFonts w:hint="eastAsia" w:ascii="宋体" w:hAnsi="宋体" w:cs="宋体"/>
          <w:b/>
          <w:bCs/>
          <w:sz w:val="24"/>
          <w:szCs w:val="24"/>
        </w:rPr>
      </w:pPr>
      <w:r>
        <w:rPr>
          <w:rFonts w:hint="eastAsia" w:ascii="宋体" w:hAnsi="宋体" w:cs="宋体"/>
          <w:b/>
          <w:bCs/>
          <w:sz w:val="24"/>
          <w:szCs w:val="24"/>
        </w:rPr>
        <w:t>预计服务项目</w:t>
      </w:r>
    </w:p>
    <w:p>
      <w:pPr>
        <w:pStyle w:val="21"/>
        <w:adjustRightInd w:val="0"/>
        <w:snapToGrid w:val="0"/>
        <w:spacing w:line="360" w:lineRule="auto"/>
        <w:ind w:firstLine="645" w:firstLineChars="269"/>
        <w:rPr>
          <w:rFonts w:hint="eastAsia" w:ascii="宋体" w:hAnsi="宋体" w:cs="宋体"/>
          <w:sz w:val="24"/>
          <w:szCs w:val="24"/>
        </w:rPr>
      </w:pPr>
      <w:r>
        <w:rPr>
          <w:rFonts w:hint="eastAsia" w:ascii="宋体" w:hAnsi="宋体" w:cs="宋体"/>
          <w:sz w:val="24"/>
          <w:szCs w:val="24"/>
        </w:rPr>
        <w:t>在服务期内提供不超过6个项目的前期策划服务，单个项目总建筑面积≤100万㎡，根据甲方实际需求启动对应项目的服务工作。（若超出100万㎡，在征得乙方服务意愿后可实行）</w:t>
      </w:r>
    </w:p>
    <w:p>
      <w:pPr>
        <w:pStyle w:val="21"/>
        <w:numPr>
          <w:ilvl w:val="0"/>
          <w:numId w:val="8"/>
        </w:numPr>
        <w:adjustRightInd w:val="0"/>
        <w:snapToGrid w:val="0"/>
        <w:spacing w:line="360" w:lineRule="auto"/>
        <w:ind w:left="412" w:leftChars="196" w:firstLine="123" w:firstLineChars="51"/>
        <w:rPr>
          <w:rFonts w:hint="eastAsia" w:ascii="宋体" w:hAnsi="宋体" w:cs="宋体"/>
          <w:b/>
          <w:bCs/>
          <w:sz w:val="24"/>
          <w:szCs w:val="24"/>
        </w:rPr>
      </w:pPr>
      <w:r>
        <w:rPr>
          <w:rFonts w:hint="eastAsia" w:ascii="宋体" w:hAnsi="宋体" w:cs="宋体"/>
          <w:b/>
          <w:bCs/>
          <w:sz w:val="24"/>
          <w:szCs w:val="24"/>
        </w:rPr>
        <w:t>工作内容</w:t>
      </w:r>
    </w:p>
    <w:p>
      <w:pPr>
        <w:pStyle w:val="21"/>
        <w:numPr>
          <w:ilvl w:val="0"/>
          <w:numId w:val="9"/>
        </w:numPr>
        <w:adjustRightInd w:val="0"/>
        <w:snapToGrid w:val="0"/>
        <w:spacing w:line="360" w:lineRule="auto"/>
        <w:ind w:left="0" w:firstLine="648" w:firstLineChars="269"/>
        <w:rPr>
          <w:rFonts w:hint="eastAsia" w:ascii="宋体" w:hAnsi="宋体" w:cs="宋体"/>
          <w:b/>
          <w:bCs/>
          <w:sz w:val="24"/>
          <w:szCs w:val="24"/>
        </w:rPr>
      </w:pPr>
      <w:r>
        <w:rPr>
          <w:rFonts w:hint="eastAsia" w:ascii="宋体" w:hAnsi="宋体" w:cs="宋体"/>
          <w:b/>
          <w:bCs/>
          <w:sz w:val="24"/>
          <w:szCs w:val="24"/>
        </w:rPr>
        <w:t>项目定位研究服务，内容包括但不限于：</w:t>
      </w:r>
    </w:p>
    <w:p>
      <w:pPr>
        <w:pStyle w:val="21"/>
        <w:numPr>
          <w:ilvl w:val="0"/>
          <w:numId w:val="10"/>
        </w:numPr>
        <w:adjustRightInd w:val="0"/>
        <w:snapToGrid w:val="0"/>
        <w:spacing w:line="360" w:lineRule="auto"/>
        <w:ind w:left="0" w:firstLine="645" w:firstLineChars="269"/>
        <w:rPr>
          <w:rFonts w:hint="eastAsia" w:ascii="宋体" w:hAnsi="宋体" w:cs="宋体"/>
          <w:color w:val="000000"/>
          <w:sz w:val="24"/>
          <w:szCs w:val="24"/>
        </w:rPr>
      </w:pPr>
      <w:r>
        <w:rPr>
          <w:rFonts w:hint="eastAsia" w:ascii="宋体" w:hAnsi="宋体" w:cs="宋体"/>
          <w:color w:val="000000"/>
          <w:sz w:val="24"/>
          <w:szCs w:val="24"/>
        </w:rPr>
        <w:t>宏观环境分析；</w:t>
      </w:r>
    </w:p>
    <w:p>
      <w:pPr>
        <w:pStyle w:val="21"/>
        <w:numPr>
          <w:ilvl w:val="0"/>
          <w:numId w:val="10"/>
        </w:numPr>
        <w:adjustRightInd w:val="0"/>
        <w:snapToGrid w:val="0"/>
        <w:spacing w:line="360" w:lineRule="auto"/>
        <w:ind w:left="0" w:firstLine="645" w:firstLineChars="269"/>
        <w:rPr>
          <w:rFonts w:hint="eastAsia" w:ascii="宋体" w:hAnsi="宋体" w:cs="宋体"/>
          <w:color w:val="000000"/>
          <w:sz w:val="24"/>
          <w:szCs w:val="24"/>
        </w:rPr>
      </w:pPr>
      <w:r>
        <w:rPr>
          <w:rFonts w:hint="eastAsia" w:ascii="宋体" w:hAnsi="宋体" w:cs="宋体"/>
          <w:color w:val="000000"/>
          <w:sz w:val="24"/>
          <w:szCs w:val="24"/>
        </w:rPr>
        <w:t>深圳房地产市场及发展趋势研究；</w:t>
      </w:r>
    </w:p>
    <w:p>
      <w:pPr>
        <w:pStyle w:val="21"/>
        <w:numPr>
          <w:ilvl w:val="0"/>
          <w:numId w:val="10"/>
        </w:numPr>
        <w:adjustRightInd w:val="0"/>
        <w:snapToGrid w:val="0"/>
        <w:spacing w:line="360" w:lineRule="auto"/>
        <w:ind w:left="0" w:firstLine="645" w:firstLineChars="269"/>
        <w:rPr>
          <w:rFonts w:hint="eastAsia" w:ascii="宋体" w:hAnsi="宋体" w:cs="宋体"/>
          <w:color w:val="000000"/>
          <w:sz w:val="24"/>
          <w:szCs w:val="24"/>
        </w:rPr>
      </w:pPr>
      <w:r>
        <w:rPr>
          <w:rFonts w:hint="eastAsia" w:ascii="宋体" w:hAnsi="宋体" w:cs="宋体"/>
          <w:color w:val="000000"/>
          <w:sz w:val="24"/>
          <w:szCs w:val="24"/>
        </w:rPr>
        <w:t>区域房地产市场及发展趋势研究：包括区域发展现状结论、区域发展趋势研判、项目在区域中的占位及功能初步评估、市场调研结论；</w:t>
      </w:r>
    </w:p>
    <w:p>
      <w:pPr>
        <w:pStyle w:val="21"/>
        <w:numPr>
          <w:ilvl w:val="0"/>
          <w:numId w:val="10"/>
        </w:numPr>
        <w:adjustRightInd w:val="0"/>
        <w:snapToGrid w:val="0"/>
        <w:spacing w:line="360" w:lineRule="auto"/>
        <w:ind w:left="0" w:firstLine="645" w:firstLineChars="269"/>
        <w:rPr>
          <w:rFonts w:hint="eastAsia" w:ascii="宋体" w:hAnsi="宋体" w:cs="宋体"/>
          <w:color w:val="000000"/>
          <w:sz w:val="24"/>
          <w:szCs w:val="24"/>
        </w:rPr>
      </w:pPr>
      <w:r>
        <w:rPr>
          <w:rFonts w:hint="eastAsia" w:ascii="宋体" w:hAnsi="宋体" w:cs="宋体"/>
          <w:color w:val="000000"/>
          <w:sz w:val="24"/>
          <w:szCs w:val="24"/>
        </w:rPr>
        <w:t>项目本体分析；</w:t>
      </w:r>
    </w:p>
    <w:p>
      <w:pPr>
        <w:pStyle w:val="21"/>
        <w:numPr>
          <w:ilvl w:val="0"/>
          <w:numId w:val="10"/>
        </w:numPr>
        <w:adjustRightInd w:val="0"/>
        <w:snapToGrid w:val="0"/>
        <w:spacing w:line="360" w:lineRule="auto"/>
        <w:ind w:left="0" w:firstLine="645" w:firstLineChars="269"/>
        <w:rPr>
          <w:rFonts w:hint="eastAsia" w:ascii="宋体" w:hAnsi="宋体" w:cs="宋体"/>
          <w:color w:val="000000"/>
          <w:sz w:val="24"/>
          <w:szCs w:val="24"/>
        </w:rPr>
      </w:pPr>
      <w:r>
        <w:rPr>
          <w:rFonts w:hint="eastAsia" w:ascii="宋体" w:hAnsi="宋体" w:cs="宋体"/>
          <w:color w:val="000000"/>
          <w:sz w:val="24"/>
          <w:szCs w:val="24"/>
        </w:rPr>
        <w:t>成功案例借鉴；</w:t>
      </w:r>
    </w:p>
    <w:p>
      <w:pPr>
        <w:pStyle w:val="21"/>
        <w:numPr>
          <w:ilvl w:val="0"/>
          <w:numId w:val="10"/>
        </w:numPr>
        <w:adjustRightInd w:val="0"/>
        <w:snapToGrid w:val="0"/>
        <w:spacing w:line="360" w:lineRule="auto"/>
        <w:ind w:left="0" w:firstLine="645" w:firstLineChars="269"/>
        <w:rPr>
          <w:rFonts w:hint="eastAsia" w:ascii="宋体" w:hAnsi="宋体" w:cs="宋体"/>
          <w:color w:val="000000"/>
          <w:sz w:val="24"/>
          <w:szCs w:val="24"/>
        </w:rPr>
      </w:pPr>
      <w:r>
        <w:rPr>
          <w:rFonts w:hint="eastAsia" w:ascii="宋体" w:hAnsi="宋体" w:cs="宋体"/>
          <w:color w:val="000000"/>
          <w:sz w:val="24"/>
          <w:szCs w:val="24"/>
        </w:rPr>
        <w:t>各物业类型的系统定位，包括但不限于客户定位、产品定位（户型配比）、形象定位、档次定位、价格定位；</w:t>
      </w:r>
    </w:p>
    <w:p>
      <w:pPr>
        <w:pStyle w:val="21"/>
        <w:numPr>
          <w:ilvl w:val="0"/>
          <w:numId w:val="10"/>
        </w:numPr>
        <w:adjustRightInd w:val="0"/>
        <w:snapToGrid w:val="0"/>
        <w:spacing w:line="360" w:lineRule="auto"/>
        <w:ind w:left="0" w:firstLine="645" w:firstLineChars="269"/>
        <w:rPr>
          <w:rFonts w:hint="eastAsia" w:ascii="宋体" w:hAnsi="宋体" w:cs="宋体"/>
          <w:color w:val="000000"/>
          <w:sz w:val="24"/>
          <w:szCs w:val="24"/>
        </w:rPr>
      </w:pPr>
      <w:r>
        <w:rPr>
          <w:rFonts w:hint="eastAsia" w:ascii="宋体" w:hAnsi="宋体" w:cs="宋体"/>
          <w:color w:val="000000"/>
          <w:sz w:val="24"/>
          <w:szCs w:val="24"/>
        </w:rPr>
        <w:t>各物业类型经营模式建议；</w:t>
      </w:r>
    </w:p>
    <w:p>
      <w:pPr>
        <w:pStyle w:val="21"/>
        <w:numPr>
          <w:ilvl w:val="0"/>
          <w:numId w:val="10"/>
        </w:numPr>
        <w:adjustRightInd w:val="0"/>
        <w:snapToGrid w:val="0"/>
        <w:spacing w:line="360" w:lineRule="auto"/>
        <w:ind w:left="0" w:firstLine="645" w:firstLineChars="269"/>
        <w:rPr>
          <w:rFonts w:hint="eastAsia" w:ascii="宋体" w:hAnsi="宋体" w:cs="宋体"/>
          <w:color w:val="000000"/>
          <w:sz w:val="24"/>
          <w:szCs w:val="24"/>
        </w:rPr>
      </w:pPr>
      <w:r>
        <w:rPr>
          <w:rFonts w:hint="eastAsia" w:ascii="宋体" w:hAnsi="宋体" w:cs="宋体"/>
          <w:color w:val="000000"/>
          <w:sz w:val="24"/>
          <w:szCs w:val="24"/>
        </w:rPr>
        <w:t>项目整体开发周期及推售建议；</w:t>
      </w:r>
    </w:p>
    <w:p>
      <w:pPr>
        <w:pStyle w:val="21"/>
        <w:numPr>
          <w:ilvl w:val="0"/>
          <w:numId w:val="10"/>
        </w:numPr>
        <w:adjustRightInd w:val="0"/>
        <w:snapToGrid w:val="0"/>
        <w:spacing w:line="360" w:lineRule="auto"/>
        <w:ind w:left="0" w:firstLine="645" w:firstLineChars="269"/>
        <w:rPr>
          <w:rFonts w:hint="eastAsia" w:ascii="宋体" w:hAnsi="宋体" w:cs="宋体"/>
          <w:color w:val="000000"/>
          <w:sz w:val="24"/>
          <w:szCs w:val="24"/>
        </w:rPr>
      </w:pPr>
      <w:r>
        <w:rPr>
          <w:rFonts w:hint="eastAsia" w:ascii="宋体" w:hAnsi="宋体" w:cs="宋体"/>
          <w:color w:val="000000"/>
          <w:sz w:val="24"/>
          <w:szCs w:val="24"/>
        </w:rPr>
        <w:t>项目经济测算；</w:t>
      </w:r>
    </w:p>
    <w:p>
      <w:pPr>
        <w:pStyle w:val="21"/>
        <w:numPr>
          <w:ilvl w:val="0"/>
          <w:numId w:val="10"/>
        </w:numPr>
        <w:adjustRightInd w:val="0"/>
        <w:snapToGrid w:val="0"/>
        <w:spacing w:line="360" w:lineRule="auto"/>
        <w:ind w:left="0" w:firstLine="645" w:firstLineChars="269"/>
        <w:rPr>
          <w:rFonts w:hint="eastAsia" w:ascii="宋体" w:hAnsi="宋体" w:cs="宋体"/>
          <w:color w:val="000000"/>
          <w:sz w:val="24"/>
          <w:szCs w:val="24"/>
        </w:rPr>
      </w:pPr>
      <w:r>
        <w:rPr>
          <w:rFonts w:hint="eastAsia" w:ascii="宋体" w:hAnsi="宋体" w:cs="宋体"/>
          <w:color w:val="000000"/>
          <w:sz w:val="24"/>
          <w:szCs w:val="24"/>
        </w:rPr>
        <w:t>项目整体及各物业类型物业发展建议等。</w:t>
      </w:r>
    </w:p>
    <w:p>
      <w:pPr>
        <w:numPr>
          <w:ilvl w:val="0"/>
          <w:numId w:val="9"/>
        </w:numPr>
        <w:adjustRightInd w:val="0"/>
        <w:snapToGrid w:val="0"/>
        <w:spacing w:line="360" w:lineRule="auto"/>
        <w:ind w:firstLine="431"/>
        <w:rPr>
          <w:rFonts w:hint="eastAsia" w:ascii="宋体" w:hAnsi="宋体" w:cs="宋体"/>
          <w:b/>
          <w:sz w:val="24"/>
          <w:szCs w:val="24"/>
        </w:rPr>
      </w:pPr>
      <w:r>
        <w:rPr>
          <w:rFonts w:hint="eastAsia" w:ascii="宋体" w:hAnsi="宋体" w:cs="宋体"/>
          <w:b/>
          <w:sz w:val="24"/>
          <w:szCs w:val="24"/>
        </w:rPr>
        <w:t>项目规划设计配合及跟进服务，内容包括但不限于：</w:t>
      </w:r>
    </w:p>
    <w:p>
      <w:pPr>
        <w:pStyle w:val="21"/>
        <w:numPr>
          <w:ilvl w:val="0"/>
          <w:numId w:val="11"/>
        </w:numPr>
        <w:adjustRightInd w:val="0"/>
        <w:snapToGrid w:val="0"/>
        <w:spacing w:line="360" w:lineRule="auto"/>
        <w:ind w:left="0" w:firstLine="645" w:firstLineChars="269"/>
        <w:rPr>
          <w:rFonts w:hint="eastAsia" w:ascii="宋体" w:hAnsi="宋体" w:cs="宋体"/>
          <w:color w:val="000000"/>
          <w:sz w:val="24"/>
          <w:szCs w:val="24"/>
        </w:rPr>
      </w:pPr>
      <w:r>
        <w:rPr>
          <w:rFonts w:hint="eastAsia" w:ascii="宋体" w:hAnsi="宋体" w:cs="宋体"/>
          <w:color w:val="000000"/>
          <w:sz w:val="24"/>
          <w:szCs w:val="24"/>
        </w:rPr>
        <w:t>配合后续由于项目规划设计等相关工作的需求，涉及到的定位报告的调整与更新工作，以及相关规划设计相关的意见反馈、专项建议等；</w:t>
      </w:r>
    </w:p>
    <w:p>
      <w:pPr>
        <w:pStyle w:val="21"/>
        <w:numPr>
          <w:ilvl w:val="0"/>
          <w:numId w:val="11"/>
        </w:numPr>
        <w:adjustRightInd w:val="0"/>
        <w:snapToGrid w:val="0"/>
        <w:spacing w:line="360" w:lineRule="auto"/>
        <w:ind w:left="0" w:firstLine="645" w:firstLineChars="269"/>
        <w:rPr>
          <w:rFonts w:hint="eastAsia" w:ascii="宋体" w:hAnsi="宋体" w:cs="宋体"/>
          <w:sz w:val="24"/>
          <w:szCs w:val="24"/>
        </w:rPr>
      </w:pPr>
      <w:r>
        <w:rPr>
          <w:rFonts w:hint="eastAsia" w:ascii="宋体" w:hAnsi="宋体" w:cs="宋体"/>
          <w:color w:val="000000"/>
          <w:sz w:val="24"/>
          <w:szCs w:val="24"/>
        </w:rPr>
        <w:t>在服务期内按要求提供相关咨询及顾问服务（包括但不限于市场研究、市场动态</w:t>
      </w:r>
      <w:r>
        <w:rPr>
          <w:rFonts w:hint="eastAsia" w:ascii="宋体" w:hAnsi="宋体" w:cs="宋体"/>
          <w:sz w:val="24"/>
          <w:szCs w:val="24"/>
        </w:rPr>
        <w:t>、市场数据等）。</w:t>
      </w:r>
    </w:p>
    <w:p>
      <w:pPr>
        <w:numPr>
          <w:ilvl w:val="0"/>
          <w:numId w:val="9"/>
        </w:numPr>
        <w:adjustRightInd w:val="0"/>
        <w:snapToGrid w:val="0"/>
        <w:spacing w:line="360" w:lineRule="auto"/>
        <w:ind w:firstLine="431"/>
        <w:rPr>
          <w:rFonts w:hint="eastAsia" w:ascii="宋体" w:hAnsi="宋体" w:cs="宋体"/>
          <w:b/>
          <w:bCs/>
          <w:sz w:val="24"/>
          <w:szCs w:val="24"/>
        </w:rPr>
      </w:pPr>
      <w:r>
        <w:rPr>
          <w:rFonts w:hint="eastAsia" w:ascii="宋体" w:hAnsi="宋体" w:cs="宋体"/>
          <w:b/>
          <w:bCs/>
          <w:sz w:val="24"/>
          <w:szCs w:val="24"/>
        </w:rPr>
        <w:t>选址建议：</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服务期内，需针对大湾区站城开发的选址，进行合理分析、研判，并提供选址建议。</w:t>
      </w:r>
    </w:p>
    <w:p>
      <w:pPr>
        <w:pStyle w:val="21"/>
        <w:numPr>
          <w:ilvl w:val="0"/>
          <w:numId w:val="7"/>
        </w:numPr>
        <w:adjustRightInd w:val="0"/>
        <w:snapToGrid w:val="0"/>
        <w:spacing w:line="360" w:lineRule="auto"/>
        <w:ind w:firstLine="491" w:firstLineChars="0"/>
        <w:rPr>
          <w:rFonts w:hint="eastAsia" w:ascii="宋体" w:hAnsi="宋体" w:cs="宋体"/>
          <w:b/>
          <w:bCs/>
          <w:sz w:val="24"/>
          <w:szCs w:val="24"/>
        </w:rPr>
      </w:pPr>
      <w:r>
        <w:rPr>
          <w:rFonts w:hint="eastAsia" w:ascii="宋体" w:hAnsi="宋体" w:cs="宋体"/>
          <w:b/>
          <w:bCs/>
          <w:sz w:val="24"/>
          <w:szCs w:val="24"/>
        </w:rPr>
        <w:t>《价格研究报告》服务</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服务期内，需提供拟销售项目的《价格研究报告》，数量不超过4个，且不包括营销策划服务的项目，报告需包含对政策、市场的深入调研，形成分析报告及分户价格表，具体项目以甲方指定为准。</w:t>
      </w:r>
    </w:p>
    <w:p>
      <w:pPr>
        <w:numPr>
          <w:ilvl w:val="0"/>
          <w:numId w:val="1"/>
        </w:numPr>
        <w:adjustRightInd w:val="0"/>
        <w:snapToGrid w:val="0"/>
        <w:spacing w:line="360" w:lineRule="auto"/>
        <w:ind w:left="420" w:firstLine="289"/>
        <w:rPr>
          <w:rFonts w:hint="eastAsia" w:ascii="宋体" w:hAnsi="宋体" w:cs="宋体"/>
          <w:b/>
          <w:bCs/>
          <w:sz w:val="24"/>
          <w:szCs w:val="24"/>
        </w:rPr>
      </w:pPr>
      <w:r>
        <w:rPr>
          <w:rFonts w:hint="eastAsia" w:ascii="宋体" w:hAnsi="宋体" w:cs="宋体"/>
          <w:b/>
          <w:bCs/>
          <w:sz w:val="24"/>
          <w:szCs w:val="24"/>
        </w:rPr>
        <w:t>营销策划服务的人力资源配置</w:t>
      </w:r>
    </w:p>
    <w:p>
      <w:pPr>
        <w:pStyle w:val="21"/>
        <w:numPr>
          <w:ilvl w:val="0"/>
          <w:numId w:val="12"/>
        </w:numPr>
        <w:adjustRightInd w:val="0"/>
        <w:snapToGrid w:val="0"/>
        <w:spacing w:line="360" w:lineRule="auto"/>
        <w:ind w:left="3" w:firstLine="468" w:firstLineChars="195"/>
        <w:rPr>
          <w:rFonts w:hint="eastAsia" w:ascii="宋体" w:hAnsi="宋体" w:cs="宋体"/>
          <w:sz w:val="24"/>
          <w:szCs w:val="24"/>
        </w:rPr>
      </w:pPr>
      <w:r>
        <w:rPr>
          <w:rFonts w:hint="eastAsia" w:ascii="宋体" w:hAnsi="宋体" w:cs="宋体"/>
          <w:sz w:val="24"/>
          <w:szCs w:val="24"/>
        </w:rPr>
        <w:t>服务全期内，核心成员（拟销售项目项目总监、策划经理，前期项目项目总监、策划经理）固定不变，并对营销全过程的流程完备性及其它研究报告服务的出品质量负责。此外根据项目销售节点的不同，甲方可结合具体服务需求，启动不同的服务期，不同分期对应的驻场策划人数不同，具体如下：</w:t>
      </w:r>
    </w:p>
    <w:tbl>
      <w:tblPr>
        <w:tblStyle w:val="11"/>
        <w:tblW w:w="95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3"/>
        <w:gridCol w:w="2205"/>
        <w:gridCol w:w="2205"/>
        <w:gridCol w:w="2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2203" w:type="dxa"/>
            <w:shd w:val="clear" w:color="auto" w:fill="auto"/>
            <w:noWrap w:val="0"/>
            <w:vAlign w:val="center"/>
          </w:tcPr>
          <w:p>
            <w:pPr>
              <w:adjustRightInd w:val="0"/>
              <w:snapToGrid w:val="0"/>
              <w:jc w:val="center"/>
              <w:rPr>
                <w:rFonts w:hint="eastAsia" w:ascii="宋体" w:hAnsi="宋体" w:cs="宋体"/>
                <w:sz w:val="24"/>
                <w:szCs w:val="24"/>
              </w:rPr>
            </w:pPr>
            <w:r>
              <w:rPr>
                <w:rFonts w:hint="eastAsia" w:ascii="宋体" w:hAnsi="宋体" w:cs="宋体"/>
                <w:sz w:val="24"/>
                <w:szCs w:val="24"/>
              </w:rPr>
              <w:t>分期与人员</w:t>
            </w:r>
          </w:p>
        </w:tc>
        <w:tc>
          <w:tcPr>
            <w:tcW w:w="2205" w:type="dxa"/>
            <w:shd w:val="clear" w:color="auto" w:fill="auto"/>
            <w:noWrap w:val="0"/>
            <w:vAlign w:val="center"/>
          </w:tcPr>
          <w:p>
            <w:pPr>
              <w:adjustRightInd w:val="0"/>
              <w:snapToGrid w:val="0"/>
              <w:jc w:val="center"/>
              <w:rPr>
                <w:rFonts w:hint="eastAsia" w:ascii="宋体" w:hAnsi="宋体" w:cs="宋体"/>
                <w:sz w:val="24"/>
                <w:szCs w:val="24"/>
              </w:rPr>
            </w:pPr>
            <w:r>
              <w:rPr>
                <w:rFonts w:hint="eastAsia" w:ascii="宋体" w:hAnsi="宋体" w:cs="宋体"/>
                <w:sz w:val="24"/>
                <w:szCs w:val="24"/>
              </w:rPr>
              <w:t>常规服务期</w:t>
            </w:r>
          </w:p>
          <w:p>
            <w:pPr>
              <w:adjustRightInd w:val="0"/>
              <w:snapToGrid w:val="0"/>
              <w:jc w:val="center"/>
              <w:rPr>
                <w:rFonts w:hint="eastAsia" w:ascii="宋体" w:hAnsi="宋体" w:cs="宋体"/>
                <w:sz w:val="24"/>
                <w:szCs w:val="24"/>
              </w:rPr>
            </w:pPr>
            <w:r>
              <w:rPr>
                <w:rFonts w:hint="eastAsia" w:ascii="宋体" w:hAnsi="宋体" w:cs="宋体"/>
                <w:sz w:val="24"/>
                <w:szCs w:val="24"/>
              </w:rPr>
              <w:t>驻场人员</w:t>
            </w:r>
          </w:p>
        </w:tc>
        <w:tc>
          <w:tcPr>
            <w:tcW w:w="2205" w:type="dxa"/>
            <w:shd w:val="clear" w:color="auto" w:fill="auto"/>
            <w:noWrap w:val="0"/>
            <w:vAlign w:val="center"/>
          </w:tcPr>
          <w:p>
            <w:pPr>
              <w:adjustRightInd w:val="0"/>
              <w:snapToGrid w:val="0"/>
              <w:jc w:val="center"/>
              <w:rPr>
                <w:rFonts w:hint="eastAsia" w:ascii="宋体" w:hAnsi="宋体" w:cs="宋体"/>
                <w:sz w:val="24"/>
                <w:szCs w:val="24"/>
              </w:rPr>
            </w:pPr>
            <w:r>
              <w:rPr>
                <w:rFonts w:hint="eastAsia" w:ascii="宋体" w:hAnsi="宋体" w:cs="宋体"/>
                <w:sz w:val="24"/>
                <w:szCs w:val="24"/>
              </w:rPr>
              <w:t>重点服务期</w:t>
            </w:r>
          </w:p>
          <w:p>
            <w:pPr>
              <w:adjustRightInd w:val="0"/>
              <w:snapToGrid w:val="0"/>
              <w:jc w:val="center"/>
              <w:rPr>
                <w:rFonts w:hint="eastAsia" w:ascii="宋体" w:hAnsi="宋体" w:cs="宋体"/>
                <w:sz w:val="24"/>
                <w:szCs w:val="24"/>
              </w:rPr>
            </w:pPr>
            <w:r>
              <w:rPr>
                <w:rFonts w:hint="eastAsia" w:ascii="宋体" w:hAnsi="宋体" w:cs="宋体"/>
                <w:sz w:val="24"/>
                <w:szCs w:val="24"/>
              </w:rPr>
              <w:t>驻场人员</w:t>
            </w:r>
          </w:p>
        </w:tc>
        <w:tc>
          <w:tcPr>
            <w:tcW w:w="2929" w:type="dxa"/>
            <w:shd w:val="clear" w:color="auto" w:fill="auto"/>
            <w:noWrap w:val="0"/>
            <w:vAlign w:val="center"/>
          </w:tcPr>
          <w:p>
            <w:pPr>
              <w:adjustRightInd w:val="0"/>
              <w:snapToGrid w:val="0"/>
              <w:jc w:val="center"/>
              <w:rPr>
                <w:rFonts w:hint="eastAsia" w:ascii="宋体" w:hAnsi="宋体" w:cs="宋体"/>
                <w:sz w:val="24"/>
                <w:szCs w:val="24"/>
              </w:rPr>
            </w:pPr>
            <w:r>
              <w:rPr>
                <w:rFonts w:hint="eastAsia" w:ascii="宋体" w:hAnsi="宋体" w:cs="宋体"/>
                <w:sz w:val="24"/>
                <w:szCs w:val="24"/>
              </w:rPr>
              <w:t>核心成员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2203" w:type="dxa"/>
            <w:shd w:val="clear" w:color="auto" w:fill="auto"/>
            <w:noWrap w:val="0"/>
            <w:vAlign w:val="center"/>
          </w:tcPr>
          <w:p>
            <w:pPr>
              <w:adjustRightInd w:val="0"/>
              <w:snapToGrid w:val="0"/>
              <w:jc w:val="center"/>
              <w:rPr>
                <w:rFonts w:hint="eastAsia" w:ascii="宋体" w:hAnsi="宋体" w:cs="宋体"/>
                <w:sz w:val="24"/>
                <w:szCs w:val="24"/>
              </w:rPr>
            </w:pPr>
            <w:r>
              <w:rPr>
                <w:rFonts w:hint="eastAsia" w:ascii="宋体" w:hAnsi="宋体" w:cs="宋体"/>
                <w:sz w:val="24"/>
                <w:szCs w:val="24"/>
              </w:rPr>
              <w:t>合计人数</w:t>
            </w:r>
          </w:p>
        </w:tc>
        <w:tc>
          <w:tcPr>
            <w:tcW w:w="2205" w:type="dxa"/>
            <w:shd w:val="clear" w:color="auto" w:fill="auto"/>
            <w:noWrap w:val="0"/>
            <w:vAlign w:val="center"/>
          </w:tcPr>
          <w:p>
            <w:pPr>
              <w:adjustRightInd w:val="0"/>
              <w:snapToGrid w:val="0"/>
              <w:jc w:val="center"/>
              <w:rPr>
                <w:rFonts w:hint="eastAsia" w:ascii="宋体" w:hAnsi="宋体" w:cs="宋体"/>
                <w:sz w:val="24"/>
                <w:szCs w:val="24"/>
              </w:rPr>
            </w:pPr>
            <w:r>
              <w:rPr>
                <w:rFonts w:hint="eastAsia" w:ascii="宋体" w:hAnsi="宋体" w:cs="宋体"/>
                <w:sz w:val="24"/>
                <w:szCs w:val="24"/>
              </w:rPr>
              <w:t>3人/月</w:t>
            </w:r>
          </w:p>
        </w:tc>
        <w:tc>
          <w:tcPr>
            <w:tcW w:w="2205" w:type="dxa"/>
            <w:shd w:val="clear" w:color="auto" w:fill="auto"/>
            <w:noWrap w:val="0"/>
            <w:vAlign w:val="center"/>
          </w:tcPr>
          <w:p>
            <w:pPr>
              <w:adjustRightInd w:val="0"/>
              <w:snapToGrid w:val="0"/>
              <w:jc w:val="center"/>
              <w:rPr>
                <w:rFonts w:hint="eastAsia" w:ascii="宋体" w:hAnsi="宋体" w:cs="宋体"/>
                <w:sz w:val="24"/>
                <w:szCs w:val="24"/>
              </w:rPr>
            </w:pPr>
            <w:r>
              <w:rPr>
                <w:rFonts w:hint="eastAsia" w:ascii="宋体" w:hAnsi="宋体" w:cs="宋体"/>
                <w:sz w:val="24"/>
                <w:szCs w:val="24"/>
              </w:rPr>
              <w:t>6人/月</w:t>
            </w:r>
          </w:p>
        </w:tc>
        <w:tc>
          <w:tcPr>
            <w:tcW w:w="2929" w:type="dxa"/>
            <w:vMerge w:val="restart"/>
            <w:shd w:val="clear" w:color="auto" w:fill="auto"/>
            <w:noWrap w:val="0"/>
            <w:vAlign w:val="center"/>
          </w:tcPr>
          <w:p>
            <w:pPr>
              <w:adjustRightInd w:val="0"/>
              <w:snapToGrid w:val="0"/>
              <w:jc w:val="center"/>
              <w:rPr>
                <w:rFonts w:hint="eastAsia" w:ascii="宋体" w:hAnsi="宋体" w:cs="宋体"/>
                <w:sz w:val="24"/>
                <w:szCs w:val="24"/>
              </w:rPr>
            </w:pPr>
            <w:r>
              <w:rPr>
                <w:rFonts w:hint="eastAsia" w:ascii="宋体" w:hAnsi="宋体" w:cs="宋体"/>
                <w:sz w:val="24"/>
                <w:szCs w:val="24"/>
              </w:rPr>
              <w:t>拟销售项目：</w:t>
            </w:r>
          </w:p>
          <w:p>
            <w:pPr>
              <w:adjustRightInd w:val="0"/>
              <w:snapToGrid w:val="0"/>
              <w:jc w:val="center"/>
              <w:rPr>
                <w:rFonts w:hint="eastAsia" w:ascii="宋体" w:hAnsi="宋体" w:cs="宋体"/>
                <w:sz w:val="24"/>
                <w:szCs w:val="24"/>
              </w:rPr>
            </w:pPr>
            <w:r>
              <w:rPr>
                <w:rFonts w:hint="eastAsia" w:ascii="宋体" w:hAnsi="宋体" w:cs="宋体"/>
                <w:sz w:val="24"/>
                <w:szCs w:val="24"/>
              </w:rPr>
              <w:t>项目总监1人</w:t>
            </w:r>
          </w:p>
          <w:p>
            <w:pPr>
              <w:adjustRightInd w:val="0"/>
              <w:snapToGrid w:val="0"/>
              <w:jc w:val="center"/>
              <w:rPr>
                <w:rFonts w:hint="eastAsia" w:ascii="宋体" w:hAnsi="宋体" w:cs="宋体"/>
                <w:sz w:val="24"/>
                <w:szCs w:val="24"/>
              </w:rPr>
            </w:pPr>
            <w:r>
              <w:rPr>
                <w:rFonts w:hint="eastAsia" w:ascii="宋体" w:hAnsi="宋体" w:cs="宋体"/>
                <w:sz w:val="24"/>
                <w:szCs w:val="24"/>
              </w:rPr>
              <w:t>策划经理1人</w:t>
            </w:r>
          </w:p>
          <w:p>
            <w:pPr>
              <w:adjustRightInd w:val="0"/>
              <w:snapToGrid w:val="0"/>
              <w:jc w:val="center"/>
              <w:rPr>
                <w:rFonts w:hint="eastAsia" w:ascii="宋体" w:hAnsi="宋体" w:cs="宋体"/>
                <w:sz w:val="24"/>
                <w:szCs w:val="24"/>
              </w:rPr>
            </w:pPr>
          </w:p>
          <w:p>
            <w:pPr>
              <w:adjustRightInd w:val="0"/>
              <w:snapToGrid w:val="0"/>
              <w:jc w:val="center"/>
              <w:rPr>
                <w:rFonts w:hint="eastAsia" w:ascii="宋体" w:hAnsi="宋体" w:cs="宋体"/>
                <w:sz w:val="24"/>
                <w:szCs w:val="24"/>
              </w:rPr>
            </w:pPr>
            <w:r>
              <w:rPr>
                <w:rFonts w:hint="eastAsia" w:ascii="宋体" w:hAnsi="宋体" w:cs="宋体"/>
                <w:sz w:val="24"/>
                <w:szCs w:val="24"/>
              </w:rPr>
              <w:t>前期项目：</w:t>
            </w:r>
          </w:p>
          <w:p>
            <w:pPr>
              <w:adjustRightInd w:val="0"/>
              <w:snapToGrid w:val="0"/>
              <w:jc w:val="center"/>
              <w:rPr>
                <w:rFonts w:hint="eastAsia" w:ascii="宋体" w:hAnsi="宋体" w:cs="宋体"/>
                <w:sz w:val="24"/>
                <w:szCs w:val="24"/>
              </w:rPr>
            </w:pPr>
            <w:r>
              <w:rPr>
                <w:rFonts w:hint="eastAsia" w:ascii="宋体" w:hAnsi="宋体" w:cs="宋体"/>
                <w:sz w:val="24"/>
                <w:szCs w:val="24"/>
              </w:rPr>
              <w:t>项目总监1人</w:t>
            </w:r>
          </w:p>
          <w:p>
            <w:pPr>
              <w:adjustRightInd w:val="0"/>
              <w:snapToGrid w:val="0"/>
              <w:jc w:val="center"/>
              <w:rPr>
                <w:rFonts w:hint="eastAsia" w:ascii="宋体" w:hAnsi="宋体" w:cs="宋体"/>
                <w:sz w:val="24"/>
                <w:szCs w:val="24"/>
              </w:rPr>
            </w:pPr>
            <w:r>
              <w:rPr>
                <w:rFonts w:hint="eastAsia" w:ascii="宋体" w:hAnsi="宋体" w:cs="宋体"/>
                <w:sz w:val="24"/>
                <w:szCs w:val="24"/>
              </w:rPr>
              <w:t>策划经理1人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2203" w:type="dxa"/>
            <w:shd w:val="clear" w:color="auto" w:fill="auto"/>
            <w:noWrap w:val="0"/>
            <w:vAlign w:val="center"/>
          </w:tcPr>
          <w:p>
            <w:pPr>
              <w:adjustRightInd w:val="0"/>
              <w:snapToGrid w:val="0"/>
              <w:jc w:val="center"/>
              <w:rPr>
                <w:rFonts w:hint="eastAsia" w:ascii="宋体" w:hAnsi="宋体" w:cs="宋体"/>
                <w:sz w:val="24"/>
                <w:szCs w:val="24"/>
              </w:rPr>
            </w:pPr>
            <w:r>
              <w:rPr>
                <w:rFonts w:hint="eastAsia" w:ascii="宋体" w:hAnsi="宋体" w:cs="宋体"/>
                <w:sz w:val="24"/>
                <w:szCs w:val="24"/>
              </w:rPr>
              <w:t>需求月</w:t>
            </w:r>
          </w:p>
        </w:tc>
        <w:tc>
          <w:tcPr>
            <w:tcW w:w="2205" w:type="dxa"/>
            <w:shd w:val="clear" w:color="auto" w:fill="auto"/>
            <w:noWrap w:val="0"/>
            <w:vAlign w:val="center"/>
          </w:tcPr>
          <w:p>
            <w:pPr>
              <w:adjustRightInd w:val="0"/>
              <w:snapToGrid w:val="0"/>
              <w:jc w:val="center"/>
              <w:rPr>
                <w:rFonts w:hint="eastAsia" w:ascii="宋体" w:hAnsi="宋体" w:cs="宋体"/>
                <w:sz w:val="24"/>
                <w:szCs w:val="24"/>
              </w:rPr>
            </w:pPr>
            <w:r>
              <w:rPr>
                <w:rFonts w:hint="eastAsia" w:ascii="宋体" w:hAnsi="宋体" w:cs="宋体"/>
                <w:sz w:val="24"/>
                <w:szCs w:val="24"/>
              </w:rPr>
              <w:t>6个月</w:t>
            </w:r>
          </w:p>
        </w:tc>
        <w:tc>
          <w:tcPr>
            <w:tcW w:w="2205" w:type="dxa"/>
            <w:shd w:val="clear" w:color="auto" w:fill="auto"/>
            <w:noWrap w:val="0"/>
            <w:vAlign w:val="center"/>
          </w:tcPr>
          <w:p>
            <w:pPr>
              <w:adjustRightInd w:val="0"/>
              <w:snapToGrid w:val="0"/>
              <w:jc w:val="center"/>
              <w:rPr>
                <w:rFonts w:hint="eastAsia" w:ascii="宋体" w:hAnsi="宋体" w:cs="宋体"/>
                <w:sz w:val="24"/>
                <w:szCs w:val="24"/>
              </w:rPr>
            </w:pPr>
            <w:r>
              <w:rPr>
                <w:rFonts w:hint="eastAsia" w:ascii="宋体" w:hAnsi="宋体" w:cs="宋体"/>
                <w:sz w:val="24"/>
                <w:szCs w:val="24"/>
              </w:rPr>
              <w:t>6个月</w:t>
            </w:r>
          </w:p>
        </w:tc>
        <w:tc>
          <w:tcPr>
            <w:tcW w:w="2929" w:type="dxa"/>
            <w:vMerge w:val="continue"/>
            <w:shd w:val="clear" w:color="auto" w:fill="auto"/>
            <w:noWrap w:val="0"/>
            <w:vAlign w:val="center"/>
          </w:tcPr>
          <w:p>
            <w:pPr>
              <w:adjustRightInd w:val="0"/>
              <w:snapToGrid w:val="0"/>
              <w:jc w:val="center"/>
              <w:rPr>
                <w:rFonts w:hint="eastAsia" w:ascii="宋体" w:hAnsi="宋体" w:cs="宋体"/>
                <w:sz w:val="24"/>
                <w:szCs w:val="24"/>
              </w:rPr>
            </w:pPr>
          </w:p>
        </w:tc>
      </w:tr>
    </w:tbl>
    <w:p>
      <w:pPr>
        <w:pStyle w:val="21"/>
        <w:numPr>
          <w:ilvl w:val="0"/>
          <w:numId w:val="12"/>
        </w:numPr>
        <w:adjustRightInd w:val="0"/>
        <w:snapToGrid w:val="0"/>
        <w:spacing w:line="360" w:lineRule="auto"/>
        <w:ind w:left="3" w:firstLine="468" w:firstLineChars="195"/>
        <w:rPr>
          <w:rFonts w:hint="eastAsia" w:ascii="宋体" w:hAnsi="宋体" w:cs="宋体"/>
          <w:sz w:val="24"/>
          <w:szCs w:val="24"/>
        </w:rPr>
      </w:pPr>
      <w:r>
        <w:rPr>
          <w:rFonts w:hint="eastAsia" w:ascii="宋体" w:hAnsi="宋体" w:cs="宋体"/>
          <w:sz w:val="24"/>
          <w:szCs w:val="24"/>
        </w:rPr>
        <w:t>服务期12个月内，6个月为常规服务期、6个月为重点服务期，服务期的启动由甲方结合实际需求提出，一般有2个项目进入销售筹备期时启动重点服务期，并以发出《XX服务期工作启动函》为准。</w:t>
      </w:r>
    </w:p>
    <w:p>
      <w:pPr>
        <w:pStyle w:val="21"/>
        <w:numPr>
          <w:ilvl w:val="0"/>
          <w:numId w:val="12"/>
        </w:numPr>
        <w:adjustRightInd w:val="0"/>
        <w:snapToGrid w:val="0"/>
        <w:spacing w:line="360" w:lineRule="auto"/>
        <w:ind w:left="3" w:firstLine="468" w:firstLineChars="195"/>
        <w:rPr>
          <w:rFonts w:hint="eastAsia" w:ascii="宋体" w:hAnsi="宋体" w:cs="宋体"/>
          <w:sz w:val="24"/>
          <w:szCs w:val="24"/>
        </w:rPr>
      </w:pPr>
      <w:r>
        <w:rPr>
          <w:rFonts w:hint="eastAsia" w:ascii="宋体" w:hAnsi="宋体" w:cs="宋体"/>
          <w:sz w:val="24"/>
          <w:szCs w:val="24"/>
        </w:rPr>
        <w:t>常规服务期内，每月3位驻场人员中，房地产策划相关工作经验均不少于1年，其中至少1人不少于3年。</w:t>
      </w:r>
    </w:p>
    <w:p>
      <w:pPr>
        <w:pStyle w:val="21"/>
        <w:numPr>
          <w:ilvl w:val="0"/>
          <w:numId w:val="12"/>
        </w:numPr>
        <w:adjustRightInd w:val="0"/>
        <w:snapToGrid w:val="0"/>
        <w:spacing w:line="360" w:lineRule="auto"/>
        <w:ind w:left="3" w:firstLine="468" w:firstLineChars="195"/>
        <w:rPr>
          <w:rFonts w:hint="eastAsia" w:ascii="宋体" w:hAnsi="宋体" w:cs="宋体"/>
          <w:sz w:val="24"/>
          <w:szCs w:val="24"/>
        </w:rPr>
      </w:pPr>
      <w:r>
        <w:rPr>
          <w:rFonts w:hint="eastAsia" w:ascii="宋体" w:hAnsi="宋体" w:cs="宋体"/>
          <w:sz w:val="24"/>
          <w:szCs w:val="24"/>
        </w:rPr>
        <w:t>重点服务期内，每月6位驻场人员中，房地产策划相关工作经验均不少于1年，其中至少3人不少于3年。</w:t>
      </w:r>
    </w:p>
    <w:p>
      <w:pPr>
        <w:pStyle w:val="21"/>
        <w:numPr>
          <w:ilvl w:val="0"/>
          <w:numId w:val="12"/>
        </w:numPr>
        <w:adjustRightInd w:val="0"/>
        <w:snapToGrid w:val="0"/>
        <w:spacing w:line="360" w:lineRule="auto"/>
        <w:ind w:left="3" w:firstLine="468" w:firstLineChars="195"/>
        <w:rPr>
          <w:rFonts w:hint="eastAsia" w:ascii="宋体" w:hAnsi="宋体" w:cs="宋体"/>
          <w:sz w:val="24"/>
          <w:szCs w:val="24"/>
        </w:rPr>
      </w:pPr>
      <w:r>
        <w:rPr>
          <w:rFonts w:hint="eastAsia" w:ascii="宋体" w:hAnsi="宋体" w:cs="宋体"/>
          <w:sz w:val="24"/>
          <w:szCs w:val="24"/>
        </w:rPr>
        <w:t>项目负责人中，拟任项目总监的房地产策划、销售相关工作经验不少于8年；拟任项目策划经理的房地产策划相关工作经验不少于5年。拟销售项目与前期项目的总监、策划不可重复。拟销售项目项目总监须参加项目周例会并把控项目整体策略，策划经理须把控项目整体策略、出品品质等，并确保每星期工作日至少1天在现场。</w:t>
      </w:r>
    </w:p>
    <w:p>
      <w:pPr>
        <w:spacing w:line="360" w:lineRule="auto"/>
        <w:rPr>
          <w:rFonts w:ascii="宋体" w:hAnsi="宋体"/>
          <w:b/>
          <w:kern w:val="0"/>
          <w:sz w:val="24"/>
          <w:szCs w:val="24"/>
        </w:rPr>
      </w:pPr>
      <w:r>
        <w:rPr>
          <w:rFonts w:hint="eastAsia" w:ascii="宋体" w:hAnsi="宋体"/>
          <w:sz w:val="24"/>
          <w:szCs w:val="24"/>
        </w:rPr>
        <w:t xml:space="preserve">    </w:t>
      </w:r>
      <w:r>
        <w:rPr>
          <w:rFonts w:hint="eastAsia" w:ascii="宋体" w:hAnsi="宋体"/>
          <w:b/>
          <w:kern w:val="0"/>
          <w:sz w:val="24"/>
          <w:szCs w:val="24"/>
        </w:rPr>
        <w:t>三、比选控制价格</w:t>
      </w:r>
    </w:p>
    <w:p>
      <w:pPr>
        <w:spacing w:line="360" w:lineRule="auto"/>
        <w:ind w:firstLine="420" w:firstLineChars="175"/>
        <w:rPr>
          <w:rFonts w:hint="eastAsia" w:ascii="宋体" w:hAnsi="宋体"/>
          <w:bCs/>
          <w:kern w:val="0"/>
          <w:sz w:val="24"/>
          <w:szCs w:val="24"/>
        </w:rPr>
      </w:pPr>
      <w:r>
        <w:rPr>
          <w:rFonts w:hint="eastAsia" w:ascii="宋体" w:hAnsi="宋体"/>
          <w:bCs/>
          <w:kern w:val="0"/>
          <w:sz w:val="24"/>
          <w:szCs w:val="24"/>
        </w:rPr>
        <w:t>本次服务总控制价在292万元以内（含税），其中，营销策划服务与研究报告服务分别报价。营销策划服务中，常规服务期拟定为6个月，单月月费控制价在11万元以内（含税）；重点服务期拟定为6个月，单月月费控制价在18万元以内（含税）；营销策划服务费用控制在174万元以内（含税）。研究报告服务总费用控制在118万元以内（含税）。</w:t>
      </w:r>
    </w:p>
    <w:p>
      <w:pPr>
        <w:spacing w:line="360" w:lineRule="auto"/>
        <w:ind w:firstLine="420" w:firstLineChars="175"/>
        <w:rPr>
          <w:rFonts w:hint="eastAsia" w:ascii="宋体" w:hAnsi="宋体"/>
          <w:bCs/>
          <w:kern w:val="0"/>
          <w:sz w:val="24"/>
          <w:szCs w:val="24"/>
        </w:rPr>
      </w:pPr>
    </w:p>
    <w:p>
      <w:pPr>
        <w:spacing w:line="360" w:lineRule="auto"/>
        <w:ind w:firstLine="482" w:firstLineChars="200"/>
        <w:rPr>
          <w:rFonts w:ascii="宋体" w:hAnsi="宋体"/>
          <w:b/>
          <w:kern w:val="0"/>
          <w:sz w:val="24"/>
          <w:szCs w:val="24"/>
        </w:rPr>
      </w:pPr>
      <w:r>
        <w:rPr>
          <w:rFonts w:hint="eastAsia" w:ascii="宋体" w:hAnsi="宋体"/>
          <w:b/>
          <w:kern w:val="0"/>
          <w:sz w:val="24"/>
          <w:szCs w:val="24"/>
        </w:rPr>
        <w:t>四、参选人资格要求</w:t>
      </w:r>
      <w:bookmarkStart w:id="3" w:name="_Hlk77372483"/>
    </w:p>
    <w:bookmarkEnd w:id="3"/>
    <w:p>
      <w:pPr>
        <w:numPr>
          <w:ilvl w:val="0"/>
          <w:numId w:val="13"/>
        </w:numPr>
        <w:spacing w:line="360" w:lineRule="auto"/>
        <w:rPr>
          <w:rFonts w:hint="eastAsia" w:ascii="宋体" w:hAnsi="宋体"/>
          <w:bCs/>
          <w:kern w:val="0"/>
          <w:sz w:val="24"/>
          <w:szCs w:val="24"/>
        </w:rPr>
      </w:pPr>
      <w:r>
        <w:rPr>
          <w:rFonts w:hint="eastAsia" w:ascii="宋体" w:hAnsi="宋体"/>
          <w:bCs/>
          <w:kern w:val="0"/>
          <w:sz w:val="24"/>
          <w:szCs w:val="24"/>
        </w:rPr>
        <w:t>在中华人民共和国境内注册，公司注册成立时间不晚于2014年1月1日。</w:t>
      </w:r>
    </w:p>
    <w:p>
      <w:pPr>
        <w:numPr>
          <w:ilvl w:val="0"/>
          <w:numId w:val="13"/>
        </w:numPr>
        <w:spacing w:line="360" w:lineRule="auto"/>
        <w:rPr>
          <w:rFonts w:hint="eastAsia" w:ascii="宋体" w:hAnsi="宋体"/>
          <w:bCs/>
          <w:kern w:val="0"/>
          <w:sz w:val="24"/>
          <w:szCs w:val="24"/>
        </w:rPr>
      </w:pPr>
      <w:r>
        <w:rPr>
          <w:rFonts w:hint="eastAsia" w:ascii="宋体" w:hAnsi="宋体"/>
          <w:bCs/>
          <w:kern w:val="0"/>
          <w:sz w:val="24"/>
          <w:szCs w:val="24"/>
        </w:rPr>
        <w:t>具备房地产咨询、策划、代理等营业许可，具有深圳市房地产经纪机构备案证书。</w:t>
      </w:r>
    </w:p>
    <w:p>
      <w:pPr>
        <w:numPr>
          <w:ilvl w:val="0"/>
          <w:numId w:val="13"/>
        </w:numPr>
        <w:spacing w:line="360" w:lineRule="auto"/>
        <w:rPr>
          <w:rFonts w:hint="eastAsia" w:ascii="宋体" w:hAnsi="宋体"/>
          <w:bCs/>
          <w:kern w:val="0"/>
          <w:sz w:val="24"/>
          <w:szCs w:val="24"/>
        </w:rPr>
      </w:pPr>
      <w:r>
        <w:rPr>
          <w:rFonts w:hint="eastAsia" w:ascii="宋体" w:hAnsi="宋体"/>
          <w:bCs/>
          <w:kern w:val="0"/>
          <w:sz w:val="24"/>
          <w:szCs w:val="24"/>
        </w:rPr>
        <w:t>熟悉了解深圳市场，对安托山片区、龙华中心区、松岗片区及周边住宅市场有深入了解，2014年1月1日起在深圳承担过规模在5万㎡以上住宅营销策划的项目不少于3个（日期以合同签约日期为准，面积以合同签约面积为准，若合同上无面积，需另外提供面积证明材料）。</w:t>
      </w:r>
    </w:p>
    <w:p>
      <w:pPr>
        <w:numPr>
          <w:ilvl w:val="0"/>
          <w:numId w:val="13"/>
        </w:numPr>
        <w:spacing w:line="360" w:lineRule="auto"/>
        <w:rPr>
          <w:rFonts w:hint="eastAsia" w:ascii="宋体" w:hAnsi="宋体"/>
          <w:bCs/>
          <w:kern w:val="0"/>
          <w:sz w:val="24"/>
          <w:szCs w:val="24"/>
        </w:rPr>
      </w:pPr>
      <w:r>
        <w:rPr>
          <w:rFonts w:hint="eastAsia" w:ascii="宋体" w:hAnsi="宋体"/>
          <w:bCs/>
          <w:kern w:val="0"/>
          <w:sz w:val="24"/>
          <w:szCs w:val="24"/>
        </w:rPr>
        <w:t>本项目不接受参选人的情形</w:t>
      </w:r>
    </w:p>
    <w:p>
      <w:pPr>
        <w:numPr>
          <w:ilvl w:val="0"/>
          <w:numId w:val="14"/>
        </w:numPr>
        <w:spacing w:line="360" w:lineRule="auto"/>
        <w:ind w:left="5" w:firstLine="555"/>
        <w:rPr>
          <w:rFonts w:hint="eastAsia" w:ascii="宋体" w:hAnsi="宋体"/>
          <w:bCs/>
          <w:kern w:val="0"/>
          <w:sz w:val="24"/>
          <w:szCs w:val="24"/>
        </w:rPr>
      </w:pPr>
      <w:r>
        <w:rPr>
          <w:rFonts w:hint="eastAsia" w:ascii="宋体" w:hAnsi="宋体"/>
          <w:bCs/>
          <w:kern w:val="0"/>
          <w:sz w:val="24"/>
          <w:szCs w:val="24"/>
        </w:rPr>
        <w:t>自截标前三年以来在深圳市地铁集团有限公司或其下属直管单位存在违约行为的参选人；</w:t>
      </w:r>
    </w:p>
    <w:p>
      <w:pPr>
        <w:numPr>
          <w:ilvl w:val="0"/>
          <w:numId w:val="14"/>
        </w:numPr>
        <w:spacing w:line="360" w:lineRule="auto"/>
        <w:ind w:left="5" w:firstLine="555"/>
        <w:rPr>
          <w:rFonts w:hint="eastAsia" w:ascii="宋体" w:hAnsi="宋体"/>
          <w:bCs/>
          <w:kern w:val="0"/>
          <w:sz w:val="24"/>
          <w:szCs w:val="24"/>
        </w:rPr>
      </w:pPr>
      <w:r>
        <w:rPr>
          <w:rFonts w:hint="eastAsia" w:ascii="宋体" w:hAnsi="宋体"/>
          <w:bCs/>
          <w:kern w:val="0"/>
          <w:sz w:val="24"/>
          <w:szCs w:val="24"/>
        </w:rPr>
        <w:t>自截标前三年以来与深圳市地铁集团有限公司或其下属直管单位有过诉讼、仲裁史，且其诉讼请求、仲裁申请或辩论理由没有被法院、仲裁庭支持的；</w:t>
      </w:r>
    </w:p>
    <w:p>
      <w:pPr>
        <w:numPr>
          <w:ilvl w:val="0"/>
          <w:numId w:val="14"/>
        </w:numPr>
        <w:spacing w:line="360" w:lineRule="auto"/>
        <w:ind w:left="5" w:firstLine="555"/>
        <w:rPr>
          <w:rFonts w:hint="eastAsia" w:ascii="宋体" w:hAnsi="宋体"/>
          <w:bCs/>
          <w:kern w:val="0"/>
          <w:sz w:val="24"/>
          <w:szCs w:val="24"/>
        </w:rPr>
      </w:pPr>
      <w:r>
        <w:rPr>
          <w:rFonts w:hint="eastAsia" w:ascii="宋体" w:hAnsi="宋体"/>
          <w:bCs/>
          <w:kern w:val="0"/>
          <w:sz w:val="24"/>
          <w:szCs w:val="24"/>
        </w:rPr>
        <w:t>正与深圳市地铁集团有限公司及下属单位进行诉讼、仲裁，且在截标之日前未达成和解或纠纷化解的；</w:t>
      </w:r>
    </w:p>
    <w:p>
      <w:pPr>
        <w:numPr>
          <w:ilvl w:val="0"/>
          <w:numId w:val="14"/>
        </w:numPr>
        <w:spacing w:line="360" w:lineRule="auto"/>
        <w:ind w:left="5" w:firstLine="555"/>
        <w:rPr>
          <w:rFonts w:hint="eastAsia" w:ascii="宋体" w:hAnsi="宋体"/>
          <w:bCs/>
          <w:kern w:val="0"/>
          <w:sz w:val="24"/>
          <w:szCs w:val="24"/>
        </w:rPr>
      </w:pPr>
      <w:r>
        <w:rPr>
          <w:rFonts w:hint="eastAsia" w:ascii="宋体" w:hAnsi="宋体"/>
          <w:bCs/>
          <w:kern w:val="0"/>
          <w:sz w:val="24"/>
          <w:szCs w:val="24"/>
        </w:rPr>
        <w:t>在参选（询价）活动（包括在深圳地铁项目）中因串通投标（报价）被暂停投标（报价）资格期间；或涉嫌串通参选（报价）并正在接受主管部门调查的；</w:t>
      </w:r>
    </w:p>
    <w:p>
      <w:pPr>
        <w:numPr>
          <w:ilvl w:val="0"/>
          <w:numId w:val="14"/>
        </w:numPr>
        <w:spacing w:line="360" w:lineRule="auto"/>
        <w:ind w:left="5" w:firstLine="555"/>
        <w:rPr>
          <w:rFonts w:hint="eastAsia" w:ascii="宋体" w:hAnsi="宋体"/>
          <w:bCs/>
          <w:kern w:val="0"/>
          <w:sz w:val="24"/>
          <w:szCs w:val="24"/>
        </w:rPr>
      </w:pPr>
      <w:r>
        <w:rPr>
          <w:rFonts w:hint="eastAsia" w:ascii="宋体" w:hAnsi="宋体"/>
          <w:bCs/>
          <w:kern w:val="0"/>
          <w:sz w:val="24"/>
          <w:szCs w:val="24"/>
        </w:rPr>
        <w:t>自截标前三年以来在深圳市地铁集团有限公司及下属单位在参选过程中、合同履约过程中有不良行为记录，或者有对深圳市地铁集团有限公司声誉造成损害行为的。</w:t>
      </w:r>
      <w:r>
        <w:rPr>
          <w:rFonts w:hint="eastAsia" w:ascii="宋体" w:hAnsi="宋体"/>
          <w:bCs/>
          <w:kern w:val="0"/>
          <w:sz w:val="24"/>
          <w:szCs w:val="24"/>
        </w:rPr>
        <w:br w:type="textWrapping"/>
      </w:r>
      <w:r>
        <w:rPr>
          <w:rFonts w:hint="eastAsia" w:ascii="宋体" w:hAnsi="宋体"/>
          <w:bCs/>
          <w:kern w:val="0"/>
          <w:sz w:val="24"/>
          <w:szCs w:val="24"/>
        </w:rPr>
        <w:t xml:space="preserve">  （五）本项目不接受联合体参选：单位负责人为同一人或者存在控股、管理关系的不同单位，不得参加同一项目比选。</w:t>
      </w:r>
    </w:p>
    <w:p>
      <w:pPr>
        <w:spacing w:line="360" w:lineRule="auto"/>
        <w:ind w:firstLine="482" w:firstLineChars="200"/>
        <w:rPr>
          <w:rFonts w:ascii="宋体" w:hAnsi="宋体"/>
          <w:b/>
          <w:kern w:val="0"/>
          <w:sz w:val="24"/>
          <w:szCs w:val="24"/>
        </w:rPr>
      </w:pPr>
      <w:r>
        <w:rPr>
          <w:rFonts w:hint="eastAsia" w:ascii="宋体" w:hAnsi="宋体"/>
          <w:b/>
          <w:kern w:val="0"/>
          <w:sz w:val="24"/>
          <w:szCs w:val="24"/>
        </w:rPr>
        <w:t>五、参选时间、</w:t>
      </w:r>
      <w:r>
        <w:rPr>
          <w:rFonts w:ascii="宋体" w:hAnsi="宋体"/>
          <w:b/>
          <w:kern w:val="0"/>
          <w:sz w:val="24"/>
          <w:szCs w:val="24"/>
        </w:rPr>
        <w:t>地点</w:t>
      </w:r>
    </w:p>
    <w:tbl>
      <w:tblPr>
        <w:tblStyle w:val="11"/>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发布比选公告</w:t>
            </w:r>
          </w:p>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（发标）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rPr>
            </w:pPr>
            <w:r>
              <w:rPr>
                <w:rFonts w:hint="eastAsia" w:ascii="宋体" w:hAnsi="宋体" w:cs="宋体"/>
                <w:bCs/>
                <w:szCs w:val="21"/>
              </w:rPr>
              <w:t>202</w:t>
            </w:r>
            <w:r>
              <w:rPr>
                <w:rFonts w:ascii="宋体" w:hAnsi="宋体" w:cs="宋体"/>
                <w:bCs/>
                <w:szCs w:val="21"/>
              </w:rPr>
              <w:t>2</w:t>
            </w:r>
            <w:r>
              <w:rPr>
                <w:rFonts w:hint="eastAsia" w:ascii="宋体" w:hAnsi="宋体" w:cs="宋体"/>
                <w:bCs/>
                <w:szCs w:val="21"/>
              </w:rPr>
              <w:t>年1月1</w:t>
            </w:r>
            <w:r>
              <w:rPr>
                <w:rFonts w:ascii="宋体" w:hAnsi="宋体" w:cs="宋体"/>
                <w:bCs/>
                <w:szCs w:val="21"/>
              </w:rPr>
              <w:t>9</w:t>
            </w:r>
            <w:r>
              <w:rPr>
                <w:rFonts w:hint="eastAsia" w:ascii="宋体" w:hAnsi="宋体" w:cs="宋体"/>
                <w:bCs/>
                <w:szCs w:val="21"/>
              </w:rPr>
              <w:t>日</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484" w:leftChars="44" w:hanging="392" w:hangingChars="187"/>
              <w:jc w:val="center"/>
              <w:rPr>
                <w:rFonts w:hint="eastAsia" w:ascii="宋体" w:hAnsi="宋体" w:cs="宋体"/>
                <w:bCs/>
                <w:kern w:val="2"/>
                <w:sz w:val="21"/>
                <w:szCs w:val="21"/>
              </w:rPr>
            </w:pPr>
            <w:r>
              <w:rPr>
                <w:rFonts w:hint="eastAsia" w:ascii="宋体" w:hAnsi="宋体" w:cs="宋体"/>
                <w:bCs/>
                <w:kern w:val="2"/>
                <w:sz w:val="21"/>
                <w:szCs w:val="21"/>
              </w:rPr>
              <w:t>深圳市地铁集团有限公司外网</w:t>
            </w:r>
            <w:r>
              <w:rPr>
                <w:rFonts w:hint="eastAsia" w:ascii="宋体" w:hAnsi="宋体" w:cs="宋体"/>
                <w:color w:val="000000"/>
                <w:sz w:val="21"/>
                <w:szCs w:val="21"/>
              </w:rPr>
              <w:t>、</w:t>
            </w:r>
            <w:r>
              <w:rPr>
                <w:rFonts w:hint="eastAsia" w:ascii="宋体" w:hAnsi="宋体" w:cs="宋体"/>
                <w:bCs/>
                <w:kern w:val="2"/>
                <w:sz w:val="21"/>
                <w:szCs w:val="21"/>
              </w:rPr>
              <w:t>国资委阳光采购平台、深铁置业微信订阅号、</w:t>
            </w:r>
            <w:r>
              <w:rPr>
                <w:rFonts w:ascii="宋体" w:hAnsi="宋体" w:cs="宋体"/>
                <w:bCs/>
                <w:kern w:val="2"/>
                <w:sz w:val="21"/>
                <w:szCs w:val="21"/>
              </w:rPr>
              <w:t>深铁招采网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截标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rPr>
            </w:pPr>
            <w:r>
              <w:rPr>
                <w:rFonts w:hint="eastAsia" w:ascii="宋体" w:hAnsi="宋体" w:cs="宋体"/>
                <w:bCs/>
                <w:szCs w:val="21"/>
              </w:rPr>
              <w:t xml:space="preserve">   2022年</w:t>
            </w:r>
            <w:r>
              <w:rPr>
                <w:rFonts w:ascii="宋体" w:hAnsi="宋体" w:cs="宋体"/>
                <w:bCs/>
                <w:szCs w:val="21"/>
              </w:rPr>
              <w:t>2</w:t>
            </w:r>
            <w:r>
              <w:rPr>
                <w:rFonts w:hint="eastAsia" w:ascii="宋体" w:hAnsi="宋体" w:cs="宋体"/>
                <w:bCs/>
                <w:szCs w:val="21"/>
              </w:rPr>
              <w:t>月</w:t>
            </w:r>
            <w:r>
              <w:rPr>
                <w:rFonts w:ascii="宋体" w:hAnsi="宋体" w:cs="宋体"/>
                <w:bCs/>
                <w:szCs w:val="21"/>
              </w:rPr>
              <w:t>23</w:t>
            </w:r>
            <w:r>
              <w:rPr>
                <w:rFonts w:hint="eastAsia" w:ascii="宋体" w:hAnsi="宋体" w:cs="宋体"/>
                <w:bCs/>
                <w:szCs w:val="21"/>
              </w:rPr>
              <w:t>日</w:t>
            </w:r>
          </w:p>
          <w:p>
            <w:pPr>
              <w:adjustRightInd w:val="0"/>
              <w:snapToGrid w:val="0"/>
              <w:spacing w:line="360" w:lineRule="auto"/>
              <w:jc w:val="center"/>
              <w:rPr>
                <w:rFonts w:ascii="宋体" w:hAnsi="宋体" w:cs="宋体"/>
                <w:bCs/>
                <w:szCs w:val="21"/>
              </w:rPr>
            </w:pPr>
            <w:r>
              <w:rPr>
                <w:rFonts w:hint="eastAsia" w:ascii="宋体" w:hAnsi="宋体" w:cs="宋体"/>
                <w:bCs/>
                <w:szCs w:val="21"/>
              </w:rPr>
              <w:t>上午10:00</w:t>
            </w:r>
          </w:p>
          <w:p>
            <w:pPr>
              <w:adjustRightInd w:val="0"/>
              <w:snapToGrid w:val="0"/>
              <w:spacing w:line="360" w:lineRule="auto"/>
              <w:jc w:val="center"/>
              <w:rPr>
                <w:rFonts w:hint="eastAsia" w:ascii="宋体" w:hAnsi="宋体" w:cs="宋体"/>
                <w:bCs/>
                <w:szCs w:val="21"/>
              </w:rPr>
            </w:pPr>
            <w:r>
              <w:rPr>
                <w:rFonts w:hint="eastAsia" w:ascii="宋体" w:hAnsi="宋体" w:cs="宋体"/>
                <w:bCs/>
                <w:szCs w:val="21"/>
              </w:rPr>
              <w:t>（实际截标时间按各参选单位递交纸质参选文件的时间为准。）</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281" w:leftChars="44" w:hanging="189" w:hangingChars="90"/>
              <w:jc w:val="left"/>
              <w:rPr>
                <w:rFonts w:hint="eastAsia" w:ascii="宋体" w:hAnsi="宋体" w:cs="宋体"/>
                <w:bCs/>
                <w:kern w:val="2"/>
                <w:sz w:val="21"/>
                <w:szCs w:val="21"/>
              </w:rPr>
            </w:pPr>
            <w:r>
              <w:rPr>
                <w:rFonts w:hint="eastAsia" w:ascii="宋体" w:hAnsi="宋体" w:cs="宋体"/>
                <w:bCs/>
                <w:kern w:val="2"/>
                <w:sz w:val="21"/>
                <w:szCs w:val="21"/>
              </w:rPr>
              <w:t>1.纸质版参选文件递交地点：地铁大厦1楼评定标中心指定会议室</w:t>
            </w:r>
          </w:p>
          <w:p>
            <w:pPr>
              <w:pStyle w:val="3"/>
              <w:adjustRightInd w:val="0"/>
              <w:snapToGrid w:val="0"/>
              <w:ind w:left="484" w:leftChars="44" w:hanging="392" w:hangingChars="187"/>
              <w:jc w:val="left"/>
              <w:rPr>
                <w:rFonts w:hint="eastAsia" w:ascii="宋体" w:hAnsi="宋体" w:cs="宋体"/>
                <w:bCs/>
                <w:kern w:val="2"/>
                <w:sz w:val="21"/>
                <w:szCs w:val="21"/>
              </w:rPr>
            </w:pPr>
            <w:r>
              <w:rPr>
                <w:rFonts w:hint="eastAsia" w:ascii="宋体" w:hAnsi="宋体" w:cs="宋体"/>
                <w:bCs/>
                <w:kern w:val="2"/>
                <w:sz w:val="21"/>
                <w:szCs w:val="21"/>
              </w:rPr>
              <w:t>2.电子版参选文件递交平台：深圳地铁智能招采系统</w:t>
            </w:r>
          </w:p>
          <w:p>
            <w:pPr>
              <w:pStyle w:val="3"/>
              <w:adjustRightInd w:val="0"/>
              <w:snapToGrid w:val="0"/>
              <w:ind w:left="281" w:leftChars="44" w:hanging="189" w:hangingChars="90"/>
              <w:jc w:val="left"/>
              <w:rPr>
                <w:rFonts w:hint="eastAsia" w:ascii="宋体" w:hAnsi="宋体" w:cs="宋体"/>
                <w:bCs/>
                <w:kern w:val="2"/>
                <w:sz w:val="21"/>
                <w:szCs w:val="21"/>
              </w:rPr>
            </w:pPr>
            <w:r>
              <w:rPr>
                <w:rFonts w:hint="eastAsia" w:ascii="宋体" w:hAnsi="宋体" w:cs="宋体"/>
                <w:bCs/>
                <w:kern w:val="2"/>
                <w:sz w:val="21"/>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开标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rPr>
            </w:pPr>
            <w:r>
              <w:rPr>
                <w:rFonts w:hint="eastAsia" w:ascii="宋体" w:hAnsi="宋体" w:cs="宋体"/>
                <w:bCs/>
                <w:szCs w:val="21"/>
              </w:rPr>
              <w:t xml:space="preserve"> 2022年</w:t>
            </w:r>
            <w:r>
              <w:rPr>
                <w:rFonts w:ascii="宋体" w:hAnsi="宋体" w:cs="宋体"/>
                <w:bCs/>
                <w:szCs w:val="21"/>
              </w:rPr>
              <w:t>2</w:t>
            </w:r>
            <w:r>
              <w:rPr>
                <w:rFonts w:hint="eastAsia" w:ascii="宋体" w:hAnsi="宋体" w:cs="宋体"/>
                <w:bCs/>
                <w:szCs w:val="21"/>
              </w:rPr>
              <w:t>月</w:t>
            </w:r>
            <w:r>
              <w:rPr>
                <w:rFonts w:ascii="宋体" w:hAnsi="宋体" w:cs="宋体"/>
                <w:bCs/>
                <w:szCs w:val="21"/>
              </w:rPr>
              <w:t>23</w:t>
            </w:r>
            <w:r>
              <w:rPr>
                <w:rFonts w:hint="eastAsia" w:ascii="宋体" w:hAnsi="宋体" w:cs="宋体"/>
                <w:bCs/>
                <w:szCs w:val="21"/>
              </w:rPr>
              <w:t>日</w:t>
            </w:r>
          </w:p>
          <w:p>
            <w:pPr>
              <w:adjustRightInd w:val="0"/>
              <w:snapToGrid w:val="0"/>
              <w:spacing w:line="360" w:lineRule="auto"/>
              <w:jc w:val="center"/>
              <w:rPr>
                <w:rFonts w:hint="eastAsia" w:ascii="宋体" w:hAnsi="宋体" w:cs="宋体"/>
                <w:bCs/>
                <w:szCs w:val="21"/>
              </w:rPr>
            </w:pPr>
            <w:r>
              <w:rPr>
                <w:rFonts w:hint="eastAsia" w:ascii="宋体" w:hAnsi="宋体" w:cs="宋体"/>
                <w:bCs/>
                <w:szCs w:val="21"/>
              </w:rPr>
              <w:t>上午10:00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143" w:leftChars="68" w:firstLine="33" w:firstLineChars="16"/>
              <w:jc w:val="left"/>
              <w:rPr>
                <w:rFonts w:hint="eastAsia" w:ascii="宋体" w:hAnsi="宋体" w:cs="宋体"/>
                <w:bCs/>
                <w:kern w:val="2"/>
                <w:sz w:val="21"/>
                <w:szCs w:val="21"/>
              </w:rPr>
            </w:pPr>
            <w:r>
              <w:rPr>
                <w:rFonts w:hint="eastAsia" w:ascii="宋体" w:hAnsi="宋体" w:cs="宋体"/>
                <w:bCs/>
                <w:kern w:val="2"/>
                <w:sz w:val="21"/>
                <w:szCs w:val="21"/>
              </w:rPr>
              <w:t>开标地点：地铁大厦1楼评定标中心指定会议室</w:t>
            </w:r>
          </w:p>
          <w:p>
            <w:pPr>
              <w:pStyle w:val="3"/>
              <w:adjustRightInd w:val="0"/>
              <w:snapToGrid w:val="0"/>
              <w:ind w:left="143" w:leftChars="68" w:firstLine="33" w:firstLineChars="16"/>
              <w:jc w:val="left"/>
              <w:rPr>
                <w:rFonts w:ascii="宋体" w:hAnsi="宋体" w:cs="宋体"/>
                <w:bCs/>
                <w:kern w:val="2"/>
                <w:sz w:val="21"/>
                <w:szCs w:val="21"/>
              </w:rPr>
            </w:pPr>
            <w:r>
              <w:rPr>
                <w:rFonts w:hint="eastAsia" w:ascii="宋体" w:hAnsi="宋体" w:cs="宋体"/>
                <w:bCs/>
                <w:kern w:val="2"/>
                <w:sz w:val="21"/>
                <w:szCs w:val="21"/>
              </w:rPr>
              <w:t>（请持48小时内核酸检测结果方可入内）</w:t>
            </w:r>
          </w:p>
        </w:tc>
      </w:tr>
    </w:tbl>
    <w:p>
      <w:pPr>
        <w:pStyle w:val="6"/>
        <w:spacing w:line="360" w:lineRule="auto"/>
        <w:ind w:firstLine="424" w:firstLineChars="177"/>
        <w:rPr>
          <w:rFonts w:hint="eastAsia" w:hAnsi="宋体"/>
          <w:b/>
          <w:sz w:val="24"/>
          <w:szCs w:val="24"/>
        </w:rPr>
      </w:pPr>
      <w:r>
        <w:rPr>
          <w:rFonts w:hint="eastAsia" w:hAnsi="宋体"/>
          <w:color w:val="0D0D0D"/>
          <w:sz w:val="24"/>
          <w:szCs w:val="24"/>
        </w:rPr>
        <w:t>备注：若参选人的纸质版参选文件与电子版参选文件提交的时间或内容相冲突，以提交的纸质版参选文件的时间或内容为准。</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4" w:name="_Toc18104"/>
      <w:bookmarkStart w:id="5" w:name="_Toc7961"/>
      <w:r>
        <w:rPr>
          <w:rFonts w:hint="eastAsia" w:ascii="宋体" w:hAnsi="宋体"/>
          <w:b/>
          <w:kern w:val="0"/>
          <w:sz w:val="24"/>
          <w:szCs w:val="24"/>
        </w:rPr>
        <w:t>六、参选所需材料</w:t>
      </w:r>
      <w:bookmarkEnd w:id="4"/>
      <w:bookmarkEnd w:id="5"/>
    </w:p>
    <w:p>
      <w:pPr>
        <w:tabs>
          <w:tab w:val="center" w:pos="5059"/>
        </w:tabs>
        <w:spacing w:line="360" w:lineRule="auto"/>
        <w:ind w:firstLine="480" w:firstLineChars="200"/>
        <w:rPr>
          <w:rFonts w:ascii="宋体" w:hAnsi="宋体"/>
          <w:kern w:val="0"/>
          <w:sz w:val="24"/>
          <w:szCs w:val="24"/>
        </w:rPr>
      </w:pPr>
      <w:r>
        <w:rPr>
          <w:rFonts w:hint="eastAsia" w:ascii="宋体" w:hAnsi="宋体"/>
          <w:kern w:val="0"/>
          <w:sz w:val="24"/>
          <w:szCs w:val="24"/>
        </w:rPr>
        <w:t>根据比选</w:t>
      </w:r>
      <w:r>
        <w:rPr>
          <w:rFonts w:ascii="宋体" w:hAnsi="宋体"/>
          <w:kern w:val="0"/>
          <w:sz w:val="24"/>
          <w:szCs w:val="24"/>
        </w:rPr>
        <w:t>文件编制的参选文件</w:t>
      </w:r>
      <w:r>
        <w:rPr>
          <w:rFonts w:hint="eastAsia" w:ascii="宋体" w:hAnsi="宋体"/>
          <w:kern w:val="0"/>
          <w:sz w:val="24"/>
          <w:szCs w:val="24"/>
        </w:rPr>
        <w:t>；</w:t>
      </w:r>
      <w:r>
        <w:rPr>
          <w:rFonts w:ascii="宋体" w:hAnsi="宋体"/>
          <w:kern w:val="0"/>
          <w:sz w:val="24"/>
          <w:szCs w:val="24"/>
        </w:rPr>
        <w:tab/>
      </w:r>
    </w:p>
    <w:p>
      <w:pPr>
        <w:spacing w:line="360" w:lineRule="auto"/>
        <w:ind w:firstLine="480" w:firstLineChars="200"/>
        <w:rPr>
          <w:rFonts w:ascii="宋体" w:hAnsi="宋体"/>
          <w:kern w:val="0"/>
          <w:sz w:val="24"/>
          <w:szCs w:val="24"/>
        </w:rPr>
      </w:pPr>
      <w:r>
        <w:rPr>
          <w:rFonts w:hint="eastAsia" w:ascii="宋体" w:hAnsi="宋体"/>
          <w:kern w:val="0"/>
          <w:sz w:val="24"/>
          <w:szCs w:val="24"/>
        </w:rPr>
        <w:t>如递交</w:t>
      </w:r>
      <w:r>
        <w:rPr>
          <w:rFonts w:ascii="宋体" w:hAnsi="宋体"/>
          <w:kern w:val="0"/>
          <w:sz w:val="24"/>
          <w:szCs w:val="24"/>
        </w:rPr>
        <w:t>参选文件的参选</w:t>
      </w:r>
      <w:r>
        <w:rPr>
          <w:rFonts w:hint="eastAsia" w:ascii="宋体" w:hAnsi="宋体"/>
          <w:kern w:val="0"/>
          <w:sz w:val="24"/>
          <w:szCs w:val="24"/>
        </w:rPr>
        <w:t>人为参选单位的法定代表人，须携带法定代表人证明书及本人身份证原件和复印件；如递交</w:t>
      </w:r>
      <w:r>
        <w:rPr>
          <w:rFonts w:ascii="宋体" w:hAnsi="宋体"/>
          <w:kern w:val="0"/>
          <w:sz w:val="24"/>
          <w:szCs w:val="24"/>
        </w:rPr>
        <w:t>参选文件的参选</w:t>
      </w:r>
      <w:r>
        <w:rPr>
          <w:rFonts w:hint="eastAsia" w:ascii="宋体" w:hAnsi="宋体"/>
          <w:kern w:val="0"/>
          <w:sz w:val="24"/>
          <w:szCs w:val="24"/>
        </w:rPr>
        <w:t>人不是法定代表人，除携带本人身份证复印件外，还需携带法定代表人证明书和法定代表人身份证复印件及授权</w:t>
      </w:r>
      <w:r>
        <w:rPr>
          <w:rFonts w:ascii="宋体" w:hAnsi="宋体"/>
          <w:kern w:val="0"/>
          <w:sz w:val="24"/>
          <w:szCs w:val="24"/>
        </w:rPr>
        <w:t>委托书</w:t>
      </w:r>
      <w:r>
        <w:rPr>
          <w:rFonts w:hint="eastAsia" w:ascii="宋体" w:hAnsi="宋体"/>
          <w:kern w:val="0"/>
          <w:sz w:val="24"/>
          <w:szCs w:val="24"/>
        </w:rPr>
        <w:t>。</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6" w:name="_Toc32112"/>
      <w:bookmarkStart w:id="7" w:name="_Toc9281"/>
      <w:r>
        <w:rPr>
          <w:rFonts w:hint="eastAsia" w:ascii="宋体" w:hAnsi="宋体"/>
          <w:b/>
          <w:kern w:val="0"/>
          <w:sz w:val="24"/>
          <w:szCs w:val="24"/>
        </w:rPr>
        <w:t>七、参选联系人</w:t>
      </w:r>
      <w:bookmarkEnd w:id="6"/>
      <w:bookmarkEnd w:id="7"/>
    </w:p>
    <w:p>
      <w:pPr>
        <w:pStyle w:val="6"/>
        <w:spacing w:line="360" w:lineRule="auto"/>
        <w:ind w:firstLine="480" w:firstLineChars="200"/>
        <w:rPr>
          <w:rFonts w:hAnsi="宋体"/>
          <w:sz w:val="24"/>
          <w:szCs w:val="24"/>
        </w:rPr>
      </w:pPr>
      <w:r>
        <w:rPr>
          <w:rFonts w:hint="eastAsia" w:hAnsi="宋体"/>
          <w:sz w:val="24"/>
          <w:szCs w:val="24"/>
        </w:rPr>
        <w:t xml:space="preserve">联系人：沈工    </w:t>
      </w:r>
    </w:p>
    <w:p>
      <w:pPr>
        <w:pStyle w:val="6"/>
        <w:spacing w:line="360" w:lineRule="auto"/>
        <w:ind w:firstLine="480" w:firstLineChars="200"/>
        <w:rPr>
          <w:rFonts w:hAnsi="宋体"/>
          <w:sz w:val="24"/>
          <w:szCs w:val="24"/>
        </w:rPr>
      </w:pPr>
      <w:r>
        <w:rPr>
          <w:rFonts w:hint="eastAsia" w:hAnsi="宋体"/>
          <w:sz w:val="24"/>
          <w:szCs w:val="24"/>
        </w:rPr>
        <w:t>联系电话：18664979120</w:t>
      </w:r>
    </w:p>
    <w:p>
      <w:pPr>
        <w:pStyle w:val="6"/>
        <w:spacing w:line="360" w:lineRule="auto"/>
        <w:ind w:firstLine="480" w:firstLineChars="200"/>
        <w:jc w:val="right"/>
        <w:rPr>
          <w:rFonts w:hAnsi="宋体"/>
          <w:sz w:val="24"/>
          <w:szCs w:val="24"/>
        </w:rPr>
      </w:pPr>
    </w:p>
    <w:p>
      <w:pPr>
        <w:pStyle w:val="6"/>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6"/>
        <w:spacing w:line="360" w:lineRule="auto"/>
        <w:jc w:val="right"/>
        <w:rPr>
          <w:rFonts w:hAnsi="宋体"/>
          <w:sz w:val="24"/>
          <w:szCs w:val="24"/>
        </w:rPr>
      </w:pPr>
      <w:r>
        <w:rPr>
          <w:rFonts w:hint="eastAsia" w:hAnsi="宋体" w:cs="宋体"/>
          <w:sz w:val="24"/>
          <w:szCs w:val="24"/>
        </w:rPr>
        <w:t>            </w:t>
      </w:r>
      <w:bookmarkStart w:id="8" w:name="_GoBack"/>
      <w:bookmarkEnd w:id="8"/>
      <w:r>
        <w:rPr>
          <w:rFonts w:hint="eastAsia" w:hAnsi="宋体"/>
          <w:sz w:val="24"/>
          <w:szCs w:val="24"/>
        </w:rPr>
        <w:t>2022年1月1</w:t>
      </w:r>
      <w:r>
        <w:rPr>
          <w:rFonts w:hAnsi="宋体"/>
          <w:sz w:val="24"/>
          <w:szCs w:val="24"/>
        </w:rPr>
        <w:t>9</w:t>
      </w:r>
      <w:r>
        <w:rPr>
          <w:rFonts w:hint="eastAsia" w:hAnsi="宋体"/>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AEDF6B"/>
    <w:multiLevelType w:val="singleLevel"/>
    <w:tmpl w:val="81AEDF6B"/>
    <w:lvl w:ilvl="0" w:tentative="0">
      <w:start w:val="1"/>
      <w:numFmt w:val="decimalEnclosedCircleChinese"/>
      <w:suff w:val="nothing"/>
      <w:lvlText w:val="%1　"/>
      <w:lvlJc w:val="left"/>
      <w:pPr>
        <w:ind w:left="0" w:firstLine="400"/>
      </w:pPr>
      <w:rPr>
        <w:rFonts w:hint="eastAsia"/>
      </w:rPr>
    </w:lvl>
  </w:abstractNum>
  <w:abstractNum w:abstractNumId="1">
    <w:nsid w:val="8DC857CA"/>
    <w:multiLevelType w:val="singleLevel"/>
    <w:tmpl w:val="8DC857CA"/>
    <w:lvl w:ilvl="0" w:tentative="0">
      <w:start w:val="1"/>
      <w:numFmt w:val="decimalEnclosedCircleChinese"/>
      <w:suff w:val="nothing"/>
      <w:lvlText w:val="%1　"/>
      <w:lvlJc w:val="left"/>
      <w:pPr>
        <w:ind w:left="0" w:firstLine="400"/>
      </w:pPr>
      <w:rPr>
        <w:rFonts w:hint="eastAsia"/>
      </w:rPr>
    </w:lvl>
  </w:abstractNum>
  <w:abstractNum w:abstractNumId="2">
    <w:nsid w:val="BB984010"/>
    <w:multiLevelType w:val="singleLevel"/>
    <w:tmpl w:val="BB984010"/>
    <w:lvl w:ilvl="0" w:tentative="0">
      <w:start w:val="1"/>
      <w:numFmt w:val="decimal"/>
      <w:lvlText w:val="%1."/>
      <w:lvlJc w:val="left"/>
      <w:pPr>
        <w:ind w:left="420" w:hanging="420"/>
      </w:pPr>
      <w:rPr>
        <w:rFonts w:hint="default"/>
      </w:rPr>
    </w:lvl>
  </w:abstractNum>
  <w:abstractNum w:abstractNumId="3">
    <w:nsid w:val="C18AF898"/>
    <w:multiLevelType w:val="singleLevel"/>
    <w:tmpl w:val="C18AF898"/>
    <w:lvl w:ilvl="0" w:tentative="0">
      <w:start w:val="1"/>
      <w:numFmt w:val="decimalEnclosedCircleChinese"/>
      <w:suff w:val="nothing"/>
      <w:lvlText w:val="%1　"/>
      <w:lvlJc w:val="left"/>
      <w:pPr>
        <w:ind w:left="0" w:firstLine="400"/>
      </w:pPr>
      <w:rPr>
        <w:rFonts w:hint="eastAsia"/>
      </w:rPr>
    </w:lvl>
  </w:abstractNum>
  <w:abstractNum w:abstractNumId="4">
    <w:nsid w:val="CBE5BFD1"/>
    <w:multiLevelType w:val="singleLevel"/>
    <w:tmpl w:val="CBE5BFD1"/>
    <w:lvl w:ilvl="0" w:tentative="0">
      <w:start w:val="1"/>
      <w:numFmt w:val="decimal"/>
      <w:lvlText w:val="%1."/>
      <w:lvlJc w:val="left"/>
      <w:pPr>
        <w:ind w:left="425" w:hanging="425"/>
      </w:pPr>
      <w:rPr>
        <w:rFonts w:hint="default"/>
      </w:rPr>
    </w:lvl>
  </w:abstractNum>
  <w:abstractNum w:abstractNumId="5">
    <w:nsid w:val="D48FF3FB"/>
    <w:multiLevelType w:val="singleLevel"/>
    <w:tmpl w:val="D48FF3FB"/>
    <w:lvl w:ilvl="0" w:tentative="0">
      <w:start w:val="1"/>
      <w:numFmt w:val="chineseCounting"/>
      <w:suff w:val="nothing"/>
      <w:lvlText w:val="（%1）"/>
      <w:lvlJc w:val="left"/>
      <w:pPr>
        <w:ind w:left="0" w:firstLine="420"/>
      </w:pPr>
      <w:rPr>
        <w:rFonts w:hint="eastAsia"/>
        <w:sz w:val="24"/>
        <w:szCs w:val="24"/>
      </w:rPr>
    </w:lvl>
  </w:abstractNum>
  <w:abstractNum w:abstractNumId="6">
    <w:nsid w:val="FA1A5A97"/>
    <w:multiLevelType w:val="singleLevel"/>
    <w:tmpl w:val="FA1A5A97"/>
    <w:lvl w:ilvl="0" w:tentative="0">
      <w:start w:val="1"/>
      <w:numFmt w:val="decimal"/>
      <w:lvlText w:val="%1."/>
      <w:lvlJc w:val="left"/>
      <w:pPr>
        <w:ind w:left="420" w:hanging="420"/>
      </w:pPr>
      <w:rPr>
        <w:rFonts w:hint="default" w:ascii="宋体" w:hAnsi="宋体" w:eastAsia="宋体" w:cs="宋体"/>
        <w:b/>
        <w:bCs/>
        <w:sz w:val="24"/>
        <w:szCs w:val="24"/>
      </w:rPr>
    </w:lvl>
  </w:abstractNum>
  <w:abstractNum w:abstractNumId="7">
    <w:nsid w:val="2AE70E72"/>
    <w:multiLevelType w:val="multilevel"/>
    <w:tmpl w:val="2AE70E72"/>
    <w:lvl w:ilvl="0" w:tentative="0">
      <w:start w:val="1"/>
      <w:numFmt w:val="decimal"/>
      <w:lvlText w:val="%1."/>
      <w:lvlJc w:val="left"/>
      <w:pPr>
        <w:ind w:left="360" w:hanging="360"/>
      </w:pPr>
      <w:rPr>
        <w:rFonts w:hint="default" w:ascii="宋体" w:hAnsi="宋体" w:eastAsia="宋体" w:cs="宋体"/>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265FC6A"/>
    <w:multiLevelType w:val="singleLevel"/>
    <w:tmpl w:val="3265FC6A"/>
    <w:lvl w:ilvl="0" w:tentative="0">
      <w:start w:val="1"/>
      <w:numFmt w:val="chineseCounting"/>
      <w:suff w:val="nothing"/>
      <w:lvlText w:val="（%1）"/>
      <w:lvlJc w:val="left"/>
      <w:pPr>
        <w:ind w:left="0" w:firstLine="420"/>
      </w:pPr>
      <w:rPr>
        <w:rFonts w:hint="eastAsia"/>
      </w:rPr>
    </w:lvl>
  </w:abstractNum>
  <w:abstractNum w:abstractNumId="9">
    <w:nsid w:val="48EA3DAB"/>
    <w:multiLevelType w:val="singleLevel"/>
    <w:tmpl w:val="48EA3DAB"/>
    <w:lvl w:ilvl="0" w:tentative="0">
      <w:start w:val="1"/>
      <w:numFmt w:val="decimalEnclosedCircleChinese"/>
      <w:suff w:val="nothing"/>
      <w:lvlText w:val="%1　"/>
      <w:lvlJc w:val="left"/>
      <w:pPr>
        <w:ind w:left="0" w:firstLine="400"/>
      </w:pPr>
      <w:rPr>
        <w:rFonts w:hint="eastAsia"/>
      </w:rPr>
    </w:lvl>
  </w:abstractNum>
  <w:abstractNum w:abstractNumId="10">
    <w:nsid w:val="6CDE886B"/>
    <w:multiLevelType w:val="singleLevel"/>
    <w:tmpl w:val="6CDE886B"/>
    <w:lvl w:ilvl="0" w:tentative="0">
      <w:start w:val="1"/>
      <w:numFmt w:val="lowerLetter"/>
      <w:lvlText w:val="%1)"/>
      <w:lvlJc w:val="left"/>
      <w:pPr>
        <w:ind w:left="820" w:hanging="420"/>
      </w:pPr>
      <w:rPr>
        <w:rFonts w:hint="default" w:ascii="宋体" w:hAnsi="宋体" w:eastAsia="宋体" w:cs="宋体"/>
        <w:sz w:val="24"/>
        <w:szCs w:val="24"/>
      </w:rPr>
    </w:lvl>
  </w:abstractNum>
  <w:abstractNum w:abstractNumId="11">
    <w:nsid w:val="6DEF29F0"/>
    <w:multiLevelType w:val="multilevel"/>
    <w:tmpl w:val="6DEF29F0"/>
    <w:lvl w:ilvl="0" w:tentative="0">
      <w:start w:val="1"/>
      <w:numFmt w:val="lowerLetter"/>
      <w:lvlText w:val="%1)"/>
      <w:lvlJc w:val="left"/>
      <w:pPr>
        <w:ind w:left="1235" w:hanging="420"/>
      </w:pPr>
      <w:rPr>
        <w:rFonts w:hint="default" w:ascii="宋体" w:hAnsi="宋体" w:eastAsia="宋体" w:cs="宋体"/>
        <w:sz w:val="24"/>
        <w:szCs w:val="24"/>
      </w:rPr>
    </w:lvl>
    <w:lvl w:ilvl="1" w:tentative="0">
      <w:start w:val="1"/>
      <w:numFmt w:val="lowerLetter"/>
      <w:lvlText w:val="%2)"/>
      <w:lvlJc w:val="left"/>
      <w:pPr>
        <w:ind w:left="1655" w:hanging="420"/>
      </w:pPr>
    </w:lvl>
    <w:lvl w:ilvl="2" w:tentative="0">
      <w:start w:val="1"/>
      <w:numFmt w:val="lowerRoman"/>
      <w:lvlText w:val="%3."/>
      <w:lvlJc w:val="right"/>
      <w:pPr>
        <w:ind w:left="2075" w:hanging="420"/>
      </w:pPr>
    </w:lvl>
    <w:lvl w:ilvl="3" w:tentative="0">
      <w:start w:val="1"/>
      <w:numFmt w:val="decimal"/>
      <w:lvlText w:val="%4."/>
      <w:lvlJc w:val="left"/>
      <w:pPr>
        <w:ind w:left="2495" w:hanging="420"/>
      </w:pPr>
    </w:lvl>
    <w:lvl w:ilvl="4" w:tentative="0">
      <w:start w:val="1"/>
      <w:numFmt w:val="lowerLetter"/>
      <w:lvlText w:val="%5)"/>
      <w:lvlJc w:val="left"/>
      <w:pPr>
        <w:ind w:left="2915" w:hanging="420"/>
      </w:pPr>
    </w:lvl>
    <w:lvl w:ilvl="5" w:tentative="0">
      <w:start w:val="1"/>
      <w:numFmt w:val="lowerRoman"/>
      <w:lvlText w:val="%6."/>
      <w:lvlJc w:val="right"/>
      <w:pPr>
        <w:ind w:left="3335" w:hanging="420"/>
      </w:pPr>
    </w:lvl>
    <w:lvl w:ilvl="6" w:tentative="0">
      <w:start w:val="1"/>
      <w:numFmt w:val="decimal"/>
      <w:lvlText w:val="%7."/>
      <w:lvlJc w:val="left"/>
      <w:pPr>
        <w:ind w:left="3755" w:hanging="420"/>
      </w:pPr>
    </w:lvl>
    <w:lvl w:ilvl="7" w:tentative="0">
      <w:start w:val="1"/>
      <w:numFmt w:val="lowerLetter"/>
      <w:lvlText w:val="%8)"/>
      <w:lvlJc w:val="left"/>
      <w:pPr>
        <w:ind w:left="4175" w:hanging="420"/>
      </w:pPr>
    </w:lvl>
    <w:lvl w:ilvl="8" w:tentative="0">
      <w:start w:val="1"/>
      <w:numFmt w:val="lowerRoman"/>
      <w:lvlText w:val="%9."/>
      <w:lvlJc w:val="right"/>
      <w:pPr>
        <w:ind w:left="4595" w:hanging="420"/>
      </w:pPr>
    </w:lvl>
  </w:abstractNum>
  <w:abstractNum w:abstractNumId="12">
    <w:nsid w:val="7BE4058D"/>
    <w:multiLevelType w:val="singleLevel"/>
    <w:tmpl w:val="7BE4058D"/>
    <w:lvl w:ilvl="0" w:tentative="0">
      <w:start w:val="1"/>
      <w:numFmt w:val="decimal"/>
      <w:lvlText w:val="(%1)"/>
      <w:lvlJc w:val="left"/>
      <w:pPr>
        <w:ind w:left="420" w:hanging="420"/>
      </w:pPr>
      <w:rPr>
        <w:rFonts w:hint="default" w:ascii="宋体" w:hAnsi="宋体" w:eastAsia="宋体" w:cs="宋体"/>
        <w:b/>
        <w:bCs/>
        <w:sz w:val="24"/>
        <w:szCs w:val="24"/>
      </w:rPr>
    </w:lvl>
  </w:abstractNum>
  <w:abstractNum w:abstractNumId="13">
    <w:nsid w:val="7EEA4995"/>
    <w:multiLevelType w:val="singleLevel"/>
    <w:tmpl w:val="7EEA4995"/>
    <w:lvl w:ilvl="0" w:tentative="0">
      <w:start w:val="1"/>
      <w:numFmt w:val="decimalEnclosedCircleChinese"/>
      <w:lvlText w:val="%1　"/>
      <w:lvlJc w:val="left"/>
      <w:pPr>
        <w:ind w:left="420" w:hanging="420"/>
      </w:pPr>
      <w:rPr>
        <w:rFonts w:hint="eastAsia" w:ascii="宋体" w:hAnsi="宋体" w:eastAsia="宋体" w:cs="宋体"/>
        <w:sz w:val="24"/>
        <w:szCs w:val="24"/>
      </w:rPr>
    </w:lvl>
  </w:abstractNum>
  <w:num w:numId="1">
    <w:abstractNumId w:val="5"/>
  </w:num>
  <w:num w:numId="2">
    <w:abstractNumId w:val="6"/>
  </w:num>
  <w:num w:numId="3">
    <w:abstractNumId w:val="9"/>
  </w:num>
  <w:num w:numId="4">
    <w:abstractNumId w:val="0"/>
  </w:num>
  <w:num w:numId="5">
    <w:abstractNumId w:val="1"/>
  </w:num>
  <w:num w:numId="6">
    <w:abstractNumId w:val="3"/>
  </w:num>
  <w:num w:numId="7">
    <w:abstractNumId w:val="7"/>
  </w:num>
  <w:num w:numId="8">
    <w:abstractNumId w:val="12"/>
  </w:num>
  <w:num w:numId="9">
    <w:abstractNumId w:val="13"/>
  </w:num>
  <w:num w:numId="10">
    <w:abstractNumId w:val="10"/>
  </w:num>
  <w:num w:numId="11">
    <w:abstractNumId w:val="11"/>
  </w:num>
  <w:num w:numId="12">
    <w:abstractNumId w:val="2"/>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FB0"/>
    <w:rsid w:val="000009E8"/>
    <w:rsid w:val="0006170B"/>
    <w:rsid w:val="000636E6"/>
    <w:rsid w:val="000755E8"/>
    <w:rsid w:val="000F7D75"/>
    <w:rsid w:val="00110AB8"/>
    <w:rsid w:val="00373944"/>
    <w:rsid w:val="003D67D3"/>
    <w:rsid w:val="004313C0"/>
    <w:rsid w:val="00515566"/>
    <w:rsid w:val="00540A37"/>
    <w:rsid w:val="005F6A8E"/>
    <w:rsid w:val="006B1E0F"/>
    <w:rsid w:val="007E4040"/>
    <w:rsid w:val="008A685D"/>
    <w:rsid w:val="009D0D71"/>
    <w:rsid w:val="00A50559"/>
    <w:rsid w:val="00AF4247"/>
    <w:rsid w:val="00B10905"/>
    <w:rsid w:val="00B12069"/>
    <w:rsid w:val="00B61785"/>
    <w:rsid w:val="00C03FB0"/>
    <w:rsid w:val="00D53580"/>
    <w:rsid w:val="00D9719E"/>
    <w:rsid w:val="00DA70C4"/>
    <w:rsid w:val="00DF684D"/>
    <w:rsid w:val="00EB54F7"/>
    <w:rsid w:val="00F21559"/>
    <w:rsid w:val="00FC4B3A"/>
    <w:rsid w:val="00FD75D9"/>
    <w:rsid w:val="04C564F9"/>
    <w:rsid w:val="23D94AB0"/>
    <w:rsid w:val="285936FD"/>
    <w:rsid w:val="2A7B349D"/>
    <w:rsid w:val="2AE61326"/>
    <w:rsid w:val="31EB1052"/>
    <w:rsid w:val="362B72A1"/>
    <w:rsid w:val="386A35EF"/>
    <w:rsid w:val="3C9B21B9"/>
    <w:rsid w:val="4E210A30"/>
    <w:rsid w:val="505D5899"/>
    <w:rsid w:val="554179CC"/>
    <w:rsid w:val="56357FA5"/>
    <w:rsid w:val="57EE3D42"/>
    <w:rsid w:val="59051B5F"/>
    <w:rsid w:val="5BF915A7"/>
    <w:rsid w:val="62192330"/>
    <w:rsid w:val="66686F44"/>
    <w:rsid w:val="67DD6BEF"/>
    <w:rsid w:val="6AA878F4"/>
    <w:rsid w:val="70AE6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2"/>
    <w:basedOn w:val="1"/>
    <w:next w:val="1"/>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5">
    <w:name w:val="heading 3"/>
    <w:basedOn w:val="1"/>
    <w:next w:val="1"/>
    <w:link w:val="16"/>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widowControl w:val="0"/>
      <w:overflowPunct/>
      <w:autoSpaceDE/>
      <w:autoSpaceDN/>
      <w:adjustRightInd/>
      <w:spacing w:line="240" w:lineRule="auto"/>
      <w:ind w:firstLine="420" w:firstLineChars="200"/>
      <w:textAlignment w:val="auto"/>
    </w:pPr>
    <w:rPr>
      <w:rFonts w:ascii="宋体" w:cs="Times New Roman"/>
      <w:color w:val="000000"/>
      <w:sz w:val="20"/>
      <w:szCs w:val="24"/>
    </w:rPr>
  </w:style>
  <w:style w:type="paragraph" w:styleId="3">
    <w:name w:val="Body Text Indent"/>
    <w:basedOn w:val="1"/>
    <w:qFormat/>
    <w:uiPriority w:val="0"/>
    <w:pPr>
      <w:spacing w:line="360" w:lineRule="auto"/>
      <w:ind w:left="540" w:leftChars="257" w:firstLine="360" w:firstLineChars="150"/>
    </w:pPr>
    <w:rPr>
      <w:kern w:val="0"/>
      <w:sz w:val="20"/>
    </w:rPr>
  </w:style>
  <w:style w:type="paragraph" w:styleId="6">
    <w:name w:val="Plain Text"/>
    <w:basedOn w:val="1"/>
    <w:link w:val="17"/>
    <w:qFormat/>
    <w:uiPriority w:val="0"/>
    <w:pPr>
      <w:adjustRightInd w:val="0"/>
      <w:spacing w:line="312" w:lineRule="atLeast"/>
      <w:textAlignment w:val="baseline"/>
    </w:pPr>
    <w:rPr>
      <w:rFonts w:ascii="宋体" w:hAnsi="Courier New"/>
      <w:kern w:val="0"/>
      <w:sz w:val="20"/>
    </w:rPr>
  </w:style>
  <w:style w:type="paragraph" w:styleId="7">
    <w:name w:val="Date"/>
    <w:basedOn w:val="1"/>
    <w:next w:val="1"/>
    <w:link w:val="18"/>
    <w:semiHidden/>
    <w:unhideWhenUsed/>
    <w:qFormat/>
    <w:uiPriority w:val="99"/>
    <w:pPr>
      <w:ind w:left="100" w:leftChars="2500"/>
    </w:pPr>
  </w:style>
  <w:style w:type="paragraph" w:styleId="8">
    <w:name w:val="Balloon Text"/>
    <w:basedOn w:val="1"/>
    <w:link w:val="19"/>
    <w:semiHidden/>
    <w:unhideWhenUsed/>
    <w:qFormat/>
    <w:uiPriority w:val="99"/>
    <w:rPr>
      <w:sz w:val="18"/>
      <w:szCs w:val="18"/>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Char"/>
    <w:basedOn w:val="13"/>
    <w:link w:val="10"/>
    <w:qFormat/>
    <w:uiPriority w:val="99"/>
    <w:rPr>
      <w:sz w:val="18"/>
      <w:szCs w:val="18"/>
    </w:rPr>
  </w:style>
  <w:style w:type="character" w:customStyle="1" w:styleId="15">
    <w:name w:val="页脚 Char"/>
    <w:basedOn w:val="13"/>
    <w:link w:val="9"/>
    <w:qFormat/>
    <w:uiPriority w:val="99"/>
    <w:rPr>
      <w:sz w:val="18"/>
      <w:szCs w:val="18"/>
    </w:rPr>
  </w:style>
  <w:style w:type="character" w:customStyle="1" w:styleId="16">
    <w:name w:val="标题 3 Char"/>
    <w:basedOn w:val="13"/>
    <w:link w:val="5"/>
    <w:qFormat/>
    <w:uiPriority w:val="0"/>
    <w:rPr>
      <w:rFonts w:ascii="Times New Roman" w:hAnsi="Times New Roman" w:eastAsia="宋体" w:cs="Times New Roman"/>
      <w:b/>
      <w:kern w:val="0"/>
      <w:sz w:val="32"/>
      <w:szCs w:val="20"/>
    </w:rPr>
  </w:style>
  <w:style w:type="character" w:customStyle="1" w:styleId="17">
    <w:name w:val="纯文本 Char"/>
    <w:basedOn w:val="13"/>
    <w:link w:val="6"/>
    <w:qFormat/>
    <w:uiPriority w:val="0"/>
    <w:rPr>
      <w:rFonts w:ascii="宋体" w:hAnsi="Courier New" w:eastAsia="宋体" w:cs="Times New Roman"/>
      <w:kern w:val="0"/>
      <w:sz w:val="20"/>
      <w:szCs w:val="20"/>
    </w:rPr>
  </w:style>
  <w:style w:type="character" w:customStyle="1" w:styleId="18">
    <w:name w:val="日期 Char"/>
    <w:basedOn w:val="13"/>
    <w:link w:val="7"/>
    <w:semiHidden/>
    <w:qFormat/>
    <w:uiPriority w:val="99"/>
    <w:rPr>
      <w:rFonts w:ascii="Times New Roman" w:hAnsi="Times New Roman" w:eastAsia="宋体" w:cs="Times New Roman"/>
      <w:szCs w:val="20"/>
    </w:rPr>
  </w:style>
  <w:style w:type="character" w:customStyle="1" w:styleId="19">
    <w:name w:val="批注框文本 Char"/>
    <w:basedOn w:val="13"/>
    <w:link w:val="8"/>
    <w:semiHidden/>
    <w:qFormat/>
    <w:uiPriority w:val="99"/>
    <w:rPr>
      <w:rFonts w:ascii="Times New Roman" w:hAnsi="Times New Roman" w:eastAsia="宋体" w:cs="Times New Roman"/>
      <w:sz w:val="18"/>
      <w:szCs w:val="18"/>
    </w:rPr>
  </w:style>
  <w:style w:type="paragraph" w:customStyle="1" w:styleId="20">
    <w:name w:val="列出段落1"/>
    <w:basedOn w:val="1"/>
    <w:qFormat/>
    <w:uiPriority w:val="0"/>
    <w:pPr>
      <w:ind w:firstLine="420" w:firstLineChars="200"/>
    </w:pPr>
  </w:style>
  <w:style w:type="paragraph" w:styleId="21">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403</Words>
  <Characters>2299</Characters>
  <Lines>19</Lines>
  <Paragraphs>5</Paragraphs>
  <TotalTime>0</TotalTime>
  <ScaleCrop>false</ScaleCrop>
  <LinksUpToDate>false</LinksUpToDate>
  <CharactersWithSpaces>2697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2021-01-28T18:34:00Z</dcterms:created>
  <dc:creator>NTKO</dc:creator>
  <cp:lastModifiedBy>NTKO</cp:lastModifiedBy>
  <dcterms:modified xsi:type="dcterms:W3CDTF">2022-01-18T10:33:06Z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